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C2166" w14:textId="77777777" w:rsidR="008D3B35" w:rsidRPr="003F564F" w:rsidRDefault="008D3B35">
      <w:pPr>
        <w:tabs>
          <w:tab w:val="left" w:pos="-1440"/>
          <w:tab w:val="left" w:pos="-720"/>
          <w:tab w:val="left" w:pos="567"/>
        </w:tabs>
        <w:spacing w:line="260" w:lineRule="exact"/>
        <w:rPr>
          <w:rFonts w:eastAsia="SimSun"/>
          <w:color w:val="000000"/>
          <w:szCs w:val="24"/>
        </w:rPr>
      </w:pPr>
    </w:p>
    <w:p w14:paraId="5A081DA5" w14:textId="77777777" w:rsidR="00E2373B" w:rsidRPr="003F564F" w:rsidRDefault="00E2373B">
      <w:pPr>
        <w:tabs>
          <w:tab w:val="left" w:pos="-1440"/>
          <w:tab w:val="left" w:pos="-720"/>
          <w:tab w:val="left" w:pos="567"/>
        </w:tabs>
        <w:spacing w:line="260" w:lineRule="exact"/>
        <w:rPr>
          <w:rFonts w:eastAsia="SimSun"/>
          <w:color w:val="000000"/>
          <w:szCs w:val="24"/>
        </w:rPr>
      </w:pPr>
    </w:p>
    <w:p w14:paraId="5BB2FE9B" w14:textId="77777777" w:rsidR="00E2373B" w:rsidRPr="003F564F" w:rsidRDefault="00E2373B">
      <w:pPr>
        <w:tabs>
          <w:tab w:val="left" w:pos="-1440"/>
          <w:tab w:val="left" w:pos="-720"/>
          <w:tab w:val="left" w:pos="567"/>
        </w:tabs>
        <w:spacing w:line="260" w:lineRule="exact"/>
        <w:rPr>
          <w:rFonts w:eastAsia="SimSun"/>
          <w:color w:val="000000"/>
          <w:szCs w:val="24"/>
        </w:rPr>
      </w:pPr>
    </w:p>
    <w:p w14:paraId="786BFE87" w14:textId="77777777" w:rsidR="00E2373B" w:rsidRPr="003F564F" w:rsidRDefault="00E2373B">
      <w:pPr>
        <w:tabs>
          <w:tab w:val="left" w:pos="-1440"/>
          <w:tab w:val="left" w:pos="-720"/>
          <w:tab w:val="left" w:pos="567"/>
        </w:tabs>
        <w:spacing w:line="260" w:lineRule="exact"/>
        <w:rPr>
          <w:rFonts w:eastAsia="SimSun"/>
          <w:color w:val="000000"/>
          <w:szCs w:val="24"/>
        </w:rPr>
      </w:pPr>
    </w:p>
    <w:p w14:paraId="2B66C03A" w14:textId="77777777" w:rsidR="00E2373B" w:rsidRPr="003F564F" w:rsidRDefault="00E2373B">
      <w:pPr>
        <w:tabs>
          <w:tab w:val="left" w:pos="-1440"/>
          <w:tab w:val="left" w:pos="-720"/>
          <w:tab w:val="left" w:pos="567"/>
        </w:tabs>
        <w:spacing w:line="260" w:lineRule="exact"/>
        <w:rPr>
          <w:rFonts w:eastAsia="SimSun"/>
          <w:color w:val="000000"/>
          <w:szCs w:val="24"/>
        </w:rPr>
      </w:pPr>
    </w:p>
    <w:p w14:paraId="4F8D70A0" w14:textId="77777777" w:rsidR="00E2373B" w:rsidRPr="003F564F" w:rsidRDefault="00E2373B">
      <w:pPr>
        <w:tabs>
          <w:tab w:val="left" w:pos="-1440"/>
          <w:tab w:val="left" w:pos="-720"/>
          <w:tab w:val="left" w:pos="567"/>
        </w:tabs>
        <w:spacing w:line="260" w:lineRule="exact"/>
        <w:rPr>
          <w:rFonts w:eastAsia="SimSun"/>
          <w:color w:val="000000"/>
          <w:szCs w:val="24"/>
        </w:rPr>
      </w:pPr>
    </w:p>
    <w:p w14:paraId="5F56DB46" w14:textId="77777777" w:rsidR="00E2373B" w:rsidRPr="003F564F" w:rsidRDefault="00E2373B">
      <w:pPr>
        <w:tabs>
          <w:tab w:val="left" w:pos="-1440"/>
          <w:tab w:val="left" w:pos="-720"/>
          <w:tab w:val="left" w:pos="567"/>
        </w:tabs>
        <w:spacing w:line="260" w:lineRule="exact"/>
        <w:rPr>
          <w:rFonts w:eastAsia="SimSun"/>
          <w:color w:val="000000"/>
          <w:szCs w:val="24"/>
        </w:rPr>
      </w:pPr>
    </w:p>
    <w:p w14:paraId="4B53CE7E" w14:textId="77777777" w:rsidR="00E2373B" w:rsidRPr="003F564F" w:rsidRDefault="00E2373B">
      <w:pPr>
        <w:tabs>
          <w:tab w:val="left" w:pos="-1440"/>
          <w:tab w:val="left" w:pos="-720"/>
          <w:tab w:val="left" w:pos="567"/>
        </w:tabs>
        <w:spacing w:line="260" w:lineRule="exact"/>
        <w:rPr>
          <w:rFonts w:eastAsia="SimSun"/>
          <w:color w:val="000000"/>
          <w:szCs w:val="24"/>
        </w:rPr>
      </w:pPr>
    </w:p>
    <w:p w14:paraId="61AEE170" w14:textId="77777777" w:rsidR="00E2373B" w:rsidRPr="003F564F" w:rsidRDefault="00E2373B">
      <w:pPr>
        <w:tabs>
          <w:tab w:val="left" w:pos="-1440"/>
          <w:tab w:val="left" w:pos="-720"/>
          <w:tab w:val="left" w:pos="567"/>
        </w:tabs>
        <w:spacing w:line="260" w:lineRule="exact"/>
        <w:rPr>
          <w:rFonts w:eastAsia="SimSun"/>
          <w:color w:val="000000"/>
          <w:szCs w:val="24"/>
        </w:rPr>
      </w:pPr>
    </w:p>
    <w:p w14:paraId="0AE9125D" w14:textId="77777777" w:rsidR="00E2373B" w:rsidRPr="003F564F" w:rsidRDefault="00E2373B">
      <w:pPr>
        <w:tabs>
          <w:tab w:val="left" w:pos="-1440"/>
          <w:tab w:val="left" w:pos="-720"/>
          <w:tab w:val="left" w:pos="567"/>
        </w:tabs>
        <w:spacing w:line="260" w:lineRule="exact"/>
        <w:rPr>
          <w:rFonts w:eastAsia="SimSun"/>
          <w:color w:val="000000"/>
          <w:szCs w:val="24"/>
        </w:rPr>
      </w:pPr>
    </w:p>
    <w:p w14:paraId="76F7AF43" w14:textId="77777777" w:rsidR="00E2373B" w:rsidRPr="003F564F" w:rsidRDefault="00E2373B">
      <w:pPr>
        <w:tabs>
          <w:tab w:val="left" w:pos="-1440"/>
          <w:tab w:val="left" w:pos="-720"/>
          <w:tab w:val="left" w:pos="567"/>
        </w:tabs>
        <w:spacing w:line="260" w:lineRule="exact"/>
        <w:rPr>
          <w:rFonts w:eastAsia="SimSun"/>
          <w:color w:val="000000"/>
          <w:szCs w:val="24"/>
        </w:rPr>
      </w:pPr>
    </w:p>
    <w:p w14:paraId="3279DCE6" w14:textId="77777777" w:rsidR="00E2373B" w:rsidRPr="003F564F" w:rsidRDefault="00E2373B">
      <w:pPr>
        <w:tabs>
          <w:tab w:val="left" w:pos="-1440"/>
          <w:tab w:val="left" w:pos="-720"/>
          <w:tab w:val="left" w:pos="567"/>
        </w:tabs>
        <w:spacing w:line="260" w:lineRule="exact"/>
        <w:rPr>
          <w:b/>
          <w:sz w:val="22"/>
        </w:rPr>
      </w:pPr>
    </w:p>
    <w:p w14:paraId="512A1B53" w14:textId="77777777" w:rsidR="008D3B35" w:rsidRPr="003F564F" w:rsidRDefault="008D3B35">
      <w:pPr>
        <w:tabs>
          <w:tab w:val="left" w:pos="-1440"/>
          <w:tab w:val="left" w:pos="-720"/>
          <w:tab w:val="left" w:pos="567"/>
        </w:tabs>
        <w:spacing w:line="260" w:lineRule="exact"/>
        <w:rPr>
          <w:b/>
          <w:sz w:val="22"/>
        </w:rPr>
      </w:pPr>
    </w:p>
    <w:p w14:paraId="57671941" w14:textId="77777777" w:rsidR="008D3B35" w:rsidRPr="003F564F" w:rsidRDefault="008D3B35">
      <w:pPr>
        <w:tabs>
          <w:tab w:val="left" w:pos="-1440"/>
          <w:tab w:val="left" w:pos="-720"/>
          <w:tab w:val="left" w:pos="567"/>
        </w:tabs>
        <w:spacing w:line="260" w:lineRule="exact"/>
        <w:rPr>
          <w:b/>
          <w:sz w:val="22"/>
        </w:rPr>
      </w:pPr>
    </w:p>
    <w:p w14:paraId="2940A988" w14:textId="77777777" w:rsidR="008D3B35" w:rsidRPr="003F564F" w:rsidRDefault="008D3B35">
      <w:pPr>
        <w:tabs>
          <w:tab w:val="left" w:pos="-1440"/>
          <w:tab w:val="left" w:pos="-720"/>
          <w:tab w:val="left" w:pos="567"/>
        </w:tabs>
        <w:spacing w:line="260" w:lineRule="exact"/>
        <w:rPr>
          <w:b/>
          <w:sz w:val="22"/>
        </w:rPr>
      </w:pPr>
    </w:p>
    <w:p w14:paraId="30B494DC" w14:textId="77777777" w:rsidR="008D3B35" w:rsidRPr="003F564F" w:rsidRDefault="008D3B35">
      <w:pPr>
        <w:tabs>
          <w:tab w:val="left" w:pos="-1440"/>
          <w:tab w:val="left" w:pos="-720"/>
          <w:tab w:val="left" w:pos="567"/>
        </w:tabs>
        <w:spacing w:line="260" w:lineRule="exact"/>
        <w:rPr>
          <w:b/>
          <w:sz w:val="22"/>
        </w:rPr>
      </w:pPr>
    </w:p>
    <w:p w14:paraId="1ABF7638" w14:textId="77777777" w:rsidR="008D3B35" w:rsidRPr="003F564F" w:rsidRDefault="008D3B35">
      <w:pPr>
        <w:tabs>
          <w:tab w:val="left" w:pos="-1440"/>
          <w:tab w:val="left" w:pos="-720"/>
          <w:tab w:val="left" w:pos="567"/>
        </w:tabs>
        <w:spacing w:line="260" w:lineRule="exact"/>
        <w:rPr>
          <w:b/>
          <w:sz w:val="22"/>
        </w:rPr>
      </w:pPr>
    </w:p>
    <w:p w14:paraId="3E2701F5" w14:textId="77777777" w:rsidR="008D3B35" w:rsidRPr="003F564F" w:rsidRDefault="008D3B35">
      <w:pPr>
        <w:tabs>
          <w:tab w:val="left" w:pos="-1440"/>
          <w:tab w:val="left" w:pos="-720"/>
          <w:tab w:val="left" w:pos="567"/>
        </w:tabs>
        <w:spacing w:line="260" w:lineRule="exact"/>
        <w:rPr>
          <w:b/>
          <w:sz w:val="22"/>
        </w:rPr>
      </w:pPr>
    </w:p>
    <w:p w14:paraId="7982F602" w14:textId="77777777" w:rsidR="008D3B35" w:rsidRPr="003F564F" w:rsidRDefault="008D3B35">
      <w:pPr>
        <w:tabs>
          <w:tab w:val="left" w:pos="-1440"/>
          <w:tab w:val="left" w:pos="-720"/>
          <w:tab w:val="left" w:pos="567"/>
        </w:tabs>
        <w:spacing w:line="260" w:lineRule="exact"/>
        <w:rPr>
          <w:b/>
          <w:sz w:val="22"/>
        </w:rPr>
      </w:pPr>
    </w:p>
    <w:p w14:paraId="30249B0C" w14:textId="77777777" w:rsidR="008D3B35" w:rsidRPr="003F564F" w:rsidRDefault="008D3B35">
      <w:pPr>
        <w:tabs>
          <w:tab w:val="left" w:pos="-1440"/>
          <w:tab w:val="left" w:pos="-720"/>
          <w:tab w:val="left" w:pos="567"/>
        </w:tabs>
        <w:spacing w:line="260" w:lineRule="exact"/>
        <w:rPr>
          <w:b/>
          <w:sz w:val="22"/>
        </w:rPr>
      </w:pPr>
    </w:p>
    <w:p w14:paraId="075CD9A1" w14:textId="77777777" w:rsidR="008D3B35" w:rsidRPr="003F564F" w:rsidRDefault="008D3B35">
      <w:pPr>
        <w:tabs>
          <w:tab w:val="left" w:pos="-1440"/>
          <w:tab w:val="left" w:pos="-720"/>
          <w:tab w:val="left" w:pos="567"/>
        </w:tabs>
        <w:spacing w:line="260" w:lineRule="exact"/>
        <w:rPr>
          <w:b/>
          <w:sz w:val="22"/>
        </w:rPr>
      </w:pPr>
    </w:p>
    <w:p w14:paraId="1015A6CB" w14:textId="77777777" w:rsidR="008D3B35" w:rsidRPr="003F564F" w:rsidRDefault="008D3B35">
      <w:pPr>
        <w:tabs>
          <w:tab w:val="left" w:pos="-1440"/>
          <w:tab w:val="left" w:pos="-720"/>
          <w:tab w:val="left" w:pos="567"/>
        </w:tabs>
        <w:spacing w:line="260" w:lineRule="exact"/>
        <w:rPr>
          <w:b/>
          <w:sz w:val="22"/>
        </w:rPr>
      </w:pPr>
    </w:p>
    <w:p w14:paraId="29AC8128" w14:textId="77777777" w:rsidR="008D3B35" w:rsidRPr="003F564F" w:rsidRDefault="008D3B35">
      <w:pPr>
        <w:tabs>
          <w:tab w:val="left" w:pos="-1440"/>
          <w:tab w:val="left" w:pos="-720"/>
          <w:tab w:val="left" w:pos="567"/>
        </w:tabs>
        <w:spacing w:line="260" w:lineRule="exact"/>
        <w:rPr>
          <w:b/>
          <w:sz w:val="22"/>
        </w:rPr>
      </w:pPr>
    </w:p>
    <w:p w14:paraId="59E392FA" w14:textId="77777777" w:rsidR="008D3B35" w:rsidRPr="003F564F" w:rsidRDefault="008D3B35">
      <w:pPr>
        <w:tabs>
          <w:tab w:val="left" w:pos="-1440"/>
          <w:tab w:val="left" w:pos="-720"/>
          <w:tab w:val="left" w:pos="567"/>
        </w:tabs>
        <w:spacing w:line="260" w:lineRule="exact"/>
        <w:rPr>
          <w:b/>
          <w:sz w:val="22"/>
        </w:rPr>
      </w:pPr>
    </w:p>
    <w:p w14:paraId="0A8A6A8C" w14:textId="77777777" w:rsidR="008D3B35" w:rsidRPr="003F564F" w:rsidRDefault="008D3B35">
      <w:pPr>
        <w:tabs>
          <w:tab w:val="left" w:pos="-1440"/>
          <w:tab w:val="left" w:pos="-720"/>
          <w:tab w:val="left" w:pos="567"/>
        </w:tabs>
        <w:spacing w:line="260" w:lineRule="exact"/>
        <w:rPr>
          <w:b/>
          <w:sz w:val="22"/>
        </w:rPr>
      </w:pPr>
    </w:p>
    <w:p w14:paraId="7B263BA5" w14:textId="77777777" w:rsidR="008D3B35" w:rsidRPr="003F564F" w:rsidRDefault="008D3B35">
      <w:pPr>
        <w:tabs>
          <w:tab w:val="left" w:pos="-1440"/>
          <w:tab w:val="left" w:pos="-720"/>
          <w:tab w:val="left" w:pos="567"/>
        </w:tabs>
        <w:spacing w:line="260" w:lineRule="exact"/>
        <w:rPr>
          <w:b/>
          <w:sz w:val="22"/>
        </w:rPr>
      </w:pPr>
    </w:p>
    <w:p w14:paraId="04CB3164" w14:textId="77777777" w:rsidR="008D3B35" w:rsidRPr="003F564F" w:rsidRDefault="00AB4978">
      <w:pPr>
        <w:keepNext/>
        <w:tabs>
          <w:tab w:val="left" w:pos="567"/>
        </w:tabs>
        <w:jc w:val="center"/>
        <w:outlineLvl w:val="1"/>
        <w:rPr>
          <w:b/>
          <w:sz w:val="22"/>
          <w:szCs w:val="24"/>
          <w:lang w:eastAsia="x-none"/>
        </w:rPr>
      </w:pPr>
      <w:r w:rsidRPr="003F564F">
        <w:rPr>
          <w:b/>
          <w:bCs/>
          <w:iCs/>
          <w:sz w:val="22"/>
          <w:szCs w:val="28"/>
          <w:lang w:eastAsia="x-none"/>
        </w:rPr>
        <w:t>I PRIEDAS</w:t>
      </w:r>
    </w:p>
    <w:p w14:paraId="023273F7" w14:textId="77777777" w:rsidR="008D3B35" w:rsidRPr="003F564F" w:rsidRDefault="008D3B35">
      <w:pPr>
        <w:tabs>
          <w:tab w:val="left" w:pos="567"/>
        </w:tabs>
        <w:rPr>
          <w:sz w:val="22"/>
          <w:szCs w:val="24"/>
        </w:rPr>
      </w:pPr>
    </w:p>
    <w:p w14:paraId="64978BC4" w14:textId="77777777" w:rsidR="008D3B35" w:rsidRPr="003F564F" w:rsidRDefault="00AB4978">
      <w:pPr>
        <w:tabs>
          <w:tab w:val="left" w:pos="-1440"/>
          <w:tab w:val="left" w:pos="-720"/>
          <w:tab w:val="left" w:pos="567"/>
        </w:tabs>
        <w:spacing w:line="260" w:lineRule="exact"/>
        <w:jc w:val="center"/>
        <w:rPr>
          <w:b/>
          <w:sz w:val="22"/>
        </w:rPr>
      </w:pPr>
      <w:r w:rsidRPr="003F564F">
        <w:rPr>
          <w:b/>
          <w:sz w:val="22"/>
        </w:rPr>
        <w:t>PREPARATO CHARAKTERISTIKŲ SANTRAUKA</w:t>
      </w:r>
    </w:p>
    <w:p w14:paraId="24D9D186" w14:textId="77777777" w:rsidR="008D3B35" w:rsidRPr="003F564F" w:rsidRDefault="00AB4978">
      <w:pPr>
        <w:tabs>
          <w:tab w:val="left" w:pos="-1440"/>
          <w:tab w:val="left" w:pos="-720"/>
          <w:tab w:val="left" w:pos="567"/>
        </w:tabs>
        <w:spacing w:line="260" w:lineRule="exact"/>
        <w:jc w:val="center"/>
        <w:rPr>
          <w:sz w:val="22"/>
        </w:rPr>
      </w:pPr>
      <w:r w:rsidRPr="003F564F">
        <w:rPr>
          <w:sz w:val="22"/>
          <w:lang w:eastAsia="zh-CN"/>
        </w:rPr>
        <w:br w:type="page"/>
      </w:r>
    </w:p>
    <w:p w14:paraId="7B12ED30" w14:textId="77777777" w:rsidR="008D3B35" w:rsidRPr="003F564F" w:rsidRDefault="008D3B35">
      <w:pPr>
        <w:tabs>
          <w:tab w:val="left" w:pos="567"/>
        </w:tabs>
        <w:spacing w:line="260" w:lineRule="exact"/>
        <w:rPr>
          <w:sz w:val="22"/>
          <w:szCs w:val="24"/>
        </w:rPr>
      </w:pPr>
    </w:p>
    <w:p w14:paraId="20223464" w14:textId="77777777" w:rsidR="008D3B35" w:rsidRPr="003F564F" w:rsidRDefault="00AB4978">
      <w:pPr>
        <w:keepNext/>
        <w:keepLines/>
        <w:tabs>
          <w:tab w:val="left" w:pos="567"/>
        </w:tabs>
        <w:outlineLvl w:val="2"/>
        <w:rPr>
          <w:b/>
          <w:bCs/>
          <w:sz w:val="22"/>
          <w:szCs w:val="22"/>
          <w:lang w:eastAsia="x-none"/>
        </w:rPr>
      </w:pPr>
      <w:r w:rsidRPr="003F564F">
        <w:rPr>
          <w:b/>
          <w:bCs/>
          <w:sz w:val="22"/>
          <w:szCs w:val="22"/>
          <w:lang w:eastAsia="x-none"/>
        </w:rPr>
        <w:t>1.</w:t>
      </w:r>
      <w:r w:rsidRPr="003F564F">
        <w:rPr>
          <w:b/>
          <w:bCs/>
          <w:sz w:val="22"/>
          <w:szCs w:val="26"/>
          <w:lang w:eastAsia="x-none"/>
        </w:rPr>
        <w:tab/>
      </w:r>
      <w:r w:rsidRPr="003F564F">
        <w:rPr>
          <w:b/>
          <w:bCs/>
          <w:sz w:val="22"/>
          <w:szCs w:val="22"/>
          <w:lang w:eastAsia="x-none"/>
        </w:rPr>
        <w:t>VAISTINIO PREPARATO PAVADINIMAS</w:t>
      </w:r>
    </w:p>
    <w:p w14:paraId="5B40A4BC" w14:textId="77777777" w:rsidR="008D3B35" w:rsidRPr="003F564F" w:rsidRDefault="008D3B35">
      <w:pPr>
        <w:tabs>
          <w:tab w:val="left" w:pos="567"/>
        </w:tabs>
        <w:spacing w:line="260" w:lineRule="exact"/>
        <w:rPr>
          <w:sz w:val="22"/>
          <w:szCs w:val="24"/>
        </w:rPr>
      </w:pPr>
    </w:p>
    <w:p w14:paraId="25017665" w14:textId="4BF0A0BC" w:rsidR="00E2373B" w:rsidRPr="003F564F" w:rsidRDefault="008B09E3" w:rsidP="00E2373B">
      <w:pPr>
        <w:tabs>
          <w:tab w:val="left" w:pos="567"/>
        </w:tabs>
        <w:spacing w:line="260" w:lineRule="exact"/>
        <w:rPr>
          <w:sz w:val="22"/>
          <w:szCs w:val="24"/>
        </w:rPr>
      </w:pPr>
      <w:proofErr w:type="spellStart"/>
      <w:r>
        <w:rPr>
          <w:sz w:val="22"/>
          <w:szCs w:val="24"/>
        </w:rPr>
        <w:t>Ruxolitinib</w:t>
      </w:r>
      <w:proofErr w:type="spellEnd"/>
      <w:r>
        <w:rPr>
          <w:sz w:val="22"/>
          <w:szCs w:val="24"/>
        </w:rPr>
        <w:t xml:space="preserve"> </w:t>
      </w:r>
      <w:proofErr w:type="spellStart"/>
      <w:r>
        <w:rPr>
          <w:sz w:val="22"/>
          <w:szCs w:val="24"/>
        </w:rPr>
        <w:t>Sandoz</w:t>
      </w:r>
      <w:proofErr w:type="spellEnd"/>
      <w:r w:rsidR="00E2373B" w:rsidRPr="003F564F">
        <w:rPr>
          <w:sz w:val="22"/>
          <w:szCs w:val="24"/>
        </w:rPr>
        <w:t xml:space="preserve"> 5 mg tabletės</w:t>
      </w:r>
    </w:p>
    <w:p w14:paraId="4427CE04" w14:textId="394097FA" w:rsidR="00E2373B" w:rsidRPr="003F564F" w:rsidRDefault="008B09E3" w:rsidP="00E2373B">
      <w:pPr>
        <w:tabs>
          <w:tab w:val="left" w:pos="567"/>
        </w:tabs>
        <w:spacing w:line="260" w:lineRule="exact"/>
        <w:rPr>
          <w:sz w:val="22"/>
          <w:szCs w:val="24"/>
        </w:rPr>
      </w:pPr>
      <w:proofErr w:type="spellStart"/>
      <w:r>
        <w:rPr>
          <w:sz w:val="22"/>
          <w:szCs w:val="24"/>
        </w:rPr>
        <w:t>Ruxolitinib</w:t>
      </w:r>
      <w:proofErr w:type="spellEnd"/>
      <w:r>
        <w:rPr>
          <w:sz w:val="22"/>
          <w:szCs w:val="24"/>
        </w:rPr>
        <w:t xml:space="preserve"> </w:t>
      </w:r>
      <w:proofErr w:type="spellStart"/>
      <w:r>
        <w:rPr>
          <w:sz w:val="22"/>
          <w:szCs w:val="24"/>
        </w:rPr>
        <w:t>Sandoz</w:t>
      </w:r>
      <w:proofErr w:type="spellEnd"/>
      <w:r w:rsidR="00E2373B" w:rsidRPr="003F564F">
        <w:rPr>
          <w:sz w:val="22"/>
          <w:szCs w:val="24"/>
        </w:rPr>
        <w:t xml:space="preserve"> 10 mg tabletės</w:t>
      </w:r>
    </w:p>
    <w:p w14:paraId="46175AAD" w14:textId="40FA5E81" w:rsidR="00E2373B" w:rsidRPr="003F564F" w:rsidRDefault="008B09E3" w:rsidP="00E2373B">
      <w:pPr>
        <w:tabs>
          <w:tab w:val="left" w:pos="567"/>
        </w:tabs>
        <w:spacing w:line="260" w:lineRule="exact"/>
        <w:rPr>
          <w:sz w:val="22"/>
          <w:szCs w:val="24"/>
        </w:rPr>
      </w:pPr>
      <w:proofErr w:type="spellStart"/>
      <w:r>
        <w:rPr>
          <w:sz w:val="22"/>
          <w:szCs w:val="24"/>
        </w:rPr>
        <w:t>Ruxolitinib</w:t>
      </w:r>
      <w:proofErr w:type="spellEnd"/>
      <w:r>
        <w:rPr>
          <w:sz w:val="22"/>
          <w:szCs w:val="24"/>
        </w:rPr>
        <w:t xml:space="preserve"> </w:t>
      </w:r>
      <w:proofErr w:type="spellStart"/>
      <w:r>
        <w:rPr>
          <w:sz w:val="22"/>
          <w:szCs w:val="24"/>
        </w:rPr>
        <w:t>Sandoz</w:t>
      </w:r>
      <w:proofErr w:type="spellEnd"/>
      <w:r w:rsidR="00E2373B" w:rsidRPr="003F564F">
        <w:rPr>
          <w:sz w:val="22"/>
          <w:szCs w:val="24"/>
        </w:rPr>
        <w:t xml:space="preserve"> 15 mg tabletės</w:t>
      </w:r>
    </w:p>
    <w:p w14:paraId="4F832AE8" w14:textId="3CC8767E" w:rsidR="008D3B35" w:rsidRPr="003F564F" w:rsidRDefault="008B09E3" w:rsidP="00E2373B">
      <w:pPr>
        <w:tabs>
          <w:tab w:val="left" w:pos="567"/>
        </w:tabs>
        <w:spacing w:line="260" w:lineRule="exact"/>
        <w:rPr>
          <w:sz w:val="22"/>
          <w:szCs w:val="24"/>
        </w:rPr>
      </w:pPr>
      <w:proofErr w:type="spellStart"/>
      <w:r>
        <w:rPr>
          <w:sz w:val="22"/>
          <w:szCs w:val="24"/>
        </w:rPr>
        <w:t>Ruxolitinib</w:t>
      </w:r>
      <w:proofErr w:type="spellEnd"/>
      <w:r>
        <w:rPr>
          <w:sz w:val="22"/>
          <w:szCs w:val="24"/>
        </w:rPr>
        <w:t xml:space="preserve"> </w:t>
      </w:r>
      <w:proofErr w:type="spellStart"/>
      <w:r>
        <w:rPr>
          <w:sz w:val="22"/>
          <w:szCs w:val="24"/>
        </w:rPr>
        <w:t>Sandoz</w:t>
      </w:r>
      <w:proofErr w:type="spellEnd"/>
      <w:r w:rsidR="00E2373B" w:rsidRPr="003F564F">
        <w:rPr>
          <w:sz w:val="22"/>
          <w:szCs w:val="24"/>
        </w:rPr>
        <w:t xml:space="preserve"> 20 mg tabletės</w:t>
      </w:r>
    </w:p>
    <w:p w14:paraId="4FDDF11B" w14:textId="77777777" w:rsidR="00E2373B" w:rsidRPr="003F564F" w:rsidRDefault="00E2373B" w:rsidP="00E2373B">
      <w:pPr>
        <w:tabs>
          <w:tab w:val="left" w:pos="567"/>
        </w:tabs>
        <w:spacing w:line="260" w:lineRule="exact"/>
        <w:rPr>
          <w:sz w:val="22"/>
          <w:szCs w:val="24"/>
        </w:rPr>
      </w:pPr>
    </w:p>
    <w:p w14:paraId="7611DC72" w14:textId="77777777" w:rsidR="008D3B35" w:rsidRPr="003F564F" w:rsidRDefault="008D3B35">
      <w:pPr>
        <w:tabs>
          <w:tab w:val="left" w:pos="567"/>
        </w:tabs>
        <w:spacing w:line="260" w:lineRule="exact"/>
        <w:rPr>
          <w:sz w:val="22"/>
          <w:szCs w:val="24"/>
        </w:rPr>
      </w:pPr>
    </w:p>
    <w:p w14:paraId="2642FD46" w14:textId="77777777" w:rsidR="008D3B35" w:rsidRPr="003F564F" w:rsidRDefault="00AB4978">
      <w:pPr>
        <w:keepNext/>
        <w:keepLines/>
        <w:tabs>
          <w:tab w:val="left" w:pos="567"/>
        </w:tabs>
        <w:outlineLvl w:val="2"/>
        <w:rPr>
          <w:b/>
          <w:bCs/>
          <w:sz w:val="22"/>
          <w:szCs w:val="26"/>
          <w:lang w:eastAsia="x-none"/>
        </w:rPr>
      </w:pPr>
      <w:r w:rsidRPr="003F564F">
        <w:rPr>
          <w:b/>
          <w:bCs/>
          <w:sz w:val="22"/>
          <w:szCs w:val="26"/>
          <w:lang w:eastAsia="x-none"/>
        </w:rPr>
        <w:t>2.</w:t>
      </w:r>
      <w:r w:rsidRPr="003F564F">
        <w:rPr>
          <w:b/>
          <w:bCs/>
          <w:sz w:val="22"/>
          <w:szCs w:val="26"/>
          <w:lang w:eastAsia="x-none"/>
        </w:rPr>
        <w:tab/>
        <w:t>KOKYBINĖ IR KIEKYBINĖ SUDĖTIS</w:t>
      </w:r>
    </w:p>
    <w:p w14:paraId="72FB23A5" w14:textId="77777777" w:rsidR="008D3B35" w:rsidRPr="003F564F" w:rsidRDefault="008D3B35">
      <w:pPr>
        <w:tabs>
          <w:tab w:val="left" w:pos="567"/>
        </w:tabs>
        <w:spacing w:line="260" w:lineRule="exact"/>
        <w:rPr>
          <w:sz w:val="22"/>
          <w:szCs w:val="24"/>
        </w:rPr>
      </w:pPr>
    </w:p>
    <w:p w14:paraId="0479F9B1" w14:textId="6B8309A4" w:rsidR="00E2373B" w:rsidRPr="003F564F" w:rsidRDefault="008B09E3" w:rsidP="00E2373B">
      <w:pPr>
        <w:tabs>
          <w:tab w:val="left" w:pos="567"/>
        </w:tabs>
        <w:spacing w:line="260" w:lineRule="exact"/>
        <w:rPr>
          <w:sz w:val="22"/>
          <w:szCs w:val="24"/>
          <w:u w:val="single"/>
        </w:rPr>
      </w:pPr>
      <w:proofErr w:type="spellStart"/>
      <w:r>
        <w:rPr>
          <w:sz w:val="22"/>
          <w:szCs w:val="24"/>
          <w:u w:val="single"/>
        </w:rPr>
        <w:t>Ruxolitinib</w:t>
      </w:r>
      <w:proofErr w:type="spellEnd"/>
      <w:r>
        <w:rPr>
          <w:sz w:val="22"/>
          <w:szCs w:val="24"/>
          <w:u w:val="single"/>
        </w:rPr>
        <w:t xml:space="preserve"> </w:t>
      </w:r>
      <w:proofErr w:type="spellStart"/>
      <w:r>
        <w:rPr>
          <w:sz w:val="22"/>
          <w:szCs w:val="24"/>
          <w:u w:val="single"/>
        </w:rPr>
        <w:t>Sandoz</w:t>
      </w:r>
      <w:proofErr w:type="spellEnd"/>
      <w:r w:rsidR="00E2373B" w:rsidRPr="003F564F">
        <w:rPr>
          <w:sz w:val="22"/>
          <w:szCs w:val="24"/>
          <w:u w:val="single"/>
        </w:rPr>
        <w:t xml:space="preserve"> 5 mg tabletės</w:t>
      </w:r>
    </w:p>
    <w:p w14:paraId="566CC04F" w14:textId="2345CAB0" w:rsidR="00E2373B" w:rsidRPr="003F564F" w:rsidRDefault="00E2373B" w:rsidP="00E2373B">
      <w:pPr>
        <w:tabs>
          <w:tab w:val="left" w:pos="567"/>
        </w:tabs>
        <w:spacing w:line="260" w:lineRule="exact"/>
        <w:rPr>
          <w:sz w:val="22"/>
          <w:szCs w:val="24"/>
        </w:rPr>
      </w:pPr>
      <w:r w:rsidRPr="003F564F">
        <w:rPr>
          <w:sz w:val="22"/>
          <w:szCs w:val="24"/>
        </w:rPr>
        <w:t xml:space="preserve">Kiekvienoje tabletėje yra 5 mg </w:t>
      </w:r>
      <w:proofErr w:type="spellStart"/>
      <w:r w:rsidRPr="003F564F">
        <w:rPr>
          <w:sz w:val="22"/>
          <w:szCs w:val="24"/>
        </w:rPr>
        <w:t>ruksolitinibo</w:t>
      </w:r>
      <w:proofErr w:type="spellEnd"/>
      <w:r w:rsidRPr="003F564F">
        <w:rPr>
          <w:sz w:val="22"/>
          <w:szCs w:val="24"/>
        </w:rPr>
        <w:t xml:space="preserve"> (hidrochlorido pavidalu).</w:t>
      </w:r>
    </w:p>
    <w:p w14:paraId="27DE1FC7" w14:textId="77777777" w:rsidR="00E2373B" w:rsidRPr="003F564F" w:rsidRDefault="00E2373B" w:rsidP="00E2373B">
      <w:pPr>
        <w:tabs>
          <w:tab w:val="left" w:pos="567"/>
        </w:tabs>
        <w:spacing w:line="260" w:lineRule="exact"/>
        <w:rPr>
          <w:sz w:val="22"/>
          <w:szCs w:val="24"/>
        </w:rPr>
      </w:pPr>
    </w:p>
    <w:p w14:paraId="251A7BB4" w14:textId="77777777" w:rsidR="00E2373B" w:rsidRPr="003F564F" w:rsidRDefault="00E2373B" w:rsidP="00E2373B">
      <w:pPr>
        <w:tabs>
          <w:tab w:val="left" w:pos="567"/>
        </w:tabs>
        <w:spacing w:line="260" w:lineRule="exact"/>
        <w:rPr>
          <w:sz w:val="22"/>
          <w:szCs w:val="24"/>
          <w:u w:val="single"/>
        </w:rPr>
      </w:pPr>
      <w:r w:rsidRPr="003F564F">
        <w:rPr>
          <w:sz w:val="22"/>
          <w:szCs w:val="24"/>
          <w:u w:val="single"/>
        </w:rPr>
        <w:t>Pagalbinė medžiaga, kurios poveikis žinomas</w:t>
      </w:r>
    </w:p>
    <w:p w14:paraId="04087C8A" w14:textId="63A8FD50" w:rsidR="00E2373B" w:rsidRPr="003F564F" w:rsidRDefault="00E2373B" w:rsidP="00E2373B">
      <w:pPr>
        <w:tabs>
          <w:tab w:val="left" w:pos="567"/>
        </w:tabs>
        <w:spacing w:line="260" w:lineRule="exact"/>
        <w:rPr>
          <w:sz w:val="22"/>
          <w:szCs w:val="24"/>
        </w:rPr>
      </w:pPr>
      <w:r w:rsidRPr="003F564F">
        <w:rPr>
          <w:sz w:val="22"/>
          <w:szCs w:val="24"/>
        </w:rPr>
        <w:t>Kiekvienoje tabletėje yra 71 mg laktozės (</w:t>
      </w:r>
      <w:proofErr w:type="spellStart"/>
      <w:r w:rsidRPr="003F564F">
        <w:rPr>
          <w:sz w:val="22"/>
          <w:szCs w:val="24"/>
        </w:rPr>
        <w:t>monohidrato</w:t>
      </w:r>
      <w:proofErr w:type="spellEnd"/>
      <w:r w:rsidRPr="003F564F">
        <w:rPr>
          <w:sz w:val="22"/>
          <w:szCs w:val="24"/>
        </w:rPr>
        <w:t xml:space="preserve"> pavidalu).</w:t>
      </w:r>
    </w:p>
    <w:p w14:paraId="369548DE" w14:textId="77777777" w:rsidR="00E2373B" w:rsidRPr="003F564F" w:rsidRDefault="00E2373B" w:rsidP="00E2373B">
      <w:pPr>
        <w:tabs>
          <w:tab w:val="left" w:pos="567"/>
        </w:tabs>
        <w:spacing w:line="260" w:lineRule="exact"/>
        <w:rPr>
          <w:sz w:val="22"/>
          <w:szCs w:val="24"/>
        </w:rPr>
      </w:pPr>
    </w:p>
    <w:p w14:paraId="549E6CEF" w14:textId="6589F7AF" w:rsidR="00E2373B" w:rsidRPr="003F564F" w:rsidRDefault="008B09E3" w:rsidP="00E2373B">
      <w:pPr>
        <w:tabs>
          <w:tab w:val="left" w:pos="567"/>
        </w:tabs>
        <w:spacing w:line="260" w:lineRule="exact"/>
        <w:rPr>
          <w:sz w:val="22"/>
          <w:szCs w:val="24"/>
          <w:u w:val="single"/>
        </w:rPr>
      </w:pPr>
      <w:proofErr w:type="spellStart"/>
      <w:r>
        <w:rPr>
          <w:sz w:val="22"/>
          <w:szCs w:val="24"/>
          <w:u w:val="single"/>
        </w:rPr>
        <w:t>Ruxolitinib</w:t>
      </w:r>
      <w:proofErr w:type="spellEnd"/>
      <w:r>
        <w:rPr>
          <w:sz w:val="22"/>
          <w:szCs w:val="24"/>
          <w:u w:val="single"/>
        </w:rPr>
        <w:t xml:space="preserve"> </w:t>
      </w:r>
      <w:proofErr w:type="spellStart"/>
      <w:r>
        <w:rPr>
          <w:sz w:val="22"/>
          <w:szCs w:val="24"/>
          <w:u w:val="single"/>
        </w:rPr>
        <w:t>Sandoz</w:t>
      </w:r>
      <w:proofErr w:type="spellEnd"/>
      <w:r w:rsidR="00E2373B" w:rsidRPr="003F564F">
        <w:rPr>
          <w:sz w:val="22"/>
          <w:szCs w:val="24"/>
          <w:u w:val="single"/>
        </w:rPr>
        <w:t xml:space="preserve"> 10 mg tabletės</w:t>
      </w:r>
    </w:p>
    <w:p w14:paraId="5CC5EC82" w14:textId="0710B2E8" w:rsidR="00E2373B" w:rsidRPr="003F564F" w:rsidRDefault="00E2373B" w:rsidP="00E2373B">
      <w:pPr>
        <w:tabs>
          <w:tab w:val="left" w:pos="567"/>
        </w:tabs>
        <w:spacing w:line="260" w:lineRule="exact"/>
        <w:rPr>
          <w:sz w:val="22"/>
          <w:szCs w:val="24"/>
        </w:rPr>
      </w:pPr>
      <w:r w:rsidRPr="003F564F">
        <w:rPr>
          <w:sz w:val="22"/>
          <w:szCs w:val="24"/>
        </w:rPr>
        <w:t xml:space="preserve">Kiekvienoje tabletėje yra 10 mg </w:t>
      </w:r>
      <w:proofErr w:type="spellStart"/>
      <w:r w:rsidRPr="003F564F">
        <w:rPr>
          <w:sz w:val="22"/>
          <w:szCs w:val="24"/>
        </w:rPr>
        <w:t>ruksolitinibo</w:t>
      </w:r>
      <w:proofErr w:type="spellEnd"/>
      <w:r w:rsidRPr="003F564F">
        <w:rPr>
          <w:sz w:val="22"/>
          <w:szCs w:val="24"/>
        </w:rPr>
        <w:t xml:space="preserve"> (hidrochlorido pavidalu).</w:t>
      </w:r>
    </w:p>
    <w:p w14:paraId="19454287" w14:textId="77777777" w:rsidR="00E2373B" w:rsidRPr="003F564F" w:rsidRDefault="00E2373B" w:rsidP="00E2373B">
      <w:pPr>
        <w:tabs>
          <w:tab w:val="left" w:pos="567"/>
        </w:tabs>
        <w:spacing w:line="260" w:lineRule="exact"/>
        <w:rPr>
          <w:sz w:val="22"/>
          <w:szCs w:val="24"/>
        </w:rPr>
      </w:pPr>
    </w:p>
    <w:p w14:paraId="300F0F58" w14:textId="77777777" w:rsidR="00E2373B" w:rsidRPr="003F564F" w:rsidRDefault="00E2373B" w:rsidP="00E2373B">
      <w:pPr>
        <w:tabs>
          <w:tab w:val="left" w:pos="567"/>
        </w:tabs>
        <w:spacing w:line="260" w:lineRule="exact"/>
        <w:rPr>
          <w:sz w:val="22"/>
          <w:szCs w:val="24"/>
          <w:u w:val="single"/>
        </w:rPr>
      </w:pPr>
      <w:r w:rsidRPr="003F564F">
        <w:rPr>
          <w:sz w:val="22"/>
          <w:szCs w:val="24"/>
          <w:u w:val="single"/>
        </w:rPr>
        <w:t>Pagalbinė medžiaga, kurios poveikis žinomas</w:t>
      </w:r>
    </w:p>
    <w:p w14:paraId="4CCC6DD2" w14:textId="70871601" w:rsidR="00E2373B" w:rsidRPr="003F564F" w:rsidRDefault="00E2373B" w:rsidP="00E2373B">
      <w:pPr>
        <w:tabs>
          <w:tab w:val="left" w:pos="567"/>
        </w:tabs>
        <w:spacing w:line="260" w:lineRule="exact"/>
        <w:rPr>
          <w:sz w:val="22"/>
          <w:szCs w:val="24"/>
        </w:rPr>
      </w:pPr>
      <w:r w:rsidRPr="003F564F">
        <w:rPr>
          <w:sz w:val="22"/>
          <w:szCs w:val="24"/>
        </w:rPr>
        <w:t>Kiekvienoje tabletėje yra 14</w:t>
      </w:r>
      <w:r w:rsidR="00177439">
        <w:rPr>
          <w:sz w:val="22"/>
          <w:szCs w:val="24"/>
        </w:rPr>
        <w:t>3</w:t>
      </w:r>
      <w:r w:rsidRPr="003F564F">
        <w:rPr>
          <w:sz w:val="22"/>
          <w:szCs w:val="24"/>
        </w:rPr>
        <w:t> mg laktozės (</w:t>
      </w:r>
      <w:proofErr w:type="spellStart"/>
      <w:r w:rsidRPr="003F564F">
        <w:rPr>
          <w:sz w:val="22"/>
          <w:szCs w:val="24"/>
        </w:rPr>
        <w:t>monohidrato</w:t>
      </w:r>
      <w:proofErr w:type="spellEnd"/>
      <w:r w:rsidRPr="003F564F">
        <w:rPr>
          <w:sz w:val="22"/>
          <w:szCs w:val="24"/>
        </w:rPr>
        <w:t xml:space="preserve"> pavidalu).</w:t>
      </w:r>
    </w:p>
    <w:p w14:paraId="1BCAC454" w14:textId="77777777" w:rsidR="00E2373B" w:rsidRPr="003F564F" w:rsidRDefault="00E2373B" w:rsidP="00E2373B">
      <w:pPr>
        <w:tabs>
          <w:tab w:val="left" w:pos="567"/>
        </w:tabs>
        <w:spacing w:line="260" w:lineRule="exact"/>
        <w:rPr>
          <w:sz w:val="22"/>
          <w:szCs w:val="24"/>
        </w:rPr>
      </w:pPr>
    </w:p>
    <w:p w14:paraId="599DFCBC" w14:textId="25440DDC" w:rsidR="00E2373B" w:rsidRPr="003F564F" w:rsidRDefault="008B09E3" w:rsidP="00E2373B">
      <w:pPr>
        <w:tabs>
          <w:tab w:val="left" w:pos="567"/>
        </w:tabs>
        <w:spacing w:line="260" w:lineRule="exact"/>
        <w:rPr>
          <w:sz w:val="22"/>
          <w:szCs w:val="24"/>
          <w:u w:val="single"/>
        </w:rPr>
      </w:pPr>
      <w:proofErr w:type="spellStart"/>
      <w:r>
        <w:rPr>
          <w:sz w:val="22"/>
          <w:szCs w:val="24"/>
          <w:u w:val="single"/>
        </w:rPr>
        <w:t>Ruxolitinib</w:t>
      </w:r>
      <w:proofErr w:type="spellEnd"/>
      <w:r>
        <w:rPr>
          <w:sz w:val="22"/>
          <w:szCs w:val="24"/>
          <w:u w:val="single"/>
        </w:rPr>
        <w:t xml:space="preserve"> </w:t>
      </w:r>
      <w:proofErr w:type="spellStart"/>
      <w:r>
        <w:rPr>
          <w:sz w:val="22"/>
          <w:szCs w:val="24"/>
          <w:u w:val="single"/>
        </w:rPr>
        <w:t>Sandoz</w:t>
      </w:r>
      <w:proofErr w:type="spellEnd"/>
      <w:r w:rsidR="00E2373B" w:rsidRPr="003F564F">
        <w:rPr>
          <w:sz w:val="22"/>
          <w:szCs w:val="24"/>
          <w:u w:val="single"/>
        </w:rPr>
        <w:t xml:space="preserve"> 15 mg tabletės</w:t>
      </w:r>
    </w:p>
    <w:p w14:paraId="1CF5A445" w14:textId="35780E24" w:rsidR="00E2373B" w:rsidRPr="003F564F" w:rsidRDefault="00E2373B" w:rsidP="00E2373B">
      <w:pPr>
        <w:tabs>
          <w:tab w:val="left" w:pos="567"/>
        </w:tabs>
        <w:spacing w:line="260" w:lineRule="exact"/>
        <w:rPr>
          <w:sz w:val="22"/>
          <w:szCs w:val="24"/>
        </w:rPr>
      </w:pPr>
      <w:r w:rsidRPr="003F564F">
        <w:rPr>
          <w:sz w:val="22"/>
          <w:szCs w:val="24"/>
        </w:rPr>
        <w:t xml:space="preserve">Kiekvienoje tabletėje yra 15 mg </w:t>
      </w:r>
      <w:proofErr w:type="spellStart"/>
      <w:r w:rsidRPr="003F564F">
        <w:rPr>
          <w:sz w:val="22"/>
          <w:szCs w:val="24"/>
        </w:rPr>
        <w:t>ruksolitinibo</w:t>
      </w:r>
      <w:proofErr w:type="spellEnd"/>
      <w:r w:rsidRPr="003F564F">
        <w:rPr>
          <w:sz w:val="22"/>
          <w:szCs w:val="24"/>
        </w:rPr>
        <w:t xml:space="preserve"> (hidrochlorido pavidalu).</w:t>
      </w:r>
    </w:p>
    <w:p w14:paraId="20A64C44" w14:textId="77777777" w:rsidR="00E2373B" w:rsidRPr="003F564F" w:rsidRDefault="00E2373B" w:rsidP="00E2373B">
      <w:pPr>
        <w:tabs>
          <w:tab w:val="left" w:pos="567"/>
        </w:tabs>
        <w:spacing w:line="260" w:lineRule="exact"/>
        <w:rPr>
          <w:sz w:val="22"/>
          <w:szCs w:val="24"/>
        </w:rPr>
      </w:pPr>
    </w:p>
    <w:p w14:paraId="16ABBB18" w14:textId="58D28E34" w:rsidR="00E2373B" w:rsidRPr="003F564F" w:rsidRDefault="00E2373B" w:rsidP="00E2373B">
      <w:pPr>
        <w:tabs>
          <w:tab w:val="left" w:pos="567"/>
        </w:tabs>
        <w:spacing w:line="260" w:lineRule="exact"/>
        <w:rPr>
          <w:sz w:val="22"/>
          <w:szCs w:val="24"/>
          <w:u w:val="single"/>
        </w:rPr>
      </w:pPr>
      <w:r w:rsidRPr="003F564F">
        <w:rPr>
          <w:sz w:val="22"/>
          <w:szCs w:val="24"/>
          <w:u w:val="single"/>
        </w:rPr>
        <w:t>Pagalbinė medžiaga, kurios poveikis žinomas</w:t>
      </w:r>
    </w:p>
    <w:p w14:paraId="55353AE5" w14:textId="5F82DB86" w:rsidR="00E2373B" w:rsidRPr="003F564F" w:rsidRDefault="00E2373B" w:rsidP="00E2373B">
      <w:pPr>
        <w:tabs>
          <w:tab w:val="left" w:pos="567"/>
        </w:tabs>
        <w:spacing w:line="260" w:lineRule="exact"/>
        <w:rPr>
          <w:sz w:val="22"/>
          <w:szCs w:val="24"/>
        </w:rPr>
      </w:pPr>
      <w:r w:rsidRPr="003F564F">
        <w:rPr>
          <w:sz w:val="22"/>
          <w:szCs w:val="24"/>
        </w:rPr>
        <w:t>Kiekvienoje tabletėje yra 214 mg laktozės (</w:t>
      </w:r>
      <w:proofErr w:type="spellStart"/>
      <w:r w:rsidRPr="003F564F">
        <w:rPr>
          <w:sz w:val="22"/>
          <w:szCs w:val="24"/>
        </w:rPr>
        <w:t>monohidrato</w:t>
      </w:r>
      <w:proofErr w:type="spellEnd"/>
      <w:r w:rsidRPr="003F564F">
        <w:rPr>
          <w:sz w:val="22"/>
          <w:szCs w:val="24"/>
        </w:rPr>
        <w:t xml:space="preserve"> pavidalu).</w:t>
      </w:r>
    </w:p>
    <w:p w14:paraId="7696831C" w14:textId="77777777" w:rsidR="00E2373B" w:rsidRPr="003F564F" w:rsidRDefault="00E2373B" w:rsidP="00E2373B">
      <w:pPr>
        <w:tabs>
          <w:tab w:val="left" w:pos="567"/>
        </w:tabs>
        <w:spacing w:line="260" w:lineRule="exact"/>
        <w:rPr>
          <w:sz w:val="22"/>
          <w:szCs w:val="24"/>
        </w:rPr>
      </w:pPr>
    </w:p>
    <w:p w14:paraId="76213F5A" w14:textId="77C88FF2" w:rsidR="00E2373B" w:rsidRPr="003F564F" w:rsidRDefault="008B09E3" w:rsidP="00E2373B">
      <w:pPr>
        <w:tabs>
          <w:tab w:val="left" w:pos="567"/>
        </w:tabs>
        <w:spacing w:line="260" w:lineRule="exact"/>
        <w:rPr>
          <w:sz w:val="22"/>
          <w:szCs w:val="24"/>
          <w:u w:val="single"/>
        </w:rPr>
      </w:pPr>
      <w:proofErr w:type="spellStart"/>
      <w:r>
        <w:rPr>
          <w:sz w:val="22"/>
          <w:szCs w:val="24"/>
          <w:u w:val="single"/>
        </w:rPr>
        <w:t>Ruxolitinib</w:t>
      </w:r>
      <w:proofErr w:type="spellEnd"/>
      <w:r>
        <w:rPr>
          <w:sz w:val="22"/>
          <w:szCs w:val="24"/>
          <w:u w:val="single"/>
        </w:rPr>
        <w:t xml:space="preserve"> </w:t>
      </w:r>
      <w:proofErr w:type="spellStart"/>
      <w:r>
        <w:rPr>
          <w:sz w:val="22"/>
          <w:szCs w:val="24"/>
          <w:u w:val="single"/>
        </w:rPr>
        <w:t>Sandoz</w:t>
      </w:r>
      <w:proofErr w:type="spellEnd"/>
      <w:r w:rsidR="00E2373B" w:rsidRPr="003F564F">
        <w:rPr>
          <w:sz w:val="22"/>
          <w:szCs w:val="24"/>
          <w:u w:val="single"/>
        </w:rPr>
        <w:t xml:space="preserve"> 20 mg tabletės</w:t>
      </w:r>
    </w:p>
    <w:p w14:paraId="74884991" w14:textId="162673F9" w:rsidR="00E2373B" w:rsidRPr="003F564F" w:rsidRDefault="00E2373B" w:rsidP="00E2373B">
      <w:pPr>
        <w:tabs>
          <w:tab w:val="left" w:pos="567"/>
        </w:tabs>
        <w:spacing w:line="260" w:lineRule="exact"/>
        <w:rPr>
          <w:sz w:val="22"/>
          <w:szCs w:val="24"/>
        </w:rPr>
      </w:pPr>
      <w:r w:rsidRPr="003F564F">
        <w:rPr>
          <w:sz w:val="22"/>
          <w:szCs w:val="24"/>
        </w:rPr>
        <w:t xml:space="preserve">Kiekvienoje tabletėje yra 20 mg </w:t>
      </w:r>
      <w:proofErr w:type="spellStart"/>
      <w:r w:rsidRPr="003F564F">
        <w:rPr>
          <w:sz w:val="22"/>
          <w:szCs w:val="24"/>
        </w:rPr>
        <w:t>ruksolitinibo</w:t>
      </w:r>
      <w:proofErr w:type="spellEnd"/>
      <w:r w:rsidRPr="003F564F">
        <w:rPr>
          <w:sz w:val="22"/>
          <w:szCs w:val="24"/>
        </w:rPr>
        <w:t xml:space="preserve"> (hidrochlorido pavidalu).</w:t>
      </w:r>
    </w:p>
    <w:p w14:paraId="75905ADC" w14:textId="77777777" w:rsidR="00E2373B" w:rsidRPr="003F564F" w:rsidRDefault="00E2373B" w:rsidP="00E2373B">
      <w:pPr>
        <w:tabs>
          <w:tab w:val="left" w:pos="567"/>
        </w:tabs>
        <w:spacing w:line="260" w:lineRule="exact"/>
        <w:rPr>
          <w:sz w:val="22"/>
          <w:szCs w:val="24"/>
        </w:rPr>
      </w:pPr>
    </w:p>
    <w:p w14:paraId="2B7B32D8" w14:textId="0730C8B4" w:rsidR="00E2373B" w:rsidRPr="003F564F" w:rsidRDefault="00E2373B" w:rsidP="00E2373B">
      <w:pPr>
        <w:tabs>
          <w:tab w:val="left" w:pos="567"/>
        </w:tabs>
        <w:spacing w:line="260" w:lineRule="exact"/>
        <w:rPr>
          <w:sz w:val="22"/>
          <w:szCs w:val="24"/>
          <w:u w:val="single"/>
        </w:rPr>
      </w:pPr>
      <w:r w:rsidRPr="003F564F">
        <w:rPr>
          <w:sz w:val="22"/>
          <w:szCs w:val="24"/>
          <w:u w:val="single"/>
        </w:rPr>
        <w:t>Pagalbinė medžiaga, kurios poveikis žinomas</w:t>
      </w:r>
    </w:p>
    <w:p w14:paraId="305A42FD" w14:textId="1536C800" w:rsidR="00E2373B" w:rsidRPr="003F564F" w:rsidRDefault="00E2373B" w:rsidP="00E2373B">
      <w:pPr>
        <w:tabs>
          <w:tab w:val="left" w:pos="567"/>
        </w:tabs>
        <w:spacing w:line="260" w:lineRule="exact"/>
        <w:rPr>
          <w:sz w:val="22"/>
          <w:szCs w:val="24"/>
        </w:rPr>
      </w:pPr>
      <w:r w:rsidRPr="003F564F">
        <w:rPr>
          <w:sz w:val="22"/>
          <w:szCs w:val="24"/>
        </w:rPr>
        <w:t>Kiekvienoje tabletėje yra 28</w:t>
      </w:r>
      <w:r w:rsidR="00E87F25">
        <w:rPr>
          <w:sz w:val="22"/>
          <w:szCs w:val="24"/>
        </w:rPr>
        <w:t>5</w:t>
      </w:r>
      <w:r w:rsidRPr="003F564F">
        <w:rPr>
          <w:sz w:val="22"/>
          <w:szCs w:val="24"/>
        </w:rPr>
        <w:t> mg laktozės (</w:t>
      </w:r>
      <w:proofErr w:type="spellStart"/>
      <w:r w:rsidRPr="003F564F">
        <w:rPr>
          <w:sz w:val="22"/>
          <w:szCs w:val="24"/>
        </w:rPr>
        <w:t>monohidrato</w:t>
      </w:r>
      <w:proofErr w:type="spellEnd"/>
      <w:r w:rsidRPr="003F564F">
        <w:rPr>
          <w:sz w:val="22"/>
          <w:szCs w:val="24"/>
        </w:rPr>
        <w:t xml:space="preserve"> pavidalu).</w:t>
      </w:r>
    </w:p>
    <w:p w14:paraId="50722C95" w14:textId="77777777" w:rsidR="00E2373B" w:rsidRPr="003F564F" w:rsidRDefault="00E2373B" w:rsidP="00E2373B">
      <w:pPr>
        <w:tabs>
          <w:tab w:val="left" w:pos="567"/>
        </w:tabs>
        <w:spacing w:line="260" w:lineRule="exact"/>
        <w:rPr>
          <w:sz w:val="22"/>
          <w:szCs w:val="24"/>
        </w:rPr>
      </w:pPr>
    </w:p>
    <w:p w14:paraId="284AB77E" w14:textId="37CD907A" w:rsidR="008D3B35" w:rsidRPr="003F564F" w:rsidRDefault="00AB4978">
      <w:pPr>
        <w:tabs>
          <w:tab w:val="left" w:pos="567"/>
        </w:tabs>
        <w:spacing w:line="260" w:lineRule="exact"/>
        <w:rPr>
          <w:sz w:val="22"/>
        </w:rPr>
      </w:pPr>
      <w:r w:rsidRPr="003F564F">
        <w:rPr>
          <w:sz w:val="22"/>
        </w:rPr>
        <w:t>Visos pagalbinės medžiagos išvardytos 6.1</w:t>
      </w:r>
      <w:r w:rsidR="00E2373B" w:rsidRPr="003F564F">
        <w:rPr>
          <w:sz w:val="22"/>
        </w:rPr>
        <w:t> </w:t>
      </w:r>
      <w:r w:rsidRPr="003F564F">
        <w:rPr>
          <w:sz w:val="22"/>
        </w:rPr>
        <w:t>skyriuje.</w:t>
      </w:r>
    </w:p>
    <w:p w14:paraId="556E2B13" w14:textId="77777777" w:rsidR="008D3B35" w:rsidRPr="003F564F" w:rsidRDefault="008D3B35">
      <w:pPr>
        <w:tabs>
          <w:tab w:val="left" w:pos="567"/>
        </w:tabs>
        <w:spacing w:line="260" w:lineRule="exact"/>
        <w:rPr>
          <w:sz w:val="22"/>
          <w:szCs w:val="24"/>
        </w:rPr>
      </w:pPr>
    </w:p>
    <w:p w14:paraId="7E774A9F" w14:textId="77777777" w:rsidR="008D3B35" w:rsidRPr="003F564F" w:rsidRDefault="008D3B35">
      <w:pPr>
        <w:tabs>
          <w:tab w:val="left" w:pos="567"/>
        </w:tabs>
        <w:spacing w:line="260" w:lineRule="exact"/>
        <w:rPr>
          <w:sz w:val="22"/>
          <w:szCs w:val="24"/>
        </w:rPr>
      </w:pPr>
    </w:p>
    <w:p w14:paraId="4176A3FB" w14:textId="77777777" w:rsidR="008D3B35" w:rsidRPr="003F564F" w:rsidRDefault="00AB4978">
      <w:pPr>
        <w:keepNext/>
        <w:keepLines/>
        <w:tabs>
          <w:tab w:val="left" w:pos="567"/>
        </w:tabs>
        <w:outlineLvl w:val="2"/>
        <w:rPr>
          <w:b/>
          <w:bCs/>
          <w:sz w:val="22"/>
          <w:szCs w:val="26"/>
          <w:lang w:eastAsia="x-none"/>
        </w:rPr>
      </w:pPr>
      <w:r w:rsidRPr="003F564F">
        <w:rPr>
          <w:b/>
          <w:bCs/>
          <w:sz w:val="22"/>
          <w:szCs w:val="26"/>
          <w:lang w:eastAsia="x-none"/>
        </w:rPr>
        <w:t>3.</w:t>
      </w:r>
      <w:r w:rsidRPr="003F564F">
        <w:rPr>
          <w:b/>
          <w:bCs/>
          <w:sz w:val="22"/>
          <w:szCs w:val="26"/>
          <w:lang w:eastAsia="x-none"/>
        </w:rPr>
        <w:tab/>
        <w:t>FARMACINĖ FORMA</w:t>
      </w:r>
    </w:p>
    <w:p w14:paraId="7F7DB583" w14:textId="77777777" w:rsidR="008D3B35" w:rsidRPr="003F564F" w:rsidRDefault="008D3B35">
      <w:pPr>
        <w:tabs>
          <w:tab w:val="left" w:pos="567"/>
        </w:tabs>
        <w:spacing w:line="260" w:lineRule="exact"/>
        <w:rPr>
          <w:sz w:val="22"/>
          <w:szCs w:val="24"/>
        </w:rPr>
      </w:pPr>
    </w:p>
    <w:p w14:paraId="69D9B637" w14:textId="77777777" w:rsidR="00E2373B" w:rsidRPr="003F564F" w:rsidRDefault="00E2373B" w:rsidP="00E2373B">
      <w:pPr>
        <w:tabs>
          <w:tab w:val="left" w:pos="567"/>
        </w:tabs>
        <w:spacing w:line="260" w:lineRule="exact"/>
        <w:rPr>
          <w:sz w:val="22"/>
          <w:szCs w:val="24"/>
        </w:rPr>
      </w:pPr>
      <w:r w:rsidRPr="003F564F">
        <w:rPr>
          <w:sz w:val="22"/>
          <w:szCs w:val="24"/>
        </w:rPr>
        <w:t>Tabletė.</w:t>
      </w:r>
    </w:p>
    <w:p w14:paraId="14C8E73D" w14:textId="77777777" w:rsidR="00E2373B" w:rsidRPr="003F564F" w:rsidRDefault="00E2373B" w:rsidP="00E2373B">
      <w:pPr>
        <w:tabs>
          <w:tab w:val="left" w:pos="567"/>
        </w:tabs>
        <w:spacing w:line="260" w:lineRule="exact"/>
        <w:rPr>
          <w:sz w:val="22"/>
          <w:szCs w:val="24"/>
        </w:rPr>
      </w:pPr>
    </w:p>
    <w:p w14:paraId="6030580F" w14:textId="17C771EE" w:rsidR="00E2373B" w:rsidRPr="003F564F" w:rsidRDefault="008B09E3" w:rsidP="00E2373B">
      <w:pPr>
        <w:tabs>
          <w:tab w:val="left" w:pos="567"/>
        </w:tabs>
        <w:spacing w:line="260" w:lineRule="exact"/>
        <w:rPr>
          <w:sz w:val="22"/>
          <w:szCs w:val="24"/>
          <w:u w:val="single"/>
        </w:rPr>
      </w:pPr>
      <w:proofErr w:type="spellStart"/>
      <w:r>
        <w:rPr>
          <w:sz w:val="22"/>
          <w:szCs w:val="24"/>
          <w:u w:val="single"/>
        </w:rPr>
        <w:t>Ruxolitinib</w:t>
      </w:r>
      <w:proofErr w:type="spellEnd"/>
      <w:r>
        <w:rPr>
          <w:sz w:val="22"/>
          <w:szCs w:val="24"/>
          <w:u w:val="single"/>
        </w:rPr>
        <w:t xml:space="preserve"> </w:t>
      </w:r>
      <w:proofErr w:type="spellStart"/>
      <w:r>
        <w:rPr>
          <w:sz w:val="22"/>
          <w:szCs w:val="24"/>
          <w:u w:val="single"/>
        </w:rPr>
        <w:t>Sandoz</w:t>
      </w:r>
      <w:proofErr w:type="spellEnd"/>
      <w:r w:rsidR="00E2373B" w:rsidRPr="003F564F">
        <w:rPr>
          <w:sz w:val="22"/>
          <w:szCs w:val="24"/>
          <w:u w:val="single"/>
        </w:rPr>
        <w:t xml:space="preserve"> 5 mg tabletės</w:t>
      </w:r>
    </w:p>
    <w:p w14:paraId="10CBE0CB" w14:textId="75FF3AC8" w:rsidR="00E2373B" w:rsidRPr="003F564F" w:rsidRDefault="00E2373B" w:rsidP="00E2373B">
      <w:pPr>
        <w:tabs>
          <w:tab w:val="left" w:pos="567"/>
        </w:tabs>
        <w:spacing w:line="260" w:lineRule="exact"/>
        <w:rPr>
          <w:sz w:val="22"/>
          <w:szCs w:val="24"/>
        </w:rPr>
      </w:pPr>
      <w:r w:rsidRPr="003F564F">
        <w:rPr>
          <w:sz w:val="22"/>
          <w:szCs w:val="24"/>
        </w:rPr>
        <w:t>Baltos arba beveik baltos, apvalios (7,5 mm skersmens), abipus išgaubtos tabletės, kurių vienoje pusėje įspausta „C24“.</w:t>
      </w:r>
    </w:p>
    <w:p w14:paraId="2DE4D1C6" w14:textId="77777777" w:rsidR="00E2373B" w:rsidRPr="003F564F" w:rsidRDefault="00E2373B" w:rsidP="00E2373B">
      <w:pPr>
        <w:tabs>
          <w:tab w:val="left" w:pos="567"/>
        </w:tabs>
        <w:spacing w:line="260" w:lineRule="exact"/>
        <w:rPr>
          <w:sz w:val="22"/>
          <w:szCs w:val="24"/>
        </w:rPr>
      </w:pPr>
    </w:p>
    <w:p w14:paraId="787B855D" w14:textId="62646D0E" w:rsidR="00E2373B" w:rsidRPr="003F564F" w:rsidRDefault="008B09E3" w:rsidP="00E2373B">
      <w:pPr>
        <w:tabs>
          <w:tab w:val="left" w:pos="567"/>
        </w:tabs>
        <w:spacing w:line="260" w:lineRule="exact"/>
        <w:rPr>
          <w:sz w:val="22"/>
          <w:szCs w:val="24"/>
          <w:u w:val="single"/>
        </w:rPr>
      </w:pPr>
      <w:proofErr w:type="spellStart"/>
      <w:r>
        <w:rPr>
          <w:sz w:val="22"/>
          <w:szCs w:val="24"/>
          <w:u w:val="single"/>
        </w:rPr>
        <w:t>Ruxolitinib</w:t>
      </w:r>
      <w:proofErr w:type="spellEnd"/>
      <w:r>
        <w:rPr>
          <w:sz w:val="22"/>
          <w:szCs w:val="24"/>
          <w:u w:val="single"/>
        </w:rPr>
        <w:t xml:space="preserve"> </w:t>
      </w:r>
      <w:proofErr w:type="spellStart"/>
      <w:r>
        <w:rPr>
          <w:sz w:val="22"/>
          <w:szCs w:val="24"/>
          <w:u w:val="single"/>
        </w:rPr>
        <w:t>Sandoz</w:t>
      </w:r>
      <w:proofErr w:type="spellEnd"/>
      <w:r w:rsidR="00E2373B" w:rsidRPr="003F564F">
        <w:rPr>
          <w:sz w:val="22"/>
          <w:szCs w:val="24"/>
          <w:u w:val="single"/>
        </w:rPr>
        <w:t xml:space="preserve"> 10 mg tabletės</w:t>
      </w:r>
    </w:p>
    <w:p w14:paraId="76CD70A9" w14:textId="70CE7767" w:rsidR="00E2373B" w:rsidRPr="003F564F" w:rsidRDefault="00E2373B" w:rsidP="00E2373B">
      <w:pPr>
        <w:tabs>
          <w:tab w:val="left" w:pos="567"/>
        </w:tabs>
        <w:spacing w:line="260" w:lineRule="exact"/>
        <w:rPr>
          <w:sz w:val="22"/>
          <w:szCs w:val="24"/>
        </w:rPr>
      </w:pPr>
      <w:r w:rsidRPr="003F564F">
        <w:rPr>
          <w:sz w:val="22"/>
          <w:szCs w:val="24"/>
        </w:rPr>
        <w:t>Baltos arba beveik baltos, apvalios (9,3 mm skersmens), abipus išgaubtos tabletės, kurių vienoje pusėje įspausta „C25“.</w:t>
      </w:r>
    </w:p>
    <w:p w14:paraId="2FC87BCF" w14:textId="77777777" w:rsidR="00E2373B" w:rsidRPr="003F564F" w:rsidRDefault="00E2373B" w:rsidP="00E2373B">
      <w:pPr>
        <w:tabs>
          <w:tab w:val="left" w:pos="567"/>
        </w:tabs>
        <w:spacing w:line="260" w:lineRule="exact"/>
        <w:rPr>
          <w:sz w:val="22"/>
          <w:szCs w:val="24"/>
        </w:rPr>
      </w:pPr>
    </w:p>
    <w:p w14:paraId="4267F057" w14:textId="648B7ED7" w:rsidR="00E2373B" w:rsidRPr="003F564F" w:rsidRDefault="008B09E3" w:rsidP="00E2373B">
      <w:pPr>
        <w:tabs>
          <w:tab w:val="left" w:pos="567"/>
        </w:tabs>
        <w:spacing w:line="260" w:lineRule="exact"/>
        <w:rPr>
          <w:sz w:val="22"/>
          <w:szCs w:val="24"/>
          <w:u w:val="single"/>
        </w:rPr>
      </w:pPr>
      <w:proofErr w:type="spellStart"/>
      <w:r>
        <w:rPr>
          <w:sz w:val="22"/>
          <w:szCs w:val="24"/>
          <w:u w:val="single"/>
        </w:rPr>
        <w:t>Ruxolitinib</w:t>
      </w:r>
      <w:proofErr w:type="spellEnd"/>
      <w:r>
        <w:rPr>
          <w:sz w:val="22"/>
          <w:szCs w:val="24"/>
          <w:u w:val="single"/>
        </w:rPr>
        <w:t xml:space="preserve"> </w:t>
      </w:r>
      <w:proofErr w:type="spellStart"/>
      <w:r>
        <w:rPr>
          <w:sz w:val="22"/>
          <w:szCs w:val="24"/>
          <w:u w:val="single"/>
        </w:rPr>
        <w:t>Sandoz</w:t>
      </w:r>
      <w:proofErr w:type="spellEnd"/>
      <w:r w:rsidR="00E2373B" w:rsidRPr="003F564F">
        <w:rPr>
          <w:sz w:val="22"/>
          <w:szCs w:val="24"/>
          <w:u w:val="single"/>
        </w:rPr>
        <w:t xml:space="preserve"> 15 mg tabletės</w:t>
      </w:r>
    </w:p>
    <w:p w14:paraId="3BA3C6D8" w14:textId="275D844C" w:rsidR="00E2373B" w:rsidRPr="003F564F" w:rsidRDefault="00E2373B" w:rsidP="00E2373B">
      <w:pPr>
        <w:tabs>
          <w:tab w:val="left" w:pos="567"/>
        </w:tabs>
        <w:spacing w:line="260" w:lineRule="exact"/>
        <w:rPr>
          <w:sz w:val="22"/>
          <w:szCs w:val="24"/>
        </w:rPr>
      </w:pPr>
      <w:r w:rsidRPr="003F564F">
        <w:rPr>
          <w:sz w:val="22"/>
          <w:szCs w:val="24"/>
        </w:rPr>
        <w:t>Baltos arba beveik baltos, ovalios (7,0 x 15,0 mm), abipus išgaubtos tabletės, kurių vienoje pusėje įspausta „C26“.</w:t>
      </w:r>
    </w:p>
    <w:p w14:paraId="464D89F7" w14:textId="77777777" w:rsidR="00E2373B" w:rsidRPr="003F564F" w:rsidRDefault="00E2373B" w:rsidP="00E2373B">
      <w:pPr>
        <w:tabs>
          <w:tab w:val="left" w:pos="567"/>
        </w:tabs>
        <w:spacing w:line="260" w:lineRule="exact"/>
        <w:rPr>
          <w:sz w:val="22"/>
          <w:szCs w:val="24"/>
        </w:rPr>
      </w:pPr>
    </w:p>
    <w:p w14:paraId="15102543" w14:textId="1BBEC3C9" w:rsidR="00E2373B" w:rsidRPr="003F564F" w:rsidRDefault="008B09E3" w:rsidP="00E2373B">
      <w:pPr>
        <w:tabs>
          <w:tab w:val="left" w:pos="567"/>
        </w:tabs>
        <w:spacing w:line="260" w:lineRule="exact"/>
        <w:rPr>
          <w:sz w:val="22"/>
          <w:szCs w:val="24"/>
          <w:u w:val="single"/>
        </w:rPr>
      </w:pPr>
      <w:proofErr w:type="spellStart"/>
      <w:r>
        <w:rPr>
          <w:sz w:val="22"/>
          <w:szCs w:val="24"/>
          <w:u w:val="single"/>
        </w:rPr>
        <w:t>Ruxolitinib</w:t>
      </w:r>
      <w:proofErr w:type="spellEnd"/>
      <w:r>
        <w:rPr>
          <w:sz w:val="22"/>
          <w:szCs w:val="24"/>
          <w:u w:val="single"/>
        </w:rPr>
        <w:t xml:space="preserve"> </w:t>
      </w:r>
      <w:proofErr w:type="spellStart"/>
      <w:r>
        <w:rPr>
          <w:sz w:val="22"/>
          <w:szCs w:val="24"/>
          <w:u w:val="single"/>
        </w:rPr>
        <w:t>Sandoz</w:t>
      </w:r>
      <w:proofErr w:type="spellEnd"/>
      <w:r w:rsidR="00E2373B" w:rsidRPr="003F564F">
        <w:rPr>
          <w:sz w:val="22"/>
          <w:szCs w:val="24"/>
          <w:u w:val="single"/>
        </w:rPr>
        <w:t xml:space="preserve"> 20 mg tabletės</w:t>
      </w:r>
    </w:p>
    <w:p w14:paraId="4E819707" w14:textId="1BC02451" w:rsidR="00E2373B" w:rsidRPr="003F564F" w:rsidRDefault="00E2373B" w:rsidP="00E2373B">
      <w:pPr>
        <w:tabs>
          <w:tab w:val="left" w:pos="567"/>
        </w:tabs>
        <w:spacing w:line="260" w:lineRule="exact"/>
        <w:rPr>
          <w:sz w:val="22"/>
          <w:szCs w:val="24"/>
        </w:rPr>
      </w:pPr>
      <w:r w:rsidRPr="003F564F">
        <w:rPr>
          <w:sz w:val="22"/>
          <w:szCs w:val="24"/>
        </w:rPr>
        <w:lastRenderedPageBreak/>
        <w:t xml:space="preserve">Baltos arba beveik baltos, kapsulės formos (16,5 x 7,4 mm), </w:t>
      </w:r>
      <w:r w:rsidR="000A0762" w:rsidRPr="003F564F">
        <w:rPr>
          <w:sz w:val="22"/>
          <w:szCs w:val="24"/>
        </w:rPr>
        <w:t>abipus išgaubtos tabletės</w:t>
      </w:r>
      <w:r w:rsidRPr="003F564F">
        <w:rPr>
          <w:sz w:val="22"/>
          <w:szCs w:val="24"/>
        </w:rPr>
        <w:t>, kurių vienoje pusėje įspausta „</w:t>
      </w:r>
      <w:r w:rsidR="000A0762" w:rsidRPr="003F564F">
        <w:rPr>
          <w:sz w:val="22"/>
          <w:szCs w:val="24"/>
        </w:rPr>
        <w:t>C27</w:t>
      </w:r>
      <w:r w:rsidRPr="003F564F">
        <w:rPr>
          <w:sz w:val="22"/>
          <w:szCs w:val="24"/>
        </w:rPr>
        <w:t>“.</w:t>
      </w:r>
    </w:p>
    <w:p w14:paraId="73DF6005" w14:textId="77777777" w:rsidR="008D3B35" w:rsidRPr="003F564F" w:rsidRDefault="008D3B35">
      <w:pPr>
        <w:tabs>
          <w:tab w:val="left" w:pos="567"/>
        </w:tabs>
        <w:spacing w:line="260" w:lineRule="exact"/>
        <w:rPr>
          <w:sz w:val="22"/>
          <w:szCs w:val="24"/>
        </w:rPr>
      </w:pPr>
    </w:p>
    <w:p w14:paraId="27C4BF6A" w14:textId="77777777" w:rsidR="000A0762" w:rsidRPr="003F564F" w:rsidRDefault="000A0762">
      <w:pPr>
        <w:tabs>
          <w:tab w:val="left" w:pos="567"/>
        </w:tabs>
        <w:spacing w:line="260" w:lineRule="exact"/>
        <w:rPr>
          <w:sz w:val="22"/>
          <w:szCs w:val="24"/>
        </w:rPr>
      </w:pPr>
    </w:p>
    <w:p w14:paraId="5B738A4A" w14:textId="77777777" w:rsidR="008D3B35" w:rsidRPr="003F564F" w:rsidRDefault="00AB4978">
      <w:pPr>
        <w:keepNext/>
        <w:keepLines/>
        <w:tabs>
          <w:tab w:val="left" w:pos="567"/>
        </w:tabs>
        <w:outlineLvl w:val="2"/>
        <w:rPr>
          <w:b/>
          <w:bCs/>
          <w:sz w:val="22"/>
          <w:szCs w:val="26"/>
          <w:lang w:eastAsia="x-none"/>
        </w:rPr>
      </w:pPr>
      <w:r w:rsidRPr="003F564F">
        <w:rPr>
          <w:b/>
          <w:bCs/>
          <w:sz w:val="22"/>
          <w:szCs w:val="26"/>
          <w:lang w:eastAsia="x-none"/>
        </w:rPr>
        <w:t>4.</w:t>
      </w:r>
      <w:r w:rsidRPr="003F564F">
        <w:rPr>
          <w:b/>
          <w:bCs/>
          <w:sz w:val="22"/>
          <w:szCs w:val="26"/>
          <w:lang w:eastAsia="x-none"/>
        </w:rPr>
        <w:tab/>
        <w:t>KLINIKINĖ INFORMACIJA</w:t>
      </w:r>
    </w:p>
    <w:p w14:paraId="7A8D1710" w14:textId="77777777" w:rsidR="008D3B35" w:rsidRPr="003F564F" w:rsidRDefault="008D3B35">
      <w:pPr>
        <w:tabs>
          <w:tab w:val="left" w:pos="567"/>
        </w:tabs>
        <w:spacing w:line="260" w:lineRule="exact"/>
        <w:rPr>
          <w:sz w:val="22"/>
          <w:szCs w:val="24"/>
        </w:rPr>
      </w:pPr>
    </w:p>
    <w:p w14:paraId="11BACD62" w14:textId="77777777" w:rsidR="008D3B35" w:rsidRPr="003F564F" w:rsidRDefault="00AB4978">
      <w:pPr>
        <w:keepNext/>
        <w:tabs>
          <w:tab w:val="left" w:pos="567"/>
        </w:tabs>
        <w:spacing w:line="260" w:lineRule="exact"/>
        <w:jc w:val="both"/>
        <w:outlineLvl w:val="3"/>
        <w:rPr>
          <w:b/>
          <w:bCs/>
          <w:sz w:val="22"/>
          <w:szCs w:val="28"/>
          <w:lang w:eastAsia="x-none"/>
        </w:rPr>
      </w:pPr>
      <w:r w:rsidRPr="003F564F">
        <w:rPr>
          <w:b/>
          <w:bCs/>
          <w:sz w:val="22"/>
          <w:szCs w:val="28"/>
          <w:lang w:eastAsia="x-none"/>
        </w:rPr>
        <w:t>4.1</w:t>
      </w:r>
      <w:r w:rsidRPr="003F564F">
        <w:rPr>
          <w:b/>
          <w:bCs/>
          <w:sz w:val="22"/>
          <w:szCs w:val="28"/>
          <w:lang w:eastAsia="x-none"/>
        </w:rPr>
        <w:tab/>
        <w:t>Terapinės indikacijos</w:t>
      </w:r>
    </w:p>
    <w:p w14:paraId="4665D2C9" w14:textId="77777777" w:rsidR="008D3B35" w:rsidRPr="003F564F" w:rsidRDefault="008D3B35">
      <w:pPr>
        <w:tabs>
          <w:tab w:val="left" w:pos="567"/>
        </w:tabs>
        <w:spacing w:line="260" w:lineRule="exact"/>
        <w:rPr>
          <w:sz w:val="22"/>
          <w:szCs w:val="24"/>
        </w:rPr>
      </w:pPr>
    </w:p>
    <w:p w14:paraId="7C4FDC9E" w14:textId="77777777" w:rsidR="00E2373B" w:rsidRPr="003F564F" w:rsidRDefault="00E2373B" w:rsidP="00E2373B">
      <w:pPr>
        <w:tabs>
          <w:tab w:val="left" w:pos="567"/>
        </w:tabs>
        <w:spacing w:line="260" w:lineRule="exact"/>
        <w:rPr>
          <w:sz w:val="22"/>
          <w:szCs w:val="24"/>
          <w:u w:val="single"/>
        </w:rPr>
      </w:pPr>
      <w:proofErr w:type="spellStart"/>
      <w:r w:rsidRPr="003F564F">
        <w:rPr>
          <w:sz w:val="22"/>
          <w:szCs w:val="24"/>
          <w:u w:val="single"/>
        </w:rPr>
        <w:t>Mielofibrozė</w:t>
      </w:r>
      <w:proofErr w:type="spellEnd"/>
      <w:r w:rsidRPr="003F564F">
        <w:rPr>
          <w:sz w:val="22"/>
          <w:szCs w:val="24"/>
          <w:u w:val="single"/>
        </w:rPr>
        <w:t xml:space="preserve"> (MF)</w:t>
      </w:r>
    </w:p>
    <w:p w14:paraId="2FF5D8C9" w14:textId="77777777" w:rsidR="000A0762" w:rsidRPr="003F564F" w:rsidRDefault="000A0762" w:rsidP="00E2373B">
      <w:pPr>
        <w:tabs>
          <w:tab w:val="left" w:pos="567"/>
        </w:tabs>
        <w:spacing w:line="260" w:lineRule="exact"/>
        <w:rPr>
          <w:sz w:val="22"/>
          <w:szCs w:val="24"/>
        </w:rPr>
      </w:pPr>
    </w:p>
    <w:p w14:paraId="4DEDAF66" w14:textId="04F72D00" w:rsidR="00E2373B" w:rsidRPr="003F564F" w:rsidRDefault="008B09E3" w:rsidP="00E2373B">
      <w:pPr>
        <w:tabs>
          <w:tab w:val="left" w:pos="567"/>
        </w:tabs>
        <w:spacing w:line="260" w:lineRule="exact"/>
        <w:rPr>
          <w:sz w:val="22"/>
          <w:szCs w:val="24"/>
        </w:rPr>
      </w:pPr>
      <w:proofErr w:type="spellStart"/>
      <w:r>
        <w:rPr>
          <w:sz w:val="22"/>
          <w:szCs w:val="24"/>
        </w:rPr>
        <w:t>Ruxolitinib</w:t>
      </w:r>
      <w:proofErr w:type="spellEnd"/>
      <w:r>
        <w:rPr>
          <w:sz w:val="22"/>
          <w:szCs w:val="24"/>
        </w:rPr>
        <w:t xml:space="preserve"> </w:t>
      </w:r>
      <w:proofErr w:type="spellStart"/>
      <w:r>
        <w:rPr>
          <w:sz w:val="22"/>
          <w:szCs w:val="24"/>
        </w:rPr>
        <w:t>Sandoz</w:t>
      </w:r>
      <w:proofErr w:type="spellEnd"/>
      <w:r w:rsidR="00E2373B" w:rsidRPr="003F564F">
        <w:rPr>
          <w:sz w:val="22"/>
          <w:szCs w:val="24"/>
        </w:rPr>
        <w:t xml:space="preserve"> skirtas gydyti ligos sukeltai </w:t>
      </w:r>
      <w:proofErr w:type="spellStart"/>
      <w:r w:rsidR="00E2373B" w:rsidRPr="003F564F">
        <w:rPr>
          <w:sz w:val="22"/>
          <w:szCs w:val="24"/>
        </w:rPr>
        <w:t>splenomegalijai</w:t>
      </w:r>
      <w:proofErr w:type="spellEnd"/>
      <w:r w:rsidR="00E2373B" w:rsidRPr="003F564F">
        <w:rPr>
          <w:sz w:val="22"/>
          <w:szCs w:val="24"/>
        </w:rPr>
        <w:t xml:space="preserve"> ir kitiems simptomams suaugusiems</w:t>
      </w:r>
      <w:r w:rsidR="00885556">
        <w:rPr>
          <w:sz w:val="22"/>
          <w:szCs w:val="24"/>
        </w:rPr>
        <w:t xml:space="preserve"> pacientams</w:t>
      </w:r>
      <w:r w:rsidR="00E2373B" w:rsidRPr="003F564F">
        <w:rPr>
          <w:sz w:val="22"/>
          <w:szCs w:val="24"/>
        </w:rPr>
        <w:t xml:space="preserve">, </w:t>
      </w:r>
      <w:r w:rsidR="00470F00">
        <w:rPr>
          <w:sz w:val="22"/>
          <w:szCs w:val="24"/>
        </w:rPr>
        <w:t>sergantiems</w:t>
      </w:r>
      <w:r w:rsidR="00E2373B" w:rsidRPr="003F564F">
        <w:rPr>
          <w:sz w:val="22"/>
          <w:szCs w:val="24"/>
        </w:rPr>
        <w:t xml:space="preserve"> pirmin</w:t>
      </w:r>
      <w:r w:rsidR="00470F00">
        <w:rPr>
          <w:sz w:val="22"/>
          <w:szCs w:val="24"/>
        </w:rPr>
        <w:t>e</w:t>
      </w:r>
      <w:r w:rsidR="00E2373B" w:rsidRPr="003F564F">
        <w:rPr>
          <w:sz w:val="22"/>
          <w:szCs w:val="24"/>
        </w:rPr>
        <w:t xml:space="preserve"> </w:t>
      </w:r>
      <w:proofErr w:type="spellStart"/>
      <w:r w:rsidR="00E2373B" w:rsidRPr="003F564F">
        <w:rPr>
          <w:sz w:val="22"/>
          <w:szCs w:val="24"/>
        </w:rPr>
        <w:t>mielofibroz</w:t>
      </w:r>
      <w:r w:rsidR="00470F00">
        <w:rPr>
          <w:sz w:val="22"/>
          <w:szCs w:val="24"/>
        </w:rPr>
        <w:t>e</w:t>
      </w:r>
      <w:proofErr w:type="spellEnd"/>
      <w:r w:rsidR="00E2373B" w:rsidRPr="003F564F">
        <w:rPr>
          <w:sz w:val="22"/>
          <w:szCs w:val="24"/>
        </w:rPr>
        <w:t xml:space="preserve"> (dar vadinama lėtine idiopatine </w:t>
      </w:r>
      <w:proofErr w:type="spellStart"/>
      <w:r w:rsidR="00E2373B" w:rsidRPr="003F564F">
        <w:rPr>
          <w:sz w:val="22"/>
          <w:szCs w:val="24"/>
        </w:rPr>
        <w:t>mielofibroze</w:t>
      </w:r>
      <w:proofErr w:type="spellEnd"/>
      <w:r w:rsidR="00E2373B" w:rsidRPr="003F564F">
        <w:rPr>
          <w:sz w:val="22"/>
          <w:szCs w:val="24"/>
        </w:rPr>
        <w:t xml:space="preserve">), </w:t>
      </w:r>
      <w:proofErr w:type="spellStart"/>
      <w:r w:rsidR="00E2373B" w:rsidRPr="003F564F">
        <w:rPr>
          <w:sz w:val="22"/>
          <w:szCs w:val="24"/>
        </w:rPr>
        <w:t>mielofibroz</w:t>
      </w:r>
      <w:r w:rsidR="009A5E14">
        <w:rPr>
          <w:sz w:val="22"/>
          <w:szCs w:val="24"/>
        </w:rPr>
        <w:t>e</w:t>
      </w:r>
      <w:proofErr w:type="spellEnd"/>
      <w:r w:rsidR="00E2373B" w:rsidRPr="003F564F">
        <w:rPr>
          <w:sz w:val="22"/>
          <w:szCs w:val="24"/>
        </w:rPr>
        <w:t xml:space="preserve"> sergant</w:t>
      </w:r>
      <w:r w:rsidR="000A0762" w:rsidRPr="003F564F">
        <w:rPr>
          <w:sz w:val="22"/>
          <w:szCs w:val="24"/>
        </w:rPr>
        <w:t xml:space="preserve"> </w:t>
      </w:r>
      <w:r w:rsidR="00E2373B" w:rsidRPr="003F564F">
        <w:rPr>
          <w:sz w:val="22"/>
          <w:szCs w:val="24"/>
        </w:rPr>
        <w:t xml:space="preserve">tikrąja </w:t>
      </w:r>
      <w:proofErr w:type="spellStart"/>
      <w:r w:rsidR="00E2373B" w:rsidRPr="003F564F">
        <w:rPr>
          <w:sz w:val="22"/>
          <w:szCs w:val="24"/>
        </w:rPr>
        <w:t>policitemija</w:t>
      </w:r>
      <w:proofErr w:type="spellEnd"/>
      <w:r w:rsidR="00E2373B" w:rsidRPr="003F564F">
        <w:rPr>
          <w:sz w:val="22"/>
          <w:szCs w:val="24"/>
        </w:rPr>
        <w:t xml:space="preserve"> arba </w:t>
      </w:r>
      <w:proofErr w:type="spellStart"/>
      <w:r w:rsidR="00E2373B" w:rsidRPr="003F564F">
        <w:rPr>
          <w:sz w:val="22"/>
          <w:szCs w:val="24"/>
        </w:rPr>
        <w:t>mielofibroz</w:t>
      </w:r>
      <w:r w:rsidR="0005352D">
        <w:rPr>
          <w:sz w:val="22"/>
          <w:szCs w:val="24"/>
        </w:rPr>
        <w:t>e</w:t>
      </w:r>
      <w:proofErr w:type="spellEnd"/>
      <w:r w:rsidR="00E2373B" w:rsidRPr="003F564F">
        <w:rPr>
          <w:sz w:val="22"/>
          <w:szCs w:val="24"/>
        </w:rPr>
        <w:t xml:space="preserve"> sergant pirmine </w:t>
      </w:r>
      <w:proofErr w:type="spellStart"/>
      <w:r w:rsidR="00E2373B" w:rsidRPr="003F564F">
        <w:rPr>
          <w:sz w:val="22"/>
          <w:szCs w:val="24"/>
        </w:rPr>
        <w:t>trombocitemija</w:t>
      </w:r>
      <w:proofErr w:type="spellEnd"/>
      <w:r w:rsidR="00E2373B" w:rsidRPr="003F564F">
        <w:rPr>
          <w:sz w:val="22"/>
          <w:szCs w:val="24"/>
        </w:rPr>
        <w:t>.</w:t>
      </w:r>
    </w:p>
    <w:p w14:paraId="2B2F7890" w14:textId="77777777" w:rsidR="000A0762" w:rsidRPr="003F564F" w:rsidRDefault="000A0762" w:rsidP="00E2373B">
      <w:pPr>
        <w:tabs>
          <w:tab w:val="left" w:pos="567"/>
        </w:tabs>
        <w:spacing w:line="260" w:lineRule="exact"/>
        <w:rPr>
          <w:sz w:val="22"/>
          <w:szCs w:val="24"/>
        </w:rPr>
      </w:pPr>
    </w:p>
    <w:p w14:paraId="326ECB53" w14:textId="058A7176" w:rsidR="00E2373B" w:rsidRPr="003F564F" w:rsidRDefault="00E2373B" w:rsidP="00E2373B">
      <w:pPr>
        <w:tabs>
          <w:tab w:val="left" w:pos="567"/>
        </w:tabs>
        <w:spacing w:line="260" w:lineRule="exact"/>
        <w:rPr>
          <w:sz w:val="22"/>
          <w:szCs w:val="24"/>
          <w:u w:val="single"/>
        </w:rPr>
      </w:pPr>
      <w:r w:rsidRPr="003F564F">
        <w:rPr>
          <w:sz w:val="22"/>
          <w:szCs w:val="24"/>
          <w:u w:val="single"/>
        </w:rPr>
        <w:t xml:space="preserve">Tikroji </w:t>
      </w:r>
      <w:proofErr w:type="spellStart"/>
      <w:r w:rsidRPr="003F564F">
        <w:rPr>
          <w:sz w:val="22"/>
          <w:szCs w:val="24"/>
          <w:u w:val="single"/>
        </w:rPr>
        <w:t>policitemija</w:t>
      </w:r>
      <w:proofErr w:type="spellEnd"/>
      <w:r w:rsidRPr="003F564F">
        <w:rPr>
          <w:sz w:val="22"/>
          <w:szCs w:val="24"/>
          <w:u w:val="single"/>
        </w:rPr>
        <w:t xml:space="preserve"> (TP)</w:t>
      </w:r>
    </w:p>
    <w:p w14:paraId="09C3D186" w14:textId="77777777" w:rsidR="000A0762" w:rsidRPr="003F564F" w:rsidRDefault="000A0762" w:rsidP="00E2373B">
      <w:pPr>
        <w:tabs>
          <w:tab w:val="left" w:pos="567"/>
        </w:tabs>
        <w:spacing w:line="260" w:lineRule="exact"/>
        <w:rPr>
          <w:sz w:val="22"/>
          <w:szCs w:val="24"/>
        </w:rPr>
      </w:pPr>
    </w:p>
    <w:p w14:paraId="0C90BB68" w14:textId="1FA5ABF2" w:rsidR="00E2373B" w:rsidRPr="003F564F" w:rsidRDefault="008B09E3" w:rsidP="00E2373B">
      <w:pPr>
        <w:tabs>
          <w:tab w:val="left" w:pos="567"/>
        </w:tabs>
        <w:spacing w:line="260" w:lineRule="exact"/>
        <w:rPr>
          <w:sz w:val="22"/>
          <w:szCs w:val="24"/>
        </w:rPr>
      </w:pPr>
      <w:proofErr w:type="spellStart"/>
      <w:r>
        <w:rPr>
          <w:sz w:val="22"/>
          <w:szCs w:val="24"/>
        </w:rPr>
        <w:t>Ruxolitinib</w:t>
      </w:r>
      <w:proofErr w:type="spellEnd"/>
      <w:r>
        <w:rPr>
          <w:sz w:val="22"/>
          <w:szCs w:val="24"/>
        </w:rPr>
        <w:t xml:space="preserve"> </w:t>
      </w:r>
      <w:proofErr w:type="spellStart"/>
      <w:r>
        <w:rPr>
          <w:sz w:val="22"/>
          <w:szCs w:val="24"/>
        </w:rPr>
        <w:t>Sandoz</w:t>
      </w:r>
      <w:proofErr w:type="spellEnd"/>
      <w:r w:rsidR="00E2373B" w:rsidRPr="003F564F">
        <w:rPr>
          <w:sz w:val="22"/>
          <w:szCs w:val="24"/>
        </w:rPr>
        <w:t xml:space="preserve"> skirtas gydyti tikrąja </w:t>
      </w:r>
      <w:proofErr w:type="spellStart"/>
      <w:r w:rsidR="00E2373B" w:rsidRPr="003F564F">
        <w:rPr>
          <w:sz w:val="22"/>
          <w:szCs w:val="24"/>
        </w:rPr>
        <w:t>policitemija</w:t>
      </w:r>
      <w:proofErr w:type="spellEnd"/>
      <w:r w:rsidR="00E2373B" w:rsidRPr="003F564F">
        <w:rPr>
          <w:sz w:val="22"/>
          <w:szCs w:val="24"/>
        </w:rPr>
        <w:t xml:space="preserve"> sergančius suaugusius pacientus, kuriems pasireiškia</w:t>
      </w:r>
      <w:r w:rsidR="000A0762" w:rsidRPr="003F564F">
        <w:rPr>
          <w:sz w:val="22"/>
          <w:szCs w:val="24"/>
        </w:rPr>
        <w:t xml:space="preserve"> </w:t>
      </w:r>
      <w:r w:rsidR="00E2373B" w:rsidRPr="003F564F">
        <w:rPr>
          <w:sz w:val="22"/>
          <w:szCs w:val="24"/>
        </w:rPr>
        <w:t xml:space="preserve">atsparumas </w:t>
      </w:r>
      <w:proofErr w:type="spellStart"/>
      <w:r w:rsidR="00E2373B" w:rsidRPr="003F564F">
        <w:rPr>
          <w:sz w:val="22"/>
          <w:szCs w:val="24"/>
        </w:rPr>
        <w:t>hidroksikarbamidui</w:t>
      </w:r>
      <w:proofErr w:type="spellEnd"/>
      <w:r w:rsidR="00E2373B" w:rsidRPr="003F564F">
        <w:rPr>
          <w:sz w:val="22"/>
          <w:szCs w:val="24"/>
        </w:rPr>
        <w:t xml:space="preserve"> ar kurie netoleruoja šio vaistinio preparato.</w:t>
      </w:r>
    </w:p>
    <w:p w14:paraId="7E2217ED" w14:textId="77777777" w:rsidR="000A0762" w:rsidRPr="003F564F" w:rsidRDefault="000A0762" w:rsidP="00E2373B">
      <w:pPr>
        <w:tabs>
          <w:tab w:val="left" w:pos="567"/>
        </w:tabs>
        <w:spacing w:line="260" w:lineRule="exact"/>
        <w:rPr>
          <w:sz w:val="22"/>
          <w:szCs w:val="24"/>
        </w:rPr>
      </w:pPr>
    </w:p>
    <w:p w14:paraId="27724B11" w14:textId="3849B143" w:rsidR="00E2373B" w:rsidRPr="003F564F" w:rsidRDefault="00E2373B" w:rsidP="00E2373B">
      <w:pPr>
        <w:tabs>
          <w:tab w:val="left" w:pos="567"/>
        </w:tabs>
        <w:spacing w:line="260" w:lineRule="exact"/>
        <w:rPr>
          <w:sz w:val="22"/>
          <w:szCs w:val="24"/>
          <w:u w:val="single"/>
        </w:rPr>
      </w:pPr>
      <w:proofErr w:type="spellStart"/>
      <w:r w:rsidRPr="003F564F">
        <w:rPr>
          <w:sz w:val="22"/>
          <w:szCs w:val="24"/>
          <w:u w:val="single"/>
        </w:rPr>
        <w:t>Transplantato</w:t>
      </w:r>
      <w:proofErr w:type="spellEnd"/>
      <w:r w:rsidRPr="003F564F">
        <w:rPr>
          <w:sz w:val="22"/>
          <w:szCs w:val="24"/>
          <w:u w:val="single"/>
        </w:rPr>
        <w:t xml:space="preserve"> prieš šeimininką liga (</w:t>
      </w:r>
      <w:proofErr w:type="spellStart"/>
      <w:r w:rsidRPr="003F564F">
        <w:rPr>
          <w:sz w:val="22"/>
          <w:szCs w:val="24"/>
          <w:u w:val="single"/>
        </w:rPr>
        <w:t>TpŠL</w:t>
      </w:r>
      <w:proofErr w:type="spellEnd"/>
      <w:r w:rsidRPr="003F564F">
        <w:rPr>
          <w:sz w:val="22"/>
          <w:szCs w:val="24"/>
          <w:u w:val="single"/>
        </w:rPr>
        <w:t>)</w:t>
      </w:r>
    </w:p>
    <w:p w14:paraId="099CBAEB" w14:textId="77777777" w:rsidR="000A0762" w:rsidRPr="003F564F" w:rsidRDefault="000A0762" w:rsidP="00E2373B">
      <w:pPr>
        <w:tabs>
          <w:tab w:val="left" w:pos="567"/>
        </w:tabs>
        <w:spacing w:line="260" w:lineRule="exact"/>
        <w:rPr>
          <w:sz w:val="22"/>
          <w:szCs w:val="24"/>
        </w:rPr>
      </w:pPr>
    </w:p>
    <w:p w14:paraId="66B68D30" w14:textId="7CFCCEF6" w:rsidR="00E2373B" w:rsidRPr="003F564F" w:rsidRDefault="00E2373B" w:rsidP="00E2373B">
      <w:pPr>
        <w:tabs>
          <w:tab w:val="left" w:pos="567"/>
        </w:tabs>
        <w:spacing w:line="260" w:lineRule="exact"/>
        <w:rPr>
          <w:i/>
          <w:iCs/>
          <w:sz w:val="22"/>
          <w:szCs w:val="24"/>
          <w:u w:val="single"/>
        </w:rPr>
      </w:pPr>
      <w:r w:rsidRPr="003F564F">
        <w:rPr>
          <w:i/>
          <w:iCs/>
          <w:sz w:val="22"/>
          <w:szCs w:val="24"/>
          <w:u w:val="single"/>
        </w:rPr>
        <w:t xml:space="preserve">Ūminė </w:t>
      </w:r>
      <w:proofErr w:type="spellStart"/>
      <w:r w:rsidRPr="003F564F">
        <w:rPr>
          <w:i/>
          <w:iCs/>
          <w:sz w:val="22"/>
          <w:szCs w:val="24"/>
          <w:u w:val="single"/>
        </w:rPr>
        <w:t>TpŠL</w:t>
      </w:r>
      <w:proofErr w:type="spellEnd"/>
    </w:p>
    <w:p w14:paraId="2229F433" w14:textId="1985FDF1" w:rsidR="00E2373B" w:rsidRPr="003F564F" w:rsidRDefault="008B09E3" w:rsidP="00E2373B">
      <w:pPr>
        <w:tabs>
          <w:tab w:val="left" w:pos="567"/>
        </w:tabs>
        <w:spacing w:line="260" w:lineRule="exact"/>
        <w:rPr>
          <w:sz w:val="22"/>
          <w:szCs w:val="24"/>
        </w:rPr>
      </w:pPr>
      <w:proofErr w:type="spellStart"/>
      <w:r>
        <w:rPr>
          <w:sz w:val="22"/>
          <w:szCs w:val="24"/>
        </w:rPr>
        <w:t>Ruxolitinib</w:t>
      </w:r>
      <w:proofErr w:type="spellEnd"/>
      <w:r>
        <w:rPr>
          <w:sz w:val="22"/>
          <w:szCs w:val="24"/>
        </w:rPr>
        <w:t xml:space="preserve"> </w:t>
      </w:r>
      <w:proofErr w:type="spellStart"/>
      <w:r>
        <w:rPr>
          <w:sz w:val="22"/>
          <w:szCs w:val="24"/>
        </w:rPr>
        <w:t>Sandoz</w:t>
      </w:r>
      <w:proofErr w:type="spellEnd"/>
      <w:r w:rsidR="00E2373B" w:rsidRPr="003F564F">
        <w:rPr>
          <w:sz w:val="22"/>
          <w:szCs w:val="24"/>
        </w:rPr>
        <w:t xml:space="preserve"> skirtas suaugusių pacientų ir 28</w:t>
      </w:r>
      <w:r w:rsidR="000A0762" w:rsidRPr="003F564F">
        <w:rPr>
          <w:sz w:val="22"/>
          <w:szCs w:val="24"/>
        </w:rPr>
        <w:t> </w:t>
      </w:r>
      <w:r w:rsidR="00E2373B" w:rsidRPr="003F564F">
        <w:rPr>
          <w:sz w:val="22"/>
          <w:szCs w:val="24"/>
        </w:rPr>
        <w:t xml:space="preserve">dienų bei vyresnių </w:t>
      </w:r>
      <w:r w:rsidR="007F1B46">
        <w:rPr>
          <w:sz w:val="22"/>
          <w:szCs w:val="24"/>
        </w:rPr>
        <w:t xml:space="preserve">kūdikių ir </w:t>
      </w:r>
      <w:r w:rsidR="00E2373B" w:rsidRPr="003F564F">
        <w:rPr>
          <w:sz w:val="22"/>
          <w:szCs w:val="24"/>
        </w:rPr>
        <w:t>vaikų, kuriems nustatyta ūminė</w:t>
      </w:r>
      <w:r w:rsidR="000A0762" w:rsidRPr="003F564F">
        <w:rPr>
          <w:sz w:val="22"/>
          <w:szCs w:val="24"/>
        </w:rPr>
        <w:t xml:space="preserve"> </w:t>
      </w:r>
      <w:proofErr w:type="spellStart"/>
      <w:r w:rsidR="00E2373B" w:rsidRPr="003F564F">
        <w:rPr>
          <w:sz w:val="22"/>
          <w:szCs w:val="24"/>
        </w:rPr>
        <w:t>transplantato</w:t>
      </w:r>
      <w:proofErr w:type="spellEnd"/>
      <w:r w:rsidR="00E2373B" w:rsidRPr="003F564F">
        <w:rPr>
          <w:sz w:val="22"/>
          <w:szCs w:val="24"/>
        </w:rPr>
        <w:t xml:space="preserve"> prieš šeimininką liga ir kuriems atsakas į kortikosteroidus ar kitą sisteminį gydymą yra</w:t>
      </w:r>
      <w:r w:rsidR="000A0762" w:rsidRPr="003F564F">
        <w:rPr>
          <w:sz w:val="22"/>
          <w:szCs w:val="24"/>
        </w:rPr>
        <w:t xml:space="preserve"> </w:t>
      </w:r>
      <w:r w:rsidR="00E2373B" w:rsidRPr="003F564F">
        <w:rPr>
          <w:sz w:val="22"/>
          <w:szCs w:val="24"/>
        </w:rPr>
        <w:t>nepakankamas, gydymui (žr.</w:t>
      </w:r>
      <w:r w:rsidR="000A0762" w:rsidRPr="003F564F">
        <w:rPr>
          <w:sz w:val="22"/>
          <w:szCs w:val="24"/>
        </w:rPr>
        <w:t> </w:t>
      </w:r>
      <w:r w:rsidR="00E2373B" w:rsidRPr="003F564F">
        <w:rPr>
          <w:sz w:val="22"/>
          <w:szCs w:val="24"/>
        </w:rPr>
        <w:t>5.1</w:t>
      </w:r>
      <w:r w:rsidR="000A0762" w:rsidRPr="003F564F">
        <w:rPr>
          <w:sz w:val="22"/>
          <w:szCs w:val="24"/>
        </w:rPr>
        <w:t> </w:t>
      </w:r>
      <w:r w:rsidR="00E2373B" w:rsidRPr="003F564F">
        <w:rPr>
          <w:sz w:val="22"/>
          <w:szCs w:val="24"/>
        </w:rPr>
        <w:t>skyrių).</w:t>
      </w:r>
    </w:p>
    <w:p w14:paraId="1D55BDAA" w14:textId="77777777" w:rsidR="000A0762" w:rsidRPr="003F564F" w:rsidRDefault="000A0762" w:rsidP="00E2373B">
      <w:pPr>
        <w:tabs>
          <w:tab w:val="left" w:pos="567"/>
        </w:tabs>
        <w:spacing w:line="260" w:lineRule="exact"/>
        <w:rPr>
          <w:sz w:val="22"/>
          <w:szCs w:val="24"/>
        </w:rPr>
      </w:pPr>
    </w:p>
    <w:p w14:paraId="3E8A1BA0" w14:textId="5CBB6D1C" w:rsidR="00E2373B" w:rsidRPr="003F564F" w:rsidRDefault="00E2373B" w:rsidP="00E2373B">
      <w:pPr>
        <w:tabs>
          <w:tab w:val="left" w:pos="567"/>
        </w:tabs>
        <w:spacing w:line="260" w:lineRule="exact"/>
        <w:rPr>
          <w:i/>
          <w:iCs/>
          <w:sz w:val="22"/>
          <w:szCs w:val="24"/>
          <w:u w:val="single"/>
        </w:rPr>
      </w:pPr>
      <w:r w:rsidRPr="003F564F">
        <w:rPr>
          <w:i/>
          <w:iCs/>
          <w:sz w:val="22"/>
          <w:szCs w:val="24"/>
          <w:u w:val="single"/>
        </w:rPr>
        <w:t xml:space="preserve">Lėtinė </w:t>
      </w:r>
      <w:proofErr w:type="spellStart"/>
      <w:r w:rsidRPr="003F564F">
        <w:rPr>
          <w:i/>
          <w:iCs/>
          <w:sz w:val="22"/>
          <w:szCs w:val="24"/>
          <w:u w:val="single"/>
        </w:rPr>
        <w:t>TpŠL</w:t>
      </w:r>
      <w:proofErr w:type="spellEnd"/>
    </w:p>
    <w:p w14:paraId="7A6B4872" w14:textId="446BCF15" w:rsidR="00E2373B" w:rsidRPr="003F564F" w:rsidRDefault="008B09E3" w:rsidP="00E2373B">
      <w:pPr>
        <w:tabs>
          <w:tab w:val="left" w:pos="567"/>
        </w:tabs>
        <w:spacing w:line="260" w:lineRule="exact"/>
        <w:rPr>
          <w:sz w:val="22"/>
          <w:szCs w:val="24"/>
        </w:rPr>
      </w:pPr>
      <w:proofErr w:type="spellStart"/>
      <w:r>
        <w:rPr>
          <w:sz w:val="22"/>
          <w:szCs w:val="24"/>
        </w:rPr>
        <w:t>Ruxolitinib</w:t>
      </w:r>
      <w:proofErr w:type="spellEnd"/>
      <w:r>
        <w:rPr>
          <w:sz w:val="22"/>
          <w:szCs w:val="24"/>
        </w:rPr>
        <w:t xml:space="preserve"> </w:t>
      </w:r>
      <w:proofErr w:type="spellStart"/>
      <w:r>
        <w:rPr>
          <w:sz w:val="22"/>
          <w:szCs w:val="24"/>
        </w:rPr>
        <w:t>Sandoz</w:t>
      </w:r>
      <w:proofErr w:type="spellEnd"/>
      <w:r w:rsidR="00E2373B" w:rsidRPr="003F564F">
        <w:rPr>
          <w:sz w:val="22"/>
          <w:szCs w:val="24"/>
        </w:rPr>
        <w:t xml:space="preserve"> skirtas suaugusių pacientų ir 6</w:t>
      </w:r>
      <w:r w:rsidR="000A0762" w:rsidRPr="003F564F">
        <w:rPr>
          <w:sz w:val="22"/>
          <w:szCs w:val="24"/>
        </w:rPr>
        <w:t> </w:t>
      </w:r>
      <w:r w:rsidR="00E2373B" w:rsidRPr="003F564F">
        <w:rPr>
          <w:sz w:val="22"/>
          <w:szCs w:val="24"/>
        </w:rPr>
        <w:t xml:space="preserve">mėnesių bei vyresnių </w:t>
      </w:r>
      <w:r w:rsidR="00687E7B">
        <w:rPr>
          <w:sz w:val="22"/>
          <w:szCs w:val="24"/>
        </w:rPr>
        <w:t xml:space="preserve">kūdikių ir </w:t>
      </w:r>
      <w:r w:rsidR="00E2373B" w:rsidRPr="003F564F">
        <w:rPr>
          <w:sz w:val="22"/>
          <w:szCs w:val="24"/>
        </w:rPr>
        <w:t>vaikų, kuriems nustatyta lėtinė</w:t>
      </w:r>
      <w:r w:rsidR="000A0762" w:rsidRPr="003F564F">
        <w:rPr>
          <w:sz w:val="22"/>
          <w:szCs w:val="24"/>
        </w:rPr>
        <w:t xml:space="preserve"> </w:t>
      </w:r>
      <w:proofErr w:type="spellStart"/>
      <w:r w:rsidR="00E2373B" w:rsidRPr="003F564F">
        <w:rPr>
          <w:sz w:val="22"/>
          <w:szCs w:val="24"/>
        </w:rPr>
        <w:t>transplantato</w:t>
      </w:r>
      <w:proofErr w:type="spellEnd"/>
      <w:r w:rsidR="00E2373B" w:rsidRPr="003F564F">
        <w:rPr>
          <w:sz w:val="22"/>
          <w:szCs w:val="24"/>
        </w:rPr>
        <w:t xml:space="preserve"> prieš šeimininką liga ir kuriems atsakas į kortikosteroidus ar kitą sisteminį gydymą yra</w:t>
      </w:r>
      <w:r w:rsidR="000A0762" w:rsidRPr="003F564F">
        <w:rPr>
          <w:sz w:val="22"/>
          <w:szCs w:val="24"/>
        </w:rPr>
        <w:t xml:space="preserve"> </w:t>
      </w:r>
      <w:r w:rsidR="00E2373B" w:rsidRPr="003F564F">
        <w:rPr>
          <w:sz w:val="22"/>
          <w:szCs w:val="24"/>
        </w:rPr>
        <w:t>nepakankamas, gydymui (žr.</w:t>
      </w:r>
      <w:r w:rsidR="000A0762" w:rsidRPr="003F564F">
        <w:rPr>
          <w:sz w:val="22"/>
          <w:szCs w:val="24"/>
        </w:rPr>
        <w:t> </w:t>
      </w:r>
      <w:r w:rsidR="00E2373B" w:rsidRPr="003F564F">
        <w:rPr>
          <w:sz w:val="22"/>
          <w:szCs w:val="24"/>
        </w:rPr>
        <w:t>5.1</w:t>
      </w:r>
      <w:r w:rsidR="000A0762" w:rsidRPr="003F564F">
        <w:rPr>
          <w:sz w:val="22"/>
          <w:szCs w:val="24"/>
        </w:rPr>
        <w:t> </w:t>
      </w:r>
      <w:r w:rsidR="00E2373B" w:rsidRPr="003F564F">
        <w:rPr>
          <w:sz w:val="22"/>
          <w:szCs w:val="24"/>
        </w:rPr>
        <w:t>skyrių).</w:t>
      </w:r>
    </w:p>
    <w:p w14:paraId="755D361C" w14:textId="77777777" w:rsidR="00E2373B" w:rsidRPr="003F564F" w:rsidRDefault="00E2373B" w:rsidP="00E2373B">
      <w:pPr>
        <w:tabs>
          <w:tab w:val="left" w:pos="567"/>
        </w:tabs>
        <w:spacing w:line="260" w:lineRule="exact"/>
        <w:rPr>
          <w:sz w:val="22"/>
          <w:szCs w:val="24"/>
        </w:rPr>
      </w:pPr>
    </w:p>
    <w:p w14:paraId="6F56FB1E" w14:textId="77777777" w:rsidR="008D3B35" w:rsidRPr="003F564F" w:rsidRDefault="00AB4978">
      <w:pPr>
        <w:keepNext/>
        <w:tabs>
          <w:tab w:val="left" w:pos="567"/>
        </w:tabs>
        <w:spacing w:line="260" w:lineRule="exact"/>
        <w:jc w:val="both"/>
        <w:outlineLvl w:val="3"/>
        <w:rPr>
          <w:b/>
          <w:bCs/>
          <w:sz w:val="22"/>
          <w:szCs w:val="28"/>
          <w:lang w:eastAsia="x-none"/>
        </w:rPr>
      </w:pPr>
      <w:r w:rsidRPr="003F564F">
        <w:rPr>
          <w:b/>
          <w:bCs/>
          <w:sz w:val="22"/>
          <w:szCs w:val="28"/>
          <w:lang w:eastAsia="x-none"/>
        </w:rPr>
        <w:t>4.2</w:t>
      </w:r>
      <w:r w:rsidRPr="003F564F">
        <w:rPr>
          <w:b/>
          <w:bCs/>
          <w:sz w:val="22"/>
          <w:szCs w:val="28"/>
          <w:lang w:eastAsia="x-none"/>
        </w:rPr>
        <w:tab/>
        <w:t>Dozavimas ir vartojimo metodas</w:t>
      </w:r>
    </w:p>
    <w:p w14:paraId="76ECB30B" w14:textId="77777777" w:rsidR="008D3B35" w:rsidRPr="003F564F" w:rsidRDefault="008D3B35">
      <w:pPr>
        <w:tabs>
          <w:tab w:val="left" w:pos="567"/>
        </w:tabs>
        <w:spacing w:line="260" w:lineRule="exact"/>
        <w:rPr>
          <w:sz w:val="22"/>
          <w:szCs w:val="24"/>
        </w:rPr>
      </w:pPr>
    </w:p>
    <w:p w14:paraId="7080EF21" w14:textId="35772BD4" w:rsidR="000A0762" w:rsidRPr="003F564F" w:rsidRDefault="000A0762" w:rsidP="000A0762">
      <w:pPr>
        <w:tabs>
          <w:tab w:val="left" w:pos="567"/>
        </w:tabs>
        <w:spacing w:line="260" w:lineRule="exact"/>
        <w:rPr>
          <w:sz w:val="22"/>
          <w:szCs w:val="24"/>
        </w:rPr>
      </w:pPr>
      <w:r w:rsidRPr="003F564F">
        <w:rPr>
          <w:sz w:val="22"/>
          <w:szCs w:val="24"/>
        </w:rPr>
        <w:t xml:space="preserve">Gydymą </w:t>
      </w:r>
      <w:proofErr w:type="spellStart"/>
      <w:r w:rsidR="008B09E3">
        <w:rPr>
          <w:sz w:val="22"/>
          <w:szCs w:val="24"/>
        </w:rPr>
        <w:t>Ruxolitinib</w:t>
      </w:r>
      <w:proofErr w:type="spellEnd"/>
      <w:r w:rsidR="008B09E3">
        <w:rPr>
          <w:sz w:val="22"/>
          <w:szCs w:val="24"/>
        </w:rPr>
        <w:t xml:space="preserve"> </w:t>
      </w:r>
      <w:proofErr w:type="spellStart"/>
      <w:r w:rsidR="008B09E3">
        <w:rPr>
          <w:sz w:val="22"/>
          <w:szCs w:val="24"/>
        </w:rPr>
        <w:t>Sandoz</w:t>
      </w:r>
      <w:proofErr w:type="spellEnd"/>
      <w:r w:rsidRPr="003F564F">
        <w:rPr>
          <w:sz w:val="22"/>
          <w:szCs w:val="24"/>
        </w:rPr>
        <w:t xml:space="preserve"> turi pradėti tik gydytojas, turintis vaistinių preparatų nuo vėžio skyrimo patirties.</w:t>
      </w:r>
    </w:p>
    <w:p w14:paraId="2175B661" w14:textId="77777777" w:rsidR="000A0762" w:rsidRPr="003F564F" w:rsidRDefault="000A0762" w:rsidP="000A0762">
      <w:pPr>
        <w:tabs>
          <w:tab w:val="left" w:pos="567"/>
        </w:tabs>
        <w:spacing w:line="260" w:lineRule="exact"/>
        <w:rPr>
          <w:sz w:val="22"/>
          <w:szCs w:val="24"/>
        </w:rPr>
      </w:pPr>
    </w:p>
    <w:p w14:paraId="71F17202" w14:textId="21412D99" w:rsidR="000A0762" w:rsidRPr="003F564F" w:rsidRDefault="000A0762" w:rsidP="000A0762">
      <w:pPr>
        <w:tabs>
          <w:tab w:val="left" w:pos="567"/>
        </w:tabs>
        <w:spacing w:line="260" w:lineRule="exact"/>
        <w:rPr>
          <w:sz w:val="22"/>
          <w:szCs w:val="24"/>
        </w:rPr>
      </w:pPr>
      <w:r w:rsidRPr="003F564F">
        <w:rPr>
          <w:sz w:val="22"/>
          <w:szCs w:val="24"/>
        </w:rPr>
        <w:t xml:space="preserve">Prieš pradedant gydymą </w:t>
      </w:r>
      <w:proofErr w:type="spellStart"/>
      <w:r w:rsidR="008B09E3">
        <w:rPr>
          <w:sz w:val="22"/>
          <w:szCs w:val="24"/>
        </w:rPr>
        <w:t>Ruxolitinib</w:t>
      </w:r>
      <w:proofErr w:type="spellEnd"/>
      <w:r w:rsidR="008B09E3">
        <w:rPr>
          <w:sz w:val="22"/>
          <w:szCs w:val="24"/>
        </w:rPr>
        <w:t xml:space="preserve"> </w:t>
      </w:r>
      <w:proofErr w:type="spellStart"/>
      <w:r w:rsidR="008B09E3">
        <w:rPr>
          <w:sz w:val="22"/>
          <w:szCs w:val="24"/>
        </w:rPr>
        <w:t>Sandoz</w:t>
      </w:r>
      <w:proofErr w:type="spellEnd"/>
      <w:r w:rsidRPr="003F564F">
        <w:rPr>
          <w:sz w:val="22"/>
          <w:szCs w:val="24"/>
        </w:rPr>
        <w:t xml:space="preserve"> reikia atlikti bendrąjį kraujo tyrimą ir nustatyti baltųjų kraujo ląstelių formulę.</w:t>
      </w:r>
    </w:p>
    <w:p w14:paraId="358347DE" w14:textId="77777777" w:rsidR="000A0762" w:rsidRPr="003F564F" w:rsidRDefault="000A0762" w:rsidP="000A0762">
      <w:pPr>
        <w:tabs>
          <w:tab w:val="left" w:pos="567"/>
        </w:tabs>
        <w:spacing w:line="260" w:lineRule="exact"/>
        <w:rPr>
          <w:sz w:val="22"/>
          <w:szCs w:val="24"/>
        </w:rPr>
      </w:pPr>
    </w:p>
    <w:p w14:paraId="2E7F74D5" w14:textId="71A364B0" w:rsidR="000A0762" w:rsidRPr="003F564F" w:rsidRDefault="000A0762" w:rsidP="000A0762">
      <w:pPr>
        <w:tabs>
          <w:tab w:val="left" w:pos="567"/>
        </w:tabs>
        <w:spacing w:line="260" w:lineRule="exact"/>
        <w:rPr>
          <w:sz w:val="22"/>
          <w:szCs w:val="24"/>
        </w:rPr>
      </w:pPr>
      <w:r w:rsidRPr="003F564F">
        <w:rPr>
          <w:sz w:val="22"/>
          <w:szCs w:val="24"/>
        </w:rPr>
        <w:t>Bendrąjį kraujo tyrimą atlikti ir baltųjų kraujo ląstelių formulę nustatyti reikėtų reguliariai kas 2</w:t>
      </w:r>
      <w:r w:rsidR="003F564F">
        <w:rPr>
          <w:sz w:val="22"/>
          <w:szCs w:val="24"/>
        </w:rPr>
        <w:noBreakHyphen/>
      </w:r>
      <w:r w:rsidRPr="003F564F">
        <w:rPr>
          <w:sz w:val="22"/>
          <w:szCs w:val="24"/>
        </w:rPr>
        <w:t>4</w:t>
      </w:r>
      <w:r w:rsidR="003F564F">
        <w:rPr>
          <w:sz w:val="22"/>
          <w:szCs w:val="24"/>
        </w:rPr>
        <w:t> </w:t>
      </w:r>
      <w:r w:rsidRPr="003F564F">
        <w:rPr>
          <w:sz w:val="22"/>
          <w:szCs w:val="24"/>
        </w:rPr>
        <w:t xml:space="preserve">savaites, kol nusistovės </w:t>
      </w:r>
      <w:proofErr w:type="spellStart"/>
      <w:r w:rsidR="008B09E3">
        <w:rPr>
          <w:sz w:val="22"/>
          <w:szCs w:val="24"/>
        </w:rPr>
        <w:t>Ruxolitinib</w:t>
      </w:r>
      <w:proofErr w:type="spellEnd"/>
      <w:r w:rsidR="008B09E3">
        <w:rPr>
          <w:sz w:val="22"/>
          <w:szCs w:val="24"/>
        </w:rPr>
        <w:t xml:space="preserve"> </w:t>
      </w:r>
      <w:proofErr w:type="spellStart"/>
      <w:r w:rsidR="008B09E3">
        <w:rPr>
          <w:sz w:val="22"/>
          <w:szCs w:val="24"/>
        </w:rPr>
        <w:t>Sandoz</w:t>
      </w:r>
      <w:proofErr w:type="spellEnd"/>
      <w:r w:rsidRPr="003F564F">
        <w:rPr>
          <w:sz w:val="22"/>
          <w:szCs w:val="24"/>
        </w:rPr>
        <w:t xml:space="preserve"> dozė, ir vėliau pagal klinikinį poreikį (žr. 4.4 skyrių).</w:t>
      </w:r>
    </w:p>
    <w:p w14:paraId="64B22798" w14:textId="77777777" w:rsidR="000A0762" w:rsidRPr="003F564F" w:rsidRDefault="000A0762">
      <w:pPr>
        <w:tabs>
          <w:tab w:val="left" w:pos="567"/>
        </w:tabs>
        <w:spacing w:line="260" w:lineRule="exact"/>
        <w:rPr>
          <w:sz w:val="22"/>
          <w:szCs w:val="24"/>
        </w:rPr>
      </w:pPr>
    </w:p>
    <w:p w14:paraId="719DA4A7" w14:textId="77777777" w:rsidR="008D3B35" w:rsidRPr="003F564F" w:rsidRDefault="00AB4978">
      <w:pPr>
        <w:tabs>
          <w:tab w:val="left" w:pos="567"/>
        </w:tabs>
        <w:spacing w:line="260" w:lineRule="exact"/>
        <w:rPr>
          <w:sz w:val="22"/>
          <w:szCs w:val="24"/>
          <w:u w:val="single"/>
        </w:rPr>
      </w:pPr>
      <w:r w:rsidRPr="003F564F">
        <w:rPr>
          <w:sz w:val="22"/>
          <w:szCs w:val="24"/>
          <w:u w:val="single"/>
        </w:rPr>
        <w:t>Dozavimas</w:t>
      </w:r>
    </w:p>
    <w:p w14:paraId="65567E4A" w14:textId="77777777" w:rsidR="000A0762" w:rsidRPr="003F564F" w:rsidRDefault="000A0762" w:rsidP="000A0762">
      <w:pPr>
        <w:tabs>
          <w:tab w:val="left" w:pos="567"/>
        </w:tabs>
        <w:spacing w:line="260" w:lineRule="exact"/>
        <w:rPr>
          <w:sz w:val="22"/>
          <w:szCs w:val="24"/>
        </w:rPr>
      </w:pPr>
    </w:p>
    <w:p w14:paraId="1FF45C91" w14:textId="1915687F" w:rsidR="000A0762" w:rsidRPr="003F564F" w:rsidRDefault="000A0762" w:rsidP="000A0762">
      <w:pPr>
        <w:tabs>
          <w:tab w:val="left" w:pos="567"/>
        </w:tabs>
        <w:spacing w:line="260" w:lineRule="exact"/>
        <w:rPr>
          <w:i/>
          <w:iCs/>
          <w:sz w:val="22"/>
          <w:szCs w:val="24"/>
          <w:u w:val="single"/>
        </w:rPr>
      </w:pPr>
      <w:r w:rsidRPr="003F564F">
        <w:rPr>
          <w:i/>
          <w:iCs/>
          <w:sz w:val="22"/>
          <w:szCs w:val="24"/>
          <w:u w:val="single"/>
        </w:rPr>
        <w:t>Pradinė dozė</w:t>
      </w:r>
    </w:p>
    <w:p w14:paraId="7C8FF6FF" w14:textId="77777777" w:rsidR="000A0762" w:rsidRPr="003F564F" w:rsidRDefault="000A0762" w:rsidP="000A0762">
      <w:pPr>
        <w:tabs>
          <w:tab w:val="left" w:pos="567"/>
        </w:tabs>
        <w:spacing w:line="260" w:lineRule="exact"/>
        <w:rPr>
          <w:i/>
          <w:iCs/>
          <w:sz w:val="22"/>
          <w:szCs w:val="24"/>
        </w:rPr>
      </w:pPr>
      <w:proofErr w:type="spellStart"/>
      <w:r w:rsidRPr="003F564F">
        <w:rPr>
          <w:i/>
          <w:iCs/>
          <w:sz w:val="22"/>
          <w:szCs w:val="24"/>
        </w:rPr>
        <w:t>Mielofibrozė</w:t>
      </w:r>
      <w:proofErr w:type="spellEnd"/>
      <w:r w:rsidRPr="003F564F">
        <w:rPr>
          <w:i/>
          <w:iCs/>
          <w:sz w:val="22"/>
          <w:szCs w:val="24"/>
        </w:rPr>
        <w:t xml:space="preserve"> (MF)</w:t>
      </w:r>
    </w:p>
    <w:p w14:paraId="34D3E07A" w14:textId="49B19EE4" w:rsidR="000A0762" w:rsidRPr="003F564F" w:rsidRDefault="000A0762" w:rsidP="000A0762">
      <w:pPr>
        <w:tabs>
          <w:tab w:val="left" w:pos="567"/>
        </w:tabs>
        <w:spacing w:line="260" w:lineRule="exact"/>
        <w:rPr>
          <w:sz w:val="22"/>
          <w:szCs w:val="24"/>
        </w:rPr>
      </w:pPr>
      <w:r w:rsidRPr="003F564F">
        <w:rPr>
          <w:sz w:val="22"/>
          <w:szCs w:val="24"/>
        </w:rPr>
        <w:t xml:space="preserve">Rekomenduojama pradinė </w:t>
      </w:r>
      <w:proofErr w:type="spellStart"/>
      <w:r w:rsidR="008B09E3">
        <w:rPr>
          <w:sz w:val="22"/>
          <w:szCs w:val="24"/>
        </w:rPr>
        <w:t>Ruxolitinib</w:t>
      </w:r>
      <w:proofErr w:type="spellEnd"/>
      <w:r w:rsidR="008B09E3">
        <w:rPr>
          <w:sz w:val="22"/>
          <w:szCs w:val="24"/>
        </w:rPr>
        <w:t xml:space="preserve"> </w:t>
      </w:r>
      <w:proofErr w:type="spellStart"/>
      <w:r w:rsidR="008B09E3">
        <w:rPr>
          <w:sz w:val="22"/>
          <w:szCs w:val="24"/>
        </w:rPr>
        <w:t>Sandoz</w:t>
      </w:r>
      <w:proofErr w:type="spellEnd"/>
      <w:r w:rsidRPr="003F564F">
        <w:rPr>
          <w:sz w:val="22"/>
          <w:szCs w:val="24"/>
        </w:rPr>
        <w:t xml:space="preserve"> dozė MF sergantiems pacientams yra nustatoma pagal trombocitų skaičių (žr. 1 lentelę).</w:t>
      </w:r>
    </w:p>
    <w:p w14:paraId="1EB7C762" w14:textId="77777777" w:rsidR="000A0762" w:rsidRPr="003F564F" w:rsidRDefault="000A0762" w:rsidP="000A0762">
      <w:pPr>
        <w:tabs>
          <w:tab w:val="left" w:pos="567"/>
        </w:tabs>
        <w:spacing w:line="260" w:lineRule="exact"/>
        <w:rPr>
          <w:sz w:val="22"/>
          <w:szCs w:val="24"/>
        </w:rPr>
      </w:pPr>
    </w:p>
    <w:p w14:paraId="3F57744C" w14:textId="1C5388D1" w:rsidR="000A0762" w:rsidRPr="003F564F" w:rsidRDefault="000A0762" w:rsidP="000A0762">
      <w:pPr>
        <w:tabs>
          <w:tab w:val="left" w:pos="567"/>
        </w:tabs>
        <w:spacing w:line="260" w:lineRule="exact"/>
        <w:rPr>
          <w:b/>
          <w:bCs/>
          <w:sz w:val="22"/>
          <w:szCs w:val="24"/>
        </w:rPr>
      </w:pPr>
      <w:r w:rsidRPr="003F564F">
        <w:rPr>
          <w:b/>
          <w:bCs/>
          <w:sz w:val="22"/>
          <w:szCs w:val="24"/>
        </w:rPr>
        <w:t>1 lentelė</w:t>
      </w:r>
      <w:r w:rsidR="00C03635" w:rsidRPr="003F564F">
        <w:rPr>
          <w:b/>
          <w:bCs/>
          <w:sz w:val="22"/>
          <w:szCs w:val="24"/>
        </w:rPr>
        <w:tab/>
      </w:r>
      <w:r w:rsidRPr="003F564F">
        <w:rPr>
          <w:b/>
          <w:bCs/>
          <w:sz w:val="22"/>
          <w:szCs w:val="24"/>
        </w:rPr>
        <w:t xml:space="preserve">Pradinės </w:t>
      </w:r>
      <w:proofErr w:type="spellStart"/>
      <w:r w:rsidRPr="003F564F">
        <w:rPr>
          <w:b/>
          <w:bCs/>
          <w:sz w:val="22"/>
          <w:szCs w:val="24"/>
        </w:rPr>
        <w:t>mielofibrozės</w:t>
      </w:r>
      <w:proofErr w:type="spellEnd"/>
      <w:r w:rsidRPr="003F564F">
        <w:rPr>
          <w:b/>
          <w:bCs/>
          <w:sz w:val="22"/>
          <w:szCs w:val="24"/>
        </w:rPr>
        <w:t xml:space="preserve"> gydymo dozės</w:t>
      </w:r>
    </w:p>
    <w:p w14:paraId="47C29E04" w14:textId="77777777" w:rsidR="008D3B35" w:rsidRPr="003F564F" w:rsidRDefault="008D3B35">
      <w:pPr>
        <w:tabs>
          <w:tab w:val="left" w:pos="567"/>
        </w:tabs>
        <w:spacing w:line="260" w:lineRule="exact"/>
        <w:rPr>
          <w:sz w:val="22"/>
          <w:szCs w:val="24"/>
        </w:rPr>
      </w:pPr>
    </w:p>
    <w:tbl>
      <w:tblPr>
        <w:tblStyle w:val="Lentelstinklelis"/>
        <w:tblW w:w="0" w:type="auto"/>
        <w:tblLook w:val="04A0" w:firstRow="1" w:lastRow="0" w:firstColumn="1" w:lastColumn="0" w:noHBand="0" w:noVBand="1"/>
      </w:tblPr>
      <w:tblGrid>
        <w:gridCol w:w="4563"/>
        <w:gridCol w:w="4507"/>
      </w:tblGrid>
      <w:tr w:rsidR="000A0762" w:rsidRPr="003F564F" w14:paraId="47E68C18" w14:textId="77777777" w:rsidTr="00E87F25">
        <w:tc>
          <w:tcPr>
            <w:tcW w:w="4857" w:type="dxa"/>
            <w:tcBorders>
              <w:left w:val="nil"/>
            </w:tcBorders>
          </w:tcPr>
          <w:p w14:paraId="20B1EFCD" w14:textId="3B8F3290" w:rsidR="000A0762" w:rsidRPr="003F564F" w:rsidRDefault="000A0762" w:rsidP="000A0762">
            <w:pPr>
              <w:tabs>
                <w:tab w:val="left" w:pos="567"/>
              </w:tabs>
              <w:spacing w:line="260" w:lineRule="exact"/>
              <w:rPr>
                <w:b/>
                <w:bCs/>
                <w:sz w:val="22"/>
                <w:szCs w:val="24"/>
              </w:rPr>
            </w:pPr>
            <w:r w:rsidRPr="003F564F">
              <w:rPr>
                <w:b/>
                <w:bCs/>
                <w:sz w:val="22"/>
                <w:szCs w:val="24"/>
              </w:rPr>
              <w:t>Trombocitų skaičius</w:t>
            </w:r>
          </w:p>
        </w:tc>
        <w:tc>
          <w:tcPr>
            <w:tcW w:w="4857" w:type="dxa"/>
            <w:tcBorders>
              <w:right w:val="nil"/>
            </w:tcBorders>
          </w:tcPr>
          <w:p w14:paraId="65494B9C" w14:textId="2FB2202D" w:rsidR="000A0762" w:rsidRPr="003F564F" w:rsidRDefault="000A0762">
            <w:pPr>
              <w:tabs>
                <w:tab w:val="left" w:pos="567"/>
              </w:tabs>
              <w:spacing w:line="260" w:lineRule="exact"/>
              <w:rPr>
                <w:b/>
                <w:bCs/>
                <w:sz w:val="22"/>
                <w:szCs w:val="24"/>
              </w:rPr>
            </w:pPr>
            <w:r w:rsidRPr="003F564F">
              <w:rPr>
                <w:b/>
                <w:bCs/>
                <w:sz w:val="22"/>
                <w:szCs w:val="24"/>
              </w:rPr>
              <w:t>Pradinė dozė</w:t>
            </w:r>
          </w:p>
        </w:tc>
      </w:tr>
      <w:tr w:rsidR="000A0762" w:rsidRPr="003F564F" w14:paraId="4982A585" w14:textId="77777777" w:rsidTr="00E87F25">
        <w:tc>
          <w:tcPr>
            <w:tcW w:w="4857" w:type="dxa"/>
            <w:tcBorders>
              <w:left w:val="nil"/>
            </w:tcBorders>
          </w:tcPr>
          <w:p w14:paraId="72994830" w14:textId="5CD93AFC" w:rsidR="000A0762" w:rsidRPr="003F564F" w:rsidRDefault="000A0762" w:rsidP="000A0762">
            <w:pPr>
              <w:tabs>
                <w:tab w:val="left" w:pos="567"/>
              </w:tabs>
              <w:spacing w:line="260" w:lineRule="exact"/>
              <w:rPr>
                <w:sz w:val="22"/>
                <w:szCs w:val="24"/>
              </w:rPr>
            </w:pPr>
            <w:r w:rsidRPr="003F564F">
              <w:rPr>
                <w:sz w:val="22"/>
                <w:szCs w:val="24"/>
              </w:rPr>
              <w:t>Daugiau nei 200 000/mm</w:t>
            </w:r>
            <w:r w:rsidRPr="003F564F">
              <w:rPr>
                <w:sz w:val="22"/>
                <w:szCs w:val="24"/>
                <w:vertAlign w:val="superscript"/>
              </w:rPr>
              <w:t>3</w:t>
            </w:r>
          </w:p>
        </w:tc>
        <w:tc>
          <w:tcPr>
            <w:tcW w:w="4857" w:type="dxa"/>
            <w:tcBorders>
              <w:right w:val="nil"/>
            </w:tcBorders>
          </w:tcPr>
          <w:p w14:paraId="7D73409C" w14:textId="5869105B" w:rsidR="000A0762" w:rsidRPr="003F564F" w:rsidRDefault="000A0762">
            <w:pPr>
              <w:tabs>
                <w:tab w:val="left" w:pos="567"/>
              </w:tabs>
              <w:spacing w:line="260" w:lineRule="exact"/>
              <w:rPr>
                <w:sz w:val="22"/>
                <w:szCs w:val="24"/>
              </w:rPr>
            </w:pPr>
            <w:r w:rsidRPr="003F564F">
              <w:rPr>
                <w:sz w:val="22"/>
                <w:szCs w:val="24"/>
              </w:rPr>
              <w:t>Po 20 mg du kartus per parą</w:t>
            </w:r>
          </w:p>
        </w:tc>
      </w:tr>
      <w:tr w:rsidR="000A0762" w:rsidRPr="003F564F" w14:paraId="26CB3670" w14:textId="77777777" w:rsidTr="00E87F25">
        <w:tc>
          <w:tcPr>
            <w:tcW w:w="4857" w:type="dxa"/>
            <w:tcBorders>
              <w:left w:val="nil"/>
            </w:tcBorders>
          </w:tcPr>
          <w:p w14:paraId="3414BB1B" w14:textId="08C708F5" w:rsidR="000A0762" w:rsidRPr="003F564F" w:rsidRDefault="000A0762" w:rsidP="000A0762">
            <w:pPr>
              <w:tabs>
                <w:tab w:val="left" w:pos="567"/>
              </w:tabs>
              <w:spacing w:line="260" w:lineRule="exact"/>
              <w:rPr>
                <w:sz w:val="22"/>
                <w:szCs w:val="24"/>
              </w:rPr>
            </w:pPr>
            <w:r w:rsidRPr="003F564F">
              <w:rPr>
                <w:sz w:val="22"/>
                <w:szCs w:val="24"/>
              </w:rPr>
              <w:t>Nuo 100 000 iki 200 000/mm</w:t>
            </w:r>
            <w:r w:rsidRPr="003F564F">
              <w:rPr>
                <w:sz w:val="22"/>
                <w:szCs w:val="24"/>
                <w:vertAlign w:val="superscript"/>
              </w:rPr>
              <w:t>3</w:t>
            </w:r>
          </w:p>
        </w:tc>
        <w:tc>
          <w:tcPr>
            <w:tcW w:w="4857" w:type="dxa"/>
            <w:tcBorders>
              <w:right w:val="nil"/>
            </w:tcBorders>
          </w:tcPr>
          <w:p w14:paraId="1A5AC1D8" w14:textId="5154DD3E" w:rsidR="000A0762" w:rsidRPr="003F564F" w:rsidRDefault="000A0762">
            <w:pPr>
              <w:tabs>
                <w:tab w:val="left" w:pos="567"/>
              </w:tabs>
              <w:spacing w:line="260" w:lineRule="exact"/>
              <w:rPr>
                <w:sz w:val="22"/>
                <w:szCs w:val="24"/>
              </w:rPr>
            </w:pPr>
            <w:r w:rsidRPr="003F564F">
              <w:rPr>
                <w:sz w:val="22"/>
                <w:szCs w:val="24"/>
              </w:rPr>
              <w:t>Po 15 mg du kartus per parą</w:t>
            </w:r>
          </w:p>
        </w:tc>
      </w:tr>
      <w:tr w:rsidR="000A0762" w:rsidRPr="003F564F" w14:paraId="28178A9B" w14:textId="77777777" w:rsidTr="00E87F25">
        <w:tc>
          <w:tcPr>
            <w:tcW w:w="4857" w:type="dxa"/>
            <w:tcBorders>
              <w:left w:val="nil"/>
            </w:tcBorders>
          </w:tcPr>
          <w:p w14:paraId="5CF43EA7" w14:textId="283F564B" w:rsidR="000A0762" w:rsidRPr="003F564F" w:rsidRDefault="000A0762" w:rsidP="000A0762">
            <w:pPr>
              <w:tabs>
                <w:tab w:val="left" w:pos="567"/>
              </w:tabs>
              <w:spacing w:line="260" w:lineRule="exact"/>
              <w:rPr>
                <w:sz w:val="22"/>
                <w:szCs w:val="24"/>
              </w:rPr>
            </w:pPr>
            <w:r w:rsidRPr="003F564F">
              <w:rPr>
                <w:sz w:val="22"/>
                <w:szCs w:val="24"/>
              </w:rPr>
              <w:t>Nuo 75 000 iki &lt; 100 000/mm</w:t>
            </w:r>
            <w:r w:rsidRPr="003F564F">
              <w:rPr>
                <w:sz w:val="22"/>
                <w:szCs w:val="24"/>
                <w:vertAlign w:val="superscript"/>
              </w:rPr>
              <w:t>3</w:t>
            </w:r>
          </w:p>
        </w:tc>
        <w:tc>
          <w:tcPr>
            <w:tcW w:w="4857" w:type="dxa"/>
            <w:tcBorders>
              <w:right w:val="nil"/>
            </w:tcBorders>
          </w:tcPr>
          <w:p w14:paraId="21146FF3" w14:textId="23A3FF4D" w:rsidR="000A0762" w:rsidRPr="003F564F" w:rsidRDefault="000A0762">
            <w:pPr>
              <w:tabs>
                <w:tab w:val="left" w:pos="567"/>
              </w:tabs>
              <w:spacing w:line="260" w:lineRule="exact"/>
              <w:rPr>
                <w:sz w:val="22"/>
                <w:szCs w:val="24"/>
              </w:rPr>
            </w:pPr>
            <w:r w:rsidRPr="003F564F">
              <w:rPr>
                <w:sz w:val="22"/>
                <w:szCs w:val="24"/>
              </w:rPr>
              <w:t>Po 10 mg du kartus per parą</w:t>
            </w:r>
          </w:p>
        </w:tc>
      </w:tr>
      <w:tr w:rsidR="000A0762" w:rsidRPr="003F564F" w14:paraId="160C1EAF" w14:textId="77777777" w:rsidTr="00E87F25">
        <w:tc>
          <w:tcPr>
            <w:tcW w:w="4857" w:type="dxa"/>
            <w:tcBorders>
              <w:left w:val="nil"/>
            </w:tcBorders>
          </w:tcPr>
          <w:p w14:paraId="45A6E1F4" w14:textId="60E3A093" w:rsidR="000A0762" w:rsidRPr="003F564F" w:rsidRDefault="000A0762" w:rsidP="000A0762">
            <w:pPr>
              <w:tabs>
                <w:tab w:val="left" w:pos="567"/>
              </w:tabs>
              <w:spacing w:line="260" w:lineRule="exact"/>
              <w:rPr>
                <w:sz w:val="22"/>
                <w:szCs w:val="24"/>
              </w:rPr>
            </w:pPr>
            <w:r w:rsidRPr="003F564F">
              <w:rPr>
                <w:sz w:val="22"/>
                <w:szCs w:val="24"/>
              </w:rPr>
              <w:lastRenderedPageBreak/>
              <w:t>Nuo 50 000 iki &lt; 75 000/mm</w:t>
            </w:r>
            <w:r w:rsidRPr="003F564F">
              <w:rPr>
                <w:sz w:val="22"/>
                <w:szCs w:val="24"/>
                <w:vertAlign w:val="superscript"/>
              </w:rPr>
              <w:t>3</w:t>
            </w:r>
          </w:p>
        </w:tc>
        <w:tc>
          <w:tcPr>
            <w:tcW w:w="4857" w:type="dxa"/>
            <w:tcBorders>
              <w:right w:val="nil"/>
            </w:tcBorders>
          </w:tcPr>
          <w:p w14:paraId="2E372ED3" w14:textId="5E78D0FF" w:rsidR="000A0762" w:rsidRPr="003F564F" w:rsidRDefault="000A0762">
            <w:pPr>
              <w:tabs>
                <w:tab w:val="left" w:pos="567"/>
              </w:tabs>
              <w:spacing w:line="260" w:lineRule="exact"/>
              <w:rPr>
                <w:sz w:val="22"/>
                <w:szCs w:val="24"/>
              </w:rPr>
            </w:pPr>
            <w:r w:rsidRPr="003F564F">
              <w:rPr>
                <w:sz w:val="22"/>
                <w:szCs w:val="24"/>
              </w:rPr>
              <w:t>Po 5 mg du kartus per parą</w:t>
            </w:r>
          </w:p>
        </w:tc>
      </w:tr>
    </w:tbl>
    <w:p w14:paraId="3984C072" w14:textId="77777777" w:rsidR="000A0762" w:rsidRPr="003F564F" w:rsidRDefault="000A0762">
      <w:pPr>
        <w:tabs>
          <w:tab w:val="left" w:pos="567"/>
        </w:tabs>
        <w:spacing w:line="260" w:lineRule="exact"/>
        <w:rPr>
          <w:sz w:val="22"/>
          <w:szCs w:val="24"/>
        </w:rPr>
      </w:pPr>
    </w:p>
    <w:p w14:paraId="5AE68F5D" w14:textId="77777777" w:rsidR="000A0762" w:rsidRPr="003F564F" w:rsidRDefault="000A0762" w:rsidP="000A0762">
      <w:pPr>
        <w:tabs>
          <w:tab w:val="left" w:pos="567"/>
        </w:tabs>
        <w:spacing w:line="260" w:lineRule="exact"/>
        <w:rPr>
          <w:i/>
          <w:iCs/>
          <w:sz w:val="22"/>
          <w:szCs w:val="24"/>
        </w:rPr>
      </w:pPr>
      <w:r w:rsidRPr="003F564F">
        <w:rPr>
          <w:i/>
          <w:iCs/>
          <w:sz w:val="22"/>
          <w:szCs w:val="24"/>
        </w:rPr>
        <w:t xml:space="preserve">Tikroji </w:t>
      </w:r>
      <w:proofErr w:type="spellStart"/>
      <w:r w:rsidRPr="003F564F">
        <w:rPr>
          <w:i/>
          <w:iCs/>
          <w:sz w:val="22"/>
          <w:szCs w:val="24"/>
        </w:rPr>
        <w:t>policitemija</w:t>
      </w:r>
      <w:proofErr w:type="spellEnd"/>
      <w:r w:rsidRPr="003F564F">
        <w:rPr>
          <w:i/>
          <w:iCs/>
          <w:sz w:val="22"/>
          <w:szCs w:val="24"/>
        </w:rPr>
        <w:t xml:space="preserve"> (TP)</w:t>
      </w:r>
    </w:p>
    <w:p w14:paraId="1103BB11" w14:textId="538C8F36" w:rsidR="006016EC" w:rsidRPr="003F564F" w:rsidRDefault="000A0762" w:rsidP="000A0762">
      <w:pPr>
        <w:tabs>
          <w:tab w:val="left" w:pos="567"/>
        </w:tabs>
        <w:spacing w:line="260" w:lineRule="exact"/>
        <w:rPr>
          <w:sz w:val="22"/>
          <w:szCs w:val="24"/>
        </w:rPr>
      </w:pPr>
      <w:r w:rsidRPr="003F564F">
        <w:rPr>
          <w:sz w:val="22"/>
          <w:szCs w:val="24"/>
        </w:rPr>
        <w:t xml:space="preserve">Rekomenduojama pradinė </w:t>
      </w:r>
      <w:proofErr w:type="spellStart"/>
      <w:r w:rsidR="008B09E3">
        <w:rPr>
          <w:sz w:val="22"/>
          <w:szCs w:val="24"/>
        </w:rPr>
        <w:t>Ruxolitinib</w:t>
      </w:r>
      <w:proofErr w:type="spellEnd"/>
      <w:r w:rsidR="008B09E3">
        <w:rPr>
          <w:sz w:val="22"/>
          <w:szCs w:val="24"/>
        </w:rPr>
        <w:t xml:space="preserve"> </w:t>
      </w:r>
      <w:proofErr w:type="spellStart"/>
      <w:r w:rsidR="008B09E3">
        <w:rPr>
          <w:sz w:val="22"/>
          <w:szCs w:val="24"/>
        </w:rPr>
        <w:t>Sandoz</w:t>
      </w:r>
      <w:proofErr w:type="spellEnd"/>
      <w:r w:rsidRPr="003F564F">
        <w:rPr>
          <w:sz w:val="22"/>
          <w:szCs w:val="24"/>
        </w:rPr>
        <w:t xml:space="preserve"> dozė TP sergantiems pacientams yra po 10</w:t>
      </w:r>
      <w:r w:rsidR="006016EC" w:rsidRPr="003F564F">
        <w:rPr>
          <w:sz w:val="22"/>
          <w:szCs w:val="24"/>
        </w:rPr>
        <w:t> </w:t>
      </w:r>
      <w:r w:rsidRPr="003F564F">
        <w:rPr>
          <w:sz w:val="22"/>
          <w:szCs w:val="24"/>
        </w:rPr>
        <w:t>mg du kartus per parą.</w:t>
      </w:r>
    </w:p>
    <w:p w14:paraId="56795DA8" w14:textId="77777777" w:rsidR="006016EC" w:rsidRPr="003F564F" w:rsidRDefault="006016EC" w:rsidP="000A0762">
      <w:pPr>
        <w:tabs>
          <w:tab w:val="left" w:pos="567"/>
        </w:tabs>
        <w:spacing w:line="260" w:lineRule="exact"/>
        <w:rPr>
          <w:sz w:val="22"/>
          <w:szCs w:val="24"/>
        </w:rPr>
      </w:pPr>
    </w:p>
    <w:p w14:paraId="2C13A38A" w14:textId="572C3851" w:rsidR="000A0762" w:rsidRPr="003F564F" w:rsidRDefault="000A0762" w:rsidP="000A0762">
      <w:pPr>
        <w:tabs>
          <w:tab w:val="left" w:pos="567"/>
        </w:tabs>
        <w:spacing w:line="260" w:lineRule="exact"/>
        <w:rPr>
          <w:i/>
          <w:iCs/>
          <w:sz w:val="22"/>
          <w:szCs w:val="24"/>
        </w:rPr>
      </w:pPr>
      <w:proofErr w:type="spellStart"/>
      <w:r w:rsidRPr="003F564F">
        <w:rPr>
          <w:i/>
          <w:iCs/>
          <w:sz w:val="22"/>
          <w:szCs w:val="24"/>
        </w:rPr>
        <w:t>Transplantato</w:t>
      </w:r>
      <w:proofErr w:type="spellEnd"/>
      <w:r w:rsidRPr="003F564F">
        <w:rPr>
          <w:i/>
          <w:iCs/>
          <w:sz w:val="22"/>
          <w:szCs w:val="24"/>
        </w:rPr>
        <w:t xml:space="preserve"> prieš šeimininką liga (</w:t>
      </w:r>
      <w:proofErr w:type="spellStart"/>
      <w:r w:rsidRPr="003F564F">
        <w:rPr>
          <w:i/>
          <w:iCs/>
          <w:sz w:val="22"/>
          <w:szCs w:val="24"/>
        </w:rPr>
        <w:t>TpŠL</w:t>
      </w:r>
      <w:proofErr w:type="spellEnd"/>
      <w:r w:rsidRPr="003F564F">
        <w:rPr>
          <w:i/>
          <w:iCs/>
          <w:sz w:val="22"/>
          <w:szCs w:val="24"/>
        </w:rPr>
        <w:t>)</w:t>
      </w:r>
    </w:p>
    <w:p w14:paraId="26B958D0" w14:textId="1C107DF5" w:rsidR="000A0762" w:rsidRPr="003F564F" w:rsidRDefault="000A0762" w:rsidP="000A0762">
      <w:pPr>
        <w:tabs>
          <w:tab w:val="left" w:pos="567"/>
        </w:tabs>
        <w:spacing w:line="260" w:lineRule="exact"/>
        <w:rPr>
          <w:sz w:val="22"/>
          <w:szCs w:val="24"/>
        </w:rPr>
      </w:pPr>
      <w:r w:rsidRPr="003F564F">
        <w:rPr>
          <w:sz w:val="22"/>
          <w:szCs w:val="24"/>
        </w:rPr>
        <w:t xml:space="preserve">Rekomenduojama pradinė </w:t>
      </w:r>
      <w:proofErr w:type="spellStart"/>
      <w:r w:rsidR="008B09E3">
        <w:rPr>
          <w:sz w:val="22"/>
          <w:szCs w:val="24"/>
        </w:rPr>
        <w:t>Ruxolitinib</w:t>
      </w:r>
      <w:proofErr w:type="spellEnd"/>
      <w:r w:rsidR="008B09E3">
        <w:rPr>
          <w:sz w:val="22"/>
          <w:szCs w:val="24"/>
        </w:rPr>
        <w:t xml:space="preserve"> </w:t>
      </w:r>
      <w:proofErr w:type="spellStart"/>
      <w:r w:rsidR="008B09E3">
        <w:rPr>
          <w:sz w:val="22"/>
          <w:szCs w:val="24"/>
        </w:rPr>
        <w:t>Sandoz</w:t>
      </w:r>
      <w:proofErr w:type="spellEnd"/>
      <w:r w:rsidRPr="003F564F">
        <w:rPr>
          <w:sz w:val="22"/>
          <w:szCs w:val="24"/>
        </w:rPr>
        <w:t xml:space="preserve"> dozė ūmine arba lėtine </w:t>
      </w:r>
      <w:proofErr w:type="spellStart"/>
      <w:r w:rsidRPr="003F564F">
        <w:rPr>
          <w:sz w:val="22"/>
          <w:szCs w:val="24"/>
        </w:rPr>
        <w:t>TpŠL</w:t>
      </w:r>
      <w:proofErr w:type="spellEnd"/>
      <w:r w:rsidRPr="003F564F">
        <w:rPr>
          <w:sz w:val="22"/>
          <w:szCs w:val="24"/>
        </w:rPr>
        <w:t xml:space="preserve"> sergantiems pacientams priklauso nuo</w:t>
      </w:r>
      <w:r w:rsidR="006016EC" w:rsidRPr="003F564F">
        <w:rPr>
          <w:sz w:val="22"/>
          <w:szCs w:val="24"/>
        </w:rPr>
        <w:t xml:space="preserve"> </w:t>
      </w:r>
      <w:r w:rsidRPr="003F564F">
        <w:rPr>
          <w:sz w:val="22"/>
          <w:szCs w:val="24"/>
        </w:rPr>
        <w:t>jų amžiaus (žr.</w:t>
      </w:r>
      <w:r w:rsidR="006016EC" w:rsidRPr="003F564F">
        <w:rPr>
          <w:sz w:val="22"/>
          <w:szCs w:val="24"/>
        </w:rPr>
        <w:t> </w:t>
      </w:r>
      <w:r w:rsidRPr="003F564F">
        <w:rPr>
          <w:sz w:val="22"/>
          <w:szCs w:val="24"/>
        </w:rPr>
        <w:t>2 ir 3</w:t>
      </w:r>
      <w:r w:rsidR="006016EC" w:rsidRPr="003F564F">
        <w:rPr>
          <w:sz w:val="22"/>
          <w:szCs w:val="24"/>
        </w:rPr>
        <w:t> </w:t>
      </w:r>
      <w:r w:rsidRPr="003F564F">
        <w:rPr>
          <w:sz w:val="22"/>
          <w:szCs w:val="24"/>
        </w:rPr>
        <w:t>lenteles).</w:t>
      </w:r>
    </w:p>
    <w:p w14:paraId="1B8F808B" w14:textId="77777777" w:rsidR="006016EC" w:rsidRPr="003F564F" w:rsidRDefault="006016EC" w:rsidP="000A0762">
      <w:pPr>
        <w:tabs>
          <w:tab w:val="left" w:pos="567"/>
        </w:tabs>
        <w:spacing w:line="260" w:lineRule="exact"/>
        <w:rPr>
          <w:sz w:val="22"/>
          <w:szCs w:val="24"/>
        </w:rPr>
      </w:pPr>
    </w:p>
    <w:p w14:paraId="2427AEED" w14:textId="4BB47D70" w:rsidR="000A0762" w:rsidRPr="003F564F" w:rsidRDefault="000A0762" w:rsidP="000A0762">
      <w:pPr>
        <w:tabs>
          <w:tab w:val="left" w:pos="567"/>
        </w:tabs>
        <w:spacing w:line="260" w:lineRule="exact"/>
        <w:rPr>
          <w:b/>
          <w:bCs/>
          <w:sz w:val="22"/>
          <w:szCs w:val="24"/>
        </w:rPr>
      </w:pPr>
      <w:r w:rsidRPr="003F564F">
        <w:rPr>
          <w:b/>
          <w:bCs/>
          <w:sz w:val="22"/>
          <w:szCs w:val="24"/>
        </w:rPr>
        <w:t>2</w:t>
      </w:r>
      <w:r w:rsidR="006016EC" w:rsidRPr="003F564F">
        <w:rPr>
          <w:b/>
          <w:bCs/>
          <w:sz w:val="22"/>
          <w:szCs w:val="24"/>
        </w:rPr>
        <w:t> </w:t>
      </w:r>
      <w:r w:rsidRPr="003F564F">
        <w:rPr>
          <w:b/>
          <w:bCs/>
          <w:sz w:val="22"/>
          <w:szCs w:val="24"/>
        </w:rPr>
        <w:t>lentelė</w:t>
      </w:r>
      <w:r w:rsidR="00C03635" w:rsidRPr="003F564F">
        <w:rPr>
          <w:b/>
          <w:bCs/>
          <w:sz w:val="22"/>
          <w:szCs w:val="24"/>
        </w:rPr>
        <w:tab/>
      </w:r>
      <w:r w:rsidRPr="003F564F">
        <w:rPr>
          <w:b/>
          <w:bCs/>
          <w:sz w:val="22"/>
          <w:szCs w:val="24"/>
        </w:rPr>
        <w:t xml:space="preserve">Pradinės dozės ūminės </w:t>
      </w:r>
      <w:proofErr w:type="spellStart"/>
      <w:r w:rsidRPr="003F564F">
        <w:rPr>
          <w:b/>
          <w:bCs/>
          <w:sz w:val="22"/>
          <w:szCs w:val="24"/>
        </w:rPr>
        <w:t>transplantato</w:t>
      </w:r>
      <w:proofErr w:type="spellEnd"/>
      <w:r w:rsidRPr="003F564F">
        <w:rPr>
          <w:b/>
          <w:bCs/>
          <w:sz w:val="22"/>
          <w:szCs w:val="24"/>
        </w:rPr>
        <w:t xml:space="preserve"> prieš šeimininką ligos gydymui</w:t>
      </w:r>
    </w:p>
    <w:p w14:paraId="44DEE062" w14:textId="77777777" w:rsidR="000A0762" w:rsidRPr="003F564F" w:rsidRDefault="000A0762" w:rsidP="000A0762">
      <w:pPr>
        <w:tabs>
          <w:tab w:val="left" w:pos="567"/>
        </w:tabs>
        <w:spacing w:line="260" w:lineRule="exact"/>
        <w:rPr>
          <w:sz w:val="22"/>
          <w:szCs w:val="24"/>
        </w:rPr>
      </w:pPr>
    </w:p>
    <w:tbl>
      <w:tblPr>
        <w:tblStyle w:val="Lentelstinklelis"/>
        <w:tblW w:w="0" w:type="auto"/>
        <w:tblLook w:val="04A0" w:firstRow="1" w:lastRow="0" w:firstColumn="1" w:lastColumn="0" w:noHBand="0" w:noVBand="1"/>
      </w:tblPr>
      <w:tblGrid>
        <w:gridCol w:w="4538"/>
        <w:gridCol w:w="4532"/>
      </w:tblGrid>
      <w:tr w:rsidR="000A0762" w:rsidRPr="003F564F" w14:paraId="67EE9D10" w14:textId="77777777" w:rsidTr="00E87F25">
        <w:tc>
          <w:tcPr>
            <w:tcW w:w="4857" w:type="dxa"/>
            <w:tcBorders>
              <w:left w:val="nil"/>
            </w:tcBorders>
          </w:tcPr>
          <w:p w14:paraId="01004DE5" w14:textId="730B092D" w:rsidR="000A0762" w:rsidRPr="003F564F" w:rsidRDefault="006016EC" w:rsidP="006016EC">
            <w:pPr>
              <w:tabs>
                <w:tab w:val="left" w:pos="567"/>
              </w:tabs>
              <w:spacing w:line="260" w:lineRule="exact"/>
              <w:rPr>
                <w:b/>
                <w:bCs/>
                <w:sz w:val="22"/>
                <w:szCs w:val="24"/>
              </w:rPr>
            </w:pPr>
            <w:r w:rsidRPr="003F564F">
              <w:rPr>
                <w:b/>
                <w:bCs/>
                <w:sz w:val="22"/>
                <w:szCs w:val="24"/>
              </w:rPr>
              <w:t>Amžiaus grupė</w:t>
            </w:r>
          </w:p>
        </w:tc>
        <w:tc>
          <w:tcPr>
            <w:tcW w:w="4857" w:type="dxa"/>
            <w:tcBorders>
              <w:right w:val="nil"/>
            </w:tcBorders>
          </w:tcPr>
          <w:p w14:paraId="03B8E9D1" w14:textId="7D74B493" w:rsidR="000A0762" w:rsidRPr="003F564F" w:rsidRDefault="006016EC" w:rsidP="000A0762">
            <w:pPr>
              <w:tabs>
                <w:tab w:val="left" w:pos="567"/>
              </w:tabs>
              <w:spacing w:line="260" w:lineRule="exact"/>
              <w:rPr>
                <w:b/>
                <w:bCs/>
                <w:sz w:val="22"/>
                <w:szCs w:val="24"/>
              </w:rPr>
            </w:pPr>
            <w:r w:rsidRPr="003F564F">
              <w:rPr>
                <w:b/>
                <w:bCs/>
                <w:sz w:val="22"/>
                <w:szCs w:val="24"/>
              </w:rPr>
              <w:t>Pradinė dozė</w:t>
            </w:r>
          </w:p>
        </w:tc>
      </w:tr>
      <w:tr w:rsidR="000A0762" w:rsidRPr="003F564F" w14:paraId="67214113" w14:textId="77777777" w:rsidTr="00E87F25">
        <w:tc>
          <w:tcPr>
            <w:tcW w:w="4857" w:type="dxa"/>
            <w:tcBorders>
              <w:left w:val="nil"/>
            </w:tcBorders>
          </w:tcPr>
          <w:p w14:paraId="480C659B" w14:textId="0E8958B7" w:rsidR="000A0762" w:rsidRPr="003F564F" w:rsidRDefault="006016EC" w:rsidP="006016EC">
            <w:pPr>
              <w:tabs>
                <w:tab w:val="left" w:pos="567"/>
              </w:tabs>
              <w:spacing w:line="260" w:lineRule="exact"/>
              <w:rPr>
                <w:sz w:val="22"/>
                <w:szCs w:val="24"/>
              </w:rPr>
            </w:pPr>
            <w:r w:rsidRPr="003F564F">
              <w:rPr>
                <w:sz w:val="22"/>
                <w:szCs w:val="24"/>
              </w:rPr>
              <w:t>12 metų ir vyresni</w:t>
            </w:r>
          </w:p>
        </w:tc>
        <w:tc>
          <w:tcPr>
            <w:tcW w:w="4857" w:type="dxa"/>
            <w:tcBorders>
              <w:right w:val="nil"/>
            </w:tcBorders>
          </w:tcPr>
          <w:p w14:paraId="1EA2D064" w14:textId="12B4A092" w:rsidR="000A0762" w:rsidRPr="003F564F" w:rsidRDefault="006016EC" w:rsidP="000A0762">
            <w:pPr>
              <w:tabs>
                <w:tab w:val="left" w:pos="567"/>
              </w:tabs>
              <w:spacing w:line="260" w:lineRule="exact"/>
              <w:rPr>
                <w:sz w:val="22"/>
                <w:szCs w:val="24"/>
              </w:rPr>
            </w:pPr>
            <w:r w:rsidRPr="003F564F">
              <w:rPr>
                <w:sz w:val="22"/>
                <w:szCs w:val="24"/>
              </w:rPr>
              <w:t>Po 10 mg du kartus per parą</w:t>
            </w:r>
          </w:p>
        </w:tc>
      </w:tr>
      <w:tr w:rsidR="000A0762" w:rsidRPr="003F564F" w14:paraId="4A87BE13" w14:textId="77777777" w:rsidTr="00E87F25">
        <w:tc>
          <w:tcPr>
            <w:tcW w:w="4857" w:type="dxa"/>
            <w:tcBorders>
              <w:left w:val="nil"/>
            </w:tcBorders>
          </w:tcPr>
          <w:p w14:paraId="01CA7150" w14:textId="68E3D693" w:rsidR="000A0762" w:rsidRPr="003F564F" w:rsidRDefault="006016EC" w:rsidP="006016EC">
            <w:pPr>
              <w:tabs>
                <w:tab w:val="left" w:pos="567"/>
              </w:tabs>
              <w:spacing w:line="260" w:lineRule="exact"/>
              <w:rPr>
                <w:sz w:val="22"/>
                <w:szCs w:val="24"/>
              </w:rPr>
            </w:pPr>
            <w:r w:rsidRPr="003F564F">
              <w:rPr>
                <w:sz w:val="22"/>
                <w:szCs w:val="24"/>
              </w:rPr>
              <w:t>Nuo 6 metų iki mažiau kaip 12 metų</w:t>
            </w:r>
          </w:p>
        </w:tc>
        <w:tc>
          <w:tcPr>
            <w:tcW w:w="4857" w:type="dxa"/>
            <w:tcBorders>
              <w:right w:val="nil"/>
            </w:tcBorders>
          </w:tcPr>
          <w:p w14:paraId="4E69C3C2" w14:textId="03AB1158" w:rsidR="000A0762" w:rsidRPr="003F564F" w:rsidRDefault="006016EC" w:rsidP="000A0762">
            <w:pPr>
              <w:tabs>
                <w:tab w:val="left" w:pos="567"/>
              </w:tabs>
              <w:spacing w:line="260" w:lineRule="exact"/>
              <w:rPr>
                <w:sz w:val="22"/>
                <w:szCs w:val="24"/>
              </w:rPr>
            </w:pPr>
            <w:r w:rsidRPr="003F564F">
              <w:rPr>
                <w:sz w:val="22"/>
                <w:szCs w:val="24"/>
              </w:rPr>
              <w:t>Po 5 mg du kartus per parą</w:t>
            </w:r>
          </w:p>
        </w:tc>
      </w:tr>
      <w:tr w:rsidR="000A0762" w:rsidRPr="003F564F" w14:paraId="7AC1626B" w14:textId="77777777" w:rsidTr="00E87F25">
        <w:tc>
          <w:tcPr>
            <w:tcW w:w="4857" w:type="dxa"/>
            <w:tcBorders>
              <w:left w:val="nil"/>
            </w:tcBorders>
          </w:tcPr>
          <w:p w14:paraId="5493AC27" w14:textId="4042A020" w:rsidR="000A0762" w:rsidRPr="003F564F" w:rsidRDefault="006016EC" w:rsidP="000A0762">
            <w:pPr>
              <w:tabs>
                <w:tab w:val="left" w:pos="567"/>
              </w:tabs>
              <w:spacing w:line="260" w:lineRule="exact"/>
              <w:rPr>
                <w:sz w:val="22"/>
                <w:szCs w:val="24"/>
              </w:rPr>
            </w:pPr>
            <w:r w:rsidRPr="003F564F">
              <w:rPr>
                <w:sz w:val="22"/>
                <w:szCs w:val="24"/>
              </w:rPr>
              <w:t>Nuo 28 dienų iki mažiau kaip 6 metų</w:t>
            </w:r>
          </w:p>
        </w:tc>
        <w:tc>
          <w:tcPr>
            <w:tcW w:w="4857" w:type="dxa"/>
            <w:tcBorders>
              <w:right w:val="nil"/>
            </w:tcBorders>
          </w:tcPr>
          <w:p w14:paraId="4040386C" w14:textId="25D5A571" w:rsidR="000A0762" w:rsidRPr="003F564F" w:rsidRDefault="006016EC" w:rsidP="000A0762">
            <w:pPr>
              <w:tabs>
                <w:tab w:val="left" w:pos="567"/>
              </w:tabs>
              <w:spacing w:line="260" w:lineRule="exact"/>
              <w:rPr>
                <w:sz w:val="22"/>
                <w:szCs w:val="24"/>
              </w:rPr>
            </w:pPr>
            <w:r w:rsidRPr="003F564F">
              <w:rPr>
                <w:sz w:val="22"/>
                <w:szCs w:val="24"/>
              </w:rPr>
              <w:t>Po 8 mg/m</w:t>
            </w:r>
            <w:r w:rsidRPr="003F564F">
              <w:rPr>
                <w:sz w:val="22"/>
                <w:szCs w:val="24"/>
                <w:vertAlign w:val="superscript"/>
              </w:rPr>
              <w:t>2</w:t>
            </w:r>
            <w:r w:rsidRPr="003F564F">
              <w:rPr>
                <w:sz w:val="22"/>
                <w:szCs w:val="24"/>
              </w:rPr>
              <w:t xml:space="preserve"> du kartus per parą</w:t>
            </w:r>
          </w:p>
        </w:tc>
      </w:tr>
    </w:tbl>
    <w:p w14:paraId="48652AA3" w14:textId="77777777" w:rsidR="000A0762" w:rsidRPr="003F564F" w:rsidRDefault="000A0762" w:rsidP="000A0762">
      <w:pPr>
        <w:tabs>
          <w:tab w:val="left" w:pos="567"/>
        </w:tabs>
        <w:spacing w:line="260" w:lineRule="exact"/>
        <w:rPr>
          <w:sz w:val="22"/>
          <w:szCs w:val="24"/>
        </w:rPr>
      </w:pPr>
    </w:p>
    <w:p w14:paraId="24D5ED6C" w14:textId="663CFE69" w:rsidR="000A0762" w:rsidRPr="003F564F" w:rsidRDefault="000A0762">
      <w:pPr>
        <w:tabs>
          <w:tab w:val="left" w:pos="567"/>
        </w:tabs>
        <w:spacing w:line="260" w:lineRule="exact"/>
        <w:rPr>
          <w:b/>
          <w:bCs/>
          <w:sz w:val="22"/>
          <w:szCs w:val="24"/>
        </w:rPr>
      </w:pPr>
      <w:r w:rsidRPr="003F564F">
        <w:rPr>
          <w:b/>
          <w:bCs/>
          <w:sz w:val="22"/>
          <w:szCs w:val="24"/>
        </w:rPr>
        <w:t>3</w:t>
      </w:r>
      <w:r w:rsidR="006016EC" w:rsidRPr="003F564F">
        <w:rPr>
          <w:b/>
          <w:bCs/>
          <w:sz w:val="22"/>
          <w:szCs w:val="24"/>
        </w:rPr>
        <w:t> </w:t>
      </w:r>
      <w:r w:rsidRPr="003F564F">
        <w:rPr>
          <w:b/>
          <w:bCs/>
          <w:sz w:val="22"/>
          <w:szCs w:val="24"/>
        </w:rPr>
        <w:t>lentelė</w:t>
      </w:r>
      <w:r w:rsidR="00C03635" w:rsidRPr="003F564F">
        <w:rPr>
          <w:b/>
          <w:bCs/>
          <w:sz w:val="22"/>
          <w:szCs w:val="24"/>
        </w:rPr>
        <w:tab/>
      </w:r>
      <w:r w:rsidRPr="003F564F">
        <w:rPr>
          <w:b/>
          <w:bCs/>
          <w:sz w:val="22"/>
          <w:szCs w:val="24"/>
        </w:rPr>
        <w:t xml:space="preserve">Pradinės dozės lėtinės </w:t>
      </w:r>
      <w:proofErr w:type="spellStart"/>
      <w:r w:rsidRPr="003F564F">
        <w:rPr>
          <w:b/>
          <w:bCs/>
          <w:sz w:val="22"/>
          <w:szCs w:val="24"/>
        </w:rPr>
        <w:t>transplantato</w:t>
      </w:r>
      <w:proofErr w:type="spellEnd"/>
      <w:r w:rsidRPr="003F564F">
        <w:rPr>
          <w:b/>
          <w:bCs/>
          <w:sz w:val="22"/>
          <w:szCs w:val="24"/>
        </w:rPr>
        <w:t xml:space="preserve"> prieš šeimininką ligos gydymui</w:t>
      </w:r>
    </w:p>
    <w:p w14:paraId="7B4EE767" w14:textId="77777777" w:rsidR="000A0762" w:rsidRPr="003F564F" w:rsidRDefault="000A0762">
      <w:pPr>
        <w:tabs>
          <w:tab w:val="left" w:pos="567"/>
        </w:tabs>
        <w:spacing w:line="260" w:lineRule="exact"/>
        <w:rPr>
          <w:sz w:val="22"/>
          <w:szCs w:val="24"/>
        </w:rPr>
      </w:pPr>
    </w:p>
    <w:tbl>
      <w:tblPr>
        <w:tblStyle w:val="Lentelstinklelis"/>
        <w:tblW w:w="0" w:type="auto"/>
        <w:tblLook w:val="04A0" w:firstRow="1" w:lastRow="0" w:firstColumn="1" w:lastColumn="0" w:noHBand="0" w:noVBand="1"/>
      </w:tblPr>
      <w:tblGrid>
        <w:gridCol w:w="4541"/>
        <w:gridCol w:w="4529"/>
      </w:tblGrid>
      <w:tr w:rsidR="000A0762" w:rsidRPr="003F564F" w14:paraId="1676D8B6" w14:textId="77777777" w:rsidTr="00E87F25">
        <w:tc>
          <w:tcPr>
            <w:tcW w:w="4857" w:type="dxa"/>
            <w:tcBorders>
              <w:left w:val="nil"/>
            </w:tcBorders>
          </w:tcPr>
          <w:p w14:paraId="3B3FE18E" w14:textId="6F7A8CC6" w:rsidR="000A0762" w:rsidRPr="003F564F" w:rsidRDefault="006016EC" w:rsidP="006016EC">
            <w:pPr>
              <w:tabs>
                <w:tab w:val="left" w:pos="567"/>
              </w:tabs>
              <w:spacing w:line="260" w:lineRule="exact"/>
              <w:rPr>
                <w:b/>
                <w:bCs/>
                <w:sz w:val="22"/>
                <w:szCs w:val="24"/>
              </w:rPr>
            </w:pPr>
            <w:r w:rsidRPr="003F564F">
              <w:rPr>
                <w:b/>
                <w:bCs/>
                <w:sz w:val="22"/>
                <w:szCs w:val="24"/>
              </w:rPr>
              <w:t>Amžiaus grupė</w:t>
            </w:r>
          </w:p>
        </w:tc>
        <w:tc>
          <w:tcPr>
            <w:tcW w:w="4857" w:type="dxa"/>
            <w:tcBorders>
              <w:right w:val="nil"/>
            </w:tcBorders>
          </w:tcPr>
          <w:p w14:paraId="1CBCEA57" w14:textId="6846DBB6" w:rsidR="000A0762" w:rsidRPr="003F564F" w:rsidRDefault="006016EC">
            <w:pPr>
              <w:tabs>
                <w:tab w:val="left" w:pos="567"/>
              </w:tabs>
              <w:spacing w:line="260" w:lineRule="exact"/>
              <w:rPr>
                <w:b/>
                <w:bCs/>
                <w:sz w:val="22"/>
                <w:szCs w:val="24"/>
              </w:rPr>
            </w:pPr>
            <w:r w:rsidRPr="003F564F">
              <w:rPr>
                <w:b/>
                <w:bCs/>
                <w:sz w:val="22"/>
                <w:szCs w:val="24"/>
              </w:rPr>
              <w:t>Pradinė dozė</w:t>
            </w:r>
          </w:p>
        </w:tc>
      </w:tr>
      <w:tr w:rsidR="000A0762" w:rsidRPr="003F564F" w14:paraId="6E09845B" w14:textId="77777777" w:rsidTr="00E87F25">
        <w:tc>
          <w:tcPr>
            <w:tcW w:w="4857" w:type="dxa"/>
            <w:tcBorders>
              <w:left w:val="nil"/>
            </w:tcBorders>
          </w:tcPr>
          <w:p w14:paraId="68646E12" w14:textId="6ABED751" w:rsidR="000A0762" w:rsidRPr="003F564F" w:rsidRDefault="006016EC" w:rsidP="006016EC">
            <w:pPr>
              <w:tabs>
                <w:tab w:val="left" w:pos="567"/>
              </w:tabs>
              <w:spacing w:line="260" w:lineRule="exact"/>
              <w:rPr>
                <w:sz w:val="22"/>
                <w:szCs w:val="24"/>
              </w:rPr>
            </w:pPr>
            <w:r w:rsidRPr="003F564F">
              <w:rPr>
                <w:sz w:val="22"/>
                <w:szCs w:val="24"/>
              </w:rPr>
              <w:t>12 metų ir vyresni</w:t>
            </w:r>
          </w:p>
        </w:tc>
        <w:tc>
          <w:tcPr>
            <w:tcW w:w="4857" w:type="dxa"/>
            <w:tcBorders>
              <w:right w:val="nil"/>
            </w:tcBorders>
          </w:tcPr>
          <w:p w14:paraId="6FDF8BF7" w14:textId="39066BFE" w:rsidR="000A0762" w:rsidRPr="003F564F" w:rsidRDefault="006016EC">
            <w:pPr>
              <w:tabs>
                <w:tab w:val="left" w:pos="567"/>
              </w:tabs>
              <w:spacing w:line="260" w:lineRule="exact"/>
              <w:rPr>
                <w:sz w:val="22"/>
                <w:szCs w:val="24"/>
              </w:rPr>
            </w:pPr>
            <w:r w:rsidRPr="003F564F">
              <w:rPr>
                <w:sz w:val="22"/>
                <w:szCs w:val="24"/>
              </w:rPr>
              <w:t>Po 10 mg du kartus per parą</w:t>
            </w:r>
          </w:p>
        </w:tc>
      </w:tr>
      <w:tr w:rsidR="000A0762" w:rsidRPr="003F564F" w14:paraId="24DE29D9" w14:textId="77777777" w:rsidTr="00E87F25">
        <w:tc>
          <w:tcPr>
            <w:tcW w:w="4857" w:type="dxa"/>
            <w:tcBorders>
              <w:left w:val="nil"/>
            </w:tcBorders>
          </w:tcPr>
          <w:p w14:paraId="7E277A2F" w14:textId="265C678F" w:rsidR="000A0762" w:rsidRPr="003F564F" w:rsidRDefault="006016EC" w:rsidP="006016EC">
            <w:pPr>
              <w:tabs>
                <w:tab w:val="left" w:pos="567"/>
              </w:tabs>
              <w:spacing w:line="260" w:lineRule="exact"/>
              <w:rPr>
                <w:sz w:val="22"/>
                <w:szCs w:val="24"/>
              </w:rPr>
            </w:pPr>
            <w:r w:rsidRPr="003F564F">
              <w:rPr>
                <w:sz w:val="22"/>
                <w:szCs w:val="24"/>
              </w:rPr>
              <w:t>Nuo 6 metų iki mažiau kaip 12 metų</w:t>
            </w:r>
          </w:p>
        </w:tc>
        <w:tc>
          <w:tcPr>
            <w:tcW w:w="4857" w:type="dxa"/>
            <w:tcBorders>
              <w:right w:val="nil"/>
            </w:tcBorders>
          </w:tcPr>
          <w:p w14:paraId="4B876944" w14:textId="6155863A" w:rsidR="000A0762" w:rsidRPr="003F564F" w:rsidRDefault="006016EC">
            <w:pPr>
              <w:tabs>
                <w:tab w:val="left" w:pos="567"/>
              </w:tabs>
              <w:spacing w:line="260" w:lineRule="exact"/>
              <w:rPr>
                <w:sz w:val="22"/>
                <w:szCs w:val="24"/>
              </w:rPr>
            </w:pPr>
            <w:r w:rsidRPr="003F564F">
              <w:rPr>
                <w:sz w:val="22"/>
                <w:szCs w:val="24"/>
              </w:rPr>
              <w:t>Po 5 mg du kartus per parą</w:t>
            </w:r>
          </w:p>
        </w:tc>
      </w:tr>
      <w:tr w:rsidR="000A0762" w:rsidRPr="003F564F" w14:paraId="5C91F1FA" w14:textId="77777777" w:rsidTr="00E87F25">
        <w:tc>
          <w:tcPr>
            <w:tcW w:w="4857" w:type="dxa"/>
            <w:tcBorders>
              <w:left w:val="nil"/>
            </w:tcBorders>
          </w:tcPr>
          <w:p w14:paraId="79F842FE" w14:textId="74336391" w:rsidR="000A0762" w:rsidRPr="003F564F" w:rsidRDefault="006016EC">
            <w:pPr>
              <w:tabs>
                <w:tab w:val="left" w:pos="567"/>
              </w:tabs>
              <w:spacing w:line="260" w:lineRule="exact"/>
              <w:rPr>
                <w:sz w:val="22"/>
                <w:szCs w:val="24"/>
              </w:rPr>
            </w:pPr>
            <w:r w:rsidRPr="003F564F">
              <w:rPr>
                <w:sz w:val="22"/>
                <w:szCs w:val="24"/>
              </w:rPr>
              <w:t>Nuo 6 mėnesių iki mažiau kaip 6 metų</w:t>
            </w:r>
          </w:p>
        </w:tc>
        <w:tc>
          <w:tcPr>
            <w:tcW w:w="4857" w:type="dxa"/>
            <w:tcBorders>
              <w:right w:val="nil"/>
            </w:tcBorders>
          </w:tcPr>
          <w:p w14:paraId="442F1052" w14:textId="2F340D13" w:rsidR="000A0762" w:rsidRPr="003F564F" w:rsidRDefault="006016EC">
            <w:pPr>
              <w:tabs>
                <w:tab w:val="left" w:pos="567"/>
              </w:tabs>
              <w:spacing w:line="260" w:lineRule="exact"/>
              <w:rPr>
                <w:sz w:val="22"/>
                <w:szCs w:val="24"/>
              </w:rPr>
            </w:pPr>
            <w:r w:rsidRPr="003F564F">
              <w:rPr>
                <w:sz w:val="22"/>
                <w:szCs w:val="24"/>
              </w:rPr>
              <w:t>Po 8 mg/m</w:t>
            </w:r>
            <w:r w:rsidRPr="003F564F">
              <w:rPr>
                <w:sz w:val="22"/>
                <w:szCs w:val="24"/>
                <w:vertAlign w:val="superscript"/>
              </w:rPr>
              <w:t>2</w:t>
            </w:r>
            <w:r w:rsidRPr="003F564F">
              <w:rPr>
                <w:sz w:val="22"/>
                <w:szCs w:val="24"/>
              </w:rPr>
              <w:t xml:space="preserve"> du kartus per parą</w:t>
            </w:r>
          </w:p>
        </w:tc>
      </w:tr>
    </w:tbl>
    <w:p w14:paraId="195A0187" w14:textId="77777777" w:rsidR="000A0762" w:rsidRPr="003F564F" w:rsidRDefault="000A0762">
      <w:pPr>
        <w:tabs>
          <w:tab w:val="left" w:pos="567"/>
        </w:tabs>
        <w:spacing w:line="260" w:lineRule="exact"/>
        <w:rPr>
          <w:sz w:val="22"/>
          <w:szCs w:val="24"/>
        </w:rPr>
      </w:pPr>
    </w:p>
    <w:p w14:paraId="6231D05A" w14:textId="52286EA6" w:rsidR="000A0762" w:rsidRPr="003F564F" w:rsidRDefault="000A0762" w:rsidP="000A0762">
      <w:pPr>
        <w:tabs>
          <w:tab w:val="left" w:pos="567"/>
        </w:tabs>
        <w:spacing w:line="260" w:lineRule="exact"/>
        <w:rPr>
          <w:sz w:val="22"/>
          <w:szCs w:val="24"/>
        </w:rPr>
      </w:pPr>
      <w:r w:rsidRPr="003F564F">
        <w:rPr>
          <w:sz w:val="22"/>
          <w:szCs w:val="24"/>
        </w:rPr>
        <w:t xml:space="preserve">Šias pradines dozes </w:t>
      </w:r>
      <w:proofErr w:type="spellStart"/>
      <w:r w:rsidRPr="003F564F">
        <w:rPr>
          <w:sz w:val="22"/>
          <w:szCs w:val="24"/>
        </w:rPr>
        <w:t>TpŠL</w:t>
      </w:r>
      <w:proofErr w:type="spellEnd"/>
      <w:r w:rsidRPr="003F564F">
        <w:rPr>
          <w:sz w:val="22"/>
          <w:szCs w:val="24"/>
        </w:rPr>
        <w:t xml:space="preserve"> gydyti galima skirti tablečių forma pacientams, kurie gali nuryti</w:t>
      </w:r>
      <w:r w:rsidR="00C03635" w:rsidRPr="003F564F">
        <w:rPr>
          <w:sz w:val="22"/>
          <w:szCs w:val="24"/>
        </w:rPr>
        <w:t xml:space="preserve"> </w:t>
      </w:r>
      <w:r w:rsidRPr="003F564F">
        <w:rPr>
          <w:sz w:val="22"/>
          <w:szCs w:val="24"/>
        </w:rPr>
        <w:t>nepadalintas tabletes arba geriamojo tirpalo forma</w:t>
      </w:r>
      <w:r w:rsidR="003F564F">
        <w:rPr>
          <w:sz w:val="22"/>
          <w:szCs w:val="24"/>
        </w:rPr>
        <w:t>, kuri gali būti tiekiama kito registruotojo</w:t>
      </w:r>
      <w:r w:rsidRPr="003F564F">
        <w:rPr>
          <w:sz w:val="22"/>
          <w:szCs w:val="24"/>
        </w:rPr>
        <w:t>.</w:t>
      </w:r>
    </w:p>
    <w:p w14:paraId="4844B2E5" w14:textId="77777777" w:rsidR="00C03635" w:rsidRPr="003F564F" w:rsidRDefault="00C03635" w:rsidP="000A0762">
      <w:pPr>
        <w:tabs>
          <w:tab w:val="left" w:pos="567"/>
        </w:tabs>
        <w:spacing w:line="260" w:lineRule="exact"/>
        <w:rPr>
          <w:sz w:val="22"/>
          <w:szCs w:val="24"/>
        </w:rPr>
      </w:pPr>
    </w:p>
    <w:p w14:paraId="2C12F958" w14:textId="4A93E126" w:rsidR="000A0762" w:rsidRPr="003F564F" w:rsidRDefault="008B09E3" w:rsidP="000A0762">
      <w:pPr>
        <w:tabs>
          <w:tab w:val="left" w:pos="567"/>
        </w:tabs>
        <w:spacing w:line="260" w:lineRule="exact"/>
        <w:rPr>
          <w:sz w:val="22"/>
          <w:szCs w:val="24"/>
        </w:rPr>
      </w:pPr>
      <w:proofErr w:type="spellStart"/>
      <w:r>
        <w:rPr>
          <w:sz w:val="22"/>
          <w:szCs w:val="24"/>
        </w:rPr>
        <w:t>Ruxolitinib</w:t>
      </w:r>
      <w:proofErr w:type="spellEnd"/>
      <w:r>
        <w:rPr>
          <w:sz w:val="22"/>
          <w:szCs w:val="24"/>
        </w:rPr>
        <w:t xml:space="preserve"> </w:t>
      </w:r>
      <w:proofErr w:type="spellStart"/>
      <w:r>
        <w:rPr>
          <w:sz w:val="22"/>
          <w:szCs w:val="24"/>
        </w:rPr>
        <w:t>Sandoz</w:t>
      </w:r>
      <w:proofErr w:type="spellEnd"/>
      <w:r w:rsidR="000A0762" w:rsidRPr="003F564F">
        <w:rPr>
          <w:sz w:val="22"/>
          <w:szCs w:val="24"/>
        </w:rPr>
        <w:t xml:space="preserve"> galima vartoti kartu su kortikosteroidais ir (arba) </w:t>
      </w:r>
      <w:proofErr w:type="spellStart"/>
      <w:r w:rsidR="000A0762" w:rsidRPr="003F564F">
        <w:rPr>
          <w:sz w:val="22"/>
          <w:szCs w:val="24"/>
        </w:rPr>
        <w:t>kalcineurino</w:t>
      </w:r>
      <w:proofErr w:type="spellEnd"/>
      <w:r w:rsidR="000A0762" w:rsidRPr="003F564F">
        <w:rPr>
          <w:sz w:val="22"/>
          <w:szCs w:val="24"/>
        </w:rPr>
        <w:t xml:space="preserve"> inhibitoriais (KNI).</w:t>
      </w:r>
    </w:p>
    <w:p w14:paraId="3DF250D4" w14:textId="77777777" w:rsidR="00C03635" w:rsidRPr="003F564F" w:rsidRDefault="00C03635" w:rsidP="000A0762">
      <w:pPr>
        <w:tabs>
          <w:tab w:val="left" w:pos="567"/>
        </w:tabs>
        <w:spacing w:line="260" w:lineRule="exact"/>
        <w:rPr>
          <w:sz w:val="22"/>
          <w:szCs w:val="24"/>
        </w:rPr>
      </w:pPr>
    </w:p>
    <w:p w14:paraId="6EF466FA" w14:textId="77777777" w:rsidR="000A0762" w:rsidRPr="003F564F" w:rsidRDefault="000A0762" w:rsidP="000A0762">
      <w:pPr>
        <w:tabs>
          <w:tab w:val="left" w:pos="567"/>
        </w:tabs>
        <w:spacing w:line="260" w:lineRule="exact"/>
        <w:rPr>
          <w:i/>
          <w:iCs/>
          <w:sz w:val="22"/>
          <w:szCs w:val="24"/>
          <w:u w:val="single"/>
        </w:rPr>
      </w:pPr>
      <w:r w:rsidRPr="003F564F">
        <w:rPr>
          <w:i/>
          <w:iCs/>
          <w:sz w:val="22"/>
          <w:szCs w:val="24"/>
          <w:u w:val="single"/>
        </w:rPr>
        <w:t>Dozės koregavimas</w:t>
      </w:r>
    </w:p>
    <w:p w14:paraId="311F85FF" w14:textId="77777777" w:rsidR="000A0762" w:rsidRPr="003F564F" w:rsidRDefault="000A0762" w:rsidP="000A0762">
      <w:pPr>
        <w:tabs>
          <w:tab w:val="left" w:pos="567"/>
        </w:tabs>
        <w:spacing w:line="260" w:lineRule="exact"/>
        <w:rPr>
          <w:sz w:val="22"/>
          <w:szCs w:val="24"/>
        </w:rPr>
      </w:pPr>
      <w:r w:rsidRPr="003F564F">
        <w:rPr>
          <w:sz w:val="22"/>
          <w:szCs w:val="24"/>
        </w:rPr>
        <w:t>Vaistinio preparato dozę galima koreguoti atsižvelgiant į veiksmingumo ir saugumo duomenis.</w:t>
      </w:r>
    </w:p>
    <w:p w14:paraId="5413631D" w14:textId="77777777" w:rsidR="00C03635" w:rsidRPr="003F564F" w:rsidRDefault="00C03635" w:rsidP="000A0762">
      <w:pPr>
        <w:tabs>
          <w:tab w:val="left" w:pos="567"/>
        </w:tabs>
        <w:spacing w:line="260" w:lineRule="exact"/>
        <w:rPr>
          <w:sz w:val="22"/>
          <w:szCs w:val="24"/>
        </w:rPr>
      </w:pPr>
    </w:p>
    <w:p w14:paraId="2164672C" w14:textId="1413BBAC" w:rsidR="000A0762" w:rsidRPr="003F564F" w:rsidRDefault="000A0762" w:rsidP="000A0762">
      <w:pPr>
        <w:tabs>
          <w:tab w:val="left" w:pos="567"/>
        </w:tabs>
        <w:spacing w:line="260" w:lineRule="exact"/>
        <w:rPr>
          <w:i/>
          <w:iCs/>
          <w:sz w:val="22"/>
          <w:szCs w:val="24"/>
        </w:rPr>
      </w:pPr>
      <w:proofErr w:type="spellStart"/>
      <w:r w:rsidRPr="003F564F">
        <w:rPr>
          <w:i/>
          <w:iCs/>
          <w:sz w:val="22"/>
          <w:szCs w:val="24"/>
        </w:rPr>
        <w:t>Mielofibrozė</w:t>
      </w:r>
      <w:proofErr w:type="spellEnd"/>
      <w:r w:rsidRPr="003F564F">
        <w:rPr>
          <w:i/>
          <w:iCs/>
          <w:sz w:val="22"/>
          <w:szCs w:val="24"/>
        </w:rPr>
        <w:t xml:space="preserve"> ir tikroji </w:t>
      </w:r>
      <w:proofErr w:type="spellStart"/>
      <w:r w:rsidRPr="003F564F">
        <w:rPr>
          <w:i/>
          <w:iCs/>
          <w:sz w:val="22"/>
          <w:szCs w:val="24"/>
        </w:rPr>
        <w:t>policitemija</w:t>
      </w:r>
      <w:proofErr w:type="spellEnd"/>
    </w:p>
    <w:p w14:paraId="0289975B" w14:textId="5C82FD24" w:rsidR="000A0762" w:rsidRPr="003F564F" w:rsidRDefault="000A0762" w:rsidP="000A0762">
      <w:pPr>
        <w:tabs>
          <w:tab w:val="left" w:pos="567"/>
        </w:tabs>
        <w:spacing w:line="260" w:lineRule="exact"/>
        <w:rPr>
          <w:sz w:val="22"/>
          <w:szCs w:val="24"/>
        </w:rPr>
      </w:pPr>
      <w:r w:rsidRPr="003F564F">
        <w:rPr>
          <w:sz w:val="22"/>
          <w:szCs w:val="24"/>
        </w:rPr>
        <w:t>Jei manoma, kad veiksmingumas yra nepakankamas ir yra tinkami kraujo rodikliai, dozė gali būti</w:t>
      </w:r>
      <w:r w:rsidR="00C03635" w:rsidRPr="003F564F">
        <w:rPr>
          <w:sz w:val="22"/>
          <w:szCs w:val="24"/>
        </w:rPr>
        <w:t xml:space="preserve"> </w:t>
      </w:r>
      <w:r w:rsidRPr="003F564F">
        <w:rPr>
          <w:sz w:val="22"/>
          <w:szCs w:val="24"/>
        </w:rPr>
        <w:t>didinama daugiausiai po 5</w:t>
      </w:r>
      <w:r w:rsidR="00C03635" w:rsidRPr="003F564F">
        <w:rPr>
          <w:sz w:val="22"/>
          <w:szCs w:val="24"/>
        </w:rPr>
        <w:t> </w:t>
      </w:r>
      <w:r w:rsidRPr="003F564F">
        <w:rPr>
          <w:sz w:val="22"/>
          <w:szCs w:val="24"/>
        </w:rPr>
        <w:t>mg du kartus per parą, iki didžiausios po 25</w:t>
      </w:r>
      <w:r w:rsidR="00C03635" w:rsidRPr="003F564F">
        <w:rPr>
          <w:sz w:val="22"/>
          <w:szCs w:val="24"/>
        </w:rPr>
        <w:t> </w:t>
      </w:r>
      <w:r w:rsidRPr="003F564F">
        <w:rPr>
          <w:sz w:val="22"/>
          <w:szCs w:val="24"/>
        </w:rPr>
        <w:t>mg du kartus per parą dozės.</w:t>
      </w:r>
    </w:p>
    <w:p w14:paraId="38265AC1" w14:textId="77777777" w:rsidR="00C03635" w:rsidRPr="003F564F" w:rsidRDefault="00C03635" w:rsidP="000A0762">
      <w:pPr>
        <w:tabs>
          <w:tab w:val="left" w:pos="567"/>
        </w:tabs>
        <w:spacing w:line="260" w:lineRule="exact"/>
        <w:rPr>
          <w:sz w:val="22"/>
          <w:szCs w:val="24"/>
        </w:rPr>
      </w:pPr>
    </w:p>
    <w:p w14:paraId="1A7FE959" w14:textId="425E0042" w:rsidR="000A0762" w:rsidRPr="003F564F" w:rsidRDefault="000A0762" w:rsidP="000A0762">
      <w:pPr>
        <w:tabs>
          <w:tab w:val="left" w:pos="567"/>
        </w:tabs>
        <w:spacing w:line="260" w:lineRule="exact"/>
        <w:rPr>
          <w:sz w:val="22"/>
          <w:szCs w:val="24"/>
        </w:rPr>
      </w:pPr>
      <w:r w:rsidRPr="003F564F">
        <w:rPr>
          <w:sz w:val="22"/>
          <w:szCs w:val="24"/>
        </w:rPr>
        <w:t>Pradinės dozės negalima didinti per pirmąsias keturias gydymo savaites, o vėliau ne dažniau nei kas</w:t>
      </w:r>
      <w:r w:rsidR="00C03635" w:rsidRPr="003F564F">
        <w:rPr>
          <w:sz w:val="22"/>
          <w:szCs w:val="24"/>
        </w:rPr>
        <w:t xml:space="preserve"> </w:t>
      </w:r>
      <w:r w:rsidRPr="003F564F">
        <w:rPr>
          <w:sz w:val="22"/>
          <w:szCs w:val="24"/>
        </w:rPr>
        <w:t>2</w:t>
      </w:r>
      <w:r w:rsidR="00C03635" w:rsidRPr="003F564F">
        <w:rPr>
          <w:sz w:val="22"/>
          <w:szCs w:val="24"/>
        </w:rPr>
        <w:t> </w:t>
      </w:r>
      <w:r w:rsidRPr="003F564F">
        <w:rPr>
          <w:sz w:val="22"/>
          <w:szCs w:val="24"/>
        </w:rPr>
        <w:t>savaites.</w:t>
      </w:r>
    </w:p>
    <w:p w14:paraId="0A0752E9" w14:textId="77777777" w:rsidR="00C03635" w:rsidRPr="003F564F" w:rsidRDefault="00C03635" w:rsidP="000A0762">
      <w:pPr>
        <w:tabs>
          <w:tab w:val="left" w:pos="567"/>
        </w:tabs>
        <w:spacing w:line="260" w:lineRule="exact"/>
        <w:rPr>
          <w:sz w:val="22"/>
          <w:szCs w:val="24"/>
        </w:rPr>
      </w:pPr>
    </w:p>
    <w:p w14:paraId="63A6BCB1" w14:textId="51915211" w:rsidR="000A0762" w:rsidRPr="003F564F" w:rsidRDefault="000A0762" w:rsidP="000A0762">
      <w:pPr>
        <w:tabs>
          <w:tab w:val="left" w:pos="567"/>
        </w:tabs>
        <w:spacing w:line="260" w:lineRule="exact"/>
        <w:rPr>
          <w:sz w:val="22"/>
          <w:szCs w:val="24"/>
        </w:rPr>
      </w:pPr>
      <w:r w:rsidRPr="003F564F">
        <w:rPr>
          <w:sz w:val="22"/>
          <w:szCs w:val="24"/>
        </w:rPr>
        <w:t>Vaistinio preparato vartojimą reikia laikinai nutraukti tuomet, kai trombocitų skaičius tampa mažesnis</w:t>
      </w:r>
      <w:r w:rsidR="00C03635" w:rsidRPr="003F564F">
        <w:rPr>
          <w:sz w:val="22"/>
          <w:szCs w:val="24"/>
        </w:rPr>
        <w:t xml:space="preserve"> </w:t>
      </w:r>
      <w:r w:rsidRPr="003F564F">
        <w:rPr>
          <w:sz w:val="22"/>
          <w:szCs w:val="24"/>
        </w:rPr>
        <w:t>kaip 50</w:t>
      </w:r>
      <w:r w:rsidR="00C03635" w:rsidRPr="003F564F">
        <w:rPr>
          <w:sz w:val="22"/>
          <w:szCs w:val="24"/>
        </w:rPr>
        <w:t> </w:t>
      </w:r>
      <w:r w:rsidRPr="003F564F">
        <w:rPr>
          <w:sz w:val="22"/>
          <w:szCs w:val="24"/>
        </w:rPr>
        <w:t>000/mm</w:t>
      </w:r>
      <w:r w:rsidRPr="003F564F">
        <w:rPr>
          <w:sz w:val="22"/>
          <w:szCs w:val="24"/>
          <w:vertAlign w:val="superscript"/>
        </w:rPr>
        <w:t>3</w:t>
      </w:r>
      <w:r w:rsidRPr="003F564F">
        <w:rPr>
          <w:sz w:val="22"/>
          <w:szCs w:val="24"/>
        </w:rPr>
        <w:t xml:space="preserve"> arba absoliutus </w:t>
      </w:r>
      <w:proofErr w:type="spellStart"/>
      <w:r w:rsidRPr="003F564F">
        <w:rPr>
          <w:sz w:val="22"/>
          <w:szCs w:val="24"/>
        </w:rPr>
        <w:t>neutrofilų</w:t>
      </w:r>
      <w:proofErr w:type="spellEnd"/>
      <w:r w:rsidRPr="003F564F">
        <w:rPr>
          <w:sz w:val="22"/>
          <w:szCs w:val="24"/>
        </w:rPr>
        <w:t xml:space="preserve"> skaičius - mažesnis kaip 500/mm</w:t>
      </w:r>
      <w:r w:rsidRPr="003F564F">
        <w:rPr>
          <w:sz w:val="22"/>
          <w:szCs w:val="24"/>
          <w:vertAlign w:val="superscript"/>
        </w:rPr>
        <w:t>3</w:t>
      </w:r>
      <w:r w:rsidRPr="003F564F">
        <w:rPr>
          <w:sz w:val="22"/>
          <w:szCs w:val="24"/>
        </w:rPr>
        <w:t>. TP sergantiems</w:t>
      </w:r>
      <w:r w:rsidR="00C03635" w:rsidRPr="003F564F">
        <w:rPr>
          <w:sz w:val="22"/>
          <w:szCs w:val="24"/>
        </w:rPr>
        <w:t xml:space="preserve"> </w:t>
      </w:r>
      <w:r w:rsidRPr="003F564F">
        <w:rPr>
          <w:sz w:val="22"/>
          <w:szCs w:val="24"/>
        </w:rPr>
        <w:t>pacientams gydymą taip pat reikia laikinai nutraukti, kai hemoglobino koncentracija tampa mažesnė</w:t>
      </w:r>
      <w:r w:rsidR="00C03635" w:rsidRPr="003F564F">
        <w:rPr>
          <w:sz w:val="22"/>
          <w:szCs w:val="24"/>
        </w:rPr>
        <w:t xml:space="preserve"> </w:t>
      </w:r>
      <w:r w:rsidRPr="003F564F">
        <w:rPr>
          <w:sz w:val="22"/>
          <w:szCs w:val="24"/>
        </w:rPr>
        <w:t>kaip 8</w:t>
      </w:r>
      <w:r w:rsidR="00C03635" w:rsidRPr="003F564F">
        <w:rPr>
          <w:sz w:val="22"/>
          <w:szCs w:val="24"/>
        </w:rPr>
        <w:t> </w:t>
      </w:r>
      <w:r w:rsidRPr="003F564F">
        <w:rPr>
          <w:sz w:val="22"/>
          <w:szCs w:val="24"/>
        </w:rPr>
        <w:t>g/dl. Kraujo rodikliams tapus didesniais nei šios reikšmės, vaistinio preparato vartojimą galima</w:t>
      </w:r>
      <w:r w:rsidR="00C03635" w:rsidRPr="003F564F">
        <w:rPr>
          <w:sz w:val="22"/>
          <w:szCs w:val="24"/>
        </w:rPr>
        <w:t xml:space="preserve"> </w:t>
      </w:r>
      <w:r w:rsidRPr="003F564F">
        <w:rPr>
          <w:sz w:val="22"/>
          <w:szCs w:val="24"/>
        </w:rPr>
        <w:t>atnaujinti ir skirti po 5</w:t>
      </w:r>
      <w:r w:rsidR="00C03635" w:rsidRPr="003F564F">
        <w:rPr>
          <w:sz w:val="22"/>
          <w:szCs w:val="24"/>
        </w:rPr>
        <w:t> </w:t>
      </w:r>
      <w:r w:rsidRPr="003F564F">
        <w:rPr>
          <w:sz w:val="22"/>
          <w:szCs w:val="24"/>
        </w:rPr>
        <w:t>mg du kartus per parą bei laipsniškai didinti dozę atidžiai stebint bendrojo</w:t>
      </w:r>
      <w:r w:rsidR="00C03635" w:rsidRPr="003F564F">
        <w:rPr>
          <w:sz w:val="22"/>
          <w:szCs w:val="24"/>
        </w:rPr>
        <w:t xml:space="preserve"> </w:t>
      </w:r>
      <w:r w:rsidRPr="003F564F">
        <w:rPr>
          <w:sz w:val="22"/>
          <w:szCs w:val="24"/>
        </w:rPr>
        <w:t>kraujo tyrimo (įskaitant baltųjų kraujo ląstelių formulę) rodiklius.</w:t>
      </w:r>
    </w:p>
    <w:p w14:paraId="4278FADA" w14:textId="77777777" w:rsidR="00C03635" w:rsidRPr="003F564F" w:rsidRDefault="00C03635" w:rsidP="000A0762">
      <w:pPr>
        <w:tabs>
          <w:tab w:val="left" w:pos="567"/>
        </w:tabs>
        <w:spacing w:line="260" w:lineRule="exact"/>
        <w:rPr>
          <w:sz w:val="22"/>
          <w:szCs w:val="24"/>
        </w:rPr>
      </w:pPr>
    </w:p>
    <w:p w14:paraId="724BE510" w14:textId="62D9E198" w:rsidR="000A0762" w:rsidRPr="003F564F" w:rsidRDefault="000A0762" w:rsidP="000A0762">
      <w:pPr>
        <w:tabs>
          <w:tab w:val="left" w:pos="567"/>
        </w:tabs>
        <w:spacing w:line="260" w:lineRule="exact"/>
        <w:rPr>
          <w:sz w:val="22"/>
          <w:szCs w:val="24"/>
        </w:rPr>
      </w:pPr>
      <w:r w:rsidRPr="003F564F">
        <w:rPr>
          <w:sz w:val="22"/>
          <w:szCs w:val="24"/>
        </w:rPr>
        <w:t>Jeigu gydymo metu trombocitų skaičius mažėja, reikia apsvarstyti vaistinio preparato dozės mažinimo</w:t>
      </w:r>
      <w:r w:rsidR="00C03635" w:rsidRPr="003F564F">
        <w:rPr>
          <w:sz w:val="22"/>
          <w:szCs w:val="24"/>
        </w:rPr>
        <w:t xml:space="preserve"> </w:t>
      </w:r>
      <w:r w:rsidRPr="003F564F">
        <w:rPr>
          <w:sz w:val="22"/>
          <w:szCs w:val="24"/>
        </w:rPr>
        <w:t>klausimą (žr.</w:t>
      </w:r>
      <w:r w:rsidR="00C03635" w:rsidRPr="003F564F">
        <w:rPr>
          <w:sz w:val="22"/>
          <w:szCs w:val="24"/>
        </w:rPr>
        <w:t> </w:t>
      </w:r>
      <w:r w:rsidRPr="003F564F">
        <w:rPr>
          <w:sz w:val="22"/>
          <w:szCs w:val="24"/>
        </w:rPr>
        <w:t>4</w:t>
      </w:r>
      <w:r w:rsidR="00C03635" w:rsidRPr="003F564F">
        <w:rPr>
          <w:sz w:val="22"/>
          <w:szCs w:val="24"/>
        </w:rPr>
        <w:t> </w:t>
      </w:r>
      <w:r w:rsidRPr="003F564F">
        <w:rPr>
          <w:sz w:val="22"/>
          <w:szCs w:val="24"/>
        </w:rPr>
        <w:t>lentelę), siekiant išvengti vaistinio preparato vartojimo nutraukimo dėl</w:t>
      </w:r>
      <w:r w:rsidR="00C03635" w:rsidRPr="003F564F">
        <w:rPr>
          <w:sz w:val="22"/>
          <w:szCs w:val="24"/>
        </w:rPr>
        <w:t xml:space="preserve"> </w:t>
      </w:r>
      <w:proofErr w:type="spellStart"/>
      <w:r w:rsidRPr="003F564F">
        <w:rPr>
          <w:sz w:val="22"/>
          <w:szCs w:val="24"/>
        </w:rPr>
        <w:t>trombocitopenijos</w:t>
      </w:r>
      <w:proofErr w:type="spellEnd"/>
      <w:r w:rsidRPr="003F564F">
        <w:rPr>
          <w:sz w:val="22"/>
          <w:szCs w:val="24"/>
        </w:rPr>
        <w:t>.</w:t>
      </w:r>
    </w:p>
    <w:p w14:paraId="59A7E3D1" w14:textId="77777777" w:rsidR="000A0762" w:rsidRPr="003F564F" w:rsidRDefault="000A0762">
      <w:pPr>
        <w:tabs>
          <w:tab w:val="left" w:pos="567"/>
        </w:tabs>
        <w:spacing w:line="260" w:lineRule="exact"/>
        <w:rPr>
          <w:sz w:val="22"/>
          <w:szCs w:val="24"/>
        </w:rPr>
      </w:pPr>
    </w:p>
    <w:p w14:paraId="3EC91650" w14:textId="07DBE202" w:rsidR="000A0762" w:rsidRPr="003F564F" w:rsidRDefault="000A0762">
      <w:pPr>
        <w:tabs>
          <w:tab w:val="left" w:pos="567"/>
        </w:tabs>
        <w:spacing w:line="260" w:lineRule="exact"/>
        <w:rPr>
          <w:b/>
          <w:bCs/>
          <w:sz w:val="22"/>
          <w:szCs w:val="24"/>
        </w:rPr>
      </w:pPr>
      <w:r w:rsidRPr="003F564F">
        <w:rPr>
          <w:b/>
          <w:bCs/>
          <w:sz w:val="22"/>
          <w:szCs w:val="24"/>
        </w:rPr>
        <w:t>4</w:t>
      </w:r>
      <w:r w:rsidR="00C03635" w:rsidRPr="003F564F">
        <w:rPr>
          <w:b/>
          <w:bCs/>
          <w:sz w:val="22"/>
          <w:szCs w:val="24"/>
        </w:rPr>
        <w:t> </w:t>
      </w:r>
      <w:r w:rsidRPr="003F564F">
        <w:rPr>
          <w:b/>
          <w:bCs/>
          <w:sz w:val="22"/>
          <w:szCs w:val="24"/>
        </w:rPr>
        <w:t>lentelė</w:t>
      </w:r>
      <w:r w:rsidR="00C03635" w:rsidRPr="003F564F">
        <w:rPr>
          <w:b/>
          <w:bCs/>
          <w:sz w:val="22"/>
          <w:szCs w:val="24"/>
        </w:rPr>
        <w:tab/>
      </w:r>
      <w:r w:rsidRPr="003F564F">
        <w:rPr>
          <w:b/>
          <w:bCs/>
          <w:sz w:val="22"/>
          <w:szCs w:val="24"/>
        </w:rPr>
        <w:t xml:space="preserve">Gydymo dozės MF sergantiems pacientams esant </w:t>
      </w:r>
      <w:proofErr w:type="spellStart"/>
      <w:r w:rsidRPr="003F564F">
        <w:rPr>
          <w:b/>
          <w:bCs/>
          <w:sz w:val="22"/>
          <w:szCs w:val="24"/>
        </w:rPr>
        <w:t>trombocitopenijai</w:t>
      </w:r>
      <w:proofErr w:type="spellEnd"/>
    </w:p>
    <w:p w14:paraId="61C634FB" w14:textId="77777777" w:rsidR="000A0762" w:rsidRPr="003F564F" w:rsidRDefault="000A0762">
      <w:pPr>
        <w:tabs>
          <w:tab w:val="left" w:pos="567"/>
        </w:tabs>
        <w:spacing w:line="260" w:lineRule="exact"/>
        <w:rPr>
          <w:sz w:val="22"/>
          <w:szCs w:val="24"/>
        </w:rPr>
      </w:pPr>
    </w:p>
    <w:tbl>
      <w:tblPr>
        <w:tblStyle w:val="Lentelstinklelis"/>
        <w:tblW w:w="0" w:type="auto"/>
        <w:tblLook w:val="04A0" w:firstRow="1" w:lastRow="0" w:firstColumn="1" w:lastColumn="0" w:noHBand="0" w:noVBand="1"/>
      </w:tblPr>
      <w:tblGrid>
        <w:gridCol w:w="1652"/>
        <w:gridCol w:w="1516"/>
        <w:gridCol w:w="1481"/>
        <w:gridCol w:w="1413"/>
        <w:gridCol w:w="1499"/>
        <w:gridCol w:w="1499"/>
      </w:tblGrid>
      <w:tr w:rsidR="00C03635" w:rsidRPr="003F564F" w14:paraId="44800338" w14:textId="77777777" w:rsidTr="00C03635">
        <w:tc>
          <w:tcPr>
            <w:tcW w:w="1668" w:type="dxa"/>
            <w:vMerge w:val="restart"/>
          </w:tcPr>
          <w:p w14:paraId="4767F8E5" w14:textId="77777777" w:rsidR="00C03635" w:rsidRPr="003F564F" w:rsidRDefault="00C03635">
            <w:pPr>
              <w:tabs>
                <w:tab w:val="left" w:pos="567"/>
              </w:tabs>
              <w:spacing w:line="260" w:lineRule="exact"/>
              <w:rPr>
                <w:sz w:val="22"/>
                <w:szCs w:val="24"/>
              </w:rPr>
            </w:pPr>
          </w:p>
        </w:tc>
        <w:tc>
          <w:tcPr>
            <w:tcW w:w="8046" w:type="dxa"/>
            <w:gridSpan w:val="5"/>
          </w:tcPr>
          <w:p w14:paraId="6B8766CF" w14:textId="4C812B97" w:rsidR="00C03635" w:rsidRPr="003F564F" w:rsidRDefault="00C03635" w:rsidP="00C03635">
            <w:pPr>
              <w:tabs>
                <w:tab w:val="left" w:pos="567"/>
              </w:tabs>
              <w:spacing w:line="260" w:lineRule="exact"/>
              <w:jc w:val="center"/>
              <w:rPr>
                <w:b/>
                <w:bCs/>
                <w:sz w:val="22"/>
                <w:szCs w:val="24"/>
              </w:rPr>
            </w:pPr>
            <w:r w:rsidRPr="003F564F">
              <w:rPr>
                <w:b/>
                <w:bCs/>
                <w:sz w:val="22"/>
                <w:szCs w:val="24"/>
              </w:rPr>
              <w:t>Dozė mažėjant trombocitų skaičiui</w:t>
            </w:r>
          </w:p>
        </w:tc>
      </w:tr>
      <w:tr w:rsidR="00C03635" w:rsidRPr="003F564F" w14:paraId="2A7D07F9" w14:textId="77777777" w:rsidTr="00C03635">
        <w:tc>
          <w:tcPr>
            <w:tcW w:w="1668" w:type="dxa"/>
            <w:vMerge/>
          </w:tcPr>
          <w:p w14:paraId="41F049ED" w14:textId="77777777" w:rsidR="00C03635" w:rsidRPr="003F564F" w:rsidRDefault="00C03635">
            <w:pPr>
              <w:tabs>
                <w:tab w:val="left" w:pos="567"/>
              </w:tabs>
              <w:spacing w:line="260" w:lineRule="exact"/>
              <w:rPr>
                <w:sz w:val="22"/>
                <w:szCs w:val="24"/>
              </w:rPr>
            </w:pPr>
          </w:p>
        </w:tc>
        <w:tc>
          <w:tcPr>
            <w:tcW w:w="1652" w:type="dxa"/>
          </w:tcPr>
          <w:p w14:paraId="3A50DEBE" w14:textId="39306278" w:rsidR="00C03635" w:rsidRPr="003F564F" w:rsidRDefault="00C03635" w:rsidP="00C03635">
            <w:pPr>
              <w:tabs>
                <w:tab w:val="left" w:pos="567"/>
              </w:tabs>
              <w:spacing w:line="260" w:lineRule="exact"/>
              <w:rPr>
                <w:sz w:val="22"/>
                <w:szCs w:val="24"/>
              </w:rPr>
            </w:pPr>
            <w:r w:rsidRPr="003F564F">
              <w:rPr>
                <w:sz w:val="22"/>
                <w:szCs w:val="24"/>
              </w:rPr>
              <w:t>25 mg du kartus per parą</w:t>
            </w:r>
          </w:p>
        </w:tc>
        <w:tc>
          <w:tcPr>
            <w:tcW w:w="1608" w:type="dxa"/>
          </w:tcPr>
          <w:p w14:paraId="5DBC270D" w14:textId="58C6803C" w:rsidR="00C03635" w:rsidRPr="003F564F" w:rsidRDefault="00C03635" w:rsidP="00C03635">
            <w:pPr>
              <w:tabs>
                <w:tab w:val="left" w:pos="567"/>
              </w:tabs>
              <w:spacing w:line="260" w:lineRule="exact"/>
              <w:rPr>
                <w:sz w:val="22"/>
                <w:szCs w:val="24"/>
              </w:rPr>
            </w:pPr>
            <w:r w:rsidRPr="003F564F">
              <w:rPr>
                <w:sz w:val="22"/>
                <w:szCs w:val="24"/>
              </w:rPr>
              <w:t>20 mg du kartus per parą</w:t>
            </w:r>
          </w:p>
        </w:tc>
        <w:tc>
          <w:tcPr>
            <w:tcW w:w="1524" w:type="dxa"/>
          </w:tcPr>
          <w:p w14:paraId="4B7DEA1A" w14:textId="74C846CD" w:rsidR="00C03635" w:rsidRPr="003F564F" w:rsidRDefault="00C03635" w:rsidP="00C03635">
            <w:pPr>
              <w:tabs>
                <w:tab w:val="left" w:pos="567"/>
              </w:tabs>
              <w:spacing w:line="260" w:lineRule="exact"/>
              <w:rPr>
                <w:sz w:val="22"/>
                <w:szCs w:val="24"/>
              </w:rPr>
            </w:pPr>
            <w:r w:rsidRPr="003F564F">
              <w:rPr>
                <w:sz w:val="22"/>
                <w:szCs w:val="24"/>
              </w:rPr>
              <w:t>15 mg du kartus per parą</w:t>
            </w:r>
          </w:p>
        </w:tc>
        <w:tc>
          <w:tcPr>
            <w:tcW w:w="1631" w:type="dxa"/>
          </w:tcPr>
          <w:p w14:paraId="388AC16F" w14:textId="522446EC" w:rsidR="00C03635" w:rsidRPr="003F564F" w:rsidRDefault="00C03635" w:rsidP="00C03635">
            <w:pPr>
              <w:tabs>
                <w:tab w:val="left" w:pos="567"/>
              </w:tabs>
              <w:spacing w:line="260" w:lineRule="exact"/>
              <w:rPr>
                <w:sz w:val="22"/>
                <w:szCs w:val="24"/>
              </w:rPr>
            </w:pPr>
            <w:r w:rsidRPr="003F564F">
              <w:rPr>
                <w:sz w:val="22"/>
                <w:szCs w:val="24"/>
              </w:rPr>
              <w:t>10 mg du kartus per parą</w:t>
            </w:r>
          </w:p>
        </w:tc>
        <w:tc>
          <w:tcPr>
            <w:tcW w:w="1631" w:type="dxa"/>
          </w:tcPr>
          <w:p w14:paraId="3E2B9EEF" w14:textId="2649EF6F" w:rsidR="00C03635" w:rsidRPr="003F564F" w:rsidRDefault="00C03635" w:rsidP="00C03635">
            <w:pPr>
              <w:tabs>
                <w:tab w:val="left" w:pos="567"/>
              </w:tabs>
              <w:spacing w:line="260" w:lineRule="exact"/>
              <w:rPr>
                <w:sz w:val="22"/>
                <w:szCs w:val="24"/>
              </w:rPr>
            </w:pPr>
            <w:r w:rsidRPr="003F564F">
              <w:rPr>
                <w:sz w:val="22"/>
                <w:szCs w:val="24"/>
              </w:rPr>
              <w:t>5 mg du kartus per parą</w:t>
            </w:r>
          </w:p>
        </w:tc>
      </w:tr>
      <w:tr w:rsidR="00C03635" w:rsidRPr="003F564F" w14:paraId="0A185F42" w14:textId="77777777" w:rsidTr="00C03635">
        <w:tc>
          <w:tcPr>
            <w:tcW w:w="1668" w:type="dxa"/>
          </w:tcPr>
          <w:p w14:paraId="7E084418" w14:textId="6CABE0E5" w:rsidR="00C03635" w:rsidRPr="003F564F" w:rsidRDefault="00C03635">
            <w:pPr>
              <w:tabs>
                <w:tab w:val="left" w:pos="567"/>
              </w:tabs>
              <w:spacing w:line="260" w:lineRule="exact"/>
              <w:rPr>
                <w:b/>
                <w:bCs/>
                <w:sz w:val="22"/>
                <w:szCs w:val="24"/>
              </w:rPr>
            </w:pPr>
            <w:r w:rsidRPr="003F564F">
              <w:rPr>
                <w:b/>
                <w:bCs/>
                <w:sz w:val="22"/>
                <w:szCs w:val="24"/>
              </w:rPr>
              <w:t xml:space="preserve">Trombocitų skaičius </w:t>
            </w:r>
          </w:p>
        </w:tc>
        <w:tc>
          <w:tcPr>
            <w:tcW w:w="8046" w:type="dxa"/>
            <w:gridSpan w:val="5"/>
          </w:tcPr>
          <w:p w14:paraId="7A14C6B7" w14:textId="3384D08E" w:rsidR="00C03635" w:rsidRPr="003F564F" w:rsidRDefault="00C03635" w:rsidP="00C03635">
            <w:pPr>
              <w:tabs>
                <w:tab w:val="left" w:pos="567"/>
              </w:tabs>
              <w:spacing w:line="260" w:lineRule="exact"/>
              <w:jc w:val="center"/>
              <w:rPr>
                <w:b/>
                <w:bCs/>
                <w:sz w:val="22"/>
                <w:szCs w:val="24"/>
              </w:rPr>
            </w:pPr>
            <w:r w:rsidRPr="003F564F">
              <w:rPr>
                <w:b/>
                <w:bCs/>
                <w:sz w:val="22"/>
                <w:szCs w:val="24"/>
              </w:rPr>
              <w:t>Nauja dozė</w:t>
            </w:r>
          </w:p>
        </w:tc>
      </w:tr>
      <w:tr w:rsidR="006016EC" w:rsidRPr="003F564F" w14:paraId="56BEDCC2" w14:textId="77777777" w:rsidTr="00C03635">
        <w:tc>
          <w:tcPr>
            <w:tcW w:w="1668" w:type="dxa"/>
          </w:tcPr>
          <w:p w14:paraId="640B155B" w14:textId="51A0E607" w:rsidR="006016EC" w:rsidRPr="003F564F" w:rsidRDefault="006016EC" w:rsidP="00C03635">
            <w:pPr>
              <w:tabs>
                <w:tab w:val="left" w:pos="567"/>
              </w:tabs>
              <w:spacing w:line="260" w:lineRule="exact"/>
              <w:rPr>
                <w:sz w:val="22"/>
                <w:szCs w:val="24"/>
              </w:rPr>
            </w:pPr>
            <w:r w:rsidRPr="003F564F">
              <w:rPr>
                <w:sz w:val="22"/>
                <w:szCs w:val="24"/>
              </w:rPr>
              <w:t>Nuo 100</w:t>
            </w:r>
            <w:r w:rsidR="00C03635" w:rsidRPr="003F564F">
              <w:rPr>
                <w:sz w:val="22"/>
                <w:szCs w:val="24"/>
              </w:rPr>
              <w:t> </w:t>
            </w:r>
            <w:r w:rsidRPr="003F564F">
              <w:rPr>
                <w:sz w:val="22"/>
                <w:szCs w:val="24"/>
              </w:rPr>
              <w:t>000 iki</w:t>
            </w:r>
            <w:r w:rsidR="00C03635" w:rsidRPr="003F564F">
              <w:rPr>
                <w:sz w:val="22"/>
                <w:szCs w:val="24"/>
              </w:rPr>
              <w:t xml:space="preserve"> </w:t>
            </w:r>
            <w:r w:rsidRPr="003F564F">
              <w:rPr>
                <w:sz w:val="22"/>
                <w:szCs w:val="24"/>
              </w:rPr>
              <w:t>&lt;</w:t>
            </w:r>
            <w:r w:rsidR="00C03635" w:rsidRPr="003F564F">
              <w:rPr>
                <w:sz w:val="22"/>
                <w:szCs w:val="24"/>
              </w:rPr>
              <w:t> </w:t>
            </w:r>
            <w:r w:rsidRPr="003F564F">
              <w:rPr>
                <w:sz w:val="22"/>
                <w:szCs w:val="24"/>
              </w:rPr>
              <w:t>125</w:t>
            </w:r>
            <w:r w:rsidR="00C03635" w:rsidRPr="003F564F">
              <w:rPr>
                <w:sz w:val="22"/>
                <w:szCs w:val="24"/>
              </w:rPr>
              <w:t> </w:t>
            </w:r>
            <w:r w:rsidRPr="003F564F">
              <w:rPr>
                <w:sz w:val="22"/>
                <w:szCs w:val="24"/>
              </w:rPr>
              <w:t>000/mm</w:t>
            </w:r>
            <w:r w:rsidRPr="003F564F">
              <w:rPr>
                <w:sz w:val="22"/>
                <w:szCs w:val="24"/>
                <w:vertAlign w:val="superscript"/>
              </w:rPr>
              <w:t>3</w:t>
            </w:r>
          </w:p>
        </w:tc>
        <w:tc>
          <w:tcPr>
            <w:tcW w:w="1652" w:type="dxa"/>
          </w:tcPr>
          <w:p w14:paraId="183F2E9C" w14:textId="44DD0730" w:rsidR="006016EC" w:rsidRPr="003F564F" w:rsidRDefault="006016EC" w:rsidP="00C03635">
            <w:pPr>
              <w:tabs>
                <w:tab w:val="left" w:pos="567"/>
              </w:tabs>
              <w:spacing w:line="260" w:lineRule="exact"/>
              <w:rPr>
                <w:sz w:val="22"/>
                <w:szCs w:val="24"/>
              </w:rPr>
            </w:pPr>
            <w:r w:rsidRPr="003F564F">
              <w:rPr>
                <w:sz w:val="22"/>
                <w:szCs w:val="24"/>
              </w:rPr>
              <w:t>20</w:t>
            </w:r>
            <w:r w:rsidR="00C03635" w:rsidRPr="003F564F">
              <w:rPr>
                <w:sz w:val="22"/>
                <w:szCs w:val="24"/>
              </w:rPr>
              <w:t> </w:t>
            </w:r>
            <w:r w:rsidRPr="003F564F">
              <w:rPr>
                <w:sz w:val="22"/>
                <w:szCs w:val="24"/>
              </w:rPr>
              <w:t>mg</w:t>
            </w:r>
            <w:r w:rsidR="00C03635" w:rsidRPr="003F564F">
              <w:rPr>
                <w:sz w:val="22"/>
                <w:szCs w:val="24"/>
              </w:rPr>
              <w:t xml:space="preserve"> </w:t>
            </w:r>
            <w:r w:rsidRPr="003F564F">
              <w:rPr>
                <w:sz w:val="22"/>
                <w:szCs w:val="24"/>
              </w:rPr>
              <w:t>du kartus</w:t>
            </w:r>
            <w:r w:rsidR="00C03635" w:rsidRPr="003F564F">
              <w:rPr>
                <w:sz w:val="22"/>
                <w:szCs w:val="24"/>
              </w:rPr>
              <w:t xml:space="preserve"> </w:t>
            </w:r>
            <w:r w:rsidRPr="003F564F">
              <w:rPr>
                <w:sz w:val="22"/>
                <w:szCs w:val="24"/>
              </w:rPr>
              <w:t>per parą</w:t>
            </w:r>
          </w:p>
        </w:tc>
        <w:tc>
          <w:tcPr>
            <w:tcW w:w="1608" w:type="dxa"/>
          </w:tcPr>
          <w:p w14:paraId="4571FF52" w14:textId="6EC4D192" w:rsidR="006016EC" w:rsidRPr="003F564F" w:rsidRDefault="006016EC" w:rsidP="00C03635">
            <w:pPr>
              <w:tabs>
                <w:tab w:val="left" w:pos="567"/>
              </w:tabs>
              <w:spacing w:line="260" w:lineRule="exact"/>
              <w:rPr>
                <w:sz w:val="22"/>
                <w:szCs w:val="24"/>
              </w:rPr>
            </w:pPr>
            <w:r w:rsidRPr="003F564F">
              <w:rPr>
                <w:sz w:val="22"/>
                <w:szCs w:val="24"/>
              </w:rPr>
              <w:t>15</w:t>
            </w:r>
            <w:r w:rsidR="00C03635" w:rsidRPr="003F564F">
              <w:rPr>
                <w:sz w:val="22"/>
                <w:szCs w:val="24"/>
              </w:rPr>
              <w:t> </w:t>
            </w:r>
            <w:r w:rsidRPr="003F564F">
              <w:rPr>
                <w:sz w:val="22"/>
                <w:szCs w:val="24"/>
              </w:rPr>
              <w:t>mg</w:t>
            </w:r>
            <w:r w:rsidR="00C03635" w:rsidRPr="003F564F">
              <w:rPr>
                <w:sz w:val="22"/>
                <w:szCs w:val="24"/>
              </w:rPr>
              <w:t xml:space="preserve"> </w:t>
            </w:r>
            <w:r w:rsidRPr="003F564F">
              <w:rPr>
                <w:sz w:val="22"/>
                <w:szCs w:val="24"/>
              </w:rPr>
              <w:t>du kartus</w:t>
            </w:r>
            <w:r w:rsidR="00C03635" w:rsidRPr="003F564F">
              <w:rPr>
                <w:sz w:val="22"/>
                <w:szCs w:val="24"/>
              </w:rPr>
              <w:t xml:space="preserve"> </w:t>
            </w:r>
            <w:r w:rsidRPr="003F564F">
              <w:rPr>
                <w:sz w:val="22"/>
                <w:szCs w:val="24"/>
              </w:rPr>
              <w:t>per parą</w:t>
            </w:r>
          </w:p>
        </w:tc>
        <w:tc>
          <w:tcPr>
            <w:tcW w:w="1524" w:type="dxa"/>
          </w:tcPr>
          <w:p w14:paraId="4AEBD563" w14:textId="09A3AE7B" w:rsidR="006016EC" w:rsidRPr="003F564F" w:rsidRDefault="006016EC">
            <w:pPr>
              <w:tabs>
                <w:tab w:val="left" w:pos="567"/>
              </w:tabs>
              <w:spacing w:line="260" w:lineRule="exact"/>
              <w:rPr>
                <w:sz w:val="22"/>
                <w:szCs w:val="24"/>
              </w:rPr>
            </w:pPr>
            <w:r w:rsidRPr="003F564F">
              <w:rPr>
                <w:sz w:val="22"/>
                <w:szCs w:val="24"/>
              </w:rPr>
              <w:t>Nekeisti</w:t>
            </w:r>
          </w:p>
        </w:tc>
        <w:tc>
          <w:tcPr>
            <w:tcW w:w="1631" w:type="dxa"/>
          </w:tcPr>
          <w:p w14:paraId="54661214" w14:textId="67696AE4" w:rsidR="006016EC" w:rsidRPr="003F564F" w:rsidRDefault="006016EC">
            <w:pPr>
              <w:tabs>
                <w:tab w:val="left" w:pos="567"/>
              </w:tabs>
              <w:spacing w:line="260" w:lineRule="exact"/>
              <w:rPr>
                <w:sz w:val="22"/>
                <w:szCs w:val="24"/>
              </w:rPr>
            </w:pPr>
            <w:r w:rsidRPr="003F564F">
              <w:rPr>
                <w:sz w:val="22"/>
                <w:szCs w:val="24"/>
              </w:rPr>
              <w:t>Nekeisti</w:t>
            </w:r>
          </w:p>
        </w:tc>
        <w:tc>
          <w:tcPr>
            <w:tcW w:w="1631" w:type="dxa"/>
          </w:tcPr>
          <w:p w14:paraId="6AD05E4F" w14:textId="52368E3C" w:rsidR="006016EC" w:rsidRPr="003F564F" w:rsidRDefault="006016EC">
            <w:pPr>
              <w:tabs>
                <w:tab w:val="left" w:pos="567"/>
              </w:tabs>
              <w:spacing w:line="260" w:lineRule="exact"/>
              <w:rPr>
                <w:sz w:val="22"/>
                <w:szCs w:val="24"/>
              </w:rPr>
            </w:pPr>
            <w:r w:rsidRPr="003F564F">
              <w:rPr>
                <w:sz w:val="22"/>
                <w:szCs w:val="24"/>
              </w:rPr>
              <w:t>Nekeisti</w:t>
            </w:r>
          </w:p>
        </w:tc>
      </w:tr>
      <w:tr w:rsidR="006016EC" w:rsidRPr="003F564F" w14:paraId="1F978ED6" w14:textId="77777777" w:rsidTr="00C03635">
        <w:tc>
          <w:tcPr>
            <w:tcW w:w="1668" w:type="dxa"/>
          </w:tcPr>
          <w:p w14:paraId="7327D338" w14:textId="59F3E66B" w:rsidR="006016EC" w:rsidRPr="003F564F" w:rsidRDefault="006016EC" w:rsidP="00C03635">
            <w:pPr>
              <w:tabs>
                <w:tab w:val="left" w:pos="567"/>
              </w:tabs>
              <w:spacing w:line="260" w:lineRule="exact"/>
              <w:rPr>
                <w:sz w:val="22"/>
                <w:szCs w:val="24"/>
              </w:rPr>
            </w:pPr>
            <w:r w:rsidRPr="003F564F">
              <w:rPr>
                <w:sz w:val="22"/>
                <w:szCs w:val="24"/>
              </w:rPr>
              <w:t>Nuo 75</w:t>
            </w:r>
            <w:r w:rsidR="00C03635" w:rsidRPr="003F564F">
              <w:rPr>
                <w:sz w:val="22"/>
                <w:szCs w:val="24"/>
              </w:rPr>
              <w:t> </w:t>
            </w:r>
            <w:r w:rsidRPr="003F564F">
              <w:rPr>
                <w:sz w:val="22"/>
                <w:szCs w:val="24"/>
              </w:rPr>
              <w:t>000 iki</w:t>
            </w:r>
            <w:r w:rsidR="00C03635" w:rsidRPr="003F564F">
              <w:rPr>
                <w:sz w:val="22"/>
                <w:szCs w:val="24"/>
              </w:rPr>
              <w:t xml:space="preserve"> </w:t>
            </w:r>
            <w:r w:rsidRPr="003F564F">
              <w:rPr>
                <w:sz w:val="22"/>
                <w:szCs w:val="24"/>
              </w:rPr>
              <w:t>&lt;</w:t>
            </w:r>
            <w:r w:rsidR="00C03635" w:rsidRPr="003F564F">
              <w:rPr>
                <w:sz w:val="22"/>
                <w:szCs w:val="24"/>
              </w:rPr>
              <w:t> </w:t>
            </w:r>
            <w:r w:rsidRPr="003F564F">
              <w:rPr>
                <w:sz w:val="22"/>
                <w:szCs w:val="24"/>
              </w:rPr>
              <w:t>100</w:t>
            </w:r>
            <w:r w:rsidR="00C03635" w:rsidRPr="003F564F">
              <w:rPr>
                <w:sz w:val="22"/>
                <w:szCs w:val="24"/>
              </w:rPr>
              <w:t> </w:t>
            </w:r>
            <w:r w:rsidRPr="003F564F">
              <w:rPr>
                <w:sz w:val="22"/>
                <w:szCs w:val="24"/>
              </w:rPr>
              <w:t>000/mm</w:t>
            </w:r>
            <w:r w:rsidRPr="003F564F">
              <w:rPr>
                <w:sz w:val="22"/>
                <w:szCs w:val="24"/>
                <w:vertAlign w:val="superscript"/>
              </w:rPr>
              <w:t>3</w:t>
            </w:r>
          </w:p>
        </w:tc>
        <w:tc>
          <w:tcPr>
            <w:tcW w:w="1652" w:type="dxa"/>
          </w:tcPr>
          <w:p w14:paraId="59DEF5E4" w14:textId="65E49A60" w:rsidR="006016EC" w:rsidRPr="003F564F" w:rsidRDefault="006016EC" w:rsidP="00C03635">
            <w:pPr>
              <w:tabs>
                <w:tab w:val="left" w:pos="567"/>
              </w:tabs>
              <w:spacing w:line="260" w:lineRule="exact"/>
              <w:rPr>
                <w:sz w:val="22"/>
                <w:szCs w:val="24"/>
              </w:rPr>
            </w:pPr>
            <w:r w:rsidRPr="003F564F">
              <w:rPr>
                <w:sz w:val="22"/>
                <w:szCs w:val="24"/>
              </w:rPr>
              <w:t>10</w:t>
            </w:r>
            <w:r w:rsidR="00C03635" w:rsidRPr="003F564F">
              <w:rPr>
                <w:sz w:val="22"/>
                <w:szCs w:val="24"/>
              </w:rPr>
              <w:t> </w:t>
            </w:r>
            <w:r w:rsidRPr="003F564F">
              <w:rPr>
                <w:sz w:val="22"/>
                <w:szCs w:val="24"/>
              </w:rPr>
              <w:t>mg</w:t>
            </w:r>
            <w:r w:rsidR="00C03635" w:rsidRPr="003F564F">
              <w:rPr>
                <w:sz w:val="22"/>
                <w:szCs w:val="24"/>
              </w:rPr>
              <w:t xml:space="preserve"> </w:t>
            </w:r>
            <w:r w:rsidRPr="003F564F">
              <w:rPr>
                <w:sz w:val="22"/>
                <w:szCs w:val="24"/>
              </w:rPr>
              <w:t>du kartus</w:t>
            </w:r>
            <w:r w:rsidR="00C03635" w:rsidRPr="003F564F">
              <w:rPr>
                <w:sz w:val="22"/>
                <w:szCs w:val="24"/>
              </w:rPr>
              <w:t xml:space="preserve"> </w:t>
            </w:r>
            <w:r w:rsidRPr="003F564F">
              <w:rPr>
                <w:sz w:val="22"/>
                <w:szCs w:val="24"/>
              </w:rPr>
              <w:t>per parą</w:t>
            </w:r>
          </w:p>
        </w:tc>
        <w:tc>
          <w:tcPr>
            <w:tcW w:w="1608" w:type="dxa"/>
          </w:tcPr>
          <w:p w14:paraId="2092F0C6" w14:textId="625A754F" w:rsidR="006016EC" w:rsidRPr="003F564F" w:rsidRDefault="006016EC" w:rsidP="00C03635">
            <w:pPr>
              <w:tabs>
                <w:tab w:val="left" w:pos="567"/>
              </w:tabs>
              <w:spacing w:line="260" w:lineRule="exact"/>
              <w:rPr>
                <w:sz w:val="22"/>
                <w:szCs w:val="24"/>
              </w:rPr>
            </w:pPr>
            <w:r w:rsidRPr="003F564F">
              <w:rPr>
                <w:sz w:val="22"/>
                <w:szCs w:val="24"/>
              </w:rPr>
              <w:t>10</w:t>
            </w:r>
            <w:r w:rsidR="00C03635" w:rsidRPr="003F564F">
              <w:rPr>
                <w:sz w:val="22"/>
                <w:szCs w:val="24"/>
              </w:rPr>
              <w:t> </w:t>
            </w:r>
            <w:r w:rsidRPr="003F564F">
              <w:rPr>
                <w:sz w:val="22"/>
                <w:szCs w:val="24"/>
              </w:rPr>
              <w:t>mg</w:t>
            </w:r>
            <w:r w:rsidR="00C03635" w:rsidRPr="003F564F">
              <w:rPr>
                <w:sz w:val="22"/>
                <w:szCs w:val="24"/>
              </w:rPr>
              <w:t xml:space="preserve"> </w:t>
            </w:r>
            <w:r w:rsidRPr="003F564F">
              <w:rPr>
                <w:sz w:val="22"/>
                <w:szCs w:val="24"/>
              </w:rPr>
              <w:t>du kartus</w:t>
            </w:r>
            <w:r w:rsidR="00C03635" w:rsidRPr="003F564F">
              <w:rPr>
                <w:sz w:val="22"/>
                <w:szCs w:val="24"/>
              </w:rPr>
              <w:t xml:space="preserve"> </w:t>
            </w:r>
            <w:r w:rsidRPr="003F564F">
              <w:rPr>
                <w:sz w:val="22"/>
                <w:szCs w:val="24"/>
              </w:rPr>
              <w:t>per parą</w:t>
            </w:r>
          </w:p>
        </w:tc>
        <w:tc>
          <w:tcPr>
            <w:tcW w:w="1524" w:type="dxa"/>
          </w:tcPr>
          <w:p w14:paraId="598C110E" w14:textId="3BB909E1" w:rsidR="006016EC" w:rsidRPr="003F564F" w:rsidRDefault="006016EC" w:rsidP="00C03635">
            <w:pPr>
              <w:tabs>
                <w:tab w:val="left" w:pos="567"/>
              </w:tabs>
              <w:spacing w:line="260" w:lineRule="exact"/>
              <w:rPr>
                <w:sz w:val="22"/>
                <w:szCs w:val="24"/>
              </w:rPr>
            </w:pPr>
            <w:r w:rsidRPr="003F564F">
              <w:rPr>
                <w:sz w:val="22"/>
                <w:szCs w:val="24"/>
              </w:rPr>
              <w:t>10</w:t>
            </w:r>
            <w:r w:rsidR="00C03635" w:rsidRPr="003F564F">
              <w:rPr>
                <w:sz w:val="22"/>
                <w:szCs w:val="24"/>
              </w:rPr>
              <w:t> </w:t>
            </w:r>
            <w:r w:rsidRPr="003F564F">
              <w:rPr>
                <w:sz w:val="22"/>
                <w:szCs w:val="24"/>
              </w:rPr>
              <w:t>mg</w:t>
            </w:r>
            <w:r w:rsidR="00C03635" w:rsidRPr="003F564F">
              <w:rPr>
                <w:sz w:val="22"/>
                <w:szCs w:val="24"/>
              </w:rPr>
              <w:t xml:space="preserve"> </w:t>
            </w:r>
            <w:r w:rsidRPr="003F564F">
              <w:rPr>
                <w:sz w:val="22"/>
                <w:szCs w:val="24"/>
              </w:rPr>
              <w:t>du kartus</w:t>
            </w:r>
            <w:r w:rsidR="00C03635" w:rsidRPr="003F564F">
              <w:rPr>
                <w:sz w:val="22"/>
                <w:szCs w:val="24"/>
              </w:rPr>
              <w:t xml:space="preserve"> </w:t>
            </w:r>
            <w:r w:rsidRPr="003F564F">
              <w:rPr>
                <w:sz w:val="22"/>
                <w:szCs w:val="24"/>
              </w:rPr>
              <w:t>per parą</w:t>
            </w:r>
          </w:p>
        </w:tc>
        <w:tc>
          <w:tcPr>
            <w:tcW w:w="1631" w:type="dxa"/>
          </w:tcPr>
          <w:p w14:paraId="6D772F22" w14:textId="18A9C58A" w:rsidR="006016EC" w:rsidRPr="003F564F" w:rsidRDefault="006016EC">
            <w:pPr>
              <w:tabs>
                <w:tab w:val="left" w:pos="567"/>
              </w:tabs>
              <w:spacing w:line="260" w:lineRule="exact"/>
              <w:rPr>
                <w:sz w:val="22"/>
                <w:szCs w:val="24"/>
              </w:rPr>
            </w:pPr>
            <w:r w:rsidRPr="003F564F">
              <w:rPr>
                <w:sz w:val="22"/>
                <w:szCs w:val="24"/>
              </w:rPr>
              <w:t>Nekeisti</w:t>
            </w:r>
          </w:p>
        </w:tc>
        <w:tc>
          <w:tcPr>
            <w:tcW w:w="1631" w:type="dxa"/>
          </w:tcPr>
          <w:p w14:paraId="10581E85" w14:textId="440BEF16" w:rsidR="006016EC" w:rsidRPr="003F564F" w:rsidRDefault="006016EC">
            <w:pPr>
              <w:tabs>
                <w:tab w:val="left" w:pos="567"/>
              </w:tabs>
              <w:spacing w:line="260" w:lineRule="exact"/>
              <w:rPr>
                <w:sz w:val="22"/>
                <w:szCs w:val="24"/>
              </w:rPr>
            </w:pPr>
            <w:r w:rsidRPr="003F564F">
              <w:rPr>
                <w:sz w:val="22"/>
                <w:szCs w:val="24"/>
              </w:rPr>
              <w:t>Nekeisti</w:t>
            </w:r>
          </w:p>
        </w:tc>
      </w:tr>
      <w:tr w:rsidR="006016EC" w:rsidRPr="003F564F" w14:paraId="620CA975" w14:textId="77777777" w:rsidTr="00C03635">
        <w:tc>
          <w:tcPr>
            <w:tcW w:w="1668" w:type="dxa"/>
          </w:tcPr>
          <w:p w14:paraId="144F7C44" w14:textId="11E65B4F" w:rsidR="006016EC" w:rsidRPr="003F564F" w:rsidRDefault="006016EC" w:rsidP="00C03635">
            <w:pPr>
              <w:tabs>
                <w:tab w:val="left" w:pos="567"/>
              </w:tabs>
              <w:spacing w:line="260" w:lineRule="exact"/>
              <w:rPr>
                <w:sz w:val="22"/>
                <w:szCs w:val="24"/>
              </w:rPr>
            </w:pPr>
            <w:r w:rsidRPr="003F564F">
              <w:rPr>
                <w:sz w:val="22"/>
                <w:szCs w:val="24"/>
              </w:rPr>
              <w:t>Nuo 50</w:t>
            </w:r>
            <w:r w:rsidR="00C03635" w:rsidRPr="003F564F">
              <w:rPr>
                <w:sz w:val="22"/>
                <w:szCs w:val="24"/>
              </w:rPr>
              <w:t> </w:t>
            </w:r>
            <w:r w:rsidRPr="003F564F">
              <w:rPr>
                <w:sz w:val="22"/>
                <w:szCs w:val="24"/>
              </w:rPr>
              <w:t>000 iki</w:t>
            </w:r>
            <w:r w:rsidR="00C03635" w:rsidRPr="003F564F">
              <w:rPr>
                <w:sz w:val="22"/>
                <w:szCs w:val="24"/>
              </w:rPr>
              <w:t xml:space="preserve"> </w:t>
            </w:r>
            <w:r w:rsidRPr="003F564F">
              <w:rPr>
                <w:sz w:val="22"/>
                <w:szCs w:val="24"/>
              </w:rPr>
              <w:t>&lt;</w:t>
            </w:r>
            <w:r w:rsidR="00C03635" w:rsidRPr="003F564F">
              <w:rPr>
                <w:sz w:val="22"/>
                <w:szCs w:val="24"/>
              </w:rPr>
              <w:t> </w:t>
            </w:r>
            <w:r w:rsidRPr="003F564F">
              <w:rPr>
                <w:sz w:val="22"/>
                <w:szCs w:val="24"/>
              </w:rPr>
              <w:t>75</w:t>
            </w:r>
            <w:r w:rsidR="00C03635" w:rsidRPr="003F564F">
              <w:rPr>
                <w:sz w:val="22"/>
                <w:szCs w:val="24"/>
              </w:rPr>
              <w:t> </w:t>
            </w:r>
            <w:r w:rsidRPr="003F564F">
              <w:rPr>
                <w:sz w:val="22"/>
                <w:szCs w:val="24"/>
              </w:rPr>
              <w:t>000/mm</w:t>
            </w:r>
            <w:r w:rsidRPr="003F564F">
              <w:rPr>
                <w:sz w:val="22"/>
                <w:szCs w:val="24"/>
                <w:vertAlign w:val="superscript"/>
              </w:rPr>
              <w:t>3</w:t>
            </w:r>
          </w:p>
        </w:tc>
        <w:tc>
          <w:tcPr>
            <w:tcW w:w="1652" w:type="dxa"/>
          </w:tcPr>
          <w:p w14:paraId="485EEBFC" w14:textId="2BFE6A53" w:rsidR="006016EC" w:rsidRPr="003F564F" w:rsidRDefault="006016EC" w:rsidP="00C03635">
            <w:pPr>
              <w:tabs>
                <w:tab w:val="left" w:pos="567"/>
              </w:tabs>
              <w:spacing w:line="260" w:lineRule="exact"/>
              <w:rPr>
                <w:sz w:val="22"/>
                <w:szCs w:val="24"/>
              </w:rPr>
            </w:pPr>
            <w:r w:rsidRPr="003F564F">
              <w:rPr>
                <w:sz w:val="22"/>
                <w:szCs w:val="24"/>
              </w:rPr>
              <w:t>5</w:t>
            </w:r>
            <w:r w:rsidR="00C03635" w:rsidRPr="003F564F">
              <w:rPr>
                <w:sz w:val="22"/>
                <w:szCs w:val="24"/>
              </w:rPr>
              <w:t> </w:t>
            </w:r>
            <w:r w:rsidRPr="003F564F">
              <w:rPr>
                <w:sz w:val="22"/>
                <w:szCs w:val="24"/>
              </w:rPr>
              <w:t>mg</w:t>
            </w:r>
            <w:r w:rsidR="00C03635" w:rsidRPr="003F564F">
              <w:rPr>
                <w:sz w:val="22"/>
                <w:szCs w:val="24"/>
              </w:rPr>
              <w:t xml:space="preserve"> </w:t>
            </w:r>
            <w:r w:rsidRPr="003F564F">
              <w:rPr>
                <w:sz w:val="22"/>
                <w:szCs w:val="24"/>
              </w:rPr>
              <w:t>du kartus</w:t>
            </w:r>
            <w:r w:rsidR="00C03635" w:rsidRPr="003F564F">
              <w:rPr>
                <w:sz w:val="22"/>
                <w:szCs w:val="24"/>
              </w:rPr>
              <w:t xml:space="preserve"> </w:t>
            </w:r>
            <w:r w:rsidRPr="003F564F">
              <w:rPr>
                <w:sz w:val="22"/>
                <w:szCs w:val="24"/>
              </w:rPr>
              <w:t>per parą</w:t>
            </w:r>
          </w:p>
        </w:tc>
        <w:tc>
          <w:tcPr>
            <w:tcW w:w="1608" w:type="dxa"/>
          </w:tcPr>
          <w:p w14:paraId="63572CDF" w14:textId="2838EC96" w:rsidR="006016EC" w:rsidRPr="003F564F" w:rsidRDefault="006016EC" w:rsidP="00C03635">
            <w:pPr>
              <w:tabs>
                <w:tab w:val="left" w:pos="567"/>
              </w:tabs>
              <w:spacing w:line="260" w:lineRule="exact"/>
              <w:rPr>
                <w:sz w:val="22"/>
                <w:szCs w:val="24"/>
              </w:rPr>
            </w:pPr>
            <w:r w:rsidRPr="003F564F">
              <w:rPr>
                <w:sz w:val="22"/>
                <w:szCs w:val="24"/>
              </w:rPr>
              <w:t>5</w:t>
            </w:r>
            <w:r w:rsidR="00C03635" w:rsidRPr="003F564F">
              <w:rPr>
                <w:sz w:val="22"/>
                <w:szCs w:val="24"/>
              </w:rPr>
              <w:t> </w:t>
            </w:r>
            <w:r w:rsidRPr="003F564F">
              <w:rPr>
                <w:sz w:val="22"/>
                <w:szCs w:val="24"/>
              </w:rPr>
              <w:t>mg</w:t>
            </w:r>
            <w:r w:rsidR="00C03635" w:rsidRPr="003F564F">
              <w:rPr>
                <w:sz w:val="22"/>
                <w:szCs w:val="24"/>
              </w:rPr>
              <w:t xml:space="preserve"> </w:t>
            </w:r>
            <w:r w:rsidRPr="003F564F">
              <w:rPr>
                <w:sz w:val="22"/>
                <w:szCs w:val="24"/>
              </w:rPr>
              <w:t>du kartus</w:t>
            </w:r>
            <w:r w:rsidR="00C03635" w:rsidRPr="003F564F">
              <w:rPr>
                <w:sz w:val="22"/>
                <w:szCs w:val="24"/>
              </w:rPr>
              <w:t xml:space="preserve"> </w:t>
            </w:r>
            <w:r w:rsidRPr="003F564F">
              <w:rPr>
                <w:sz w:val="22"/>
                <w:szCs w:val="24"/>
              </w:rPr>
              <w:t>per parą</w:t>
            </w:r>
          </w:p>
        </w:tc>
        <w:tc>
          <w:tcPr>
            <w:tcW w:w="1524" w:type="dxa"/>
          </w:tcPr>
          <w:p w14:paraId="7C8FED9F" w14:textId="17E606F4" w:rsidR="006016EC" w:rsidRPr="003F564F" w:rsidRDefault="006016EC" w:rsidP="00C03635">
            <w:pPr>
              <w:tabs>
                <w:tab w:val="left" w:pos="567"/>
              </w:tabs>
              <w:spacing w:line="260" w:lineRule="exact"/>
              <w:rPr>
                <w:sz w:val="22"/>
                <w:szCs w:val="24"/>
              </w:rPr>
            </w:pPr>
            <w:r w:rsidRPr="003F564F">
              <w:rPr>
                <w:sz w:val="22"/>
                <w:szCs w:val="24"/>
              </w:rPr>
              <w:t>5</w:t>
            </w:r>
            <w:r w:rsidR="00C03635" w:rsidRPr="003F564F">
              <w:rPr>
                <w:sz w:val="22"/>
                <w:szCs w:val="24"/>
              </w:rPr>
              <w:t> </w:t>
            </w:r>
            <w:r w:rsidRPr="003F564F">
              <w:rPr>
                <w:sz w:val="22"/>
                <w:szCs w:val="24"/>
              </w:rPr>
              <w:t>mg</w:t>
            </w:r>
            <w:r w:rsidR="00C03635" w:rsidRPr="003F564F">
              <w:rPr>
                <w:sz w:val="22"/>
                <w:szCs w:val="24"/>
              </w:rPr>
              <w:t xml:space="preserve"> </w:t>
            </w:r>
            <w:r w:rsidRPr="003F564F">
              <w:rPr>
                <w:sz w:val="22"/>
                <w:szCs w:val="24"/>
              </w:rPr>
              <w:t>du kartus</w:t>
            </w:r>
            <w:r w:rsidR="00C03635" w:rsidRPr="003F564F">
              <w:rPr>
                <w:sz w:val="22"/>
                <w:szCs w:val="24"/>
              </w:rPr>
              <w:t xml:space="preserve"> </w:t>
            </w:r>
            <w:r w:rsidRPr="003F564F">
              <w:rPr>
                <w:sz w:val="22"/>
                <w:szCs w:val="24"/>
              </w:rPr>
              <w:t>per parą</w:t>
            </w:r>
          </w:p>
        </w:tc>
        <w:tc>
          <w:tcPr>
            <w:tcW w:w="1631" w:type="dxa"/>
          </w:tcPr>
          <w:p w14:paraId="389BED1D" w14:textId="5ECC7B67" w:rsidR="006016EC" w:rsidRPr="003F564F" w:rsidRDefault="006016EC" w:rsidP="00C03635">
            <w:pPr>
              <w:tabs>
                <w:tab w:val="left" w:pos="567"/>
              </w:tabs>
              <w:spacing w:line="260" w:lineRule="exact"/>
              <w:rPr>
                <w:sz w:val="22"/>
                <w:szCs w:val="24"/>
              </w:rPr>
            </w:pPr>
            <w:r w:rsidRPr="003F564F">
              <w:rPr>
                <w:sz w:val="22"/>
                <w:szCs w:val="24"/>
              </w:rPr>
              <w:t>5</w:t>
            </w:r>
            <w:r w:rsidR="00C03635" w:rsidRPr="003F564F">
              <w:rPr>
                <w:sz w:val="22"/>
                <w:szCs w:val="24"/>
              </w:rPr>
              <w:t> </w:t>
            </w:r>
            <w:r w:rsidRPr="003F564F">
              <w:rPr>
                <w:sz w:val="22"/>
                <w:szCs w:val="24"/>
              </w:rPr>
              <w:t>mg</w:t>
            </w:r>
            <w:r w:rsidR="00C03635" w:rsidRPr="003F564F">
              <w:rPr>
                <w:sz w:val="22"/>
                <w:szCs w:val="24"/>
              </w:rPr>
              <w:t xml:space="preserve"> </w:t>
            </w:r>
            <w:r w:rsidRPr="003F564F">
              <w:rPr>
                <w:sz w:val="22"/>
                <w:szCs w:val="24"/>
              </w:rPr>
              <w:t>du kartus</w:t>
            </w:r>
            <w:r w:rsidR="00C03635" w:rsidRPr="003F564F">
              <w:rPr>
                <w:sz w:val="22"/>
                <w:szCs w:val="24"/>
              </w:rPr>
              <w:t xml:space="preserve"> </w:t>
            </w:r>
            <w:r w:rsidRPr="003F564F">
              <w:rPr>
                <w:sz w:val="22"/>
                <w:szCs w:val="24"/>
              </w:rPr>
              <w:t>per parą</w:t>
            </w:r>
          </w:p>
        </w:tc>
        <w:tc>
          <w:tcPr>
            <w:tcW w:w="1631" w:type="dxa"/>
          </w:tcPr>
          <w:p w14:paraId="50E45138" w14:textId="18E0026D" w:rsidR="006016EC" w:rsidRPr="003F564F" w:rsidRDefault="006016EC">
            <w:pPr>
              <w:tabs>
                <w:tab w:val="left" w:pos="567"/>
              </w:tabs>
              <w:spacing w:line="260" w:lineRule="exact"/>
              <w:rPr>
                <w:sz w:val="22"/>
                <w:szCs w:val="24"/>
              </w:rPr>
            </w:pPr>
            <w:r w:rsidRPr="003F564F">
              <w:rPr>
                <w:sz w:val="22"/>
                <w:szCs w:val="24"/>
              </w:rPr>
              <w:t>Nekeisti</w:t>
            </w:r>
          </w:p>
        </w:tc>
      </w:tr>
      <w:tr w:rsidR="00C03635" w:rsidRPr="003F564F" w14:paraId="5EB3AC48" w14:textId="77777777" w:rsidTr="00C03635">
        <w:tc>
          <w:tcPr>
            <w:tcW w:w="1668" w:type="dxa"/>
          </w:tcPr>
          <w:p w14:paraId="1ACDDEB9" w14:textId="1F127C28" w:rsidR="00C03635" w:rsidRPr="003F564F" w:rsidRDefault="00C03635" w:rsidP="00C03635">
            <w:pPr>
              <w:tabs>
                <w:tab w:val="left" w:pos="567"/>
              </w:tabs>
              <w:spacing w:line="260" w:lineRule="exact"/>
              <w:rPr>
                <w:sz w:val="22"/>
                <w:szCs w:val="24"/>
              </w:rPr>
            </w:pPr>
            <w:r w:rsidRPr="003F564F">
              <w:rPr>
                <w:sz w:val="22"/>
                <w:szCs w:val="24"/>
              </w:rPr>
              <w:t>Mažiau nei 50 000/mm</w:t>
            </w:r>
            <w:r w:rsidRPr="003F564F">
              <w:rPr>
                <w:sz w:val="22"/>
                <w:szCs w:val="24"/>
                <w:vertAlign w:val="superscript"/>
              </w:rPr>
              <w:t>3</w:t>
            </w:r>
          </w:p>
        </w:tc>
        <w:tc>
          <w:tcPr>
            <w:tcW w:w="1652" w:type="dxa"/>
          </w:tcPr>
          <w:p w14:paraId="66E6244A" w14:textId="7CBE0D79" w:rsidR="00C03635" w:rsidRPr="003F564F" w:rsidRDefault="00C03635" w:rsidP="00C03635">
            <w:pPr>
              <w:tabs>
                <w:tab w:val="left" w:pos="567"/>
              </w:tabs>
              <w:spacing w:line="260" w:lineRule="exact"/>
              <w:rPr>
                <w:sz w:val="22"/>
                <w:szCs w:val="24"/>
              </w:rPr>
            </w:pPr>
            <w:r w:rsidRPr="003F564F">
              <w:rPr>
                <w:sz w:val="22"/>
                <w:szCs w:val="24"/>
              </w:rPr>
              <w:t>Laikinai neskirti</w:t>
            </w:r>
          </w:p>
        </w:tc>
        <w:tc>
          <w:tcPr>
            <w:tcW w:w="1608" w:type="dxa"/>
          </w:tcPr>
          <w:p w14:paraId="0C152DED" w14:textId="588A9B00" w:rsidR="00C03635" w:rsidRPr="003F564F" w:rsidRDefault="00C03635" w:rsidP="00C03635">
            <w:pPr>
              <w:tabs>
                <w:tab w:val="left" w:pos="567"/>
              </w:tabs>
              <w:spacing w:line="260" w:lineRule="exact"/>
              <w:rPr>
                <w:sz w:val="22"/>
                <w:szCs w:val="24"/>
              </w:rPr>
            </w:pPr>
            <w:r w:rsidRPr="003F564F">
              <w:rPr>
                <w:sz w:val="22"/>
                <w:szCs w:val="24"/>
              </w:rPr>
              <w:t>Laikinai neskirti</w:t>
            </w:r>
          </w:p>
        </w:tc>
        <w:tc>
          <w:tcPr>
            <w:tcW w:w="1524" w:type="dxa"/>
          </w:tcPr>
          <w:p w14:paraId="260B16DB" w14:textId="561408FB" w:rsidR="00C03635" w:rsidRPr="003F564F" w:rsidRDefault="00C03635" w:rsidP="00C03635">
            <w:pPr>
              <w:tabs>
                <w:tab w:val="left" w:pos="567"/>
              </w:tabs>
              <w:spacing w:line="260" w:lineRule="exact"/>
              <w:rPr>
                <w:sz w:val="22"/>
                <w:szCs w:val="24"/>
              </w:rPr>
            </w:pPr>
            <w:r w:rsidRPr="003F564F">
              <w:rPr>
                <w:sz w:val="22"/>
                <w:szCs w:val="24"/>
              </w:rPr>
              <w:t>Laikinai neskirti</w:t>
            </w:r>
          </w:p>
        </w:tc>
        <w:tc>
          <w:tcPr>
            <w:tcW w:w="1631" w:type="dxa"/>
          </w:tcPr>
          <w:p w14:paraId="12789F96" w14:textId="559D4D96" w:rsidR="00C03635" w:rsidRPr="003F564F" w:rsidRDefault="00C03635" w:rsidP="00C03635">
            <w:pPr>
              <w:tabs>
                <w:tab w:val="left" w:pos="567"/>
              </w:tabs>
              <w:spacing w:line="260" w:lineRule="exact"/>
              <w:rPr>
                <w:sz w:val="22"/>
                <w:szCs w:val="24"/>
              </w:rPr>
            </w:pPr>
            <w:r w:rsidRPr="003F564F">
              <w:rPr>
                <w:sz w:val="22"/>
                <w:szCs w:val="24"/>
              </w:rPr>
              <w:t>Laikinai neskirti</w:t>
            </w:r>
          </w:p>
        </w:tc>
        <w:tc>
          <w:tcPr>
            <w:tcW w:w="1631" w:type="dxa"/>
          </w:tcPr>
          <w:p w14:paraId="388EF0AB" w14:textId="05006DB1" w:rsidR="00C03635" w:rsidRPr="003F564F" w:rsidRDefault="00C03635" w:rsidP="00C03635">
            <w:pPr>
              <w:tabs>
                <w:tab w:val="left" w:pos="567"/>
              </w:tabs>
              <w:spacing w:line="260" w:lineRule="exact"/>
              <w:rPr>
                <w:sz w:val="22"/>
                <w:szCs w:val="24"/>
              </w:rPr>
            </w:pPr>
            <w:r w:rsidRPr="003F564F">
              <w:rPr>
                <w:sz w:val="22"/>
                <w:szCs w:val="24"/>
              </w:rPr>
              <w:t>Laikinai neskirti</w:t>
            </w:r>
          </w:p>
        </w:tc>
      </w:tr>
    </w:tbl>
    <w:p w14:paraId="6456D588" w14:textId="77777777" w:rsidR="000A0762" w:rsidRPr="003F564F" w:rsidRDefault="000A0762">
      <w:pPr>
        <w:tabs>
          <w:tab w:val="left" w:pos="567"/>
        </w:tabs>
        <w:spacing w:line="260" w:lineRule="exact"/>
        <w:rPr>
          <w:sz w:val="22"/>
          <w:szCs w:val="24"/>
        </w:rPr>
      </w:pPr>
    </w:p>
    <w:p w14:paraId="5148E498" w14:textId="2495DB80" w:rsidR="006016EC" w:rsidRPr="003F564F" w:rsidRDefault="006016EC" w:rsidP="006016EC">
      <w:pPr>
        <w:tabs>
          <w:tab w:val="left" w:pos="567"/>
        </w:tabs>
        <w:spacing w:line="260" w:lineRule="exact"/>
        <w:rPr>
          <w:sz w:val="22"/>
          <w:szCs w:val="24"/>
        </w:rPr>
      </w:pPr>
      <w:r w:rsidRPr="003F564F">
        <w:rPr>
          <w:sz w:val="22"/>
          <w:szCs w:val="24"/>
        </w:rPr>
        <w:t>TP sergantiems pacientams vaistinio preparato dozės mažinimo klausimą taip pat reikia apsvarstyti,</w:t>
      </w:r>
      <w:r w:rsidR="00C03635" w:rsidRPr="003F564F">
        <w:rPr>
          <w:sz w:val="22"/>
          <w:szCs w:val="24"/>
        </w:rPr>
        <w:t xml:space="preserve"> </w:t>
      </w:r>
      <w:r w:rsidRPr="003F564F">
        <w:rPr>
          <w:sz w:val="22"/>
          <w:szCs w:val="24"/>
        </w:rPr>
        <w:t>jeigu hemoglobino koncentracija tampa mažesnė kaip 12</w:t>
      </w:r>
      <w:r w:rsidR="00C03635" w:rsidRPr="003F564F">
        <w:rPr>
          <w:sz w:val="22"/>
          <w:szCs w:val="24"/>
        </w:rPr>
        <w:t> </w:t>
      </w:r>
      <w:r w:rsidRPr="003F564F">
        <w:rPr>
          <w:sz w:val="22"/>
          <w:szCs w:val="24"/>
        </w:rPr>
        <w:t>g/dl, o tai padaryti rekomenduojama tuomet,</w:t>
      </w:r>
      <w:r w:rsidR="00C03635" w:rsidRPr="003F564F">
        <w:rPr>
          <w:sz w:val="22"/>
          <w:szCs w:val="24"/>
        </w:rPr>
        <w:t xml:space="preserve"> </w:t>
      </w:r>
      <w:r w:rsidRPr="003F564F">
        <w:rPr>
          <w:sz w:val="22"/>
          <w:szCs w:val="24"/>
        </w:rPr>
        <w:t xml:space="preserve">kai </w:t>
      </w:r>
      <w:r w:rsidR="00E87F25">
        <w:rPr>
          <w:sz w:val="22"/>
          <w:szCs w:val="24"/>
        </w:rPr>
        <w:t>ji</w:t>
      </w:r>
      <w:r w:rsidRPr="003F564F">
        <w:rPr>
          <w:sz w:val="22"/>
          <w:szCs w:val="24"/>
        </w:rPr>
        <w:t xml:space="preserve"> tampa mažesnė kaip 10</w:t>
      </w:r>
      <w:r w:rsidR="00C03635" w:rsidRPr="003F564F">
        <w:rPr>
          <w:sz w:val="22"/>
          <w:szCs w:val="24"/>
        </w:rPr>
        <w:t> </w:t>
      </w:r>
      <w:r w:rsidRPr="003F564F">
        <w:rPr>
          <w:sz w:val="22"/>
          <w:szCs w:val="24"/>
        </w:rPr>
        <w:t>g/dl.</w:t>
      </w:r>
    </w:p>
    <w:p w14:paraId="548B47DE" w14:textId="77777777" w:rsidR="00C03635" w:rsidRPr="003F564F" w:rsidRDefault="00C03635" w:rsidP="006016EC">
      <w:pPr>
        <w:tabs>
          <w:tab w:val="left" w:pos="567"/>
        </w:tabs>
        <w:spacing w:line="260" w:lineRule="exact"/>
        <w:rPr>
          <w:sz w:val="22"/>
          <w:szCs w:val="24"/>
        </w:rPr>
      </w:pPr>
    </w:p>
    <w:p w14:paraId="74767FD8" w14:textId="77777777" w:rsidR="006016EC" w:rsidRPr="003F564F" w:rsidRDefault="006016EC" w:rsidP="006016EC">
      <w:pPr>
        <w:tabs>
          <w:tab w:val="left" w:pos="567"/>
        </w:tabs>
        <w:spacing w:line="260" w:lineRule="exact"/>
        <w:rPr>
          <w:i/>
          <w:iCs/>
          <w:sz w:val="22"/>
          <w:szCs w:val="24"/>
        </w:rPr>
      </w:pPr>
      <w:proofErr w:type="spellStart"/>
      <w:r w:rsidRPr="003F564F">
        <w:rPr>
          <w:i/>
          <w:iCs/>
          <w:sz w:val="22"/>
          <w:szCs w:val="24"/>
        </w:rPr>
        <w:t>Transplantato</w:t>
      </w:r>
      <w:proofErr w:type="spellEnd"/>
      <w:r w:rsidRPr="003F564F">
        <w:rPr>
          <w:i/>
          <w:iCs/>
          <w:sz w:val="22"/>
          <w:szCs w:val="24"/>
        </w:rPr>
        <w:t xml:space="preserve"> prieš šeimininką liga</w:t>
      </w:r>
    </w:p>
    <w:p w14:paraId="35053B4A" w14:textId="4AC57EBC" w:rsidR="000A0762" w:rsidRPr="003F564F" w:rsidRDefault="006016EC" w:rsidP="006016EC">
      <w:pPr>
        <w:tabs>
          <w:tab w:val="left" w:pos="567"/>
        </w:tabs>
        <w:spacing w:line="260" w:lineRule="exact"/>
        <w:rPr>
          <w:sz w:val="22"/>
          <w:szCs w:val="24"/>
        </w:rPr>
      </w:pPr>
      <w:proofErr w:type="spellStart"/>
      <w:r w:rsidRPr="003F564F">
        <w:rPr>
          <w:sz w:val="22"/>
          <w:szCs w:val="24"/>
        </w:rPr>
        <w:t>TpŠL</w:t>
      </w:r>
      <w:proofErr w:type="spellEnd"/>
      <w:r w:rsidRPr="003F564F">
        <w:rPr>
          <w:sz w:val="22"/>
          <w:szCs w:val="24"/>
        </w:rPr>
        <w:t xml:space="preserve"> sergantiems pacientams, kuriems nustatoma </w:t>
      </w:r>
      <w:proofErr w:type="spellStart"/>
      <w:r w:rsidRPr="003F564F">
        <w:rPr>
          <w:sz w:val="22"/>
          <w:szCs w:val="24"/>
        </w:rPr>
        <w:t>trombocitopenija</w:t>
      </w:r>
      <w:proofErr w:type="spellEnd"/>
      <w:r w:rsidRPr="003F564F">
        <w:rPr>
          <w:sz w:val="22"/>
          <w:szCs w:val="24"/>
        </w:rPr>
        <w:t xml:space="preserve">, </w:t>
      </w:r>
      <w:proofErr w:type="spellStart"/>
      <w:r w:rsidRPr="003F564F">
        <w:rPr>
          <w:sz w:val="22"/>
          <w:szCs w:val="24"/>
        </w:rPr>
        <w:t>neutropenija</w:t>
      </w:r>
      <w:proofErr w:type="spellEnd"/>
      <w:r w:rsidRPr="003F564F">
        <w:rPr>
          <w:sz w:val="22"/>
          <w:szCs w:val="24"/>
        </w:rPr>
        <w:t xml:space="preserve"> arba padidėjusi</w:t>
      </w:r>
      <w:r w:rsidR="00C03635" w:rsidRPr="003F564F">
        <w:rPr>
          <w:sz w:val="22"/>
          <w:szCs w:val="24"/>
        </w:rPr>
        <w:t xml:space="preserve"> </w:t>
      </w:r>
      <w:r w:rsidRPr="003F564F">
        <w:rPr>
          <w:sz w:val="22"/>
          <w:szCs w:val="24"/>
        </w:rPr>
        <w:t xml:space="preserve">bendrojo </w:t>
      </w:r>
      <w:proofErr w:type="spellStart"/>
      <w:r w:rsidRPr="003F564F">
        <w:rPr>
          <w:sz w:val="22"/>
          <w:szCs w:val="24"/>
        </w:rPr>
        <w:t>bilirubino</w:t>
      </w:r>
      <w:proofErr w:type="spellEnd"/>
      <w:r w:rsidRPr="003F564F">
        <w:rPr>
          <w:sz w:val="22"/>
          <w:szCs w:val="24"/>
        </w:rPr>
        <w:t xml:space="preserve"> koncentracija po to, kai buvo skirtas įprastinis palaikomasis gydymas, įskaitant</w:t>
      </w:r>
      <w:r w:rsidR="00C03635" w:rsidRPr="003F564F">
        <w:rPr>
          <w:sz w:val="22"/>
          <w:szCs w:val="24"/>
        </w:rPr>
        <w:t xml:space="preserve"> </w:t>
      </w:r>
      <w:r w:rsidRPr="003F564F">
        <w:rPr>
          <w:sz w:val="22"/>
          <w:szCs w:val="24"/>
        </w:rPr>
        <w:t>augimo faktorius, vaistinius preparatus infekcijai gydyti ir transfuzijas, gali reikėti mažinti vaistinio</w:t>
      </w:r>
      <w:r w:rsidR="00C03635" w:rsidRPr="003F564F">
        <w:rPr>
          <w:sz w:val="22"/>
          <w:szCs w:val="24"/>
        </w:rPr>
        <w:t xml:space="preserve"> </w:t>
      </w:r>
      <w:r w:rsidRPr="003F564F">
        <w:rPr>
          <w:sz w:val="22"/>
          <w:szCs w:val="24"/>
        </w:rPr>
        <w:t>preparato dozę ar laikinai nutraukti gydymą. Dozę rekomenduojama sumažinti vienu intervalu (nuo po</w:t>
      </w:r>
      <w:r w:rsidR="00C03635" w:rsidRPr="003F564F">
        <w:rPr>
          <w:sz w:val="22"/>
          <w:szCs w:val="24"/>
        </w:rPr>
        <w:t xml:space="preserve"> </w:t>
      </w:r>
      <w:r w:rsidRPr="003F564F">
        <w:rPr>
          <w:sz w:val="22"/>
          <w:szCs w:val="24"/>
        </w:rPr>
        <w:t>10</w:t>
      </w:r>
      <w:r w:rsidR="00C03635" w:rsidRPr="003F564F">
        <w:rPr>
          <w:sz w:val="22"/>
          <w:szCs w:val="24"/>
        </w:rPr>
        <w:t> </w:t>
      </w:r>
      <w:r w:rsidRPr="003F564F">
        <w:rPr>
          <w:sz w:val="22"/>
          <w:szCs w:val="24"/>
        </w:rPr>
        <w:t>mg du kartus per parą iki po 5</w:t>
      </w:r>
      <w:r w:rsidR="00C03635" w:rsidRPr="003F564F">
        <w:rPr>
          <w:sz w:val="22"/>
          <w:szCs w:val="24"/>
        </w:rPr>
        <w:t> </w:t>
      </w:r>
      <w:r w:rsidRPr="003F564F">
        <w:rPr>
          <w:sz w:val="22"/>
          <w:szCs w:val="24"/>
        </w:rPr>
        <w:t>mg du kartus per parą arba nuo po 5</w:t>
      </w:r>
      <w:r w:rsidR="00C03635" w:rsidRPr="003F564F">
        <w:rPr>
          <w:sz w:val="22"/>
          <w:szCs w:val="24"/>
        </w:rPr>
        <w:t> </w:t>
      </w:r>
      <w:r w:rsidRPr="003F564F">
        <w:rPr>
          <w:sz w:val="22"/>
          <w:szCs w:val="24"/>
        </w:rPr>
        <w:t>mg du kartus per parą iki 5</w:t>
      </w:r>
      <w:r w:rsidR="00C03635" w:rsidRPr="003F564F">
        <w:rPr>
          <w:sz w:val="22"/>
          <w:szCs w:val="24"/>
        </w:rPr>
        <w:t> </w:t>
      </w:r>
      <w:r w:rsidRPr="003F564F">
        <w:rPr>
          <w:sz w:val="22"/>
          <w:szCs w:val="24"/>
        </w:rPr>
        <w:t>mg</w:t>
      </w:r>
      <w:r w:rsidR="00C03635" w:rsidRPr="003F564F">
        <w:rPr>
          <w:sz w:val="22"/>
          <w:szCs w:val="24"/>
        </w:rPr>
        <w:t xml:space="preserve"> </w:t>
      </w:r>
      <w:r w:rsidRPr="003F564F">
        <w:rPr>
          <w:sz w:val="22"/>
          <w:szCs w:val="24"/>
        </w:rPr>
        <w:t>vieną kartą per parą). Pacientams, kurie netoleruoja 5</w:t>
      </w:r>
      <w:r w:rsidR="00C03635" w:rsidRPr="003F564F">
        <w:rPr>
          <w:sz w:val="22"/>
          <w:szCs w:val="24"/>
        </w:rPr>
        <w:t> </w:t>
      </w:r>
      <w:r w:rsidRPr="003F564F">
        <w:rPr>
          <w:sz w:val="22"/>
          <w:szCs w:val="24"/>
        </w:rPr>
        <w:t xml:space="preserve">mg vieną kartą per parą </w:t>
      </w:r>
      <w:proofErr w:type="spellStart"/>
      <w:r w:rsidR="008B09E3">
        <w:rPr>
          <w:sz w:val="22"/>
          <w:szCs w:val="24"/>
        </w:rPr>
        <w:t>Ruxolitinib</w:t>
      </w:r>
      <w:proofErr w:type="spellEnd"/>
      <w:r w:rsidR="008B09E3">
        <w:rPr>
          <w:sz w:val="22"/>
          <w:szCs w:val="24"/>
        </w:rPr>
        <w:t xml:space="preserve"> </w:t>
      </w:r>
      <w:proofErr w:type="spellStart"/>
      <w:r w:rsidR="008B09E3">
        <w:rPr>
          <w:sz w:val="22"/>
          <w:szCs w:val="24"/>
        </w:rPr>
        <w:t>Sandoz</w:t>
      </w:r>
      <w:proofErr w:type="spellEnd"/>
      <w:r w:rsidRPr="003F564F">
        <w:rPr>
          <w:sz w:val="22"/>
          <w:szCs w:val="24"/>
        </w:rPr>
        <w:t xml:space="preserve"> dozės, gydymą</w:t>
      </w:r>
      <w:r w:rsidR="00C03635" w:rsidRPr="003F564F">
        <w:rPr>
          <w:sz w:val="22"/>
          <w:szCs w:val="24"/>
        </w:rPr>
        <w:t xml:space="preserve"> </w:t>
      </w:r>
      <w:r w:rsidRPr="003F564F">
        <w:rPr>
          <w:sz w:val="22"/>
          <w:szCs w:val="24"/>
        </w:rPr>
        <w:t>reikia laikinai nutraukti. Išsamios dozavimo rekomendacijos nurodytos 5</w:t>
      </w:r>
      <w:r w:rsidR="00C03635" w:rsidRPr="003F564F">
        <w:rPr>
          <w:sz w:val="22"/>
          <w:szCs w:val="24"/>
        </w:rPr>
        <w:t> </w:t>
      </w:r>
      <w:r w:rsidRPr="003F564F">
        <w:rPr>
          <w:sz w:val="22"/>
          <w:szCs w:val="24"/>
        </w:rPr>
        <w:t>lentelėje.</w:t>
      </w:r>
    </w:p>
    <w:p w14:paraId="5ADACF66" w14:textId="77777777" w:rsidR="006016EC" w:rsidRPr="003F564F" w:rsidRDefault="006016EC" w:rsidP="006016EC">
      <w:pPr>
        <w:tabs>
          <w:tab w:val="left" w:pos="567"/>
        </w:tabs>
        <w:spacing w:line="260" w:lineRule="exact"/>
        <w:rPr>
          <w:sz w:val="22"/>
          <w:szCs w:val="24"/>
        </w:rPr>
      </w:pPr>
    </w:p>
    <w:p w14:paraId="740478FF" w14:textId="7C3ACF56" w:rsidR="006016EC" w:rsidRPr="003F564F" w:rsidRDefault="006016EC" w:rsidP="00C03635">
      <w:pPr>
        <w:tabs>
          <w:tab w:val="left" w:pos="567"/>
        </w:tabs>
        <w:spacing w:line="260" w:lineRule="exact"/>
        <w:ind w:left="1290" w:hanging="1290"/>
        <w:rPr>
          <w:b/>
          <w:bCs/>
          <w:sz w:val="22"/>
          <w:szCs w:val="24"/>
        </w:rPr>
      </w:pPr>
      <w:r w:rsidRPr="003F564F">
        <w:rPr>
          <w:b/>
          <w:bCs/>
          <w:sz w:val="22"/>
          <w:szCs w:val="24"/>
        </w:rPr>
        <w:t>5</w:t>
      </w:r>
      <w:r w:rsidR="00C03635" w:rsidRPr="003F564F">
        <w:rPr>
          <w:b/>
          <w:bCs/>
          <w:sz w:val="22"/>
          <w:szCs w:val="24"/>
        </w:rPr>
        <w:t> </w:t>
      </w:r>
      <w:r w:rsidRPr="003F564F">
        <w:rPr>
          <w:b/>
          <w:bCs/>
          <w:sz w:val="22"/>
          <w:szCs w:val="24"/>
        </w:rPr>
        <w:t>lentelė</w:t>
      </w:r>
      <w:r w:rsidR="00C03635" w:rsidRPr="003F564F">
        <w:rPr>
          <w:b/>
          <w:bCs/>
          <w:sz w:val="22"/>
          <w:szCs w:val="24"/>
        </w:rPr>
        <w:tab/>
      </w:r>
      <w:r w:rsidRPr="003F564F">
        <w:rPr>
          <w:b/>
          <w:bCs/>
          <w:sz w:val="22"/>
          <w:szCs w:val="24"/>
        </w:rPr>
        <w:t xml:space="preserve">Gydymo </w:t>
      </w:r>
      <w:proofErr w:type="spellStart"/>
      <w:r w:rsidRPr="003F564F">
        <w:rPr>
          <w:b/>
          <w:bCs/>
          <w:sz w:val="22"/>
          <w:szCs w:val="24"/>
        </w:rPr>
        <w:t>ruksolitinibu</w:t>
      </w:r>
      <w:proofErr w:type="spellEnd"/>
      <w:r w:rsidRPr="003F564F">
        <w:rPr>
          <w:b/>
          <w:bCs/>
          <w:sz w:val="22"/>
          <w:szCs w:val="24"/>
        </w:rPr>
        <w:t xml:space="preserve"> dozės </w:t>
      </w:r>
      <w:proofErr w:type="spellStart"/>
      <w:r w:rsidRPr="003F564F">
        <w:rPr>
          <w:b/>
          <w:bCs/>
          <w:sz w:val="22"/>
          <w:szCs w:val="24"/>
        </w:rPr>
        <w:t>TpŠL</w:t>
      </w:r>
      <w:proofErr w:type="spellEnd"/>
      <w:r w:rsidRPr="003F564F">
        <w:rPr>
          <w:b/>
          <w:bCs/>
          <w:sz w:val="22"/>
          <w:szCs w:val="24"/>
        </w:rPr>
        <w:t xml:space="preserve"> sergantiems pacientams, kuriems yra</w:t>
      </w:r>
      <w:r w:rsidR="00C03635" w:rsidRPr="003F564F">
        <w:rPr>
          <w:b/>
          <w:bCs/>
          <w:sz w:val="22"/>
          <w:szCs w:val="24"/>
        </w:rPr>
        <w:t xml:space="preserve"> </w:t>
      </w:r>
      <w:proofErr w:type="spellStart"/>
      <w:r w:rsidRPr="003F564F">
        <w:rPr>
          <w:b/>
          <w:bCs/>
          <w:sz w:val="22"/>
          <w:szCs w:val="24"/>
        </w:rPr>
        <w:t>trombocitopenija</w:t>
      </w:r>
      <w:proofErr w:type="spellEnd"/>
      <w:r w:rsidRPr="003F564F">
        <w:rPr>
          <w:b/>
          <w:bCs/>
          <w:sz w:val="22"/>
          <w:szCs w:val="24"/>
        </w:rPr>
        <w:t xml:space="preserve">, </w:t>
      </w:r>
      <w:proofErr w:type="spellStart"/>
      <w:r w:rsidRPr="003F564F">
        <w:rPr>
          <w:b/>
          <w:bCs/>
          <w:sz w:val="22"/>
          <w:szCs w:val="24"/>
        </w:rPr>
        <w:t>neutropenija</w:t>
      </w:r>
      <w:proofErr w:type="spellEnd"/>
      <w:r w:rsidRPr="003F564F">
        <w:rPr>
          <w:b/>
          <w:bCs/>
          <w:sz w:val="22"/>
          <w:szCs w:val="24"/>
        </w:rPr>
        <w:t xml:space="preserve"> ar padidėjusi bendrojo </w:t>
      </w:r>
      <w:proofErr w:type="spellStart"/>
      <w:r w:rsidRPr="003F564F">
        <w:rPr>
          <w:b/>
          <w:bCs/>
          <w:sz w:val="22"/>
          <w:szCs w:val="24"/>
        </w:rPr>
        <w:t>bilirubino</w:t>
      </w:r>
      <w:proofErr w:type="spellEnd"/>
      <w:r w:rsidRPr="003F564F">
        <w:rPr>
          <w:b/>
          <w:bCs/>
          <w:sz w:val="22"/>
          <w:szCs w:val="24"/>
        </w:rPr>
        <w:t xml:space="preserve"> koncentracija</w:t>
      </w:r>
    </w:p>
    <w:p w14:paraId="6CE3DC8A" w14:textId="77777777" w:rsidR="006016EC" w:rsidRPr="003F564F" w:rsidRDefault="006016EC" w:rsidP="006016EC">
      <w:pPr>
        <w:tabs>
          <w:tab w:val="left" w:pos="567"/>
        </w:tabs>
        <w:spacing w:line="260" w:lineRule="exact"/>
        <w:rPr>
          <w:sz w:val="22"/>
          <w:szCs w:val="24"/>
        </w:rPr>
      </w:pPr>
    </w:p>
    <w:tbl>
      <w:tblPr>
        <w:tblStyle w:val="Lentelstinklelis"/>
        <w:tblW w:w="0" w:type="auto"/>
        <w:tblLook w:val="04A0" w:firstRow="1" w:lastRow="0" w:firstColumn="1" w:lastColumn="0" w:noHBand="0" w:noVBand="1"/>
      </w:tblPr>
      <w:tblGrid>
        <w:gridCol w:w="4525"/>
        <w:gridCol w:w="4535"/>
      </w:tblGrid>
      <w:tr w:rsidR="006016EC" w:rsidRPr="003F564F" w14:paraId="1BF30C13" w14:textId="77777777" w:rsidTr="006016EC">
        <w:tc>
          <w:tcPr>
            <w:tcW w:w="4857" w:type="dxa"/>
          </w:tcPr>
          <w:p w14:paraId="6BE9FBDF" w14:textId="66D4E685" w:rsidR="006016EC" w:rsidRPr="003F564F" w:rsidRDefault="006016EC" w:rsidP="006016EC">
            <w:pPr>
              <w:tabs>
                <w:tab w:val="left" w:pos="567"/>
              </w:tabs>
              <w:spacing w:line="260" w:lineRule="exact"/>
              <w:rPr>
                <w:b/>
                <w:bCs/>
                <w:sz w:val="22"/>
                <w:szCs w:val="24"/>
              </w:rPr>
            </w:pPr>
            <w:r w:rsidRPr="003F564F">
              <w:rPr>
                <w:b/>
                <w:bCs/>
                <w:sz w:val="22"/>
                <w:szCs w:val="24"/>
              </w:rPr>
              <w:t>Laboratorinis rodmuo</w:t>
            </w:r>
          </w:p>
        </w:tc>
        <w:tc>
          <w:tcPr>
            <w:tcW w:w="4857" w:type="dxa"/>
          </w:tcPr>
          <w:p w14:paraId="0A709439" w14:textId="7731085B" w:rsidR="006016EC" w:rsidRPr="003F564F" w:rsidRDefault="006016EC" w:rsidP="00C03635">
            <w:pPr>
              <w:tabs>
                <w:tab w:val="left" w:pos="567"/>
              </w:tabs>
              <w:spacing w:line="260" w:lineRule="exact"/>
              <w:rPr>
                <w:b/>
                <w:bCs/>
                <w:sz w:val="22"/>
                <w:szCs w:val="24"/>
              </w:rPr>
            </w:pPr>
            <w:r w:rsidRPr="003F564F">
              <w:rPr>
                <w:b/>
                <w:bCs/>
                <w:sz w:val="22"/>
                <w:szCs w:val="24"/>
              </w:rPr>
              <w:t>Dozavimo rekomendacija</w:t>
            </w:r>
          </w:p>
        </w:tc>
      </w:tr>
      <w:tr w:rsidR="006016EC" w:rsidRPr="003F564F" w14:paraId="242A86AF" w14:textId="77777777" w:rsidTr="006016EC">
        <w:tc>
          <w:tcPr>
            <w:tcW w:w="4857" w:type="dxa"/>
          </w:tcPr>
          <w:p w14:paraId="341F1817" w14:textId="7A24107D" w:rsidR="006016EC" w:rsidRPr="003F564F" w:rsidRDefault="006016EC" w:rsidP="006016EC">
            <w:pPr>
              <w:tabs>
                <w:tab w:val="left" w:pos="567"/>
              </w:tabs>
              <w:spacing w:line="260" w:lineRule="exact"/>
              <w:rPr>
                <w:sz w:val="22"/>
                <w:szCs w:val="24"/>
              </w:rPr>
            </w:pPr>
            <w:r w:rsidRPr="003F564F">
              <w:rPr>
                <w:sz w:val="22"/>
                <w:szCs w:val="24"/>
              </w:rPr>
              <w:t>Trombocitų skaičius &lt;</w:t>
            </w:r>
            <w:r w:rsidR="00C03635" w:rsidRPr="003F564F">
              <w:rPr>
                <w:sz w:val="22"/>
                <w:szCs w:val="24"/>
              </w:rPr>
              <w:t> </w:t>
            </w:r>
            <w:r w:rsidRPr="003F564F">
              <w:rPr>
                <w:sz w:val="22"/>
                <w:szCs w:val="24"/>
              </w:rPr>
              <w:t>20</w:t>
            </w:r>
            <w:r w:rsidR="00C03635" w:rsidRPr="003F564F">
              <w:rPr>
                <w:sz w:val="22"/>
                <w:szCs w:val="24"/>
              </w:rPr>
              <w:t> </w:t>
            </w:r>
            <w:r w:rsidRPr="003F564F">
              <w:rPr>
                <w:sz w:val="22"/>
                <w:szCs w:val="24"/>
              </w:rPr>
              <w:t>000/mm</w:t>
            </w:r>
            <w:r w:rsidRPr="003F564F">
              <w:rPr>
                <w:sz w:val="22"/>
                <w:szCs w:val="24"/>
                <w:vertAlign w:val="superscript"/>
              </w:rPr>
              <w:t>3</w:t>
            </w:r>
          </w:p>
        </w:tc>
        <w:tc>
          <w:tcPr>
            <w:tcW w:w="4857" w:type="dxa"/>
          </w:tcPr>
          <w:p w14:paraId="27EC028C" w14:textId="16409D63" w:rsidR="006016EC" w:rsidRPr="003F564F" w:rsidRDefault="006016EC" w:rsidP="00C03635">
            <w:pPr>
              <w:tabs>
                <w:tab w:val="left" w:pos="567"/>
              </w:tabs>
              <w:spacing w:line="260" w:lineRule="exact"/>
              <w:rPr>
                <w:sz w:val="22"/>
                <w:szCs w:val="24"/>
              </w:rPr>
            </w:pPr>
            <w:r w:rsidRPr="003F564F">
              <w:rPr>
                <w:sz w:val="22"/>
                <w:szCs w:val="24"/>
              </w:rPr>
              <w:t xml:space="preserve">Sumažinti </w:t>
            </w:r>
            <w:proofErr w:type="spellStart"/>
            <w:r w:rsidR="008B09E3">
              <w:rPr>
                <w:sz w:val="22"/>
                <w:szCs w:val="24"/>
              </w:rPr>
              <w:t>Ruxolitinib</w:t>
            </w:r>
            <w:proofErr w:type="spellEnd"/>
            <w:r w:rsidR="008B09E3">
              <w:rPr>
                <w:sz w:val="22"/>
                <w:szCs w:val="24"/>
              </w:rPr>
              <w:t xml:space="preserve"> </w:t>
            </w:r>
            <w:proofErr w:type="spellStart"/>
            <w:r w:rsidR="008B09E3">
              <w:rPr>
                <w:sz w:val="22"/>
                <w:szCs w:val="24"/>
              </w:rPr>
              <w:t>Sandoz</w:t>
            </w:r>
            <w:proofErr w:type="spellEnd"/>
            <w:r w:rsidRPr="003F564F">
              <w:rPr>
                <w:sz w:val="22"/>
                <w:szCs w:val="24"/>
              </w:rPr>
              <w:t xml:space="preserve"> dozę vienu dozės intervalu. Jeigu</w:t>
            </w:r>
            <w:r w:rsidR="00C03635" w:rsidRPr="003F564F">
              <w:rPr>
                <w:sz w:val="22"/>
                <w:szCs w:val="24"/>
              </w:rPr>
              <w:t xml:space="preserve"> </w:t>
            </w:r>
            <w:r w:rsidRPr="003F564F">
              <w:rPr>
                <w:sz w:val="22"/>
                <w:szCs w:val="24"/>
              </w:rPr>
              <w:t>trombocitų skaičius per septynias dienas tampa</w:t>
            </w:r>
            <w:r w:rsidR="00C03635" w:rsidRPr="003F564F">
              <w:rPr>
                <w:sz w:val="22"/>
                <w:szCs w:val="24"/>
              </w:rPr>
              <w:t xml:space="preserve"> </w:t>
            </w:r>
            <w:r w:rsidRPr="003F564F">
              <w:rPr>
                <w:sz w:val="22"/>
                <w:szCs w:val="24"/>
              </w:rPr>
              <w:t>≥</w:t>
            </w:r>
            <w:r w:rsidR="00C03635" w:rsidRPr="003F564F">
              <w:rPr>
                <w:sz w:val="22"/>
                <w:szCs w:val="24"/>
              </w:rPr>
              <w:t> </w:t>
            </w:r>
            <w:r w:rsidRPr="003F564F">
              <w:rPr>
                <w:sz w:val="22"/>
                <w:szCs w:val="24"/>
              </w:rPr>
              <w:t>20</w:t>
            </w:r>
            <w:r w:rsidR="00C03635" w:rsidRPr="003F564F">
              <w:rPr>
                <w:sz w:val="22"/>
                <w:szCs w:val="24"/>
              </w:rPr>
              <w:t> </w:t>
            </w:r>
            <w:r w:rsidRPr="003F564F">
              <w:rPr>
                <w:sz w:val="22"/>
                <w:szCs w:val="24"/>
              </w:rPr>
              <w:t>000/mm</w:t>
            </w:r>
            <w:r w:rsidRPr="003F564F">
              <w:rPr>
                <w:sz w:val="22"/>
                <w:szCs w:val="24"/>
                <w:vertAlign w:val="superscript"/>
              </w:rPr>
              <w:t>3</w:t>
            </w:r>
            <w:r w:rsidRPr="003F564F">
              <w:rPr>
                <w:sz w:val="22"/>
                <w:szCs w:val="24"/>
              </w:rPr>
              <w:t>, dozę galima padidinti iki ankstesniosios</w:t>
            </w:r>
            <w:r w:rsidR="00C03635" w:rsidRPr="003F564F">
              <w:rPr>
                <w:sz w:val="22"/>
                <w:szCs w:val="24"/>
              </w:rPr>
              <w:t xml:space="preserve"> </w:t>
            </w:r>
            <w:r w:rsidRPr="003F564F">
              <w:rPr>
                <w:sz w:val="22"/>
                <w:szCs w:val="24"/>
              </w:rPr>
              <w:t>dozės, kitu atveju – toliau skirti mažesnę dozę.</w:t>
            </w:r>
          </w:p>
        </w:tc>
      </w:tr>
      <w:tr w:rsidR="006016EC" w:rsidRPr="003F564F" w14:paraId="56E048AD" w14:textId="77777777" w:rsidTr="006016EC">
        <w:tc>
          <w:tcPr>
            <w:tcW w:w="4857" w:type="dxa"/>
          </w:tcPr>
          <w:p w14:paraId="5E44FFD5" w14:textId="0992286F" w:rsidR="006016EC" w:rsidRPr="003F564F" w:rsidRDefault="006016EC" w:rsidP="006016EC">
            <w:pPr>
              <w:tabs>
                <w:tab w:val="left" w:pos="567"/>
              </w:tabs>
              <w:spacing w:line="260" w:lineRule="exact"/>
              <w:rPr>
                <w:sz w:val="22"/>
                <w:szCs w:val="24"/>
              </w:rPr>
            </w:pPr>
            <w:r w:rsidRPr="003F564F">
              <w:rPr>
                <w:sz w:val="22"/>
                <w:szCs w:val="24"/>
              </w:rPr>
              <w:t>Trombocitų skaičius &lt;</w:t>
            </w:r>
            <w:r w:rsidR="00C03635" w:rsidRPr="003F564F">
              <w:rPr>
                <w:sz w:val="22"/>
                <w:szCs w:val="24"/>
              </w:rPr>
              <w:t> </w:t>
            </w:r>
            <w:r w:rsidRPr="003F564F">
              <w:rPr>
                <w:sz w:val="22"/>
                <w:szCs w:val="24"/>
              </w:rPr>
              <w:t>15</w:t>
            </w:r>
            <w:r w:rsidR="00C03635" w:rsidRPr="003F564F">
              <w:rPr>
                <w:sz w:val="22"/>
                <w:szCs w:val="24"/>
              </w:rPr>
              <w:t> </w:t>
            </w:r>
            <w:r w:rsidRPr="003F564F">
              <w:rPr>
                <w:sz w:val="22"/>
                <w:szCs w:val="24"/>
              </w:rPr>
              <w:t>000/mm</w:t>
            </w:r>
            <w:r w:rsidRPr="003F564F">
              <w:rPr>
                <w:sz w:val="22"/>
                <w:szCs w:val="24"/>
                <w:vertAlign w:val="superscript"/>
              </w:rPr>
              <w:t>3</w:t>
            </w:r>
          </w:p>
        </w:tc>
        <w:tc>
          <w:tcPr>
            <w:tcW w:w="4857" w:type="dxa"/>
          </w:tcPr>
          <w:p w14:paraId="18177495" w14:textId="5D20E7CE" w:rsidR="006016EC" w:rsidRPr="003F564F" w:rsidRDefault="006016EC" w:rsidP="00C03635">
            <w:pPr>
              <w:tabs>
                <w:tab w:val="left" w:pos="567"/>
              </w:tabs>
              <w:spacing w:line="260" w:lineRule="exact"/>
              <w:rPr>
                <w:sz w:val="22"/>
                <w:szCs w:val="24"/>
              </w:rPr>
            </w:pPr>
            <w:r w:rsidRPr="003F564F">
              <w:rPr>
                <w:sz w:val="22"/>
                <w:szCs w:val="24"/>
              </w:rPr>
              <w:t xml:space="preserve">Laikinai neskirti </w:t>
            </w:r>
            <w:proofErr w:type="spellStart"/>
            <w:r w:rsidR="008B09E3">
              <w:rPr>
                <w:sz w:val="22"/>
                <w:szCs w:val="24"/>
              </w:rPr>
              <w:t>Ruxolitinib</w:t>
            </w:r>
            <w:proofErr w:type="spellEnd"/>
            <w:r w:rsidR="008B09E3">
              <w:rPr>
                <w:sz w:val="22"/>
                <w:szCs w:val="24"/>
              </w:rPr>
              <w:t xml:space="preserve"> </w:t>
            </w:r>
            <w:proofErr w:type="spellStart"/>
            <w:r w:rsidR="008B09E3">
              <w:rPr>
                <w:sz w:val="22"/>
                <w:szCs w:val="24"/>
              </w:rPr>
              <w:t>Sandoz</w:t>
            </w:r>
            <w:proofErr w:type="spellEnd"/>
            <w:r w:rsidRPr="003F564F">
              <w:rPr>
                <w:sz w:val="22"/>
                <w:szCs w:val="24"/>
              </w:rPr>
              <w:t>, kol trombocitų skaičius taps</w:t>
            </w:r>
            <w:r w:rsidR="00C03635" w:rsidRPr="003F564F">
              <w:rPr>
                <w:sz w:val="22"/>
                <w:szCs w:val="24"/>
              </w:rPr>
              <w:t xml:space="preserve"> </w:t>
            </w:r>
            <w:r w:rsidRPr="003F564F">
              <w:rPr>
                <w:sz w:val="22"/>
                <w:szCs w:val="24"/>
              </w:rPr>
              <w:t>≥</w:t>
            </w:r>
            <w:r w:rsidR="00C03635" w:rsidRPr="003F564F">
              <w:rPr>
                <w:sz w:val="22"/>
                <w:szCs w:val="24"/>
              </w:rPr>
              <w:t> </w:t>
            </w:r>
            <w:r w:rsidRPr="003F564F">
              <w:rPr>
                <w:sz w:val="22"/>
                <w:szCs w:val="24"/>
              </w:rPr>
              <w:t>20</w:t>
            </w:r>
            <w:r w:rsidR="00C03635" w:rsidRPr="003F564F">
              <w:rPr>
                <w:sz w:val="22"/>
                <w:szCs w:val="24"/>
              </w:rPr>
              <w:t> </w:t>
            </w:r>
            <w:r w:rsidRPr="003F564F">
              <w:rPr>
                <w:sz w:val="22"/>
                <w:szCs w:val="24"/>
              </w:rPr>
              <w:t>000/mm</w:t>
            </w:r>
            <w:r w:rsidRPr="003F564F">
              <w:rPr>
                <w:sz w:val="22"/>
                <w:szCs w:val="24"/>
                <w:vertAlign w:val="superscript"/>
              </w:rPr>
              <w:t>3</w:t>
            </w:r>
            <w:r w:rsidRPr="003F564F">
              <w:rPr>
                <w:sz w:val="22"/>
                <w:szCs w:val="24"/>
              </w:rPr>
              <w:t>, tuomet atnaujinti skyrimą vienu mažesniu</w:t>
            </w:r>
            <w:r w:rsidR="00C03635" w:rsidRPr="003F564F">
              <w:rPr>
                <w:sz w:val="22"/>
                <w:szCs w:val="24"/>
              </w:rPr>
              <w:t xml:space="preserve"> </w:t>
            </w:r>
            <w:r w:rsidRPr="003F564F">
              <w:rPr>
                <w:sz w:val="22"/>
                <w:szCs w:val="24"/>
              </w:rPr>
              <w:t>dozės intervalu.</w:t>
            </w:r>
          </w:p>
        </w:tc>
      </w:tr>
      <w:tr w:rsidR="006016EC" w:rsidRPr="003F564F" w14:paraId="2A6E6177" w14:textId="77777777" w:rsidTr="006016EC">
        <w:tc>
          <w:tcPr>
            <w:tcW w:w="4857" w:type="dxa"/>
          </w:tcPr>
          <w:p w14:paraId="7B8811E6" w14:textId="79DA4929" w:rsidR="006016EC" w:rsidRPr="003F564F" w:rsidRDefault="006016EC" w:rsidP="00C03635">
            <w:pPr>
              <w:tabs>
                <w:tab w:val="left" w:pos="567"/>
              </w:tabs>
              <w:spacing w:line="260" w:lineRule="exact"/>
              <w:rPr>
                <w:sz w:val="22"/>
                <w:szCs w:val="24"/>
              </w:rPr>
            </w:pPr>
            <w:r w:rsidRPr="003F564F">
              <w:rPr>
                <w:sz w:val="22"/>
                <w:szCs w:val="24"/>
              </w:rPr>
              <w:t xml:space="preserve">Absoliutusis </w:t>
            </w:r>
            <w:proofErr w:type="spellStart"/>
            <w:r w:rsidRPr="003F564F">
              <w:rPr>
                <w:sz w:val="22"/>
                <w:szCs w:val="24"/>
              </w:rPr>
              <w:t>neutrofilų</w:t>
            </w:r>
            <w:proofErr w:type="spellEnd"/>
            <w:r w:rsidRPr="003F564F">
              <w:rPr>
                <w:sz w:val="22"/>
                <w:szCs w:val="24"/>
              </w:rPr>
              <w:t xml:space="preserve"> skaičius</w:t>
            </w:r>
            <w:r w:rsidR="00C03635" w:rsidRPr="003F564F">
              <w:rPr>
                <w:sz w:val="22"/>
                <w:szCs w:val="24"/>
              </w:rPr>
              <w:t xml:space="preserve"> </w:t>
            </w:r>
            <w:r w:rsidRPr="003F564F">
              <w:rPr>
                <w:sz w:val="22"/>
                <w:szCs w:val="24"/>
              </w:rPr>
              <w:t>(ANK) nuo ≥</w:t>
            </w:r>
            <w:r w:rsidR="00C03635" w:rsidRPr="003F564F">
              <w:rPr>
                <w:sz w:val="22"/>
                <w:szCs w:val="24"/>
              </w:rPr>
              <w:t> </w:t>
            </w:r>
            <w:r w:rsidRPr="003F564F">
              <w:rPr>
                <w:sz w:val="22"/>
                <w:szCs w:val="24"/>
              </w:rPr>
              <w:t>500/mm</w:t>
            </w:r>
            <w:r w:rsidRPr="003F564F">
              <w:rPr>
                <w:sz w:val="22"/>
                <w:szCs w:val="24"/>
                <w:vertAlign w:val="superscript"/>
              </w:rPr>
              <w:t>3</w:t>
            </w:r>
            <w:r w:rsidRPr="003F564F">
              <w:rPr>
                <w:sz w:val="22"/>
                <w:szCs w:val="24"/>
              </w:rPr>
              <w:t xml:space="preserve"> iki</w:t>
            </w:r>
            <w:r w:rsidR="00C03635" w:rsidRPr="003F564F">
              <w:rPr>
                <w:sz w:val="22"/>
                <w:szCs w:val="24"/>
              </w:rPr>
              <w:t xml:space="preserve"> </w:t>
            </w:r>
            <w:r w:rsidRPr="003F564F">
              <w:rPr>
                <w:sz w:val="22"/>
                <w:szCs w:val="24"/>
              </w:rPr>
              <w:t>&lt;</w:t>
            </w:r>
            <w:r w:rsidR="00C03635" w:rsidRPr="003F564F">
              <w:rPr>
                <w:sz w:val="22"/>
                <w:szCs w:val="24"/>
              </w:rPr>
              <w:t> </w:t>
            </w:r>
            <w:r w:rsidRPr="003F564F">
              <w:rPr>
                <w:sz w:val="22"/>
                <w:szCs w:val="24"/>
              </w:rPr>
              <w:t>750/mm</w:t>
            </w:r>
            <w:r w:rsidRPr="003F564F">
              <w:rPr>
                <w:sz w:val="22"/>
                <w:szCs w:val="24"/>
                <w:vertAlign w:val="superscript"/>
              </w:rPr>
              <w:t>3</w:t>
            </w:r>
          </w:p>
        </w:tc>
        <w:tc>
          <w:tcPr>
            <w:tcW w:w="4857" w:type="dxa"/>
          </w:tcPr>
          <w:p w14:paraId="2E23B1F2" w14:textId="39A1F68E" w:rsidR="006016EC" w:rsidRPr="003F564F" w:rsidRDefault="006016EC" w:rsidP="00645BAB">
            <w:pPr>
              <w:tabs>
                <w:tab w:val="left" w:pos="567"/>
              </w:tabs>
              <w:spacing w:line="260" w:lineRule="exact"/>
              <w:rPr>
                <w:sz w:val="22"/>
                <w:szCs w:val="24"/>
              </w:rPr>
            </w:pPr>
            <w:r w:rsidRPr="003F564F">
              <w:rPr>
                <w:sz w:val="22"/>
                <w:szCs w:val="24"/>
              </w:rPr>
              <w:t xml:space="preserve">Sumažinti </w:t>
            </w:r>
            <w:proofErr w:type="spellStart"/>
            <w:r w:rsidR="008B09E3">
              <w:rPr>
                <w:sz w:val="22"/>
                <w:szCs w:val="24"/>
              </w:rPr>
              <w:t>Ruxolitinib</w:t>
            </w:r>
            <w:proofErr w:type="spellEnd"/>
            <w:r w:rsidR="008B09E3">
              <w:rPr>
                <w:sz w:val="22"/>
                <w:szCs w:val="24"/>
              </w:rPr>
              <w:t xml:space="preserve"> </w:t>
            </w:r>
            <w:proofErr w:type="spellStart"/>
            <w:r w:rsidR="008B09E3">
              <w:rPr>
                <w:sz w:val="22"/>
                <w:szCs w:val="24"/>
              </w:rPr>
              <w:t>Sandoz</w:t>
            </w:r>
            <w:proofErr w:type="spellEnd"/>
            <w:r w:rsidRPr="003F564F">
              <w:rPr>
                <w:sz w:val="22"/>
                <w:szCs w:val="24"/>
              </w:rPr>
              <w:t xml:space="preserve"> dozę vienu dozės intervalu. Atnaujinti</w:t>
            </w:r>
            <w:r w:rsidR="00645BAB" w:rsidRPr="003F564F">
              <w:rPr>
                <w:sz w:val="22"/>
                <w:szCs w:val="24"/>
              </w:rPr>
              <w:t xml:space="preserve"> </w:t>
            </w:r>
            <w:r w:rsidRPr="003F564F">
              <w:rPr>
                <w:sz w:val="22"/>
                <w:szCs w:val="24"/>
              </w:rPr>
              <w:t>pradinės dozės skyrimą, jeigu ANK yra &gt;</w:t>
            </w:r>
            <w:r w:rsidR="00645BAB" w:rsidRPr="003F564F">
              <w:rPr>
                <w:sz w:val="22"/>
                <w:szCs w:val="24"/>
              </w:rPr>
              <w:t> </w:t>
            </w:r>
            <w:r w:rsidRPr="003F564F">
              <w:rPr>
                <w:sz w:val="22"/>
                <w:szCs w:val="24"/>
              </w:rPr>
              <w:t>1</w:t>
            </w:r>
            <w:r w:rsidR="00645BAB" w:rsidRPr="003F564F">
              <w:rPr>
                <w:sz w:val="22"/>
                <w:szCs w:val="24"/>
              </w:rPr>
              <w:t> </w:t>
            </w:r>
            <w:r w:rsidRPr="003F564F">
              <w:rPr>
                <w:sz w:val="22"/>
                <w:szCs w:val="24"/>
              </w:rPr>
              <w:t>000/mm</w:t>
            </w:r>
            <w:r w:rsidRPr="003F564F">
              <w:rPr>
                <w:sz w:val="22"/>
                <w:szCs w:val="24"/>
                <w:vertAlign w:val="superscript"/>
              </w:rPr>
              <w:t>3</w:t>
            </w:r>
            <w:r w:rsidRPr="003F564F">
              <w:rPr>
                <w:sz w:val="22"/>
                <w:szCs w:val="24"/>
              </w:rPr>
              <w:t>.</w:t>
            </w:r>
          </w:p>
        </w:tc>
      </w:tr>
      <w:tr w:rsidR="006016EC" w:rsidRPr="003F564F" w14:paraId="5F09BC60" w14:textId="77777777" w:rsidTr="006016EC">
        <w:tc>
          <w:tcPr>
            <w:tcW w:w="4857" w:type="dxa"/>
          </w:tcPr>
          <w:p w14:paraId="7550F8CD" w14:textId="1419F941" w:rsidR="006016EC" w:rsidRPr="003F564F" w:rsidRDefault="006016EC" w:rsidP="00C03635">
            <w:pPr>
              <w:tabs>
                <w:tab w:val="left" w:pos="567"/>
              </w:tabs>
              <w:spacing w:line="260" w:lineRule="exact"/>
              <w:rPr>
                <w:sz w:val="22"/>
                <w:szCs w:val="24"/>
              </w:rPr>
            </w:pPr>
            <w:r w:rsidRPr="003F564F">
              <w:rPr>
                <w:sz w:val="22"/>
                <w:szCs w:val="24"/>
              </w:rPr>
              <w:t xml:space="preserve">Absoliutusis </w:t>
            </w:r>
            <w:proofErr w:type="spellStart"/>
            <w:r w:rsidRPr="003F564F">
              <w:rPr>
                <w:sz w:val="22"/>
                <w:szCs w:val="24"/>
              </w:rPr>
              <w:t>neutrofilų</w:t>
            </w:r>
            <w:proofErr w:type="spellEnd"/>
            <w:r w:rsidRPr="003F564F">
              <w:rPr>
                <w:sz w:val="22"/>
                <w:szCs w:val="24"/>
              </w:rPr>
              <w:t xml:space="preserve"> skaičius</w:t>
            </w:r>
            <w:r w:rsidR="00C03635" w:rsidRPr="003F564F">
              <w:rPr>
                <w:sz w:val="22"/>
                <w:szCs w:val="24"/>
              </w:rPr>
              <w:t xml:space="preserve"> </w:t>
            </w:r>
            <w:r w:rsidRPr="003F564F">
              <w:rPr>
                <w:sz w:val="22"/>
                <w:szCs w:val="24"/>
              </w:rPr>
              <w:t>&lt;</w:t>
            </w:r>
            <w:r w:rsidR="00C03635" w:rsidRPr="003F564F">
              <w:rPr>
                <w:sz w:val="22"/>
                <w:szCs w:val="24"/>
              </w:rPr>
              <w:t> </w:t>
            </w:r>
            <w:r w:rsidRPr="003F564F">
              <w:rPr>
                <w:sz w:val="22"/>
                <w:szCs w:val="24"/>
              </w:rPr>
              <w:t>500/mm</w:t>
            </w:r>
            <w:r w:rsidRPr="003F564F">
              <w:rPr>
                <w:sz w:val="22"/>
                <w:szCs w:val="24"/>
                <w:vertAlign w:val="superscript"/>
              </w:rPr>
              <w:t>3</w:t>
            </w:r>
          </w:p>
        </w:tc>
        <w:tc>
          <w:tcPr>
            <w:tcW w:w="4857" w:type="dxa"/>
          </w:tcPr>
          <w:p w14:paraId="3E65B627" w14:textId="6351145B" w:rsidR="006016EC" w:rsidRPr="003F564F" w:rsidRDefault="006016EC" w:rsidP="00645BAB">
            <w:pPr>
              <w:tabs>
                <w:tab w:val="left" w:pos="567"/>
              </w:tabs>
              <w:spacing w:line="260" w:lineRule="exact"/>
              <w:rPr>
                <w:sz w:val="22"/>
                <w:szCs w:val="24"/>
              </w:rPr>
            </w:pPr>
            <w:r w:rsidRPr="003F564F">
              <w:rPr>
                <w:sz w:val="22"/>
                <w:szCs w:val="24"/>
              </w:rPr>
              <w:t xml:space="preserve">Laikinai neskirti </w:t>
            </w:r>
            <w:proofErr w:type="spellStart"/>
            <w:r w:rsidR="008B09E3">
              <w:rPr>
                <w:sz w:val="22"/>
                <w:szCs w:val="24"/>
              </w:rPr>
              <w:t>Ruxolitinib</w:t>
            </w:r>
            <w:proofErr w:type="spellEnd"/>
            <w:r w:rsidR="008B09E3">
              <w:rPr>
                <w:sz w:val="22"/>
                <w:szCs w:val="24"/>
              </w:rPr>
              <w:t xml:space="preserve"> </w:t>
            </w:r>
            <w:proofErr w:type="spellStart"/>
            <w:r w:rsidR="008B09E3">
              <w:rPr>
                <w:sz w:val="22"/>
                <w:szCs w:val="24"/>
              </w:rPr>
              <w:t>Sandoz</w:t>
            </w:r>
            <w:proofErr w:type="spellEnd"/>
            <w:r w:rsidRPr="003F564F">
              <w:rPr>
                <w:sz w:val="22"/>
                <w:szCs w:val="24"/>
              </w:rPr>
              <w:t>, kol ANK taps &gt;</w:t>
            </w:r>
            <w:r w:rsidR="00645BAB" w:rsidRPr="003F564F">
              <w:rPr>
                <w:sz w:val="22"/>
                <w:szCs w:val="24"/>
              </w:rPr>
              <w:t> </w:t>
            </w:r>
            <w:r w:rsidRPr="003F564F">
              <w:rPr>
                <w:sz w:val="22"/>
                <w:szCs w:val="24"/>
              </w:rPr>
              <w:t>500/mm</w:t>
            </w:r>
            <w:r w:rsidRPr="003F564F">
              <w:rPr>
                <w:sz w:val="22"/>
                <w:szCs w:val="24"/>
                <w:vertAlign w:val="superscript"/>
              </w:rPr>
              <w:t>3</w:t>
            </w:r>
            <w:r w:rsidRPr="003F564F">
              <w:rPr>
                <w:sz w:val="22"/>
                <w:szCs w:val="24"/>
              </w:rPr>
              <w:t>, tuomet</w:t>
            </w:r>
            <w:r w:rsidR="00645BAB" w:rsidRPr="003F564F">
              <w:rPr>
                <w:sz w:val="22"/>
                <w:szCs w:val="24"/>
              </w:rPr>
              <w:t xml:space="preserve"> </w:t>
            </w:r>
            <w:r w:rsidRPr="003F564F">
              <w:rPr>
                <w:sz w:val="22"/>
                <w:szCs w:val="24"/>
              </w:rPr>
              <w:t>atnaujinti skyrimą vienu mažesniu dozės intervalu. Jeigu</w:t>
            </w:r>
            <w:r w:rsidR="00645BAB" w:rsidRPr="003F564F">
              <w:rPr>
                <w:sz w:val="22"/>
                <w:szCs w:val="24"/>
              </w:rPr>
              <w:t xml:space="preserve"> </w:t>
            </w:r>
            <w:r w:rsidRPr="003F564F">
              <w:rPr>
                <w:sz w:val="22"/>
                <w:szCs w:val="24"/>
              </w:rPr>
              <w:t>ANK tampa &gt;</w:t>
            </w:r>
            <w:r w:rsidR="00645BAB" w:rsidRPr="003F564F">
              <w:rPr>
                <w:sz w:val="22"/>
                <w:szCs w:val="24"/>
              </w:rPr>
              <w:t> </w:t>
            </w:r>
            <w:r w:rsidRPr="003F564F">
              <w:rPr>
                <w:sz w:val="22"/>
                <w:szCs w:val="24"/>
              </w:rPr>
              <w:t>1</w:t>
            </w:r>
            <w:r w:rsidR="00645BAB" w:rsidRPr="003F564F">
              <w:rPr>
                <w:sz w:val="22"/>
                <w:szCs w:val="24"/>
              </w:rPr>
              <w:t> </w:t>
            </w:r>
            <w:r w:rsidRPr="003F564F">
              <w:rPr>
                <w:sz w:val="22"/>
                <w:szCs w:val="24"/>
              </w:rPr>
              <w:t>000/mm</w:t>
            </w:r>
            <w:r w:rsidRPr="003F564F">
              <w:rPr>
                <w:sz w:val="22"/>
                <w:szCs w:val="24"/>
                <w:vertAlign w:val="superscript"/>
              </w:rPr>
              <w:t>3</w:t>
            </w:r>
            <w:r w:rsidRPr="003F564F">
              <w:rPr>
                <w:sz w:val="22"/>
                <w:szCs w:val="24"/>
              </w:rPr>
              <w:t>, galima atnaujinti pradinės dozės</w:t>
            </w:r>
            <w:r w:rsidR="00645BAB" w:rsidRPr="003F564F">
              <w:rPr>
                <w:sz w:val="22"/>
                <w:szCs w:val="24"/>
              </w:rPr>
              <w:t xml:space="preserve"> </w:t>
            </w:r>
            <w:r w:rsidRPr="003F564F">
              <w:rPr>
                <w:sz w:val="22"/>
                <w:szCs w:val="24"/>
              </w:rPr>
              <w:t>skyrimą.</w:t>
            </w:r>
          </w:p>
        </w:tc>
      </w:tr>
      <w:tr w:rsidR="00645BAB" w:rsidRPr="003F564F" w14:paraId="056BC685" w14:textId="77777777" w:rsidTr="006016EC">
        <w:tc>
          <w:tcPr>
            <w:tcW w:w="4857" w:type="dxa"/>
            <w:vMerge w:val="restart"/>
          </w:tcPr>
          <w:p w14:paraId="138C9049" w14:textId="2281118E" w:rsidR="00645BAB" w:rsidRPr="003F564F" w:rsidRDefault="00645BAB" w:rsidP="00C03635">
            <w:pPr>
              <w:tabs>
                <w:tab w:val="left" w:pos="567"/>
              </w:tabs>
              <w:spacing w:line="260" w:lineRule="exact"/>
              <w:rPr>
                <w:sz w:val="22"/>
                <w:szCs w:val="24"/>
              </w:rPr>
            </w:pPr>
            <w:r w:rsidRPr="003F564F">
              <w:rPr>
                <w:sz w:val="22"/>
                <w:szCs w:val="24"/>
              </w:rPr>
              <w:t xml:space="preserve">Padidėjusi bendrojo </w:t>
            </w:r>
            <w:proofErr w:type="spellStart"/>
            <w:r w:rsidRPr="003F564F">
              <w:rPr>
                <w:sz w:val="22"/>
                <w:szCs w:val="24"/>
              </w:rPr>
              <w:t>bilirubino</w:t>
            </w:r>
            <w:proofErr w:type="spellEnd"/>
            <w:r w:rsidRPr="003F564F">
              <w:rPr>
                <w:sz w:val="22"/>
                <w:szCs w:val="24"/>
              </w:rPr>
              <w:t xml:space="preserve"> koncentracija nesukelta </w:t>
            </w:r>
            <w:proofErr w:type="spellStart"/>
            <w:r w:rsidRPr="003F564F">
              <w:rPr>
                <w:sz w:val="22"/>
                <w:szCs w:val="24"/>
              </w:rPr>
              <w:t>TpŠL</w:t>
            </w:r>
            <w:proofErr w:type="spellEnd"/>
            <w:r w:rsidRPr="003F564F">
              <w:rPr>
                <w:sz w:val="22"/>
                <w:szCs w:val="24"/>
              </w:rPr>
              <w:t xml:space="preserve"> (ne kepenų </w:t>
            </w:r>
            <w:proofErr w:type="spellStart"/>
            <w:r w:rsidRPr="003F564F">
              <w:rPr>
                <w:sz w:val="22"/>
                <w:szCs w:val="24"/>
              </w:rPr>
              <w:t>TpŠL</w:t>
            </w:r>
            <w:proofErr w:type="spellEnd"/>
            <w:r w:rsidRPr="003F564F">
              <w:rPr>
                <w:sz w:val="22"/>
                <w:szCs w:val="24"/>
              </w:rPr>
              <w:t>)</w:t>
            </w:r>
          </w:p>
        </w:tc>
        <w:tc>
          <w:tcPr>
            <w:tcW w:w="4857" w:type="dxa"/>
          </w:tcPr>
          <w:p w14:paraId="3B443A39" w14:textId="3CAF16A5" w:rsidR="00645BAB" w:rsidRPr="003F564F" w:rsidRDefault="00645BAB" w:rsidP="006016EC">
            <w:pPr>
              <w:tabs>
                <w:tab w:val="left" w:pos="567"/>
              </w:tabs>
              <w:spacing w:line="260" w:lineRule="exact"/>
              <w:rPr>
                <w:sz w:val="22"/>
                <w:szCs w:val="24"/>
              </w:rPr>
            </w:pPr>
            <w:r w:rsidRPr="003F564F">
              <w:rPr>
                <w:sz w:val="22"/>
                <w:szCs w:val="24"/>
              </w:rPr>
              <w:t>Nuo &gt; 3,0 iki 5,0 kartų viršija viršutinę normos ribą (VNR):</w:t>
            </w:r>
          </w:p>
          <w:p w14:paraId="1287F918" w14:textId="26BF70EA" w:rsidR="00645BAB" w:rsidRPr="003F564F" w:rsidRDefault="00645BAB" w:rsidP="00645BAB">
            <w:pPr>
              <w:tabs>
                <w:tab w:val="left" w:pos="567"/>
              </w:tabs>
              <w:spacing w:line="260" w:lineRule="exact"/>
              <w:rPr>
                <w:sz w:val="22"/>
                <w:szCs w:val="24"/>
              </w:rPr>
            </w:pPr>
            <w:r w:rsidRPr="003F564F">
              <w:rPr>
                <w:sz w:val="22"/>
                <w:szCs w:val="24"/>
              </w:rPr>
              <w:lastRenderedPageBreak/>
              <w:t xml:space="preserve">Tęsti </w:t>
            </w:r>
            <w:proofErr w:type="spellStart"/>
            <w:r w:rsidR="008B09E3">
              <w:rPr>
                <w:sz w:val="22"/>
                <w:szCs w:val="24"/>
              </w:rPr>
              <w:t>Ruxolitinib</w:t>
            </w:r>
            <w:proofErr w:type="spellEnd"/>
            <w:r w:rsidR="008B09E3">
              <w:rPr>
                <w:sz w:val="22"/>
                <w:szCs w:val="24"/>
              </w:rPr>
              <w:t xml:space="preserve"> </w:t>
            </w:r>
            <w:proofErr w:type="spellStart"/>
            <w:r w:rsidR="008B09E3">
              <w:rPr>
                <w:sz w:val="22"/>
                <w:szCs w:val="24"/>
              </w:rPr>
              <w:t>Sandoz</w:t>
            </w:r>
            <w:proofErr w:type="spellEnd"/>
            <w:r w:rsidRPr="003F564F">
              <w:rPr>
                <w:sz w:val="22"/>
                <w:szCs w:val="24"/>
              </w:rPr>
              <w:t xml:space="preserve"> skyrimą vienu mažesniu dozės intervalu, kol tampa ≤ 3,0 x VNR.</w:t>
            </w:r>
          </w:p>
        </w:tc>
      </w:tr>
      <w:tr w:rsidR="00645BAB" w:rsidRPr="003F564F" w14:paraId="1E974FFA" w14:textId="77777777" w:rsidTr="006016EC">
        <w:tc>
          <w:tcPr>
            <w:tcW w:w="4857" w:type="dxa"/>
            <w:vMerge/>
          </w:tcPr>
          <w:p w14:paraId="12AB83A8" w14:textId="77777777" w:rsidR="00645BAB" w:rsidRPr="003F564F" w:rsidRDefault="00645BAB" w:rsidP="006016EC">
            <w:pPr>
              <w:tabs>
                <w:tab w:val="left" w:pos="567"/>
              </w:tabs>
              <w:spacing w:line="260" w:lineRule="exact"/>
              <w:rPr>
                <w:sz w:val="22"/>
                <w:szCs w:val="24"/>
              </w:rPr>
            </w:pPr>
          </w:p>
        </w:tc>
        <w:tc>
          <w:tcPr>
            <w:tcW w:w="4857" w:type="dxa"/>
          </w:tcPr>
          <w:p w14:paraId="58E6855E" w14:textId="691F9636" w:rsidR="00645BAB" w:rsidRPr="003F564F" w:rsidRDefault="00645BAB" w:rsidP="00645BAB">
            <w:pPr>
              <w:tabs>
                <w:tab w:val="left" w:pos="567"/>
              </w:tabs>
              <w:spacing w:line="260" w:lineRule="exact"/>
              <w:rPr>
                <w:sz w:val="22"/>
                <w:szCs w:val="24"/>
              </w:rPr>
            </w:pPr>
            <w:r w:rsidRPr="003F564F">
              <w:rPr>
                <w:sz w:val="22"/>
                <w:szCs w:val="24"/>
              </w:rPr>
              <w:t xml:space="preserve">Nuo &gt; 5,0 iki 10,0 x VNR: laikinai neskirti </w:t>
            </w:r>
            <w:proofErr w:type="spellStart"/>
            <w:r w:rsidR="008B09E3">
              <w:rPr>
                <w:sz w:val="22"/>
                <w:szCs w:val="24"/>
              </w:rPr>
              <w:t>Ruxolitinib</w:t>
            </w:r>
            <w:proofErr w:type="spellEnd"/>
            <w:r w:rsidR="008B09E3">
              <w:rPr>
                <w:sz w:val="22"/>
                <w:szCs w:val="24"/>
              </w:rPr>
              <w:t xml:space="preserve"> </w:t>
            </w:r>
            <w:proofErr w:type="spellStart"/>
            <w:r w:rsidR="008B09E3">
              <w:rPr>
                <w:sz w:val="22"/>
                <w:szCs w:val="24"/>
              </w:rPr>
              <w:t>Sandoz</w:t>
            </w:r>
            <w:proofErr w:type="spellEnd"/>
            <w:r w:rsidRPr="003F564F">
              <w:rPr>
                <w:sz w:val="22"/>
                <w:szCs w:val="24"/>
              </w:rPr>
              <w:t xml:space="preserve"> iki 14 dienų, kol bendrojo </w:t>
            </w:r>
            <w:proofErr w:type="spellStart"/>
            <w:r w:rsidRPr="003F564F">
              <w:rPr>
                <w:sz w:val="22"/>
                <w:szCs w:val="24"/>
              </w:rPr>
              <w:t>bilirubino</w:t>
            </w:r>
            <w:proofErr w:type="spellEnd"/>
            <w:r w:rsidRPr="003F564F">
              <w:rPr>
                <w:sz w:val="22"/>
                <w:szCs w:val="24"/>
              </w:rPr>
              <w:t xml:space="preserve"> koncentracija tampa ≤ 3,0 x VNR. Jeigu bendrojo </w:t>
            </w:r>
            <w:proofErr w:type="spellStart"/>
            <w:r w:rsidRPr="003F564F">
              <w:rPr>
                <w:sz w:val="22"/>
                <w:szCs w:val="24"/>
              </w:rPr>
              <w:t>bilirubino</w:t>
            </w:r>
            <w:proofErr w:type="spellEnd"/>
            <w:r w:rsidRPr="003F564F">
              <w:rPr>
                <w:sz w:val="22"/>
                <w:szCs w:val="24"/>
              </w:rPr>
              <w:t xml:space="preserve"> koncentracija yra ≤ 3,0 x VNR, galima atnaujinti tokios pat dozės skyrimą. Jeigu po 14 dienų bendrojo </w:t>
            </w:r>
            <w:proofErr w:type="spellStart"/>
            <w:r w:rsidRPr="003F564F">
              <w:rPr>
                <w:sz w:val="22"/>
                <w:szCs w:val="24"/>
              </w:rPr>
              <w:t>bilirubino</w:t>
            </w:r>
            <w:proofErr w:type="spellEnd"/>
            <w:r w:rsidRPr="003F564F">
              <w:rPr>
                <w:sz w:val="22"/>
                <w:szCs w:val="24"/>
              </w:rPr>
              <w:t xml:space="preserve"> koncentracija nėra ≤ 3,0 x VNR, atnaujinti skyrimą vienu mažesniu dozės intervalu.</w:t>
            </w:r>
          </w:p>
        </w:tc>
      </w:tr>
      <w:tr w:rsidR="00645BAB" w:rsidRPr="003F564F" w14:paraId="1A0CD119" w14:textId="77777777" w:rsidTr="006016EC">
        <w:tc>
          <w:tcPr>
            <w:tcW w:w="4857" w:type="dxa"/>
            <w:vMerge/>
          </w:tcPr>
          <w:p w14:paraId="2DE3E1B8" w14:textId="77777777" w:rsidR="00645BAB" w:rsidRPr="003F564F" w:rsidRDefault="00645BAB" w:rsidP="006016EC">
            <w:pPr>
              <w:tabs>
                <w:tab w:val="left" w:pos="567"/>
              </w:tabs>
              <w:spacing w:line="260" w:lineRule="exact"/>
              <w:rPr>
                <w:sz w:val="22"/>
                <w:szCs w:val="24"/>
              </w:rPr>
            </w:pPr>
          </w:p>
        </w:tc>
        <w:tc>
          <w:tcPr>
            <w:tcW w:w="4857" w:type="dxa"/>
          </w:tcPr>
          <w:p w14:paraId="1A5716A7" w14:textId="55329458" w:rsidR="00645BAB" w:rsidRPr="003F564F" w:rsidRDefault="00645BAB" w:rsidP="00645BAB">
            <w:pPr>
              <w:tabs>
                <w:tab w:val="left" w:pos="567"/>
              </w:tabs>
              <w:spacing w:line="260" w:lineRule="exact"/>
              <w:rPr>
                <w:sz w:val="22"/>
                <w:szCs w:val="24"/>
              </w:rPr>
            </w:pPr>
            <w:r w:rsidRPr="003F564F">
              <w:rPr>
                <w:sz w:val="22"/>
                <w:szCs w:val="24"/>
              </w:rPr>
              <w:t xml:space="preserve">&gt; 10,0 x VNR: laikinai neskirti </w:t>
            </w:r>
            <w:proofErr w:type="spellStart"/>
            <w:r w:rsidR="008B09E3">
              <w:rPr>
                <w:sz w:val="22"/>
                <w:szCs w:val="24"/>
              </w:rPr>
              <w:t>Ruxolitinib</w:t>
            </w:r>
            <w:proofErr w:type="spellEnd"/>
            <w:r w:rsidR="008B09E3">
              <w:rPr>
                <w:sz w:val="22"/>
                <w:szCs w:val="24"/>
              </w:rPr>
              <w:t xml:space="preserve"> </w:t>
            </w:r>
            <w:proofErr w:type="spellStart"/>
            <w:r w:rsidR="008B09E3">
              <w:rPr>
                <w:sz w:val="22"/>
                <w:szCs w:val="24"/>
              </w:rPr>
              <w:t>Sandoz</w:t>
            </w:r>
            <w:proofErr w:type="spellEnd"/>
            <w:r w:rsidRPr="003F564F">
              <w:rPr>
                <w:sz w:val="22"/>
                <w:szCs w:val="24"/>
              </w:rPr>
              <w:t xml:space="preserve">, kol bendrojo </w:t>
            </w:r>
            <w:proofErr w:type="spellStart"/>
            <w:r w:rsidRPr="003F564F">
              <w:rPr>
                <w:sz w:val="22"/>
                <w:szCs w:val="24"/>
              </w:rPr>
              <w:t>bilirubino</w:t>
            </w:r>
            <w:proofErr w:type="spellEnd"/>
            <w:r w:rsidRPr="003F564F">
              <w:rPr>
                <w:sz w:val="22"/>
                <w:szCs w:val="24"/>
              </w:rPr>
              <w:t xml:space="preserve"> koncentracija tampa ≤ 3,0 x VNR, tuomet atnaujinti skyrimą vienu mažesniu dozės intervalu.</w:t>
            </w:r>
          </w:p>
        </w:tc>
      </w:tr>
      <w:tr w:rsidR="006016EC" w:rsidRPr="003F564F" w14:paraId="150D0FFF" w14:textId="77777777" w:rsidTr="006016EC">
        <w:tc>
          <w:tcPr>
            <w:tcW w:w="4857" w:type="dxa"/>
          </w:tcPr>
          <w:p w14:paraId="78BE6A0B" w14:textId="07BD7084" w:rsidR="006016EC" w:rsidRPr="003F564F" w:rsidRDefault="006016EC" w:rsidP="00C03635">
            <w:pPr>
              <w:tabs>
                <w:tab w:val="left" w:pos="567"/>
              </w:tabs>
              <w:spacing w:line="260" w:lineRule="exact"/>
              <w:rPr>
                <w:sz w:val="22"/>
                <w:szCs w:val="24"/>
              </w:rPr>
            </w:pPr>
            <w:r w:rsidRPr="003F564F">
              <w:rPr>
                <w:sz w:val="22"/>
                <w:szCs w:val="24"/>
              </w:rPr>
              <w:t xml:space="preserve">Padidėjusi bendrojo </w:t>
            </w:r>
            <w:proofErr w:type="spellStart"/>
            <w:r w:rsidRPr="003F564F">
              <w:rPr>
                <w:sz w:val="22"/>
                <w:szCs w:val="24"/>
              </w:rPr>
              <w:t>bilirubino</w:t>
            </w:r>
            <w:proofErr w:type="spellEnd"/>
            <w:r w:rsidR="00C03635" w:rsidRPr="003F564F">
              <w:rPr>
                <w:sz w:val="22"/>
                <w:szCs w:val="24"/>
              </w:rPr>
              <w:t xml:space="preserve"> </w:t>
            </w:r>
            <w:r w:rsidRPr="003F564F">
              <w:rPr>
                <w:sz w:val="22"/>
                <w:szCs w:val="24"/>
              </w:rPr>
              <w:t xml:space="preserve">koncentracija sukelta </w:t>
            </w:r>
            <w:proofErr w:type="spellStart"/>
            <w:r w:rsidRPr="003F564F">
              <w:rPr>
                <w:sz w:val="22"/>
                <w:szCs w:val="24"/>
              </w:rPr>
              <w:t>TpŠL</w:t>
            </w:r>
            <w:proofErr w:type="spellEnd"/>
            <w:r w:rsidR="00C03635" w:rsidRPr="003F564F">
              <w:rPr>
                <w:sz w:val="22"/>
                <w:szCs w:val="24"/>
              </w:rPr>
              <w:t xml:space="preserve"> </w:t>
            </w:r>
            <w:r w:rsidRPr="003F564F">
              <w:rPr>
                <w:sz w:val="22"/>
                <w:szCs w:val="24"/>
              </w:rPr>
              <w:t xml:space="preserve">(kepenų </w:t>
            </w:r>
            <w:proofErr w:type="spellStart"/>
            <w:r w:rsidRPr="003F564F">
              <w:rPr>
                <w:sz w:val="22"/>
                <w:szCs w:val="24"/>
              </w:rPr>
              <w:t>TpŠL</w:t>
            </w:r>
            <w:proofErr w:type="spellEnd"/>
            <w:r w:rsidRPr="003F564F">
              <w:rPr>
                <w:sz w:val="22"/>
                <w:szCs w:val="24"/>
              </w:rPr>
              <w:t>)</w:t>
            </w:r>
          </w:p>
        </w:tc>
        <w:tc>
          <w:tcPr>
            <w:tcW w:w="4857" w:type="dxa"/>
          </w:tcPr>
          <w:p w14:paraId="3BF73084" w14:textId="7B0DB78E" w:rsidR="006016EC" w:rsidRPr="003F564F" w:rsidRDefault="006016EC" w:rsidP="00645BAB">
            <w:pPr>
              <w:tabs>
                <w:tab w:val="left" w:pos="567"/>
              </w:tabs>
              <w:spacing w:line="260" w:lineRule="exact"/>
              <w:rPr>
                <w:sz w:val="22"/>
                <w:szCs w:val="24"/>
              </w:rPr>
            </w:pPr>
            <w:r w:rsidRPr="003F564F">
              <w:rPr>
                <w:sz w:val="22"/>
                <w:szCs w:val="24"/>
              </w:rPr>
              <w:t>&gt;</w:t>
            </w:r>
            <w:r w:rsidR="00645BAB" w:rsidRPr="003F564F">
              <w:rPr>
                <w:sz w:val="22"/>
                <w:szCs w:val="24"/>
              </w:rPr>
              <w:t> </w:t>
            </w:r>
            <w:r w:rsidRPr="003F564F">
              <w:rPr>
                <w:sz w:val="22"/>
                <w:szCs w:val="24"/>
              </w:rPr>
              <w:t>3,0</w:t>
            </w:r>
            <w:r w:rsidR="00645BAB" w:rsidRPr="003F564F">
              <w:rPr>
                <w:sz w:val="22"/>
                <w:szCs w:val="24"/>
              </w:rPr>
              <w:t> </w:t>
            </w:r>
            <w:r w:rsidRPr="003F564F">
              <w:rPr>
                <w:sz w:val="22"/>
                <w:szCs w:val="24"/>
              </w:rPr>
              <w:t>x</w:t>
            </w:r>
            <w:r w:rsidR="00645BAB" w:rsidRPr="003F564F">
              <w:rPr>
                <w:sz w:val="22"/>
                <w:szCs w:val="24"/>
              </w:rPr>
              <w:t> </w:t>
            </w:r>
            <w:r w:rsidRPr="003F564F">
              <w:rPr>
                <w:sz w:val="22"/>
                <w:szCs w:val="24"/>
              </w:rPr>
              <w:t xml:space="preserve">VNR: tęsti </w:t>
            </w:r>
            <w:proofErr w:type="spellStart"/>
            <w:r w:rsidR="008B09E3">
              <w:rPr>
                <w:sz w:val="22"/>
                <w:szCs w:val="24"/>
              </w:rPr>
              <w:t>Ruxolitinib</w:t>
            </w:r>
            <w:proofErr w:type="spellEnd"/>
            <w:r w:rsidR="008B09E3">
              <w:rPr>
                <w:sz w:val="22"/>
                <w:szCs w:val="24"/>
              </w:rPr>
              <w:t xml:space="preserve"> </w:t>
            </w:r>
            <w:proofErr w:type="spellStart"/>
            <w:r w:rsidR="008B09E3">
              <w:rPr>
                <w:sz w:val="22"/>
                <w:szCs w:val="24"/>
              </w:rPr>
              <w:t>Sandoz</w:t>
            </w:r>
            <w:proofErr w:type="spellEnd"/>
            <w:r w:rsidRPr="003F564F">
              <w:rPr>
                <w:sz w:val="22"/>
                <w:szCs w:val="24"/>
              </w:rPr>
              <w:t xml:space="preserve"> skyrimą vienu mažesniu dozės</w:t>
            </w:r>
            <w:r w:rsidR="00645BAB" w:rsidRPr="003F564F">
              <w:rPr>
                <w:sz w:val="22"/>
                <w:szCs w:val="24"/>
              </w:rPr>
              <w:t xml:space="preserve"> </w:t>
            </w:r>
            <w:r w:rsidRPr="003F564F">
              <w:rPr>
                <w:sz w:val="22"/>
                <w:szCs w:val="24"/>
              </w:rPr>
              <w:t xml:space="preserve">intervalu, kol bendrojo </w:t>
            </w:r>
            <w:proofErr w:type="spellStart"/>
            <w:r w:rsidRPr="003F564F">
              <w:rPr>
                <w:sz w:val="22"/>
                <w:szCs w:val="24"/>
              </w:rPr>
              <w:t>bilirubino</w:t>
            </w:r>
            <w:proofErr w:type="spellEnd"/>
            <w:r w:rsidRPr="003F564F">
              <w:rPr>
                <w:sz w:val="22"/>
                <w:szCs w:val="24"/>
              </w:rPr>
              <w:t xml:space="preserve"> koncentracija tampa</w:t>
            </w:r>
            <w:r w:rsidR="00645BAB" w:rsidRPr="003F564F">
              <w:rPr>
                <w:sz w:val="22"/>
                <w:szCs w:val="24"/>
              </w:rPr>
              <w:t xml:space="preserve"> </w:t>
            </w:r>
            <w:r w:rsidRPr="003F564F">
              <w:rPr>
                <w:sz w:val="22"/>
                <w:szCs w:val="24"/>
              </w:rPr>
              <w:t>≤</w:t>
            </w:r>
            <w:r w:rsidR="00645BAB" w:rsidRPr="003F564F">
              <w:rPr>
                <w:sz w:val="22"/>
                <w:szCs w:val="24"/>
              </w:rPr>
              <w:t> </w:t>
            </w:r>
            <w:r w:rsidRPr="003F564F">
              <w:rPr>
                <w:sz w:val="22"/>
                <w:szCs w:val="24"/>
              </w:rPr>
              <w:t>3,0</w:t>
            </w:r>
            <w:r w:rsidR="00645BAB" w:rsidRPr="003F564F">
              <w:rPr>
                <w:sz w:val="22"/>
                <w:szCs w:val="24"/>
              </w:rPr>
              <w:t> </w:t>
            </w:r>
            <w:r w:rsidRPr="003F564F">
              <w:rPr>
                <w:sz w:val="22"/>
                <w:szCs w:val="24"/>
              </w:rPr>
              <w:t>x</w:t>
            </w:r>
            <w:r w:rsidR="00645BAB" w:rsidRPr="003F564F">
              <w:rPr>
                <w:sz w:val="22"/>
                <w:szCs w:val="24"/>
              </w:rPr>
              <w:t> </w:t>
            </w:r>
            <w:r w:rsidRPr="003F564F">
              <w:rPr>
                <w:sz w:val="22"/>
                <w:szCs w:val="24"/>
              </w:rPr>
              <w:t>VNR.</w:t>
            </w:r>
          </w:p>
        </w:tc>
      </w:tr>
    </w:tbl>
    <w:p w14:paraId="4E9B13BC" w14:textId="77777777" w:rsidR="006016EC" w:rsidRPr="003F564F" w:rsidRDefault="006016EC" w:rsidP="006016EC">
      <w:pPr>
        <w:tabs>
          <w:tab w:val="left" w:pos="567"/>
        </w:tabs>
        <w:spacing w:line="260" w:lineRule="exact"/>
        <w:rPr>
          <w:sz w:val="22"/>
          <w:szCs w:val="24"/>
        </w:rPr>
      </w:pPr>
    </w:p>
    <w:p w14:paraId="66BDC642" w14:textId="77777777" w:rsidR="006016EC" w:rsidRPr="003F564F" w:rsidRDefault="006016EC" w:rsidP="006016EC">
      <w:pPr>
        <w:tabs>
          <w:tab w:val="left" w:pos="567"/>
        </w:tabs>
        <w:spacing w:line="260" w:lineRule="exact"/>
        <w:rPr>
          <w:i/>
          <w:iCs/>
          <w:sz w:val="22"/>
          <w:szCs w:val="24"/>
          <w:u w:val="single"/>
        </w:rPr>
      </w:pPr>
      <w:r w:rsidRPr="003F564F">
        <w:rPr>
          <w:i/>
          <w:iCs/>
          <w:sz w:val="22"/>
          <w:szCs w:val="24"/>
          <w:u w:val="single"/>
        </w:rPr>
        <w:t>Dozės koregavimas kartu skiriant stiprių CYP3A4 inhibitorių arba CYP2C9/3A4 inhibitorių</w:t>
      </w:r>
    </w:p>
    <w:p w14:paraId="36E78B4F" w14:textId="6557CA2F" w:rsidR="006016EC" w:rsidRPr="003F564F" w:rsidRDefault="006016EC" w:rsidP="006016EC">
      <w:pPr>
        <w:tabs>
          <w:tab w:val="left" w:pos="567"/>
        </w:tabs>
        <w:spacing w:line="260" w:lineRule="exact"/>
        <w:rPr>
          <w:sz w:val="22"/>
          <w:szCs w:val="24"/>
        </w:rPr>
      </w:pPr>
      <w:r w:rsidRPr="003F564F">
        <w:rPr>
          <w:sz w:val="22"/>
          <w:szCs w:val="24"/>
        </w:rPr>
        <w:t xml:space="preserve">Tais atvejais, kai </w:t>
      </w:r>
      <w:proofErr w:type="spellStart"/>
      <w:r w:rsidRPr="003F564F">
        <w:rPr>
          <w:sz w:val="22"/>
          <w:szCs w:val="24"/>
        </w:rPr>
        <w:t>ruksolitinibo</w:t>
      </w:r>
      <w:proofErr w:type="spellEnd"/>
      <w:r w:rsidRPr="003F564F">
        <w:rPr>
          <w:sz w:val="22"/>
          <w:szCs w:val="24"/>
        </w:rPr>
        <w:t xml:space="preserve"> skiriama kartu su stipriais CYP3A4 </w:t>
      </w:r>
      <w:proofErr w:type="spellStart"/>
      <w:r w:rsidRPr="003F564F">
        <w:rPr>
          <w:sz w:val="22"/>
          <w:szCs w:val="24"/>
        </w:rPr>
        <w:t>izofermento</w:t>
      </w:r>
      <w:proofErr w:type="spellEnd"/>
      <w:r w:rsidRPr="003F564F">
        <w:rPr>
          <w:sz w:val="22"/>
          <w:szCs w:val="24"/>
        </w:rPr>
        <w:t xml:space="preserve"> inhibitoriais arba tiek</w:t>
      </w:r>
      <w:r w:rsidR="00645BAB" w:rsidRPr="003F564F">
        <w:rPr>
          <w:sz w:val="22"/>
          <w:szCs w:val="24"/>
        </w:rPr>
        <w:t xml:space="preserve"> </w:t>
      </w:r>
      <w:r w:rsidRPr="003F564F">
        <w:rPr>
          <w:sz w:val="22"/>
          <w:szCs w:val="24"/>
        </w:rPr>
        <w:t xml:space="preserve">CYP2C9, tiek ir CYP3A4 fermentų inhibitoriais (pvz., </w:t>
      </w:r>
      <w:proofErr w:type="spellStart"/>
      <w:r w:rsidRPr="003F564F">
        <w:rPr>
          <w:sz w:val="22"/>
          <w:szCs w:val="24"/>
        </w:rPr>
        <w:t>flukonazolu</w:t>
      </w:r>
      <w:proofErr w:type="spellEnd"/>
      <w:r w:rsidRPr="003F564F">
        <w:rPr>
          <w:sz w:val="22"/>
          <w:szCs w:val="24"/>
        </w:rPr>
        <w:t xml:space="preserve">), </w:t>
      </w:r>
      <w:proofErr w:type="spellStart"/>
      <w:r w:rsidRPr="003F564F">
        <w:rPr>
          <w:sz w:val="22"/>
          <w:szCs w:val="24"/>
        </w:rPr>
        <w:t>ruksolitinibo</w:t>
      </w:r>
      <w:proofErr w:type="spellEnd"/>
      <w:r w:rsidRPr="003F564F">
        <w:rPr>
          <w:sz w:val="22"/>
          <w:szCs w:val="24"/>
        </w:rPr>
        <w:t xml:space="preserve"> dozę reikia</w:t>
      </w:r>
      <w:r w:rsidR="00645BAB" w:rsidRPr="003F564F">
        <w:rPr>
          <w:sz w:val="22"/>
          <w:szCs w:val="24"/>
        </w:rPr>
        <w:t xml:space="preserve"> </w:t>
      </w:r>
      <w:r w:rsidRPr="003F564F">
        <w:rPr>
          <w:sz w:val="22"/>
          <w:szCs w:val="24"/>
        </w:rPr>
        <w:t>sumažinti maždaug 50</w:t>
      </w:r>
      <w:r w:rsidR="00645BAB" w:rsidRPr="003F564F">
        <w:rPr>
          <w:sz w:val="22"/>
          <w:szCs w:val="24"/>
        </w:rPr>
        <w:t> </w:t>
      </w:r>
      <w:r w:rsidRPr="003F564F">
        <w:rPr>
          <w:sz w:val="22"/>
          <w:szCs w:val="24"/>
        </w:rPr>
        <w:t>% ir tokią vartoti du kartus per parą (žr</w:t>
      </w:r>
      <w:r w:rsidR="00645BAB" w:rsidRPr="003F564F">
        <w:rPr>
          <w:sz w:val="22"/>
          <w:szCs w:val="24"/>
        </w:rPr>
        <w:t>. </w:t>
      </w:r>
      <w:r w:rsidRPr="003F564F">
        <w:rPr>
          <w:sz w:val="22"/>
          <w:szCs w:val="24"/>
        </w:rPr>
        <w:t>4.4 ir 4.5</w:t>
      </w:r>
      <w:r w:rsidR="00645BAB" w:rsidRPr="003F564F">
        <w:rPr>
          <w:sz w:val="22"/>
          <w:szCs w:val="24"/>
        </w:rPr>
        <w:t> </w:t>
      </w:r>
      <w:r w:rsidRPr="003F564F">
        <w:rPr>
          <w:sz w:val="22"/>
          <w:szCs w:val="24"/>
        </w:rPr>
        <w:t>skyrius). Reikėtų vengti</w:t>
      </w:r>
      <w:r w:rsidR="00645BAB" w:rsidRPr="003F564F">
        <w:rPr>
          <w:sz w:val="22"/>
          <w:szCs w:val="24"/>
        </w:rPr>
        <w:t xml:space="preserve"> </w:t>
      </w:r>
      <w:r w:rsidRPr="003F564F">
        <w:rPr>
          <w:sz w:val="22"/>
          <w:szCs w:val="24"/>
        </w:rPr>
        <w:t xml:space="preserve">vartoti </w:t>
      </w:r>
      <w:proofErr w:type="spellStart"/>
      <w:r w:rsidRPr="003F564F">
        <w:rPr>
          <w:sz w:val="22"/>
          <w:szCs w:val="24"/>
        </w:rPr>
        <w:t>ruksolitinibo</w:t>
      </w:r>
      <w:proofErr w:type="spellEnd"/>
      <w:r w:rsidRPr="003F564F">
        <w:rPr>
          <w:sz w:val="22"/>
          <w:szCs w:val="24"/>
        </w:rPr>
        <w:t xml:space="preserve"> kartu su didesnėmis kaip 200</w:t>
      </w:r>
      <w:r w:rsidR="00645BAB" w:rsidRPr="003F564F">
        <w:rPr>
          <w:sz w:val="22"/>
          <w:szCs w:val="24"/>
        </w:rPr>
        <w:t> </w:t>
      </w:r>
      <w:r w:rsidRPr="003F564F">
        <w:rPr>
          <w:sz w:val="22"/>
          <w:szCs w:val="24"/>
        </w:rPr>
        <w:t xml:space="preserve">mg </w:t>
      </w:r>
      <w:proofErr w:type="spellStart"/>
      <w:r w:rsidRPr="003F564F">
        <w:rPr>
          <w:sz w:val="22"/>
          <w:szCs w:val="24"/>
        </w:rPr>
        <w:t>flukonazolo</w:t>
      </w:r>
      <w:proofErr w:type="spellEnd"/>
      <w:r w:rsidRPr="003F564F">
        <w:rPr>
          <w:sz w:val="22"/>
          <w:szCs w:val="24"/>
        </w:rPr>
        <w:t xml:space="preserve"> dozėmis per parą.</w:t>
      </w:r>
    </w:p>
    <w:p w14:paraId="0958B038" w14:textId="77777777" w:rsidR="00645BAB" w:rsidRPr="003F564F" w:rsidRDefault="00645BAB" w:rsidP="006016EC">
      <w:pPr>
        <w:tabs>
          <w:tab w:val="left" w:pos="567"/>
        </w:tabs>
        <w:spacing w:line="260" w:lineRule="exact"/>
        <w:rPr>
          <w:sz w:val="22"/>
          <w:szCs w:val="24"/>
        </w:rPr>
      </w:pPr>
    </w:p>
    <w:p w14:paraId="6BD836A7" w14:textId="77777777" w:rsidR="006016EC" w:rsidRPr="003F564F" w:rsidRDefault="006016EC" w:rsidP="006016EC">
      <w:pPr>
        <w:tabs>
          <w:tab w:val="left" w:pos="567"/>
        </w:tabs>
        <w:spacing w:line="260" w:lineRule="exact"/>
        <w:rPr>
          <w:i/>
          <w:iCs/>
          <w:sz w:val="22"/>
          <w:szCs w:val="24"/>
          <w:u w:val="single"/>
        </w:rPr>
      </w:pPr>
      <w:r w:rsidRPr="003F564F">
        <w:rPr>
          <w:i/>
          <w:iCs/>
          <w:sz w:val="22"/>
          <w:szCs w:val="24"/>
          <w:u w:val="single"/>
        </w:rPr>
        <w:t>Ypatingos populiacijos</w:t>
      </w:r>
    </w:p>
    <w:p w14:paraId="030B4EBA" w14:textId="77777777" w:rsidR="00645BAB" w:rsidRPr="003F564F" w:rsidRDefault="00645BAB" w:rsidP="006016EC">
      <w:pPr>
        <w:tabs>
          <w:tab w:val="left" w:pos="567"/>
        </w:tabs>
        <w:spacing w:line="260" w:lineRule="exact"/>
        <w:rPr>
          <w:sz w:val="22"/>
          <w:szCs w:val="24"/>
        </w:rPr>
      </w:pPr>
    </w:p>
    <w:p w14:paraId="60B5A684" w14:textId="73F46D20" w:rsidR="006016EC" w:rsidRPr="003F564F" w:rsidRDefault="006016EC" w:rsidP="006016EC">
      <w:pPr>
        <w:tabs>
          <w:tab w:val="left" w:pos="567"/>
        </w:tabs>
        <w:spacing w:line="260" w:lineRule="exact"/>
        <w:rPr>
          <w:i/>
          <w:iCs/>
          <w:sz w:val="22"/>
          <w:szCs w:val="24"/>
        </w:rPr>
      </w:pPr>
      <w:r w:rsidRPr="003F564F">
        <w:rPr>
          <w:i/>
          <w:iCs/>
          <w:sz w:val="22"/>
          <w:szCs w:val="24"/>
        </w:rPr>
        <w:t>Pacientams, kurių inkstų funkcija sutrikusi</w:t>
      </w:r>
    </w:p>
    <w:p w14:paraId="369C9C6E" w14:textId="361C3A94" w:rsidR="006016EC" w:rsidRPr="003F564F" w:rsidRDefault="006016EC" w:rsidP="006016EC">
      <w:pPr>
        <w:tabs>
          <w:tab w:val="left" w:pos="567"/>
        </w:tabs>
        <w:spacing w:line="260" w:lineRule="exact"/>
        <w:rPr>
          <w:sz w:val="22"/>
          <w:szCs w:val="24"/>
        </w:rPr>
      </w:pPr>
      <w:r w:rsidRPr="003F564F">
        <w:rPr>
          <w:sz w:val="22"/>
          <w:szCs w:val="24"/>
        </w:rPr>
        <w:t>Pacientams, kuriems yra nesunkus ar vidutinio sunkumo inkstų funkcijos sutrikimas, vaistinio</w:t>
      </w:r>
      <w:r w:rsidR="00645BAB" w:rsidRPr="003F564F">
        <w:rPr>
          <w:sz w:val="22"/>
          <w:szCs w:val="24"/>
        </w:rPr>
        <w:t xml:space="preserve"> </w:t>
      </w:r>
      <w:r w:rsidRPr="003F564F">
        <w:rPr>
          <w:sz w:val="22"/>
          <w:szCs w:val="24"/>
        </w:rPr>
        <w:t>preparato dozės specifiškai koreguoti nereikia.</w:t>
      </w:r>
    </w:p>
    <w:p w14:paraId="6E3F3595" w14:textId="77777777" w:rsidR="00645BAB" w:rsidRPr="003F564F" w:rsidRDefault="00645BAB" w:rsidP="006016EC">
      <w:pPr>
        <w:tabs>
          <w:tab w:val="left" w:pos="567"/>
        </w:tabs>
        <w:spacing w:line="260" w:lineRule="exact"/>
        <w:rPr>
          <w:sz w:val="22"/>
          <w:szCs w:val="24"/>
        </w:rPr>
      </w:pPr>
    </w:p>
    <w:p w14:paraId="739A52E2" w14:textId="7BD1B58A" w:rsidR="006016EC" w:rsidRPr="003F564F" w:rsidRDefault="006016EC" w:rsidP="006016EC">
      <w:pPr>
        <w:tabs>
          <w:tab w:val="left" w:pos="567"/>
        </w:tabs>
        <w:spacing w:line="260" w:lineRule="exact"/>
        <w:rPr>
          <w:sz w:val="22"/>
          <w:szCs w:val="24"/>
        </w:rPr>
      </w:pPr>
      <w:r w:rsidRPr="003F564F">
        <w:rPr>
          <w:sz w:val="22"/>
          <w:szCs w:val="24"/>
        </w:rPr>
        <w:t xml:space="preserve">MF, TP ir </w:t>
      </w:r>
      <w:proofErr w:type="spellStart"/>
      <w:r w:rsidRPr="003F564F">
        <w:rPr>
          <w:sz w:val="22"/>
          <w:szCs w:val="24"/>
        </w:rPr>
        <w:t>TpŠL</w:t>
      </w:r>
      <w:proofErr w:type="spellEnd"/>
      <w:r w:rsidRPr="003F564F">
        <w:rPr>
          <w:sz w:val="22"/>
          <w:szCs w:val="24"/>
        </w:rPr>
        <w:t xml:space="preserve"> sergantiems pacientams, kuriems yra sunkus inkstų funkcijos sutrikimas (kreatinino</w:t>
      </w:r>
      <w:r w:rsidR="00645BAB" w:rsidRPr="003F564F">
        <w:rPr>
          <w:sz w:val="22"/>
          <w:szCs w:val="24"/>
        </w:rPr>
        <w:t xml:space="preserve"> </w:t>
      </w:r>
      <w:r w:rsidRPr="003F564F">
        <w:rPr>
          <w:sz w:val="22"/>
          <w:szCs w:val="24"/>
        </w:rPr>
        <w:t>klirensas mažesnis kaip 30</w:t>
      </w:r>
      <w:r w:rsidR="00645BAB" w:rsidRPr="003F564F">
        <w:rPr>
          <w:sz w:val="22"/>
          <w:szCs w:val="24"/>
        </w:rPr>
        <w:t> </w:t>
      </w:r>
      <w:r w:rsidRPr="003F564F">
        <w:rPr>
          <w:sz w:val="22"/>
          <w:szCs w:val="24"/>
        </w:rPr>
        <w:t>ml/min.) rekomenduojamą pradinę pagal trombocitų skaičių nustatytą</w:t>
      </w:r>
      <w:r w:rsidR="00645BAB" w:rsidRPr="003F564F">
        <w:rPr>
          <w:sz w:val="22"/>
          <w:szCs w:val="24"/>
        </w:rPr>
        <w:t xml:space="preserve"> </w:t>
      </w:r>
      <w:r w:rsidRPr="003F564F">
        <w:rPr>
          <w:sz w:val="22"/>
          <w:szCs w:val="24"/>
        </w:rPr>
        <w:t>vaistinio preparato dozę reikia sumažinti maždaug 50</w:t>
      </w:r>
      <w:r w:rsidR="00645BAB" w:rsidRPr="003F564F">
        <w:rPr>
          <w:sz w:val="22"/>
          <w:szCs w:val="24"/>
        </w:rPr>
        <w:t> </w:t>
      </w:r>
      <w:r w:rsidRPr="003F564F">
        <w:rPr>
          <w:sz w:val="22"/>
          <w:szCs w:val="24"/>
        </w:rPr>
        <w:t>% ir tokią vartoti du kartus per parą.</w:t>
      </w:r>
      <w:r w:rsidR="00645BAB" w:rsidRPr="003F564F">
        <w:rPr>
          <w:sz w:val="22"/>
          <w:szCs w:val="24"/>
        </w:rPr>
        <w:t xml:space="preserve"> </w:t>
      </w:r>
      <w:proofErr w:type="spellStart"/>
      <w:r w:rsidRPr="003F564F">
        <w:rPr>
          <w:sz w:val="22"/>
          <w:szCs w:val="24"/>
        </w:rPr>
        <w:t>Ruksolitinibo</w:t>
      </w:r>
      <w:proofErr w:type="spellEnd"/>
      <w:r w:rsidRPr="003F564F">
        <w:rPr>
          <w:sz w:val="22"/>
          <w:szCs w:val="24"/>
        </w:rPr>
        <w:t xml:space="preserve"> vartojimo metu pacientų būklę reikia atidžiai stebėti vertinant vaistinio preparato</w:t>
      </w:r>
      <w:r w:rsidR="00645BAB" w:rsidRPr="003F564F">
        <w:rPr>
          <w:sz w:val="22"/>
          <w:szCs w:val="24"/>
        </w:rPr>
        <w:t xml:space="preserve"> </w:t>
      </w:r>
      <w:r w:rsidRPr="003F564F">
        <w:rPr>
          <w:sz w:val="22"/>
          <w:szCs w:val="24"/>
        </w:rPr>
        <w:t>saugumą ir veiksmingumą (žr.</w:t>
      </w:r>
      <w:r w:rsidR="00645BAB" w:rsidRPr="003F564F">
        <w:rPr>
          <w:sz w:val="22"/>
          <w:szCs w:val="24"/>
        </w:rPr>
        <w:t> </w:t>
      </w:r>
      <w:r w:rsidRPr="003F564F">
        <w:rPr>
          <w:sz w:val="22"/>
          <w:szCs w:val="24"/>
        </w:rPr>
        <w:t>4.4</w:t>
      </w:r>
      <w:r w:rsidR="00645BAB" w:rsidRPr="003F564F">
        <w:rPr>
          <w:sz w:val="22"/>
          <w:szCs w:val="24"/>
        </w:rPr>
        <w:t> </w:t>
      </w:r>
      <w:r w:rsidRPr="003F564F">
        <w:rPr>
          <w:sz w:val="22"/>
          <w:szCs w:val="24"/>
        </w:rPr>
        <w:t>skyrių).</w:t>
      </w:r>
    </w:p>
    <w:p w14:paraId="4CBCB8A4" w14:textId="77777777" w:rsidR="006016EC" w:rsidRPr="003F564F" w:rsidRDefault="006016EC" w:rsidP="006016EC">
      <w:pPr>
        <w:tabs>
          <w:tab w:val="left" w:pos="567"/>
        </w:tabs>
        <w:spacing w:line="260" w:lineRule="exact"/>
        <w:rPr>
          <w:sz w:val="22"/>
          <w:szCs w:val="24"/>
        </w:rPr>
      </w:pPr>
    </w:p>
    <w:p w14:paraId="0D94FDFF" w14:textId="29A2AE73" w:rsidR="006016EC" w:rsidRPr="003F564F" w:rsidRDefault="006016EC" w:rsidP="006016EC">
      <w:pPr>
        <w:tabs>
          <w:tab w:val="left" w:pos="567"/>
        </w:tabs>
        <w:spacing w:line="260" w:lineRule="exact"/>
        <w:rPr>
          <w:sz w:val="22"/>
          <w:szCs w:val="24"/>
        </w:rPr>
      </w:pPr>
      <w:r w:rsidRPr="003F564F">
        <w:rPr>
          <w:sz w:val="22"/>
          <w:szCs w:val="24"/>
        </w:rPr>
        <w:t>Yra nedaug duomenų, kad būtų galima nustatyti geriausią vaistinio preparato dozavimo pasirinkimą</w:t>
      </w:r>
      <w:r w:rsidR="00645BAB" w:rsidRPr="003F564F">
        <w:rPr>
          <w:sz w:val="22"/>
          <w:szCs w:val="24"/>
        </w:rPr>
        <w:t xml:space="preserve"> </w:t>
      </w:r>
      <w:r w:rsidRPr="003F564F">
        <w:rPr>
          <w:sz w:val="22"/>
          <w:szCs w:val="24"/>
        </w:rPr>
        <w:t>pacientams, kurie serga galutinės stadijos inkstų liga (GSIL) ir kuriems atliekamos hemodializės</w:t>
      </w:r>
      <w:r w:rsidR="00645BAB" w:rsidRPr="003F564F">
        <w:rPr>
          <w:sz w:val="22"/>
          <w:szCs w:val="24"/>
        </w:rPr>
        <w:t xml:space="preserve"> </w:t>
      </w:r>
      <w:r w:rsidRPr="003F564F">
        <w:rPr>
          <w:sz w:val="22"/>
          <w:szCs w:val="24"/>
        </w:rPr>
        <w:t>procedūros. Turimų vaistinio preparato vartojimo šioje populiacijoje duomenų farmakokinetikos ir</w:t>
      </w:r>
      <w:r w:rsidR="00645BAB" w:rsidRPr="003F564F">
        <w:rPr>
          <w:sz w:val="22"/>
          <w:szCs w:val="24"/>
        </w:rPr>
        <w:t xml:space="preserve"> </w:t>
      </w:r>
      <w:r w:rsidRPr="003F564F">
        <w:rPr>
          <w:sz w:val="22"/>
          <w:szCs w:val="24"/>
        </w:rPr>
        <w:t>farmakodinamikos modeliavimas rodo, kad pradinė dozė MF sergantiems pacientams, kurie sega</w:t>
      </w:r>
      <w:r w:rsidR="00645BAB" w:rsidRPr="003F564F">
        <w:rPr>
          <w:sz w:val="22"/>
          <w:szCs w:val="24"/>
        </w:rPr>
        <w:t xml:space="preserve"> </w:t>
      </w:r>
      <w:r w:rsidRPr="003F564F">
        <w:rPr>
          <w:sz w:val="22"/>
          <w:szCs w:val="24"/>
        </w:rPr>
        <w:t>GSIL ir kuriems atliekamos hemodializės, yra vieną kartą skiriama 15</w:t>
      </w:r>
      <w:r w:rsidR="00645BAB" w:rsidRPr="003F564F">
        <w:rPr>
          <w:sz w:val="22"/>
          <w:szCs w:val="24"/>
        </w:rPr>
        <w:noBreakHyphen/>
      </w:r>
      <w:r w:rsidRPr="003F564F">
        <w:rPr>
          <w:sz w:val="22"/>
          <w:szCs w:val="24"/>
        </w:rPr>
        <w:t>20</w:t>
      </w:r>
      <w:r w:rsidR="00645BAB" w:rsidRPr="003F564F">
        <w:rPr>
          <w:sz w:val="22"/>
          <w:szCs w:val="24"/>
        </w:rPr>
        <w:t> </w:t>
      </w:r>
      <w:r w:rsidRPr="003F564F">
        <w:rPr>
          <w:sz w:val="22"/>
          <w:szCs w:val="24"/>
        </w:rPr>
        <w:t>mg dozė arba kas</w:t>
      </w:r>
      <w:r w:rsidR="00645BAB" w:rsidRPr="003F564F">
        <w:rPr>
          <w:sz w:val="22"/>
          <w:szCs w:val="24"/>
        </w:rPr>
        <w:t xml:space="preserve"> </w:t>
      </w:r>
      <w:r w:rsidRPr="003F564F">
        <w:rPr>
          <w:sz w:val="22"/>
          <w:szCs w:val="24"/>
        </w:rPr>
        <w:t>12</w:t>
      </w:r>
      <w:r w:rsidR="00645BAB" w:rsidRPr="003F564F">
        <w:rPr>
          <w:sz w:val="22"/>
          <w:szCs w:val="24"/>
        </w:rPr>
        <w:t> </w:t>
      </w:r>
      <w:r w:rsidRPr="003F564F">
        <w:rPr>
          <w:sz w:val="22"/>
          <w:szCs w:val="24"/>
        </w:rPr>
        <w:t>valandų skiriamos dvi dozės po 10</w:t>
      </w:r>
      <w:r w:rsidR="00645BAB" w:rsidRPr="003F564F">
        <w:rPr>
          <w:sz w:val="22"/>
          <w:szCs w:val="24"/>
        </w:rPr>
        <w:t> </w:t>
      </w:r>
      <w:r w:rsidRPr="003F564F">
        <w:rPr>
          <w:sz w:val="22"/>
          <w:szCs w:val="24"/>
        </w:rPr>
        <w:t>mg, šias dozes reikia skirti po dializės procedūros ir tik</w:t>
      </w:r>
      <w:r w:rsidR="00645BAB" w:rsidRPr="003F564F">
        <w:rPr>
          <w:sz w:val="22"/>
          <w:szCs w:val="24"/>
        </w:rPr>
        <w:t xml:space="preserve"> </w:t>
      </w:r>
      <w:r w:rsidRPr="003F564F">
        <w:rPr>
          <w:sz w:val="22"/>
          <w:szCs w:val="24"/>
        </w:rPr>
        <w:t>hemodializių atlikimo dienomis. Vienkartinę 15</w:t>
      </w:r>
      <w:r w:rsidR="00645BAB" w:rsidRPr="003F564F">
        <w:rPr>
          <w:sz w:val="22"/>
          <w:szCs w:val="24"/>
        </w:rPr>
        <w:t> </w:t>
      </w:r>
      <w:r w:rsidRPr="003F564F">
        <w:rPr>
          <w:sz w:val="22"/>
          <w:szCs w:val="24"/>
        </w:rPr>
        <w:t>mg dozę rekomenduojama skirti, kai MF sergantiems</w:t>
      </w:r>
      <w:r w:rsidR="00645BAB" w:rsidRPr="003F564F">
        <w:rPr>
          <w:sz w:val="22"/>
          <w:szCs w:val="24"/>
        </w:rPr>
        <w:t xml:space="preserve"> </w:t>
      </w:r>
      <w:r w:rsidRPr="003F564F">
        <w:rPr>
          <w:sz w:val="22"/>
          <w:szCs w:val="24"/>
        </w:rPr>
        <w:t>pacientams trombocitų skaičius yra tarp 100</w:t>
      </w:r>
      <w:r w:rsidR="00645BAB" w:rsidRPr="003F564F">
        <w:rPr>
          <w:sz w:val="22"/>
          <w:szCs w:val="24"/>
        </w:rPr>
        <w:t> </w:t>
      </w:r>
      <w:r w:rsidRPr="003F564F">
        <w:rPr>
          <w:sz w:val="22"/>
          <w:szCs w:val="24"/>
        </w:rPr>
        <w:t>000/mm</w:t>
      </w:r>
      <w:r w:rsidRPr="003F564F">
        <w:rPr>
          <w:sz w:val="22"/>
          <w:szCs w:val="24"/>
          <w:vertAlign w:val="superscript"/>
        </w:rPr>
        <w:t>3</w:t>
      </w:r>
      <w:r w:rsidRPr="003F564F">
        <w:rPr>
          <w:sz w:val="22"/>
          <w:szCs w:val="24"/>
        </w:rPr>
        <w:t xml:space="preserve"> ir 200</w:t>
      </w:r>
      <w:r w:rsidR="00645BAB" w:rsidRPr="003F564F">
        <w:rPr>
          <w:sz w:val="22"/>
          <w:szCs w:val="24"/>
        </w:rPr>
        <w:t> </w:t>
      </w:r>
      <w:r w:rsidRPr="003F564F">
        <w:rPr>
          <w:sz w:val="22"/>
          <w:szCs w:val="24"/>
        </w:rPr>
        <w:t>000/mm</w:t>
      </w:r>
      <w:r w:rsidRPr="003F564F">
        <w:rPr>
          <w:sz w:val="22"/>
          <w:szCs w:val="24"/>
          <w:vertAlign w:val="superscript"/>
        </w:rPr>
        <w:t>3</w:t>
      </w:r>
      <w:r w:rsidRPr="003F564F">
        <w:rPr>
          <w:sz w:val="22"/>
          <w:szCs w:val="24"/>
        </w:rPr>
        <w:t>. Vienkartinę 20</w:t>
      </w:r>
      <w:r w:rsidR="00645BAB" w:rsidRPr="003F564F">
        <w:rPr>
          <w:sz w:val="22"/>
          <w:szCs w:val="24"/>
        </w:rPr>
        <w:t> </w:t>
      </w:r>
      <w:r w:rsidRPr="003F564F">
        <w:rPr>
          <w:sz w:val="22"/>
          <w:szCs w:val="24"/>
        </w:rPr>
        <w:t>mg dozę arba</w:t>
      </w:r>
      <w:r w:rsidR="00645BAB" w:rsidRPr="003F564F">
        <w:rPr>
          <w:sz w:val="22"/>
          <w:szCs w:val="24"/>
        </w:rPr>
        <w:t xml:space="preserve"> </w:t>
      </w:r>
      <w:r w:rsidRPr="003F564F">
        <w:rPr>
          <w:sz w:val="22"/>
          <w:szCs w:val="24"/>
        </w:rPr>
        <w:t>kas 12</w:t>
      </w:r>
      <w:r w:rsidR="00645BAB" w:rsidRPr="003F564F">
        <w:rPr>
          <w:sz w:val="22"/>
          <w:szCs w:val="24"/>
        </w:rPr>
        <w:t> </w:t>
      </w:r>
      <w:r w:rsidRPr="003F564F">
        <w:rPr>
          <w:sz w:val="22"/>
          <w:szCs w:val="24"/>
        </w:rPr>
        <w:t>valandų vartojamas dvi dozes po 10</w:t>
      </w:r>
      <w:r w:rsidR="00645BAB" w:rsidRPr="003F564F">
        <w:rPr>
          <w:sz w:val="22"/>
          <w:szCs w:val="24"/>
        </w:rPr>
        <w:t> </w:t>
      </w:r>
      <w:r w:rsidRPr="003F564F">
        <w:rPr>
          <w:sz w:val="22"/>
          <w:szCs w:val="24"/>
        </w:rPr>
        <w:t>mg rekomenduojama skirti, kai trombocitų skaičius yra</w:t>
      </w:r>
      <w:r w:rsidR="00645BAB" w:rsidRPr="003F564F">
        <w:rPr>
          <w:sz w:val="22"/>
          <w:szCs w:val="24"/>
        </w:rPr>
        <w:t xml:space="preserve"> </w:t>
      </w:r>
      <w:r w:rsidRPr="003F564F">
        <w:rPr>
          <w:sz w:val="22"/>
          <w:szCs w:val="24"/>
        </w:rPr>
        <w:t>&gt;</w:t>
      </w:r>
      <w:r w:rsidR="00645BAB" w:rsidRPr="003F564F">
        <w:rPr>
          <w:sz w:val="22"/>
          <w:szCs w:val="24"/>
        </w:rPr>
        <w:t> </w:t>
      </w:r>
      <w:r w:rsidRPr="003F564F">
        <w:rPr>
          <w:sz w:val="22"/>
          <w:szCs w:val="24"/>
        </w:rPr>
        <w:t>200</w:t>
      </w:r>
      <w:r w:rsidR="00645BAB" w:rsidRPr="003F564F">
        <w:rPr>
          <w:sz w:val="22"/>
          <w:szCs w:val="24"/>
        </w:rPr>
        <w:t> </w:t>
      </w:r>
      <w:r w:rsidRPr="003F564F">
        <w:rPr>
          <w:sz w:val="22"/>
          <w:szCs w:val="24"/>
        </w:rPr>
        <w:t>000/mm</w:t>
      </w:r>
      <w:r w:rsidRPr="003F564F">
        <w:rPr>
          <w:sz w:val="22"/>
          <w:szCs w:val="24"/>
          <w:vertAlign w:val="superscript"/>
        </w:rPr>
        <w:t>3</w:t>
      </w:r>
      <w:r w:rsidRPr="003F564F">
        <w:rPr>
          <w:sz w:val="22"/>
          <w:szCs w:val="24"/>
        </w:rPr>
        <w:t>. Kitas dozes (vartojamas vieną kartą arba kas 12</w:t>
      </w:r>
      <w:r w:rsidR="00645BAB" w:rsidRPr="003F564F">
        <w:rPr>
          <w:sz w:val="22"/>
          <w:szCs w:val="24"/>
        </w:rPr>
        <w:t> </w:t>
      </w:r>
      <w:r w:rsidRPr="003F564F">
        <w:rPr>
          <w:sz w:val="22"/>
          <w:szCs w:val="24"/>
        </w:rPr>
        <w:t>valandų vartojamas dvi dozes po</w:t>
      </w:r>
      <w:r w:rsidR="00645BAB" w:rsidRPr="003F564F">
        <w:rPr>
          <w:sz w:val="22"/>
          <w:szCs w:val="24"/>
        </w:rPr>
        <w:t xml:space="preserve"> </w:t>
      </w:r>
      <w:r w:rsidRPr="003F564F">
        <w:rPr>
          <w:sz w:val="22"/>
          <w:szCs w:val="24"/>
        </w:rPr>
        <w:t>10</w:t>
      </w:r>
      <w:r w:rsidR="00645BAB" w:rsidRPr="003F564F">
        <w:rPr>
          <w:sz w:val="22"/>
          <w:szCs w:val="24"/>
        </w:rPr>
        <w:t> </w:t>
      </w:r>
      <w:r w:rsidRPr="003F564F">
        <w:rPr>
          <w:sz w:val="22"/>
          <w:szCs w:val="24"/>
        </w:rPr>
        <w:t>mg) reikia skirti tik hemodializės atlikimo dienomis po kiekvienos dializės procedūros.</w:t>
      </w:r>
    </w:p>
    <w:p w14:paraId="04C0735B" w14:textId="77777777" w:rsidR="00645BAB" w:rsidRPr="003F564F" w:rsidRDefault="00645BAB" w:rsidP="006016EC">
      <w:pPr>
        <w:tabs>
          <w:tab w:val="left" w:pos="567"/>
        </w:tabs>
        <w:spacing w:line="260" w:lineRule="exact"/>
        <w:rPr>
          <w:sz w:val="22"/>
          <w:szCs w:val="24"/>
        </w:rPr>
      </w:pPr>
    </w:p>
    <w:p w14:paraId="0B165B7A" w14:textId="069D7C4B" w:rsidR="006016EC" w:rsidRPr="003F564F" w:rsidRDefault="006016EC" w:rsidP="006016EC">
      <w:pPr>
        <w:tabs>
          <w:tab w:val="left" w:pos="567"/>
        </w:tabs>
        <w:spacing w:line="260" w:lineRule="exact"/>
        <w:rPr>
          <w:sz w:val="22"/>
          <w:szCs w:val="24"/>
        </w:rPr>
      </w:pPr>
      <w:r w:rsidRPr="003F564F">
        <w:rPr>
          <w:sz w:val="22"/>
          <w:szCs w:val="24"/>
        </w:rPr>
        <w:t>Rekomenduojama pradinė dozė TP sergantiems pacientams, kurie sega GSIL ir kuriems atliekamos</w:t>
      </w:r>
      <w:r w:rsidR="00645BAB" w:rsidRPr="003F564F">
        <w:rPr>
          <w:sz w:val="22"/>
          <w:szCs w:val="24"/>
        </w:rPr>
        <w:t xml:space="preserve"> </w:t>
      </w:r>
      <w:r w:rsidRPr="003F564F">
        <w:rPr>
          <w:sz w:val="22"/>
          <w:szCs w:val="24"/>
        </w:rPr>
        <w:t>hemodializės, yra vieną kartą skiriama 10</w:t>
      </w:r>
      <w:r w:rsidR="007D46E7" w:rsidRPr="003F564F">
        <w:rPr>
          <w:sz w:val="22"/>
          <w:szCs w:val="24"/>
        </w:rPr>
        <w:t> </w:t>
      </w:r>
      <w:r w:rsidRPr="003F564F">
        <w:rPr>
          <w:sz w:val="22"/>
          <w:szCs w:val="24"/>
        </w:rPr>
        <w:t>mg dozė arba kas 12</w:t>
      </w:r>
      <w:r w:rsidR="007D46E7" w:rsidRPr="003F564F">
        <w:rPr>
          <w:sz w:val="22"/>
          <w:szCs w:val="24"/>
        </w:rPr>
        <w:t> </w:t>
      </w:r>
      <w:r w:rsidRPr="003F564F">
        <w:rPr>
          <w:sz w:val="22"/>
          <w:szCs w:val="24"/>
        </w:rPr>
        <w:t>valandų skiriamos dvi dozės po 5</w:t>
      </w:r>
      <w:r w:rsidR="007D46E7" w:rsidRPr="003F564F">
        <w:rPr>
          <w:sz w:val="22"/>
          <w:szCs w:val="24"/>
        </w:rPr>
        <w:t> </w:t>
      </w:r>
      <w:r w:rsidRPr="003F564F">
        <w:rPr>
          <w:sz w:val="22"/>
          <w:szCs w:val="24"/>
        </w:rPr>
        <w:t>mg,</w:t>
      </w:r>
      <w:r w:rsidR="00645BAB" w:rsidRPr="003F564F">
        <w:rPr>
          <w:sz w:val="22"/>
          <w:szCs w:val="24"/>
        </w:rPr>
        <w:t xml:space="preserve"> </w:t>
      </w:r>
      <w:r w:rsidRPr="003F564F">
        <w:rPr>
          <w:sz w:val="22"/>
          <w:szCs w:val="24"/>
        </w:rPr>
        <w:t>šias dozes reikia skirti po dializės procedūros ir tik hemodializių atlikimo dienomis. Šios dozavimo</w:t>
      </w:r>
      <w:r w:rsidR="00645BAB" w:rsidRPr="003F564F">
        <w:rPr>
          <w:sz w:val="22"/>
          <w:szCs w:val="24"/>
        </w:rPr>
        <w:t xml:space="preserve"> </w:t>
      </w:r>
      <w:r w:rsidRPr="003F564F">
        <w:rPr>
          <w:sz w:val="22"/>
          <w:szCs w:val="24"/>
        </w:rPr>
        <w:t>rekomendacijos pagrįstos duomenų modeliavimu, ir pacientams, kurie serga GSIL, vaistinio preparato</w:t>
      </w:r>
      <w:r w:rsidR="00645BAB" w:rsidRPr="003F564F">
        <w:rPr>
          <w:sz w:val="22"/>
          <w:szCs w:val="24"/>
        </w:rPr>
        <w:t xml:space="preserve"> </w:t>
      </w:r>
      <w:r w:rsidRPr="003F564F">
        <w:rPr>
          <w:sz w:val="22"/>
          <w:szCs w:val="24"/>
        </w:rPr>
        <w:t>dozę koreguoti reikia tik atidžiai stebint vaistinio preparato saugumą ir veiksmingumą kiekvienam</w:t>
      </w:r>
      <w:r w:rsidR="00645BAB" w:rsidRPr="003F564F">
        <w:rPr>
          <w:sz w:val="22"/>
          <w:szCs w:val="24"/>
        </w:rPr>
        <w:t xml:space="preserve"> </w:t>
      </w:r>
      <w:r w:rsidRPr="003F564F">
        <w:rPr>
          <w:sz w:val="22"/>
          <w:szCs w:val="24"/>
        </w:rPr>
        <w:lastRenderedPageBreak/>
        <w:t>pacientui atskirai. Duomenų, apie vaistinio preparato vartojimą pacientams, kuriems atliekamos</w:t>
      </w:r>
      <w:r w:rsidR="00645BAB" w:rsidRPr="003F564F">
        <w:rPr>
          <w:sz w:val="22"/>
          <w:szCs w:val="24"/>
        </w:rPr>
        <w:t xml:space="preserve"> </w:t>
      </w:r>
      <w:proofErr w:type="spellStart"/>
      <w:r w:rsidRPr="003F564F">
        <w:rPr>
          <w:sz w:val="22"/>
          <w:szCs w:val="24"/>
        </w:rPr>
        <w:t>peritoninės</w:t>
      </w:r>
      <w:proofErr w:type="spellEnd"/>
      <w:r w:rsidRPr="003F564F">
        <w:rPr>
          <w:sz w:val="22"/>
          <w:szCs w:val="24"/>
        </w:rPr>
        <w:t xml:space="preserve"> dializės ar nepertraukiama </w:t>
      </w:r>
      <w:proofErr w:type="spellStart"/>
      <w:r w:rsidRPr="003F564F">
        <w:rPr>
          <w:sz w:val="22"/>
          <w:szCs w:val="24"/>
        </w:rPr>
        <w:t>venoveninė</w:t>
      </w:r>
      <w:proofErr w:type="spellEnd"/>
      <w:r w:rsidRPr="003F564F">
        <w:rPr>
          <w:sz w:val="22"/>
          <w:szCs w:val="24"/>
        </w:rPr>
        <w:t xml:space="preserve"> </w:t>
      </w:r>
      <w:proofErr w:type="spellStart"/>
      <w:r w:rsidRPr="003F564F">
        <w:rPr>
          <w:sz w:val="22"/>
          <w:szCs w:val="24"/>
        </w:rPr>
        <w:t>hemofiltracija</w:t>
      </w:r>
      <w:proofErr w:type="spellEnd"/>
      <w:r w:rsidRPr="003F564F">
        <w:rPr>
          <w:sz w:val="22"/>
          <w:szCs w:val="24"/>
        </w:rPr>
        <w:t>, nėra (žr.</w:t>
      </w:r>
      <w:r w:rsidR="007D46E7" w:rsidRPr="003F564F">
        <w:rPr>
          <w:sz w:val="22"/>
          <w:szCs w:val="24"/>
        </w:rPr>
        <w:t> </w:t>
      </w:r>
      <w:r w:rsidRPr="003F564F">
        <w:rPr>
          <w:sz w:val="22"/>
          <w:szCs w:val="24"/>
        </w:rPr>
        <w:t>5.2</w:t>
      </w:r>
      <w:r w:rsidR="007D46E7" w:rsidRPr="003F564F">
        <w:rPr>
          <w:sz w:val="22"/>
          <w:szCs w:val="24"/>
        </w:rPr>
        <w:t> </w:t>
      </w:r>
      <w:r w:rsidRPr="003F564F">
        <w:rPr>
          <w:sz w:val="22"/>
          <w:szCs w:val="24"/>
        </w:rPr>
        <w:t>skyrių).</w:t>
      </w:r>
    </w:p>
    <w:p w14:paraId="7F741A9E" w14:textId="77777777" w:rsidR="007D46E7" w:rsidRPr="003F564F" w:rsidRDefault="007D46E7" w:rsidP="006016EC">
      <w:pPr>
        <w:tabs>
          <w:tab w:val="left" w:pos="567"/>
        </w:tabs>
        <w:spacing w:line="260" w:lineRule="exact"/>
        <w:rPr>
          <w:sz w:val="22"/>
          <w:szCs w:val="24"/>
        </w:rPr>
      </w:pPr>
    </w:p>
    <w:p w14:paraId="73C015A8" w14:textId="77777777" w:rsidR="006016EC" w:rsidRPr="003F564F" w:rsidRDefault="006016EC" w:rsidP="006016EC">
      <w:pPr>
        <w:tabs>
          <w:tab w:val="left" w:pos="567"/>
        </w:tabs>
        <w:spacing w:line="260" w:lineRule="exact"/>
        <w:rPr>
          <w:sz w:val="22"/>
          <w:szCs w:val="24"/>
        </w:rPr>
      </w:pPr>
      <w:r w:rsidRPr="003F564F">
        <w:rPr>
          <w:sz w:val="22"/>
          <w:szCs w:val="24"/>
        </w:rPr>
        <w:t xml:space="preserve">Duomenų apie pacientus, kurie serga </w:t>
      </w:r>
      <w:proofErr w:type="spellStart"/>
      <w:r w:rsidRPr="003F564F">
        <w:rPr>
          <w:sz w:val="22"/>
          <w:szCs w:val="24"/>
        </w:rPr>
        <w:t>TpŠL</w:t>
      </w:r>
      <w:proofErr w:type="spellEnd"/>
      <w:r w:rsidRPr="003F564F">
        <w:rPr>
          <w:sz w:val="22"/>
          <w:szCs w:val="24"/>
        </w:rPr>
        <w:t xml:space="preserve"> ir GSIL, nėra.</w:t>
      </w:r>
    </w:p>
    <w:p w14:paraId="578AC51A" w14:textId="77777777" w:rsidR="007D46E7" w:rsidRPr="003F564F" w:rsidRDefault="007D46E7" w:rsidP="006016EC">
      <w:pPr>
        <w:tabs>
          <w:tab w:val="left" w:pos="567"/>
        </w:tabs>
        <w:spacing w:line="260" w:lineRule="exact"/>
        <w:rPr>
          <w:sz w:val="22"/>
          <w:szCs w:val="24"/>
        </w:rPr>
      </w:pPr>
    </w:p>
    <w:p w14:paraId="2B0BD308" w14:textId="77777777" w:rsidR="006016EC" w:rsidRPr="003F564F" w:rsidRDefault="006016EC" w:rsidP="006016EC">
      <w:pPr>
        <w:tabs>
          <w:tab w:val="left" w:pos="567"/>
        </w:tabs>
        <w:spacing w:line="260" w:lineRule="exact"/>
        <w:rPr>
          <w:i/>
          <w:iCs/>
          <w:sz w:val="22"/>
          <w:szCs w:val="24"/>
        </w:rPr>
      </w:pPr>
      <w:r w:rsidRPr="003F564F">
        <w:rPr>
          <w:i/>
          <w:iCs/>
          <w:sz w:val="22"/>
          <w:szCs w:val="24"/>
        </w:rPr>
        <w:t>Pacientams, kurių kepenų funkcija sutrikusi</w:t>
      </w:r>
    </w:p>
    <w:p w14:paraId="6F2F2310" w14:textId="50AF6231" w:rsidR="006016EC" w:rsidRPr="003F564F" w:rsidRDefault="006016EC" w:rsidP="006016EC">
      <w:pPr>
        <w:tabs>
          <w:tab w:val="left" w:pos="567"/>
        </w:tabs>
        <w:spacing w:line="260" w:lineRule="exact"/>
        <w:rPr>
          <w:sz w:val="22"/>
          <w:szCs w:val="24"/>
        </w:rPr>
      </w:pPr>
      <w:r w:rsidRPr="003F564F">
        <w:rPr>
          <w:sz w:val="22"/>
          <w:szCs w:val="24"/>
        </w:rPr>
        <w:t>MF sergantiems pacientams, kuriems yra bet kokio laipsnio kepenų funkcijos sutrikimas,</w:t>
      </w:r>
      <w:r w:rsidR="007D46E7" w:rsidRPr="003F564F">
        <w:rPr>
          <w:sz w:val="22"/>
          <w:szCs w:val="24"/>
        </w:rPr>
        <w:t xml:space="preserve"> </w:t>
      </w:r>
      <w:r w:rsidRPr="003F564F">
        <w:rPr>
          <w:sz w:val="22"/>
          <w:szCs w:val="24"/>
        </w:rPr>
        <w:t>rekomenduojamą pradinę pagal trombocitų skaičių nustatytą vaistinio preparato dozę reikia sumažinti</w:t>
      </w:r>
      <w:r w:rsidR="007D46E7" w:rsidRPr="003F564F">
        <w:rPr>
          <w:sz w:val="22"/>
          <w:szCs w:val="24"/>
        </w:rPr>
        <w:t xml:space="preserve"> </w:t>
      </w:r>
      <w:r w:rsidRPr="003F564F">
        <w:rPr>
          <w:sz w:val="22"/>
          <w:szCs w:val="24"/>
        </w:rPr>
        <w:t>maždaug 50</w:t>
      </w:r>
      <w:r w:rsidR="007D46E7" w:rsidRPr="003F564F">
        <w:rPr>
          <w:sz w:val="22"/>
          <w:szCs w:val="24"/>
        </w:rPr>
        <w:t> </w:t>
      </w:r>
      <w:r w:rsidRPr="003F564F">
        <w:rPr>
          <w:sz w:val="22"/>
          <w:szCs w:val="24"/>
        </w:rPr>
        <w:t>% ir tokią vartoti du kartus per parą. Vėliau skiriamas vaistinio preparato dozes reikia</w:t>
      </w:r>
      <w:r w:rsidR="007D46E7" w:rsidRPr="003F564F">
        <w:rPr>
          <w:sz w:val="22"/>
          <w:szCs w:val="24"/>
        </w:rPr>
        <w:t xml:space="preserve"> </w:t>
      </w:r>
      <w:r w:rsidRPr="003F564F">
        <w:rPr>
          <w:sz w:val="22"/>
          <w:szCs w:val="24"/>
        </w:rPr>
        <w:t>koreguoti atidžiai stebint vaistinio preparato saugumą ir veiksmingumą. TP sergantiems pacientams</w:t>
      </w:r>
      <w:r w:rsidR="007D46E7" w:rsidRPr="003F564F">
        <w:rPr>
          <w:sz w:val="22"/>
          <w:szCs w:val="24"/>
        </w:rPr>
        <w:t xml:space="preserve"> </w:t>
      </w:r>
      <w:r w:rsidRPr="003F564F">
        <w:rPr>
          <w:sz w:val="22"/>
          <w:szCs w:val="24"/>
        </w:rPr>
        <w:t>rekomenduojama pradinė dozė yra po 5</w:t>
      </w:r>
      <w:r w:rsidR="007D46E7" w:rsidRPr="003F564F">
        <w:rPr>
          <w:sz w:val="22"/>
          <w:szCs w:val="24"/>
        </w:rPr>
        <w:t> </w:t>
      </w:r>
      <w:r w:rsidRPr="003F564F">
        <w:rPr>
          <w:sz w:val="22"/>
          <w:szCs w:val="24"/>
        </w:rPr>
        <w:t xml:space="preserve">mg du kartus per parą. </w:t>
      </w:r>
      <w:proofErr w:type="spellStart"/>
      <w:r w:rsidRPr="003F564F">
        <w:rPr>
          <w:sz w:val="22"/>
          <w:szCs w:val="24"/>
        </w:rPr>
        <w:t>Ruksolitinibo</w:t>
      </w:r>
      <w:proofErr w:type="spellEnd"/>
      <w:r w:rsidRPr="003F564F">
        <w:rPr>
          <w:sz w:val="22"/>
          <w:szCs w:val="24"/>
        </w:rPr>
        <w:t xml:space="preserve"> dozę galima koreguoti,</w:t>
      </w:r>
      <w:r w:rsidR="007D46E7" w:rsidRPr="003F564F">
        <w:rPr>
          <w:sz w:val="22"/>
          <w:szCs w:val="24"/>
        </w:rPr>
        <w:t xml:space="preserve"> </w:t>
      </w:r>
      <w:r w:rsidRPr="003F564F">
        <w:rPr>
          <w:sz w:val="22"/>
          <w:szCs w:val="24"/>
        </w:rPr>
        <w:t xml:space="preserve">siekiant sumažinti </w:t>
      </w:r>
      <w:proofErr w:type="spellStart"/>
      <w:r w:rsidRPr="003F564F">
        <w:rPr>
          <w:sz w:val="22"/>
          <w:szCs w:val="24"/>
        </w:rPr>
        <w:t>citopenijos</w:t>
      </w:r>
      <w:proofErr w:type="spellEnd"/>
      <w:r w:rsidRPr="003F564F">
        <w:rPr>
          <w:sz w:val="22"/>
          <w:szCs w:val="24"/>
        </w:rPr>
        <w:t xml:space="preserve"> pasireiškimo riziką (žr.</w:t>
      </w:r>
      <w:r w:rsidR="007D46E7" w:rsidRPr="003F564F">
        <w:rPr>
          <w:sz w:val="22"/>
          <w:szCs w:val="24"/>
        </w:rPr>
        <w:t> </w:t>
      </w:r>
      <w:r w:rsidRPr="003F564F">
        <w:rPr>
          <w:sz w:val="22"/>
          <w:szCs w:val="24"/>
        </w:rPr>
        <w:t>4.4</w:t>
      </w:r>
      <w:r w:rsidR="007D46E7" w:rsidRPr="003F564F">
        <w:rPr>
          <w:sz w:val="22"/>
          <w:szCs w:val="24"/>
        </w:rPr>
        <w:t> </w:t>
      </w:r>
      <w:r w:rsidRPr="003F564F">
        <w:rPr>
          <w:sz w:val="22"/>
          <w:szCs w:val="24"/>
        </w:rPr>
        <w:t>skyrių).</w:t>
      </w:r>
    </w:p>
    <w:p w14:paraId="781514C0" w14:textId="77777777" w:rsidR="007D46E7" w:rsidRPr="003F564F" w:rsidRDefault="007D46E7" w:rsidP="006016EC">
      <w:pPr>
        <w:tabs>
          <w:tab w:val="left" w:pos="567"/>
        </w:tabs>
        <w:spacing w:line="260" w:lineRule="exact"/>
        <w:rPr>
          <w:sz w:val="22"/>
          <w:szCs w:val="24"/>
        </w:rPr>
      </w:pPr>
    </w:p>
    <w:p w14:paraId="6A58E59A" w14:textId="285E0D94" w:rsidR="006016EC" w:rsidRPr="003F564F" w:rsidRDefault="006016EC" w:rsidP="006016EC">
      <w:pPr>
        <w:tabs>
          <w:tab w:val="left" w:pos="567"/>
        </w:tabs>
        <w:spacing w:line="260" w:lineRule="exact"/>
        <w:rPr>
          <w:sz w:val="22"/>
          <w:szCs w:val="24"/>
        </w:rPr>
      </w:pPr>
      <w:r w:rsidRPr="003F564F">
        <w:rPr>
          <w:sz w:val="22"/>
          <w:szCs w:val="24"/>
        </w:rPr>
        <w:t>Pacientams, kuriems yra nesunkus, vidutinio sunkumo ar sunkus kepenų funkcijos sutrikimas,</w:t>
      </w:r>
      <w:r w:rsidR="007D46E7" w:rsidRPr="003F564F">
        <w:rPr>
          <w:sz w:val="22"/>
          <w:szCs w:val="24"/>
        </w:rPr>
        <w:t xml:space="preserve"> </w:t>
      </w:r>
      <w:r w:rsidRPr="003F564F">
        <w:rPr>
          <w:sz w:val="22"/>
          <w:szCs w:val="24"/>
        </w:rPr>
        <w:t xml:space="preserve">nesusijęs su </w:t>
      </w:r>
      <w:proofErr w:type="spellStart"/>
      <w:r w:rsidRPr="003F564F">
        <w:rPr>
          <w:sz w:val="22"/>
          <w:szCs w:val="24"/>
        </w:rPr>
        <w:t>TpŠL</w:t>
      </w:r>
      <w:proofErr w:type="spellEnd"/>
      <w:r w:rsidRPr="003F564F">
        <w:rPr>
          <w:sz w:val="22"/>
          <w:szCs w:val="24"/>
        </w:rPr>
        <w:t xml:space="preserve">, pradinę </w:t>
      </w:r>
      <w:proofErr w:type="spellStart"/>
      <w:r w:rsidRPr="003F564F">
        <w:rPr>
          <w:sz w:val="22"/>
          <w:szCs w:val="24"/>
        </w:rPr>
        <w:t>ruksolitinibo</w:t>
      </w:r>
      <w:proofErr w:type="spellEnd"/>
      <w:r w:rsidRPr="003F564F">
        <w:rPr>
          <w:sz w:val="22"/>
          <w:szCs w:val="24"/>
        </w:rPr>
        <w:t xml:space="preserve"> dozę reikia sumažinti 50</w:t>
      </w:r>
      <w:r w:rsidR="007D46E7" w:rsidRPr="003F564F">
        <w:rPr>
          <w:sz w:val="22"/>
          <w:szCs w:val="24"/>
        </w:rPr>
        <w:t> </w:t>
      </w:r>
      <w:r w:rsidRPr="003F564F">
        <w:rPr>
          <w:sz w:val="22"/>
          <w:szCs w:val="24"/>
        </w:rPr>
        <w:t>% (žr.</w:t>
      </w:r>
      <w:r w:rsidR="007D46E7" w:rsidRPr="003F564F">
        <w:rPr>
          <w:sz w:val="22"/>
          <w:szCs w:val="24"/>
        </w:rPr>
        <w:t> </w:t>
      </w:r>
      <w:r w:rsidRPr="003F564F">
        <w:rPr>
          <w:sz w:val="22"/>
          <w:szCs w:val="24"/>
        </w:rPr>
        <w:t>5.2</w:t>
      </w:r>
      <w:r w:rsidR="007D46E7" w:rsidRPr="003F564F">
        <w:rPr>
          <w:sz w:val="22"/>
          <w:szCs w:val="24"/>
        </w:rPr>
        <w:t> </w:t>
      </w:r>
      <w:r w:rsidRPr="003F564F">
        <w:rPr>
          <w:sz w:val="22"/>
          <w:szCs w:val="24"/>
        </w:rPr>
        <w:t>skyrių).</w:t>
      </w:r>
    </w:p>
    <w:p w14:paraId="6FCA5486" w14:textId="77777777" w:rsidR="007D46E7" w:rsidRPr="003F564F" w:rsidRDefault="007D46E7" w:rsidP="006016EC">
      <w:pPr>
        <w:tabs>
          <w:tab w:val="left" w:pos="567"/>
        </w:tabs>
        <w:spacing w:line="260" w:lineRule="exact"/>
        <w:rPr>
          <w:sz w:val="22"/>
          <w:szCs w:val="24"/>
        </w:rPr>
      </w:pPr>
    </w:p>
    <w:p w14:paraId="705AF619" w14:textId="33D9F43E" w:rsidR="006016EC" w:rsidRPr="003F564F" w:rsidRDefault="006016EC" w:rsidP="006016EC">
      <w:pPr>
        <w:tabs>
          <w:tab w:val="left" w:pos="567"/>
        </w:tabs>
        <w:spacing w:line="260" w:lineRule="exact"/>
        <w:rPr>
          <w:sz w:val="22"/>
          <w:szCs w:val="24"/>
        </w:rPr>
      </w:pPr>
      <w:r w:rsidRPr="003F564F">
        <w:rPr>
          <w:sz w:val="22"/>
          <w:szCs w:val="24"/>
        </w:rPr>
        <w:t xml:space="preserve">Pacientams, kuriems pasireiškianti </w:t>
      </w:r>
      <w:proofErr w:type="spellStart"/>
      <w:r w:rsidRPr="003F564F">
        <w:rPr>
          <w:sz w:val="22"/>
          <w:szCs w:val="24"/>
        </w:rPr>
        <w:t>TpŠL</w:t>
      </w:r>
      <w:proofErr w:type="spellEnd"/>
      <w:r w:rsidRPr="003F564F">
        <w:rPr>
          <w:sz w:val="22"/>
          <w:szCs w:val="24"/>
        </w:rPr>
        <w:t xml:space="preserve"> sutrikdo kepenų funkciją ir bendrojo </w:t>
      </w:r>
      <w:proofErr w:type="spellStart"/>
      <w:r w:rsidRPr="003F564F">
        <w:rPr>
          <w:sz w:val="22"/>
          <w:szCs w:val="24"/>
        </w:rPr>
        <w:t>bilirubino</w:t>
      </w:r>
      <w:proofErr w:type="spellEnd"/>
      <w:r w:rsidRPr="003F564F">
        <w:rPr>
          <w:sz w:val="22"/>
          <w:szCs w:val="24"/>
        </w:rPr>
        <w:t xml:space="preserve"> koncentracija</w:t>
      </w:r>
      <w:r w:rsidR="007D46E7" w:rsidRPr="003F564F">
        <w:rPr>
          <w:sz w:val="22"/>
          <w:szCs w:val="24"/>
        </w:rPr>
        <w:t xml:space="preserve"> </w:t>
      </w:r>
      <w:r w:rsidRPr="003F564F">
        <w:rPr>
          <w:sz w:val="22"/>
          <w:szCs w:val="24"/>
        </w:rPr>
        <w:t>padidėja &gt;</w:t>
      </w:r>
      <w:r w:rsidR="007D46E7" w:rsidRPr="003F564F">
        <w:rPr>
          <w:sz w:val="22"/>
          <w:szCs w:val="24"/>
        </w:rPr>
        <w:t> </w:t>
      </w:r>
      <w:r w:rsidRPr="003F564F">
        <w:rPr>
          <w:sz w:val="22"/>
          <w:szCs w:val="24"/>
        </w:rPr>
        <w:t>3</w:t>
      </w:r>
      <w:r w:rsidR="007D46E7" w:rsidRPr="003F564F">
        <w:rPr>
          <w:sz w:val="22"/>
          <w:szCs w:val="24"/>
        </w:rPr>
        <w:t> </w:t>
      </w:r>
      <w:r w:rsidRPr="003F564F">
        <w:rPr>
          <w:sz w:val="22"/>
          <w:szCs w:val="24"/>
        </w:rPr>
        <w:t>x</w:t>
      </w:r>
      <w:r w:rsidR="007D46E7" w:rsidRPr="003F564F">
        <w:rPr>
          <w:sz w:val="22"/>
          <w:szCs w:val="24"/>
        </w:rPr>
        <w:t> </w:t>
      </w:r>
      <w:r w:rsidRPr="003F564F">
        <w:rPr>
          <w:sz w:val="22"/>
          <w:szCs w:val="24"/>
        </w:rPr>
        <w:t>VNR, reikia dažniau atlikti kraujo tyrimą dėl toksinio poveikio nustatymo ir</w:t>
      </w:r>
      <w:r w:rsidR="007D46E7" w:rsidRPr="003F564F">
        <w:rPr>
          <w:sz w:val="22"/>
          <w:szCs w:val="24"/>
        </w:rPr>
        <w:t xml:space="preserve"> </w:t>
      </w:r>
      <w:r w:rsidRPr="003F564F">
        <w:rPr>
          <w:sz w:val="22"/>
          <w:szCs w:val="24"/>
        </w:rPr>
        <w:t>rekomenduojama mažinti dozę vienu dozės intervalu.</w:t>
      </w:r>
    </w:p>
    <w:p w14:paraId="2C733CD2" w14:textId="77777777" w:rsidR="007D46E7" w:rsidRPr="003F564F" w:rsidRDefault="007D46E7" w:rsidP="006016EC">
      <w:pPr>
        <w:tabs>
          <w:tab w:val="left" w:pos="567"/>
        </w:tabs>
        <w:spacing w:line="260" w:lineRule="exact"/>
        <w:rPr>
          <w:sz w:val="22"/>
          <w:szCs w:val="24"/>
        </w:rPr>
      </w:pPr>
    </w:p>
    <w:p w14:paraId="6CA01304" w14:textId="4CB679F8" w:rsidR="006016EC" w:rsidRPr="003F564F" w:rsidRDefault="006016EC" w:rsidP="006016EC">
      <w:pPr>
        <w:tabs>
          <w:tab w:val="left" w:pos="567"/>
        </w:tabs>
        <w:spacing w:line="260" w:lineRule="exact"/>
        <w:rPr>
          <w:i/>
          <w:iCs/>
          <w:sz w:val="22"/>
          <w:szCs w:val="24"/>
        </w:rPr>
      </w:pPr>
      <w:r w:rsidRPr="003F564F">
        <w:rPr>
          <w:i/>
          <w:iCs/>
          <w:sz w:val="22"/>
          <w:szCs w:val="24"/>
        </w:rPr>
        <w:t>Senyvi</w:t>
      </w:r>
      <w:r w:rsidR="007D46E7" w:rsidRPr="003F564F">
        <w:rPr>
          <w:i/>
          <w:iCs/>
          <w:sz w:val="22"/>
          <w:szCs w:val="24"/>
        </w:rPr>
        <w:t>ems</w:t>
      </w:r>
      <w:r w:rsidRPr="003F564F">
        <w:rPr>
          <w:i/>
          <w:iCs/>
          <w:sz w:val="22"/>
          <w:szCs w:val="24"/>
        </w:rPr>
        <w:t xml:space="preserve"> pacient</w:t>
      </w:r>
      <w:r w:rsidR="007D46E7" w:rsidRPr="003F564F">
        <w:rPr>
          <w:i/>
          <w:iCs/>
          <w:sz w:val="22"/>
          <w:szCs w:val="24"/>
        </w:rPr>
        <w:t>ams</w:t>
      </w:r>
      <w:r w:rsidRPr="003F564F">
        <w:rPr>
          <w:i/>
          <w:iCs/>
          <w:sz w:val="22"/>
          <w:szCs w:val="24"/>
        </w:rPr>
        <w:t xml:space="preserve"> (≥</w:t>
      </w:r>
      <w:r w:rsidR="007D46E7" w:rsidRPr="003F564F">
        <w:rPr>
          <w:i/>
          <w:iCs/>
          <w:sz w:val="22"/>
          <w:szCs w:val="24"/>
        </w:rPr>
        <w:t> </w:t>
      </w:r>
      <w:r w:rsidRPr="003F564F">
        <w:rPr>
          <w:i/>
          <w:iCs/>
          <w:sz w:val="22"/>
          <w:szCs w:val="24"/>
        </w:rPr>
        <w:t>65</w:t>
      </w:r>
      <w:r w:rsidR="007D46E7" w:rsidRPr="003F564F">
        <w:rPr>
          <w:i/>
          <w:iCs/>
          <w:sz w:val="22"/>
          <w:szCs w:val="24"/>
        </w:rPr>
        <w:t> </w:t>
      </w:r>
      <w:r w:rsidRPr="003F564F">
        <w:rPr>
          <w:i/>
          <w:iCs/>
          <w:sz w:val="22"/>
          <w:szCs w:val="24"/>
        </w:rPr>
        <w:t>metų)</w:t>
      </w:r>
    </w:p>
    <w:p w14:paraId="54067D0F" w14:textId="77777777" w:rsidR="006016EC" w:rsidRPr="003F564F" w:rsidRDefault="006016EC" w:rsidP="006016EC">
      <w:pPr>
        <w:tabs>
          <w:tab w:val="left" w:pos="567"/>
        </w:tabs>
        <w:spacing w:line="260" w:lineRule="exact"/>
        <w:rPr>
          <w:sz w:val="22"/>
          <w:szCs w:val="24"/>
        </w:rPr>
      </w:pPr>
      <w:r w:rsidRPr="003F564F">
        <w:rPr>
          <w:sz w:val="22"/>
          <w:szCs w:val="24"/>
        </w:rPr>
        <w:t>Vyresniems pacientams vaistinio preparato dozės papildomai koreguoti nerekomenduojama.</w:t>
      </w:r>
    </w:p>
    <w:p w14:paraId="480478DD" w14:textId="77777777" w:rsidR="007D46E7" w:rsidRPr="003F564F" w:rsidRDefault="007D46E7" w:rsidP="006016EC">
      <w:pPr>
        <w:tabs>
          <w:tab w:val="left" w:pos="567"/>
        </w:tabs>
        <w:spacing w:line="260" w:lineRule="exact"/>
        <w:rPr>
          <w:sz w:val="22"/>
          <w:szCs w:val="24"/>
        </w:rPr>
      </w:pPr>
    </w:p>
    <w:p w14:paraId="17F884FD" w14:textId="5BF102C7" w:rsidR="006016EC" w:rsidRPr="003F564F" w:rsidRDefault="006016EC" w:rsidP="006016EC">
      <w:pPr>
        <w:tabs>
          <w:tab w:val="left" w:pos="567"/>
        </w:tabs>
        <w:spacing w:line="260" w:lineRule="exact"/>
        <w:rPr>
          <w:i/>
          <w:iCs/>
          <w:sz w:val="22"/>
          <w:szCs w:val="24"/>
        </w:rPr>
      </w:pPr>
      <w:r w:rsidRPr="003F564F">
        <w:rPr>
          <w:i/>
          <w:iCs/>
          <w:sz w:val="22"/>
          <w:szCs w:val="24"/>
        </w:rPr>
        <w:t>Vaikų populiacija</w:t>
      </w:r>
    </w:p>
    <w:p w14:paraId="49405F0A" w14:textId="52D7DED6" w:rsidR="006016EC" w:rsidRPr="003F564F" w:rsidRDefault="008B09E3" w:rsidP="006016EC">
      <w:pPr>
        <w:tabs>
          <w:tab w:val="left" w:pos="567"/>
        </w:tabs>
        <w:spacing w:line="260" w:lineRule="exact"/>
        <w:rPr>
          <w:sz w:val="22"/>
          <w:szCs w:val="24"/>
        </w:rPr>
      </w:pPr>
      <w:proofErr w:type="spellStart"/>
      <w:r>
        <w:rPr>
          <w:sz w:val="22"/>
          <w:szCs w:val="24"/>
        </w:rPr>
        <w:t>Ruxolitinib</w:t>
      </w:r>
      <w:proofErr w:type="spellEnd"/>
      <w:r>
        <w:rPr>
          <w:sz w:val="22"/>
          <w:szCs w:val="24"/>
        </w:rPr>
        <w:t xml:space="preserve"> </w:t>
      </w:r>
      <w:proofErr w:type="spellStart"/>
      <w:r>
        <w:rPr>
          <w:sz w:val="22"/>
          <w:szCs w:val="24"/>
        </w:rPr>
        <w:t>Sandoz</w:t>
      </w:r>
      <w:proofErr w:type="spellEnd"/>
      <w:r w:rsidR="006016EC" w:rsidRPr="003F564F">
        <w:rPr>
          <w:sz w:val="22"/>
          <w:szCs w:val="24"/>
        </w:rPr>
        <w:t xml:space="preserve"> saugumas ir veiksmingumas vaikams ir paaugliams iki 18</w:t>
      </w:r>
      <w:r w:rsidR="007D46E7" w:rsidRPr="003F564F">
        <w:rPr>
          <w:sz w:val="22"/>
          <w:szCs w:val="24"/>
        </w:rPr>
        <w:t> </w:t>
      </w:r>
      <w:r w:rsidR="006016EC" w:rsidRPr="003F564F">
        <w:rPr>
          <w:sz w:val="22"/>
          <w:szCs w:val="24"/>
        </w:rPr>
        <w:t>metų MF ir TP indikacijoms neištirti.</w:t>
      </w:r>
      <w:r w:rsidR="007D46E7" w:rsidRPr="003F564F">
        <w:rPr>
          <w:sz w:val="22"/>
          <w:szCs w:val="24"/>
        </w:rPr>
        <w:t xml:space="preserve"> </w:t>
      </w:r>
      <w:r w:rsidR="006016EC" w:rsidRPr="003F564F">
        <w:rPr>
          <w:sz w:val="22"/>
          <w:szCs w:val="24"/>
        </w:rPr>
        <w:t>Duomenų nėra (žr.</w:t>
      </w:r>
      <w:r w:rsidR="007D46E7" w:rsidRPr="003F564F">
        <w:rPr>
          <w:sz w:val="22"/>
          <w:szCs w:val="24"/>
        </w:rPr>
        <w:t> </w:t>
      </w:r>
      <w:r w:rsidR="006016EC" w:rsidRPr="003F564F">
        <w:rPr>
          <w:sz w:val="22"/>
          <w:szCs w:val="24"/>
        </w:rPr>
        <w:t>5.1</w:t>
      </w:r>
      <w:r w:rsidR="007D46E7" w:rsidRPr="003F564F">
        <w:rPr>
          <w:sz w:val="22"/>
          <w:szCs w:val="24"/>
        </w:rPr>
        <w:t> </w:t>
      </w:r>
      <w:r w:rsidR="006016EC" w:rsidRPr="003F564F">
        <w:rPr>
          <w:sz w:val="22"/>
          <w:szCs w:val="24"/>
        </w:rPr>
        <w:t>skyrių).</w:t>
      </w:r>
    </w:p>
    <w:p w14:paraId="2C9A1D08" w14:textId="77777777" w:rsidR="007D46E7" w:rsidRPr="003F564F" w:rsidRDefault="007D46E7" w:rsidP="006016EC">
      <w:pPr>
        <w:tabs>
          <w:tab w:val="left" w:pos="567"/>
        </w:tabs>
        <w:spacing w:line="260" w:lineRule="exact"/>
        <w:rPr>
          <w:sz w:val="22"/>
          <w:szCs w:val="24"/>
        </w:rPr>
      </w:pPr>
    </w:p>
    <w:p w14:paraId="458ADE58" w14:textId="2ED1403C" w:rsidR="006016EC" w:rsidRPr="003F564F" w:rsidRDefault="006016EC" w:rsidP="006016EC">
      <w:pPr>
        <w:tabs>
          <w:tab w:val="left" w:pos="567"/>
        </w:tabs>
        <w:spacing w:line="260" w:lineRule="exact"/>
        <w:rPr>
          <w:i/>
          <w:iCs/>
          <w:sz w:val="22"/>
          <w:szCs w:val="24"/>
          <w:u w:val="single"/>
        </w:rPr>
      </w:pPr>
      <w:r w:rsidRPr="003F564F">
        <w:rPr>
          <w:i/>
          <w:iCs/>
          <w:sz w:val="22"/>
          <w:szCs w:val="24"/>
          <w:u w:val="single"/>
        </w:rPr>
        <w:t>Gydymo nutraukimas</w:t>
      </w:r>
    </w:p>
    <w:p w14:paraId="6450E72E" w14:textId="58A4067A" w:rsidR="006016EC" w:rsidRPr="003F564F" w:rsidRDefault="007D46E7" w:rsidP="006016EC">
      <w:pPr>
        <w:tabs>
          <w:tab w:val="left" w:pos="567"/>
        </w:tabs>
        <w:spacing w:line="260" w:lineRule="exact"/>
        <w:rPr>
          <w:sz w:val="22"/>
          <w:szCs w:val="24"/>
        </w:rPr>
      </w:pPr>
      <w:r w:rsidRPr="003F564F">
        <w:rPr>
          <w:sz w:val="22"/>
          <w:szCs w:val="24"/>
        </w:rPr>
        <w:t>G</w:t>
      </w:r>
      <w:r w:rsidR="006016EC" w:rsidRPr="003F564F">
        <w:rPr>
          <w:sz w:val="22"/>
          <w:szCs w:val="24"/>
        </w:rPr>
        <w:t>ydymą sergantiesiems MF ir TP galima tęsti tol, kol naudos ir rizikos santykio įvertinimas išlieka</w:t>
      </w:r>
      <w:r w:rsidRPr="003F564F">
        <w:rPr>
          <w:sz w:val="22"/>
          <w:szCs w:val="24"/>
        </w:rPr>
        <w:t xml:space="preserve"> </w:t>
      </w:r>
      <w:r w:rsidR="006016EC" w:rsidRPr="003F564F">
        <w:rPr>
          <w:sz w:val="22"/>
          <w:szCs w:val="24"/>
        </w:rPr>
        <w:t>teigiamas. Tačiau po 6</w:t>
      </w:r>
      <w:r w:rsidRPr="003F564F">
        <w:rPr>
          <w:sz w:val="22"/>
          <w:szCs w:val="24"/>
        </w:rPr>
        <w:t> </w:t>
      </w:r>
      <w:r w:rsidR="006016EC" w:rsidRPr="003F564F">
        <w:rPr>
          <w:sz w:val="22"/>
          <w:szCs w:val="24"/>
        </w:rPr>
        <w:t>mėnesių gydymą reikia nutraukti tais atvejais, kai nuo vaistinio preparato</w:t>
      </w:r>
      <w:r w:rsidRPr="003F564F">
        <w:rPr>
          <w:sz w:val="22"/>
          <w:szCs w:val="24"/>
        </w:rPr>
        <w:t xml:space="preserve"> </w:t>
      </w:r>
      <w:r w:rsidR="006016EC" w:rsidRPr="003F564F">
        <w:rPr>
          <w:sz w:val="22"/>
          <w:szCs w:val="24"/>
        </w:rPr>
        <w:t>vartojimo pradžios blužnies dydis nesumažėjo, o ligos simptomai nesusilpnėjo.</w:t>
      </w:r>
    </w:p>
    <w:p w14:paraId="73AF3AFB" w14:textId="77777777" w:rsidR="007D46E7" w:rsidRPr="003F564F" w:rsidRDefault="007D46E7" w:rsidP="006016EC">
      <w:pPr>
        <w:tabs>
          <w:tab w:val="left" w:pos="567"/>
        </w:tabs>
        <w:spacing w:line="260" w:lineRule="exact"/>
        <w:rPr>
          <w:sz w:val="22"/>
          <w:szCs w:val="24"/>
        </w:rPr>
      </w:pPr>
    </w:p>
    <w:p w14:paraId="60FF2D05" w14:textId="1B9047F9" w:rsidR="006016EC" w:rsidRPr="003F564F" w:rsidRDefault="006016EC" w:rsidP="006016EC">
      <w:pPr>
        <w:tabs>
          <w:tab w:val="left" w:pos="567"/>
        </w:tabs>
        <w:spacing w:line="260" w:lineRule="exact"/>
        <w:rPr>
          <w:sz w:val="22"/>
          <w:szCs w:val="24"/>
        </w:rPr>
      </w:pPr>
      <w:r w:rsidRPr="003F564F">
        <w:rPr>
          <w:sz w:val="22"/>
          <w:szCs w:val="24"/>
        </w:rPr>
        <w:t xml:space="preserve">Gydymą </w:t>
      </w:r>
      <w:proofErr w:type="spellStart"/>
      <w:r w:rsidRPr="003F564F">
        <w:rPr>
          <w:sz w:val="22"/>
          <w:szCs w:val="24"/>
        </w:rPr>
        <w:t>ruksolitinibu</w:t>
      </w:r>
      <w:proofErr w:type="spellEnd"/>
      <w:r w:rsidRPr="003F564F">
        <w:rPr>
          <w:sz w:val="22"/>
          <w:szCs w:val="24"/>
        </w:rPr>
        <w:t xml:space="preserve"> rekomenduojama nutraukti ir tiems pacientams, kuriems pasireiškė nedidelis</w:t>
      </w:r>
      <w:r w:rsidR="007D46E7" w:rsidRPr="003F564F">
        <w:rPr>
          <w:sz w:val="22"/>
          <w:szCs w:val="24"/>
        </w:rPr>
        <w:t xml:space="preserve"> </w:t>
      </w:r>
      <w:r w:rsidRPr="003F564F">
        <w:rPr>
          <w:sz w:val="22"/>
          <w:szCs w:val="24"/>
        </w:rPr>
        <w:t>klinikinis pagerėjimas, tais atvejais, kai jų blužnies ilgis ilgainiui padidėja 40</w:t>
      </w:r>
      <w:r w:rsidR="007D46E7" w:rsidRPr="003F564F">
        <w:rPr>
          <w:sz w:val="22"/>
          <w:szCs w:val="24"/>
        </w:rPr>
        <w:t> </w:t>
      </w:r>
      <w:r w:rsidRPr="003F564F">
        <w:rPr>
          <w:sz w:val="22"/>
          <w:szCs w:val="24"/>
        </w:rPr>
        <w:t>% lyginant su pradine</w:t>
      </w:r>
      <w:r w:rsidR="007D46E7" w:rsidRPr="003F564F">
        <w:rPr>
          <w:sz w:val="22"/>
          <w:szCs w:val="24"/>
        </w:rPr>
        <w:t xml:space="preserve"> </w:t>
      </w:r>
      <w:r w:rsidRPr="003F564F">
        <w:rPr>
          <w:sz w:val="22"/>
          <w:szCs w:val="24"/>
        </w:rPr>
        <w:t>reikšme (apytiksliai atitinka 25</w:t>
      </w:r>
      <w:r w:rsidR="007D46E7" w:rsidRPr="003F564F">
        <w:rPr>
          <w:sz w:val="22"/>
          <w:szCs w:val="24"/>
        </w:rPr>
        <w:t> </w:t>
      </w:r>
      <w:r w:rsidRPr="003F564F">
        <w:rPr>
          <w:sz w:val="22"/>
          <w:szCs w:val="24"/>
        </w:rPr>
        <w:t>% padidėjusį blužnies tūrį), o ligos sukelti simptomai daugiau</w:t>
      </w:r>
      <w:r w:rsidR="007D46E7" w:rsidRPr="003F564F">
        <w:rPr>
          <w:sz w:val="22"/>
          <w:szCs w:val="24"/>
        </w:rPr>
        <w:t xml:space="preserve"> </w:t>
      </w:r>
      <w:r w:rsidRPr="003F564F">
        <w:rPr>
          <w:sz w:val="22"/>
          <w:szCs w:val="24"/>
        </w:rPr>
        <w:t>akivaizdžiai negerėja.</w:t>
      </w:r>
    </w:p>
    <w:p w14:paraId="15FACAB4" w14:textId="77777777" w:rsidR="006016EC" w:rsidRPr="003F564F" w:rsidRDefault="006016EC" w:rsidP="006016EC">
      <w:pPr>
        <w:tabs>
          <w:tab w:val="left" w:pos="567"/>
        </w:tabs>
        <w:spacing w:line="260" w:lineRule="exact"/>
        <w:rPr>
          <w:sz w:val="22"/>
          <w:szCs w:val="24"/>
        </w:rPr>
      </w:pPr>
    </w:p>
    <w:p w14:paraId="01440F32" w14:textId="6286A448" w:rsidR="006016EC" w:rsidRPr="003F564F" w:rsidRDefault="006016EC" w:rsidP="006016EC">
      <w:pPr>
        <w:tabs>
          <w:tab w:val="left" w:pos="567"/>
        </w:tabs>
        <w:spacing w:line="260" w:lineRule="exact"/>
        <w:rPr>
          <w:sz w:val="22"/>
          <w:szCs w:val="24"/>
        </w:rPr>
      </w:pPr>
      <w:proofErr w:type="spellStart"/>
      <w:r w:rsidRPr="003F564F">
        <w:rPr>
          <w:sz w:val="22"/>
          <w:szCs w:val="24"/>
        </w:rPr>
        <w:t>TpŠL</w:t>
      </w:r>
      <w:proofErr w:type="spellEnd"/>
      <w:r w:rsidRPr="003F564F">
        <w:rPr>
          <w:sz w:val="22"/>
          <w:szCs w:val="24"/>
        </w:rPr>
        <w:t xml:space="preserve"> sergantiems pacientams galima apsvarstyti </w:t>
      </w:r>
      <w:proofErr w:type="spellStart"/>
      <w:r w:rsidR="008B09E3">
        <w:rPr>
          <w:sz w:val="22"/>
          <w:szCs w:val="24"/>
        </w:rPr>
        <w:t>Ruxolitinib</w:t>
      </w:r>
      <w:proofErr w:type="spellEnd"/>
      <w:r w:rsidR="008B09E3">
        <w:rPr>
          <w:sz w:val="22"/>
          <w:szCs w:val="24"/>
        </w:rPr>
        <w:t xml:space="preserve"> </w:t>
      </w:r>
      <w:proofErr w:type="spellStart"/>
      <w:r w:rsidR="008B09E3">
        <w:rPr>
          <w:sz w:val="22"/>
          <w:szCs w:val="24"/>
        </w:rPr>
        <w:t>Sandoz</w:t>
      </w:r>
      <w:proofErr w:type="spellEnd"/>
      <w:r w:rsidRPr="003F564F">
        <w:rPr>
          <w:sz w:val="22"/>
          <w:szCs w:val="24"/>
        </w:rPr>
        <w:t xml:space="preserve"> dozės mažinimo ir gydymo nutraukimo</w:t>
      </w:r>
      <w:r w:rsidR="007D46E7" w:rsidRPr="003F564F">
        <w:rPr>
          <w:sz w:val="22"/>
          <w:szCs w:val="24"/>
        </w:rPr>
        <w:t xml:space="preserve"> </w:t>
      </w:r>
      <w:r w:rsidRPr="003F564F">
        <w:rPr>
          <w:sz w:val="22"/>
          <w:szCs w:val="24"/>
        </w:rPr>
        <w:t>galimybę, kai pasireiškia atsakas ir nutraukiamas kortikosteroidų vartojimas. Kas du mėnesius</w:t>
      </w:r>
      <w:r w:rsidR="007D46E7" w:rsidRPr="003F564F">
        <w:rPr>
          <w:sz w:val="22"/>
          <w:szCs w:val="24"/>
        </w:rPr>
        <w:t xml:space="preserve"> </w:t>
      </w:r>
      <w:r w:rsidRPr="003F564F">
        <w:rPr>
          <w:sz w:val="22"/>
          <w:szCs w:val="24"/>
        </w:rPr>
        <w:t>rekomenduojama 50</w:t>
      </w:r>
      <w:r w:rsidR="007D46E7" w:rsidRPr="003F564F">
        <w:rPr>
          <w:sz w:val="22"/>
          <w:szCs w:val="24"/>
        </w:rPr>
        <w:t> </w:t>
      </w:r>
      <w:r w:rsidRPr="003F564F">
        <w:rPr>
          <w:sz w:val="22"/>
          <w:szCs w:val="24"/>
        </w:rPr>
        <w:t xml:space="preserve">% sumažinti </w:t>
      </w:r>
      <w:proofErr w:type="spellStart"/>
      <w:r w:rsidR="008B09E3">
        <w:rPr>
          <w:sz w:val="22"/>
          <w:szCs w:val="24"/>
        </w:rPr>
        <w:t>Ruxolitinib</w:t>
      </w:r>
      <w:proofErr w:type="spellEnd"/>
      <w:r w:rsidR="008B09E3">
        <w:rPr>
          <w:sz w:val="22"/>
          <w:szCs w:val="24"/>
        </w:rPr>
        <w:t xml:space="preserve"> </w:t>
      </w:r>
      <w:proofErr w:type="spellStart"/>
      <w:r w:rsidR="008B09E3">
        <w:rPr>
          <w:sz w:val="22"/>
          <w:szCs w:val="24"/>
        </w:rPr>
        <w:t>Sandoz</w:t>
      </w:r>
      <w:proofErr w:type="spellEnd"/>
      <w:r w:rsidRPr="003F564F">
        <w:rPr>
          <w:sz w:val="22"/>
          <w:szCs w:val="24"/>
        </w:rPr>
        <w:t xml:space="preserve"> dozę. Jeigu mažinant </w:t>
      </w:r>
      <w:proofErr w:type="spellStart"/>
      <w:r w:rsidR="008B09E3">
        <w:rPr>
          <w:sz w:val="22"/>
          <w:szCs w:val="24"/>
        </w:rPr>
        <w:t>Ruxolitinib</w:t>
      </w:r>
      <w:proofErr w:type="spellEnd"/>
      <w:r w:rsidR="008B09E3">
        <w:rPr>
          <w:sz w:val="22"/>
          <w:szCs w:val="24"/>
        </w:rPr>
        <w:t xml:space="preserve"> </w:t>
      </w:r>
      <w:proofErr w:type="spellStart"/>
      <w:r w:rsidR="008B09E3">
        <w:rPr>
          <w:sz w:val="22"/>
          <w:szCs w:val="24"/>
        </w:rPr>
        <w:t>Sandoz</w:t>
      </w:r>
      <w:proofErr w:type="spellEnd"/>
      <w:r w:rsidRPr="003F564F">
        <w:rPr>
          <w:sz w:val="22"/>
          <w:szCs w:val="24"/>
        </w:rPr>
        <w:t xml:space="preserve"> dozę ar nutraukus jo vartojimą</w:t>
      </w:r>
      <w:r w:rsidR="007D46E7" w:rsidRPr="003F564F">
        <w:rPr>
          <w:sz w:val="22"/>
          <w:szCs w:val="24"/>
        </w:rPr>
        <w:t xml:space="preserve"> </w:t>
      </w:r>
      <w:proofErr w:type="spellStart"/>
      <w:r w:rsidRPr="003F564F">
        <w:rPr>
          <w:sz w:val="22"/>
          <w:szCs w:val="24"/>
        </w:rPr>
        <w:t>TpŠL</w:t>
      </w:r>
      <w:proofErr w:type="spellEnd"/>
      <w:r w:rsidRPr="003F564F">
        <w:rPr>
          <w:sz w:val="22"/>
          <w:szCs w:val="24"/>
        </w:rPr>
        <w:t xml:space="preserve"> požymiai ar simptomai atsinaujina, reikia apsvarstyti gydymo atnaujinimo ar dozės didinimo</w:t>
      </w:r>
      <w:r w:rsidR="007D46E7" w:rsidRPr="003F564F">
        <w:rPr>
          <w:sz w:val="22"/>
          <w:szCs w:val="24"/>
        </w:rPr>
        <w:t xml:space="preserve"> </w:t>
      </w:r>
      <w:r w:rsidRPr="003F564F">
        <w:rPr>
          <w:sz w:val="22"/>
          <w:szCs w:val="24"/>
        </w:rPr>
        <w:t>galimybę.</w:t>
      </w:r>
    </w:p>
    <w:p w14:paraId="74C0C256" w14:textId="77777777" w:rsidR="007D46E7" w:rsidRPr="003F564F" w:rsidRDefault="007D46E7" w:rsidP="006016EC">
      <w:pPr>
        <w:tabs>
          <w:tab w:val="left" w:pos="567"/>
        </w:tabs>
        <w:spacing w:line="260" w:lineRule="exact"/>
        <w:rPr>
          <w:sz w:val="22"/>
          <w:szCs w:val="24"/>
        </w:rPr>
      </w:pPr>
    </w:p>
    <w:p w14:paraId="2B0799DA" w14:textId="24769863" w:rsidR="006016EC" w:rsidRPr="003F564F" w:rsidRDefault="006016EC" w:rsidP="006016EC">
      <w:pPr>
        <w:tabs>
          <w:tab w:val="left" w:pos="567"/>
        </w:tabs>
        <w:spacing w:line="260" w:lineRule="exact"/>
        <w:rPr>
          <w:sz w:val="22"/>
          <w:szCs w:val="24"/>
          <w:u w:val="single"/>
        </w:rPr>
      </w:pPr>
      <w:r w:rsidRPr="003F564F">
        <w:rPr>
          <w:sz w:val="22"/>
          <w:szCs w:val="24"/>
          <w:u w:val="single"/>
        </w:rPr>
        <w:t>Vartojimo metodas</w:t>
      </w:r>
    </w:p>
    <w:p w14:paraId="5DA60BDF" w14:textId="14589CB7" w:rsidR="006016EC" w:rsidRPr="003F564F" w:rsidRDefault="008B09E3" w:rsidP="006016EC">
      <w:pPr>
        <w:tabs>
          <w:tab w:val="left" w:pos="567"/>
        </w:tabs>
        <w:spacing w:line="260" w:lineRule="exact"/>
        <w:rPr>
          <w:sz w:val="22"/>
          <w:szCs w:val="24"/>
        </w:rPr>
      </w:pPr>
      <w:proofErr w:type="spellStart"/>
      <w:r>
        <w:rPr>
          <w:sz w:val="22"/>
          <w:szCs w:val="24"/>
        </w:rPr>
        <w:t>Ruxolitinib</w:t>
      </w:r>
      <w:proofErr w:type="spellEnd"/>
      <w:r>
        <w:rPr>
          <w:sz w:val="22"/>
          <w:szCs w:val="24"/>
        </w:rPr>
        <w:t xml:space="preserve"> </w:t>
      </w:r>
      <w:proofErr w:type="spellStart"/>
      <w:r>
        <w:rPr>
          <w:sz w:val="22"/>
          <w:szCs w:val="24"/>
        </w:rPr>
        <w:t>Sandoz</w:t>
      </w:r>
      <w:proofErr w:type="spellEnd"/>
      <w:r w:rsidR="006016EC" w:rsidRPr="003F564F">
        <w:rPr>
          <w:sz w:val="22"/>
          <w:szCs w:val="24"/>
        </w:rPr>
        <w:t xml:space="preserve"> reikia vartoti per burną, valgio metu ar nevalgius.</w:t>
      </w:r>
    </w:p>
    <w:p w14:paraId="7B8BE7EB" w14:textId="6E57AED1" w:rsidR="006016EC" w:rsidRPr="003F564F" w:rsidRDefault="006016EC" w:rsidP="006016EC">
      <w:pPr>
        <w:tabs>
          <w:tab w:val="left" w:pos="567"/>
        </w:tabs>
        <w:spacing w:line="260" w:lineRule="exact"/>
        <w:rPr>
          <w:sz w:val="22"/>
          <w:szCs w:val="24"/>
        </w:rPr>
      </w:pPr>
      <w:r w:rsidRPr="003F564F">
        <w:rPr>
          <w:sz w:val="22"/>
          <w:szCs w:val="24"/>
        </w:rPr>
        <w:t>Jeigu pacientas pamiršta pavartoti vaistinio preparato dozę, papildomos dozės vartoti negalima, tokiu</w:t>
      </w:r>
      <w:r w:rsidR="007D46E7" w:rsidRPr="003F564F">
        <w:rPr>
          <w:sz w:val="22"/>
          <w:szCs w:val="24"/>
        </w:rPr>
        <w:t xml:space="preserve"> </w:t>
      </w:r>
      <w:r w:rsidRPr="003F564F">
        <w:rPr>
          <w:sz w:val="22"/>
          <w:szCs w:val="24"/>
        </w:rPr>
        <w:t>atveju reikia vartoti kitą paskirtą vaistinio preparato dozę įprastu laiku.</w:t>
      </w:r>
    </w:p>
    <w:p w14:paraId="4C6C6C6F" w14:textId="77777777" w:rsidR="008D3B35" w:rsidRPr="003F564F" w:rsidRDefault="008D3B35">
      <w:pPr>
        <w:tabs>
          <w:tab w:val="left" w:pos="567"/>
        </w:tabs>
        <w:spacing w:line="260" w:lineRule="exact"/>
        <w:rPr>
          <w:sz w:val="22"/>
          <w:szCs w:val="24"/>
        </w:rPr>
      </w:pPr>
    </w:p>
    <w:p w14:paraId="7688C74C" w14:textId="77777777" w:rsidR="008D3B35" w:rsidRPr="003F564F" w:rsidRDefault="00AB4978">
      <w:pPr>
        <w:keepNext/>
        <w:tabs>
          <w:tab w:val="left" w:pos="567"/>
        </w:tabs>
        <w:spacing w:line="260" w:lineRule="exact"/>
        <w:jc w:val="both"/>
        <w:outlineLvl w:val="3"/>
        <w:rPr>
          <w:b/>
          <w:bCs/>
          <w:sz w:val="22"/>
          <w:szCs w:val="28"/>
          <w:lang w:eastAsia="x-none"/>
        </w:rPr>
      </w:pPr>
      <w:r w:rsidRPr="003F564F">
        <w:rPr>
          <w:b/>
          <w:bCs/>
          <w:sz w:val="22"/>
          <w:szCs w:val="28"/>
          <w:lang w:eastAsia="x-none"/>
        </w:rPr>
        <w:t>4.3</w:t>
      </w:r>
      <w:r w:rsidRPr="003F564F">
        <w:rPr>
          <w:b/>
          <w:bCs/>
          <w:sz w:val="22"/>
          <w:szCs w:val="28"/>
          <w:lang w:eastAsia="x-none"/>
        </w:rPr>
        <w:tab/>
        <w:t>Kontraindikacijos</w:t>
      </w:r>
    </w:p>
    <w:p w14:paraId="78529ACD" w14:textId="77777777" w:rsidR="008D3B35" w:rsidRPr="003F564F" w:rsidRDefault="008D3B35">
      <w:pPr>
        <w:tabs>
          <w:tab w:val="left" w:pos="567"/>
        </w:tabs>
        <w:spacing w:line="260" w:lineRule="exact"/>
        <w:rPr>
          <w:sz w:val="22"/>
          <w:szCs w:val="24"/>
        </w:rPr>
      </w:pPr>
    </w:p>
    <w:p w14:paraId="1409B5C4" w14:textId="2B768C59" w:rsidR="008D3B35" w:rsidRPr="003F564F" w:rsidRDefault="00AB4978">
      <w:pPr>
        <w:tabs>
          <w:tab w:val="left" w:pos="567"/>
        </w:tabs>
        <w:spacing w:line="260" w:lineRule="exact"/>
        <w:rPr>
          <w:sz w:val="22"/>
          <w:szCs w:val="24"/>
        </w:rPr>
      </w:pPr>
      <w:r w:rsidRPr="003F564F">
        <w:rPr>
          <w:sz w:val="22"/>
          <w:szCs w:val="24"/>
        </w:rPr>
        <w:t>Padidėjęs jautrumas veikliajai arba bet kuriai 6.1</w:t>
      </w:r>
      <w:r w:rsidR="007D46E7" w:rsidRPr="003F564F">
        <w:rPr>
          <w:sz w:val="22"/>
          <w:szCs w:val="24"/>
        </w:rPr>
        <w:t> </w:t>
      </w:r>
      <w:r w:rsidRPr="003F564F">
        <w:rPr>
          <w:sz w:val="22"/>
          <w:szCs w:val="24"/>
        </w:rPr>
        <w:t>skyriuje nurodytai pagalbinei medžiagai.</w:t>
      </w:r>
    </w:p>
    <w:p w14:paraId="2742A909" w14:textId="77777777" w:rsidR="007D46E7" w:rsidRPr="003F564F" w:rsidRDefault="007D46E7">
      <w:pPr>
        <w:tabs>
          <w:tab w:val="left" w:pos="567"/>
        </w:tabs>
        <w:spacing w:line="260" w:lineRule="exact"/>
        <w:rPr>
          <w:sz w:val="22"/>
          <w:szCs w:val="24"/>
        </w:rPr>
      </w:pPr>
    </w:p>
    <w:p w14:paraId="538EED74" w14:textId="72F4753D" w:rsidR="008D3B35" w:rsidRPr="003F564F" w:rsidRDefault="007D46E7">
      <w:pPr>
        <w:tabs>
          <w:tab w:val="left" w:pos="567"/>
        </w:tabs>
        <w:spacing w:line="260" w:lineRule="exact"/>
        <w:rPr>
          <w:sz w:val="22"/>
          <w:szCs w:val="24"/>
        </w:rPr>
      </w:pPr>
      <w:r w:rsidRPr="003F564F">
        <w:rPr>
          <w:sz w:val="22"/>
          <w:szCs w:val="24"/>
        </w:rPr>
        <w:t>Nėštumo ir žindymo laikotarpis.</w:t>
      </w:r>
    </w:p>
    <w:p w14:paraId="40395812" w14:textId="77777777" w:rsidR="007D46E7" w:rsidRPr="003F564F" w:rsidRDefault="007D46E7">
      <w:pPr>
        <w:tabs>
          <w:tab w:val="left" w:pos="567"/>
        </w:tabs>
        <w:spacing w:line="260" w:lineRule="exact"/>
        <w:rPr>
          <w:sz w:val="22"/>
          <w:szCs w:val="24"/>
        </w:rPr>
      </w:pPr>
    </w:p>
    <w:p w14:paraId="2D385F65" w14:textId="77777777" w:rsidR="008D3B35" w:rsidRPr="003F564F" w:rsidRDefault="00AB4978">
      <w:pPr>
        <w:tabs>
          <w:tab w:val="left" w:pos="567"/>
        </w:tabs>
        <w:spacing w:line="260" w:lineRule="exact"/>
        <w:rPr>
          <w:sz w:val="22"/>
        </w:rPr>
      </w:pPr>
      <w:r w:rsidRPr="003F564F">
        <w:rPr>
          <w:b/>
          <w:sz w:val="22"/>
        </w:rPr>
        <w:t>4.4</w:t>
      </w:r>
      <w:r w:rsidRPr="003F564F">
        <w:rPr>
          <w:b/>
          <w:sz w:val="22"/>
        </w:rPr>
        <w:tab/>
        <w:t>Specialūs įspėjimai ir atsargumo priemonės</w:t>
      </w:r>
    </w:p>
    <w:p w14:paraId="66B080E1" w14:textId="77777777" w:rsidR="008D3B35" w:rsidRPr="003F564F" w:rsidRDefault="008D3B35">
      <w:pPr>
        <w:tabs>
          <w:tab w:val="left" w:pos="567"/>
        </w:tabs>
        <w:spacing w:line="260" w:lineRule="exact"/>
        <w:rPr>
          <w:sz w:val="22"/>
        </w:rPr>
      </w:pPr>
    </w:p>
    <w:p w14:paraId="662E66EC" w14:textId="77777777" w:rsidR="007D46E7" w:rsidRPr="003F564F" w:rsidRDefault="007D46E7" w:rsidP="007D46E7">
      <w:pPr>
        <w:tabs>
          <w:tab w:val="left" w:pos="567"/>
        </w:tabs>
        <w:spacing w:line="260" w:lineRule="exact"/>
        <w:rPr>
          <w:sz w:val="22"/>
          <w:u w:val="single"/>
        </w:rPr>
      </w:pPr>
      <w:proofErr w:type="spellStart"/>
      <w:r w:rsidRPr="003F564F">
        <w:rPr>
          <w:sz w:val="22"/>
          <w:u w:val="single"/>
        </w:rPr>
        <w:t>Mielosupresija</w:t>
      </w:r>
      <w:proofErr w:type="spellEnd"/>
    </w:p>
    <w:p w14:paraId="0A2C0FDF" w14:textId="77777777" w:rsidR="007D46E7" w:rsidRPr="003F564F" w:rsidRDefault="007D46E7" w:rsidP="007D46E7">
      <w:pPr>
        <w:tabs>
          <w:tab w:val="left" w:pos="567"/>
        </w:tabs>
        <w:spacing w:line="260" w:lineRule="exact"/>
        <w:rPr>
          <w:sz w:val="22"/>
        </w:rPr>
      </w:pPr>
    </w:p>
    <w:p w14:paraId="46F1734B" w14:textId="3F39986D" w:rsidR="007D46E7" w:rsidRPr="003F564F" w:rsidRDefault="007D46E7" w:rsidP="007D46E7">
      <w:pPr>
        <w:tabs>
          <w:tab w:val="left" w:pos="567"/>
        </w:tabs>
        <w:spacing w:line="260" w:lineRule="exact"/>
        <w:rPr>
          <w:sz w:val="22"/>
        </w:rPr>
      </w:pPr>
      <w:r w:rsidRPr="003F564F">
        <w:rPr>
          <w:sz w:val="22"/>
        </w:rPr>
        <w:t xml:space="preserve">Skiriant </w:t>
      </w:r>
      <w:proofErr w:type="spellStart"/>
      <w:r w:rsidR="009A58E8" w:rsidRPr="003F564F">
        <w:rPr>
          <w:sz w:val="22"/>
          <w:szCs w:val="24"/>
        </w:rPr>
        <w:t>ruksolitinibo</w:t>
      </w:r>
      <w:proofErr w:type="spellEnd"/>
      <w:r w:rsidR="009A58E8" w:rsidRPr="003F564F">
        <w:rPr>
          <w:sz w:val="22"/>
          <w:szCs w:val="24"/>
        </w:rPr>
        <w:t xml:space="preserve"> </w:t>
      </w:r>
      <w:r w:rsidRPr="003F564F">
        <w:rPr>
          <w:sz w:val="22"/>
        </w:rPr>
        <w:t xml:space="preserve">gali pasireikšti nepageidaujamų su vaistinio preparato vartojimu susijusių kraujo sutrikimų, įskaitant </w:t>
      </w:r>
      <w:proofErr w:type="spellStart"/>
      <w:r w:rsidRPr="003F564F">
        <w:rPr>
          <w:sz w:val="22"/>
        </w:rPr>
        <w:t>trombocitopeniją</w:t>
      </w:r>
      <w:proofErr w:type="spellEnd"/>
      <w:r w:rsidRPr="003F564F">
        <w:rPr>
          <w:sz w:val="22"/>
        </w:rPr>
        <w:t xml:space="preserve">, anemiją ir </w:t>
      </w:r>
      <w:proofErr w:type="spellStart"/>
      <w:r w:rsidRPr="003F564F">
        <w:rPr>
          <w:sz w:val="22"/>
        </w:rPr>
        <w:t>neutropeniją</w:t>
      </w:r>
      <w:proofErr w:type="spellEnd"/>
      <w:r w:rsidRPr="003F564F">
        <w:rPr>
          <w:sz w:val="22"/>
        </w:rPr>
        <w:t xml:space="preserve">. Prieš pradedant skirti gydymą </w:t>
      </w:r>
      <w:proofErr w:type="spellStart"/>
      <w:r w:rsidR="009A58E8" w:rsidRPr="003F564F">
        <w:rPr>
          <w:sz w:val="22"/>
          <w:szCs w:val="24"/>
        </w:rPr>
        <w:t>ruksolitinibo</w:t>
      </w:r>
      <w:proofErr w:type="spellEnd"/>
      <w:r w:rsidR="009A58E8" w:rsidRPr="003F564F">
        <w:rPr>
          <w:sz w:val="22"/>
          <w:szCs w:val="24"/>
        </w:rPr>
        <w:t xml:space="preserve"> </w:t>
      </w:r>
      <w:r w:rsidRPr="003F564F">
        <w:rPr>
          <w:sz w:val="22"/>
        </w:rPr>
        <w:t>reikia atlikti bendrąjį kraujo tyrimą ir nustatyti baltųjų kraujo ląstelių formulę. Vaistinio preparato vartojimą MF sergantiems pacientams reikia nutraukti tuomet, kai trombocitų skaičius tampa mažesnis kaip 50</w:t>
      </w:r>
      <w:r w:rsidR="00CF2DB8" w:rsidRPr="003F564F">
        <w:rPr>
          <w:sz w:val="22"/>
        </w:rPr>
        <w:t> </w:t>
      </w:r>
      <w:r w:rsidRPr="003F564F">
        <w:rPr>
          <w:sz w:val="22"/>
        </w:rPr>
        <w:t>000/mm</w:t>
      </w:r>
      <w:r w:rsidRPr="003F564F">
        <w:rPr>
          <w:sz w:val="22"/>
          <w:vertAlign w:val="superscript"/>
        </w:rPr>
        <w:t>3</w:t>
      </w:r>
      <w:r w:rsidRPr="003F564F">
        <w:rPr>
          <w:sz w:val="22"/>
        </w:rPr>
        <w:t xml:space="preserve"> arba absoliutus </w:t>
      </w:r>
      <w:proofErr w:type="spellStart"/>
      <w:r w:rsidRPr="003F564F">
        <w:rPr>
          <w:sz w:val="22"/>
        </w:rPr>
        <w:t>neutrofilų</w:t>
      </w:r>
      <w:proofErr w:type="spellEnd"/>
      <w:r w:rsidRPr="003F564F">
        <w:rPr>
          <w:sz w:val="22"/>
        </w:rPr>
        <w:t xml:space="preserve"> skaičius - mažesnis kaip 500/mm</w:t>
      </w:r>
      <w:r w:rsidRPr="003F564F">
        <w:rPr>
          <w:sz w:val="22"/>
          <w:vertAlign w:val="superscript"/>
        </w:rPr>
        <w:t>3</w:t>
      </w:r>
      <w:r w:rsidRPr="003F564F">
        <w:rPr>
          <w:sz w:val="22"/>
        </w:rPr>
        <w:t xml:space="preserve"> (žr.</w:t>
      </w:r>
      <w:r w:rsidR="00CF2DB8" w:rsidRPr="003F564F">
        <w:rPr>
          <w:sz w:val="22"/>
        </w:rPr>
        <w:t> </w:t>
      </w:r>
      <w:r w:rsidRPr="003F564F">
        <w:rPr>
          <w:sz w:val="22"/>
        </w:rPr>
        <w:t>4.2</w:t>
      </w:r>
      <w:r w:rsidR="00CF2DB8" w:rsidRPr="003F564F">
        <w:rPr>
          <w:sz w:val="22"/>
        </w:rPr>
        <w:t> </w:t>
      </w:r>
      <w:r w:rsidRPr="003F564F">
        <w:rPr>
          <w:sz w:val="22"/>
        </w:rPr>
        <w:t>skyrių).</w:t>
      </w:r>
    </w:p>
    <w:p w14:paraId="0B1B7643" w14:textId="77777777" w:rsidR="007D46E7" w:rsidRPr="003F564F" w:rsidRDefault="007D46E7" w:rsidP="007D46E7">
      <w:pPr>
        <w:tabs>
          <w:tab w:val="left" w:pos="567"/>
        </w:tabs>
        <w:spacing w:line="260" w:lineRule="exact"/>
        <w:rPr>
          <w:sz w:val="22"/>
        </w:rPr>
      </w:pPr>
    </w:p>
    <w:p w14:paraId="014258B6" w14:textId="4C83BE3B" w:rsidR="007D46E7" w:rsidRPr="003F564F" w:rsidRDefault="007D46E7" w:rsidP="007D46E7">
      <w:pPr>
        <w:tabs>
          <w:tab w:val="left" w:pos="567"/>
        </w:tabs>
        <w:spacing w:line="260" w:lineRule="exact"/>
        <w:rPr>
          <w:sz w:val="22"/>
        </w:rPr>
      </w:pPr>
      <w:r w:rsidRPr="003F564F">
        <w:rPr>
          <w:sz w:val="22"/>
        </w:rPr>
        <w:t xml:space="preserve">Pastebėta didesnė tikimybė, kad vaistinio preparato vartojimo metu </w:t>
      </w:r>
      <w:proofErr w:type="spellStart"/>
      <w:r w:rsidRPr="003F564F">
        <w:rPr>
          <w:sz w:val="22"/>
        </w:rPr>
        <w:t>trombocitopenija</w:t>
      </w:r>
      <w:proofErr w:type="spellEnd"/>
      <w:r w:rsidRPr="003F564F">
        <w:rPr>
          <w:sz w:val="22"/>
        </w:rPr>
        <w:t xml:space="preserve"> pasireikš tiems MF sergantiems pacientams, kuriems gydymo pradžioje yra nedidelis trombocitų skaičius (&lt;</w:t>
      </w:r>
      <w:r w:rsidR="00CF2DB8" w:rsidRPr="003F564F">
        <w:rPr>
          <w:sz w:val="22"/>
        </w:rPr>
        <w:t> </w:t>
      </w:r>
      <w:r w:rsidRPr="003F564F">
        <w:rPr>
          <w:sz w:val="22"/>
        </w:rPr>
        <w:t>200</w:t>
      </w:r>
      <w:r w:rsidR="00CF2DB8" w:rsidRPr="003F564F">
        <w:rPr>
          <w:sz w:val="22"/>
        </w:rPr>
        <w:t> </w:t>
      </w:r>
      <w:r w:rsidRPr="003F564F">
        <w:rPr>
          <w:sz w:val="22"/>
        </w:rPr>
        <w:t>000/mm</w:t>
      </w:r>
      <w:r w:rsidRPr="003F564F">
        <w:rPr>
          <w:sz w:val="22"/>
          <w:vertAlign w:val="superscript"/>
        </w:rPr>
        <w:t>3</w:t>
      </w:r>
      <w:r w:rsidRPr="003F564F">
        <w:rPr>
          <w:sz w:val="22"/>
        </w:rPr>
        <w:t>).</w:t>
      </w:r>
    </w:p>
    <w:p w14:paraId="5C808335" w14:textId="77777777" w:rsidR="007D46E7" w:rsidRPr="003F564F" w:rsidRDefault="007D46E7" w:rsidP="007D46E7">
      <w:pPr>
        <w:tabs>
          <w:tab w:val="left" w:pos="567"/>
        </w:tabs>
        <w:spacing w:line="260" w:lineRule="exact"/>
        <w:rPr>
          <w:sz w:val="22"/>
        </w:rPr>
      </w:pPr>
    </w:p>
    <w:p w14:paraId="4C9E1473" w14:textId="59E8B374" w:rsidR="007D46E7" w:rsidRPr="003F564F" w:rsidRDefault="007D46E7" w:rsidP="007D46E7">
      <w:pPr>
        <w:tabs>
          <w:tab w:val="left" w:pos="567"/>
        </w:tabs>
        <w:spacing w:line="260" w:lineRule="exact"/>
        <w:rPr>
          <w:sz w:val="22"/>
        </w:rPr>
      </w:pPr>
      <w:proofErr w:type="spellStart"/>
      <w:r w:rsidRPr="003F564F">
        <w:rPr>
          <w:sz w:val="22"/>
        </w:rPr>
        <w:t>Trombocitopenija</w:t>
      </w:r>
      <w:proofErr w:type="spellEnd"/>
      <w:r w:rsidRPr="003F564F">
        <w:rPr>
          <w:sz w:val="22"/>
        </w:rPr>
        <w:t xml:space="preserve"> paprastai yra grįžtama, dažniausiai trombocitų skaičius atsistato sumažinus vaistinio preparato dozę ar laikinai nutraukus </w:t>
      </w:r>
      <w:proofErr w:type="spellStart"/>
      <w:r w:rsidR="009A58E8" w:rsidRPr="003F564F">
        <w:rPr>
          <w:sz w:val="22"/>
          <w:szCs w:val="24"/>
        </w:rPr>
        <w:t>ruksolitinibo</w:t>
      </w:r>
      <w:proofErr w:type="spellEnd"/>
      <w:r w:rsidR="009A58E8" w:rsidRPr="003F564F">
        <w:rPr>
          <w:sz w:val="22"/>
          <w:szCs w:val="24"/>
        </w:rPr>
        <w:t xml:space="preserve"> </w:t>
      </w:r>
      <w:r w:rsidRPr="003F564F">
        <w:rPr>
          <w:sz w:val="22"/>
        </w:rPr>
        <w:t>vartojimą (žr.</w:t>
      </w:r>
      <w:r w:rsidR="00CF2DB8" w:rsidRPr="003F564F">
        <w:rPr>
          <w:sz w:val="22"/>
        </w:rPr>
        <w:t> </w:t>
      </w:r>
      <w:r w:rsidRPr="003F564F">
        <w:rPr>
          <w:sz w:val="22"/>
        </w:rPr>
        <w:t>4.2 ir 4.8</w:t>
      </w:r>
      <w:r w:rsidR="00CF2DB8" w:rsidRPr="003F564F">
        <w:rPr>
          <w:sz w:val="22"/>
        </w:rPr>
        <w:t> </w:t>
      </w:r>
      <w:r w:rsidRPr="003F564F">
        <w:rPr>
          <w:sz w:val="22"/>
        </w:rPr>
        <w:t>skyrius). Tačiau kai kliniškai reikalinga, gali prireikti perpilti trombocitų masę.</w:t>
      </w:r>
    </w:p>
    <w:p w14:paraId="478BD6D0" w14:textId="77777777" w:rsidR="007D46E7" w:rsidRPr="003F564F" w:rsidRDefault="007D46E7" w:rsidP="007D46E7">
      <w:pPr>
        <w:tabs>
          <w:tab w:val="left" w:pos="567"/>
        </w:tabs>
        <w:spacing w:line="260" w:lineRule="exact"/>
        <w:rPr>
          <w:sz w:val="22"/>
        </w:rPr>
      </w:pPr>
    </w:p>
    <w:p w14:paraId="70551369" w14:textId="493669F6" w:rsidR="007D46E7" w:rsidRPr="003F564F" w:rsidRDefault="007D46E7" w:rsidP="007D46E7">
      <w:pPr>
        <w:tabs>
          <w:tab w:val="left" w:pos="567"/>
        </w:tabs>
        <w:spacing w:line="260" w:lineRule="exact"/>
        <w:rPr>
          <w:sz w:val="22"/>
        </w:rPr>
      </w:pPr>
      <w:r w:rsidRPr="003F564F">
        <w:rPr>
          <w:sz w:val="22"/>
        </w:rPr>
        <w:t>Pacientams, kuriems pasireiškia anemija, gali reikėti perpilti kraują. Šiems pacientams taip pat gali reikėti apsvarstyti vaistinio preparato dozės koregavimo ar laikino vaistinio preparato vartojimo nutraukimo klausimą.</w:t>
      </w:r>
    </w:p>
    <w:p w14:paraId="7C0B6C48" w14:textId="77777777" w:rsidR="00CF2DB8" w:rsidRPr="003F564F" w:rsidRDefault="00CF2DB8" w:rsidP="007D46E7">
      <w:pPr>
        <w:tabs>
          <w:tab w:val="left" w:pos="567"/>
        </w:tabs>
        <w:spacing w:line="260" w:lineRule="exact"/>
        <w:rPr>
          <w:sz w:val="22"/>
        </w:rPr>
      </w:pPr>
    </w:p>
    <w:p w14:paraId="75E688AA" w14:textId="071225D8" w:rsidR="007D46E7" w:rsidRPr="003F564F" w:rsidRDefault="007D46E7" w:rsidP="007D46E7">
      <w:pPr>
        <w:tabs>
          <w:tab w:val="left" w:pos="567"/>
        </w:tabs>
        <w:spacing w:line="260" w:lineRule="exact"/>
        <w:rPr>
          <w:sz w:val="22"/>
        </w:rPr>
      </w:pPr>
      <w:r w:rsidRPr="003F564F">
        <w:rPr>
          <w:sz w:val="22"/>
        </w:rPr>
        <w:t>Pacientams, kuriems prieš pradedant gydymą hemoglobino koncentracija buvo mažesn</w:t>
      </w:r>
      <w:r w:rsidR="00CF4969">
        <w:rPr>
          <w:sz w:val="22"/>
        </w:rPr>
        <w:t>ė</w:t>
      </w:r>
      <w:r w:rsidRPr="003F564F">
        <w:rPr>
          <w:sz w:val="22"/>
        </w:rPr>
        <w:t xml:space="preserve"> kaip 10,0</w:t>
      </w:r>
      <w:r w:rsidR="00CF2DB8" w:rsidRPr="003F564F">
        <w:rPr>
          <w:sz w:val="22"/>
        </w:rPr>
        <w:t> </w:t>
      </w:r>
      <w:r w:rsidRPr="003F564F">
        <w:rPr>
          <w:sz w:val="22"/>
        </w:rPr>
        <w:t>g/dl, yra didesnė rizika, kad gydymo metu hemoglobino koncentracija sumažės iki mažesn</w:t>
      </w:r>
      <w:r w:rsidR="009215E1">
        <w:rPr>
          <w:sz w:val="22"/>
        </w:rPr>
        <w:t>ės</w:t>
      </w:r>
      <w:r w:rsidRPr="003F564F">
        <w:rPr>
          <w:sz w:val="22"/>
        </w:rPr>
        <w:t xml:space="preserve"> kaip 8,0</w:t>
      </w:r>
      <w:r w:rsidR="00CF2DB8" w:rsidRPr="003F564F">
        <w:rPr>
          <w:sz w:val="22"/>
        </w:rPr>
        <w:t> </w:t>
      </w:r>
      <w:r w:rsidRPr="003F564F">
        <w:rPr>
          <w:sz w:val="22"/>
        </w:rPr>
        <w:t>g/dl, lyginant su tais pacientais, kuriems prieš pradedant vartoti vaistinio preparato hemoglobino koncentracija buvo didesn</w:t>
      </w:r>
      <w:r w:rsidR="00BE4573">
        <w:rPr>
          <w:sz w:val="22"/>
        </w:rPr>
        <w:t>ė</w:t>
      </w:r>
      <w:r w:rsidRPr="003F564F">
        <w:rPr>
          <w:sz w:val="22"/>
        </w:rPr>
        <w:t xml:space="preserve"> (79,3</w:t>
      </w:r>
      <w:r w:rsidR="00CF2DB8" w:rsidRPr="003F564F">
        <w:rPr>
          <w:sz w:val="22"/>
        </w:rPr>
        <w:t> </w:t>
      </w:r>
      <w:r w:rsidRPr="003F564F">
        <w:rPr>
          <w:sz w:val="22"/>
        </w:rPr>
        <w:t>% lyginant su 30,1</w:t>
      </w:r>
      <w:r w:rsidR="00CF2DB8" w:rsidRPr="003F564F">
        <w:rPr>
          <w:sz w:val="22"/>
        </w:rPr>
        <w:t> </w:t>
      </w:r>
      <w:r w:rsidRPr="003F564F">
        <w:rPr>
          <w:sz w:val="22"/>
        </w:rPr>
        <w:t>%). Pacientams, kuriems prieš pradedant gydymą hemoglobino koncentracija buvo mažesn</w:t>
      </w:r>
      <w:r w:rsidR="00AB54EC">
        <w:rPr>
          <w:sz w:val="22"/>
        </w:rPr>
        <w:t>ė</w:t>
      </w:r>
      <w:r w:rsidRPr="003F564F">
        <w:rPr>
          <w:sz w:val="22"/>
        </w:rPr>
        <w:t xml:space="preserve"> kaip 10,0</w:t>
      </w:r>
      <w:r w:rsidR="00CF2DB8" w:rsidRPr="003F564F">
        <w:rPr>
          <w:sz w:val="22"/>
        </w:rPr>
        <w:t> </w:t>
      </w:r>
      <w:r w:rsidRPr="003F564F">
        <w:rPr>
          <w:sz w:val="22"/>
        </w:rPr>
        <w:t xml:space="preserve">g/dl, rekomenduojama dažniau tirti kraujo rodiklius bei atidžiau stebėti dėl klinikinių su </w:t>
      </w:r>
      <w:proofErr w:type="spellStart"/>
      <w:r w:rsidR="009A58E8" w:rsidRPr="003F564F">
        <w:rPr>
          <w:sz w:val="22"/>
          <w:szCs w:val="24"/>
        </w:rPr>
        <w:t>ruksolitinibo</w:t>
      </w:r>
      <w:proofErr w:type="spellEnd"/>
      <w:r w:rsidR="009A58E8" w:rsidRPr="003F564F">
        <w:rPr>
          <w:sz w:val="22"/>
          <w:szCs w:val="24"/>
        </w:rPr>
        <w:t xml:space="preserve"> </w:t>
      </w:r>
      <w:r w:rsidRPr="003F564F">
        <w:rPr>
          <w:sz w:val="22"/>
        </w:rPr>
        <w:t>vartojimu susijusių nepageidaujamų reakcijų požymių bei simptomų pasireiškimo.</w:t>
      </w:r>
    </w:p>
    <w:p w14:paraId="52233DB3" w14:textId="77777777" w:rsidR="00CF2DB8" w:rsidRPr="003F564F" w:rsidRDefault="00CF2DB8" w:rsidP="007D46E7">
      <w:pPr>
        <w:tabs>
          <w:tab w:val="left" w:pos="567"/>
        </w:tabs>
        <w:spacing w:line="260" w:lineRule="exact"/>
        <w:rPr>
          <w:sz w:val="22"/>
        </w:rPr>
      </w:pPr>
    </w:p>
    <w:p w14:paraId="66575C7B" w14:textId="30EC7AE4" w:rsidR="007D46E7" w:rsidRPr="003F564F" w:rsidRDefault="007D46E7" w:rsidP="007D46E7">
      <w:pPr>
        <w:tabs>
          <w:tab w:val="left" w:pos="567"/>
        </w:tabs>
        <w:spacing w:line="260" w:lineRule="exact"/>
        <w:rPr>
          <w:sz w:val="22"/>
        </w:rPr>
      </w:pPr>
      <w:proofErr w:type="spellStart"/>
      <w:r w:rsidRPr="003F564F">
        <w:rPr>
          <w:sz w:val="22"/>
        </w:rPr>
        <w:t>Neutropenija</w:t>
      </w:r>
      <w:proofErr w:type="spellEnd"/>
      <w:r w:rsidRPr="003F564F">
        <w:rPr>
          <w:sz w:val="22"/>
        </w:rPr>
        <w:t xml:space="preserve"> (kai absoliutus </w:t>
      </w:r>
      <w:proofErr w:type="spellStart"/>
      <w:r w:rsidRPr="003F564F">
        <w:rPr>
          <w:sz w:val="22"/>
        </w:rPr>
        <w:t>neutrofilų</w:t>
      </w:r>
      <w:proofErr w:type="spellEnd"/>
      <w:r w:rsidRPr="003F564F">
        <w:rPr>
          <w:sz w:val="22"/>
        </w:rPr>
        <w:t xml:space="preserve"> skaičius yra &lt;</w:t>
      </w:r>
      <w:r w:rsidR="00CF2DB8" w:rsidRPr="003F564F">
        <w:rPr>
          <w:sz w:val="22"/>
        </w:rPr>
        <w:t> </w:t>
      </w:r>
      <w:r w:rsidRPr="003F564F">
        <w:rPr>
          <w:sz w:val="22"/>
        </w:rPr>
        <w:t>500/mm</w:t>
      </w:r>
      <w:r w:rsidRPr="003F564F">
        <w:rPr>
          <w:sz w:val="22"/>
          <w:vertAlign w:val="superscript"/>
        </w:rPr>
        <w:t>3</w:t>
      </w:r>
      <w:r w:rsidRPr="003F564F">
        <w:rPr>
          <w:sz w:val="22"/>
        </w:rPr>
        <w:t xml:space="preserve">) paprastai buvo grįžtama, </w:t>
      </w:r>
      <w:proofErr w:type="spellStart"/>
      <w:r w:rsidRPr="003F564F">
        <w:rPr>
          <w:sz w:val="22"/>
        </w:rPr>
        <w:t>neutrofilų</w:t>
      </w:r>
      <w:proofErr w:type="spellEnd"/>
      <w:r w:rsidRPr="003F564F">
        <w:rPr>
          <w:sz w:val="22"/>
        </w:rPr>
        <w:t xml:space="preserve"> skaičius atsistatydavo laikinai nutraukus </w:t>
      </w:r>
      <w:proofErr w:type="spellStart"/>
      <w:r w:rsidR="009A58E8" w:rsidRPr="003F564F">
        <w:rPr>
          <w:sz w:val="22"/>
          <w:szCs w:val="24"/>
        </w:rPr>
        <w:t>ruksolitinibo</w:t>
      </w:r>
      <w:proofErr w:type="spellEnd"/>
      <w:r w:rsidR="009A58E8" w:rsidRPr="003F564F">
        <w:rPr>
          <w:sz w:val="22"/>
          <w:szCs w:val="24"/>
        </w:rPr>
        <w:t xml:space="preserve"> </w:t>
      </w:r>
      <w:r w:rsidRPr="003F564F">
        <w:rPr>
          <w:sz w:val="22"/>
        </w:rPr>
        <w:t>vartojimą (žr.</w:t>
      </w:r>
      <w:r w:rsidR="00CF2DB8" w:rsidRPr="003F564F">
        <w:rPr>
          <w:sz w:val="22"/>
        </w:rPr>
        <w:t> </w:t>
      </w:r>
      <w:r w:rsidRPr="003F564F">
        <w:rPr>
          <w:sz w:val="22"/>
        </w:rPr>
        <w:t>4.2 ir 4.8</w:t>
      </w:r>
      <w:r w:rsidR="00CF2DB8" w:rsidRPr="003F564F">
        <w:rPr>
          <w:sz w:val="22"/>
        </w:rPr>
        <w:t> </w:t>
      </w:r>
      <w:r w:rsidRPr="003F564F">
        <w:rPr>
          <w:sz w:val="22"/>
        </w:rPr>
        <w:t>skyrius).</w:t>
      </w:r>
    </w:p>
    <w:p w14:paraId="58F14F75" w14:textId="77777777" w:rsidR="00CF2DB8" w:rsidRPr="003F564F" w:rsidRDefault="00CF2DB8" w:rsidP="007D46E7">
      <w:pPr>
        <w:tabs>
          <w:tab w:val="left" w:pos="567"/>
        </w:tabs>
        <w:spacing w:line="260" w:lineRule="exact"/>
        <w:rPr>
          <w:sz w:val="22"/>
        </w:rPr>
      </w:pPr>
    </w:p>
    <w:p w14:paraId="609EC046" w14:textId="632E9565" w:rsidR="007D46E7" w:rsidRPr="003F564F" w:rsidRDefault="007D46E7" w:rsidP="007D46E7">
      <w:pPr>
        <w:tabs>
          <w:tab w:val="left" w:pos="567"/>
        </w:tabs>
        <w:spacing w:line="260" w:lineRule="exact"/>
        <w:rPr>
          <w:sz w:val="22"/>
        </w:rPr>
      </w:pPr>
      <w:r w:rsidRPr="003F564F">
        <w:rPr>
          <w:sz w:val="22"/>
        </w:rPr>
        <w:t>Jeigu kliniškai reikalinga, reikėtų reguliariai atlikti bendrąjį kraujo tyrimą ir koreguoti vaistinio preparato dozę (žr.</w:t>
      </w:r>
      <w:r w:rsidR="00CF2DB8" w:rsidRPr="003F564F">
        <w:rPr>
          <w:sz w:val="22"/>
        </w:rPr>
        <w:t> </w:t>
      </w:r>
      <w:r w:rsidRPr="003F564F">
        <w:rPr>
          <w:sz w:val="22"/>
        </w:rPr>
        <w:t>4.2 ir 4.8</w:t>
      </w:r>
      <w:r w:rsidR="00CF2DB8" w:rsidRPr="003F564F">
        <w:rPr>
          <w:sz w:val="22"/>
        </w:rPr>
        <w:t> </w:t>
      </w:r>
      <w:r w:rsidRPr="003F564F">
        <w:rPr>
          <w:sz w:val="22"/>
        </w:rPr>
        <w:t>skyrius).</w:t>
      </w:r>
    </w:p>
    <w:p w14:paraId="61DBEB6C" w14:textId="77777777" w:rsidR="00CF2DB8" w:rsidRPr="003F564F" w:rsidRDefault="00CF2DB8" w:rsidP="007D46E7">
      <w:pPr>
        <w:tabs>
          <w:tab w:val="left" w:pos="567"/>
        </w:tabs>
        <w:spacing w:line="260" w:lineRule="exact"/>
        <w:rPr>
          <w:sz w:val="22"/>
        </w:rPr>
      </w:pPr>
    </w:p>
    <w:p w14:paraId="55D9D176" w14:textId="2D02DCC3" w:rsidR="007D46E7" w:rsidRPr="003F564F" w:rsidRDefault="007D46E7" w:rsidP="007D46E7">
      <w:pPr>
        <w:tabs>
          <w:tab w:val="left" w:pos="567"/>
        </w:tabs>
        <w:spacing w:line="260" w:lineRule="exact"/>
        <w:rPr>
          <w:sz w:val="22"/>
          <w:u w:val="single"/>
        </w:rPr>
      </w:pPr>
      <w:r w:rsidRPr="003F564F">
        <w:rPr>
          <w:sz w:val="22"/>
          <w:u w:val="single"/>
        </w:rPr>
        <w:t>Infekcijos</w:t>
      </w:r>
    </w:p>
    <w:p w14:paraId="4BB7AB97" w14:textId="77777777" w:rsidR="00CF2DB8" w:rsidRPr="003F564F" w:rsidRDefault="00CF2DB8" w:rsidP="007D46E7">
      <w:pPr>
        <w:tabs>
          <w:tab w:val="left" w:pos="567"/>
        </w:tabs>
        <w:spacing w:line="260" w:lineRule="exact"/>
        <w:rPr>
          <w:sz w:val="22"/>
        </w:rPr>
      </w:pPr>
    </w:p>
    <w:p w14:paraId="09BA22C9" w14:textId="3B806EBD" w:rsidR="007D46E7" w:rsidRPr="003F564F" w:rsidRDefault="007D46E7" w:rsidP="007D46E7">
      <w:pPr>
        <w:tabs>
          <w:tab w:val="left" w:pos="567"/>
        </w:tabs>
        <w:spacing w:line="260" w:lineRule="exact"/>
        <w:rPr>
          <w:sz w:val="22"/>
        </w:rPr>
      </w:pPr>
      <w:r w:rsidRPr="003F564F">
        <w:rPr>
          <w:sz w:val="22"/>
        </w:rPr>
        <w:t xml:space="preserve">Pacientams, gydomiems </w:t>
      </w:r>
      <w:proofErr w:type="spellStart"/>
      <w:r w:rsidR="009A58E8" w:rsidRPr="003F564F">
        <w:rPr>
          <w:sz w:val="22"/>
          <w:szCs w:val="24"/>
        </w:rPr>
        <w:t>ruksolitinibu</w:t>
      </w:r>
      <w:proofErr w:type="spellEnd"/>
      <w:r w:rsidR="009A58E8" w:rsidRPr="003F564F">
        <w:rPr>
          <w:sz w:val="22"/>
          <w:szCs w:val="24"/>
        </w:rPr>
        <w:t xml:space="preserve"> </w:t>
      </w:r>
      <w:r w:rsidRPr="003F564F">
        <w:rPr>
          <w:sz w:val="22"/>
        </w:rPr>
        <w:t>pasireiškė sunkių bakteri</w:t>
      </w:r>
      <w:r w:rsidR="000319AF">
        <w:rPr>
          <w:sz w:val="22"/>
        </w:rPr>
        <w:t>ni</w:t>
      </w:r>
      <w:r w:rsidRPr="003F564F">
        <w:rPr>
          <w:sz w:val="22"/>
        </w:rPr>
        <w:t xml:space="preserve">ų, </w:t>
      </w:r>
      <w:proofErr w:type="spellStart"/>
      <w:r w:rsidRPr="003F564F">
        <w:rPr>
          <w:sz w:val="22"/>
        </w:rPr>
        <w:t>mikobakteri</w:t>
      </w:r>
      <w:r w:rsidR="000319AF">
        <w:rPr>
          <w:sz w:val="22"/>
        </w:rPr>
        <w:t>ni</w:t>
      </w:r>
      <w:r w:rsidRPr="003F564F">
        <w:rPr>
          <w:sz w:val="22"/>
        </w:rPr>
        <w:t>ų</w:t>
      </w:r>
      <w:proofErr w:type="spellEnd"/>
      <w:r w:rsidRPr="003F564F">
        <w:rPr>
          <w:sz w:val="22"/>
        </w:rPr>
        <w:t>, grybeli</w:t>
      </w:r>
      <w:r w:rsidR="00A619FD">
        <w:rPr>
          <w:sz w:val="22"/>
        </w:rPr>
        <w:t>ni</w:t>
      </w:r>
      <w:r w:rsidRPr="003F564F">
        <w:rPr>
          <w:sz w:val="22"/>
        </w:rPr>
        <w:t>ų, virus</w:t>
      </w:r>
      <w:r w:rsidR="000319AF">
        <w:rPr>
          <w:sz w:val="22"/>
        </w:rPr>
        <w:t>in</w:t>
      </w:r>
      <w:r w:rsidR="00C5395D">
        <w:rPr>
          <w:sz w:val="22"/>
        </w:rPr>
        <w:t>i</w:t>
      </w:r>
      <w:r w:rsidRPr="003F564F">
        <w:rPr>
          <w:sz w:val="22"/>
        </w:rPr>
        <w:t xml:space="preserve">ų ir kitų oportunistinių infekcijų. Pacientus reikia ištirti dėl galimų sunkių infekcijų. Gydytojai turi atidžiai stebėti </w:t>
      </w:r>
      <w:proofErr w:type="spellStart"/>
      <w:r w:rsidR="009A58E8" w:rsidRPr="003F564F">
        <w:rPr>
          <w:sz w:val="22"/>
          <w:szCs w:val="24"/>
        </w:rPr>
        <w:t>ruksolitinibo</w:t>
      </w:r>
      <w:proofErr w:type="spellEnd"/>
      <w:r w:rsidR="009A58E8" w:rsidRPr="003F564F">
        <w:rPr>
          <w:sz w:val="22"/>
          <w:szCs w:val="24"/>
        </w:rPr>
        <w:t xml:space="preserve"> </w:t>
      </w:r>
      <w:r w:rsidRPr="003F564F">
        <w:rPr>
          <w:sz w:val="22"/>
        </w:rPr>
        <w:t xml:space="preserve">vartojančių pacientų būklę dėl infekcijų požymių ar simptomų pasireiškimo ir nedelsdami skirti reikalingą gydymą. Gydymo </w:t>
      </w:r>
      <w:proofErr w:type="spellStart"/>
      <w:r w:rsidR="009A58E8" w:rsidRPr="003F564F">
        <w:rPr>
          <w:sz w:val="22"/>
          <w:szCs w:val="24"/>
        </w:rPr>
        <w:t>ruksolitinibu</w:t>
      </w:r>
      <w:proofErr w:type="spellEnd"/>
      <w:r w:rsidR="009A58E8" w:rsidRPr="003F564F">
        <w:rPr>
          <w:sz w:val="22"/>
          <w:szCs w:val="24"/>
        </w:rPr>
        <w:t xml:space="preserve"> </w:t>
      </w:r>
      <w:r w:rsidRPr="003F564F">
        <w:rPr>
          <w:sz w:val="22"/>
        </w:rPr>
        <w:t>negalima pradėti, kol neišnyko aktyvios sunkios infekcijos požymiai.</w:t>
      </w:r>
    </w:p>
    <w:p w14:paraId="0F1044FD" w14:textId="77777777" w:rsidR="00CF2DB8" w:rsidRPr="003F564F" w:rsidRDefault="00CF2DB8" w:rsidP="007D46E7">
      <w:pPr>
        <w:tabs>
          <w:tab w:val="left" w:pos="567"/>
        </w:tabs>
        <w:spacing w:line="260" w:lineRule="exact"/>
        <w:rPr>
          <w:sz w:val="22"/>
        </w:rPr>
      </w:pPr>
    </w:p>
    <w:p w14:paraId="5D2F69BD" w14:textId="69D1CB43" w:rsidR="007D46E7" w:rsidRPr="003F564F" w:rsidRDefault="009A58E8" w:rsidP="007D46E7">
      <w:pPr>
        <w:tabs>
          <w:tab w:val="left" w:pos="567"/>
        </w:tabs>
        <w:spacing w:line="260" w:lineRule="exact"/>
        <w:rPr>
          <w:sz w:val="22"/>
        </w:rPr>
      </w:pPr>
      <w:proofErr w:type="spellStart"/>
      <w:r w:rsidRPr="003F564F">
        <w:rPr>
          <w:sz w:val="22"/>
          <w:szCs w:val="24"/>
        </w:rPr>
        <w:t>Ruksolitinibo</w:t>
      </w:r>
      <w:proofErr w:type="spellEnd"/>
      <w:r w:rsidRPr="003F564F">
        <w:rPr>
          <w:sz w:val="22"/>
          <w:szCs w:val="24"/>
        </w:rPr>
        <w:t xml:space="preserve"> </w:t>
      </w:r>
      <w:r w:rsidR="007D46E7" w:rsidRPr="003F564F">
        <w:rPr>
          <w:sz w:val="22"/>
        </w:rPr>
        <w:t>vartojusiems pacientams nustatyta tuberkuliozės atvejų. Prieš pradedant skirti gydymą, pacientus reikia ištirti dėl aktyvios ir neaktyvios („latentinės“) tuberkuliozės, atsižvelgiant į vietines rekomendacijas. Šis ištyrimas gali būti pagrįstas medicinine anamneze, galimais ankstesniais kontaktais su sergančiaisiais tuberkulioze ir (arba) tinkamais atrankiniais tyrimais, pavyzdžiui, atitinkamai, plaučių rentgenograma, tuberkulino mėginiu ir (arba) gama interferono atpalaidavimo tyrimu. Vaistinio preparato išrašantiems gydytojams reikia prisiminti apie galimą klaidingai neigiamų odos tuberkulino mėginio rezultatų riziką, ypač tiems pacientams, kurie sunkiai serga arba kurių imuninės sistemos funkcija yra nusilpusi.</w:t>
      </w:r>
    </w:p>
    <w:p w14:paraId="1BF641CC" w14:textId="77777777" w:rsidR="00CF2DB8" w:rsidRPr="003F564F" w:rsidRDefault="00CF2DB8" w:rsidP="007D46E7">
      <w:pPr>
        <w:tabs>
          <w:tab w:val="left" w:pos="567"/>
        </w:tabs>
        <w:spacing w:line="260" w:lineRule="exact"/>
        <w:rPr>
          <w:sz w:val="22"/>
        </w:rPr>
      </w:pPr>
    </w:p>
    <w:p w14:paraId="6B186671" w14:textId="09ED5E63" w:rsidR="007D46E7" w:rsidRPr="003F564F" w:rsidRDefault="009A58E8" w:rsidP="007D46E7">
      <w:pPr>
        <w:tabs>
          <w:tab w:val="left" w:pos="567"/>
        </w:tabs>
        <w:spacing w:line="260" w:lineRule="exact"/>
        <w:rPr>
          <w:sz w:val="22"/>
        </w:rPr>
      </w:pPr>
      <w:proofErr w:type="spellStart"/>
      <w:r w:rsidRPr="003F564F">
        <w:rPr>
          <w:sz w:val="22"/>
          <w:szCs w:val="24"/>
        </w:rPr>
        <w:t>Ruksolitinibo</w:t>
      </w:r>
      <w:proofErr w:type="spellEnd"/>
      <w:r w:rsidRPr="003F564F">
        <w:rPr>
          <w:sz w:val="22"/>
          <w:szCs w:val="24"/>
        </w:rPr>
        <w:t xml:space="preserve"> </w:t>
      </w:r>
      <w:r w:rsidR="007D46E7" w:rsidRPr="003F564F">
        <w:rPr>
          <w:sz w:val="22"/>
        </w:rPr>
        <w:t xml:space="preserve">vartojusiems ir lėtine hepatito B viruso (HBV) infekcija sirgusiems pacientams nustatyta hepatito B </w:t>
      </w:r>
      <w:proofErr w:type="spellStart"/>
      <w:r w:rsidR="007D46E7" w:rsidRPr="003F564F">
        <w:rPr>
          <w:sz w:val="22"/>
        </w:rPr>
        <w:t>viremijos</w:t>
      </w:r>
      <w:proofErr w:type="spellEnd"/>
      <w:r w:rsidR="007D46E7" w:rsidRPr="003F564F">
        <w:rPr>
          <w:sz w:val="22"/>
        </w:rPr>
        <w:t xml:space="preserve"> laipsnio (HBV-DNR titrų) padidėjimo atvejų kartu su </w:t>
      </w:r>
      <w:proofErr w:type="spellStart"/>
      <w:r w:rsidR="007D46E7" w:rsidRPr="003F564F">
        <w:rPr>
          <w:sz w:val="22"/>
        </w:rPr>
        <w:t>alanino</w:t>
      </w:r>
      <w:proofErr w:type="spellEnd"/>
      <w:r w:rsidR="007D46E7" w:rsidRPr="003F564F">
        <w:rPr>
          <w:sz w:val="22"/>
        </w:rPr>
        <w:t xml:space="preserve"> </w:t>
      </w:r>
      <w:proofErr w:type="spellStart"/>
      <w:r w:rsidR="007D46E7" w:rsidRPr="003F564F">
        <w:rPr>
          <w:sz w:val="22"/>
        </w:rPr>
        <w:t>aminotransferazės</w:t>
      </w:r>
      <w:proofErr w:type="spellEnd"/>
      <w:r w:rsidR="007D46E7" w:rsidRPr="003F564F">
        <w:rPr>
          <w:sz w:val="22"/>
        </w:rPr>
        <w:t xml:space="preserve"> </w:t>
      </w:r>
      <w:r w:rsidR="007D46E7" w:rsidRPr="003F564F">
        <w:rPr>
          <w:sz w:val="22"/>
        </w:rPr>
        <w:lastRenderedPageBreak/>
        <w:t xml:space="preserve">bei </w:t>
      </w:r>
      <w:proofErr w:type="spellStart"/>
      <w:r w:rsidR="007D46E7" w:rsidRPr="003F564F">
        <w:rPr>
          <w:sz w:val="22"/>
        </w:rPr>
        <w:t>aspartato</w:t>
      </w:r>
      <w:proofErr w:type="spellEnd"/>
      <w:r w:rsidR="007D46E7" w:rsidRPr="003F564F">
        <w:rPr>
          <w:sz w:val="22"/>
        </w:rPr>
        <w:t xml:space="preserve"> </w:t>
      </w:r>
      <w:proofErr w:type="spellStart"/>
      <w:r w:rsidR="007D46E7" w:rsidRPr="003F564F">
        <w:rPr>
          <w:sz w:val="22"/>
        </w:rPr>
        <w:t>aminotransferazės</w:t>
      </w:r>
      <w:proofErr w:type="spellEnd"/>
      <w:r w:rsidR="007D46E7" w:rsidRPr="003F564F">
        <w:rPr>
          <w:sz w:val="22"/>
        </w:rPr>
        <w:t xml:space="preserve"> aktyvumo padidėjimu arba be šio aktyvumo padidėjimo. Prieš pradedant gydymą </w:t>
      </w:r>
      <w:proofErr w:type="spellStart"/>
      <w:r w:rsidRPr="003F564F">
        <w:rPr>
          <w:sz w:val="22"/>
          <w:szCs w:val="24"/>
        </w:rPr>
        <w:t>ruksolitinibo</w:t>
      </w:r>
      <w:proofErr w:type="spellEnd"/>
      <w:r w:rsidR="007D46E7" w:rsidRPr="003F564F">
        <w:rPr>
          <w:sz w:val="22"/>
        </w:rPr>
        <w:t>, rekomenduojama ištirti HBV žymenis. Šiems pacientams HBV infekciją reikia gydyti ir stebėti, atsižvelgiant į atitinkamas klinikines gaires.</w:t>
      </w:r>
    </w:p>
    <w:p w14:paraId="131385A3" w14:textId="77777777" w:rsidR="00CF2DB8" w:rsidRPr="003F564F" w:rsidRDefault="00CF2DB8" w:rsidP="007D46E7">
      <w:pPr>
        <w:tabs>
          <w:tab w:val="left" w:pos="567"/>
        </w:tabs>
        <w:spacing w:line="260" w:lineRule="exact"/>
        <w:rPr>
          <w:sz w:val="22"/>
        </w:rPr>
      </w:pPr>
    </w:p>
    <w:p w14:paraId="221EEA99" w14:textId="7E335A13" w:rsidR="007D46E7" w:rsidRPr="003F564F" w:rsidRDefault="007D46E7" w:rsidP="007D46E7">
      <w:pPr>
        <w:tabs>
          <w:tab w:val="left" w:pos="567"/>
        </w:tabs>
        <w:spacing w:line="260" w:lineRule="exact"/>
        <w:rPr>
          <w:sz w:val="22"/>
          <w:u w:val="single"/>
        </w:rPr>
      </w:pPr>
      <w:proofErr w:type="spellStart"/>
      <w:r w:rsidRPr="003F564F">
        <w:rPr>
          <w:i/>
          <w:iCs/>
          <w:sz w:val="22"/>
          <w:u w:val="single"/>
        </w:rPr>
        <w:t>Herpes</w:t>
      </w:r>
      <w:proofErr w:type="spellEnd"/>
      <w:r w:rsidRPr="003F564F">
        <w:rPr>
          <w:i/>
          <w:iCs/>
          <w:sz w:val="22"/>
          <w:u w:val="single"/>
        </w:rPr>
        <w:t xml:space="preserve"> </w:t>
      </w:r>
      <w:proofErr w:type="spellStart"/>
      <w:r w:rsidRPr="003F564F">
        <w:rPr>
          <w:i/>
          <w:iCs/>
          <w:sz w:val="22"/>
          <w:u w:val="single"/>
        </w:rPr>
        <w:t>zoster</w:t>
      </w:r>
      <w:proofErr w:type="spellEnd"/>
      <w:r w:rsidRPr="003F564F">
        <w:rPr>
          <w:sz w:val="22"/>
          <w:u w:val="single"/>
        </w:rPr>
        <w:t xml:space="preserve"> infekcija</w:t>
      </w:r>
    </w:p>
    <w:p w14:paraId="3142E8D4" w14:textId="77777777" w:rsidR="00CF2DB8" w:rsidRPr="003F564F" w:rsidRDefault="00CF2DB8" w:rsidP="007D46E7">
      <w:pPr>
        <w:tabs>
          <w:tab w:val="left" w:pos="567"/>
        </w:tabs>
        <w:spacing w:line="260" w:lineRule="exact"/>
        <w:rPr>
          <w:sz w:val="22"/>
        </w:rPr>
      </w:pPr>
    </w:p>
    <w:p w14:paraId="2688C72A" w14:textId="0C9AFF5A" w:rsidR="007D46E7" w:rsidRPr="003F564F" w:rsidRDefault="007D46E7" w:rsidP="007D46E7">
      <w:pPr>
        <w:tabs>
          <w:tab w:val="left" w:pos="567"/>
        </w:tabs>
        <w:spacing w:line="260" w:lineRule="exact"/>
        <w:rPr>
          <w:sz w:val="22"/>
        </w:rPr>
      </w:pPr>
      <w:r w:rsidRPr="003F564F">
        <w:rPr>
          <w:sz w:val="22"/>
        </w:rPr>
        <w:t xml:space="preserve">Gydytojai turi nurodyti pacientams ankstyvuosius </w:t>
      </w:r>
      <w:proofErr w:type="spellStart"/>
      <w:r w:rsidRPr="003F564F">
        <w:rPr>
          <w:i/>
          <w:iCs/>
          <w:sz w:val="22"/>
        </w:rPr>
        <w:t>Herpes</w:t>
      </w:r>
      <w:proofErr w:type="spellEnd"/>
      <w:r w:rsidRPr="003F564F">
        <w:rPr>
          <w:i/>
          <w:iCs/>
          <w:sz w:val="22"/>
        </w:rPr>
        <w:t xml:space="preserve"> </w:t>
      </w:r>
      <w:proofErr w:type="spellStart"/>
      <w:r w:rsidRPr="003F564F">
        <w:rPr>
          <w:i/>
          <w:iCs/>
          <w:sz w:val="22"/>
        </w:rPr>
        <w:t>zoster</w:t>
      </w:r>
      <w:proofErr w:type="spellEnd"/>
      <w:r w:rsidRPr="003F564F">
        <w:rPr>
          <w:sz w:val="22"/>
        </w:rPr>
        <w:t xml:space="preserve"> viruso sukeliamos infekcijos požymius ir simptomus; pacientams reikia nurodyti, kad pasireiškus šiems požymiams kaip galima greičiau kreiptųsi medicininės pagalbos.</w:t>
      </w:r>
    </w:p>
    <w:p w14:paraId="2BE1B2F4" w14:textId="77777777" w:rsidR="00CF2DB8" w:rsidRPr="003F564F" w:rsidRDefault="00CF2DB8" w:rsidP="007D46E7">
      <w:pPr>
        <w:tabs>
          <w:tab w:val="left" w:pos="567"/>
        </w:tabs>
        <w:spacing w:line="260" w:lineRule="exact"/>
        <w:rPr>
          <w:sz w:val="22"/>
        </w:rPr>
      </w:pPr>
    </w:p>
    <w:p w14:paraId="684D5D5D" w14:textId="77777777" w:rsidR="007D46E7" w:rsidRPr="003F564F" w:rsidRDefault="007D46E7" w:rsidP="007D46E7">
      <w:pPr>
        <w:tabs>
          <w:tab w:val="left" w:pos="567"/>
        </w:tabs>
        <w:spacing w:line="260" w:lineRule="exact"/>
        <w:rPr>
          <w:sz w:val="22"/>
          <w:u w:val="single"/>
        </w:rPr>
      </w:pPr>
      <w:r w:rsidRPr="003F564F">
        <w:rPr>
          <w:sz w:val="22"/>
          <w:u w:val="single"/>
        </w:rPr>
        <w:t xml:space="preserve">Progresuojančioji </w:t>
      </w:r>
      <w:proofErr w:type="spellStart"/>
      <w:r w:rsidRPr="003F564F">
        <w:rPr>
          <w:sz w:val="22"/>
          <w:u w:val="single"/>
        </w:rPr>
        <w:t>daugiažidininė</w:t>
      </w:r>
      <w:proofErr w:type="spellEnd"/>
      <w:r w:rsidRPr="003F564F">
        <w:rPr>
          <w:sz w:val="22"/>
          <w:u w:val="single"/>
        </w:rPr>
        <w:t xml:space="preserve"> </w:t>
      </w:r>
      <w:proofErr w:type="spellStart"/>
      <w:r w:rsidRPr="003F564F">
        <w:rPr>
          <w:sz w:val="22"/>
          <w:u w:val="single"/>
        </w:rPr>
        <w:t>leukoencefalopatija</w:t>
      </w:r>
      <w:proofErr w:type="spellEnd"/>
    </w:p>
    <w:p w14:paraId="408560D3" w14:textId="77777777" w:rsidR="00CF2DB8" w:rsidRPr="003F564F" w:rsidRDefault="00CF2DB8" w:rsidP="007D46E7">
      <w:pPr>
        <w:tabs>
          <w:tab w:val="left" w:pos="567"/>
        </w:tabs>
        <w:spacing w:line="260" w:lineRule="exact"/>
        <w:rPr>
          <w:sz w:val="22"/>
        </w:rPr>
      </w:pPr>
    </w:p>
    <w:p w14:paraId="5AB23598" w14:textId="341A17AB" w:rsidR="007D46E7" w:rsidRPr="003F564F" w:rsidRDefault="007D46E7" w:rsidP="007D46E7">
      <w:pPr>
        <w:tabs>
          <w:tab w:val="left" w:pos="567"/>
        </w:tabs>
        <w:spacing w:line="260" w:lineRule="exact"/>
        <w:rPr>
          <w:sz w:val="22"/>
        </w:rPr>
      </w:pPr>
      <w:r w:rsidRPr="003F564F">
        <w:rPr>
          <w:sz w:val="22"/>
        </w:rPr>
        <w:t xml:space="preserve">Gauta pranešimų apie pasireiškusius progresuojančiosios </w:t>
      </w:r>
      <w:proofErr w:type="spellStart"/>
      <w:r w:rsidRPr="003F564F">
        <w:rPr>
          <w:sz w:val="22"/>
        </w:rPr>
        <w:t>daugiažidininės</w:t>
      </w:r>
      <w:proofErr w:type="spellEnd"/>
      <w:r w:rsidRPr="003F564F">
        <w:rPr>
          <w:sz w:val="22"/>
        </w:rPr>
        <w:t xml:space="preserve"> </w:t>
      </w:r>
      <w:proofErr w:type="spellStart"/>
      <w:r w:rsidRPr="003F564F">
        <w:rPr>
          <w:sz w:val="22"/>
        </w:rPr>
        <w:t>leukoencefalopatijos</w:t>
      </w:r>
      <w:proofErr w:type="spellEnd"/>
      <w:r w:rsidRPr="003F564F">
        <w:rPr>
          <w:sz w:val="22"/>
        </w:rPr>
        <w:t xml:space="preserve"> (PDL) atvejus </w:t>
      </w:r>
      <w:proofErr w:type="spellStart"/>
      <w:r w:rsidR="009A58E8" w:rsidRPr="003F564F">
        <w:rPr>
          <w:sz w:val="22"/>
          <w:szCs w:val="24"/>
        </w:rPr>
        <w:t>ruksolitinibo</w:t>
      </w:r>
      <w:proofErr w:type="spellEnd"/>
      <w:r w:rsidR="009A58E8" w:rsidRPr="003F564F">
        <w:rPr>
          <w:sz w:val="22"/>
          <w:szCs w:val="24"/>
        </w:rPr>
        <w:t xml:space="preserve"> </w:t>
      </w:r>
      <w:r w:rsidRPr="003F564F">
        <w:rPr>
          <w:sz w:val="22"/>
        </w:rPr>
        <w:t>skiriant pacientams gydyti. Gydytojai ypatingai turėtų atkreipti dėmesį į galimai įtariamus PDL simptomus, kurių pacientai gali nepastebėti (pvz., pažintinių funkcijų, neurologinius ar psichiatrinius simptomus ar požymius). Pacientus reikia atidžiai stebėti dėl šių naujų simptomų ar požymių atsiradimo ar pasunkėjimo, ir jei tokie simptomai ar požymiai atsiranda, pacientus reikia nukreipti neurologo konsultacijai ir apsvarstyti tinkamas PDL diagnozės nustatymo priemones. Jei įtariama PDL, rekomenduojama nutraukti vaistinio preparato vartojimą iki PDL diagnozė bus paneigta.</w:t>
      </w:r>
    </w:p>
    <w:p w14:paraId="51F24B00" w14:textId="77777777" w:rsidR="00CF2DB8" w:rsidRPr="003F564F" w:rsidRDefault="00CF2DB8" w:rsidP="007D46E7">
      <w:pPr>
        <w:tabs>
          <w:tab w:val="left" w:pos="567"/>
        </w:tabs>
        <w:spacing w:line="260" w:lineRule="exact"/>
        <w:rPr>
          <w:sz w:val="22"/>
        </w:rPr>
      </w:pPr>
    </w:p>
    <w:p w14:paraId="01BEFA30" w14:textId="57E04635" w:rsidR="007D46E7" w:rsidRPr="003F564F" w:rsidRDefault="007D46E7" w:rsidP="007D46E7">
      <w:pPr>
        <w:tabs>
          <w:tab w:val="left" w:pos="567"/>
        </w:tabs>
        <w:spacing w:line="260" w:lineRule="exact"/>
        <w:rPr>
          <w:sz w:val="22"/>
          <w:u w:val="single"/>
        </w:rPr>
      </w:pPr>
      <w:r w:rsidRPr="003F564F">
        <w:rPr>
          <w:sz w:val="22"/>
          <w:u w:val="single"/>
        </w:rPr>
        <w:t>Lipidų koncentracijos sutrikimai/padidėjimas</w:t>
      </w:r>
    </w:p>
    <w:p w14:paraId="05CEF497" w14:textId="77777777" w:rsidR="00CF2DB8" w:rsidRPr="003F564F" w:rsidRDefault="00CF2DB8" w:rsidP="007D46E7">
      <w:pPr>
        <w:tabs>
          <w:tab w:val="left" w:pos="567"/>
        </w:tabs>
        <w:spacing w:line="260" w:lineRule="exact"/>
        <w:rPr>
          <w:sz w:val="22"/>
        </w:rPr>
      </w:pPr>
    </w:p>
    <w:p w14:paraId="6540430E" w14:textId="68642E7D" w:rsidR="007D46E7" w:rsidRPr="003F564F" w:rsidRDefault="007D46E7" w:rsidP="007D46E7">
      <w:pPr>
        <w:tabs>
          <w:tab w:val="left" w:pos="567"/>
        </w:tabs>
        <w:spacing w:line="260" w:lineRule="exact"/>
        <w:rPr>
          <w:sz w:val="22"/>
        </w:rPr>
      </w:pPr>
      <w:r w:rsidRPr="003F564F">
        <w:rPr>
          <w:sz w:val="22"/>
        </w:rPr>
        <w:t xml:space="preserve">Gydymas </w:t>
      </w:r>
      <w:proofErr w:type="spellStart"/>
      <w:r w:rsidR="009A58E8" w:rsidRPr="003F564F">
        <w:rPr>
          <w:sz w:val="22"/>
          <w:szCs w:val="24"/>
        </w:rPr>
        <w:t>ruksolitinibu</w:t>
      </w:r>
      <w:proofErr w:type="spellEnd"/>
      <w:r w:rsidR="009A58E8" w:rsidRPr="003F564F">
        <w:rPr>
          <w:sz w:val="22"/>
          <w:szCs w:val="24"/>
        </w:rPr>
        <w:t xml:space="preserve"> </w:t>
      </w:r>
      <w:r w:rsidRPr="003F564F">
        <w:rPr>
          <w:sz w:val="22"/>
        </w:rPr>
        <w:t xml:space="preserve">buvo susijęs su padidėjusiais lipidų koncentracijos rodikliais, įskaitant bendruoju cholesterolio, didelio tankio lipoproteinų (DTL) cholesterolio, mažo tankio lipoproteinų (MTL) cholesterolio ir trigliceridų koncentracija. Esant </w:t>
      </w:r>
      <w:proofErr w:type="spellStart"/>
      <w:r w:rsidRPr="003F564F">
        <w:rPr>
          <w:sz w:val="22"/>
        </w:rPr>
        <w:t>dislipidemijai</w:t>
      </w:r>
      <w:proofErr w:type="spellEnd"/>
      <w:r w:rsidRPr="003F564F">
        <w:rPr>
          <w:sz w:val="22"/>
        </w:rPr>
        <w:t>, rekomenduojama ją gydyti ir stebėti lipidų koncentraciją, atsižvelgiant į atitinkamas klinikines gaires.</w:t>
      </w:r>
    </w:p>
    <w:p w14:paraId="1B36A47C" w14:textId="77777777" w:rsidR="00CF2DB8" w:rsidRPr="003F564F" w:rsidRDefault="00CF2DB8" w:rsidP="007D46E7">
      <w:pPr>
        <w:tabs>
          <w:tab w:val="left" w:pos="567"/>
        </w:tabs>
        <w:spacing w:line="260" w:lineRule="exact"/>
        <w:rPr>
          <w:sz w:val="22"/>
        </w:rPr>
      </w:pPr>
    </w:p>
    <w:p w14:paraId="6D596532" w14:textId="4925171C" w:rsidR="007D46E7" w:rsidRPr="003F564F" w:rsidRDefault="006B5C20" w:rsidP="007D46E7">
      <w:pPr>
        <w:tabs>
          <w:tab w:val="left" w:pos="567"/>
        </w:tabs>
        <w:spacing w:line="260" w:lineRule="exact"/>
        <w:rPr>
          <w:sz w:val="22"/>
          <w:u w:val="single"/>
        </w:rPr>
      </w:pPr>
      <w:r>
        <w:rPr>
          <w:sz w:val="22"/>
          <w:u w:val="single"/>
        </w:rPr>
        <w:t>Didieji</w:t>
      </w:r>
      <w:r w:rsidRPr="003F564F">
        <w:rPr>
          <w:sz w:val="22"/>
          <w:u w:val="single"/>
        </w:rPr>
        <w:t xml:space="preserve"> </w:t>
      </w:r>
      <w:r w:rsidR="007D46E7" w:rsidRPr="003F564F">
        <w:rPr>
          <w:sz w:val="22"/>
          <w:u w:val="single"/>
        </w:rPr>
        <w:t xml:space="preserve">nepageidaujami širdies </w:t>
      </w:r>
      <w:r>
        <w:rPr>
          <w:sz w:val="22"/>
          <w:u w:val="single"/>
        </w:rPr>
        <w:t xml:space="preserve">ir kraujagyslių </w:t>
      </w:r>
      <w:r w:rsidR="007D46E7" w:rsidRPr="003F564F">
        <w:rPr>
          <w:sz w:val="22"/>
          <w:u w:val="single"/>
        </w:rPr>
        <w:t xml:space="preserve">reiškiniai (angl. </w:t>
      </w:r>
      <w:proofErr w:type="spellStart"/>
      <w:r w:rsidR="007D46E7" w:rsidRPr="003F564F">
        <w:rPr>
          <w:i/>
          <w:iCs/>
          <w:sz w:val="22"/>
          <w:u w:val="single"/>
        </w:rPr>
        <w:t>Major</w:t>
      </w:r>
      <w:proofErr w:type="spellEnd"/>
      <w:r w:rsidR="007D46E7" w:rsidRPr="003F564F">
        <w:rPr>
          <w:i/>
          <w:iCs/>
          <w:sz w:val="22"/>
          <w:u w:val="single"/>
        </w:rPr>
        <w:t xml:space="preserve"> </w:t>
      </w:r>
      <w:proofErr w:type="spellStart"/>
      <w:r w:rsidR="007D46E7" w:rsidRPr="003F564F">
        <w:rPr>
          <w:i/>
          <w:iCs/>
          <w:sz w:val="22"/>
          <w:u w:val="single"/>
        </w:rPr>
        <w:t>adverse</w:t>
      </w:r>
      <w:proofErr w:type="spellEnd"/>
      <w:r w:rsidR="007D46E7" w:rsidRPr="003F564F">
        <w:rPr>
          <w:i/>
          <w:iCs/>
          <w:sz w:val="22"/>
          <w:u w:val="single"/>
        </w:rPr>
        <w:t xml:space="preserve"> </w:t>
      </w:r>
      <w:proofErr w:type="spellStart"/>
      <w:r w:rsidR="007D46E7" w:rsidRPr="003F564F">
        <w:rPr>
          <w:i/>
          <w:iCs/>
          <w:sz w:val="22"/>
          <w:u w:val="single"/>
        </w:rPr>
        <w:t>cardiac</w:t>
      </w:r>
      <w:proofErr w:type="spellEnd"/>
      <w:r w:rsidR="007D46E7" w:rsidRPr="003F564F">
        <w:rPr>
          <w:i/>
          <w:iCs/>
          <w:sz w:val="22"/>
          <w:u w:val="single"/>
        </w:rPr>
        <w:t xml:space="preserve"> </w:t>
      </w:r>
      <w:proofErr w:type="spellStart"/>
      <w:r w:rsidR="007D46E7" w:rsidRPr="003F564F">
        <w:rPr>
          <w:i/>
          <w:iCs/>
          <w:sz w:val="22"/>
          <w:u w:val="single"/>
        </w:rPr>
        <w:t>events</w:t>
      </w:r>
      <w:proofErr w:type="spellEnd"/>
      <w:r w:rsidR="007D46E7" w:rsidRPr="003F564F">
        <w:rPr>
          <w:sz w:val="22"/>
          <w:u w:val="single"/>
        </w:rPr>
        <w:t>, MACE)</w:t>
      </w:r>
    </w:p>
    <w:p w14:paraId="2CBB403F" w14:textId="77777777" w:rsidR="00CF2DB8" w:rsidRPr="003F564F" w:rsidRDefault="00CF2DB8" w:rsidP="007D46E7">
      <w:pPr>
        <w:tabs>
          <w:tab w:val="left" w:pos="567"/>
        </w:tabs>
        <w:spacing w:line="260" w:lineRule="exact"/>
        <w:rPr>
          <w:sz w:val="22"/>
        </w:rPr>
      </w:pPr>
    </w:p>
    <w:p w14:paraId="2A1B508A" w14:textId="5C0EFA18" w:rsidR="007D46E7" w:rsidRPr="003F564F" w:rsidRDefault="007D46E7" w:rsidP="007D46E7">
      <w:pPr>
        <w:tabs>
          <w:tab w:val="left" w:pos="567"/>
        </w:tabs>
        <w:spacing w:line="260" w:lineRule="exact"/>
        <w:rPr>
          <w:sz w:val="22"/>
        </w:rPr>
      </w:pPr>
      <w:r w:rsidRPr="003F564F">
        <w:rPr>
          <w:sz w:val="22"/>
        </w:rPr>
        <w:t xml:space="preserve">Atliekant didelį atsitiktinių imčių veikliuoju vaistiniu preparatu kontroliuojamą </w:t>
      </w:r>
      <w:proofErr w:type="spellStart"/>
      <w:r w:rsidRPr="003F564F">
        <w:rPr>
          <w:sz w:val="22"/>
        </w:rPr>
        <w:t>tofacitinibo</w:t>
      </w:r>
      <w:proofErr w:type="spellEnd"/>
      <w:r w:rsidRPr="003F564F">
        <w:rPr>
          <w:sz w:val="22"/>
        </w:rPr>
        <w:t xml:space="preserve"> (kito JAK inhibitoriaus) tyrimą, kuriame dalyvavo reumatoidiniu artritu sergantys 50</w:t>
      </w:r>
      <w:r w:rsidR="009A58E8" w:rsidRPr="003F564F">
        <w:rPr>
          <w:sz w:val="22"/>
        </w:rPr>
        <w:t> </w:t>
      </w:r>
      <w:r w:rsidRPr="003F564F">
        <w:rPr>
          <w:sz w:val="22"/>
        </w:rPr>
        <w:t xml:space="preserve">metų ir vyresni pacientai, turintys bent vieną papildomą širdies ir kraujagyslių sutrikimų rizikos veiksnį, </w:t>
      </w:r>
      <w:proofErr w:type="spellStart"/>
      <w:r w:rsidRPr="003F564F">
        <w:rPr>
          <w:sz w:val="22"/>
        </w:rPr>
        <w:t>tofacitinib</w:t>
      </w:r>
      <w:r w:rsidR="009A58E8" w:rsidRPr="003F564F">
        <w:rPr>
          <w:sz w:val="22"/>
        </w:rPr>
        <w:t>o</w:t>
      </w:r>
      <w:proofErr w:type="spellEnd"/>
      <w:r w:rsidRPr="003F564F">
        <w:rPr>
          <w:sz w:val="22"/>
        </w:rPr>
        <w:t xml:space="preserve"> vartojusiems pacientams nustatytas didesnis reikšmingų nepageidaujamų širdies ir kraujagyslių reiškinių (MACE), apibūdinamų kaip mirtis nuo širdies ir kraujagyslių sutrikimo, nemirtinas miokardo infarktas (MI) ir nemirtinas insultas, dažnis, palyginti su vartojusiais naviko nekrozės faktoriaus (NNF) inhibitorius.</w:t>
      </w:r>
    </w:p>
    <w:p w14:paraId="5E38169A" w14:textId="77777777" w:rsidR="00CF2DB8" w:rsidRPr="003F564F" w:rsidRDefault="00CF2DB8" w:rsidP="007D46E7">
      <w:pPr>
        <w:tabs>
          <w:tab w:val="left" w:pos="567"/>
        </w:tabs>
        <w:spacing w:line="260" w:lineRule="exact"/>
        <w:rPr>
          <w:sz w:val="22"/>
        </w:rPr>
      </w:pPr>
    </w:p>
    <w:p w14:paraId="47B85CCE" w14:textId="5D891E3E" w:rsidR="007D46E7" w:rsidRPr="003F564F" w:rsidRDefault="009A58E8" w:rsidP="007D46E7">
      <w:pPr>
        <w:tabs>
          <w:tab w:val="left" w:pos="567"/>
        </w:tabs>
        <w:spacing w:line="260" w:lineRule="exact"/>
        <w:rPr>
          <w:sz w:val="22"/>
        </w:rPr>
      </w:pPr>
      <w:proofErr w:type="spellStart"/>
      <w:r w:rsidRPr="003F564F">
        <w:rPr>
          <w:sz w:val="22"/>
          <w:szCs w:val="24"/>
        </w:rPr>
        <w:t>Ruksolitinibo</w:t>
      </w:r>
      <w:proofErr w:type="spellEnd"/>
      <w:r w:rsidRPr="003F564F">
        <w:rPr>
          <w:sz w:val="22"/>
          <w:szCs w:val="24"/>
        </w:rPr>
        <w:t xml:space="preserve"> </w:t>
      </w:r>
      <w:r w:rsidR="007D46E7" w:rsidRPr="003F564F">
        <w:rPr>
          <w:sz w:val="22"/>
        </w:rPr>
        <w:t xml:space="preserve">vartojusiems pacientams buvo nustatyta MACE atvejų. Prieš skiriant ar pratęsiant gydymą </w:t>
      </w:r>
      <w:proofErr w:type="spellStart"/>
      <w:r w:rsidRPr="003F564F">
        <w:rPr>
          <w:sz w:val="22"/>
          <w:szCs w:val="24"/>
        </w:rPr>
        <w:t>ruksolitinibu</w:t>
      </w:r>
      <w:proofErr w:type="spellEnd"/>
      <w:r w:rsidR="007D46E7" w:rsidRPr="003F564F">
        <w:rPr>
          <w:sz w:val="22"/>
        </w:rPr>
        <w:t>, reikia įvertinti vaistinio preparato naudos ir rizikos santykį konkrečiam pacientui, ypač tiems, kurie yra 65</w:t>
      </w:r>
      <w:r w:rsidRPr="003F564F">
        <w:rPr>
          <w:sz w:val="22"/>
        </w:rPr>
        <w:t> </w:t>
      </w:r>
      <w:r w:rsidR="007D46E7" w:rsidRPr="003F564F">
        <w:rPr>
          <w:sz w:val="22"/>
        </w:rPr>
        <w:t>metų ir vyresni, ilgą laiką rūkantys ar anksčiau ilgą laiką rūkę, sirgę aterosklerozine širdies ir kraujagyslių liga arba turintys kitų širdies ir kraujagyslių sutrikimų rizikos veiksnių.</w:t>
      </w:r>
    </w:p>
    <w:p w14:paraId="1D2B1BF7" w14:textId="77777777" w:rsidR="00CF2DB8" w:rsidRPr="003F564F" w:rsidRDefault="00CF2DB8" w:rsidP="007D46E7">
      <w:pPr>
        <w:tabs>
          <w:tab w:val="left" w:pos="567"/>
        </w:tabs>
        <w:spacing w:line="260" w:lineRule="exact"/>
        <w:rPr>
          <w:sz w:val="22"/>
        </w:rPr>
      </w:pPr>
    </w:p>
    <w:p w14:paraId="2B82BC22" w14:textId="28C809C2" w:rsidR="007D46E7" w:rsidRPr="003F564F" w:rsidRDefault="007D46E7" w:rsidP="007D46E7">
      <w:pPr>
        <w:tabs>
          <w:tab w:val="left" w:pos="567"/>
        </w:tabs>
        <w:spacing w:line="260" w:lineRule="exact"/>
        <w:rPr>
          <w:sz w:val="22"/>
          <w:u w:val="single"/>
        </w:rPr>
      </w:pPr>
      <w:r w:rsidRPr="003F564F">
        <w:rPr>
          <w:sz w:val="22"/>
          <w:u w:val="single"/>
        </w:rPr>
        <w:t>Trombozė</w:t>
      </w:r>
    </w:p>
    <w:p w14:paraId="3C322FA2" w14:textId="77777777" w:rsidR="00CF2DB8" w:rsidRPr="003F564F" w:rsidRDefault="00CF2DB8" w:rsidP="007D46E7">
      <w:pPr>
        <w:tabs>
          <w:tab w:val="left" w:pos="567"/>
        </w:tabs>
        <w:spacing w:line="260" w:lineRule="exact"/>
        <w:rPr>
          <w:sz w:val="22"/>
        </w:rPr>
      </w:pPr>
    </w:p>
    <w:p w14:paraId="36A32DFE" w14:textId="683E27CB" w:rsidR="007D46E7" w:rsidRPr="003F564F" w:rsidRDefault="007D46E7" w:rsidP="007D46E7">
      <w:pPr>
        <w:tabs>
          <w:tab w:val="left" w:pos="567"/>
        </w:tabs>
        <w:spacing w:line="260" w:lineRule="exact"/>
        <w:rPr>
          <w:sz w:val="22"/>
        </w:rPr>
      </w:pPr>
      <w:r w:rsidRPr="003F564F">
        <w:rPr>
          <w:sz w:val="22"/>
        </w:rPr>
        <w:t xml:space="preserve">Atliekant didelį atsitiktinių imčių veikliuoju vaistiniu preparatu kontroliuojamą </w:t>
      </w:r>
      <w:proofErr w:type="spellStart"/>
      <w:r w:rsidRPr="003F564F">
        <w:rPr>
          <w:sz w:val="22"/>
        </w:rPr>
        <w:t>tofacitinibo</w:t>
      </w:r>
      <w:proofErr w:type="spellEnd"/>
      <w:r w:rsidRPr="003F564F">
        <w:rPr>
          <w:sz w:val="22"/>
        </w:rPr>
        <w:t xml:space="preserve"> (kito JAK inhibitoriaus) tyrimą, kuriame dalyvavo reumatoidiniu artritu sergantys 50</w:t>
      </w:r>
      <w:r w:rsidR="009A58E8" w:rsidRPr="003F564F">
        <w:rPr>
          <w:sz w:val="22"/>
        </w:rPr>
        <w:t> </w:t>
      </w:r>
      <w:r w:rsidRPr="003F564F">
        <w:rPr>
          <w:sz w:val="22"/>
        </w:rPr>
        <w:t xml:space="preserve">metų ir vyresni pacientai, turintys bent vieną papildomą širdies ir kraujagyslių sutrikimų rizikos veiksnį, </w:t>
      </w:r>
      <w:proofErr w:type="spellStart"/>
      <w:r w:rsidRPr="003F564F">
        <w:rPr>
          <w:sz w:val="22"/>
        </w:rPr>
        <w:t>tofacitinib</w:t>
      </w:r>
      <w:r w:rsidR="009A58E8" w:rsidRPr="003F564F">
        <w:rPr>
          <w:sz w:val="22"/>
        </w:rPr>
        <w:t>o</w:t>
      </w:r>
      <w:proofErr w:type="spellEnd"/>
      <w:r w:rsidRPr="003F564F">
        <w:rPr>
          <w:sz w:val="22"/>
        </w:rPr>
        <w:t xml:space="preserve"> vartojusiems pacientams nustatytas nuo dozės priklausomas didesnis venų </w:t>
      </w:r>
      <w:proofErr w:type="spellStart"/>
      <w:r w:rsidRPr="003F564F">
        <w:rPr>
          <w:sz w:val="22"/>
        </w:rPr>
        <w:t>tromboembolinių</w:t>
      </w:r>
      <w:proofErr w:type="spellEnd"/>
      <w:r w:rsidRPr="003F564F">
        <w:rPr>
          <w:sz w:val="22"/>
        </w:rPr>
        <w:t xml:space="preserve"> reiškinių (VTE), įskaitant giliųjų venų trombozę (GVT) ir plaučių emboliją (PE), dažnis, palyginti su vartojusiais NNF inhibitorius.</w:t>
      </w:r>
    </w:p>
    <w:p w14:paraId="5AFF64A9" w14:textId="77777777" w:rsidR="00CF2DB8" w:rsidRPr="003F564F" w:rsidRDefault="00CF2DB8" w:rsidP="007D46E7">
      <w:pPr>
        <w:tabs>
          <w:tab w:val="left" w:pos="567"/>
        </w:tabs>
        <w:spacing w:line="260" w:lineRule="exact"/>
        <w:rPr>
          <w:sz w:val="22"/>
        </w:rPr>
      </w:pPr>
    </w:p>
    <w:p w14:paraId="3C68D1FD" w14:textId="7391FC89" w:rsidR="007D46E7" w:rsidRPr="003F564F" w:rsidRDefault="007D46E7" w:rsidP="007D46E7">
      <w:pPr>
        <w:tabs>
          <w:tab w:val="left" w:pos="567"/>
        </w:tabs>
        <w:spacing w:line="260" w:lineRule="exact"/>
        <w:rPr>
          <w:sz w:val="22"/>
        </w:rPr>
      </w:pPr>
      <w:r w:rsidRPr="003F564F">
        <w:rPr>
          <w:sz w:val="22"/>
        </w:rPr>
        <w:t xml:space="preserve">Gauta pranešimų apie giliųjų venų trombozės (GVT) ir plaučių embolijos (PE) atvejus, nustatytus </w:t>
      </w:r>
      <w:proofErr w:type="spellStart"/>
      <w:r w:rsidR="009A58E8" w:rsidRPr="003F564F">
        <w:rPr>
          <w:sz w:val="22"/>
          <w:szCs w:val="24"/>
        </w:rPr>
        <w:t>ruksolitinibo</w:t>
      </w:r>
      <w:proofErr w:type="spellEnd"/>
      <w:r w:rsidR="009A58E8" w:rsidRPr="003F564F">
        <w:rPr>
          <w:sz w:val="22"/>
          <w:szCs w:val="24"/>
        </w:rPr>
        <w:t xml:space="preserve"> </w:t>
      </w:r>
      <w:r w:rsidRPr="003F564F">
        <w:rPr>
          <w:sz w:val="22"/>
        </w:rPr>
        <w:t xml:space="preserve">vartojusiems pacientams. Klinikinių tyrimų metu </w:t>
      </w:r>
      <w:proofErr w:type="spellStart"/>
      <w:r w:rsidR="009A58E8" w:rsidRPr="003F564F">
        <w:rPr>
          <w:sz w:val="22"/>
          <w:szCs w:val="24"/>
        </w:rPr>
        <w:t>ruksolitinibo</w:t>
      </w:r>
      <w:proofErr w:type="spellEnd"/>
      <w:r w:rsidR="009A58E8" w:rsidRPr="003F564F">
        <w:rPr>
          <w:sz w:val="22"/>
          <w:szCs w:val="24"/>
        </w:rPr>
        <w:t xml:space="preserve"> </w:t>
      </w:r>
      <w:r w:rsidRPr="003F564F">
        <w:rPr>
          <w:sz w:val="22"/>
        </w:rPr>
        <w:t xml:space="preserve">vartojusiems MF ir TP </w:t>
      </w:r>
      <w:r w:rsidRPr="003F564F">
        <w:rPr>
          <w:sz w:val="22"/>
        </w:rPr>
        <w:lastRenderedPageBreak/>
        <w:t xml:space="preserve">sergantiems pacientams, </w:t>
      </w:r>
      <w:proofErr w:type="spellStart"/>
      <w:r w:rsidRPr="003F564F">
        <w:rPr>
          <w:sz w:val="22"/>
        </w:rPr>
        <w:t>tromboembolinių</w:t>
      </w:r>
      <w:proofErr w:type="spellEnd"/>
      <w:r w:rsidRPr="003F564F">
        <w:rPr>
          <w:sz w:val="22"/>
        </w:rPr>
        <w:t xml:space="preserve"> reiškinių dažnis buvo panašus, kaip ir palyginamųjų vaistinių preparatų vartojusiųjų grupėse.</w:t>
      </w:r>
    </w:p>
    <w:p w14:paraId="421D7CE1" w14:textId="77777777" w:rsidR="00CF2DB8" w:rsidRPr="003F564F" w:rsidRDefault="00CF2DB8" w:rsidP="007D46E7">
      <w:pPr>
        <w:tabs>
          <w:tab w:val="left" w:pos="567"/>
        </w:tabs>
        <w:spacing w:line="260" w:lineRule="exact"/>
        <w:rPr>
          <w:sz w:val="22"/>
        </w:rPr>
      </w:pPr>
    </w:p>
    <w:p w14:paraId="5D7AAE32" w14:textId="53644CE1" w:rsidR="007D46E7" w:rsidRPr="003F564F" w:rsidRDefault="007D46E7" w:rsidP="007D46E7">
      <w:pPr>
        <w:tabs>
          <w:tab w:val="left" w:pos="567"/>
        </w:tabs>
        <w:spacing w:line="260" w:lineRule="exact"/>
        <w:rPr>
          <w:sz w:val="22"/>
        </w:rPr>
      </w:pPr>
      <w:r w:rsidRPr="003F564F">
        <w:rPr>
          <w:sz w:val="22"/>
        </w:rPr>
        <w:t xml:space="preserve">Prieš skiriant ar pratęsiant gydymą </w:t>
      </w:r>
      <w:proofErr w:type="spellStart"/>
      <w:r w:rsidR="009A58E8" w:rsidRPr="003F564F">
        <w:rPr>
          <w:sz w:val="22"/>
          <w:szCs w:val="24"/>
        </w:rPr>
        <w:t>ruksolitinibu</w:t>
      </w:r>
      <w:proofErr w:type="spellEnd"/>
      <w:r w:rsidRPr="003F564F">
        <w:rPr>
          <w:sz w:val="22"/>
        </w:rPr>
        <w:t>, reikia įvertinti vaistinio preparato naudos ir rizikos santykį konkrečiam pacientui, ypač tiems, kurie turi širdies ir kraujagyslių sutrikimų rizikos veiksnių (taip pat žr.</w:t>
      </w:r>
      <w:r w:rsidR="009A58E8" w:rsidRPr="003F564F">
        <w:rPr>
          <w:sz w:val="22"/>
        </w:rPr>
        <w:t> </w:t>
      </w:r>
      <w:r w:rsidRPr="003F564F">
        <w:rPr>
          <w:sz w:val="22"/>
        </w:rPr>
        <w:t>4.4</w:t>
      </w:r>
      <w:r w:rsidR="009A58E8" w:rsidRPr="003F564F">
        <w:rPr>
          <w:sz w:val="22"/>
        </w:rPr>
        <w:t> </w:t>
      </w:r>
      <w:r w:rsidRPr="003F564F">
        <w:rPr>
          <w:sz w:val="22"/>
        </w:rPr>
        <w:t xml:space="preserve">poskyrį „Reikšmingi nepageidaujami širdies reiškiniai (angl. </w:t>
      </w:r>
      <w:proofErr w:type="spellStart"/>
      <w:r w:rsidRPr="003F564F">
        <w:rPr>
          <w:i/>
          <w:iCs/>
          <w:sz w:val="22"/>
        </w:rPr>
        <w:t>Major</w:t>
      </w:r>
      <w:proofErr w:type="spellEnd"/>
      <w:r w:rsidRPr="003F564F">
        <w:rPr>
          <w:i/>
          <w:iCs/>
          <w:sz w:val="22"/>
        </w:rPr>
        <w:t xml:space="preserve"> </w:t>
      </w:r>
      <w:proofErr w:type="spellStart"/>
      <w:r w:rsidRPr="003F564F">
        <w:rPr>
          <w:i/>
          <w:iCs/>
          <w:sz w:val="22"/>
        </w:rPr>
        <w:t>adverse</w:t>
      </w:r>
      <w:proofErr w:type="spellEnd"/>
      <w:r w:rsidRPr="003F564F">
        <w:rPr>
          <w:i/>
          <w:iCs/>
          <w:sz w:val="22"/>
        </w:rPr>
        <w:t xml:space="preserve"> </w:t>
      </w:r>
      <w:proofErr w:type="spellStart"/>
      <w:r w:rsidRPr="003F564F">
        <w:rPr>
          <w:i/>
          <w:iCs/>
          <w:sz w:val="22"/>
        </w:rPr>
        <w:t>cardiac</w:t>
      </w:r>
      <w:proofErr w:type="spellEnd"/>
      <w:r w:rsidRPr="003F564F">
        <w:rPr>
          <w:i/>
          <w:iCs/>
          <w:sz w:val="22"/>
        </w:rPr>
        <w:t xml:space="preserve"> </w:t>
      </w:r>
      <w:proofErr w:type="spellStart"/>
      <w:r w:rsidRPr="003F564F">
        <w:rPr>
          <w:i/>
          <w:iCs/>
          <w:sz w:val="22"/>
        </w:rPr>
        <w:t>events</w:t>
      </w:r>
      <w:proofErr w:type="spellEnd"/>
      <w:r w:rsidRPr="003F564F">
        <w:rPr>
          <w:sz w:val="22"/>
        </w:rPr>
        <w:t>, MACE)“).</w:t>
      </w:r>
    </w:p>
    <w:p w14:paraId="1DE28A3E" w14:textId="77777777" w:rsidR="009A58E8" w:rsidRPr="003F564F" w:rsidRDefault="009A58E8" w:rsidP="007D46E7">
      <w:pPr>
        <w:tabs>
          <w:tab w:val="left" w:pos="567"/>
        </w:tabs>
        <w:spacing w:line="260" w:lineRule="exact"/>
        <w:rPr>
          <w:sz w:val="22"/>
        </w:rPr>
      </w:pPr>
    </w:p>
    <w:p w14:paraId="44C75A4E" w14:textId="687ACF94" w:rsidR="007D46E7" w:rsidRPr="003F564F" w:rsidRDefault="007D46E7" w:rsidP="007D46E7">
      <w:pPr>
        <w:tabs>
          <w:tab w:val="left" w:pos="567"/>
        </w:tabs>
        <w:spacing w:line="260" w:lineRule="exact"/>
        <w:rPr>
          <w:sz w:val="22"/>
        </w:rPr>
      </w:pPr>
      <w:r w:rsidRPr="003F564F">
        <w:rPr>
          <w:sz w:val="22"/>
        </w:rPr>
        <w:t>Pasireiškus trombozės simptomų, reikia nedelsiant įvertinti pacientų būklę ir taikyti atitinkamą gydymą.</w:t>
      </w:r>
    </w:p>
    <w:p w14:paraId="496EE1E8" w14:textId="77777777" w:rsidR="009A58E8" w:rsidRPr="003F564F" w:rsidRDefault="009A58E8" w:rsidP="007D46E7">
      <w:pPr>
        <w:tabs>
          <w:tab w:val="left" w:pos="567"/>
        </w:tabs>
        <w:spacing w:line="260" w:lineRule="exact"/>
        <w:rPr>
          <w:sz w:val="22"/>
        </w:rPr>
      </w:pPr>
    </w:p>
    <w:p w14:paraId="2EE03CED" w14:textId="2EF46DD5" w:rsidR="007D46E7" w:rsidRPr="003F564F" w:rsidRDefault="007D46E7" w:rsidP="007D46E7">
      <w:pPr>
        <w:tabs>
          <w:tab w:val="left" w:pos="567"/>
        </w:tabs>
        <w:spacing w:line="260" w:lineRule="exact"/>
        <w:rPr>
          <w:sz w:val="22"/>
          <w:u w:val="single"/>
        </w:rPr>
      </w:pPr>
      <w:r w:rsidRPr="003F564F">
        <w:rPr>
          <w:sz w:val="22"/>
          <w:u w:val="single"/>
        </w:rPr>
        <w:t>Antri</w:t>
      </w:r>
      <w:r w:rsidR="003A7A66">
        <w:rPr>
          <w:sz w:val="22"/>
          <w:u w:val="single"/>
        </w:rPr>
        <w:t>niai</w:t>
      </w:r>
      <w:r w:rsidRPr="003F564F">
        <w:rPr>
          <w:sz w:val="22"/>
          <w:u w:val="single"/>
        </w:rPr>
        <w:t xml:space="preserve"> pirminiai piktybiniai navikai</w:t>
      </w:r>
    </w:p>
    <w:p w14:paraId="6E489997" w14:textId="77777777" w:rsidR="009A58E8" w:rsidRPr="003F564F" w:rsidRDefault="009A58E8" w:rsidP="007D46E7">
      <w:pPr>
        <w:tabs>
          <w:tab w:val="left" w:pos="567"/>
        </w:tabs>
        <w:spacing w:line="260" w:lineRule="exact"/>
        <w:rPr>
          <w:sz w:val="22"/>
        </w:rPr>
      </w:pPr>
    </w:p>
    <w:p w14:paraId="04FFBDA0" w14:textId="7A12C00F" w:rsidR="007D46E7" w:rsidRPr="003F564F" w:rsidRDefault="007D46E7" w:rsidP="007D46E7">
      <w:pPr>
        <w:tabs>
          <w:tab w:val="left" w:pos="567"/>
        </w:tabs>
        <w:spacing w:line="260" w:lineRule="exact"/>
        <w:rPr>
          <w:sz w:val="22"/>
        </w:rPr>
      </w:pPr>
      <w:r w:rsidRPr="003F564F">
        <w:rPr>
          <w:sz w:val="22"/>
        </w:rPr>
        <w:t xml:space="preserve">Atliekant didelį atsitiktinių imčių veikliuoju vaistiniu preparatu kontroliuojamą </w:t>
      </w:r>
      <w:proofErr w:type="spellStart"/>
      <w:r w:rsidRPr="003F564F">
        <w:rPr>
          <w:sz w:val="22"/>
        </w:rPr>
        <w:t>tofacitinibo</w:t>
      </w:r>
      <w:proofErr w:type="spellEnd"/>
      <w:r w:rsidRPr="003F564F">
        <w:rPr>
          <w:sz w:val="22"/>
        </w:rPr>
        <w:t xml:space="preserve"> (kito JAK inhibitoriaus) tyrimą, kuriame dalyvavo reumatoidiniu artritu sergantys 50</w:t>
      </w:r>
      <w:r w:rsidR="009A58E8" w:rsidRPr="003F564F">
        <w:rPr>
          <w:sz w:val="22"/>
        </w:rPr>
        <w:t> </w:t>
      </w:r>
      <w:r w:rsidRPr="003F564F">
        <w:rPr>
          <w:sz w:val="22"/>
        </w:rPr>
        <w:t xml:space="preserve">metų ir vyresni pacientai, turintys bent vieną papildomą širdies ir kraujagyslių sutrikimų rizikos veiksnį, </w:t>
      </w:r>
      <w:proofErr w:type="spellStart"/>
      <w:r w:rsidRPr="003F564F">
        <w:rPr>
          <w:sz w:val="22"/>
        </w:rPr>
        <w:t>tofacitinib</w:t>
      </w:r>
      <w:r w:rsidR="009A58E8" w:rsidRPr="003F564F">
        <w:rPr>
          <w:sz w:val="22"/>
        </w:rPr>
        <w:t>o</w:t>
      </w:r>
      <w:proofErr w:type="spellEnd"/>
      <w:r w:rsidRPr="003F564F">
        <w:rPr>
          <w:sz w:val="22"/>
        </w:rPr>
        <w:t xml:space="preserve"> vartojusiems pacientams nustatytas didesnis piktybinių navikų, ypač plaučių vėžio, limfomos ir ne melanomos tipo odos vėžio (NMOV), dažnis, palyginti su vartojusiais NNF inhibitorius.</w:t>
      </w:r>
    </w:p>
    <w:p w14:paraId="13ED9C77" w14:textId="77777777" w:rsidR="009A58E8" w:rsidRPr="003F564F" w:rsidRDefault="009A58E8" w:rsidP="007D46E7">
      <w:pPr>
        <w:tabs>
          <w:tab w:val="left" w:pos="567"/>
        </w:tabs>
        <w:spacing w:line="260" w:lineRule="exact"/>
        <w:rPr>
          <w:sz w:val="22"/>
        </w:rPr>
      </w:pPr>
    </w:p>
    <w:p w14:paraId="25A498B3" w14:textId="7604F42D" w:rsidR="007D46E7" w:rsidRPr="003F564F" w:rsidRDefault="007D46E7" w:rsidP="007D46E7">
      <w:pPr>
        <w:tabs>
          <w:tab w:val="left" w:pos="567"/>
        </w:tabs>
        <w:spacing w:line="260" w:lineRule="exact"/>
        <w:rPr>
          <w:sz w:val="22"/>
        </w:rPr>
      </w:pPr>
      <w:r w:rsidRPr="003F564F">
        <w:rPr>
          <w:sz w:val="22"/>
        </w:rPr>
        <w:t>Gauta pranešimų apie limfomą ir kitus piktybinius navikus, nustatytus pacientams, kurie vartojo JAK inhibitori</w:t>
      </w:r>
      <w:r w:rsidR="009A58E8" w:rsidRPr="003F564F">
        <w:rPr>
          <w:sz w:val="22"/>
        </w:rPr>
        <w:t>ų</w:t>
      </w:r>
      <w:r w:rsidRPr="003F564F">
        <w:rPr>
          <w:sz w:val="22"/>
        </w:rPr>
        <w:t xml:space="preserve">, įskaitant </w:t>
      </w:r>
      <w:proofErr w:type="spellStart"/>
      <w:r w:rsidR="009A58E8" w:rsidRPr="003F564F">
        <w:rPr>
          <w:sz w:val="22"/>
          <w:szCs w:val="24"/>
        </w:rPr>
        <w:t>ruksolitinibo</w:t>
      </w:r>
      <w:proofErr w:type="spellEnd"/>
      <w:r w:rsidRPr="003F564F">
        <w:rPr>
          <w:sz w:val="22"/>
        </w:rPr>
        <w:t>.</w:t>
      </w:r>
    </w:p>
    <w:p w14:paraId="71D7A4AF" w14:textId="77777777" w:rsidR="009A58E8" w:rsidRPr="003F564F" w:rsidRDefault="009A58E8" w:rsidP="007D46E7">
      <w:pPr>
        <w:tabs>
          <w:tab w:val="left" w:pos="567"/>
        </w:tabs>
        <w:spacing w:line="260" w:lineRule="exact"/>
        <w:rPr>
          <w:sz w:val="22"/>
        </w:rPr>
      </w:pPr>
    </w:p>
    <w:p w14:paraId="7E8E441B" w14:textId="1D982BDE" w:rsidR="007D46E7" w:rsidRPr="003F564F" w:rsidRDefault="007D46E7" w:rsidP="007D46E7">
      <w:pPr>
        <w:tabs>
          <w:tab w:val="left" w:pos="567"/>
        </w:tabs>
        <w:spacing w:line="260" w:lineRule="exact"/>
        <w:rPr>
          <w:sz w:val="22"/>
        </w:rPr>
      </w:pPr>
      <w:proofErr w:type="spellStart"/>
      <w:r w:rsidRPr="003F564F">
        <w:rPr>
          <w:sz w:val="22"/>
        </w:rPr>
        <w:t>Ruksolitinibo</w:t>
      </w:r>
      <w:proofErr w:type="spellEnd"/>
      <w:r w:rsidRPr="003F564F">
        <w:rPr>
          <w:sz w:val="22"/>
        </w:rPr>
        <w:t xml:space="preserve"> vartojusiems pacientams nustatyta ne melanomos tipo odos vėžio (NMOV) atvejų, įskaitant </w:t>
      </w:r>
      <w:proofErr w:type="spellStart"/>
      <w:r w:rsidRPr="003F564F">
        <w:rPr>
          <w:sz w:val="22"/>
        </w:rPr>
        <w:t>bazalinių</w:t>
      </w:r>
      <w:proofErr w:type="spellEnd"/>
      <w:r w:rsidRPr="003F564F">
        <w:rPr>
          <w:sz w:val="22"/>
        </w:rPr>
        <w:t xml:space="preserve"> ląstelių, </w:t>
      </w:r>
      <w:proofErr w:type="spellStart"/>
      <w:r w:rsidRPr="003F564F">
        <w:rPr>
          <w:sz w:val="22"/>
        </w:rPr>
        <w:t>plokščialąstelinę</w:t>
      </w:r>
      <w:proofErr w:type="spellEnd"/>
      <w:r w:rsidRPr="003F564F">
        <w:rPr>
          <w:sz w:val="22"/>
        </w:rPr>
        <w:t xml:space="preserve"> ir </w:t>
      </w:r>
      <w:proofErr w:type="spellStart"/>
      <w:r w:rsidRPr="007C58E1">
        <w:rPr>
          <w:i/>
          <w:iCs/>
          <w:sz w:val="22"/>
        </w:rPr>
        <w:t>Merkel</w:t>
      </w:r>
      <w:proofErr w:type="spellEnd"/>
      <w:r w:rsidRPr="003F564F">
        <w:rPr>
          <w:sz w:val="22"/>
        </w:rPr>
        <w:t xml:space="preserve"> ląstelių karcinomą. Daugeliui MF ir TP sirgusių pacientų anksčiau buvo skirtas ilgalaikis gydymas </w:t>
      </w:r>
      <w:proofErr w:type="spellStart"/>
      <w:r w:rsidRPr="003F564F">
        <w:rPr>
          <w:sz w:val="22"/>
        </w:rPr>
        <w:t>hidroksikarbamidu</w:t>
      </w:r>
      <w:proofErr w:type="spellEnd"/>
      <w:r w:rsidRPr="003F564F">
        <w:rPr>
          <w:sz w:val="22"/>
        </w:rPr>
        <w:t xml:space="preserve"> arba anksčiau buvo nustatyti NMOV ar </w:t>
      </w:r>
      <w:proofErr w:type="spellStart"/>
      <w:r w:rsidRPr="003F564F">
        <w:rPr>
          <w:sz w:val="22"/>
        </w:rPr>
        <w:t>ikivėžinės</w:t>
      </w:r>
      <w:proofErr w:type="spellEnd"/>
      <w:r w:rsidRPr="003F564F">
        <w:rPr>
          <w:sz w:val="22"/>
        </w:rPr>
        <w:t xml:space="preserve"> odos pažaidos. Pacientams, kuriems yra padidėjusi odos vėžio atsiradimo rizika, rekomenduojama periodiškai įvertinti odos būklę.</w:t>
      </w:r>
    </w:p>
    <w:p w14:paraId="3B55B349" w14:textId="77777777" w:rsidR="009A58E8" w:rsidRPr="003F564F" w:rsidRDefault="009A58E8" w:rsidP="007D46E7">
      <w:pPr>
        <w:tabs>
          <w:tab w:val="left" w:pos="567"/>
        </w:tabs>
        <w:spacing w:line="260" w:lineRule="exact"/>
        <w:rPr>
          <w:sz w:val="22"/>
        </w:rPr>
      </w:pPr>
    </w:p>
    <w:p w14:paraId="32D7B393" w14:textId="78D5C0E3" w:rsidR="007D46E7" w:rsidRPr="003F564F" w:rsidRDefault="007D46E7" w:rsidP="007D46E7">
      <w:pPr>
        <w:tabs>
          <w:tab w:val="left" w:pos="567"/>
        </w:tabs>
        <w:spacing w:line="260" w:lineRule="exact"/>
        <w:rPr>
          <w:sz w:val="22"/>
          <w:u w:val="single"/>
        </w:rPr>
      </w:pPr>
      <w:r w:rsidRPr="003F564F">
        <w:rPr>
          <w:sz w:val="22"/>
          <w:u w:val="single"/>
        </w:rPr>
        <w:t>Ypatingos populiacijos</w:t>
      </w:r>
    </w:p>
    <w:p w14:paraId="61261F5F" w14:textId="77777777" w:rsidR="009A58E8" w:rsidRPr="003F564F" w:rsidRDefault="009A58E8" w:rsidP="007D46E7">
      <w:pPr>
        <w:tabs>
          <w:tab w:val="left" w:pos="567"/>
        </w:tabs>
        <w:spacing w:line="260" w:lineRule="exact"/>
        <w:rPr>
          <w:sz w:val="22"/>
        </w:rPr>
      </w:pPr>
    </w:p>
    <w:p w14:paraId="1810DA4F" w14:textId="61CBC3DF" w:rsidR="007D46E7" w:rsidRPr="003F564F" w:rsidRDefault="007D46E7" w:rsidP="007D46E7">
      <w:pPr>
        <w:tabs>
          <w:tab w:val="left" w:pos="567"/>
        </w:tabs>
        <w:spacing w:line="260" w:lineRule="exact"/>
        <w:rPr>
          <w:i/>
          <w:iCs/>
          <w:sz w:val="22"/>
        </w:rPr>
      </w:pPr>
      <w:r w:rsidRPr="003F564F">
        <w:rPr>
          <w:i/>
          <w:iCs/>
          <w:sz w:val="22"/>
        </w:rPr>
        <w:t>Pacientams, kurių inkstų funkcija sutrikusi</w:t>
      </w:r>
    </w:p>
    <w:p w14:paraId="528F0033" w14:textId="288DB016" w:rsidR="007D46E7" w:rsidRPr="003F564F" w:rsidRDefault="007D46E7" w:rsidP="007D46E7">
      <w:pPr>
        <w:tabs>
          <w:tab w:val="left" w:pos="567"/>
        </w:tabs>
        <w:spacing w:line="260" w:lineRule="exact"/>
        <w:rPr>
          <w:sz w:val="22"/>
        </w:rPr>
      </w:pPr>
      <w:r w:rsidRPr="003F564F">
        <w:rPr>
          <w:sz w:val="22"/>
        </w:rPr>
        <w:t xml:space="preserve">Pacientams, kuriems yra sunkus inkstų funkcijos sutrikimas, pradinę </w:t>
      </w:r>
      <w:proofErr w:type="spellStart"/>
      <w:r w:rsidR="009A58E8" w:rsidRPr="003F564F">
        <w:rPr>
          <w:sz w:val="22"/>
          <w:szCs w:val="24"/>
        </w:rPr>
        <w:t>ruksolitinibo</w:t>
      </w:r>
      <w:proofErr w:type="spellEnd"/>
      <w:r w:rsidR="009A58E8" w:rsidRPr="003F564F">
        <w:rPr>
          <w:sz w:val="22"/>
          <w:szCs w:val="24"/>
        </w:rPr>
        <w:t xml:space="preserve"> </w:t>
      </w:r>
      <w:r w:rsidRPr="003F564F">
        <w:rPr>
          <w:sz w:val="22"/>
        </w:rPr>
        <w:t>dozę reikia mažinti.</w:t>
      </w:r>
      <w:r w:rsidR="009A58E8" w:rsidRPr="003F564F">
        <w:rPr>
          <w:sz w:val="22"/>
        </w:rPr>
        <w:t xml:space="preserve"> </w:t>
      </w:r>
      <w:r w:rsidRPr="003F564F">
        <w:rPr>
          <w:sz w:val="22"/>
        </w:rPr>
        <w:t>Pacientams, kurie sega galutinės stadijos inkstų liga ir kuriems atliekamos hemodializės procedūros, rekomenduojama: MF sergantiems pacientams pradinė vaistinio preparato dozė nustatoma pagal trombocitų skaičių, tuo tarpu TP sergantiems pacientams rekomenduojama pradinė dozė yra viena 10</w:t>
      </w:r>
      <w:r w:rsidR="009A58E8" w:rsidRPr="003F564F">
        <w:rPr>
          <w:sz w:val="22"/>
        </w:rPr>
        <w:t> </w:t>
      </w:r>
      <w:r w:rsidRPr="003F564F">
        <w:rPr>
          <w:sz w:val="22"/>
        </w:rPr>
        <w:t>mg dozė per parą (žr.</w:t>
      </w:r>
      <w:r w:rsidR="009A58E8" w:rsidRPr="003F564F">
        <w:rPr>
          <w:sz w:val="22"/>
        </w:rPr>
        <w:t> </w:t>
      </w:r>
      <w:r w:rsidRPr="003F564F">
        <w:rPr>
          <w:sz w:val="22"/>
        </w:rPr>
        <w:t>4.2</w:t>
      </w:r>
      <w:r w:rsidR="009A58E8" w:rsidRPr="003F564F">
        <w:rPr>
          <w:sz w:val="22"/>
        </w:rPr>
        <w:t> </w:t>
      </w:r>
      <w:r w:rsidRPr="003F564F">
        <w:rPr>
          <w:sz w:val="22"/>
        </w:rPr>
        <w:t>skyrių). Kitas dozes (MF sergantiems pacientams skiriant vieną kartą vartojamą 20</w:t>
      </w:r>
      <w:r w:rsidR="009A58E8" w:rsidRPr="003F564F">
        <w:rPr>
          <w:sz w:val="22"/>
        </w:rPr>
        <w:t> </w:t>
      </w:r>
      <w:r w:rsidRPr="003F564F">
        <w:rPr>
          <w:sz w:val="22"/>
        </w:rPr>
        <w:t>mg dozę arba kas 12</w:t>
      </w:r>
      <w:r w:rsidR="009A58E8" w:rsidRPr="003F564F">
        <w:rPr>
          <w:sz w:val="22"/>
        </w:rPr>
        <w:t> </w:t>
      </w:r>
      <w:r w:rsidRPr="003F564F">
        <w:rPr>
          <w:sz w:val="22"/>
        </w:rPr>
        <w:t>valandų vartojamas dvi dozes po 10</w:t>
      </w:r>
      <w:r w:rsidR="009A58E8" w:rsidRPr="003F564F">
        <w:rPr>
          <w:sz w:val="22"/>
        </w:rPr>
        <w:t> </w:t>
      </w:r>
      <w:r w:rsidRPr="003F564F">
        <w:rPr>
          <w:sz w:val="22"/>
        </w:rPr>
        <w:t>mg ar TP sergantiems pacientams skiriant vieną kartą vartojamą 10</w:t>
      </w:r>
      <w:r w:rsidR="009A58E8" w:rsidRPr="003F564F">
        <w:rPr>
          <w:sz w:val="22"/>
        </w:rPr>
        <w:t> </w:t>
      </w:r>
      <w:r w:rsidRPr="003F564F">
        <w:rPr>
          <w:sz w:val="22"/>
        </w:rPr>
        <w:t>mg dozę arba kas 12</w:t>
      </w:r>
      <w:r w:rsidR="009A58E8" w:rsidRPr="003F564F">
        <w:rPr>
          <w:sz w:val="22"/>
        </w:rPr>
        <w:t> </w:t>
      </w:r>
      <w:r w:rsidRPr="003F564F">
        <w:rPr>
          <w:sz w:val="22"/>
        </w:rPr>
        <w:t>valandų vartojamas dvi dozes po 5</w:t>
      </w:r>
      <w:r w:rsidR="009A58E8" w:rsidRPr="003F564F">
        <w:rPr>
          <w:sz w:val="22"/>
        </w:rPr>
        <w:t> </w:t>
      </w:r>
      <w:r w:rsidRPr="003F564F">
        <w:rPr>
          <w:sz w:val="22"/>
        </w:rPr>
        <w:t>mg) reikia paskirti tik hemodializės atlikimo dienomis po kiekvienos dializės procedūros.</w:t>
      </w:r>
      <w:r w:rsidR="009A58E8" w:rsidRPr="003F564F">
        <w:rPr>
          <w:sz w:val="22"/>
        </w:rPr>
        <w:t xml:space="preserve"> </w:t>
      </w:r>
      <w:r w:rsidRPr="003F564F">
        <w:rPr>
          <w:sz w:val="22"/>
        </w:rPr>
        <w:t xml:space="preserve">Papildomai vaistinio preparato dozę koreguoti reikia tik atidžiai stebint vaistinio preparato saugumą ir veiksmingumą. </w:t>
      </w:r>
      <w:proofErr w:type="spellStart"/>
      <w:r w:rsidRPr="003F564F">
        <w:rPr>
          <w:sz w:val="22"/>
        </w:rPr>
        <w:t>TpŠL</w:t>
      </w:r>
      <w:proofErr w:type="spellEnd"/>
      <w:r w:rsidRPr="003F564F">
        <w:rPr>
          <w:sz w:val="22"/>
        </w:rPr>
        <w:t xml:space="preserve"> sergantiems pacientams, kuriems yra sunkus inkstų funkcijos sutrikimas, pradinę </w:t>
      </w:r>
      <w:proofErr w:type="spellStart"/>
      <w:r w:rsidR="009A58E8" w:rsidRPr="003F564F">
        <w:rPr>
          <w:sz w:val="22"/>
          <w:szCs w:val="24"/>
        </w:rPr>
        <w:t>ruksolitinibo</w:t>
      </w:r>
      <w:proofErr w:type="spellEnd"/>
      <w:r w:rsidR="009A58E8" w:rsidRPr="003F564F">
        <w:rPr>
          <w:sz w:val="22"/>
          <w:szCs w:val="24"/>
        </w:rPr>
        <w:t xml:space="preserve"> </w:t>
      </w:r>
      <w:r w:rsidRPr="003F564F">
        <w:rPr>
          <w:sz w:val="22"/>
        </w:rPr>
        <w:t>dozę reikia sumažinti maždaug 50</w:t>
      </w:r>
      <w:r w:rsidR="009A58E8" w:rsidRPr="003F564F">
        <w:rPr>
          <w:sz w:val="22"/>
        </w:rPr>
        <w:t> </w:t>
      </w:r>
      <w:r w:rsidRPr="003F564F">
        <w:rPr>
          <w:sz w:val="22"/>
        </w:rPr>
        <w:t>% (žr.</w:t>
      </w:r>
      <w:r w:rsidR="009A58E8" w:rsidRPr="003F564F">
        <w:rPr>
          <w:sz w:val="22"/>
        </w:rPr>
        <w:t> </w:t>
      </w:r>
      <w:r w:rsidRPr="003F564F">
        <w:rPr>
          <w:sz w:val="22"/>
        </w:rPr>
        <w:t>4.2 ir 5.2</w:t>
      </w:r>
      <w:r w:rsidR="009A58E8" w:rsidRPr="003F564F">
        <w:rPr>
          <w:sz w:val="22"/>
        </w:rPr>
        <w:t> </w:t>
      </w:r>
      <w:r w:rsidRPr="003F564F">
        <w:rPr>
          <w:sz w:val="22"/>
        </w:rPr>
        <w:t>skyrius).</w:t>
      </w:r>
    </w:p>
    <w:p w14:paraId="07E3CDE7" w14:textId="77777777" w:rsidR="009A58E8" w:rsidRPr="003F564F" w:rsidRDefault="009A58E8" w:rsidP="007D46E7">
      <w:pPr>
        <w:tabs>
          <w:tab w:val="left" w:pos="567"/>
        </w:tabs>
        <w:spacing w:line="260" w:lineRule="exact"/>
        <w:rPr>
          <w:sz w:val="22"/>
        </w:rPr>
      </w:pPr>
    </w:p>
    <w:p w14:paraId="53079119" w14:textId="0E8E65CB" w:rsidR="007D46E7" w:rsidRPr="003F564F" w:rsidRDefault="007D46E7" w:rsidP="007D46E7">
      <w:pPr>
        <w:tabs>
          <w:tab w:val="left" w:pos="567"/>
        </w:tabs>
        <w:spacing w:line="260" w:lineRule="exact"/>
        <w:rPr>
          <w:i/>
          <w:iCs/>
          <w:sz w:val="22"/>
        </w:rPr>
      </w:pPr>
      <w:r w:rsidRPr="003F564F">
        <w:rPr>
          <w:i/>
          <w:iCs/>
          <w:sz w:val="22"/>
        </w:rPr>
        <w:t>Pacientams, kurių kepenų funkcija sutrikusi</w:t>
      </w:r>
    </w:p>
    <w:p w14:paraId="31DA50A4" w14:textId="7F2C23EE" w:rsidR="007D46E7" w:rsidRPr="003F564F" w:rsidRDefault="007D46E7" w:rsidP="007D46E7">
      <w:pPr>
        <w:tabs>
          <w:tab w:val="left" w:pos="567"/>
        </w:tabs>
        <w:spacing w:line="260" w:lineRule="exact"/>
        <w:rPr>
          <w:sz w:val="22"/>
        </w:rPr>
      </w:pPr>
      <w:r w:rsidRPr="003F564F">
        <w:rPr>
          <w:sz w:val="22"/>
        </w:rPr>
        <w:t xml:space="preserve">MF ir TP sergantiems pacientams, kuriems yra kepenų funkcijos sutrikimas, pradinę </w:t>
      </w:r>
      <w:proofErr w:type="spellStart"/>
      <w:r w:rsidR="009A58E8" w:rsidRPr="003F564F">
        <w:rPr>
          <w:sz w:val="22"/>
          <w:szCs w:val="24"/>
        </w:rPr>
        <w:t>ruksolitinibo</w:t>
      </w:r>
      <w:proofErr w:type="spellEnd"/>
      <w:r w:rsidR="009A58E8" w:rsidRPr="003F564F">
        <w:rPr>
          <w:sz w:val="22"/>
          <w:szCs w:val="24"/>
        </w:rPr>
        <w:t xml:space="preserve"> </w:t>
      </w:r>
      <w:r w:rsidRPr="003F564F">
        <w:rPr>
          <w:sz w:val="22"/>
        </w:rPr>
        <w:t>dozę reikia sumažinti maždaug 50</w:t>
      </w:r>
      <w:r w:rsidR="009A58E8" w:rsidRPr="003F564F">
        <w:rPr>
          <w:sz w:val="22"/>
        </w:rPr>
        <w:t> </w:t>
      </w:r>
      <w:r w:rsidRPr="003F564F">
        <w:rPr>
          <w:sz w:val="22"/>
        </w:rPr>
        <w:t xml:space="preserve">%. Vėliau skiriamas vaistinio preparato dozes reikia koreguoti atsižvelgiant į vaistinio preparato saugumo ir veiksmingumo duomenis. </w:t>
      </w:r>
      <w:proofErr w:type="spellStart"/>
      <w:r w:rsidRPr="003F564F">
        <w:rPr>
          <w:sz w:val="22"/>
        </w:rPr>
        <w:t>TpŠL</w:t>
      </w:r>
      <w:proofErr w:type="spellEnd"/>
      <w:r w:rsidRPr="003F564F">
        <w:rPr>
          <w:sz w:val="22"/>
        </w:rPr>
        <w:t xml:space="preserve"> sergantiems pacientams, kuriems yra su </w:t>
      </w:r>
      <w:proofErr w:type="spellStart"/>
      <w:r w:rsidRPr="003F564F">
        <w:rPr>
          <w:sz w:val="22"/>
        </w:rPr>
        <w:t>TpŠL</w:t>
      </w:r>
      <w:proofErr w:type="spellEnd"/>
      <w:r w:rsidRPr="003F564F">
        <w:rPr>
          <w:sz w:val="22"/>
        </w:rPr>
        <w:t xml:space="preserve"> nesusijęs kepenų funkcijos sutrikimas, pradinę </w:t>
      </w:r>
      <w:proofErr w:type="spellStart"/>
      <w:r w:rsidR="009A58E8" w:rsidRPr="003F564F">
        <w:rPr>
          <w:sz w:val="22"/>
          <w:szCs w:val="24"/>
        </w:rPr>
        <w:t>ruksolitinibo</w:t>
      </w:r>
      <w:proofErr w:type="spellEnd"/>
      <w:r w:rsidR="009A58E8" w:rsidRPr="003F564F">
        <w:rPr>
          <w:sz w:val="22"/>
          <w:szCs w:val="24"/>
        </w:rPr>
        <w:t xml:space="preserve"> </w:t>
      </w:r>
      <w:r w:rsidRPr="003F564F">
        <w:rPr>
          <w:sz w:val="22"/>
        </w:rPr>
        <w:t>dozę reikia sumažinti maždaug 50</w:t>
      </w:r>
      <w:r w:rsidR="009A58E8" w:rsidRPr="003F564F">
        <w:rPr>
          <w:sz w:val="22"/>
        </w:rPr>
        <w:t> </w:t>
      </w:r>
      <w:r w:rsidRPr="003F564F">
        <w:rPr>
          <w:sz w:val="22"/>
        </w:rPr>
        <w:t>% (žr.</w:t>
      </w:r>
      <w:r w:rsidR="009A58E8" w:rsidRPr="003F564F">
        <w:rPr>
          <w:sz w:val="22"/>
        </w:rPr>
        <w:t> </w:t>
      </w:r>
      <w:r w:rsidRPr="003F564F">
        <w:rPr>
          <w:sz w:val="22"/>
        </w:rPr>
        <w:t>4.2 ir 5.2</w:t>
      </w:r>
      <w:r w:rsidR="009A58E8" w:rsidRPr="003F564F">
        <w:rPr>
          <w:sz w:val="22"/>
        </w:rPr>
        <w:t> </w:t>
      </w:r>
      <w:r w:rsidRPr="003F564F">
        <w:rPr>
          <w:sz w:val="22"/>
        </w:rPr>
        <w:t>skyrius).</w:t>
      </w:r>
    </w:p>
    <w:p w14:paraId="513377F6" w14:textId="77777777" w:rsidR="009A58E8" w:rsidRPr="003F564F" w:rsidRDefault="009A58E8" w:rsidP="007D46E7">
      <w:pPr>
        <w:tabs>
          <w:tab w:val="left" w:pos="567"/>
        </w:tabs>
        <w:spacing w:line="260" w:lineRule="exact"/>
        <w:rPr>
          <w:sz w:val="22"/>
        </w:rPr>
      </w:pPr>
    </w:p>
    <w:p w14:paraId="52FE876D" w14:textId="409753A0" w:rsidR="007D46E7" w:rsidRPr="003F564F" w:rsidRDefault="007D46E7" w:rsidP="007D46E7">
      <w:pPr>
        <w:tabs>
          <w:tab w:val="left" w:pos="567"/>
        </w:tabs>
        <w:spacing w:line="260" w:lineRule="exact"/>
        <w:rPr>
          <w:sz w:val="22"/>
        </w:rPr>
      </w:pPr>
      <w:r w:rsidRPr="003F564F">
        <w:rPr>
          <w:sz w:val="22"/>
        </w:rPr>
        <w:t xml:space="preserve">Pacientams, kuriems kepenų funkcijos sutrikimas diagnozuojamas </w:t>
      </w:r>
      <w:proofErr w:type="spellStart"/>
      <w:r w:rsidRPr="003F564F">
        <w:rPr>
          <w:sz w:val="22"/>
        </w:rPr>
        <w:t>ruksolitinibo</w:t>
      </w:r>
      <w:proofErr w:type="spellEnd"/>
      <w:r w:rsidRPr="003F564F">
        <w:rPr>
          <w:sz w:val="22"/>
        </w:rPr>
        <w:t xml:space="preserve"> vartojimo metu, reikia reguliariai atlikti bendrąjį kraujo tyrimą ir nustatyti baltųjų kraujo ląstelių formulę mažiausiai kas vieną ar dvi savaites per pirmąsias 6</w:t>
      </w:r>
      <w:r w:rsidR="009A58E8" w:rsidRPr="003F564F">
        <w:rPr>
          <w:sz w:val="22"/>
        </w:rPr>
        <w:t> </w:t>
      </w:r>
      <w:r w:rsidRPr="003F564F">
        <w:rPr>
          <w:sz w:val="22"/>
        </w:rPr>
        <w:t xml:space="preserve">savaites nuo </w:t>
      </w:r>
      <w:proofErr w:type="spellStart"/>
      <w:r w:rsidRPr="003F564F">
        <w:rPr>
          <w:sz w:val="22"/>
        </w:rPr>
        <w:t>ruksolitinibo</w:t>
      </w:r>
      <w:proofErr w:type="spellEnd"/>
      <w:r w:rsidRPr="003F564F">
        <w:rPr>
          <w:sz w:val="22"/>
        </w:rPr>
        <w:t xml:space="preserve"> vartojimo pradžios, o vėliau kaip kliniškai reikalinga iki tol, kol kepenų funkcijos rodikliai ir kraujo ląstelių skaičius stabilizuosis.</w:t>
      </w:r>
    </w:p>
    <w:p w14:paraId="3CEE53F4" w14:textId="77777777" w:rsidR="009A58E8" w:rsidRPr="003F564F" w:rsidRDefault="009A58E8" w:rsidP="007D46E7">
      <w:pPr>
        <w:tabs>
          <w:tab w:val="left" w:pos="567"/>
        </w:tabs>
        <w:spacing w:line="260" w:lineRule="exact"/>
        <w:rPr>
          <w:sz w:val="22"/>
        </w:rPr>
      </w:pPr>
    </w:p>
    <w:p w14:paraId="099E44EE" w14:textId="37185E81" w:rsidR="007D46E7" w:rsidRPr="003F564F" w:rsidRDefault="007D46E7" w:rsidP="007D46E7">
      <w:pPr>
        <w:tabs>
          <w:tab w:val="left" w:pos="567"/>
        </w:tabs>
        <w:spacing w:line="260" w:lineRule="exact"/>
        <w:rPr>
          <w:sz w:val="22"/>
          <w:u w:val="single"/>
        </w:rPr>
      </w:pPr>
      <w:r w:rsidRPr="003F564F">
        <w:rPr>
          <w:sz w:val="22"/>
          <w:u w:val="single"/>
        </w:rPr>
        <w:lastRenderedPageBreak/>
        <w:t>Vaistinių preparatų sąveika</w:t>
      </w:r>
    </w:p>
    <w:p w14:paraId="0909CF4D" w14:textId="77777777" w:rsidR="009A58E8" w:rsidRPr="003F564F" w:rsidRDefault="009A58E8" w:rsidP="007D46E7">
      <w:pPr>
        <w:tabs>
          <w:tab w:val="left" w:pos="567"/>
        </w:tabs>
        <w:spacing w:line="260" w:lineRule="exact"/>
        <w:rPr>
          <w:sz w:val="22"/>
        </w:rPr>
      </w:pPr>
    </w:p>
    <w:p w14:paraId="5BF7BC2C" w14:textId="4D079AFA" w:rsidR="007D46E7" w:rsidRPr="003F564F" w:rsidRDefault="007D46E7" w:rsidP="007D46E7">
      <w:pPr>
        <w:tabs>
          <w:tab w:val="left" w:pos="567"/>
        </w:tabs>
        <w:spacing w:line="260" w:lineRule="exact"/>
        <w:rPr>
          <w:sz w:val="22"/>
        </w:rPr>
      </w:pPr>
      <w:r w:rsidRPr="003F564F">
        <w:rPr>
          <w:sz w:val="22"/>
        </w:rPr>
        <w:t xml:space="preserve">Tais atvejais, kai </w:t>
      </w:r>
      <w:proofErr w:type="spellStart"/>
      <w:r w:rsidR="009A58E8" w:rsidRPr="003F564F">
        <w:rPr>
          <w:sz w:val="22"/>
          <w:szCs w:val="24"/>
        </w:rPr>
        <w:t>ruksolitinibo</w:t>
      </w:r>
      <w:proofErr w:type="spellEnd"/>
      <w:r w:rsidR="009A58E8" w:rsidRPr="003F564F">
        <w:rPr>
          <w:sz w:val="22"/>
          <w:szCs w:val="24"/>
        </w:rPr>
        <w:t xml:space="preserve"> </w:t>
      </w:r>
      <w:r w:rsidRPr="003F564F">
        <w:rPr>
          <w:sz w:val="22"/>
        </w:rPr>
        <w:t xml:space="preserve">reikia skirti kartu su stipriais CYP3A4 </w:t>
      </w:r>
      <w:proofErr w:type="spellStart"/>
      <w:r w:rsidRPr="003F564F">
        <w:rPr>
          <w:sz w:val="22"/>
        </w:rPr>
        <w:t>izofermento</w:t>
      </w:r>
      <w:proofErr w:type="spellEnd"/>
      <w:r w:rsidRPr="003F564F">
        <w:rPr>
          <w:sz w:val="22"/>
        </w:rPr>
        <w:t xml:space="preserve"> inhibitoriais arba tiek CYP3A4, tiek ir CYP2C9 fermentų inhibitoriais (pvz., </w:t>
      </w:r>
      <w:proofErr w:type="spellStart"/>
      <w:r w:rsidRPr="003F564F">
        <w:rPr>
          <w:sz w:val="22"/>
        </w:rPr>
        <w:t>flukonazolu</w:t>
      </w:r>
      <w:proofErr w:type="spellEnd"/>
      <w:r w:rsidRPr="003F564F">
        <w:rPr>
          <w:sz w:val="22"/>
        </w:rPr>
        <w:t xml:space="preserve">), </w:t>
      </w:r>
      <w:proofErr w:type="spellStart"/>
      <w:r w:rsidR="009A58E8" w:rsidRPr="003F564F">
        <w:rPr>
          <w:sz w:val="22"/>
          <w:szCs w:val="24"/>
        </w:rPr>
        <w:t>ruksolitinibo</w:t>
      </w:r>
      <w:proofErr w:type="spellEnd"/>
      <w:r w:rsidR="009A58E8" w:rsidRPr="003F564F">
        <w:rPr>
          <w:sz w:val="22"/>
          <w:szCs w:val="24"/>
        </w:rPr>
        <w:t xml:space="preserve"> </w:t>
      </w:r>
      <w:r w:rsidRPr="003F564F">
        <w:rPr>
          <w:sz w:val="22"/>
        </w:rPr>
        <w:t>dozę reikia sumažinti maždaug 50</w:t>
      </w:r>
      <w:r w:rsidR="00341469" w:rsidRPr="003F564F">
        <w:rPr>
          <w:sz w:val="22"/>
        </w:rPr>
        <w:t> </w:t>
      </w:r>
      <w:r w:rsidRPr="003F564F">
        <w:rPr>
          <w:sz w:val="22"/>
        </w:rPr>
        <w:t>% ir tokią vartoti du kartus per parą (žr.</w:t>
      </w:r>
      <w:r w:rsidR="00341469" w:rsidRPr="003F564F">
        <w:rPr>
          <w:sz w:val="22"/>
        </w:rPr>
        <w:t> </w:t>
      </w:r>
      <w:r w:rsidRPr="003F564F">
        <w:rPr>
          <w:sz w:val="22"/>
        </w:rPr>
        <w:t>4.2 ir 4.5</w:t>
      </w:r>
      <w:r w:rsidR="00341469" w:rsidRPr="003F564F">
        <w:rPr>
          <w:sz w:val="22"/>
        </w:rPr>
        <w:t> </w:t>
      </w:r>
      <w:r w:rsidRPr="003F564F">
        <w:rPr>
          <w:sz w:val="22"/>
        </w:rPr>
        <w:t>skyrius).</w:t>
      </w:r>
    </w:p>
    <w:p w14:paraId="03A96A9B" w14:textId="77777777" w:rsidR="009A58E8" w:rsidRPr="003F564F" w:rsidRDefault="009A58E8" w:rsidP="007D46E7">
      <w:pPr>
        <w:tabs>
          <w:tab w:val="left" w:pos="567"/>
        </w:tabs>
        <w:spacing w:line="260" w:lineRule="exact"/>
        <w:rPr>
          <w:sz w:val="22"/>
        </w:rPr>
      </w:pPr>
    </w:p>
    <w:p w14:paraId="2C8619D4" w14:textId="48EE93D0" w:rsidR="007D46E7" w:rsidRPr="003F564F" w:rsidRDefault="007D46E7" w:rsidP="007D46E7">
      <w:pPr>
        <w:tabs>
          <w:tab w:val="left" w:pos="567"/>
        </w:tabs>
        <w:spacing w:line="260" w:lineRule="exact"/>
        <w:rPr>
          <w:sz w:val="22"/>
        </w:rPr>
      </w:pPr>
      <w:r w:rsidRPr="003F564F">
        <w:rPr>
          <w:sz w:val="22"/>
        </w:rPr>
        <w:t xml:space="preserve">Kartu skiriant stiprių CYP3A4 inhibitorių arba tiek CYP2C9, tiek CYP3A4 fermentų inhibitorių, rekomenduojama dažniau (pvz., du kartus per savaitę) tirti kraujo rodiklius bei atidžiau stebėti pacientus dėl su </w:t>
      </w:r>
      <w:proofErr w:type="spellStart"/>
      <w:r w:rsidRPr="003F564F">
        <w:rPr>
          <w:sz w:val="22"/>
        </w:rPr>
        <w:t>ruksolitinibo</w:t>
      </w:r>
      <w:proofErr w:type="spellEnd"/>
      <w:r w:rsidRPr="003F564F">
        <w:rPr>
          <w:sz w:val="22"/>
        </w:rPr>
        <w:t xml:space="preserve"> vartojimu susijusių nepageidaujamų reakcijų požymių bei simptomų pasireiškimo.</w:t>
      </w:r>
    </w:p>
    <w:p w14:paraId="0B034A9A" w14:textId="77777777" w:rsidR="009A58E8" w:rsidRPr="003F564F" w:rsidRDefault="009A58E8" w:rsidP="007D46E7">
      <w:pPr>
        <w:tabs>
          <w:tab w:val="left" w:pos="567"/>
        </w:tabs>
        <w:spacing w:line="260" w:lineRule="exact"/>
        <w:rPr>
          <w:sz w:val="22"/>
        </w:rPr>
      </w:pPr>
    </w:p>
    <w:p w14:paraId="1E04C4AB" w14:textId="3CFEB604" w:rsidR="007D46E7" w:rsidRPr="003F564F" w:rsidRDefault="007D46E7" w:rsidP="007D46E7">
      <w:pPr>
        <w:tabs>
          <w:tab w:val="left" w:pos="567"/>
        </w:tabs>
        <w:spacing w:line="260" w:lineRule="exact"/>
        <w:rPr>
          <w:sz w:val="22"/>
        </w:rPr>
      </w:pPr>
      <w:r w:rsidRPr="003F564F">
        <w:rPr>
          <w:sz w:val="22"/>
        </w:rPr>
        <w:t xml:space="preserve">Ląstelių skaičių mažinančių vaistinių preparatų ir </w:t>
      </w:r>
      <w:proofErr w:type="spellStart"/>
      <w:r w:rsidR="009A58E8" w:rsidRPr="003F564F">
        <w:rPr>
          <w:sz w:val="22"/>
          <w:szCs w:val="24"/>
        </w:rPr>
        <w:t>ruksolitinibo</w:t>
      </w:r>
      <w:proofErr w:type="spellEnd"/>
      <w:r w:rsidR="009A58E8" w:rsidRPr="003F564F">
        <w:rPr>
          <w:sz w:val="22"/>
          <w:szCs w:val="24"/>
        </w:rPr>
        <w:t xml:space="preserve"> </w:t>
      </w:r>
      <w:r w:rsidRPr="003F564F">
        <w:rPr>
          <w:sz w:val="22"/>
        </w:rPr>
        <w:t xml:space="preserve">vartojimas kartu buvo susijęs su kontroliuojamomis </w:t>
      </w:r>
      <w:proofErr w:type="spellStart"/>
      <w:r w:rsidRPr="003F564F">
        <w:rPr>
          <w:sz w:val="22"/>
        </w:rPr>
        <w:t>citopenijomis</w:t>
      </w:r>
      <w:proofErr w:type="spellEnd"/>
      <w:r w:rsidRPr="003F564F">
        <w:rPr>
          <w:sz w:val="22"/>
        </w:rPr>
        <w:t xml:space="preserve"> (žr.</w:t>
      </w:r>
      <w:r w:rsidR="00341469" w:rsidRPr="003F564F">
        <w:rPr>
          <w:sz w:val="22"/>
        </w:rPr>
        <w:t> </w:t>
      </w:r>
      <w:r w:rsidRPr="003F564F">
        <w:rPr>
          <w:sz w:val="22"/>
        </w:rPr>
        <w:t>4.2</w:t>
      </w:r>
      <w:r w:rsidR="00341469" w:rsidRPr="003F564F">
        <w:rPr>
          <w:sz w:val="22"/>
        </w:rPr>
        <w:t> </w:t>
      </w:r>
      <w:r w:rsidRPr="003F564F">
        <w:rPr>
          <w:sz w:val="22"/>
        </w:rPr>
        <w:t xml:space="preserve">skyrių dozės koregavimas sergant </w:t>
      </w:r>
      <w:proofErr w:type="spellStart"/>
      <w:r w:rsidRPr="003F564F">
        <w:rPr>
          <w:sz w:val="22"/>
        </w:rPr>
        <w:t>citopenija</w:t>
      </w:r>
      <w:proofErr w:type="spellEnd"/>
      <w:r w:rsidRPr="003F564F">
        <w:rPr>
          <w:sz w:val="22"/>
        </w:rPr>
        <w:t>).</w:t>
      </w:r>
    </w:p>
    <w:p w14:paraId="5821C75E" w14:textId="77777777" w:rsidR="009A58E8" w:rsidRPr="003F564F" w:rsidRDefault="009A58E8" w:rsidP="007D46E7">
      <w:pPr>
        <w:tabs>
          <w:tab w:val="left" w:pos="567"/>
        </w:tabs>
        <w:spacing w:line="260" w:lineRule="exact"/>
        <w:rPr>
          <w:sz w:val="22"/>
        </w:rPr>
      </w:pPr>
    </w:p>
    <w:p w14:paraId="32963FA3" w14:textId="156B8032" w:rsidR="007D46E7" w:rsidRPr="003F564F" w:rsidRDefault="007D46E7" w:rsidP="007D46E7">
      <w:pPr>
        <w:tabs>
          <w:tab w:val="left" w:pos="567"/>
        </w:tabs>
        <w:spacing w:line="260" w:lineRule="exact"/>
        <w:rPr>
          <w:sz w:val="22"/>
          <w:u w:val="single"/>
        </w:rPr>
      </w:pPr>
      <w:r w:rsidRPr="003F564F">
        <w:rPr>
          <w:sz w:val="22"/>
          <w:u w:val="single"/>
        </w:rPr>
        <w:t>Vaistinio preparato vartojimo nutraukimo sukelti reiškiniai</w:t>
      </w:r>
    </w:p>
    <w:p w14:paraId="118F0EEF" w14:textId="77777777" w:rsidR="009A58E8" w:rsidRPr="003F564F" w:rsidRDefault="009A58E8" w:rsidP="007D46E7">
      <w:pPr>
        <w:tabs>
          <w:tab w:val="left" w:pos="567"/>
        </w:tabs>
        <w:spacing w:line="260" w:lineRule="exact"/>
        <w:rPr>
          <w:sz w:val="22"/>
        </w:rPr>
      </w:pPr>
    </w:p>
    <w:p w14:paraId="66D71527" w14:textId="4CB58ACD" w:rsidR="007D46E7" w:rsidRPr="003F564F" w:rsidRDefault="007D46E7" w:rsidP="007D46E7">
      <w:pPr>
        <w:tabs>
          <w:tab w:val="left" w:pos="567"/>
        </w:tabs>
        <w:spacing w:line="260" w:lineRule="exact"/>
        <w:rPr>
          <w:sz w:val="22"/>
        </w:rPr>
      </w:pPr>
      <w:r w:rsidRPr="003F564F">
        <w:rPr>
          <w:sz w:val="22"/>
        </w:rPr>
        <w:t xml:space="preserve">Laikinai ar visam laikui nutraukus </w:t>
      </w:r>
      <w:proofErr w:type="spellStart"/>
      <w:r w:rsidR="009A58E8" w:rsidRPr="003F564F">
        <w:rPr>
          <w:sz w:val="22"/>
          <w:szCs w:val="24"/>
        </w:rPr>
        <w:t>ruksolitinibo</w:t>
      </w:r>
      <w:proofErr w:type="spellEnd"/>
      <w:r w:rsidR="009A58E8" w:rsidRPr="003F564F">
        <w:rPr>
          <w:sz w:val="22"/>
          <w:szCs w:val="24"/>
        </w:rPr>
        <w:t xml:space="preserve"> </w:t>
      </w:r>
      <w:r w:rsidRPr="003F564F">
        <w:rPr>
          <w:sz w:val="22"/>
        </w:rPr>
        <w:t xml:space="preserve">vartojimą, MF simptomai gali vėl atsinaujinti per maždaug vieną savaitę. Buvo atvejų, kai nustojus vartoti </w:t>
      </w:r>
      <w:proofErr w:type="spellStart"/>
      <w:r w:rsidR="009A58E8" w:rsidRPr="003F564F">
        <w:rPr>
          <w:sz w:val="22"/>
          <w:szCs w:val="24"/>
        </w:rPr>
        <w:t>ruksolitinibo</w:t>
      </w:r>
      <w:proofErr w:type="spellEnd"/>
      <w:r w:rsidR="009A58E8" w:rsidRPr="003F564F">
        <w:rPr>
          <w:sz w:val="22"/>
          <w:szCs w:val="24"/>
        </w:rPr>
        <w:t xml:space="preserve"> </w:t>
      </w:r>
      <w:r w:rsidRPr="003F564F">
        <w:rPr>
          <w:sz w:val="22"/>
        </w:rPr>
        <w:t>pacientams pasireikšdavo sunkių nepageidaujamų reiškinių, ypatingai tais atvejais, kai pacientai tuo pat metu sirgo kita sunkia liga.</w:t>
      </w:r>
      <w:r w:rsidR="009A58E8" w:rsidRPr="003F564F">
        <w:rPr>
          <w:sz w:val="22"/>
        </w:rPr>
        <w:t xml:space="preserve"> </w:t>
      </w:r>
      <w:r w:rsidRPr="003F564F">
        <w:rPr>
          <w:sz w:val="22"/>
        </w:rPr>
        <w:t xml:space="preserve">Nenustatyta, ar staigus </w:t>
      </w:r>
      <w:proofErr w:type="spellStart"/>
      <w:r w:rsidR="009A58E8" w:rsidRPr="003F564F">
        <w:rPr>
          <w:sz w:val="22"/>
          <w:szCs w:val="24"/>
        </w:rPr>
        <w:t>ruksolitinibo</w:t>
      </w:r>
      <w:proofErr w:type="spellEnd"/>
      <w:r w:rsidR="009A58E8" w:rsidRPr="003F564F">
        <w:rPr>
          <w:sz w:val="22"/>
          <w:szCs w:val="24"/>
        </w:rPr>
        <w:t xml:space="preserve"> </w:t>
      </w:r>
      <w:r w:rsidRPr="003F564F">
        <w:rPr>
          <w:sz w:val="22"/>
        </w:rPr>
        <w:t xml:space="preserve">vartojimo nutraukimas gali sukelti šiuos sunkius reiškinius. Tais atvejais, kai vaistinio preparato nebūtina nustoti vartoti staiga, galima apsvarstyti laipsniško </w:t>
      </w:r>
      <w:proofErr w:type="spellStart"/>
      <w:r w:rsidR="009A58E8" w:rsidRPr="003F564F">
        <w:rPr>
          <w:sz w:val="22"/>
          <w:szCs w:val="24"/>
        </w:rPr>
        <w:t>ruksolitinibo</w:t>
      </w:r>
      <w:proofErr w:type="spellEnd"/>
      <w:r w:rsidR="009A58E8" w:rsidRPr="003F564F">
        <w:rPr>
          <w:sz w:val="22"/>
          <w:szCs w:val="24"/>
        </w:rPr>
        <w:t xml:space="preserve"> </w:t>
      </w:r>
      <w:r w:rsidRPr="003F564F">
        <w:rPr>
          <w:sz w:val="22"/>
        </w:rPr>
        <w:t>dozės mažinimo ir vaistinio preparato vartojimo nutraukimo galimybę, nors tokio dozės mažinimo nauda neįrodyta.</w:t>
      </w:r>
    </w:p>
    <w:p w14:paraId="3CEB9145" w14:textId="77777777" w:rsidR="007D46E7" w:rsidRPr="003F564F" w:rsidRDefault="007D46E7" w:rsidP="007D46E7">
      <w:pPr>
        <w:tabs>
          <w:tab w:val="left" w:pos="567"/>
        </w:tabs>
        <w:spacing w:line="260" w:lineRule="exact"/>
        <w:rPr>
          <w:sz w:val="22"/>
        </w:rPr>
      </w:pPr>
    </w:p>
    <w:p w14:paraId="6453709A" w14:textId="77777777" w:rsidR="007D46E7" w:rsidRPr="003F564F" w:rsidRDefault="007D46E7" w:rsidP="007D46E7">
      <w:pPr>
        <w:tabs>
          <w:tab w:val="left" w:pos="567"/>
        </w:tabs>
        <w:spacing w:line="260" w:lineRule="exact"/>
        <w:rPr>
          <w:sz w:val="22"/>
          <w:u w:val="single"/>
        </w:rPr>
      </w:pPr>
      <w:r w:rsidRPr="003F564F">
        <w:rPr>
          <w:sz w:val="22"/>
          <w:u w:val="single"/>
        </w:rPr>
        <w:t>Pagalbinės medžiagos, kurių poveikis žinomas</w:t>
      </w:r>
    </w:p>
    <w:p w14:paraId="005E2DF0" w14:textId="77777777" w:rsidR="009A58E8" w:rsidRPr="003F564F" w:rsidRDefault="009A58E8" w:rsidP="007D46E7">
      <w:pPr>
        <w:tabs>
          <w:tab w:val="left" w:pos="567"/>
        </w:tabs>
        <w:spacing w:line="260" w:lineRule="exact"/>
        <w:rPr>
          <w:sz w:val="22"/>
        </w:rPr>
      </w:pPr>
    </w:p>
    <w:p w14:paraId="7E0D2ABA" w14:textId="390B85EC" w:rsidR="007D46E7" w:rsidRPr="003F564F" w:rsidRDefault="008B09E3" w:rsidP="007D46E7">
      <w:pPr>
        <w:tabs>
          <w:tab w:val="left" w:pos="567"/>
        </w:tabs>
        <w:spacing w:line="260" w:lineRule="exact"/>
        <w:rPr>
          <w:sz w:val="22"/>
        </w:rPr>
      </w:pPr>
      <w:proofErr w:type="spellStart"/>
      <w:r>
        <w:rPr>
          <w:sz w:val="22"/>
        </w:rPr>
        <w:t>Ruxolitinib</w:t>
      </w:r>
      <w:proofErr w:type="spellEnd"/>
      <w:r>
        <w:rPr>
          <w:sz w:val="22"/>
        </w:rPr>
        <w:t xml:space="preserve"> </w:t>
      </w:r>
      <w:proofErr w:type="spellStart"/>
      <w:r>
        <w:rPr>
          <w:sz w:val="22"/>
        </w:rPr>
        <w:t>Sandoz</w:t>
      </w:r>
      <w:proofErr w:type="spellEnd"/>
      <w:r w:rsidR="007D46E7" w:rsidRPr="003F564F">
        <w:rPr>
          <w:sz w:val="22"/>
        </w:rPr>
        <w:t xml:space="preserve"> sudėtyje yra laktozės </w:t>
      </w:r>
      <w:proofErr w:type="spellStart"/>
      <w:r w:rsidR="007D46E7" w:rsidRPr="003F564F">
        <w:rPr>
          <w:sz w:val="22"/>
        </w:rPr>
        <w:t>monohidrato</w:t>
      </w:r>
      <w:proofErr w:type="spellEnd"/>
      <w:r w:rsidR="007D46E7" w:rsidRPr="003F564F">
        <w:rPr>
          <w:sz w:val="22"/>
        </w:rPr>
        <w:t xml:space="preserve">. Šio vaistinio preparato negalima vartoti pacientams, kuriems nustatytas retas paveldimas sutrikimas - </w:t>
      </w:r>
      <w:proofErr w:type="spellStart"/>
      <w:r w:rsidR="007D46E7" w:rsidRPr="003F564F">
        <w:rPr>
          <w:sz w:val="22"/>
        </w:rPr>
        <w:t>galaktozės</w:t>
      </w:r>
      <w:proofErr w:type="spellEnd"/>
      <w:r w:rsidR="007D46E7" w:rsidRPr="003F564F">
        <w:rPr>
          <w:sz w:val="22"/>
        </w:rPr>
        <w:t xml:space="preserve"> netoleravimas, visiškas laktazės stygius arba gliukozės ir </w:t>
      </w:r>
      <w:proofErr w:type="spellStart"/>
      <w:r w:rsidR="007D46E7" w:rsidRPr="003F564F">
        <w:rPr>
          <w:sz w:val="22"/>
        </w:rPr>
        <w:t>galaktozės</w:t>
      </w:r>
      <w:proofErr w:type="spellEnd"/>
      <w:r w:rsidR="007D46E7" w:rsidRPr="003F564F">
        <w:rPr>
          <w:sz w:val="22"/>
        </w:rPr>
        <w:t xml:space="preserve"> </w:t>
      </w:r>
      <w:proofErr w:type="spellStart"/>
      <w:r w:rsidR="007D46E7" w:rsidRPr="003F564F">
        <w:rPr>
          <w:sz w:val="22"/>
        </w:rPr>
        <w:t>malabsorbcija</w:t>
      </w:r>
      <w:proofErr w:type="spellEnd"/>
      <w:r w:rsidR="007D46E7" w:rsidRPr="003F564F">
        <w:rPr>
          <w:sz w:val="22"/>
        </w:rPr>
        <w:t>.</w:t>
      </w:r>
    </w:p>
    <w:p w14:paraId="754CD8A7" w14:textId="77777777" w:rsidR="00341469" w:rsidRPr="003F564F" w:rsidRDefault="00341469" w:rsidP="007D46E7">
      <w:pPr>
        <w:tabs>
          <w:tab w:val="left" w:pos="567"/>
        </w:tabs>
        <w:spacing w:line="260" w:lineRule="exact"/>
        <w:rPr>
          <w:sz w:val="22"/>
        </w:rPr>
      </w:pPr>
    </w:p>
    <w:p w14:paraId="64FC6E48" w14:textId="4A193A75" w:rsidR="007D46E7" w:rsidRPr="003F564F" w:rsidRDefault="007D46E7">
      <w:pPr>
        <w:tabs>
          <w:tab w:val="left" w:pos="567"/>
        </w:tabs>
        <w:spacing w:line="260" w:lineRule="exact"/>
        <w:rPr>
          <w:sz w:val="22"/>
        </w:rPr>
      </w:pPr>
      <w:r w:rsidRPr="003F564F">
        <w:rPr>
          <w:sz w:val="22"/>
        </w:rPr>
        <w:t>Šio vaistinio preparato tabletėje yra mažiau kaip 1</w:t>
      </w:r>
      <w:r w:rsidR="00341469" w:rsidRPr="003F564F">
        <w:rPr>
          <w:sz w:val="22"/>
        </w:rPr>
        <w:t> </w:t>
      </w:r>
      <w:proofErr w:type="spellStart"/>
      <w:r w:rsidRPr="003F564F">
        <w:rPr>
          <w:sz w:val="22"/>
        </w:rPr>
        <w:t>mmol</w:t>
      </w:r>
      <w:proofErr w:type="spellEnd"/>
      <w:r w:rsidRPr="003F564F">
        <w:rPr>
          <w:sz w:val="22"/>
        </w:rPr>
        <w:t xml:space="preserve"> (23</w:t>
      </w:r>
      <w:r w:rsidR="00341469" w:rsidRPr="003F564F">
        <w:rPr>
          <w:sz w:val="22"/>
        </w:rPr>
        <w:t> </w:t>
      </w:r>
      <w:r w:rsidRPr="003F564F">
        <w:rPr>
          <w:sz w:val="22"/>
        </w:rPr>
        <w:t>mg) natrio, t. y. jis beveik neturi reikšmės.</w:t>
      </w:r>
    </w:p>
    <w:p w14:paraId="2F7D50A3" w14:textId="77777777" w:rsidR="007D46E7" w:rsidRPr="003F564F" w:rsidRDefault="007D46E7">
      <w:pPr>
        <w:tabs>
          <w:tab w:val="left" w:pos="567"/>
        </w:tabs>
        <w:spacing w:line="260" w:lineRule="exact"/>
        <w:rPr>
          <w:sz w:val="22"/>
          <w:szCs w:val="24"/>
        </w:rPr>
      </w:pPr>
    </w:p>
    <w:p w14:paraId="63CE5F2D" w14:textId="77777777" w:rsidR="008D3B35" w:rsidRPr="003F564F" w:rsidRDefault="00AB4978">
      <w:pPr>
        <w:keepNext/>
        <w:tabs>
          <w:tab w:val="left" w:pos="567"/>
        </w:tabs>
        <w:spacing w:line="260" w:lineRule="exact"/>
        <w:jc w:val="both"/>
        <w:outlineLvl w:val="3"/>
        <w:rPr>
          <w:b/>
          <w:bCs/>
          <w:sz w:val="22"/>
          <w:szCs w:val="28"/>
          <w:lang w:eastAsia="x-none"/>
        </w:rPr>
      </w:pPr>
      <w:r w:rsidRPr="003F564F">
        <w:rPr>
          <w:b/>
          <w:bCs/>
          <w:sz w:val="22"/>
          <w:szCs w:val="28"/>
          <w:lang w:eastAsia="x-none"/>
        </w:rPr>
        <w:t>4.5</w:t>
      </w:r>
      <w:r w:rsidRPr="003F564F">
        <w:rPr>
          <w:b/>
          <w:bCs/>
          <w:sz w:val="22"/>
          <w:szCs w:val="28"/>
          <w:lang w:eastAsia="x-none"/>
        </w:rPr>
        <w:tab/>
        <w:t>Sąveika su kitais vaistiniais preparatais ir kitokia sąveika</w:t>
      </w:r>
    </w:p>
    <w:p w14:paraId="7F262E11" w14:textId="77777777" w:rsidR="008D3B35" w:rsidRPr="003F564F" w:rsidRDefault="008D3B35">
      <w:pPr>
        <w:tabs>
          <w:tab w:val="left" w:pos="567"/>
        </w:tabs>
        <w:spacing w:line="260" w:lineRule="exact"/>
        <w:rPr>
          <w:sz w:val="22"/>
          <w:szCs w:val="24"/>
        </w:rPr>
      </w:pPr>
    </w:p>
    <w:p w14:paraId="51FDECBD" w14:textId="77777777" w:rsidR="00341469" w:rsidRPr="003F564F" w:rsidRDefault="00341469" w:rsidP="00341469">
      <w:pPr>
        <w:tabs>
          <w:tab w:val="left" w:pos="567"/>
        </w:tabs>
        <w:spacing w:line="260" w:lineRule="exact"/>
        <w:rPr>
          <w:sz w:val="22"/>
          <w:szCs w:val="24"/>
        </w:rPr>
      </w:pPr>
      <w:r w:rsidRPr="003F564F">
        <w:rPr>
          <w:sz w:val="22"/>
          <w:szCs w:val="24"/>
        </w:rPr>
        <w:t>Sąveikos tyrimai atlikti tik suaugusiesiems.</w:t>
      </w:r>
    </w:p>
    <w:p w14:paraId="0243C701" w14:textId="77777777" w:rsidR="00341469" w:rsidRPr="003F564F" w:rsidRDefault="00341469" w:rsidP="00341469">
      <w:pPr>
        <w:tabs>
          <w:tab w:val="left" w:pos="567"/>
        </w:tabs>
        <w:spacing w:line="260" w:lineRule="exact"/>
        <w:rPr>
          <w:sz w:val="22"/>
          <w:szCs w:val="24"/>
        </w:rPr>
      </w:pPr>
    </w:p>
    <w:p w14:paraId="54B74DC3" w14:textId="2828865D" w:rsidR="00341469" w:rsidRPr="003F564F" w:rsidRDefault="00341469" w:rsidP="00341469">
      <w:pPr>
        <w:tabs>
          <w:tab w:val="left" w:pos="567"/>
        </w:tabs>
        <w:spacing w:line="260" w:lineRule="exact"/>
        <w:rPr>
          <w:sz w:val="22"/>
          <w:szCs w:val="24"/>
        </w:rPr>
      </w:pPr>
      <w:proofErr w:type="spellStart"/>
      <w:r w:rsidRPr="003F564F">
        <w:rPr>
          <w:sz w:val="22"/>
          <w:szCs w:val="24"/>
        </w:rPr>
        <w:t>Ruksolitinibas</w:t>
      </w:r>
      <w:proofErr w:type="spellEnd"/>
      <w:r w:rsidRPr="003F564F">
        <w:rPr>
          <w:sz w:val="22"/>
          <w:szCs w:val="24"/>
        </w:rPr>
        <w:t xml:space="preserve"> eliminuojamas jį </w:t>
      </w:r>
      <w:proofErr w:type="spellStart"/>
      <w:r w:rsidRPr="003F564F">
        <w:rPr>
          <w:sz w:val="22"/>
          <w:szCs w:val="24"/>
        </w:rPr>
        <w:t>metabolizuojant</w:t>
      </w:r>
      <w:proofErr w:type="spellEnd"/>
      <w:r w:rsidRPr="003F564F">
        <w:rPr>
          <w:sz w:val="22"/>
          <w:szCs w:val="24"/>
        </w:rPr>
        <w:t xml:space="preserve">; šį metabolizmą katalizuoja CYP3A4 ir CYP2C9 fermentai. Taigi šiuos fermentus slopinantys vaistiniai preparatai gali padidinti </w:t>
      </w:r>
      <w:proofErr w:type="spellStart"/>
      <w:r w:rsidRPr="003F564F">
        <w:rPr>
          <w:sz w:val="22"/>
          <w:szCs w:val="24"/>
        </w:rPr>
        <w:t>ruksolitinibo</w:t>
      </w:r>
      <w:proofErr w:type="spellEnd"/>
      <w:r w:rsidRPr="003F564F">
        <w:rPr>
          <w:sz w:val="22"/>
          <w:szCs w:val="24"/>
        </w:rPr>
        <w:t xml:space="preserve"> ekspoziciją.</w:t>
      </w:r>
    </w:p>
    <w:p w14:paraId="5A2A4A28" w14:textId="77777777" w:rsidR="00341469" w:rsidRPr="003F564F" w:rsidRDefault="00341469" w:rsidP="00341469">
      <w:pPr>
        <w:tabs>
          <w:tab w:val="left" w:pos="567"/>
        </w:tabs>
        <w:spacing w:line="260" w:lineRule="exact"/>
        <w:rPr>
          <w:sz w:val="22"/>
          <w:szCs w:val="24"/>
        </w:rPr>
      </w:pPr>
    </w:p>
    <w:p w14:paraId="172F02D7" w14:textId="35B775AD" w:rsidR="00341469" w:rsidRPr="003F564F" w:rsidRDefault="00341469" w:rsidP="00341469">
      <w:pPr>
        <w:tabs>
          <w:tab w:val="left" w:pos="567"/>
        </w:tabs>
        <w:spacing w:line="260" w:lineRule="exact"/>
        <w:rPr>
          <w:sz w:val="22"/>
          <w:szCs w:val="24"/>
          <w:u w:val="single"/>
        </w:rPr>
      </w:pPr>
      <w:r w:rsidRPr="003F564F">
        <w:rPr>
          <w:sz w:val="22"/>
          <w:szCs w:val="24"/>
          <w:u w:val="single"/>
        </w:rPr>
        <w:t xml:space="preserve">Vaistinių preparatų sąveika, dėl kurios reikia mažinti </w:t>
      </w:r>
      <w:proofErr w:type="spellStart"/>
      <w:r w:rsidRPr="003F564F">
        <w:rPr>
          <w:sz w:val="22"/>
          <w:szCs w:val="24"/>
          <w:u w:val="single"/>
        </w:rPr>
        <w:t>ruksolitinibo</w:t>
      </w:r>
      <w:proofErr w:type="spellEnd"/>
      <w:r w:rsidRPr="003F564F">
        <w:rPr>
          <w:sz w:val="22"/>
          <w:szCs w:val="24"/>
          <w:u w:val="single"/>
        </w:rPr>
        <w:t xml:space="preserve"> dozę</w:t>
      </w:r>
    </w:p>
    <w:p w14:paraId="7B576C73" w14:textId="77777777" w:rsidR="00341469" w:rsidRPr="003F564F" w:rsidRDefault="00341469" w:rsidP="00341469">
      <w:pPr>
        <w:tabs>
          <w:tab w:val="left" w:pos="567"/>
        </w:tabs>
        <w:spacing w:line="260" w:lineRule="exact"/>
        <w:rPr>
          <w:sz w:val="22"/>
          <w:szCs w:val="24"/>
        </w:rPr>
      </w:pPr>
    </w:p>
    <w:p w14:paraId="018CC189" w14:textId="236BD858" w:rsidR="00341469" w:rsidRPr="003F564F" w:rsidRDefault="00341469" w:rsidP="00341469">
      <w:pPr>
        <w:tabs>
          <w:tab w:val="left" w:pos="567"/>
        </w:tabs>
        <w:spacing w:line="260" w:lineRule="exact"/>
        <w:rPr>
          <w:i/>
          <w:iCs/>
          <w:sz w:val="22"/>
          <w:szCs w:val="24"/>
          <w:u w:val="single"/>
        </w:rPr>
      </w:pPr>
      <w:r w:rsidRPr="003F564F">
        <w:rPr>
          <w:i/>
          <w:iCs/>
          <w:sz w:val="22"/>
          <w:szCs w:val="24"/>
          <w:u w:val="single"/>
        </w:rPr>
        <w:t>CYP3A4 inhibitoriai</w:t>
      </w:r>
    </w:p>
    <w:p w14:paraId="19F97922" w14:textId="35E8D0CF" w:rsidR="00341469" w:rsidRPr="003F564F" w:rsidRDefault="00341469" w:rsidP="00341469">
      <w:pPr>
        <w:tabs>
          <w:tab w:val="left" w:pos="567"/>
        </w:tabs>
        <w:spacing w:line="260" w:lineRule="exact"/>
        <w:rPr>
          <w:i/>
          <w:iCs/>
          <w:sz w:val="22"/>
          <w:szCs w:val="24"/>
        </w:rPr>
      </w:pPr>
      <w:r w:rsidRPr="003F564F">
        <w:rPr>
          <w:i/>
          <w:iCs/>
          <w:sz w:val="22"/>
          <w:szCs w:val="24"/>
        </w:rPr>
        <w:t xml:space="preserve">Stiprūs CYP3A4 inhibitoriai (jų pavyzdžiai išvardyti toliau, bet neapsiribojant tik nurodytaisiais: </w:t>
      </w:r>
      <w:proofErr w:type="spellStart"/>
      <w:r w:rsidRPr="003F564F">
        <w:rPr>
          <w:i/>
          <w:iCs/>
          <w:sz w:val="22"/>
          <w:szCs w:val="24"/>
        </w:rPr>
        <w:t>bocepreviras</w:t>
      </w:r>
      <w:proofErr w:type="spellEnd"/>
      <w:r w:rsidRPr="003F564F">
        <w:rPr>
          <w:i/>
          <w:iCs/>
          <w:sz w:val="22"/>
          <w:szCs w:val="24"/>
        </w:rPr>
        <w:t xml:space="preserve">, </w:t>
      </w:r>
      <w:proofErr w:type="spellStart"/>
      <w:r w:rsidRPr="003F564F">
        <w:rPr>
          <w:i/>
          <w:iCs/>
          <w:sz w:val="22"/>
          <w:szCs w:val="24"/>
        </w:rPr>
        <w:t>klaritromicinas</w:t>
      </w:r>
      <w:proofErr w:type="spellEnd"/>
      <w:r w:rsidRPr="003F564F">
        <w:rPr>
          <w:i/>
          <w:iCs/>
          <w:sz w:val="22"/>
          <w:szCs w:val="24"/>
        </w:rPr>
        <w:t xml:space="preserve">, </w:t>
      </w:r>
      <w:proofErr w:type="spellStart"/>
      <w:r w:rsidRPr="003F564F">
        <w:rPr>
          <w:i/>
          <w:iCs/>
          <w:sz w:val="22"/>
          <w:szCs w:val="24"/>
        </w:rPr>
        <w:t>indinaviras</w:t>
      </w:r>
      <w:proofErr w:type="spellEnd"/>
      <w:r w:rsidRPr="003F564F">
        <w:rPr>
          <w:i/>
          <w:iCs/>
          <w:sz w:val="22"/>
          <w:szCs w:val="24"/>
        </w:rPr>
        <w:t xml:space="preserve">, </w:t>
      </w:r>
      <w:proofErr w:type="spellStart"/>
      <w:r w:rsidRPr="003F564F">
        <w:rPr>
          <w:i/>
          <w:iCs/>
          <w:sz w:val="22"/>
          <w:szCs w:val="24"/>
        </w:rPr>
        <w:t>itrakonazolas</w:t>
      </w:r>
      <w:proofErr w:type="spellEnd"/>
      <w:r w:rsidRPr="003F564F">
        <w:rPr>
          <w:i/>
          <w:iCs/>
          <w:sz w:val="22"/>
          <w:szCs w:val="24"/>
        </w:rPr>
        <w:t xml:space="preserve">, </w:t>
      </w:r>
      <w:proofErr w:type="spellStart"/>
      <w:r w:rsidRPr="003F564F">
        <w:rPr>
          <w:i/>
          <w:iCs/>
          <w:sz w:val="22"/>
          <w:szCs w:val="24"/>
        </w:rPr>
        <w:t>ketokonazolas</w:t>
      </w:r>
      <w:proofErr w:type="spellEnd"/>
      <w:r w:rsidRPr="003F564F">
        <w:rPr>
          <w:i/>
          <w:iCs/>
          <w:sz w:val="22"/>
          <w:szCs w:val="24"/>
        </w:rPr>
        <w:t xml:space="preserve">, lopinaviras ir ritonaviras, ritonaviras, </w:t>
      </w:r>
      <w:proofErr w:type="spellStart"/>
      <w:r w:rsidRPr="003F564F">
        <w:rPr>
          <w:i/>
          <w:iCs/>
          <w:sz w:val="22"/>
          <w:szCs w:val="24"/>
        </w:rPr>
        <w:t>mibefradilis</w:t>
      </w:r>
      <w:proofErr w:type="spellEnd"/>
      <w:r w:rsidRPr="003F564F">
        <w:rPr>
          <w:i/>
          <w:iCs/>
          <w:sz w:val="22"/>
          <w:szCs w:val="24"/>
        </w:rPr>
        <w:t xml:space="preserve">, </w:t>
      </w:r>
      <w:proofErr w:type="spellStart"/>
      <w:r w:rsidRPr="003F564F">
        <w:rPr>
          <w:i/>
          <w:iCs/>
          <w:sz w:val="22"/>
          <w:szCs w:val="24"/>
        </w:rPr>
        <w:t>nefazodonas</w:t>
      </w:r>
      <w:proofErr w:type="spellEnd"/>
      <w:r w:rsidRPr="003F564F">
        <w:rPr>
          <w:i/>
          <w:iCs/>
          <w:sz w:val="22"/>
          <w:szCs w:val="24"/>
        </w:rPr>
        <w:t xml:space="preserve">, </w:t>
      </w:r>
      <w:proofErr w:type="spellStart"/>
      <w:r w:rsidRPr="003F564F">
        <w:rPr>
          <w:i/>
          <w:iCs/>
          <w:sz w:val="22"/>
          <w:szCs w:val="24"/>
        </w:rPr>
        <w:t>nelfinaviras</w:t>
      </w:r>
      <w:proofErr w:type="spellEnd"/>
      <w:r w:rsidRPr="003F564F">
        <w:rPr>
          <w:i/>
          <w:iCs/>
          <w:sz w:val="22"/>
          <w:szCs w:val="24"/>
        </w:rPr>
        <w:t xml:space="preserve">, </w:t>
      </w:r>
      <w:proofErr w:type="spellStart"/>
      <w:r w:rsidRPr="003F564F">
        <w:rPr>
          <w:i/>
          <w:iCs/>
          <w:sz w:val="22"/>
          <w:szCs w:val="24"/>
        </w:rPr>
        <w:t>pozakonazolas</w:t>
      </w:r>
      <w:proofErr w:type="spellEnd"/>
      <w:r w:rsidRPr="003F564F">
        <w:rPr>
          <w:i/>
          <w:iCs/>
          <w:sz w:val="22"/>
          <w:szCs w:val="24"/>
        </w:rPr>
        <w:t xml:space="preserve">, </w:t>
      </w:r>
      <w:proofErr w:type="spellStart"/>
      <w:r w:rsidRPr="003F564F">
        <w:rPr>
          <w:i/>
          <w:iCs/>
          <w:sz w:val="22"/>
          <w:szCs w:val="24"/>
        </w:rPr>
        <w:t>sakvinaviras</w:t>
      </w:r>
      <w:proofErr w:type="spellEnd"/>
      <w:r w:rsidRPr="003F564F">
        <w:rPr>
          <w:i/>
          <w:iCs/>
          <w:sz w:val="22"/>
          <w:szCs w:val="24"/>
        </w:rPr>
        <w:t xml:space="preserve">, </w:t>
      </w:r>
      <w:proofErr w:type="spellStart"/>
      <w:r w:rsidRPr="003F564F">
        <w:rPr>
          <w:i/>
          <w:iCs/>
          <w:sz w:val="22"/>
          <w:szCs w:val="24"/>
        </w:rPr>
        <w:t>telapreviras</w:t>
      </w:r>
      <w:proofErr w:type="spellEnd"/>
      <w:r w:rsidRPr="003F564F">
        <w:rPr>
          <w:i/>
          <w:iCs/>
          <w:sz w:val="22"/>
          <w:szCs w:val="24"/>
        </w:rPr>
        <w:t xml:space="preserve">, </w:t>
      </w:r>
      <w:proofErr w:type="spellStart"/>
      <w:r w:rsidRPr="003F564F">
        <w:rPr>
          <w:i/>
          <w:iCs/>
          <w:sz w:val="22"/>
          <w:szCs w:val="24"/>
        </w:rPr>
        <w:t>telitromicinas</w:t>
      </w:r>
      <w:proofErr w:type="spellEnd"/>
      <w:r w:rsidRPr="003F564F">
        <w:rPr>
          <w:i/>
          <w:iCs/>
          <w:sz w:val="22"/>
          <w:szCs w:val="24"/>
        </w:rPr>
        <w:t xml:space="preserve">, </w:t>
      </w:r>
      <w:proofErr w:type="spellStart"/>
      <w:r w:rsidRPr="003F564F">
        <w:rPr>
          <w:i/>
          <w:iCs/>
          <w:sz w:val="22"/>
          <w:szCs w:val="24"/>
        </w:rPr>
        <w:t>vorikonazolas</w:t>
      </w:r>
      <w:proofErr w:type="spellEnd"/>
      <w:r w:rsidRPr="003F564F">
        <w:rPr>
          <w:i/>
          <w:iCs/>
          <w:sz w:val="22"/>
          <w:szCs w:val="24"/>
        </w:rPr>
        <w:t>)</w:t>
      </w:r>
    </w:p>
    <w:p w14:paraId="23228145" w14:textId="2846EA45" w:rsidR="00341469" w:rsidRPr="003F564F" w:rsidRDefault="00341469" w:rsidP="00341469">
      <w:pPr>
        <w:tabs>
          <w:tab w:val="left" w:pos="567"/>
        </w:tabs>
        <w:spacing w:line="260" w:lineRule="exact"/>
        <w:rPr>
          <w:sz w:val="22"/>
          <w:szCs w:val="24"/>
        </w:rPr>
      </w:pPr>
      <w:r w:rsidRPr="003F564F">
        <w:rPr>
          <w:sz w:val="22"/>
          <w:szCs w:val="24"/>
        </w:rPr>
        <w:t xml:space="preserve">Sveikiems tiriamiesiems asmenims paskyrus </w:t>
      </w:r>
      <w:proofErr w:type="spellStart"/>
      <w:r w:rsidRPr="003F564F">
        <w:rPr>
          <w:sz w:val="22"/>
          <w:szCs w:val="24"/>
        </w:rPr>
        <w:t>ruksolitinibo</w:t>
      </w:r>
      <w:proofErr w:type="spellEnd"/>
      <w:r w:rsidRPr="003F564F">
        <w:rPr>
          <w:sz w:val="22"/>
          <w:szCs w:val="24"/>
        </w:rPr>
        <w:t xml:space="preserve"> (10 mg vienkartinę dozę) kartu su stipriu CYP3A4 inhibitoriumi </w:t>
      </w:r>
      <w:proofErr w:type="spellStart"/>
      <w:r w:rsidRPr="003F564F">
        <w:rPr>
          <w:sz w:val="22"/>
          <w:szCs w:val="24"/>
        </w:rPr>
        <w:t>ketokonazolu</w:t>
      </w:r>
      <w:proofErr w:type="spellEnd"/>
      <w:r w:rsidRPr="003F564F">
        <w:rPr>
          <w:sz w:val="22"/>
          <w:szCs w:val="24"/>
        </w:rPr>
        <w:t xml:space="preserve">, </w:t>
      </w:r>
      <w:proofErr w:type="spellStart"/>
      <w:r w:rsidRPr="003F564F">
        <w:rPr>
          <w:sz w:val="22"/>
          <w:szCs w:val="24"/>
        </w:rPr>
        <w:t>ruksolitinibo</w:t>
      </w:r>
      <w:proofErr w:type="spellEnd"/>
      <w:r w:rsidRPr="003F564F">
        <w:rPr>
          <w:sz w:val="22"/>
          <w:szCs w:val="24"/>
        </w:rPr>
        <w:t xml:space="preserve"> </w:t>
      </w:r>
      <w:proofErr w:type="spellStart"/>
      <w:r w:rsidRPr="003F564F">
        <w:rPr>
          <w:sz w:val="22"/>
          <w:szCs w:val="24"/>
        </w:rPr>
        <w:t>C</w:t>
      </w:r>
      <w:r w:rsidRPr="003F564F">
        <w:rPr>
          <w:sz w:val="22"/>
          <w:szCs w:val="24"/>
          <w:vertAlign w:val="subscript"/>
        </w:rPr>
        <w:t>max</w:t>
      </w:r>
      <w:proofErr w:type="spellEnd"/>
      <w:r w:rsidRPr="003F564F">
        <w:rPr>
          <w:sz w:val="22"/>
          <w:szCs w:val="24"/>
        </w:rPr>
        <w:t xml:space="preserve"> ir AUC rodikliai buvo, atitinkamai, 33 % ir 91 % didesni, lyginant su šiais rodikliais, nustatytais kai buvo skiriama vien </w:t>
      </w:r>
      <w:proofErr w:type="spellStart"/>
      <w:r w:rsidRPr="003F564F">
        <w:rPr>
          <w:sz w:val="22"/>
          <w:szCs w:val="24"/>
        </w:rPr>
        <w:t>ruksolitinibo</w:t>
      </w:r>
      <w:proofErr w:type="spellEnd"/>
      <w:r w:rsidRPr="003F564F">
        <w:rPr>
          <w:sz w:val="22"/>
          <w:szCs w:val="24"/>
        </w:rPr>
        <w:t xml:space="preserve">. Kartu skiriant </w:t>
      </w:r>
      <w:proofErr w:type="spellStart"/>
      <w:r w:rsidRPr="003F564F">
        <w:rPr>
          <w:sz w:val="22"/>
          <w:szCs w:val="24"/>
        </w:rPr>
        <w:t>ketokonazolo</w:t>
      </w:r>
      <w:proofErr w:type="spellEnd"/>
      <w:r w:rsidRPr="003F564F">
        <w:rPr>
          <w:sz w:val="22"/>
          <w:szCs w:val="24"/>
        </w:rPr>
        <w:t xml:space="preserve">, </w:t>
      </w:r>
      <w:proofErr w:type="spellStart"/>
      <w:r w:rsidRPr="003F564F">
        <w:rPr>
          <w:sz w:val="22"/>
          <w:szCs w:val="24"/>
        </w:rPr>
        <w:t>ruksolitinibo</w:t>
      </w:r>
      <w:proofErr w:type="spellEnd"/>
      <w:r w:rsidRPr="003F564F">
        <w:rPr>
          <w:sz w:val="22"/>
          <w:szCs w:val="24"/>
        </w:rPr>
        <w:t xml:space="preserve"> pusinės eliminacijos laikotarpis pailgėjo nuo 3,7 valandos iki 6,0 valandų.</w:t>
      </w:r>
    </w:p>
    <w:p w14:paraId="5A11995C" w14:textId="77777777" w:rsidR="00341469" w:rsidRPr="003F564F" w:rsidRDefault="00341469" w:rsidP="00341469">
      <w:pPr>
        <w:tabs>
          <w:tab w:val="left" w:pos="567"/>
        </w:tabs>
        <w:spacing w:line="260" w:lineRule="exact"/>
        <w:rPr>
          <w:sz w:val="22"/>
          <w:szCs w:val="24"/>
        </w:rPr>
      </w:pPr>
    </w:p>
    <w:p w14:paraId="306CA1D6" w14:textId="72B8F0A2" w:rsidR="00341469" w:rsidRPr="003F564F" w:rsidRDefault="00341469" w:rsidP="00341469">
      <w:pPr>
        <w:tabs>
          <w:tab w:val="left" w:pos="567"/>
        </w:tabs>
        <w:spacing w:line="260" w:lineRule="exact"/>
        <w:rPr>
          <w:sz w:val="22"/>
          <w:szCs w:val="24"/>
        </w:rPr>
      </w:pPr>
      <w:proofErr w:type="spellStart"/>
      <w:r w:rsidRPr="003F564F">
        <w:rPr>
          <w:sz w:val="22"/>
          <w:szCs w:val="24"/>
        </w:rPr>
        <w:lastRenderedPageBreak/>
        <w:t>Ruksolitinibo</w:t>
      </w:r>
      <w:proofErr w:type="spellEnd"/>
      <w:r w:rsidRPr="003F564F">
        <w:rPr>
          <w:sz w:val="22"/>
          <w:szCs w:val="24"/>
        </w:rPr>
        <w:t xml:space="preserve"> skiriant kartu su stipriais CYP3A4 inhibitoriais, </w:t>
      </w:r>
      <w:proofErr w:type="spellStart"/>
      <w:r w:rsidRPr="003F564F">
        <w:rPr>
          <w:sz w:val="22"/>
          <w:szCs w:val="24"/>
        </w:rPr>
        <w:t>ruksolitinibo</w:t>
      </w:r>
      <w:proofErr w:type="spellEnd"/>
      <w:r w:rsidRPr="003F564F">
        <w:rPr>
          <w:sz w:val="22"/>
          <w:szCs w:val="24"/>
        </w:rPr>
        <w:t xml:space="preserve"> dozę reikia sumažinti maždaug 50 % ir tokią vartoti du kartus per parą.</w:t>
      </w:r>
    </w:p>
    <w:p w14:paraId="6F4480B4" w14:textId="77777777" w:rsidR="00341469" w:rsidRPr="003F564F" w:rsidRDefault="00341469" w:rsidP="00341469">
      <w:pPr>
        <w:tabs>
          <w:tab w:val="left" w:pos="567"/>
        </w:tabs>
        <w:spacing w:line="260" w:lineRule="exact"/>
        <w:rPr>
          <w:sz w:val="22"/>
          <w:szCs w:val="24"/>
        </w:rPr>
      </w:pPr>
    </w:p>
    <w:p w14:paraId="7A9B0386" w14:textId="42F3BEDB" w:rsidR="00341469" w:rsidRPr="003F564F" w:rsidRDefault="00341469" w:rsidP="00341469">
      <w:pPr>
        <w:tabs>
          <w:tab w:val="left" w:pos="567"/>
        </w:tabs>
        <w:spacing w:line="260" w:lineRule="exact"/>
        <w:rPr>
          <w:sz w:val="22"/>
          <w:szCs w:val="24"/>
        </w:rPr>
      </w:pPr>
      <w:r w:rsidRPr="003F564F">
        <w:rPr>
          <w:sz w:val="22"/>
          <w:szCs w:val="24"/>
        </w:rPr>
        <w:t xml:space="preserve">Pacientų būklę reikia atidžiai stebėti (pvz., du kartus per savaitę) dėl </w:t>
      </w:r>
      <w:proofErr w:type="spellStart"/>
      <w:r w:rsidRPr="003F564F">
        <w:rPr>
          <w:sz w:val="22"/>
          <w:szCs w:val="24"/>
        </w:rPr>
        <w:t>citopenijos</w:t>
      </w:r>
      <w:proofErr w:type="spellEnd"/>
      <w:r w:rsidRPr="003F564F">
        <w:rPr>
          <w:sz w:val="22"/>
          <w:szCs w:val="24"/>
        </w:rPr>
        <w:t xml:space="preserve"> pasireiškimo, o vaistinio preparato dozę koreguoti atsižvelgiant į saugumo ir veiksmingumo duomenis (žr. 4.2 skyrių).</w:t>
      </w:r>
    </w:p>
    <w:p w14:paraId="475A6DF0" w14:textId="77777777" w:rsidR="00341469" w:rsidRPr="003F564F" w:rsidRDefault="00341469" w:rsidP="00341469">
      <w:pPr>
        <w:tabs>
          <w:tab w:val="left" w:pos="567"/>
        </w:tabs>
        <w:spacing w:line="260" w:lineRule="exact"/>
        <w:rPr>
          <w:sz w:val="22"/>
          <w:szCs w:val="24"/>
        </w:rPr>
      </w:pPr>
    </w:p>
    <w:p w14:paraId="27E32D3C" w14:textId="145621C6" w:rsidR="00341469" w:rsidRPr="003F564F" w:rsidRDefault="00341469" w:rsidP="00341469">
      <w:pPr>
        <w:tabs>
          <w:tab w:val="left" w:pos="567"/>
        </w:tabs>
        <w:spacing w:line="260" w:lineRule="exact"/>
        <w:rPr>
          <w:i/>
          <w:iCs/>
          <w:sz w:val="22"/>
          <w:szCs w:val="24"/>
        </w:rPr>
      </w:pPr>
      <w:r w:rsidRPr="003F564F">
        <w:rPr>
          <w:i/>
          <w:iCs/>
          <w:sz w:val="22"/>
          <w:szCs w:val="24"/>
        </w:rPr>
        <w:t>Tiek CYP2C9, tiek ir CYP3A4 inhibitoriai</w:t>
      </w:r>
    </w:p>
    <w:p w14:paraId="04CFB48F" w14:textId="58D8EFDC" w:rsidR="00341469" w:rsidRPr="003F564F" w:rsidRDefault="00341469" w:rsidP="00341469">
      <w:pPr>
        <w:tabs>
          <w:tab w:val="left" w:pos="567"/>
        </w:tabs>
        <w:spacing w:line="260" w:lineRule="exact"/>
        <w:rPr>
          <w:sz w:val="22"/>
          <w:szCs w:val="24"/>
        </w:rPr>
      </w:pPr>
      <w:r w:rsidRPr="003F564F">
        <w:rPr>
          <w:sz w:val="22"/>
          <w:szCs w:val="24"/>
        </w:rPr>
        <w:t xml:space="preserve">Sveikiems tiriamiesiems asmenims paskyrus </w:t>
      </w:r>
      <w:proofErr w:type="spellStart"/>
      <w:r w:rsidRPr="003F564F">
        <w:rPr>
          <w:sz w:val="22"/>
          <w:szCs w:val="24"/>
        </w:rPr>
        <w:t>ruksolitinibo</w:t>
      </w:r>
      <w:proofErr w:type="spellEnd"/>
      <w:r w:rsidRPr="003F564F">
        <w:rPr>
          <w:sz w:val="22"/>
          <w:szCs w:val="24"/>
        </w:rPr>
        <w:t xml:space="preserve"> (10 mg vienkartinę dozę) kartu su CYP2C9 ir CYP3A4 inhibitoriumi </w:t>
      </w:r>
      <w:proofErr w:type="spellStart"/>
      <w:r w:rsidRPr="003F564F">
        <w:rPr>
          <w:sz w:val="22"/>
          <w:szCs w:val="24"/>
        </w:rPr>
        <w:t>flukonazolu</w:t>
      </w:r>
      <w:proofErr w:type="spellEnd"/>
      <w:r w:rsidRPr="003F564F">
        <w:rPr>
          <w:sz w:val="22"/>
          <w:szCs w:val="24"/>
        </w:rPr>
        <w:t xml:space="preserve">, </w:t>
      </w:r>
      <w:proofErr w:type="spellStart"/>
      <w:r w:rsidRPr="003F564F">
        <w:rPr>
          <w:sz w:val="22"/>
          <w:szCs w:val="24"/>
        </w:rPr>
        <w:t>ruksolitinibo</w:t>
      </w:r>
      <w:proofErr w:type="spellEnd"/>
      <w:r w:rsidRPr="003F564F">
        <w:rPr>
          <w:sz w:val="22"/>
          <w:szCs w:val="24"/>
        </w:rPr>
        <w:t xml:space="preserve"> </w:t>
      </w:r>
      <w:proofErr w:type="spellStart"/>
      <w:r w:rsidRPr="003F564F">
        <w:rPr>
          <w:sz w:val="22"/>
          <w:szCs w:val="24"/>
        </w:rPr>
        <w:t>C</w:t>
      </w:r>
      <w:r w:rsidRPr="003F564F">
        <w:rPr>
          <w:sz w:val="22"/>
          <w:szCs w:val="24"/>
          <w:vertAlign w:val="subscript"/>
        </w:rPr>
        <w:t>max</w:t>
      </w:r>
      <w:proofErr w:type="spellEnd"/>
      <w:r w:rsidRPr="003F564F">
        <w:rPr>
          <w:sz w:val="22"/>
          <w:szCs w:val="24"/>
        </w:rPr>
        <w:t xml:space="preserve"> ir AUC rodikliai buvo, atitinkamai, 47 % ir 232 % didesni, lyginant su šiais rodikliais, nustatytais kai buvo skiriama vien </w:t>
      </w:r>
      <w:proofErr w:type="spellStart"/>
      <w:r w:rsidRPr="003F564F">
        <w:rPr>
          <w:sz w:val="22"/>
          <w:szCs w:val="24"/>
        </w:rPr>
        <w:t>ruksolitinibo</w:t>
      </w:r>
      <w:proofErr w:type="spellEnd"/>
      <w:r w:rsidRPr="003F564F">
        <w:rPr>
          <w:sz w:val="22"/>
          <w:szCs w:val="24"/>
        </w:rPr>
        <w:t>.</w:t>
      </w:r>
    </w:p>
    <w:p w14:paraId="750682BF" w14:textId="77777777" w:rsidR="00341469" w:rsidRPr="003F564F" w:rsidRDefault="00341469" w:rsidP="00341469">
      <w:pPr>
        <w:tabs>
          <w:tab w:val="left" w:pos="567"/>
        </w:tabs>
        <w:spacing w:line="260" w:lineRule="exact"/>
        <w:rPr>
          <w:sz w:val="22"/>
          <w:szCs w:val="24"/>
        </w:rPr>
      </w:pPr>
    </w:p>
    <w:p w14:paraId="78EFB700" w14:textId="34982FE8" w:rsidR="00341469" w:rsidRPr="003F564F" w:rsidRDefault="00341469" w:rsidP="00341469">
      <w:pPr>
        <w:tabs>
          <w:tab w:val="left" w:pos="567"/>
        </w:tabs>
        <w:spacing w:line="260" w:lineRule="exact"/>
        <w:rPr>
          <w:sz w:val="22"/>
          <w:szCs w:val="24"/>
        </w:rPr>
      </w:pPr>
      <w:r w:rsidRPr="003F564F">
        <w:rPr>
          <w:sz w:val="22"/>
          <w:szCs w:val="24"/>
        </w:rPr>
        <w:t xml:space="preserve">Vaistinio preparato dozę reikia mažinti 50 % kartu vartojant vaistinių preparatų, kurie yra tiek CYP3A4, tiek ir CYP2C9 inhibitoriai (pvz., </w:t>
      </w:r>
      <w:proofErr w:type="spellStart"/>
      <w:r w:rsidRPr="003F564F">
        <w:rPr>
          <w:sz w:val="22"/>
          <w:szCs w:val="24"/>
        </w:rPr>
        <w:t>flukonazolo</w:t>
      </w:r>
      <w:proofErr w:type="spellEnd"/>
      <w:r w:rsidRPr="003F564F">
        <w:rPr>
          <w:sz w:val="22"/>
          <w:szCs w:val="24"/>
        </w:rPr>
        <w:t xml:space="preserve">). Reikia vengti vartoti </w:t>
      </w:r>
      <w:proofErr w:type="spellStart"/>
      <w:r w:rsidRPr="003F564F">
        <w:rPr>
          <w:sz w:val="22"/>
          <w:szCs w:val="24"/>
        </w:rPr>
        <w:t>ruksolitinibo</w:t>
      </w:r>
      <w:proofErr w:type="spellEnd"/>
      <w:r w:rsidRPr="003F564F">
        <w:rPr>
          <w:sz w:val="22"/>
          <w:szCs w:val="24"/>
        </w:rPr>
        <w:t xml:space="preserve"> kartu su didesnėmis kaip 200 mg </w:t>
      </w:r>
      <w:proofErr w:type="spellStart"/>
      <w:r w:rsidRPr="003F564F">
        <w:rPr>
          <w:sz w:val="22"/>
          <w:szCs w:val="24"/>
        </w:rPr>
        <w:t>flukonazolo</w:t>
      </w:r>
      <w:proofErr w:type="spellEnd"/>
      <w:r w:rsidRPr="003F564F">
        <w:rPr>
          <w:sz w:val="22"/>
          <w:szCs w:val="24"/>
        </w:rPr>
        <w:t xml:space="preserve"> dozėmis per parą.</w:t>
      </w:r>
    </w:p>
    <w:p w14:paraId="0A30737C" w14:textId="77777777" w:rsidR="00341469" w:rsidRPr="003F564F" w:rsidRDefault="00341469" w:rsidP="00341469">
      <w:pPr>
        <w:tabs>
          <w:tab w:val="left" w:pos="567"/>
        </w:tabs>
        <w:spacing w:line="260" w:lineRule="exact"/>
        <w:rPr>
          <w:sz w:val="22"/>
          <w:szCs w:val="24"/>
        </w:rPr>
      </w:pPr>
    </w:p>
    <w:p w14:paraId="1F4C6DB8" w14:textId="77777777" w:rsidR="00341469" w:rsidRPr="003F564F" w:rsidRDefault="00341469" w:rsidP="00341469">
      <w:pPr>
        <w:tabs>
          <w:tab w:val="left" w:pos="567"/>
        </w:tabs>
        <w:spacing w:line="260" w:lineRule="exact"/>
        <w:rPr>
          <w:sz w:val="22"/>
          <w:szCs w:val="24"/>
          <w:u w:val="single"/>
        </w:rPr>
      </w:pPr>
      <w:r w:rsidRPr="003F564F">
        <w:rPr>
          <w:sz w:val="22"/>
          <w:szCs w:val="24"/>
          <w:u w:val="single"/>
        </w:rPr>
        <w:t xml:space="preserve">Fermentų </w:t>
      </w:r>
      <w:proofErr w:type="spellStart"/>
      <w:r w:rsidRPr="003F564F">
        <w:rPr>
          <w:sz w:val="22"/>
          <w:szCs w:val="24"/>
          <w:u w:val="single"/>
        </w:rPr>
        <w:t>induktoriai</w:t>
      </w:r>
      <w:proofErr w:type="spellEnd"/>
    </w:p>
    <w:p w14:paraId="2B1F84DD" w14:textId="77777777" w:rsidR="00341469" w:rsidRPr="003F564F" w:rsidRDefault="00341469" w:rsidP="00341469">
      <w:pPr>
        <w:tabs>
          <w:tab w:val="left" w:pos="567"/>
        </w:tabs>
        <w:spacing w:line="260" w:lineRule="exact"/>
        <w:rPr>
          <w:sz w:val="22"/>
          <w:szCs w:val="24"/>
        </w:rPr>
      </w:pPr>
    </w:p>
    <w:p w14:paraId="4B664902" w14:textId="3692C997" w:rsidR="00341469" w:rsidRPr="003F564F" w:rsidRDefault="00341469" w:rsidP="00341469">
      <w:pPr>
        <w:tabs>
          <w:tab w:val="left" w:pos="567"/>
        </w:tabs>
        <w:spacing w:line="260" w:lineRule="exact"/>
        <w:rPr>
          <w:i/>
          <w:iCs/>
          <w:sz w:val="22"/>
          <w:szCs w:val="24"/>
          <w:u w:val="single"/>
        </w:rPr>
      </w:pPr>
      <w:r w:rsidRPr="003F564F">
        <w:rPr>
          <w:i/>
          <w:iCs/>
          <w:sz w:val="22"/>
          <w:szCs w:val="24"/>
          <w:u w:val="single"/>
        </w:rPr>
        <w:t xml:space="preserve">CYP3A4 </w:t>
      </w:r>
      <w:proofErr w:type="spellStart"/>
      <w:r w:rsidRPr="003F564F">
        <w:rPr>
          <w:i/>
          <w:iCs/>
          <w:sz w:val="22"/>
          <w:szCs w:val="24"/>
          <w:u w:val="single"/>
        </w:rPr>
        <w:t>induktoriai</w:t>
      </w:r>
      <w:proofErr w:type="spellEnd"/>
      <w:r w:rsidRPr="003F564F">
        <w:rPr>
          <w:i/>
          <w:iCs/>
          <w:sz w:val="22"/>
          <w:szCs w:val="24"/>
          <w:u w:val="single"/>
        </w:rPr>
        <w:t xml:space="preserve"> (jų pavyzdžiai išvardyti toliau, bet neapsiribojant tik nurodytaisiais: </w:t>
      </w:r>
      <w:proofErr w:type="spellStart"/>
      <w:r w:rsidRPr="003F564F">
        <w:rPr>
          <w:i/>
          <w:iCs/>
          <w:sz w:val="22"/>
          <w:szCs w:val="24"/>
          <w:u w:val="single"/>
        </w:rPr>
        <w:t>avasimibas</w:t>
      </w:r>
      <w:proofErr w:type="spellEnd"/>
      <w:r w:rsidRPr="003F564F">
        <w:rPr>
          <w:i/>
          <w:iCs/>
          <w:sz w:val="22"/>
          <w:szCs w:val="24"/>
          <w:u w:val="single"/>
        </w:rPr>
        <w:t xml:space="preserve">, </w:t>
      </w:r>
      <w:proofErr w:type="spellStart"/>
      <w:r w:rsidRPr="003F564F">
        <w:rPr>
          <w:i/>
          <w:iCs/>
          <w:sz w:val="22"/>
          <w:szCs w:val="24"/>
          <w:u w:val="single"/>
        </w:rPr>
        <w:t>karbamazepinas</w:t>
      </w:r>
      <w:proofErr w:type="spellEnd"/>
      <w:r w:rsidRPr="003F564F">
        <w:rPr>
          <w:i/>
          <w:iCs/>
          <w:sz w:val="22"/>
          <w:szCs w:val="24"/>
          <w:u w:val="single"/>
        </w:rPr>
        <w:t xml:space="preserve">, </w:t>
      </w:r>
      <w:proofErr w:type="spellStart"/>
      <w:r w:rsidRPr="003F564F">
        <w:rPr>
          <w:i/>
          <w:iCs/>
          <w:sz w:val="22"/>
          <w:szCs w:val="24"/>
          <w:u w:val="single"/>
        </w:rPr>
        <w:t>fenobarbitalis</w:t>
      </w:r>
      <w:proofErr w:type="spellEnd"/>
      <w:r w:rsidRPr="003F564F">
        <w:rPr>
          <w:i/>
          <w:iCs/>
          <w:sz w:val="22"/>
          <w:szCs w:val="24"/>
          <w:u w:val="single"/>
        </w:rPr>
        <w:t xml:space="preserve">, </w:t>
      </w:r>
      <w:proofErr w:type="spellStart"/>
      <w:r w:rsidRPr="003F564F">
        <w:rPr>
          <w:i/>
          <w:iCs/>
          <w:sz w:val="22"/>
          <w:szCs w:val="24"/>
          <w:u w:val="single"/>
        </w:rPr>
        <w:t>fenitoinas</w:t>
      </w:r>
      <w:proofErr w:type="spellEnd"/>
      <w:r w:rsidRPr="003F564F">
        <w:rPr>
          <w:i/>
          <w:iCs/>
          <w:sz w:val="22"/>
          <w:szCs w:val="24"/>
          <w:u w:val="single"/>
        </w:rPr>
        <w:t xml:space="preserve">, </w:t>
      </w:r>
      <w:proofErr w:type="spellStart"/>
      <w:r w:rsidRPr="003F564F">
        <w:rPr>
          <w:i/>
          <w:iCs/>
          <w:sz w:val="22"/>
          <w:szCs w:val="24"/>
          <w:u w:val="single"/>
        </w:rPr>
        <w:t>rifabutinas</w:t>
      </w:r>
      <w:proofErr w:type="spellEnd"/>
      <w:r w:rsidRPr="003F564F">
        <w:rPr>
          <w:i/>
          <w:iCs/>
          <w:sz w:val="22"/>
          <w:szCs w:val="24"/>
          <w:u w:val="single"/>
        </w:rPr>
        <w:t xml:space="preserve">, </w:t>
      </w:r>
      <w:proofErr w:type="spellStart"/>
      <w:r w:rsidRPr="003F564F">
        <w:rPr>
          <w:i/>
          <w:iCs/>
          <w:sz w:val="22"/>
          <w:szCs w:val="24"/>
          <w:u w:val="single"/>
        </w:rPr>
        <w:t>rifampinas</w:t>
      </w:r>
      <w:proofErr w:type="spellEnd"/>
      <w:r w:rsidRPr="003F564F">
        <w:rPr>
          <w:i/>
          <w:iCs/>
          <w:sz w:val="22"/>
          <w:szCs w:val="24"/>
          <w:u w:val="single"/>
        </w:rPr>
        <w:t xml:space="preserve"> (</w:t>
      </w:r>
      <w:proofErr w:type="spellStart"/>
      <w:r w:rsidRPr="003F564F">
        <w:rPr>
          <w:i/>
          <w:iCs/>
          <w:sz w:val="22"/>
          <w:szCs w:val="24"/>
          <w:u w:val="single"/>
        </w:rPr>
        <w:t>rifampicinas</w:t>
      </w:r>
      <w:proofErr w:type="spellEnd"/>
      <w:r w:rsidRPr="003F564F">
        <w:rPr>
          <w:i/>
          <w:iCs/>
          <w:sz w:val="22"/>
          <w:szCs w:val="24"/>
          <w:u w:val="single"/>
        </w:rPr>
        <w:t>), jonažolės (</w:t>
      </w:r>
      <w:proofErr w:type="spellStart"/>
      <w:r w:rsidRPr="003F564F">
        <w:rPr>
          <w:i/>
          <w:iCs/>
          <w:sz w:val="22"/>
          <w:szCs w:val="24"/>
          <w:u w:val="single"/>
        </w:rPr>
        <w:t>Hypericum</w:t>
      </w:r>
      <w:proofErr w:type="spellEnd"/>
      <w:r w:rsidRPr="003F564F">
        <w:rPr>
          <w:i/>
          <w:iCs/>
          <w:sz w:val="22"/>
          <w:szCs w:val="24"/>
          <w:u w:val="single"/>
        </w:rPr>
        <w:t xml:space="preserve"> </w:t>
      </w:r>
      <w:proofErr w:type="spellStart"/>
      <w:r w:rsidRPr="003F564F">
        <w:rPr>
          <w:i/>
          <w:iCs/>
          <w:sz w:val="22"/>
          <w:szCs w:val="24"/>
          <w:u w:val="single"/>
        </w:rPr>
        <w:t>perforatum</w:t>
      </w:r>
      <w:proofErr w:type="spellEnd"/>
      <w:r w:rsidRPr="003F564F">
        <w:rPr>
          <w:i/>
          <w:iCs/>
          <w:sz w:val="22"/>
          <w:szCs w:val="24"/>
          <w:u w:val="single"/>
        </w:rPr>
        <w:t>) vaistiniai preparatai)</w:t>
      </w:r>
    </w:p>
    <w:p w14:paraId="11B6005C" w14:textId="1D097490" w:rsidR="00341469" w:rsidRPr="003F564F" w:rsidRDefault="00341469" w:rsidP="00341469">
      <w:pPr>
        <w:tabs>
          <w:tab w:val="left" w:pos="567"/>
        </w:tabs>
        <w:spacing w:line="260" w:lineRule="exact"/>
        <w:rPr>
          <w:sz w:val="22"/>
          <w:szCs w:val="24"/>
        </w:rPr>
      </w:pPr>
      <w:r w:rsidRPr="003F564F">
        <w:rPr>
          <w:sz w:val="22"/>
          <w:szCs w:val="24"/>
        </w:rPr>
        <w:t>Pacientų būklę reikia atidžiai stebėti, o vaistinio preparato dozę koreguoti atsižvelgiant į saugumo ir veiksmingumo duomenis (žr. 4.2 skyrių).</w:t>
      </w:r>
    </w:p>
    <w:p w14:paraId="1E640FB8" w14:textId="77777777" w:rsidR="00341469" w:rsidRPr="003F564F" w:rsidRDefault="00341469" w:rsidP="00341469">
      <w:pPr>
        <w:tabs>
          <w:tab w:val="left" w:pos="567"/>
        </w:tabs>
        <w:spacing w:line="260" w:lineRule="exact"/>
        <w:rPr>
          <w:sz w:val="22"/>
          <w:szCs w:val="24"/>
        </w:rPr>
      </w:pPr>
    </w:p>
    <w:p w14:paraId="1138687B" w14:textId="5B279399" w:rsidR="00341469" w:rsidRPr="003F564F" w:rsidRDefault="00341469" w:rsidP="00341469">
      <w:pPr>
        <w:tabs>
          <w:tab w:val="left" w:pos="567"/>
        </w:tabs>
        <w:spacing w:line="260" w:lineRule="exact"/>
        <w:rPr>
          <w:sz w:val="22"/>
          <w:szCs w:val="24"/>
        </w:rPr>
      </w:pPr>
      <w:r w:rsidRPr="003F564F">
        <w:rPr>
          <w:sz w:val="22"/>
          <w:szCs w:val="24"/>
        </w:rPr>
        <w:t xml:space="preserve">Sveikiems tiriamiesiems asmenims </w:t>
      </w:r>
      <w:proofErr w:type="spellStart"/>
      <w:r w:rsidRPr="003F564F">
        <w:rPr>
          <w:sz w:val="22"/>
          <w:szCs w:val="24"/>
        </w:rPr>
        <w:t>ruksolitinibo</w:t>
      </w:r>
      <w:proofErr w:type="spellEnd"/>
      <w:r w:rsidRPr="003F564F">
        <w:rPr>
          <w:sz w:val="22"/>
          <w:szCs w:val="24"/>
        </w:rPr>
        <w:t xml:space="preserve"> (50 mg vienkartinę dozę) paskyrus po stipraus CYP3A4 </w:t>
      </w:r>
      <w:proofErr w:type="spellStart"/>
      <w:r w:rsidRPr="003F564F">
        <w:rPr>
          <w:sz w:val="22"/>
          <w:szCs w:val="24"/>
        </w:rPr>
        <w:t>induktoriaus</w:t>
      </w:r>
      <w:proofErr w:type="spellEnd"/>
      <w:r w:rsidRPr="003F564F">
        <w:rPr>
          <w:sz w:val="22"/>
          <w:szCs w:val="24"/>
        </w:rPr>
        <w:t xml:space="preserve"> </w:t>
      </w:r>
      <w:proofErr w:type="spellStart"/>
      <w:r w:rsidRPr="003F564F">
        <w:rPr>
          <w:sz w:val="22"/>
          <w:szCs w:val="24"/>
        </w:rPr>
        <w:t>rifampicino</w:t>
      </w:r>
      <w:proofErr w:type="spellEnd"/>
      <w:r w:rsidRPr="003F564F">
        <w:rPr>
          <w:sz w:val="22"/>
          <w:szCs w:val="24"/>
        </w:rPr>
        <w:t xml:space="preserve"> (600 mg paros dozės 10 dienų) vartojimo, </w:t>
      </w:r>
      <w:proofErr w:type="spellStart"/>
      <w:r w:rsidRPr="003F564F">
        <w:rPr>
          <w:sz w:val="22"/>
          <w:szCs w:val="24"/>
        </w:rPr>
        <w:t>ruksolitinibo</w:t>
      </w:r>
      <w:proofErr w:type="spellEnd"/>
      <w:r w:rsidRPr="003F564F">
        <w:rPr>
          <w:sz w:val="22"/>
          <w:szCs w:val="24"/>
        </w:rPr>
        <w:t xml:space="preserve"> AUC rodiklis buvo, atitinkamai, 70 % mažesnis, lyginant su šiuo rodikliu, nustatytu kai buvo skiriama vien </w:t>
      </w:r>
      <w:proofErr w:type="spellStart"/>
      <w:r w:rsidRPr="003F564F">
        <w:rPr>
          <w:sz w:val="22"/>
          <w:szCs w:val="24"/>
        </w:rPr>
        <w:t>ruksolitinibo</w:t>
      </w:r>
      <w:proofErr w:type="spellEnd"/>
      <w:r w:rsidRPr="003F564F">
        <w:rPr>
          <w:sz w:val="22"/>
          <w:szCs w:val="24"/>
        </w:rPr>
        <w:t xml:space="preserve">. Veikliųjų </w:t>
      </w:r>
      <w:proofErr w:type="spellStart"/>
      <w:r w:rsidRPr="003F564F">
        <w:rPr>
          <w:sz w:val="22"/>
          <w:szCs w:val="24"/>
        </w:rPr>
        <w:t>ruksolitinibo</w:t>
      </w:r>
      <w:proofErr w:type="spellEnd"/>
      <w:r w:rsidRPr="003F564F">
        <w:rPr>
          <w:sz w:val="22"/>
          <w:szCs w:val="24"/>
        </w:rPr>
        <w:t xml:space="preserve"> metabolitų ekspozicija nepakito. Apskritai, </w:t>
      </w:r>
      <w:proofErr w:type="spellStart"/>
      <w:r w:rsidRPr="003F564F">
        <w:rPr>
          <w:sz w:val="22"/>
          <w:szCs w:val="24"/>
        </w:rPr>
        <w:t>ruksolitinibo</w:t>
      </w:r>
      <w:proofErr w:type="spellEnd"/>
      <w:r w:rsidRPr="003F564F">
        <w:rPr>
          <w:sz w:val="22"/>
          <w:szCs w:val="24"/>
        </w:rPr>
        <w:t xml:space="preserve"> </w:t>
      </w:r>
      <w:proofErr w:type="spellStart"/>
      <w:r w:rsidRPr="003F564F">
        <w:rPr>
          <w:sz w:val="22"/>
          <w:szCs w:val="24"/>
        </w:rPr>
        <w:t>farmakodinaminis</w:t>
      </w:r>
      <w:proofErr w:type="spellEnd"/>
      <w:r w:rsidRPr="003F564F">
        <w:rPr>
          <w:sz w:val="22"/>
          <w:szCs w:val="24"/>
        </w:rPr>
        <w:t xml:space="preserve"> poveikis išliko panašus; tai rodo, kad CYP3A4 </w:t>
      </w:r>
      <w:proofErr w:type="spellStart"/>
      <w:r w:rsidRPr="003F564F">
        <w:rPr>
          <w:sz w:val="22"/>
          <w:szCs w:val="24"/>
        </w:rPr>
        <w:t>izofermento</w:t>
      </w:r>
      <w:proofErr w:type="spellEnd"/>
      <w:r w:rsidRPr="003F564F">
        <w:rPr>
          <w:sz w:val="22"/>
          <w:szCs w:val="24"/>
        </w:rPr>
        <w:t xml:space="preserve"> skatinimas farmakodinamiką įtakoja nedaug. Tačiau tai gali būti susiję su didele </w:t>
      </w:r>
      <w:proofErr w:type="spellStart"/>
      <w:r w:rsidRPr="003F564F">
        <w:rPr>
          <w:sz w:val="22"/>
          <w:szCs w:val="24"/>
        </w:rPr>
        <w:t>ruksolitinibo</w:t>
      </w:r>
      <w:proofErr w:type="spellEnd"/>
      <w:r w:rsidRPr="003F564F">
        <w:rPr>
          <w:sz w:val="22"/>
          <w:szCs w:val="24"/>
        </w:rPr>
        <w:t xml:space="preserve"> doze ir dėl to pasireiškiančiu artimu </w:t>
      </w:r>
      <w:proofErr w:type="spellStart"/>
      <w:r w:rsidRPr="003F564F">
        <w:rPr>
          <w:sz w:val="22"/>
          <w:szCs w:val="24"/>
        </w:rPr>
        <w:t>E</w:t>
      </w:r>
      <w:r w:rsidRPr="003F564F">
        <w:rPr>
          <w:sz w:val="22"/>
          <w:szCs w:val="24"/>
          <w:vertAlign w:val="subscript"/>
        </w:rPr>
        <w:t>max</w:t>
      </w:r>
      <w:proofErr w:type="spellEnd"/>
      <w:r w:rsidRPr="003F564F">
        <w:rPr>
          <w:sz w:val="22"/>
          <w:szCs w:val="24"/>
        </w:rPr>
        <w:t xml:space="preserve"> </w:t>
      </w:r>
      <w:proofErr w:type="spellStart"/>
      <w:r w:rsidRPr="003F564F">
        <w:rPr>
          <w:sz w:val="22"/>
          <w:szCs w:val="24"/>
        </w:rPr>
        <w:t>farmakodinaminiu</w:t>
      </w:r>
      <w:proofErr w:type="spellEnd"/>
      <w:r w:rsidRPr="003F564F">
        <w:rPr>
          <w:sz w:val="22"/>
          <w:szCs w:val="24"/>
        </w:rPr>
        <w:t xml:space="preserve"> poveikiu. Galimi atvejai, kad pradėjus skirti stiprių fermentų </w:t>
      </w:r>
      <w:proofErr w:type="spellStart"/>
      <w:r w:rsidRPr="003F564F">
        <w:rPr>
          <w:sz w:val="22"/>
          <w:szCs w:val="24"/>
        </w:rPr>
        <w:t>induktorių</w:t>
      </w:r>
      <w:proofErr w:type="spellEnd"/>
      <w:r w:rsidRPr="003F564F">
        <w:rPr>
          <w:sz w:val="22"/>
          <w:szCs w:val="24"/>
        </w:rPr>
        <w:t xml:space="preserve"> atskiriems pacientams gali reikėti didinti </w:t>
      </w:r>
      <w:proofErr w:type="spellStart"/>
      <w:r w:rsidRPr="003F564F">
        <w:rPr>
          <w:sz w:val="22"/>
          <w:szCs w:val="24"/>
        </w:rPr>
        <w:t>ruksolitinibo</w:t>
      </w:r>
      <w:proofErr w:type="spellEnd"/>
      <w:r w:rsidRPr="003F564F">
        <w:rPr>
          <w:sz w:val="22"/>
          <w:szCs w:val="24"/>
        </w:rPr>
        <w:t xml:space="preserve"> dozę.</w:t>
      </w:r>
    </w:p>
    <w:p w14:paraId="504E5D35" w14:textId="77777777" w:rsidR="00341469" w:rsidRPr="003F564F" w:rsidRDefault="00341469" w:rsidP="00341469">
      <w:pPr>
        <w:tabs>
          <w:tab w:val="left" w:pos="567"/>
        </w:tabs>
        <w:spacing w:line="260" w:lineRule="exact"/>
        <w:rPr>
          <w:sz w:val="22"/>
          <w:szCs w:val="24"/>
        </w:rPr>
      </w:pPr>
    </w:p>
    <w:p w14:paraId="35BF49C2" w14:textId="77777777" w:rsidR="00341469" w:rsidRPr="003F564F" w:rsidRDefault="00341469" w:rsidP="00341469">
      <w:pPr>
        <w:tabs>
          <w:tab w:val="left" w:pos="567"/>
        </w:tabs>
        <w:spacing w:line="260" w:lineRule="exact"/>
        <w:rPr>
          <w:sz w:val="22"/>
          <w:szCs w:val="24"/>
          <w:u w:val="single"/>
        </w:rPr>
      </w:pPr>
      <w:r w:rsidRPr="003F564F">
        <w:rPr>
          <w:sz w:val="22"/>
          <w:szCs w:val="24"/>
          <w:u w:val="single"/>
        </w:rPr>
        <w:t xml:space="preserve">Kitokia </w:t>
      </w:r>
      <w:proofErr w:type="spellStart"/>
      <w:r w:rsidRPr="003F564F">
        <w:rPr>
          <w:sz w:val="22"/>
          <w:szCs w:val="24"/>
          <w:u w:val="single"/>
        </w:rPr>
        <w:t>ruksolitinibo</w:t>
      </w:r>
      <w:proofErr w:type="spellEnd"/>
      <w:r w:rsidRPr="003F564F">
        <w:rPr>
          <w:sz w:val="22"/>
          <w:szCs w:val="24"/>
          <w:u w:val="single"/>
        </w:rPr>
        <w:t xml:space="preserve"> ekspoziciją įtakojanti vaistinių preparatų sąveiką, į kurią reikia atsižvelgti</w:t>
      </w:r>
    </w:p>
    <w:p w14:paraId="3E032E1D" w14:textId="77777777" w:rsidR="00341469" w:rsidRPr="003F564F" w:rsidRDefault="00341469" w:rsidP="00341469">
      <w:pPr>
        <w:tabs>
          <w:tab w:val="left" w:pos="567"/>
        </w:tabs>
        <w:spacing w:line="260" w:lineRule="exact"/>
        <w:rPr>
          <w:sz w:val="22"/>
          <w:szCs w:val="24"/>
        </w:rPr>
      </w:pPr>
    </w:p>
    <w:p w14:paraId="2F52792C" w14:textId="18563385" w:rsidR="00341469" w:rsidRPr="003F564F" w:rsidRDefault="00341469" w:rsidP="00341469">
      <w:pPr>
        <w:tabs>
          <w:tab w:val="left" w:pos="567"/>
        </w:tabs>
        <w:spacing w:line="260" w:lineRule="exact"/>
        <w:rPr>
          <w:i/>
          <w:iCs/>
          <w:sz w:val="22"/>
          <w:szCs w:val="24"/>
          <w:u w:val="single"/>
        </w:rPr>
      </w:pPr>
      <w:r w:rsidRPr="003F564F">
        <w:rPr>
          <w:i/>
          <w:iCs/>
          <w:sz w:val="22"/>
          <w:szCs w:val="24"/>
          <w:u w:val="single"/>
        </w:rPr>
        <w:t xml:space="preserve">Silpni ir vidutinio stiprumo CYP3A4 inhibitoriai (jų pavyzdžiai išvardyti toliau, bet neapsiribojant tik nurodytaisiais: </w:t>
      </w:r>
      <w:proofErr w:type="spellStart"/>
      <w:r w:rsidRPr="003F564F">
        <w:rPr>
          <w:i/>
          <w:iCs/>
          <w:sz w:val="22"/>
          <w:szCs w:val="24"/>
          <w:u w:val="single"/>
        </w:rPr>
        <w:t>ciprofloksacinas</w:t>
      </w:r>
      <w:proofErr w:type="spellEnd"/>
      <w:r w:rsidRPr="003F564F">
        <w:rPr>
          <w:i/>
          <w:iCs/>
          <w:sz w:val="22"/>
          <w:szCs w:val="24"/>
          <w:u w:val="single"/>
        </w:rPr>
        <w:t xml:space="preserve">, </w:t>
      </w:r>
      <w:proofErr w:type="spellStart"/>
      <w:r w:rsidRPr="003F564F">
        <w:rPr>
          <w:i/>
          <w:iCs/>
          <w:sz w:val="22"/>
          <w:szCs w:val="24"/>
          <w:u w:val="single"/>
        </w:rPr>
        <w:t>eritromicinas</w:t>
      </w:r>
      <w:proofErr w:type="spellEnd"/>
      <w:r w:rsidRPr="003F564F">
        <w:rPr>
          <w:i/>
          <w:iCs/>
          <w:sz w:val="22"/>
          <w:szCs w:val="24"/>
          <w:u w:val="single"/>
        </w:rPr>
        <w:t xml:space="preserve">, </w:t>
      </w:r>
      <w:proofErr w:type="spellStart"/>
      <w:r w:rsidRPr="003F564F">
        <w:rPr>
          <w:i/>
          <w:iCs/>
          <w:sz w:val="22"/>
          <w:szCs w:val="24"/>
          <w:u w:val="single"/>
        </w:rPr>
        <w:t>amprenaviras</w:t>
      </w:r>
      <w:proofErr w:type="spellEnd"/>
      <w:r w:rsidRPr="003F564F">
        <w:rPr>
          <w:i/>
          <w:iCs/>
          <w:sz w:val="22"/>
          <w:szCs w:val="24"/>
          <w:u w:val="single"/>
        </w:rPr>
        <w:t xml:space="preserve">, </w:t>
      </w:r>
      <w:proofErr w:type="spellStart"/>
      <w:r w:rsidRPr="003F564F">
        <w:rPr>
          <w:i/>
          <w:iCs/>
          <w:sz w:val="22"/>
          <w:szCs w:val="24"/>
          <w:u w:val="single"/>
        </w:rPr>
        <w:t>atazanaviras</w:t>
      </w:r>
      <w:proofErr w:type="spellEnd"/>
      <w:r w:rsidRPr="003F564F">
        <w:rPr>
          <w:i/>
          <w:iCs/>
          <w:sz w:val="22"/>
          <w:szCs w:val="24"/>
          <w:u w:val="single"/>
        </w:rPr>
        <w:t xml:space="preserve">, </w:t>
      </w:r>
      <w:proofErr w:type="spellStart"/>
      <w:r w:rsidRPr="003F564F">
        <w:rPr>
          <w:i/>
          <w:iCs/>
          <w:sz w:val="22"/>
          <w:szCs w:val="24"/>
          <w:u w:val="single"/>
        </w:rPr>
        <w:t>diltiazemas</w:t>
      </w:r>
      <w:proofErr w:type="spellEnd"/>
      <w:r w:rsidRPr="003F564F">
        <w:rPr>
          <w:i/>
          <w:iCs/>
          <w:sz w:val="22"/>
          <w:szCs w:val="24"/>
          <w:u w:val="single"/>
        </w:rPr>
        <w:t xml:space="preserve">, </w:t>
      </w:r>
      <w:proofErr w:type="spellStart"/>
      <w:r w:rsidRPr="003F564F">
        <w:rPr>
          <w:i/>
          <w:iCs/>
          <w:sz w:val="22"/>
          <w:szCs w:val="24"/>
          <w:u w:val="single"/>
        </w:rPr>
        <w:t>cimetidinas</w:t>
      </w:r>
      <w:proofErr w:type="spellEnd"/>
      <w:r w:rsidRPr="003F564F">
        <w:rPr>
          <w:i/>
          <w:iCs/>
          <w:sz w:val="22"/>
          <w:szCs w:val="24"/>
          <w:u w:val="single"/>
        </w:rPr>
        <w:t>)</w:t>
      </w:r>
    </w:p>
    <w:p w14:paraId="4324C1A0" w14:textId="1DC96FBE" w:rsidR="00341469" w:rsidRPr="003F564F" w:rsidRDefault="00341469" w:rsidP="00341469">
      <w:pPr>
        <w:tabs>
          <w:tab w:val="left" w:pos="567"/>
        </w:tabs>
        <w:spacing w:line="260" w:lineRule="exact"/>
        <w:rPr>
          <w:sz w:val="22"/>
          <w:szCs w:val="24"/>
        </w:rPr>
      </w:pPr>
      <w:r w:rsidRPr="003F564F">
        <w:rPr>
          <w:sz w:val="22"/>
          <w:szCs w:val="24"/>
        </w:rPr>
        <w:t xml:space="preserve">Sveikiems tiriamiesiems asmenims paskyrus </w:t>
      </w:r>
      <w:proofErr w:type="spellStart"/>
      <w:r w:rsidRPr="003F564F">
        <w:rPr>
          <w:sz w:val="22"/>
          <w:szCs w:val="24"/>
        </w:rPr>
        <w:t>ruksolitinibo</w:t>
      </w:r>
      <w:proofErr w:type="spellEnd"/>
      <w:r w:rsidRPr="003F564F">
        <w:rPr>
          <w:sz w:val="22"/>
          <w:szCs w:val="24"/>
        </w:rPr>
        <w:t xml:space="preserve"> (10 mg vienkartinę dozę) kartu su </w:t>
      </w:r>
      <w:proofErr w:type="spellStart"/>
      <w:r w:rsidRPr="003F564F">
        <w:rPr>
          <w:sz w:val="22"/>
          <w:szCs w:val="24"/>
        </w:rPr>
        <w:t>eritromicinu</w:t>
      </w:r>
      <w:proofErr w:type="spellEnd"/>
      <w:r w:rsidRPr="003F564F">
        <w:rPr>
          <w:sz w:val="22"/>
          <w:szCs w:val="24"/>
        </w:rPr>
        <w:t xml:space="preserve"> (po 500 mg du kartus per parą keturias dienas), </w:t>
      </w:r>
      <w:proofErr w:type="spellStart"/>
      <w:r w:rsidRPr="003F564F">
        <w:rPr>
          <w:sz w:val="22"/>
          <w:szCs w:val="24"/>
        </w:rPr>
        <w:t>ruksolitinibo</w:t>
      </w:r>
      <w:proofErr w:type="spellEnd"/>
      <w:r w:rsidRPr="003F564F">
        <w:rPr>
          <w:sz w:val="22"/>
          <w:szCs w:val="24"/>
        </w:rPr>
        <w:t xml:space="preserve"> </w:t>
      </w:r>
      <w:proofErr w:type="spellStart"/>
      <w:r w:rsidRPr="003F564F">
        <w:rPr>
          <w:sz w:val="22"/>
          <w:szCs w:val="24"/>
        </w:rPr>
        <w:t>C</w:t>
      </w:r>
      <w:r w:rsidRPr="003F564F">
        <w:rPr>
          <w:sz w:val="22"/>
          <w:szCs w:val="24"/>
          <w:vertAlign w:val="subscript"/>
        </w:rPr>
        <w:t>max</w:t>
      </w:r>
      <w:proofErr w:type="spellEnd"/>
      <w:r w:rsidRPr="003F564F">
        <w:rPr>
          <w:sz w:val="22"/>
          <w:szCs w:val="24"/>
        </w:rPr>
        <w:t xml:space="preserve"> ir AUC rodikliai buvo, atitinkamai, 8 % ir 27 % didesni, lyginant su šiais rodikliais, nustatytais kai buvo skiriama vien </w:t>
      </w:r>
      <w:proofErr w:type="spellStart"/>
      <w:r w:rsidRPr="003F564F">
        <w:rPr>
          <w:sz w:val="22"/>
          <w:szCs w:val="24"/>
        </w:rPr>
        <w:t>ruksolitinibo</w:t>
      </w:r>
      <w:proofErr w:type="spellEnd"/>
      <w:r w:rsidRPr="003F564F">
        <w:rPr>
          <w:sz w:val="22"/>
          <w:szCs w:val="24"/>
        </w:rPr>
        <w:t>.</w:t>
      </w:r>
    </w:p>
    <w:p w14:paraId="006D668A" w14:textId="77777777" w:rsidR="00341469" w:rsidRPr="003F564F" w:rsidRDefault="00341469" w:rsidP="00341469">
      <w:pPr>
        <w:tabs>
          <w:tab w:val="left" w:pos="567"/>
        </w:tabs>
        <w:spacing w:line="260" w:lineRule="exact"/>
        <w:rPr>
          <w:sz w:val="22"/>
          <w:szCs w:val="24"/>
        </w:rPr>
      </w:pPr>
    </w:p>
    <w:p w14:paraId="7BC4B116" w14:textId="2D3DC7DE" w:rsidR="00341469" w:rsidRPr="003F564F" w:rsidRDefault="00341469" w:rsidP="00341469">
      <w:pPr>
        <w:tabs>
          <w:tab w:val="left" w:pos="567"/>
        </w:tabs>
        <w:spacing w:line="260" w:lineRule="exact"/>
        <w:rPr>
          <w:sz w:val="22"/>
          <w:szCs w:val="24"/>
        </w:rPr>
      </w:pPr>
      <w:proofErr w:type="spellStart"/>
      <w:r w:rsidRPr="003F564F">
        <w:rPr>
          <w:sz w:val="22"/>
          <w:szCs w:val="24"/>
        </w:rPr>
        <w:t>Ruksolitinibo</w:t>
      </w:r>
      <w:proofErr w:type="spellEnd"/>
      <w:r w:rsidRPr="003F564F">
        <w:rPr>
          <w:sz w:val="22"/>
          <w:szCs w:val="24"/>
        </w:rPr>
        <w:t xml:space="preserve"> skiriant kartu su silpnais ar vidutinio stiprumo CYP3A4 inhibitoriais (pvz., </w:t>
      </w:r>
      <w:proofErr w:type="spellStart"/>
      <w:r w:rsidRPr="003F564F">
        <w:rPr>
          <w:sz w:val="22"/>
          <w:szCs w:val="24"/>
        </w:rPr>
        <w:t>eritromicinu</w:t>
      </w:r>
      <w:proofErr w:type="spellEnd"/>
      <w:r w:rsidRPr="003F564F">
        <w:rPr>
          <w:sz w:val="22"/>
          <w:szCs w:val="24"/>
        </w:rPr>
        <w:t xml:space="preserve">), dozės koreguoti nerekomenduojama. Tačiau pradedant kartu skirti vidutinio stiprumo CYP3A4 inhibitorių, pacientų būklę reikia atidžiai stebėti dėl </w:t>
      </w:r>
      <w:proofErr w:type="spellStart"/>
      <w:r w:rsidRPr="003F564F">
        <w:rPr>
          <w:sz w:val="22"/>
          <w:szCs w:val="24"/>
        </w:rPr>
        <w:t>citopenijos</w:t>
      </w:r>
      <w:proofErr w:type="spellEnd"/>
      <w:r w:rsidRPr="003F564F">
        <w:rPr>
          <w:sz w:val="22"/>
          <w:szCs w:val="24"/>
        </w:rPr>
        <w:t xml:space="preserve"> pasireiškimo.</w:t>
      </w:r>
    </w:p>
    <w:p w14:paraId="1D9B93D5" w14:textId="77777777" w:rsidR="00341469" w:rsidRPr="003F564F" w:rsidRDefault="00341469" w:rsidP="00341469">
      <w:pPr>
        <w:tabs>
          <w:tab w:val="left" w:pos="567"/>
        </w:tabs>
        <w:spacing w:line="260" w:lineRule="exact"/>
        <w:rPr>
          <w:sz w:val="22"/>
          <w:szCs w:val="24"/>
        </w:rPr>
      </w:pPr>
    </w:p>
    <w:p w14:paraId="43CA8257" w14:textId="00036739" w:rsidR="00341469" w:rsidRPr="003F564F" w:rsidRDefault="00341469" w:rsidP="00341469">
      <w:pPr>
        <w:tabs>
          <w:tab w:val="left" w:pos="567"/>
        </w:tabs>
        <w:spacing w:line="260" w:lineRule="exact"/>
        <w:rPr>
          <w:sz w:val="22"/>
          <w:szCs w:val="24"/>
          <w:u w:val="single"/>
        </w:rPr>
      </w:pPr>
      <w:proofErr w:type="spellStart"/>
      <w:r w:rsidRPr="003F564F">
        <w:rPr>
          <w:sz w:val="22"/>
          <w:szCs w:val="24"/>
          <w:u w:val="single"/>
        </w:rPr>
        <w:t>Ruksolitinibo</w:t>
      </w:r>
      <w:proofErr w:type="spellEnd"/>
      <w:r w:rsidRPr="003F564F">
        <w:rPr>
          <w:sz w:val="22"/>
          <w:szCs w:val="24"/>
          <w:u w:val="single"/>
        </w:rPr>
        <w:t xml:space="preserve"> poveikis kitiems vaistiniams preparatams</w:t>
      </w:r>
    </w:p>
    <w:p w14:paraId="635A5A71" w14:textId="77777777" w:rsidR="00341469" w:rsidRPr="003F564F" w:rsidRDefault="00341469" w:rsidP="00341469">
      <w:pPr>
        <w:tabs>
          <w:tab w:val="left" w:pos="567"/>
        </w:tabs>
        <w:spacing w:line="260" w:lineRule="exact"/>
        <w:rPr>
          <w:sz w:val="22"/>
          <w:szCs w:val="24"/>
        </w:rPr>
      </w:pPr>
    </w:p>
    <w:p w14:paraId="4AF72C6E" w14:textId="7483121A" w:rsidR="00341469" w:rsidRPr="003F564F" w:rsidRDefault="00341469" w:rsidP="00341469">
      <w:pPr>
        <w:tabs>
          <w:tab w:val="left" w:pos="567"/>
        </w:tabs>
        <w:spacing w:line="260" w:lineRule="exact"/>
        <w:rPr>
          <w:i/>
          <w:iCs/>
          <w:sz w:val="22"/>
          <w:szCs w:val="24"/>
          <w:u w:val="single"/>
        </w:rPr>
      </w:pPr>
      <w:r w:rsidRPr="003F564F">
        <w:rPr>
          <w:i/>
          <w:iCs/>
          <w:sz w:val="22"/>
          <w:szCs w:val="24"/>
          <w:u w:val="single"/>
        </w:rPr>
        <w:t>P-</w:t>
      </w:r>
      <w:proofErr w:type="spellStart"/>
      <w:r w:rsidRPr="003F564F">
        <w:rPr>
          <w:i/>
          <w:iCs/>
          <w:sz w:val="22"/>
          <w:szCs w:val="24"/>
          <w:u w:val="single"/>
        </w:rPr>
        <w:t>glikoproteino</w:t>
      </w:r>
      <w:proofErr w:type="spellEnd"/>
      <w:r w:rsidRPr="003F564F">
        <w:rPr>
          <w:i/>
          <w:iCs/>
          <w:sz w:val="22"/>
          <w:szCs w:val="24"/>
          <w:u w:val="single"/>
        </w:rPr>
        <w:t xml:space="preserve"> ar kiti nešiklių transportuojamos medžiagos</w:t>
      </w:r>
    </w:p>
    <w:p w14:paraId="05D47892" w14:textId="35CE56C9" w:rsidR="00341469" w:rsidRPr="003F564F" w:rsidRDefault="00341469" w:rsidP="00341469">
      <w:pPr>
        <w:tabs>
          <w:tab w:val="left" w:pos="567"/>
        </w:tabs>
        <w:spacing w:line="260" w:lineRule="exact"/>
        <w:rPr>
          <w:sz w:val="22"/>
          <w:szCs w:val="24"/>
        </w:rPr>
      </w:pPr>
      <w:proofErr w:type="spellStart"/>
      <w:r w:rsidRPr="003F564F">
        <w:rPr>
          <w:sz w:val="22"/>
          <w:szCs w:val="24"/>
        </w:rPr>
        <w:t>Ruksolitinibas</w:t>
      </w:r>
      <w:proofErr w:type="spellEnd"/>
      <w:r w:rsidRPr="003F564F">
        <w:rPr>
          <w:sz w:val="22"/>
          <w:szCs w:val="24"/>
        </w:rPr>
        <w:t xml:space="preserve"> žarnyne gali slopinti P-</w:t>
      </w:r>
      <w:proofErr w:type="spellStart"/>
      <w:r w:rsidRPr="003F564F">
        <w:rPr>
          <w:sz w:val="22"/>
          <w:szCs w:val="24"/>
        </w:rPr>
        <w:t>glikoproteino</w:t>
      </w:r>
      <w:proofErr w:type="spellEnd"/>
      <w:r w:rsidRPr="003F564F">
        <w:rPr>
          <w:sz w:val="22"/>
          <w:szCs w:val="24"/>
        </w:rPr>
        <w:t xml:space="preserve"> ir krūties vėžio rezistentiškumo baltymo (angl. </w:t>
      </w:r>
      <w:proofErr w:type="spellStart"/>
      <w:r w:rsidRPr="003F564F">
        <w:rPr>
          <w:i/>
          <w:iCs/>
          <w:sz w:val="22"/>
          <w:szCs w:val="24"/>
        </w:rPr>
        <w:t>breast</w:t>
      </w:r>
      <w:proofErr w:type="spellEnd"/>
      <w:r w:rsidRPr="003F564F">
        <w:rPr>
          <w:i/>
          <w:iCs/>
          <w:sz w:val="22"/>
          <w:szCs w:val="24"/>
        </w:rPr>
        <w:t xml:space="preserve"> </w:t>
      </w:r>
      <w:proofErr w:type="spellStart"/>
      <w:r w:rsidRPr="003F564F">
        <w:rPr>
          <w:i/>
          <w:iCs/>
          <w:sz w:val="22"/>
          <w:szCs w:val="24"/>
        </w:rPr>
        <w:t>cancer</w:t>
      </w:r>
      <w:proofErr w:type="spellEnd"/>
      <w:r w:rsidRPr="003F564F">
        <w:rPr>
          <w:i/>
          <w:iCs/>
          <w:sz w:val="22"/>
          <w:szCs w:val="24"/>
        </w:rPr>
        <w:t xml:space="preserve"> </w:t>
      </w:r>
      <w:proofErr w:type="spellStart"/>
      <w:r w:rsidRPr="003F564F">
        <w:rPr>
          <w:i/>
          <w:iCs/>
          <w:sz w:val="22"/>
          <w:szCs w:val="24"/>
        </w:rPr>
        <w:t>resistance</w:t>
      </w:r>
      <w:proofErr w:type="spellEnd"/>
      <w:r w:rsidRPr="003F564F">
        <w:rPr>
          <w:i/>
          <w:iCs/>
          <w:sz w:val="22"/>
          <w:szCs w:val="24"/>
        </w:rPr>
        <w:t xml:space="preserve"> </w:t>
      </w:r>
      <w:proofErr w:type="spellStart"/>
      <w:r w:rsidRPr="003F564F">
        <w:rPr>
          <w:i/>
          <w:iCs/>
          <w:sz w:val="22"/>
          <w:szCs w:val="24"/>
        </w:rPr>
        <w:t>protein</w:t>
      </w:r>
      <w:proofErr w:type="spellEnd"/>
      <w:r w:rsidRPr="003F564F">
        <w:rPr>
          <w:sz w:val="22"/>
          <w:szCs w:val="24"/>
        </w:rPr>
        <w:t xml:space="preserve"> - BCRP) aktyvumą. Dėl to gali padidėti sisteminė šių nešiklių substratų (pvz., </w:t>
      </w:r>
      <w:proofErr w:type="spellStart"/>
      <w:r w:rsidRPr="003F564F">
        <w:rPr>
          <w:sz w:val="22"/>
          <w:szCs w:val="24"/>
        </w:rPr>
        <w:t>dabigatrano</w:t>
      </w:r>
      <w:proofErr w:type="spellEnd"/>
      <w:r w:rsidRPr="003F564F">
        <w:rPr>
          <w:sz w:val="22"/>
          <w:szCs w:val="24"/>
        </w:rPr>
        <w:t xml:space="preserve"> </w:t>
      </w:r>
      <w:proofErr w:type="spellStart"/>
      <w:r w:rsidRPr="003F564F">
        <w:rPr>
          <w:sz w:val="22"/>
          <w:szCs w:val="24"/>
        </w:rPr>
        <w:t>eteksilato</w:t>
      </w:r>
      <w:proofErr w:type="spellEnd"/>
      <w:r w:rsidRPr="003F564F">
        <w:rPr>
          <w:sz w:val="22"/>
          <w:szCs w:val="24"/>
        </w:rPr>
        <w:t xml:space="preserve">, </w:t>
      </w:r>
      <w:proofErr w:type="spellStart"/>
      <w:r w:rsidRPr="003F564F">
        <w:rPr>
          <w:sz w:val="22"/>
          <w:szCs w:val="24"/>
        </w:rPr>
        <w:t>ciklosporino</w:t>
      </w:r>
      <w:proofErr w:type="spellEnd"/>
      <w:r w:rsidRPr="003F564F">
        <w:rPr>
          <w:sz w:val="22"/>
          <w:szCs w:val="24"/>
        </w:rPr>
        <w:t xml:space="preserve">, </w:t>
      </w:r>
      <w:proofErr w:type="spellStart"/>
      <w:r w:rsidRPr="003F564F">
        <w:rPr>
          <w:sz w:val="22"/>
          <w:szCs w:val="24"/>
        </w:rPr>
        <w:t>rozuvastatino</w:t>
      </w:r>
      <w:proofErr w:type="spellEnd"/>
      <w:r w:rsidRPr="003F564F">
        <w:rPr>
          <w:sz w:val="22"/>
          <w:szCs w:val="24"/>
        </w:rPr>
        <w:t xml:space="preserve"> ir galimai </w:t>
      </w:r>
      <w:proofErr w:type="spellStart"/>
      <w:r w:rsidRPr="003F564F">
        <w:rPr>
          <w:sz w:val="22"/>
          <w:szCs w:val="24"/>
        </w:rPr>
        <w:t>digoksino</w:t>
      </w:r>
      <w:proofErr w:type="spellEnd"/>
      <w:r w:rsidRPr="003F564F">
        <w:rPr>
          <w:sz w:val="22"/>
          <w:szCs w:val="24"/>
        </w:rPr>
        <w:t>) ekspozicija. Rekomenduojama stebėti terapinį šių vaistinių preparatų poveikį arba klinikinę pacientų būklę.</w:t>
      </w:r>
    </w:p>
    <w:p w14:paraId="3F46B527" w14:textId="77777777" w:rsidR="00341469" w:rsidRPr="003F564F" w:rsidRDefault="00341469" w:rsidP="00341469">
      <w:pPr>
        <w:tabs>
          <w:tab w:val="left" w:pos="567"/>
        </w:tabs>
        <w:spacing w:line="260" w:lineRule="exact"/>
        <w:rPr>
          <w:sz w:val="22"/>
          <w:szCs w:val="24"/>
        </w:rPr>
      </w:pPr>
    </w:p>
    <w:p w14:paraId="1251A746" w14:textId="172AFDD7" w:rsidR="00341469" w:rsidRPr="003F564F" w:rsidRDefault="00341469" w:rsidP="00341469">
      <w:pPr>
        <w:tabs>
          <w:tab w:val="left" w:pos="567"/>
        </w:tabs>
        <w:spacing w:line="260" w:lineRule="exact"/>
        <w:rPr>
          <w:sz w:val="22"/>
          <w:szCs w:val="24"/>
        </w:rPr>
      </w:pPr>
      <w:r w:rsidRPr="003F564F">
        <w:rPr>
          <w:sz w:val="22"/>
          <w:szCs w:val="24"/>
        </w:rPr>
        <w:t>Gali būti, kad P-</w:t>
      </w:r>
      <w:proofErr w:type="spellStart"/>
      <w:r w:rsidRPr="003F564F">
        <w:rPr>
          <w:sz w:val="22"/>
          <w:szCs w:val="24"/>
        </w:rPr>
        <w:t>gp</w:t>
      </w:r>
      <w:proofErr w:type="spellEnd"/>
      <w:r w:rsidRPr="003F564F">
        <w:rPr>
          <w:sz w:val="22"/>
          <w:szCs w:val="24"/>
        </w:rPr>
        <w:t xml:space="preserve"> ir BCRP slopinimas žarnyne bus nedidelis, jeigu bus kiek įmanoma pailgintas laiko tarpas tarp šių vaistinių preparatų vartojimo.</w:t>
      </w:r>
    </w:p>
    <w:p w14:paraId="240729CC" w14:textId="77777777" w:rsidR="00341469" w:rsidRPr="003F564F" w:rsidRDefault="00341469" w:rsidP="00341469">
      <w:pPr>
        <w:tabs>
          <w:tab w:val="left" w:pos="567"/>
        </w:tabs>
        <w:spacing w:line="260" w:lineRule="exact"/>
        <w:rPr>
          <w:sz w:val="22"/>
          <w:szCs w:val="24"/>
        </w:rPr>
      </w:pPr>
    </w:p>
    <w:p w14:paraId="78F6D52E" w14:textId="13AC63C0" w:rsidR="00341469" w:rsidRPr="003F564F" w:rsidRDefault="00341469" w:rsidP="00341469">
      <w:pPr>
        <w:tabs>
          <w:tab w:val="left" w:pos="567"/>
        </w:tabs>
        <w:spacing w:line="260" w:lineRule="exact"/>
        <w:rPr>
          <w:sz w:val="22"/>
          <w:szCs w:val="24"/>
        </w:rPr>
      </w:pPr>
      <w:r w:rsidRPr="003F564F">
        <w:rPr>
          <w:sz w:val="22"/>
          <w:szCs w:val="24"/>
        </w:rPr>
        <w:t xml:space="preserve">Tyrimas su sveikais savanoriais parodė, kad </w:t>
      </w:r>
      <w:proofErr w:type="spellStart"/>
      <w:r w:rsidRPr="003F564F">
        <w:rPr>
          <w:sz w:val="22"/>
          <w:szCs w:val="24"/>
        </w:rPr>
        <w:t>ruksolitinibas</w:t>
      </w:r>
      <w:proofErr w:type="spellEnd"/>
      <w:r w:rsidRPr="003F564F">
        <w:rPr>
          <w:sz w:val="22"/>
          <w:szCs w:val="24"/>
        </w:rPr>
        <w:t xml:space="preserve"> neslopina geriamojo CYP3A4 substrato </w:t>
      </w:r>
      <w:proofErr w:type="spellStart"/>
      <w:r w:rsidRPr="003F564F">
        <w:rPr>
          <w:sz w:val="22"/>
          <w:szCs w:val="24"/>
        </w:rPr>
        <w:t>midazolamo</w:t>
      </w:r>
      <w:proofErr w:type="spellEnd"/>
      <w:r w:rsidRPr="003F564F">
        <w:rPr>
          <w:sz w:val="22"/>
          <w:szCs w:val="24"/>
        </w:rPr>
        <w:t xml:space="preserve"> metabolizmo. Todėl, nėra poveikio CYP3A4 substratų padidėjimui, tikėtinam derinant juos su </w:t>
      </w:r>
      <w:proofErr w:type="spellStart"/>
      <w:r w:rsidRPr="003F564F">
        <w:rPr>
          <w:sz w:val="22"/>
          <w:szCs w:val="24"/>
        </w:rPr>
        <w:t>ruksolitinibu</w:t>
      </w:r>
      <w:proofErr w:type="spellEnd"/>
      <w:r w:rsidRPr="003F564F">
        <w:rPr>
          <w:sz w:val="22"/>
          <w:szCs w:val="24"/>
        </w:rPr>
        <w:t xml:space="preserve">. Kitas tyrimas su sveikais asmenimis parodė, kad </w:t>
      </w:r>
      <w:proofErr w:type="spellStart"/>
      <w:r w:rsidRPr="003F564F">
        <w:rPr>
          <w:sz w:val="22"/>
          <w:szCs w:val="24"/>
        </w:rPr>
        <w:t>ruksolitinibas</w:t>
      </w:r>
      <w:proofErr w:type="spellEnd"/>
      <w:r w:rsidRPr="003F564F">
        <w:rPr>
          <w:sz w:val="22"/>
          <w:szCs w:val="24"/>
        </w:rPr>
        <w:t xml:space="preserve"> neveikia geriamųjų kontraceptikų, kurių sudėtyje yra </w:t>
      </w:r>
      <w:proofErr w:type="spellStart"/>
      <w:r w:rsidRPr="003F564F">
        <w:rPr>
          <w:sz w:val="22"/>
          <w:szCs w:val="24"/>
        </w:rPr>
        <w:t>etinilestradiolio</w:t>
      </w:r>
      <w:proofErr w:type="spellEnd"/>
      <w:r w:rsidRPr="003F564F">
        <w:rPr>
          <w:sz w:val="22"/>
          <w:szCs w:val="24"/>
        </w:rPr>
        <w:t xml:space="preserve"> ir </w:t>
      </w:r>
      <w:proofErr w:type="spellStart"/>
      <w:r w:rsidRPr="003F564F">
        <w:rPr>
          <w:sz w:val="22"/>
          <w:szCs w:val="24"/>
        </w:rPr>
        <w:t>levonorgestrelio</w:t>
      </w:r>
      <w:proofErr w:type="spellEnd"/>
      <w:r w:rsidRPr="003F564F">
        <w:rPr>
          <w:sz w:val="22"/>
          <w:szCs w:val="24"/>
        </w:rPr>
        <w:t xml:space="preserve">, farmakokinetikos. Manoma, kad šio derinio kontraceptinis efektyvumas nepakenks bendram </w:t>
      </w:r>
      <w:proofErr w:type="spellStart"/>
      <w:r w:rsidRPr="003F564F">
        <w:rPr>
          <w:sz w:val="22"/>
          <w:szCs w:val="24"/>
        </w:rPr>
        <w:t>ruksolitinibo</w:t>
      </w:r>
      <w:proofErr w:type="spellEnd"/>
      <w:r w:rsidRPr="003F564F">
        <w:rPr>
          <w:sz w:val="22"/>
          <w:szCs w:val="24"/>
        </w:rPr>
        <w:t xml:space="preserve"> veikimui.</w:t>
      </w:r>
    </w:p>
    <w:p w14:paraId="24448587" w14:textId="77777777" w:rsidR="008D3B35" w:rsidRPr="003F564F" w:rsidRDefault="008D3B35">
      <w:pPr>
        <w:tabs>
          <w:tab w:val="left" w:pos="567"/>
        </w:tabs>
        <w:spacing w:line="260" w:lineRule="exact"/>
        <w:rPr>
          <w:sz w:val="22"/>
          <w:szCs w:val="24"/>
        </w:rPr>
      </w:pPr>
    </w:p>
    <w:p w14:paraId="73C3474F" w14:textId="77777777" w:rsidR="008D3B35" w:rsidRPr="003F564F" w:rsidRDefault="00AB4978">
      <w:pPr>
        <w:keepNext/>
        <w:tabs>
          <w:tab w:val="left" w:pos="567"/>
        </w:tabs>
        <w:spacing w:line="260" w:lineRule="exact"/>
        <w:jc w:val="both"/>
        <w:outlineLvl w:val="3"/>
        <w:rPr>
          <w:b/>
          <w:bCs/>
          <w:sz w:val="22"/>
          <w:szCs w:val="28"/>
          <w:lang w:eastAsia="x-none"/>
        </w:rPr>
      </w:pPr>
      <w:r w:rsidRPr="003F564F">
        <w:rPr>
          <w:b/>
          <w:bCs/>
          <w:sz w:val="22"/>
          <w:szCs w:val="28"/>
          <w:lang w:eastAsia="x-none"/>
        </w:rPr>
        <w:t>4.6</w:t>
      </w:r>
      <w:r w:rsidRPr="003F564F">
        <w:rPr>
          <w:b/>
          <w:bCs/>
          <w:sz w:val="22"/>
          <w:szCs w:val="28"/>
          <w:lang w:eastAsia="x-none"/>
        </w:rPr>
        <w:tab/>
        <w:t>Vaisingumas, nėštumo ir žindymo laikotarpis</w:t>
      </w:r>
    </w:p>
    <w:p w14:paraId="2593958A" w14:textId="77777777" w:rsidR="008D3B35" w:rsidRPr="003F564F" w:rsidRDefault="008D3B35">
      <w:pPr>
        <w:tabs>
          <w:tab w:val="left" w:pos="567"/>
        </w:tabs>
        <w:spacing w:line="260" w:lineRule="exact"/>
        <w:rPr>
          <w:sz w:val="22"/>
          <w:szCs w:val="24"/>
        </w:rPr>
      </w:pPr>
    </w:p>
    <w:p w14:paraId="05A924CB" w14:textId="77777777" w:rsidR="00341469" w:rsidRPr="003F564F" w:rsidRDefault="00341469" w:rsidP="00341469">
      <w:pPr>
        <w:tabs>
          <w:tab w:val="left" w:pos="567"/>
        </w:tabs>
        <w:spacing w:line="260" w:lineRule="exact"/>
        <w:rPr>
          <w:sz w:val="22"/>
          <w:szCs w:val="24"/>
          <w:u w:val="single"/>
        </w:rPr>
      </w:pPr>
      <w:r w:rsidRPr="003F564F">
        <w:rPr>
          <w:sz w:val="22"/>
          <w:szCs w:val="24"/>
          <w:u w:val="single"/>
        </w:rPr>
        <w:t>Nėštumas</w:t>
      </w:r>
    </w:p>
    <w:p w14:paraId="2A3F26B6" w14:textId="77777777" w:rsidR="00341469" w:rsidRPr="003F564F" w:rsidRDefault="00341469" w:rsidP="00341469">
      <w:pPr>
        <w:tabs>
          <w:tab w:val="left" w:pos="567"/>
        </w:tabs>
        <w:spacing w:line="260" w:lineRule="exact"/>
        <w:rPr>
          <w:sz w:val="22"/>
          <w:szCs w:val="24"/>
        </w:rPr>
      </w:pPr>
    </w:p>
    <w:p w14:paraId="44F532EC" w14:textId="709C51BB" w:rsidR="00341469" w:rsidRPr="003F564F" w:rsidRDefault="00341469" w:rsidP="00341469">
      <w:pPr>
        <w:tabs>
          <w:tab w:val="left" w:pos="567"/>
        </w:tabs>
        <w:spacing w:line="260" w:lineRule="exact"/>
        <w:rPr>
          <w:sz w:val="22"/>
          <w:szCs w:val="24"/>
        </w:rPr>
      </w:pPr>
      <w:r w:rsidRPr="003F564F">
        <w:rPr>
          <w:sz w:val="22"/>
          <w:szCs w:val="24"/>
        </w:rPr>
        <w:t xml:space="preserve">Duomenų apie </w:t>
      </w:r>
      <w:proofErr w:type="spellStart"/>
      <w:r w:rsidR="007608FD" w:rsidRPr="003F564F">
        <w:rPr>
          <w:sz w:val="22"/>
          <w:szCs w:val="24"/>
        </w:rPr>
        <w:t>ruksolitinibo</w:t>
      </w:r>
      <w:proofErr w:type="spellEnd"/>
      <w:r w:rsidR="007608FD" w:rsidRPr="003F564F">
        <w:rPr>
          <w:sz w:val="22"/>
          <w:szCs w:val="24"/>
        </w:rPr>
        <w:t xml:space="preserve"> </w:t>
      </w:r>
      <w:r w:rsidRPr="003F564F">
        <w:rPr>
          <w:sz w:val="22"/>
          <w:szCs w:val="24"/>
        </w:rPr>
        <w:t>vartojimą nėštumo metu nėra.</w:t>
      </w:r>
    </w:p>
    <w:p w14:paraId="0E640B52" w14:textId="77777777" w:rsidR="00341469" w:rsidRPr="003F564F" w:rsidRDefault="00341469" w:rsidP="00341469">
      <w:pPr>
        <w:tabs>
          <w:tab w:val="left" w:pos="567"/>
        </w:tabs>
        <w:spacing w:line="260" w:lineRule="exact"/>
        <w:rPr>
          <w:sz w:val="22"/>
          <w:szCs w:val="24"/>
        </w:rPr>
      </w:pPr>
    </w:p>
    <w:p w14:paraId="3DAD5832" w14:textId="4C90D9B7" w:rsidR="00341469" w:rsidRPr="003F564F" w:rsidRDefault="00341469" w:rsidP="00341469">
      <w:pPr>
        <w:tabs>
          <w:tab w:val="left" w:pos="567"/>
        </w:tabs>
        <w:spacing w:line="260" w:lineRule="exact"/>
        <w:rPr>
          <w:sz w:val="22"/>
          <w:szCs w:val="24"/>
        </w:rPr>
      </w:pPr>
      <w:r w:rsidRPr="003F564F">
        <w:rPr>
          <w:sz w:val="22"/>
          <w:szCs w:val="24"/>
        </w:rPr>
        <w:t xml:space="preserve">Su gyvūnais atlikti tyrimai parodė, kad </w:t>
      </w:r>
      <w:proofErr w:type="spellStart"/>
      <w:r w:rsidRPr="003F564F">
        <w:rPr>
          <w:sz w:val="22"/>
          <w:szCs w:val="24"/>
        </w:rPr>
        <w:t>ruksolitinibui</w:t>
      </w:r>
      <w:proofErr w:type="spellEnd"/>
      <w:r w:rsidRPr="003F564F">
        <w:rPr>
          <w:sz w:val="22"/>
          <w:szCs w:val="24"/>
        </w:rPr>
        <w:t xml:space="preserve"> būdingas toksinis poveikis embrionui ir vaisiui.</w:t>
      </w:r>
      <w:r w:rsidR="007608FD" w:rsidRPr="003F564F">
        <w:rPr>
          <w:sz w:val="22"/>
          <w:szCs w:val="24"/>
        </w:rPr>
        <w:t xml:space="preserve"> </w:t>
      </w:r>
      <w:r w:rsidRPr="003F564F">
        <w:rPr>
          <w:sz w:val="22"/>
          <w:szCs w:val="24"/>
        </w:rPr>
        <w:t xml:space="preserve">Su žiurkėmis ir triušiais atliktų tyrimų metu </w:t>
      </w:r>
      <w:proofErr w:type="spellStart"/>
      <w:r w:rsidRPr="003F564F">
        <w:rPr>
          <w:sz w:val="22"/>
          <w:szCs w:val="24"/>
        </w:rPr>
        <w:t>teratogeninio</w:t>
      </w:r>
      <w:proofErr w:type="spellEnd"/>
      <w:r w:rsidRPr="003F564F">
        <w:rPr>
          <w:sz w:val="22"/>
          <w:szCs w:val="24"/>
        </w:rPr>
        <w:t xml:space="preserve"> poveikio nenustatyta. Tačiau pasiektos</w:t>
      </w:r>
      <w:r w:rsidR="007608FD" w:rsidRPr="003F564F">
        <w:rPr>
          <w:sz w:val="22"/>
          <w:szCs w:val="24"/>
        </w:rPr>
        <w:t xml:space="preserve"> </w:t>
      </w:r>
      <w:r w:rsidRPr="003F564F">
        <w:rPr>
          <w:sz w:val="22"/>
          <w:szCs w:val="24"/>
        </w:rPr>
        <w:t>vaistinio preparato ekspozicijos ribos, palyginus su ekspozicija vartojant didžiausią dozę žmonėms,</w:t>
      </w:r>
      <w:r w:rsidR="007608FD" w:rsidRPr="003F564F">
        <w:rPr>
          <w:sz w:val="22"/>
          <w:szCs w:val="24"/>
        </w:rPr>
        <w:t xml:space="preserve"> </w:t>
      </w:r>
      <w:r w:rsidRPr="003F564F">
        <w:rPr>
          <w:sz w:val="22"/>
          <w:szCs w:val="24"/>
        </w:rPr>
        <w:t>buvo nedidelės, todėl šių tyrimų rezultatų klinikinė reikšmė ribota (žr.</w:t>
      </w:r>
      <w:r w:rsidR="007608FD" w:rsidRPr="003F564F">
        <w:rPr>
          <w:sz w:val="22"/>
          <w:szCs w:val="24"/>
        </w:rPr>
        <w:t> </w:t>
      </w:r>
      <w:r w:rsidRPr="003F564F">
        <w:rPr>
          <w:sz w:val="22"/>
          <w:szCs w:val="24"/>
        </w:rPr>
        <w:t>5.3</w:t>
      </w:r>
      <w:r w:rsidR="007608FD" w:rsidRPr="003F564F">
        <w:rPr>
          <w:sz w:val="22"/>
          <w:szCs w:val="24"/>
        </w:rPr>
        <w:t> </w:t>
      </w:r>
      <w:r w:rsidRPr="003F564F">
        <w:rPr>
          <w:sz w:val="22"/>
          <w:szCs w:val="24"/>
        </w:rPr>
        <w:t>skyrių). Galimas pavojus</w:t>
      </w:r>
      <w:r w:rsidR="007608FD" w:rsidRPr="003F564F">
        <w:rPr>
          <w:sz w:val="22"/>
          <w:szCs w:val="24"/>
        </w:rPr>
        <w:t xml:space="preserve"> </w:t>
      </w:r>
      <w:r w:rsidRPr="003F564F">
        <w:rPr>
          <w:sz w:val="22"/>
          <w:szCs w:val="24"/>
        </w:rPr>
        <w:t xml:space="preserve">žmogui nežinomas. Laikantis atsargumo priemonių, </w:t>
      </w:r>
      <w:proofErr w:type="spellStart"/>
      <w:r w:rsidR="00177439">
        <w:rPr>
          <w:sz w:val="22"/>
          <w:szCs w:val="24"/>
        </w:rPr>
        <w:t>Ruxolitinib</w:t>
      </w:r>
      <w:proofErr w:type="spellEnd"/>
      <w:r w:rsidR="00177439">
        <w:rPr>
          <w:sz w:val="22"/>
          <w:szCs w:val="24"/>
        </w:rPr>
        <w:t xml:space="preserve"> </w:t>
      </w:r>
      <w:proofErr w:type="spellStart"/>
      <w:r w:rsidR="00177439">
        <w:rPr>
          <w:sz w:val="22"/>
          <w:szCs w:val="24"/>
        </w:rPr>
        <w:t>Sandoz</w:t>
      </w:r>
      <w:proofErr w:type="spellEnd"/>
      <w:r w:rsidR="00177439" w:rsidRPr="003F564F">
        <w:rPr>
          <w:sz w:val="22"/>
          <w:szCs w:val="24"/>
        </w:rPr>
        <w:t xml:space="preserve"> </w:t>
      </w:r>
      <w:r w:rsidRPr="003F564F">
        <w:rPr>
          <w:sz w:val="22"/>
          <w:szCs w:val="24"/>
        </w:rPr>
        <w:t>negalima vartoti nėštumo metu (žr.</w:t>
      </w:r>
      <w:r w:rsidR="007608FD" w:rsidRPr="003F564F">
        <w:rPr>
          <w:sz w:val="22"/>
          <w:szCs w:val="24"/>
        </w:rPr>
        <w:t> </w:t>
      </w:r>
      <w:r w:rsidRPr="003F564F">
        <w:rPr>
          <w:sz w:val="22"/>
          <w:szCs w:val="24"/>
        </w:rPr>
        <w:t>4.3</w:t>
      </w:r>
      <w:r w:rsidR="007608FD" w:rsidRPr="003F564F">
        <w:rPr>
          <w:sz w:val="22"/>
          <w:szCs w:val="24"/>
        </w:rPr>
        <w:t> </w:t>
      </w:r>
      <w:r w:rsidRPr="003F564F">
        <w:rPr>
          <w:sz w:val="22"/>
          <w:szCs w:val="24"/>
        </w:rPr>
        <w:t>skyrių).</w:t>
      </w:r>
    </w:p>
    <w:p w14:paraId="09B76819" w14:textId="77777777" w:rsidR="00341469" w:rsidRPr="003F564F" w:rsidRDefault="00341469" w:rsidP="00341469">
      <w:pPr>
        <w:tabs>
          <w:tab w:val="left" w:pos="567"/>
        </w:tabs>
        <w:spacing w:line="260" w:lineRule="exact"/>
        <w:rPr>
          <w:sz w:val="22"/>
          <w:szCs w:val="24"/>
        </w:rPr>
      </w:pPr>
    </w:p>
    <w:p w14:paraId="3E1D4477" w14:textId="2F131272" w:rsidR="00341469" w:rsidRPr="003F564F" w:rsidRDefault="00341469" w:rsidP="00341469">
      <w:pPr>
        <w:tabs>
          <w:tab w:val="left" w:pos="567"/>
        </w:tabs>
        <w:spacing w:line="260" w:lineRule="exact"/>
        <w:rPr>
          <w:sz w:val="22"/>
          <w:szCs w:val="24"/>
          <w:u w:val="single"/>
        </w:rPr>
      </w:pPr>
      <w:r w:rsidRPr="003F564F">
        <w:rPr>
          <w:sz w:val="22"/>
          <w:szCs w:val="24"/>
          <w:u w:val="single"/>
        </w:rPr>
        <w:t>Vaisingos moterys / Kontracepcija</w:t>
      </w:r>
    </w:p>
    <w:p w14:paraId="02EA04F4" w14:textId="77777777" w:rsidR="00341469" w:rsidRPr="003F564F" w:rsidRDefault="00341469" w:rsidP="00341469">
      <w:pPr>
        <w:tabs>
          <w:tab w:val="left" w:pos="567"/>
        </w:tabs>
        <w:spacing w:line="260" w:lineRule="exact"/>
        <w:rPr>
          <w:sz w:val="22"/>
          <w:szCs w:val="24"/>
        </w:rPr>
      </w:pPr>
    </w:p>
    <w:p w14:paraId="742B5464" w14:textId="0E5B83BA" w:rsidR="00341469" w:rsidRPr="003F564F" w:rsidRDefault="00341469" w:rsidP="00341469">
      <w:pPr>
        <w:tabs>
          <w:tab w:val="left" w:pos="567"/>
        </w:tabs>
        <w:spacing w:line="260" w:lineRule="exact"/>
        <w:rPr>
          <w:sz w:val="22"/>
          <w:szCs w:val="24"/>
        </w:rPr>
      </w:pPr>
      <w:r w:rsidRPr="003F564F">
        <w:rPr>
          <w:sz w:val="22"/>
          <w:szCs w:val="24"/>
        </w:rPr>
        <w:t xml:space="preserve">Vaisingoms moterims gydimosi </w:t>
      </w:r>
      <w:proofErr w:type="spellStart"/>
      <w:r w:rsidR="007608FD" w:rsidRPr="003F564F">
        <w:rPr>
          <w:sz w:val="22"/>
          <w:szCs w:val="24"/>
        </w:rPr>
        <w:t>ruksolitinibu</w:t>
      </w:r>
      <w:proofErr w:type="spellEnd"/>
      <w:r w:rsidR="007608FD" w:rsidRPr="003F564F">
        <w:rPr>
          <w:sz w:val="22"/>
          <w:szCs w:val="24"/>
        </w:rPr>
        <w:t xml:space="preserve"> </w:t>
      </w:r>
      <w:r w:rsidRPr="003F564F">
        <w:rPr>
          <w:sz w:val="22"/>
          <w:szCs w:val="24"/>
        </w:rPr>
        <w:t>metu reikia vartoti veiksmingas kontracepcijos priemones.</w:t>
      </w:r>
      <w:r w:rsidR="007608FD" w:rsidRPr="003F564F">
        <w:rPr>
          <w:sz w:val="22"/>
          <w:szCs w:val="24"/>
        </w:rPr>
        <w:t xml:space="preserve"> </w:t>
      </w:r>
      <w:r w:rsidRPr="003F564F">
        <w:rPr>
          <w:sz w:val="22"/>
          <w:szCs w:val="24"/>
        </w:rPr>
        <w:t xml:space="preserve">Moteriai pastojus </w:t>
      </w:r>
      <w:proofErr w:type="spellStart"/>
      <w:r w:rsidR="007608FD" w:rsidRPr="003F564F">
        <w:rPr>
          <w:sz w:val="22"/>
          <w:szCs w:val="24"/>
        </w:rPr>
        <w:t>ruksolitinibo</w:t>
      </w:r>
      <w:proofErr w:type="spellEnd"/>
      <w:r w:rsidR="007608FD" w:rsidRPr="003F564F">
        <w:rPr>
          <w:sz w:val="22"/>
          <w:szCs w:val="24"/>
        </w:rPr>
        <w:t xml:space="preserve"> </w:t>
      </w:r>
      <w:r w:rsidRPr="003F564F">
        <w:rPr>
          <w:sz w:val="22"/>
          <w:szCs w:val="24"/>
        </w:rPr>
        <w:t>vartojimo metu, kiekvienu atveju būtina įvertinti rizikos ir naudos santykį ir</w:t>
      </w:r>
      <w:r w:rsidR="007608FD" w:rsidRPr="003F564F">
        <w:rPr>
          <w:sz w:val="22"/>
          <w:szCs w:val="24"/>
        </w:rPr>
        <w:t xml:space="preserve"> </w:t>
      </w:r>
      <w:r w:rsidRPr="003F564F">
        <w:rPr>
          <w:sz w:val="22"/>
          <w:szCs w:val="24"/>
        </w:rPr>
        <w:t>tiksliai paaiškinti apie galimą pavojų vaisiui (žr.</w:t>
      </w:r>
      <w:r w:rsidR="007608FD" w:rsidRPr="003F564F">
        <w:rPr>
          <w:sz w:val="22"/>
          <w:szCs w:val="24"/>
        </w:rPr>
        <w:t> </w:t>
      </w:r>
      <w:r w:rsidRPr="003F564F">
        <w:rPr>
          <w:sz w:val="22"/>
          <w:szCs w:val="24"/>
        </w:rPr>
        <w:t>5.3</w:t>
      </w:r>
      <w:r w:rsidR="007608FD" w:rsidRPr="003F564F">
        <w:rPr>
          <w:sz w:val="22"/>
          <w:szCs w:val="24"/>
        </w:rPr>
        <w:t> </w:t>
      </w:r>
      <w:r w:rsidRPr="003F564F">
        <w:rPr>
          <w:sz w:val="22"/>
          <w:szCs w:val="24"/>
        </w:rPr>
        <w:t>skyrių).</w:t>
      </w:r>
    </w:p>
    <w:p w14:paraId="53A6CC44" w14:textId="77777777" w:rsidR="00341469" w:rsidRPr="003F564F" w:rsidRDefault="00341469" w:rsidP="00341469">
      <w:pPr>
        <w:tabs>
          <w:tab w:val="left" w:pos="567"/>
        </w:tabs>
        <w:spacing w:line="260" w:lineRule="exact"/>
        <w:rPr>
          <w:sz w:val="22"/>
          <w:szCs w:val="24"/>
        </w:rPr>
      </w:pPr>
    </w:p>
    <w:p w14:paraId="3D5177B0" w14:textId="66CCA36F" w:rsidR="00341469" w:rsidRPr="003F564F" w:rsidRDefault="00341469" w:rsidP="00341469">
      <w:pPr>
        <w:tabs>
          <w:tab w:val="left" w:pos="567"/>
        </w:tabs>
        <w:spacing w:line="260" w:lineRule="exact"/>
        <w:rPr>
          <w:sz w:val="22"/>
          <w:szCs w:val="24"/>
          <w:u w:val="single"/>
        </w:rPr>
      </w:pPr>
      <w:r w:rsidRPr="003F564F">
        <w:rPr>
          <w:sz w:val="22"/>
          <w:szCs w:val="24"/>
          <w:u w:val="single"/>
        </w:rPr>
        <w:t>Žindymas</w:t>
      </w:r>
    </w:p>
    <w:p w14:paraId="65EA4484" w14:textId="77777777" w:rsidR="00341469" w:rsidRPr="003F564F" w:rsidRDefault="00341469" w:rsidP="00341469">
      <w:pPr>
        <w:tabs>
          <w:tab w:val="left" w:pos="567"/>
        </w:tabs>
        <w:spacing w:line="260" w:lineRule="exact"/>
        <w:rPr>
          <w:sz w:val="22"/>
          <w:szCs w:val="24"/>
        </w:rPr>
      </w:pPr>
    </w:p>
    <w:p w14:paraId="0821D379" w14:textId="722643FE" w:rsidR="00341469" w:rsidRPr="003F564F" w:rsidRDefault="00177439" w:rsidP="00341469">
      <w:pPr>
        <w:tabs>
          <w:tab w:val="left" w:pos="567"/>
        </w:tabs>
        <w:spacing w:line="260" w:lineRule="exact"/>
        <w:rPr>
          <w:sz w:val="22"/>
          <w:szCs w:val="24"/>
        </w:rPr>
      </w:pPr>
      <w:proofErr w:type="spellStart"/>
      <w:r>
        <w:rPr>
          <w:sz w:val="22"/>
          <w:szCs w:val="24"/>
        </w:rPr>
        <w:t>Ruxolitinib</w:t>
      </w:r>
      <w:proofErr w:type="spellEnd"/>
      <w:r>
        <w:rPr>
          <w:sz w:val="22"/>
          <w:szCs w:val="24"/>
        </w:rPr>
        <w:t xml:space="preserve"> </w:t>
      </w:r>
      <w:proofErr w:type="spellStart"/>
      <w:r>
        <w:rPr>
          <w:sz w:val="22"/>
          <w:szCs w:val="24"/>
        </w:rPr>
        <w:t>Sandoz</w:t>
      </w:r>
      <w:proofErr w:type="spellEnd"/>
      <w:r w:rsidRPr="003F564F">
        <w:rPr>
          <w:sz w:val="22"/>
          <w:szCs w:val="24"/>
        </w:rPr>
        <w:t xml:space="preserve"> </w:t>
      </w:r>
      <w:r w:rsidR="00341469" w:rsidRPr="003F564F">
        <w:rPr>
          <w:sz w:val="22"/>
          <w:szCs w:val="24"/>
        </w:rPr>
        <w:t>negalima vartoti žindymo laikotarpiu (žr.</w:t>
      </w:r>
      <w:r w:rsidR="007608FD" w:rsidRPr="003F564F">
        <w:rPr>
          <w:sz w:val="22"/>
          <w:szCs w:val="24"/>
        </w:rPr>
        <w:t> </w:t>
      </w:r>
      <w:r w:rsidR="00341469" w:rsidRPr="003F564F">
        <w:rPr>
          <w:sz w:val="22"/>
          <w:szCs w:val="24"/>
        </w:rPr>
        <w:t>4.3</w:t>
      </w:r>
      <w:r w:rsidR="007608FD" w:rsidRPr="003F564F">
        <w:rPr>
          <w:sz w:val="22"/>
          <w:szCs w:val="24"/>
        </w:rPr>
        <w:t> </w:t>
      </w:r>
      <w:r w:rsidR="00341469" w:rsidRPr="003F564F">
        <w:rPr>
          <w:sz w:val="22"/>
          <w:szCs w:val="24"/>
        </w:rPr>
        <w:t xml:space="preserve">skyrių), todėl pradėjus gydymą </w:t>
      </w:r>
      <w:proofErr w:type="spellStart"/>
      <w:r w:rsidR="007608FD" w:rsidRPr="003F564F">
        <w:rPr>
          <w:sz w:val="22"/>
          <w:szCs w:val="24"/>
        </w:rPr>
        <w:t>ruksolitinibu</w:t>
      </w:r>
      <w:proofErr w:type="spellEnd"/>
      <w:r w:rsidR="007608FD" w:rsidRPr="003F564F">
        <w:rPr>
          <w:sz w:val="22"/>
          <w:szCs w:val="24"/>
        </w:rPr>
        <w:t xml:space="preserve"> </w:t>
      </w:r>
      <w:r w:rsidR="00341469" w:rsidRPr="003F564F">
        <w:rPr>
          <w:sz w:val="22"/>
          <w:szCs w:val="24"/>
        </w:rPr>
        <w:t>žindymą</w:t>
      </w:r>
      <w:r w:rsidR="007608FD" w:rsidRPr="003F564F">
        <w:rPr>
          <w:sz w:val="22"/>
          <w:szCs w:val="24"/>
        </w:rPr>
        <w:t xml:space="preserve"> </w:t>
      </w:r>
      <w:r w:rsidR="00341469" w:rsidRPr="003F564F">
        <w:rPr>
          <w:sz w:val="22"/>
          <w:szCs w:val="24"/>
        </w:rPr>
        <w:t xml:space="preserve">reikia nutraukti. Nežinoma, ar </w:t>
      </w:r>
      <w:proofErr w:type="spellStart"/>
      <w:r w:rsidR="00341469" w:rsidRPr="003F564F">
        <w:rPr>
          <w:sz w:val="22"/>
          <w:szCs w:val="24"/>
        </w:rPr>
        <w:t>ruksolitinibo</w:t>
      </w:r>
      <w:proofErr w:type="spellEnd"/>
      <w:r w:rsidR="00341469" w:rsidRPr="003F564F">
        <w:rPr>
          <w:sz w:val="22"/>
          <w:szCs w:val="24"/>
        </w:rPr>
        <w:t xml:space="preserve"> ir (arba) jo metabolitų išsiskiria į </w:t>
      </w:r>
      <w:r w:rsidR="00D27594">
        <w:rPr>
          <w:sz w:val="22"/>
          <w:szCs w:val="24"/>
        </w:rPr>
        <w:t>gydytų moterų</w:t>
      </w:r>
      <w:r w:rsidR="00D27594" w:rsidRPr="003F564F">
        <w:rPr>
          <w:sz w:val="22"/>
          <w:szCs w:val="24"/>
        </w:rPr>
        <w:t xml:space="preserve"> </w:t>
      </w:r>
      <w:r w:rsidR="00341469" w:rsidRPr="003F564F">
        <w:rPr>
          <w:sz w:val="22"/>
          <w:szCs w:val="24"/>
        </w:rPr>
        <w:t>pieną. Pavojaus</w:t>
      </w:r>
      <w:r w:rsidR="007608FD" w:rsidRPr="003F564F">
        <w:rPr>
          <w:sz w:val="22"/>
          <w:szCs w:val="24"/>
        </w:rPr>
        <w:t xml:space="preserve"> </w:t>
      </w:r>
      <w:r w:rsidR="00341469" w:rsidRPr="003F564F">
        <w:rPr>
          <w:sz w:val="22"/>
          <w:szCs w:val="24"/>
        </w:rPr>
        <w:t>žindomiems kūdikiams negalima atmesti. Turimi su gyvūnais atliktų tyrimų farmakodinamikos ir</w:t>
      </w:r>
      <w:r w:rsidR="007608FD" w:rsidRPr="003F564F">
        <w:rPr>
          <w:sz w:val="22"/>
          <w:szCs w:val="24"/>
        </w:rPr>
        <w:t xml:space="preserve"> </w:t>
      </w:r>
      <w:r w:rsidR="00341469" w:rsidRPr="003F564F">
        <w:rPr>
          <w:sz w:val="22"/>
          <w:szCs w:val="24"/>
        </w:rPr>
        <w:t xml:space="preserve">toksikologijos duomenys rodo, kad </w:t>
      </w:r>
      <w:proofErr w:type="spellStart"/>
      <w:r w:rsidR="00341469" w:rsidRPr="003F564F">
        <w:rPr>
          <w:sz w:val="22"/>
          <w:szCs w:val="24"/>
        </w:rPr>
        <w:t>ruksolitinibo</w:t>
      </w:r>
      <w:proofErr w:type="spellEnd"/>
      <w:r w:rsidR="00341469" w:rsidRPr="003F564F">
        <w:rPr>
          <w:sz w:val="22"/>
          <w:szCs w:val="24"/>
        </w:rPr>
        <w:t xml:space="preserve"> ir jo metabolitų išsiskiria į gyvūnų pieną (žr.</w:t>
      </w:r>
      <w:r w:rsidR="007608FD" w:rsidRPr="003F564F">
        <w:rPr>
          <w:sz w:val="22"/>
          <w:szCs w:val="24"/>
        </w:rPr>
        <w:t> </w:t>
      </w:r>
      <w:r w:rsidR="00341469" w:rsidRPr="003F564F">
        <w:rPr>
          <w:sz w:val="22"/>
          <w:szCs w:val="24"/>
        </w:rPr>
        <w:t>5.3</w:t>
      </w:r>
      <w:r w:rsidR="007608FD" w:rsidRPr="003F564F">
        <w:rPr>
          <w:sz w:val="22"/>
          <w:szCs w:val="24"/>
        </w:rPr>
        <w:t> </w:t>
      </w:r>
      <w:r w:rsidR="00341469" w:rsidRPr="003F564F">
        <w:rPr>
          <w:sz w:val="22"/>
          <w:szCs w:val="24"/>
        </w:rPr>
        <w:t>skyrių).</w:t>
      </w:r>
    </w:p>
    <w:p w14:paraId="08C07CDA" w14:textId="77777777" w:rsidR="00341469" w:rsidRPr="003F564F" w:rsidRDefault="00341469" w:rsidP="00341469">
      <w:pPr>
        <w:tabs>
          <w:tab w:val="left" w:pos="567"/>
        </w:tabs>
        <w:spacing w:line="260" w:lineRule="exact"/>
        <w:rPr>
          <w:sz w:val="22"/>
          <w:szCs w:val="24"/>
        </w:rPr>
      </w:pPr>
    </w:p>
    <w:p w14:paraId="52B18F92" w14:textId="67537BC7" w:rsidR="00341469" w:rsidRPr="003F564F" w:rsidRDefault="00341469" w:rsidP="00341469">
      <w:pPr>
        <w:tabs>
          <w:tab w:val="left" w:pos="567"/>
        </w:tabs>
        <w:spacing w:line="260" w:lineRule="exact"/>
        <w:rPr>
          <w:sz w:val="22"/>
          <w:szCs w:val="24"/>
          <w:u w:val="single"/>
        </w:rPr>
      </w:pPr>
      <w:r w:rsidRPr="003F564F">
        <w:rPr>
          <w:sz w:val="22"/>
          <w:szCs w:val="24"/>
          <w:u w:val="single"/>
        </w:rPr>
        <w:t>Vaisingumas</w:t>
      </w:r>
    </w:p>
    <w:p w14:paraId="3848575E" w14:textId="77777777" w:rsidR="00341469" w:rsidRPr="003F564F" w:rsidRDefault="00341469" w:rsidP="00341469">
      <w:pPr>
        <w:tabs>
          <w:tab w:val="left" w:pos="567"/>
        </w:tabs>
        <w:spacing w:line="260" w:lineRule="exact"/>
        <w:rPr>
          <w:sz w:val="22"/>
          <w:szCs w:val="24"/>
        </w:rPr>
      </w:pPr>
    </w:p>
    <w:p w14:paraId="3423030A" w14:textId="4B63E5A5" w:rsidR="00341469" w:rsidRPr="003F564F" w:rsidRDefault="00341469" w:rsidP="00341469">
      <w:pPr>
        <w:tabs>
          <w:tab w:val="left" w:pos="567"/>
        </w:tabs>
        <w:spacing w:line="260" w:lineRule="exact"/>
        <w:rPr>
          <w:sz w:val="22"/>
          <w:szCs w:val="24"/>
        </w:rPr>
      </w:pPr>
      <w:r w:rsidRPr="003F564F">
        <w:rPr>
          <w:sz w:val="22"/>
          <w:szCs w:val="24"/>
        </w:rPr>
        <w:t xml:space="preserve">Duomenų apie </w:t>
      </w:r>
      <w:proofErr w:type="spellStart"/>
      <w:r w:rsidRPr="003F564F">
        <w:rPr>
          <w:sz w:val="22"/>
          <w:szCs w:val="24"/>
        </w:rPr>
        <w:t>ruksolitinibo</w:t>
      </w:r>
      <w:proofErr w:type="spellEnd"/>
      <w:r w:rsidRPr="003F564F">
        <w:rPr>
          <w:sz w:val="22"/>
          <w:szCs w:val="24"/>
        </w:rPr>
        <w:t xml:space="preserve"> poveikį žmonių vaisingumui nėra. Su gyvūnais atlikti tyrimai poveikio</w:t>
      </w:r>
      <w:r w:rsidR="007608FD" w:rsidRPr="003F564F">
        <w:rPr>
          <w:sz w:val="22"/>
          <w:szCs w:val="24"/>
        </w:rPr>
        <w:t xml:space="preserve"> </w:t>
      </w:r>
      <w:r w:rsidRPr="003F564F">
        <w:rPr>
          <w:sz w:val="22"/>
          <w:szCs w:val="24"/>
        </w:rPr>
        <w:t>vaisingumui neparodė.</w:t>
      </w:r>
    </w:p>
    <w:p w14:paraId="38393422" w14:textId="77777777" w:rsidR="008D3B35" w:rsidRPr="003F564F" w:rsidRDefault="008D3B35">
      <w:pPr>
        <w:tabs>
          <w:tab w:val="left" w:pos="567"/>
        </w:tabs>
        <w:spacing w:line="260" w:lineRule="exact"/>
        <w:rPr>
          <w:sz w:val="22"/>
          <w:szCs w:val="24"/>
        </w:rPr>
      </w:pPr>
    </w:p>
    <w:p w14:paraId="0591CA5B" w14:textId="77777777" w:rsidR="008D3B35" w:rsidRPr="003F564F" w:rsidRDefault="00AB4978">
      <w:pPr>
        <w:keepNext/>
        <w:tabs>
          <w:tab w:val="left" w:pos="567"/>
        </w:tabs>
        <w:spacing w:line="260" w:lineRule="exact"/>
        <w:jc w:val="both"/>
        <w:outlineLvl w:val="3"/>
        <w:rPr>
          <w:b/>
          <w:bCs/>
          <w:sz w:val="22"/>
          <w:szCs w:val="28"/>
          <w:lang w:eastAsia="x-none"/>
        </w:rPr>
      </w:pPr>
      <w:r w:rsidRPr="003F564F">
        <w:rPr>
          <w:b/>
          <w:bCs/>
          <w:sz w:val="22"/>
          <w:szCs w:val="28"/>
          <w:lang w:eastAsia="x-none"/>
        </w:rPr>
        <w:t>4.7</w:t>
      </w:r>
      <w:r w:rsidRPr="003F564F">
        <w:rPr>
          <w:b/>
          <w:bCs/>
          <w:sz w:val="22"/>
          <w:szCs w:val="28"/>
          <w:lang w:eastAsia="x-none"/>
        </w:rPr>
        <w:tab/>
        <w:t>Poveikis gebėjimui vairuoti ir valdyti mechanizmus</w:t>
      </w:r>
    </w:p>
    <w:p w14:paraId="450CBBE8" w14:textId="77777777" w:rsidR="008D3B35" w:rsidRPr="003F564F" w:rsidRDefault="008D3B35">
      <w:pPr>
        <w:tabs>
          <w:tab w:val="left" w:pos="567"/>
        </w:tabs>
        <w:spacing w:line="260" w:lineRule="exact"/>
        <w:rPr>
          <w:sz w:val="22"/>
          <w:szCs w:val="24"/>
        </w:rPr>
      </w:pPr>
    </w:p>
    <w:p w14:paraId="3C8B2330" w14:textId="10AD5AAF" w:rsidR="007608FD" w:rsidRPr="003F564F" w:rsidRDefault="007608FD" w:rsidP="007608FD">
      <w:pPr>
        <w:tabs>
          <w:tab w:val="left" w:pos="567"/>
        </w:tabs>
        <w:spacing w:line="260" w:lineRule="exact"/>
        <w:rPr>
          <w:sz w:val="22"/>
          <w:szCs w:val="24"/>
        </w:rPr>
      </w:pPr>
      <w:proofErr w:type="spellStart"/>
      <w:r w:rsidRPr="003F564F">
        <w:rPr>
          <w:sz w:val="22"/>
          <w:szCs w:val="24"/>
        </w:rPr>
        <w:t>Ruksolitinibas</w:t>
      </w:r>
      <w:proofErr w:type="spellEnd"/>
      <w:r w:rsidRPr="003F564F">
        <w:rPr>
          <w:sz w:val="22"/>
          <w:szCs w:val="24"/>
        </w:rPr>
        <w:t xml:space="preserve"> nepasižymi raminamuoju poveikiu arba šis poveikis nereikšmingas. Tačiau tie pacientai, kurie pavartoję </w:t>
      </w:r>
      <w:proofErr w:type="spellStart"/>
      <w:r w:rsidRPr="003F564F">
        <w:rPr>
          <w:sz w:val="22"/>
          <w:szCs w:val="24"/>
        </w:rPr>
        <w:t>ruksolitinibo</w:t>
      </w:r>
      <w:proofErr w:type="spellEnd"/>
      <w:r w:rsidRPr="003F564F">
        <w:rPr>
          <w:sz w:val="22"/>
          <w:szCs w:val="24"/>
        </w:rPr>
        <w:t xml:space="preserve"> jaučia galvos svaigimą, neturėtų vairuoti ar valdyti mechanizmų. </w:t>
      </w:r>
    </w:p>
    <w:p w14:paraId="75DBF126" w14:textId="77777777" w:rsidR="008D3B35" w:rsidRPr="003F564F" w:rsidRDefault="008D3B35">
      <w:pPr>
        <w:tabs>
          <w:tab w:val="left" w:pos="567"/>
        </w:tabs>
        <w:spacing w:line="260" w:lineRule="exact"/>
        <w:rPr>
          <w:sz w:val="22"/>
          <w:szCs w:val="24"/>
        </w:rPr>
      </w:pPr>
    </w:p>
    <w:p w14:paraId="11BF2AA1" w14:textId="77777777" w:rsidR="008D3B35" w:rsidRPr="003F564F" w:rsidRDefault="00AB4978">
      <w:pPr>
        <w:tabs>
          <w:tab w:val="left" w:pos="567"/>
        </w:tabs>
        <w:rPr>
          <w:sz w:val="22"/>
          <w:u w:val="single"/>
        </w:rPr>
      </w:pPr>
      <w:r w:rsidRPr="003F564F">
        <w:rPr>
          <w:b/>
          <w:sz w:val="22"/>
        </w:rPr>
        <w:t>4.8</w:t>
      </w:r>
      <w:r w:rsidRPr="003F564F">
        <w:rPr>
          <w:b/>
          <w:sz w:val="22"/>
        </w:rPr>
        <w:tab/>
        <w:t>Nepageidaujamas poveikis</w:t>
      </w:r>
    </w:p>
    <w:p w14:paraId="1736CD4E" w14:textId="77777777" w:rsidR="009F34A7" w:rsidRPr="003F564F" w:rsidRDefault="009F34A7" w:rsidP="0002237D">
      <w:pPr>
        <w:tabs>
          <w:tab w:val="left" w:pos="567"/>
        </w:tabs>
        <w:spacing w:line="260" w:lineRule="exact"/>
        <w:rPr>
          <w:sz w:val="22"/>
          <w:szCs w:val="22"/>
        </w:rPr>
      </w:pPr>
    </w:p>
    <w:p w14:paraId="6C353AFB" w14:textId="77777777" w:rsidR="009F34A7" w:rsidRPr="003F564F" w:rsidRDefault="009F34A7" w:rsidP="0002237D">
      <w:pPr>
        <w:tabs>
          <w:tab w:val="left" w:pos="567"/>
        </w:tabs>
        <w:spacing w:line="260" w:lineRule="exact"/>
        <w:rPr>
          <w:sz w:val="22"/>
          <w:szCs w:val="22"/>
          <w:u w:val="single"/>
        </w:rPr>
      </w:pPr>
      <w:r w:rsidRPr="003F564F">
        <w:rPr>
          <w:sz w:val="22"/>
          <w:szCs w:val="22"/>
          <w:u w:val="single"/>
        </w:rPr>
        <w:t>Saugumo duomenų santrauka</w:t>
      </w:r>
    </w:p>
    <w:p w14:paraId="6CD4AE3A" w14:textId="77777777" w:rsidR="00584CAA" w:rsidRPr="003F564F" w:rsidRDefault="00584CAA" w:rsidP="0002237D">
      <w:pPr>
        <w:tabs>
          <w:tab w:val="left" w:pos="567"/>
        </w:tabs>
        <w:spacing w:line="260" w:lineRule="exact"/>
        <w:rPr>
          <w:sz w:val="22"/>
          <w:szCs w:val="22"/>
        </w:rPr>
      </w:pPr>
    </w:p>
    <w:p w14:paraId="5124AAE4" w14:textId="538D3FC8" w:rsidR="009F34A7" w:rsidRPr="003F564F" w:rsidRDefault="009F34A7" w:rsidP="0002237D">
      <w:pPr>
        <w:tabs>
          <w:tab w:val="left" w:pos="567"/>
        </w:tabs>
        <w:spacing w:line="260" w:lineRule="exact"/>
        <w:rPr>
          <w:i/>
          <w:iCs/>
          <w:sz w:val="22"/>
          <w:szCs w:val="22"/>
          <w:u w:val="single"/>
        </w:rPr>
      </w:pPr>
      <w:proofErr w:type="spellStart"/>
      <w:r w:rsidRPr="003F564F">
        <w:rPr>
          <w:i/>
          <w:iCs/>
          <w:sz w:val="22"/>
          <w:szCs w:val="22"/>
          <w:u w:val="single"/>
        </w:rPr>
        <w:t>Mielofibroze</w:t>
      </w:r>
      <w:proofErr w:type="spellEnd"/>
      <w:r w:rsidRPr="003F564F">
        <w:rPr>
          <w:i/>
          <w:iCs/>
          <w:sz w:val="22"/>
          <w:szCs w:val="22"/>
          <w:u w:val="single"/>
        </w:rPr>
        <w:t xml:space="preserve"> sergantys pacientai</w:t>
      </w:r>
    </w:p>
    <w:p w14:paraId="6EE8B144" w14:textId="77777777" w:rsidR="00584CAA" w:rsidRPr="003F564F" w:rsidRDefault="00584CAA" w:rsidP="0002237D">
      <w:pPr>
        <w:tabs>
          <w:tab w:val="left" w:pos="567"/>
        </w:tabs>
        <w:spacing w:line="260" w:lineRule="exact"/>
        <w:rPr>
          <w:sz w:val="22"/>
          <w:szCs w:val="22"/>
        </w:rPr>
      </w:pPr>
    </w:p>
    <w:p w14:paraId="127D670A" w14:textId="51B7637B" w:rsidR="009F34A7" w:rsidRPr="003F564F" w:rsidRDefault="009F34A7" w:rsidP="0002237D">
      <w:pPr>
        <w:tabs>
          <w:tab w:val="left" w:pos="567"/>
        </w:tabs>
        <w:spacing w:line="260" w:lineRule="exact"/>
        <w:rPr>
          <w:sz w:val="22"/>
          <w:szCs w:val="22"/>
        </w:rPr>
      </w:pPr>
      <w:r w:rsidRPr="003F564F">
        <w:rPr>
          <w:sz w:val="22"/>
          <w:szCs w:val="22"/>
        </w:rPr>
        <w:t>Dažniausios nepageidaujamos vaistinio preparato sukeltos reakcijos, apie kurias gauta pranešimų,</w:t>
      </w:r>
      <w:r w:rsidR="00584CAA" w:rsidRPr="003F564F">
        <w:rPr>
          <w:sz w:val="22"/>
          <w:szCs w:val="22"/>
        </w:rPr>
        <w:t xml:space="preserve"> </w:t>
      </w:r>
      <w:r w:rsidRPr="003F564F">
        <w:rPr>
          <w:sz w:val="22"/>
          <w:szCs w:val="22"/>
        </w:rPr>
        <w:t xml:space="preserve">buvo </w:t>
      </w:r>
      <w:proofErr w:type="spellStart"/>
      <w:r w:rsidRPr="003F564F">
        <w:rPr>
          <w:sz w:val="22"/>
          <w:szCs w:val="22"/>
        </w:rPr>
        <w:t>trombocitopenija</w:t>
      </w:r>
      <w:proofErr w:type="spellEnd"/>
      <w:r w:rsidRPr="003F564F">
        <w:rPr>
          <w:sz w:val="22"/>
          <w:szCs w:val="22"/>
        </w:rPr>
        <w:t xml:space="preserve"> ir anemija.</w:t>
      </w:r>
    </w:p>
    <w:p w14:paraId="02D1D9E9" w14:textId="77777777" w:rsidR="00584CAA" w:rsidRPr="003F564F" w:rsidRDefault="00584CAA" w:rsidP="0002237D">
      <w:pPr>
        <w:tabs>
          <w:tab w:val="left" w:pos="567"/>
        </w:tabs>
        <w:spacing w:line="260" w:lineRule="exact"/>
        <w:rPr>
          <w:sz w:val="22"/>
          <w:szCs w:val="22"/>
        </w:rPr>
      </w:pPr>
    </w:p>
    <w:p w14:paraId="58E0D2A0" w14:textId="608AD098" w:rsidR="009F34A7" w:rsidRPr="003F564F" w:rsidRDefault="009F34A7" w:rsidP="0002237D">
      <w:pPr>
        <w:tabs>
          <w:tab w:val="left" w:pos="567"/>
        </w:tabs>
        <w:spacing w:line="260" w:lineRule="exact"/>
        <w:rPr>
          <w:sz w:val="22"/>
          <w:szCs w:val="22"/>
        </w:rPr>
      </w:pPr>
      <w:r w:rsidRPr="003F564F">
        <w:rPr>
          <w:sz w:val="22"/>
          <w:szCs w:val="22"/>
        </w:rPr>
        <w:lastRenderedPageBreak/>
        <w:t>Nepageidaujami su vaistinio preparato vartojimu susiję kraujo sutrikimai (bet kurio sunkumo laipsnio</w:t>
      </w:r>
      <w:r w:rsidR="00584CAA" w:rsidRPr="003F564F">
        <w:rPr>
          <w:sz w:val="22"/>
          <w:szCs w:val="22"/>
        </w:rPr>
        <w:t xml:space="preserve"> </w:t>
      </w:r>
      <w:r w:rsidRPr="003F564F">
        <w:rPr>
          <w:sz w:val="22"/>
          <w:szCs w:val="22"/>
        </w:rPr>
        <w:t xml:space="preserve">pagal bendruosius nepageidaujamų reiškinių terminologijos kriterijus [angl. </w:t>
      </w:r>
      <w:proofErr w:type="spellStart"/>
      <w:r w:rsidRPr="003F564F">
        <w:rPr>
          <w:i/>
          <w:iCs/>
          <w:sz w:val="22"/>
          <w:szCs w:val="22"/>
        </w:rPr>
        <w:t>Common</w:t>
      </w:r>
      <w:proofErr w:type="spellEnd"/>
      <w:r w:rsidRPr="003F564F">
        <w:rPr>
          <w:i/>
          <w:iCs/>
          <w:sz w:val="22"/>
          <w:szCs w:val="22"/>
        </w:rPr>
        <w:t xml:space="preserve"> </w:t>
      </w:r>
      <w:proofErr w:type="spellStart"/>
      <w:r w:rsidRPr="003F564F">
        <w:rPr>
          <w:i/>
          <w:iCs/>
          <w:sz w:val="22"/>
          <w:szCs w:val="22"/>
        </w:rPr>
        <w:t>Terminology</w:t>
      </w:r>
      <w:proofErr w:type="spellEnd"/>
      <w:r w:rsidR="00584CAA" w:rsidRPr="003F564F">
        <w:rPr>
          <w:i/>
          <w:iCs/>
          <w:sz w:val="22"/>
          <w:szCs w:val="22"/>
        </w:rPr>
        <w:t xml:space="preserve"> </w:t>
      </w:r>
      <w:proofErr w:type="spellStart"/>
      <w:r w:rsidRPr="003F564F">
        <w:rPr>
          <w:i/>
          <w:iCs/>
          <w:sz w:val="22"/>
          <w:szCs w:val="22"/>
        </w:rPr>
        <w:t>Criteria</w:t>
      </w:r>
      <w:proofErr w:type="spellEnd"/>
      <w:r w:rsidRPr="003F564F">
        <w:rPr>
          <w:i/>
          <w:iCs/>
          <w:sz w:val="22"/>
          <w:szCs w:val="22"/>
        </w:rPr>
        <w:t xml:space="preserve"> </w:t>
      </w:r>
      <w:proofErr w:type="spellStart"/>
      <w:r w:rsidRPr="003F564F">
        <w:rPr>
          <w:i/>
          <w:iCs/>
          <w:sz w:val="22"/>
          <w:szCs w:val="22"/>
        </w:rPr>
        <w:t>for</w:t>
      </w:r>
      <w:proofErr w:type="spellEnd"/>
      <w:r w:rsidRPr="003F564F">
        <w:rPr>
          <w:i/>
          <w:iCs/>
          <w:sz w:val="22"/>
          <w:szCs w:val="22"/>
        </w:rPr>
        <w:t xml:space="preserve"> </w:t>
      </w:r>
      <w:proofErr w:type="spellStart"/>
      <w:r w:rsidRPr="003F564F">
        <w:rPr>
          <w:i/>
          <w:iCs/>
          <w:sz w:val="22"/>
          <w:szCs w:val="22"/>
        </w:rPr>
        <w:t>Adverse</w:t>
      </w:r>
      <w:proofErr w:type="spellEnd"/>
      <w:r w:rsidRPr="003F564F">
        <w:rPr>
          <w:i/>
          <w:iCs/>
          <w:sz w:val="22"/>
          <w:szCs w:val="22"/>
        </w:rPr>
        <w:t xml:space="preserve"> </w:t>
      </w:r>
      <w:proofErr w:type="spellStart"/>
      <w:r w:rsidRPr="003F564F">
        <w:rPr>
          <w:i/>
          <w:iCs/>
          <w:sz w:val="22"/>
          <w:szCs w:val="22"/>
        </w:rPr>
        <w:t>Events</w:t>
      </w:r>
      <w:proofErr w:type="spellEnd"/>
      <w:r w:rsidRPr="003F564F">
        <w:rPr>
          <w:sz w:val="22"/>
          <w:szCs w:val="22"/>
        </w:rPr>
        <w:t xml:space="preserve"> - CTCAE) buvo šie: anemija (83,8</w:t>
      </w:r>
      <w:r w:rsidR="0002237D" w:rsidRPr="003F564F">
        <w:rPr>
          <w:sz w:val="22"/>
          <w:szCs w:val="22"/>
        </w:rPr>
        <w:t> </w:t>
      </w:r>
      <w:r w:rsidRPr="003F564F">
        <w:rPr>
          <w:sz w:val="22"/>
          <w:szCs w:val="22"/>
        </w:rPr>
        <w:t xml:space="preserve">%), </w:t>
      </w:r>
      <w:proofErr w:type="spellStart"/>
      <w:r w:rsidRPr="003F564F">
        <w:rPr>
          <w:sz w:val="22"/>
          <w:szCs w:val="22"/>
        </w:rPr>
        <w:t>trombocitopenija</w:t>
      </w:r>
      <w:proofErr w:type="spellEnd"/>
      <w:r w:rsidRPr="003F564F">
        <w:rPr>
          <w:sz w:val="22"/>
          <w:szCs w:val="22"/>
        </w:rPr>
        <w:t xml:space="preserve"> (80,5</w:t>
      </w:r>
      <w:r w:rsidR="0002237D" w:rsidRPr="003F564F">
        <w:rPr>
          <w:sz w:val="22"/>
          <w:szCs w:val="22"/>
        </w:rPr>
        <w:t> </w:t>
      </w:r>
      <w:r w:rsidRPr="003F564F">
        <w:rPr>
          <w:sz w:val="22"/>
          <w:szCs w:val="22"/>
        </w:rPr>
        <w:t>%) ir</w:t>
      </w:r>
      <w:r w:rsidR="00584CAA" w:rsidRPr="003F564F">
        <w:rPr>
          <w:sz w:val="22"/>
          <w:szCs w:val="22"/>
        </w:rPr>
        <w:t xml:space="preserve"> </w:t>
      </w:r>
      <w:proofErr w:type="spellStart"/>
      <w:r w:rsidRPr="003F564F">
        <w:rPr>
          <w:sz w:val="22"/>
          <w:szCs w:val="22"/>
        </w:rPr>
        <w:t>neutropenija</w:t>
      </w:r>
      <w:proofErr w:type="spellEnd"/>
      <w:r w:rsidRPr="003F564F">
        <w:rPr>
          <w:sz w:val="22"/>
          <w:szCs w:val="22"/>
        </w:rPr>
        <w:t xml:space="preserve"> (20,8</w:t>
      </w:r>
      <w:r w:rsidR="0002237D" w:rsidRPr="003F564F">
        <w:rPr>
          <w:sz w:val="22"/>
          <w:szCs w:val="22"/>
        </w:rPr>
        <w:t> </w:t>
      </w:r>
      <w:r w:rsidRPr="003F564F">
        <w:rPr>
          <w:sz w:val="22"/>
          <w:szCs w:val="22"/>
        </w:rPr>
        <w:t>%).</w:t>
      </w:r>
    </w:p>
    <w:p w14:paraId="1BA2E8AF" w14:textId="77777777" w:rsidR="00584CAA" w:rsidRPr="003F564F" w:rsidRDefault="00584CAA" w:rsidP="0002237D">
      <w:pPr>
        <w:tabs>
          <w:tab w:val="left" w:pos="567"/>
        </w:tabs>
        <w:spacing w:line="260" w:lineRule="exact"/>
        <w:rPr>
          <w:sz w:val="22"/>
          <w:szCs w:val="22"/>
        </w:rPr>
      </w:pPr>
    </w:p>
    <w:p w14:paraId="295B1E9C" w14:textId="77777777" w:rsidR="00584CAA" w:rsidRPr="003F564F" w:rsidRDefault="009F34A7" w:rsidP="0002237D">
      <w:pPr>
        <w:tabs>
          <w:tab w:val="left" w:pos="567"/>
        </w:tabs>
        <w:spacing w:line="260" w:lineRule="exact"/>
        <w:rPr>
          <w:sz w:val="22"/>
          <w:szCs w:val="22"/>
        </w:rPr>
      </w:pPr>
      <w:r w:rsidRPr="003F564F">
        <w:rPr>
          <w:sz w:val="22"/>
          <w:szCs w:val="22"/>
        </w:rPr>
        <w:t xml:space="preserve">Anemija, </w:t>
      </w:r>
      <w:proofErr w:type="spellStart"/>
      <w:r w:rsidRPr="003F564F">
        <w:rPr>
          <w:sz w:val="22"/>
          <w:szCs w:val="22"/>
        </w:rPr>
        <w:t>trombocitopenija</w:t>
      </w:r>
      <w:proofErr w:type="spellEnd"/>
      <w:r w:rsidRPr="003F564F">
        <w:rPr>
          <w:sz w:val="22"/>
          <w:szCs w:val="22"/>
        </w:rPr>
        <w:t xml:space="preserve"> ir </w:t>
      </w:r>
      <w:proofErr w:type="spellStart"/>
      <w:r w:rsidRPr="003F564F">
        <w:rPr>
          <w:sz w:val="22"/>
          <w:szCs w:val="22"/>
        </w:rPr>
        <w:t>neutropenija</w:t>
      </w:r>
      <w:proofErr w:type="spellEnd"/>
      <w:r w:rsidRPr="003F564F">
        <w:rPr>
          <w:sz w:val="22"/>
          <w:szCs w:val="22"/>
        </w:rPr>
        <w:t xml:space="preserve"> yra su vaistinio preparato doze susiję reiškiniai.</w:t>
      </w:r>
    </w:p>
    <w:p w14:paraId="72660F02" w14:textId="77777777" w:rsidR="00584CAA" w:rsidRPr="003F564F" w:rsidRDefault="00584CAA" w:rsidP="0002237D">
      <w:pPr>
        <w:tabs>
          <w:tab w:val="left" w:pos="567"/>
        </w:tabs>
        <w:spacing w:line="260" w:lineRule="exact"/>
        <w:rPr>
          <w:sz w:val="22"/>
          <w:szCs w:val="22"/>
        </w:rPr>
      </w:pPr>
    </w:p>
    <w:p w14:paraId="5965FAEB" w14:textId="410B4948" w:rsidR="009F34A7" w:rsidRPr="003F564F" w:rsidRDefault="009F34A7" w:rsidP="0002237D">
      <w:pPr>
        <w:tabs>
          <w:tab w:val="left" w:pos="567"/>
        </w:tabs>
        <w:spacing w:line="260" w:lineRule="exact"/>
        <w:rPr>
          <w:sz w:val="22"/>
          <w:szCs w:val="22"/>
        </w:rPr>
      </w:pPr>
      <w:r w:rsidRPr="003F564F">
        <w:rPr>
          <w:sz w:val="22"/>
          <w:szCs w:val="22"/>
        </w:rPr>
        <w:t>Dažniausios trys kitokios nei kraujo sutrikimai nepageidaujamos su vaistinio preparato vartojimu</w:t>
      </w:r>
      <w:r w:rsidR="0002237D" w:rsidRPr="003F564F">
        <w:rPr>
          <w:sz w:val="22"/>
          <w:szCs w:val="22"/>
        </w:rPr>
        <w:t xml:space="preserve"> </w:t>
      </w:r>
      <w:r w:rsidRPr="003F564F">
        <w:rPr>
          <w:sz w:val="22"/>
          <w:szCs w:val="22"/>
        </w:rPr>
        <w:t>susijusios reakcijos buvo kraujosruvos (33,3</w:t>
      </w:r>
      <w:r w:rsidR="0002237D" w:rsidRPr="003F564F">
        <w:rPr>
          <w:sz w:val="22"/>
          <w:szCs w:val="22"/>
        </w:rPr>
        <w:t> </w:t>
      </w:r>
      <w:r w:rsidRPr="003F564F">
        <w:rPr>
          <w:sz w:val="22"/>
          <w:szCs w:val="22"/>
        </w:rPr>
        <w:t>%), kitoks kraujavimas (įskaitant kraujavimą iš nosies,</w:t>
      </w:r>
      <w:r w:rsidR="0002237D" w:rsidRPr="003F564F">
        <w:rPr>
          <w:sz w:val="22"/>
          <w:szCs w:val="22"/>
        </w:rPr>
        <w:t xml:space="preserve"> </w:t>
      </w:r>
      <w:r w:rsidRPr="003F564F">
        <w:rPr>
          <w:sz w:val="22"/>
          <w:szCs w:val="22"/>
        </w:rPr>
        <w:t xml:space="preserve">kraujavimą po procedūros ir </w:t>
      </w:r>
      <w:proofErr w:type="spellStart"/>
      <w:r w:rsidRPr="003F564F">
        <w:rPr>
          <w:sz w:val="22"/>
          <w:szCs w:val="22"/>
        </w:rPr>
        <w:t>hematuriją</w:t>
      </w:r>
      <w:proofErr w:type="spellEnd"/>
      <w:r w:rsidRPr="003F564F">
        <w:rPr>
          <w:sz w:val="22"/>
          <w:szCs w:val="22"/>
        </w:rPr>
        <w:t>) (24,3</w:t>
      </w:r>
      <w:r w:rsidR="0002237D" w:rsidRPr="003F564F">
        <w:rPr>
          <w:sz w:val="22"/>
          <w:szCs w:val="22"/>
        </w:rPr>
        <w:t> </w:t>
      </w:r>
      <w:r w:rsidRPr="003F564F">
        <w:rPr>
          <w:sz w:val="22"/>
          <w:szCs w:val="22"/>
        </w:rPr>
        <w:t xml:space="preserve">%) ir </w:t>
      </w:r>
      <w:r w:rsidR="009C2007">
        <w:rPr>
          <w:sz w:val="22"/>
          <w:szCs w:val="22"/>
        </w:rPr>
        <w:t>svaigulys</w:t>
      </w:r>
      <w:r w:rsidRPr="003F564F">
        <w:rPr>
          <w:sz w:val="22"/>
          <w:szCs w:val="22"/>
        </w:rPr>
        <w:t>(21,9</w:t>
      </w:r>
      <w:r w:rsidR="0002237D" w:rsidRPr="003F564F">
        <w:rPr>
          <w:sz w:val="22"/>
          <w:szCs w:val="22"/>
        </w:rPr>
        <w:t> </w:t>
      </w:r>
      <w:r w:rsidRPr="003F564F">
        <w:rPr>
          <w:sz w:val="22"/>
          <w:szCs w:val="22"/>
        </w:rPr>
        <w:t>%).</w:t>
      </w:r>
    </w:p>
    <w:p w14:paraId="3AA4906A" w14:textId="77777777" w:rsidR="0002237D" w:rsidRPr="003F564F" w:rsidRDefault="0002237D" w:rsidP="0002237D">
      <w:pPr>
        <w:tabs>
          <w:tab w:val="left" w:pos="567"/>
        </w:tabs>
        <w:spacing w:line="260" w:lineRule="exact"/>
        <w:rPr>
          <w:sz w:val="22"/>
          <w:szCs w:val="22"/>
        </w:rPr>
      </w:pPr>
    </w:p>
    <w:p w14:paraId="54575721" w14:textId="1CCBB4E8" w:rsidR="009F34A7" w:rsidRPr="003F564F" w:rsidRDefault="009F34A7" w:rsidP="0002237D">
      <w:pPr>
        <w:tabs>
          <w:tab w:val="left" w:pos="567"/>
        </w:tabs>
        <w:spacing w:line="260" w:lineRule="exact"/>
        <w:rPr>
          <w:sz w:val="22"/>
          <w:szCs w:val="22"/>
        </w:rPr>
      </w:pPr>
      <w:r w:rsidRPr="003F564F">
        <w:rPr>
          <w:sz w:val="22"/>
          <w:szCs w:val="22"/>
        </w:rPr>
        <w:t>Dažniausi trys kitokie nei kraujo sutrikimai laboratorinių tyrimų pokyčiai, identifikuoti kaip</w:t>
      </w:r>
      <w:r w:rsidR="0002237D" w:rsidRPr="003F564F">
        <w:rPr>
          <w:sz w:val="22"/>
          <w:szCs w:val="22"/>
        </w:rPr>
        <w:t xml:space="preserve"> </w:t>
      </w:r>
      <w:r w:rsidRPr="003F564F">
        <w:rPr>
          <w:sz w:val="22"/>
          <w:szCs w:val="22"/>
        </w:rPr>
        <w:t xml:space="preserve">nepageidaujamos reakcijos, buvo padidėjęs </w:t>
      </w:r>
      <w:proofErr w:type="spellStart"/>
      <w:r w:rsidRPr="003F564F">
        <w:rPr>
          <w:sz w:val="22"/>
          <w:szCs w:val="22"/>
        </w:rPr>
        <w:t>alanino</w:t>
      </w:r>
      <w:proofErr w:type="spellEnd"/>
      <w:r w:rsidRPr="003F564F">
        <w:rPr>
          <w:sz w:val="22"/>
          <w:szCs w:val="22"/>
        </w:rPr>
        <w:t xml:space="preserve"> </w:t>
      </w:r>
      <w:proofErr w:type="spellStart"/>
      <w:r w:rsidRPr="003F564F">
        <w:rPr>
          <w:sz w:val="22"/>
          <w:szCs w:val="22"/>
        </w:rPr>
        <w:t>aminotransferazės</w:t>
      </w:r>
      <w:proofErr w:type="spellEnd"/>
      <w:r w:rsidRPr="003F564F">
        <w:rPr>
          <w:sz w:val="22"/>
          <w:szCs w:val="22"/>
        </w:rPr>
        <w:t xml:space="preserve"> aktyvumas (40,7</w:t>
      </w:r>
      <w:r w:rsidR="0002237D" w:rsidRPr="003F564F">
        <w:rPr>
          <w:sz w:val="22"/>
          <w:szCs w:val="22"/>
        </w:rPr>
        <w:t> </w:t>
      </w:r>
      <w:r w:rsidRPr="003F564F">
        <w:rPr>
          <w:sz w:val="22"/>
          <w:szCs w:val="22"/>
        </w:rPr>
        <w:t>%), padidėjęs</w:t>
      </w:r>
      <w:r w:rsidR="0002237D" w:rsidRPr="003F564F">
        <w:rPr>
          <w:sz w:val="22"/>
          <w:szCs w:val="22"/>
        </w:rPr>
        <w:t xml:space="preserve"> </w:t>
      </w:r>
      <w:proofErr w:type="spellStart"/>
      <w:r w:rsidRPr="003F564F">
        <w:rPr>
          <w:sz w:val="22"/>
          <w:szCs w:val="22"/>
        </w:rPr>
        <w:t>aspartato</w:t>
      </w:r>
      <w:proofErr w:type="spellEnd"/>
      <w:r w:rsidRPr="003F564F">
        <w:rPr>
          <w:sz w:val="22"/>
          <w:szCs w:val="22"/>
        </w:rPr>
        <w:t xml:space="preserve"> </w:t>
      </w:r>
      <w:proofErr w:type="spellStart"/>
      <w:r w:rsidRPr="003F564F">
        <w:rPr>
          <w:sz w:val="22"/>
          <w:szCs w:val="22"/>
        </w:rPr>
        <w:t>aminotransferazės</w:t>
      </w:r>
      <w:proofErr w:type="spellEnd"/>
      <w:r w:rsidRPr="003F564F">
        <w:rPr>
          <w:sz w:val="22"/>
          <w:szCs w:val="22"/>
        </w:rPr>
        <w:t xml:space="preserve"> aktyvumas (31,5</w:t>
      </w:r>
      <w:r w:rsidR="0002237D" w:rsidRPr="003F564F">
        <w:rPr>
          <w:sz w:val="22"/>
          <w:szCs w:val="22"/>
        </w:rPr>
        <w:t> </w:t>
      </w:r>
      <w:r w:rsidRPr="003F564F">
        <w:rPr>
          <w:sz w:val="22"/>
          <w:szCs w:val="22"/>
        </w:rPr>
        <w:t xml:space="preserve">%) ir </w:t>
      </w:r>
      <w:proofErr w:type="spellStart"/>
      <w:r w:rsidRPr="003F564F">
        <w:rPr>
          <w:sz w:val="22"/>
          <w:szCs w:val="22"/>
        </w:rPr>
        <w:t>hipertrigliceridemija</w:t>
      </w:r>
      <w:proofErr w:type="spellEnd"/>
      <w:r w:rsidRPr="003F564F">
        <w:rPr>
          <w:sz w:val="22"/>
          <w:szCs w:val="22"/>
        </w:rPr>
        <w:t xml:space="preserve"> (25,2</w:t>
      </w:r>
      <w:r w:rsidR="0002237D" w:rsidRPr="003F564F">
        <w:rPr>
          <w:sz w:val="22"/>
          <w:szCs w:val="22"/>
        </w:rPr>
        <w:t> </w:t>
      </w:r>
      <w:r w:rsidRPr="003F564F">
        <w:rPr>
          <w:sz w:val="22"/>
          <w:szCs w:val="22"/>
        </w:rPr>
        <w:t>%). III</w:t>
      </w:r>
      <w:r w:rsidR="0002237D" w:rsidRPr="003F564F">
        <w:rPr>
          <w:sz w:val="22"/>
          <w:szCs w:val="22"/>
        </w:rPr>
        <w:t> </w:t>
      </w:r>
      <w:r w:rsidRPr="003F564F">
        <w:rPr>
          <w:sz w:val="22"/>
          <w:szCs w:val="22"/>
        </w:rPr>
        <w:t>fazės klinikinių</w:t>
      </w:r>
      <w:r w:rsidR="0002237D" w:rsidRPr="003F564F">
        <w:rPr>
          <w:sz w:val="22"/>
          <w:szCs w:val="22"/>
        </w:rPr>
        <w:t xml:space="preserve"> </w:t>
      </w:r>
      <w:r w:rsidRPr="003F564F">
        <w:rPr>
          <w:sz w:val="22"/>
          <w:szCs w:val="22"/>
        </w:rPr>
        <w:t>tyrimų metu MF sergantiems pacientams nepastebėta nei 3-iojo ar 4-ojo laipsnių pagal CTCAE</w:t>
      </w:r>
      <w:r w:rsidR="0002237D" w:rsidRPr="003F564F">
        <w:rPr>
          <w:sz w:val="22"/>
          <w:szCs w:val="22"/>
        </w:rPr>
        <w:t xml:space="preserve"> </w:t>
      </w:r>
      <w:r w:rsidRPr="003F564F">
        <w:rPr>
          <w:sz w:val="22"/>
          <w:szCs w:val="22"/>
        </w:rPr>
        <w:t xml:space="preserve">kriterijus </w:t>
      </w:r>
      <w:proofErr w:type="spellStart"/>
      <w:r w:rsidRPr="003F564F">
        <w:rPr>
          <w:sz w:val="22"/>
          <w:szCs w:val="22"/>
        </w:rPr>
        <w:t>hipertrigliceridemijos</w:t>
      </w:r>
      <w:proofErr w:type="spellEnd"/>
      <w:r w:rsidRPr="003F564F">
        <w:rPr>
          <w:sz w:val="22"/>
          <w:szCs w:val="22"/>
        </w:rPr>
        <w:t xml:space="preserve"> ar padidėjusio </w:t>
      </w:r>
      <w:proofErr w:type="spellStart"/>
      <w:r w:rsidRPr="003F564F">
        <w:rPr>
          <w:sz w:val="22"/>
          <w:szCs w:val="22"/>
        </w:rPr>
        <w:t>aspartato</w:t>
      </w:r>
      <w:proofErr w:type="spellEnd"/>
      <w:r w:rsidRPr="003F564F">
        <w:rPr>
          <w:sz w:val="22"/>
          <w:szCs w:val="22"/>
        </w:rPr>
        <w:t xml:space="preserve"> </w:t>
      </w:r>
      <w:proofErr w:type="spellStart"/>
      <w:r w:rsidRPr="003F564F">
        <w:rPr>
          <w:sz w:val="22"/>
          <w:szCs w:val="22"/>
        </w:rPr>
        <w:t>aminotransferazės</w:t>
      </w:r>
      <w:proofErr w:type="spellEnd"/>
      <w:r w:rsidRPr="003F564F">
        <w:rPr>
          <w:sz w:val="22"/>
          <w:szCs w:val="22"/>
        </w:rPr>
        <w:t xml:space="preserve"> aktyvumo, nei 4-ojo</w:t>
      </w:r>
      <w:r w:rsidR="0002237D" w:rsidRPr="003F564F">
        <w:rPr>
          <w:sz w:val="22"/>
          <w:szCs w:val="22"/>
        </w:rPr>
        <w:t xml:space="preserve"> </w:t>
      </w:r>
      <w:r w:rsidRPr="003F564F">
        <w:rPr>
          <w:sz w:val="22"/>
          <w:szCs w:val="22"/>
        </w:rPr>
        <w:t xml:space="preserve">laipsnio pagal CTCAE kriterijus padidėjusio </w:t>
      </w:r>
      <w:proofErr w:type="spellStart"/>
      <w:r w:rsidRPr="003F564F">
        <w:rPr>
          <w:sz w:val="22"/>
          <w:szCs w:val="22"/>
        </w:rPr>
        <w:t>alanino</w:t>
      </w:r>
      <w:proofErr w:type="spellEnd"/>
      <w:r w:rsidRPr="003F564F">
        <w:rPr>
          <w:sz w:val="22"/>
          <w:szCs w:val="22"/>
        </w:rPr>
        <w:t xml:space="preserve"> </w:t>
      </w:r>
      <w:proofErr w:type="spellStart"/>
      <w:r w:rsidRPr="003F564F">
        <w:rPr>
          <w:sz w:val="22"/>
          <w:szCs w:val="22"/>
        </w:rPr>
        <w:t>aminotransferazės</w:t>
      </w:r>
      <w:proofErr w:type="spellEnd"/>
      <w:r w:rsidRPr="003F564F">
        <w:rPr>
          <w:sz w:val="22"/>
          <w:szCs w:val="22"/>
        </w:rPr>
        <w:t xml:space="preserve"> aktyvumo ar</w:t>
      </w:r>
      <w:r w:rsidR="0002237D" w:rsidRPr="003F564F">
        <w:rPr>
          <w:sz w:val="22"/>
          <w:szCs w:val="22"/>
        </w:rPr>
        <w:t xml:space="preserve"> </w:t>
      </w:r>
      <w:proofErr w:type="spellStart"/>
      <w:r w:rsidRPr="003F564F">
        <w:rPr>
          <w:sz w:val="22"/>
          <w:szCs w:val="22"/>
        </w:rPr>
        <w:t>hipercholesterolemijos</w:t>
      </w:r>
      <w:proofErr w:type="spellEnd"/>
      <w:r w:rsidRPr="003F564F">
        <w:rPr>
          <w:sz w:val="22"/>
          <w:szCs w:val="22"/>
        </w:rPr>
        <w:t xml:space="preserve"> atvejų.</w:t>
      </w:r>
    </w:p>
    <w:p w14:paraId="2FAD1E63" w14:textId="77777777" w:rsidR="0002237D" w:rsidRPr="003F564F" w:rsidRDefault="0002237D" w:rsidP="0002237D">
      <w:pPr>
        <w:tabs>
          <w:tab w:val="left" w:pos="567"/>
        </w:tabs>
        <w:spacing w:line="260" w:lineRule="exact"/>
        <w:rPr>
          <w:sz w:val="22"/>
          <w:szCs w:val="22"/>
        </w:rPr>
      </w:pPr>
    </w:p>
    <w:p w14:paraId="31882535" w14:textId="23898BF1" w:rsidR="009F34A7" w:rsidRPr="003F564F" w:rsidRDefault="009F34A7" w:rsidP="0002237D">
      <w:pPr>
        <w:tabs>
          <w:tab w:val="left" w:pos="567"/>
        </w:tabs>
        <w:spacing w:line="260" w:lineRule="exact"/>
        <w:rPr>
          <w:sz w:val="22"/>
          <w:szCs w:val="22"/>
        </w:rPr>
      </w:pPr>
      <w:r w:rsidRPr="003F564F">
        <w:rPr>
          <w:sz w:val="22"/>
          <w:szCs w:val="22"/>
        </w:rPr>
        <w:t>Vaistinio preparato vartojimą dėl nepageidaujamų reiškinių (nepriklausomai nuo priežastinio ryšio)</w:t>
      </w:r>
      <w:r w:rsidR="0002237D" w:rsidRPr="003F564F">
        <w:rPr>
          <w:sz w:val="22"/>
          <w:szCs w:val="22"/>
        </w:rPr>
        <w:t xml:space="preserve"> </w:t>
      </w:r>
      <w:r w:rsidRPr="003F564F">
        <w:rPr>
          <w:sz w:val="22"/>
          <w:szCs w:val="22"/>
        </w:rPr>
        <w:t>nutraukė 30,0</w:t>
      </w:r>
      <w:r w:rsidR="0002237D" w:rsidRPr="003F564F">
        <w:rPr>
          <w:sz w:val="22"/>
          <w:szCs w:val="22"/>
        </w:rPr>
        <w:t> </w:t>
      </w:r>
      <w:r w:rsidRPr="003F564F">
        <w:rPr>
          <w:sz w:val="22"/>
          <w:szCs w:val="22"/>
        </w:rPr>
        <w:t>% pacientų.</w:t>
      </w:r>
    </w:p>
    <w:p w14:paraId="63448483" w14:textId="77777777" w:rsidR="0002237D" w:rsidRPr="003F564F" w:rsidRDefault="0002237D" w:rsidP="0002237D">
      <w:pPr>
        <w:tabs>
          <w:tab w:val="left" w:pos="567"/>
        </w:tabs>
        <w:spacing w:line="260" w:lineRule="exact"/>
        <w:rPr>
          <w:sz w:val="22"/>
          <w:szCs w:val="22"/>
        </w:rPr>
      </w:pPr>
    </w:p>
    <w:p w14:paraId="4F0825C4" w14:textId="77777777" w:rsidR="009F34A7" w:rsidRPr="003F564F" w:rsidRDefault="009F34A7" w:rsidP="0002237D">
      <w:pPr>
        <w:tabs>
          <w:tab w:val="left" w:pos="567"/>
        </w:tabs>
        <w:spacing w:line="260" w:lineRule="exact"/>
        <w:rPr>
          <w:i/>
          <w:iCs/>
          <w:sz w:val="22"/>
          <w:szCs w:val="22"/>
          <w:u w:val="single"/>
        </w:rPr>
      </w:pPr>
      <w:r w:rsidRPr="003F564F">
        <w:rPr>
          <w:i/>
          <w:iCs/>
          <w:sz w:val="22"/>
          <w:szCs w:val="22"/>
          <w:u w:val="single"/>
        </w:rPr>
        <w:t xml:space="preserve">Tikrąja </w:t>
      </w:r>
      <w:proofErr w:type="spellStart"/>
      <w:r w:rsidRPr="003F564F">
        <w:rPr>
          <w:i/>
          <w:iCs/>
          <w:sz w:val="22"/>
          <w:szCs w:val="22"/>
          <w:u w:val="single"/>
        </w:rPr>
        <w:t>policitemija</w:t>
      </w:r>
      <w:proofErr w:type="spellEnd"/>
      <w:r w:rsidRPr="003F564F">
        <w:rPr>
          <w:i/>
          <w:iCs/>
          <w:sz w:val="22"/>
          <w:szCs w:val="22"/>
          <w:u w:val="single"/>
        </w:rPr>
        <w:t xml:space="preserve"> sergantys pacientai</w:t>
      </w:r>
    </w:p>
    <w:p w14:paraId="679A304C" w14:textId="47B8D31E" w:rsidR="009F34A7" w:rsidRPr="003F564F" w:rsidRDefault="009F34A7" w:rsidP="0002237D">
      <w:pPr>
        <w:tabs>
          <w:tab w:val="left" w:pos="567"/>
        </w:tabs>
        <w:spacing w:line="260" w:lineRule="exact"/>
        <w:rPr>
          <w:sz w:val="22"/>
          <w:szCs w:val="22"/>
        </w:rPr>
      </w:pPr>
      <w:r w:rsidRPr="003F564F">
        <w:rPr>
          <w:sz w:val="22"/>
          <w:szCs w:val="22"/>
        </w:rPr>
        <w:t>Dažniausios nepageidaujamos vaistinio preparato sukeltos reakcijos, apie kurias gauta pranešimų,</w:t>
      </w:r>
      <w:r w:rsidR="0002237D" w:rsidRPr="003F564F">
        <w:rPr>
          <w:sz w:val="22"/>
          <w:szCs w:val="22"/>
        </w:rPr>
        <w:t xml:space="preserve"> </w:t>
      </w:r>
      <w:r w:rsidRPr="003F564F">
        <w:rPr>
          <w:sz w:val="22"/>
          <w:szCs w:val="22"/>
        </w:rPr>
        <w:t xml:space="preserve">buvo anemija ir padidėjęs </w:t>
      </w:r>
      <w:proofErr w:type="spellStart"/>
      <w:r w:rsidRPr="003F564F">
        <w:rPr>
          <w:sz w:val="22"/>
          <w:szCs w:val="22"/>
        </w:rPr>
        <w:t>alanino</w:t>
      </w:r>
      <w:proofErr w:type="spellEnd"/>
      <w:r w:rsidRPr="003F564F">
        <w:rPr>
          <w:sz w:val="22"/>
          <w:szCs w:val="22"/>
        </w:rPr>
        <w:t xml:space="preserve"> </w:t>
      </w:r>
      <w:proofErr w:type="spellStart"/>
      <w:r w:rsidRPr="003F564F">
        <w:rPr>
          <w:sz w:val="22"/>
          <w:szCs w:val="22"/>
        </w:rPr>
        <w:t>aminotransferazės</w:t>
      </w:r>
      <w:proofErr w:type="spellEnd"/>
      <w:r w:rsidRPr="003F564F">
        <w:rPr>
          <w:sz w:val="22"/>
          <w:szCs w:val="22"/>
        </w:rPr>
        <w:t xml:space="preserve"> aktyvumas.</w:t>
      </w:r>
    </w:p>
    <w:p w14:paraId="667119AB" w14:textId="77777777" w:rsidR="0002237D" w:rsidRPr="003F564F" w:rsidRDefault="0002237D" w:rsidP="0002237D">
      <w:pPr>
        <w:tabs>
          <w:tab w:val="left" w:pos="567"/>
        </w:tabs>
        <w:spacing w:line="260" w:lineRule="exact"/>
        <w:rPr>
          <w:sz w:val="22"/>
          <w:szCs w:val="22"/>
        </w:rPr>
      </w:pPr>
    </w:p>
    <w:p w14:paraId="26C4B890" w14:textId="655A524F" w:rsidR="009F34A7" w:rsidRPr="003F564F" w:rsidRDefault="009F34A7" w:rsidP="0002237D">
      <w:pPr>
        <w:tabs>
          <w:tab w:val="left" w:pos="567"/>
        </w:tabs>
        <w:spacing w:line="260" w:lineRule="exact"/>
        <w:rPr>
          <w:sz w:val="22"/>
          <w:szCs w:val="22"/>
        </w:rPr>
      </w:pPr>
      <w:r w:rsidRPr="003F564F">
        <w:rPr>
          <w:sz w:val="22"/>
          <w:szCs w:val="22"/>
        </w:rPr>
        <w:t>Nepageidaujami su vaistinio preparato vartojimu susiję kraujo sutrikimai (bet kurio sunkumo laipsnio</w:t>
      </w:r>
      <w:r w:rsidR="0002237D" w:rsidRPr="003F564F">
        <w:rPr>
          <w:sz w:val="22"/>
          <w:szCs w:val="22"/>
        </w:rPr>
        <w:t xml:space="preserve"> </w:t>
      </w:r>
      <w:r w:rsidRPr="003F564F">
        <w:rPr>
          <w:sz w:val="22"/>
          <w:szCs w:val="22"/>
        </w:rPr>
        <w:t>pagal CTCAE kriterijus) buvo anemija (61,8</w:t>
      </w:r>
      <w:r w:rsidR="0002237D" w:rsidRPr="003F564F">
        <w:rPr>
          <w:sz w:val="22"/>
          <w:szCs w:val="22"/>
        </w:rPr>
        <w:t> </w:t>
      </w:r>
      <w:r w:rsidRPr="003F564F">
        <w:rPr>
          <w:sz w:val="22"/>
          <w:szCs w:val="22"/>
        </w:rPr>
        <w:t xml:space="preserve">%), </w:t>
      </w:r>
      <w:proofErr w:type="spellStart"/>
      <w:r w:rsidRPr="003F564F">
        <w:rPr>
          <w:sz w:val="22"/>
          <w:szCs w:val="22"/>
        </w:rPr>
        <w:t>trombocitopenija</w:t>
      </w:r>
      <w:proofErr w:type="spellEnd"/>
      <w:r w:rsidRPr="003F564F">
        <w:rPr>
          <w:sz w:val="22"/>
          <w:szCs w:val="22"/>
        </w:rPr>
        <w:t xml:space="preserve"> (25,0</w:t>
      </w:r>
      <w:r w:rsidR="0002237D" w:rsidRPr="003F564F">
        <w:rPr>
          <w:sz w:val="22"/>
          <w:szCs w:val="22"/>
        </w:rPr>
        <w:t> </w:t>
      </w:r>
      <w:r w:rsidRPr="003F564F">
        <w:rPr>
          <w:sz w:val="22"/>
          <w:szCs w:val="22"/>
        </w:rPr>
        <w:t xml:space="preserve">%) ir </w:t>
      </w:r>
      <w:proofErr w:type="spellStart"/>
      <w:r w:rsidRPr="003F564F">
        <w:rPr>
          <w:sz w:val="22"/>
          <w:szCs w:val="22"/>
        </w:rPr>
        <w:t>neutropenija</w:t>
      </w:r>
      <w:proofErr w:type="spellEnd"/>
      <w:r w:rsidRPr="003F564F">
        <w:rPr>
          <w:sz w:val="22"/>
          <w:szCs w:val="22"/>
        </w:rPr>
        <w:t xml:space="preserve"> (5,3</w:t>
      </w:r>
      <w:r w:rsidR="0002237D" w:rsidRPr="003F564F">
        <w:rPr>
          <w:sz w:val="22"/>
          <w:szCs w:val="22"/>
        </w:rPr>
        <w:t> </w:t>
      </w:r>
      <w:r w:rsidRPr="003F564F">
        <w:rPr>
          <w:sz w:val="22"/>
          <w:szCs w:val="22"/>
        </w:rPr>
        <w:t>%).</w:t>
      </w:r>
      <w:r w:rsidR="0002237D" w:rsidRPr="003F564F">
        <w:rPr>
          <w:sz w:val="22"/>
          <w:szCs w:val="22"/>
        </w:rPr>
        <w:t xml:space="preserve"> </w:t>
      </w:r>
      <w:r w:rsidRPr="003F564F">
        <w:rPr>
          <w:sz w:val="22"/>
          <w:szCs w:val="22"/>
        </w:rPr>
        <w:t xml:space="preserve">3-iojo ar 4-ojo laipsnių pagal CTCAE kriterijus anemija ir </w:t>
      </w:r>
      <w:proofErr w:type="spellStart"/>
      <w:r w:rsidRPr="003F564F">
        <w:rPr>
          <w:sz w:val="22"/>
          <w:szCs w:val="22"/>
        </w:rPr>
        <w:t>trombocitopenija</w:t>
      </w:r>
      <w:proofErr w:type="spellEnd"/>
      <w:r w:rsidRPr="003F564F">
        <w:rPr>
          <w:sz w:val="22"/>
          <w:szCs w:val="22"/>
        </w:rPr>
        <w:t xml:space="preserve"> pasireiškė, atitinkamai,</w:t>
      </w:r>
      <w:r w:rsidR="0002237D" w:rsidRPr="003F564F">
        <w:rPr>
          <w:sz w:val="22"/>
          <w:szCs w:val="22"/>
        </w:rPr>
        <w:t xml:space="preserve"> </w:t>
      </w:r>
      <w:r w:rsidRPr="003F564F">
        <w:rPr>
          <w:sz w:val="22"/>
          <w:szCs w:val="22"/>
        </w:rPr>
        <w:t>2,9</w:t>
      </w:r>
      <w:r w:rsidR="0002237D" w:rsidRPr="003F564F">
        <w:rPr>
          <w:sz w:val="22"/>
          <w:szCs w:val="22"/>
        </w:rPr>
        <w:t> </w:t>
      </w:r>
      <w:r w:rsidRPr="003F564F">
        <w:rPr>
          <w:sz w:val="22"/>
          <w:szCs w:val="22"/>
        </w:rPr>
        <w:t>% arba 2,6</w:t>
      </w:r>
      <w:r w:rsidR="0002237D" w:rsidRPr="003F564F">
        <w:rPr>
          <w:sz w:val="22"/>
          <w:szCs w:val="22"/>
        </w:rPr>
        <w:t> </w:t>
      </w:r>
      <w:r w:rsidRPr="003F564F">
        <w:rPr>
          <w:sz w:val="22"/>
          <w:szCs w:val="22"/>
        </w:rPr>
        <w:t>% pacientų.</w:t>
      </w:r>
    </w:p>
    <w:p w14:paraId="376D24AC" w14:textId="77777777" w:rsidR="0002237D" w:rsidRPr="003F564F" w:rsidRDefault="0002237D" w:rsidP="0002237D">
      <w:pPr>
        <w:tabs>
          <w:tab w:val="left" w:pos="567"/>
        </w:tabs>
        <w:spacing w:line="260" w:lineRule="exact"/>
        <w:rPr>
          <w:sz w:val="22"/>
          <w:szCs w:val="22"/>
        </w:rPr>
      </w:pPr>
    </w:p>
    <w:p w14:paraId="358418F1" w14:textId="6907191C" w:rsidR="009F34A7" w:rsidRPr="003F564F" w:rsidRDefault="009F34A7" w:rsidP="0002237D">
      <w:pPr>
        <w:tabs>
          <w:tab w:val="left" w:pos="567"/>
        </w:tabs>
        <w:spacing w:line="260" w:lineRule="exact"/>
        <w:rPr>
          <w:sz w:val="22"/>
          <w:szCs w:val="22"/>
        </w:rPr>
      </w:pPr>
      <w:r w:rsidRPr="003F564F">
        <w:rPr>
          <w:sz w:val="22"/>
          <w:szCs w:val="22"/>
        </w:rPr>
        <w:t>Dažniausios trys kitokios nei kraujo sutrikimai nepageidaujamos su vaistinio preparato vartojimu</w:t>
      </w:r>
      <w:r w:rsidR="0002237D" w:rsidRPr="003F564F">
        <w:rPr>
          <w:sz w:val="22"/>
          <w:szCs w:val="22"/>
        </w:rPr>
        <w:t xml:space="preserve"> </w:t>
      </w:r>
      <w:r w:rsidRPr="003F564F">
        <w:rPr>
          <w:sz w:val="22"/>
          <w:szCs w:val="22"/>
        </w:rPr>
        <w:t>susijusios reakcijos buvo padidėjęs kūno svoris (20,3</w:t>
      </w:r>
      <w:r w:rsidR="0002237D" w:rsidRPr="003F564F">
        <w:rPr>
          <w:sz w:val="22"/>
          <w:szCs w:val="22"/>
        </w:rPr>
        <w:t> </w:t>
      </w:r>
      <w:r w:rsidRPr="003F564F">
        <w:rPr>
          <w:sz w:val="22"/>
          <w:szCs w:val="22"/>
        </w:rPr>
        <w:t xml:space="preserve">%), </w:t>
      </w:r>
      <w:r w:rsidR="00FB2B67">
        <w:rPr>
          <w:sz w:val="22"/>
          <w:szCs w:val="22"/>
        </w:rPr>
        <w:t>svaigulys</w:t>
      </w:r>
      <w:r w:rsidRPr="003F564F">
        <w:rPr>
          <w:sz w:val="22"/>
          <w:szCs w:val="22"/>
        </w:rPr>
        <w:t xml:space="preserve"> (19,4</w:t>
      </w:r>
      <w:r w:rsidR="0002237D" w:rsidRPr="003F564F">
        <w:rPr>
          <w:sz w:val="22"/>
          <w:szCs w:val="22"/>
        </w:rPr>
        <w:t> </w:t>
      </w:r>
      <w:r w:rsidRPr="003F564F">
        <w:rPr>
          <w:sz w:val="22"/>
          <w:szCs w:val="22"/>
        </w:rPr>
        <w:t>%) ir galvos</w:t>
      </w:r>
      <w:r w:rsidR="0002237D" w:rsidRPr="003F564F">
        <w:rPr>
          <w:sz w:val="22"/>
          <w:szCs w:val="22"/>
        </w:rPr>
        <w:t xml:space="preserve"> </w:t>
      </w:r>
      <w:r w:rsidRPr="003F564F">
        <w:rPr>
          <w:sz w:val="22"/>
          <w:szCs w:val="22"/>
        </w:rPr>
        <w:t>skausmas (17,9</w:t>
      </w:r>
      <w:r w:rsidR="0002237D" w:rsidRPr="003F564F">
        <w:rPr>
          <w:sz w:val="22"/>
          <w:szCs w:val="22"/>
        </w:rPr>
        <w:t> </w:t>
      </w:r>
      <w:r w:rsidRPr="003F564F">
        <w:rPr>
          <w:sz w:val="22"/>
          <w:szCs w:val="22"/>
        </w:rPr>
        <w:t>%).</w:t>
      </w:r>
    </w:p>
    <w:p w14:paraId="294BD8A2" w14:textId="77777777" w:rsidR="0002237D" w:rsidRPr="003F564F" w:rsidRDefault="0002237D" w:rsidP="0002237D">
      <w:pPr>
        <w:tabs>
          <w:tab w:val="left" w:pos="567"/>
        </w:tabs>
        <w:spacing w:line="260" w:lineRule="exact"/>
        <w:rPr>
          <w:sz w:val="22"/>
          <w:szCs w:val="22"/>
        </w:rPr>
      </w:pPr>
    </w:p>
    <w:p w14:paraId="34DCA02E" w14:textId="45F55A71" w:rsidR="009F34A7" w:rsidRPr="003F564F" w:rsidRDefault="009F34A7" w:rsidP="0002237D">
      <w:pPr>
        <w:tabs>
          <w:tab w:val="left" w:pos="567"/>
        </w:tabs>
        <w:spacing w:line="260" w:lineRule="exact"/>
        <w:rPr>
          <w:sz w:val="22"/>
          <w:szCs w:val="22"/>
        </w:rPr>
      </w:pPr>
      <w:r w:rsidRPr="003F564F">
        <w:rPr>
          <w:sz w:val="22"/>
          <w:szCs w:val="22"/>
        </w:rPr>
        <w:t>Dažniausi trys kitokie nei kraujo sutrikimai laboratorinių tyrimų pokyčiai (bet kurio sunkumo laipsnio</w:t>
      </w:r>
      <w:r w:rsidR="0002237D" w:rsidRPr="003F564F">
        <w:rPr>
          <w:sz w:val="22"/>
          <w:szCs w:val="22"/>
        </w:rPr>
        <w:t xml:space="preserve"> </w:t>
      </w:r>
      <w:r w:rsidRPr="003F564F">
        <w:rPr>
          <w:sz w:val="22"/>
          <w:szCs w:val="22"/>
        </w:rPr>
        <w:t xml:space="preserve">pagal CTCAE kriterijus), nustatyti kaip nepageidaujamos reakcijos, buvo padidėjęs </w:t>
      </w:r>
      <w:proofErr w:type="spellStart"/>
      <w:r w:rsidRPr="003F564F">
        <w:rPr>
          <w:sz w:val="22"/>
          <w:szCs w:val="22"/>
        </w:rPr>
        <w:t>alanino</w:t>
      </w:r>
      <w:proofErr w:type="spellEnd"/>
      <w:r w:rsidR="0002237D" w:rsidRPr="003F564F">
        <w:rPr>
          <w:sz w:val="22"/>
          <w:szCs w:val="22"/>
        </w:rPr>
        <w:t xml:space="preserve"> </w:t>
      </w:r>
      <w:proofErr w:type="spellStart"/>
      <w:r w:rsidRPr="003F564F">
        <w:rPr>
          <w:sz w:val="22"/>
          <w:szCs w:val="22"/>
        </w:rPr>
        <w:t>aminotransferazės</w:t>
      </w:r>
      <w:proofErr w:type="spellEnd"/>
      <w:r w:rsidRPr="003F564F">
        <w:rPr>
          <w:sz w:val="22"/>
          <w:szCs w:val="22"/>
        </w:rPr>
        <w:t xml:space="preserve"> aktyvumas (45,3</w:t>
      </w:r>
      <w:r w:rsidR="0002237D" w:rsidRPr="003F564F">
        <w:rPr>
          <w:sz w:val="22"/>
          <w:szCs w:val="22"/>
        </w:rPr>
        <w:t> </w:t>
      </w:r>
      <w:r w:rsidRPr="003F564F">
        <w:rPr>
          <w:sz w:val="22"/>
          <w:szCs w:val="22"/>
        </w:rPr>
        <w:t xml:space="preserve">%), padidėjęs </w:t>
      </w:r>
      <w:proofErr w:type="spellStart"/>
      <w:r w:rsidRPr="003F564F">
        <w:rPr>
          <w:sz w:val="22"/>
          <w:szCs w:val="22"/>
        </w:rPr>
        <w:t>aspartato</w:t>
      </w:r>
      <w:proofErr w:type="spellEnd"/>
      <w:r w:rsidRPr="003F564F">
        <w:rPr>
          <w:sz w:val="22"/>
          <w:szCs w:val="22"/>
        </w:rPr>
        <w:t xml:space="preserve"> </w:t>
      </w:r>
      <w:proofErr w:type="spellStart"/>
      <w:r w:rsidRPr="003F564F">
        <w:rPr>
          <w:sz w:val="22"/>
          <w:szCs w:val="22"/>
        </w:rPr>
        <w:t>aminotransferazės</w:t>
      </w:r>
      <w:proofErr w:type="spellEnd"/>
      <w:r w:rsidRPr="003F564F">
        <w:rPr>
          <w:sz w:val="22"/>
          <w:szCs w:val="22"/>
        </w:rPr>
        <w:t xml:space="preserve"> aktyvumas (42,6</w:t>
      </w:r>
      <w:r w:rsidR="0002237D" w:rsidRPr="003F564F">
        <w:rPr>
          <w:sz w:val="22"/>
          <w:szCs w:val="22"/>
        </w:rPr>
        <w:t> </w:t>
      </w:r>
      <w:r w:rsidRPr="003F564F">
        <w:rPr>
          <w:sz w:val="22"/>
          <w:szCs w:val="22"/>
        </w:rPr>
        <w:t>%) ir</w:t>
      </w:r>
      <w:r w:rsidR="0002237D" w:rsidRPr="003F564F">
        <w:rPr>
          <w:sz w:val="22"/>
          <w:szCs w:val="22"/>
        </w:rPr>
        <w:t xml:space="preserve"> </w:t>
      </w:r>
      <w:proofErr w:type="spellStart"/>
      <w:r w:rsidRPr="003F564F">
        <w:rPr>
          <w:sz w:val="22"/>
          <w:szCs w:val="22"/>
        </w:rPr>
        <w:t>hipercholesterolemija</w:t>
      </w:r>
      <w:proofErr w:type="spellEnd"/>
      <w:r w:rsidRPr="003F564F">
        <w:rPr>
          <w:sz w:val="22"/>
          <w:szCs w:val="22"/>
        </w:rPr>
        <w:t xml:space="preserve"> (34,7</w:t>
      </w:r>
      <w:r w:rsidR="0002237D" w:rsidRPr="003F564F">
        <w:rPr>
          <w:sz w:val="22"/>
          <w:szCs w:val="22"/>
        </w:rPr>
        <w:t> </w:t>
      </w:r>
      <w:r w:rsidRPr="003F564F">
        <w:rPr>
          <w:sz w:val="22"/>
          <w:szCs w:val="22"/>
        </w:rPr>
        <w:t>%). Nebuvo pastebėta nė vieno 4-ojo laipsnio pagal CTCAE kriterijus</w:t>
      </w:r>
      <w:r w:rsidR="0002237D" w:rsidRPr="003F564F">
        <w:rPr>
          <w:sz w:val="22"/>
          <w:szCs w:val="22"/>
        </w:rPr>
        <w:t xml:space="preserve"> </w:t>
      </w:r>
      <w:r w:rsidRPr="003F564F">
        <w:rPr>
          <w:sz w:val="22"/>
          <w:szCs w:val="22"/>
        </w:rPr>
        <w:t xml:space="preserve">padidėjusio </w:t>
      </w:r>
      <w:proofErr w:type="spellStart"/>
      <w:r w:rsidRPr="003F564F">
        <w:rPr>
          <w:sz w:val="22"/>
          <w:szCs w:val="22"/>
        </w:rPr>
        <w:t>alanino</w:t>
      </w:r>
      <w:proofErr w:type="spellEnd"/>
      <w:r w:rsidRPr="003F564F">
        <w:rPr>
          <w:sz w:val="22"/>
          <w:szCs w:val="22"/>
        </w:rPr>
        <w:t xml:space="preserve"> </w:t>
      </w:r>
      <w:proofErr w:type="spellStart"/>
      <w:r w:rsidRPr="003F564F">
        <w:rPr>
          <w:sz w:val="22"/>
          <w:szCs w:val="22"/>
        </w:rPr>
        <w:t>aminotransferazės</w:t>
      </w:r>
      <w:proofErr w:type="spellEnd"/>
      <w:r w:rsidRPr="003F564F">
        <w:rPr>
          <w:sz w:val="22"/>
          <w:szCs w:val="22"/>
        </w:rPr>
        <w:t xml:space="preserve"> aktyvumo ar </w:t>
      </w:r>
      <w:proofErr w:type="spellStart"/>
      <w:r w:rsidRPr="003F564F">
        <w:rPr>
          <w:sz w:val="22"/>
          <w:szCs w:val="22"/>
        </w:rPr>
        <w:t>hipercholesterolemijos</w:t>
      </w:r>
      <w:proofErr w:type="spellEnd"/>
      <w:r w:rsidRPr="003F564F">
        <w:rPr>
          <w:sz w:val="22"/>
          <w:szCs w:val="22"/>
        </w:rPr>
        <w:t xml:space="preserve"> atvejo, tačiau nustatytas</w:t>
      </w:r>
      <w:r w:rsidR="0002237D" w:rsidRPr="003F564F">
        <w:rPr>
          <w:sz w:val="22"/>
          <w:szCs w:val="22"/>
        </w:rPr>
        <w:t xml:space="preserve"> </w:t>
      </w:r>
      <w:r w:rsidRPr="003F564F">
        <w:rPr>
          <w:sz w:val="22"/>
          <w:szCs w:val="22"/>
        </w:rPr>
        <w:t xml:space="preserve">vienas 4-ojo laipsnio pagal CTCAE kriterijus padidėjusio </w:t>
      </w:r>
      <w:proofErr w:type="spellStart"/>
      <w:r w:rsidRPr="003F564F">
        <w:rPr>
          <w:sz w:val="22"/>
          <w:szCs w:val="22"/>
        </w:rPr>
        <w:t>aspartato</w:t>
      </w:r>
      <w:proofErr w:type="spellEnd"/>
      <w:r w:rsidRPr="003F564F">
        <w:rPr>
          <w:sz w:val="22"/>
          <w:szCs w:val="22"/>
        </w:rPr>
        <w:t xml:space="preserve"> </w:t>
      </w:r>
      <w:proofErr w:type="spellStart"/>
      <w:r w:rsidRPr="003F564F">
        <w:rPr>
          <w:sz w:val="22"/>
          <w:szCs w:val="22"/>
        </w:rPr>
        <w:t>aminotransferazės</w:t>
      </w:r>
      <w:proofErr w:type="spellEnd"/>
      <w:r w:rsidRPr="003F564F">
        <w:rPr>
          <w:sz w:val="22"/>
          <w:szCs w:val="22"/>
        </w:rPr>
        <w:t xml:space="preserve"> aktyvumo</w:t>
      </w:r>
      <w:r w:rsidR="0002237D" w:rsidRPr="003F564F">
        <w:rPr>
          <w:sz w:val="22"/>
          <w:szCs w:val="22"/>
        </w:rPr>
        <w:t xml:space="preserve"> </w:t>
      </w:r>
      <w:r w:rsidRPr="003F564F">
        <w:rPr>
          <w:sz w:val="22"/>
          <w:szCs w:val="22"/>
        </w:rPr>
        <w:t>atvejis.</w:t>
      </w:r>
    </w:p>
    <w:p w14:paraId="0D968DE8" w14:textId="77777777" w:rsidR="0002237D" w:rsidRPr="003F564F" w:rsidRDefault="0002237D" w:rsidP="0002237D">
      <w:pPr>
        <w:tabs>
          <w:tab w:val="left" w:pos="567"/>
        </w:tabs>
        <w:spacing w:line="260" w:lineRule="exact"/>
        <w:rPr>
          <w:sz w:val="22"/>
          <w:szCs w:val="22"/>
        </w:rPr>
      </w:pPr>
    </w:p>
    <w:p w14:paraId="230996D4" w14:textId="18954531" w:rsidR="009F34A7" w:rsidRPr="003F564F" w:rsidRDefault="009F34A7" w:rsidP="0002237D">
      <w:pPr>
        <w:tabs>
          <w:tab w:val="left" w:pos="567"/>
        </w:tabs>
        <w:spacing w:line="260" w:lineRule="exact"/>
        <w:rPr>
          <w:sz w:val="22"/>
          <w:szCs w:val="22"/>
        </w:rPr>
      </w:pPr>
      <w:r w:rsidRPr="003F564F">
        <w:rPr>
          <w:sz w:val="22"/>
          <w:szCs w:val="22"/>
        </w:rPr>
        <w:t>Vaistinio preparato vartojimą dėl nepageidaujamų reiškinių (nepriklausomai nuo priežastinio ryšio)</w:t>
      </w:r>
      <w:r w:rsidR="0002237D" w:rsidRPr="003F564F">
        <w:rPr>
          <w:sz w:val="22"/>
          <w:szCs w:val="22"/>
        </w:rPr>
        <w:t xml:space="preserve"> </w:t>
      </w:r>
      <w:r w:rsidRPr="003F564F">
        <w:rPr>
          <w:sz w:val="22"/>
          <w:szCs w:val="22"/>
        </w:rPr>
        <w:t>nutraukė 19,4</w:t>
      </w:r>
      <w:r w:rsidR="0002237D" w:rsidRPr="003F564F">
        <w:rPr>
          <w:sz w:val="22"/>
          <w:szCs w:val="22"/>
        </w:rPr>
        <w:t> </w:t>
      </w:r>
      <w:r w:rsidRPr="003F564F">
        <w:rPr>
          <w:sz w:val="22"/>
          <w:szCs w:val="22"/>
        </w:rPr>
        <w:t>% pacientų.</w:t>
      </w:r>
    </w:p>
    <w:p w14:paraId="6E7179FE" w14:textId="77777777" w:rsidR="0002237D" w:rsidRPr="003F564F" w:rsidRDefault="0002237D" w:rsidP="0002237D">
      <w:pPr>
        <w:tabs>
          <w:tab w:val="left" w:pos="567"/>
        </w:tabs>
        <w:spacing w:line="260" w:lineRule="exact"/>
        <w:rPr>
          <w:sz w:val="22"/>
          <w:szCs w:val="22"/>
        </w:rPr>
      </w:pPr>
    </w:p>
    <w:p w14:paraId="41EC00D5" w14:textId="77777777" w:rsidR="009F34A7" w:rsidRPr="003F564F" w:rsidRDefault="009F34A7" w:rsidP="0002237D">
      <w:pPr>
        <w:tabs>
          <w:tab w:val="left" w:pos="567"/>
        </w:tabs>
        <w:spacing w:line="260" w:lineRule="exact"/>
        <w:rPr>
          <w:i/>
          <w:iCs/>
          <w:sz w:val="22"/>
          <w:szCs w:val="22"/>
          <w:u w:val="single"/>
        </w:rPr>
      </w:pPr>
      <w:r w:rsidRPr="003F564F">
        <w:rPr>
          <w:i/>
          <w:iCs/>
          <w:sz w:val="22"/>
          <w:szCs w:val="22"/>
          <w:u w:val="single"/>
        </w:rPr>
        <w:t xml:space="preserve">Ūminė </w:t>
      </w:r>
      <w:proofErr w:type="spellStart"/>
      <w:r w:rsidRPr="003F564F">
        <w:rPr>
          <w:i/>
          <w:iCs/>
          <w:sz w:val="22"/>
          <w:szCs w:val="22"/>
          <w:u w:val="single"/>
        </w:rPr>
        <w:t>TpŠL</w:t>
      </w:r>
      <w:proofErr w:type="spellEnd"/>
    </w:p>
    <w:p w14:paraId="76CF7F21" w14:textId="4CF274D0" w:rsidR="009F34A7" w:rsidRPr="003F564F" w:rsidRDefault="009F34A7" w:rsidP="0002237D">
      <w:pPr>
        <w:tabs>
          <w:tab w:val="left" w:pos="567"/>
        </w:tabs>
        <w:spacing w:line="260" w:lineRule="exact"/>
        <w:rPr>
          <w:sz w:val="22"/>
          <w:szCs w:val="22"/>
        </w:rPr>
      </w:pPr>
      <w:r w:rsidRPr="003F564F">
        <w:rPr>
          <w:sz w:val="22"/>
          <w:szCs w:val="22"/>
        </w:rPr>
        <w:t>Dažniausios nepageidaujamos vaistinio preparato sukeltos reakcijos, apie kurias gauta pranešimų</w:t>
      </w:r>
      <w:r w:rsidR="0002237D" w:rsidRPr="003F564F">
        <w:rPr>
          <w:sz w:val="22"/>
          <w:szCs w:val="22"/>
        </w:rPr>
        <w:t xml:space="preserve"> </w:t>
      </w:r>
      <w:r w:rsidRPr="003F564F">
        <w:rPr>
          <w:sz w:val="22"/>
          <w:szCs w:val="22"/>
        </w:rPr>
        <w:t xml:space="preserve">REACH2 tyrimo metu (suaugusiems pacientams ir paaugliams), buvo </w:t>
      </w:r>
      <w:proofErr w:type="spellStart"/>
      <w:r w:rsidRPr="003F564F">
        <w:rPr>
          <w:sz w:val="22"/>
          <w:szCs w:val="22"/>
        </w:rPr>
        <w:t>trombocitopenija</w:t>
      </w:r>
      <w:proofErr w:type="spellEnd"/>
      <w:r w:rsidRPr="003F564F">
        <w:rPr>
          <w:sz w:val="22"/>
          <w:szCs w:val="22"/>
        </w:rPr>
        <w:t>, anemija,</w:t>
      </w:r>
      <w:r w:rsidR="0002237D" w:rsidRPr="003F564F">
        <w:rPr>
          <w:sz w:val="22"/>
          <w:szCs w:val="22"/>
        </w:rPr>
        <w:t xml:space="preserve"> </w:t>
      </w:r>
      <w:proofErr w:type="spellStart"/>
      <w:r w:rsidRPr="003F564F">
        <w:rPr>
          <w:sz w:val="22"/>
          <w:szCs w:val="22"/>
        </w:rPr>
        <w:t>neutropenija</w:t>
      </w:r>
      <w:proofErr w:type="spellEnd"/>
      <w:r w:rsidRPr="003F564F">
        <w:rPr>
          <w:sz w:val="22"/>
          <w:szCs w:val="22"/>
        </w:rPr>
        <w:t xml:space="preserve">, padidėjęs </w:t>
      </w:r>
      <w:proofErr w:type="spellStart"/>
      <w:r w:rsidRPr="003F564F">
        <w:rPr>
          <w:sz w:val="22"/>
          <w:szCs w:val="22"/>
        </w:rPr>
        <w:t>alanino</w:t>
      </w:r>
      <w:proofErr w:type="spellEnd"/>
      <w:r w:rsidRPr="003F564F">
        <w:rPr>
          <w:sz w:val="22"/>
          <w:szCs w:val="22"/>
        </w:rPr>
        <w:t xml:space="preserve"> </w:t>
      </w:r>
      <w:proofErr w:type="spellStart"/>
      <w:r w:rsidRPr="003F564F">
        <w:rPr>
          <w:sz w:val="22"/>
          <w:szCs w:val="22"/>
        </w:rPr>
        <w:t>aminotransferazės</w:t>
      </w:r>
      <w:proofErr w:type="spellEnd"/>
      <w:r w:rsidRPr="003F564F">
        <w:rPr>
          <w:sz w:val="22"/>
          <w:szCs w:val="22"/>
        </w:rPr>
        <w:t xml:space="preserve"> aktyvumas ir padidėjęs </w:t>
      </w:r>
      <w:proofErr w:type="spellStart"/>
      <w:r w:rsidRPr="003F564F">
        <w:rPr>
          <w:sz w:val="22"/>
          <w:szCs w:val="22"/>
        </w:rPr>
        <w:t>aspartato</w:t>
      </w:r>
      <w:proofErr w:type="spellEnd"/>
      <w:r w:rsidRPr="003F564F">
        <w:rPr>
          <w:sz w:val="22"/>
          <w:szCs w:val="22"/>
        </w:rPr>
        <w:t xml:space="preserve"> </w:t>
      </w:r>
      <w:proofErr w:type="spellStart"/>
      <w:r w:rsidRPr="003F564F">
        <w:rPr>
          <w:sz w:val="22"/>
          <w:szCs w:val="22"/>
        </w:rPr>
        <w:t>aminotransferazės</w:t>
      </w:r>
      <w:proofErr w:type="spellEnd"/>
      <w:r w:rsidR="0002237D" w:rsidRPr="003F564F">
        <w:rPr>
          <w:sz w:val="22"/>
          <w:szCs w:val="22"/>
        </w:rPr>
        <w:t xml:space="preserve"> </w:t>
      </w:r>
      <w:r w:rsidRPr="003F564F">
        <w:rPr>
          <w:sz w:val="22"/>
          <w:szCs w:val="22"/>
        </w:rPr>
        <w:t>aktyvumas. Dažniausios nepageidaujamos vaistinio preparato sukeltos reakcijos, apie kurias gauta</w:t>
      </w:r>
      <w:r w:rsidR="0002237D" w:rsidRPr="003F564F">
        <w:rPr>
          <w:sz w:val="22"/>
          <w:szCs w:val="22"/>
        </w:rPr>
        <w:t xml:space="preserve"> </w:t>
      </w:r>
      <w:r w:rsidRPr="003F564F">
        <w:rPr>
          <w:sz w:val="22"/>
          <w:szCs w:val="22"/>
        </w:rPr>
        <w:t>pranešimų apibendrinus visus vaikų tyrimų duomenis (paauglių REACH2 tyrimo metu bei vaikų</w:t>
      </w:r>
      <w:r w:rsidR="0002237D" w:rsidRPr="003F564F">
        <w:rPr>
          <w:sz w:val="22"/>
          <w:szCs w:val="22"/>
        </w:rPr>
        <w:t xml:space="preserve"> </w:t>
      </w:r>
      <w:r w:rsidRPr="003F564F">
        <w:rPr>
          <w:sz w:val="22"/>
          <w:szCs w:val="22"/>
        </w:rPr>
        <w:t xml:space="preserve">REACH4 tyrimo metu) buvo anemija, </w:t>
      </w:r>
      <w:proofErr w:type="spellStart"/>
      <w:r w:rsidRPr="003F564F">
        <w:rPr>
          <w:sz w:val="22"/>
          <w:szCs w:val="22"/>
        </w:rPr>
        <w:t>neutropenija</w:t>
      </w:r>
      <w:proofErr w:type="spellEnd"/>
      <w:r w:rsidRPr="003F564F">
        <w:rPr>
          <w:sz w:val="22"/>
          <w:szCs w:val="22"/>
        </w:rPr>
        <w:t xml:space="preserve">, padidėjęs </w:t>
      </w:r>
      <w:proofErr w:type="spellStart"/>
      <w:r w:rsidRPr="003F564F">
        <w:rPr>
          <w:sz w:val="22"/>
          <w:szCs w:val="22"/>
        </w:rPr>
        <w:t>alanino</w:t>
      </w:r>
      <w:proofErr w:type="spellEnd"/>
      <w:r w:rsidRPr="003F564F">
        <w:rPr>
          <w:sz w:val="22"/>
          <w:szCs w:val="22"/>
        </w:rPr>
        <w:t xml:space="preserve"> </w:t>
      </w:r>
      <w:proofErr w:type="spellStart"/>
      <w:r w:rsidRPr="003F564F">
        <w:rPr>
          <w:sz w:val="22"/>
          <w:szCs w:val="22"/>
        </w:rPr>
        <w:t>aminotransferazės</w:t>
      </w:r>
      <w:proofErr w:type="spellEnd"/>
      <w:r w:rsidRPr="003F564F">
        <w:rPr>
          <w:sz w:val="22"/>
          <w:szCs w:val="22"/>
        </w:rPr>
        <w:t xml:space="preserve"> aktyvumas,</w:t>
      </w:r>
      <w:r w:rsidR="0002237D" w:rsidRPr="003F564F">
        <w:rPr>
          <w:sz w:val="22"/>
          <w:szCs w:val="22"/>
        </w:rPr>
        <w:t xml:space="preserve"> </w:t>
      </w:r>
      <w:proofErr w:type="spellStart"/>
      <w:r w:rsidRPr="003F564F">
        <w:rPr>
          <w:sz w:val="22"/>
          <w:szCs w:val="22"/>
        </w:rPr>
        <w:t>hipercholesterolemija</w:t>
      </w:r>
      <w:proofErr w:type="spellEnd"/>
      <w:r w:rsidRPr="003F564F">
        <w:rPr>
          <w:sz w:val="22"/>
          <w:szCs w:val="22"/>
        </w:rPr>
        <w:t xml:space="preserve"> ir </w:t>
      </w:r>
      <w:proofErr w:type="spellStart"/>
      <w:r w:rsidRPr="003F564F">
        <w:rPr>
          <w:sz w:val="22"/>
          <w:szCs w:val="22"/>
        </w:rPr>
        <w:t>trombocitopenija</w:t>
      </w:r>
      <w:proofErr w:type="spellEnd"/>
      <w:r w:rsidRPr="003F564F">
        <w:rPr>
          <w:sz w:val="22"/>
          <w:szCs w:val="22"/>
        </w:rPr>
        <w:t>.</w:t>
      </w:r>
    </w:p>
    <w:p w14:paraId="68A11064" w14:textId="77777777" w:rsidR="0002237D" w:rsidRPr="003F564F" w:rsidRDefault="0002237D" w:rsidP="0002237D">
      <w:pPr>
        <w:tabs>
          <w:tab w:val="left" w:pos="567"/>
        </w:tabs>
        <w:spacing w:line="260" w:lineRule="exact"/>
        <w:rPr>
          <w:sz w:val="22"/>
          <w:szCs w:val="22"/>
        </w:rPr>
      </w:pPr>
    </w:p>
    <w:p w14:paraId="234F6A88" w14:textId="007C2C1A" w:rsidR="009F34A7" w:rsidRPr="003F564F" w:rsidRDefault="009F34A7" w:rsidP="0002237D">
      <w:pPr>
        <w:tabs>
          <w:tab w:val="left" w:pos="567"/>
        </w:tabs>
        <w:spacing w:line="260" w:lineRule="exact"/>
        <w:rPr>
          <w:sz w:val="22"/>
          <w:szCs w:val="22"/>
        </w:rPr>
      </w:pPr>
      <w:r w:rsidRPr="003F564F">
        <w:rPr>
          <w:sz w:val="22"/>
          <w:szCs w:val="22"/>
        </w:rPr>
        <w:lastRenderedPageBreak/>
        <w:t>Laboratorinių kraujo tyrimų pokyčiai, identifikuoti kaip nepageidaujamos reakcijos ir nustatyti</w:t>
      </w:r>
      <w:r w:rsidR="0002237D" w:rsidRPr="003F564F">
        <w:rPr>
          <w:sz w:val="22"/>
          <w:szCs w:val="22"/>
        </w:rPr>
        <w:t xml:space="preserve"> </w:t>
      </w:r>
      <w:r w:rsidRPr="003F564F">
        <w:rPr>
          <w:sz w:val="22"/>
          <w:szCs w:val="22"/>
        </w:rPr>
        <w:t>REACH2 tyrimo metu (suaugusiems pacientams ir paaugliams) bei apibendrintais vaikų tyrimų</w:t>
      </w:r>
      <w:r w:rsidR="0002237D" w:rsidRPr="003F564F">
        <w:rPr>
          <w:sz w:val="22"/>
          <w:szCs w:val="22"/>
        </w:rPr>
        <w:t xml:space="preserve"> </w:t>
      </w:r>
      <w:r w:rsidRPr="003F564F">
        <w:rPr>
          <w:sz w:val="22"/>
          <w:szCs w:val="22"/>
        </w:rPr>
        <w:t xml:space="preserve">(REACH2 ir REACH4) duomenimis, buvo </w:t>
      </w:r>
      <w:proofErr w:type="spellStart"/>
      <w:r w:rsidRPr="003F564F">
        <w:rPr>
          <w:sz w:val="22"/>
          <w:szCs w:val="22"/>
        </w:rPr>
        <w:t>trombocitopenija</w:t>
      </w:r>
      <w:proofErr w:type="spellEnd"/>
      <w:r w:rsidRPr="003F564F">
        <w:rPr>
          <w:sz w:val="22"/>
          <w:szCs w:val="22"/>
        </w:rPr>
        <w:t xml:space="preserve"> (atitinkamai 85,2</w:t>
      </w:r>
      <w:r w:rsidR="0002237D" w:rsidRPr="003F564F">
        <w:rPr>
          <w:sz w:val="22"/>
          <w:szCs w:val="22"/>
        </w:rPr>
        <w:t> </w:t>
      </w:r>
      <w:r w:rsidRPr="003F564F">
        <w:rPr>
          <w:sz w:val="22"/>
          <w:szCs w:val="22"/>
        </w:rPr>
        <w:t>% ir 55,1</w:t>
      </w:r>
      <w:r w:rsidR="0002237D" w:rsidRPr="003F564F">
        <w:rPr>
          <w:sz w:val="22"/>
          <w:szCs w:val="22"/>
        </w:rPr>
        <w:t> </w:t>
      </w:r>
      <w:r w:rsidRPr="003F564F">
        <w:rPr>
          <w:sz w:val="22"/>
          <w:szCs w:val="22"/>
        </w:rPr>
        <w:t>%), anemija</w:t>
      </w:r>
      <w:r w:rsidR="0002237D" w:rsidRPr="003F564F">
        <w:rPr>
          <w:sz w:val="22"/>
          <w:szCs w:val="22"/>
        </w:rPr>
        <w:t xml:space="preserve"> </w:t>
      </w:r>
      <w:r w:rsidRPr="003F564F">
        <w:rPr>
          <w:sz w:val="22"/>
          <w:szCs w:val="22"/>
        </w:rPr>
        <w:t>(atitinkamai 75,0</w:t>
      </w:r>
      <w:r w:rsidR="0002237D" w:rsidRPr="003F564F">
        <w:rPr>
          <w:sz w:val="22"/>
          <w:szCs w:val="22"/>
        </w:rPr>
        <w:t> </w:t>
      </w:r>
      <w:r w:rsidRPr="003F564F">
        <w:rPr>
          <w:sz w:val="22"/>
          <w:szCs w:val="22"/>
        </w:rPr>
        <w:t>% ir 70,8</w:t>
      </w:r>
      <w:r w:rsidR="0002237D" w:rsidRPr="003F564F">
        <w:rPr>
          <w:sz w:val="22"/>
          <w:szCs w:val="22"/>
        </w:rPr>
        <w:t> </w:t>
      </w:r>
      <w:r w:rsidRPr="003F564F">
        <w:rPr>
          <w:sz w:val="22"/>
          <w:szCs w:val="22"/>
        </w:rPr>
        <w:t xml:space="preserve">%) bei </w:t>
      </w:r>
      <w:proofErr w:type="spellStart"/>
      <w:r w:rsidRPr="003F564F">
        <w:rPr>
          <w:sz w:val="22"/>
          <w:szCs w:val="22"/>
        </w:rPr>
        <w:t>neutropenija</w:t>
      </w:r>
      <w:proofErr w:type="spellEnd"/>
      <w:r w:rsidRPr="003F564F">
        <w:rPr>
          <w:sz w:val="22"/>
          <w:szCs w:val="22"/>
        </w:rPr>
        <w:t xml:space="preserve"> (atitinkamai 65,1</w:t>
      </w:r>
      <w:r w:rsidR="0002237D" w:rsidRPr="003F564F">
        <w:rPr>
          <w:sz w:val="22"/>
          <w:szCs w:val="22"/>
        </w:rPr>
        <w:t> </w:t>
      </w:r>
      <w:r w:rsidRPr="003F564F">
        <w:rPr>
          <w:sz w:val="22"/>
          <w:szCs w:val="22"/>
        </w:rPr>
        <w:t>% ir 70,0</w:t>
      </w:r>
      <w:r w:rsidR="0002237D" w:rsidRPr="003F564F">
        <w:rPr>
          <w:sz w:val="22"/>
          <w:szCs w:val="22"/>
        </w:rPr>
        <w:t> </w:t>
      </w:r>
      <w:r w:rsidRPr="003F564F">
        <w:rPr>
          <w:sz w:val="22"/>
          <w:szCs w:val="22"/>
        </w:rPr>
        <w:t>%). 3-iojo laipsnio anemija</w:t>
      </w:r>
      <w:r w:rsidR="0002237D" w:rsidRPr="003F564F">
        <w:rPr>
          <w:sz w:val="22"/>
          <w:szCs w:val="22"/>
        </w:rPr>
        <w:t xml:space="preserve"> </w:t>
      </w:r>
      <w:r w:rsidRPr="003F564F">
        <w:rPr>
          <w:sz w:val="22"/>
          <w:szCs w:val="22"/>
        </w:rPr>
        <w:t>nustatyta 47,7</w:t>
      </w:r>
      <w:r w:rsidR="0002237D" w:rsidRPr="003F564F">
        <w:rPr>
          <w:sz w:val="22"/>
          <w:szCs w:val="22"/>
        </w:rPr>
        <w:t> </w:t>
      </w:r>
      <w:r w:rsidRPr="003F564F">
        <w:rPr>
          <w:sz w:val="22"/>
          <w:szCs w:val="22"/>
        </w:rPr>
        <w:t>% pacientų REACH2 tyrimo metu ir 45,8 % pacientų apibendrintais vaikų tyrimų</w:t>
      </w:r>
      <w:r w:rsidR="0002237D" w:rsidRPr="003F564F">
        <w:rPr>
          <w:sz w:val="22"/>
          <w:szCs w:val="22"/>
        </w:rPr>
        <w:t xml:space="preserve"> </w:t>
      </w:r>
      <w:r w:rsidRPr="003F564F">
        <w:rPr>
          <w:sz w:val="22"/>
          <w:szCs w:val="22"/>
        </w:rPr>
        <w:t xml:space="preserve">duomenimis. 3-iojo ar 4-ojo laipsnių </w:t>
      </w:r>
      <w:proofErr w:type="spellStart"/>
      <w:r w:rsidRPr="003F564F">
        <w:rPr>
          <w:sz w:val="22"/>
          <w:szCs w:val="22"/>
        </w:rPr>
        <w:t>trombocitopenija</w:t>
      </w:r>
      <w:proofErr w:type="spellEnd"/>
      <w:r w:rsidRPr="003F564F">
        <w:rPr>
          <w:sz w:val="22"/>
          <w:szCs w:val="22"/>
        </w:rPr>
        <w:t xml:space="preserve"> pasireiškė atitinkamai 31,3</w:t>
      </w:r>
      <w:r w:rsidR="0002237D" w:rsidRPr="003F564F">
        <w:rPr>
          <w:sz w:val="22"/>
          <w:szCs w:val="22"/>
        </w:rPr>
        <w:t> </w:t>
      </w:r>
      <w:r w:rsidRPr="003F564F">
        <w:rPr>
          <w:sz w:val="22"/>
          <w:szCs w:val="22"/>
        </w:rPr>
        <w:t>% ir 47,7</w:t>
      </w:r>
      <w:r w:rsidR="0002237D" w:rsidRPr="003F564F">
        <w:rPr>
          <w:sz w:val="22"/>
          <w:szCs w:val="22"/>
        </w:rPr>
        <w:t> </w:t>
      </w:r>
      <w:r w:rsidRPr="003F564F">
        <w:rPr>
          <w:sz w:val="22"/>
          <w:szCs w:val="22"/>
        </w:rPr>
        <w:t>%</w:t>
      </w:r>
      <w:r w:rsidR="0002237D" w:rsidRPr="003F564F">
        <w:rPr>
          <w:sz w:val="22"/>
          <w:szCs w:val="22"/>
        </w:rPr>
        <w:t xml:space="preserve"> </w:t>
      </w:r>
      <w:r w:rsidRPr="003F564F">
        <w:rPr>
          <w:sz w:val="22"/>
          <w:szCs w:val="22"/>
        </w:rPr>
        <w:t>pacientų REACH2 tyrimo metu bei 14,6</w:t>
      </w:r>
      <w:r w:rsidR="0002237D" w:rsidRPr="003F564F">
        <w:rPr>
          <w:sz w:val="22"/>
          <w:szCs w:val="22"/>
        </w:rPr>
        <w:t> </w:t>
      </w:r>
      <w:r w:rsidRPr="003F564F">
        <w:rPr>
          <w:sz w:val="22"/>
          <w:szCs w:val="22"/>
        </w:rPr>
        <w:t>% ir 22,4</w:t>
      </w:r>
      <w:r w:rsidR="0002237D" w:rsidRPr="003F564F">
        <w:rPr>
          <w:sz w:val="22"/>
          <w:szCs w:val="22"/>
        </w:rPr>
        <w:t> </w:t>
      </w:r>
      <w:r w:rsidRPr="003F564F">
        <w:rPr>
          <w:sz w:val="22"/>
          <w:szCs w:val="22"/>
        </w:rPr>
        <w:t>% pacientų apibendrintais vaikų tyrimų</w:t>
      </w:r>
      <w:r w:rsidR="0002237D" w:rsidRPr="003F564F">
        <w:rPr>
          <w:sz w:val="22"/>
          <w:szCs w:val="22"/>
        </w:rPr>
        <w:t xml:space="preserve"> </w:t>
      </w:r>
      <w:r w:rsidRPr="003F564F">
        <w:rPr>
          <w:sz w:val="22"/>
          <w:szCs w:val="22"/>
        </w:rPr>
        <w:t xml:space="preserve">duomenimis. 3-iojo ar 4-ojo laipsnių </w:t>
      </w:r>
      <w:proofErr w:type="spellStart"/>
      <w:r w:rsidRPr="003F564F">
        <w:rPr>
          <w:sz w:val="22"/>
          <w:szCs w:val="22"/>
        </w:rPr>
        <w:t>neutropenija</w:t>
      </w:r>
      <w:proofErr w:type="spellEnd"/>
      <w:r w:rsidRPr="003F564F">
        <w:rPr>
          <w:sz w:val="22"/>
          <w:szCs w:val="22"/>
        </w:rPr>
        <w:t xml:space="preserve"> pasireiškė atitinkamai 17,9</w:t>
      </w:r>
      <w:r w:rsidR="0002237D" w:rsidRPr="003F564F">
        <w:rPr>
          <w:sz w:val="22"/>
          <w:szCs w:val="22"/>
        </w:rPr>
        <w:t> </w:t>
      </w:r>
      <w:r w:rsidRPr="003F564F">
        <w:rPr>
          <w:sz w:val="22"/>
          <w:szCs w:val="22"/>
        </w:rPr>
        <w:t>% ir 20,6</w:t>
      </w:r>
      <w:r w:rsidR="0002237D" w:rsidRPr="003F564F">
        <w:rPr>
          <w:sz w:val="22"/>
          <w:szCs w:val="22"/>
        </w:rPr>
        <w:t> </w:t>
      </w:r>
      <w:r w:rsidRPr="003F564F">
        <w:rPr>
          <w:sz w:val="22"/>
          <w:szCs w:val="22"/>
        </w:rPr>
        <w:t>% pacientų</w:t>
      </w:r>
      <w:r w:rsidR="0002237D" w:rsidRPr="003F564F">
        <w:rPr>
          <w:sz w:val="22"/>
          <w:szCs w:val="22"/>
        </w:rPr>
        <w:t xml:space="preserve"> </w:t>
      </w:r>
      <w:r w:rsidRPr="003F564F">
        <w:rPr>
          <w:sz w:val="22"/>
          <w:szCs w:val="22"/>
        </w:rPr>
        <w:t>REACH2 tyrimo metu bei 32,0</w:t>
      </w:r>
      <w:r w:rsidR="0002237D" w:rsidRPr="003F564F">
        <w:rPr>
          <w:sz w:val="22"/>
          <w:szCs w:val="22"/>
        </w:rPr>
        <w:t> </w:t>
      </w:r>
      <w:r w:rsidRPr="003F564F">
        <w:rPr>
          <w:sz w:val="22"/>
          <w:szCs w:val="22"/>
        </w:rPr>
        <w:t>% ir 22,0</w:t>
      </w:r>
      <w:r w:rsidR="0002237D" w:rsidRPr="003F564F">
        <w:rPr>
          <w:sz w:val="22"/>
          <w:szCs w:val="22"/>
        </w:rPr>
        <w:t> </w:t>
      </w:r>
      <w:r w:rsidRPr="003F564F">
        <w:rPr>
          <w:sz w:val="22"/>
          <w:szCs w:val="22"/>
        </w:rPr>
        <w:t>% pacientų apibendrintais vaikų tyrimų duomenimis.</w:t>
      </w:r>
    </w:p>
    <w:p w14:paraId="22ACAC7E" w14:textId="77777777" w:rsidR="0002237D" w:rsidRPr="003F564F" w:rsidRDefault="0002237D" w:rsidP="0002237D">
      <w:pPr>
        <w:tabs>
          <w:tab w:val="left" w:pos="567"/>
        </w:tabs>
        <w:spacing w:line="260" w:lineRule="exact"/>
        <w:rPr>
          <w:sz w:val="22"/>
          <w:szCs w:val="22"/>
        </w:rPr>
      </w:pPr>
    </w:p>
    <w:p w14:paraId="5F4A6737" w14:textId="20884796" w:rsidR="009F34A7" w:rsidRPr="003F564F" w:rsidRDefault="009F34A7" w:rsidP="0002237D">
      <w:pPr>
        <w:tabs>
          <w:tab w:val="left" w:pos="567"/>
        </w:tabs>
        <w:spacing w:line="260" w:lineRule="exact"/>
        <w:rPr>
          <w:sz w:val="22"/>
          <w:szCs w:val="22"/>
        </w:rPr>
      </w:pPr>
      <w:r w:rsidRPr="003F564F">
        <w:rPr>
          <w:sz w:val="22"/>
          <w:szCs w:val="22"/>
        </w:rPr>
        <w:t>Dažniausios kitokios nei kraujo sutrikimai nepageidaujamos reakcijos, nustatytos REACH2 tyrimo</w:t>
      </w:r>
      <w:r w:rsidR="0002237D" w:rsidRPr="003F564F">
        <w:rPr>
          <w:sz w:val="22"/>
          <w:szCs w:val="22"/>
        </w:rPr>
        <w:t xml:space="preserve"> </w:t>
      </w:r>
      <w:r w:rsidRPr="003F564F">
        <w:rPr>
          <w:sz w:val="22"/>
          <w:szCs w:val="22"/>
        </w:rPr>
        <w:t>metu (suaugusiems pacientams ir paaugliams) bei apibendrintais vaikų tyrimų (REACH2 ir REACH4)</w:t>
      </w:r>
      <w:r w:rsidR="0002237D" w:rsidRPr="003F564F">
        <w:rPr>
          <w:sz w:val="22"/>
          <w:szCs w:val="22"/>
        </w:rPr>
        <w:t xml:space="preserve"> </w:t>
      </w:r>
      <w:r w:rsidRPr="003F564F">
        <w:rPr>
          <w:sz w:val="22"/>
          <w:szCs w:val="22"/>
        </w:rPr>
        <w:t xml:space="preserve">duomenimis, buvo </w:t>
      </w:r>
      <w:proofErr w:type="spellStart"/>
      <w:r w:rsidRPr="003F564F">
        <w:rPr>
          <w:sz w:val="22"/>
          <w:szCs w:val="22"/>
        </w:rPr>
        <w:t>citomegaloviruso</w:t>
      </w:r>
      <w:proofErr w:type="spellEnd"/>
      <w:r w:rsidRPr="003F564F">
        <w:rPr>
          <w:sz w:val="22"/>
          <w:szCs w:val="22"/>
        </w:rPr>
        <w:t xml:space="preserve"> (CMV) sukelta infekcija (atitinkamai 32,3</w:t>
      </w:r>
      <w:r w:rsidR="0002237D" w:rsidRPr="003F564F">
        <w:rPr>
          <w:sz w:val="22"/>
          <w:szCs w:val="22"/>
        </w:rPr>
        <w:t> </w:t>
      </w:r>
      <w:r w:rsidRPr="003F564F">
        <w:rPr>
          <w:sz w:val="22"/>
          <w:szCs w:val="22"/>
        </w:rPr>
        <w:t>% ir 31,4</w:t>
      </w:r>
      <w:r w:rsidR="0002237D" w:rsidRPr="003F564F">
        <w:rPr>
          <w:sz w:val="22"/>
          <w:szCs w:val="22"/>
        </w:rPr>
        <w:t> </w:t>
      </w:r>
      <w:r w:rsidRPr="003F564F">
        <w:rPr>
          <w:sz w:val="22"/>
          <w:szCs w:val="22"/>
        </w:rPr>
        <w:t>%), sepsis</w:t>
      </w:r>
      <w:r w:rsidR="0002237D" w:rsidRPr="003F564F">
        <w:rPr>
          <w:sz w:val="22"/>
          <w:szCs w:val="22"/>
        </w:rPr>
        <w:t xml:space="preserve"> </w:t>
      </w:r>
      <w:r w:rsidRPr="003F564F">
        <w:rPr>
          <w:sz w:val="22"/>
          <w:szCs w:val="22"/>
        </w:rPr>
        <w:t>(atitinkamai 25,4</w:t>
      </w:r>
      <w:r w:rsidR="0002237D" w:rsidRPr="003F564F">
        <w:rPr>
          <w:sz w:val="22"/>
          <w:szCs w:val="22"/>
        </w:rPr>
        <w:t> </w:t>
      </w:r>
      <w:r w:rsidRPr="003F564F">
        <w:rPr>
          <w:sz w:val="22"/>
          <w:szCs w:val="22"/>
        </w:rPr>
        <w:t>% ir 9,8</w:t>
      </w:r>
      <w:r w:rsidR="0002237D" w:rsidRPr="003F564F">
        <w:rPr>
          <w:sz w:val="22"/>
          <w:szCs w:val="22"/>
        </w:rPr>
        <w:t> </w:t>
      </w:r>
      <w:r w:rsidRPr="003F564F">
        <w:rPr>
          <w:sz w:val="22"/>
          <w:szCs w:val="22"/>
        </w:rPr>
        <w:t>%), šlapimo takų infekcijos (atitinkamai 17,9</w:t>
      </w:r>
      <w:r w:rsidR="0002237D" w:rsidRPr="003F564F">
        <w:rPr>
          <w:sz w:val="22"/>
          <w:szCs w:val="22"/>
        </w:rPr>
        <w:t> </w:t>
      </w:r>
      <w:r w:rsidRPr="003F564F">
        <w:rPr>
          <w:sz w:val="22"/>
          <w:szCs w:val="22"/>
        </w:rPr>
        <w:t>% ir 9,8</w:t>
      </w:r>
      <w:r w:rsidR="0002237D" w:rsidRPr="003F564F">
        <w:rPr>
          <w:sz w:val="22"/>
          <w:szCs w:val="22"/>
        </w:rPr>
        <w:t> </w:t>
      </w:r>
      <w:r w:rsidRPr="003F564F">
        <w:rPr>
          <w:sz w:val="22"/>
          <w:szCs w:val="22"/>
        </w:rPr>
        <w:t>%), hipertenzija</w:t>
      </w:r>
      <w:r w:rsidR="0002237D" w:rsidRPr="003F564F">
        <w:rPr>
          <w:sz w:val="22"/>
          <w:szCs w:val="22"/>
        </w:rPr>
        <w:t xml:space="preserve"> </w:t>
      </w:r>
      <w:r w:rsidRPr="003F564F">
        <w:rPr>
          <w:sz w:val="22"/>
          <w:szCs w:val="22"/>
        </w:rPr>
        <w:t>(atitinkamai 13,4</w:t>
      </w:r>
      <w:r w:rsidR="0002237D" w:rsidRPr="003F564F">
        <w:rPr>
          <w:sz w:val="22"/>
          <w:szCs w:val="22"/>
        </w:rPr>
        <w:t> </w:t>
      </w:r>
      <w:r w:rsidRPr="003F564F">
        <w:rPr>
          <w:sz w:val="22"/>
          <w:szCs w:val="22"/>
        </w:rPr>
        <w:t>% ir 17,6</w:t>
      </w:r>
      <w:r w:rsidR="0002237D" w:rsidRPr="003F564F">
        <w:rPr>
          <w:sz w:val="22"/>
          <w:szCs w:val="22"/>
        </w:rPr>
        <w:t> </w:t>
      </w:r>
      <w:r w:rsidRPr="003F564F">
        <w:rPr>
          <w:sz w:val="22"/>
          <w:szCs w:val="22"/>
        </w:rPr>
        <w:t>%) bei pykinimas (atitinkamai 16,4</w:t>
      </w:r>
      <w:r w:rsidR="0002237D" w:rsidRPr="003F564F">
        <w:rPr>
          <w:sz w:val="22"/>
          <w:szCs w:val="22"/>
        </w:rPr>
        <w:t> </w:t>
      </w:r>
      <w:r w:rsidRPr="003F564F">
        <w:rPr>
          <w:sz w:val="22"/>
          <w:szCs w:val="22"/>
        </w:rPr>
        <w:t>% ir 3,9</w:t>
      </w:r>
      <w:r w:rsidR="0002237D" w:rsidRPr="003F564F">
        <w:rPr>
          <w:sz w:val="22"/>
          <w:szCs w:val="22"/>
        </w:rPr>
        <w:t> </w:t>
      </w:r>
      <w:r w:rsidRPr="003F564F">
        <w:rPr>
          <w:sz w:val="22"/>
          <w:szCs w:val="22"/>
        </w:rPr>
        <w:t>%).</w:t>
      </w:r>
    </w:p>
    <w:p w14:paraId="48F4BA19" w14:textId="77777777" w:rsidR="0002237D" w:rsidRPr="003F564F" w:rsidRDefault="0002237D" w:rsidP="0002237D">
      <w:pPr>
        <w:tabs>
          <w:tab w:val="left" w:pos="567"/>
        </w:tabs>
        <w:spacing w:line="260" w:lineRule="exact"/>
        <w:rPr>
          <w:sz w:val="22"/>
          <w:szCs w:val="22"/>
        </w:rPr>
      </w:pPr>
    </w:p>
    <w:p w14:paraId="69625E0F" w14:textId="3E8D78E7" w:rsidR="009F34A7" w:rsidRPr="003F564F" w:rsidRDefault="009F34A7" w:rsidP="0002237D">
      <w:pPr>
        <w:tabs>
          <w:tab w:val="left" w:pos="567"/>
        </w:tabs>
        <w:spacing w:line="260" w:lineRule="exact"/>
        <w:rPr>
          <w:sz w:val="22"/>
          <w:szCs w:val="22"/>
        </w:rPr>
      </w:pPr>
      <w:r w:rsidRPr="003F564F">
        <w:rPr>
          <w:sz w:val="22"/>
          <w:szCs w:val="22"/>
        </w:rPr>
        <w:t>Dažniausi kitokie nei kraujo sutrikimai laboratorinių tyrimų pokyčiai, identifikuoti kaip</w:t>
      </w:r>
      <w:r w:rsidR="0002237D" w:rsidRPr="003F564F">
        <w:rPr>
          <w:sz w:val="22"/>
          <w:szCs w:val="22"/>
        </w:rPr>
        <w:t xml:space="preserve"> </w:t>
      </w:r>
      <w:r w:rsidRPr="003F564F">
        <w:rPr>
          <w:sz w:val="22"/>
          <w:szCs w:val="22"/>
        </w:rPr>
        <w:t>nepageidaujamos reakcijos REACH2 tyrimo metu (suaugusiems pacientams ir paaugliams) bei</w:t>
      </w:r>
      <w:r w:rsidR="0002237D" w:rsidRPr="003F564F">
        <w:rPr>
          <w:sz w:val="22"/>
          <w:szCs w:val="22"/>
        </w:rPr>
        <w:t xml:space="preserve"> </w:t>
      </w:r>
      <w:r w:rsidRPr="003F564F">
        <w:rPr>
          <w:sz w:val="22"/>
          <w:szCs w:val="22"/>
        </w:rPr>
        <w:t xml:space="preserve">apibendrintais vaikų tyrimų (REACH2 ir REACH4) duomenimis, buvo padidėjęs </w:t>
      </w:r>
      <w:proofErr w:type="spellStart"/>
      <w:r w:rsidRPr="003F564F">
        <w:rPr>
          <w:sz w:val="22"/>
          <w:szCs w:val="22"/>
        </w:rPr>
        <w:t>alanino</w:t>
      </w:r>
      <w:proofErr w:type="spellEnd"/>
      <w:r w:rsidR="0002237D" w:rsidRPr="003F564F">
        <w:rPr>
          <w:sz w:val="22"/>
          <w:szCs w:val="22"/>
        </w:rPr>
        <w:t xml:space="preserve"> </w:t>
      </w:r>
      <w:proofErr w:type="spellStart"/>
      <w:r w:rsidRPr="003F564F">
        <w:rPr>
          <w:sz w:val="22"/>
          <w:szCs w:val="22"/>
        </w:rPr>
        <w:t>aminotransferazės</w:t>
      </w:r>
      <w:proofErr w:type="spellEnd"/>
      <w:r w:rsidRPr="003F564F">
        <w:rPr>
          <w:sz w:val="22"/>
          <w:szCs w:val="22"/>
        </w:rPr>
        <w:t xml:space="preserve"> aktyvumas (atitinkamai 54,9</w:t>
      </w:r>
      <w:r w:rsidR="0002237D" w:rsidRPr="003F564F">
        <w:rPr>
          <w:sz w:val="22"/>
          <w:szCs w:val="22"/>
        </w:rPr>
        <w:t> </w:t>
      </w:r>
      <w:r w:rsidRPr="003F564F">
        <w:rPr>
          <w:sz w:val="22"/>
          <w:szCs w:val="22"/>
        </w:rPr>
        <w:t>% ir 63,3</w:t>
      </w:r>
      <w:r w:rsidR="0002237D" w:rsidRPr="003F564F">
        <w:rPr>
          <w:sz w:val="22"/>
          <w:szCs w:val="22"/>
        </w:rPr>
        <w:t> </w:t>
      </w:r>
      <w:r w:rsidRPr="003F564F">
        <w:rPr>
          <w:sz w:val="22"/>
          <w:szCs w:val="22"/>
        </w:rPr>
        <w:t xml:space="preserve">%), padidėjęs </w:t>
      </w:r>
      <w:proofErr w:type="spellStart"/>
      <w:r w:rsidRPr="003F564F">
        <w:rPr>
          <w:sz w:val="22"/>
          <w:szCs w:val="22"/>
        </w:rPr>
        <w:t>aspartato</w:t>
      </w:r>
      <w:proofErr w:type="spellEnd"/>
      <w:r w:rsidRPr="003F564F">
        <w:rPr>
          <w:sz w:val="22"/>
          <w:szCs w:val="22"/>
        </w:rPr>
        <w:t xml:space="preserve"> </w:t>
      </w:r>
      <w:proofErr w:type="spellStart"/>
      <w:r w:rsidRPr="003F564F">
        <w:rPr>
          <w:sz w:val="22"/>
          <w:szCs w:val="22"/>
        </w:rPr>
        <w:t>aminotransferazės</w:t>
      </w:r>
      <w:proofErr w:type="spellEnd"/>
      <w:r w:rsidR="0002237D" w:rsidRPr="003F564F">
        <w:rPr>
          <w:sz w:val="22"/>
          <w:szCs w:val="22"/>
        </w:rPr>
        <w:t xml:space="preserve"> </w:t>
      </w:r>
      <w:r w:rsidRPr="003F564F">
        <w:rPr>
          <w:sz w:val="22"/>
          <w:szCs w:val="22"/>
        </w:rPr>
        <w:t>aktyvumas (atitinkamai 52,3</w:t>
      </w:r>
      <w:r w:rsidR="0002237D" w:rsidRPr="003F564F">
        <w:rPr>
          <w:sz w:val="22"/>
          <w:szCs w:val="22"/>
        </w:rPr>
        <w:t> </w:t>
      </w:r>
      <w:r w:rsidRPr="003F564F">
        <w:rPr>
          <w:sz w:val="22"/>
          <w:szCs w:val="22"/>
        </w:rPr>
        <w:t>% ir 50,0</w:t>
      </w:r>
      <w:r w:rsidR="0002237D" w:rsidRPr="003F564F">
        <w:rPr>
          <w:sz w:val="22"/>
          <w:szCs w:val="22"/>
        </w:rPr>
        <w:t> </w:t>
      </w:r>
      <w:r w:rsidRPr="003F564F">
        <w:rPr>
          <w:sz w:val="22"/>
          <w:szCs w:val="22"/>
        </w:rPr>
        <w:t xml:space="preserve">%) bei </w:t>
      </w:r>
      <w:proofErr w:type="spellStart"/>
      <w:r w:rsidRPr="003F564F">
        <w:rPr>
          <w:sz w:val="22"/>
          <w:szCs w:val="22"/>
        </w:rPr>
        <w:t>hipercholesterolemija</w:t>
      </w:r>
      <w:proofErr w:type="spellEnd"/>
      <w:r w:rsidRPr="003F564F">
        <w:rPr>
          <w:sz w:val="22"/>
          <w:szCs w:val="22"/>
        </w:rPr>
        <w:t xml:space="preserve"> (atitinkamai 49,2</w:t>
      </w:r>
      <w:r w:rsidR="0002237D" w:rsidRPr="003F564F">
        <w:rPr>
          <w:sz w:val="22"/>
          <w:szCs w:val="22"/>
        </w:rPr>
        <w:t> </w:t>
      </w:r>
      <w:r w:rsidRPr="003F564F">
        <w:rPr>
          <w:sz w:val="22"/>
          <w:szCs w:val="22"/>
        </w:rPr>
        <w:t>% ir 61,2</w:t>
      </w:r>
      <w:r w:rsidR="0002237D" w:rsidRPr="003F564F">
        <w:rPr>
          <w:sz w:val="22"/>
          <w:szCs w:val="22"/>
        </w:rPr>
        <w:t> </w:t>
      </w:r>
      <w:r w:rsidRPr="003F564F">
        <w:rPr>
          <w:sz w:val="22"/>
          <w:szCs w:val="22"/>
        </w:rPr>
        <w:t>%).</w:t>
      </w:r>
    </w:p>
    <w:p w14:paraId="5DBD9214" w14:textId="77777777" w:rsidR="0002237D" w:rsidRPr="003F564F" w:rsidRDefault="0002237D" w:rsidP="0002237D">
      <w:pPr>
        <w:tabs>
          <w:tab w:val="left" w:pos="567"/>
        </w:tabs>
        <w:spacing w:line="260" w:lineRule="exact"/>
        <w:rPr>
          <w:sz w:val="22"/>
          <w:szCs w:val="22"/>
        </w:rPr>
      </w:pPr>
    </w:p>
    <w:p w14:paraId="3B4FABA3" w14:textId="0545C6F2" w:rsidR="009F34A7" w:rsidRPr="003F564F" w:rsidRDefault="009F34A7" w:rsidP="0002237D">
      <w:pPr>
        <w:tabs>
          <w:tab w:val="left" w:pos="567"/>
        </w:tabs>
        <w:spacing w:line="260" w:lineRule="exact"/>
        <w:rPr>
          <w:sz w:val="22"/>
          <w:szCs w:val="22"/>
        </w:rPr>
      </w:pPr>
      <w:r w:rsidRPr="003F564F">
        <w:rPr>
          <w:sz w:val="22"/>
          <w:szCs w:val="22"/>
        </w:rPr>
        <w:t xml:space="preserve">Daugelis šių atvejų buvo 1-ojo ar 2-ojo laipsnių, tačiau 3-iojo laipsnio padidėjusio </w:t>
      </w:r>
      <w:proofErr w:type="spellStart"/>
      <w:r w:rsidRPr="003F564F">
        <w:rPr>
          <w:sz w:val="22"/>
          <w:szCs w:val="22"/>
        </w:rPr>
        <w:t>alanino</w:t>
      </w:r>
      <w:proofErr w:type="spellEnd"/>
      <w:r w:rsidR="0002237D" w:rsidRPr="003F564F">
        <w:rPr>
          <w:sz w:val="22"/>
          <w:szCs w:val="22"/>
        </w:rPr>
        <w:t xml:space="preserve"> </w:t>
      </w:r>
      <w:proofErr w:type="spellStart"/>
      <w:r w:rsidRPr="003F564F">
        <w:rPr>
          <w:sz w:val="22"/>
          <w:szCs w:val="22"/>
        </w:rPr>
        <w:t>aminotransferazės</w:t>
      </w:r>
      <w:proofErr w:type="spellEnd"/>
      <w:r w:rsidRPr="003F564F">
        <w:rPr>
          <w:sz w:val="22"/>
          <w:szCs w:val="22"/>
        </w:rPr>
        <w:t xml:space="preserve"> aktyvumo atvejų buvo nustatyta 17,6</w:t>
      </w:r>
      <w:r w:rsidR="0002237D" w:rsidRPr="003F564F">
        <w:rPr>
          <w:sz w:val="22"/>
          <w:szCs w:val="22"/>
        </w:rPr>
        <w:t> </w:t>
      </w:r>
      <w:r w:rsidRPr="003F564F">
        <w:rPr>
          <w:sz w:val="22"/>
          <w:szCs w:val="22"/>
        </w:rPr>
        <w:t>% pacientų REACH2 tyrimo metu bei 27,3</w:t>
      </w:r>
      <w:r w:rsidR="0002237D" w:rsidRPr="003F564F">
        <w:rPr>
          <w:sz w:val="22"/>
          <w:szCs w:val="22"/>
        </w:rPr>
        <w:t> </w:t>
      </w:r>
      <w:r w:rsidRPr="003F564F">
        <w:rPr>
          <w:sz w:val="22"/>
          <w:szCs w:val="22"/>
        </w:rPr>
        <w:t>%</w:t>
      </w:r>
      <w:r w:rsidR="0002237D" w:rsidRPr="003F564F">
        <w:rPr>
          <w:sz w:val="22"/>
          <w:szCs w:val="22"/>
        </w:rPr>
        <w:t xml:space="preserve"> </w:t>
      </w:r>
      <w:r w:rsidRPr="003F564F">
        <w:rPr>
          <w:sz w:val="22"/>
          <w:szCs w:val="22"/>
        </w:rPr>
        <w:t>pacientų apibendrintais vaikų tyrimų duomenimis.</w:t>
      </w:r>
    </w:p>
    <w:p w14:paraId="34D2C663" w14:textId="77777777" w:rsidR="0002237D" w:rsidRPr="003F564F" w:rsidRDefault="0002237D" w:rsidP="0002237D">
      <w:pPr>
        <w:tabs>
          <w:tab w:val="left" w:pos="567"/>
        </w:tabs>
        <w:spacing w:line="260" w:lineRule="exact"/>
        <w:rPr>
          <w:sz w:val="22"/>
          <w:szCs w:val="22"/>
        </w:rPr>
      </w:pPr>
    </w:p>
    <w:p w14:paraId="055FC89D" w14:textId="1DF7DAA1" w:rsidR="009F34A7" w:rsidRPr="003F564F" w:rsidRDefault="009F34A7" w:rsidP="0002237D">
      <w:pPr>
        <w:tabs>
          <w:tab w:val="left" w:pos="567"/>
        </w:tabs>
        <w:spacing w:line="260" w:lineRule="exact"/>
        <w:rPr>
          <w:sz w:val="22"/>
          <w:szCs w:val="22"/>
        </w:rPr>
      </w:pPr>
      <w:r w:rsidRPr="003F564F">
        <w:rPr>
          <w:sz w:val="22"/>
          <w:szCs w:val="22"/>
        </w:rPr>
        <w:t>Vaistinio preparato vartojimą dėl nepageidaujamų reiškinių (nepriklausomai nuo priežastinio ryšio)</w:t>
      </w:r>
      <w:r w:rsidR="0002237D" w:rsidRPr="003F564F">
        <w:rPr>
          <w:sz w:val="22"/>
          <w:szCs w:val="22"/>
        </w:rPr>
        <w:t xml:space="preserve"> </w:t>
      </w:r>
      <w:r w:rsidRPr="003F564F">
        <w:rPr>
          <w:sz w:val="22"/>
          <w:szCs w:val="22"/>
        </w:rPr>
        <w:t>nutraukė 29,4</w:t>
      </w:r>
      <w:r w:rsidR="0002237D" w:rsidRPr="003F564F">
        <w:rPr>
          <w:sz w:val="22"/>
          <w:szCs w:val="22"/>
        </w:rPr>
        <w:t> </w:t>
      </w:r>
      <w:r w:rsidRPr="003F564F">
        <w:rPr>
          <w:sz w:val="22"/>
          <w:szCs w:val="22"/>
        </w:rPr>
        <w:t>% pacientų REACH2 tyrimo metu bei 21,6</w:t>
      </w:r>
      <w:r w:rsidR="0002237D" w:rsidRPr="003F564F">
        <w:rPr>
          <w:sz w:val="22"/>
          <w:szCs w:val="22"/>
        </w:rPr>
        <w:t> </w:t>
      </w:r>
      <w:r w:rsidRPr="003F564F">
        <w:rPr>
          <w:sz w:val="22"/>
          <w:szCs w:val="22"/>
        </w:rPr>
        <w:t>% pacientų apibendrintais vaikų tyrimų</w:t>
      </w:r>
      <w:r w:rsidR="0002237D" w:rsidRPr="003F564F">
        <w:rPr>
          <w:sz w:val="22"/>
          <w:szCs w:val="22"/>
        </w:rPr>
        <w:t xml:space="preserve"> </w:t>
      </w:r>
      <w:r w:rsidRPr="003F564F">
        <w:rPr>
          <w:sz w:val="22"/>
          <w:szCs w:val="22"/>
        </w:rPr>
        <w:t>duomenimis.</w:t>
      </w:r>
    </w:p>
    <w:p w14:paraId="19DF9BC1" w14:textId="77777777" w:rsidR="0002237D" w:rsidRPr="003F564F" w:rsidRDefault="0002237D" w:rsidP="0002237D">
      <w:pPr>
        <w:tabs>
          <w:tab w:val="left" w:pos="567"/>
        </w:tabs>
        <w:spacing w:line="260" w:lineRule="exact"/>
        <w:rPr>
          <w:sz w:val="22"/>
          <w:szCs w:val="22"/>
        </w:rPr>
      </w:pPr>
    </w:p>
    <w:p w14:paraId="469FED73" w14:textId="05FEC531" w:rsidR="009F34A7" w:rsidRPr="003F564F" w:rsidRDefault="009F34A7" w:rsidP="0002237D">
      <w:pPr>
        <w:tabs>
          <w:tab w:val="left" w:pos="567"/>
        </w:tabs>
        <w:spacing w:line="260" w:lineRule="exact"/>
        <w:rPr>
          <w:i/>
          <w:iCs/>
          <w:sz w:val="22"/>
          <w:szCs w:val="22"/>
          <w:u w:val="single"/>
        </w:rPr>
      </w:pPr>
      <w:r w:rsidRPr="003F564F">
        <w:rPr>
          <w:i/>
          <w:iCs/>
          <w:sz w:val="22"/>
          <w:szCs w:val="22"/>
          <w:u w:val="single"/>
        </w:rPr>
        <w:t xml:space="preserve">Lėtinė </w:t>
      </w:r>
      <w:proofErr w:type="spellStart"/>
      <w:r w:rsidRPr="003F564F">
        <w:rPr>
          <w:i/>
          <w:iCs/>
          <w:sz w:val="22"/>
          <w:szCs w:val="22"/>
          <w:u w:val="single"/>
        </w:rPr>
        <w:t>TpŠL</w:t>
      </w:r>
      <w:proofErr w:type="spellEnd"/>
    </w:p>
    <w:p w14:paraId="2FD98536" w14:textId="1FDC14A8" w:rsidR="009F34A7" w:rsidRPr="003F564F" w:rsidRDefault="009F34A7" w:rsidP="0002237D">
      <w:pPr>
        <w:tabs>
          <w:tab w:val="left" w:pos="567"/>
        </w:tabs>
        <w:spacing w:line="260" w:lineRule="exact"/>
        <w:rPr>
          <w:sz w:val="22"/>
          <w:szCs w:val="22"/>
        </w:rPr>
      </w:pPr>
      <w:r w:rsidRPr="003F564F">
        <w:rPr>
          <w:sz w:val="22"/>
          <w:szCs w:val="22"/>
        </w:rPr>
        <w:t>Dažniausios nepageidaujamos vaistinio preparato sukeltos reakcijos, apie kurias gauta pranešimų</w:t>
      </w:r>
      <w:r w:rsidR="0002237D" w:rsidRPr="003F564F">
        <w:rPr>
          <w:sz w:val="22"/>
          <w:szCs w:val="22"/>
        </w:rPr>
        <w:t xml:space="preserve"> </w:t>
      </w:r>
      <w:r w:rsidRPr="003F564F">
        <w:rPr>
          <w:sz w:val="22"/>
          <w:szCs w:val="22"/>
        </w:rPr>
        <w:t xml:space="preserve">REACH3 tyrimo metu (suaugusiems pacientams ir paaugliams), buvo anemija, </w:t>
      </w:r>
      <w:proofErr w:type="spellStart"/>
      <w:r w:rsidRPr="003F564F">
        <w:rPr>
          <w:sz w:val="22"/>
          <w:szCs w:val="22"/>
        </w:rPr>
        <w:t>hipercholesterolemija</w:t>
      </w:r>
      <w:proofErr w:type="spellEnd"/>
      <w:r w:rsidR="0002237D" w:rsidRPr="003F564F">
        <w:rPr>
          <w:sz w:val="22"/>
          <w:szCs w:val="22"/>
        </w:rPr>
        <w:t xml:space="preserve"> </w:t>
      </w:r>
      <w:r w:rsidRPr="003F564F">
        <w:rPr>
          <w:sz w:val="22"/>
          <w:szCs w:val="22"/>
        </w:rPr>
        <w:t xml:space="preserve">ir padidėjęs </w:t>
      </w:r>
      <w:proofErr w:type="spellStart"/>
      <w:r w:rsidRPr="003F564F">
        <w:rPr>
          <w:sz w:val="22"/>
          <w:szCs w:val="22"/>
        </w:rPr>
        <w:t>aspartato</w:t>
      </w:r>
      <w:proofErr w:type="spellEnd"/>
      <w:r w:rsidRPr="003F564F">
        <w:rPr>
          <w:sz w:val="22"/>
          <w:szCs w:val="22"/>
        </w:rPr>
        <w:t xml:space="preserve"> </w:t>
      </w:r>
      <w:proofErr w:type="spellStart"/>
      <w:r w:rsidRPr="003F564F">
        <w:rPr>
          <w:sz w:val="22"/>
          <w:szCs w:val="22"/>
        </w:rPr>
        <w:t>aminotransferazės</w:t>
      </w:r>
      <w:proofErr w:type="spellEnd"/>
      <w:r w:rsidRPr="003F564F">
        <w:rPr>
          <w:sz w:val="22"/>
          <w:szCs w:val="22"/>
        </w:rPr>
        <w:t xml:space="preserve"> aktyvumas. Dažniausios nepageidaujamos vaistinio preparato</w:t>
      </w:r>
      <w:r w:rsidR="0002237D" w:rsidRPr="003F564F">
        <w:rPr>
          <w:sz w:val="22"/>
          <w:szCs w:val="22"/>
        </w:rPr>
        <w:t xml:space="preserve"> </w:t>
      </w:r>
      <w:r w:rsidRPr="003F564F">
        <w:rPr>
          <w:sz w:val="22"/>
          <w:szCs w:val="22"/>
        </w:rPr>
        <w:t>sukeltos reakcijos, apie kurias gauta pranešimų apibendrinus visus vaikų tyrimų duomenis (paauglių</w:t>
      </w:r>
      <w:r w:rsidR="0002237D" w:rsidRPr="003F564F">
        <w:rPr>
          <w:sz w:val="22"/>
          <w:szCs w:val="22"/>
        </w:rPr>
        <w:t xml:space="preserve"> </w:t>
      </w:r>
      <w:r w:rsidRPr="003F564F">
        <w:rPr>
          <w:sz w:val="22"/>
          <w:szCs w:val="22"/>
        </w:rPr>
        <w:t xml:space="preserve">REACH3 tyrimo metu bei vaikų REACH5 tyrimo metu) buvo </w:t>
      </w:r>
      <w:proofErr w:type="spellStart"/>
      <w:r w:rsidRPr="003F564F">
        <w:rPr>
          <w:sz w:val="22"/>
          <w:szCs w:val="22"/>
        </w:rPr>
        <w:t>neutropenija</w:t>
      </w:r>
      <w:proofErr w:type="spellEnd"/>
      <w:r w:rsidRPr="003F564F">
        <w:rPr>
          <w:sz w:val="22"/>
          <w:szCs w:val="22"/>
        </w:rPr>
        <w:t xml:space="preserve">, </w:t>
      </w:r>
      <w:proofErr w:type="spellStart"/>
      <w:r w:rsidRPr="003F564F">
        <w:rPr>
          <w:sz w:val="22"/>
          <w:szCs w:val="22"/>
        </w:rPr>
        <w:t>hipercholesterolemija</w:t>
      </w:r>
      <w:proofErr w:type="spellEnd"/>
      <w:r w:rsidRPr="003F564F">
        <w:rPr>
          <w:sz w:val="22"/>
          <w:szCs w:val="22"/>
        </w:rPr>
        <w:t xml:space="preserve"> ir</w:t>
      </w:r>
      <w:r w:rsidR="0002237D" w:rsidRPr="003F564F">
        <w:rPr>
          <w:sz w:val="22"/>
          <w:szCs w:val="22"/>
        </w:rPr>
        <w:t xml:space="preserve"> </w:t>
      </w:r>
      <w:r w:rsidRPr="003F564F">
        <w:rPr>
          <w:sz w:val="22"/>
          <w:szCs w:val="22"/>
        </w:rPr>
        <w:t xml:space="preserve">padidėjęs </w:t>
      </w:r>
      <w:proofErr w:type="spellStart"/>
      <w:r w:rsidRPr="003F564F">
        <w:rPr>
          <w:sz w:val="22"/>
          <w:szCs w:val="22"/>
        </w:rPr>
        <w:t>alanino</w:t>
      </w:r>
      <w:proofErr w:type="spellEnd"/>
      <w:r w:rsidRPr="003F564F">
        <w:rPr>
          <w:sz w:val="22"/>
          <w:szCs w:val="22"/>
        </w:rPr>
        <w:t xml:space="preserve"> </w:t>
      </w:r>
      <w:proofErr w:type="spellStart"/>
      <w:r w:rsidRPr="003F564F">
        <w:rPr>
          <w:sz w:val="22"/>
          <w:szCs w:val="22"/>
        </w:rPr>
        <w:t>aminotransferazės</w:t>
      </w:r>
      <w:proofErr w:type="spellEnd"/>
      <w:r w:rsidRPr="003F564F">
        <w:rPr>
          <w:sz w:val="22"/>
          <w:szCs w:val="22"/>
        </w:rPr>
        <w:t xml:space="preserve"> aktyvumas.</w:t>
      </w:r>
    </w:p>
    <w:p w14:paraId="1B92A253" w14:textId="77777777" w:rsidR="0002237D" w:rsidRPr="003F564F" w:rsidRDefault="0002237D" w:rsidP="0002237D">
      <w:pPr>
        <w:tabs>
          <w:tab w:val="left" w:pos="567"/>
        </w:tabs>
        <w:spacing w:line="260" w:lineRule="exact"/>
        <w:rPr>
          <w:sz w:val="22"/>
          <w:szCs w:val="22"/>
        </w:rPr>
      </w:pPr>
    </w:p>
    <w:p w14:paraId="3CB6E207" w14:textId="32A1C2B2" w:rsidR="009F34A7" w:rsidRPr="003F564F" w:rsidRDefault="009F34A7" w:rsidP="0002237D">
      <w:pPr>
        <w:tabs>
          <w:tab w:val="left" w:pos="567"/>
        </w:tabs>
        <w:spacing w:line="260" w:lineRule="exact"/>
        <w:rPr>
          <w:sz w:val="22"/>
          <w:szCs w:val="22"/>
        </w:rPr>
      </w:pPr>
      <w:r w:rsidRPr="003F564F">
        <w:rPr>
          <w:sz w:val="22"/>
          <w:szCs w:val="22"/>
        </w:rPr>
        <w:t>Laboratorinių kraujo tyrimų pokyčiai, identifikuoti kaip nepageidaujamos reakcijos ir nustatyti</w:t>
      </w:r>
      <w:r w:rsidR="0002237D" w:rsidRPr="003F564F">
        <w:rPr>
          <w:sz w:val="22"/>
          <w:szCs w:val="22"/>
        </w:rPr>
        <w:t xml:space="preserve"> </w:t>
      </w:r>
      <w:r w:rsidRPr="003F564F">
        <w:rPr>
          <w:sz w:val="22"/>
          <w:szCs w:val="22"/>
        </w:rPr>
        <w:t>REACH3 tyrimo metu (suaugusiems pacientams ir paaugliams) bei apibendrintais vaikų tyrimų</w:t>
      </w:r>
      <w:r w:rsidR="0002237D" w:rsidRPr="003F564F">
        <w:rPr>
          <w:sz w:val="22"/>
          <w:szCs w:val="22"/>
        </w:rPr>
        <w:t xml:space="preserve"> </w:t>
      </w:r>
      <w:r w:rsidRPr="003F564F">
        <w:rPr>
          <w:sz w:val="22"/>
          <w:szCs w:val="22"/>
        </w:rPr>
        <w:t>(REACH3 ir REACH5) duomenimis, buvo anemija (atitinkamai 68,6</w:t>
      </w:r>
      <w:r w:rsidR="000A1C95" w:rsidRPr="003F564F">
        <w:rPr>
          <w:sz w:val="22"/>
          <w:szCs w:val="22"/>
        </w:rPr>
        <w:t> </w:t>
      </w:r>
      <w:r w:rsidRPr="003F564F">
        <w:rPr>
          <w:sz w:val="22"/>
          <w:szCs w:val="22"/>
        </w:rPr>
        <w:t>% ir 49,1</w:t>
      </w:r>
      <w:r w:rsidR="000A1C95" w:rsidRPr="003F564F">
        <w:rPr>
          <w:sz w:val="22"/>
          <w:szCs w:val="22"/>
        </w:rPr>
        <w:t> </w:t>
      </w:r>
      <w:r w:rsidRPr="003F564F">
        <w:rPr>
          <w:sz w:val="22"/>
          <w:szCs w:val="22"/>
        </w:rPr>
        <w:t xml:space="preserve">%), </w:t>
      </w:r>
      <w:proofErr w:type="spellStart"/>
      <w:r w:rsidRPr="003F564F">
        <w:rPr>
          <w:sz w:val="22"/>
          <w:szCs w:val="22"/>
        </w:rPr>
        <w:t>neutropenija</w:t>
      </w:r>
      <w:proofErr w:type="spellEnd"/>
      <w:r w:rsidR="0002237D" w:rsidRPr="003F564F">
        <w:rPr>
          <w:sz w:val="22"/>
          <w:szCs w:val="22"/>
        </w:rPr>
        <w:t xml:space="preserve"> </w:t>
      </w:r>
      <w:r w:rsidRPr="003F564F">
        <w:rPr>
          <w:sz w:val="22"/>
          <w:szCs w:val="22"/>
        </w:rPr>
        <w:t>(36,2</w:t>
      </w:r>
      <w:r w:rsidR="000A1C95" w:rsidRPr="003F564F">
        <w:rPr>
          <w:sz w:val="22"/>
          <w:szCs w:val="22"/>
        </w:rPr>
        <w:t> </w:t>
      </w:r>
      <w:r w:rsidRPr="003F564F">
        <w:rPr>
          <w:sz w:val="22"/>
          <w:szCs w:val="22"/>
        </w:rPr>
        <w:t>% ir 59,3</w:t>
      </w:r>
      <w:r w:rsidR="000A1C95" w:rsidRPr="003F564F">
        <w:rPr>
          <w:sz w:val="22"/>
          <w:szCs w:val="22"/>
        </w:rPr>
        <w:t> </w:t>
      </w:r>
      <w:r w:rsidRPr="003F564F">
        <w:rPr>
          <w:sz w:val="22"/>
          <w:szCs w:val="22"/>
        </w:rPr>
        <w:t xml:space="preserve">%) bei </w:t>
      </w:r>
      <w:proofErr w:type="spellStart"/>
      <w:r w:rsidRPr="003F564F">
        <w:rPr>
          <w:sz w:val="22"/>
          <w:szCs w:val="22"/>
        </w:rPr>
        <w:t>trombocitopenija</w:t>
      </w:r>
      <w:proofErr w:type="spellEnd"/>
      <w:r w:rsidRPr="003F564F">
        <w:rPr>
          <w:sz w:val="22"/>
          <w:szCs w:val="22"/>
        </w:rPr>
        <w:t xml:space="preserve"> (atitinkamai 34,4</w:t>
      </w:r>
      <w:r w:rsidR="000A1C95" w:rsidRPr="003F564F">
        <w:rPr>
          <w:sz w:val="22"/>
          <w:szCs w:val="22"/>
        </w:rPr>
        <w:t> </w:t>
      </w:r>
      <w:r w:rsidRPr="003F564F">
        <w:rPr>
          <w:sz w:val="22"/>
          <w:szCs w:val="22"/>
        </w:rPr>
        <w:t>% ir 35,2</w:t>
      </w:r>
      <w:r w:rsidR="000A1C95" w:rsidRPr="003F564F">
        <w:rPr>
          <w:sz w:val="22"/>
          <w:szCs w:val="22"/>
        </w:rPr>
        <w:t> </w:t>
      </w:r>
      <w:r w:rsidRPr="003F564F">
        <w:rPr>
          <w:sz w:val="22"/>
          <w:szCs w:val="22"/>
        </w:rPr>
        <w:t>%). 3-iojo laipsnio anemija</w:t>
      </w:r>
      <w:r w:rsidR="0002237D" w:rsidRPr="003F564F">
        <w:rPr>
          <w:sz w:val="22"/>
          <w:szCs w:val="22"/>
        </w:rPr>
        <w:t xml:space="preserve"> </w:t>
      </w:r>
      <w:r w:rsidRPr="003F564F">
        <w:rPr>
          <w:sz w:val="22"/>
          <w:szCs w:val="22"/>
        </w:rPr>
        <w:t>nustatyta 14,8</w:t>
      </w:r>
      <w:r w:rsidR="000A1C95" w:rsidRPr="003F564F">
        <w:rPr>
          <w:sz w:val="22"/>
          <w:szCs w:val="22"/>
        </w:rPr>
        <w:t> </w:t>
      </w:r>
      <w:r w:rsidRPr="003F564F">
        <w:rPr>
          <w:sz w:val="22"/>
          <w:szCs w:val="22"/>
        </w:rPr>
        <w:t>% pacientų REACH3 tyrimo metu ir 17,0</w:t>
      </w:r>
      <w:r w:rsidR="000A1C95" w:rsidRPr="003F564F">
        <w:rPr>
          <w:sz w:val="22"/>
          <w:szCs w:val="22"/>
        </w:rPr>
        <w:t> </w:t>
      </w:r>
      <w:r w:rsidRPr="003F564F">
        <w:rPr>
          <w:sz w:val="22"/>
          <w:szCs w:val="22"/>
        </w:rPr>
        <w:t>% pacientų apibendrintais vaikų tyrimų</w:t>
      </w:r>
      <w:r w:rsidR="0002237D" w:rsidRPr="003F564F">
        <w:rPr>
          <w:sz w:val="22"/>
          <w:szCs w:val="22"/>
        </w:rPr>
        <w:t xml:space="preserve"> </w:t>
      </w:r>
      <w:r w:rsidRPr="003F564F">
        <w:rPr>
          <w:sz w:val="22"/>
          <w:szCs w:val="22"/>
        </w:rPr>
        <w:t xml:space="preserve">duomenimis. 3-iojo ar 4-ojo laipsnių </w:t>
      </w:r>
      <w:proofErr w:type="spellStart"/>
      <w:r w:rsidRPr="003F564F">
        <w:rPr>
          <w:sz w:val="22"/>
          <w:szCs w:val="22"/>
        </w:rPr>
        <w:t>neutropenija</w:t>
      </w:r>
      <w:proofErr w:type="spellEnd"/>
      <w:r w:rsidRPr="003F564F">
        <w:rPr>
          <w:sz w:val="22"/>
          <w:szCs w:val="22"/>
        </w:rPr>
        <w:t xml:space="preserve"> pasireiškė atitinkamai 9,5</w:t>
      </w:r>
      <w:r w:rsidR="000A1C95" w:rsidRPr="003F564F">
        <w:rPr>
          <w:sz w:val="22"/>
          <w:szCs w:val="22"/>
        </w:rPr>
        <w:t> </w:t>
      </w:r>
      <w:r w:rsidRPr="003F564F">
        <w:rPr>
          <w:sz w:val="22"/>
          <w:szCs w:val="22"/>
        </w:rPr>
        <w:t>% ir 6,7</w:t>
      </w:r>
      <w:r w:rsidR="000A1C95" w:rsidRPr="003F564F">
        <w:rPr>
          <w:sz w:val="22"/>
          <w:szCs w:val="22"/>
        </w:rPr>
        <w:t> </w:t>
      </w:r>
      <w:r w:rsidRPr="003F564F">
        <w:rPr>
          <w:sz w:val="22"/>
          <w:szCs w:val="22"/>
        </w:rPr>
        <w:t>% pacientų</w:t>
      </w:r>
      <w:r w:rsidR="0002237D" w:rsidRPr="003F564F">
        <w:rPr>
          <w:sz w:val="22"/>
          <w:szCs w:val="22"/>
        </w:rPr>
        <w:t xml:space="preserve"> </w:t>
      </w:r>
      <w:r w:rsidRPr="003F564F">
        <w:rPr>
          <w:sz w:val="22"/>
          <w:szCs w:val="22"/>
        </w:rPr>
        <w:t>REACH3 tyrimo metu bei 17,3</w:t>
      </w:r>
      <w:r w:rsidR="000A1C95" w:rsidRPr="003F564F">
        <w:rPr>
          <w:sz w:val="22"/>
          <w:szCs w:val="22"/>
        </w:rPr>
        <w:t> </w:t>
      </w:r>
      <w:r w:rsidRPr="003F564F">
        <w:rPr>
          <w:sz w:val="22"/>
          <w:szCs w:val="22"/>
        </w:rPr>
        <w:t>% ir 11,1</w:t>
      </w:r>
      <w:r w:rsidR="000A1C95" w:rsidRPr="003F564F">
        <w:rPr>
          <w:sz w:val="22"/>
          <w:szCs w:val="22"/>
        </w:rPr>
        <w:t> </w:t>
      </w:r>
      <w:r w:rsidRPr="003F564F">
        <w:rPr>
          <w:sz w:val="22"/>
          <w:szCs w:val="22"/>
        </w:rPr>
        <w:t>% pacientų apibendrintais vaikų tyrimų duomenimis. 3-iojo</w:t>
      </w:r>
      <w:r w:rsidR="0002237D" w:rsidRPr="003F564F">
        <w:rPr>
          <w:sz w:val="22"/>
          <w:szCs w:val="22"/>
        </w:rPr>
        <w:t xml:space="preserve"> </w:t>
      </w:r>
      <w:r w:rsidRPr="003F564F">
        <w:rPr>
          <w:sz w:val="22"/>
          <w:szCs w:val="22"/>
        </w:rPr>
        <w:t xml:space="preserve">ar 4-ojo laipsnių </w:t>
      </w:r>
      <w:proofErr w:type="spellStart"/>
      <w:r w:rsidRPr="003F564F">
        <w:rPr>
          <w:sz w:val="22"/>
          <w:szCs w:val="22"/>
        </w:rPr>
        <w:t>trombocitopenija</w:t>
      </w:r>
      <w:proofErr w:type="spellEnd"/>
      <w:r w:rsidRPr="003F564F">
        <w:rPr>
          <w:sz w:val="22"/>
          <w:szCs w:val="22"/>
        </w:rPr>
        <w:t xml:space="preserve"> pasireiškė atitinkamai 5,9</w:t>
      </w:r>
      <w:r w:rsidR="000A1C95" w:rsidRPr="003F564F">
        <w:rPr>
          <w:sz w:val="22"/>
          <w:szCs w:val="22"/>
        </w:rPr>
        <w:t> </w:t>
      </w:r>
      <w:r w:rsidRPr="003F564F">
        <w:rPr>
          <w:sz w:val="22"/>
          <w:szCs w:val="22"/>
        </w:rPr>
        <w:t>% ir 10,7</w:t>
      </w:r>
      <w:r w:rsidR="000A1C95" w:rsidRPr="003F564F">
        <w:rPr>
          <w:sz w:val="22"/>
          <w:szCs w:val="22"/>
        </w:rPr>
        <w:t> </w:t>
      </w:r>
      <w:r w:rsidRPr="003F564F">
        <w:rPr>
          <w:sz w:val="22"/>
          <w:szCs w:val="22"/>
        </w:rPr>
        <w:t>% suaugusių pacientų ir</w:t>
      </w:r>
      <w:r w:rsidR="0002237D" w:rsidRPr="003F564F">
        <w:rPr>
          <w:sz w:val="22"/>
          <w:szCs w:val="22"/>
        </w:rPr>
        <w:t xml:space="preserve"> </w:t>
      </w:r>
      <w:r w:rsidRPr="003F564F">
        <w:rPr>
          <w:sz w:val="22"/>
          <w:szCs w:val="22"/>
        </w:rPr>
        <w:t>paauglių REACH3 tyrimo metu bei 7,7</w:t>
      </w:r>
      <w:r w:rsidR="000A1C95" w:rsidRPr="003F564F">
        <w:rPr>
          <w:sz w:val="22"/>
          <w:szCs w:val="22"/>
        </w:rPr>
        <w:t> </w:t>
      </w:r>
      <w:r w:rsidRPr="003F564F">
        <w:rPr>
          <w:sz w:val="22"/>
          <w:szCs w:val="22"/>
        </w:rPr>
        <w:t>% ir 11,1</w:t>
      </w:r>
      <w:r w:rsidR="000A1C95" w:rsidRPr="003F564F">
        <w:rPr>
          <w:sz w:val="22"/>
          <w:szCs w:val="22"/>
        </w:rPr>
        <w:t> </w:t>
      </w:r>
      <w:r w:rsidRPr="003F564F">
        <w:rPr>
          <w:sz w:val="22"/>
          <w:szCs w:val="22"/>
        </w:rPr>
        <w:t>% pacientų apibendrintais vaikų tyrimų duomenimis.</w:t>
      </w:r>
    </w:p>
    <w:p w14:paraId="5A08FF1A" w14:textId="77777777" w:rsidR="0002237D" w:rsidRPr="003F564F" w:rsidRDefault="0002237D" w:rsidP="0002237D">
      <w:pPr>
        <w:tabs>
          <w:tab w:val="left" w:pos="567"/>
        </w:tabs>
        <w:spacing w:line="260" w:lineRule="exact"/>
        <w:rPr>
          <w:sz w:val="22"/>
          <w:szCs w:val="22"/>
        </w:rPr>
      </w:pPr>
    </w:p>
    <w:p w14:paraId="6B04FADB" w14:textId="1738EA30" w:rsidR="009F34A7" w:rsidRPr="003F564F" w:rsidRDefault="009F34A7" w:rsidP="0002237D">
      <w:pPr>
        <w:tabs>
          <w:tab w:val="left" w:pos="567"/>
        </w:tabs>
        <w:spacing w:line="260" w:lineRule="exact"/>
        <w:rPr>
          <w:sz w:val="22"/>
          <w:szCs w:val="22"/>
        </w:rPr>
      </w:pPr>
      <w:r w:rsidRPr="003F564F">
        <w:rPr>
          <w:sz w:val="22"/>
          <w:szCs w:val="22"/>
        </w:rPr>
        <w:t>Dažniausios kitokios nei kraujo sutrikimai nepageidaujamos reakcijos, nustatytos REACH3 tyrimo</w:t>
      </w:r>
      <w:r w:rsidR="0002237D" w:rsidRPr="003F564F">
        <w:rPr>
          <w:sz w:val="22"/>
          <w:szCs w:val="22"/>
        </w:rPr>
        <w:t xml:space="preserve"> </w:t>
      </w:r>
      <w:r w:rsidRPr="003F564F">
        <w:rPr>
          <w:sz w:val="22"/>
          <w:szCs w:val="22"/>
        </w:rPr>
        <w:t>metu (suaugusiems pacientams ir paaugliams) bei apibendrintais vaikų tyrimų (REACH3 ir REACH5)</w:t>
      </w:r>
      <w:r w:rsidR="0002237D" w:rsidRPr="003F564F">
        <w:rPr>
          <w:sz w:val="22"/>
          <w:szCs w:val="22"/>
        </w:rPr>
        <w:t xml:space="preserve"> </w:t>
      </w:r>
      <w:r w:rsidRPr="003F564F">
        <w:rPr>
          <w:sz w:val="22"/>
          <w:szCs w:val="22"/>
        </w:rPr>
        <w:t>duomenimis, buvo hipertenzija (atitinkamai 15,0</w:t>
      </w:r>
      <w:r w:rsidR="000A1C95" w:rsidRPr="003F564F">
        <w:rPr>
          <w:sz w:val="22"/>
          <w:szCs w:val="22"/>
        </w:rPr>
        <w:t> </w:t>
      </w:r>
      <w:r w:rsidRPr="003F564F">
        <w:rPr>
          <w:sz w:val="22"/>
          <w:szCs w:val="22"/>
        </w:rPr>
        <w:t>% ir 14,5</w:t>
      </w:r>
      <w:r w:rsidR="000A1C95" w:rsidRPr="003F564F">
        <w:rPr>
          <w:sz w:val="22"/>
          <w:szCs w:val="22"/>
        </w:rPr>
        <w:t> </w:t>
      </w:r>
      <w:r w:rsidRPr="003F564F">
        <w:rPr>
          <w:sz w:val="22"/>
          <w:szCs w:val="22"/>
        </w:rPr>
        <w:t>%) bei galvos skausmas (atitinkamai</w:t>
      </w:r>
      <w:r w:rsidR="0002237D" w:rsidRPr="003F564F">
        <w:rPr>
          <w:sz w:val="22"/>
          <w:szCs w:val="22"/>
        </w:rPr>
        <w:t xml:space="preserve"> </w:t>
      </w:r>
      <w:r w:rsidRPr="003F564F">
        <w:rPr>
          <w:sz w:val="22"/>
          <w:szCs w:val="22"/>
        </w:rPr>
        <w:t>10,2</w:t>
      </w:r>
      <w:r w:rsidR="000A1C95" w:rsidRPr="003F564F">
        <w:rPr>
          <w:sz w:val="22"/>
          <w:szCs w:val="22"/>
        </w:rPr>
        <w:t> </w:t>
      </w:r>
      <w:r w:rsidRPr="003F564F">
        <w:rPr>
          <w:sz w:val="22"/>
          <w:szCs w:val="22"/>
        </w:rPr>
        <w:t>% ir 18,2</w:t>
      </w:r>
      <w:r w:rsidR="000A1C95" w:rsidRPr="003F564F">
        <w:rPr>
          <w:sz w:val="22"/>
          <w:szCs w:val="22"/>
        </w:rPr>
        <w:t> </w:t>
      </w:r>
      <w:r w:rsidRPr="003F564F">
        <w:rPr>
          <w:sz w:val="22"/>
          <w:szCs w:val="22"/>
        </w:rPr>
        <w:t>%).</w:t>
      </w:r>
    </w:p>
    <w:p w14:paraId="744DB9FE" w14:textId="77777777" w:rsidR="0002237D" w:rsidRPr="003F564F" w:rsidRDefault="0002237D" w:rsidP="0002237D">
      <w:pPr>
        <w:tabs>
          <w:tab w:val="left" w:pos="567"/>
        </w:tabs>
        <w:spacing w:line="260" w:lineRule="exact"/>
        <w:rPr>
          <w:sz w:val="22"/>
          <w:szCs w:val="22"/>
        </w:rPr>
      </w:pPr>
    </w:p>
    <w:p w14:paraId="6A0ABCCD" w14:textId="43B0B296" w:rsidR="009F34A7" w:rsidRPr="003F564F" w:rsidRDefault="009F34A7" w:rsidP="0002237D">
      <w:pPr>
        <w:tabs>
          <w:tab w:val="left" w:pos="567"/>
        </w:tabs>
        <w:spacing w:line="260" w:lineRule="exact"/>
        <w:rPr>
          <w:sz w:val="22"/>
          <w:szCs w:val="22"/>
        </w:rPr>
      </w:pPr>
      <w:r w:rsidRPr="003F564F">
        <w:rPr>
          <w:sz w:val="22"/>
          <w:szCs w:val="22"/>
        </w:rPr>
        <w:t>Dažniausi kitokie nei kraujo sutrikimai laboratorinių tyrimų pokyčiai, identifikuoti kaip</w:t>
      </w:r>
      <w:r w:rsidR="0002237D" w:rsidRPr="003F564F">
        <w:rPr>
          <w:sz w:val="22"/>
          <w:szCs w:val="22"/>
        </w:rPr>
        <w:t xml:space="preserve"> </w:t>
      </w:r>
      <w:r w:rsidRPr="003F564F">
        <w:rPr>
          <w:sz w:val="22"/>
          <w:szCs w:val="22"/>
        </w:rPr>
        <w:t>nepageidaujamos reakcijos REACH3 tyrimo metu (suaugusiems pacientams ir paaugliams) bei</w:t>
      </w:r>
      <w:r w:rsidR="0002237D" w:rsidRPr="003F564F">
        <w:rPr>
          <w:sz w:val="22"/>
          <w:szCs w:val="22"/>
        </w:rPr>
        <w:t xml:space="preserve"> </w:t>
      </w:r>
      <w:r w:rsidRPr="003F564F">
        <w:rPr>
          <w:sz w:val="22"/>
          <w:szCs w:val="22"/>
        </w:rPr>
        <w:lastRenderedPageBreak/>
        <w:t xml:space="preserve">apibendrintais vaikų tyrimų (REACH3 ir REACH5) duomenimis, buvo </w:t>
      </w:r>
      <w:proofErr w:type="spellStart"/>
      <w:r w:rsidRPr="003F564F">
        <w:rPr>
          <w:sz w:val="22"/>
          <w:szCs w:val="22"/>
        </w:rPr>
        <w:t>hipercholesterolemija</w:t>
      </w:r>
      <w:proofErr w:type="spellEnd"/>
      <w:r w:rsidR="0002237D" w:rsidRPr="003F564F">
        <w:rPr>
          <w:sz w:val="22"/>
          <w:szCs w:val="22"/>
        </w:rPr>
        <w:t xml:space="preserve"> </w:t>
      </w:r>
      <w:r w:rsidRPr="003F564F">
        <w:rPr>
          <w:sz w:val="22"/>
          <w:szCs w:val="22"/>
        </w:rPr>
        <w:t>(atitinkamai 52,3</w:t>
      </w:r>
      <w:r w:rsidR="000A1C95" w:rsidRPr="003F564F">
        <w:rPr>
          <w:sz w:val="22"/>
          <w:szCs w:val="22"/>
        </w:rPr>
        <w:t> </w:t>
      </w:r>
      <w:r w:rsidRPr="003F564F">
        <w:rPr>
          <w:sz w:val="22"/>
          <w:szCs w:val="22"/>
        </w:rPr>
        <w:t>% ir 54,9</w:t>
      </w:r>
      <w:r w:rsidR="000A1C95" w:rsidRPr="003F564F">
        <w:rPr>
          <w:sz w:val="22"/>
          <w:szCs w:val="22"/>
        </w:rPr>
        <w:t> </w:t>
      </w:r>
      <w:r w:rsidRPr="003F564F">
        <w:rPr>
          <w:sz w:val="22"/>
          <w:szCs w:val="22"/>
        </w:rPr>
        <w:t xml:space="preserve">%), padidėjęs </w:t>
      </w:r>
      <w:proofErr w:type="spellStart"/>
      <w:r w:rsidRPr="003F564F">
        <w:rPr>
          <w:sz w:val="22"/>
          <w:szCs w:val="22"/>
        </w:rPr>
        <w:t>aspartato</w:t>
      </w:r>
      <w:proofErr w:type="spellEnd"/>
      <w:r w:rsidRPr="003F564F">
        <w:rPr>
          <w:sz w:val="22"/>
          <w:szCs w:val="22"/>
        </w:rPr>
        <w:t xml:space="preserve"> </w:t>
      </w:r>
      <w:proofErr w:type="spellStart"/>
      <w:r w:rsidRPr="003F564F">
        <w:rPr>
          <w:sz w:val="22"/>
          <w:szCs w:val="22"/>
        </w:rPr>
        <w:t>aminotransferazės</w:t>
      </w:r>
      <w:proofErr w:type="spellEnd"/>
      <w:r w:rsidRPr="003F564F">
        <w:rPr>
          <w:sz w:val="22"/>
          <w:szCs w:val="22"/>
        </w:rPr>
        <w:t xml:space="preserve"> aktyvumas (atitinkamai 52,2</w:t>
      </w:r>
      <w:r w:rsidR="000A1C95" w:rsidRPr="003F564F">
        <w:rPr>
          <w:sz w:val="22"/>
          <w:szCs w:val="22"/>
        </w:rPr>
        <w:t> </w:t>
      </w:r>
      <w:r w:rsidRPr="003F564F">
        <w:rPr>
          <w:sz w:val="22"/>
          <w:szCs w:val="22"/>
        </w:rPr>
        <w:t>%</w:t>
      </w:r>
      <w:r w:rsidR="0002237D" w:rsidRPr="003F564F">
        <w:rPr>
          <w:sz w:val="22"/>
          <w:szCs w:val="22"/>
        </w:rPr>
        <w:t xml:space="preserve"> </w:t>
      </w:r>
      <w:r w:rsidRPr="003F564F">
        <w:rPr>
          <w:sz w:val="22"/>
          <w:szCs w:val="22"/>
        </w:rPr>
        <w:t>ir 45,5</w:t>
      </w:r>
      <w:r w:rsidR="000A1C95" w:rsidRPr="003F564F">
        <w:rPr>
          <w:sz w:val="22"/>
          <w:szCs w:val="22"/>
        </w:rPr>
        <w:t> </w:t>
      </w:r>
      <w:r w:rsidRPr="003F564F">
        <w:rPr>
          <w:sz w:val="22"/>
          <w:szCs w:val="22"/>
        </w:rPr>
        <w:t xml:space="preserve">%) bei padidėjęs </w:t>
      </w:r>
      <w:proofErr w:type="spellStart"/>
      <w:r w:rsidRPr="003F564F">
        <w:rPr>
          <w:sz w:val="22"/>
          <w:szCs w:val="22"/>
        </w:rPr>
        <w:t>alanino</w:t>
      </w:r>
      <w:proofErr w:type="spellEnd"/>
      <w:r w:rsidRPr="003F564F">
        <w:rPr>
          <w:sz w:val="22"/>
          <w:szCs w:val="22"/>
        </w:rPr>
        <w:t xml:space="preserve"> </w:t>
      </w:r>
      <w:proofErr w:type="spellStart"/>
      <w:r w:rsidRPr="003F564F">
        <w:rPr>
          <w:sz w:val="22"/>
          <w:szCs w:val="22"/>
        </w:rPr>
        <w:t>aminotransferazės</w:t>
      </w:r>
      <w:proofErr w:type="spellEnd"/>
      <w:r w:rsidRPr="003F564F">
        <w:rPr>
          <w:sz w:val="22"/>
          <w:szCs w:val="22"/>
        </w:rPr>
        <w:t xml:space="preserve"> aktyvumas (atitinkamai 43,1</w:t>
      </w:r>
      <w:r w:rsidR="000A1C95" w:rsidRPr="003F564F">
        <w:rPr>
          <w:sz w:val="22"/>
          <w:szCs w:val="22"/>
        </w:rPr>
        <w:t> </w:t>
      </w:r>
      <w:r w:rsidRPr="003F564F">
        <w:rPr>
          <w:sz w:val="22"/>
          <w:szCs w:val="22"/>
        </w:rPr>
        <w:t>% ir 50,9</w:t>
      </w:r>
      <w:r w:rsidR="000A1C95" w:rsidRPr="003F564F">
        <w:rPr>
          <w:sz w:val="22"/>
          <w:szCs w:val="22"/>
        </w:rPr>
        <w:t> </w:t>
      </w:r>
      <w:r w:rsidRPr="003F564F">
        <w:rPr>
          <w:sz w:val="22"/>
          <w:szCs w:val="22"/>
        </w:rPr>
        <w:t>%).</w:t>
      </w:r>
      <w:r w:rsidR="000A1C95" w:rsidRPr="003F564F">
        <w:rPr>
          <w:sz w:val="22"/>
          <w:szCs w:val="22"/>
        </w:rPr>
        <w:t xml:space="preserve"> </w:t>
      </w:r>
      <w:r w:rsidRPr="003F564F">
        <w:rPr>
          <w:sz w:val="22"/>
          <w:szCs w:val="22"/>
        </w:rPr>
        <w:t>Daugelis šių atvejų buvo 1-ojo ar 2-ojo laipsnių, tačiau 3-iojo laipsnio laboratorinių tyrimų pokyčiai,</w:t>
      </w:r>
      <w:r w:rsidR="0002237D" w:rsidRPr="003F564F">
        <w:rPr>
          <w:sz w:val="22"/>
          <w:szCs w:val="22"/>
        </w:rPr>
        <w:t xml:space="preserve"> </w:t>
      </w:r>
      <w:r w:rsidRPr="003F564F">
        <w:rPr>
          <w:sz w:val="22"/>
          <w:szCs w:val="22"/>
        </w:rPr>
        <w:t xml:space="preserve">nustatyti apibendrintais vaikų tyrimų duomenimis, buvo padidėjęs </w:t>
      </w:r>
      <w:proofErr w:type="spellStart"/>
      <w:r w:rsidRPr="003F564F">
        <w:rPr>
          <w:sz w:val="22"/>
          <w:szCs w:val="22"/>
        </w:rPr>
        <w:t>alanino</w:t>
      </w:r>
      <w:proofErr w:type="spellEnd"/>
      <w:r w:rsidRPr="003F564F">
        <w:rPr>
          <w:sz w:val="22"/>
          <w:szCs w:val="22"/>
        </w:rPr>
        <w:t xml:space="preserve"> </w:t>
      </w:r>
      <w:proofErr w:type="spellStart"/>
      <w:r w:rsidRPr="003F564F">
        <w:rPr>
          <w:sz w:val="22"/>
          <w:szCs w:val="22"/>
        </w:rPr>
        <w:t>aminotransferazės</w:t>
      </w:r>
      <w:proofErr w:type="spellEnd"/>
      <w:r w:rsidR="0002237D" w:rsidRPr="003F564F">
        <w:rPr>
          <w:sz w:val="22"/>
          <w:szCs w:val="22"/>
        </w:rPr>
        <w:t xml:space="preserve"> </w:t>
      </w:r>
      <w:r w:rsidRPr="003F564F">
        <w:rPr>
          <w:sz w:val="22"/>
          <w:szCs w:val="22"/>
        </w:rPr>
        <w:t>aktyvumas (14,9</w:t>
      </w:r>
      <w:r w:rsidR="000A1C95" w:rsidRPr="003F564F">
        <w:rPr>
          <w:sz w:val="22"/>
          <w:szCs w:val="22"/>
        </w:rPr>
        <w:t> </w:t>
      </w:r>
      <w:r w:rsidRPr="003F564F">
        <w:rPr>
          <w:sz w:val="22"/>
          <w:szCs w:val="22"/>
        </w:rPr>
        <w:t xml:space="preserve">%) ir padidėjęs </w:t>
      </w:r>
      <w:proofErr w:type="spellStart"/>
      <w:r w:rsidRPr="003F564F">
        <w:rPr>
          <w:sz w:val="22"/>
          <w:szCs w:val="22"/>
        </w:rPr>
        <w:t>aspartato</w:t>
      </w:r>
      <w:proofErr w:type="spellEnd"/>
      <w:r w:rsidRPr="003F564F">
        <w:rPr>
          <w:sz w:val="22"/>
          <w:szCs w:val="22"/>
        </w:rPr>
        <w:t xml:space="preserve"> </w:t>
      </w:r>
      <w:proofErr w:type="spellStart"/>
      <w:r w:rsidRPr="003F564F">
        <w:rPr>
          <w:sz w:val="22"/>
          <w:szCs w:val="22"/>
        </w:rPr>
        <w:t>aminotransferazės</w:t>
      </w:r>
      <w:proofErr w:type="spellEnd"/>
      <w:r w:rsidRPr="003F564F">
        <w:rPr>
          <w:sz w:val="22"/>
          <w:szCs w:val="22"/>
        </w:rPr>
        <w:t xml:space="preserve"> aktyvumas (11,5</w:t>
      </w:r>
      <w:r w:rsidR="000A1C95" w:rsidRPr="003F564F">
        <w:rPr>
          <w:sz w:val="22"/>
          <w:szCs w:val="22"/>
        </w:rPr>
        <w:t> </w:t>
      </w:r>
      <w:r w:rsidRPr="003F564F">
        <w:rPr>
          <w:sz w:val="22"/>
          <w:szCs w:val="22"/>
        </w:rPr>
        <w:t>%).</w:t>
      </w:r>
    </w:p>
    <w:p w14:paraId="69512CFE" w14:textId="77777777" w:rsidR="0002237D" w:rsidRPr="003F564F" w:rsidRDefault="0002237D" w:rsidP="0002237D">
      <w:pPr>
        <w:tabs>
          <w:tab w:val="left" w:pos="567"/>
        </w:tabs>
        <w:spacing w:line="260" w:lineRule="exact"/>
        <w:rPr>
          <w:sz w:val="22"/>
          <w:szCs w:val="22"/>
        </w:rPr>
      </w:pPr>
    </w:p>
    <w:p w14:paraId="1B4F6D0D" w14:textId="69209891" w:rsidR="009F34A7" w:rsidRPr="003F564F" w:rsidRDefault="009F34A7" w:rsidP="0002237D">
      <w:pPr>
        <w:tabs>
          <w:tab w:val="left" w:pos="567"/>
        </w:tabs>
        <w:spacing w:line="260" w:lineRule="exact"/>
        <w:rPr>
          <w:sz w:val="22"/>
          <w:szCs w:val="22"/>
        </w:rPr>
      </w:pPr>
      <w:r w:rsidRPr="003F564F">
        <w:rPr>
          <w:sz w:val="22"/>
          <w:szCs w:val="22"/>
        </w:rPr>
        <w:t>Vaistinio preparato vartojimą dėl nepageidaujamų reiškinių (nepriklausomai nuo priežastinio ryšio)</w:t>
      </w:r>
      <w:r w:rsidR="0002237D" w:rsidRPr="003F564F">
        <w:rPr>
          <w:sz w:val="22"/>
          <w:szCs w:val="22"/>
        </w:rPr>
        <w:t xml:space="preserve"> </w:t>
      </w:r>
      <w:r w:rsidRPr="003F564F">
        <w:rPr>
          <w:sz w:val="22"/>
          <w:szCs w:val="22"/>
        </w:rPr>
        <w:t>nutraukė 18,1</w:t>
      </w:r>
      <w:r w:rsidR="000A1C95" w:rsidRPr="003F564F">
        <w:rPr>
          <w:sz w:val="22"/>
          <w:szCs w:val="22"/>
        </w:rPr>
        <w:t> </w:t>
      </w:r>
      <w:r w:rsidRPr="003F564F">
        <w:rPr>
          <w:sz w:val="22"/>
          <w:szCs w:val="22"/>
        </w:rPr>
        <w:t>% pacientų REACH3 tyrimo metu bei 14,5</w:t>
      </w:r>
      <w:r w:rsidR="000A1C95" w:rsidRPr="003F564F">
        <w:rPr>
          <w:sz w:val="22"/>
          <w:szCs w:val="22"/>
        </w:rPr>
        <w:t> </w:t>
      </w:r>
      <w:r w:rsidRPr="003F564F">
        <w:rPr>
          <w:sz w:val="22"/>
          <w:szCs w:val="22"/>
        </w:rPr>
        <w:t>% pacientų apibendrintais vaikų tyrimų</w:t>
      </w:r>
      <w:r w:rsidR="0002237D" w:rsidRPr="003F564F">
        <w:rPr>
          <w:sz w:val="22"/>
          <w:szCs w:val="22"/>
        </w:rPr>
        <w:t xml:space="preserve"> </w:t>
      </w:r>
      <w:r w:rsidRPr="003F564F">
        <w:rPr>
          <w:sz w:val="22"/>
          <w:szCs w:val="22"/>
        </w:rPr>
        <w:t>duomenimis.</w:t>
      </w:r>
    </w:p>
    <w:p w14:paraId="01356DAA" w14:textId="77777777" w:rsidR="0002237D" w:rsidRPr="003F564F" w:rsidRDefault="0002237D" w:rsidP="0002237D">
      <w:pPr>
        <w:tabs>
          <w:tab w:val="left" w:pos="567"/>
        </w:tabs>
        <w:spacing w:line="260" w:lineRule="exact"/>
        <w:rPr>
          <w:sz w:val="22"/>
          <w:szCs w:val="22"/>
        </w:rPr>
      </w:pPr>
    </w:p>
    <w:p w14:paraId="51175C32" w14:textId="2620A7C1" w:rsidR="009F34A7" w:rsidRPr="003F564F" w:rsidRDefault="00AC42EF" w:rsidP="0002237D">
      <w:pPr>
        <w:tabs>
          <w:tab w:val="left" w:pos="567"/>
        </w:tabs>
        <w:spacing w:line="260" w:lineRule="exact"/>
        <w:rPr>
          <w:sz w:val="22"/>
          <w:szCs w:val="22"/>
          <w:u w:val="single"/>
        </w:rPr>
      </w:pPr>
      <w:r w:rsidRPr="003F564F">
        <w:rPr>
          <w:sz w:val="22"/>
          <w:szCs w:val="22"/>
          <w:u w:val="single"/>
        </w:rPr>
        <w:t>Nepageidaujamų reakcijų santrauka lentelėje</w:t>
      </w:r>
    </w:p>
    <w:p w14:paraId="580574E0" w14:textId="77777777" w:rsidR="0002237D" w:rsidRPr="003F564F" w:rsidRDefault="0002237D" w:rsidP="0002237D">
      <w:pPr>
        <w:tabs>
          <w:tab w:val="left" w:pos="567"/>
        </w:tabs>
        <w:spacing w:line="260" w:lineRule="exact"/>
        <w:rPr>
          <w:sz w:val="22"/>
          <w:szCs w:val="22"/>
        </w:rPr>
      </w:pPr>
    </w:p>
    <w:p w14:paraId="6A8E62B3" w14:textId="505B2BBA" w:rsidR="009F34A7" w:rsidRPr="003F564F" w:rsidRDefault="000A1C95" w:rsidP="0002237D">
      <w:pPr>
        <w:tabs>
          <w:tab w:val="left" w:pos="567"/>
        </w:tabs>
        <w:spacing w:line="260" w:lineRule="exact"/>
        <w:rPr>
          <w:sz w:val="22"/>
          <w:szCs w:val="22"/>
        </w:rPr>
      </w:pPr>
      <w:proofErr w:type="spellStart"/>
      <w:r w:rsidRPr="003F564F">
        <w:rPr>
          <w:sz w:val="22"/>
          <w:szCs w:val="24"/>
        </w:rPr>
        <w:t>Ruksolitinibo</w:t>
      </w:r>
      <w:proofErr w:type="spellEnd"/>
      <w:r w:rsidRPr="003F564F">
        <w:rPr>
          <w:sz w:val="22"/>
          <w:szCs w:val="24"/>
        </w:rPr>
        <w:t xml:space="preserve"> </w:t>
      </w:r>
      <w:r w:rsidR="009F34A7" w:rsidRPr="003F564F">
        <w:rPr>
          <w:sz w:val="22"/>
          <w:szCs w:val="22"/>
        </w:rPr>
        <w:t>saugumas MF sergantiems pacientams buvo įvertintas analizuojant ilgalaikio vartojimo</w:t>
      </w:r>
      <w:r w:rsidRPr="003F564F">
        <w:rPr>
          <w:sz w:val="22"/>
          <w:szCs w:val="22"/>
        </w:rPr>
        <w:t xml:space="preserve"> </w:t>
      </w:r>
      <w:r w:rsidR="009F34A7" w:rsidRPr="003F564F">
        <w:rPr>
          <w:sz w:val="22"/>
          <w:szCs w:val="22"/>
        </w:rPr>
        <w:t>stebėjimo duomenis, gautus iš dviejų III</w:t>
      </w:r>
      <w:r w:rsidRPr="003F564F">
        <w:rPr>
          <w:sz w:val="22"/>
          <w:szCs w:val="22"/>
        </w:rPr>
        <w:t> </w:t>
      </w:r>
      <w:r w:rsidR="009F34A7" w:rsidRPr="003F564F">
        <w:rPr>
          <w:sz w:val="22"/>
          <w:szCs w:val="22"/>
        </w:rPr>
        <w:t>fazės tyrimų (COMFORT-I ir COMFORT-II), įskaitant</w:t>
      </w:r>
      <w:r w:rsidRPr="003F564F">
        <w:rPr>
          <w:sz w:val="22"/>
          <w:szCs w:val="22"/>
        </w:rPr>
        <w:t xml:space="preserve"> </w:t>
      </w:r>
      <w:r w:rsidR="009F34A7" w:rsidRPr="003F564F">
        <w:rPr>
          <w:sz w:val="22"/>
          <w:szCs w:val="22"/>
        </w:rPr>
        <w:t xml:space="preserve">pacientų, kuriems nuo pat pradžių atsitiktine tvarka buvo paskirta </w:t>
      </w:r>
      <w:proofErr w:type="spellStart"/>
      <w:r w:rsidR="009F34A7" w:rsidRPr="003F564F">
        <w:rPr>
          <w:sz w:val="22"/>
          <w:szCs w:val="22"/>
        </w:rPr>
        <w:t>ruksolitinibo</w:t>
      </w:r>
      <w:proofErr w:type="spellEnd"/>
      <w:r w:rsidR="009F34A7" w:rsidRPr="003F564F">
        <w:rPr>
          <w:sz w:val="22"/>
          <w:szCs w:val="22"/>
        </w:rPr>
        <w:t xml:space="preserve"> (n</w:t>
      </w:r>
      <w:r w:rsidRPr="003F564F">
        <w:rPr>
          <w:sz w:val="22"/>
          <w:szCs w:val="22"/>
        </w:rPr>
        <w:t> </w:t>
      </w:r>
      <w:r w:rsidR="009F34A7" w:rsidRPr="003F564F">
        <w:rPr>
          <w:sz w:val="22"/>
          <w:szCs w:val="22"/>
        </w:rPr>
        <w:t>=</w:t>
      </w:r>
      <w:r w:rsidRPr="003F564F">
        <w:rPr>
          <w:sz w:val="22"/>
          <w:szCs w:val="22"/>
        </w:rPr>
        <w:t> </w:t>
      </w:r>
      <w:r w:rsidR="009F34A7" w:rsidRPr="003F564F">
        <w:rPr>
          <w:sz w:val="22"/>
          <w:szCs w:val="22"/>
        </w:rPr>
        <w:t>301) arba kurie</w:t>
      </w:r>
      <w:r w:rsidRPr="003F564F">
        <w:rPr>
          <w:sz w:val="22"/>
          <w:szCs w:val="22"/>
        </w:rPr>
        <w:t xml:space="preserve"> </w:t>
      </w:r>
      <w:proofErr w:type="spellStart"/>
      <w:r w:rsidR="009F34A7" w:rsidRPr="003F564F">
        <w:rPr>
          <w:sz w:val="22"/>
          <w:szCs w:val="22"/>
        </w:rPr>
        <w:t>ruksolitinibo</w:t>
      </w:r>
      <w:proofErr w:type="spellEnd"/>
      <w:r w:rsidR="009F34A7" w:rsidRPr="003F564F">
        <w:rPr>
          <w:sz w:val="22"/>
          <w:szCs w:val="22"/>
        </w:rPr>
        <w:t xml:space="preserve"> pradėjo vartoti perėję iš kontrolin</w:t>
      </w:r>
      <w:r w:rsidR="00DC02AB">
        <w:rPr>
          <w:sz w:val="22"/>
          <w:szCs w:val="22"/>
        </w:rPr>
        <w:t>ės</w:t>
      </w:r>
      <w:r w:rsidR="009F34A7" w:rsidRPr="003F564F">
        <w:rPr>
          <w:sz w:val="22"/>
          <w:szCs w:val="22"/>
        </w:rPr>
        <w:t xml:space="preserve"> gydymo grupės (n</w:t>
      </w:r>
      <w:r w:rsidRPr="003F564F">
        <w:rPr>
          <w:sz w:val="22"/>
          <w:szCs w:val="22"/>
        </w:rPr>
        <w:t> </w:t>
      </w:r>
      <w:r w:rsidR="009F34A7" w:rsidRPr="003F564F">
        <w:rPr>
          <w:sz w:val="22"/>
          <w:szCs w:val="22"/>
        </w:rPr>
        <w:t>=</w:t>
      </w:r>
      <w:r w:rsidRPr="003F564F">
        <w:rPr>
          <w:sz w:val="22"/>
          <w:szCs w:val="22"/>
        </w:rPr>
        <w:t> </w:t>
      </w:r>
      <w:r w:rsidR="009F34A7" w:rsidRPr="003F564F">
        <w:rPr>
          <w:sz w:val="22"/>
          <w:szCs w:val="22"/>
        </w:rPr>
        <w:t>156), duomenis.</w:t>
      </w:r>
      <w:r w:rsidRPr="003F564F">
        <w:rPr>
          <w:sz w:val="22"/>
          <w:szCs w:val="22"/>
        </w:rPr>
        <w:t xml:space="preserve"> </w:t>
      </w:r>
      <w:r w:rsidR="009F34A7" w:rsidRPr="003F564F">
        <w:rPr>
          <w:sz w:val="22"/>
          <w:szCs w:val="22"/>
        </w:rPr>
        <w:t>Nepageidaujamų su vaistinio preparato vartojimu susijusių reakcijų pasireiškimo dažnio kategorija MF</w:t>
      </w:r>
      <w:r w:rsidRPr="003F564F">
        <w:rPr>
          <w:sz w:val="22"/>
          <w:szCs w:val="22"/>
        </w:rPr>
        <w:t xml:space="preserve"> </w:t>
      </w:r>
      <w:r w:rsidR="009F34A7" w:rsidRPr="003F564F">
        <w:rPr>
          <w:sz w:val="22"/>
          <w:szCs w:val="22"/>
        </w:rPr>
        <w:t>sergantiems pacientams pagrįsta duomenimis, kai vaistinio preparato ekspozicijos mediana buvo</w:t>
      </w:r>
      <w:r w:rsidRPr="003F564F">
        <w:rPr>
          <w:sz w:val="22"/>
          <w:szCs w:val="22"/>
        </w:rPr>
        <w:t xml:space="preserve"> </w:t>
      </w:r>
      <w:r w:rsidR="009F34A7" w:rsidRPr="003F564F">
        <w:rPr>
          <w:sz w:val="22"/>
          <w:szCs w:val="22"/>
        </w:rPr>
        <w:t>30,5</w:t>
      </w:r>
      <w:r w:rsidRPr="003F564F">
        <w:rPr>
          <w:sz w:val="22"/>
          <w:szCs w:val="22"/>
        </w:rPr>
        <w:t> </w:t>
      </w:r>
      <w:r w:rsidR="009F34A7" w:rsidRPr="003F564F">
        <w:rPr>
          <w:sz w:val="22"/>
          <w:szCs w:val="22"/>
        </w:rPr>
        <w:t>mėnesio (intervalas nuo 0,3 iki 68,1</w:t>
      </w:r>
      <w:r w:rsidRPr="003F564F">
        <w:rPr>
          <w:sz w:val="22"/>
          <w:szCs w:val="22"/>
        </w:rPr>
        <w:t> </w:t>
      </w:r>
      <w:r w:rsidR="009F34A7" w:rsidRPr="003F564F">
        <w:rPr>
          <w:sz w:val="22"/>
          <w:szCs w:val="22"/>
        </w:rPr>
        <w:t>mėnesio).</w:t>
      </w:r>
    </w:p>
    <w:p w14:paraId="44CF6AAD" w14:textId="77777777" w:rsidR="000A1C95" w:rsidRPr="003F564F" w:rsidRDefault="000A1C95" w:rsidP="0002237D">
      <w:pPr>
        <w:tabs>
          <w:tab w:val="left" w:pos="567"/>
        </w:tabs>
        <w:spacing w:line="260" w:lineRule="exact"/>
        <w:rPr>
          <w:sz w:val="22"/>
          <w:szCs w:val="22"/>
        </w:rPr>
      </w:pPr>
    </w:p>
    <w:p w14:paraId="2E01DC01" w14:textId="54A94F44" w:rsidR="009F34A7" w:rsidRPr="003F564F" w:rsidRDefault="000A1C95" w:rsidP="0002237D">
      <w:pPr>
        <w:tabs>
          <w:tab w:val="left" w:pos="567"/>
        </w:tabs>
        <w:spacing w:line="260" w:lineRule="exact"/>
        <w:rPr>
          <w:sz w:val="22"/>
          <w:szCs w:val="22"/>
        </w:rPr>
      </w:pPr>
      <w:proofErr w:type="spellStart"/>
      <w:r w:rsidRPr="003F564F">
        <w:rPr>
          <w:sz w:val="22"/>
          <w:szCs w:val="24"/>
        </w:rPr>
        <w:t>Ruksolitinibo</w:t>
      </w:r>
      <w:proofErr w:type="spellEnd"/>
      <w:r w:rsidRPr="003F564F">
        <w:rPr>
          <w:sz w:val="22"/>
          <w:szCs w:val="24"/>
        </w:rPr>
        <w:t xml:space="preserve"> </w:t>
      </w:r>
      <w:r w:rsidR="009F34A7" w:rsidRPr="003F564F">
        <w:rPr>
          <w:sz w:val="22"/>
          <w:szCs w:val="22"/>
        </w:rPr>
        <w:t>saugumas TP sergantiems pacientams buvo įvertintas analizuojant ilgalaikio vartojimo</w:t>
      </w:r>
      <w:r w:rsidRPr="003F564F">
        <w:rPr>
          <w:sz w:val="22"/>
          <w:szCs w:val="22"/>
        </w:rPr>
        <w:t xml:space="preserve"> </w:t>
      </w:r>
      <w:r w:rsidR="009F34A7" w:rsidRPr="003F564F">
        <w:rPr>
          <w:sz w:val="22"/>
          <w:szCs w:val="22"/>
        </w:rPr>
        <w:t>stebėjimo duomenis, gautus iš dviejų III</w:t>
      </w:r>
      <w:r w:rsidRPr="003F564F">
        <w:rPr>
          <w:sz w:val="22"/>
          <w:szCs w:val="22"/>
        </w:rPr>
        <w:t> </w:t>
      </w:r>
      <w:r w:rsidR="009F34A7" w:rsidRPr="003F564F">
        <w:rPr>
          <w:sz w:val="22"/>
          <w:szCs w:val="22"/>
        </w:rPr>
        <w:t>fazės tyrimų (RESPONSE, RESPONSE 2), įskaitant pacientų,</w:t>
      </w:r>
      <w:r w:rsidRPr="003F564F">
        <w:rPr>
          <w:sz w:val="22"/>
          <w:szCs w:val="22"/>
        </w:rPr>
        <w:t xml:space="preserve"> </w:t>
      </w:r>
      <w:r w:rsidR="009F34A7" w:rsidRPr="003F564F">
        <w:rPr>
          <w:sz w:val="22"/>
          <w:szCs w:val="22"/>
        </w:rPr>
        <w:t xml:space="preserve">kuriems nuo pat pradžių atsitiktine tvarka buvo paskirta </w:t>
      </w:r>
      <w:proofErr w:type="spellStart"/>
      <w:r w:rsidR="009F34A7" w:rsidRPr="003F564F">
        <w:rPr>
          <w:sz w:val="22"/>
          <w:szCs w:val="22"/>
        </w:rPr>
        <w:t>ruksolitinibo</w:t>
      </w:r>
      <w:proofErr w:type="spellEnd"/>
      <w:r w:rsidR="009F34A7" w:rsidRPr="003F564F">
        <w:rPr>
          <w:sz w:val="22"/>
          <w:szCs w:val="22"/>
        </w:rPr>
        <w:t xml:space="preserve"> (n</w:t>
      </w:r>
      <w:r w:rsidRPr="003F564F">
        <w:rPr>
          <w:sz w:val="22"/>
          <w:szCs w:val="22"/>
        </w:rPr>
        <w:t> </w:t>
      </w:r>
      <w:r w:rsidR="009F34A7" w:rsidRPr="003F564F">
        <w:rPr>
          <w:sz w:val="22"/>
          <w:szCs w:val="22"/>
        </w:rPr>
        <w:t>=</w:t>
      </w:r>
      <w:r w:rsidRPr="003F564F">
        <w:rPr>
          <w:sz w:val="22"/>
          <w:szCs w:val="22"/>
        </w:rPr>
        <w:t> </w:t>
      </w:r>
      <w:r w:rsidR="009F34A7" w:rsidRPr="003F564F">
        <w:rPr>
          <w:sz w:val="22"/>
          <w:szCs w:val="22"/>
        </w:rPr>
        <w:t>184) arba kurie</w:t>
      </w:r>
      <w:r w:rsidRPr="003F564F">
        <w:rPr>
          <w:sz w:val="22"/>
          <w:szCs w:val="22"/>
        </w:rPr>
        <w:t xml:space="preserve"> </w:t>
      </w:r>
      <w:proofErr w:type="spellStart"/>
      <w:r w:rsidR="009F34A7" w:rsidRPr="003F564F">
        <w:rPr>
          <w:sz w:val="22"/>
          <w:szCs w:val="22"/>
        </w:rPr>
        <w:t>ruksolitinibo</w:t>
      </w:r>
      <w:proofErr w:type="spellEnd"/>
      <w:r w:rsidR="009F34A7" w:rsidRPr="003F564F">
        <w:rPr>
          <w:sz w:val="22"/>
          <w:szCs w:val="22"/>
        </w:rPr>
        <w:t xml:space="preserve"> pradėjo vartoti perėję iš kontrolin</w:t>
      </w:r>
      <w:r w:rsidR="00585B83">
        <w:rPr>
          <w:sz w:val="22"/>
          <w:szCs w:val="22"/>
        </w:rPr>
        <w:t>ės</w:t>
      </w:r>
      <w:r w:rsidR="009F34A7" w:rsidRPr="003F564F">
        <w:rPr>
          <w:sz w:val="22"/>
          <w:szCs w:val="22"/>
        </w:rPr>
        <w:t xml:space="preserve"> gydymo grupės (n</w:t>
      </w:r>
      <w:r w:rsidRPr="003F564F">
        <w:rPr>
          <w:sz w:val="22"/>
          <w:szCs w:val="22"/>
        </w:rPr>
        <w:t> </w:t>
      </w:r>
      <w:r w:rsidR="009F34A7" w:rsidRPr="003F564F">
        <w:rPr>
          <w:sz w:val="22"/>
          <w:szCs w:val="22"/>
        </w:rPr>
        <w:t>=</w:t>
      </w:r>
      <w:r w:rsidRPr="003F564F">
        <w:rPr>
          <w:sz w:val="22"/>
          <w:szCs w:val="22"/>
        </w:rPr>
        <w:t> </w:t>
      </w:r>
      <w:r w:rsidR="009F34A7" w:rsidRPr="003F564F">
        <w:rPr>
          <w:sz w:val="22"/>
          <w:szCs w:val="22"/>
        </w:rPr>
        <w:t>156), duomenis.</w:t>
      </w:r>
      <w:r w:rsidRPr="003F564F">
        <w:rPr>
          <w:sz w:val="22"/>
          <w:szCs w:val="22"/>
        </w:rPr>
        <w:t xml:space="preserve"> </w:t>
      </w:r>
      <w:r w:rsidR="009F34A7" w:rsidRPr="003F564F">
        <w:rPr>
          <w:sz w:val="22"/>
          <w:szCs w:val="22"/>
        </w:rPr>
        <w:t>Nepageidaujamų su vaistinio preparato vartojimu susijusių reakcijų pasireiškimo dažnio kategorija TP</w:t>
      </w:r>
      <w:r w:rsidRPr="003F564F">
        <w:rPr>
          <w:sz w:val="22"/>
          <w:szCs w:val="22"/>
        </w:rPr>
        <w:t xml:space="preserve"> </w:t>
      </w:r>
      <w:r w:rsidR="009F34A7" w:rsidRPr="003F564F">
        <w:rPr>
          <w:sz w:val="22"/>
          <w:szCs w:val="22"/>
        </w:rPr>
        <w:t>sergantiems pacientams pagrįsta duomenimis, kai vaistinio preparato ekspozicijos mediana buvo</w:t>
      </w:r>
      <w:r w:rsidRPr="003F564F">
        <w:rPr>
          <w:sz w:val="22"/>
          <w:szCs w:val="22"/>
        </w:rPr>
        <w:t xml:space="preserve"> </w:t>
      </w:r>
      <w:r w:rsidR="009F34A7" w:rsidRPr="003F564F">
        <w:rPr>
          <w:sz w:val="22"/>
          <w:szCs w:val="22"/>
        </w:rPr>
        <w:t>41,7</w:t>
      </w:r>
      <w:r w:rsidRPr="003F564F">
        <w:rPr>
          <w:sz w:val="22"/>
          <w:szCs w:val="22"/>
        </w:rPr>
        <w:t> </w:t>
      </w:r>
      <w:r w:rsidR="009F34A7" w:rsidRPr="003F564F">
        <w:rPr>
          <w:sz w:val="22"/>
          <w:szCs w:val="22"/>
        </w:rPr>
        <w:t>mėnesio (intervalas nuo 0,03 iki 59,7</w:t>
      </w:r>
      <w:r w:rsidRPr="003F564F">
        <w:rPr>
          <w:sz w:val="22"/>
          <w:szCs w:val="22"/>
        </w:rPr>
        <w:t> </w:t>
      </w:r>
      <w:r w:rsidR="009F34A7" w:rsidRPr="003F564F">
        <w:rPr>
          <w:sz w:val="22"/>
          <w:szCs w:val="22"/>
        </w:rPr>
        <w:t>mėnesio).</w:t>
      </w:r>
    </w:p>
    <w:p w14:paraId="781C3557" w14:textId="77777777" w:rsidR="000A1C95" w:rsidRPr="003F564F" w:rsidRDefault="000A1C95" w:rsidP="0002237D">
      <w:pPr>
        <w:tabs>
          <w:tab w:val="left" w:pos="567"/>
        </w:tabs>
        <w:spacing w:line="260" w:lineRule="exact"/>
        <w:rPr>
          <w:sz w:val="22"/>
          <w:szCs w:val="22"/>
        </w:rPr>
      </w:pPr>
    </w:p>
    <w:p w14:paraId="71DC0FC7" w14:textId="62403E3B" w:rsidR="009F34A7" w:rsidRPr="003F564F" w:rsidRDefault="00177439" w:rsidP="0002237D">
      <w:pPr>
        <w:tabs>
          <w:tab w:val="left" w:pos="567"/>
        </w:tabs>
        <w:spacing w:line="260" w:lineRule="exact"/>
        <w:rPr>
          <w:sz w:val="22"/>
          <w:szCs w:val="22"/>
        </w:rPr>
      </w:pPr>
      <w:proofErr w:type="spellStart"/>
      <w:r w:rsidRPr="003F564F">
        <w:rPr>
          <w:sz w:val="22"/>
          <w:szCs w:val="24"/>
        </w:rPr>
        <w:t>Ruksolitinibo</w:t>
      </w:r>
      <w:proofErr w:type="spellEnd"/>
      <w:r w:rsidRPr="003F564F">
        <w:rPr>
          <w:sz w:val="22"/>
          <w:szCs w:val="24"/>
        </w:rPr>
        <w:t xml:space="preserve"> </w:t>
      </w:r>
      <w:r w:rsidR="009F34A7" w:rsidRPr="003F564F">
        <w:rPr>
          <w:sz w:val="22"/>
          <w:szCs w:val="22"/>
        </w:rPr>
        <w:t xml:space="preserve">saugumas ūmine </w:t>
      </w:r>
      <w:proofErr w:type="spellStart"/>
      <w:r w:rsidR="009F34A7" w:rsidRPr="003F564F">
        <w:rPr>
          <w:sz w:val="22"/>
          <w:szCs w:val="22"/>
        </w:rPr>
        <w:t>TpŠL</w:t>
      </w:r>
      <w:proofErr w:type="spellEnd"/>
      <w:r w:rsidR="009F34A7" w:rsidRPr="003F564F">
        <w:rPr>
          <w:sz w:val="22"/>
          <w:szCs w:val="22"/>
        </w:rPr>
        <w:t xml:space="preserve"> sergantiems pacientams buvo įvertintas atlikus III</w:t>
      </w:r>
      <w:r w:rsidR="000A1C95" w:rsidRPr="003F564F">
        <w:rPr>
          <w:sz w:val="22"/>
          <w:szCs w:val="22"/>
        </w:rPr>
        <w:t> </w:t>
      </w:r>
      <w:r w:rsidR="009F34A7" w:rsidRPr="003F564F">
        <w:rPr>
          <w:sz w:val="22"/>
          <w:szCs w:val="22"/>
        </w:rPr>
        <w:t>fazės tyrimą</w:t>
      </w:r>
      <w:r w:rsidR="000A1C95" w:rsidRPr="003F564F">
        <w:rPr>
          <w:sz w:val="22"/>
          <w:szCs w:val="22"/>
        </w:rPr>
        <w:t xml:space="preserve"> </w:t>
      </w:r>
      <w:r w:rsidR="009F34A7" w:rsidRPr="003F564F">
        <w:rPr>
          <w:sz w:val="22"/>
          <w:szCs w:val="22"/>
        </w:rPr>
        <w:t>REACH2 ir II</w:t>
      </w:r>
      <w:r w:rsidR="000A1C95" w:rsidRPr="003F564F">
        <w:rPr>
          <w:sz w:val="22"/>
          <w:szCs w:val="22"/>
        </w:rPr>
        <w:t> </w:t>
      </w:r>
      <w:r w:rsidR="009F34A7" w:rsidRPr="003F564F">
        <w:rPr>
          <w:sz w:val="22"/>
          <w:szCs w:val="22"/>
        </w:rPr>
        <w:t>fazės tyrimą REACH4. Į REACH2 tyrimą buvo įtraukti 201 paciento duomenys; šie</w:t>
      </w:r>
      <w:r w:rsidR="000A1C95" w:rsidRPr="003F564F">
        <w:rPr>
          <w:sz w:val="22"/>
          <w:szCs w:val="22"/>
        </w:rPr>
        <w:t xml:space="preserve"> </w:t>
      </w:r>
      <w:r w:rsidR="009F34A7" w:rsidRPr="003F564F">
        <w:rPr>
          <w:sz w:val="22"/>
          <w:szCs w:val="22"/>
        </w:rPr>
        <w:t>pacientai buvo ≥</w:t>
      </w:r>
      <w:r w:rsidR="000A1C95" w:rsidRPr="003F564F">
        <w:rPr>
          <w:sz w:val="22"/>
          <w:szCs w:val="22"/>
        </w:rPr>
        <w:t> </w:t>
      </w:r>
      <w:r w:rsidR="009F34A7" w:rsidRPr="003F564F">
        <w:rPr>
          <w:sz w:val="22"/>
          <w:szCs w:val="22"/>
        </w:rPr>
        <w:t>12</w:t>
      </w:r>
      <w:r w:rsidR="000A1C95" w:rsidRPr="003F564F">
        <w:rPr>
          <w:sz w:val="22"/>
          <w:szCs w:val="22"/>
        </w:rPr>
        <w:t> </w:t>
      </w:r>
      <w:r w:rsidR="009F34A7" w:rsidRPr="003F564F">
        <w:rPr>
          <w:sz w:val="22"/>
          <w:szCs w:val="22"/>
        </w:rPr>
        <w:t xml:space="preserve">metų ir iš pradžių atsitiktine tvarka buvo priskirti vartoti </w:t>
      </w:r>
      <w:proofErr w:type="spellStart"/>
      <w:r>
        <w:rPr>
          <w:sz w:val="22"/>
          <w:szCs w:val="24"/>
        </w:rPr>
        <w:t>r</w:t>
      </w:r>
      <w:r w:rsidRPr="003F564F">
        <w:rPr>
          <w:sz w:val="22"/>
          <w:szCs w:val="24"/>
        </w:rPr>
        <w:t>uksolitinibo</w:t>
      </w:r>
      <w:proofErr w:type="spellEnd"/>
      <w:r w:rsidRPr="003F564F">
        <w:rPr>
          <w:sz w:val="22"/>
          <w:szCs w:val="24"/>
        </w:rPr>
        <w:t xml:space="preserve"> </w:t>
      </w:r>
      <w:r w:rsidR="009F34A7" w:rsidRPr="003F564F">
        <w:rPr>
          <w:sz w:val="22"/>
          <w:szCs w:val="22"/>
        </w:rPr>
        <w:t>(n</w:t>
      </w:r>
      <w:r w:rsidR="000A1C95" w:rsidRPr="003F564F">
        <w:rPr>
          <w:sz w:val="22"/>
          <w:szCs w:val="22"/>
        </w:rPr>
        <w:t> </w:t>
      </w:r>
      <w:r w:rsidR="009F34A7" w:rsidRPr="003F564F">
        <w:rPr>
          <w:sz w:val="22"/>
          <w:szCs w:val="22"/>
        </w:rPr>
        <w:t>=</w:t>
      </w:r>
      <w:r w:rsidR="000A1C95" w:rsidRPr="003F564F">
        <w:rPr>
          <w:sz w:val="22"/>
          <w:szCs w:val="22"/>
        </w:rPr>
        <w:t> </w:t>
      </w:r>
      <w:r w:rsidR="009F34A7" w:rsidRPr="003F564F">
        <w:rPr>
          <w:sz w:val="22"/>
          <w:szCs w:val="22"/>
        </w:rPr>
        <w:t>152) arba</w:t>
      </w:r>
      <w:r w:rsidR="000A1C95" w:rsidRPr="003F564F">
        <w:rPr>
          <w:sz w:val="22"/>
          <w:szCs w:val="22"/>
        </w:rPr>
        <w:t xml:space="preserve"> </w:t>
      </w:r>
      <w:r w:rsidR="009F34A7" w:rsidRPr="003F564F">
        <w:rPr>
          <w:sz w:val="22"/>
          <w:szCs w:val="22"/>
        </w:rPr>
        <w:t xml:space="preserve">pradėjo vartoti </w:t>
      </w:r>
      <w:proofErr w:type="spellStart"/>
      <w:r>
        <w:rPr>
          <w:sz w:val="22"/>
          <w:szCs w:val="22"/>
        </w:rPr>
        <w:t>r</w:t>
      </w:r>
      <w:r w:rsidRPr="003F564F">
        <w:rPr>
          <w:sz w:val="22"/>
          <w:szCs w:val="24"/>
        </w:rPr>
        <w:t>uksolitinibo</w:t>
      </w:r>
      <w:proofErr w:type="spellEnd"/>
      <w:r w:rsidRPr="003F564F">
        <w:rPr>
          <w:sz w:val="22"/>
          <w:szCs w:val="24"/>
        </w:rPr>
        <w:t xml:space="preserve"> </w:t>
      </w:r>
      <w:r w:rsidR="009F34A7" w:rsidRPr="003F564F">
        <w:rPr>
          <w:sz w:val="22"/>
          <w:szCs w:val="22"/>
        </w:rPr>
        <w:t>perėję iš geriausią prieinamą gydymą (GPG) gavusiųjų grupės (n</w:t>
      </w:r>
      <w:r w:rsidR="000A1C95" w:rsidRPr="003F564F">
        <w:rPr>
          <w:sz w:val="22"/>
          <w:szCs w:val="22"/>
        </w:rPr>
        <w:t> </w:t>
      </w:r>
      <w:r w:rsidR="009F34A7" w:rsidRPr="003F564F">
        <w:rPr>
          <w:sz w:val="22"/>
          <w:szCs w:val="22"/>
        </w:rPr>
        <w:t>=</w:t>
      </w:r>
      <w:r w:rsidR="000A1C95" w:rsidRPr="003F564F">
        <w:rPr>
          <w:sz w:val="22"/>
          <w:szCs w:val="22"/>
        </w:rPr>
        <w:t> </w:t>
      </w:r>
      <w:r w:rsidR="009F34A7" w:rsidRPr="003F564F">
        <w:rPr>
          <w:sz w:val="22"/>
          <w:szCs w:val="22"/>
        </w:rPr>
        <w:t>49).</w:t>
      </w:r>
      <w:r w:rsidR="000A1C95" w:rsidRPr="003F564F">
        <w:rPr>
          <w:sz w:val="22"/>
          <w:szCs w:val="22"/>
        </w:rPr>
        <w:t xml:space="preserve"> </w:t>
      </w:r>
      <w:r w:rsidR="009F34A7" w:rsidRPr="003F564F">
        <w:rPr>
          <w:sz w:val="22"/>
          <w:szCs w:val="22"/>
        </w:rPr>
        <w:t>Nepageidaujamų su vaistinio preparato vartojimu susijusių reakcijų pasireiškimo dažnio kategorija</w:t>
      </w:r>
      <w:r w:rsidR="000A1C95" w:rsidRPr="003F564F">
        <w:rPr>
          <w:sz w:val="22"/>
          <w:szCs w:val="22"/>
        </w:rPr>
        <w:t xml:space="preserve"> </w:t>
      </w:r>
      <w:r w:rsidR="009F34A7" w:rsidRPr="003F564F">
        <w:rPr>
          <w:sz w:val="22"/>
          <w:szCs w:val="22"/>
        </w:rPr>
        <w:t>pagrįsta duomenimis, kai vaistinio preparato ekspozicijos mediana buvo 8,9</w:t>
      </w:r>
      <w:r w:rsidR="000A1C95" w:rsidRPr="003F564F">
        <w:rPr>
          <w:sz w:val="22"/>
          <w:szCs w:val="22"/>
        </w:rPr>
        <w:t> </w:t>
      </w:r>
      <w:r w:rsidR="009F34A7" w:rsidRPr="003F564F">
        <w:rPr>
          <w:sz w:val="22"/>
          <w:szCs w:val="22"/>
        </w:rPr>
        <w:t>savaitės (intervalas nuo</w:t>
      </w:r>
      <w:r w:rsidR="000A1C95" w:rsidRPr="003F564F">
        <w:rPr>
          <w:sz w:val="22"/>
          <w:szCs w:val="22"/>
        </w:rPr>
        <w:t xml:space="preserve"> </w:t>
      </w:r>
      <w:r w:rsidR="009F34A7" w:rsidRPr="003F564F">
        <w:rPr>
          <w:sz w:val="22"/>
          <w:szCs w:val="22"/>
        </w:rPr>
        <w:t>0,3 iki 66,1</w:t>
      </w:r>
      <w:r w:rsidR="000A1C95" w:rsidRPr="003F564F">
        <w:rPr>
          <w:sz w:val="22"/>
          <w:szCs w:val="22"/>
        </w:rPr>
        <w:t> </w:t>
      </w:r>
      <w:r w:rsidR="009F34A7" w:rsidRPr="003F564F">
        <w:rPr>
          <w:sz w:val="22"/>
          <w:szCs w:val="22"/>
        </w:rPr>
        <w:t>savaitės). Apibendrintais ≥</w:t>
      </w:r>
      <w:r w:rsidR="000A1C95" w:rsidRPr="003F564F">
        <w:rPr>
          <w:sz w:val="22"/>
          <w:szCs w:val="22"/>
        </w:rPr>
        <w:t> </w:t>
      </w:r>
      <w:r w:rsidR="009F34A7" w:rsidRPr="003F564F">
        <w:rPr>
          <w:sz w:val="22"/>
          <w:szCs w:val="22"/>
        </w:rPr>
        <w:t>2</w:t>
      </w:r>
      <w:r w:rsidR="000A1C95" w:rsidRPr="003F564F">
        <w:rPr>
          <w:sz w:val="22"/>
          <w:szCs w:val="22"/>
        </w:rPr>
        <w:t> </w:t>
      </w:r>
      <w:r w:rsidR="009F34A7" w:rsidRPr="003F564F">
        <w:rPr>
          <w:sz w:val="22"/>
          <w:szCs w:val="22"/>
        </w:rPr>
        <w:t>metų vaikų tyrimų duomenimis (6 pacientų iš REACH2</w:t>
      </w:r>
      <w:r w:rsidR="000A1C95" w:rsidRPr="003F564F">
        <w:rPr>
          <w:sz w:val="22"/>
          <w:szCs w:val="22"/>
        </w:rPr>
        <w:t xml:space="preserve"> </w:t>
      </w:r>
      <w:r w:rsidR="009F34A7" w:rsidRPr="003F564F">
        <w:rPr>
          <w:sz w:val="22"/>
          <w:szCs w:val="22"/>
        </w:rPr>
        <w:t>tyrimo bei 45 pacientų iš REACH4 tyrimo), vaistinio preparato ekspozicijos mediana buvo</w:t>
      </w:r>
      <w:r w:rsidR="000A1C95" w:rsidRPr="003F564F">
        <w:rPr>
          <w:sz w:val="22"/>
          <w:szCs w:val="22"/>
        </w:rPr>
        <w:t xml:space="preserve"> </w:t>
      </w:r>
      <w:r w:rsidR="009F34A7" w:rsidRPr="003F564F">
        <w:rPr>
          <w:sz w:val="22"/>
          <w:szCs w:val="22"/>
        </w:rPr>
        <w:t>16,7</w:t>
      </w:r>
      <w:r w:rsidR="000A1C95" w:rsidRPr="003F564F">
        <w:rPr>
          <w:sz w:val="22"/>
          <w:szCs w:val="22"/>
        </w:rPr>
        <w:t> </w:t>
      </w:r>
      <w:r w:rsidR="009F34A7" w:rsidRPr="003F564F">
        <w:rPr>
          <w:sz w:val="22"/>
          <w:szCs w:val="22"/>
        </w:rPr>
        <w:t>savaitės (intervalas nuo 1,1 iki 48,9</w:t>
      </w:r>
      <w:r w:rsidR="000A1C95" w:rsidRPr="003F564F">
        <w:rPr>
          <w:sz w:val="22"/>
          <w:szCs w:val="22"/>
        </w:rPr>
        <w:t> </w:t>
      </w:r>
      <w:r w:rsidR="009F34A7" w:rsidRPr="003F564F">
        <w:rPr>
          <w:sz w:val="22"/>
          <w:szCs w:val="22"/>
        </w:rPr>
        <w:t>savaitės).</w:t>
      </w:r>
    </w:p>
    <w:p w14:paraId="7A0A7DE0" w14:textId="77777777" w:rsidR="000A1C95" w:rsidRPr="003F564F" w:rsidRDefault="000A1C95" w:rsidP="0002237D">
      <w:pPr>
        <w:tabs>
          <w:tab w:val="left" w:pos="567"/>
        </w:tabs>
        <w:spacing w:line="260" w:lineRule="exact"/>
        <w:rPr>
          <w:sz w:val="22"/>
          <w:szCs w:val="22"/>
        </w:rPr>
      </w:pPr>
    </w:p>
    <w:p w14:paraId="63D953DA" w14:textId="16723AEF" w:rsidR="009F34A7" w:rsidRPr="003F564F" w:rsidRDefault="00177439" w:rsidP="0002237D">
      <w:pPr>
        <w:tabs>
          <w:tab w:val="left" w:pos="567"/>
        </w:tabs>
        <w:spacing w:line="260" w:lineRule="exact"/>
        <w:rPr>
          <w:sz w:val="22"/>
          <w:szCs w:val="22"/>
        </w:rPr>
      </w:pPr>
      <w:proofErr w:type="spellStart"/>
      <w:r w:rsidRPr="003F564F">
        <w:rPr>
          <w:sz w:val="22"/>
          <w:szCs w:val="24"/>
        </w:rPr>
        <w:t>Ruksolitinibo</w:t>
      </w:r>
      <w:proofErr w:type="spellEnd"/>
      <w:r w:rsidRPr="003F564F">
        <w:rPr>
          <w:sz w:val="22"/>
          <w:szCs w:val="24"/>
        </w:rPr>
        <w:t xml:space="preserve"> </w:t>
      </w:r>
      <w:r w:rsidR="009F34A7" w:rsidRPr="003F564F">
        <w:rPr>
          <w:sz w:val="22"/>
          <w:szCs w:val="22"/>
        </w:rPr>
        <w:t xml:space="preserve">saugumas lėtine </w:t>
      </w:r>
      <w:proofErr w:type="spellStart"/>
      <w:r w:rsidR="009F34A7" w:rsidRPr="003F564F">
        <w:rPr>
          <w:sz w:val="22"/>
          <w:szCs w:val="22"/>
        </w:rPr>
        <w:t>TpŠL</w:t>
      </w:r>
      <w:proofErr w:type="spellEnd"/>
      <w:r w:rsidR="009F34A7" w:rsidRPr="003F564F">
        <w:rPr>
          <w:sz w:val="22"/>
          <w:szCs w:val="22"/>
        </w:rPr>
        <w:t xml:space="preserve"> sergantiems pacientams buvo įvertintas atlikus III</w:t>
      </w:r>
      <w:r w:rsidR="000A1C95" w:rsidRPr="003F564F">
        <w:rPr>
          <w:sz w:val="22"/>
          <w:szCs w:val="22"/>
        </w:rPr>
        <w:t> </w:t>
      </w:r>
      <w:r w:rsidR="009F34A7" w:rsidRPr="003F564F">
        <w:rPr>
          <w:sz w:val="22"/>
          <w:szCs w:val="22"/>
        </w:rPr>
        <w:t>fazės tyrimą REACH3</w:t>
      </w:r>
      <w:r w:rsidR="000A1C95" w:rsidRPr="003F564F">
        <w:rPr>
          <w:sz w:val="22"/>
          <w:szCs w:val="22"/>
        </w:rPr>
        <w:t xml:space="preserve"> </w:t>
      </w:r>
      <w:r w:rsidR="009F34A7" w:rsidRPr="003F564F">
        <w:rPr>
          <w:sz w:val="22"/>
          <w:szCs w:val="22"/>
        </w:rPr>
        <w:t>ir II</w:t>
      </w:r>
      <w:r w:rsidR="000A1C95" w:rsidRPr="003F564F">
        <w:rPr>
          <w:sz w:val="22"/>
          <w:szCs w:val="22"/>
        </w:rPr>
        <w:t> </w:t>
      </w:r>
      <w:r w:rsidR="009F34A7" w:rsidRPr="003F564F">
        <w:rPr>
          <w:sz w:val="22"/>
          <w:szCs w:val="22"/>
        </w:rPr>
        <w:t>fazės tyrimą REACH5. Į REACH3 tyrimą buvo įtraukti 226 pacientų duomenys; šie pacientai</w:t>
      </w:r>
      <w:r w:rsidR="000A1C95" w:rsidRPr="003F564F">
        <w:rPr>
          <w:sz w:val="22"/>
          <w:szCs w:val="22"/>
        </w:rPr>
        <w:t xml:space="preserve"> </w:t>
      </w:r>
      <w:r w:rsidR="009F34A7" w:rsidRPr="003F564F">
        <w:rPr>
          <w:sz w:val="22"/>
          <w:szCs w:val="22"/>
        </w:rPr>
        <w:t>buvo ≥</w:t>
      </w:r>
      <w:r w:rsidR="000A1C95" w:rsidRPr="003F564F">
        <w:rPr>
          <w:sz w:val="22"/>
          <w:szCs w:val="22"/>
        </w:rPr>
        <w:t> </w:t>
      </w:r>
      <w:r w:rsidR="009F34A7" w:rsidRPr="003F564F">
        <w:rPr>
          <w:sz w:val="22"/>
          <w:szCs w:val="22"/>
        </w:rPr>
        <w:t>12</w:t>
      </w:r>
      <w:r w:rsidR="000A1C95" w:rsidRPr="003F564F">
        <w:rPr>
          <w:sz w:val="22"/>
          <w:szCs w:val="22"/>
        </w:rPr>
        <w:t> </w:t>
      </w:r>
      <w:r w:rsidR="009F34A7" w:rsidRPr="003F564F">
        <w:rPr>
          <w:sz w:val="22"/>
          <w:szCs w:val="22"/>
        </w:rPr>
        <w:t xml:space="preserve">metų ir iš pradžių atsitiktine tvarka buvo priskirti vartoti </w:t>
      </w:r>
      <w:proofErr w:type="spellStart"/>
      <w:r>
        <w:rPr>
          <w:sz w:val="22"/>
          <w:szCs w:val="24"/>
        </w:rPr>
        <w:t>r</w:t>
      </w:r>
      <w:r w:rsidRPr="003F564F">
        <w:rPr>
          <w:sz w:val="22"/>
          <w:szCs w:val="24"/>
        </w:rPr>
        <w:t>uksolitinibo</w:t>
      </w:r>
      <w:proofErr w:type="spellEnd"/>
      <w:r w:rsidRPr="003F564F">
        <w:rPr>
          <w:sz w:val="22"/>
          <w:szCs w:val="24"/>
        </w:rPr>
        <w:t xml:space="preserve"> </w:t>
      </w:r>
      <w:r w:rsidR="009F34A7" w:rsidRPr="003F564F">
        <w:rPr>
          <w:sz w:val="22"/>
          <w:szCs w:val="22"/>
        </w:rPr>
        <w:t>(n</w:t>
      </w:r>
      <w:r w:rsidR="000A1C95" w:rsidRPr="003F564F">
        <w:rPr>
          <w:sz w:val="22"/>
          <w:szCs w:val="22"/>
        </w:rPr>
        <w:t> </w:t>
      </w:r>
      <w:r w:rsidR="009F34A7" w:rsidRPr="003F564F">
        <w:rPr>
          <w:sz w:val="22"/>
          <w:szCs w:val="22"/>
        </w:rPr>
        <w:t>=</w:t>
      </w:r>
      <w:r w:rsidR="000A1C95" w:rsidRPr="003F564F">
        <w:rPr>
          <w:sz w:val="22"/>
          <w:szCs w:val="22"/>
        </w:rPr>
        <w:t> </w:t>
      </w:r>
      <w:r w:rsidR="009F34A7" w:rsidRPr="003F564F">
        <w:rPr>
          <w:sz w:val="22"/>
          <w:szCs w:val="22"/>
        </w:rPr>
        <w:t>165) arba pradėjo</w:t>
      </w:r>
      <w:r w:rsidR="000A1C95" w:rsidRPr="003F564F">
        <w:rPr>
          <w:sz w:val="22"/>
          <w:szCs w:val="22"/>
        </w:rPr>
        <w:t xml:space="preserve"> </w:t>
      </w:r>
      <w:r w:rsidR="009F34A7" w:rsidRPr="003F564F">
        <w:rPr>
          <w:sz w:val="22"/>
          <w:szCs w:val="22"/>
        </w:rPr>
        <w:t xml:space="preserve">vartoti </w:t>
      </w:r>
      <w:proofErr w:type="spellStart"/>
      <w:r>
        <w:rPr>
          <w:sz w:val="22"/>
          <w:szCs w:val="22"/>
        </w:rPr>
        <w:t>r</w:t>
      </w:r>
      <w:r w:rsidRPr="003F564F">
        <w:rPr>
          <w:sz w:val="22"/>
          <w:szCs w:val="24"/>
        </w:rPr>
        <w:t>uksolitinibo</w:t>
      </w:r>
      <w:proofErr w:type="spellEnd"/>
      <w:r w:rsidRPr="003F564F">
        <w:rPr>
          <w:sz w:val="22"/>
          <w:szCs w:val="24"/>
        </w:rPr>
        <w:t xml:space="preserve"> </w:t>
      </w:r>
      <w:r w:rsidR="009F34A7" w:rsidRPr="003F564F">
        <w:rPr>
          <w:sz w:val="22"/>
          <w:szCs w:val="22"/>
        </w:rPr>
        <w:t>perėję iš GPG grupės (n</w:t>
      </w:r>
      <w:r w:rsidR="000A1C95" w:rsidRPr="003F564F">
        <w:rPr>
          <w:sz w:val="22"/>
          <w:szCs w:val="22"/>
        </w:rPr>
        <w:t> </w:t>
      </w:r>
      <w:r w:rsidR="009F34A7" w:rsidRPr="003F564F">
        <w:rPr>
          <w:sz w:val="22"/>
          <w:szCs w:val="22"/>
        </w:rPr>
        <w:t>=</w:t>
      </w:r>
      <w:r w:rsidR="000A1C95" w:rsidRPr="003F564F">
        <w:rPr>
          <w:sz w:val="22"/>
          <w:szCs w:val="22"/>
        </w:rPr>
        <w:t> </w:t>
      </w:r>
      <w:r w:rsidR="009F34A7" w:rsidRPr="003F564F">
        <w:rPr>
          <w:sz w:val="22"/>
          <w:szCs w:val="22"/>
        </w:rPr>
        <w:t>61). Nepageidaujamų su vaistinio preparato vartojimu</w:t>
      </w:r>
      <w:r w:rsidR="000A1C95" w:rsidRPr="003F564F">
        <w:rPr>
          <w:sz w:val="22"/>
          <w:szCs w:val="22"/>
        </w:rPr>
        <w:t xml:space="preserve"> </w:t>
      </w:r>
      <w:r w:rsidR="009F34A7" w:rsidRPr="003F564F">
        <w:rPr>
          <w:sz w:val="22"/>
          <w:szCs w:val="22"/>
        </w:rPr>
        <w:t>susijusių reakcijų pasireiškimo dažnio kategorija pagrįsta duomenimis, kai vaistinio preparato</w:t>
      </w:r>
      <w:r w:rsidR="000A1C95" w:rsidRPr="003F564F">
        <w:rPr>
          <w:sz w:val="22"/>
          <w:szCs w:val="22"/>
        </w:rPr>
        <w:t xml:space="preserve"> </w:t>
      </w:r>
      <w:r w:rsidR="009F34A7" w:rsidRPr="003F564F">
        <w:rPr>
          <w:sz w:val="22"/>
          <w:szCs w:val="22"/>
        </w:rPr>
        <w:t>ekspozicijos mediana buvo 41,4</w:t>
      </w:r>
      <w:r w:rsidR="000A1C95" w:rsidRPr="003F564F">
        <w:rPr>
          <w:sz w:val="22"/>
          <w:szCs w:val="22"/>
        </w:rPr>
        <w:t> </w:t>
      </w:r>
      <w:r w:rsidR="009F34A7" w:rsidRPr="003F564F">
        <w:rPr>
          <w:sz w:val="22"/>
          <w:szCs w:val="22"/>
        </w:rPr>
        <w:t>savaitės (intervalas nuo 0,7 iki 127,3</w:t>
      </w:r>
      <w:r w:rsidR="000A1C95" w:rsidRPr="003F564F">
        <w:rPr>
          <w:sz w:val="22"/>
          <w:szCs w:val="22"/>
        </w:rPr>
        <w:t> </w:t>
      </w:r>
      <w:r w:rsidR="009F34A7" w:rsidRPr="003F564F">
        <w:rPr>
          <w:sz w:val="22"/>
          <w:szCs w:val="22"/>
        </w:rPr>
        <w:t>savaitės). Apibendrintais</w:t>
      </w:r>
      <w:r w:rsidR="000A1C95" w:rsidRPr="003F564F">
        <w:rPr>
          <w:sz w:val="22"/>
          <w:szCs w:val="22"/>
        </w:rPr>
        <w:t xml:space="preserve"> </w:t>
      </w:r>
      <w:r w:rsidR="009F34A7" w:rsidRPr="003F564F">
        <w:rPr>
          <w:sz w:val="22"/>
          <w:szCs w:val="22"/>
        </w:rPr>
        <w:t>≥</w:t>
      </w:r>
      <w:r w:rsidR="000A1C95" w:rsidRPr="003F564F">
        <w:rPr>
          <w:sz w:val="22"/>
          <w:szCs w:val="22"/>
        </w:rPr>
        <w:t> </w:t>
      </w:r>
      <w:r w:rsidR="009F34A7" w:rsidRPr="003F564F">
        <w:rPr>
          <w:sz w:val="22"/>
          <w:szCs w:val="22"/>
        </w:rPr>
        <w:t>2</w:t>
      </w:r>
      <w:r w:rsidR="000A1C95" w:rsidRPr="003F564F">
        <w:rPr>
          <w:sz w:val="22"/>
          <w:szCs w:val="22"/>
        </w:rPr>
        <w:t> </w:t>
      </w:r>
      <w:r w:rsidR="009F34A7" w:rsidRPr="003F564F">
        <w:rPr>
          <w:sz w:val="22"/>
          <w:szCs w:val="22"/>
        </w:rPr>
        <w:t>metų vaikų tyrimų duomenimis (10 pacientų iš REACH3 tyrimo bei 45 pacientų iš REACH5</w:t>
      </w:r>
      <w:r w:rsidR="000A1C95" w:rsidRPr="003F564F">
        <w:rPr>
          <w:sz w:val="22"/>
          <w:szCs w:val="22"/>
        </w:rPr>
        <w:t xml:space="preserve"> </w:t>
      </w:r>
      <w:r w:rsidR="009F34A7" w:rsidRPr="003F564F">
        <w:rPr>
          <w:sz w:val="22"/>
          <w:szCs w:val="22"/>
        </w:rPr>
        <w:t>tyrimo), vaistinio preparato ekspozicijos mediana buvo 57,1</w:t>
      </w:r>
      <w:r w:rsidR="000A1C95" w:rsidRPr="003F564F">
        <w:rPr>
          <w:sz w:val="22"/>
          <w:szCs w:val="22"/>
        </w:rPr>
        <w:t> </w:t>
      </w:r>
      <w:r w:rsidR="009F34A7" w:rsidRPr="003F564F">
        <w:rPr>
          <w:sz w:val="22"/>
          <w:szCs w:val="22"/>
        </w:rPr>
        <w:t>savaitės (intervalas nuo 2,1 iki</w:t>
      </w:r>
      <w:r w:rsidR="000A1C95" w:rsidRPr="003F564F">
        <w:rPr>
          <w:sz w:val="22"/>
          <w:szCs w:val="22"/>
        </w:rPr>
        <w:t xml:space="preserve"> </w:t>
      </w:r>
      <w:r w:rsidR="009F34A7" w:rsidRPr="003F564F">
        <w:rPr>
          <w:sz w:val="22"/>
          <w:szCs w:val="22"/>
        </w:rPr>
        <w:t>155,4</w:t>
      </w:r>
      <w:r w:rsidR="000A1C95" w:rsidRPr="003F564F">
        <w:rPr>
          <w:sz w:val="22"/>
          <w:szCs w:val="22"/>
        </w:rPr>
        <w:t> </w:t>
      </w:r>
      <w:r w:rsidR="009F34A7" w:rsidRPr="003F564F">
        <w:rPr>
          <w:sz w:val="22"/>
          <w:szCs w:val="22"/>
        </w:rPr>
        <w:t>savaitės).</w:t>
      </w:r>
    </w:p>
    <w:p w14:paraId="37EAD395" w14:textId="77777777" w:rsidR="000A1C95" w:rsidRPr="003F564F" w:rsidRDefault="000A1C95" w:rsidP="0002237D">
      <w:pPr>
        <w:tabs>
          <w:tab w:val="left" w:pos="567"/>
        </w:tabs>
        <w:spacing w:line="260" w:lineRule="exact"/>
        <w:rPr>
          <w:sz w:val="22"/>
          <w:szCs w:val="22"/>
        </w:rPr>
      </w:pPr>
    </w:p>
    <w:p w14:paraId="1A53FB60" w14:textId="1F62EC0A" w:rsidR="009F34A7" w:rsidRPr="003F564F" w:rsidRDefault="009F34A7" w:rsidP="0002237D">
      <w:pPr>
        <w:tabs>
          <w:tab w:val="left" w:pos="567"/>
        </w:tabs>
        <w:spacing w:line="260" w:lineRule="exact"/>
        <w:rPr>
          <w:sz w:val="22"/>
          <w:szCs w:val="22"/>
        </w:rPr>
      </w:pPr>
      <w:r w:rsidRPr="003F564F">
        <w:rPr>
          <w:sz w:val="22"/>
          <w:szCs w:val="22"/>
        </w:rPr>
        <w:t>Klinikinių tyrimų metu pastebėtų nepageidaujamų vaistinio preparato sukeltų reakcijų sunkumas buvo</w:t>
      </w:r>
      <w:r w:rsidR="000A1C95" w:rsidRPr="003F564F">
        <w:rPr>
          <w:sz w:val="22"/>
          <w:szCs w:val="22"/>
        </w:rPr>
        <w:t xml:space="preserve"> </w:t>
      </w:r>
      <w:r w:rsidRPr="003F564F">
        <w:rPr>
          <w:sz w:val="22"/>
          <w:szCs w:val="22"/>
        </w:rPr>
        <w:t>vertinamas remiantis CTCAE kriterijais (kurie sunkumą apibūdina taip: 1-ojo laipsnio = nesunkus,</w:t>
      </w:r>
      <w:r w:rsidR="000A1C95" w:rsidRPr="003F564F">
        <w:rPr>
          <w:sz w:val="22"/>
          <w:szCs w:val="22"/>
        </w:rPr>
        <w:t xml:space="preserve"> </w:t>
      </w:r>
      <w:r w:rsidRPr="003F564F">
        <w:rPr>
          <w:sz w:val="22"/>
          <w:szCs w:val="22"/>
        </w:rPr>
        <w:t>2-ojo laipsnio = vidutinio sunkumo, 3-iojo laipsnio = sunkus, 4-ojo laipsnio = lemiantis pavojų</w:t>
      </w:r>
      <w:r w:rsidR="000A1C95" w:rsidRPr="003F564F">
        <w:rPr>
          <w:sz w:val="22"/>
          <w:szCs w:val="22"/>
        </w:rPr>
        <w:t xml:space="preserve"> </w:t>
      </w:r>
      <w:r w:rsidRPr="003F564F">
        <w:rPr>
          <w:sz w:val="22"/>
          <w:szCs w:val="22"/>
        </w:rPr>
        <w:t>gyvybei ar negalią ir 5-ojo laipsnio = lemiantis mirtį).</w:t>
      </w:r>
    </w:p>
    <w:p w14:paraId="612D0702" w14:textId="77777777" w:rsidR="000A1C95" w:rsidRPr="003F564F" w:rsidRDefault="000A1C95" w:rsidP="0002237D">
      <w:pPr>
        <w:tabs>
          <w:tab w:val="left" w:pos="567"/>
        </w:tabs>
        <w:spacing w:line="260" w:lineRule="exact"/>
        <w:rPr>
          <w:sz w:val="22"/>
          <w:szCs w:val="22"/>
        </w:rPr>
      </w:pPr>
    </w:p>
    <w:p w14:paraId="3F73B983" w14:textId="409E1596" w:rsidR="00AC42EF" w:rsidRPr="003F564F" w:rsidRDefault="009F34A7" w:rsidP="0002237D">
      <w:pPr>
        <w:tabs>
          <w:tab w:val="left" w:pos="567"/>
        </w:tabs>
        <w:spacing w:line="260" w:lineRule="exact"/>
        <w:rPr>
          <w:sz w:val="22"/>
          <w:szCs w:val="22"/>
        </w:rPr>
      </w:pPr>
      <w:r w:rsidRPr="003F564F">
        <w:rPr>
          <w:sz w:val="22"/>
          <w:szCs w:val="22"/>
        </w:rPr>
        <w:lastRenderedPageBreak/>
        <w:t>Klinikinių tyrimų metu pastebėtos nepageidaujamos reakcijos, pasireiškusios MF ir TP sergantiems</w:t>
      </w:r>
      <w:r w:rsidR="000A1C95" w:rsidRPr="003F564F">
        <w:rPr>
          <w:sz w:val="22"/>
          <w:szCs w:val="22"/>
        </w:rPr>
        <w:t xml:space="preserve"> </w:t>
      </w:r>
      <w:r w:rsidRPr="003F564F">
        <w:rPr>
          <w:sz w:val="22"/>
          <w:szCs w:val="22"/>
        </w:rPr>
        <w:t>pacientams išvardytos 6</w:t>
      </w:r>
      <w:r w:rsidR="000A1C95" w:rsidRPr="003F564F">
        <w:rPr>
          <w:sz w:val="22"/>
          <w:szCs w:val="22"/>
        </w:rPr>
        <w:t> </w:t>
      </w:r>
      <w:r w:rsidRPr="003F564F">
        <w:rPr>
          <w:sz w:val="22"/>
          <w:szCs w:val="22"/>
        </w:rPr>
        <w:t xml:space="preserve">lentelėje, o pasireiškusios ūmine ar lėtine </w:t>
      </w:r>
      <w:proofErr w:type="spellStart"/>
      <w:r w:rsidRPr="003F564F">
        <w:rPr>
          <w:sz w:val="22"/>
          <w:szCs w:val="22"/>
        </w:rPr>
        <w:t>TpŠL</w:t>
      </w:r>
      <w:proofErr w:type="spellEnd"/>
      <w:r w:rsidRPr="003F564F">
        <w:rPr>
          <w:sz w:val="22"/>
          <w:szCs w:val="22"/>
        </w:rPr>
        <w:t xml:space="preserve"> sergantiems pacientams</w:t>
      </w:r>
      <w:r w:rsidR="000A1C95" w:rsidRPr="003F564F">
        <w:rPr>
          <w:sz w:val="22"/>
          <w:szCs w:val="22"/>
        </w:rPr>
        <w:t xml:space="preserve"> </w:t>
      </w:r>
      <w:r w:rsidRPr="003F564F">
        <w:rPr>
          <w:sz w:val="22"/>
          <w:szCs w:val="22"/>
        </w:rPr>
        <w:t>išvardytos 7</w:t>
      </w:r>
      <w:r w:rsidR="000A1C95" w:rsidRPr="003F564F">
        <w:rPr>
          <w:sz w:val="22"/>
          <w:szCs w:val="22"/>
        </w:rPr>
        <w:t> </w:t>
      </w:r>
      <w:r w:rsidRPr="003F564F">
        <w:rPr>
          <w:sz w:val="22"/>
          <w:szCs w:val="22"/>
        </w:rPr>
        <w:t xml:space="preserve">lentelėje pagal </w:t>
      </w:r>
      <w:proofErr w:type="spellStart"/>
      <w:r w:rsidRPr="003F564F">
        <w:rPr>
          <w:sz w:val="22"/>
          <w:szCs w:val="22"/>
        </w:rPr>
        <w:t>MedDRA</w:t>
      </w:r>
      <w:proofErr w:type="spellEnd"/>
      <w:r w:rsidRPr="003F564F">
        <w:rPr>
          <w:sz w:val="22"/>
          <w:szCs w:val="22"/>
        </w:rPr>
        <w:t xml:space="preserve"> klasifikacijos organų sistemų klases. Kiekvienoje organų</w:t>
      </w:r>
      <w:r w:rsidR="000A1C95" w:rsidRPr="003F564F">
        <w:rPr>
          <w:sz w:val="22"/>
          <w:szCs w:val="22"/>
        </w:rPr>
        <w:t xml:space="preserve"> </w:t>
      </w:r>
      <w:r w:rsidRPr="003F564F">
        <w:rPr>
          <w:sz w:val="22"/>
          <w:szCs w:val="22"/>
        </w:rPr>
        <w:t>sistemų klasėje nepageidaujamos reakcijos išvardytos pagal jų pasireiškimo dažnį, pirmiausia</w:t>
      </w:r>
      <w:r w:rsidR="000A1C95" w:rsidRPr="003F564F">
        <w:rPr>
          <w:sz w:val="22"/>
          <w:szCs w:val="22"/>
        </w:rPr>
        <w:t xml:space="preserve"> </w:t>
      </w:r>
      <w:r w:rsidRPr="003F564F">
        <w:rPr>
          <w:sz w:val="22"/>
          <w:szCs w:val="22"/>
        </w:rPr>
        <w:t xml:space="preserve">nurodant dažniausias. </w:t>
      </w:r>
      <w:r w:rsidR="00AC42EF" w:rsidRPr="003F564F">
        <w:rPr>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26189917" w14:textId="77777777" w:rsidR="000A1C95" w:rsidRPr="003F564F" w:rsidRDefault="000A1C95" w:rsidP="0002237D">
      <w:pPr>
        <w:tabs>
          <w:tab w:val="left" w:pos="567"/>
        </w:tabs>
        <w:spacing w:line="260" w:lineRule="exact"/>
        <w:rPr>
          <w:sz w:val="22"/>
          <w:szCs w:val="22"/>
        </w:rPr>
      </w:pPr>
    </w:p>
    <w:p w14:paraId="30C0B408" w14:textId="7400C175" w:rsidR="009F34A7" w:rsidRPr="003F564F" w:rsidRDefault="009F34A7" w:rsidP="000A1C95">
      <w:pPr>
        <w:tabs>
          <w:tab w:val="left" w:pos="567"/>
        </w:tabs>
        <w:spacing w:line="260" w:lineRule="exact"/>
        <w:ind w:left="1290" w:hanging="1290"/>
        <w:rPr>
          <w:b/>
          <w:bCs/>
          <w:sz w:val="22"/>
          <w:szCs w:val="22"/>
        </w:rPr>
      </w:pPr>
      <w:r w:rsidRPr="003F564F">
        <w:rPr>
          <w:b/>
          <w:bCs/>
          <w:sz w:val="22"/>
          <w:szCs w:val="22"/>
        </w:rPr>
        <w:t>6</w:t>
      </w:r>
      <w:r w:rsidR="000A1C95" w:rsidRPr="003F564F">
        <w:rPr>
          <w:b/>
          <w:bCs/>
          <w:sz w:val="22"/>
          <w:szCs w:val="22"/>
        </w:rPr>
        <w:t> </w:t>
      </w:r>
      <w:r w:rsidRPr="003F564F">
        <w:rPr>
          <w:b/>
          <w:bCs/>
          <w:sz w:val="22"/>
          <w:szCs w:val="22"/>
        </w:rPr>
        <w:t xml:space="preserve">lentelė </w:t>
      </w:r>
      <w:r w:rsidR="000A1C95" w:rsidRPr="003F564F">
        <w:rPr>
          <w:b/>
          <w:bCs/>
          <w:sz w:val="22"/>
          <w:szCs w:val="22"/>
        </w:rPr>
        <w:tab/>
      </w:r>
      <w:r w:rsidRPr="003F564F">
        <w:rPr>
          <w:b/>
          <w:bCs/>
          <w:sz w:val="22"/>
          <w:szCs w:val="22"/>
        </w:rPr>
        <w:t>III</w:t>
      </w:r>
      <w:r w:rsidR="000A1C95" w:rsidRPr="003F564F">
        <w:rPr>
          <w:b/>
          <w:bCs/>
          <w:sz w:val="22"/>
          <w:szCs w:val="22"/>
        </w:rPr>
        <w:t> </w:t>
      </w:r>
      <w:r w:rsidRPr="003F564F">
        <w:rPr>
          <w:b/>
          <w:bCs/>
          <w:sz w:val="22"/>
          <w:szCs w:val="22"/>
        </w:rPr>
        <w:t>fazės tyrimų metu pasireiškusių nepageidaujamų reakcijų dažnių kategorijos</w:t>
      </w:r>
      <w:r w:rsidR="000A1C95" w:rsidRPr="003F564F">
        <w:rPr>
          <w:b/>
          <w:bCs/>
          <w:sz w:val="22"/>
          <w:szCs w:val="22"/>
        </w:rPr>
        <w:t xml:space="preserve"> </w:t>
      </w:r>
      <w:r w:rsidRPr="003F564F">
        <w:rPr>
          <w:b/>
          <w:bCs/>
          <w:sz w:val="22"/>
          <w:szCs w:val="22"/>
        </w:rPr>
        <w:t>MF ir TP sergantiems pacientams</w:t>
      </w:r>
    </w:p>
    <w:p w14:paraId="776FE975" w14:textId="77777777" w:rsidR="009F34A7" w:rsidRPr="003F564F" w:rsidRDefault="009F34A7" w:rsidP="009F34A7">
      <w:pPr>
        <w:tabs>
          <w:tab w:val="left" w:pos="567"/>
        </w:tabs>
        <w:spacing w:line="260" w:lineRule="exact"/>
        <w:jc w:val="both"/>
        <w:rPr>
          <w:sz w:val="22"/>
          <w:szCs w:val="22"/>
        </w:rPr>
      </w:pPr>
    </w:p>
    <w:tbl>
      <w:tblPr>
        <w:tblStyle w:val="Lentelstinklelis"/>
        <w:tblW w:w="0" w:type="auto"/>
        <w:tblLook w:val="04A0" w:firstRow="1" w:lastRow="0" w:firstColumn="1" w:lastColumn="0" w:noHBand="0" w:noVBand="1"/>
      </w:tblPr>
      <w:tblGrid>
        <w:gridCol w:w="3120"/>
        <w:gridCol w:w="2970"/>
        <w:gridCol w:w="2970"/>
      </w:tblGrid>
      <w:tr w:rsidR="009F34A7" w:rsidRPr="003F564F" w14:paraId="3928E98D" w14:textId="77777777" w:rsidTr="009F34A7">
        <w:tc>
          <w:tcPr>
            <w:tcW w:w="3238" w:type="dxa"/>
          </w:tcPr>
          <w:p w14:paraId="66040163" w14:textId="1BBBF93E" w:rsidR="009F34A7" w:rsidRPr="003F564F" w:rsidRDefault="00DA535D" w:rsidP="009B4CAC">
            <w:pPr>
              <w:tabs>
                <w:tab w:val="left" w:pos="567"/>
              </w:tabs>
              <w:spacing w:line="260" w:lineRule="exact"/>
              <w:rPr>
                <w:b/>
                <w:bCs/>
                <w:sz w:val="22"/>
                <w:szCs w:val="22"/>
              </w:rPr>
            </w:pPr>
            <w:r w:rsidRPr="003F564F">
              <w:rPr>
                <w:b/>
                <w:bCs/>
                <w:sz w:val="22"/>
                <w:szCs w:val="22"/>
              </w:rPr>
              <w:t>Nepageidaujama reakcija</w:t>
            </w:r>
          </w:p>
        </w:tc>
        <w:tc>
          <w:tcPr>
            <w:tcW w:w="3238" w:type="dxa"/>
          </w:tcPr>
          <w:p w14:paraId="42B62634" w14:textId="25A95B4F" w:rsidR="009F34A7" w:rsidRPr="003F564F" w:rsidRDefault="00DA535D" w:rsidP="009B4CAC">
            <w:pPr>
              <w:tabs>
                <w:tab w:val="left" w:pos="567"/>
              </w:tabs>
              <w:spacing w:line="260" w:lineRule="exact"/>
              <w:rPr>
                <w:b/>
                <w:bCs/>
                <w:sz w:val="22"/>
                <w:szCs w:val="22"/>
              </w:rPr>
            </w:pPr>
            <w:r w:rsidRPr="003F564F">
              <w:rPr>
                <w:b/>
                <w:bCs/>
                <w:sz w:val="22"/>
                <w:szCs w:val="22"/>
              </w:rPr>
              <w:t>Dažnio kategorija MF sergantiems pacientams</w:t>
            </w:r>
          </w:p>
        </w:tc>
        <w:tc>
          <w:tcPr>
            <w:tcW w:w="3238" w:type="dxa"/>
          </w:tcPr>
          <w:p w14:paraId="60E480AA" w14:textId="14DD9481" w:rsidR="009F34A7" w:rsidRPr="003F564F" w:rsidRDefault="00DA535D" w:rsidP="009B4CAC">
            <w:pPr>
              <w:tabs>
                <w:tab w:val="left" w:pos="567"/>
              </w:tabs>
              <w:spacing w:line="260" w:lineRule="exact"/>
              <w:rPr>
                <w:b/>
                <w:bCs/>
                <w:sz w:val="22"/>
                <w:szCs w:val="22"/>
              </w:rPr>
            </w:pPr>
            <w:r w:rsidRPr="003F564F">
              <w:rPr>
                <w:b/>
                <w:bCs/>
                <w:sz w:val="22"/>
                <w:szCs w:val="22"/>
              </w:rPr>
              <w:t>Dažnio kategorija TP sergantiems pacientams</w:t>
            </w:r>
          </w:p>
        </w:tc>
      </w:tr>
      <w:tr w:rsidR="00DA535D" w:rsidRPr="003F564F" w14:paraId="6587DC8A" w14:textId="77777777" w:rsidTr="009D7F3C">
        <w:tc>
          <w:tcPr>
            <w:tcW w:w="9714" w:type="dxa"/>
            <w:gridSpan w:val="3"/>
          </w:tcPr>
          <w:p w14:paraId="32BBB126" w14:textId="7655F0D7" w:rsidR="00DA535D" w:rsidRPr="003F564F" w:rsidRDefault="00DA535D" w:rsidP="009B4CAC">
            <w:pPr>
              <w:tabs>
                <w:tab w:val="left" w:pos="567"/>
              </w:tabs>
              <w:spacing w:line="260" w:lineRule="exact"/>
              <w:rPr>
                <w:b/>
                <w:bCs/>
                <w:sz w:val="22"/>
                <w:szCs w:val="22"/>
              </w:rPr>
            </w:pPr>
            <w:r w:rsidRPr="003F564F">
              <w:rPr>
                <w:b/>
                <w:bCs/>
                <w:sz w:val="22"/>
                <w:szCs w:val="22"/>
              </w:rPr>
              <w:t xml:space="preserve">Infekcijos ir </w:t>
            </w:r>
            <w:proofErr w:type="spellStart"/>
            <w:r w:rsidRPr="003F564F">
              <w:rPr>
                <w:b/>
                <w:bCs/>
                <w:sz w:val="22"/>
                <w:szCs w:val="22"/>
              </w:rPr>
              <w:t>infestacijos</w:t>
            </w:r>
            <w:proofErr w:type="spellEnd"/>
          </w:p>
        </w:tc>
      </w:tr>
      <w:tr w:rsidR="009F34A7" w:rsidRPr="003F564F" w14:paraId="64324F97" w14:textId="77777777" w:rsidTr="000A6D36">
        <w:tc>
          <w:tcPr>
            <w:tcW w:w="3238" w:type="dxa"/>
          </w:tcPr>
          <w:p w14:paraId="28247CE4" w14:textId="756A4DD6" w:rsidR="009F34A7" w:rsidRPr="003F564F" w:rsidRDefault="00DA535D" w:rsidP="009B4CAC">
            <w:pPr>
              <w:tabs>
                <w:tab w:val="left" w:pos="567"/>
              </w:tabs>
              <w:spacing w:line="260" w:lineRule="exact"/>
              <w:rPr>
                <w:sz w:val="22"/>
                <w:szCs w:val="22"/>
              </w:rPr>
            </w:pPr>
            <w:r w:rsidRPr="003F564F">
              <w:rPr>
                <w:sz w:val="22"/>
                <w:szCs w:val="22"/>
              </w:rPr>
              <w:t xml:space="preserve">Šlapimo takų </w:t>
            </w:r>
            <w:proofErr w:type="spellStart"/>
            <w:r w:rsidRPr="003F564F">
              <w:rPr>
                <w:sz w:val="22"/>
                <w:szCs w:val="22"/>
              </w:rPr>
              <w:t>infekcijos</w:t>
            </w:r>
            <w:r w:rsidRPr="003F564F">
              <w:rPr>
                <w:sz w:val="22"/>
                <w:szCs w:val="22"/>
                <w:vertAlign w:val="superscript"/>
              </w:rPr>
              <w:t>d</w:t>
            </w:r>
            <w:proofErr w:type="spellEnd"/>
          </w:p>
        </w:tc>
        <w:tc>
          <w:tcPr>
            <w:tcW w:w="3238" w:type="dxa"/>
          </w:tcPr>
          <w:p w14:paraId="1AD7F9BE" w14:textId="7DB86FF9" w:rsidR="009F34A7" w:rsidRPr="003F564F" w:rsidRDefault="00DA535D" w:rsidP="000A6D36">
            <w:pPr>
              <w:tabs>
                <w:tab w:val="left" w:pos="567"/>
              </w:tabs>
              <w:spacing w:line="260" w:lineRule="exact"/>
              <w:jc w:val="center"/>
              <w:rPr>
                <w:sz w:val="22"/>
                <w:szCs w:val="22"/>
              </w:rPr>
            </w:pPr>
            <w:r w:rsidRPr="003F564F">
              <w:rPr>
                <w:sz w:val="22"/>
                <w:szCs w:val="22"/>
              </w:rPr>
              <w:t>Labai dažnas</w:t>
            </w:r>
          </w:p>
        </w:tc>
        <w:tc>
          <w:tcPr>
            <w:tcW w:w="3238" w:type="dxa"/>
          </w:tcPr>
          <w:p w14:paraId="6A94A95D" w14:textId="6D2ADAA6" w:rsidR="009F34A7" w:rsidRPr="003F564F" w:rsidRDefault="00DA535D" w:rsidP="000A6D36">
            <w:pPr>
              <w:tabs>
                <w:tab w:val="left" w:pos="567"/>
              </w:tabs>
              <w:spacing w:line="260" w:lineRule="exact"/>
              <w:jc w:val="center"/>
              <w:rPr>
                <w:sz w:val="22"/>
                <w:szCs w:val="22"/>
              </w:rPr>
            </w:pPr>
            <w:r w:rsidRPr="003F564F">
              <w:rPr>
                <w:sz w:val="22"/>
                <w:szCs w:val="22"/>
              </w:rPr>
              <w:t>Labai dažnas</w:t>
            </w:r>
          </w:p>
        </w:tc>
      </w:tr>
      <w:tr w:rsidR="009F34A7" w:rsidRPr="003F564F" w14:paraId="2683C98E" w14:textId="77777777" w:rsidTr="000A6D36">
        <w:tc>
          <w:tcPr>
            <w:tcW w:w="3238" w:type="dxa"/>
          </w:tcPr>
          <w:p w14:paraId="792448E4" w14:textId="2CA605EB" w:rsidR="009F34A7" w:rsidRPr="003F564F" w:rsidRDefault="00DA535D" w:rsidP="009B4CAC">
            <w:pPr>
              <w:tabs>
                <w:tab w:val="left" w:pos="567"/>
              </w:tabs>
              <w:spacing w:line="260" w:lineRule="exact"/>
              <w:rPr>
                <w:sz w:val="22"/>
                <w:szCs w:val="22"/>
              </w:rPr>
            </w:pPr>
            <w:proofErr w:type="spellStart"/>
            <w:r w:rsidRPr="003F564F">
              <w:rPr>
                <w:i/>
                <w:iCs/>
                <w:sz w:val="22"/>
                <w:szCs w:val="22"/>
              </w:rPr>
              <w:t>Herpes</w:t>
            </w:r>
            <w:proofErr w:type="spellEnd"/>
            <w:r w:rsidRPr="003F564F">
              <w:rPr>
                <w:i/>
                <w:iCs/>
                <w:sz w:val="22"/>
                <w:szCs w:val="22"/>
              </w:rPr>
              <w:t xml:space="preserve"> </w:t>
            </w:r>
            <w:proofErr w:type="spellStart"/>
            <w:r w:rsidRPr="003F564F">
              <w:rPr>
                <w:i/>
                <w:iCs/>
                <w:sz w:val="22"/>
                <w:szCs w:val="22"/>
              </w:rPr>
              <w:t>zoster</w:t>
            </w:r>
            <w:proofErr w:type="spellEnd"/>
            <w:r w:rsidRPr="003F564F">
              <w:rPr>
                <w:sz w:val="22"/>
                <w:szCs w:val="22"/>
              </w:rPr>
              <w:t xml:space="preserve"> </w:t>
            </w:r>
            <w:proofErr w:type="spellStart"/>
            <w:r w:rsidRPr="003F564F">
              <w:rPr>
                <w:sz w:val="22"/>
                <w:szCs w:val="22"/>
              </w:rPr>
              <w:t>infekcija</w:t>
            </w:r>
            <w:r w:rsidRPr="003F564F">
              <w:rPr>
                <w:sz w:val="22"/>
                <w:szCs w:val="22"/>
                <w:vertAlign w:val="superscript"/>
              </w:rPr>
              <w:t>d</w:t>
            </w:r>
            <w:proofErr w:type="spellEnd"/>
          </w:p>
        </w:tc>
        <w:tc>
          <w:tcPr>
            <w:tcW w:w="3238" w:type="dxa"/>
          </w:tcPr>
          <w:p w14:paraId="000D4865" w14:textId="27ACAE27" w:rsidR="009F34A7" w:rsidRPr="003F564F" w:rsidRDefault="00DA535D" w:rsidP="000A6D36">
            <w:pPr>
              <w:tabs>
                <w:tab w:val="left" w:pos="567"/>
              </w:tabs>
              <w:spacing w:line="260" w:lineRule="exact"/>
              <w:jc w:val="center"/>
              <w:rPr>
                <w:sz w:val="22"/>
                <w:szCs w:val="22"/>
              </w:rPr>
            </w:pPr>
            <w:r w:rsidRPr="003F564F">
              <w:rPr>
                <w:sz w:val="22"/>
                <w:szCs w:val="22"/>
              </w:rPr>
              <w:t>Labai dažnas</w:t>
            </w:r>
          </w:p>
        </w:tc>
        <w:tc>
          <w:tcPr>
            <w:tcW w:w="3238" w:type="dxa"/>
          </w:tcPr>
          <w:p w14:paraId="189EFE05" w14:textId="44CEC1AC" w:rsidR="009F34A7" w:rsidRPr="003F564F" w:rsidRDefault="00DA535D" w:rsidP="000A6D36">
            <w:pPr>
              <w:tabs>
                <w:tab w:val="left" w:pos="567"/>
              </w:tabs>
              <w:spacing w:line="260" w:lineRule="exact"/>
              <w:jc w:val="center"/>
              <w:rPr>
                <w:sz w:val="22"/>
                <w:szCs w:val="22"/>
              </w:rPr>
            </w:pPr>
            <w:r w:rsidRPr="003F564F">
              <w:rPr>
                <w:sz w:val="22"/>
                <w:szCs w:val="22"/>
              </w:rPr>
              <w:t>Labai dažnas</w:t>
            </w:r>
          </w:p>
        </w:tc>
      </w:tr>
      <w:tr w:rsidR="009F34A7" w:rsidRPr="003F564F" w14:paraId="6424CF7B" w14:textId="77777777" w:rsidTr="000A6D36">
        <w:tc>
          <w:tcPr>
            <w:tcW w:w="3238" w:type="dxa"/>
          </w:tcPr>
          <w:p w14:paraId="28D81583" w14:textId="690C33D5" w:rsidR="009F34A7" w:rsidRPr="003F564F" w:rsidRDefault="00DA535D" w:rsidP="009B4CAC">
            <w:pPr>
              <w:tabs>
                <w:tab w:val="left" w:pos="567"/>
              </w:tabs>
              <w:spacing w:line="260" w:lineRule="exact"/>
              <w:rPr>
                <w:sz w:val="22"/>
                <w:szCs w:val="22"/>
              </w:rPr>
            </w:pPr>
            <w:r w:rsidRPr="003F564F">
              <w:rPr>
                <w:sz w:val="22"/>
                <w:szCs w:val="22"/>
              </w:rPr>
              <w:t>Pneumonija</w:t>
            </w:r>
          </w:p>
        </w:tc>
        <w:tc>
          <w:tcPr>
            <w:tcW w:w="3238" w:type="dxa"/>
          </w:tcPr>
          <w:p w14:paraId="04BE0A73" w14:textId="26A1CA0A" w:rsidR="009F34A7" w:rsidRPr="003F564F" w:rsidRDefault="00DA535D" w:rsidP="000A6D36">
            <w:pPr>
              <w:tabs>
                <w:tab w:val="left" w:pos="567"/>
              </w:tabs>
              <w:spacing w:line="260" w:lineRule="exact"/>
              <w:jc w:val="center"/>
              <w:rPr>
                <w:sz w:val="22"/>
                <w:szCs w:val="22"/>
              </w:rPr>
            </w:pPr>
            <w:r w:rsidRPr="003F564F">
              <w:rPr>
                <w:sz w:val="22"/>
                <w:szCs w:val="22"/>
              </w:rPr>
              <w:t>Labai dažnas</w:t>
            </w:r>
          </w:p>
        </w:tc>
        <w:tc>
          <w:tcPr>
            <w:tcW w:w="3238" w:type="dxa"/>
          </w:tcPr>
          <w:p w14:paraId="09A398AD" w14:textId="64515FE5" w:rsidR="009F34A7" w:rsidRPr="003F564F" w:rsidRDefault="00DA535D" w:rsidP="000A6D36">
            <w:pPr>
              <w:tabs>
                <w:tab w:val="left" w:pos="567"/>
              </w:tabs>
              <w:spacing w:line="260" w:lineRule="exact"/>
              <w:jc w:val="center"/>
              <w:rPr>
                <w:sz w:val="22"/>
                <w:szCs w:val="22"/>
              </w:rPr>
            </w:pPr>
            <w:r w:rsidRPr="003F564F">
              <w:rPr>
                <w:sz w:val="22"/>
                <w:szCs w:val="22"/>
              </w:rPr>
              <w:t>Dažnas</w:t>
            </w:r>
          </w:p>
        </w:tc>
      </w:tr>
      <w:tr w:rsidR="009F34A7" w:rsidRPr="003F564F" w14:paraId="2331E9CA" w14:textId="77777777" w:rsidTr="000A6D36">
        <w:tc>
          <w:tcPr>
            <w:tcW w:w="3238" w:type="dxa"/>
          </w:tcPr>
          <w:p w14:paraId="73388915" w14:textId="0BFBDAE3" w:rsidR="009F34A7" w:rsidRPr="003F564F" w:rsidRDefault="00DA535D" w:rsidP="009B4CAC">
            <w:pPr>
              <w:tabs>
                <w:tab w:val="left" w:pos="567"/>
              </w:tabs>
              <w:spacing w:line="260" w:lineRule="exact"/>
              <w:rPr>
                <w:sz w:val="22"/>
                <w:szCs w:val="22"/>
              </w:rPr>
            </w:pPr>
            <w:r w:rsidRPr="003F564F">
              <w:rPr>
                <w:sz w:val="22"/>
                <w:szCs w:val="22"/>
              </w:rPr>
              <w:t>Sepsis</w:t>
            </w:r>
          </w:p>
        </w:tc>
        <w:tc>
          <w:tcPr>
            <w:tcW w:w="3238" w:type="dxa"/>
          </w:tcPr>
          <w:p w14:paraId="5AEFDDF1" w14:textId="27D09A21" w:rsidR="009F34A7" w:rsidRPr="003F564F" w:rsidRDefault="00DA535D" w:rsidP="000A6D36">
            <w:pPr>
              <w:tabs>
                <w:tab w:val="left" w:pos="567"/>
              </w:tabs>
              <w:spacing w:line="260" w:lineRule="exact"/>
              <w:jc w:val="center"/>
              <w:rPr>
                <w:sz w:val="22"/>
                <w:szCs w:val="22"/>
              </w:rPr>
            </w:pPr>
            <w:r w:rsidRPr="003F564F">
              <w:rPr>
                <w:sz w:val="22"/>
                <w:szCs w:val="22"/>
              </w:rPr>
              <w:t>Dažnas</w:t>
            </w:r>
          </w:p>
        </w:tc>
        <w:tc>
          <w:tcPr>
            <w:tcW w:w="3238" w:type="dxa"/>
          </w:tcPr>
          <w:p w14:paraId="3F22555F" w14:textId="6326E7D0" w:rsidR="009F34A7" w:rsidRPr="003F564F" w:rsidRDefault="00DA535D" w:rsidP="000A6D36">
            <w:pPr>
              <w:tabs>
                <w:tab w:val="left" w:pos="567"/>
              </w:tabs>
              <w:spacing w:line="260" w:lineRule="exact"/>
              <w:jc w:val="center"/>
              <w:rPr>
                <w:sz w:val="22"/>
                <w:szCs w:val="22"/>
              </w:rPr>
            </w:pPr>
            <w:r w:rsidRPr="003F564F">
              <w:rPr>
                <w:sz w:val="22"/>
                <w:szCs w:val="22"/>
              </w:rPr>
              <w:t>Nedažnas</w:t>
            </w:r>
          </w:p>
        </w:tc>
      </w:tr>
      <w:tr w:rsidR="000A1C95" w:rsidRPr="003F564F" w14:paraId="7420F16C" w14:textId="77777777" w:rsidTr="000A6D36">
        <w:tc>
          <w:tcPr>
            <w:tcW w:w="3238" w:type="dxa"/>
          </w:tcPr>
          <w:p w14:paraId="6933C9FD" w14:textId="5C2305EB" w:rsidR="000A1C95" w:rsidRPr="003F564F" w:rsidRDefault="00DA535D" w:rsidP="009B4CAC">
            <w:pPr>
              <w:tabs>
                <w:tab w:val="left" w:pos="567"/>
              </w:tabs>
              <w:spacing w:line="260" w:lineRule="exact"/>
              <w:rPr>
                <w:sz w:val="22"/>
                <w:szCs w:val="22"/>
              </w:rPr>
            </w:pPr>
            <w:r w:rsidRPr="003F564F">
              <w:rPr>
                <w:sz w:val="22"/>
                <w:szCs w:val="22"/>
              </w:rPr>
              <w:t>Tuberkuliozė</w:t>
            </w:r>
          </w:p>
        </w:tc>
        <w:tc>
          <w:tcPr>
            <w:tcW w:w="3238" w:type="dxa"/>
          </w:tcPr>
          <w:p w14:paraId="02D8CE5F" w14:textId="08B5BC2F" w:rsidR="000A1C95" w:rsidRPr="003F564F" w:rsidRDefault="00DA535D" w:rsidP="000A6D36">
            <w:pPr>
              <w:tabs>
                <w:tab w:val="left" w:pos="567"/>
              </w:tabs>
              <w:spacing w:line="260" w:lineRule="exact"/>
              <w:jc w:val="center"/>
              <w:rPr>
                <w:sz w:val="22"/>
                <w:szCs w:val="22"/>
              </w:rPr>
            </w:pPr>
            <w:r w:rsidRPr="003F564F">
              <w:rPr>
                <w:sz w:val="22"/>
                <w:szCs w:val="22"/>
              </w:rPr>
              <w:t>Nedažnas</w:t>
            </w:r>
          </w:p>
        </w:tc>
        <w:tc>
          <w:tcPr>
            <w:tcW w:w="3238" w:type="dxa"/>
          </w:tcPr>
          <w:p w14:paraId="5271D5B9" w14:textId="319CC146" w:rsidR="000A1C95" w:rsidRPr="003F564F" w:rsidRDefault="00004A1B" w:rsidP="000A6D36">
            <w:pPr>
              <w:tabs>
                <w:tab w:val="left" w:pos="567"/>
              </w:tabs>
              <w:spacing w:line="260" w:lineRule="exact"/>
              <w:jc w:val="center"/>
              <w:rPr>
                <w:sz w:val="22"/>
                <w:szCs w:val="22"/>
              </w:rPr>
            </w:pPr>
            <w:proofErr w:type="spellStart"/>
            <w:r>
              <w:rPr>
                <w:sz w:val="22"/>
                <w:szCs w:val="22"/>
              </w:rPr>
              <w:t>N</w:t>
            </w:r>
            <w:r w:rsidR="00DA535D" w:rsidRPr="003F564F">
              <w:rPr>
                <w:sz w:val="22"/>
                <w:szCs w:val="22"/>
              </w:rPr>
              <w:t>ežinomas</w:t>
            </w:r>
            <w:r w:rsidR="00DA535D" w:rsidRPr="003F564F">
              <w:rPr>
                <w:sz w:val="22"/>
                <w:szCs w:val="22"/>
                <w:vertAlign w:val="superscript"/>
              </w:rPr>
              <w:t>e</w:t>
            </w:r>
            <w:proofErr w:type="spellEnd"/>
          </w:p>
        </w:tc>
      </w:tr>
      <w:tr w:rsidR="000A1C95" w:rsidRPr="003F564F" w14:paraId="657E3750" w14:textId="77777777" w:rsidTr="000A6D36">
        <w:tc>
          <w:tcPr>
            <w:tcW w:w="3238" w:type="dxa"/>
          </w:tcPr>
          <w:p w14:paraId="41FFF09C" w14:textId="7D2EFADF" w:rsidR="000A1C95" w:rsidRPr="003F564F" w:rsidRDefault="00DA535D" w:rsidP="009B4CAC">
            <w:pPr>
              <w:tabs>
                <w:tab w:val="left" w:pos="567"/>
              </w:tabs>
              <w:spacing w:line="260" w:lineRule="exact"/>
              <w:rPr>
                <w:sz w:val="22"/>
                <w:szCs w:val="22"/>
              </w:rPr>
            </w:pPr>
            <w:r w:rsidRPr="003F564F">
              <w:rPr>
                <w:sz w:val="22"/>
                <w:szCs w:val="22"/>
              </w:rPr>
              <w:t xml:space="preserve">HBV </w:t>
            </w:r>
            <w:proofErr w:type="spellStart"/>
            <w:r w:rsidRPr="003F564F">
              <w:rPr>
                <w:sz w:val="22"/>
                <w:szCs w:val="22"/>
              </w:rPr>
              <w:t>reaktyvacija</w:t>
            </w:r>
            <w:proofErr w:type="spellEnd"/>
          </w:p>
        </w:tc>
        <w:tc>
          <w:tcPr>
            <w:tcW w:w="3238" w:type="dxa"/>
          </w:tcPr>
          <w:p w14:paraId="12BE7514" w14:textId="0C028A02" w:rsidR="000A1C95" w:rsidRPr="003F564F" w:rsidRDefault="00004A1B" w:rsidP="000A6D36">
            <w:pPr>
              <w:tabs>
                <w:tab w:val="left" w:pos="567"/>
              </w:tabs>
              <w:spacing w:line="260" w:lineRule="exact"/>
              <w:jc w:val="center"/>
              <w:rPr>
                <w:sz w:val="22"/>
                <w:szCs w:val="22"/>
              </w:rPr>
            </w:pPr>
            <w:proofErr w:type="spellStart"/>
            <w:r>
              <w:rPr>
                <w:sz w:val="22"/>
                <w:szCs w:val="22"/>
              </w:rPr>
              <w:t>N</w:t>
            </w:r>
            <w:r w:rsidR="00DA535D" w:rsidRPr="003F564F">
              <w:rPr>
                <w:sz w:val="22"/>
                <w:szCs w:val="22"/>
              </w:rPr>
              <w:t>ežinomas</w:t>
            </w:r>
            <w:r w:rsidR="00DA535D" w:rsidRPr="003F564F">
              <w:rPr>
                <w:sz w:val="22"/>
                <w:szCs w:val="22"/>
                <w:vertAlign w:val="superscript"/>
              </w:rPr>
              <w:t>e</w:t>
            </w:r>
            <w:proofErr w:type="spellEnd"/>
          </w:p>
        </w:tc>
        <w:tc>
          <w:tcPr>
            <w:tcW w:w="3238" w:type="dxa"/>
          </w:tcPr>
          <w:p w14:paraId="2F9E4307" w14:textId="7672DE2C" w:rsidR="000A1C95" w:rsidRPr="003F564F" w:rsidRDefault="00DA535D" w:rsidP="000A6D36">
            <w:pPr>
              <w:tabs>
                <w:tab w:val="left" w:pos="567"/>
              </w:tabs>
              <w:spacing w:line="260" w:lineRule="exact"/>
              <w:jc w:val="center"/>
              <w:rPr>
                <w:sz w:val="22"/>
                <w:szCs w:val="22"/>
              </w:rPr>
            </w:pPr>
            <w:r w:rsidRPr="003F564F">
              <w:rPr>
                <w:sz w:val="22"/>
                <w:szCs w:val="22"/>
              </w:rPr>
              <w:t>Nedažnas</w:t>
            </w:r>
          </w:p>
        </w:tc>
      </w:tr>
      <w:tr w:rsidR="00DA535D" w:rsidRPr="003F564F" w14:paraId="4546BDAC" w14:textId="77777777" w:rsidTr="00B23B56">
        <w:tc>
          <w:tcPr>
            <w:tcW w:w="9714" w:type="dxa"/>
            <w:gridSpan w:val="3"/>
          </w:tcPr>
          <w:p w14:paraId="315FDA4E" w14:textId="18AC00D1" w:rsidR="00DA535D" w:rsidRPr="003F564F" w:rsidRDefault="00DA535D" w:rsidP="009B4CAC">
            <w:pPr>
              <w:tabs>
                <w:tab w:val="left" w:pos="567"/>
              </w:tabs>
              <w:spacing w:line="260" w:lineRule="exact"/>
              <w:rPr>
                <w:b/>
                <w:bCs/>
                <w:sz w:val="22"/>
                <w:szCs w:val="22"/>
              </w:rPr>
            </w:pPr>
            <w:r w:rsidRPr="003F564F">
              <w:rPr>
                <w:b/>
                <w:bCs/>
                <w:sz w:val="22"/>
                <w:szCs w:val="22"/>
              </w:rPr>
              <w:t xml:space="preserve">Kraujo ir limfinės sistemos </w:t>
            </w:r>
            <w:proofErr w:type="spellStart"/>
            <w:r w:rsidRPr="003F564F">
              <w:rPr>
                <w:b/>
                <w:bCs/>
                <w:sz w:val="22"/>
                <w:szCs w:val="22"/>
              </w:rPr>
              <w:t>sutrikimai</w:t>
            </w:r>
            <w:r w:rsidRPr="003F564F">
              <w:rPr>
                <w:b/>
                <w:bCs/>
                <w:sz w:val="22"/>
                <w:szCs w:val="22"/>
                <w:vertAlign w:val="superscript"/>
              </w:rPr>
              <w:t>a,d</w:t>
            </w:r>
            <w:proofErr w:type="spellEnd"/>
          </w:p>
        </w:tc>
      </w:tr>
      <w:tr w:rsidR="000A1C95" w:rsidRPr="003F564F" w14:paraId="058EC261" w14:textId="77777777" w:rsidTr="009F34A7">
        <w:tc>
          <w:tcPr>
            <w:tcW w:w="3238" w:type="dxa"/>
          </w:tcPr>
          <w:p w14:paraId="7D7ADDD0" w14:textId="19A80DF2" w:rsidR="000A1C95" w:rsidRPr="003F564F" w:rsidRDefault="00DA535D" w:rsidP="009B4CAC">
            <w:pPr>
              <w:tabs>
                <w:tab w:val="left" w:pos="567"/>
              </w:tabs>
              <w:spacing w:line="260" w:lineRule="exact"/>
              <w:rPr>
                <w:sz w:val="22"/>
                <w:szCs w:val="22"/>
              </w:rPr>
            </w:pPr>
            <w:proofErr w:type="spellStart"/>
            <w:r w:rsidRPr="003F564F">
              <w:rPr>
                <w:sz w:val="22"/>
                <w:szCs w:val="22"/>
              </w:rPr>
              <w:t>Anemija</w:t>
            </w:r>
            <w:r w:rsidRPr="003F564F">
              <w:rPr>
                <w:sz w:val="22"/>
                <w:szCs w:val="22"/>
                <w:vertAlign w:val="superscript"/>
              </w:rPr>
              <w:t>a</w:t>
            </w:r>
            <w:proofErr w:type="spellEnd"/>
          </w:p>
        </w:tc>
        <w:tc>
          <w:tcPr>
            <w:tcW w:w="3238" w:type="dxa"/>
          </w:tcPr>
          <w:p w14:paraId="6D9C70CB" w14:textId="77777777" w:rsidR="000A1C95" w:rsidRPr="003F564F" w:rsidRDefault="000A1C95" w:rsidP="009B4CAC">
            <w:pPr>
              <w:tabs>
                <w:tab w:val="left" w:pos="567"/>
              </w:tabs>
              <w:spacing w:line="260" w:lineRule="exact"/>
              <w:rPr>
                <w:sz w:val="22"/>
                <w:szCs w:val="22"/>
              </w:rPr>
            </w:pPr>
          </w:p>
        </w:tc>
        <w:tc>
          <w:tcPr>
            <w:tcW w:w="3238" w:type="dxa"/>
          </w:tcPr>
          <w:p w14:paraId="259FFBE2" w14:textId="77777777" w:rsidR="000A1C95" w:rsidRPr="003F564F" w:rsidRDefault="000A1C95" w:rsidP="009B4CAC">
            <w:pPr>
              <w:tabs>
                <w:tab w:val="left" w:pos="567"/>
              </w:tabs>
              <w:spacing w:line="260" w:lineRule="exact"/>
              <w:rPr>
                <w:sz w:val="22"/>
                <w:szCs w:val="22"/>
              </w:rPr>
            </w:pPr>
          </w:p>
        </w:tc>
      </w:tr>
      <w:tr w:rsidR="00DA535D" w:rsidRPr="003F564F" w14:paraId="66B707B3" w14:textId="77777777" w:rsidTr="000A6D36">
        <w:tc>
          <w:tcPr>
            <w:tcW w:w="3238" w:type="dxa"/>
          </w:tcPr>
          <w:p w14:paraId="7DA0C6DE" w14:textId="3BBA5D2B" w:rsidR="00DA535D" w:rsidRPr="003F564F" w:rsidRDefault="00DA535D" w:rsidP="009B4CAC">
            <w:pPr>
              <w:tabs>
                <w:tab w:val="left" w:pos="567"/>
              </w:tabs>
              <w:spacing w:line="260" w:lineRule="exact"/>
              <w:ind w:left="284"/>
              <w:rPr>
                <w:sz w:val="22"/>
                <w:szCs w:val="22"/>
              </w:rPr>
            </w:pPr>
            <w:r w:rsidRPr="003F564F">
              <w:rPr>
                <w:sz w:val="22"/>
                <w:szCs w:val="22"/>
              </w:rPr>
              <w:t xml:space="preserve">4-ojo laipsnio pagal </w:t>
            </w:r>
            <w:proofErr w:type="spellStart"/>
            <w:r w:rsidRPr="003F564F">
              <w:rPr>
                <w:sz w:val="22"/>
                <w:szCs w:val="22"/>
              </w:rPr>
              <w:t>CTCAE</w:t>
            </w:r>
            <w:r w:rsidRPr="003F564F">
              <w:rPr>
                <w:sz w:val="22"/>
                <w:szCs w:val="22"/>
                <w:vertAlign w:val="superscript"/>
              </w:rPr>
              <w:t>c</w:t>
            </w:r>
            <w:proofErr w:type="spellEnd"/>
            <w:r w:rsidRPr="003F564F">
              <w:rPr>
                <w:sz w:val="22"/>
                <w:szCs w:val="22"/>
              </w:rPr>
              <w:t xml:space="preserve"> kriterijus (&lt; 6,5 g/dl)</w:t>
            </w:r>
          </w:p>
        </w:tc>
        <w:tc>
          <w:tcPr>
            <w:tcW w:w="3238" w:type="dxa"/>
          </w:tcPr>
          <w:p w14:paraId="1BFA3447" w14:textId="18D96D84" w:rsidR="00DA535D" w:rsidRPr="003F564F" w:rsidRDefault="00DA535D" w:rsidP="000A6D36">
            <w:pPr>
              <w:tabs>
                <w:tab w:val="left" w:pos="567"/>
              </w:tabs>
              <w:spacing w:line="260" w:lineRule="exact"/>
              <w:jc w:val="center"/>
              <w:rPr>
                <w:sz w:val="22"/>
                <w:szCs w:val="22"/>
              </w:rPr>
            </w:pPr>
            <w:r w:rsidRPr="003F564F">
              <w:rPr>
                <w:sz w:val="22"/>
                <w:szCs w:val="22"/>
              </w:rPr>
              <w:t>Labai dažnas</w:t>
            </w:r>
          </w:p>
        </w:tc>
        <w:tc>
          <w:tcPr>
            <w:tcW w:w="3238" w:type="dxa"/>
          </w:tcPr>
          <w:p w14:paraId="68B4448F" w14:textId="07E091F7" w:rsidR="00DA535D" w:rsidRPr="003F564F" w:rsidRDefault="00DA535D" w:rsidP="000A6D36">
            <w:pPr>
              <w:tabs>
                <w:tab w:val="left" w:pos="567"/>
              </w:tabs>
              <w:spacing w:line="260" w:lineRule="exact"/>
              <w:jc w:val="center"/>
              <w:rPr>
                <w:sz w:val="22"/>
                <w:szCs w:val="22"/>
              </w:rPr>
            </w:pPr>
            <w:r w:rsidRPr="003F564F">
              <w:rPr>
                <w:sz w:val="22"/>
                <w:szCs w:val="22"/>
              </w:rPr>
              <w:t>Nedažnas</w:t>
            </w:r>
          </w:p>
        </w:tc>
      </w:tr>
      <w:tr w:rsidR="00DA535D" w:rsidRPr="003F564F" w14:paraId="1C6291C1" w14:textId="77777777" w:rsidTr="000A6D36">
        <w:tc>
          <w:tcPr>
            <w:tcW w:w="3238" w:type="dxa"/>
          </w:tcPr>
          <w:p w14:paraId="072BE849" w14:textId="2798A213" w:rsidR="00DA535D" w:rsidRPr="003F564F" w:rsidRDefault="00DA535D" w:rsidP="009B4CAC">
            <w:pPr>
              <w:tabs>
                <w:tab w:val="left" w:pos="567"/>
              </w:tabs>
              <w:spacing w:line="260" w:lineRule="exact"/>
              <w:ind w:left="284"/>
              <w:rPr>
                <w:sz w:val="22"/>
                <w:szCs w:val="22"/>
              </w:rPr>
            </w:pPr>
            <w:r w:rsidRPr="003F564F">
              <w:rPr>
                <w:sz w:val="22"/>
                <w:szCs w:val="22"/>
              </w:rPr>
              <w:t xml:space="preserve">3-iojo laipsnio pagal </w:t>
            </w:r>
            <w:proofErr w:type="spellStart"/>
            <w:r w:rsidRPr="003F564F">
              <w:rPr>
                <w:sz w:val="22"/>
                <w:szCs w:val="22"/>
              </w:rPr>
              <w:t>CTCAE</w:t>
            </w:r>
            <w:r w:rsidRPr="003F564F">
              <w:rPr>
                <w:sz w:val="22"/>
                <w:szCs w:val="22"/>
                <w:vertAlign w:val="superscript"/>
              </w:rPr>
              <w:t>c</w:t>
            </w:r>
            <w:proofErr w:type="spellEnd"/>
            <w:r w:rsidRPr="003F564F">
              <w:rPr>
                <w:sz w:val="22"/>
                <w:szCs w:val="22"/>
              </w:rPr>
              <w:t xml:space="preserve"> kriterijus (&lt; 8,0</w:t>
            </w:r>
            <w:r w:rsidRPr="003F564F">
              <w:rPr>
                <w:sz w:val="22"/>
                <w:szCs w:val="22"/>
              </w:rPr>
              <w:noBreakHyphen/>
              <w:t>6,5 g/dl)</w:t>
            </w:r>
          </w:p>
        </w:tc>
        <w:tc>
          <w:tcPr>
            <w:tcW w:w="3238" w:type="dxa"/>
          </w:tcPr>
          <w:p w14:paraId="3A7AF523" w14:textId="2724460D" w:rsidR="00DA535D" w:rsidRPr="003F564F" w:rsidRDefault="00DA535D" w:rsidP="000A6D36">
            <w:pPr>
              <w:tabs>
                <w:tab w:val="left" w:pos="567"/>
              </w:tabs>
              <w:spacing w:line="260" w:lineRule="exact"/>
              <w:jc w:val="center"/>
              <w:rPr>
                <w:sz w:val="22"/>
                <w:szCs w:val="22"/>
              </w:rPr>
            </w:pPr>
            <w:r w:rsidRPr="003F564F">
              <w:rPr>
                <w:sz w:val="22"/>
                <w:szCs w:val="22"/>
              </w:rPr>
              <w:t>Labai dažnas</w:t>
            </w:r>
          </w:p>
        </w:tc>
        <w:tc>
          <w:tcPr>
            <w:tcW w:w="3238" w:type="dxa"/>
          </w:tcPr>
          <w:p w14:paraId="1A1B1789" w14:textId="6EF7A28B" w:rsidR="00DA535D" w:rsidRPr="003F564F" w:rsidRDefault="00DA535D" w:rsidP="000A6D36">
            <w:pPr>
              <w:tabs>
                <w:tab w:val="left" w:pos="567"/>
              </w:tabs>
              <w:spacing w:line="260" w:lineRule="exact"/>
              <w:jc w:val="center"/>
              <w:rPr>
                <w:sz w:val="22"/>
                <w:szCs w:val="22"/>
              </w:rPr>
            </w:pPr>
            <w:r w:rsidRPr="003F564F">
              <w:rPr>
                <w:sz w:val="22"/>
                <w:szCs w:val="22"/>
              </w:rPr>
              <w:t>Dažnas</w:t>
            </w:r>
          </w:p>
        </w:tc>
      </w:tr>
      <w:tr w:rsidR="00DA535D" w:rsidRPr="003F564F" w14:paraId="277DD415" w14:textId="77777777" w:rsidTr="000A6D36">
        <w:tc>
          <w:tcPr>
            <w:tcW w:w="3238" w:type="dxa"/>
          </w:tcPr>
          <w:p w14:paraId="38F1D6FE" w14:textId="11465048" w:rsidR="00DA535D" w:rsidRPr="003F564F" w:rsidRDefault="00DA535D" w:rsidP="009B4CAC">
            <w:pPr>
              <w:tabs>
                <w:tab w:val="left" w:pos="567"/>
              </w:tabs>
              <w:spacing w:line="260" w:lineRule="exact"/>
              <w:ind w:left="284"/>
              <w:rPr>
                <w:sz w:val="22"/>
                <w:szCs w:val="22"/>
              </w:rPr>
            </w:pPr>
            <w:r w:rsidRPr="003F564F">
              <w:rPr>
                <w:sz w:val="22"/>
                <w:szCs w:val="22"/>
              </w:rPr>
              <w:t xml:space="preserve">Bet kokio laipsnio pagal </w:t>
            </w:r>
            <w:proofErr w:type="spellStart"/>
            <w:r w:rsidRPr="003F564F">
              <w:rPr>
                <w:sz w:val="22"/>
                <w:szCs w:val="22"/>
              </w:rPr>
              <w:t>CTCAE</w:t>
            </w:r>
            <w:r w:rsidRPr="003F564F">
              <w:rPr>
                <w:sz w:val="22"/>
                <w:szCs w:val="22"/>
                <w:vertAlign w:val="superscript"/>
              </w:rPr>
              <w:t>c</w:t>
            </w:r>
            <w:proofErr w:type="spellEnd"/>
            <w:r w:rsidRPr="003F564F">
              <w:rPr>
                <w:sz w:val="22"/>
                <w:szCs w:val="22"/>
              </w:rPr>
              <w:t xml:space="preserve"> kriterijus</w:t>
            </w:r>
          </w:p>
        </w:tc>
        <w:tc>
          <w:tcPr>
            <w:tcW w:w="3238" w:type="dxa"/>
          </w:tcPr>
          <w:p w14:paraId="30D1A305" w14:textId="4953C1DB" w:rsidR="00DA535D" w:rsidRPr="003F564F" w:rsidRDefault="00DA535D" w:rsidP="000A6D36">
            <w:pPr>
              <w:tabs>
                <w:tab w:val="left" w:pos="567"/>
              </w:tabs>
              <w:spacing w:line="260" w:lineRule="exact"/>
              <w:jc w:val="center"/>
              <w:rPr>
                <w:sz w:val="22"/>
                <w:szCs w:val="22"/>
              </w:rPr>
            </w:pPr>
            <w:r w:rsidRPr="003F564F">
              <w:rPr>
                <w:sz w:val="22"/>
                <w:szCs w:val="22"/>
              </w:rPr>
              <w:t>Labai dažnas</w:t>
            </w:r>
          </w:p>
        </w:tc>
        <w:tc>
          <w:tcPr>
            <w:tcW w:w="3238" w:type="dxa"/>
          </w:tcPr>
          <w:p w14:paraId="7567BB00" w14:textId="2D40BA50" w:rsidR="00DA535D" w:rsidRPr="003F564F" w:rsidRDefault="00DA535D" w:rsidP="000A6D36">
            <w:pPr>
              <w:tabs>
                <w:tab w:val="left" w:pos="567"/>
              </w:tabs>
              <w:spacing w:line="260" w:lineRule="exact"/>
              <w:jc w:val="center"/>
              <w:rPr>
                <w:sz w:val="22"/>
                <w:szCs w:val="22"/>
              </w:rPr>
            </w:pPr>
            <w:r w:rsidRPr="003F564F">
              <w:rPr>
                <w:sz w:val="22"/>
                <w:szCs w:val="22"/>
              </w:rPr>
              <w:t>Labai dažnas</w:t>
            </w:r>
          </w:p>
        </w:tc>
      </w:tr>
      <w:tr w:rsidR="00DA535D" w:rsidRPr="003F564F" w14:paraId="390012AA" w14:textId="77777777" w:rsidTr="009F34A7">
        <w:tc>
          <w:tcPr>
            <w:tcW w:w="3238" w:type="dxa"/>
          </w:tcPr>
          <w:p w14:paraId="0DBE48C8" w14:textId="16C1129C" w:rsidR="00DA535D" w:rsidRPr="003F564F" w:rsidRDefault="00DA535D" w:rsidP="009B4CAC">
            <w:pPr>
              <w:tabs>
                <w:tab w:val="left" w:pos="567"/>
              </w:tabs>
              <w:spacing w:line="260" w:lineRule="exact"/>
              <w:rPr>
                <w:sz w:val="22"/>
                <w:szCs w:val="22"/>
              </w:rPr>
            </w:pPr>
            <w:proofErr w:type="spellStart"/>
            <w:r w:rsidRPr="003F564F">
              <w:rPr>
                <w:sz w:val="22"/>
                <w:szCs w:val="22"/>
              </w:rPr>
              <w:t>Trombocitopenija</w:t>
            </w:r>
            <w:r w:rsidRPr="003F564F">
              <w:rPr>
                <w:sz w:val="22"/>
                <w:szCs w:val="22"/>
                <w:vertAlign w:val="superscript"/>
              </w:rPr>
              <w:t>a</w:t>
            </w:r>
            <w:proofErr w:type="spellEnd"/>
          </w:p>
        </w:tc>
        <w:tc>
          <w:tcPr>
            <w:tcW w:w="3238" w:type="dxa"/>
          </w:tcPr>
          <w:p w14:paraId="57FAD362" w14:textId="77777777" w:rsidR="00DA535D" w:rsidRPr="003F564F" w:rsidRDefault="00DA535D" w:rsidP="009B4CAC">
            <w:pPr>
              <w:tabs>
                <w:tab w:val="left" w:pos="567"/>
              </w:tabs>
              <w:spacing w:line="260" w:lineRule="exact"/>
              <w:rPr>
                <w:sz w:val="22"/>
                <w:szCs w:val="22"/>
              </w:rPr>
            </w:pPr>
          </w:p>
        </w:tc>
        <w:tc>
          <w:tcPr>
            <w:tcW w:w="3238" w:type="dxa"/>
          </w:tcPr>
          <w:p w14:paraId="4C8C2F51" w14:textId="77777777" w:rsidR="00DA535D" w:rsidRPr="003F564F" w:rsidRDefault="00DA535D" w:rsidP="009B4CAC">
            <w:pPr>
              <w:tabs>
                <w:tab w:val="left" w:pos="567"/>
              </w:tabs>
              <w:spacing w:line="260" w:lineRule="exact"/>
              <w:rPr>
                <w:sz w:val="22"/>
                <w:szCs w:val="22"/>
              </w:rPr>
            </w:pPr>
          </w:p>
        </w:tc>
      </w:tr>
      <w:tr w:rsidR="00DA535D" w:rsidRPr="003F564F" w14:paraId="75A558AB" w14:textId="77777777" w:rsidTr="000A6D36">
        <w:tc>
          <w:tcPr>
            <w:tcW w:w="3238" w:type="dxa"/>
          </w:tcPr>
          <w:p w14:paraId="0E87DE06" w14:textId="329AECDD" w:rsidR="00DA535D" w:rsidRPr="003F564F" w:rsidRDefault="00DA535D" w:rsidP="009B4CAC">
            <w:pPr>
              <w:tabs>
                <w:tab w:val="left" w:pos="567"/>
              </w:tabs>
              <w:spacing w:line="260" w:lineRule="exact"/>
              <w:ind w:left="284"/>
              <w:rPr>
                <w:sz w:val="22"/>
                <w:szCs w:val="22"/>
              </w:rPr>
            </w:pPr>
            <w:r w:rsidRPr="003F564F">
              <w:rPr>
                <w:sz w:val="22"/>
                <w:szCs w:val="22"/>
              </w:rPr>
              <w:t xml:space="preserve">4-ojo laipsnio pagal </w:t>
            </w:r>
            <w:proofErr w:type="spellStart"/>
            <w:r w:rsidRPr="003F564F">
              <w:rPr>
                <w:sz w:val="22"/>
                <w:szCs w:val="22"/>
              </w:rPr>
              <w:t>CTCAE</w:t>
            </w:r>
            <w:r w:rsidRPr="003F564F">
              <w:rPr>
                <w:sz w:val="22"/>
                <w:szCs w:val="22"/>
                <w:vertAlign w:val="superscript"/>
              </w:rPr>
              <w:t>c</w:t>
            </w:r>
            <w:proofErr w:type="spellEnd"/>
            <w:r w:rsidRPr="003F564F">
              <w:rPr>
                <w:sz w:val="22"/>
                <w:szCs w:val="22"/>
              </w:rPr>
              <w:t xml:space="preserve"> kriterijus (&lt; 25 000/mm</w:t>
            </w:r>
            <w:r w:rsidRPr="003F564F">
              <w:rPr>
                <w:sz w:val="22"/>
                <w:szCs w:val="22"/>
                <w:vertAlign w:val="superscript"/>
              </w:rPr>
              <w:t>3</w:t>
            </w:r>
            <w:r w:rsidRPr="003F564F">
              <w:rPr>
                <w:sz w:val="22"/>
                <w:szCs w:val="22"/>
              </w:rPr>
              <w:t>)</w:t>
            </w:r>
          </w:p>
        </w:tc>
        <w:tc>
          <w:tcPr>
            <w:tcW w:w="3238" w:type="dxa"/>
          </w:tcPr>
          <w:p w14:paraId="0D5D50F8" w14:textId="1AD17432" w:rsidR="00DA535D" w:rsidRPr="003F564F" w:rsidRDefault="00DA535D" w:rsidP="000A6D36">
            <w:pPr>
              <w:tabs>
                <w:tab w:val="left" w:pos="567"/>
              </w:tabs>
              <w:spacing w:line="260" w:lineRule="exact"/>
              <w:jc w:val="center"/>
              <w:rPr>
                <w:sz w:val="22"/>
                <w:szCs w:val="22"/>
              </w:rPr>
            </w:pPr>
            <w:r w:rsidRPr="003F564F">
              <w:rPr>
                <w:sz w:val="22"/>
                <w:szCs w:val="22"/>
              </w:rPr>
              <w:t>Dažnas</w:t>
            </w:r>
          </w:p>
        </w:tc>
        <w:tc>
          <w:tcPr>
            <w:tcW w:w="3238" w:type="dxa"/>
          </w:tcPr>
          <w:p w14:paraId="4FF7EF54" w14:textId="50A77454" w:rsidR="00DA535D" w:rsidRPr="003F564F" w:rsidRDefault="00DA535D" w:rsidP="000A6D36">
            <w:pPr>
              <w:tabs>
                <w:tab w:val="left" w:pos="567"/>
              </w:tabs>
              <w:spacing w:line="260" w:lineRule="exact"/>
              <w:jc w:val="center"/>
              <w:rPr>
                <w:sz w:val="22"/>
                <w:szCs w:val="22"/>
              </w:rPr>
            </w:pPr>
            <w:r w:rsidRPr="003F564F">
              <w:rPr>
                <w:sz w:val="22"/>
                <w:szCs w:val="22"/>
              </w:rPr>
              <w:t>Nedažnas</w:t>
            </w:r>
          </w:p>
        </w:tc>
      </w:tr>
      <w:tr w:rsidR="00DA535D" w:rsidRPr="003F564F" w14:paraId="2E29157E" w14:textId="77777777" w:rsidTr="000A6D36">
        <w:tc>
          <w:tcPr>
            <w:tcW w:w="3238" w:type="dxa"/>
          </w:tcPr>
          <w:p w14:paraId="6753195E" w14:textId="1F3305B9" w:rsidR="00DA535D" w:rsidRPr="003F564F" w:rsidRDefault="00DA535D" w:rsidP="009B4CAC">
            <w:pPr>
              <w:tabs>
                <w:tab w:val="left" w:pos="567"/>
              </w:tabs>
              <w:spacing w:line="260" w:lineRule="exact"/>
              <w:ind w:left="284"/>
              <w:rPr>
                <w:sz w:val="22"/>
                <w:szCs w:val="22"/>
              </w:rPr>
            </w:pPr>
            <w:r w:rsidRPr="003F564F">
              <w:rPr>
                <w:sz w:val="22"/>
                <w:szCs w:val="22"/>
              </w:rPr>
              <w:t xml:space="preserve">3-iojo laipsnio pagal </w:t>
            </w:r>
            <w:proofErr w:type="spellStart"/>
            <w:r w:rsidRPr="003F564F">
              <w:rPr>
                <w:sz w:val="22"/>
                <w:szCs w:val="22"/>
              </w:rPr>
              <w:t>CTCAE</w:t>
            </w:r>
            <w:r w:rsidRPr="003F564F">
              <w:rPr>
                <w:sz w:val="22"/>
                <w:szCs w:val="22"/>
                <w:vertAlign w:val="superscript"/>
              </w:rPr>
              <w:t>c</w:t>
            </w:r>
            <w:proofErr w:type="spellEnd"/>
            <w:r w:rsidRPr="003F564F">
              <w:rPr>
                <w:sz w:val="22"/>
                <w:szCs w:val="22"/>
              </w:rPr>
              <w:t xml:space="preserve"> kriterijus (50 000</w:t>
            </w:r>
            <w:r w:rsidRPr="003F564F">
              <w:rPr>
                <w:sz w:val="22"/>
                <w:szCs w:val="22"/>
              </w:rPr>
              <w:noBreakHyphen/>
              <w:t>25 000/mm</w:t>
            </w:r>
            <w:r w:rsidRPr="003F564F">
              <w:rPr>
                <w:sz w:val="22"/>
                <w:szCs w:val="22"/>
                <w:vertAlign w:val="superscript"/>
              </w:rPr>
              <w:t>3</w:t>
            </w:r>
            <w:r w:rsidRPr="003F564F">
              <w:rPr>
                <w:sz w:val="22"/>
                <w:szCs w:val="22"/>
              </w:rPr>
              <w:t>)</w:t>
            </w:r>
          </w:p>
        </w:tc>
        <w:tc>
          <w:tcPr>
            <w:tcW w:w="3238" w:type="dxa"/>
          </w:tcPr>
          <w:p w14:paraId="7A011372" w14:textId="188FD754" w:rsidR="00DA535D" w:rsidRPr="003F564F" w:rsidRDefault="00DA535D" w:rsidP="000A6D36">
            <w:pPr>
              <w:tabs>
                <w:tab w:val="left" w:pos="567"/>
              </w:tabs>
              <w:spacing w:line="260" w:lineRule="exact"/>
              <w:jc w:val="center"/>
              <w:rPr>
                <w:sz w:val="22"/>
                <w:szCs w:val="22"/>
              </w:rPr>
            </w:pPr>
            <w:r w:rsidRPr="003F564F">
              <w:rPr>
                <w:sz w:val="22"/>
                <w:szCs w:val="22"/>
              </w:rPr>
              <w:t>Labai dažnas</w:t>
            </w:r>
          </w:p>
        </w:tc>
        <w:tc>
          <w:tcPr>
            <w:tcW w:w="3238" w:type="dxa"/>
          </w:tcPr>
          <w:p w14:paraId="1653F6A0" w14:textId="2EACFAA3" w:rsidR="00DA535D" w:rsidRPr="003F564F" w:rsidRDefault="00DA535D" w:rsidP="000A6D36">
            <w:pPr>
              <w:tabs>
                <w:tab w:val="left" w:pos="567"/>
              </w:tabs>
              <w:spacing w:line="260" w:lineRule="exact"/>
              <w:jc w:val="center"/>
              <w:rPr>
                <w:sz w:val="22"/>
                <w:szCs w:val="22"/>
              </w:rPr>
            </w:pPr>
            <w:r w:rsidRPr="003F564F">
              <w:rPr>
                <w:sz w:val="22"/>
                <w:szCs w:val="22"/>
              </w:rPr>
              <w:t>Dažnas</w:t>
            </w:r>
          </w:p>
        </w:tc>
      </w:tr>
      <w:tr w:rsidR="00DA535D" w:rsidRPr="003F564F" w14:paraId="7F9B8833" w14:textId="77777777" w:rsidTr="000A6D36">
        <w:tc>
          <w:tcPr>
            <w:tcW w:w="3238" w:type="dxa"/>
          </w:tcPr>
          <w:p w14:paraId="6EB3AA00" w14:textId="3E888773" w:rsidR="00DA535D" w:rsidRPr="003F564F" w:rsidRDefault="00DA535D" w:rsidP="009B4CAC">
            <w:pPr>
              <w:tabs>
                <w:tab w:val="left" w:pos="567"/>
              </w:tabs>
              <w:spacing w:line="260" w:lineRule="exact"/>
              <w:ind w:left="284"/>
              <w:rPr>
                <w:sz w:val="22"/>
                <w:szCs w:val="22"/>
              </w:rPr>
            </w:pPr>
            <w:r w:rsidRPr="003F564F">
              <w:rPr>
                <w:sz w:val="22"/>
                <w:szCs w:val="22"/>
              </w:rPr>
              <w:t xml:space="preserve">Bet kokio laipsnio pagal </w:t>
            </w:r>
            <w:proofErr w:type="spellStart"/>
            <w:r w:rsidRPr="003F564F">
              <w:rPr>
                <w:sz w:val="22"/>
                <w:szCs w:val="22"/>
              </w:rPr>
              <w:t>CTCAE</w:t>
            </w:r>
            <w:r w:rsidRPr="003F564F">
              <w:rPr>
                <w:sz w:val="22"/>
                <w:szCs w:val="22"/>
                <w:vertAlign w:val="superscript"/>
              </w:rPr>
              <w:t>c</w:t>
            </w:r>
            <w:proofErr w:type="spellEnd"/>
            <w:r w:rsidRPr="003F564F">
              <w:rPr>
                <w:sz w:val="22"/>
                <w:szCs w:val="22"/>
              </w:rPr>
              <w:t xml:space="preserve"> kriterijus</w:t>
            </w:r>
          </w:p>
        </w:tc>
        <w:tc>
          <w:tcPr>
            <w:tcW w:w="3238" w:type="dxa"/>
          </w:tcPr>
          <w:p w14:paraId="7D8DB41D" w14:textId="499C147D" w:rsidR="00DA535D" w:rsidRPr="003F564F" w:rsidRDefault="00DA535D" w:rsidP="000A6D36">
            <w:pPr>
              <w:tabs>
                <w:tab w:val="left" w:pos="567"/>
              </w:tabs>
              <w:spacing w:line="260" w:lineRule="exact"/>
              <w:jc w:val="center"/>
              <w:rPr>
                <w:sz w:val="22"/>
                <w:szCs w:val="22"/>
              </w:rPr>
            </w:pPr>
            <w:r w:rsidRPr="003F564F">
              <w:rPr>
                <w:sz w:val="22"/>
                <w:szCs w:val="22"/>
              </w:rPr>
              <w:t>Labai dažnas</w:t>
            </w:r>
          </w:p>
        </w:tc>
        <w:tc>
          <w:tcPr>
            <w:tcW w:w="3238" w:type="dxa"/>
          </w:tcPr>
          <w:p w14:paraId="4043AEF3" w14:textId="1B61AA5A" w:rsidR="00DA535D" w:rsidRPr="003F564F" w:rsidRDefault="00DA535D" w:rsidP="000A6D36">
            <w:pPr>
              <w:tabs>
                <w:tab w:val="left" w:pos="567"/>
              </w:tabs>
              <w:spacing w:line="260" w:lineRule="exact"/>
              <w:jc w:val="center"/>
              <w:rPr>
                <w:sz w:val="22"/>
                <w:szCs w:val="22"/>
              </w:rPr>
            </w:pPr>
            <w:r w:rsidRPr="003F564F">
              <w:rPr>
                <w:sz w:val="22"/>
                <w:szCs w:val="22"/>
              </w:rPr>
              <w:t>Labai dažnas</w:t>
            </w:r>
          </w:p>
        </w:tc>
      </w:tr>
      <w:tr w:rsidR="00DA535D" w:rsidRPr="003F564F" w14:paraId="604897B4" w14:textId="77777777" w:rsidTr="009F34A7">
        <w:tc>
          <w:tcPr>
            <w:tcW w:w="3238" w:type="dxa"/>
          </w:tcPr>
          <w:p w14:paraId="39D0107E" w14:textId="4B7D011E" w:rsidR="00DA535D" w:rsidRPr="003F564F" w:rsidRDefault="00DA535D" w:rsidP="009B4CAC">
            <w:pPr>
              <w:tabs>
                <w:tab w:val="left" w:pos="567"/>
              </w:tabs>
              <w:spacing w:line="260" w:lineRule="exact"/>
              <w:rPr>
                <w:sz w:val="22"/>
                <w:szCs w:val="22"/>
              </w:rPr>
            </w:pPr>
            <w:proofErr w:type="spellStart"/>
            <w:r w:rsidRPr="003F564F">
              <w:rPr>
                <w:sz w:val="22"/>
                <w:szCs w:val="22"/>
              </w:rPr>
              <w:t>Neutropenija</w:t>
            </w:r>
            <w:r w:rsidRPr="003F564F">
              <w:rPr>
                <w:sz w:val="22"/>
                <w:szCs w:val="22"/>
                <w:vertAlign w:val="superscript"/>
              </w:rPr>
              <w:t>a</w:t>
            </w:r>
            <w:proofErr w:type="spellEnd"/>
          </w:p>
        </w:tc>
        <w:tc>
          <w:tcPr>
            <w:tcW w:w="3238" w:type="dxa"/>
          </w:tcPr>
          <w:p w14:paraId="7E158D55" w14:textId="77777777" w:rsidR="00DA535D" w:rsidRPr="003F564F" w:rsidRDefault="00DA535D" w:rsidP="009B4CAC">
            <w:pPr>
              <w:tabs>
                <w:tab w:val="left" w:pos="567"/>
              </w:tabs>
              <w:spacing w:line="260" w:lineRule="exact"/>
              <w:rPr>
                <w:sz w:val="22"/>
                <w:szCs w:val="22"/>
              </w:rPr>
            </w:pPr>
          </w:p>
        </w:tc>
        <w:tc>
          <w:tcPr>
            <w:tcW w:w="3238" w:type="dxa"/>
          </w:tcPr>
          <w:p w14:paraId="1BDBF4BC" w14:textId="77777777" w:rsidR="00DA535D" w:rsidRPr="003F564F" w:rsidRDefault="00DA535D" w:rsidP="009B4CAC">
            <w:pPr>
              <w:tabs>
                <w:tab w:val="left" w:pos="567"/>
              </w:tabs>
              <w:spacing w:line="260" w:lineRule="exact"/>
              <w:rPr>
                <w:sz w:val="22"/>
                <w:szCs w:val="22"/>
              </w:rPr>
            </w:pPr>
          </w:p>
        </w:tc>
      </w:tr>
      <w:tr w:rsidR="00DA535D" w:rsidRPr="003F564F" w14:paraId="37D6C432" w14:textId="77777777" w:rsidTr="000A6D36">
        <w:tc>
          <w:tcPr>
            <w:tcW w:w="3238" w:type="dxa"/>
          </w:tcPr>
          <w:p w14:paraId="376C5580" w14:textId="31C3FD25" w:rsidR="00DA535D" w:rsidRPr="003F564F" w:rsidRDefault="00DA535D" w:rsidP="009B4CAC">
            <w:pPr>
              <w:tabs>
                <w:tab w:val="left" w:pos="567"/>
              </w:tabs>
              <w:spacing w:line="260" w:lineRule="exact"/>
              <w:ind w:left="284"/>
              <w:rPr>
                <w:sz w:val="22"/>
                <w:szCs w:val="22"/>
              </w:rPr>
            </w:pPr>
            <w:r w:rsidRPr="003F564F">
              <w:rPr>
                <w:sz w:val="22"/>
                <w:szCs w:val="22"/>
              </w:rPr>
              <w:t xml:space="preserve">4-ojo laipsnio pagal </w:t>
            </w:r>
            <w:proofErr w:type="spellStart"/>
            <w:r w:rsidRPr="003F564F">
              <w:rPr>
                <w:sz w:val="22"/>
                <w:szCs w:val="22"/>
              </w:rPr>
              <w:t>CTCAE</w:t>
            </w:r>
            <w:r w:rsidRPr="003F564F">
              <w:rPr>
                <w:sz w:val="22"/>
                <w:szCs w:val="22"/>
                <w:vertAlign w:val="superscript"/>
              </w:rPr>
              <w:t>c</w:t>
            </w:r>
            <w:proofErr w:type="spellEnd"/>
            <w:r w:rsidRPr="003F564F">
              <w:rPr>
                <w:sz w:val="22"/>
                <w:szCs w:val="22"/>
              </w:rPr>
              <w:t xml:space="preserve"> kriterijus (&lt;</w:t>
            </w:r>
            <w:r w:rsidR="009B4CAC" w:rsidRPr="003F564F">
              <w:rPr>
                <w:sz w:val="22"/>
                <w:szCs w:val="22"/>
              </w:rPr>
              <w:t> </w:t>
            </w:r>
            <w:r w:rsidRPr="003F564F">
              <w:rPr>
                <w:sz w:val="22"/>
                <w:szCs w:val="22"/>
              </w:rPr>
              <w:t>500/mm</w:t>
            </w:r>
            <w:r w:rsidRPr="003F564F">
              <w:rPr>
                <w:sz w:val="22"/>
                <w:szCs w:val="22"/>
                <w:vertAlign w:val="superscript"/>
              </w:rPr>
              <w:t>3</w:t>
            </w:r>
            <w:r w:rsidRPr="003F564F">
              <w:rPr>
                <w:sz w:val="22"/>
                <w:szCs w:val="22"/>
              </w:rPr>
              <w:t>)</w:t>
            </w:r>
          </w:p>
        </w:tc>
        <w:tc>
          <w:tcPr>
            <w:tcW w:w="3238" w:type="dxa"/>
          </w:tcPr>
          <w:p w14:paraId="5218E06C" w14:textId="67233C63" w:rsidR="00DA535D" w:rsidRPr="003F564F" w:rsidRDefault="00DA535D" w:rsidP="000A6D36">
            <w:pPr>
              <w:tabs>
                <w:tab w:val="left" w:pos="567"/>
              </w:tabs>
              <w:spacing w:line="260" w:lineRule="exact"/>
              <w:jc w:val="center"/>
              <w:rPr>
                <w:sz w:val="22"/>
                <w:szCs w:val="22"/>
              </w:rPr>
            </w:pPr>
            <w:r w:rsidRPr="003F564F">
              <w:rPr>
                <w:sz w:val="22"/>
                <w:szCs w:val="22"/>
              </w:rPr>
              <w:t>Dažnas</w:t>
            </w:r>
          </w:p>
        </w:tc>
        <w:tc>
          <w:tcPr>
            <w:tcW w:w="3238" w:type="dxa"/>
          </w:tcPr>
          <w:p w14:paraId="1F666FAB" w14:textId="5F4553A4" w:rsidR="00DA535D" w:rsidRPr="003F564F" w:rsidRDefault="00DA535D" w:rsidP="000A6D36">
            <w:pPr>
              <w:tabs>
                <w:tab w:val="left" w:pos="567"/>
              </w:tabs>
              <w:spacing w:line="260" w:lineRule="exact"/>
              <w:jc w:val="center"/>
              <w:rPr>
                <w:sz w:val="22"/>
                <w:szCs w:val="22"/>
              </w:rPr>
            </w:pPr>
            <w:r w:rsidRPr="003F564F">
              <w:rPr>
                <w:sz w:val="22"/>
                <w:szCs w:val="22"/>
              </w:rPr>
              <w:t>Nedažnas</w:t>
            </w:r>
          </w:p>
        </w:tc>
      </w:tr>
      <w:tr w:rsidR="000A1C95" w:rsidRPr="003F564F" w14:paraId="06A49079" w14:textId="77777777" w:rsidTr="000A6D36">
        <w:tc>
          <w:tcPr>
            <w:tcW w:w="3238" w:type="dxa"/>
          </w:tcPr>
          <w:p w14:paraId="74EF4461" w14:textId="3D5BB335" w:rsidR="000A1C95" w:rsidRPr="003F564F" w:rsidRDefault="00DA535D" w:rsidP="009B4CAC">
            <w:pPr>
              <w:tabs>
                <w:tab w:val="left" w:pos="567"/>
              </w:tabs>
              <w:spacing w:line="260" w:lineRule="exact"/>
              <w:ind w:left="284"/>
              <w:rPr>
                <w:sz w:val="22"/>
                <w:szCs w:val="22"/>
              </w:rPr>
            </w:pPr>
            <w:r w:rsidRPr="003F564F">
              <w:rPr>
                <w:sz w:val="22"/>
                <w:szCs w:val="22"/>
              </w:rPr>
              <w:t xml:space="preserve">3-iojo laipsnio pagal </w:t>
            </w:r>
            <w:proofErr w:type="spellStart"/>
            <w:r w:rsidRPr="003F564F">
              <w:rPr>
                <w:sz w:val="22"/>
                <w:szCs w:val="22"/>
              </w:rPr>
              <w:t>CTCAE</w:t>
            </w:r>
            <w:r w:rsidRPr="003F564F">
              <w:rPr>
                <w:sz w:val="22"/>
                <w:szCs w:val="22"/>
                <w:vertAlign w:val="superscript"/>
              </w:rPr>
              <w:t>c</w:t>
            </w:r>
            <w:proofErr w:type="spellEnd"/>
            <w:r w:rsidRPr="003F564F">
              <w:rPr>
                <w:sz w:val="22"/>
                <w:szCs w:val="22"/>
              </w:rPr>
              <w:t xml:space="preserve"> kriterijus (&lt;</w:t>
            </w:r>
            <w:r w:rsidR="009B4CAC" w:rsidRPr="003F564F">
              <w:rPr>
                <w:sz w:val="22"/>
                <w:szCs w:val="22"/>
              </w:rPr>
              <w:t> </w:t>
            </w:r>
            <w:r w:rsidRPr="003F564F">
              <w:rPr>
                <w:sz w:val="22"/>
                <w:szCs w:val="22"/>
              </w:rPr>
              <w:t>1</w:t>
            </w:r>
            <w:r w:rsidR="009B4CAC" w:rsidRPr="003F564F">
              <w:rPr>
                <w:sz w:val="22"/>
                <w:szCs w:val="22"/>
              </w:rPr>
              <w:t> </w:t>
            </w:r>
            <w:r w:rsidRPr="003F564F">
              <w:rPr>
                <w:sz w:val="22"/>
                <w:szCs w:val="22"/>
              </w:rPr>
              <w:t>000</w:t>
            </w:r>
            <w:r w:rsidR="009B4CAC" w:rsidRPr="003F564F">
              <w:rPr>
                <w:sz w:val="22"/>
                <w:szCs w:val="22"/>
              </w:rPr>
              <w:noBreakHyphen/>
            </w:r>
            <w:r w:rsidRPr="003F564F">
              <w:rPr>
                <w:sz w:val="22"/>
                <w:szCs w:val="22"/>
              </w:rPr>
              <w:t>500/mm</w:t>
            </w:r>
            <w:r w:rsidRPr="003F564F">
              <w:rPr>
                <w:sz w:val="22"/>
                <w:szCs w:val="22"/>
                <w:vertAlign w:val="superscript"/>
              </w:rPr>
              <w:t>3</w:t>
            </w:r>
            <w:r w:rsidRPr="003F564F">
              <w:rPr>
                <w:sz w:val="22"/>
                <w:szCs w:val="22"/>
              </w:rPr>
              <w:t>)</w:t>
            </w:r>
          </w:p>
        </w:tc>
        <w:tc>
          <w:tcPr>
            <w:tcW w:w="3238" w:type="dxa"/>
          </w:tcPr>
          <w:p w14:paraId="1A1F423D" w14:textId="7E84ED7A" w:rsidR="000A1C95" w:rsidRPr="003F564F" w:rsidRDefault="00DA535D" w:rsidP="000A6D36">
            <w:pPr>
              <w:tabs>
                <w:tab w:val="left" w:pos="567"/>
              </w:tabs>
              <w:spacing w:line="260" w:lineRule="exact"/>
              <w:jc w:val="center"/>
              <w:rPr>
                <w:sz w:val="22"/>
                <w:szCs w:val="22"/>
              </w:rPr>
            </w:pPr>
            <w:r w:rsidRPr="003F564F">
              <w:rPr>
                <w:sz w:val="22"/>
                <w:szCs w:val="22"/>
              </w:rPr>
              <w:t>Dažnas</w:t>
            </w:r>
          </w:p>
        </w:tc>
        <w:tc>
          <w:tcPr>
            <w:tcW w:w="3238" w:type="dxa"/>
          </w:tcPr>
          <w:p w14:paraId="3C3CE185" w14:textId="47270A17" w:rsidR="000A1C95" w:rsidRPr="003F564F" w:rsidRDefault="00DA535D" w:rsidP="000A6D36">
            <w:pPr>
              <w:tabs>
                <w:tab w:val="left" w:pos="567"/>
              </w:tabs>
              <w:spacing w:line="260" w:lineRule="exact"/>
              <w:jc w:val="center"/>
              <w:rPr>
                <w:sz w:val="22"/>
                <w:szCs w:val="22"/>
              </w:rPr>
            </w:pPr>
            <w:r w:rsidRPr="003F564F">
              <w:rPr>
                <w:sz w:val="22"/>
                <w:szCs w:val="22"/>
              </w:rPr>
              <w:t>Nedažnas</w:t>
            </w:r>
          </w:p>
        </w:tc>
      </w:tr>
      <w:tr w:rsidR="000A1C95" w:rsidRPr="003F564F" w14:paraId="6CC57113" w14:textId="77777777" w:rsidTr="000A6D36">
        <w:tc>
          <w:tcPr>
            <w:tcW w:w="3238" w:type="dxa"/>
          </w:tcPr>
          <w:p w14:paraId="20172513" w14:textId="346D58E2" w:rsidR="000A1C95" w:rsidRPr="003F564F" w:rsidRDefault="00DA535D" w:rsidP="009B4CAC">
            <w:pPr>
              <w:tabs>
                <w:tab w:val="left" w:pos="567"/>
              </w:tabs>
              <w:spacing w:line="260" w:lineRule="exact"/>
              <w:ind w:left="284"/>
              <w:rPr>
                <w:sz w:val="22"/>
                <w:szCs w:val="22"/>
              </w:rPr>
            </w:pPr>
            <w:r w:rsidRPr="003F564F">
              <w:rPr>
                <w:sz w:val="22"/>
                <w:szCs w:val="22"/>
              </w:rPr>
              <w:t xml:space="preserve">Bet kokio laipsnio pagal </w:t>
            </w:r>
            <w:proofErr w:type="spellStart"/>
            <w:r w:rsidRPr="003F564F">
              <w:rPr>
                <w:sz w:val="22"/>
                <w:szCs w:val="22"/>
              </w:rPr>
              <w:t>CTCAE</w:t>
            </w:r>
            <w:r w:rsidRPr="003F564F">
              <w:rPr>
                <w:sz w:val="22"/>
                <w:szCs w:val="22"/>
                <w:vertAlign w:val="superscript"/>
              </w:rPr>
              <w:t>c</w:t>
            </w:r>
            <w:proofErr w:type="spellEnd"/>
            <w:r w:rsidRPr="003F564F">
              <w:rPr>
                <w:sz w:val="22"/>
                <w:szCs w:val="22"/>
              </w:rPr>
              <w:t xml:space="preserve"> kriterijus</w:t>
            </w:r>
          </w:p>
        </w:tc>
        <w:tc>
          <w:tcPr>
            <w:tcW w:w="3238" w:type="dxa"/>
          </w:tcPr>
          <w:p w14:paraId="32F611E9" w14:textId="7FAAA751" w:rsidR="000A1C95" w:rsidRPr="003F564F" w:rsidRDefault="00DA535D" w:rsidP="000A6D36">
            <w:pPr>
              <w:tabs>
                <w:tab w:val="left" w:pos="567"/>
              </w:tabs>
              <w:spacing w:line="260" w:lineRule="exact"/>
              <w:jc w:val="center"/>
              <w:rPr>
                <w:sz w:val="22"/>
                <w:szCs w:val="22"/>
              </w:rPr>
            </w:pPr>
            <w:r w:rsidRPr="003F564F">
              <w:rPr>
                <w:sz w:val="22"/>
                <w:szCs w:val="22"/>
              </w:rPr>
              <w:t>Labai dažnas</w:t>
            </w:r>
          </w:p>
        </w:tc>
        <w:tc>
          <w:tcPr>
            <w:tcW w:w="3238" w:type="dxa"/>
          </w:tcPr>
          <w:p w14:paraId="2519E07A" w14:textId="3535234C" w:rsidR="000A1C95" w:rsidRPr="003F564F" w:rsidRDefault="00DA535D" w:rsidP="000A6D36">
            <w:pPr>
              <w:tabs>
                <w:tab w:val="left" w:pos="567"/>
              </w:tabs>
              <w:spacing w:line="260" w:lineRule="exact"/>
              <w:jc w:val="center"/>
              <w:rPr>
                <w:sz w:val="22"/>
                <w:szCs w:val="22"/>
              </w:rPr>
            </w:pPr>
            <w:r w:rsidRPr="003F564F">
              <w:rPr>
                <w:sz w:val="22"/>
                <w:szCs w:val="22"/>
              </w:rPr>
              <w:t>Dažnas</w:t>
            </w:r>
          </w:p>
        </w:tc>
      </w:tr>
      <w:tr w:rsidR="000A1C95" w:rsidRPr="003F564F" w14:paraId="1C45DC7C" w14:textId="77777777" w:rsidTr="000A6D36">
        <w:tc>
          <w:tcPr>
            <w:tcW w:w="3238" w:type="dxa"/>
          </w:tcPr>
          <w:p w14:paraId="0BE1F4B2" w14:textId="76DD79F1" w:rsidR="000A1C95" w:rsidRPr="003F564F" w:rsidRDefault="00DA535D" w:rsidP="009B4CAC">
            <w:pPr>
              <w:tabs>
                <w:tab w:val="left" w:pos="567"/>
              </w:tabs>
              <w:spacing w:line="260" w:lineRule="exact"/>
              <w:rPr>
                <w:sz w:val="22"/>
                <w:szCs w:val="22"/>
              </w:rPr>
            </w:pPr>
            <w:proofErr w:type="spellStart"/>
            <w:r w:rsidRPr="003F564F">
              <w:rPr>
                <w:sz w:val="22"/>
                <w:szCs w:val="22"/>
              </w:rPr>
              <w:t>Pancitopenija</w:t>
            </w:r>
            <w:r w:rsidRPr="003F564F">
              <w:rPr>
                <w:sz w:val="22"/>
                <w:szCs w:val="22"/>
                <w:vertAlign w:val="superscript"/>
              </w:rPr>
              <w:t>a,b</w:t>
            </w:r>
            <w:proofErr w:type="spellEnd"/>
          </w:p>
        </w:tc>
        <w:tc>
          <w:tcPr>
            <w:tcW w:w="3238" w:type="dxa"/>
          </w:tcPr>
          <w:p w14:paraId="76750496" w14:textId="3F010288" w:rsidR="000A1C95" w:rsidRPr="003F564F" w:rsidRDefault="00DA535D" w:rsidP="000A6D36">
            <w:pPr>
              <w:tabs>
                <w:tab w:val="left" w:pos="567"/>
              </w:tabs>
              <w:spacing w:line="260" w:lineRule="exact"/>
              <w:jc w:val="center"/>
              <w:rPr>
                <w:sz w:val="22"/>
                <w:szCs w:val="22"/>
              </w:rPr>
            </w:pPr>
            <w:r w:rsidRPr="003F564F">
              <w:rPr>
                <w:sz w:val="22"/>
                <w:szCs w:val="22"/>
              </w:rPr>
              <w:t>Dažnas</w:t>
            </w:r>
          </w:p>
        </w:tc>
        <w:tc>
          <w:tcPr>
            <w:tcW w:w="3238" w:type="dxa"/>
          </w:tcPr>
          <w:p w14:paraId="023DE9FA" w14:textId="486F1974" w:rsidR="000A1C95" w:rsidRPr="003F564F" w:rsidRDefault="00DA535D" w:rsidP="000A6D36">
            <w:pPr>
              <w:tabs>
                <w:tab w:val="left" w:pos="567"/>
              </w:tabs>
              <w:spacing w:line="260" w:lineRule="exact"/>
              <w:jc w:val="center"/>
              <w:rPr>
                <w:sz w:val="22"/>
                <w:szCs w:val="22"/>
              </w:rPr>
            </w:pPr>
            <w:r w:rsidRPr="003F564F">
              <w:rPr>
                <w:sz w:val="22"/>
                <w:szCs w:val="22"/>
              </w:rPr>
              <w:t>Dažnas</w:t>
            </w:r>
          </w:p>
        </w:tc>
      </w:tr>
      <w:tr w:rsidR="000A1C95" w:rsidRPr="003F564F" w14:paraId="760BC161" w14:textId="77777777" w:rsidTr="000A6D36">
        <w:tc>
          <w:tcPr>
            <w:tcW w:w="3238" w:type="dxa"/>
          </w:tcPr>
          <w:p w14:paraId="483F2D1F" w14:textId="1B896ABC" w:rsidR="000A1C95" w:rsidRPr="003F564F" w:rsidRDefault="009B4CAC" w:rsidP="009B4CAC">
            <w:pPr>
              <w:tabs>
                <w:tab w:val="left" w:pos="567"/>
              </w:tabs>
              <w:spacing w:line="260" w:lineRule="exact"/>
              <w:rPr>
                <w:sz w:val="22"/>
                <w:szCs w:val="22"/>
              </w:rPr>
            </w:pPr>
            <w:r w:rsidRPr="003F564F">
              <w:rPr>
                <w:sz w:val="22"/>
                <w:szCs w:val="22"/>
              </w:rPr>
              <w:t xml:space="preserve">Kraujavimas (bet koks kraujavimas, įskaitant </w:t>
            </w:r>
            <w:proofErr w:type="spellStart"/>
            <w:r w:rsidRPr="003F564F">
              <w:rPr>
                <w:sz w:val="22"/>
                <w:szCs w:val="22"/>
              </w:rPr>
              <w:t>intrakranijinį</w:t>
            </w:r>
            <w:proofErr w:type="spellEnd"/>
            <w:r w:rsidRPr="003F564F">
              <w:rPr>
                <w:sz w:val="22"/>
                <w:szCs w:val="22"/>
              </w:rPr>
              <w:t xml:space="preserve"> ir iš virškinimo trakto, kraujosruvas ir kitokį kraujavimą)</w:t>
            </w:r>
          </w:p>
        </w:tc>
        <w:tc>
          <w:tcPr>
            <w:tcW w:w="3238" w:type="dxa"/>
          </w:tcPr>
          <w:p w14:paraId="3AB2DC26" w14:textId="34910017" w:rsidR="000A1C95" w:rsidRPr="003F564F" w:rsidRDefault="009B4CAC" w:rsidP="000A6D36">
            <w:pPr>
              <w:tabs>
                <w:tab w:val="left" w:pos="567"/>
              </w:tabs>
              <w:spacing w:line="260" w:lineRule="exact"/>
              <w:jc w:val="center"/>
              <w:rPr>
                <w:sz w:val="22"/>
                <w:szCs w:val="22"/>
              </w:rPr>
            </w:pPr>
            <w:r w:rsidRPr="003F564F">
              <w:rPr>
                <w:sz w:val="22"/>
                <w:szCs w:val="22"/>
              </w:rPr>
              <w:t>Labai dažnas</w:t>
            </w:r>
          </w:p>
        </w:tc>
        <w:tc>
          <w:tcPr>
            <w:tcW w:w="3238" w:type="dxa"/>
          </w:tcPr>
          <w:p w14:paraId="7AB46821" w14:textId="66210353" w:rsidR="000A1C95" w:rsidRPr="003F564F" w:rsidRDefault="009B4CAC" w:rsidP="000A6D36">
            <w:pPr>
              <w:tabs>
                <w:tab w:val="left" w:pos="567"/>
              </w:tabs>
              <w:spacing w:line="260" w:lineRule="exact"/>
              <w:jc w:val="center"/>
              <w:rPr>
                <w:sz w:val="22"/>
                <w:szCs w:val="22"/>
              </w:rPr>
            </w:pPr>
            <w:r w:rsidRPr="003F564F">
              <w:rPr>
                <w:sz w:val="22"/>
                <w:szCs w:val="22"/>
              </w:rPr>
              <w:t>Labai dažnas</w:t>
            </w:r>
          </w:p>
        </w:tc>
      </w:tr>
      <w:tr w:rsidR="000A1C95" w:rsidRPr="003F564F" w14:paraId="02376E2F" w14:textId="77777777" w:rsidTr="000A6D36">
        <w:tc>
          <w:tcPr>
            <w:tcW w:w="3238" w:type="dxa"/>
          </w:tcPr>
          <w:p w14:paraId="1C548539" w14:textId="05F671CA" w:rsidR="000A1C95" w:rsidRPr="003F564F" w:rsidRDefault="009B4CAC" w:rsidP="009B4CAC">
            <w:pPr>
              <w:tabs>
                <w:tab w:val="left" w:pos="567"/>
              </w:tabs>
              <w:spacing w:line="260" w:lineRule="exact"/>
              <w:ind w:left="284"/>
              <w:rPr>
                <w:sz w:val="22"/>
                <w:szCs w:val="22"/>
              </w:rPr>
            </w:pPr>
            <w:r w:rsidRPr="003F564F">
              <w:rPr>
                <w:sz w:val="22"/>
                <w:szCs w:val="22"/>
              </w:rPr>
              <w:t>Kraujosruvos</w:t>
            </w:r>
          </w:p>
        </w:tc>
        <w:tc>
          <w:tcPr>
            <w:tcW w:w="3238" w:type="dxa"/>
          </w:tcPr>
          <w:p w14:paraId="71878EF5" w14:textId="70C9BA49" w:rsidR="000A1C95" w:rsidRPr="003F564F" w:rsidRDefault="009B4CAC" w:rsidP="000A6D36">
            <w:pPr>
              <w:tabs>
                <w:tab w:val="left" w:pos="567"/>
              </w:tabs>
              <w:spacing w:line="260" w:lineRule="exact"/>
              <w:jc w:val="center"/>
              <w:rPr>
                <w:sz w:val="22"/>
                <w:szCs w:val="22"/>
              </w:rPr>
            </w:pPr>
            <w:r w:rsidRPr="003F564F">
              <w:rPr>
                <w:sz w:val="22"/>
                <w:szCs w:val="22"/>
              </w:rPr>
              <w:t>Labai dažnas</w:t>
            </w:r>
          </w:p>
        </w:tc>
        <w:tc>
          <w:tcPr>
            <w:tcW w:w="3238" w:type="dxa"/>
          </w:tcPr>
          <w:p w14:paraId="78843022" w14:textId="42F3BD05" w:rsidR="000A1C95" w:rsidRPr="003F564F" w:rsidRDefault="009B4CAC" w:rsidP="000A6D36">
            <w:pPr>
              <w:tabs>
                <w:tab w:val="left" w:pos="567"/>
              </w:tabs>
              <w:spacing w:line="260" w:lineRule="exact"/>
              <w:jc w:val="center"/>
              <w:rPr>
                <w:sz w:val="22"/>
                <w:szCs w:val="22"/>
              </w:rPr>
            </w:pPr>
            <w:r w:rsidRPr="003F564F">
              <w:rPr>
                <w:sz w:val="22"/>
                <w:szCs w:val="22"/>
              </w:rPr>
              <w:t>Labai dažnas</w:t>
            </w:r>
          </w:p>
        </w:tc>
      </w:tr>
      <w:tr w:rsidR="000A1C95" w:rsidRPr="003F564F" w14:paraId="690B748E" w14:textId="77777777" w:rsidTr="000A6D36">
        <w:tc>
          <w:tcPr>
            <w:tcW w:w="3238" w:type="dxa"/>
          </w:tcPr>
          <w:p w14:paraId="59F2933D" w14:textId="5418953B" w:rsidR="000A1C95" w:rsidRPr="003F564F" w:rsidRDefault="009B4CAC" w:rsidP="009B4CAC">
            <w:pPr>
              <w:tabs>
                <w:tab w:val="left" w:pos="567"/>
              </w:tabs>
              <w:spacing w:line="260" w:lineRule="exact"/>
              <w:ind w:left="284"/>
              <w:rPr>
                <w:sz w:val="22"/>
                <w:szCs w:val="22"/>
              </w:rPr>
            </w:pPr>
            <w:r w:rsidRPr="003F564F">
              <w:rPr>
                <w:sz w:val="22"/>
                <w:szCs w:val="22"/>
              </w:rPr>
              <w:t>Kraujavimas iš virškinimo trakto</w:t>
            </w:r>
          </w:p>
        </w:tc>
        <w:tc>
          <w:tcPr>
            <w:tcW w:w="3238" w:type="dxa"/>
          </w:tcPr>
          <w:p w14:paraId="4A077D33" w14:textId="2DF0250A" w:rsidR="000A1C95" w:rsidRPr="003F564F" w:rsidRDefault="009B4CAC" w:rsidP="000A6D36">
            <w:pPr>
              <w:tabs>
                <w:tab w:val="left" w:pos="567"/>
              </w:tabs>
              <w:spacing w:line="260" w:lineRule="exact"/>
              <w:jc w:val="center"/>
              <w:rPr>
                <w:sz w:val="22"/>
                <w:szCs w:val="22"/>
              </w:rPr>
            </w:pPr>
            <w:r w:rsidRPr="003F564F">
              <w:rPr>
                <w:sz w:val="22"/>
                <w:szCs w:val="22"/>
              </w:rPr>
              <w:t>Labai dažnas</w:t>
            </w:r>
          </w:p>
        </w:tc>
        <w:tc>
          <w:tcPr>
            <w:tcW w:w="3238" w:type="dxa"/>
          </w:tcPr>
          <w:p w14:paraId="1C5AF8E7" w14:textId="0AD7E365" w:rsidR="000A1C95" w:rsidRPr="003F564F" w:rsidRDefault="009B4CAC" w:rsidP="000A6D36">
            <w:pPr>
              <w:tabs>
                <w:tab w:val="left" w:pos="567"/>
              </w:tabs>
              <w:spacing w:line="260" w:lineRule="exact"/>
              <w:jc w:val="center"/>
              <w:rPr>
                <w:sz w:val="22"/>
                <w:szCs w:val="22"/>
              </w:rPr>
            </w:pPr>
            <w:r w:rsidRPr="003F564F">
              <w:rPr>
                <w:sz w:val="22"/>
                <w:szCs w:val="22"/>
              </w:rPr>
              <w:t>Dažnas</w:t>
            </w:r>
          </w:p>
        </w:tc>
      </w:tr>
      <w:tr w:rsidR="000A1C95" w:rsidRPr="003F564F" w14:paraId="1A4751F9" w14:textId="77777777" w:rsidTr="000A6D36">
        <w:tc>
          <w:tcPr>
            <w:tcW w:w="3238" w:type="dxa"/>
          </w:tcPr>
          <w:p w14:paraId="2CD016E1" w14:textId="134C8EB2" w:rsidR="000A1C95" w:rsidRPr="003F564F" w:rsidRDefault="009B4CAC" w:rsidP="009B4CAC">
            <w:pPr>
              <w:tabs>
                <w:tab w:val="left" w:pos="567"/>
              </w:tabs>
              <w:spacing w:line="260" w:lineRule="exact"/>
              <w:ind w:left="284"/>
              <w:rPr>
                <w:sz w:val="22"/>
                <w:szCs w:val="22"/>
              </w:rPr>
            </w:pPr>
            <w:proofErr w:type="spellStart"/>
            <w:r w:rsidRPr="003F564F">
              <w:rPr>
                <w:sz w:val="22"/>
                <w:szCs w:val="22"/>
              </w:rPr>
              <w:lastRenderedPageBreak/>
              <w:t>Intrakranijinis</w:t>
            </w:r>
            <w:proofErr w:type="spellEnd"/>
            <w:r w:rsidRPr="003F564F">
              <w:rPr>
                <w:sz w:val="22"/>
                <w:szCs w:val="22"/>
              </w:rPr>
              <w:t xml:space="preserve"> kraujavimas</w:t>
            </w:r>
          </w:p>
        </w:tc>
        <w:tc>
          <w:tcPr>
            <w:tcW w:w="3238" w:type="dxa"/>
          </w:tcPr>
          <w:p w14:paraId="460A7859" w14:textId="05FC7191" w:rsidR="000A1C95" w:rsidRPr="003F564F" w:rsidRDefault="009B4CAC" w:rsidP="000A6D36">
            <w:pPr>
              <w:tabs>
                <w:tab w:val="left" w:pos="567"/>
              </w:tabs>
              <w:spacing w:line="260" w:lineRule="exact"/>
              <w:jc w:val="center"/>
              <w:rPr>
                <w:sz w:val="22"/>
                <w:szCs w:val="22"/>
              </w:rPr>
            </w:pPr>
            <w:r w:rsidRPr="003F564F">
              <w:rPr>
                <w:sz w:val="22"/>
                <w:szCs w:val="22"/>
              </w:rPr>
              <w:t>Dažnas</w:t>
            </w:r>
          </w:p>
        </w:tc>
        <w:tc>
          <w:tcPr>
            <w:tcW w:w="3238" w:type="dxa"/>
          </w:tcPr>
          <w:p w14:paraId="1AB7DA88" w14:textId="35C2F271" w:rsidR="000A1C95" w:rsidRPr="003F564F" w:rsidRDefault="009B4CAC" w:rsidP="000A6D36">
            <w:pPr>
              <w:tabs>
                <w:tab w:val="left" w:pos="567"/>
              </w:tabs>
              <w:spacing w:line="260" w:lineRule="exact"/>
              <w:jc w:val="center"/>
              <w:rPr>
                <w:sz w:val="22"/>
                <w:szCs w:val="22"/>
              </w:rPr>
            </w:pPr>
            <w:r w:rsidRPr="003F564F">
              <w:rPr>
                <w:sz w:val="22"/>
                <w:szCs w:val="22"/>
              </w:rPr>
              <w:t>Nedažnas</w:t>
            </w:r>
          </w:p>
        </w:tc>
      </w:tr>
      <w:tr w:rsidR="009B4CAC" w:rsidRPr="003F564F" w14:paraId="67BF3754" w14:textId="77777777" w:rsidTr="000A6D36">
        <w:tc>
          <w:tcPr>
            <w:tcW w:w="3238" w:type="dxa"/>
          </w:tcPr>
          <w:p w14:paraId="27C5C707" w14:textId="275228A6" w:rsidR="009B4CAC" w:rsidRPr="003F564F" w:rsidRDefault="009B4CAC" w:rsidP="009B4CAC">
            <w:pPr>
              <w:tabs>
                <w:tab w:val="left" w:pos="567"/>
              </w:tabs>
              <w:spacing w:line="260" w:lineRule="exact"/>
              <w:ind w:left="284"/>
              <w:rPr>
                <w:sz w:val="22"/>
                <w:szCs w:val="22"/>
              </w:rPr>
            </w:pPr>
            <w:r w:rsidRPr="003F564F">
              <w:rPr>
                <w:sz w:val="22"/>
                <w:szCs w:val="22"/>
              </w:rPr>
              <w:t xml:space="preserve">Kitoks kraujavimas (įskaitant iš nosies, po procedūrų ir </w:t>
            </w:r>
            <w:proofErr w:type="spellStart"/>
            <w:r w:rsidRPr="003F564F">
              <w:rPr>
                <w:sz w:val="22"/>
                <w:szCs w:val="22"/>
              </w:rPr>
              <w:t>hematuriją</w:t>
            </w:r>
            <w:proofErr w:type="spellEnd"/>
            <w:r w:rsidRPr="003F564F">
              <w:rPr>
                <w:sz w:val="22"/>
                <w:szCs w:val="22"/>
              </w:rPr>
              <w:t>)</w:t>
            </w:r>
          </w:p>
        </w:tc>
        <w:tc>
          <w:tcPr>
            <w:tcW w:w="3238" w:type="dxa"/>
          </w:tcPr>
          <w:p w14:paraId="69712611" w14:textId="409D82A5" w:rsidR="009B4CAC" w:rsidRPr="003F564F" w:rsidRDefault="009B4CAC" w:rsidP="000A6D36">
            <w:pPr>
              <w:tabs>
                <w:tab w:val="left" w:pos="567"/>
              </w:tabs>
              <w:spacing w:line="260" w:lineRule="exact"/>
              <w:jc w:val="center"/>
              <w:rPr>
                <w:sz w:val="22"/>
                <w:szCs w:val="22"/>
              </w:rPr>
            </w:pPr>
            <w:r w:rsidRPr="003F564F">
              <w:rPr>
                <w:sz w:val="22"/>
                <w:szCs w:val="22"/>
              </w:rPr>
              <w:t>Labai dažnas</w:t>
            </w:r>
          </w:p>
        </w:tc>
        <w:tc>
          <w:tcPr>
            <w:tcW w:w="3238" w:type="dxa"/>
          </w:tcPr>
          <w:p w14:paraId="34CE41CD" w14:textId="5647A96E" w:rsidR="009B4CAC" w:rsidRPr="003F564F" w:rsidRDefault="009B4CAC" w:rsidP="000A6D36">
            <w:pPr>
              <w:tabs>
                <w:tab w:val="left" w:pos="567"/>
              </w:tabs>
              <w:spacing w:line="260" w:lineRule="exact"/>
              <w:jc w:val="center"/>
              <w:rPr>
                <w:sz w:val="22"/>
                <w:szCs w:val="22"/>
              </w:rPr>
            </w:pPr>
            <w:r w:rsidRPr="003F564F">
              <w:rPr>
                <w:sz w:val="22"/>
                <w:szCs w:val="22"/>
              </w:rPr>
              <w:t>Labai dažnas</w:t>
            </w:r>
          </w:p>
        </w:tc>
      </w:tr>
      <w:tr w:rsidR="009B4CAC" w:rsidRPr="003F564F" w14:paraId="33C605BE" w14:textId="77777777" w:rsidTr="003F160F">
        <w:tc>
          <w:tcPr>
            <w:tcW w:w="9714" w:type="dxa"/>
            <w:gridSpan w:val="3"/>
          </w:tcPr>
          <w:p w14:paraId="6A2BF795" w14:textId="78D3DD06" w:rsidR="009B4CAC" w:rsidRPr="003F564F" w:rsidRDefault="009B4CAC" w:rsidP="009B4CAC">
            <w:pPr>
              <w:tabs>
                <w:tab w:val="left" w:pos="567"/>
              </w:tabs>
              <w:spacing w:line="260" w:lineRule="exact"/>
              <w:rPr>
                <w:b/>
                <w:bCs/>
                <w:sz w:val="22"/>
                <w:szCs w:val="22"/>
              </w:rPr>
            </w:pPr>
            <w:r w:rsidRPr="003F564F">
              <w:rPr>
                <w:b/>
                <w:bCs/>
                <w:sz w:val="22"/>
                <w:szCs w:val="22"/>
              </w:rPr>
              <w:t>Metabolizmo ir mitybos sutrikimai</w:t>
            </w:r>
          </w:p>
        </w:tc>
      </w:tr>
      <w:tr w:rsidR="009B4CAC" w:rsidRPr="003F564F" w14:paraId="77943438" w14:textId="77777777" w:rsidTr="000A6D36">
        <w:tc>
          <w:tcPr>
            <w:tcW w:w="3238" w:type="dxa"/>
          </w:tcPr>
          <w:p w14:paraId="3E57BD65" w14:textId="77777777" w:rsidR="009B4CAC" w:rsidRPr="003F564F" w:rsidRDefault="009B4CAC" w:rsidP="009B4CAC">
            <w:pPr>
              <w:tabs>
                <w:tab w:val="left" w:pos="567"/>
              </w:tabs>
              <w:spacing w:line="260" w:lineRule="exact"/>
              <w:rPr>
                <w:sz w:val="22"/>
                <w:szCs w:val="22"/>
              </w:rPr>
            </w:pPr>
            <w:proofErr w:type="spellStart"/>
            <w:r w:rsidRPr="003F564F">
              <w:rPr>
                <w:sz w:val="22"/>
                <w:szCs w:val="22"/>
              </w:rPr>
              <w:t>Hipercholesterolemija</w:t>
            </w:r>
            <w:r w:rsidRPr="003F564F">
              <w:rPr>
                <w:sz w:val="22"/>
                <w:szCs w:val="22"/>
                <w:vertAlign w:val="superscript"/>
              </w:rPr>
              <w:t>a</w:t>
            </w:r>
            <w:proofErr w:type="spellEnd"/>
          </w:p>
          <w:p w14:paraId="51E656DC" w14:textId="0196B197" w:rsidR="009B4CAC" w:rsidRPr="003F564F" w:rsidRDefault="009B4CAC" w:rsidP="009B4CAC">
            <w:pPr>
              <w:tabs>
                <w:tab w:val="left" w:pos="567"/>
              </w:tabs>
              <w:spacing w:line="260" w:lineRule="exact"/>
              <w:ind w:left="284"/>
              <w:rPr>
                <w:sz w:val="22"/>
                <w:szCs w:val="22"/>
              </w:rPr>
            </w:pPr>
            <w:r w:rsidRPr="003F564F">
              <w:rPr>
                <w:sz w:val="22"/>
                <w:szCs w:val="22"/>
              </w:rPr>
              <w:t xml:space="preserve">Bet kokio laipsnio pagal </w:t>
            </w:r>
            <w:proofErr w:type="spellStart"/>
            <w:r w:rsidRPr="003F564F">
              <w:rPr>
                <w:sz w:val="22"/>
                <w:szCs w:val="22"/>
              </w:rPr>
              <w:t>CTCAE</w:t>
            </w:r>
            <w:r w:rsidRPr="003F564F">
              <w:rPr>
                <w:sz w:val="22"/>
                <w:szCs w:val="22"/>
                <w:vertAlign w:val="superscript"/>
              </w:rPr>
              <w:t>c</w:t>
            </w:r>
            <w:proofErr w:type="spellEnd"/>
            <w:r w:rsidRPr="003F564F">
              <w:rPr>
                <w:sz w:val="22"/>
                <w:szCs w:val="22"/>
                <w:vertAlign w:val="superscript"/>
              </w:rPr>
              <w:t xml:space="preserve"> </w:t>
            </w:r>
            <w:r w:rsidRPr="003F564F">
              <w:rPr>
                <w:sz w:val="22"/>
                <w:szCs w:val="22"/>
              </w:rPr>
              <w:t>kriterijus</w:t>
            </w:r>
          </w:p>
        </w:tc>
        <w:tc>
          <w:tcPr>
            <w:tcW w:w="3238" w:type="dxa"/>
          </w:tcPr>
          <w:p w14:paraId="0C9F1EAD" w14:textId="76CBB37B" w:rsidR="009B4CAC" w:rsidRPr="003F564F" w:rsidRDefault="009B4CAC" w:rsidP="000A6D36">
            <w:pPr>
              <w:tabs>
                <w:tab w:val="left" w:pos="567"/>
              </w:tabs>
              <w:spacing w:line="260" w:lineRule="exact"/>
              <w:jc w:val="center"/>
              <w:rPr>
                <w:sz w:val="22"/>
                <w:szCs w:val="22"/>
              </w:rPr>
            </w:pPr>
            <w:r w:rsidRPr="003F564F">
              <w:rPr>
                <w:sz w:val="22"/>
                <w:szCs w:val="22"/>
              </w:rPr>
              <w:t>Labai dažnas</w:t>
            </w:r>
          </w:p>
        </w:tc>
        <w:tc>
          <w:tcPr>
            <w:tcW w:w="3238" w:type="dxa"/>
          </w:tcPr>
          <w:p w14:paraId="4F6883C6" w14:textId="246451BA" w:rsidR="009B4CAC" w:rsidRPr="003F564F" w:rsidRDefault="009B4CAC" w:rsidP="000A6D36">
            <w:pPr>
              <w:tabs>
                <w:tab w:val="left" w:pos="567"/>
              </w:tabs>
              <w:spacing w:line="260" w:lineRule="exact"/>
              <w:jc w:val="center"/>
              <w:rPr>
                <w:sz w:val="22"/>
                <w:szCs w:val="22"/>
              </w:rPr>
            </w:pPr>
            <w:r w:rsidRPr="003F564F">
              <w:rPr>
                <w:sz w:val="22"/>
                <w:szCs w:val="22"/>
              </w:rPr>
              <w:t>Labai dažnas</w:t>
            </w:r>
          </w:p>
        </w:tc>
      </w:tr>
      <w:tr w:rsidR="009B4CAC" w:rsidRPr="003F564F" w14:paraId="5C08047A" w14:textId="77777777" w:rsidTr="000A6D36">
        <w:tc>
          <w:tcPr>
            <w:tcW w:w="3238" w:type="dxa"/>
          </w:tcPr>
          <w:p w14:paraId="40B3E93D" w14:textId="77777777" w:rsidR="009B4CAC" w:rsidRPr="003F564F" w:rsidRDefault="009B4CAC" w:rsidP="009B4CAC">
            <w:pPr>
              <w:tabs>
                <w:tab w:val="left" w:pos="567"/>
              </w:tabs>
              <w:spacing w:line="260" w:lineRule="exact"/>
              <w:rPr>
                <w:sz w:val="22"/>
                <w:szCs w:val="22"/>
              </w:rPr>
            </w:pPr>
            <w:proofErr w:type="spellStart"/>
            <w:r w:rsidRPr="003F564F">
              <w:rPr>
                <w:sz w:val="22"/>
                <w:szCs w:val="22"/>
              </w:rPr>
              <w:t>Hipertrigliceridemija</w:t>
            </w:r>
            <w:r w:rsidRPr="003F564F">
              <w:rPr>
                <w:sz w:val="22"/>
                <w:szCs w:val="22"/>
                <w:vertAlign w:val="superscript"/>
              </w:rPr>
              <w:t>a</w:t>
            </w:r>
            <w:proofErr w:type="spellEnd"/>
          </w:p>
          <w:p w14:paraId="53E0CAEA" w14:textId="058FF28C" w:rsidR="009B4CAC" w:rsidRPr="003F564F" w:rsidRDefault="009B4CAC" w:rsidP="009B4CAC">
            <w:pPr>
              <w:tabs>
                <w:tab w:val="left" w:pos="567"/>
              </w:tabs>
              <w:spacing w:line="260" w:lineRule="exact"/>
              <w:ind w:left="284"/>
              <w:rPr>
                <w:sz w:val="22"/>
                <w:szCs w:val="22"/>
              </w:rPr>
            </w:pPr>
            <w:r w:rsidRPr="003F564F">
              <w:rPr>
                <w:sz w:val="22"/>
                <w:szCs w:val="22"/>
              </w:rPr>
              <w:t xml:space="preserve">Bet kokio laipsnio pagal </w:t>
            </w:r>
            <w:proofErr w:type="spellStart"/>
            <w:r w:rsidRPr="003F564F">
              <w:rPr>
                <w:sz w:val="22"/>
                <w:szCs w:val="22"/>
              </w:rPr>
              <w:t>CTCAE</w:t>
            </w:r>
            <w:r w:rsidRPr="003F564F">
              <w:rPr>
                <w:sz w:val="22"/>
                <w:szCs w:val="22"/>
                <w:vertAlign w:val="superscript"/>
              </w:rPr>
              <w:t>c</w:t>
            </w:r>
            <w:proofErr w:type="spellEnd"/>
            <w:r w:rsidRPr="003F564F">
              <w:rPr>
                <w:sz w:val="22"/>
                <w:szCs w:val="22"/>
              </w:rPr>
              <w:t xml:space="preserve"> kriterijus</w:t>
            </w:r>
          </w:p>
        </w:tc>
        <w:tc>
          <w:tcPr>
            <w:tcW w:w="3238" w:type="dxa"/>
          </w:tcPr>
          <w:p w14:paraId="71D5614D" w14:textId="55D8BCB1" w:rsidR="009B4CAC" w:rsidRPr="003F564F" w:rsidRDefault="009B4CAC" w:rsidP="000A6D36">
            <w:pPr>
              <w:tabs>
                <w:tab w:val="left" w:pos="567"/>
              </w:tabs>
              <w:spacing w:line="260" w:lineRule="exact"/>
              <w:jc w:val="center"/>
              <w:rPr>
                <w:sz w:val="22"/>
                <w:szCs w:val="22"/>
              </w:rPr>
            </w:pPr>
            <w:r w:rsidRPr="003F564F">
              <w:rPr>
                <w:sz w:val="22"/>
                <w:szCs w:val="22"/>
              </w:rPr>
              <w:t>Labai dažnas</w:t>
            </w:r>
          </w:p>
        </w:tc>
        <w:tc>
          <w:tcPr>
            <w:tcW w:w="3238" w:type="dxa"/>
          </w:tcPr>
          <w:p w14:paraId="2202AF33" w14:textId="435E649F" w:rsidR="009B4CAC" w:rsidRPr="003F564F" w:rsidRDefault="009B4CAC" w:rsidP="000A6D36">
            <w:pPr>
              <w:tabs>
                <w:tab w:val="left" w:pos="567"/>
              </w:tabs>
              <w:spacing w:line="260" w:lineRule="exact"/>
              <w:jc w:val="center"/>
              <w:rPr>
                <w:sz w:val="22"/>
                <w:szCs w:val="22"/>
              </w:rPr>
            </w:pPr>
            <w:r w:rsidRPr="003F564F">
              <w:rPr>
                <w:sz w:val="22"/>
                <w:szCs w:val="22"/>
              </w:rPr>
              <w:t>Labai dažnas</w:t>
            </w:r>
          </w:p>
        </w:tc>
      </w:tr>
      <w:tr w:rsidR="009B4CAC" w:rsidRPr="003F564F" w14:paraId="20B3D73C" w14:textId="77777777" w:rsidTr="000A6D36">
        <w:tc>
          <w:tcPr>
            <w:tcW w:w="3238" w:type="dxa"/>
          </w:tcPr>
          <w:p w14:paraId="38969AF9" w14:textId="28CD41EC" w:rsidR="009B4CAC" w:rsidRPr="003F564F" w:rsidRDefault="009B4CAC" w:rsidP="009B4CAC">
            <w:pPr>
              <w:tabs>
                <w:tab w:val="left" w:pos="567"/>
              </w:tabs>
              <w:spacing w:line="260" w:lineRule="exact"/>
              <w:rPr>
                <w:sz w:val="22"/>
                <w:szCs w:val="22"/>
              </w:rPr>
            </w:pPr>
            <w:r w:rsidRPr="003F564F">
              <w:rPr>
                <w:sz w:val="22"/>
                <w:szCs w:val="22"/>
              </w:rPr>
              <w:t>Padidėjęs kūno svoris</w:t>
            </w:r>
          </w:p>
        </w:tc>
        <w:tc>
          <w:tcPr>
            <w:tcW w:w="3238" w:type="dxa"/>
          </w:tcPr>
          <w:p w14:paraId="04C41D33" w14:textId="4AAC13A2" w:rsidR="009B4CAC" w:rsidRPr="003F564F" w:rsidRDefault="009B4CAC" w:rsidP="000A6D36">
            <w:pPr>
              <w:tabs>
                <w:tab w:val="left" w:pos="567"/>
              </w:tabs>
              <w:spacing w:line="260" w:lineRule="exact"/>
              <w:jc w:val="center"/>
              <w:rPr>
                <w:sz w:val="22"/>
                <w:szCs w:val="22"/>
              </w:rPr>
            </w:pPr>
            <w:r w:rsidRPr="003F564F">
              <w:rPr>
                <w:sz w:val="22"/>
                <w:szCs w:val="22"/>
              </w:rPr>
              <w:t>Labai dažnas</w:t>
            </w:r>
          </w:p>
        </w:tc>
        <w:tc>
          <w:tcPr>
            <w:tcW w:w="3238" w:type="dxa"/>
          </w:tcPr>
          <w:p w14:paraId="72A0DFBA" w14:textId="487EBFC1" w:rsidR="009B4CAC" w:rsidRPr="003F564F" w:rsidRDefault="009B4CAC" w:rsidP="000A6D36">
            <w:pPr>
              <w:tabs>
                <w:tab w:val="left" w:pos="567"/>
              </w:tabs>
              <w:spacing w:line="260" w:lineRule="exact"/>
              <w:jc w:val="center"/>
              <w:rPr>
                <w:sz w:val="22"/>
                <w:szCs w:val="22"/>
              </w:rPr>
            </w:pPr>
            <w:r w:rsidRPr="003F564F">
              <w:rPr>
                <w:sz w:val="22"/>
                <w:szCs w:val="22"/>
              </w:rPr>
              <w:t>Labai dažnas</w:t>
            </w:r>
          </w:p>
        </w:tc>
      </w:tr>
      <w:tr w:rsidR="009B4CAC" w:rsidRPr="003F564F" w14:paraId="76FF1E9A" w14:textId="77777777" w:rsidTr="005917D8">
        <w:tc>
          <w:tcPr>
            <w:tcW w:w="9714" w:type="dxa"/>
            <w:gridSpan w:val="3"/>
          </w:tcPr>
          <w:p w14:paraId="39CC8B0C" w14:textId="61764178" w:rsidR="009B4CAC" w:rsidRPr="003F564F" w:rsidRDefault="009B4CAC" w:rsidP="009B4CAC">
            <w:pPr>
              <w:tabs>
                <w:tab w:val="left" w:pos="567"/>
              </w:tabs>
              <w:spacing w:line="260" w:lineRule="exact"/>
              <w:rPr>
                <w:b/>
                <w:bCs/>
                <w:sz w:val="22"/>
                <w:szCs w:val="22"/>
              </w:rPr>
            </w:pPr>
            <w:r w:rsidRPr="003F564F">
              <w:rPr>
                <w:b/>
                <w:bCs/>
                <w:sz w:val="22"/>
                <w:szCs w:val="22"/>
              </w:rPr>
              <w:t>Nervų sistemos sutrikimai</w:t>
            </w:r>
          </w:p>
        </w:tc>
      </w:tr>
      <w:tr w:rsidR="000A1C95" w:rsidRPr="003F564F" w14:paraId="67DAAC93" w14:textId="77777777" w:rsidTr="000A6D36">
        <w:tc>
          <w:tcPr>
            <w:tcW w:w="3238" w:type="dxa"/>
          </w:tcPr>
          <w:p w14:paraId="0BBBFDCC" w14:textId="7E52D597" w:rsidR="000A1C95" w:rsidRPr="003F564F" w:rsidRDefault="00670502" w:rsidP="009B4CAC">
            <w:pPr>
              <w:tabs>
                <w:tab w:val="left" w:pos="567"/>
              </w:tabs>
              <w:spacing w:line="260" w:lineRule="exact"/>
              <w:rPr>
                <w:sz w:val="22"/>
                <w:szCs w:val="22"/>
              </w:rPr>
            </w:pPr>
            <w:r>
              <w:rPr>
                <w:sz w:val="22"/>
                <w:szCs w:val="22"/>
              </w:rPr>
              <w:t>Svaigulys</w:t>
            </w:r>
          </w:p>
        </w:tc>
        <w:tc>
          <w:tcPr>
            <w:tcW w:w="3238" w:type="dxa"/>
          </w:tcPr>
          <w:p w14:paraId="46043999" w14:textId="7FB7D67A" w:rsidR="000A1C95" w:rsidRPr="003F564F" w:rsidRDefault="009B4CAC" w:rsidP="000A6D36">
            <w:pPr>
              <w:tabs>
                <w:tab w:val="left" w:pos="567"/>
              </w:tabs>
              <w:spacing w:line="260" w:lineRule="exact"/>
              <w:jc w:val="center"/>
              <w:rPr>
                <w:sz w:val="22"/>
                <w:szCs w:val="22"/>
              </w:rPr>
            </w:pPr>
            <w:r w:rsidRPr="003F564F">
              <w:rPr>
                <w:sz w:val="22"/>
                <w:szCs w:val="22"/>
              </w:rPr>
              <w:t>Labai dažnas</w:t>
            </w:r>
          </w:p>
        </w:tc>
        <w:tc>
          <w:tcPr>
            <w:tcW w:w="3238" w:type="dxa"/>
          </w:tcPr>
          <w:p w14:paraId="2B228F28" w14:textId="4174AE68" w:rsidR="000A1C95" w:rsidRPr="003F564F" w:rsidRDefault="009B4CAC" w:rsidP="000A6D36">
            <w:pPr>
              <w:tabs>
                <w:tab w:val="left" w:pos="567"/>
              </w:tabs>
              <w:spacing w:line="260" w:lineRule="exact"/>
              <w:jc w:val="center"/>
              <w:rPr>
                <w:sz w:val="22"/>
                <w:szCs w:val="22"/>
              </w:rPr>
            </w:pPr>
            <w:r w:rsidRPr="003F564F">
              <w:rPr>
                <w:sz w:val="22"/>
                <w:szCs w:val="22"/>
              </w:rPr>
              <w:t>Labai dažnas</w:t>
            </w:r>
          </w:p>
        </w:tc>
      </w:tr>
      <w:tr w:rsidR="000A1C95" w:rsidRPr="003F564F" w14:paraId="4B46DE01" w14:textId="77777777" w:rsidTr="000A6D36">
        <w:tc>
          <w:tcPr>
            <w:tcW w:w="3238" w:type="dxa"/>
          </w:tcPr>
          <w:p w14:paraId="50EDCBAC" w14:textId="0F726D25" w:rsidR="000A1C95" w:rsidRPr="003F564F" w:rsidRDefault="009B4CAC" w:rsidP="009B4CAC">
            <w:pPr>
              <w:tabs>
                <w:tab w:val="left" w:pos="567"/>
              </w:tabs>
              <w:spacing w:line="260" w:lineRule="exact"/>
              <w:rPr>
                <w:sz w:val="22"/>
                <w:szCs w:val="22"/>
              </w:rPr>
            </w:pPr>
            <w:r w:rsidRPr="003F564F">
              <w:rPr>
                <w:sz w:val="22"/>
                <w:szCs w:val="22"/>
              </w:rPr>
              <w:t>Galvos skausmas</w:t>
            </w:r>
          </w:p>
        </w:tc>
        <w:tc>
          <w:tcPr>
            <w:tcW w:w="3238" w:type="dxa"/>
          </w:tcPr>
          <w:p w14:paraId="4DAB7547" w14:textId="2E68A612" w:rsidR="000A1C95" w:rsidRPr="003F564F" w:rsidRDefault="009B4CAC" w:rsidP="000A6D36">
            <w:pPr>
              <w:tabs>
                <w:tab w:val="left" w:pos="567"/>
              </w:tabs>
              <w:spacing w:line="260" w:lineRule="exact"/>
              <w:jc w:val="center"/>
              <w:rPr>
                <w:sz w:val="22"/>
                <w:szCs w:val="22"/>
              </w:rPr>
            </w:pPr>
            <w:r w:rsidRPr="003F564F">
              <w:rPr>
                <w:sz w:val="22"/>
                <w:szCs w:val="22"/>
              </w:rPr>
              <w:t>Labai dažnas</w:t>
            </w:r>
          </w:p>
        </w:tc>
        <w:tc>
          <w:tcPr>
            <w:tcW w:w="3238" w:type="dxa"/>
          </w:tcPr>
          <w:p w14:paraId="45BEFEEF" w14:textId="6C217A16" w:rsidR="000A1C95" w:rsidRPr="003F564F" w:rsidRDefault="009B4CAC" w:rsidP="000A6D36">
            <w:pPr>
              <w:tabs>
                <w:tab w:val="left" w:pos="567"/>
              </w:tabs>
              <w:spacing w:line="260" w:lineRule="exact"/>
              <w:jc w:val="center"/>
              <w:rPr>
                <w:sz w:val="22"/>
                <w:szCs w:val="22"/>
              </w:rPr>
            </w:pPr>
            <w:r w:rsidRPr="003F564F">
              <w:rPr>
                <w:sz w:val="22"/>
                <w:szCs w:val="22"/>
              </w:rPr>
              <w:t>Labai dažnas</w:t>
            </w:r>
          </w:p>
        </w:tc>
      </w:tr>
      <w:tr w:rsidR="009B4CAC" w:rsidRPr="003F564F" w14:paraId="7B137FC6" w14:textId="77777777" w:rsidTr="0022463B">
        <w:tc>
          <w:tcPr>
            <w:tcW w:w="9714" w:type="dxa"/>
            <w:gridSpan w:val="3"/>
          </w:tcPr>
          <w:p w14:paraId="60B42C47" w14:textId="1A5797A8" w:rsidR="009B4CAC" w:rsidRPr="003F564F" w:rsidRDefault="009B4CAC" w:rsidP="009B4CAC">
            <w:pPr>
              <w:tabs>
                <w:tab w:val="left" w:pos="567"/>
              </w:tabs>
              <w:spacing w:line="260" w:lineRule="exact"/>
              <w:rPr>
                <w:b/>
                <w:bCs/>
                <w:sz w:val="22"/>
                <w:szCs w:val="22"/>
              </w:rPr>
            </w:pPr>
            <w:r w:rsidRPr="003F564F">
              <w:rPr>
                <w:b/>
                <w:bCs/>
                <w:sz w:val="22"/>
                <w:szCs w:val="22"/>
              </w:rPr>
              <w:t>Virškinimo trakto sutrikimai</w:t>
            </w:r>
          </w:p>
        </w:tc>
      </w:tr>
      <w:tr w:rsidR="000A1C95" w:rsidRPr="003F564F" w14:paraId="43178964" w14:textId="77777777" w:rsidTr="000A6D36">
        <w:tc>
          <w:tcPr>
            <w:tcW w:w="3238" w:type="dxa"/>
          </w:tcPr>
          <w:p w14:paraId="45EFC637" w14:textId="754AE638" w:rsidR="000A1C95" w:rsidRPr="003F564F" w:rsidRDefault="009B4CAC" w:rsidP="009B4CAC">
            <w:pPr>
              <w:tabs>
                <w:tab w:val="left" w:pos="567"/>
              </w:tabs>
              <w:spacing w:line="260" w:lineRule="exact"/>
              <w:rPr>
                <w:sz w:val="22"/>
                <w:szCs w:val="22"/>
              </w:rPr>
            </w:pPr>
            <w:r w:rsidRPr="003F564F">
              <w:rPr>
                <w:sz w:val="22"/>
                <w:szCs w:val="22"/>
              </w:rPr>
              <w:t xml:space="preserve">Padidėjęs lipazės aktyvumas, bet kokio laipsnio pagal </w:t>
            </w:r>
            <w:proofErr w:type="spellStart"/>
            <w:r w:rsidRPr="003F564F">
              <w:rPr>
                <w:sz w:val="22"/>
                <w:szCs w:val="22"/>
              </w:rPr>
              <w:t>CTCAE</w:t>
            </w:r>
            <w:r w:rsidRPr="003F564F">
              <w:rPr>
                <w:sz w:val="22"/>
                <w:szCs w:val="22"/>
                <w:vertAlign w:val="superscript"/>
              </w:rPr>
              <w:t>c</w:t>
            </w:r>
            <w:proofErr w:type="spellEnd"/>
            <w:r w:rsidRPr="003F564F">
              <w:rPr>
                <w:sz w:val="22"/>
                <w:szCs w:val="22"/>
              </w:rPr>
              <w:t xml:space="preserve"> kriterijus</w:t>
            </w:r>
          </w:p>
        </w:tc>
        <w:tc>
          <w:tcPr>
            <w:tcW w:w="3238" w:type="dxa"/>
          </w:tcPr>
          <w:p w14:paraId="1A93F650" w14:textId="3B5B08AD" w:rsidR="000A1C95" w:rsidRPr="003F564F" w:rsidRDefault="009B4CAC" w:rsidP="000A6D36">
            <w:pPr>
              <w:tabs>
                <w:tab w:val="left" w:pos="567"/>
              </w:tabs>
              <w:spacing w:line="260" w:lineRule="exact"/>
              <w:jc w:val="center"/>
              <w:rPr>
                <w:sz w:val="22"/>
                <w:szCs w:val="22"/>
              </w:rPr>
            </w:pPr>
            <w:r w:rsidRPr="003F564F">
              <w:rPr>
                <w:sz w:val="22"/>
                <w:szCs w:val="22"/>
              </w:rPr>
              <w:t>Labai dažnas</w:t>
            </w:r>
          </w:p>
        </w:tc>
        <w:tc>
          <w:tcPr>
            <w:tcW w:w="3238" w:type="dxa"/>
          </w:tcPr>
          <w:p w14:paraId="395D15BB" w14:textId="2420A3F4" w:rsidR="000A1C95" w:rsidRPr="003F564F" w:rsidRDefault="009B4CAC" w:rsidP="000A6D36">
            <w:pPr>
              <w:tabs>
                <w:tab w:val="left" w:pos="567"/>
              </w:tabs>
              <w:spacing w:line="260" w:lineRule="exact"/>
              <w:jc w:val="center"/>
              <w:rPr>
                <w:sz w:val="22"/>
                <w:szCs w:val="22"/>
              </w:rPr>
            </w:pPr>
            <w:r w:rsidRPr="003F564F">
              <w:rPr>
                <w:sz w:val="22"/>
                <w:szCs w:val="22"/>
              </w:rPr>
              <w:t>Labai dažnas</w:t>
            </w:r>
          </w:p>
        </w:tc>
      </w:tr>
      <w:tr w:rsidR="000A1C95" w:rsidRPr="003F564F" w14:paraId="6CA585CD" w14:textId="77777777" w:rsidTr="000A6D36">
        <w:tc>
          <w:tcPr>
            <w:tcW w:w="3238" w:type="dxa"/>
          </w:tcPr>
          <w:p w14:paraId="6154D9C7" w14:textId="1DBA66D5" w:rsidR="000A1C95" w:rsidRPr="003F564F" w:rsidRDefault="009B4CAC" w:rsidP="009B4CAC">
            <w:pPr>
              <w:tabs>
                <w:tab w:val="left" w:pos="567"/>
              </w:tabs>
              <w:spacing w:line="260" w:lineRule="exact"/>
              <w:rPr>
                <w:sz w:val="22"/>
                <w:szCs w:val="22"/>
              </w:rPr>
            </w:pPr>
            <w:r w:rsidRPr="003F564F">
              <w:rPr>
                <w:sz w:val="22"/>
                <w:szCs w:val="22"/>
              </w:rPr>
              <w:t>Vidurių užkietėjimas</w:t>
            </w:r>
          </w:p>
        </w:tc>
        <w:tc>
          <w:tcPr>
            <w:tcW w:w="3238" w:type="dxa"/>
          </w:tcPr>
          <w:p w14:paraId="0F33A28E" w14:textId="34119A5F" w:rsidR="000A1C95" w:rsidRPr="003F564F" w:rsidRDefault="009B4CAC" w:rsidP="000A6D36">
            <w:pPr>
              <w:tabs>
                <w:tab w:val="left" w:pos="567"/>
              </w:tabs>
              <w:spacing w:line="260" w:lineRule="exact"/>
              <w:jc w:val="center"/>
              <w:rPr>
                <w:sz w:val="22"/>
                <w:szCs w:val="22"/>
              </w:rPr>
            </w:pPr>
            <w:r w:rsidRPr="003F564F">
              <w:rPr>
                <w:sz w:val="22"/>
                <w:szCs w:val="22"/>
              </w:rPr>
              <w:t>Labai dažnas</w:t>
            </w:r>
          </w:p>
        </w:tc>
        <w:tc>
          <w:tcPr>
            <w:tcW w:w="3238" w:type="dxa"/>
          </w:tcPr>
          <w:p w14:paraId="4AEFCD58" w14:textId="796F4EA9" w:rsidR="000A1C95" w:rsidRPr="003F564F" w:rsidRDefault="009B4CAC" w:rsidP="000A6D36">
            <w:pPr>
              <w:tabs>
                <w:tab w:val="left" w:pos="567"/>
              </w:tabs>
              <w:spacing w:line="260" w:lineRule="exact"/>
              <w:jc w:val="center"/>
              <w:rPr>
                <w:sz w:val="22"/>
                <w:szCs w:val="22"/>
              </w:rPr>
            </w:pPr>
            <w:r w:rsidRPr="003F564F">
              <w:rPr>
                <w:sz w:val="22"/>
                <w:szCs w:val="22"/>
              </w:rPr>
              <w:t>Labai dažnas</w:t>
            </w:r>
          </w:p>
        </w:tc>
      </w:tr>
      <w:tr w:rsidR="000A1C95" w:rsidRPr="003F564F" w14:paraId="30A15420" w14:textId="77777777" w:rsidTr="000A6D36">
        <w:tc>
          <w:tcPr>
            <w:tcW w:w="3238" w:type="dxa"/>
          </w:tcPr>
          <w:p w14:paraId="7A23DD3B" w14:textId="28DDFAF7" w:rsidR="000A1C95" w:rsidRPr="003F564F" w:rsidRDefault="009B4CAC" w:rsidP="009B4CAC">
            <w:pPr>
              <w:tabs>
                <w:tab w:val="left" w:pos="567"/>
              </w:tabs>
              <w:spacing w:line="260" w:lineRule="exact"/>
              <w:rPr>
                <w:sz w:val="22"/>
                <w:szCs w:val="22"/>
              </w:rPr>
            </w:pPr>
            <w:r w:rsidRPr="003F564F">
              <w:rPr>
                <w:sz w:val="22"/>
                <w:szCs w:val="22"/>
              </w:rPr>
              <w:t>Pilvo pūtimas</w:t>
            </w:r>
          </w:p>
        </w:tc>
        <w:tc>
          <w:tcPr>
            <w:tcW w:w="3238" w:type="dxa"/>
          </w:tcPr>
          <w:p w14:paraId="4CEB274E" w14:textId="656A24C6" w:rsidR="000A1C95" w:rsidRPr="003F564F" w:rsidRDefault="009B4CAC" w:rsidP="000A6D36">
            <w:pPr>
              <w:tabs>
                <w:tab w:val="left" w:pos="567"/>
              </w:tabs>
              <w:spacing w:line="260" w:lineRule="exact"/>
              <w:jc w:val="center"/>
              <w:rPr>
                <w:sz w:val="22"/>
                <w:szCs w:val="22"/>
              </w:rPr>
            </w:pPr>
            <w:r w:rsidRPr="003F564F">
              <w:rPr>
                <w:sz w:val="22"/>
                <w:szCs w:val="22"/>
              </w:rPr>
              <w:t>Dažnas</w:t>
            </w:r>
          </w:p>
        </w:tc>
        <w:tc>
          <w:tcPr>
            <w:tcW w:w="3238" w:type="dxa"/>
          </w:tcPr>
          <w:p w14:paraId="744FB360" w14:textId="7E7C0627" w:rsidR="000A1C95" w:rsidRPr="003F564F" w:rsidRDefault="009B4CAC" w:rsidP="000A6D36">
            <w:pPr>
              <w:tabs>
                <w:tab w:val="left" w:pos="567"/>
              </w:tabs>
              <w:spacing w:line="260" w:lineRule="exact"/>
              <w:jc w:val="center"/>
              <w:rPr>
                <w:sz w:val="22"/>
                <w:szCs w:val="22"/>
              </w:rPr>
            </w:pPr>
            <w:r w:rsidRPr="003F564F">
              <w:rPr>
                <w:sz w:val="22"/>
                <w:szCs w:val="22"/>
              </w:rPr>
              <w:t>Dažnas</w:t>
            </w:r>
          </w:p>
        </w:tc>
      </w:tr>
      <w:tr w:rsidR="009B4CAC" w:rsidRPr="003F564F" w14:paraId="1D19443F" w14:textId="77777777" w:rsidTr="00CD2885">
        <w:tc>
          <w:tcPr>
            <w:tcW w:w="9714" w:type="dxa"/>
            <w:gridSpan w:val="3"/>
          </w:tcPr>
          <w:p w14:paraId="1573F8B7" w14:textId="348DB5E1" w:rsidR="009B4CAC" w:rsidRPr="000A6D36" w:rsidRDefault="009B4CAC" w:rsidP="009B4CAC">
            <w:pPr>
              <w:tabs>
                <w:tab w:val="left" w:pos="567"/>
              </w:tabs>
              <w:spacing w:line="260" w:lineRule="exact"/>
              <w:rPr>
                <w:b/>
                <w:bCs/>
                <w:sz w:val="22"/>
                <w:szCs w:val="22"/>
              </w:rPr>
            </w:pPr>
            <w:r w:rsidRPr="000A6D36">
              <w:rPr>
                <w:b/>
                <w:bCs/>
                <w:sz w:val="22"/>
                <w:szCs w:val="22"/>
              </w:rPr>
              <w:t>Kepenų, tulžies pūslės ir latakų sutrikimai</w:t>
            </w:r>
          </w:p>
        </w:tc>
      </w:tr>
      <w:tr w:rsidR="009B4CAC" w:rsidRPr="003F564F" w14:paraId="63BD338B" w14:textId="77777777" w:rsidTr="009F34A7">
        <w:tc>
          <w:tcPr>
            <w:tcW w:w="3238" w:type="dxa"/>
          </w:tcPr>
          <w:p w14:paraId="5CFB1B89" w14:textId="1256CA57" w:rsidR="009B4CAC" w:rsidRPr="003F564F" w:rsidRDefault="009B4CAC" w:rsidP="009B4CAC">
            <w:pPr>
              <w:tabs>
                <w:tab w:val="left" w:pos="567"/>
              </w:tabs>
              <w:spacing w:line="260" w:lineRule="exact"/>
              <w:rPr>
                <w:sz w:val="22"/>
                <w:szCs w:val="22"/>
              </w:rPr>
            </w:pPr>
            <w:r w:rsidRPr="003F564F">
              <w:rPr>
                <w:sz w:val="22"/>
                <w:szCs w:val="22"/>
              </w:rPr>
              <w:t xml:space="preserve">Padidėjęs </w:t>
            </w:r>
            <w:proofErr w:type="spellStart"/>
            <w:r w:rsidRPr="003F564F">
              <w:rPr>
                <w:sz w:val="22"/>
                <w:szCs w:val="22"/>
              </w:rPr>
              <w:t>alanino</w:t>
            </w:r>
            <w:proofErr w:type="spellEnd"/>
            <w:r w:rsidRPr="003F564F">
              <w:rPr>
                <w:sz w:val="22"/>
                <w:szCs w:val="22"/>
              </w:rPr>
              <w:t xml:space="preserve"> </w:t>
            </w:r>
            <w:proofErr w:type="spellStart"/>
            <w:r w:rsidRPr="003F564F">
              <w:rPr>
                <w:sz w:val="22"/>
                <w:szCs w:val="22"/>
              </w:rPr>
              <w:t>aminotransferazės</w:t>
            </w:r>
            <w:proofErr w:type="spellEnd"/>
            <w:r w:rsidRPr="003F564F">
              <w:rPr>
                <w:sz w:val="22"/>
                <w:szCs w:val="22"/>
              </w:rPr>
              <w:t xml:space="preserve"> </w:t>
            </w:r>
            <w:proofErr w:type="spellStart"/>
            <w:r w:rsidRPr="003F564F">
              <w:rPr>
                <w:sz w:val="22"/>
                <w:szCs w:val="22"/>
              </w:rPr>
              <w:t>aktyvumas</w:t>
            </w:r>
            <w:r w:rsidRPr="003F564F">
              <w:rPr>
                <w:sz w:val="22"/>
                <w:szCs w:val="22"/>
                <w:vertAlign w:val="superscript"/>
              </w:rPr>
              <w:t>a</w:t>
            </w:r>
            <w:proofErr w:type="spellEnd"/>
          </w:p>
        </w:tc>
        <w:tc>
          <w:tcPr>
            <w:tcW w:w="3238" w:type="dxa"/>
          </w:tcPr>
          <w:p w14:paraId="285C5001" w14:textId="77777777" w:rsidR="009B4CAC" w:rsidRPr="003F564F" w:rsidRDefault="009B4CAC" w:rsidP="009B4CAC">
            <w:pPr>
              <w:tabs>
                <w:tab w:val="left" w:pos="567"/>
              </w:tabs>
              <w:spacing w:line="260" w:lineRule="exact"/>
              <w:rPr>
                <w:sz w:val="22"/>
                <w:szCs w:val="22"/>
              </w:rPr>
            </w:pPr>
          </w:p>
        </w:tc>
        <w:tc>
          <w:tcPr>
            <w:tcW w:w="3238" w:type="dxa"/>
          </w:tcPr>
          <w:p w14:paraId="78760C27" w14:textId="77777777" w:rsidR="009B4CAC" w:rsidRPr="003F564F" w:rsidRDefault="009B4CAC" w:rsidP="009B4CAC">
            <w:pPr>
              <w:tabs>
                <w:tab w:val="left" w:pos="567"/>
              </w:tabs>
              <w:spacing w:line="260" w:lineRule="exact"/>
              <w:rPr>
                <w:sz w:val="22"/>
                <w:szCs w:val="22"/>
              </w:rPr>
            </w:pPr>
          </w:p>
        </w:tc>
      </w:tr>
      <w:tr w:rsidR="000A1C95" w:rsidRPr="003F564F" w14:paraId="30939F52" w14:textId="77777777" w:rsidTr="000A6D36">
        <w:tc>
          <w:tcPr>
            <w:tcW w:w="3238" w:type="dxa"/>
          </w:tcPr>
          <w:p w14:paraId="62CC1651" w14:textId="1526B4B8" w:rsidR="000A1C95" w:rsidRPr="003F564F" w:rsidRDefault="009B4CAC" w:rsidP="009B4CAC">
            <w:pPr>
              <w:tabs>
                <w:tab w:val="left" w:pos="567"/>
              </w:tabs>
              <w:spacing w:line="260" w:lineRule="exact"/>
              <w:ind w:left="284"/>
              <w:rPr>
                <w:sz w:val="22"/>
                <w:szCs w:val="22"/>
              </w:rPr>
            </w:pPr>
            <w:r w:rsidRPr="003F564F">
              <w:rPr>
                <w:sz w:val="22"/>
                <w:szCs w:val="22"/>
              </w:rPr>
              <w:t xml:space="preserve">3-iojo laipsnio pagal </w:t>
            </w:r>
            <w:proofErr w:type="spellStart"/>
            <w:r w:rsidRPr="003F564F">
              <w:rPr>
                <w:sz w:val="22"/>
                <w:szCs w:val="22"/>
              </w:rPr>
              <w:t>CTCAE</w:t>
            </w:r>
            <w:r w:rsidRPr="003F564F">
              <w:rPr>
                <w:sz w:val="22"/>
                <w:szCs w:val="22"/>
                <w:vertAlign w:val="superscript"/>
              </w:rPr>
              <w:t>c</w:t>
            </w:r>
            <w:proofErr w:type="spellEnd"/>
            <w:r w:rsidRPr="003F564F">
              <w:rPr>
                <w:sz w:val="22"/>
                <w:szCs w:val="22"/>
              </w:rPr>
              <w:t xml:space="preserve"> kriterijus (&gt; 5x – 20 x VNR)</w:t>
            </w:r>
          </w:p>
        </w:tc>
        <w:tc>
          <w:tcPr>
            <w:tcW w:w="3238" w:type="dxa"/>
          </w:tcPr>
          <w:p w14:paraId="4A810BAC" w14:textId="1F1AD2C2" w:rsidR="000A1C95" w:rsidRPr="003F564F" w:rsidRDefault="009B4CAC" w:rsidP="000A6D36">
            <w:pPr>
              <w:tabs>
                <w:tab w:val="left" w:pos="567"/>
              </w:tabs>
              <w:spacing w:line="260" w:lineRule="exact"/>
              <w:jc w:val="center"/>
              <w:rPr>
                <w:sz w:val="22"/>
                <w:szCs w:val="22"/>
              </w:rPr>
            </w:pPr>
            <w:r w:rsidRPr="003F564F">
              <w:rPr>
                <w:sz w:val="22"/>
                <w:szCs w:val="22"/>
              </w:rPr>
              <w:t>Dažnas</w:t>
            </w:r>
          </w:p>
        </w:tc>
        <w:tc>
          <w:tcPr>
            <w:tcW w:w="3238" w:type="dxa"/>
          </w:tcPr>
          <w:p w14:paraId="53A9B50D" w14:textId="64BAC53A" w:rsidR="000A1C95" w:rsidRPr="003F564F" w:rsidRDefault="009B4CAC" w:rsidP="000A6D36">
            <w:pPr>
              <w:tabs>
                <w:tab w:val="left" w:pos="567"/>
              </w:tabs>
              <w:spacing w:line="260" w:lineRule="exact"/>
              <w:jc w:val="center"/>
              <w:rPr>
                <w:sz w:val="22"/>
                <w:szCs w:val="22"/>
              </w:rPr>
            </w:pPr>
            <w:r w:rsidRPr="003F564F">
              <w:rPr>
                <w:sz w:val="22"/>
                <w:szCs w:val="22"/>
              </w:rPr>
              <w:t>Dažnas</w:t>
            </w:r>
          </w:p>
        </w:tc>
      </w:tr>
      <w:tr w:rsidR="000A1C95" w:rsidRPr="003F564F" w14:paraId="3789A133" w14:textId="77777777" w:rsidTr="000A6D36">
        <w:tc>
          <w:tcPr>
            <w:tcW w:w="3238" w:type="dxa"/>
          </w:tcPr>
          <w:p w14:paraId="43A733CA" w14:textId="4A09C6EF" w:rsidR="000A1C95" w:rsidRPr="003F564F" w:rsidRDefault="009B4CAC" w:rsidP="009B4CAC">
            <w:pPr>
              <w:tabs>
                <w:tab w:val="left" w:pos="567"/>
              </w:tabs>
              <w:spacing w:line="260" w:lineRule="exact"/>
              <w:ind w:left="284"/>
              <w:rPr>
                <w:sz w:val="22"/>
                <w:szCs w:val="22"/>
              </w:rPr>
            </w:pPr>
            <w:r w:rsidRPr="003F564F">
              <w:rPr>
                <w:sz w:val="22"/>
                <w:szCs w:val="22"/>
              </w:rPr>
              <w:t xml:space="preserve">Bet kokio laipsnio pagal </w:t>
            </w:r>
            <w:proofErr w:type="spellStart"/>
            <w:r w:rsidRPr="003F564F">
              <w:rPr>
                <w:sz w:val="22"/>
                <w:szCs w:val="22"/>
              </w:rPr>
              <w:t>CTCAE</w:t>
            </w:r>
            <w:r w:rsidRPr="003F564F">
              <w:rPr>
                <w:sz w:val="22"/>
                <w:szCs w:val="22"/>
                <w:vertAlign w:val="superscript"/>
              </w:rPr>
              <w:t>c</w:t>
            </w:r>
            <w:proofErr w:type="spellEnd"/>
            <w:r w:rsidRPr="003F564F">
              <w:rPr>
                <w:sz w:val="22"/>
                <w:szCs w:val="22"/>
              </w:rPr>
              <w:t xml:space="preserve"> kriterijus</w:t>
            </w:r>
          </w:p>
        </w:tc>
        <w:tc>
          <w:tcPr>
            <w:tcW w:w="3238" w:type="dxa"/>
          </w:tcPr>
          <w:p w14:paraId="007A9405" w14:textId="1C6DC92B" w:rsidR="000A1C95" w:rsidRPr="003F564F" w:rsidRDefault="009B4CAC" w:rsidP="000A6D36">
            <w:pPr>
              <w:tabs>
                <w:tab w:val="left" w:pos="567"/>
              </w:tabs>
              <w:spacing w:line="260" w:lineRule="exact"/>
              <w:jc w:val="center"/>
              <w:rPr>
                <w:sz w:val="22"/>
                <w:szCs w:val="22"/>
              </w:rPr>
            </w:pPr>
            <w:r w:rsidRPr="003F564F">
              <w:rPr>
                <w:sz w:val="22"/>
                <w:szCs w:val="22"/>
              </w:rPr>
              <w:t>Labai dažnas</w:t>
            </w:r>
          </w:p>
        </w:tc>
        <w:tc>
          <w:tcPr>
            <w:tcW w:w="3238" w:type="dxa"/>
          </w:tcPr>
          <w:p w14:paraId="798D29CD" w14:textId="68809579" w:rsidR="000A1C95" w:rsidRPr="003F564F" w:rsidRDefault="009B4CAC" w:rsidP="000A6D36">
            <w:pPr>
              <w:tabs>
                <w:tab w:val="left" w:pos="567"/>
              </w:tabs>
              <w:spacing w:line="260" w:lineRule="exact"/>
              <w:jc w:val="center"/>
              <w:rPr>
                <w:sz w:val="22"/>
                <w:szCs w:val="22"/>
              </w:rPr>
            </w:pPr>
            <w:r w:rsidRPr="003F564F">
              <w:rPr>
                <w:sz w:val="22"/>
                <w:szCs w:val="22"/>
              </w:rPr>
              <w:t>Labai dažnas</w:t>
            </w:r>
          </w:p>
        </w:tc>
      </w:tr>
      <w:tr w:rsidR="0060614D" w:rsidRPr="003F564F" w14:paraId="3435D723" w14:textId="77777777" w:rsidTr="000A6D36">
        <w:tc>
          <w:tcPr>
            <w:tcW w:w="3238" w:type="dxa"/>
          </w:tcPr>
          <w:p w14:paraId="7A44769A" w14:textId="41B92FC7" w:rsidR="0060614D" w:rsidRPr="003F564F" w:rsidRDefault="0060614D" w:rsidP="0060614D">
            <w:pPr>
              <w:tabs>
                <w:tab w:val="left" w:pos="567"/>
              </w:tabs>
              <w:spacing w:line="260" w:lineRule="exact"/>
              <w:rPr>
                <w:sz w:val="22"/>
                <w:szCs w:val="22"/>
              </w:rPr>
            </w:pPr>
            <w:r w:rsidRPr="003F564F">
              <w:rPr>
                <w:sz w:val="22"/>
                <w:szCs w:val="22"/>
              </w:rPr>
              <w:t xml:space="preserve">Padidėjęs </w:t>
            </w:r>
            <w:proofErr w:type="spellStart"/>
            <w:r w:rsidRPr="003F564F">
              <w:rPr>
                <w:sz w:val="22"/>
                <w:szCs w:val="22"/>
              </w:rPr>
              <w:t>aspartato</w:t>
            </w:r>
            <w:proofErr w:type="spellEnd"/>
            <w:r w:rsidRPr="003F564F">
              <w:rPr>
                <w:sz w:val="22"/>
                <w:szCs w:val="22"/>
              </w:rPr>
              <w:t xml:space="preserve"> </w:t>
            </w:r>
            <w:proofErr w:type="spellStart"/>
            <w:r w:rsidRPr="003F564F">
              <w:rPr>
                <w:sz w:val="22"/>
                <w:szCs w:val="22"/>
              </w:rPr>
              <w:t>aminotransferazės</w:t>
            </w:r>
            <w:proofErr w:type="spellEnd"/>
            <w:r w:rsidRPr="003F564F">
              <w:rPr>
                <w:sz w:val="22"/>
                <w:szCs w:val="22"/>
              </w:rPr>
              <w:t xml:space="preserve"> </w:t>
            </w:r>
            <w:proofErr w:type="spellStart"/>
            <w:r w:rsidRPr="003F564F">
              <w:rPr>
                <w:sz w:val="22"/>
                <w:szCs w:val="22"/>
              </w:rPr>
              <w:t>aktyvumas</w:t>
            </w:r>
            <w:r w:rsidRPr="003F564F">
              <w:rPr>
                <w:sz w:val="22"/>
                <w:szCs w:val="22"/>
                <w:vertAlign w:val="superscript"/>
              </w:rPr>
              <w:t>a</w:t>
            </w:r>
            <w:proofErr w:type="spellEnd"/>
          </w:p>
        </w:tc>
        <w:tc>
          <w:tcPr>
            <w:tcW w:w="3238" w:type="dxa"/>
          </w:tcPr>
          <w:p w14:paraId="2F86E410" w14:textId="77777777" w:rsidR="0060614D" w:rsidRPr="003F564F" w:rsidRDefault="0060614D" w:rsidP="000A6D36">
            <w:pPr>
              <w:tabs>
                <w:tab w:val="left" w:pos="567"/>
              </w:tabs>
              <w:spacing w:line="260" w:lineRule="exact"/>
              <w:jc w:val="center"/>
              <w:rPr>
                <w:sz w:val="22"/>
                <w:szCs w:val="22"/>
              </w:rPr>
            </w:pPr>
          </w:p>
        </w:tc>
        <w:tc>
          <w:tcPr>
            <w:tcW w:w="3238" w:type="dxa"/>
          </w:tcPr>
          <w:p w14:paraId="64E805DD" w14:textId="77777777" w:rsidR="0060614D" w:rsidRPr="003F564F" w:rsidRDefault="0060614D" w:rsidP="000A6D36">
            <w:pPr>
              <w:tabs>
                <w:tab w:val="left" w:pos="567"/>
              </w:tabs>
              <w:spacing w:line="260" w:lineRule="exact"/>
              <w:jc w:val="center"/>
              <w:rPr>
                <w:sz w:val="22"/>
                <w:szCs w:val="22"/>
              </w:rPr>
            </w:pPr>
          </w:p>
        </w:tc>
      </w:tr>
      <w:tr w:rsidR="000A1C95" w:rsidRPr="003F564F" w14:paraId="3DBED6C5" w14:textId="77777777" w:rsidTr="000A6D36">
        <w:tc>
          <w:tcPr>
            <w:tcW w:w="3238" w:type="dxa"/>
          </w:tcPr>
          <w:p w14:paraId="4DAE6D81" w14:textId="10B07687" w:rsidR="000A1C95" w:rsidRPr="003F564F" w:rsidRDefault="009B4CAC" w:rsidP="0060614D">
            <w:pPr>
              <w:tabs>
                <w:tab w:val="left" w:pos="567"/>
              </w:tabs>
              <w:spacing w:line="260" w:lineRule="exact"/>
              <w:ind w:left="426"/>
              <w:rPr>
                <w:sz w:val="22"/>
                <w:szCs w:val="22"/>
              </w:rPr>
            </w:pPr>
            <w:r w:rsidRPr="003F564F">
              <w:rPr>
                <w:sz w:val="22"/>
                <w:szCs w:val="22"/>
              </w:rPr>
              <w:t xml:space="preserve">Bet kokio laipsnio pagal </w:t>
            </w:r>
            <w:proofErr w:type="spellStart"/>
            <w:r w:rsidRPr="003F564F">
              <w:rPr>
                <w:sz w:val="22"/>
                <w:szCs w:val="22"/>
              </w:rPr>
              <w:t>CTCAE</w:t>
            </w:r>
            <w:r w:rsidRPr="003F564F">
              <w:rPr>
                <w:sz w:val="22"/>
                <w:szCs w:val="22"/>
                <w:vertAlign w:val="superscript"/>
              </w:rPr>
              <w:t>c</w:t>
            </w:r>
            <w:proofErr w:type="spellEnd"/>
            <w:r w:rsidRPr="003F564F">
              <w:rPr>
                <w:sz w:val="22"/>
                <w:szCs w:val="22"/>
              </w:rPr>
              <w:t xml:space="preserve"> kriterijus</w:t>
            </w:r>
          </w:p>
        </w:tc>
        <w:tc>
          <w:tcPr>
            <w:tcW w:w="3238" w:type="dxa"/>
          </w:tcPr>
          <w:p w14:paraId="37ABD198" w14:textId="5B0542A4" w:rsidR="000A1C95" w:rsidRPr="003F564F" w:rsidRDefault="009B4CAC" w:rsidP="000A6D36">
            <w:pPr>
              <w:tabs>
                <w:tab w:val="left" w:pos="567"/>
              </w:tabs>
              <w:spacing w:line="260" w:lineRule="exact"/>
              <w:jc w:val="center"/>
              <w:rPr>
                <w:sz w:val="22"/>
                <w:szCs w:val="22"/>
              </w:rPr>
            </w:pPr>
            <w:r w:rsidRPr="003F564F">
              <w:rPr>
                <w:sz w:val="22"/>
                <w:szCs w:val="22"/>
              </w:rPr>
              <w:t>Labai dažnas</w:t>
            </w:r>
          </w:p>
        </w:tc>
        <w:tc>
          <w:tcPr>
            <w:tcW w:w="3238" w:type="dxa"/>
          </w:tcPr>
          <w:p w14:paraId="559484FE" w14:textId="1838B6B4" w:rsidR="000A1C95" w:rsidRPr="003F564F" w:rsidRDefault="009B4CAC" w:rsidP="000A6D36">
            <w:pPr>
              <w:tabs>
                <w:tab w:val="left" w:pos="567"/>
              </w:tabs>
              <w:spacing w:line="260" w:lineRule="exact"/>
              <w:jc w:val="center"/>
              <w:rPr>
                <w:sz w:val="22"/>
                <w:szCs w:val="22"/>
              </w:rPr>
            </w:pPr>
            <w:r w:rsidRPr="003F564F">
              <w:rPr>
                <w:sz w:val="22"/>
                <w:szCs w:val="22"/>
              </w:rPr>
              <w:t>Labai dažnas</w:t>
            </w:r>
          </w:p>
        </w:tc>
      </w:tr>
      <w:tr w:rsidR="0060614D" w:rsidRPr="003F564F" w14:paraId="48A32652" w14:textId="77777777" w:rsidTr="00A31A87">
        <w:tc>
          <w:tcPr>
            <w:tcW w:w="9714" w:type="dxa"/>
            <w:gridSpan w:val="3"/>
          </w:tcPr>
          <w:p w14:paraId="2B0DB9F1" w14:textId="54D3EF08" w:rsidR="0060614D" w:rsidRPr="003F564F" w:rsidRDefault="0060614D" w:rsidP="009B4CAC">
            <w:pPr>
              <w:tabs>
                <w:tab w:val="left" w:pos="567"/>
              </w:tabs>
              <w:spacing w:line="260" w:lineRule="exact"/>
              <w:rPr>
                <w:b/>
                <w:bCs/>
                <w:sz w:val="22"/>
                <w:szCs w:val="22"/>
              </w:rPr>
            </w:pPr>
            <w:r w:rsidRPr="003F564F">
              <w:rPr>
                <w:b/>
                <w:bCs/>
                <w:sz w:val="22"/>
                <w:szCs w:val="22"/>
              </w:rPr>
              <w:t>Kraujagyslių sutrikimai</w:t>
            </w:r>
          </w:p>
        </w:tc>
      </w:tr>
      <w:tr w:rsidR="000A1C95" w:rsidRPr="003F564F" w14:paraId="7C9CCA9E" w14:textId="77777777" w:rsidTr="000A6D36">
        <w:tc>
          <w:tcPr>
            <w:tcW w:w="3238" w:type="dxa"/>
          </w:tcPr>
          <w:p w14:paraId="1A03A374" w14:textId="0B4A5F42" w:rsidR="000A1C95" w:rsidRPr="003F564F" w:rsidRDefault="009B4CAC" w:rsidP="009B4CAC">
            <w:pPr>
              <w:tabs>
                <w:tab w:val="left" w:pos="567"/>
              </w:tabs>
              <w:spacing w:line="260" w:lineRule="exact"/>
              <w:rPr>
                <w:sz w:val="22"/>
                <w:szCs w:val="22"/>
              </w:rPr>
            </w:pPr>
            <w:r w:rsidRPr="003F564F">
              <w:rPr>
                <w:sz w:val="22"/>
                <w:szCs w:val="22"/>
              </w:rPr>
              <w:t xml:space="preserve">Hipertenzija </w:t>
            </w:r>
          </w:p>
        </w:tc>
        <w:tc>
          <w:tcPr>
            <w:tcW w:w="3238" w:type="dxa"/>
          </w:tcPr>
          <w:p w14:paraId="18A25250" w14:textId="46E1C74C" w:rsidR="000A1C95" w:rsidRPr="003F564F" w:rsidRDefault="009B4CAC" w:rsidP="000A6D36">
            <w:pPr>
              <w:tabs>
                <w:tab w:val="left" w:pos="567"/>
              </w:tabs>
              <w:spacing w:line="260" w:lineRule="exact"/>
              <w:jc w:val="center"/>
              <w:rPr>
                <w:sz w:val="22"/>
                <w:szCs w:val="22"/>
              </w:rPr>
            </w:pPr>
            <w:r w:rsidRPr="003F564F">
              <w:rPr>
                <w:sz w:val="22"/>
                <w:szCs w:val="22"/>
              </w:rPr>
              <w:t>Labai dažnas</w:t>
            </w:r>
          </w:p>
        </w:tc>
        <w:tc>
          <w:tcPr>
            <w:tcW w:w="3238" w:type="dxa"/>
          </w:tcPr>
          <w:p w14:paraId="263C913E" w14:textId="1B7721F4" w:rsidR="000A1C95" w:rsidRPr="003F564F" w:rsidRDefault="009B4CAC" w:rsidP="000A6D36">
            <w:pPr>
              <w:tabs>
                <w:tab w:val="left" w:pos="567"/>
              </w:tabs>
              <w:spacing w:line="260" w:lineRule="exact"/>
              <w:jc w:val="center"/>
              <w:rPr>
                <w:sz w:val="22"/>
                <w:szCs w:val="22"/>
              </w:rPr>
            </w:pPr>
            <w:r w:rsidRPr="003F564F">
              <w:rPr>
                <w:sz w:val="22"/>
                <w:szCs w:val="22"/>
              </w:rPr>
              <w:t>Labai dažnas</w:t>
            </w:r>
          </w:p>
        </w:tc>
      </w:tr>
      <w:tr w:rsidR="0060614D" w:rsidRPr="003F564F" w14:paraId="49044B04" w14:textId="77777777" w:rsidTr="00F7183E">
        <w:tc>
          <w:tcPr>
            <w:tcW w:w="9714" w:type="dxa"/>
            <w:gridSpan w:val="3"/>
          </w:tcPr>
          <w:p w14:paraId="5550EF1B" w14:textId="4AD905A7" w:rsidR="0060614D" w:rsidRPr="003F564F" w:rsidRDefault="0060614D" w:rsidP="0060614D">
            <w:pPr>
              <w:tabs>
                <w:tab w:val="left" w:pos="567"/>
              </w:tabs>
              <w:spacing w:line="260" w:lineRule="exact"/>
              <w:rPr>
                <w:sz w:val="22"/>
                <w:szCs w:val="22"/>
              </w:rPr>
            </w:pPr>
            <w:r w:rsidRPr="003F564F">
              <w:rPr>
                <w:sz w:val="22"/>
                <w:szCs w:val="22"/>
                <w:vertAlign w:val="superscript"/>
              </w:rPr>
              <w:t>a</w:t>
            </w:r>
            <w:r w:rsidRPr="003F564F">
              <w:rPr>
                <w:sz w:val="22"/>
                <w:szCs w:val="22"/>
              </w:rPr>
              <w:t xml:space="preserve"> Dažnis pagrįstas naujai pasireiškusiais laboratorinių tyrimų pokyčiais ar </w:t>
            </w:r>
            <w:r w:rsidR="00030836">
              <w:rPr>
                <w:sz w:val="22"/>
                <w:szCs w:val="22"/>
              </w:rPr>
              <w:t xml:space="preserve">labiau nuo normos nukrypusiais </w:t>
            </w:r>
            <w:r w:rsidRPr="003F564F">
              <w:rPr>
                <w:sz w:val="22"/>
                <w:szCs w:val="22"/>
              </w:rPr>
              <w:t>laboratoriniais rodikliais, lyginant su pradinėmis reikšmėmis.</w:t>
            </w:r>
          </w:p>
          <w:p w14:paraId="6CDA5D4F" w14:textId="1C0E59A1" w:rsidR="0060614D" w:rsidRPr="003F564F" w:rsidRDefault="0060614D" w:rsidP="0060614D">
            <w:pPr>
              <w:tabs>
                <w:tab w:val="left" w:pos="567"/>
              </w:tabs>
              <w:spacing w:line="260" w:lineRule="exact"/>
              <w:rPr>
                <w:sz w:val="22"/>
                <w:szCs w:val="22"/>
              </w:rPr>
            </w:pPr>
            <w:r w:rsidRPr="003F564F">
              <w:rPr>
                <w:sz w:val="22"/>
                <w:szCs w:val="22"/>
                <w:vertAlign w:val="superscript"/>
              </w:rPr>
              <w:t>b</w:t>
            </w:r>
            <w:r w:rsidRPr="003F564F">
              <w:rPr>
                <w:sz w:val="22"/>
                <w:szCs w:val="22"/>
              </w:rPr>
              <w:t xml:space="preserve"> </w:t>
            </w:r>
            <w:proofErr w:type="spellStart"/>
            <w:r w:rsidRPr="003F564F">
              <w:rPr>
                <w:sz w:val="22"/>
                <w:szCs w:val="22"/>
              </w:rPr>
              <w:t>Pancitopenija</w:t>
            </w:r>
            <w:proofErr w:type="spellEnd"/>
            <w:r w:rsidRPr="003F564F">
              <w:rPr>
                <w:sz w:val="22"/>
                <w:szCs w:val="22"/>
              </w:rPr>
              <w:t xml:space="preserve"> apibrėžiama kaip hemoglobino koncentracija &lt; 100 g/l, trombocitų skaičius &lt; 100 x 109/l ir </w:t>
            </w:r>
            <w:proofErr w:type="spellStart"/>
            <w:r w:rsidRPr="003F564F">
              <w:rPr>
                <w:sz w:val="22"/>
                <w:szCs w:val="22"/>
              </w:rPr>
              <w:t>neutrofilų</w:t>
            </w:r>
            <w:proofErr w:type="spellEnd"/>
            <w:r w:rsidRPr="003F564F">
              <w:rPr>
                <w:sz w:val="22"/>
                <w:szCs w:val="22"/>
              </w:rPr>
              <w:t xml:space="preserve"> skaičius &lt; 1,5 x 109/l (arba mažas 2-ojo laipsnio leukocitų skaičius, jei trūksta </w:t>
            </w:r>
            <w:proofErr w:type="spellStart"/>
            <w:r w:rsidRPr="003F564F">
              <w:rPr>
                <w:sz w:val="22"/>
                <w:szCs w:val="22"/>
              </w:rPr>
              <w:t>neutrofilų</w:t>
            </w:r>
            <w:proofErr w:type="spellEnd"/>
            <w:r w:rsidRPr="003F564F">
              <w:rPr>
                <w:sz w:val="22"/>
                <w:szCs w:val="22"/>
              </w:rPr>
              <w:t xml:space="preserve"> įvertinimo), tuo pačiu metu atliekant tos pačios laboratorijos vertinimą.</w:t>
            </w:r>
          </w:p>
          <w:p w14:paraId="492AF2E4" w14:textId="2E36338C" w:rsidR="0060614D" w:rsidRPr="003F564F" w:rsidRDefault="0060614D" w:rsidP="0060614D">
            <w:pPr>
              <w:tabs>
                <w:tab w:val="left" w:pos="567"/>
              </w:tabs>
              <w:spacing w:line="260" w:lineRule="exact"/>
              <w:rPr>
                <w:sz w:val="22"/>
                <w:szCs w:val="22"/>
              </w:rPr>
            </w:pPr>
            <w:r w:rsidRPr="003F564F">
              <w:rPr>
                <w:sz w:val="22"/>
                <w:szCs w:val="22"/>
                <w:vertAlign w:val="superscript"/>
              </w:rPr>
              <w:t>c</w:t>
            </w:r>
            <w:r w:rsidRPr="003F564F">
              <w:rPr>
                <w:sz w:val="22"/>
                <w:szCs w:val="22"/>
              </w:rPr>
              <w:t xml:space="preserve"> Bendrieji nepageidaujamų reiškinių terminologijos kriterijai (angl. </w:t>
            </w:r>
            <w:proofErr w:type="spellStart"/>
            <w:r w:rsidRPr="003F564F">
              <w:rPr>
                <w:i/>
                <w:iCs/>
                <w:sz w:val="22"/>
                <w:szCs w:val="22"/>
              </w:rPr>
              <w:t>Common</w:t>
            </w:r>
            <w:proofErr w:type="spellEnd"/>
            <w:r w:rsidRPr="003F564F">
              <w:rPr>
                <w:i/>
                <w:iCs/>
                <w:sz w:val="22"/>
                <w:szCs w:val="22"/>
              </w:rPr>
              <w:t xml:space="preserve"> </w:t>
            </w:r>
            <w:proofErr w:type="spellStart"/>
            <w:r w:rsidRPr="003F564F">
              <w:rPr>
                <w:i/>
                <w:iCs/>
                <w:sz w:val="22"/>
                <w:szCs w:val="22"/>
              </w:rPr>
              <w:t>Terminology</w:t>
            </w:r>
            <w:proofErr w:type="spellEnd"/>
            <w:r w:rsidRPr="003F564F">
              <w:rPr>
                <w:i/>
                <w:iCs/>
                <w:sz w:val="22"/>
                <w:szCs w:val="22"/>
              </w:rPr>
              <w:t xml:space="preserve"> </w:t>
            </w:r>
            <w:proofErr w:type="spellStart"/>
            <w:r w:rsidRPr="003F564F">
              <w:rPr>
                <w:i/>
                <w:iCs/>
                <w:sz w:val="22"/>
                <w:szCs w:val="22"/>
              </w:rPr>
              <w:t>Criteria</w:t>
            </w:r>
            <w:proofErr w:type="spellEnd"/>
            <w:r w:rsidRPr="003F564F">
              <w:rPr>
                <w:i/>
                <w:iCs/>
                <w:sz w:val="22"/>
                <w:szCs w:val="22"/>
              </w:rPr>
              <w:t xml:space="preserve"> </w:t>
            </w:r>
            <w:proofErr w:type="spellStart"/>
            <w:r w:rsidRPr="003F564F">
              <w:rPr>
                <w:i/>
                <w:iCs/>
                <w:sz w:val="22"/>
                <w:szCs w:val="22"/>
              </w:rPr>
              <w:t>for</w:t>
            </w:r>
            <w:proofErr w:type="spellEnd"/>
            <w:r w:rsidRPr="003F564F">
              <w:rPr>
                <w:i/>
                <w:iCs/>
                <w:sz w:val="22"/>
                <w:szCs w:val="22"/>
              </w:rPr>
              <w:t xml:space="preserve"> </w:t>
            </w:r>
            <w:proofErr w:type="spellStart"/>
            <w:r w:rsidRPr="003F564F">
              <w:rPr>
                <w:i/>
                <w:iCs/>
                <w:sz w:val="22"/>
                <w:szCs w:val="22"/>
              </w:rPr>
              <w:t>Adverse</w:t>
            </w:r>
            <w:proofErr w:type="spellEnd"/>
            <w:r w:rsidRPr="003F564F">
              <w:rPr>
                <w:i/>
                <w:iCs/>
                <w:sz w:val="22"/>
                <w:szCs w:val="22"/>
              </w:rPr>
              <w:t xml:space="preserve"> </w:t>
            </w:r>
            <w:proofErr w:type="spellStart"/>
            <w:r w:rsidRPr="003F564F">
              <w:rPr>
                <w:i/>
                <w:iCs/>
                <w:sz w:val="22"/>
                <w:szCs w:val="22"/>
              </w:rPr>
              <w:t>Events</w:t>
            </w:r>
            <w:proofErr w:type="spellEnd"/>
            <w:r w:rsidRPr="003F564F">
              <w:rPr>
                <w:sz w:val="22"/>
                <w:szCs w:val="22"/>
              </w:rPr>
              <w:t xml:space="preserve"> – CTCAE), versija 3.0: 1</w:t>
            </w:r>
            <w:r w:rsidRPr="003F564F">
              <w:rPr>
                <w:sz w:val="22"/>
                <w:szCs w:val="22"/>
              </w:rPr>
              <w:noBreakHyphen/>
              <w:t>ojo laipsnio = nesunkus, 2</w:t>
            </w:r>
            <w:r w:rsidRPr="003F564F">
              <w:rPr>
                <w:sz w:val="22"/>
                <w:szCs w:val="22"/>
              </w:rPr>
              <w:noBreakHyphen/>
              <w:t>ojo laipsnio = vidutinio sunkumo, 3</w:t>
            </w:r>
            <w:r w:rsidRPr="003F564F">
              <w:rPr>
                <w:sz w:val="22"/>
                <w:szCs w:val="22"/>
              </w:rPr>
              <w:noBreakHyphen/>
              <w:t>iojo laipsnio = sunkus ir 4</w:t>
            </w:r>
            <w:r w:rsidRPr="003F564F">
              <w:rPr>
                <w:sz w:val="22"/>
                <w:szCs w:val="22"/>
              </w:rPr>
              <w:noBreakHyphen/>
              <w:t>ojo laipsnio = lemiantis pavojų gyvybei.</w:t>
            </w:r>
          </w:p>
          <w:p w14:paraId="0FB4FB7C" w14:textId="77777777" w:rsidR="0060614D" w:rsidRPr="003F564F" w:rsidRDefault="0060614D" w:rsidP="0060614D">
            <w:pPr>
              <w:tabs>
                <w:tab w:val="left" w:pos="567"/>
              </w:tabs>
              <w:spacing w:line="260" w:lineRule="exact"/>
              <w:rPr>
                <w:sz w:val="22"/>
                <w:szCs w:val="22"/>
              </w:rPr>
            </w:pPr>
            <w:r w:rsidRPr="003F564F">
              <w:rPr>
                <w:sz w:val="22"/>
                <w:szCs w:val="22"/>
                <w:vertAlign w:val="superscript"/>
              </w:rPr>
              <w:t>d</w:t>
            </w:r>
            <w:r w:rsidRPr="003F564F">
              <w:rPr>
                <w:sz w:val="22"/>
                <w:szCs w:val="22"/>
              </w:rPr>
              <w:t xml:space="preserve"> Šios vaistinio preparato sukeltos nepageidaujamos reakcijos aprašytos toliau tekste.</w:t>
            </w:r>
          </w:p>
          <w:p w14:paraId="75A15344" w14:textId="2D2071AE" w:rsidR="0060614D" w:rsidRPr="003F564F" w:rsidRDefault="0060614D" w:rsidP="0060614D">
            <w:pPr>
              <w:tabs>
                <w:tab w:val="left" w:pos="567"/>
              </w:tabs>
              <w:spacing w:line="260" w:lineRule="exact"/>
              <w:rPr>
                <w:sz w:val="22"/>
                <w:szCs w:val="22"/>
              </w:rPr>
            </w:pPr>
            <w:r w:rsidRPr="003F564F">
              <w:rPr>
                <w:sz w:val="22"/>
                <w:szCs w:val="22"/>
                <w:vertAlign w:val="superscript"/>
              </w:rPr>
              <w:t>e</w:t>
            </w:r>
            <w:r w:rsidRPr="003F564F">
              <w:rPr>
                <w:sz w:val="22"/>
                <w:szCs w:val="22"/>
              </w:rPr>
              <w:t xml:space="preserve"> Duomenys apie nepageidaujamas reakcijas gauti po vaistinio preparato pateikimo į rinką.</w:t>
            </w:r>
          </w:p>
        </w:tc>
      </w:tr>
    </w:tbl>
    <w:p w14:paraId="3894BE79" w14:textId="77777777" w:rsidR="009F34A7" w:rsidRPr="003F564F" w:rsidRDefault="009F34A7" w:rsidP="0060614D">
      <w:pPr>
        <w:tabs>
          <w:tab w:val="left" w:pos="567"/>
        </w:tabs>
        <w:spacing w:line="260" w:lineRule="exact"/>
        <w:rPr>
          <w:sz w:val="22"/>
          <w:szCs w:val="22"/>
        </w:rPr>
      </w:pPr>
    </w:p>
    <w:p w14:paraId="3EA74A4F" w14:textId="54FC6DA5" w:rsidR="0060614D" w:rsidRPr="003F564F" w:rsidRDefault="009F34A7" w:rsidP="0060614D">
      <w:pPr>
        <w:tabs>
          <w:tab w:val="left" w:pos="567"/>
        </w:tabs>
        <w:spacing w:line="260" w:lineRule="exact"/>
        <w:rPr>
          <w:sz w:val="22"/>
          <w:szCs w:val="22"/>
        </w:rPr>
      </w:pPr>
      <w:r w:rsidRPr="003F564F">
        <w:rPr>
          <w:sz w:val="22"/>
          <w:szCs w:val="22"/>
        </w:rPr>
        <w:t>Nutraukus vaistinio preparato vartojimą, MF sergantiems pacientams vėl gali pasireikšti MF</w:t>
      </w:r>
      <w:r w:rsidR="0060614D" w:rsidRPr="003F564F">
        <w:rPr>
          <w:sz w:val="22"/>
          <w:szCs w:val="22"/>
        </w:rPr>
        <w:t xml:space="preserve"> </w:t>
      </w:r>
      <w:r w:rsidRPr="003F564F">
        <w:rPr>
          <w:sz w:val="22"/>
          <w:szCs w:val="22"/>
        </w:rPr>
        <w:t>simptomų, pavyzdžiui, nuovargis, kaulų skausmas, karščiavimas, niežulys, prakaitavimas naktimis,</w:t>
      </w:r>
      <w:r w:rsidR="0060614D" w:rsidRPr="003F564F">
        <w:rPr>
          <w:sz w:val="22"/>
          <w:szCs w:val="22"/>
        </w:rPr>
        <w:t xml:space="preserve"> </w:t>
      </w:r>
      <w:r w:rsidRPr="003F564F">
        <w:rPr>
          <w:sz w:val="22"/>
          <w:szCs w:val="22"/>
        </w:rPr>
        <w:t xml:space="preserve">simptomus sukelianti </w:t>
      </w:r>
      <w:proofErr w:type="spellStart"/>
      <w:r w:rsidRPr="003F564F">
        <w:rPr>
          <w:sz w:val="22"/>
          <w:szCs w:val="22"/>
        </w:rPr>
        <w:t>splenomegalija</w:t>
      </w:r>
      <w:proofErr w:type="spellEnd"/>
      <w:r w:rsidRPr="003F564F">
        <w:rPr>
          <w:sz w:val="22"/>
          <w:szCs w:val="22"/>
        </w:rPr>
        <w:t xml:space="preserve"> ir sumažėjęs kūno svoris. Klinikinių tyrimų su MF sergančiais</w:t>
      </w:r>
      <w:r w:rsidR="0060614D" w:rsidRPr="003F564F">
        <w:rPr>
          <w:sz w:val="22"/>
          <w:szCs w:val="22"/>
        </w:rPr>
        <w:t xml:space="preserve"> </w:t>
      </w:r>
      <w:r w:rsidRPr="003F564F">
        <w:rPr>
          <w:sz w:val="22"/>
          <w:szCs w:val="22"/>
        </w:rPr>
        <w:t>pacientais metu bendrasis MF simptomų įvertinimo balas laipsniškai sugrįžo iki pradinių reikšmių per</w:t>
      </w:r>
      <w:r w:rsidR="0060614D" w:rsidRPr="003F564F">
        <w:rPr>
          <w:sz w:val="22"/>
          <w:szCs w:val="22"/>
        </w:rPr>
        <w:t xml:space="preserve"> </w:t>
      </w:r>
      <w:r w:rsidRPr="003F564F">
        <w:rPr>
          <w:sz w:val="22"/>
          <w:szCs w:val="22"/>
        </w:rPr>
        <w:t>7</w:t>
      </w:r>
      <w:r w:rsidR="0060614D" w:rsidRPr="003F564F">
        <w:rPr>
          <w:sz w:val="22"/>
          <w:szCs w:val="22"/>
        </w:rPr>
        <w:t> </w:t>
      </w:r>
      <w:r w:rsidRPr="003F564F">
        <w:rPr>
          <w:sz w:val="22"/>
          <w:szCs w:val="22"/>
        </w:rPr>
        <w:t>dienas nuo vaistinio preparato vartojimo nutraukimo (žr.</w:t>
      </w:r>
      <w:r w:rsidR="0060614D" w:rsidRPr="003F564F">
        <w:rPr>
          <w:sz w:val="22"/>
          <w:szCs w:val="22"/>
        </w:rPr>
        <w:t> </w:t>
      </w:r>
      <w:r w:rsidRPr="003F564F">
        <w:rPr>
          <w:sz w:val="22"/>
          <w:szCs w:val="22"/>
        </w:rPr>
        <w:t>4.4</w:t>
      </w:r>
      <w:r w:rsidR="0060614D" w:rsidRPr="003F564F">
        <w:rPr>
          <w:sz w:val="22"/>
          <w:szCs w:val="22"/>
        </w:rPr>
        <w:t> </w:t>
      </w:r>
      <w:r w:rsidRPr="003F564F">
        <w:rPr>
          <w:sz w:val="22"/>
          <w:szCs w:val="22"/>
        </w:rPr>
        <w:t>skyrių).</w:t>
      </w:r>
      <w:r w:rsidR="0060614D" w:rsidRPr="003F564F">
        <w:rPr>
          <w:sz w:val="22"/>
          <w:szCs w:val="22"/>
        </w:rPr>
        <w:t xml:space="preserve"> </w:t>
      </w:r>
    </w:p>
    <w:p w14:paraId="57DD359D" w14:textId="04E718CF" w:rsidR="009F34A7" w:rsidRPr="003F564F" w:rsidRDefault="009F34A7" w:rsidP="0060614D">
      <w:pPr>
        <w:tabs>
          <w:tab w:val="left" w:pos="567"/>
        </w:tabs>
        <w:spacing w:line="260" w:lineRule="exact"/>
        <w:rPr>
          <w:sz w:val="22"/>
          <w:szCs w:val="22"/>
        </w:rPr>
      </w:pPr>
    </w:p>
    <w:p w14:paraId="0BA9F8B6" w14:textId="4161BC9F" w:rsidR="009F34A7" w:rsidRPr="003F564F" w:rsidRDefault="009F34A7" w:rsidP="0060614D">
      <w:pPr>
        <w:tabs>
          <w:tab w:val="left" w:pos="567"/>
        </w:tabs>
        <w:spacing w:line="260" w:lineRule="exact"/>
        <w:ind w:left="1290" w:hanging="1290"/>
        <w:rPr>
          <w:b/>
          <w:bCs/>
          <w:sz w:val="22"/>
          <w:szCs w:val="22"/>
        </w:rPr>
      </w:pPr>
      <w:r w:rsidRPr="003F564F">
        <w:rPr>
          <w:b/>
          <w:bCs/>
          <w:sz w:val="22"/>
          <w:szCs w:val="22"/>
        </w:rPr>
        <w:t>7</w:t>
      </w:r>
      <w:r w:rsidR="0060614D" w:rsidRPr="003F564F">
        <w:rPr>
          <w:b/>
          <w:bCs/>
          <w:sz w:val="22"/>
          <w:szCs w:val="22"/>
        </w:rPr>
        <w:t> </w:t>
      </w:r>
      <w:r w:rsidRPr="003F564F">
        <w:rPr>
          <w:b/>
          <w:bCs/>
          <w:sz w:val="22"/>
          <w:szCs w:val="22"/>
        </w:rPr>
        <w:t>lentelė</w:t>
      </w:r>
      <w:r w:rsidR="0060614D" w:rsidRPr="003F564F">
        <w:rPr>
          <w:b/>
          <w:bCs/>
          <w:sz w:val="22"/>
          <w:szCs w:val="22"/>
        </w:rPr>
        <w:tab/>
      </w:r>
      <w:r w:rsidRPr="003F564F">
        <w:rPr>
          <w:b/>
          <w:bCs/>
          <w:sz w:val="22"/>
          <w:szCs w:val="22"/>
        </w:rPr>
        <w:t>Klinikinių tyrimų metu pasireiškusių nepageidaujamų reakcijų dažnių kategorijos</w:t>
      </w:r>
      <w:r w:rsidR="0060614D" w:rsidRPr="003F564F">
        <w:rPr>
          <w:b/>
          <w:bCs/>
          <w:sz w:val="22"/>
          <w:szCs w:val="22"/>
        </w:rPr>
        <w:t xml:space="preserve"> </w:t>
      </w:r>
      <w:proofErr w:type="spellStart"/>
      <w:r w:rsidRPr="003F564F">
        <w:rPr>
          <w:b/>
          <w:bCs/>
          <w:sz w:val="22"/>
          <w:szCs w:val="22"/>
        </w:rPr>
        <w:t>TpŠL</w:t>
      </w:r>
      <w:proofErr w:type="spellEnd"/>
      <w:r w:rsidRPr="003F564F">
        <w:rPr>
          <w:b/>
          <w:bCs/>
          <w:sz w:val="22"/>
          <w:szCs w:val="22"/>
        </w:rPr>
        <w:t xml:space="preserve"> sergantiems pacientams</w:t>
      </w:r>
    </w:p>
    <w:p w14:paraId="77DB5EB3" w14:textId="77777777" w:rsidR="009F34A7" w:rsidRPr="003F564F" w:rsidRDefault="009F34A7" w:rsidP="0060614D">
      <w:pPr>
        <w:tabs>
          <w:tab w:val="left" w:pos="567"/>
        </w:tabs>
        <w:spacing w:line="260" w:lineRule="exact"/>
        <w:rPr>
          <w:sz w:val="22"/>
          <w:szCs w:val="22"/>
        </w:rPr>
      </w:pPr>
    </w:p>
    <w:tbl>
      <w:tblPr>
        <w:tblStyle w:val="Lentelstinklelis"/>
        <w:tblW w:w="0" w:type="auto"/>
        <w:tblLook w:val="04A0" w:firstRow="1" w:lastRow="0" w:firstColumn="1" w:lastColumn="0" w:noHBand="0" w:noVBand="1"/>
      </w:tblPr>
      <w:tblGrid>
        <w:gridCol w:w="2267"/>
        <w:gridCol w:w="1656"/>
        <w:gridCol w:w="1740"/>
        <w:gridCol w:w="1657"/>
        <w:gridCol w:w="1740"/>
      </w:tblGrid>
      <w:tr w:rsidR="009F34A7" w:rsidRPr="003F564F" w14:paraId="3873C4E2" w14:textId="77777777" w:rsidTr="000A6D36">
        <w:tc>
          <w:tcPr>
            <w:tcW w:w="2281" w:type="dxa"/>
          </w:tcPr>
          <w:p w14:paraId="4DF3E700" w14:textId="77777777" w:rsidR="009F34A7" w:rsidRPr="003F564F" w:rsidRDefault="009F34A7" w:rsidP="0060614D">
            <w:pPr>
              <w:tabs>
                <w:tab w:val="left" w:pos="567"/>
              </w:tabs>
              <w:spacing w:line="260" w:lineRule="exact"/>
              <w:rPr>
                <w:b/>
                <w:bCs/>
                <w:sz w:val="22"/>
                <w:szCs w:val="22"/>
              </w:rPr>
            </w:pPr>
          </w:p>
        </w:tc>
        <w:tc>
          <w:tcPr>
            <w:tcW w:w="1843" w:type="dxa"/>
          </w:tcPr>
          <w:p w14:paraId="20F1C870" w14:textId="7C8A7570" w:rsidR="009F34A7" w:rsidRPr="003F564F" w:rsidRDefault="0060614D" w:rsidP="000A6D36">
            <w:pPr>
              <w:tabs>
                <w:tab w:val="left" w:pos="567"/>
              </w:tabs>
              <w:spacing w:line="260" w:lineRule="exact"/>
              <w:jc w:val="center"/>
              <w:rPr>
                <w:b/>
                <w:bCs/>
                <w:sz w:val="22"/>
                <w:szCs w:val="22"/>
              </w:rPr>
            </w:pPr>
            <w:r w:rsidRPr="003F564F">
              <w:rPr>
                <w:b/>
                <w:bCs/>
                <w:sz w:val="22"/>
                <w:szCs w:val="22"/>
              </w:rPr>
              <w:t xml:space="preserve">Ūminė </w:t>
            </w:r>
            <w:proofErr w:type="spellStart"/>
            <w:r w:rsidRPr="003F564F">
              <w:rPr>
                <w:b/>
                <w:bCs/>
                <w:sz w:val="22"/>
                <w:szCs w:val="22"/>
              </w:rPr>
              <w:t>TpŠL</w:t>
            </w:r>
            <w:proofErr w:type="spellEnd"/>
            <w:r w:rsidRPr="003F564F">
              <w:rPr>
                <w:b/>
                <w:bCs/>
                <w:sz w:val="22"/>
                <w:szCs w:val="22"/>
              </w:rPr>
              <w:t xml:space="preserve"> (REACH2)</w:t>
            </w:r>
          </w:p>
        </w:tc>
        <w:tc>
          <w:tcPr>
            <w:tcW w:w="1873" w:type="dxa"/>
          </w:tcPr>
          <w:p w14:paraId="76A33791" w14:textId="438AC6D1" w:rsidR="009F34A7" w:rsidRPr="003F564F" w:rsidRDefault="0060614D" w:rsidP="000A6D36">
            <w:pPr>
              <w:tabs>
                <w:tab w:val="left" w:pos="567"/>
              </w:tabs>
              <w:spacing w:line="260" w:lineRule="exact"/>
              <w:jc w:val="center"/>
              <w:rPr>
                <w:b/>
                <w:bCs/>
                <w:sz w:val="22"/>
                <w:szCs w:val="22"/>
              </w:rPr>
            </w:pPr>
            <w:r w:rsidRPr="003F564F">
              <w:rPr>
                <w:b/>
                <w:bCs/>
                <w:sz w:val="22"/>
                <w:szCs w:val="22"/>
              </w:rPr>
              <w:t xml:space="preserve">Ūminė </w:t>
            </w:r>
            <w:proofErr w:type="spellStart"/>
            <w:r w:rsidRPr="003F564F">
              <w:rPr>
                <w:b/>
                <w:bCs/>
                <w:sz w:val="22"/>
                <w:szCs w:val="22"/>
              </w:rPr>
              <w:t>TpŠL</w:t>
            </w:r>
            <w:proofErr w:type="spellEnd"/>
            <w:r w:rsidRPr="003F564F">
              <w:rPr>
                <w:b/>
                <w:bCs/>
                <w:sz w:val="22"/>
                <w:szCs w:val="22"/>
              </w:rPr>
              <w:t xml:space="preserve"> (apibendrinti vaikų duomenys)</w:t>
            </w:r>
          </w:p>
        </w:tc>
        <w:tc>
          <w:tcPr>
            <w:tcW w:w="1844" w:type="dxa"/>
          </w:tcPr>
          <w:p w14:paraId="6E97AF6F" w14:textId="2D495C51" w:rsidR="009F34A7" w:rsidRPr="003F564F" w:rsidRDefault="0060614D" w:rsidP="000A6D36">
            <w:pPr>
              <w:tabs>
                <w:tab w:val="left" w:pos="567"/>
              </w:tabs>
              <w:spacing w:line="260" w:lineRule="exact"/>
              <w:jc w:val="center"/>
              <w:rPr>
                <w:b/>
                <w:bCs/>
                <w:sz w:val="22"/>
                <w:szCs w:val="22"/>
              </w:rPr>
            </w:pPr>
            <w:r w:rsidRPr="003F564F">
              <w:rPr>
                <w:b/>
                <w:bCs/>
                <w:sz w:val="22"/>
                <w:szCs w:val="22"/>
              </w:rPr>
              <w:t xml:space="preserve">Lėtinė </w:t>
            </w:r>
            <w:proofErr w:type="spellStart"/>
            <w:r w:rsidRPr="003F564F">
              <w:rPr>
                <w:b/>
                <w:bCs/>
                <w:sz w:val="22"/>
                <w:szCs w:val="22"/>
              </w:rPr>
              <w:t>TpŠL</w:t>
            </w:r>
            <w:proofErr w:type="spellEnd"/>
            <w:r w:rsidRPr="003F564F">
              <w:rPr>
                <w:b/>
                <w:bCs/>
                <w:sz w:val="22"/>
                <w:szCs w:val="22"/>
              </w:rPr>
              <w:t xml:space="preserve"> (REACH3)</w:t>
            </w:r>
          </w:p>
        </w:tc>
        <w:tc>
          <w:tcPr>
            <w:tcW w:w="1873" w:type="dxa"/>
          </w:tcPr>
          <w:p w14:paraId="4C32159B" w14:textId="5A7721F8" w:rsidR="009F34A7" w:rsidRPr="003F564F" w:rsidRDefault="0060614D" w:rsidP="000A6D36">
            <w:pPr>
              <w:tabs>
                <w:tab w:val="left" w:pos="567"/>
              </w:tabs>
              <w:spacing w:line="260" w:lineRule="exact"/>
              <w:jc w:val="center"/>
              <w:rPr>
                <w:b/>
                <w:bCs/>
                <w:sz w:val="22"/>
                <w:szCs w:val="22"/>
              </w:rPr>
            </w:pPr>
            <w:r w:rsidRPr="003F564F">
              <w:rPr>
                <w:b/>
                <w:bCs/>
                <w:sz w:val="22"/>
                <w:szCs w:val="22"/>
              </w:rPr>
              <w:t xml:space="preserve">Lėtinė </w:t>
            </w:r>
            <w:proofErr w:type="spellStart"/>
            <w:r w:rsidRPr="003F564F">
              <w:rPr>
                <w:b/>
                <w:bCs/>
                <w:sz w:val="22"/>
                <w:szCs w:val="22"/>
              </w:rPr>
              <w:t>TpŠL</w:t>
            </w:r>
            <w:proofErr w:type="spellEnd"/>
            <w:r w:rsidRPr="003F564F">
              <w:rPr>
                <w:b/>
                <w:bCs/>
                <w:sz w:val="22"/>
                <w:szCs w:val="22"/>
              </w:rPr>
              <w:t xml:space="preserve"> (apibendrinti vaikų duomenys)</w:t>
            </w:r>
          </w:p>
        </w:tc>
      </w:tr>
      <w:tr w:rsidR="009F34A7" w:rsidRPr="003F564F" w14:paraId="6A9F0D52" w14:textId="77777777" w:rsidTr="000A6D36">
        <w:tc>
          <w:tcPr>
            <w:tcW w:w="2281" w:type="dxa"/>
          </w:tcPr>
          <w:p w14:paraId="4C54E951" w14:textId="359F0F89" w:rsidR="009F34A7" w:rsidRPr="003F564F" w:rsidRDefault="0060614D" w:rsidP="0060614D">
            <w:pPr>
              <w:tabs>
                <w:tab w:val="left" w:pos="567"/>
              </w:tabs>
              <w:spacing w:line="260" w:lineRule="exact"/>
              <w:rPr>
                <w:b/>
                <w:bCs/>
                <w:sz w:val="22"/>
                <w:szCs w:val="22"/>
              </w:rPr>
            </w:pPr>
            <w:r w:rsidRPr="003F564F">
              <w:rPr>
                <w:b/>
                <w:bCs/>
                <w:sz w:val="22"/>
                <w:szCs w:val="22"/>
              </w:rPr>
              <w:t>Nepageidaujama reakcija</w:t>
            </w:r>
          </w:p>
        </w:tc>
        <w:tc>
          <w:tcPr>
            <w:tcW w:w="1843" w:type="dxa"/>
          </w:tcPr>
          <w:p w14:paraId="7087B2BF" w14:textId="34CFC802" w:rsidR="009F34A7" w:rsidRPr="003F564F" w:rsidRDefault="0060614D" w:rsidP="000A6D36">
            <w:pPr>
              <w:tabs>
                <w:tab w:val="left" w:pos="567"/>
              </w:tabs>
              <w:spacing w:line="260" w:lineRule="exact"/>
              <w:jc w:val="center"/>
              <w:rPr>
                <w:b/>
                <w:bCs/>
                <w:sz w:val="22"/>
                <w:szCs w:val="22"/>
              </w:rPr>
            </w:pPr>
            <w:r w:rsidRPr="003F564F">
              <w:rPr>
                <w:b/>
                <w:bCs/>
                <w:sz w:val="22"/>
                <w:szCs w:val="22"/>
              </w:rPr>
              <w:t>Dažnio kategorija</w:t>
            </w:r>
          </w:p>
        </w:tc>
        <w:tc>
          <w:tcPr>
            <w:tcW w:w="1873" w:type="dxa"/>
          </w:tcPr>
          <w:p w14:paraId="20E13FED" w14:textId="2238D011" w:rsidR="009F34A7" w:rsidRPr="003F564F" w:rsidRDefault="0060614D" w:rsidP="000A6D36">
            <w:pPr>
              <w:tabs>
                <w:tab w:val="left" w:pos="567"/>
              </w:tabs>
              <w:spacing w:line="260" w:lineRule="exact"/>
              <w:jc w:val="center"/>
              <w:rPr>
                <w:b/>
                <w:bCs/>
                <w:sz w:val="22"/>
                <w:szCs w:val="22"/>
              </w:rPr>
            </w:pPr>
            <w:r w:rsidRPr="003F564F">
              <w:rPr>
                <w:b/>
                <w:bCs/>
                <w:sz w:val="22"/>
                <w:szCs w:val="22"/>
              </w:rPr>
              <w:t>Dažnio kategorija</w:t>
            </w:r>
          </w:p>
        </w:tc>
        <w:tc>
          <w:tcPr>
            <w:tcW w:w="1844" w:type="dxa"/>
          </w:tcPr>
          <w:p w14:paraId="7C5E285B" w14:textId="7892DFC2" w:rsidR="009F34A7" w:rsidRPr="003F564F" w:rsidRDefault="0060614D" w:rsidP="000A6D36">
            <w:pPr>
              <w:tabs>
                <w:tab w:val="left" w:pos="567"/>
              </w:tabs>
              <w:spacing w:line="260" w:lineRule="exact"/>
              <w:jc w:val="center"/>
              <w:rPr>
                <w:b/>
                <w:bCs/>
                <w:sz w:val="22"/>
                <w:szCs w:val="22"/>
              </w:rPr>
            </w:pPr>
            <w:r w:rsidRPr="003F564F">
              <w:rPr>
                <w:b/>
                <w:bCs/>
                <w:sz w:val="22"/>
                <w:szCs w:val="22"/>
              </w:rPr>
              <w:t>Dažnio kategorija</w:t>
            </w:r>
          </w:p>
        </w:tc>
        <w:tc>
          <w:tcPr>
            <w:tcW w:w="1873" w:type="dxa"/>
          </w:tcPr>
          <w:p w14:paraId="433F3347" w14:textId="1AC3FEE6" w:rsidR="009F34A7" w:rsidRPr="003F564F" w:rsidRDefault="0060614D" w:rsidP="000A6D36">
            <w:pPr>
              <w:tabs>
                <w:tab w:val="left" w:pos="567"/>
              </w:tabs>
              <w:spacing w:line="260" w:lineRule="exact"/>
              <w:jc w:val="center"/>
              <w:rPr>
                <w:b/>
                <w:bCs/>
                <w:sz w:val="22"/>
                <w:szCs w:val="22"/>
              </w:rPr>
            </w:pPr>
            <w:r w:rsidRPr="003F564F">
              <w:rPr>
                <w:b/>
                <w:bCs/>
                <w:sz w:val="22"/>
                <w:szCs w:val="22"/>
              </w:rPr>
              <w:t>Dažnio kategorija</w:t>
            </w:r>
          </w:p>
        </w:tc>
      </w:tr>
      <w:tr w:rsidR="00D24EDF" w:rsidRPr="003F564F" w14:paraId="11FB7E30" w14:textId="77777777" w:rsidTr="00B746C0">
        <w:tc>
          <w:tcPr>
            <w:tcW w:w="9714" w:type="dxa"/>
            <w:gridSpan w:val="5"/>
          </w:tcPr>
          <w:p w14:paraId="5EB2F204" w14:textId="693886FC" w:rsidR="00D24EDF" w:rsidRPr="003F564F" w:rsidRDefault="00D24EDF" w:rsidP="0060614D">
            <w:pPr>
              <w:tabs>
                <w:tab w:val="left" w:pos="567"/>
              </w:tabs>
              <w:spacing w:line="260" w:lineRule="exact"/>
              <w:rPr>
                <w:b/>
                <w:bCs/>
                <w:sz w:val="22"/>
                <w:szCs w:val="22"/>
              </w:rPr>
            </w:pPr>
            <w:r w:rsidRPr="003F564F">
              <w:rPr>
                <w:b/>
                <w:bCs/>
                <w:sz w:val="22"/>
                <w:szCs w:val="22"/>
              </w:rPr>
              <w:t xml:space="preserve">Infekcijos ir </w:t>
            </w:r>
            <w:proofErr w:type="spellStart"/>
            <w:r w:rsidRPr="003F564F">
              <w:rPr>
                <w:b/>
                <w:bCs/>
                <w:sz w:val="22"/>
                <w:szCs w:val="22"/>
              </w:rPr>
              <w:t>infestacijos</w:t>
            </w:r>
            <w:proofErr w:type="spellEnd"/>
          </w:p>
        </w:tc>
      </w:tr>
      <w:tr w:rsidR="0060614D" w:rsidRPr="003F564F" w14:paraId="7D999E4A" w14:textId="77777777" w:rsidTr="000A6D36">
        <w:tc>
          <w:tcPr>
            <w:tcW w:w="2281" w:type="dxa"/>
          </w:tcPr>
          <w:p w14:paraId="0C25A79A" w14:textId="5A9ADBA1" w:rsidR="0060614D" w:rsidRPr="003F564F" w:rsidRDefault="0060614D" w:rsidP="0060614D">
            <w:pPr>
              <w:tabs>
                <w:tab w:val="left" w:pos="567"/>
              </w:tabs>
              <w:spacing w:line="260" w:lineRule="exact"/>
              <w:rPr>
                <w:sz w:val="22"/>
                <w:szCs w:val="22"/>
              </w:rPr>
            </w:pPr>
            <w:r w:rsidRPr="003F564F">
              <w:rPr>
                <w:sz w:val="22"/>
                <w:szCs w:val="22"/>
              </w:rPr>
              <w:t>CMV infekcijos</w:t>
            </w:r>
          </w:p>
        </w:tc>
        <w:tc>
          <w:tcPr>
            <w:tcW w:w="1843" w:type="dxa"/>
          </w:tcPr>
          <w:p w14:paraId="1B9B6B9B" w14:textId="24CB02BC" w:rsidR="0060614D" w:rsidRPr="003F564F" w:rsidRDefault="0060614D" w:rsidP="000A6D36">
            <w:pPr>
              <w:tabs>
                <w:tab w:val="left" w:pos="567"/>
              </w:tabs>
              <w:spacing w:line="260" w:lineRule="exact"/>
              <w:jc w:val="center"/>
              <w:rPr>
                <w:sz w:val="22"/>
                <w:szCs w:val="22"/>
              </w:rPr>
            </w:pPr>
            <w:r w:rsidRPr="003F564F">
              <w:rPr>
                <w:sz w:val="22"/>
                <w:szCs w:val="22"/>
              </w:rPr>
              <w:t>Labai dažnas</w:t>
            </w:r>
          </w:p>
        </w:tc>
        <w:tc>
          <w:tcPr>
            <w:tcW w:w="1873" w:type="dxa"/>
          </w:tcPr>
          <w:p w14:paraId="347BD6AD" w14:textId="60075F6F" w:rsidR="0060614D" w:rsidRPr="003F564F" w:rsidRDefault="0060614D" w:rsidP="000A6D36">
            <w:pPr>
              <w:tabs>
                <w:tab w:val="left" w:pos="567"/>
              </w:tabs>
              <w:spacing w:line="260" w:lineRule="exact"/>
              <w:jc w:val="center"/>
              <w:rPr>
                <w:sz w:val="22"/>
                <w:szCs w:val="22"/>
              </w:rPr>
            </w:pPr>
            <w:r w:rsidRPr="003F564F">
              <w:rPr>
                <w:sz w:val="22"/>
                <w:szCs w:val="22"/>
              </w:rPr>
              <w:t>Labai dažnas</w:t>
            </w:r>
          </w:p>
        </w:tc>
        <w:tc>
          <w:tcPr>
            <w:tcW w:w="1844" w:type="dxa"/>
          </w:tcPr>
          <w:p w14:paraId="0DE77BA0" w14:textId="4A17AD07" w:rsidR="0060614D" w:rsidRPr="003F564F" w:rsidRDefault="0060614D" w:rsidP="000A6D36">
            <w:pPr>
              <w:tabs>
                <w:tab w:val="left" w:pos="567"/>
              </w:tabs>
              <w:spacing w:line="260" w:lineRule="exact"/>
              <w:jc w:val="center"/>
              <w:rPr>
                <w:sz w:val="22"/>
                <w:szCs w:val="22"/>
              </w:rPr>
            </w:pPr>
            <w:r w:rsidRPr="003F564F">
              <w:rPr>
                <w:sz w:val="22"/>
                <w:szCs w:val="22"/>
              </w:rPr>
              <w:t>Dažnas</w:t>
            </w:r>
          </w:p>
        </w:tc>
        <w:tc>
          <w:tcPr>
            <w:tcW w:w="1873" w:type="dxa"/>
          </w:tcPr>
          <w:p w14:paraId="047E5543" w14:textId="35D6DD1A" w:rsidR="0060614D" w:rsidRPr="003F564F" w:rsidRDefault="0060614D" w:rsidP="000A6D36">
            <w:pPr>
              <w:tabs>
                <w:tab w:val="left" w:pos="567"/>
              </w:tabs>
              <w:spacing w:line="260" w:lineRule="exact"/>
              <w:jc w:val="center"/>
              <w:rPr>
                <w:sz w:val="22"/>
                <w:szCs w:val="22"/>
              </w:rPr>
            </w:pPr>
            <w:r w:rsidRPr="003F564F">
              <w:rPr>
                <w:sz w:val="22"/>
                <w:szCs w:val="22"/>
              </w:rPr>
              <w:t>Dažnas</w:t>
            </w:r>
          </w:p>
        </w:tc>
      </w:tr>
      <w:tr w:rsidR="0060614D" w:rsidRPr="003F564F" w14:paraId="4F68368D" w14:textId="77777777" w:rsidTr="000A6D36">
        <w:tc>
          <w:tcPr>
            <w:tcW w:w="2281" w:type="dxa"/>
          </w:tcPr>
          <w:p w14:paraId="550EC4B9" w14:textId="52DEA15B" w:rsidR="0060614D" w:rsidRPr="003F564F" w:rsidRDefault="0060614D" w:rsidP="0060614D">
            <w:pPr>
              <w:tabs>
                <w:tab w:val="left" w:pos="567"/>
              </w:tabs>
              <w:spacing w:line="260" w:lineRule="exact"/>
              <w:ind w:left="284"/>
              <w:rPr>
                <w:sz w:val="22"/>
                <w:szCs w:val="22"/>
              </w:rPr>
            </w:pPr>
            <w:r w:rsidRPr="003F564F">
              <w:rPr>
                <w:sz w:val="22"/>
                <w:szCs w:val="22"/>
              </w:rPr>
              <w:t>≥ 3</w:t>
            </w:r>
            <w:r w:rsidRPr="003F564F">
              <w:rPr>
                <w:sz w:val="22"/>
                <w:szCs w:val="22"/>
              </w:rPr>
              <w:noBreakHyphen/>
              <w:t>iojo laipsnio pagal CTCAE</w:t>
            </w:r>
            <w:r w:rsidRPr="003F564F">
              <w:rPr>
                <w:sz w:val="22"/>
                <w:szCs w:val="22"/>
                <w:vertAlign w:val="superscript"/>
              </w:rPr>
              <w:t>3</w:t>
            </w:r>
            <w:r w:rsidRPr="003F564F">
              <w:rPr>
                <w:sz w:val="22"/>
                <w:szCs w:val="22"/>
              </w:rPr>
              <w:t xml:space="preserve"> kriterijus</w:t>
            </w:r>
          </w:p>
        </w:tc>
        <w:tc>
          <w:tcPr>
            <w:tcW w:w="1843" w:type="dxa"/>
          </w:tcPr>
          <w:p w14:paraId="329DDC67" w14:textId="41BF6A09" w:rsidR="0060614D" w:rsidRPr="003F564F" w:rsidRDefault="0060614D" w:rsidP="000A6D36">
            <w:pPr>
              <w:tabs>
                <w:tab w:val="left" w:pos="567"/>
              </w:tabs>
              <w:spacing w:line="260" w:lineRule="exact"/>
              <w:jc w:val="center"/>
              <w:rPr>
                <w:sz w:val="22"/>
                <w:szCs w:val="22"/>
              </w:rPr>
            </w:pPr>
            <w:r w:rsidRPr="003F564F">
              <w:rPr>
                <w:sz w:val="22"/>
                <w:szCs w:val="22"/>
              </w:rPr>
              <w:t>Labai dažnas</w:t>
            </w:r>
          </w:p>
        </w:tc>
        <w:tc>
          <w:tcPr>
            <w:tcW w:w="1873" w:type="dxa"/>
          </w:tcPr>
          <w:p w14:paraId="6D1D2FA3" w14:textId="683C21D8" w:rsidR="0060614D" w:rsidRPr="003F564F" w:rsidRDefault="0060614D" w:rsidP="000A6D36">
            <w:pPr>
              <w:tabs>
                <w:tab w:val="left" w:pos="567"/>
              </w:tabs>
              <w:spacing w:line="260" w:lineRule="exact"/>
              <w:jc w:val="center"/>
              <w:rPr>
                <w:sz w:val="22"/>
                <w:szCs w:val="22"/>
              </w:rPr>
            </w:pPr>
            <w:r w:rsidRPr="003F564F">
              <w:rPr>
                <w:sz w:val="22"/>
                <w:szCs w:val="22"/>
              </w:rPr>
              <w:t>Dažnas</w:t>
            </w:r>
          </w:p>
        </w:tc>
        <w:tc>
          <w:tcPr>
            <w:tcW w:w="1844" w:type="dxa"/>
          </w:tcPr>
          <w:p w14:paraId="13B9605A" w14:textId="1C28B0E9" w:rsidR="0060614D" w:rsidRPr="003F564F" w:rsidRDefault="0060614D" w:rsidP="000A6D36">
            <w:pPr>
              <w:tabs>
                <w:tab w:val="left" w:pos="567"/>
              </w:tabs>
              <w:spacing w:line="260" w:lineRule="exact"/>
              <w:jc w:val="center"/>
              <w:rPr>
                <w:sz w:val="22"/>
                <w:szCs w:val="22"/>
              </w:rPr>
            </w:pPr>
            <w:r w:rsidRPr="003F564F">
              <w:rPr>
                <w:sz w:val="22"/>
                <w:szCs w:val="22"/>
              </w:rPr>
              <w:t>Dažnas</w:t>
            </w:r>
          </w:p>
        </w:tc>
        <w:tc>
          <w:tcPr>
            <w:tcW w:w="1873" w:type="dxa"/>
          </w:tcPr>
          <w:p w14:paraId="49B211F8" w14:textId="41E10669" w:rsidR="0060614D" w:rsidRPr="003F564F" w:rsidRDefault="0060614D" w:rsidP="000A6D36">
            <w:pPr>
              <w:tabs>
                <w:tab w:val="left" w:pos="567"/>
              </w:tabs>
              <w:spacing w:line="260" w:lineRule="exact"/>
              <w:jc w:val="center"/>
              <w:rPr>
                <w:sz w:val="22"/>
                <w:szCs w:val="22"/>
              </w:rPr>
            </w:pPr>
            <w:r w:rsidRPr="003F564F">
              <w:rPr>
                <w:sz w:val="22"/>
                <w:szCs w:val="22"/>
              </w:rPr>
              <w:t>Netaikoma</w:t>
            </w:r>
            <w:r w:rsidRPr="003F564F">
              <w:rPr>
                <w:sz w:val="22"/>
                <w:szCs w:val="22"/>
                <w:vertAlign w:val="superscript"/>
              </w:rPr>
              <w:t>5</w:t>
            </w:r>
          </w:p>
        </w:tc>
      </w:tr>
      <w:tr w:rsidR="0060614D" w:rsidRPr="003F564F" w14:paraId="273445B1" w14:textId="77777777" w:rsidTr="000A6D36">
        <w:tc>
          <w:tcPr>
            <w:tcW w:w="2281" w:type="dxa"/>
          </w:tcPr>
          <w:p w14:paraId="04014B2C" w14:textId="7C2EC838" w:rsidR="0060614D" w:rsidRPr="003F564F" w:rsidRDefault="0060614D" w:rsidP="0060614D">
            <w:pPr>
              <w:tabs>
                <w:tab w:val="left" w:pos="567"/>
              </w:tabs>
              <w:spacing w:line="260" w:lineRule="exact"/>
              <w:rPr>
                <w:sz w:val="22"/>
                <w:szCs w:val="22"/>
              </w:rPr>
            </w:pPr>
            <w:r w:rsidRPr="003F564F">
              <w:rPr>
                <w:sz w:val="22"/>
                <w:szCs w:val="22"/>
              </w:rPr>
              <w:t>Sepsis</w:t>
            </w:r>
          </w:p>
        </w:tc>
        <w:tc>
          <w:tcPr>
            <w:tcW w:w="1843" w:type="dxa"/>
          </w:tcPr>
          <w:p w14:paraId="40AD9B3F" w14:textId="6AD84691" w:rsidR="0060614D" w:rsidRPr="003F564F" w:rsidRDefault="0060614D" w:rsidP="000A6D36">
            <w:pPr>
              <w:tabs>
                <w:tab w:val="left" w:pos="567"/>
              </w:tabs>
              <w:spacing w:line="260" w:lineRule="exact"/>
              <w:jc w:val="center"/>
              <w:rPr>
                <w:sz w:val="22"/>
                <w:szCs w:val="22"/>
              </w:rPr>
            </w:pPr>
            <w:r w:rsidRPr="003F564F">
              <w:rPr>
                <w:sz w:val="22"/>
                <w:szCs w:val="22"/>
              </w:rPr>
              <w:t>Labai dažnas</w:t>
            </w:r>
          </w:p>
        </w:tc>
        <w:tc>
          <w:tcPr>
            <w:tcW w:w="1873" w:type="dxa"/>
          </w:tcPr>
          <w:p w14:paraId="5F298592" w14:textId="3A1090B7" w:rsidR="0060614D" w:rsidRPr="003F564F" w:rsidRDefault="0060614D" w:rsidP="000A6D36">
            <w:pPr>
              <w:tabs>
                <w:tab w:val="left" w:pos="567"/>
              </w:tabs>
              <w:spacing w:line="260" w:lineRule="exact"/>
              <w:jc w:val="center"/>
              <w:rPr>
                <w:sz w:val="22"/>
                <w:szCs w:val="22"/>
              </w:rPr>
            </w:pPr>
            <w:r w:rsidRPr="003F564F">
              <w:rPr>
                <w:sz w:val="22"/>
                <w:szCs w:val="22"/>
              </w:rPr>
              <w:t>Dažnas</w:t>
            </w:r>
          </w:p>
        </w:tc>
        <w:tc>
          <w:tcPr>
            <w:tcW w:w="1844" w:type="dxa"/>
          </w:tcPr>
          <w:p w14:paraId="56F60908" w14:textId="0665B944" w:rsidR="0060614D" w:rsidRPr="003F564F" w:rsidRDefault="0060614D"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c>
          <w:tcPr>
            <w:tcW w:w="1873" w:type="dxa"/>
          </w:tcPr>
          <w:p w14:paraId="37C54D53" w14:textId="457FD627" w:rsidR="0060614D" w:rsidRPr="003F564F" w:rsidRDefault="0060614D"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r>
      <w:tr w:rsidR="0060614D" w:rsidRPr="003F564F" w14:paraId="0CDC5561" w14:textId="77777777" w:rsidTr="000A6D36">
        <w:tc>
          <w:tcPr>
            <w:tcW w:w="2281" w:type="dxa"/>
          </w:tcPr>
          <w:p w14:paraId="7B3CF89B" w14:textId="38AE26CA" w:rsidR="0060614D" w:rsidRPr="003F564F" w:rsidRDefault="0060614D" w:rsidP="0060614D">
            <w:pPr>
              <w:tabs>
                <w:tab w:val="left" w:pos="567"/>
              </w:tabs>
              <w:spacing w:line="260" w:lineRule="exact"/>
              <w:ind w:left="284"/>
              <w:rPr>
                <w:sz w:val="22"/>
                <w:szCs w:val="22"/>
              </w:rPr>
            </w:pPr>
            <w:r w:rsidRPr="003F564F">
              <w:rPr>
                <w:sz w:val="22"/>
                <w:szCs w:val="22"/>
              </w:rPr>
              <w:t>≥ 3</w:t>
            </w:r>
            <w:r w:rsidRPr="003F564F">
              <w:rPr>
                <w:sz w:val="22"/>
                <w:szCs w:val="22"/>
              </w:rPr>
              <w:noBreakHyphen/>
              <w:t>iojo laipsnio pagal CTCAE kriterijus</w:t>
            </w:r>
            <w:r w:rsidRPr="003F564F">
              <w:rPr>
                <w:sz w:val="22"/>
                <w:szCs w:val="22"/>
                <w:vertAlign w:val="superscript"/>
              </w:rPr>
              <w:t>4</w:t>
            </w:r>
          </w:p>
        </w:tc>
        <w:tc>
          <w:tcPr>
            <w:tcW w:w="1843" w:type="dxa"/>
          </w:tcPr>
          <w:p w14:paraId="6D1A5F79" w14:textId="0DDED56B" w:rsidR="0060614D" w:rsidRPr="003F564F" w:rsidRDefault="0060614D" w:rsidP="000A6D36">
            <w:pPr>
              <w:tabs>
                <w:tab w:val="left" w:pos="567"/>
              </w:tabs>
              <w:spacing w:line="260" w:lineRule="exact"/>
              <w:jc w:val="center"/>
              <w:rPr>
                <w:sz w:val="22"/>
                <w:szCs w:val="22"/>
              </w:rPr>
            </w:pPr>
            <w:r w:rsidRPr="003F564F">
              <w:rPr>
                <w:sz w:val="22"/>
                <w:szCs w:val="22"/>
              </w:rPr>
              <w:t>Labai dažnas</w:t>
            </w:r>
          </w:p>
        </w:tc>
        <w:tc>
          <w:tcPr>
            <w:tcW w:w="1873" w:type="dxa"/>
          </w:tcPr>
          <w:p w14:paraId="27CD86E4" w14:textId="7D7BBEE7" w:rsidR="0060614D" w:rsidRPr="003F564F" w:rsidRDefault="0060614D" w:rsidP="000A6D36">
            <w:pPr>
              <w:tabs>
                <w:tab w:val="left" w:pos="567"/>
              </w:tabs>
              <w:spacing w:line="260" w:lineRule="exact"/>
              <w:jc w:val="center"/>
              <w:rPr>
                <w:sz w:val="22"/>
                <w:szCs w:val="22"/>
              </w:rPr>
            </w:pPr>
            <w:r w:rsidRPr="003F564F">
              <w:rPr>
                <w:sz w:val="22"/>
                <w:szCs w:val="22"/>
              </w:rPr>
              <w:t>Dažnas</w:t>
            </w:r>
          </w:p>
        </w:tc>
        <w:tc>
          <w:tcPr>
            <w:tcW w:w="1844" w:type="dxa"/>
          </w:tcPr>
          <w:p w14:paraId="12BC9BE4" w14:textId="53A868E4" w:rsidR="0060614D" w:rsidRPr="003F564F" w:rsidRDefault="0060614D"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c>
          <w:tcPr>
            <w:tcW w:w="1873" w:type="dxa"/>
          </w:tcPr>
          <w:p w14:paraId="68B5431B" w14:textId="7FE6705B" w:rsidR="0060614D" w:rsidRPr="003F564F" w:rsidRDefault="0060614D"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r>
      <w:tr w:rsidR="0060614D" w:rsidRPr="003F564F" w14:paraId="0D6BC1D8" w14:textId="77777777" w:rsidTr="000A6D36">
        <w:tc>
          <w:tcPr>
            <w:tcW w:w="2281" w:type="dxa"/>
          </w:tcPr>
          <w:p w14:paraId="54E5D7A1" w14:textId="4898426B" w:rsidR="0060614D" w:rsidRPr="003F564F" w:rsidRDefault="0060614D" w:rsidP="0060614D">
            <w:pPr>
              <w:tabs>
                <w:tab w:val="left" w:pos="567"/>
              </w:tabs>
              <w:spacing w:line="260" w:lineRule="exact"/>
              <w:rPr>
                <w:sz w:val="22"/>
                <w:szCs w:val="22"/>
              </w:rPr>
            </w:pPr>
            <w:r w:rsidRPr="003F564F">
              <w:rPr>
                <w:sz w:val="22"/>
                <w:szCs w:val="22"/>
              </w:rPr>
              <w:t>Šlapimo takų infekcijos</w:t>
            </w:r>
          </w:p>
        </w:tc>
        <w:tc>
          <w:tcPr>
            <w:tcW w:w="1843" w:type="dxa"/>
          </w:tcPr>
          <w:p w14:paraId="108E2105" w14:textId="111675BA" w:rsidR="0060614D" w:rsidRPr="003F564F" w:rsidRDefault="0060614D" w:rsidP="000A6D36">
            <w:pPr>
              <w:tabs>
                <w:tab w:val="left" w:pos="567"/>
              </w:tabs>
              <w:spacing w:line="260" w:lineRule="exact"/>
              <w:jc w:val="center"/>
              <w:rPr>
                <w:sz w:val="22"/>
                <w:szCs w:val="22"/>
              </w:rPr>
            </w:pPr>
            <w:r w:rsidRPr="003F564F">
              <w:rPr>
                <w:sz w:val="22"/>
                <w:szCs w:val="22"/>
              </w:rPr>
              <w:t>Labai dažnas</w:t>
            </w:r>
          </w:p>
        </w:tc>
        <w:tc>
          <w:tcPr>
            <w:tcW w:w="1873" w:type="dxa"/>
          </w:tcPr>
          <w:p w14:paraId="37957503" w14:textId="19C40C3E" w:rsidR="0060614D" w:rsidRPr="003F564F" w:rsidRDefault="0060614D" w:rsidP="000A6D36">
            <w:pPr>
              <w:tabs>
                <w:tab w:val="left" w:pos="567"/>
              </w:tabs>
              <w:spacing w:line="260" w:lineRule="exact"/>
              <w:jc w:val="center"/>
              <w:rPr>
                <w:sz w:val="22"/>
                <w:szCs w:val="22"/>
              </w:rPr>
            </w:pPr>
            <w:r w:rsidRPr="003F564F">
              <w:rPr>
                <w:sz w:val="22"/>
                <w:szCs w:val="22"/>
              </w:rPr>
              <w:t>Dažnas</w:t>
            </w:r>
          </w:p>
        </w:tc>
        <w:tc>
          <w:tcPr>
            <w:tcW w:w="1844" w:type="dxa"/>
          </w:tcPr>
          <w:p w14:paraId="7BB6D6C4" w14:textId="2159B2BE" w:rsidR="0060614D" w:rsidRPr="003F564F" w:rsidRDefault="0060614D" w:rsidP="000A6D36">
            <w:pPr>
              <w:tabs>
                <w:tab w:val="left" w:pos="567"/>
              </w:tabs>
              <w:spacing w:line="260" w:lineRule="exact"/>
              <w:jc w:val="center"/>
              <w:rPr>
                <w:sz w:val="22"/>
                <w:szCs w:val="22"/>
              </w:rPr>
            </w:pPr>
            <w:r w:rsidRPr="003F564F">
              <w:rPr>
                <w:sz w:val="22"/>
                <w:szCs w:val="22"/>
              </w:rPr>
              <w:t>Dažnas</w:t>
            </w:r>
          </w:p>
        </w:tc>
        <w:tc>
          <w:tcPr>
            <w:tcW w:w="1873" w:type="dxa"/>
          </w:tcPr>
          <w:p w14:paraId="305A25E0" w14:textId="27EE2B63" w:rsidR="0060614D" w:rsidRPr="003F564F" w:rsidRDefault="0060614D" w:rsidP="000A6D36">
            <w:pPr>
              <w:tabs>
                <w:tab w:val="left" w:pos="567"/>
              </w:tabs>
              <w:spacing w:line="260" w:lineRule="exact"/>
              <w:jc w:val="center"/>
              <w:rPr>
                <w:sz w:val="22"/>
                <w:szCs w:val="22"/>
              </w:rPr>
            </w:pPr>
            <w:r w:rsidRPr="003F564F">
              <w:rPr>
                <w:sz w:val="22"/>
                <w:szCs w:val="22"/>
              </w:rPr>
              <w:t>Dažnas</w:t>
            </w:r>
          </w:p>
        </w:tc>
      </w:tr>
      <w:tr w:rsidR="0060614D" w:rsidRPr="003F564F" w14:paraId="2399626C" w14:textId="77777777" w:rsidTr="000A6D36">
        <w:tc>
          <w:tcPr>
            <w:tcW w:w="2281" w:type="dxa"/>
          </w:tcPr>
          <w:p w14:paraId="219F5374" w14:textId="3DFE9853" w:rsidR="0060614D" w:rsidRPr="003F564F" w:rsidRDefault="0060614D" w:rsidP="00D24EDF">
            <w:pPr>
              <w:tabs>
                <w:tab w:val="left" w:pos="567"/>
              </w:tabs>
              <w:spacing w:line="260" w:lineRule="exact"/>
              <w:ind w:left="284"/>
              <w:rPr>
                <w:sz w:val="22"/>
                <w:szCs w:val="22"/>
              </w:rPr>
            </w:pPr>
            <w:r w:rsidRPr="003F564F">
              <w:rPr>
                <w:sz w:val="22"/>
                <w:szCs w:val="22"/>
              </w:rPr>
              <w:t>≥ 3</w:t>
            </w:r>
            <w:r w:rsidRPr="003F564F">
              <w:rPr>
                <w:sz w:val="22"/>
                <w:szCs w:val="22"/>
              </w:rPr>
              <w:noBreakHyphen/>
              <w:t>iojo laipsnio pagal CTCAE kriterijus</w:t>
            </w:r>
          </w:p>
        </w:tc>
        <w:tc>
          <w:tcPr>
            <w:tcW w:w="1843" w:type="dxa"/>
          </w:tcPr>
          <w:p w14:paraId="7851495A" w14:textId="59CEE35F" w:rsidR="0060614D" w:rsidRPr="003F564F" w:rsidRDefault="0060614D" w:rsidP="000A6D36">
            <w:pPr>
              <w:tabs>
                <w:tab w:val="left" w:pos="567"/>
              </w:tabs>
              <w:spacing w:line="260" w:lineRule="exact"/>
              <w:jc w:val="center"/>
              <w:rPr>
                <w:sz w:val="22"/>
                <w:szCs w:val="22"/>
              </w:rPr>
            </w:pPr>
            <w:r w:rsidRPr="003F564F">
              <w:rPr>
                <w:sz w:val="22"/>
                <w:szCs w:val="22"/>
              </w:rPr>
              <w:t>Dažnas</w:t>
            </w:r>
          </w:p>
        </w:tc>
        <w:tc>
          <w:tcPr>
            <w:tcW w:w="1873" w:type="dxa"/>
          </w:tcPr>
          <w:p w14:paraId="6177F515" w14:textId="3488321D" w:rsidR="0060614D" w:rsidRPr="003F564F" w:rsidRDefault="00D24EDF" w:rsidP="000A6D36">
            <w:pPr>
              <w:tabs>
                <w:tab w:val="left" w:pos="567"/>
              </w:tabs>
              <w:spacing w:line="260" w:lineRule="exact"/>
              <w:jc w:val="center"/>
              <w:rPr>
                <w:sz w:val="22"/>
                <w:szCs w:val="22"/>
              </w:rPr>
            </w:pPr>
            <w:r w:rsidRPr="003F564F">
              <w:rPr>
                <w:sz w:val="22"/>
                <w:szCs w:val="22"/>
              </w:rPr>
              <w:t>Dažnas</w:t>
            </w:r>
          </w:p>
        </w:tc>
        <w:tc>
          <w:tcPr>
            <w:tcW w:w="1844" w:type="dxa"/>
          </w:tcPr>
          <w:p w14:paraId="52021C57" w14:textId="67F75434" w:rsidR="0060614D" w:rsidRPr="003F564F" w:rsidRDefault="00D24EDF" w:rsidP="000A6D36">
            <w:pPr>
              <w:tabs>
                <w:tab w:val="left" w:pos="567"/>
              </w:tabs>
              <w:spacing w:line="260" w:lineRule="exact"/>
              <w:jc w:val="center"/>
              <w:rPr>
                <w:sz w:val="22"/>
                <w:szCs w:val="22"/>
              </w:rPr>
            </w:pPr>
            <w:r w:rsidRPr="003F564F">
              <w:rPr>
                <w:sz w:val="22"/>
                <w:szCs w:val="22"/>
              </w:rPr>
              <w:t>Dažnas</w:t>
            </w:r>
          </w:p>
        </w:tc>
        <w:tc>
          <w:tcPr>
            <w:tcW w:w="1873" w:type="dxa"/>
          </w:tcPr>
          <w:p w14:paraId="36061D28" w14:textId="16664EA5" w:rsidR="0060614D" w:rsidRPr="003F564F" w:rsidRDefault="00D24EDF" w:rsidP="000A6D36">
            <w:pPr>
              <w:tabs>
                <w:tab w:val="left" w:pos="567"/>
              </w:tabs>
              <w:spacing w:line="260" w:lineRule="exact"/>
              <w:jc w:val="center"/>
              <w:rPr>
                <w:sz w:val="22"/>
                <w:szCs w:val="22"/>
              </w:rPr>
            </w:pPr>
            <w:r w:rsidRPr="003F564F">
              <w:rPr>
                <w:sz w:val="22"/>
                <w:szCs w:val="22"/>
              </w:rPr>
              <w:t>Dažnas</w:t>
            </w:r>
          </w:p>
        </w:tc>
      </w:tr>
      <w:tr w:rsidR="00D24EDF" w:rsidRPr="003F564F" w14:paraId="12F5F59A" w14:textId="77777777" w:rsidTr="000A6D36">
        <w:tc>
          <w:tcPr>
            <w:tcW w:w="2281" w:type="dxa"/>
          </w:tcPr>
          <w:p w14:paraId="4A683CAF" w14:textId="5CA37C0D" w:rsidR="00D24EDF" w:rsidRPr="003F564F" w:rsidRDefault="00D24EDF" w:rsidP="00D24EDF">
            <w:pPr>
              <w:tabs>
                <w:tab w:val="left" w:pos="567"/>
              </w:tabs>
              <w:spacing w:line="260" w:lineRule="exact"/>
              <w:rPr>
                <w:sz w:val="22"/>
                <w:szCs w:val="22"/>
              </w:rPr>
            </w:pPr>
            <w:r w:rsidRPr="003F564F">
              <w:rPr>
                <w:sz w:val="22"/>
                <w:szCs w:val="22"/>
              </w:rPr>
              <w:t>BK viruso infekcijos</w:t>
            </w:r>
          </w:p>
        </w:tc>
        <w:tc>
          <w:tcPr>
            <w:tcW w:w="1843" w:type="dxa"/>
          </w:tcPr>
          <w:p w14:paraId="1BECF020" w14:textId="66EB68BA" w:rsidR="00D24EDF" w:rsidRPr="003F564F" w:rsidRDefault="00D24EDF"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c>
          <w:tcPr>
            <w:tcW w:w="1873" w:type="dxa"/>
          </w:tcPr>
          <w:p w14:paraId="6BC4BA56" w14:textId="701D9E67" w:rsidR="00D24EDF" w:rsidRPr="003F564F" w:rsidRDefault="00D24EDF"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c>
          <w:tcPr>
            <w:tcW w:w="1844" w:type="dxa"/>
          </w:tcPr>
          <w:p w14:paraId="752D76B7" w14:textId="35FD6E96" w:rsidR="00D24EDF" w:rsidRPr="003F564F" w:rsidRDefault="00D24EDF" w:rsidP="000A6D36">
            <w:pPr>
              <w:tabs>
                <w:tab w:val="left" w:pos="567"/>
              </w:tabs>
              <w:spacing w:line="260" w:lineRule="exact"/>
              <w:jc w:val="center"/>
              <w:rPr>
                <w:sz w:val="22"/>
                <w:szCs w:val="22"/>
              </w:rPr>
            </w:pPr>
            <w:r w:rsidRPr="003F564F">
              <w:rPr>
                <w:sz w:val="22"/>
                <w:szCs w:val="22"/>
              </w:rPr>
              <w:t>Dažnas</w:t>
            </w:r>
          </w:p>
        </w:tc>
        <w:tc>
          <w:tcPr>
            <w:tcW w:w="1873" w:type="dxa"/>
          </w:tcPr>
          <w:p w14:paraId="6C3045E3" w14:textId="56884ED3" w:rsidR="00D24EDF" w:rsidRPr="003F564F" w:rsidRDefault="00D24EDF" w:rsidP="000A6D36">
            <w:pPr>
              <w:tabs>
                <w:tab w:val="left" w:pos="567"/>
              </w:tabs>
              <w:spacing w:line="260" w:lineRule="exact"/>
              <w:jc w:val="center"/>
              <w:rPr>
                <w:sz w:val="22"/>
                <w:szCs w:val="22"/>
              </w:rPr>
            </w:pPr>
            <w:r w:rsidRPr="003F564F">
              <w:rPr>
                <w:sz w:val="22"/>
                <w:szCs w:val="22"/>
              </w:rPr>
              <w:t>Dažnas</w:t>
            </w:r>
          </w:p>
        </w:tc>
      </w:tr>
      <w:tr w:rsidR="00D24EDF" w:rsidRPr="003F564F" w14:paraId="3B5341E7" w14:textId="77777777" w:rsidTr="000A6D36">
        <w:tc>
          <w:tcPr>
            <w:tcW w:w="2281" w:type="dxa"/>
          </w:tcPr>
          <w:p w14:paraId="1E392507" w14:textId="381DA3B8" w:rsidR="00D24EDF" w:rsidRPr="003F564F" w:rsidRDefault="00D24EDF" w:rsidP="00D24EDF">
            <w:pPr>
              <w:tabs>
                <w:tab w:val="left" w:pos="567"/>
              </w:tabs>
              <w:spacing w:line="260" w:lineRule="exact"/>
              <w:ind w:left="284"/>
              <w:rPr>
                <w:sz w:val="22"/>
                <w:szCs w:val="22"/>
              </w:rPr>
            </w:pPr>
            <w:r w:rsidRPr="003F564F">
              <w:rPr>
                <w:sz w:val="22"/>
                <w:szCs w:val="22"/>
              </w:rPr>
              <w:t>≥ 3</w:t>
            </w:r>
            <w:r w:rsidRPr="003F564F">
              <w:rPr>
                <w:sz w:val="22"/>
                <w:szCs w:val="22"/>
              </w:rPr>
              <w:noBreakHyphen/>
              <w:t xml:space="preserve">iojo laipsnio pagal CTCAE kriterijus </w:t>
            </w:r>
          </w:p>
        </w:tc>
        <w:tc>
          <w:tcPr>
            <w:tcW w:w="1843" w:type="dxa"/>
          </w:tcPr>
          <w:p w14:paraId="114E40AF" w14:textId="3B52D8C5" w:rsidR="00D24EDF" w:rsidRPr="003F564F" w:rsidRDefault="00D24EDF"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c>
          <w:tcPr>
            <w:tcW w:w="1873" w:type="dxa"/>
          </w:tcPr>
          <w:p w14:paraId="02142377" w14:textId="7452C113" w:rsidR="00D24EDF" w:rsidRPr="003F564F" w:rsidRDefault="00D24EDF"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c>
          <w:tcPr>
            <w:tcW w:w="1844" w:type="dxa"/>
          </w:tcPr>
          <w:p w14:paraId="59A12DF2" w14:textId="2E7B68C3" w:rsidR="00D24EDF" w:rsidRPr="003F564F" w:rsidRDefault="00D24EDF" w:rsidP="000A6D36">
            <w:pPr>
              <w:tabs>
                <w:tab w:val="left" w:pos="567"/>
              </w:tabs>
              <w:spacing w:line="260" w:lineRule="exact"/>
              <w:jc w:val="center"/>
              <w:rPr>
                <w:sz w:val="22"/>
                <w:szCs w:val="22"/>
              </w:rPr>
            </w:pPr>
            <w:r w:rsidRPr="003F564F">
              <w:rPr>
                <w:sz w:val="22"/>
                <w:szCs w:val="22"/>
              </w:rPr>
              <w:t>Nedažnas</w:t>
            </w:r>
          </w:p>
        </w:tc>
        <w:tc>
          <w:tcPr>
            <w:tcW w:w="1873" w:type="dxa"/>
          </w:tcPr>
          <w:p w14:paraId="176C9315" w14:textId="4C27D0A0" w:rsidR="00D24EDF" w:rsidRPr="003F564F" w:rsidRDefault="00D24EDF" w:rsidP="000A6D36">
            <w:pPr>
              <w:tabs>
                <w:tab w:val="left" w:pos="567"/>
              </w:tabs>
              <w:spacing w:line="260" w:lineRule="exact"/>
              <w:jc w:val="center"/>
              <w:rPr>
                <w:sz w:val="22"/>
                <w:szCs w:val="22"/>
              </w:rPr>
            </w:pPr>
            <w:r w:rsidRPr="003F564F">
              <w:rPr>
                <w:sz w:val="22"/>
                <w:szCs w:val="22"/>
              </w:rPr>
              <w:t>Netaikoma</w:t>
            </w:r>
            <w:r w:rsidRPr="003F564F">
              <w:rPr>
                <w:sz w:val="22"/>
                <w:szCs w:val="22"/>
                <w:vertAlign w:val="superscript"/>
              </w:rPr>
              <w:t>5</w:t>
            </w:r>
          </w:p>
        </w:tc>
      </w:tr>
      <w:tr w:rsidR="00D24EDF" w:rsidRPr="003F564F" w14:paraId="1430183A" w14:textId="77777777" w:rsidTr="008C572C">
        <w:tc>
          <w:tcPr>
            <w:tcW w:w="9714" w:type="dxa"/>
            <w:gridSpan w:val="5"/>
          </w:tcPr>
          <w:p w14:paraId="78273BDA" w14:textId="74D610AA" w:rsidR="00D24EDF" w:rsidRPr="003F564F" w:rsidRDefault="00D24EDF" w:rsidP="0060614D">
            <w:pPr>
              <w:tabs>
                <w:tab w:val="left" w:pos="567"/>
              </w:tabs>
              <w:spacing w:line="260" w:lineRule="exact"/>
              <w:rPr>
                <w:b/>
                <w:bCs/>
                <w:sz w:val="22"/>
                <w:szCs w:val="22"/>
              </w:rPr>
            </w:pPr>
            <w:r w:rsidRPr="003F564F">
              <w:rPr>
                <w:b/>
                <w:bCs/>
                <w:sz w:val="22"/>
                <w:szCs w:val="22"/>
              </w:rPr>
              <w:t>Kraujo ir limfinės sistemos sutrikimai</w:t>
            </w:r>
          </w:p>
        </w:tc>
      </w:tr>
      <w:tr w:rsidR="0060614D" w:rsidRPr="003F564F" w14:paraId="42F711E8" w14:textId="77777777" w:rsidTr="000A6D36">
        <w:tc>
          <w:tcPr>
            <w:tcW w:w="2281" w:type="dxa"/>
          </w:tcPr>
          <w:p w14:paraId="58693D8A" w14:textId="012F411E" w:rsidR="0060614D" w:rsidRPr="003F564F" w:rsidRDefault="00D24EDF" w:rsidP="00D24EDF">
            <w:pPr>
              <w:tabs>
                <w:tab w:val="left" w:pos="567"/>
              </w:tabs>
              <w:spacing w:line="260" w:lineRule="exact"/>
              <w:rPr>
                <w:sz w:val="22"/>
                <w:szCs w:val="22"/>
              </w:rPr>
            </w:pPr>
            <w:r w:rsidRPr="003F564F">
              <w:rPr>
                <w:sz w:val="22"/>
                <w:szCs w:val="22"/>
              </w:rPr>
              <w:t>Trombocitopenija</w:t>
            </w:r>
            <w:r w:rsidRPr="003F564F">
              <w:rPr>
                <w:sz w:val="22"/>
                <w:szCs w:val="22"/>
                <w:vertAlign w:val="superscript"/>
              </w:rPr>
              <w:t>1</w:t>
            </w:r>
          </w:p>
        </w:tc>
        <w:tc>
          <w:tcPr>
            <w:tcW w:w="1843" w:type="dxa"/>
          </w:tcPr>
          <w:p w14:paraId="586ABB50" w14:textId="71D23418" w:rsidR="0060614D" w:rsidRPr="003F564F" w:rsidRDefault="00D24EDF" w:rsidP="000A6D36">
            <w:pPr>
              <w:tabs>
                <w:tab w:val="left" w:pos="567"/>
              </w:tabs>
              <w:spacing w:line="260" w:lineRule="exact"/>
              <w:jc w:val="center"/>
              <w:rPr>
                <w:sz w:val="22"/>
                <w:szCs w:val="22"/>
              </w:rPr>
            </w:pPr>
            <w:r w:rsidRPr="003F564F">
              <w:rPr>
                <w:sz w:val="22"/>
                <w:szCs w:val="22"/>
              </w:rPr>
              <w:t>Labai dažnas</w:t>
            </w:r>
          </w:p>
        </w:tc>
        <w:tc>
          <w:tcPr>
            <w:tcW w:w="1873" w:type="dxa"/>
          </w:tcPr>
          <w:p w14:paraId="11A0C049" w14:textId="28476F57" w:rsidR="0060614D" w:rsidRPr="003F564F" w:rsidRDefault="00D24EDF" w:rsidP="000A6D36">
            <w:pPr>
              <w:tabs>
                <w:tab w:val="left" w:pos="567"/>
              </w:tabs>
              <w:spacing w:line="260" w:lineRule="exact"/>
              <w:jc w:val="center"/>
              <w:rPr>
                <w:sz w:val="22"/>
                <w:szCs w:val="22"/>
              </w:rPr>
            </w:pPr>
            <w:r w:rsidRPr="003F564F">
              <w:rPr>
                <w:sz w:val="22"/>
                <w:szCs w:val="22"/>
              </w:rPr>
              <w:t>Labai dažnas</w:t>
            </w:r>
          </w:p>
        </w:tc>
        <w:tc>
          <w:tcPr>
            <w:tcW w:w="1844" w:type="dxa"/>
          </w:tcPr>
          <w:p w14:paraId="5EFD6A4A" w14:textId="2C5FF04B" w:rsidR="0060614D" w:rsidRPr="003F564F" w:rsidRDefault="00D24EDF" w:rsidP="000A6D36">
            <w:pPr>
              <w:tabs>
                <w:tab w:val="left" w:pos="567"/>
              </w:tabs>
              <w:spacing w:line="260" w:lineRule="exact"/>
              <w:jc w:val="center"/>
              <w:rPr>
                <w:sz w:val="22"/>
                <w:szCs w:val="22"/>
              </w:rPr>
            </w:pPr>
            <w:r w:rsidRPr="003F564F">
              <w:rPr>
                <w:sz w:val="22"/>
                <w:szCs w:val="22"/>
              </w:rPr>
              <w:t>Labai dažnas</w:t>
            </w:r>
          </w:p>
        </w:tc>
        <w:tc>
          <w:tcPr>
            <w:tcW w:w="1873" w:type="dxa"/>
          </w:tcPr>
          <w:p w14:paraId="3AE37472" w14:textId="2FF35EF2" w:rsidR="0060614D" w:rsidRPr="003F564F" w:rsidRDefault="00D24EDF" w:rsidP="000A6D36">
            <w:pPr>
              <w:tabs>
                <w:tab w:val="left" w:pos="567"/>
              </w:tabs>
              <w:spacing w:line="260" w:lineRule="exact"/>
              <w:jc w:val="center"/>
              <w:rPr>
                <w:sz w:val="22"/>
                <w:szCs w:val="22"/>
              </w:rPr>
            </w:pPr>
            <w:r w:rsidRPr="003F564F">
              <w:rPr>
                <w:sz w:val="22"/>
                <w:szCs w:val="22"/>
              </w:rPr>
              <w:t>Labai dažnas</w:t>
            </w:r>
          </w:p>
        </w:tc>
      </w:tr>
      <w:tr w:rsidR="00D24EDF" w:rsidRPr="003F564F" w14:paraId="46132944" w14:textId="77777777" w:rsidTr="000A6D36">
        <w:tc>
          <w:tcPr>
            <w:tcW w:w="2281" w:type="dxa"/>
          </w:tcPr>
          <w:p w14:paraId="49B2D475" w14:textId="56F4D8DD" w:rsidR="00D24EDF" w:rsidRPr="003F564F" w:rsidRDefault="00D24EDF" w:rsidP="00D24EDF">
            <w:pPr>
              <w:tabs>
                <w:tab w:val="left" w:pos="567"/>
              </w:tabs>
              <w:spacing w:line="260" w:lineRule="exact"/>
              <w:ind w:left="284"/>
              <w:rPr>
                <w:sz w:val="22"/>
                <w:szCs w:val="22"/>
              </w:rPr>
            </w:pPr>
            <w:r w:rsidRPr="003F564F">
              <w:rPr>
                <w:sz w:val="22"/>
                <w:szCs w:val="22"/>
              </w:rPr>
              <w:t>3</w:t>
            </w:r>
            <w:r w:rsidRPr="003F564F">
              <w:rPr>
                <w:sz w:val="22"/>
                <w:szCs w:val="22"/>
              </w:rPr>
              <w:noBreakHyphen/>
              <w:t>iojo laipsnio pagal CTCAE kriterijus</w:t>
            </w:r>
          </w:p>
        </w:tc>
        <w:tc>
          <w:tcPr>
            <w:tcW w:w="1843" w:type="dxa"/>
          </w:tcPr>
          <w:p w14:paraId="6C8D7387" w14:textId="3D123C85" w:rsidR="00D24EDF" w:rsidRPr="003F564F" w:rsidRDefault="00D24EDF" w:rsidP="000A6D36">
            <w:pPr>
              <w:tabs>
                <w:tab w:val="left" w:pos="567"/>
              </w:tabs>
              <w:spacing w:line="260" w:lineRule="exact"/>
              <w:jc w:val="center"/>
              <w:rPr>
                <w:sz w:val="22"/>
                <w:szCs w:val="22"/>
              </w:rPr>
            </w:pPr>
            <w:r w:rsidRPr="003F564F">
              <w:rPr>
                <w:sz w:val="22"/>
                <w:szCs w:val="22"/>
              </w:rPr>
              <w:t>Labai dažnas</w:t>
            </w:r>
          </w:p>
        </w:tc>
        <w:tc>
          <w:tcPr>
            <w:tcW w:w="1873" w:type="dxa"/>
          </w:tcPr>
          <w:p w14:paraId="0995F8E2" w14:textId="3D97C1AC" w:rsidR="00D24EDF" w:rsidRPr="003F564F" w:rsidRDefault="00D24EDF" w:rsidP="000A6D36">
            <w:pPr>
              <w:tabs>
                <w:tab w:val="left" w:pos="567"/>
              </w:tabs>
              <w:spacing w:line="260" w:lineRule="exact"/>
              <w:jc w:val="center"/>
              <w:rPr>
                <w:sz w:val="22"/>
                <w:szCs w:val="22"/>
              </w:rPr>
            </w:pPr>
            <w:r w:rsidRPr="003F564F">
              <w:rPr>
                <w:sz w:val="22"/>
                <w:szCs w:val="22"/>
              </w:rPr>
              <w:t>Labai dažnas</w:t>
            </w:r>
          </w:p>
        </w:tc>
        <w:tc>
          <w:tcPr>
            <w:tcW w:w="1844" w:type="dxa"/>
          </w:tcPr>
          <w:p w14:paraId="5979ACDF" w14:textId="44681388" w:rsidR="00D24EDF" w:rsidRPr="003F564F" w:rsidRDefault="00D24EDF" w:rsidP="000A6D36">
            <w:pPr>
              <w:tabs>
                <w:tab w:val="left" w:pos="567"/>
              </w:tabs>
              <w:spacing w:line="260" w:lineRule="exact"/>
              <w:jc w:val="center"/>
              <w:rPr>
                <w:sz w:val="22"/>
                <w:szCs w:val="22"/>
              </w:rPr>
            </w:pPr>
            <w:r w:rsidRPr="003F564F">
              <w:rPr>
                <w:sz w:val="22"/>
                <w:szCs w:val="22"/>
              </w:rPr>
              <w:t>Dažnas</w:t>
            </w:r>
          </w:p>
        </w:tc>
        <w:tc>
          <w:tcPr>
            <w:tcW w:w="1873" w:type="dxa"/>
          </w:tcPr>
          <w:p w14:paraId="2BE9DEC0" w14:textId="00F1EB43" w:rsidR="00D24EDF" w:rsidRPr="003F564F" w:rsidRDefault="00D24EDF" w:rsidP="000A6D36">
            <w:pPr>
              <w:tabs>
                <w:tab w:val="left" w:pos="567"/>
              </w:tabs>
              <w:spacing w:line="260" w:lineRule="exact"/>
              <w:jc w:val="center"/>
              <w:rPr>
                <w:sz w:val="22"/>
                <w:szCs w:val="22"/>
              </w:rPr>
            </w:pPr>
            <w:r w:rsidRPr="003F564F">
              <w:rPr>
                <w:sz w:val="22"/>
                <w:szCs w:val="22"/>
              </w:rPr>
              <w:t>Dažnas</w:t>
            </w:r>
          </w:p>
        </w:tc>
      </w:tr>
      <w:tr w:rsidR="00D24EDF" w:rsidRPr="003F564F" w14:paraId="06DE36FE" w14:textId="77777777" w:rsidTr="000A6D36">
        <w:tc>
          <w:tcPr>
            <w:tcW w:w="2281" w:type="dxa"/>
          </w:tcPr>
          <w:p w14:paraId="55A7B513" w14:textId="02440B08" w:rsidR="00D24EDF" w:rsidRPr="003F564F" w:rsidRDefault="00D24EDF" w:rsidP="00D24EDF">
            <w:pPr>
              <w:tabs>
                <w:tab w:val="left" w:pos="567"/>
              </w:tabs>
              <w:spacing w:line="260" w:lineRule="exact"/>
              <w:ind w:left="284"/>
              <w:rPr>
                <w:sz w:val="22"/>
                <w:szCs w:val="22"/>
              </w:rPr>
            </w:pPr>
            <w:r w:rsidRPr="003F564F">
              <w:rPr>
                <w:sz w:val="22"/>
                <w:szCs w:val="22"/>
              </w:rPr>
              <w:t>4</w:t>
            </w:r>
            <w:r w:rsidRPr="003F564F">
              <w:rPr>
                <w:sz w:val="22"/>
                <w:szCs w:val="22"/>
              </w:rPr>
              <w:noBreakHyphen/>
              <w:t>ojo laipsnio pagal CTCAE kriterijus</w:t>
            </w:r>
          </w:p>
        </w:tc>
        <w:tc>
          <w:tcPr>
            <w:tcW w:w="1843" w:type="dxa"/>
          </w:tcPr>
          <w:p w14:paraId="1DDA7697" w14:textId="62360D0D" w:rsidR="00D24EDF" w:rsidRPr="003F564F" w:rsidRDefault="00D24EDF" w:rsidP="000A6D36">
            <w:pPr>
              <w:tabs>
                <w:tab w:val="left" w:pos="567"/>
              </w:tabs>
              <w:spacing w:line="260" w:lineRule="exact"/>
              <w:jc w:val="center"/>
              <w:rPr>
                <w:sz w:val="22"/>
                <w:szCs w:val="22"/>
              </w:rPr>
            </w:pPr>
            <w:r w:rsidRPr="003F564F">
              <w:rPr>
                <w:sz w:val="22"/>
                <w:szCs w:val="22"/>
              </w:rPr>
              <w:t>Labai dažnas</w:t>
            </w:r>
          </w:p>
        </w:tc>
        <w:tc>
          <w:tcPr>
            <w:tcW w:w="1873" w:type="dxa"/>
          </w:tcPr>
          <w:p w14:paraId="61044CC7" w14:textId="4E9FA3E8" w:rsidR="00D24EDF" w:rsidRPr="003F564F" w:rsidRDefault="00D24EDF" w:rsidP="000A6D36">
            <w:pPr>
              <w:tabs>
                <w:tab w:val="left" w:pos="567"/>
              </w:tabs>
              <w:spacing w:line="260" w:lineRule="exact"/>
              <w:jc w:val="center"/>
              <w:rPr>
                <w:sz w:val="22"/>
                <w:szCs w:val="22"/>
              </w:rPr>
            </w:pPr>
            <w:r w:rsidRPr="003F564F">
              <w:rPr>
                <w:sz w:val="22"/>
                <w:szCs w:val="22"/>
              </w:rPr>
              <w:t>Labai dažnas</w:t>
            </w:r>
          </w:p>
        </w:tc>
        <w:tc>
          <w:tcPr>
            <w:tcW w:w="1844" w:type="dxa"/>
          </w:tcPr>
          <w:p w14:paraId="7D026AE5" w14:textId="5D5FE29B" w:rsidR="00D24EDF" w:rsidRPr="003F564F" w:rsidRDefault="00D24EDF" w:rsidP="000A6D36">
            <w:pPr>
              <w:tabs>
                <w:tab w:val="left" w:pos="567"/>
              </w:tabs>
              <w:spacing w:line="260" w:lineRule="exact"/>
              <w:jc w:val="center"/>
              <w:rPr>
                <w:sz w:val="22"/>
                <w:szCs w:val="22"/>
              </w:rPr>
            </w:pPr>
            <w:r w:rsidRPr="003F564F">
              <w:rPr>
                <w:sz w:val="22"/>
                <w:szCs w:val="22"/>
              </w:rPr>
              <w:t>Labai dažnas</w:t>
            </w:r>
          </w:p>
        </w:tc>
        <w:tc>
          <w:tcPr>
            <w:tcW w:w="1873" w:type="dxa"/>
          </w:tcPr>
          <w:p w14:paraId="60CBD604" w14:textId="428540A8" w:rsidR="00D24EDF" w:rsidRPr="003F564F" w:rsidRDefault="00D24EDF" w:rsidP="000A6D36">
            <w:pPr>
              <w:tabs>
                <w:tab w:val="left" w:pos="567"/>
              </w:tabs>
              <w:spacing w:line="260" w:lineRule="exact"/>
              <w:jc w:val="center"/>
              <w:rPr>
                <w:sz w:val="22"/>
                <w:szCs w:val="22"/>
              </w:rPr>
            </w:pPr>
            <w:r w:rsidRPr="003F564F">
              <w:rPr>
                <w:sz w:val="22"/>
                <w:szCs w:val="22"/>
              </w:rPr>
              <w:t>Labai dažnas</w:t>
            </w:r>
          </w:p>
        </w:tc>
      </w:tr>
      <w:tr w:rsidR="00D24EDF" w:rsidRPr="003F564F" w14:paraId="54082709" w14:textId="77777777" w:rsidTr="000A6D36">
        <w:tc>
          <w:tcPr>
            <w:tcW w:w="2281" w:type="dxa"/>
          </w:tcPr>
          <w:p w14:paraId="1AE836D1" w14:textId="0212C101" w:rsidR="00D24EDF" w:rsidRPr="003F564F" w:rsidRDefault="00D24EDF" w:rsidP="00D24EDF">
            <w:pPr>
              <w:tabs>
                <w:tab w:val="left" w:pos="567"/>
              </w:tabs>
              <w:spacing w:line="260" w:lineRule="exact"/>
              <w:rPr>
                <w:sz w:val="22"/>
                <w:szCs w:val="22"/>
              </w:rPr>
            </w:pPr>
            <w:r w:rsidRPr="003F564F">
              <w:rPr>
                <w:sz w:val="22"/>
                <w:szCs w:val="22"/>
              </w:rPr>
              <w:t>Anemija</w:t>
            </w:r>
            <w:r w:rsidRPr="003F564F">
              <w:rPr>
                <w:sz w:val="22"/>
                <w:szCs w:val="22"/>
                <w:vertAlign w:val="superscript"/>
              </w:rPr>
              <w:t>1</w:t>
            </w:r>
            <w:r w:rsidRPr="003F564F">
              <w:rPr>
                <w:sz w:val="22"/>
                <w:szCs w:val="22"/>
              </w:rPr>
              <w:t xml:space="preserve"> </w:t>
            </w:r>
          </w:p>
        </w:tc>
        <w:tc>
          <w:tcPr>
            <w:tcW w:w="1843" w:type="dxa"/>
          </w:tcPr>
          <w:p w14:paraId="598BA81F" w14:textId="6E40F68E" w:rsidR="00D24EDF" w:rsidRPr="003F564F" w:rsidRDefault="00D24EDF" w:rsidP="000A6D36">
            <w:pPr>
              <w:tabs>
                <w:tab w:val="left" w:pos="567"/>
              </w:tabs>
              <w:spacing w:line="260" w:lineRule="exact"/>
              <w:jc w:val="center"/>
              <w:rPr>
                <w:sz w:val="22"/>
                <w:szCs w:val="22"/>
              </w:rPr>
            </w:pPr>
            <w:r w:rsidRPr="003F564F">
              <w:rPr>
                <w:sz w:val="22"/>
                <w:szCs w:val="22"/>
              </w:rPr>
              <w:t>Labai dažnas</w:t>
            </w:r>
          </w:p>
        </w:tc>
        <w:tc>
          <w:tcPr>
            <w:tcW w:w="1873" w:type="dxa"/>
          </w:tcPr>
          <w:p w14:paraId="5DBD8FF1" w14:textId="4D3F9F58" w:rsidR="00D24EDF" w:rsidRPr="003F564F" w:rsidRDefault="00D24EDF" w:rsidP="000A6D36">
            <w:pPr>
              <w:tabs>
                <w:tab w:val="left" w:pos="567"/>
              </w:tabs>
              <w:spacing w:line="260" w:lineRule="exact"/>
              <w:jc w:val="center"/>
              <w:rPr>
                <w:sz w:val="22"/>
                <w:szCs w:val="22"/>
              </w:rPr>
            </w:pPr>
            <w:r w:rsidRPr="003F564F">
              <w:rPr>
                <w:sz w:val="22"/>
                <w:szCs w:val="22"/>
              </w:rPr>
              <w:t>Labai dažnas</w:t>
            </w:r>
          </w:p>
        </w:tc>
        <w:tc>
          <w:tcPr>
            <w:tcW w:w="1844" w:type="dxa"/>
          </w:tcPr>
          <w:p w14:paraId="4C47F2DB" w14:textId="1CD0D341" w:rsidR="00D24EDF" w:rsidRPr="003F564F" w:rsidRDefault="00D24EDF" w:rsidP="000A6D36">
            <w:pPr>
              <w:tabs>
                <w:tab w:val="left" w:pos="567"/>
              </w:tabs>
              <w:spacing w:line="260" w:lineRule="exact"/>
              <w:jc w:val="center"/>
              <w:rPr>
                <w:sz w:val="22"/>
                <w:szCs w:val="22"/>
              </w:rPr>
            </w:pPr>
            <w:r w:rsidRPr="003F564F">
              <w:rPr>
                <w:sz w:val="22"/>
                <w:szCs w:val="22"/>
              </w:rPr>
              <w:t>Labai dažnas</w:t>
            </w:r>
          </w:p>
        </w:tc>
        <w:tc>
          <w:tcPr>
            <w:tcW w:w="1873" w:type="dxa"/>
          </w:tcPr>
          <w:p w14:paraId="7F3CA162" w14:textId="124527C1" w:rsidR="00D24EDF" w:rsidRPr="003F564F" w:rsidRDefault="00D24EDF" w:rsidP="000A6D36">
            <w:pPr>
              <w:tabs>
                <w:tab w:val="left" w:pos="567"/>
              </w:tabs>
              <w:spacing w:line="260" w:lineRule="exact"/>
              <w:jc w:val="center"/>
              <w:rPr>
                <w:sz w:val="22"/>
                <w:szCs w:val="22"/>
              </w:rPr>
            </w:pPr>
            <w:r w:rsidRPr="003F564F">
              <w:rPr>
                <w:sz w:val="22"/>
                <w:szCs w:val="22"/>
              </w:rPr>
              <w:t>Labai dažnas</w:t>
            </w:r>
          </w:p>
        </w:tc>
      </w:tr>
      <w:tr w:rsidR="00D24EDF" w:rsidRPr="003F564F" w14:paraId="5B7A03E8" w14:textId="77777777" w:rsidTr="000A6D36">
        <w:tc>
          <w:tcPr>
            <w:tcW w:w="2281" w:type="dxa"/>
          </w:tcPr>
          <w:p w14:paraId="7F9B8247" w14:textId="351771F6" w:rsidR="00D24EDF" w:rsidRPr="003F564F" w:rsidRDefault="00D24EDF" w:rsidP="00D24EDF">
            <w:pPr>
              <w:tabs>
                <w:tab w:val="left" w:pos="567"/>
              </w:tabs>
              <w:spacing w:line="260" w:lineRule="exact"/>
              <w:ind w:left="284"/>
              <w:rPr>
                <w:sz w:val="22"/>
                <w:szCs w:val="22"/>
              </w:rPr>
            </w:pPr>
            <w:r w:rsidRPr="003F564F">
              <w:rPr>
                <w:sz w:val="22"/>
                <w:szCs w:val="22"/>
              </w:rPr>
              <w:t>3</w:t>
            </w:r>
            <w:r w:rsidRPr="003F564F">
              <w:rPr>
                <w:sz w:val="22"/>
                <w:szCs w:val="22"/>
              </w:rPr>
              <w:noBreakHyphen/>
              <w:t>iojo laipsnio pagal CTCAE kriterijus</w:t>
            </w:r>
          </w:p>
        </w:tc>
        <w:tc>
          <w:tcPr>
            <w:tcW w:w="1843" w:type="dxa"/>
          </w:tcPr>
          <w:p w14:paraId="0BE1E98A" w14:textId="578FC9B5" w:rsidR="00D24EDF" w:rsidRPr="003F564F" w:rsidRDefault="00D24EDF" w:rsidP="000A6D36">
            <w:pPr>
              <w:tabs>
                <w:tab w:val="left" w:pos="567"/>
              </w:tabs>
              <w:spacing w:line="260" w:lineRule="exact"/>
              <w:jc w:val="center"/>
              <w:rPr>
                <w:sz w:val="22"/>
                <w:szCs w:val="22"/>
              </w:rPr>
            </w:pPr>
            <w:r w:rsidRPr="003F564F">
              <w:rPr>
                <w:sz w:val="22"/>
                <w:szCs w:val="22"/>
              </w:rPr>
              <w:t>Labai dažnas</w:t>
            </w:r>
          </w:p>
        </w:tc>
        <w:tc>
          <w:tcPr>
            <w:tcW w:w="1873" w:type="dxa"/>
          </w:tcPr>
          <w:p w14:paraId="74C8FD77" w14:textId="423A1C44" w:rsidR="00D24EDF" w:rsidRPr="003F564F" w:rsidRDefault="00D24EDF" w:rsidP="000A6D36">
            <w:pPr>
              <w:tabs>
                <w:tab w:val="left" w:pos="567"/>
              </w:tabs>
              <w:spacing w:line="260" w:lineRule="exact"/>
              <w:jc w:val="center"/>
              <w:rPr>
                <w:sz w:val="22"/>
                <w:szCs w:val="22"/>
              </w:rPr>
            </w:pPr>
            <w:r w:rsidRPr="003F564F">
              <w:rPr>
                <w:sz w:val="22"/>
                <w:szCs w:val="22"/>
              </w:rPr>
              <w:t>Labai dažnas</w:t>
            </w:r>
          </w:p>
        </w:tc>
        <w:tc>
          <w:tcPr>
            <w:tcW w:w="1844" w:type="dxa"/>
          </w:tcPr>
          <w:p w14:paraId="5DB0B01F" w14:textId="4A5B2BAD" w:rsidR="00D24EDF" w:rsidRPr="003F564F" w:rsidRDefault="00D24EDF" w:rsidP="000A6D36">
            <w:pPr>
              <w:tabs>
                <w:tab w:val="left" w:pos="567"/>
              </w:tabs>
              <w:spacing w:line="260" w:lineRule="exact"/>
              <w:jc w:val="center"/>
              <w:rPr>
                <w:sz w:val="22"/>
                <w:szCs w:val="22"/>
              </w:rPr>
            </w:pPr>
            <w:r w:rsidRPr="003F564F">
              <w:rPr>
                <w:sz w:val="22"/>
                <w:szCs w:val="22"/>
              </w:rPr>
              <w:t>Labai dažnas</w:t>
            </w:r>
          </w:p>
        </w:tc>
        <w:tc>
          <w:tcPr>
            <w:tcW w:w="1873" w:type="dxa"/>
          </w:tcPr>
          <w:p w14:paraId="5E6172B2" w14:textId="26A776EC" w:rsidR="00D24EDF" w:rsidRPr="003F564F" w:rsidRDefault="00D24EDF" w:rsidP="000A6D36">
            <w:pPr>
              <w:tabs>
                <w:tab w:val="left" w:pos="567"/>
              </w:tabs>
              <w:spacing w:line="260" w:lineRule="exact"/>
              <w:jc w:val="center"/>
              <w:rPr>
                <w:sz w:val="22"/>
                <w:szCs w:val="22"/>
              </w:rPr>
            </w:pPr>
            <w:r w:rsidRPr="003F564F">
              <w:rPr>
                <w:sz w:val="22"/>
                <w:szCs w:val="22"/>
              </w:rPr>
              <w:t>Labai dažnas</w:t>
            </w:r>
          </w:p>
        </w:tc>
      </w:tr>
      <w:tr w:rsidR="00D24EDF" w:rsidRPr="003F564F" w14:paraId="7EF081C9" w14:textId="77777777" w:rsidTr="000A6D36">
        <w:tc>
          <w:tcPr>
            <w:tcW w:w="2281" w:type="dxa"/>
          </w:tcPr>
          <w:p w14:paraId="732D7CA9" w14:textId="4DEEBF90" w:rsidR="00D24EDF" w:rsidRPr="003F564F" w:rsidRDefault="00D24EDF" w:rsidP="00D24EDF">
            <w:pPr>
              <w:tabs>
                <w:tab w:val="left" w:pos="567"/>
              </w:tabs>
              <w:spacing w:line="260" w:lineRule="exact"/>
              <w:rPr>
                <w:sz w:val="22"/>
                <w:szCs w:val="22"/>
              </w:rPr>
            </w:pPr>
            <w:r w:rsidRPr="003F564F">
              <w:rPr>
                <w:sz w:val="22"/>
                <w:szCs w:val="22"/>
              </w:rPr>
              <w:t>Neutropenija</w:t>
            </w:r>
            <w:r w:rsidRPr="003F564F">
              <w:rPr>
                <w:sz w:val="22"/>
                <w:szCs w:val="22"/>
                <w:vertAlign w:val="superscript"/>
              </w:rPr>
              <w:t>1</w:t>
            </w:r>
            <w:r w:rsidRPr="003F564F">
              <w:rPr>
                <w:sz w:val="22"/>
                <w:szCs w:val="22"/>
              </w:rPr>
              <w:t xml:space="preserve"> </w:t>
            </w:r>
          </w:p>
        </w:tc>
        <w:tc>
          <w:tcPr>
            <w:tcW w:w="1843" w:type="dxa"/>
          </w:tcPr>
          <w:p w14:paraId="33145DBA" w14:textId="572D24AC" w:rsidR="00D24EDF" w:rsidRPr="003F564F" w:rsidRDefault="00D24EDF" w:rsidP="000A6D36">
            <w:pPr>
              <w:tabs>
                <w:tab w:val="left" w:pos="567"/>
              </w:tabs>
              <w:spacing w:line="260" w:lineRule="exact"/>
              <w:jc w:val="center"/>
              <w:rPr>
                <w:sz w:val="22"/>
                <w:szCs w:val="22"/>
              </w:rPr>
            </w:pPr>
            <w:r w:rsidRPr="003F564F">
              <w:rPr>
                <w:sz w:val="22"/>
                <w:szCs w:val="22"/>
              </w:rPr>
              <w:t>Labai dažnas</w:t>
            </w:r>
          </w:p>
        </w:tc>
        <w:tc>
          <w:tcPr>
            <w:tcW w:w="1873" w:type="dxa"/>
          </w:tcPr>
          <w:p w14:paraId="2F5C65A3" w14:textId="79E4B0CC" w:rsidR="00D24EDF" w:rsidRPr="003F564F" w:rsidRDefault="00D24EDF" w:rsidP="000A6D36">
            <w:pPr>
              <w:tabs>
                <w:tab w:val="left" w:pos="567"/>
              </w:tabs>
              <w:spacing w:line="260" w:lineRule="exact"/>
              <w:jc w:val="center"/>
              <w:rPr>
                <w:sz w:val="22"/>
                <w:szCs w:val="22"/>
              </w:rPr>
            </w:pPr>
            <w:r w:rsidRPr="003F564F">
              <w:rPr>
                <w:sz w:val="22"/>
                <w:szCs w:val="22"/>
              </w:rPr>
              <w:t>Labai dažnas</w:t>
            </w:r>
          </w:p>
        </w:tc>
        <w:tc>
          <w:tcPr>
            <w:tcW w:w="1844" w:type="dxa"/>
          </w:tcPr>
          <w:p w14:paraId="06B3F97B" w14:textId="555F8BE7" w:rsidR="00D24EDF" w:rsidRPr="003F564F" w:rsidRDefault="00D24EDF" w:rsidP="000A6D36">
            <w:pPr>
              <w:tabs>
                <w:tab w:val="left" w:pos="567"/>
              </w:tabs>
              <w:spacing w:line="260" w:lineRule="exact"/>
              <w:jc w:val="center"/>
              <w:rPr>
                <w:sz w:val="22"/>
                <w:szCs w:val="22"/>
              </w:rPr>
            </w:pPr>
            <w:r w:rsidRPr="003F564F">
              <w:rPr>
                <w:sz w:val="22"/>
                <w:szCs w:val="22"/>
              </w:rPr>
              <w:t>Labai dažnas</w:t>
            </w:r>
          </w:p>
        </w:tc>
        <w:tc>
          <w:tcPr>
            <w:tcW w:w="1873" w:type="dxa"/>
          </w:tcPr>
          <w:p w14:paraId="4176A04D" w14:textId="4D86F841" w:rsidR="00D24EDF" w:rsidRPr="003F564F" w:rsidRDefault="00D24EDF" w:rsidP="000A6D36">
            <w:pPr>
              <w:tabs>
                <w:tab w:val="left" w:pos="567"/>
              </w:tabs>
              <w:spacing w:line="260" w:lineRule="exact"/>
              <w:jc w:val="center"/>
              <w:rPr>
                <w:sz w:val="22"/>
                <w:szCs w:val="22"/>
              </w:rPr>
            </w:pPr>
            <w:r w:rsidRPr="003F564F">
              <w:rPr>
                <w:sz w:val="22"/>
                <w:szCs w:val="22"/>
              </w:rPr>
              <w:t>Labai dažnas</w:t>
            </w:r>
          </w:p>
        </w:tc>
      </w:tr>
      <w:tr w:rsidR="0060614D" w:rsidRPr="003F564F" w14:paraId="2143AF1F" w14:textId="77777777" w:rsidTr="000A6D36">
        <w:tc>
          <w:tcPr>
            <w:tcW w:w="2281" w:type="dxa"/>
          </w:tcPr>
          <w:p w14:paraId="4635CAF6" w14:textId="2998A129" w:rsidR="0060614D" w:rsidRPr="003F564F" w:rsidRDefault="00D24EDF" w:rsidP="00D24EDF">
            <w:pPr>
              <w:tabs>
                <w:tab w:val="left" w:pos="567"/>
              </w:tabs>
              <w:spacing w:line="260" w:lineRule="exact"/>
              <w:ind w:left="284"/>
              <w:rPr>
                <w:sz w:val="22"/>
                <w:szCs w:val="22"/>
              </w:rPr>
            </w:pPr>
            <w:r w:rsidRPr="003F564F">
              <w:rPr>
                <w:sz w:val="22"/>
                <w:szCs w:val="22"/>
              </w:rPr>
              <w:t>3</w:t>
            </w:r>
            <w:r w:rsidRPr="003F564F">
              <w:rPr>
                <w:sz w:val="22"/>
                <w:szCs w:val="22"/>
              </w:rPr>
              <w:noBreakHyphen/>
              <w:t>iojo laipsnio pagal CTCAE kriterijus</w:t>
            </w:r>
          </w:p>
        </w:tc>
        <w:tc>
          <w:tcPr>
            <w:tcW w:w="1843" w:type="dxa"/>
          </w:tcPr>
          <w:p w14:paraId="18B80AD3" w14:textId="753D294D" w:rsidR="0060614D" w:rsidRPr="003F564F" w:rsidRDefault="00D24EDF" w:rsidP="000A6D36">
            <w:pPr>
              <w:tabs>
                <w:tab w:val="left" w:pos="567"/>
              </w:tabs>
              <w:spacing w:line="260" w:lineRule="exact"/>
              <w:jc w:val="center"/>
              <w:rPr>
                <w:sz w:val="22"/>
                <w:szCs w:val="22"/>
              </w:rPr>
            </w:pPr>
            <w:r w:rsidRPr="003F564F">
              <w:rPr>
                <w:sz w:val="22"/>
                <w:szCs w:val="22"/>
              </w:rPr>
              <w:t>Labai dažnas</w:t>
            </w:r>
          </w:p>
        </w:tc>
        <w:tc>
          <w:tcPr>
            <w:tcW w:w="1873" w:type="dxa"/>
          </w:tcPr>
          <w:p w14:paraId="6783F0C1" w14:textId="5E7EF904" w:rsidR="0060614D" w:rsidRPr="003F564F" w:rsidRDefault="00D24EDF" w:rsidP="000A6D36">
            <w:pPr>
              <w:tabs>
                <w:tab w:val="left" w:pos="567"/>
              </w:tabs>
              <w:spacing w:line="260" w:lineRule="exact"/>
              <w:jc w:val="center"/>
              <w:rPr>
                <w:sz w:val="22"/>
                <w:szCs w:val="22"/>
              </w:rPr>
            </w:pPr>
            <w:r w:rsidRPr="003F564F">
              <w:rPr>
                <w:sz w:val="22"/>
                <w:szCs w:val="22"/>
              </w:rPr>
              <w:t>Labai dažnas</w:t>
            </w:r>
          </w:p>
        </w:tc>
        <w:tc>
          <w:tcPr>
            <w:tcW w:w="1844" w:type="dxa"/>
          </w:tcPr>
          <w:p w14:paraId="4BB80D7B" w14:textId="7F3D13D5" w:rsidR="0060614D" w:rsidRPr="003F564F" w:rsidRDefault="00D24EDF" w:rsidP="000A6D36">
            <w:pPr>
              <w:tabs>
                <w:tab w:val="left" w:pos="567"/>
              </w:tabs>
              <w:spacing w:line="260" w:lineRule="exact"/>
              <w:jc w:val="center"/>
              <w:rPr>
                <w:sz w:val="22"/>
                <w:szCs w:val="22"/>
              </w:rPr>
            </w:pPr>
            <w:r w:rsidRPr="003F564F">
              <w:rPr>
                <w:sz w:val="22"/>
                <w:szCs w:val="22"/>
              </w:rPr>
              <w:t>Dažnas</w:t>
            </w:r>
          </w:p>
        </w:tc>
        <w:tc>
          <w:tcPr>
            <w:tcW w:w="1873" w:type="dxa"/>
          </w:tcPr>
          <w:p w14:paraId="6EE9FAB4" w14:textId="5728D392" w:rsidR="0060614D" w:rsidRPr="003F564F" w:rsidRDefault="00D24EDF" w:rsidP="000A6D36">
            <w:pPr>
              <w:tabs>
                <w:tab w:val="left" w:pos="567"/>
              </w:tabs>
              <w:spacing w:line="260" w:lineRule="exact"/>
              <w:jc w:val="center"/>
              <w:rPr>
                <w:sz w:val="22"/>
                <w:szCs w:val="22"/>
              </w:rPr>
            </w:pPr>
            <w:r w:rsidRPr="003F564F">
              <w:rPr>
                <w:sz w:val="22"/>
                <w:szCs w:val="22"/>
              </w:rPr>
              <w:t>Labai dažnas</w:t>
            </w:r>
          </w:p>
        </w:tc>
      </w:tr>
      <w:tr w:rsidR="0060614D" w:rsidRPr="003F564F" w14:paraId="1837ABB5" w14:textId="77777777" w:rsidTr="000A6D36">
        <w:tc>
          <w:tcPr>
            <w:tcW w:w="2281" w:type="dxa"/>
          </w:tcPr>
          <w:p w14:paraId="7C6E724C" w14:textId="37A2220D" w:rsidR="0060614D" w:rsidRPr="003F564F" w:rsidRDefault="00D24EDF" w:rsidP="00D24EDF">
            <w:pPr>
              <w:tabs>
                <w:tab w:val="left" w:pos="567"/>
              </w:tabs>
              <w:spacing w:line="260" w:lineRule="exact"/>
              <w:ind w:left="284"/>
              <w:rPr>
                <w:sz w:val="22"/>
                <w:szCs w:val="22"/>
              </w:rPr>
            </w:pPr>
            <w:r w:rsidRPr="003F564F">
              <w:rPr>
                <w:sz w:val="22"/>
                <w:szCs w:val="22"/>
              </w:rPr>
              <w:t>4</w:t>
            </w:r>
            <w:r w:rsidRPr="003F564F">
              <w:rPr>
                <w:sz w:val="22"/>
                <w:szCs w:val="22"/>
              </w:rPr>
              <w:noBreakHyphen/>
              <w:t>ojo laipsnio pagal CTCAE kriterijus</w:t>
            </w:r>
          </w:p>
        </w:tc>
        <w:tc>
          <w:tcPr>
            <w:tcW w:w="1843" w:type="dxa"/>
          </w:tcPr>
          <w:p w14:paraId="3423DA67" w14:textId="63BDF7EB" w:rsidR="0060614D" w:rsidRPr="003F564F" w:rsidRDefault="00D24EDF" w:rsidP="000A6D36">
            <w:pPr>
              <w:tabs>
                <w:tab w:val="left" w:pos="567"/>
              </w:tabs>
              <w:spacing w:line="260" w:lineRule="exact"/>
              <w:jc w:val="center"/>
              <w:rPr>
                <w:sz w:val="22"/>
                <w:szCs w:val="22"/>
              </w:rPr>
            </w:pPr>
            <w:r w:rsidRPr="003F564F">
              <w:rPr>
                <w:sz w:val="22"/>
                <w:szCs w:val="22"/>
              </w:rPr>
              <w:t>Labai dažnas</w:t>
            </w:r>
          </w:p>
        </w:tc>
        <w:tc>
          <w:tcPr>
            <w:tcW w:w="1873" w:type="dxa"/>
          </w:tcPr>
          <w:p w14:paraId="5E7E6095" w14:textId="4F096E01" w:rsidR="0060614D" w:rsidRPr="003F564F" w:rsidRDefault="00D24EDF" w:rsidP="000A6D36">
            <w:pPr>
              <w:tabs>
                <w:tab w:val="left" w:pos="567"/>
              </w:tabs>
              <w:spacing w:line="260" w:lineRule="exact"/>
              <w:jc w:val="center"/>
              <w:rPr>
                <w:sz w:val="22"/>
                <w:szCs w:val="22"/>
              </w:rPr>
            </w:pPr>
            <w:r w:rsidRPr="003F564F">
              <w:rPr>
                <w:sz w:val="22"/>
                <w:szCs w:val="22"/>
              </w:rPr>
              <w:t>Labai dažnas</w:t>
            </w:r>
          </w:p>
        </w:tc>
        <w:tc>
          <w:tcPr>
            <w:tcW w:w="1844" w:type="dxa"/>
          </w:tcPr>
          <w:p w14:paraId="314C12B1" w14:textId="7375EA9F" w:rsidR="0060614D" w:rsidRPr="003F564F" w:rsidRDefault="00D24EDF" w:rsidP="000A6D36">
            <w:pPr>
              <w:tabs>
                <w:tab w:val="left" w:pos="567"/>
              </w:tabs>
              <w:spacing w:line="260" w:lineRule="exact"/>
              <w:jc w:val="center"/>
              <w:rPr>
                <w:sz w:val="22"/>
                <w:szCs w:val="22"/>
              </w:rPr>
            </w:pPr>
            <w:r w:rsidRPr="003F564F">
              <w:rPr>
                <w:sz w:val="22"/>
                <w:szCs w:val="22"/>
              </w:rPr>
              <w:t>Dažnas</w:t>
            </w:r>
          </w:p>
        </w:tc>
        <w:tc>
          <w:tcPr>
            <w:tcW w:w="1873" w:type="dxa"/>
          </w:tcPr>
          <w:p w14:paraId="4E75CC9E" w14:textId="3BEF11C3" w:rsidR="0060614D" w:rsidRPr="003F564F" w:rsidRDefault="00D24EDF" w:rsidP="000A6D36">
            <w:pPr>
              <w:tabs>
                <w:tab w:val="left" w:pos="567"/>
              </w:tabs>
              <w:spacing w:line="260" w:lineRule="exact"/>
              <w:jc w:val="center"/>
              <w:rPr>
                <w:sz w:val="22"/>
                <w:szCs w:val="22"/>
              </w:rPr>
            </w:pPr>
            <w:r w:rsidRPr="003F564F">
              <w:rPr>
                <w:sz w:val="22"/>
                <w:szCs w:val="22"/>
              </w:rPr>
              <w:t>Labai dažnas</w:t>
            </w:r>
          </w:p>
        </w:tc>
      </w:tr>
      <w:tr w:rsidR="00D24EDF" w:rsidRPr="003F564F" w14:paraId="41AAEA12" w14:textId="77777777" w:rsidTr="000A6D36">
        <w:tc>
          <w:tcPr>
            <w:tcW w:w="2281" w:type="dxa"/>
          </w:tcPr>
          <w:p w14:paraId="7CBD5ABA" w14:textId="30D674ED" w:rsidR="00D24EDF" w:rsidRPr="003F564F" w:rsidRDefault="00D24EDF" w:rsidP="00D24EDF">
            <w:pPr>
              <w:tabs>
                <w:tab w:val="left" w:pos="567"/>
              </w:tabs>
              <w:spacing w:line="260" w:lineRule="exact"/>
              <w:rPr>
                <w:sz w:val="22"/>
                <w:szCs w:val="22"/>
              </w:rPr>
            </w:pPr>
            <w:r w:rsidRPr="003F564F">
              <w:rPr>
                <w:sz w:val="22"/>
                <w:szCs w:val="22"/>
              </w:rPr>
              <w:t>Pancitopenija</w:t>
            </w:r>
            <w:r w:rsidRPr="003F564F">
              <w:rPr>
                <w:sz w:val="22"/>
                <w:szCs w:val="22"/>
                <w:vertAlign w:val="superscript"/>
              </w:rPr>
              <w:t>1,2</w:t>
            </w:r>
          </w:p>
        </w:tc>
        <w:tc>
          <w:tcPr>
            <w:tcW w:w="1843" w:type="dxa"/>
          </w:tcPr>
          <w:p w14:paraId="074E9898" w14:textId="1615BD9C" w:rsidR="00D24EDF" w:rsidRPr="003F564F" w:rsidRDefault="00D24EDF" w:rsidP="000A6D36">
            <w:pPr>
              <w:tabs>
                <w:tab w:val="left" w:pos="567"/>
              </w:tabs>
              <w:spacing w:line="260" w:lineRule="exact"/>
              <w:jc w:val="center"/>
              <w:rPr>
                <w:sz w:val="22"/>
                <w:szCs w:val="22"/>
              </w:rPr>
            </w:pPr>
            <w:r w:rsidRPr="003F564F">
              <w:rPr>
                <w:sz w:val="22"/>
                <w:szCs w:val="22"/>
              </w:rPr>
              <w:t>Labai dažnas</w:t>
            </w:r>
          </w:p>
        </w:tc>
        <w:tc>
          <w:tcPr>
            <w:tcW w:w="1873" w:type="dxa"/>
          </w:tcPr>
          <w:p w14:paraId="6D40BEFB" w14:textId="00D4683F" w:rsidR="00D24EDF" w:rsidRPr="003F564F" w:rsidRDefault="00D24EDF" w:rsidP="000A6D36">
            <w:pPr>
              <w:tabs>
                <w:tab w:val="left" w:pos="567"/>
              </w:tabs>
              <w:spacing w:line="260" w:lineRule="exact"/>
              <w:jc w:val="center"/>
              <w:rPr>
                <w:sz w:val="22"/>
                <w:szCs w:val="22"/>
              </w:rPr>
            </w:pPr>
            <w:r w:rsidRPr="003F564F">
              <w:rPr>
                <w:sz w:val="22"/>
                <w:szCs w:val="22"/>
              </w:rPr>
              <w:t>Labai dažnas</w:t>
            </w:r>
          </w:p>
        </w:tc>
        <w:tc>
          <w:tcPr>
            <w:tcW w:w="1844" w:type="dxa"/>
          </w:tcPr>
          <w:p w14:paraId="67EB9320" w14:textId="425CAA86" w:rsidR="00D24EDF" w:rsidRPr="003F564F" w:rsidRDefault="00D24EDF"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c>
          <w:tcPr>
            <w:tcW w:w="1873" w:type="dxa"/>
          </w:tcPr>
          <w:p w14:paraId="53781AD9" w14:textId="7806A786" w:rsidR="00D24EDF" w:rsidRPr="003F564F" w:rsidRDefault="00D24EDF"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r>
      <w:tr w:rsidR="00D24EDF" w:rsidRPr="003F564F" w14:paraId="1A079DD0" w14:textId="77777777" w:rsidTr="002A310D">
        <w:tc>
          <w:tcPr>
            <w:tcW w:w="9714" w:type="dxa"/>
            <w:gridSpan w:val="5"/>
          </w:tcPr>
          <w:p w14:paraId="4A4A28AF" w14:textId="08313FBA" w:rsidR="00D24EDF" w:rsidRPr="003F564F" w:rsidRDefault="00D24EDF" w:rsidP="0060614D">
            <w:pPr>
              <w:tabs>
                <w:tab w:val="left" w:pos="567"/>
              </w:tabs>
              <w:spacing w:line="260" w:lineRule="exact"/>
              <w:rPr>
                <w:b/>
                <w:bCs/>
                <w:sz w:val="22"/>
                <w:szCs w:val="22"/>
              </w:rPr>
            </w:pPr>
            <w:r w:rsidRPr="003F564F">
              <w:rPr>
                <w:b/>
                <w:bCs/>
                <w:sz w:val="22"/>
                <w:szCs w:val="22"/>
              </w:rPr>
              <w:t>Metabolizmo ir mitybos sutrikimai</w:t>
            </w:r>
          </w:p>
        </w:tc>
      </w:tr>
      <w:tr w:rsidR="00D24EDF" w:rsidRPr="003F564F" w14:paraId="390220C9" w14:textId="77777777" w:rsidTr="000A6D36">
        <w:tc>
          <w:tcPr>
            <w:tcW w:w="2281" w:type="dxa"/>
          </w:tcPr>
          <w:p w14:paraId="1FBFFE6B" w14:textId="5E124731" w:rsidR="00D24EDF" w:rsidRPr="003F564F" w:rsidRDefault="00D24EDF" w:rsidP="00D24EDF">
            <w:pPr>
              <w:tabs>
                <w:tab w:val="left" w:pos="567"/>
              </w:tabs>
              <w:spacing w:line="260" w:lineRule="exact"/>
              <w:rPr>
                <w:sz w:val="22"/>
                <w:szCs w:val="22"/>
              </w:rPr>
            </w:pPr>
            <w:r w:rsidRPr="003F564F">
              <w:rPr>
                <w:sz w:val="22"/>
                <w:szCs w:val="22"/>
              </w:rPr>
              <w:t>Hipercholesterolemija</w:t>
            </w:r>
            <w:r w:rsidRPr="003F564F">
              <w:rPr>
                <w:sz w:val="22"/>
                <w:szCs w:val="22"/>
                <w:vertAlign w:val="superscript"/>
              </w:rPr>
              <w:t>1</w:t>
            </w:r>
          </w:p>
        </w:tc>
        <w:tc>
          <w:tcPr>
            <w:tcW w:w="1843" w:type="dxa"/>
          </w:tcPr>
          <w:p w14:paraId="2390033F" w14:textId="72321244" w:rsidR="00D24EDF" w:rsidRPr="003F564F" w:rsidRDefault="00D24EDF" w:rsidP="000A6D36">
            <w:pPr>
              <w:tabs>
                <w:tab w:val="left" w:pos="567"/>
              </w:tabs>
              <w:spacing w:line="260" w:lineRule="exact"/>
              <w:jc w:val="center"/>
              <w:rPr>
                <w:sz w:val="22"/>
                <w:szCs w:val="22"/>
              </w:rPr>
            </w:pPr>
            <w:r w:rsidRPr="003F564F">
              <w:rPr>
                <w:sz w:val="22"/>
                <w:szCs w:val="22"/>
              </w:rPr>
              <w:t>Labai dažnas</w:t>
            </w:r>
          </w:p>
        </w:tc>
        <w:tc>
          <w:tcPr>
            <w:tcW w:w="1873" w:type="dxa"/>
          </w:tcPr>
          <w:p w14:paraId="66D96073" w14:textId="5260D41A" w:rsidR="00D24EDF" w:rsidRPr="003F564F" w:rsidRDefault="00D24EDF" w:rsidP="000A6D36">
            <w:pPr>
              <w:tabs>
                <w:tab w:val="left" w:pos="567"/>
              </w:tabs>
              <w:spacing w:line="260" w:lineRule="exact"/>
              <w:jc w:val="center"/>
              <w:rPr>
                <w:sz w:val="22"/>
                <w:szCs w:val="22"/>
              </w:rPr>
            </w:pPr>
            <w:r w:rsidRPr="003F564F">
              <w:rPr>
                <w:sz w:val="22"/>
                <w:szCs w:val="22"/>
              </w:rPr>
              <w:t>Labai dažnas</w:t>
            </w:r>
          </w:p>
        </w:tc>
        <w:tc>
          <w:tcPr>
            <w:tcW w:w="1844" w:type="dxa"/>
          </w:tcPr>
          <w:p w14:paraId="3C561071" w14:textId="19F9DC1B" w:rsidR="00D24EDF" w:rsidRPr="003F564F" w:rsidRDefault="00D24EDF" w:rsidP="000A6D36">
            <w:pPr>
              <w:tabs>
                <w:tab w:val="left" w:pos="567"/>
              </w:tabs>
              <w:spacing w:line="260" w:lineRule="exact"/>
              <w:jc w:val="center"/>
              <w:rPr>
                <w:sz w:val="22"/>
                <w:szCs w:val="22"/>
              </w:rPr>
            </w:pPr>
            <w:r w:rsidRPr="003F564F">
              <w:rPr>
                <w:sz w:val="22"/>
                <w:szCs w:val="22"/>
              </w:rPr>
              <w:t>Labai dažnas</w:t>
            </w:r>
          </w:p>
        </w:tc>
        <w:tc>
          <w:tcPr>
            <w:tcW w:w="1873" w:type="dxa"/>
          </w:tcPr>
          <w:p w14:paraId="4CC191C5" w14:textId="5627725E" w:rsidR="00D24EDF" w:rsidRPr="003F564F" w:rsidRDefault="00D24EDF" w:rsidP="000A6D36">
            <w:pPr>
              <w:tabs>
                <w:tab w:val="left" w:pos="567"/>
              </w:tabs>
              <w:spacing w:line="260" w:lineRule="exact"/>
              <w:jc w:val="center"/>
              <w:rPr>
                <w:sz w:val="22"/>
                <w:szCs w:val="22"/>
              </w:rPr>
            </w:pPr>
            <w:r w:rsidRPr="003F564F">
              <w:rPr>
                <w:sz w:val="22"/>
                <w:szCs w:val="22"/>
              </w:rPr>
              <w:t>Labai dažnas</w:t>
            </w:r>
          </w:p>
        </w:tc>
      </w:tr>
      <w:tr w:rsidR="00D24EDF" w:rsidRPr="003F564F" w14:paraId="7EA63CAD" w14:textId="77777777" w:rsidTr="000A6D36">
        <w:tc>
          <w:tcPr>
            <w:tcW w:w="2281" w:type="dxa"/>
          </w:tcPr>
          <w:p w14:paraId="7F2EE869" w14:textId="0231F2E0" w:rsidR="00D24EDF" w:rsidRPr="003F564F" w:rsidRDefault="00D24EDF" w:rsidP="00D24EDF">
            <w:pPr>
              <w:tabs>
                <w:tab w:val="left" w:pos="567"/>
              </w:tabs>
              <w:spacing w:line="260" w:lineRule="exact"/>
              <w:ind w:left="284"/>
              <w:rPr>
                <w:sz w:val="22"/>
                <w:szCs w:val="22"/>
              </w:rPr>
            </w:pPr>
            <w:r w:rsidRPr="003F564F">
              <w:rPr>
                <w:sz w:val="22"/>
                <w:szCs w:val="22"/>
              </w:rPr>
              <w:t>3</w:t>
            </w:r>
            <w:r w:rsidRPr="003F564F">
              <w:rPr>
                <w:sz w:val="22"/>
                <w:szCs w:val="22"/>
              </w:rPr>
              <w:noBreakHyphen/>
              <w:t>iojo laipsnio pagal CTCAE kriterijus</w:t>
            </w:r>
          </w:p>
        </w:tc>
        <w:tc>
          <w:tcPr>
            <w:tcW w:w="1843" w:type="dxa"/>
          </w:tcPr>
          <w:p w14:paraId="45970505" w14:textId="6F8D4819" w:rsidR="00D24EDF" w:rsidRPr="003F564F" w:rsidRDefault="00D24EDF" w:rsidP="000A6D36">
            <w:pPr>
              <w:tabs>
                <w:tab w:val="left" w:pos="567"/>
              </w:tabs>
              <w:spacing w:line="260" w:lineRule="exact"/>
              <w:jc w:val="center"/>
              <w:rPr>
                <w:sz w:val="22"/>
                <w:szCs w:val="22"/>
              </w:rPr>
            </w:pPr>
            <w:r w:rsidRPr="003F564F">
              <w:rPr>
                <w:sz w:val="22"/>
                <w:szCs w:val="22"/>
              </w:rPr>
              <w:t>Dažnas</w:t>
            </w:r>
          </w:p>
        </w:tc>
        <w:tc>
          <w:tcPr>
            <w:tcW w:w="1873" w:type="dxa"/>
          </w:tcPr>
          <w:p w14:paraId="4DA87AD7" w14:textId="1BC680A5" w:rsidR="00D24EDF" w:rsidRPr="003F564F" w:rsidRDefault="00D24EDF" w:rsidP="000A6D36">
            <w:pPr>
              <w:tabs>
                <w:tab w:val="left" w:pos="567"/>
              </w:tabs>
              <w:spacing w:line="260" w:lineRule="exact"/>
              <w:jc w:val="center"/>
              <w:rPr>
                <w:sz w:val="22"/>
                <w:szCs w:val="22"/>
              </w:rPr>
            </w:pPr>
            <w:r w:rsidRPr="003F564F">
              <w:rPr>
                <w:sz w:val="22"/>
                <w:szCs w:val="22"/>
              </w:rPr>
              <w:t>Netaikoma</w:t>
            </w:r>
            <w:r w:rsidRPr="003F564F">
              <w:rPr>
                <w:sz w:val="22"/>
                <w:szCs w:val="22"/>
                <w:vertAlign w:val="superscript"/>
              </w:rPr>
              <w:t>5</w:t>
            </w:r>
          </w:p>
        </w:tc>
        <w:tc>
          <w:tcPr>
            <w:tcW w:w="1844" w:type="dxa"/>
          </w:tcPr>
          <w:p w14:paraId="537D64C5" w14:textId="555C5A1A" w:rsidR="00D24EDF" w:rsidRPr="003F564F" w:rsidRDefault="00D24EDF" w:rsidP="000A6D36">
            <w:pPr>
              <w:tabs>
                <w:tab w:val="left" w:pos="567"/>
              </w:tabs>
              <w:spacing w:line="260" w:lineRule="exact"/>
              <w:jc w:val="center"/>
              <w:rPr>
                <w:sz w:val="22"/>
                <w:szCs w:val="22"/>
              </w:rPr>
            </w:pPr>
            <w:r w:rsidRPr="003F564F">
              <w:rPr>
                <w:sz w:val="22"/>
                <w:szCs w:val="22"/>
              </w:rPr>
              <w:t>Dažnas</w:t>
            </w:r>
          </w:p>
        </w:tc>
        <w:tc>
          <w:tcPr>
            <w:tcW w:w="1873" w:type="dxa"/>
          </w:tcPr>
          <w:p w14:paraId="0C8FAB2B" w14:textId="6CB4E6BA" w:rsidR="00D24EDF" w:rsidRPr="003F564F" w:rsidRDefault="00D24EDF" w:rsidP="000A6D36">
            <w:pPr>
              <w:tabs>
                <w:tab w:val="left" w:pos="567"/>
              </w:tabs>
              <w:spacing w:line="260" w:lineRule="exact"/>
              <w:jc w:val="center"/>
              <w:rPr>
                <w:sz w:val="22"/>
                <w:szCs w:val="22"/>
              </w:rPr>
            </w:pPr>
            <w:r w:rsidRPr="003F564F">
              <w:rPr>
                <w:sz w:val="22"/>
                <w:szCs w:val="22"/>
              </w:rPr>
              <w:t>Dažnas</w:t>
            </w:r>
          </w:p>
        </w:tc>
      </w:tr>
      <w:tr w:rsidR="00D24EDF" w:rsidRPr="003F564F" w14:paraId="49DD9008" w14:textId="77777777" w:rsidTr="000A6D36">
        <w:tc>
          <w:tcPr>
            <w:tcW w:w="2281" w:type="dxa"/>
          </w:tcPr>
          <w:p w14:paraId="5BFB86C3" w14:textId="7D3D922A" w:rsidR="00D24EDF" w:rsidRPr="003F564F" w:rsidRDefault="00D24EDF" w:rsidP="00D24EDF">
            <w:pPr>
              <w:tabs>
                <w:tab w:val="left" w:pos="567"/>
              </w:tabs>
              <w:spacing w:line="260" w:lineRule="exact"/>
              <w:ind w:left="284"/>
              <w:rPr>
                <w:sz w:val="22"/>
                <w:szCs w:val="22"/>
              </w:rPr>
            </w:pPr>
            <w:r w:rsidRPr="003F564F">
              <w:rPr>
                <w:sz w:val="22"/>
                <w:szCs w:val="22"/>
              </w:rPr>
              <w:t>4</w:t>
            </w:r>
            <w:r w:rsidRPr="003F564F">
              <w:rPr>
                <w:sz w:val="22"/>
                <w:szCs w:val="22"/>
              </w:rPr>
              <w:noBreakHyphen/>
              <w:t>ojo laipsnio pagal CTCAE kriterijus</w:t>
            </w:r>
          </w:p>
        </w:tc>
        <w:tc>
          <w:tcPr>
            <w:tcW w:w="1843" w:type="dxa"/>
          </w:tcPr>
          <w:p w14:paraId="5B6DDDF9" w14:textId="0785D9E4" w:rsidR="00D24EDF" w:rsidRPr="003F564F" w:rsidRDefault="00D24EDF" w:rsidP="000A6D36">
            <w:pPr>
              <w:tabs>
                <w:tab w:val="left" w:pos="567"/>
              </w:tabs>
              <w:spacing w:line="260" w:lineRule="exact"/>
              <w:jc w:val="center"/>
              <w:rPr>
                <w:sz w:val="22"/>
                <w:szCs w:val="22"/>
              </w:rPr>
            </w:pPr>
            <w:r w:rsidRPr="003F564F">
              <w:rPr>
                <w:sz w:val="22"/>
                <w:szCs w:val="22"/>
              </w:rPr>
              <w:t>Dažnas</w:t>
            </w:r>
          </w:p>
        </w:tc>
        <w:tc>
          <w:tcPr>
            <w:tcW w:w="1873" w:type="dxa"/>
          </w:tcPr>
          <w:p w14:paraId="20E99252" w14:textId="71AD2F92" w:rsidR="00D24EDF" w:rsidRPr="003F564F" w:rsidRDefault="00D24EDF" w:rsidP="000A6D36">
            <w:pPr>
              <w:tabs>
                <w:tab w:val="left" w:pos="567"/>
              </w:tabs>
              <w:spacing w:line="260" w:lineRule="exact"/>
              <w:jc w:val="center"/>
              <w:rPr>
                <w:sz w:val="22"/>
                <w:szCs w:val="22"/>
              </w:rPr>
            </w:pPr>
            <w:r w:rsidRPr="003F564F">
              <w:rPr>
                <w:sz w:val="22"/>
                <w:szCs w:val="22"/>
              </w:rPr>
              <w:t>Netaikoma</w:t>
            </w:r>
            <w:r w:rsidRPr="003F564F">
              <w:rPr>
                <w:sz w:val="22"/>
                <w:szCs w:val="22"/>
                <w:vertAlign w:val="superscript"/>
              </w:rPr>
              <w:t>5</w:t>
            </w:r>
          </w:p>
        </w:tc>
        <w:tc>
          <w:tcPr>
            <w:tcW w:w="1844" w:type="dxa"/>
          </w:tcPr>
          <w:p w14:paraId="3B9F06BE" w14:textId="0F49E72C" w:rsidR="00D24EDF" w:rsidRPr="003F564F" w:rsidRDefault="00D24EDF" w:rsidP="000A6D36">
            <w:pPr>
              <w:tabs>
                <w:tab w:val="left" w:pos="567"/>
              </w:tabs>
              <w:spacing w:line="260" w:lineRule="exact"/>
              <w:jc w:val="center"/>
              <w:rPr>
                <w:sz w:val="22"/>
                <w:szCs w:val="22"/>
              </w:rPr>
            </w:pPr>
            <w:r w:rsidRPr="003F564F">
              <w:rPr>
                <w:sz w:val="22"/>
                <w:szCs w:val="22"/>
              </w:rPr>
              <w:t>Nedažnas</w:t>
            </w:r>
          </w:p>
        </w:tc>
        <w:tc>
          <w:tcPr>
            <w:tcW w:w="1873" w:type="dxa"/>
          </w:tcPr>
          <w:p w14:paraId="5ED26E47" w14:textId="5DDE1E49" w:rsidR="00D24EDF" w:rsidRPr="003F564F" w:rsidRDefault="00D24EDF" w:rsidP="000A6D36">
            <w:pPr>
              <w:tabs>
                <w:tab w:val="left" w:pos="567"/>
              </w:tabs>
              <w:spacing w:line="260" w:lineRule="exact"/>
              <w:jc w:val="center"/>
              <w:rPr>
                <w:sz w:val="22"/>
                <w:szCs w:val="22"/>
              </w:rPr>
            </w:pPr>
            <w:r w:rsidRPr="003F564F">
              <w:rPr>
                <w:sz w:val="22"/>
                <w:szCs w:val="22"/>
              </w:rPr>
              <w:t>Dažnas</w:t>
            </w:r>
          </w:p>
        </w:tc>
      </w:tr>
      <w:tr w:rsidR="00D24EDF" w:rsidRPr="003F564F" w14:paraId="33819303" w14:textId="77777777" w:rsidTr="000A6D36">
        <w:tc>
          <w:tcPr>
            <w:tcW w:w="2281" w:type="dxa"/>
          </w:tcPr>
          <w:p w14:paraId="33496D9B" w14:textId="1CE0A505" w:rsidR="00D24EDF" w:rsidRPr="003F564F" w:rsidRDefault="00D24EDF" w:rsidP="00D24EDF">
            <w:pPr>
              <w:tabs>
                <w:tab w:val="left" w:pos="567"/>
              </w:tabs>
              <w:spacing w:line="260" w:lineRule="exact"/>
              <w:rPr>
                <w:sz w:val="22"/>
                <w:szCs w:val="22"/>
              </w:rPr>
            </w:pPr>
            <w:r w:rsidRPr="003F564F">
              <w:rPr>
                <w:sz w:val="22"/>
                <w:szCs w:val="22"/>
              </w:rPr>
              <w:t>Padidėjęs kūno svoris</w:t>
            </w:r>
          </w:p>
        </w:tc>
        <w:tc>
          <w:tcPr>
            <w:tcW w:w="1843" w:type="dxa"/>
          </w:tcPr>
          <w:p w14:paraId="22FEA98E" w14:textId="242E43E5" w:rsidR="00D24EDF" w:rsidRPr="003F564F" w:rsidRDefault="00D24EDF"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c>
          <w:tcPr>
            <w:tcW w:w="1873" w:type="dxa"/>
          </w:tcPr>
          <w:p w14:paraId="1EBB62B0" w14:textId="1DEF6AE1" w:rsidR="00D24EDF" w:rsidRPr="003F564F" w:rsidRDefault="00D24EDF"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c>
          <w:tcPr>
            <w:tcW w:w="1844" w:type="dxa"/>
          </w:tcPr>
          <w:p w14:paraId="15C5B2F6" w14:textId="2668B524" w:rsidR="00D24EDF" w:rsidRPr="003F564F" w:rsidRDefault="00D24EDF" w:rsidP="000A6D36">
            <w:pPr>
              <w:tabs>
                <w:tab w:val="left" w:pos="567"/>
              </w:tabs>
              <w:spacing w:line="260" w:lineRule="exact"/>
              <w:jc w:val="center"/>
              <w:rPr>
                <w:sz w:val="22"/>
                <w:szCs w:val="22"/>
              </w:rPr>
            </w:pPr>
            <w:r w:rsidRPr="003F564F">
              <w:rPr>
                <w:sz w:val="22"/>
                <w:szCs w:val="22"/>
              </w:rPr>
              <w:t>Dažnas</w:t>
            </w:r>
          </w:p>
        </w:tc>
        <w:tc>
          <w:tcPr>
            <w:tcW w:w="1873" w:type="dxa"/>
          </w:tcPr>
          <w:p w14:paraId="5C6F439C" w14:textId="7913DB9B" w:rsidR="00D24EDF" w:rsidRPr="003F564F" w:rsidRDefault="00D24EDF" w:rsidP="000A6D36">
            <w:pPr>
              <w:tabs>
                <w:tab w:val="left" w:pos="567"/>
              </w:tabs>
              <w:spacing w:line="260" w:lineRule="exact"/>
              <w:jc w:val="center"/>
              <w:rPr>
                <w:sz w:val="22"/>
                <w:szCs w:val="22"/>
              </w:rPr>
            </w:pPr>
            <w:r w:rsidRPr="003F564F">
              <w:rPr>
                <w:sz w:val="22"/>
                <w:szCs w:val="22"/>
              </w:rPr>
              <w:t>Dažnas</w:t>
            </w:r>
          </w:p>
        </w:tc>
      </w:tr>
      <w:tr w:rsidR="00D24EDF" w:rsidRPr="003F564F" w14:paraId="164ECD05" w14:textId="77777777" w:rsidTr="000A6D36">
        <w:tc>
          <w:tcPr>
            <w:tcW w:w="2281" w:type="dxa"/>
          </w:tcPr>
          <w:p w14:paraId="1462B121" w14:textId="0DD42F80" w:rsidR="00D24EDF" w:rsidRPr="003F564F" w:rsidRDefault="00D24EDF" w:rsidP="00D24EDF">
            <w:pPr>
              <w:tabs>
                <w:tab w:val="left" w:pos="567"/>
              </w:tabs>
              <w:spacing w:line="260" w:lineRule="exact"/>
              <w:ind w:left="284"/>
              <w:rPr>
                <w:sz w:val="22"/>
                <w:szCs w:val="22"/>
              </w:rPr>
            </w:pPr>
            <w:r w:rsidRPr="003F564F">
              <w:rPr>
                <w:sz w:val="22"/>
                <w:szCs w:val="22"/>
              </w:rPr>
              <w:t>≥ 3</w:t>
            </w:r>
            <w:r w:rsidRPr="003F564F">
              <w:rPr>
                <w:sz w:val="22"/>
                <w:szCs w:val="22"/>
              </w:rPr>
              <w:noBreakHyphen/>
              <w:t>iojo laipsnio pagal CTCAE kriterijus</w:t>
            </w:r>
          </w:p>
        </w:tc>
        <w:tc>
          <w:tcPr>
            <w:tcW w:w="1843" w:type="dxa"/>
          </w:tcPr>
          <w:p w14:paraId="29320C9E" w14:textId="0EE27DC7" w:rsidR="00D24EDF" w:rsidRPr="003F564F" w:rsidRDefault="00D24EDF"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c>
          <w:tcPr>
            <w:tcW w:w="1873" w:type="dxa"/>
          </w:tcPr>
          <w:p w14:paraId="001AC3C6" w14:textId="21FFF0CB" w:rsidR="00D24EDF" w:rsidRPr="003F564F" w:rsidRDefault="00D24EDF"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c>
          <w:tcPr>
            <w:tcW w:w="1844" w:type="dxa"/>
          </w:tcPr>
          <w:p w14:paraId="1DD52327" w14:textId="3173113A" w:rsidR="00D24EDF" w:rsidRPr="003F564F" w:rsidRDefault="00D24EDF" w:rsidP="000A6D36">
            <w:pPr>
              <w:tabs>
                <w:tab w:val="left" w:pos="567"/>
              </w:tabs>
              <w:spacing w:line="260" w:lineRule="exact"/>
              <w:jc w:val="center"/>
              <w:rPr>
                <w:sz w:val="22"/>
                <w:szCs w:val="22"/>
              </w:rPr>
            </w:pPr>
            <w:r w:rsidRPr="003F564F">
              <w:rPr>
                <w:sz w:val="22"/>
                <w:szCs w:val="22"/>
              </w:rPr>
              <w:t>Netaikoma</w:t>
            </w:r>
            <w:r w:rsidRPr="003F564F">
              <w:rPr>
                <w:sz w:val="22"/>
                <w:szCs w:val="22"/>
                <w:vertAlign w:val="superscript"/>
              </w:rPr>
              <w:t>5</w:t>
            </w:r>
          </w:p>
        </w:tc>
        <w:tc>
          <w:tcPr>
            <w:tcW w:w="1873" w:type="dxa"/>
          </w:tcPr>
          <w:p w14:paraId="14B246B2" w14:textId="58723BF5" w:rsidR="00D24EDF" w:rsidRPr="003F564F" w:rsidRDefault="00D24EDF" w:rsidP="000A6D36">
            <w:pPr>
              <w:tabs>
                <w:tab w:val="left" w:pos="567"/>
              </w:tabs>
              <w:spacing w:line="260" w:lineRule="exact"/>
              <w:jc w:val="center"/>
              <w:rPr>
                <w:sz w:val="22"/>
                <w:szCs w:val="22"/>
              </w:rPr>
            </w:pPr>
            <w:r w:rsidRPr="003F564F">
              <w:rPr>
                <w:sz w:val="22"/>
                <w:szCs w:val="22"/>
              </w:rPr>
              <w:t>Dažnas</w:t>
            </w:r>
          </w:p>
        </w:tc>
      </w:tr>
      <w:tr w:rsidR="00D23FE2" w:rsidRPr="003F564F" w14:paraId="52E840E3" w14:textId="77777777" w:rsidTr="00D747D7">
        <w:tc>
          <w:tcPr>
            <w:tcW w:w="9714" w:type="dxa"/>
            <w:gridSpan w:val="5"/>
          </w:tcPr>
          <w:p w14:paraId="14491646" w14:textId="395A3BE0" w:rsidR="00D23FE2" w:rsidRPr="003F564F" w:rsidRDefault="00D23FE2" w:rsidP="0060614D">
            <w:pPr>
              <w:tabs>
                <w:tab w:val="left" w:pos="567"/>
              </w:tabs>
              <w:spacing w:line="260" w:lineRule="exact"/>
              <w:rPr>
                <w:b/>
                <w:bCs/>
                <w:sz w:val="22"/>
                <w:szCs w:val="22"/>
              </w:rPr>
            </w:pPr>
            <w:r w:rsidRPr="003F564F">
              <w:rPr>
                <w:b/>
                <w:bCs/>
                <w:sz w:val="22"/>
                <w:szCs w:val="22"/>
              </w:rPr>
              <w:lastRenderedPageBreak/>
              <w:t>Nervų sistemos sutrikimai</w:t>
            </w:r>
          </w:p>
        </w:tc>
      </w:tr>
      <w:tr w:rsidR="00D24EDF" w:rsidRPr="003F564F" w14:paraId="3E959576" w14:textId="77777777" w:rsidTr="000A6D36">
        <w:tc>
          <w:tcPr>
            <w:tcW w:w="2281" w:type="dxa"/>
          </w:tcPr>
          <w:p w14:paraId="0C9B21D9" w14:textId="12184054" w:rsidR="00D24EDF" w:rsidRPr="003F564F" w:rsidRDefault="00D23FE2" w:rsidP="00D23FE2">
            <w:pPr>
              <w:tabs>
                <w:tab w:val="left" w:pos="567"/>
              </w:tabs>
              <w:spacing w:line="260" w:lineRule="exact"/>
              <w:rPr>
                <w:sz w:val="22"/>
                <w:szCs w:val="22"/>
              </w:rPr>
            </w:pPr>
            <w:r w:rsidRPr="003F564F">
              <w:rPr>
                <w:sz w:val="22"/>
                <w:szCs w:val="22"/>
              </w:rPr>
              <w:t>Galvos skausmas</w:t>
            </w:r>
          </w:p>
        </w:tc>
        <w:tc>
          <w:tcPr>
            <w:tcW w:w="1843" w:type="dxa"/>
          </w:tcPr>
          <w:p w14:paraId="366E3CE0" w14:textId="1B34AC48" w:rsidR="00D24EDF" w:rsidRPr="003F564F" w:rsidRDefault="00D23FE2" w:rsidP="000A6D36">
            <w:pPr>
              <w:tabs>
                <w:tab w:val="left" w:pos="567"/>
              </w:tabs>
              <w:spacing w:line="260" w:lineRule="exact"/>
              <w:jc w:val="center"/>
              <w:rPr>
                <w:sz w:val="22"/>
                <w:szCs w:val="22"/>
              </w:rPr>
            </w:pPr>
            <w:r w:rsidRPr="003F564F">
              <w:rPr>
                <w:sz w:val="22"/>
                <w:szCs w:val="22"/>
              </w:rPr>
              <w:t>Dažnas</w:t>
            </w:r>
          </w:p>
        </w:tc>
        <w:tc>
          <w:tcPr>
            <w:tcW w:w="1873" w:type="dxa"/>
          </w:tcPr>
          <w:p w14:paraId="3E223C4F" w14:textId="0C5B652C" w:rsidR="00D24EDF" w:rsidRPr="003F564F" w:rsidRDefault="00D23FE2" w:rsidP="000A6D36">
            <w:pPr>
              <w:tabs>
                <w:tab w:val="left" w:pos="567"/>
              </w:tabs>
              <w:spacing w:line="260" w:lineRule="exact"/>
              <w:jc w:val="center"/>
              <w:rPr>
                <w:sz w:val="22"/>
                <w:szCs w:val="22"/>
              </w:rPr>
            </w:pPr>
            <w:r w:rsidRPr="003F564F">
              <w:rPr>
                <w:sz w:val="22"/>
                <w:szCs w:val="22"/>
              </w:rPr>
              <w:t>Dažnas</w:t>
            </w:r>
          </w:p>
        </w:tc>
        <w:tc>
          <w:tcPr>
            <w:tcW w:w="1844" w:type="dxa"/>
          </w:tcPr>
          <w:p w14:paraId="427081DC" w14:textId="3F762268" w:rsidR="00D24EDF" w:rsidRPr="003F564F" w:rsidRDefault="00D23FE2" w:rsidP="000A6D36">
            <w:pPr>
              <w:tabs>
                <w:tab w:val="left" w:pos="567"/>
              </w:tabs>
              <w:spacing w:line="260" w:lineRule="exact"/>
              <w:jc w:val="center"/>
              <w:rPr>
                <w:sz w:val="22"/>
                <w:szCs w:val="22"/>
              </w:rPr>
            </w:pPr>
            <w:r w:rsidRPr="003F564F">
              <w:rPr>
                <w:sz w:val="22"/>
                <w:szCs w:val="22"/>
              </w:rPr>
              <w:t>Labai dažnas</w:t>
            </w:r>
          </w:p>
        </w:tc>
        <w:tc>
          <w:tcPr>
            <w:tcW w:w="1873" w:type="dxa"/>
          </w:tcPr>
          <w:p w14:paraId="7132A29F" w14:textId="3104431E" w:rsidR="00D24EDF" w:rsidRPr="003F564F" w:rsidRDefault="00D23FE2" w:rsidP="000A6D36">
            <w:pPr>
              <w:tabs>
                <w:tab w:val="left" w:pos="567"/>
              </w:tabs>
              <w:spacing w:line="260" w:lineRule="exact"/>
              <w:jc w:val="center"/>
              <w:rPr>
                <w:sz w:val="22"/>
                <w:szCs w:val="22"/>
              </w:rPr>
            </w:pPr>
            <w:r w:rsidRPr="003F564F">
              <w:rPr>
                <w:sz w:val="22"/>
                <w:szCs w:val="22"/>
              </w:rPr>
              <w:t>Labai dažnas</w:t>
            </w:r>
          </w:p>
        </w:tc>
      </w:tr>
      <w:tr w:rsidR="00D24EDF" w:rsidRPr="003F564F" w14:paraId="0CE03E4E" w14:textId="77777777" w:rsidTr="000A6D36">
        <w:tc>
          <w:tcPr>
            <w:tcW w:w="2281" w:type="dxa"/>
          </w:tcPr>
          <w:p w14:paraId="639B42DB" w14:textId="33A97D11" w:rsidR="00D24EDF" w:rsidRPr="003F564F" w:rsidRDefault="00D23FE2" w:rsidP="00D23FE2">
            <w:pPr>
              <w:tabs>
                <w:tab w:val="left" w:pos="567"/>
              </w:tabs>
              <w:spacing w:line="260" w:lineRule="exact"/>
              <w:ind w:left="284"/>
              <w:rPr>
                <w:sz w:val="22"/>
                <w:szCs w:val="22"/>
              </w:rPr>
            </w:pPr>
            <w:r w:rsidRPr="003F564F">
              <w:rPr>
                <w:sz w:val="22"/>
                <w:szCs w:val="22"/>
              </w:rPr>
              <w:t>≥ 3</w:t>
            </w:r>
            <w:r w:rsidRPr="003F564F">
              <w:rPr>
                <w:sz w:val="22"/>
                <w:szCs w:val="22"/>
              </w:rPr>
              <w:noBreakHyphen/>
              <w:t>iojo laipsnio pagal CTCAE kriterijus</w:t>
            </w:r>
          </w:p>
        </w:tc>
        <w:tc>
          <w:tcPr>
            <w:tcW w:w="1843" w:type="dxa"/>
          </w:tcPr>
          <w:p w14:paraId="5660C9D0" w14:textId="045B65E5" w:rsidR="00D24EDF" w:rsidRPr="003F564F" w:rsidRDefault="00D23FE2" w:rsidP="000A6D36">
            <w:pPr>
              <w:tabs>
                <w:tab w:val="left" w:pos="567"/>
              </w:tabs>
              <w:spacing w:line="260" w:lineRule="exact"/>
              <w:jc w:val="center"/>
              <w:rPr>
                <w:sz w:val="22"/>
                <w:szCs w:val="22"/>
              </w:rPr>
            </w:pPr>
            <w:r w:rsidRPr="003F564F">
              <w:rPr>
                <w:sz w:val="22"/>
                <w:szCs w:val="22"/>
              </w:rPr>
              <w:t>Nedažnas</w:t>
            </w:r>
          </w:p>
        </w:tc>
        <w:tc>
          <w:tcPr>
            <w:tcW w:w="1873" w:type="dxa"/>
          </w:tcPr>
          <w:p w14:paraId="5A2B0CDF" w14:textId="3BB278E2" w:rsidR="00D24EDF" w:rsidRPr="003F564F" w:rsidRDefault="00D23FE2" w:rsidP="000A6D36">
            <w:pPr>
              <w:tabs>
                <w:tab w:val="left" w:pos="567"/>
              </w:tabs>
              <w:spacing w:line="260" w:lineRule="exact"/>
              <w:jc w:val="center"/>
              <w:rPr>
                <w:sz w:val="22"/>
                <w:szCs w:val="22"/>
              </w:rPr>
            </w:pPr>
            <w:r w:rsidRPr="003F564F">
              <w:rPr>
                <w:sz w:val="22"/>
                <w:szCs w:val="22"/>
              </w:rPr>
              <w:t>Netaikoma</w:t>
            </w:r>
            <w:r w:rsidRPr="003F564F">
              <w:rPr>
                <w:sz w:val="22"/>
                <w:szCs w:val="22"/>
                <w:vertAlign w:val="superscript"/>
              </w:rPr>
              <w:t>5</w:t>
            </w:r>
          </w:p>
        </w:tc>
        <w:tc>
          <w:tcPr>
            <w:tcW w:w="1844" w:type="dxa"/>
          </w:tcPr>
          <w:p w14:paraId="4099BED3" w14:textId="0B2851A4" w:rsidR="00D24EDF" w:rsidRPr="003F564F" w:rsidRDefault="00D23FE2" w:rsidP="000A6D36">
            <w:pPr>
              <w:tabs>
                <w:tab w:val="left" w:pos="567"/>
              </w:tabs>
              <w:spacing w:line="260" w:lineRule="exact"/>
              <w:jc w:val="center"/>
              <w:rPr>
                <w:sz w:val="22"/>
                <w:szCs w:val="22"/>
              </w:rPr>
            </w:pPr>
            <w:r w:rsidRPr="003F564F">
              <w:rPr>
                <w:sz w:val="22"/>
                <w:szCs w:val="22"/>
              </w:rPr>
              <w:t>Dažnas</w:t>
            </w:r>
          </w:p>
        </w:tc>
        <w:tc>
          <w:tcPr>
            <w:tcW w:w="1873" w:type="dxa"/>
          </w:tcPr>
          <w:p w14:paraId="653A6923" w14:textId="24D0C31E" w:rsidR="00D24EDF" w:rsidRPr="003F564F" w:rsidRDefault="00D23FE2" w:rsidP="000A6D36">
            <w:pPr>
              <w:tabs>
                <w:tab w:val="left" w:pos="567"/>
              </w:tabs>
              <w:spacing w:line="260" w:lineRule="exact"/>
              <w:jc w:val="center"/>
              <w:rPr>
                <w:sz w:val="22"/>
                <w:szCs w:val="22"/>
              </w:rPr>
            </w:pPr>
            <w:r w:rsidRPr="003F564F">
              <w:rPr>
                <w:sz w:val="22"/>
                <w:szCs w:val="22"/>
              </w:rPr>
              <w:t>Dažnas</w:t>
            </w:r>
          </w:p>
        </w:tc>
      </w:tr>
      <w:tr w:rsidR="00D23FE2" w:rsidRPr="003F564F" w14:paraId="40CCB1D3" w14:textId="77777777" w:rsidTr="00697524">
        <w:tc>
          <w:tcPr>
            <w:tcW w:w="9714" w:type="dxa"/>
            <w:gridSpan w:val="5"/>
          </w:tcPr>
          <w:p w14:paraId="35A2C783" w14:textId="28F74A95" w:rsidR="00D23FE2" w:rsidRPr="003F564F" w:rsidRDefault="00D23FE2" w:rsidP="0060614D">
            <w:pPr>
              <w:tabs>
                <w:tab w:val="left" w:pos="567"/>
              </w:tabs>
              <w:spacing w:line="260" w:lineRule="exact"/>
              <w:rPr>
                <w:b/>
                <w:bCs/>
                <w:sz w:val="22"/>
                <w:szCs w:val="22"/>
              </w:rPr>
            </w:pPr>
            <w:r w:rsidRPr="003F564F">
              <w:rPr>
                <w:b/>
                <w:bCs/>
                <w:sz w:val="22"/>
                <w:szCs w:val="22"/>
              </w:rPr>
              <w:t>Kraujagyslių sutrikimai</w:t>
            </w:r>
          </w:p>
        </w:tc>
      </w:tr>
      <w:tr w:rsidR="009F34A7" w:rsidRPr="003F564F" w14:paraId="75B89860" w14:textId="77777777" w:rsidTr="000A6D36">
        <w:tc>
          <w:tcPr>
            <w:tcW w:w="2281" w:type="dxa"/>
          </w:tcPr>
          <w:p w14:paraId="7824BF24" w14:textId="7BD4825E" w:rsidR="009F34A7" w:rsidRPr="003F564F" w:rsidRDefault="00D23FE2" w:rsidP="00D23FE2">
            <w:pPr>
              <w:tabs>
                <w:tab w:val="left" w:pos="567"/>
              </w:tabs>
              <w:spacing w:line="260" w:lineRule="exact"/>
              <w:rPr>
                <w:sz w:val="22"/>
                <w:szCs w:val="22"/>
              </w:rPr>
            </w:pPr>
            <w:r w:rsidRPr="003F564F">
              <w:rPr>
                <w:sz w:val="22"/>
                <w:szCs w:val="22"/>
              </w:rPr>
              <w:t>Hipertenzija</w:t>
            </w:r>
          </w:p>
        </w:tc>
        <w:tc>
          <w:tcPr>
            <w:tcW w:w="1843" w:type="dxa"/>
          </w:tcPr>
          <w:p w14:paraId="34C5C1C3" w14:textId="18F2629F" w:rsidR="009F34A7" w:rsidRPr="003F564F" w:rsidRDefault="00D23FE2" w:rsidP="000A6D36">
            <w:pPr>
              <w:tabs>
                <w:tab w:val="left" w:pos="567"/>
              </w:tabs>
              <w:spacing w:line="260" w:lineRule="exact"/>
              <w:jc w:val="center"/>
              <w:rPr>
                <w:sz w:val="22"/>
                <w:szCs w:val="22"/>
              </w:rPr>
            </w:pPr>
            <w:r w:rsidRPr="003F564F">
              <w:rPr>
                <w:sz w:val="22"/>
                <w:szCs w:val="22"/>
              </w:rPr>
              <w:t>Labai dažnas</w:t>
            </w:r>
          </w:p>
        </w:tc>
        <w:tc>
          <w:tcPr>
            <w:tcW w:w="1873" w:type="dxa"/>
          </w:tcPr>
          <w:p w14:paraId="21A72F15" w14:textId="36199B79" w:rsidR="009F34A7" w:rsidRPr="003F564F" w:rsidRDefault="00D23FE2" w:rsidP="000A6D36">
            <w:pPr>
              <w:tabs>
                <w:tab w:val="left" w:pos="567"/>
              </w:tabs>
              <w:spacing w:line="260" w:lineRule="exact"/>
              <w:jc w:val="center"/>
              <w:rPr>
                <w:sz w:val="22"/>
                <w:szCs w:val="22"/>
              </w:rPr>
            </w:pPr>
            <w:r w:rsidRPr="003F564F">
              <w:rPr>
                <w:sz w:val="22"/>
                <w:szCs w:val="22"/>
              </w:rPr>
              <w:t>Labai dažnas</w:t>
            </w:r>
          </w:p>
        </w:tc>
        <w:tc>
          <w:tcPr>
            <w:tcW w:w="1844" w:type="dxa"/>
          </w:tcPr>
          <w:p w14:paraId="25C5F8EB" w14:textId="0F6E5118" w:rsidR="009F34A7" w:rsidRPr="003F564F" w:rsidRDefault="00D23FE2" w:rsidP="000A6D36">
            <w:pPr>
              <w:tabs>
                <w:tab w:val="left" w:pos="567"/>
              </w:tabs>
              <w:spacing w:line="260" w:lineRule="exact"/>
              <w:jc w:val="center"/>
              <w:rPr>
                <w:sz w:val="22"/>
                <w:szCs w:val="22"/>
              </w:rPr>
            </w:pPr>
            <w:r w:rsidRPr="003F564F">
              <w:rPr>
                <w:sz w:val="22"/>
                <w:szCs w:val="22"/>
              </w:rPr>
              <w:t>Labai dažnas</w:t>
            </w:r>
          </w:p>
        </w:tc>
        <w:tc>
          <w:tcPr>
            <w:tcW w:w="1873" w:type="dxa"/>
          </w:tcPr>
          <w:p w14:paraId="36EB235E" w14:textId="1629BAEC" w:rsidR="009F34A7" w:rsidRPr="003F564F" w:rsidRDefault="00D23FE2" w:rsidP="000A6D36">
            <w:pPr>
              <w:tabs>
                <w:tab w:val="left" w:pos="567"/>
              </w:tabs>
              <w:spacing w:line="260" w:lineRule="exact"/>
              <w:jc w:val="center"/>
              <w:rPr>
                <w:sz w:val="22"/>
                <w:szCs w:val="22"/>
              </w:rPr>
            </w:pPr>
            <w:r w:rsidRPr="003F564F">
              <w:rPr>
                <w:sz w:val="22"/>
                <w:szCs w:val="22"/>
              </w:rPr>
              <w:t>Labai dažnas</w:t>
            </w:r>
          </w:p>
        </w:tc>
      </w:tr>
      <w:tr w:rsidR="009F34A7" w:rsidRPr="003F564F" w14:paraId="55CC6034" w14:textId="77777777" w:rsidTr="000A6D36">
        <w:tc>
          <w:tcPr>
            <w:tcW w:w="2281" w:type="dxa"/>
          </w:tcPr>
          <w:p w14:paraId="45BA82CD" w14:textId="58E6AAA9" w:rsidR="009F34A7" w:rsidRPr="003F564F" w:rsidRDefault="00D23FE2" w:rsidP="00D23FE2">
            <w:pPr>
              <w:tabs>
                <w:tab w:val="left" w:pos="567"/>
              </w:tabs>
              <w:spacing w:line="260" w:lineRule="exact"/>
              <w:ind w:left="284"/>
              <w:rPr>
                <w:sz w:val="22"/>
                <w:szCs w:val="22"/>
              </w:rPr>
            </w:pPr>
            <w:r w:rsidRPr="003F564F">
              <w:rPr>
                <w:sz w:val="22"/>
                <w:szCs w:val="22"/>
              </w:rPr>
              <w:t>≥ 3</w:t>
            </w:r>
            <w:r w:rsidRPr="003F564F">
              <w:rPr>
                <w:sz w:val="22"/>
                <w:szCs w:val="22"/>
              </w:rPr>
              <w:noBreakHyphen/>
              <w:t>iojo laipsnio pagal CTCAE kriterijus</w:t>
            </w:r>
          </w:p>
        </w:tc>
        <w:tc>
          <w:tcPr>
            <w:tcW w:w="1843" w:type="dxa"/>
          </w:tcPr>
          <w:p w14:paraId="1F38C9EB" w14:textId="2F414760" w:rsidR="009F34A7" w:rsidRPr="003F564F" w:rsidRDefault="00D23FE2" w:rsidP="000A6D36">
            <w:pPr>
              <w:tabs>
                <w:tab w:val="left" w:pos="567"/>
              </w:tabs>
              <w:spacing w:line="260" w:lineRule="exact"/>
              <w:jc w:val="center"/>
              <w:rPr>
                <w:sz w:val="22"/>
                <w:szCs w:val="22"/>
              </w:rPr>
            </w:pPr>
            <w:r w:rsidRPr="003F564F">
              <w:rPr>
                <w:sz w:val="22"/>
                <w:szCs w:val="22"/>
              </w:rPr>
              <w:t>Dažnas</w:t>
            </w:r>
          </w:p>
        </w:tc>
        <w:tc>
          <w:tcPr>
            <w:tcW w:w="1873" w:type="dxa"/>
          </w:tcPr>
          <w:p w14:paraId="60A6EEDF" w14:textId="7D2ABF86" w:rsidR="009F34A7" w:rsidRPr="003F564F" w:rsidRDefault="00D23FE2" w:rsidP="000A6D36">
            <w:pPr>
              <w:tabs>
                <w:tab w:val="left" w:pos="567"/>
              </w:tabs>
              <w:spacing w:line="260" w:lineRule="exact"/>
              <w:jc w:val="center"/>
              <w:rPr>
                <w:sz w:val="22"/>
                <w:szCs w:val="22"/>
              </w:rPr>
            </w:pPr>
            <w:r w:rsidRPr="003F564F">
              <w:rPr>
                <w:sz w:val="22"/>
                <w:szCs w:val="22"/>
              </w:rPr>
              <w:t>Labai dažnas</w:t>
            </w:r>
          </w:p>
        </w:tc>
        <w:tc>
          <w:tcPr>
            <w:tcW w:w="1844" w:type="dxa"/>
          </w:tcPr>
          <w:p w14:paraId="7F26CB2E" w14:textId="435B61E7" w:rsidR="009F34A7" w:rsidRPr="003F564F" w:rsidRDefault="00D23FE2" w:rsidP="000A6D36">
            <w:pPr>
              <w:tabs>
                <w:tab w:val="left" w:pos="567"/>
              </w:tabs>
              <w:spacing w:line="260" w:lineRule="exact"/>
              <w:jc w:val="center"/>
              <w:rPr>
                <w:sz w:val="22"/>
                <w:szCs w:val="22"/>
              </w:rPr>
            </w:pPr>
            <w:r w:rsidRPr="003F564F">
              <w:rPr>
                <w:sz w:val="22"/>
                <w:szCs w:val="22"/>
              </w:rPr>
              <w:t>Dažnas</w:t>
            </w:r>
          </w:p>
        </w:tc>
        <w:tc>
          <w:tcPr>
            <w:tcW w:w="1873" w:type="dxa"/>
          </w:tcPr>
          <w:p w14:paraId="0E4DB2AD" w14:textId="24717279" w:rsidR="009F34A7" w:rsidRPr="003F564F" w:rsidRDefault="00D23FE2" w:rsidP="000A6D36">
            <w:pPr>
              <w:tabs>
                <w:tab w:val="left" w:pos="567"/>
              </w:tabs>
              <w:spacing w:line="260" w:lineRule="exact"/>
              <w:jc w:val="center"/>
              <w:rPr>
                <w:sz w:val="22"/>
                <w:szCs w:val="22"/>
              </w:rPr>
            </w:pPr>
            <w:r w:rsidRPr="003F564F">
              <w:rPr>
                <w:sz w:val="22"/>
                <w:szCs w:val="22"/>
              </w:rPr>
              <w:t>Dažnas</w:t>
            </w:r>
          </w:p>
        </w:tc>
      </w:tr>
      <w:tr w:rsidR="00F135B7" w:rsidRPr="003F564F" w14:paraId="2DF3E774" w14:textId="77777777" w:rsidTr="00CF132D">
        <w:tc>
          <w:tcPr>
            <w:tcW w:w="9714" w:type="dxa"/>
            <w:gridSpan w:val="5"/>
          </w:tcPr>
          <w:p w14:paraId="7E200886" w14:textId="6577647C" w:rsidR="00F135B7" w:rsidRPr="003F564F" w:rsidRDefault="00F135B7" w:rsidP="0060614D">
            <w:pPr>
              <w:tabs>
                <w:tab w:val="left" w:pos="567"/>
              </w:tabs>
              <w:spacing w:line="260" w:lineRule="exact"/>
              <w:rPr>
                <w:b/>
                <w:bCs/>
                <w:sz w:val="22"/>
                <w:szCs w:val="22"/>
              </w:rPr>
            </w:pPr>
            <w:r w:rsidRPr="003F564F">
              <w:rPr>
                <w:b/>
                <w:bCs/>
                <w:sz w:val="22"/>
                <w:szCs w:val="22"/>
              </w:rPr>
              <w:t>Virškinimo trakto sutrikimai</w:t>
            </w:r>
          </w:p>
        </w:tc>
      </w:tr>
      <w:tr w:rsidR="00F135B7" w:rsidRPr="003F564F" w14:paraId="3301326D" w14:textId="77777777" w:rsidTr="000A6D36">
        <w:tc>
          <w:tcPr>
            <w:tcW w:w="2281" w:type="dxa"/>
          </w:tcPr>
          <w:p w14:paraId="67AB7BFF" w14:textId="2CEF0D79" w:rsidR="00F135B7" w:rsidRPr="003F564F" w:rsidRDefault="00F135B7" w:rsidP="00F135B7">
            <w:pPr>
              <w:tabs>
                <w:tab w:val="left" w:pos="567"/>
              </w:tabs>
              <w:spacing w:line="260" w:lineRule="exact"/>
              <w:rPr>
                <w:sz w:val="22"/>
                <w:szCs w:val="22"/>
              </w:rPr>
            </w:pPr>
            <w:r w:rsidRPr="003F564F">
              <w:rPr>
                <w:sz w:val="22"/>
                <w:szCs w:val="22"/>
              </w:rPr>
              <w:t>Padidėjęs lipazės aktyvumas</w:t>
            </w:r>
            <w:r w:rsidRPr="003F564F">
              <w:rPr>
                <w:sz w:val="22"/>
                <w:szCs w:val="22"/>
                <w:vertAlign w:val="superscript"/>
              </w:rPr>
              <w:t>1</w:t>
            </w:r>
          </w:p>
        </w:tc>
        <w:tc>
          <w:tcPr>
            <w:tcW w:w="1843" w:type="dxa"/>
          </w:tcPr>
          <w:p w14:paraId="38C0D6DB" w14:textId="6A12068E" w:rsidR="00F135B7" w:rsidRPr="003F564F" w:rsidRDefault="00F135B7"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c>
          <w:tcPr>
            <w:tcW w:w="1873" w:type="dxa"/>
          </w:tcPr>
          <w:p w14:paraId="58FF54A4" w14:textId="50925DA9" w:rsidR="00F135B7" w:rsidRPr="003F564F" w:rsidRDefault="00F135B7"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c>
          <w:tcPr>
            <w:tcW w:w="1844" w:type="dxa"/>
          </w:tcPr>
          <w:p w14:paraId="565F038C" w14:textId="6A3AD523" w:rsidR="00F135B7" w:rsidRPr="003F564F" w:rsidRDefault="00F135B7" w:rsidP="000A6D36">
            <w:pPr>
              <w:tabs>
                <w:tab w:val="left" w:pos="567"/>
              </w:tabs>
              <w:spacing w:line="260" w:lineRule="exact"/>
              <w:jc w:val="center"/>
              <w:rPr>
                <w:sz w:val="22"/>
                <w:szCs w:val="22"/>
              </w:rPr>
            </w:pPr>
            <w:r w:rsidRPr="003F564F">
              <w:rPr>
                <w:sz w:val="22"/>
                <w:szCs w:val="22"/>
              </w:rPr>
              <w:t>Labai dažnas</w:t>
            </w:r>
          </w:p>
        </w:tc>
        <w:tc>
          <w:tcPr>
            <w:tcW w:w="1873" w:type="dxa"/>
          </w:tcPr>
          <w:p w14:paraId="16180840" w14:textId="6E0F90C7" w:rsidR="00F135B7" w:rsidRPr="003F564F" w:rsidRDefault="00F135B7" w:rsidP="000A6D36">
            <w:pPr>
              <w:tabs>
                <w:tab w:val="left" w:pos="567"/>
              </w:tabs>
              <w:spacing w:line="260" w:lineRule="exact"/>
              <w:jc w:val="center"/>
              <w:rPr>
                <w:sz w:val="22"/>
                <w:szCs w:val="22"/>
              </w:rPr>
            </w:pPr>
            <w:r w:rsidRPr="003F564F">
              <w:rPr>
                <w:sz w:val="22"/>
                <w:szCs w:val="22"/>
              </w:rPr>
              <w:t>Labai dažnas</w:t>
            </w:r>
          </w:p>
        </w:tc>
      </w:tr>
      <w:tr w:rsidR="00F135B7" w:rsidRPr="003F564F" w14:paraId="501D10F7" w14:textId="77777777" w:rsidTr="000A6D36">
        <w:tc>
          <w:tcPr>
            <w:tcW w:w="2281" w:type="dxa"/>
          </w:tcPr>
          <w:p w14:paraId="46771BCB" w14:textId="465B5652" w:rsidR="00F135B7" w:rsidRPr="003F564F" w:rsidRDefault="00F135B7" w:rsidP="00F135B7">
            <w:pPr>
              <w:tabs>
                <w:tab w:val="left" w:pos="567"/>
              </w:tabs>
              <w:spacing w:line="260" w:lineRule="exact"/>
              <w:ind w:left="284"/>
              <w:rPr>
                <w:sz w:val="22"/>
                <w:szCs w:val="22"/>
              </w:rPr>
            </w:pPr>
            <w:r w:rsidRPr="003F564F">
              <w:rPr>
                <w:sz w:val="22"/>
                <w:szCs w:val="22"/>
              </w:rPr>
              <w:t>3</w:t>
            </w:r>
            <w:r w:rsidRPr="003F564F">
              <w:rPr>
                <w:sz w:val="22"/>
                <w:szCs w:val="22"/>
              </w:rPr>
              <w:noBreakHyphen/>
              <w:t xml:space="preserve">iojo laipsnio pagal CTCAE kriterijus </w:t>
            </w:r>
          </w:p>
        </w:tc>
        <w:tc>
          <w:tcPr>
            <w:tcW w:w="1843" w:type="dxa"/>
          </w:tcPr>
          <w:p w14:paraId="627208F8" w14:textId="4248974D" w:rsidR="00F135B7" w:rsidRPr="003F564F" w:rsidRDefault="00F135B7"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c>
          <w:tcPr>
            <w:tcW w:w="1873" w:type="dxa"/>
          </w:tcPr>
          <w:p w14:paraId="4BCF0436" w14:textId="75E144A7" w:rsidR="00F135B7" w:rsidRPr="003F564F" w:rsidRDefault="00F135B7"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c>
          <w:tcPr>
            <w:tcW w:w="1844" w:type="dxa"/>
          </w:tcPr>
          <w:p w14:paraId="5FE15798" w14:textId="22E5C199" w:rsidR="00F135B7" w:rsidRPr="003F564F" w:rsidRDefault="00F135B7" w:rsidP="000A6D36">
            <w:pPr>
              <w:tabs>
                <w:tab w:val="left" w:pos="567"/>
              </w:tabs>
              <w:spacing w:line="260" w:lineRule="exact"/>
              <w:jc w:val="center"/>
              <w:rPr>
                <w:sz w:val="22"/>
                <w:szCs w:val="22"/>
              </w:rPr>
            </w:pPr>
            <w:r w:rsidRPr="003F564F">
              <w:rPr>
                <w:sz w:val="22"/>
                <w:szCs w:val="22"/>
              </w:rPr>
              <w:t>Dažnas</w:t>
            </w:r>
          </w:p>
        </w:tc>
        <w:tc>
          <w:tcPr>
            <w:tcW w:w="1873" w:type="dxa"/>
          </w:tcPr>
          <w:p w14:paraId="62EA4319" w14:textId="157CD749" w:rsidR="00F135B7" w:rsidRPr="003F564F" w:rsidRDefault="00F135B7" w:rsidP="000A6D36">
            <w:pPr>
              <w:tabs>
                <w:tab w:val="left" w:pos="567"/>
              </w:tabs>
              <w:spacing w:line="260" w:lineRule="exact"/>
              <w:jc w:val="center"/>
              <w:rPr>
                <w:sz w:val="22"/>
                <w:szCs w:val="22"/>
              </w:rPr>
            </w:pPr>
            <w:r w:rsidRPr="003F564F">
              <w:rPr>
                <w:sz w:val="22"/>
                <w:szCs w:val="22"/>
              </w:rPr>
              <w:t>Dažnas</w:t>
            </w:r>
          </w:p>
        </w:tc>
      </w:tr>
      <w:tr w:rsidR="00F135B7" w:rsidRPr="003F564F" w14:paraId="74C149EE" w14:textId="77777777" w:rsidTr="000A6D36">
        <w:tc>
          <w:tcPr>
            <w:tcW w:w="2281" w:type="dxa"/>
          </w:tcPr>
          <w:p w14:paraId="3DF148CB" w14:textId="042620B5" w:rsidR="00F135B7" w:rsidRPr="003F564F" w:rsidRDefault="00F135B7" w:rsidP="00F135B7">
            <w:pPr>
              <w:tabs>
                <w:tab w:val="left" w:pos="567"/>
              </w:tabs>
              <w:spacing w:line="260" w:lineRule="exact"/>
              <w:ind w:left="284"/>
              <w:rPr>
                <w:sz w:val="22"/>
                <w:szCs w:val="22"/>
              </w:rPr>
            </w:pPr>
            <w:r w:rsidRPr="003F564F">
              <w:rPr>
                <w:sz w:val="22"/>
                <w:szCs w:val="22"/>
              </w:rPr>
              <w:t>4</w:t>
            </w:r>
            <w:r w:rsidRPr="003F564F">
              <w:rPr>
                <w:sz w:val="22"/>
                <w:szCs w:val="22"/>
              </w:rPr>
              <w:noBreakHyphen/>
              <w:t>ojo laipsnio pagal CTCAE kriterijus</w:t>
            </w:r>
          </w:p>
        </w:tc>
        <w:tc>
          <w:tcPr>
            <w:tcW w:w="1843" w:type="dxa"/>
          </w:tcPr>
          <w:p w14:paraId="6C827A2C" w14:textId="74943735" w:rsidR="00F135B7" w:rsidRPr="003F564F" w:rsidRDefault="00F135B7"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c>
          <w:tcPr>
            <w:tcW w:w="1873" w:type="dxa"/>
          </w:tcPr>
          <w:p w14:paraId="6495CF6F" w14:textId="7516ECD4" w:rsidR="00F135B7" w:rsidRPr="003F564F" w:rsidRDefault="00F135B7"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c>
          <w:tcPr>
            <w:tcW w:w="1844" w:type="dxa"/>
          </w:tcPr>
          <w:p w14:paraId="6243D36D" w14:textId="18B696BC" w:rsidR="00F135B7" w:rsidRPr="003F564F" w:rsidRDefault="00F135B7" w:rsidP="000A6D36">
            <w:pPr>
              <w:tabs>
                <w:tab w:val="left" w:pos="567"/>
              </w:tabs>
              <w:spacing w:line="260" w:lineRule="exact"/>
              <w:jc w:val="center"/>
              <w:rPr>
                <w:sz w:val="22"/>
                <w:szCs w:val="22"/>
              </w:rPr>
            </w:pPr>
            <w:r w:rsidRPr="003F564F">
              <w:rPr>
                <w:sz w:val="22"/>
                <w:szCs w:val="22"/>
              </w:rPr>
              <w:t>Nedažnas</w:t>
            </w:r>
          </w:p>
        </w:tc>
        <w:tc>
          <w:tcPr>
            <w:tcW w:w="1873" w:type="dxa"/>
          </w:tcPr>
          <w:p w14:paraId="5F12F156" w14:textId="46D5F220" w:rsidR="00F135B7" w:rsidRPr="003F564F" w:rsidRDefault="00F135B7" w:rsidP="000A6D36">
            <w:pPr>
              <w:tabs>
                <w:tab w:val="left" w:pos="567"/>
              </w:tabs>
              <w:spacing w:line="260" w:lineRule="exact"/>
              <w:jc w:val="center"/>
              <w:rPr>
                <w:sz w:val="22"/>
                <w:szCs w:val="22"/>
              </w:rPr>
            </w:pPr>
            <w:r w:rsidRPr="003F564F">
              <w:rPr>
                <w:sz w:val="22"/>
                <w:szCs w:val="22"/>
              </w:rPr>
              <w:t>Dažnas</w:t>
            </w:r>
          </w:p>
        </w:tc>
      </w:tr>
      <w:tr w:rsidR="00F135B7" w:rsidRPr="003F564F" w14:paraId="4A27A4C0" w14:textId="77777777" w:rsidTr="000A6D36">
        <w:tc>
          <w:tcPr>
            <w:tcW w:w="2281" w:type="dxa"/>
          </w:tcPr>
          <w:p w14:paraId="61A3D3FC" w14:textId="54B93DB8" w:rsidR="00F135B7" w:rsidRPr="003F564F" w:rsidRDefault="00F135B7" w:rsidP="00F135B7">
            <w:pPr>
              <w:tabs>
                <w:tab w:val="left" w:pos="567"/>
              </w:tabs>
              <w:spacing w:line="260" w:lineRule="exact"/>
              <w:rPr>
                <w:sz w:val="22"/>
                <w:szCs w:val="22"/>
              </w:rPr>
            </w:pPr>
            <w:r w:rsidRPr="003F564F">
              <w:rPr>
                <w:sz w:val="22"/>
                <w:szCs w:val="22"/>
              </w:rPr>
              <w:t xml:space="preserve">Padidėjęs </w:t>
            </w:r>
            <w:proofErr w:type="spellStart"/>
            <w:r w:rsidRPr="003F564F">
              <w:rPr>
                <w:sz w:val="22"/>
                <w:szCs w:val="22"/>
              </w:rPr>
              <w:t>amilazės</w:t>
            </w:r>
            <w:proofErr w:type="spellEnd"/>
            <w:r w:rsidRPr="003F564F">
              <w:rPr>
                <w:sz w:val="22"/>
                <w:szCs w:val="22"/>
              </w:rPr>
              <w:t xml:space="preserve"> aktyvumas</w:t>
            </w:r>
            <w:r w:rsidRPr="003F564F">
              <w:rPr>
                <w:sz w:val="22"/>
                <w:szCs w:val="22"/>
                <w:vertAlign w:val="superscript"/>
              </w:rPr>
              <w:t>1</w:t>
            </w:r>
            <w:r w:rsidRPr="003F564F">
              <w:rPr>
                <w:sz w:val="22"/>
                <w:szCs w:val="22"/>
              </w:rPr>
              <w:t xml:space="preserve"> </w:t>
            </w:r>
          </w:p>
        </w:tc>
        <w:tc>
          <w:tcPr>
            <w:tcW w:w="1843" w:type="dxa"/>
          </w:tcPr>
          <w:p w14:paraId="65086248" w14:textId="0977C47A" w:rsidR="00F135B7" w:rsidRPr="003F564F" w:rsidRDefault="00F135B7"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c>
          <w:tcPr>
            <w:tcW w:w="1873" w:type="dxa"/>
          </w:tcPr>
          <w:p w14:paraId="0DAF480A" w14:textId="52B93B8F" w:rsidR="00F135B7" w:rsidRPr="003F564F" w:rsidRDefault="00F135B7"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c>
          <w:tcPr>
            <w:tcW w:w="1844" w:type="dxa"/>
          </w:tcPr>
          <w:p w14:paraId="186B5FFB" w14:textId="21F53DD0" w:rsidR="00F135B7" w:rsidRPr="003F564F" w:rsidRDefault="00F135B7" w:rsidP="000A6D36">
            <w:pPr>
              <w:tabs>
                <w:tab w:val="left" w:pos="567"/>
              </w:tabs>
              <w:spacing w:line="260" w:lineRule="exact"/>
              <w:jc w:val="center"/>
              <w:rPr>
                <w:sz w:val="22"/>
                <w:szCs w:val="22"/>
              </w:rPr>
            </w:pPr>
            <w:r w:rsidRPr="003F564F">
              <w:rPr>
                <w:sz w:val="22"/>
                <w:szCs w:val="22"/>
              </w:rPr>
              <w:t>Labai dažnas</w:t>
            </w:r>
          </w:p>
        </w:tc>
        <w:tc>
          <w:tcPr>
            <w:tcW w:w="1873" w:type="dxa"/>
          </w:tcPr>
          <w:p w14:paraId="6A4DEA6F" w14:textId="4F014E72" w:rsidR="00F135B7" w:rsidRPr="003F564F" w:rsidRDefault="00F135B7" w:rsidP="000A6D36">
            <w:pPr>
              <w:tabs>
                <w:tab w:val="left" w:pos="567"/>
              </w:tabs>
              <w:spacing w:line="260" w:lineRule="exact"/>
              <w:jc w:val="center"/>
              <w:rPr>
                <w:sz w:val="22"/>
                <w:szCs w:val="22"/>
              </w:rPr>
            </w:pPr>
            <w:r w:rsidRPr="003F564F">
              <w:rPr>
                <w:sz w:val="22"/>
                <w:szCs w:val="22"/>
              </w:rPr>
              <w:t>Labai dažnas</w:t>
            </w:r>
          </w:p>
        </w:tc>
      </w:tr>
      <w:tr w:rsidR="00F135B7" w:rsidRPr="003F564F" w14:paraId="0E7C533C" w14:textId="77777777" w:rsidTr="000A6D36">
        <w:tc>
          <w:tcPr>
            <w:tcW w:w="2281" w:type="dxa"/>
          </w:tcPr>
          <w:p w14:paraId="22338231" w14:textId="37FDF991" w:rsidR="00F135B7" w:rsidRPr="003F564F" w:rsidRDefault="00F135B7" w:rsidP="00F135B7">
            <w:pPr>
              <w:tabs>
                <w:tab w:val="left" w:pos="567"/>
              </w:tabs>
              <w:spacing w:line="260" w:lineRule="exact"/>
              <w:ind w:left="284"/>
              <w:rPr>
                <w:sz w:val="22"/>
                <w:szCs w:val="22"/>
              </w:rPr>
            </w:pPr>
            <w:r w:rsidRPr="003F564F">
              <w:rPr>
                <w:sz w:val="22"/>
                <w:szCs w:val="22"/>
              </w:rPr>
              <w:t>3</w:t>
            </w:r>
            <w:r w:rsidRPr="003F564F">
              <w:rPr>
                <w:sz w:val="22"/>
                <w:szCs w:val="22"/>
              </w:rPr>
              <w:noBreakHyphen/>
              <w:t>iojo laipsnio pagal CTCAE kriterijus</w:t>
            </w:r>
          </w:p>
        </w:tc>
        <w:tc>
          <w:tcPr>
            <w:tcW w:w="1843" w:type="dxa"/>
          </w:tcPr>
          <w:p w14:paraId="2D1658AF" w14:textId="577C31EC" w:rsidR="00F135B7" w:rsidRPr="003F564F" w:rsidRDefault="00F135B7"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c>
          <w:tcPr>
            <w:tcW w:w="1873" w:type="dxa"/>
          </w:tcPr>
          <w:p w14:paraId="4D5504F8" w14:textId="52941F8C" w:rsidR="00F135B7" w:rsidRPr="003F564F" w:rsidRDefault="00F135B7"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c>
          <w:tcPr>
            <w:tcW w:w="1844" w:type="dxa"/>
          </w:tcPr>
          <w:p w14:paraId="51AC7E4D" w14:textId="6BDC9D24" w:rsidR="00F135B7" w:rsidRPr="003F564F" w:rsidRDefault="00F135B7" w:rsidP="000A6D36">
            <w:pPr>
              <w:tabs>
                <w:tab w:val="left" w:pos="567"/>
              </w:tabs>
              <w:spacing w:line="260" w:lineRule="exact"/>
              <w:jc w:val="center"/>
              <w:rPr>
                <w:sz w:val="22"/>
                <w:szCs w:val="22"/>
              </w:rPr>
            </w:pPr>
            <w:r w:rsidRPr="003F564F">
              <w:rPr>
                <w:sz w:val="22"/>
                <w:szCs w:val="22"/>
              </w:rPr>
              <w:t>Dažnas</w:t>
            </w:r>
          </w:p>
        </w:tc>
        <w:tc>
          <w:tcPr>
            <w:tcW w:w="1873" w:type="dxa"/>
          </w:tcPr>
          <w:p w14:paraId="61763280" w14:textId="5C66B939" w:rsidR="00F135B7" w:rsidRPr="003F564F" w:rsidRDefault="00F135B7" w:rsidP="000A6D36">
            <w:pPr>
              <w:tabs>
                <w:tab w:val="left" w:pos="567"/>
              </w:tabs>
              <w:spacing w:line="260" w:lineRule="exact"/>
              <w:jc w:val="center"/>
              <w:rPr>
                <w:sz w:val="22"/>
                <w:szCs w:val="22"/>
              </w:rPr>
            </w:pPr>
            <w:r w:rsidRPr="003F564F">
              <w:rPr>
                <w:sz w:val="22"/>
                <w:szCs w:val="22"/>
              </w:rPr>
              <w:t>Dažnas</w:t>
            </w:r>
          </w:p>
        </w:tc>
      </w:tr>
      <w:tr w:rsidR="00F135B7" w:rsidRPr="003F564F" w14:paraId="63BC0B97" w14:textId="77777777" w:rsidTr="000A6D36">
        <w:tc>
          <w:tcPr>
            <w:tcW w:w="2281" w:type="dxa"/>
          </w:tcPr>
          <w:p w14:paraId="7D10D788" w14:textId="54BB2E96" w:rsidR="00F135B7" w:rsidRPr="003F564F" w:rsidRDefault="00F135B7" w:rsidP="00F135B7">
            <w:pPr>
              <w:tabs>
                <w:tab w:val="left" w:pos="567"/>
              </w:tabs>
              <w:spacing w:line="260" w:lineRule="exact"/>
              <w:ind w:left="284"/>
              <w:rPr>
                <w:sz w:val="22"/>
                <w:szCs w:val="22"/>
              </w:rPr>
            </w:pPr>
            <w:r w:rsidRPr="003F564F">
              <w:rPr>
                <w:sz w:val="22"/>
                <w:szCs w:val="22"/>
              </w:rPr>
              <w:t>4</w:t>
            </w:r>
            <w:r w:rsidRPr="003F564F">
              <w:rPr>
                <w:sz w:val="22"/>
                <w:szCs w:val="22"/>
              </w:rPr>
              <w:noBreakHyphen/>
              <w:t>ojo laipsnio pagal CTCAE kriterijus</w:t>
            </w:r>
          </w:p>
        </w:tc>
        <w:tc>
          <w:tcPr>
            <w:tcW w:w="1843" w:type="dxa"/>
          </w:tcPr>
          <w:p w14:paraId="0A297109" w14:textId="2BC4639A" w:rsidR="00F135B7" w:rsidRPr="003F564F" w:rsidRDefault="00F135B7"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c>
          <w:tcPr>
            <w:tcW w:w="1873" w:type="dxa"/>
          </w:tcPr>
          <w:p w14:paraId="72E2226F" w14:textId="282DDE58" w:rsidR="00F135B7" w:rsidRPr="003F564F" w:rsidRDefault="00F135B7"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c>
          <w:tcPr>
            <w:tcW w:w="1844" w:type="dxa"/>
          </w:tcPr>
          <w:p w14:paraId="684FF70E" w14:textId="6C2C49B8" w:rsidR="00F135B7" w:rsidRPr="003F564F" w:rsidRDefault="00F135B7" w:rsidP="000A6D36">
            <w:pPr>
              <w:tabs>
                <w:tab w:val="left" w:pos="567"/>
              </w:tabs>
              <w:spacing w:line="260" w:lineRule="exact"/>
              <w:jc w:val="center"/>
              <w:rPr>
                <w:sz w:val="22"/>
                <w:szCs w:val="22"/>
              </w:rPr>
            </w:pPr>
            <w:r w:rsidRPr="003F564F">
              <w:rPr>
                <w:sz w:val="22"/>
                <w:szCs w:val="22"/>
              </w:rPr>
              <w:t>Dažnas</w:t>
            </w:r>
          </w:p>
        </w:tc>
        <w:tc>
          <w:tcPr>
            <w:tcW w:w="1873" w:type="dxa"/>
          </w:tcPr>
          <w:p w14:paraId="5EC5C24E" w14:textId="18F0C0D0" w:rsidR="00F135B7" w:rsidRPr="003F564F" w:rsidRDefault="00F135B7" w:rsidP="000A6D36">
            <w:pPr>
              <w:tabs>
                <w:tab w:val="left" w:pos="567"/>
              </w:tabs>
              <w:spacing w:line="260" w:lineRule="exact"/>
              <w:jc w:val="center"/>
              <w:rPr>
                <w:sz w:val="22"/>
                <w:szCs w:val="22"/>
              </w:rPr>
            </w:pPr>
            <w:r w:rsidRPr="003F564F">
              <w:rPr>
                <w:sz w:val="22"/>
                <w:szCs w:val="22"/>
              </w:rPr>
              <w:t>Netaikoma</w:t>
            </w:r>
            <w:r w:rsidRPr="003F564F">
              <w:rPr>
                <w:sz w:val="22"/>
                <w:szCs w:val="22"/>
                <w:vertAlign w:val="superscript"/>
              </w:rPr>
              <w:t>5</w:t>
            </w:r>
          </w:p>
        </w:tc>
      </w:tr>
      <w:tr w:rsidR="00F135B7" w:rsidRPr="003F564F" w14:paraId="52D6A792" w14:textId="77777777" w:rsidTr="000A6D36">
        <w:tc>
          <w:tcPr>
            <w:tcW w:w="2281" w:type="dxa"/>
          </w:tcPr>
          <w:p w14:paraId="4D010FAC" w14:textId="43BB59F0" w:rsidR="00F135B7" w:rsidRPr="003F564F" w:rsidRDefault="00F135B7" w:rsidP="00F135B7">
            <w:pPr>
              <w:tabs>
                <w:tab w:val="left" w:pos="567"/>
              </w:tabs>
              <w:spacing w:line="260" w:lineRule="exact"/>
              <w:rPr>
                <w:sz w:val="22"/>
                <w:szCs w:val="22"/>
              </w:rPr>
            </w:pPr>
            <w:r w:rsidRPr="003F564F">
              <w:rPr>
                <w:sz w:val="22"/>
                <w:szCs w:val="22"/>
              </w:rPr>
              <w:t>Pykinimas</w:t>
            </w:r>
          </w:p>
        </w:tc>
        <w:tc>
          <w:tcPr>
            <w:tcW w:w="1843" w:type="dxa"/>
          </w:tcPr>
          <w:p w14:paraId="3CC31B44" w14:textId="581A5D30" w:rsidR="00F135B7" w:rsidRPr="003F564F" w:rsidRDefault="00F135B7" w:rsidP="000A6D36">
            <w:pPr>
              <w:tabs>
                <w:tab w:val="left" w:pos="567"/>
              </w:tabs>
              <w:spacing w:line="260" w:lineRule="exact"/>
              <w:jc w:val="center"/>
              <w:rPr>
                <w:sz w:val="22"/>
                <w:szCs w:val="22"/>
              </w:rPr>
            </w:pPr>
            <w:r w:rsidRPr="003F564F">
              <w:rPr>
                <w:sz w:val="22"/>
                <w:szCs w:val="22"/>
              </w:rPr>
              <w:t>Labai dažnas</w:t>
            </w:r>
          </w:p>
        </w:tc>
        <w:tc>
          <w:tcPr>
            <w:tcW w:w="1873" w:type="dxa"/>
          </w:tcPr>
          <w:p w14:paraId="23F9DB1E" w14:textId="6F656785" w:rsidR="00F135B7" w:rsidRPr="003F564F" w:rsidRDefault="00F135B7" w:rsidP="000A6D36">
            <w:pPr>
              <w:tabs>
                <w:tab w:val="left" w:pos="567"/>
              </w:tabs>
              <w:spacing w:line="260" w:lineRule="exact"/>
              <w:jc w:val="center"/>
              <w:rPr>
                <w:sz w:val="22"/>
                <w:szCs w:val="22"/>
              </w:rPr>
            </w:pPr>
            <w:r w:rsidRPr="003F564F">
              <w:rPr>
                <w:sz w:val="22"/>
                <w:szCs w:val="22"/>
              </w:rPr>
              <w:t>Dažnas</w:t>
            </w:r>
          </w:p>
        </w:tc>
        <w:tc>
          <w:tcPr>
            <w:tcW w:w="1844" w:type="dxa"/>
          </w:tcPr>
          <w:p w14:paraId="4357D874" w14:textId="55E8A160" w:rsidR="00F135B7" w:rsidRPr="003F564F" w:rsidRDefault="00F135B7"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c>
          <w:tcPr>
            <w:tcW w:w="1873" w:type="dxa"/>
          </w:tcPr>
          <w:p w14:paraId="1C17A9B8" w14:textId="5883B465" w:rsidR="00F135B7" w:rsidRPr="003F564F" w:rsidRDefault="00F135B7"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r>
      <w:tr w:rsidR="00F135B7" w:rsidRPr="003F564F" w14:paraId="2AD9CABF" w14:textId="77777777" w:rsidTr="000A6D36">
        <w:tc>
          <w:tcPr>
            <w:tcW w:w="2281" w:type="dxa"/>
          </w:tcPr>
          <w:p w14:paraId="7D88DB87" w14:textId="640F898B" w:rsidR="00F135B7" w:rsidRPr="003F564F" w:rsidRDefault="00F135B7" w:rsidP="00F135B7">
            <w:pPr>
              <w:tabs>
                <w:tab w:val="left" w:pos="567"/>
              </w:tabs>
              <w:spacing w:line="260" w:lineRule="exact"/>
              <w:ind w:left="284"/>
              <w:rPr>
                <w:sz w:val="22"/>
                <w:szCs w:val="22"/>
              </w:rPr>
            </w:pPr>
            <w:r w:rsidRPr="003F564F">
              <w:rPr>
                <w:sz w:val="22"/>
                <w:szCs w:val="22"/>
              </w:rPr>
              <w:t>≥ 3</w:t>
            </w:r>
            <w:r w:rsidRPr="003F564F">
              <w:rPr>
                <w:sz w:val="22"/>
                <w:szCs w:val="22"/>
              </w:rPr>
              <w:noBreakHyphen/>
              <w:t>iojo laipsnio pagal CTCAE kriterijus</w:t>
            </w:r>
          </w:p>
        </w:tc>
        <w:tc>
          <w:tcPr>
            <w:tcW w:w="1843" w:type="dxa"/>
          </w:tcPr>
          <w:p w14:paraId="065AC2FB" w14:textId="1CB22AEF" w:rsidR="00F135B7" w:rsidRPr="003F564F" w:rsidRDefault="00F135B7" w:rsidP="000A6D36">
            <w:pPr>
              <w:tabs>
                <w:tab w:val="left" w:pos="567"/>
              </w:tabs>
              <w:spacing w:line="260" w:lineRule="exact"/>
              <w:jc w:val="center"/>
              <w:rPr>
                <w:sz w:val="22"/>
                <w:szCs w:val="22"/>
              </w:rPr>
            </w:pPr>
            <w:r w:rsidRPr="003F564F">
              <w:rPr>
                <w:sz w:val="22"/>
                <w:szCs w:val="22"/>
              </w:rPr>
              <w:t>Nedažnas</w:t>
            </w:r>
          </w:p>
        </w:tc>
        <w:tc>
          <w:tcPr>
            <w:tcW w:w="1873" w:type="dxa"/>
          </w:tcPr>
          <w:p w14:paraId="62F6D140" w14:textId="11EA84BB" w:rsidR="00F135B7" w:rsidRPr="003F564F" w:rsidRDefault="00F135B7" w:rsidP="000A6D36">
            <w:pPr>
              <w:tabs>
                <w:tab w:val="left" w:pos="567"/>
              </w:tabs>
              <w:spacing w:line="260" w:lineRule="exact"/>
              <w:jc w:val="center"/>
              <w:rPr>
                <w:sz w:val="22"/>
                <w:szCs w:val="22"/>
              </w:rPr>
            </w:pPr>
            <w:r w:rsidRPr="003F564F">
              <w:rPr>
                <w:sz w:val="22"/>
                <w:szCs w:val="22"/>
              </w:rPr>
              <w:t>Netaikoma</w:t>
            </w:r>
            <w:r w:rsidRPr="003F564F">
              <w:rPr>
                <w:sz w:val="22"/>
                <w:szCs w:val="22"/>
                <w:vertAlign w:val="superscript"/>
              </w:rPr>
              <w:t>5</w:t>
            </w:r>
          </w:p>
        </w:tc>
        <w:tc>
          <w:tcPr>
            <w:tcW w:w="1844" w:type="dxa"/>
          </w:tcPr>
          <w:p w14:paraId="31C67BB0" w14:textId="2DDBF547" w:rsidR="00F135B7" w:rsidRPr="003F564F" w:rsidRDefault="00F135B7"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c>
          <w:tcPr>
            <w:tcW w:w="1873" w:type="dxa"/>
          </w:tcPr>
          <w:p w14:paraId="2683D6F2" w14:textId="6A5D7C75" w:rsidR="00F135B7" w:rsidRPr="003F564F" w:rsidRDefault="00F135B7"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r>
      <w:tr w:rsidR="00F135B7" w:rsidRPr="003F564F" w14:paraId="6406AF76" w14:textId="77777777" w:rsidTr="000A6D36">
        <w:tc>
          <w:tcPr>
            <w:tcW w:w="2281" w:type="dxa"/>
          </w:tcPr>
          <w:p w14:paraId="66545609" w14:textId="1FA270B5" w:rsidR="00F135B7" w:rsidRPr="003F564F" w:rsidRDefault="00F135B7" w:rsidP="00F135B7">
            <w:pPr>
              <w:tabs>
                <w:tab w:val="left" w:pos="567"/>
              </w:tabs>
              <w:spacing w:line="260" w:lineRule="exact"/>
              <w:rPr>
                <w:sz w:val="22"/>
                <w:szCs w:val="22"/>
              </w:rPr>
            </w:pPr>
            <w:r w:rsidRPr="003F564F">
              <w:rPr>
                <w:sz w:val="22"/>
                <w:szCs w:val="22"/>
              </w:rPr>
              <w:t>Vidurių užkietėjimas</w:t>
            </w:r>
          </w:p>
        </w:tc>
        <w:tc>
          <w:tcPr>
            <w:tcW w:w="1843" w:type="dxa"/>
          </w:tcPr>
          <w:p w14:paraId="4C7594A0" w14:textId="0D880FDD" w:rsidR="00F135B7" w:rsidRPr="003F564F" w:rsidRDefault="00F135B7"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c>
          <w:tcPr>
            <w:tcW w:w="1873" w:type="dxa"/>
          </w:tcPr>
          <w:p w14:paraId="55D3938B" w14:textId="37D555FF" w:rsidR="00F135B7" w:rsidRPr="003F564F" w:rsidRDefault="00F135B7"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c>
          <w:tcPr>
            <w:tcW w:w="1844" w:type="dxa"/>
          </w:tcPr>
          <w:p w14:paraId="30D01809" w14:textId="36912822" w:rsidR="00F135B7" w:rsidRPr="003F564F" w:rsidRDefault="00F135B7" w:rsidP="000A6D36">
            <w:pPr>
              <w:tabs>
                <w:tab w:val="left" w:pos="567"/>
              </w:tabs>
              <w:spacing w:line="260" w:lineRule="exact"/>
              <w:jc w:val="center"/>
              <w:rPr>
                <w:sz w:val="22"/>
                <w:szCs w:val="22"/>
              </w:rPr>
            </w:pPr>
            <w:r w:rsidRPr="003F564F">
              <w:rPr>
                <w:sz w:val="22"/>
                <w:szCs w:val="22"/>
              </w:rPr>
              <w:t>Dažnas</w:t>
            </w:r>
          </w:p>
        </w:tc>
        <w:tc>
          <w:tcPr>
            <w:tcW w:w="1873" w:type="dxa"/>
          </w:tcPr>
          <w:p w14:paraId="3A36D142" w14:textId="0E8A6EA1" w:rsidR="00F135B7" w:rsidRPr="003F564F" w:rsidRDefault="00F135B7" w:rsidP="000A6D36">
            <w:pPr>
              <w:tabs>
                <w:tab w:val="left" w:pos="567"/>
              </w:tabs>
              <w:spacing w:line="260" w:lineRule="exact"/>
              <w:jc w:val="center"/>
              <w:rPr>
                <w:sz w:val="22"/>
                <w:szCs w:val="22"/>
              </w:rPr>
            </w:pPr>
            <w:r w:rsidRPr="003F564F">
              <w:rPr>
                <w:sz w:val="22"/>
                <w:szCs w:val="22"/>
              </w:rPr>
              <w:t>Dažnas</w:t>
            </w:r>
          </w:p>
        </w:tc>
      </w:tr>
      <w:tr w:rsidR="00F135B7" w:rsidRPr="003F564F" w14:paraId="7C1D7880" w14:textId="77777777" w:rsidTr="000A6D36">
        <w:tc>
          <w:tcPr>
            <w:tcW w:w="2281" w:type="dxa"/>
          </w:tcPr>
          <w:p w14:paraId="782B6082" w14:textId="3013C64F" w:rsidR="00F135B7" w:rsidRPr="003F564F" w:rsidRDefault="00F135B7" w:rsidP="00F135B7">
            <w:pPr>
              <w:tabs>
                <w:tab w:val="left" w:pos="567"/>
              </w:tabs>
              <w:spacing w:line="260" w:lineRule="exact"/>
              <w:ind w:left="284"/>
              <w:rPr>
                <w:sz w:val="22"/>
                <w:szCs w:val="22"/>
              </w:rPr>
            </w:pPr>
            <w:r w:rsidRPr="003F564F">
              <w:rPr>
                <w:sz w:val="22"/>
                <w:szCs w:val="22"/>
              </w:rPr>
              <w:t>≥ 3</w:t>
            </w:r>
            <w:r w:rsidRPr="003F564F">
              <w:rPr>
                <w:sz w:val="22"/>
                <w:szCs w:val="22"/>
              </w:rPr>
              <w:noBreakHyphen/>
              <w:t>iojo laipsnio pagal CTCAE kriterijus</w:t>
            </w:r>
          </w:p>
        </w:tc>
        <w:tc>
          <w:tcPr>
            <w:tcW w:w="1843" w:type="dxa"/>
          </w:tcPr>
          <w:p w14:paraId="33224819" w14:textId="2975CF21" w:rsidR="00F135B7" w:rsidRPr="003F564F" w:rsidRDefault="00F135B7"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c>
          <w:tcPr>
            <w:tcW w:w="1873" w:type="dxa"/>
          </w:tcPr>
          <w:p w14:paraId="4534BE13" w14:textId="2797DF6F" w:rsidR="00F135B7" w:rsidRPr="003F564F" w:rsidRDefault="00F135B7"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c>
          <w:tcPr>
            <w:tcW w:w="1844" w:type="dxa"/>
          </w:tcPr>
          <w:p w14:paraId="136CB453" w14:textId="6B5EDE2E" w:rsidR="00F135B7" w:rsidRPr="003F564F" w:rsidRDefault="00F135B7" w:rsidP="000A6D36">
            <w:pPr>
              <w:tabs>
                <w:tab w:val="left" w:pos="567"/>
              </w:tabs>
              <w:spacing w:line="260" w:lineRule="exact"/>
              <w:jc w:val="center"/>
              <w:rPr>
                <w:sz w:val="22"/>
                <w:szCs w:val="22"/>
              </w:rPr>
            </w:pPr>
            <w:r w:rsidRPr="003F564F">
              <w:rPr>
                <w:sz w:val="22"/>
                <w:szCs w:val="22"/>
              </w:rPr>
              <w:t>Netaikoma</w:t>
            </w:r>
            <w:r w:rsidRPr="003F564F">
              <w:rPr>
                <w:sz w:val="22"/>
                <w:szCs w:val="22"/>
                <w:vertAlign w:val="superscript"/>
              </w:rPr>
              <w:t>5</w:t>
            </w:r>
          </w:p>
        </w:tc>
        <w:tc>
          <w:tcPr>
            <w:tcW w:w="1873" w:type="dxa"/>
          </w:tcPr>
          <w:p w14:paraId="4C4E8A53" w14:textId="5ACFD0EE" w:rsidR="00F135B7" w:rsidRPr="003F564F" w:rsidRDefault="00F135B7" w:rsidP="000A6D36">
            <w:pPr>
              <w:tabs>
                <w:tab w:val="left" w:pos="567"/>
              </w:tabs>
              <w:spacing w:line="260" w:lineRule="exact"/>
              <w:jc w:val="center"/>
              <w:rPr>
                <w:sz w:val="22"/>
                <w:szCs w:val="22"/>
              </w:rPr>
            </w:pPr>
            <w:r w:rsidRPr="003F564F">
              <w:rPr>
                <w:sz w:val="22"/>
                <w:szCs w:val="22"/>
              </w:rPr>
              <w:t>Netaikoma</w:t>
            </w:r>
            <w:r w:rsidRPr="003F564F">
              <w:rPr>
                <w:sz w:val="22"/>
                <w:szCs w:val="22"/>
                <w:vertAlign w:val="superscript"/>
              </w:rPr>
              <w:t>5</w:t>
            </w:r>
          </w:p>
        </w:tc>
      </w:tr>
      <w:tr w:rsidR="00F135B7" w:rsidRPr="003F564F" w14:paraId="6F1C01BA" w14:textId="77777777" w:rsidTr="00507985">
        <w:tc>
          <w:tcPr>
            <w:tcW w:w="9714" w:type="dxa"/>
            <w:gridSpan w:val="5"/>
          </w:tcPr>
          <w:p w14:paraId="3E8AD50C" w14:textId="3C346F49" w:rsidR="00F135B7" w:rsidRPr="003F564F" w:rsidRDefault="00F135B7" w:rsidP="0060614D">
            <w:pPr>
              <w:tabs>
                <w:tab w:val="left" w:pos="567"/>
              </w:tabs>
              <w:spacing w:line="260" w:lineRule="exact"/>
              <w:rPr>
                <w:b/>
                <w:bCs/>
                <w:sz w:val="22"/>
                <w:szCs w:val="22"/>
              </w:rPr>
            </w:pPr>
            <w:r w:rsidRPr="003F564F">
              <w:rPr>
                <w:b/>
                <w:bCs/>
                <w:sz w:val="22"/>
                <w:szCs w:val="22"/>
              </w:rPr>
              <w:t>Kepenų, tulžies pūslės ir latakų sutrikimai</w:t>
            </w:r>
          </w:p>
        </w:tc>
      </w:tr>
      <w:tr w:rsidR="00F135B7" w:rsidRPr="003F564F" w14:paraId="6F8D58D9" w14:textId="77777777" w:rsidTr="000A6D36">
        <w:tc>
          <w:tcPr>
            <w:tcW w:w="2281" w:type="dxa"/>
          </w:tcPr>
          <w:p w14:paraId="1A9E3879" w14:textId="49EBF8F1" w:rsidR="00F135B7" w:rsidRPr="003F564F" w:rsidRDefault="00F135B7" w:rsidP="00627CC3">
            <w:pPr>
              <w:tabs>
                <w:tab w:val="left" w:pos="567"/>
              </w:tabs>
              <w:spacing w:line="260" w:lineRule="exact"/>
              <w:rPr>
                <w:sz w:val="22"/>
                <w:szCs w:val="22"/>
              </w:rPr>
            </w:pPr>
            <w:r w:rsidRPr="003F564F">
              <w:rPr>
                <w:sz w:val="22"/>
                <w:szCs w:val="22"/>
              </w:rPr>
              <w:t xml:space="preserve">Padidėjęs </w:t>
            </w:r>
            <w:proofErr w:type="spellStart"/>
            <w:r w:rsidRPr="003F564F">
              <w:rPr>
                <w:sz w:val="22"/>
                <w:szCs w:val="22"/>
              </w:rPr>
              <w:t>alanino</w:t>
            </w:r>
            <w:proofErr w:type="spellEnd"/>
            <w:r w:rsidR="00627CC3" w:rsidRPr="003F564F">
              <w:rPr>
                <w:sz w:val="22"/>
                <w:szCs w:val="22"/>
              </w:rPr>
              <w:t xml:space="preserve"> </w:t>
            </w:r>
            <w:proofErr w:type="spellStart"/>
            <w:r w:rsidRPr="003F564F">
              <w:rPr>
                <w:sz w:val="22"/>
                <w:szCs w:val="22"/>
              </w:rPr>
              <w:t>aminotransferazės</w:t>
            </w:r>
            <w:proofErr w:type="spellEnd"/>
            <w:r w:rsidRPr="003F564F">
              <w:rPr>
                <w:sz w:val="22"/>
                <w:szCs w:val="22"/>
              </w:rPr>
              <w:t xml:space="preserve"> aktyvumas</w:t>
            </w:r>
            <w:r w:rsidRPr="003F564F">
              <w:rPr>
                <w:sz w:val="22"/>
                <w:szCs w:val="22"/>
                <w:vertAlign w:val="superscript"/>
              </w:rPr>
              <w:t>1</w:t>
            </w:r>
          </w:p>
        </w:tc>
        <w:tc>
          <w:tcPr>
            <w:tcW w:w="1843" w:type="dxa"/>
          </w:tcPr>
          <w:p w14:paraId="42E934DA" w14:textId="03ABBA26" w:rsidR="00F135B7" w:rsidRPr="003F564F" w:rsidRDefault="00627CC3" w:rsidP="000A6D36">
            <w:pPr>
              <w:tabs>
                <w:tab w:val="left" w:pos="567"/>
              </w:tabs>
              <w:spacing w:line="260" w:lineRule="exact"/>
              <w:jc w:val="center"/>
              <w:rPr>
                <w:sz w:val="22"/>
                <w:szCs w:val="22"/>
              </w:rPr>
            </w:pPr>
            <w:r w:rsidRPr="003F564F">
              <w:rPr>
                <w:sz w:val="22"/>
                <w:szCs w:val="22"/>
              </w:rPr>
              <w:t>Labai dažnas</w:t>
            </w:r>
          </w:p>
        </w:tc>
        <w:tc>
          <w:tcPr>
            <w:tcW w:w="1873" w:type="dxa"/>
          </w:tcPr>
          <w:p w14:paraId="079D6032" w14:textId="5096FCDB" w:rsidR="00F135B7" w:rsidRPr="003F564F" w:rsidRDefault="00627CC3" w:rsidP="000A6D36">
            <w:pPr>
              <w:tabs>
                <w:tab w:val="left" w:pos="567"/>
              </w:tabs>
              <w:spacing w:line="260" w:lineRule="exact"/>
              <w:jc w:val="center"/>
              <w:rPr>
                <w:sz w:val="22"/>
                <w:szCs w:val="22"/>
              </w:rPr>
            </w:pPr>
            <w:r w:rsidRPr="003F564F">
              <w:rPr>
                <w:sz w:val="22"/>
                <w:szCs w:val="22"/>
              </w:rPr>
              <w:t>Labai dažnas</w:t>
            </w:r>
          </w:p>
        </w:tc>
        <w:tc>
          <w:tcPr>
            <w:tcW w:w="1844" w:type="dxa"/>
          </w:tcPr>
          <w:p w14:paraId="3B801F34" w14:textId="655C85FC" w:rsidR="00F135B7" w:rsidRPr="003F564F" w:rsidRDefault="00627CC3" w:rsidP="000A6D36">
            <w:pPr>
              <w:tabs>
                <w:tab w:val="left" w:pos="567"/>
              </w:tabs>
              <w:spacing w:line="260" w:lineRule="exact"/>
              <w:jc w:val="center"/>
              <w:rPr>
                <w:sz w:val="22"/>
                <w:szCs w:val="22"/>
              </w:rPr>
            </w:pPr>
            <w:r w:rsidRPr="003F564F">
              <w:rPr>
                <w:sz w:val="22"/>
                <w:szCs w:val="22"/>
              </w:rPr>
              <w:t>Labai dažnas</w:t>
            </w:r>
          </w:p>
        </w:tc>
        <w:tc>
          <w:tcPr>
            <w:tcW w:w="1873" w:type="dxa"/>
          </w:tcPr>
          <w:p w14:paraId="3D39DAD8" w14:textId="4B565447" w:rsidR="00F135B7" w:rsidRPr="003F564F" w:rsidRDefault="00627CC3" w:rsidP="000A6D36">
            <w:pPr>
              <w:tabs>
                <w:tab w:val="left" w:pos="567"/>
              </w:tabs>
              <w:spacing w:line="260" w:lineRule="exact"/>
              <w:jc w:val="center"/>
              <w:rPr>
                <w:sz w:val="22"/>
                <w:szCs w:val="22"/>
              </w:rPr>
            </w:pPr>
            <w:r w:rsidRPr="003F564F">
              <w:rPr>
                <w:sz w:val="22"/>
                <w:szCs w:val="22"/>
              </w:rPr>
              <w:t>Labai dažnas</w:t>
            </w:r>
          </w:p>
        </w:tc>
      </w:tr>
      <w:tr w:rsidR="00F135B7" w:rsidRPr="003F564F" w14:paraId="50EB7EB0" w14:textId="77777777" w:rsidTr="000A6D36">
        <w:tc>
          <w:tcPr>
            <w:tcW w:w="2281" w:type="dxa"/>
          </w:tcPr>
          <w:p w14:paraId="26CB8D58" w14:textId="0D7AC398" w:rsidR="00F135B7" w:rsidRPr="003F564F" w:rsidRDefault="00F135B7" w:rsidP="00627CC3">
            <w:pPr>
              <w:tabs>
                <w:tab w:val="left" w:pos="567"/>
              </w:tabs>
              <w:spacing w:line="260" w:lineRule="exact"/>
              <w:ind w:left="284"/>
              <w:rPr>
                <w:sz w:val="22"/>
                <w:szCs w:val="22"/>
              </w:rPr>
            </w:pPr>
            <w:r w:rsidRPr="003F564F">
              <w:rPr>
                <w:sz w:val="22"/>
                <w:szCs w:val="22"/>
              </w:rPr>
              <w:t>3</w:t>
            </w:r>
            <w:r w:rsidR="00627CC3" w:rsidRPr="003F564F">
              <w:rPr>
                <w:sz w:val="22"/>
                <w:szCs w:val="22"/>
              </w:rPr>
              <w:noBreakHyphen/>
            </w:r>
            <w:r w:rsidRPr="003F564F">
              <w:rPr>
                <w:sz w:val="22"/>
                <w:szCs w:val="22"/>
              </w:rPr>
              <w:t>iojo laipsnio pagal</w:t>
            </w:r>
            <w:r w:rsidR="00627CC3" w:rsidRPr="003F564F">
              <w:rPr>
                <w:sz w:val="22"/>
                <w:szCs w:val="22"/>
              </w:rPr>
              <w:t xml:space="preserve"> </w:t>
            </w:r>
            <w:r w:rsidRPr="003F564F">
              <w:rPr>
                <w:sz w:val="22"/>
                <w:szCs w:val="22"/>
              </w:rPr>
              <w:t>CTCAE kriterijus</w:t>
            </w:r>
          </w:p>
        </w:tc>
        <w:tc>
          <w:tcPr>
            <w:tcW w:w="1843" w:type="dxa"/>
          </w:tcPr>
          <w:p w14:paraId="69FA26C8" w14:textId="6C601D36" w:rsidR="00F135B7" w:rsidRPr="003F564F" w:rsidRDefault="00627CC3" w:rsidP="000A6D36">
            <w:pPr>
              <w:tabs>
                <w:tab w:val="left" w:pos="567"/>
              </w:tabs>
              <w:spacing w:line="260" w:lineRule="exact"/>
              <w:jc w:val="center"/>
              <w:rPr>
                <w:sz w:val="22"/>
                <w:szCs w:val="22"/>
              </w:rPr>
            </w:pPr>
            <w:r w:rsidRPr="003F564F">
              <w:rPr>
                <w:sz w:val="22"/>
                <w:szCs w:val="22"/>
              </w:rPr>
              <w:t>Labai dažnas</w:t>
            </w:r>
          </w:p>
        </w:tc>
        <w:tc>
          <w:tcPr>
            <w:tcW w:w="1873" w:type="dxa"/>
          </w:tcPr>
          <w:p w14:paraId="3CAEC13D" w14:textId="63C85444" w:rsidR="00F135B7" w:rsidRPr="003F564F" w:rsidRDefault="00627CC3" w:rsidP="000A6D36">
            <w:pPr>
              <w:tabs>
                <w:tab w:val="left" w:pos="567"/>
              </w:tabs>
              <w:spacing w:line="260" w:lineRule="exact"/>
              <w:jc w:val="center"/>
              <w:rPr>
                <w:sz w:val="22"/>
                <w:szCs w:val="22"/>
              </w:rPr>
            </w:pPr>
            <w:r w:rsidRPr="003F564F">
              <w:rPr>
                <w:sz w:val="22"/>
                <w:szCs w:val="22"/>
              </w:rPr>
              <w:t>Labai dažnas</w:t>
            </w:r>
          </w:p>
        </w:tc>
        <w:tc>
          <w:tcPr>
            <w:tcW w:w="1844" w:type="dxa"/>
          </w:tcPr>
          <w:p w14:paraId="1738214C" w14:textId="3D77B4EC" w:rsidR="00F135B7" w:rsidRPr="003F564F" w:rsidRDefault="00627CC3" w:rsidP="000A6D36">
            <w:pPr>
              <w:tabs>
                <w:tab w:val="left" w:pos="567"/>
              </w:tabs>
              <w:spacing w:line="260" w:lineRule="exact"/>
              <w:jc w:val="center"/>
              <w:rPr>
                <w:sz w:val="22"/>
                <w:szCs w:val="22"/>
              </w:rPr>
            </w:pPr>
            <w:r w:rsidRPr="003F564F">
              <w:rPr>
                <w:sz w:val="22"/>
                <w:szCs w:val="22"/>
              </w:rPr>
              <w:t>Dažnas</w:t>
            </w:r>
          </w:p>
        </w:tc>
        <w:tc>
          <w:tcPr>
            <w:tcW w:w="1873" w:type="dxa"/>
          </w:tcPr>
          <w:p w14:paraId="5F6215CF" w14:textId="45C9BC9D" w:rsidR="00F135B7" w:rsidRPr="003F564F" w:rsidRDefault="00627CC3" w:rsidP="000A6D36">
            <w:pPr>
              <w:tabs>
                <w:tab w:val="left" w:pos="567"/>
              </w:tabs>
              <w:spacing w:line="260" w:lineRule="exact"/>
              <w:jc w:val="center"/>
              <w:rPr>
                <w:sz w:val="22"/>
                <w:szCs w:val="22"/>
              </w:rPr>
            </w:pPr>
            <w:r w:rsidRPr="003F564F">
              <w:rPr>
                <w:sz w:val="22"/>
                <w:szCs w:val="22"/>
              </w:rPr>
              <w:t>Labai dažnas</w:t>
            </w:r>
          </w:p>
        </w:tc>
      </w:tr>
      <w:tr w:rsidR="00F135B7" w:rsidRPr="003F564F" w14:paraId="502763CA" w14:textId="77777777" w:rsidTr="000A6D36">
        <w:tc>
          <w:tcPr>
            <w:tcW w:w="2281" w:type="dxa"/>
          </w:tcPr>
          <w:p w14:paraId="43E376B8" w14:textId="6DC07F82" w:rsidR="00F135B7" w:rsidRPr="003F564F" w:rsidRDefault="00F135B7" w:rsidP="00627CC3">
            <w:pPr>
              <w:tabs>
                <w:tab w:val="left" w:pos="567"/>
              </w:tabs>
              <w:spacing w:line="260" w:lineRule="exact"/>
              <w:ind w:left="284"/>
              <w:rPr>
                <w:sz w:val="22"/>
                <w:szCs w:val="22"/>
              </w:rPr>
            </w:pPr>
            <w:r w:rsidRPr="003F564F">
              <w:rPr>
                <w:sz w:val="22"/>
                <w:szCs w:val="22"/>
              </w:rPr>
              <w:t>4</w:t>
            </w:r>
            <w:r w:rsidR="00627CC3" w:rsidRPr="003F564F">
              <w:rPr>
                <w:sz w:val="22"/>
                <w:szCs w:val="22"/>
              </w:rPr>
              <w:noBreakHyphen/>
            </w:r>
            <w:r w:rsidRPr="003F564F">
              <w:rPr>
                <w:sz w:val="22"/>
                <w:szCs w:val="22"/>
              </w:rPr>
              <w:t>ojo laipsnio pagal</w:t>
            </w:r>
            <w:r w:rsidR="00627CC3" w:rsidRPr="003F564F">
              <w:rPr>
                <w:sz w:val="22"/>
                <w:szCs w:val="22"/>
              </w:rPr>
              <w:t xml:space="preserve"> </w:t>
            </w:r>
            <w:r w:rsidRPr="003F564F">
              <w:rPr>
                <w:sz w:val="22"/>
                <w:szCs w:val="22"/>
              </w:rPr>
              <w:t>CTCAE kriterijus</w:t>
            </w:r>
          </w:p>
        </w:tc>
        <w:tc>
          <w:tcPr>
            <w:tcW w:w="1843" w:type="dxa"/>
          </w:tcPr>
          <w:p w14:paraId="084E52DB" w14:textId="56437668" w:rsidR="00F135B7" w:rsidRPr="003F564F" w:rsidRDefault="00627CC3" w:rsidP="000A6D36">
            <w:pPr>
              <w:tabs>
                <w:tab w:val="left" w:pos="567"/>
              </w:tabs>
              <w:spacing w:line="260" w:lineRule="exact"/>
              <w:jc w:val="center"/>
              <w:rPr>
                <w:sz w:val="22"/>
                <w:szCs w:val="22"/>
              </w:rPr>
            </w:pPr>
            <w:r w:rsidRPr="003F564F">
              <w:rPr>
                <w:sz w:val="22"/>
                <w:szCs w:val="22"/>
              </w:rPr>
              <w:t>Dažnas</w:t>
            </w:r>
          </w:p>
        </w:tc>
        <w:tc>
          <w:tcPr>
            <w:tcW w:w="1873" w:type="dxa"/>
          </w:tcPr>
          <w:p w14:paraId="3FCD3F26" w14:textId="6E590DCC" w:rsidR="00F135B7" w:rsidRPr="003F564F" w:rsidRDefault="00627CC3" w:rsidP="000A6D36">
            <w:pPr>
              <w:tabs>
                <w:tab w:val="left" w:pos="567"/>
              </w:tabs>
              <w:spacing w:line="260" w:lineRule="exact"/>
              <w:jc w:val="center"/>
              <w:rPr>
                <w:sz w:val="22"/>
                <w:szCs w:val="22"/>
              </w:rPr>
            </w:pPr>
            <w:r w:rsidRPr="003F564F">
              <w:rPr>
                <w:sz w:val="22"/>
                <w:szCs w:val="22"/>
              </w:rPr>
              <w:t>Netaikoma</w:t>
            </w:r>
            <w:r w:rsidRPr="003F564F">
              <w:rPr>
                <w:sz w:val="22"/>
                <w:szCs w:val="22"/>
                <w:vertAlign w:val="superscript"/>
              </w:rPr>
              <w:t>5</w:t>
            </w:r>
          </w:p>
        </w:tc>
        <w:tc>
          <w:tcPr>
            <w:tcW w:w="1844" w:type="dxa"/>
          </w:tcPr>
          <w:p w14:paraId="3FFC795C" w14:textId="1104892F" w:rsidR="00F135B7" w:rsidRPr="003F564F" w:rsidRDefault="00627CC3" w:rsidP="000A6D36">
            <w:pPr>
              <w:tabs>
                <w:tab w:val="left" w:pos="567"/>
              </w:tabs>
              <w:spacing w:line="260" w:lineRule="exact"/>
              <w:jc w:val="center"/>
              <w:rPr>
                <w:sz w:val="22"/>
                <w:szCs w:val="22"/>
              </w:rPr>
            </w:pPr>
            <w:r w:rsidRPr="003F564F">
              <w:rPr>
                <w:sz w:val="22"/>
                <w:szCs w:val="22"/>
              </w:rPr>
              <w:t>Nedažnas</w:t>
            </w:r>
          </w:p>
        </w:tc>
        <w:tc>
          <w:tcPr>
            <w:tcW w:w="1873" w:type="dxa"/>
          </w:tcPr>
          <w:p w14:paraId="53C88F1E" w14:textId="4F2D18E6" w:rsidR="00F135B7" w:rsidRPr="003F564F" w:rsidRDefault="00627CC3" w:rsidP="000A6D36">
            <w:pPr>
              <w:tabs>
                <w:tab w:val="left" w:pos="567"/>
              </w:tabs>
              <w:spacing w:line="260" w:lineRule="exact"/>
              <w:jc w:val="center"/>
              <w:rPr>
                <w:sz w:val="22"/>
                <w:szCs w:val="22"/>
              </w:rPr>
            </w:pPr>
            <w:r w:rsidRPr="003F564F">
              <w:rPr>
                <w:sz w:val="22"/>
                <w:szCs w:val="22"/>
              </w:rPr>
              <w:t>Dažnas</w:t>
            </w:r>
          </w:p>
        </w:tc>
      </w:tr>
      <w:tr w:rsidR="00E30169" w:rsidRPr="003F564F" w14:paraId="76775134" w14:textId="77777777" w:rsidTr="000A6D36">
        <w:tc>
          <w:tcPr>
            <w:tcW w:w="2281" w:type="dxa"/>
          </w:tcPr>
          <w:p w14:paraId="0AA3268D" w14:textId="5BAEACDF" w:rsidR="00E30169" w:rsidRPr="003F564F" w:rsidRDefault="00F135B7" w:rsidP="00627CC3">
            <w:pPr>
              <w:tabs>
                <w:tab w:val="left" w:pos="567"/>
              </w:tabs>
              <w:spacing w:line="260" w:lineRule="exact"/>
              <w:rPr>
                <w:sz w:val="22"/>
                <w:szCs w:val="22"/>
              </w:rPr>
            </w:pPr>
            <w:r w:rsidRPr="003F564F">
              <w:rPr>
                <w:sz w:val="22"/>
                <w:szCs w:val="22"/>
              </w:rPr>
              <w:t xml:space="preserve">Padidėjęs </w:t>
            </w:r>
            <w:proofErr w:type="spellStart"/>
            <w:r w:rsidRPr="003F564F">
              <w:rPr>
                <w:sz w:val="22"/>
                <w:szCs w:val="22"/>
              </w:rPr>
              <w:t>aspartato</w:t>
            </w:r>
            <w:proofErr w:type="spellEnd"/>
            <w:r w:rsidR="00627CC3" w:rsidRPr="003F564F">
              <w:rPr>
                <w:sz w:val="22"/>
                <w:szCs w:val="22"/>
              </w:rPr>
              <w:t xml:space="preserve"> </w:t>
            </w:r>
            <w:proofErr w:type="spellStart"/>
            <w:r w:rsidRPr="003F564F">
              <w:rPr>
                <w:sz w:val="22"/>
                <w:szCs w:val="22"/>
              </w:rPr>
              <w:t>aminotransferazės</w:t>
            </w:r>
            <w:proofErr w:type="spellEnd"/>
            <w:r w:rsidRPr="003F564F">
              <w:rPr>
                <w:sz w:val="22"/>
                <w:szCs w:val="22"/>
              </w:rPr>
              <w:t xml:space="preserve"> aktyvumas1</w:t>
            </w:r>
          </w:p>
        </w:tc>
        <w:tc>
          <w:tcPr>
            <w:tcW w:w="1843" w:type="dxa"/>
          </w:tcPr>
          <w:p w14:paraId="300AB0C9" w14:textId="44DD8D7D" w:rsidR="00E30169" w:rsidRPr="003F564F" w:rsidRDefault="00627CC3" w:rsidP="000A6D36">
            <w:pPr>
              <w:tabs>
                <w:tab w:val="left" w:pos="567"/>
              </w:tabs>
              <w:spacing w:line="260" w:lineRule="exact"/>
              <w:jc w:val="center"/>
              <w:rPr>
                <w:sz w:val="22"/>
                <w:szCs w:val="22"/>
              </w:rPr>
            </w:pPr>
            <w:r w:rsidRPr="003F564F">
              <w:rPr>
                <w:sz w:val="22"/>
                <w:szCs w:val="22"/>
              </w:rPr>
              <w:t>Labai dažnas</w:t>
            </w:r>
          </w:p>
        </w:tc>
        <w:tc>
          <w:tcPr>
            <w:tcW w:w="1873" w:type="dxa"/>
          </w:tcPr>
          <w:p w14:paraId="252CE663" w14:textId="67AA2D4F" w:rsidR="00E30169" w:rsidRPr="003F564F" w:rsidRDefault="00627CC3" w:rsidP="000A6D36">
            <w:pPr>
              <w:tabs>
                <w:tab w:val="left" w:pos="567"/>
              </w:tabs>
              <w:spacing w:line="260" w:lineRule="exact"/>
              <w:jc w:val="center"/>
              <w:rPr>
                <w:sz w:val="22"/>
                <w:szCs w:val="22"/>
              </w:rPr>
            </w:pPr>
            <w:r w:rsidRPr="003F564F">
              <w:rPr>
                <w:sz w:val="22"/>
                <w:szCs w:val="22"/>
              </w:rPr>
              <w:t>Labai dažnas</w:t>
            </w:r>
          </w:p>
        </w:tc>
        <w:tc>
          <w:tcPr>
            <w:tcW w:w="1844" w:type="dxa"/>
          </w:tcPr>
          <w:p w14:paraId="468F35DD" w14:textId="36A4712C" w:rsidR="00E30169" w:rsidRPr="003F564F" w:rsidRDefault="00627CC3" w:rsidP="000A6D36">
            <w:pPr>
              <w:tabs>
                <w:tab w:val="left" w:pos="567"/>
              </w:tabs>
              <w:spacing w:line="260" w:lineRule="exact"/>
              <w:jc w:val="center"/>
              <w:rPr>
                <w:sz w:val="22"/>
                <w:szCs w:val="22"/>
              </w:rPr>
            </w:pPr>
            <w:r w:rsidRPr="003F564F">
              <w:rPr>
                <w:sz w:val="22"/>
                <w:szCs w:val="22"/>
              </w:rPr>
              <w:t>Labai dažnas</w:t>
            </w:r>
          </w:p>
        </w:tc>
        <w:tc>
          <w:tcPr>
            <w:tcW w:w="1873" w:type="dxa"/>
          </w:tcPr>
          <w:p w14:paraId="7F122736" w14:textId="10210D4B" w:rsidR="00E30169" w:rsidRPr="003F564F" w:rsidRDefault="00627CC3" w:rsidP="000A6D36">
            <w:pPr>
              <w:tabs>
                <w:tab w:val="left" w:pos="567"/>
              </w:tabs>
              <w:spacing w:line="260" w:lineRule="exact"/>
              <w:jc w:val="center"/>
              <w:rPr>
                <w:sz w:val="22"/>
                <w:szCs w:val="22"/>
              </w:rPr>
            </w:pPr>
            <w:r w:rsidRPr="003F564F">
              <w:rPr>
                <w:sz w:val="22"/>
                <w:szCs w:val="22"/>
              </w:rPr>
              <w:t>Labai dažnas</w:t>
            </w:r>
          </w:p>
        </w:tc>
      </w:tr>
      <w:tr w:rsidR="00E30169" w:rsidRPr="003F564F" w14:paraId="06067DFE" w14:textId="77777777" w:rsidTr="000A6D36">
        <w:tc>
          <w:tcPr>
            <w:tcW w:w="2281" w:type="dxa"/>
          </w:tcPr>
          <w:p w14:paraId="517466AF" w14:textId="519D0485" w:rsidR="00E30169" w:rsidRPr="003F564F" w:rsidRDefault="00F135B7" w:rsidP="00627CC3">
            <w:pPr>
              <w:tabs>
                <w:tab w:val="left" w:pos="567"/>
              </w:tabs>
              <w:spacing w:line="260" w:lineRule="exact"/>
              <w:ind w:left="284"/>
              <w:rPr>
                <w:sz w:val="22"/>
                <w:szCs w:val="22"/>
              </w:rPr>
            </w:pPr>
            <w:r w:rsidRPr="003F564F">
              <w:rPr>
                <w:sz w:val="22"/>
                <w:szCs w:val="22"/>
              </w:rPr>
              <w:t>3</w:t>
            </w:r>
            <w:r w:rsidR="00627CC3" w:rsidRPr="003F564F">
              <w:rPr>
                <w:sz w:val="22"/>
                <w:szCs w:val="22"/>
              </w:rPr>
              <w:noBreakHyphen/>
            </w:r>
            <w:r w:rsidRPr="003F564F">
              <w:rPr>
                <w:sz w:val="22"/>
                <w:szCs w:val="22"/>
              </w:rPr>
              <w:t>iojo laipsnio pagal</w:t>
            </w:r>
            <w:r w:rsidR="00627CC3" w:rsidRPr="003F564F">
              <w:rPr>
                <w:sz w:val="22"/>
                <w:szCs w:val="22"/>
              </w:rPr>
              <w:t xml:space="preserve"> </w:t>
            </w:r>
            <w:r w:rsidRPr="003F564F">
              <w:rPr>
                <w:sz w:val="22"/>
                <w:szCs w:val="22"/>
              </w:rPr>
              <w:t>CTCAE kriterijus</w:t>
            </w:r>
          </w:p>
        </w:tc>
        <w:tc>
          <w:tcPr>
            <w:tcW w:w="1843" w:type="dxa"/>
          </w:tcPr>
          <w:p w14:paraId="79942AED" w14:textId="0E7CE5BF" w:rsidR="00E30169" w:rsidRPr="003F564F" w:rsidRDefault="00627CC3" w:rsidP="000A6D36">
            <w:pPr>
              <w:tabs>
                <w:tab w:val="left" w:pos="567"/>
              </w:tabs>
              <w:spacing w:line="260" w:lineRule="exact"/>
              <w:jc w:val="center"/>
              <w:rPr>
                <w:sz w:val="22"/>
                <w:szCs w:val="22"/>
              </w:rPr>
            </w:pPr>
            <w:r w:rsidRPr="003F564F">
              <w:rPr>
                <w:sz w:val="22"/>
                <w:szCs w:val="22"/>
              </w:rPr>
              <w:t>Dažnas</w:t>
            </w:r>
          </w:p>
        </w:tc>
        <w:tc>
          <w:tcPr>
            <w:tcW w:w="1873" w:type="dxa"/>
          </w:tcPr>
          <w:p w14:paraId="443FC0C1" w14:textId="77ADE97B" w:rsidR="00E30169" w:rsidRPr="003F564F" w:rsidRDefault="00627CC3" w:rsidP="000A6D36">
            <w:pPr>
              <w:tabs>
                <w:tab w:val="left" w:pos="567"/>
              </w:tabs>
              <w:spacing w:line="260" w:lineRule="exact"/>
              <w:jc w:val="center"/>
              <w:rPr>
                <w:sz w:val="22"/>
                <w:szCs w:val="22"/>
              </w:rPr>
            </w:pPr>
            <w:r w:rsidRPr="003F564F">
              <w:rPr>
                <w:sz w:val="22"/>
                <w:szCs w:val="22"/>
              </w:rPr>
              <w:t>Dažnas</w:t>
            </w:r>
          </w:p>
        </w:tc>
        <w:tc>
          <w:tcPr>
            <w:tcW w:w="1844" w:type="dxa"/>
          </w:tcPr>
          <w:p w14:paraId="5CD2934A" w14:textId="2E74CB43" w:rsidR="00E30169" w:rsidRPr="003F564F" w:rsidRDefault="00627CC3" w:rsidP="000A6D36">
            <w:pPr>
              <w:tabs>
                <w:tab w:val="left" w:pos="567"/>
              </w:tabs>
              <w:spacing w:line="260" w:lineRule="exact"/>
              <w:jc w:val="center"/>
              <w:rPr>
                <w:sz w:val="22"/>
                <w:szCs w:val="22"/>
              </w:rPr>
            </w:pPr>
            <w:r w:rsidRPr="003F564F">
              <w:rPr>
                <w:sz w:val="22"/>
                <w:szCs w:val="22"/>
              </w:rPr>
              <w:t>Dažnas</w:t>
            </w:r>
          </w:p>
        </w:tc>
        <w:tc>
          <w:tcPr>
            <w:tcW w:w="1873" w:type="dxa"/>
          </w:tcPr>
          <w:p w14:paraId="15695C4C" w14:textId="369298D1" w:rsidR="00E30169" w:rsidRPr="003F564F" w:rsidRDefault="00627CC3" w:rsidP="000A6D36">
            <w:pPr>
              <w:tabs>
                <w:tab w:val="left" w:pos="567"/>
              </w:tabs>
              <w:spacing w:line="260" w:lineRule="exact"/>
              <w:jc w:val="center"/>
              <w:rPr>
                <w:sz w:val="22"/>
                <w:szCs w:val="22"/>
              </w:rPr>
            </w:pPr>
            <w:r w:rsidRPr="003F564F">
              <w:rPr>
                <w:sz w:val="22"/>
                <w:szCs w:val="22"/>
              </w:rPr>
              <w:t>Labai dažnas</w:t>
            </w:r>
          </w:p>
        </w:tc>
      </w:tr>
      <w:tr w:rsidR="00E30169" w:rsidRPr="003F564F" w14:paraId="1EAFB7B8" w14:textId="77777777" w:rsidTr="000A6D36">
        <w:tc>
          <w:tcPr>
            <w:tcW w:w="2281" w:type="dxa"/>
          </w:tcPr>
          <w:p w14:paraId="7DE2AAE3" w14:textId="50ADF347" w:rsidR="00E30169" w:rsidRPr="003F564F" w:rsidRDefault="00F135B7" w:rsidP="00627CC3">
            <w:pPr>
              <w:tabs>
                <w:tab w:val="left" w:pos="567"/>
              </w:tabs>
              <w:spacing w:line="260" w:lineRule="exact"/>
              <w:ind w:left="284"/>
              <w:rPr>
                <w:sz w:val="22"/>
                <w:szCs w:val="22"/>
              </w:rPr>
            </w:pPr>
            <w:r w:rsidRPr="003F564F">
              <w:rPr>
                <w:sz w:val="22"/>
                <w:szCs w:val="22"/>
              </w:rPr>
              <w:t>4</w:t>
            </w:r>
            <w:r w:rsidR="00627CC3" w:rsidRPr="003F564F">
              <w:rPr>
                <w:sz w:val="22"/>
                <w:szCs w:val="22"/>
              </w:rPr>
              <w:noBreakHyphen/>
            </w:r>
            <w:r w:rsidRPr="003F564F">
              <w:rPr>
                <w:sz w:val="22"/>
                <w:szCs w:val="22"/>
              </w:rPr>
              <w:t>ojo laipsnio pagal</w:t>
            </w:r>
            <w:r w:rsidR="00627CC3" w:rsidRPr="003F564F">
              <w:rPr>
                <w:sz w:val="22"/>
                <w:szCs w:val="22"/>
              </w:rPr>
              <w:t xml:space="preserve"> </w:t>
            </w:r>
            <w:r w:rsidRPr="003F564F">
              <w:rPr>
                <w:sz w:val="22"/>
                <w:szCs w:val="22"/>
              </w:rPr>
              <w:t>CTCAE kriterijus</w:t>
            </w:r>
          </w:p>
        </w:tc>
        <w:tc>
          <w:tcPr>
            <w:tcW w:w="1843" w:type="dxa"/>
          </w:tcPr>
          <w:p w14:paraId="7BC2C970" w14:textId="4FDF7084" w:rsidR="00E30169" w:rsidRPr="003F564F" w:rsidRDefault="00627CC3" w:rsidP="000A6D36">
            <w:pPr>
              <w:tabs>
                <w:tab w:val="left" w:pos="567"/>
              </w:tabs>
              <w:spacing w:line="260" w:lineRule="exact"/>
              <w:jc w:val="center"/>
              <w:rPr>
                <w:sz w:val="22"/>
                <w:szCs w:val="22"/>
              </w:rPr>
            </w:pPr>
            <w:r w:rsidRPr="003F564F">
              <w:rPr>
                <w:sz w:val="22"/>
                <w:szCs w:val="22"/>
              </w:rPr>
              <w:t>Netaikoma</w:t>
            </w:r>
            <w:r w:rsidRPr="003F564F">
              <w:rPr>
                <w:sz w:val="22"/>
                <w:szCs w:val="22"/>
                <w:vertAlign w:val="superscript"/>
              </w:rPr>
              <w:t>5</w:t>
            </w:r>
          </w:p>
        </w:tc>
        <w:tc>
          <w:tcPr>
            <w:tcW w:w="1873" w:type="dxa"/>
          </w:tcPr>
          <w:p w14:paraId="7AB6BB01" w14:textId="0AFEFF6E" w:rsidR="00E30169" w:rsidRPr="003F564F" w:rsidRDefault="00627CC3" w:rsidP="000A6D36">
            <w:pPr>
              <w:tabs>
                <w:tab w:val="left" w:pos="567"/>
              </w:tabs>
              <w:spacing w:line="260" w:lineRule="exact"/>
              <w:jc w:val="center"/>
              <w:rPr>
                <w:sz w:val="22"/>
                <w:szCs w:val="22"/>
              </w:rPr>
            </w:pPr>
            <w:r w:rsidRPr="003F564F">
              <w:rPr>
                <w:sz w:val="22"/>
                <w:szCs w:val="22"/>
              </w:rPr>
              <w:t>Netaikoma</w:t>
            </w:r>
            <w:r w:rsidRPr="003F564F">
              <w:rPr>
                <w:sz w:val="22"/>
                <w:szCs w:val="22"/>
                <w:vertAlign w:val="superscript"/>
              </w:rPr>
              <w:t>5</w:t>
            </w:r>
          </w:p>
        </w:tc>
        <w:tc>
          <w:tcPr>
            <w:tcW w:w="1844" w:type="dxa"/>
          </w:tcPr>
          <w:p w14:paraId="4F31162A" w14:textId="725958AB" w:rsidR="00E30169" w:rsidRPr="003F564F" w:rsidRDefault="00627CC3" w:rsidP="000A6D36">
            <w:pPr>
              <w:tabs>
                <w:tab w:val="left" w:pos="567"/>
              </w:tabs>
              <w:spacing w:line="260" w:lineRule="exact"/>
              <w:jc w:val="center"/>
              <w:rPr>
                <w:sz w:val="22"/>
                <w:szCs w:val="22"/>
              </w:rPr>
            </w:pPr>
            <w:r w:rsidRPr="003F564F">
              <w:rPr>
                <w:sz w:val="22"/>
                <w:szCs w:val="22"/>
              </w:rPr>
              <w:t>Nedažnas</w:t>
            </w:r>
          </w:p>
        </w:tc>
        <w:tc>
          <w:tcPr>
            <w:tcW w:w="1873" w:type="dxa"/>
          </w:tcPr>
          <w:p w14:paraId="292C2C64" w14:textId="0625D8EF" w:rsidR="00E30169" w:rsidRPr="003F564F" w:rsidRDefault="00627CC3" w:rsidP="000A6D36">
            <w:pPr>
              <w:tabs>
                <w:tab w:val="left" w:pos="567"/>
              </w:tabs>
              <w:spacing w:line="260" w:lineRule="exact"/>
              <w:jc w:val="center"/>
              <w:rPr>
                <w:sz w:val="22"/>
                <w:szCs w:val="22"/>
              </w:rPr>
            </w:pPr>
            <w:r w:rsidRPr="003F564F">
              <w:rPr>
                <w:sz w:val="22"/>
                <w:szCs w:val="22"/>
              </w:rPr>
              <w:t>Netaikoma</w:t>
            </w:r>
            <w:r w:rsidRPr="003F564F">
              <w:rPr>
                <w:sz w:val="22"/>
                <w:szCs w:val="22"/>
                <w:vertAlign w:val="superscript"/>
              </w:rPr>
              <w:t>5</w:t>
            </w:r>
          </w:p>
        </w:tc>
      </w:tr>
      <w:tr w:rsidR="00627CC3" w:rsidRPr="003F564F" w14:paraId="2AE4D3E1" w14:textId="77777777" w:rsidTr="00DC1161">
        <w:tc>
          <w:tcPr>
            <w:tcW w:w="9714" w:type="dxa"/>
            <w:gridSpan w:val="5"/>
          </w:tcPr>
          <w:p w14:paraId="60C61A1E" w14:textId="5D0F7E18" w:rsidR="00627CC3" w:rsidRPr="003F564F" w:rsidRDefault="00627CC3" w:rsidP="0060614D">
            <w:pPr>
              <w:tabs>
                <w:tab w:val="left" w:pos="567"/>
              </w:tabs>
              <w:spacing w:line="260" w:lineRule="exact"/>
              <w:rPr>
                <w:b/>
                <w:bCs/>
                <w:sz w:val="22"/>
                <w:szCs w:val="22"/>
              </w:rPr>
            </w:pPr>
            <w:r w:rsidRPr="003F564F">
              <w:rPr>
                <w:b/>
                <w:bCs/>
                <w:sz w:val="22"/>
                <w:szCs w:val="22"/>
              </w:rPr>
              <w:t>Skeleto, raumenų ir jungiamojo audinio sutrikimai</w:t>
            </w:r>
          </w:p>
        </w:tc>
      </w:tr>
      <w:tr w:rsidR="00627CC3" w:rsidRPr="003F564F" w14:paraId="00DF4819" w14:textId="77777777" w:rsidTr="000A6D36">
        <w:tc>
          <w:tcPr>
            <w:tcW w:w="2281" w:type="dxa"/>
          </w:tcPr>
          <w:p w14:paraId="1BBE1062" w14:textId="00B1A94D" w:rsidR="00627CC3" w:rsidRPr="003F564F" w:rsidRDefault="00627CC3" w:rsidP="00627CC3">
            <w:pPr>
              <w:tabs>
                <w:tab w:val="left" w:pos="567"/>
              </w:tabs>
              <w:spacing w:line="260" w:lineRule="exact"/>
              <w:rPr>
                <w:sz w:val="22"/>
                <w:szCs w:val="22"/>
              </w:rPr>
            </w:pPr>
            <w:r w:rsidRPr="003F564F">
              <w:rPr>
                <w:sz w:val="22"/>
                <w:szCs w:val="22"/>
              </w:rPr>
              <w:t xml:space="preserve">Padidėjęs </w:t>
            </w:r>
            <w:proofErr w:type="spellStart"/>
            <w:r w:rsidRPr="003F564F">
              <w:rPr>
                <w:sz w:val="22"/>
                <w:szCs w:val="22"/>
              </w:rPr>
              <w:t>kreatinfosfokinazės</w:t>
            </w:r>
            <w:proofErr w:type="spellEnd"/>
            <w:r w:rsidRPr="003F564F">
              <w:rPr>
                <w:sz w:val="22"/>
                <w:szCs w:val="22"/>
              </w:rPr>
              <w:t xml:space="preserve"> aktyvumas kraujyje</w:t>
            </w:r>
            <w:r w:rsidRPr="003F564F">
              <w:rPr>
                <w:sz w:val="22"/>
                <w:szCs w:val="22"/>
                <w:vertAlign w:val="superscript"/>
              </w:rPr>
              <w:t>1</w:t>
            </w:r>
          </w:p>
        </w:tc>
        <w:tc>
          <w:tcPr>
            <w:tcW w:w="1843" w:type="dxa"/>
          </w:tcPr>
          <w:p w14:paraId="658749A1" w14:textId="0E7B3895" w:rsidR="00627CC3" w:rsidRPr="003F564F" w:rsidRDefault="00627CC3"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c>
          <w:tcPr>
            <w:tcW w:w="1873" w:type="dxa"/>
          </w:tcPr>
          <w:p w14:paraId="12209103" w14:textId="28365664" w:rsidR="00627CC3" w:rsidRPr="003F564F" w:rsidRDefault="00627CC3"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c>
          <w:tcPr>
            <w:tcW w:w="1844" w:type="dxa"/>
          </w:tcPr>
          <w:p w14:paraId="0667ECAC" w14:textId="76E77DCE" w:rsidR="00627CC3" w:rsidRPr="003F564F" w:rsidRDefault="00627CC3" w:rsidP="000A6D36">
            <w:pPr>
              <w:tabs>
                <w:tab w:val="left" w:pos="567"/>
              </w:tabs>
              <w:spacing w:line="260" w:lineRule="exact"/>
              <w:jc w:val="center"/>
              <w:rPr>
                <w:sz w:val="22"/>
                <w:szCs w:val="22"/>
              </w:rPr>
            </w:pPr>
            <w:r w:rsidRPr="003F564F">
              <w:rPr>
                <w:sz w:val="22"/>
                <w:szCs w:val="22"/>
              </w:rPr>
              <w:t>Labai dažnas</w:t>
            </w:r>
          </w:p>
        </w:tc>
        <w:tc>
          <w:tcPr>
            <w:tcW w:w="1873" w:type="dxa"/>
          </w:tcPr>
          <w:p w14:paraId="5BEF2806" w14:textId="09A95DBA" w:rsidR="00627CC3" w:rsidRPr="003F564F" w:rsidRDefault="00627CC3" w:rsidP="000A6D36">
            <w:pPr>
              <w:tabs>
                <w:tab w:val="left" w:pos="567"/>
              </w:tabs>
              <w:spacing w:line="260" w:lineRule="exact"/>
              <w:jc w:val="center"/>
              <w:rPr>
                <w:sz w:val="22"/>
                <w:szCs w:val="22"/>
              </w:rPr>
            </w:pPr>
            <w:r w:rsidRPr="003F564F">
              <w:rPr>
                <w:sz w:val="22"/>
                <w:szCs w:val="22"/>
              </w:rPr>
              <w:t>Labai dažnas</w:t>
            </w:r>
          </w:p>
        </w:tc>
      </w:tr>
      <w:tr w:rsidR="00627CC3" w:rsidRPr="003F564F" w14:paraId="0A194649" w14:textId="77777777" w:rsidTr="000A6D36">
        <w:tc>
          <w:tcPr>
            <w:tcW w:w="2281" w:type="dxa"/>
          </w:tcPr>
          <w:p w14:paraId="48138814" w14:textId="2F1B8E96" w:rsidR="00627CC3" w:rsidRPr="003F564F" w:rsidRDefault="00627CC3" w:rsidP="00627CC3">
            <w:pPr>
              <w:tabs>
                <w:tab w:val="left" w:pos="567"/>
              </w:tabs>
              <w:spacing w:line="260" w:lineRule="exact"/>
              <w:ind w:left="284"/>
              <w:rPr>
                <w:sz w:val="22"/>
                <w:szCs w:val="22"/>
              </w:rPr>
            </w:pPr>
            <w:r w:rsidRPr="003F564F">
              <w:rPr>
                <w:sz w:val="22"/>
                <w:szCs w:val="22"/>
              </w:rPr>
              <w:lastRenderedPageBreak/>
              <w:t>3</w:t>
            </w:r>
            <w:r w:rsidRPr="003F564F">
              <w:rPr>
                <w:sz w:val="22"/>
                <w:szCs w:val="22"/>
              </w:rPr>
              <w:noBreakHyphen/>
              <w:t>iojo laipsnio pagal CTCAE kriterijus</w:t>
            </w:r>
          </w:p>
        </w:tc>
        <w:tc>
          <w:tcPr>
            <w:tcW w:w="1843" w:type="dxa"/>
          </w:tcPr>
          <w:p w14:paraId="30583BF0" w14:textId="7A230FCA" w:rsidR="00627CC3" w:rsidRPr="003F564F" w:rsidRDefault="00627CC3"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c>
          <w:tcPr>
            <w:tcW w:w="1873" w:type="dxa"/>
          </w:tcPr>
          <w:p w14:paraId="44002367" w14:textId="2E21AA5A" w:rsidR="00627CC3" w:rsidRPr="003F564F" w:rsidRDefault="00627CC3"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c>
          <w:tcPr>
            <w:tcW w:w="1844" w:type="dxa"/>
          </w:tcPr>
          <w:p w14:paraId="545B0F9E" w14:textId="517B07F4" w:rsidR="00627CC3" w:rsidRPr="003F564F" w:rsidRDefault="00627CC3" w:rsidP="000A6D36">
            <w:pPr>
              <w:tabs>
                <w:tab w:val="left" w:pos="567"/>
              </w:tabs>
              <w:spacing w:line="260" w:lineRule="exact"/>
              <w:jc w:val="center"/>
              <w:rPr>
                <w:sz w:val="22"/>
                <w:szCs w:val="22"/>
              </w:rPr>
            </w:pPr>
            <w:r w:rsidRPr="003F564F">
              <w:rPr>
                <w:sz w:val="22"/>
                <w:szCs w:val="22"/>
              </w:rPr>
              <w:t>Dažnas</w:t>
            </w:r>
          </w:p>
        </w:tc>
        <w:tc>
          <w:tcPr>
            <w:tcW w:w="1873" w:type="dxa"/>
          </w:tcPr>
          <w:p w14:paraId="4472FB23" w14:textId="66709292" w:rsidR="00627CC3" w:rsidRPr="003F564F" w:rsidRDefault="00627CC3" w:rsidP="000A6D36">
            <w:pPr>
              <w:tabs>
                <w:tab w:val="left" w:pos="567"/>
              </w:tabs>
              <w:spacing w:line="260" w:lineRule="exact"/>
              <w:jc w:val="center"/>
              <w:rPr>
                <w:sz w:val="22"/>
                <w:szCs w:val="22"/>
              </w:rPr>
            </w:pPr>
            <w:r w:rsidRPr="003F564F">
              <w:rPr>
                <w:sz w:val="22"/>
                <w:szCs w:val="22"/>
              </w:rPr>
              <w:t>Netaikoma</w:t>
            </w:r>
            <w:r w:rsidRPr="003F564F">
              <w:rPr>
                <w:sz w:val="22"/>
                <w:szCs w:val="22"/>
                <w:vertAlign w:val="superscript"/>
              </w:rPr>
              <w:t>5</w:t>
            </w:r>
          </w:p>
        </w:tc>
      </w:tr>
      <w:tr w:rsidR="00627CC3" w:rsidRPr="003F564F" w14:paraId="6AFE2E7A" w14:textId="77777777" w:rsidTr="000A6D36">
        <w:tc>
          <w:tcPr>
            <w:tcW w:w="2281" w:type="dxa"/>
          </w:tcPr>
          <w:p w14:paraId="5AD3A27C" w14:textId="7916B09F" w:rsidR="00627CC3" w:rsidRPr="003F564F" w:rsidRDefault="00627CC3" w:rsidP="00627CC3">
            <w:pPr>
              <w:tabs>
                <w:tab w:val="left" w:pos="567"/>
              </w:tabs>
              <w:spacing w:line="260" w:lineRule="exact"/>
              <w:ind w:left="284"/>
              <w:rPr>
                <w:sz w:val="22"/>
                <w:szCs w:val="22"/>
              </w:rPr>
            </w:pPr>
            <w:r w:rsidRPr="003F564F">
              <w:rPr>
                <w:sz w:val="22"/>
                <w:szCs w:val="22"/>
              </w:rPr>
              <w:t>4</w:t>
            </w:r>
            <w:r w:rsidRPr="003F564F">
              <w:rPr>
                <w:sz w:val="22"/>
                <w:szCs w:val="22"/>
              </w:rPr>
              <w:noBreakHyphen/>
              <w:t>ojo laipsnio pagal CTCAE kriterijus</w:t>
            </w:r>
          </w:p>
        </w:tc>
        <w:tc>
          <w:tcPr>
            <w:tcW w:w="1843" w:type="dxa"/>
          </w:tcPr>
          <w:p w14:paraId="040D625E" w14:textId="7A5E8941" w:rsidR="00627CC3" w:rsidRPr="003F564F" w:rsidRDefault="00627CC3"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c>
          <w:tcPr>
            <w:tcW w:w="1873" w:type="dxa"/>
          </w:tcPr>
          <w:p w14:paraId="1083522B" w14:textId="17C489B6" w:rsidR="00627CC3" w:rsidRPr="003F564F" w:rsidRDefault="00627CC3"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c>
          <w:tcPr>
            <w:tcW w:w="1844" w:type="dxa"/>
          </w:tcPr>
          <w:p w14:paraId="18F400EF" w14:textId="1F54E67C" w:rsidR="00627CC3" w:rsidRPr="003F564F" w:rsidRDefault="00627CC3" w:rsidP="000A6D36">
            <w:pPr>
              <w:tabs>
                <w:tab w:val="left" w:pos="567"/>
              </w:tabs>
              <w:spacing w:line="260" w:lineRule="exact"/>
              <w:jc w:val="center"/>
              <w:rPr>
                <w:sz w:val="22"/>
                <w:szCs w:val="22"/>
              </w:rPr>
            </w:pPr>
            <w:r w:rsidRPr="003F564F">
              <w:rPr>
                <w:sz w:val="22"/>
                <w:szCs w:val="22"/>
              </w:rPr>
              <w:t>Dažnas</w:t>
            </w:r>
          </w:p>
        </w:tc>
        <w:tc>
          <w:tcPr>
            <w:tcW w:w="1873" w:type="dxa"/>
          </w:tcPr>
          <w:p w14:paraId="63D484F9" w14:textId="1C65BA6C" w:rsidR="00627CC3" w:rsidRPr="003F564F" w:rsidRDefault="00627CC3" w:rsidP="000A6D36">
            <w:pPr>
              <w:tabs>
                <w:tab w:val="left" w:pos="567"/>
              </w:tabs>
              <w:spacing w:line="260" w:lineRule="exact"/>
              <w:jc w:val="center"/>
              <w:rPr>
                <w:sz w:val="22"/>
                <w:szCs w:val="22"/>
              </w:rPr>
            </w:pPr>
            <w:r w:rsidRPr="003F564F">
              <w:rPr>
                <w:sz w:val="22"/>
                <w:szCs w:val="22"/>
              </w:rPr>
              <w:t>Netaikoma</w:t>
            </w:r>
            <w:r w:rsidRPr="003F564F">
              <w:rPr>
                <w:sz w:val="22"/>
                <w:szCs w:val="22"/>
                <w:vertAlign w:val="superscript"/>
              </w:rPr>
              <w:t>5</w:t>
            </w:r>
          </w:p>
        </w:tc>
      </w:tr>
      <w:tr w:rsidR="00627CC3" w:rsidRPr="003F564F" w14:paraId="5AA12C39" w14:textId="77777777" w:rsidTr="00051FFF">
        <w:tc>
          <w:tcPr>
            <w:tcW w:w="9714" w:type="dxa"/>
            <w:gridSpan w:val="5"/>
          </w:tcPr>
          <w:p w14:paraId="5CAFAD88" w14:textId="40B9C36A" w:rsidR="00627CC3" w:rsidRPr="003F564F" w:rsidRDefault="00627CC3" w:rsidP="0060614D">
            <w:pPr>
              <w:tabs>
                <w:tab w:val="left" w:pos="567"/>
              </w:tabs>
              <w:spacing w:line="260" w:lineRule="exact"/>
              <w:rPr>
                <w:b/>
                <w:bCs/>
                <w:sz w:val="22"/>
                <w:szCs w:val="22"/>
              </w:rPr>
            </w:pPr>
            <w:r w:rsidRPr="003F564F">
              <w:rPr>
                <w:b/>
                <w:bCs/>
                <w:sz w:val="22"/>
                <w:szCs w:val="22"/>
              </w:rPr>
              <w:t>Inkstų ir šlapimo takų sutrikimai</w:t>
            </w:r>
          </w:p>
        </w:tc>
      </w:tr>
      <w:tr w:rsidR="00627CC3" w:rsidRPr="003F564F" w14:paraId="5A6C590E" w14:textId="77777777" w:rsidTr="000A6D36">
        <w:tc>
          <w:tcPr>
            <w:tcW w:w="2281" w:type="dxa"/>
          </w:tcPr>
          <w:p w14:paraId="7BF8B406" w14:textId="71ABA0CD" w:rsidR="00627CC3" w:rsidRPr="003F564F" w:rsidRDefault="00627CC3" w:rsidP="00627CC3">
            <w:pPr>
              <w:tabs>
                <w:tab w:val="left" w:pos="567"/>
              </w:tabs>
              <w:spacing w:line="260" w:lineRule="exact"/>
              <w:rPr>
                <w:sz w:val="22"/>
                <w:szCs w:val="22"/>
              </w:rPr>
            </w:pPr>
            <w:r w:rsidRPr="003F564F">
              <w:rPr>
                <w:sz w:val="22"/>
                <w:szCs w:val="22"/>
              </w:rPr>
              <w:t>Padidėjusi kreatinino koncentracija kraujyje</w:t>
            </w:r>
            <w:r w:rsidRPr="003F564F">
              <w:rPr>
                <w:sz w:val="22"/>
                <w:szCs w:val="22"/>
                <w:vertAlign w:val="superscript"/>
              </w:rPr>
              <w:t>1</w:t>
            </w:r>
          </w:p>
        </w:tc>
        <w:tc>
          <w:tcPr>
            <w:tcW w:w="1843" w:type="dxa"/>
          </w:tcPr>
          <w:p w14:paraId="0F1F4657" w14:textId="36D3AE43" w:rsidR="00627CC3" w:rsidRPr="003F564F" w:rsidRDefault="00627CC3"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c>
          <w:tcPr>
            <w:tcW w:w="1873" w:type="dxa"/>
          </w:tcPr>
          <w:p w14:paraId="3DDA2A55" w14:textId="71D11E99" w:rsidR="00627CC3" w:rsidRPr="003F564F" w:rsidRDefault="00627CC3"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c>
          <w:tcPr>
            <w:tcW w:w="1844" w:type="dxa"/>
          </w:tcPr>
          <w:p w14:paraId="7596D797" w14:textId="6634EF60" w:rsidR="00627CC3" w:rsidRPr="003F564F" w:rsidRDefault="00627CC3" w:rsidP="000A6D36">
            <w:pPr>
              <w:tabs>
                <w:tab w:val="left" w:pos="567"/>
              </w:tabs>
              <w:spacing w:line="260" w:lineRule="exact"/>
              <w:jc w:val="center"/>
              <w:rPr>
                <w:sz w:val="22"/>
                <w:szCs w:val="22"/>
              </w:rPr>
            </w:pPr>
            <w:r w:rsidRPr="003F564F">
              <w:rPr>
                <w:sz w:val="22"/>
                <w:szCs w:val="22"/>
              </w:rPr>
              <w:t>Labai dažnas</w:t>
            </w:r>
          </w:p>
        </w:tc>
        <w:tc>
          <w:tcPr>
            <w:tcW w:w="1873" w:type="dxa"/>
          </w:tcPr>
          <w:p w14:paraId="36D9BE75" w14:textId="5C9F9889" w:rsidR="00627CC3" w:rsidRPr="003F564F" w:rsidRDefault="00627CC3" w:rsidP="000A6D36">
            <w:pPr>
              <w:tabs>
                <w:tab w:val="left" w:pos="567"/>
              </w:tabs>
              <w:spacing w:line="260" w:lineRule="exact"/>
              <w:jc w:val="center"/>
              <w:rPr>
                <w:sz w:val="22"/>
                <w:szCs w:val="22"/>
              </w:rPr>
            </w:pPr>
            <w:r w:rsidRPr="003F564F">
              <w:rPr>
                <w:sz w:val="22"/>
                <w:szCs w:val="22"/>
              </w:rPr>
              <w:t>Dažnas</w:t>
            </w:r>
          </w:p>
        </w:tc>
      </w:tr>
      <w:tr w:rsidR="00627CC3" w:rsidRPr="003F564F" w14:paraId="72FF236B" w14:textId="77777777" w:rsidTr="000A6D36">
        <w:tc>
          <w:tcPr>
            <w:tcW w:w="2281" w:type="dxa"/>
          </w:tcPr>
          <w:p w14:paraId="565F9954" w14:textId="0F82850D" w:rsidR="00627CC3" w:rsidRPr="003F564F" w:rsidRDefault="00627CC3" w:rsidP="00627CC3">
            <w:pPr>
              <w:tabs>
                <w:tab w:val="left" w:pos="567"/>
              </w:tabs>
              <w:spacing w:line="260" w:lineRule="exact"/>
              <w:ind w:left="284"/>
              <w:rPr>
                <w:sz w:val="22"/>
                <w:szCs w:val="22"/>
              </w:rPr>
            </w:pPr>
            <w:r w:rsidRPr="003F564F">
              <w:rPr>
                <w:sz w:val="22"/>
                <w:szCs w:val="22"/>
              </w:rPr>
              <w:t>3</w:t>
            </w:r>
            <w:r w:rsidRPr="003F564F">
              <w:rPr>
                <w:sz w:val="22"/>
                <w:szCs w:val="22"/>
              </w:rPr>
              <w:noBreakHyphen/>
              <w:t>iojo laipsnio pagal CTCAE kriterijus</w:t>
            </w:r>
          </w:p>
        </w:tc>
        <w:tc>
          <w:tcPr>
            <w:tcW w:w="1843" w:type="dxa"/>
          </w:tcPr>
          <w:p w14:paraId="2C8A1850" w14:textId="3B703D2C" w:rsidR="00627CC3" w:rsidRPr="003F564F" w:rsidRDefault="00627CC3"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c>
          <w:tcPr>
            <w:tcW w:w="1873" w:type="dxa"/>
          </w:tcPr>
          <w:p w14:paraId="48D38503" w14:textId="5BE787F1" w:rsidR="00627CC3" w:rsidRPr="003F564F" w:rsidRDefault="00627CC3"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c>
          <w:tcPr>
            <w:tcW w:w="1844" w:type="dxa"/>
          </w:tcPr>
          <w:p w14:paraId="75A296A8" w14:textId="72E9CF45" w:rsidR="00627CC3" w:rsidRPr="003F564F" w:rsidRDefault="00627CC3" w:rsidP="000A6D36">
            <w:pPr>
              <w:tabs>
                <w:tab w:val="left" w:pos="567"/>
              </w:tabs>
              <w:spacing w:line="260" w:lineRule="exact"/>
              <w:jc w:val="center"/>
              <w:rPr>
                <w:sz w:val="22"/>
                <w:szCs w:val="22"/>
              </w:rPr>
            </w:pPr>
            <w:r w:rsidRPr="003F564F">
              <w:rPr>
                <w:sz w:val="22"/>
                <w:szCs w:val="22"/>
              </w:rPr>
              <w:t>Dažnas</w:t>
            </w:r>
          </w:p>
        </w:tc>
        <w:tc>
          <w:tcPr>
            <w:tcW w:w="1873" w:type="dxa"/>
          </w:tcPr>
          <w:p w14:paraId="797AB1AD" w14:textId="6CF64FAB" w:rsidR="00627CC3" w:rsidRPr="003F564F" w:rsidRDefault="00627CC3" w:rsidP="000A6D36">
            <w:pPr>
              <w:tabs>
                <w:tab w:val="left" w:pos="567"/>
              </w:tabs>
              <w:spacing w:line="260" w:lineRule="exact"/>
              <w:jc w:val="center"/>
              <w:rPr>
                <w:sz w:val="22"/>
                <w:szCs w:val="22"/>
              </w:rPr>
            </w:pPr>
            <w:r w:rsidRPr="003F564F">
              <w:rPr>
                <w:sz w:val="22"/>
                <w:szCs w:val="22"/>
              </w:rPr>
              <w:t>Netaikoma</w:t>
            </w:r>
            <w:r w:rsidRPr="003F564F">
              <w:rPr>
                <w:sz w:val="22"/>
                <w:szCs w:val="22"/>
                <w:vertAlign w:val="superscript"/>
              </w:rPr>
              <w:t>5</w:t>
            </w:r>
          </w:p>
        </w:tc>
      </w:tr>
      <w:tr w:rsidR="00627CC3" w:rsidRPr="003F564F" w14:paraId="5FD8D60D" w14:textId="77777777" w:rsidTr="000A6D36">
        <w:tc>
          <w:tcPr>
            <w:tcW w:w="2281" w:type="dxa"/>
          </w:tcPr>
          <w:p w14:paraId="673A8F03" w14:textId="640ECAA8" w:rsidR="00627CC3" w:rsidRPr="003F564F" w:rsidRDefault="00627CC3" w:rsidP="00627CC3">
            <w:pPr>
              <w:tabs>
                <w:tab w:val="left" w:pos="567"/>
              </w:tabs>
              <w:spacing w:line="260" w:lineRule="exact"/>
              <w:ind w:left="284"/>
              <w:rPr>
                <w:sz w:val="22"/>
                <w:szCs w:val="22"/>
              </w:rPr>
            </w:pPr>
            <w:r w:rsidRPr="003F564F">
              <w:rPr>
                <w:sz w:val="22"/>
                <w:szCs w:val="22"/>
              </w:rPr>
              <w:t>4</w:t>
            </w:r>
            <w:r w:rsidRPr="003F564F">
              <w:rPr>
                <w:sz w:val="22"/>
                <w:szCs w:val="22"/>
              </w:rPr>
              <w:noBreakHyphen/>
              <w:t>ojo laipsnio pagal CTCAE kriterijus</w:t>
            </w:r>
          </w:p>
        </w:tc>
        <w:tc>
          <w:tcPr>
            <w:tcW w:w="1843" w:type="dxa"/>
          </w:tcPr>
          <w:p w14:paraId="4C8D61A5" w14:textId="0615EDE7" w:rsidR="00627CC3" w:rsidRPr="003F564F" w:rsidRDefault="00627CC3"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c>
          <w:tcPr>
            <w:tcW w:w="1873" w:type="dxa"/>
          </w:tcPr>
          <w:p w14:paraId="66E7E4EF" w14:textId="125476D6" w:rsidR="00627CC3" w:rsidRPr="003F564F" w:rsidRDefault="00627CC3" w:rsidP="000A6D36">
            <w:pPr>
              <w:tabs>
                <w:tab w:val="left" w:pos="567"/>
              </w:tabs>
              <w:spacing w:line="260" w:lineRule="exact"/>
              <w:jc w:val="center"/>
              <w:rPr>
                <w:sz w:val="22"/>
                <w:szCs w:val="22"/>
              </w:rPr>
            </w:pPr>
            <w:r w:rsidRPr="003F564F">
              <w:rPr>
                <w:sz w:val="22"/>
                <w:szCs w:val="22"/>
              </w:rPr>
              <w:t>-</w:t>
            </w:r>
            <w:r w:rsidRPr="003F564F">
              <w:rPr>
                <w:sz w:val="22"/>
                <w:szCs w:val="22"/>
                <w:vertAlign w:val="superscript"/>
              </w:rPr>
              <w:t>6</w:t>
            </w:r>
          </w:p>
        </w:tc>
        <w:tc>
          <w:tcPr>
            <w:tcW w:w="1844" w:type="dxa"/>
          </w:tcPr>
          <w:p w14:paraId="6946978A" w14:textId="0756CE68" w:rsidR="00627CC3" w:rsidRPr="003F564F" w:rsidRDefault="00627CC3" w:rsidP="000A6D36">
            <w:pPr>
              <w:tabs>
                <w:tab w:val="left" w:pos="567"/>
              </w:tabs>
              <w:spacing w:line="260" w:lineRule="exact"/>
              <w:jc w:val="center"/>
              <w:rPr>
                <w:sz w:val="22"/>
                <w:szCs w:val="22"/>
              </w:rPr>
            </w:pPr>
            <w:r w:rsidRPr="003F564F">
              <w:rPr>
                <w:sz w:val="22"/>
                <w:szCs w:val="22"/>
              </w:rPr>
              <w:t>Netaikoma</w:t>
            </w:r>
            <w:r w:rsidRPr="003F564F">
              <w:rPr>
                <w:sz w:val="22"/>
                <w:szCs w:val="22"/>
                <w:vertAlign w:val="superscript"/>
              </w:rPr>
              <w:t>5</w:t>
            </w:r>
          </w:p>
        </w:tc>
        <w:tc>
          <w:tcPr>
            <w:tcW w:w="1873" w:type="dxa"/>
          </w:tcPr>
          <w:p w14:paraId="5430667E" w14:textId="28392B9F" w:rsidR="00627CC3" w:rsidRPr="003F564F" w:rsidRDefault="00627CC3" w:rsidP="000A6D36">
            <w:pPr>
              <w:tabs>
                <w:tab w:val="left" w:pos="567"/>
              </w:tabs>
              <w:spacing w:line="260" w:lineRule="exact"/>
              <w:jc w:val="center"/>
              <w:rPr>
                <w:sz w:val="22"/>
                <w:szCs w:val="22"/>
              </w:rPr>
            </w:pPr>
            <w:r w:rsidRPr="003F564F">
              <w:rPr>
                <w:sz w:val="22"/>
                <w:szCs w:val="22"/>
              </w:rPr>
              <w:t>Netaikoma</w:t>
            </w:r>
            <w:r w:rsidRPr="003F564F">
              <w:rPr>
                <w:sz w:val="22"/>
                <w:szCs w:val="22"/>
                <w:vertAlign w:val="superscript"/>
              </w:rPr>
              <w:t>5</w:t>
            </w:r>
          </w:p>
        </w:tc>
      </w:tr>
      <w:tr w:rsidR="00627CC3" w:rsidRPr="003F564F" w14:paraId="011A0782" w14:textId="77777777" w:rsidTr="000761E0">
        <w:tc>
          <w:tcPr>
            <w:tcW w:w="9714" w:type="dxa"/>
            <w:gridSpan w:val="5"/>
          </w:tcPr>
          <w:p w14:paraId="062B4A7B" w14:textId="02BAC4FE" w:rsidR="00627CC3" w:rsidRPr="003F564F" w:rsidRDefault="00627CC3" w:rsidP="00627CC3">
            <w:pPr>
              <w:tabs>
                <w:tab w:val="left" w:pos="567"/>
              </w:tabs>
              <w:spacing w:line="260" w:lineRule="exact"/>
              <w:rPr>
                <w:sz w:val="22"/>
                <w:szCs w:val="22"/>
              </w:rPr>
            </w:pPr>
            <w:r w:rsidRPr="003F564F">
              <w:rPr>
                <w:sz w:val="22"/>
                <w:szCs w:val="22"/>
                <w:vertAlign w:val="superscript"/>
              </w:rPr>
              <w:t>1</w:t>
            </w:r>
            <w:r w:rsidRPr="003F564F">
              <w:rPr>
                <w:sz w:val="22"/>
                <w:szCs w:val="22"/>
              </w:rPr>
              <w:t xml:space="preserve"> Dažnis pagrįstas naujai pasireiškusiais laboratorinių tyrimų pokyčiais ar </w:t>
            </w:r>
            <w:r w:rsidR="009B3E27">
              <w:rPr>
                <w:sz w:val="22"/>
                <w:szCs w:val="22"/>
              </w:rPr>
              <w:t xml:space="preserve">labiau nuo normos </w:t>
            </w:r>
            <w:r w:rsidR="00192E08">
              <w:rPr>
                <w:sz w:val="22"/>
                <w:szCs w:val="22"/>
              </w:rPr>
              <w:t>nukrypusiais</w:t>
            </w:r>
            <w:r w:rsidR="009B3E27" w:rsidRPr="003F564F">
              <w:rPr>
                <w:sz w:val="22"/>
                <w:szCs w:val="22"/>
              </w:rPr>
              <w:t xml:space="preserve"> </w:t>
            </w:r>
            <w:r w:rsidRPr="003F564F">
              <w:rPr>
                <w:sz w:val="22"/>
                <w:szCs w:val="22"/>
              </w:rPr>
              <w:t>laboratoriniais rodikliais, lyginant su pradinėmis reikšmėmis.</w:t>
            </w:r>
          </w:p>
          <w:p w14:paraId="30C15D1B" w14:textId="394DD7F3" w:rsidR="00627CC3" w:rsidRPr="003F564F" w:rsidRDefault="00627CC3" w:rsidP="00627CC3">
            <w:pPr>
              <w:tabs>
                <w:tab w:val="left" w:pos="567"/>
              </w:tabs>
              <w:spacing w:line="260" w:lineRule="exact"/>
              <w:rPr>
                <w:sz w:val="22"/>
                <w:szCs w:val="22"/>
              </w:rPr>
            </w:pPr>
            <w:r w:rsidRPr="003F564F">
              <w:rPr>
                <w:sz w:val="22"/>
                <w:szCs w:val="22"/>
                <w:vertAlign w:val="superscript"/>
              </w:rPr>
              <w:t>2</w:t>
            </w:r>
            <w:r w:rsidRPr="003F564F">
              <w:rPr>
                <w:sz w:val="22"/>
                <w:szCs w:val="22"/>
              </w:rPr>
              <w:t xml:space="preserve"> </w:t>
            </w:r>
            <w:proofErr w:type="spellStart"/>
            <w:r w:rsidRPr="003F564F">
              <w:rPr>
                <w:sz w:val="22"/>
                <w:szCs w:val="22"/>
              </w:rPr>
              <w:t>Pancitopenija</w:t>
            </w:r>
            <w:proofErr w:type="spellEnd"/>
            <w:r w:rsidRPr="003F564F">
              <w:rPr>
                <w:sz w:val="22"/>
                <w:szCs w:val="22"/>
              </w:rPr>
              <w:t xml:space="preserve"> apibrėžiama kaip hemoglobino koncentracija &lt; 100 g/l, trombocitų skaičius &lt; 100 x 10</w:t>
            </w:r>
            <w:r w:rsidRPr="003F564F">
              <w:rPr>
                <w:sz w:val="22"/>
                <w:szCs w:val="22"/>
                <w:vertAlign w:val="superscript"/>
              </w:rPr>
              <w:t>9</w:t>
            </w:r>
            <w:r w:rsidRPr="003F564F">
              <w:rPr>
                <w:sz w:val="22"/>
                <w:szCs w:val="22"/>
              </w:rPr>
              <w:t xml:space="preserve">/l ir </w:t>
            </w:r>
            <w:proofErr w:type="spellStart"/>
            <w:r w:rsidRPr="003F564F">
              <w:rPr>
                <w:sz w:val="22"/>
                <w:szCs w:val="22"/>
              </w:rPr>
              <w:t>neutrofilų</w:t>
            </w:r>
            <w:proofErr w:type="spellEnd"/>
            <w:r w:rsidRPr="003F564F">
              <w:rPr>
                <w:sz w:val="22"/>
                <w:szCs w:val="22"/>
              </w:rPr>
              <w:t xml:space="preserve"> skaičius &lt; 1,5 x 10</w:t>
            </w:r>
            <w:r w:rsidRPr="003F564F">
              <w:rPr>
                <w:sz w:val="22"/>
                <w:szCs w:val="22"/>
                <w:vertAlign w:val="superscript"/>
              </w:rPr>
              <w:t>9</w:t>
            </w:r>
            <w:r w:rsidRPr="003F564F">
              <w:rPr>
                <w:sz w:val="22"/>
                <w:szCs w:val="22"/>
              </w:rPr>
              <w:t>/l (arba mažas 2</w:t>
            </w:r>
            <w:r w:rsidRPr="003F564F">
              <w:rPr>
                <w:sz w:val="22"/>
                <w:szCs w:val="22"/>
              </w:rPr>
              <w:noBreakHyphen/>
              <w:t xml:space="preserve">ojo laipsnio leukocitų skaičius, jei trūksta </w:t>
            </w:r>
            <w:proofErr w:type="spellStart"/>
            <w:r w:rsidRPr="003F564F">
              <w:rPr>
                <w:sz w:val="22"/>
                <w:szCs w:val="22"/>
              </w:rPr>
              <w:t>neutrofilų</w:t>
            </w:r>
            <w:proofErr w:type="spellEnd"/>
            <w:r w:rsidRPr="003F564F">
              <w:rPr>
                <w:sz w:val="22"/>
                <w:szCs w:val="22"/>
              </w:rPr>
              <w:t xml:space="preserve"> įvertinimo), tuo pačiu metu atliekant tos pačios laboratorijos vertinimą.</w:t>
            </w:r>
          </w:p>
          <w:p w14:paraId="051D99F9" w14:textId="77777777" w:rsidR="00627CC3" w:rsidRPr="003F564F" w:rsidRDefault="00627CC3" w:rsidP="00627CC3">
            <w:pPr>
              <w:tabs>
                <w:tab w:val="left" w:pos="567"/>
              </w:tabs>
              <w:spacing w:line="260" w:lineRule="exact"/>
              <w:rPr>
                <w:sz w:val="22"/>
                <w:szCs w:val="22"/>
              </w:rPr>
            </w:pPr>
            <w:r w:rsidRPr="003F564F">
              <w:rPr>
                <w:sz w:val="22"/>
                <w:szCs w:val="22"/>
                <w:vertAlign w:val="superscript"/>
              </w:rPr>
              <w:t>3</w:t>
            </w:r>
            <w:r w:rsidRPr="003F564F">
              <w:rPr>
                <w:sz w:val="22"/>
                <w:szCs w:val="22"/>
              </w:rPr>
              <w:t xml:space="preserve"> CTCAE versija 4.03.</w:t>
            </w:r>
          </w:p>
          <w:p w14:paraId="6C031162" w14:textId="6F8CCF0F" w:rsidR="00627CC3" w:rsidRPr="003F564F" w:rsidRDefault="00627CC3" w:rsidP="00627CC3">
            <w:pPr>
              <w:tabs>
                <w:tab w:val="left" w:pos="567"/>
              </w:tabs>
              <w:spacing w:line="260" w:lineRule="exact"/>
              <w:rPr>
                <w:sz w:val="22"/>
                <w:szCs w:val="22"/>
              </w:rPr>
            </w:pPr>
            <w:r w:rsidRPr="003F564F">
              <w:rPr>
                <w:sz w:val="22"/>
                <w:szCs w:val="22"/>
                <w:vertAlign w:val="superscript"/>
              </w:rPr>
              <w:t>4</w:t>
            </w:r>
            <w:r w:rsidRPr="003F564F">
              <w:rPr>
                <w:sz w:val="22"/>
                <w:szCs w:val="22"/>
              </w:rPr>
              <w:t xml:space="preserve"> ≥ 3</w:t>
            </w:r>
            <w:r w:rsidRPr="003F564F">
              <w:rPr>
                <w:sz w:val="22"/>
                <w:szCs w:val="22"/>
              </w:rPr>
              <w:noBreakHyphen/>
              <w:t>iojo laipsnio sepsis apima 20 (10 %) 5</w:t>
            </w:r>
            <w:r w:rsidRPr="003F564F">
              <w:rPr>
                <w:sz w:val="22"/>
                <w:szCs w:val="22"/>
              </w:rPr>
              <w:noBreakHyphen/>
              <w:t>ojo laipsnio atvejų REACH2 tyrimo metu. Apibendrintais vaikų tyrimų duomenimis, 5</w:t>
            </w:r>
            <w:r w:rsidRPr="003F564F">
              <w:rPr>
                <w:sz w:val="22"/>
                <w:szCs w:val="22"/>
              </w:rPr>
              <w:noBreakHyphen/>
              <w:t>ojo laipsnio atvejų nebuvo nustatyta.</w:t>
            </w:r>
          </w:p>
          <w:p w14:paraId="4CBEDCE1" w14:textId="77777777" w:rsidR="00627CC3" w:rsidRPr="003F564F" w:rsidRDefault="00627CC3" w:rsidP="00627CC3">
            <w:pPr>
              <w:tabs>
                <w:tab w:val="left" w:pos="567"/>
              </w:tabs>
              <w:spacing w:line="260" w:lineRule="exact"/>
              <w:rPr>
                <w:sz w:val="22"/>
                <w:szCs w:val="22"/>
              </w:rPr>
            </w:pPr>
            <w:r w:rsidRPr="003F564F">
              <w:rPr>
                <w:sz w:val="22"/>
                <w:szCs w:val="22"/>
                <w:vertAlign w:val="superscript"/>
              </w:rPr>
              <w:t>5</w:t>
            </w:r>
            <w:r w:rsidRPr="003F564F">
              <w:rPr>
                <w:sz w:val="22"/>
                <w:szCs w:val="22"/>
              </w:rPr>
              <w:t xml:space="preserve"> Netaikoma: nenustatyta nė vieno atvejo.</w:t>
            </w:r>
          </w:p>
          <w:p w14:paraId="4C876427" w14:textId="512C7C61" w:rsidR="00627CC3" w:rsidRPr="003F564F" w:rsidRDefault="00627CC3" w:rsidP="00627CC3">
            <w:pPr>
              <w:tabs>
                <w:tab w:val="left" w:pos="567"/>
              </w:tabs>
              <w:spacing w:line="260" w:lineRule="exact"/>
              <w:rPr>
                <w:sz w:val="22"/>
                <w:szCs w:val="22"/>
              </w:rPr>
            </w:pPr>
            <w:r w:rsidRPr="003F564F">
              <w:rPr>
                <w:sz w:val="22"/>
                <w:szCs w:val="22"/>
                <w:vertAlign w:val="superscript"/>
              </w:rPr>
              <w:t>6</w:t>
            </w:r>
            <w:r w:rsidRPr="003F564F">
              <w:rPr>
                <w:sz w:val="22"/>
                <w:szCs w:val="22"/>
              </w:rPr>
              <w:t xml:space="preserve"> „-“: nepageidaujama reakcija nebuvo nustatyta vaistinio preparato skiriant šiai indikacijai.</w:t>
            </w:r>
          </w:p>
        </w:tc>
      </w:tr>
    </w:tbl>
    <w:p w14:paraId="111AF9DC" w14:textId="77777777" w:rsidR="009F34A7" w:rsidRPr="003F564F" w:rsidRDefault="009F34A7" w:rsidP="00627CC3">
      <w:pPr>
        <w:tabs>
          <w:tab w:val="left" w:pos="567"/>
        </w:tabs>
        <w:spacing w:line="260" w:lineRule="exact"/>
        <w:rPr>
          <w:sz w:val="22"/>
          <w:szCs w:val="22"/>
        </w:rPr>
      </w:pPr>
    </w:p>
    <w:p w14:paraId="4BF00E71" w14:textId="086F0157" w:rsidR="00AC42EF" w:rsidRPr="003F564F" w:rsidRDefault="00AC42EF" w:rsidP="00AC42EF">
      <w:pPr>
        <w:tabs>
          <w:tab w:val="left" w:pos="567"/>
        </w:tabs>
        <w:spacing w:line="260" w:lineRule="exact"/>
        <w:jc w:val="both"/>
        <w:rPr>
          <w:sz w:val="22"/>
          <w:szCs w:val="22"/>
        </w:rPr>
      </w:pPr>
      <w:r w:rsidRPr="003F564F">
        <w:rPr>
          <w:sz w:val="22"/>
          <w:szCs w:val="22"/>
          <w:u w:val="single"/>
        </w:rPr>
        <w:t>Atrinktų nepageidaujamų reakcijų apibūdinimas</w:t>
      </w:r>
    </w:p>
    <w:p w14:paraId="2A3B12BB" w14:textId="77777777" w:rsidR="00627CC3" w:rsidRPr="003F564F" w:rsidRDefault="00627CC3" w:rsidP="00627CC3">
      <w:pPr>
        <w:tabs>
          <w:tab w:val="left" w:pos="567"/>
        </w:tabs>
        <w:spacing w:line="260" w:lineRule="exact"/>
        <w:rPr>
          <w:sz w:val="22"/>
          <w:szCs w:val="22"/>
        </w:rPr>
      </w:pPr>
    </w:p>
    <w:p w14:paraId="3EA7F948" w14:textId="07F056B5" w:rsidR="009F34A7" w:rsidRPr="003F564F" w:rsidRDefault="009F34A7" w:rsidP="00627CC3">
      <w:pPr>
        <w:tabs>
          <w:tab w:val="left" w:pos="567"/>
        </w:tabs>
        <w:spacing w:line="260" w:lineRule="exact"/>
        <w:rPr>
          <w:i/>
          <w:iCs/>
          <w:sz w:val="22"/>
          <w:szCs w:val="22"/>
          <w:u w:val="single"/>
        </w:rPr>
      </w:pPr>
      <w:r w:rsidRPr="003F564F">
        <w:rPr>
          <w:i/>
          <w:iCs/>
          <w:sz w:val="22"/>
          <w:szCs w:val="22"/>
          <w:u w:val="single"/>
        </w:rPr>
        <w:t>Anemija</w:t>
      </w:r>
    </w:p>
    <w:p w14:paraId="5558B16E" w14:textId="28E08FA8" w:rsidR="009F34A7" w:rsidRPr="003F564F" w:rsidRDefault="009F34A7" w:rsidP="00627CC3">
      <w:pPr>
        <w:tabs>
          <w:tab w:val="left" w:pos="567"/>
        </w:tabs>
        <w:spacing w:line="260" w:lineRule="exact"/>
        <w:rPr>
          <w:sz w:val="22"/>
          <w:szCs w:val="22"/>
        </w:rPr>
      </w:pPr>
      <w:r w:rsidRPr="003F564F">
        <w:rPr>
          <w:sz w:val="22"/>
          <w:szCs w:val="22"/>
        </w:rPr>
        <w:t>III</w:t>
      </w:r>
      <w:r w:rsidR="00627CC3" w:rsidRPr="003F564F">
        <w:rPr>
          <w:sz w:val="22"/>
          <w:szCs w:val="22"/>
        </w:rPr>
        <w:t> </w:t>
      </w:r>
      <w:r w:rsidRPr="003F564F">
        <w:rPr>
          <w:sz w:val="22"/>
          <w:szCs w:val="22"/>
        </w:rPr>
        <w:t>fazės klinikinių tyrimų su MF sergančiais pacientais metu nustatyta, kad laiko iki pirmojo anemijos</w:t>
      </w:r>
      <w:r w:rsidR="00627CC3" w:rsidRPr="003F564F">
        <w:rPr>
          <w:sz w:val="22"/>
          <w:szCs w:val="22"/>
        </w:rPr>
        <w:t xml:space="preserve"> </w:t>
      </w:r>
      <w:r w:rsidRPr="003F564F">
        <w:rPr>
          <w:sz w:val="22"/>
          <w:szCs w:val="22"/>
        </w:rPr>
        <w:t>(2</w:t>
      </w:r>
      <w:r w:rsidR="00627CC3" w:rsidRPr="003F564F">
        <w:rPr>
          <w:sz w:val="22"/>
          <w:szCs w:val="22"/>
        </w:rPr>
        <w:noBreakHyphen/>
      </w:r>
      <w:r w:rsidRPr="003F564F">
        <w:rPr>
          <w:sz w:val="22"/>
          <w:szCs w:val="22"/>
        </w:rPr>
        <w:t>ojo ar didesnio sunkumo laipsnio pagal CTCAE klasifikaciją) pasireiškimo mediana buvo</w:t>
      </w:r>
      <w:r w:rsidR="00627CC3" w:rsidRPr="003F564F">
        <w:rPr>
          <w:sz w:val="22"/>
          <w:szCs w:val="22"/>
        </w:rPr>
        <w:t xml:space="preserve"> </w:t>
      </w:r>
      <w:r w:rsidRPr="003F564F">
        <w:rPr>
          <w:sz w:val="22"/>
          <w:szCs w:val="22"/>
        </w:rPr>
        <w:t>1,5</w:t>
      </w:r>
      <w:r w:rsidR="00627CC3" w:rsidRPr="003F564F">
        <w:rPr>
          <w:sz w:val="22"/>
          <w:szCs w:val="22"/>
        </w:rPr>
        <w:t> </w:t>
      </w:r>
      <w:r w:rsidRPr="003F564F">
        <w:rPr>
          <w:sz w:val="22"/>
          <w:szCs w:val="22"/>
        </w:rPr>
        <w:t>mėnesio. Vienas pacientas (0,3</w:t>
      </w:r>
      <w:r w:rsidR="00627CC3" w:rsidRPr="003F564F">
        <w:rPr>
          <w:sz w:val="22"/>
          <w:szCs w:val="22"/>
        </w:rPr>
        <w:t> </w:t>
      </w:r>
      <w:r w:rsidRPr="003F564F">
        <w:rPr>
          <w:sz w:val="22"/>
          <w:szCs w:val="22"/>
        </w:rPr>
        <w:t>%) nutraukė vaistinio preparato vartojimą dėl pasireiškusios</w:t>
      </w:r>
      <w:r w:rsidR="00627CC3" w:rsidRPr="003F564F">
        <w:rPr>
          <w:sz w:val="22"/>
          <w:szCs w:val="22"/>
        </w:rPr>
        <w:t xml:space="preserve"> </w:t>
      </w:r>
      <w:r w:rsidRPr="003F564F">
        <w:rPr>
          <w:sz w:val="22"/>
          <w:szCs w:val="22"/>
        </w:rPr>
        <w:t>anemijos.</w:t>
      </w:r>
    </w:p>
    <w:p w14:paraId="1636FA6C" w14:textId="77777777" w:rsidR="00627CC3" w:rsidRPr="003F564F" w:rsidRDefault="00627CC3" w:rsidP="00627CC3">
      <w:pPr>
        <w:tabs>
          <w:tab w:val="left" w:pos="567"/>
        </w:tabs>
        <w:spacing w:line="260" w:lineRule="exact"/>
        <w:rPr>
          <w:sz w:val="22"/>
          <w:szCs w:val="22"/>
        </w:rPr>
      </w:pPr>
    </w:p>
    <w:p w14:paraId="2959B021" w14:textId="0FD9D3CB" w:rsidR="009F34A7" w:rsidRPr="003F564F" w:rsidRDefault="009F34A7" w:rsidP="00627CC3">
      <w:pPr>
        <w:tabs>
          <w:tab w:val="left" w:pos="567"/>
        </w:tabs>
        <w:spacing w:line="260" w:lineRule="exact"/>
        <w:rPr>
          <w:sz w:val="22"/>
          <w:szCs w:val="22"/>
        </w:rPr>
      </w:pPr>
      <w:proofErr w:type="spellStart"/>
      <w:r w:rsidRPr="003F564F">
        <w:rPr>
          <w:sz w:val="22"/>
          <w:szCs w:val="22"/>
        </w:rPr>
        <w:t>Ruksolitinibo</w:t>
      </w:r>
      <w:proofErr w:type="spellEnd"/>
      <w:r w:rsidRPr="003F564F">
        <w:rPr>
          <w:sz w:val="22"/>
          <w:szCs w:val="22"/>
        </w:rPr>
        <w:t xml:space="preserve"> vartojusiems pacientams hemoglobino koncentracija vidutiniškai sumažėjo maždaug</w:t>
      </w:r>
      <w:r w:rsidR="00627CC3" w:rsidRPr="003F564F">
        <w:rPr>
          <w:sz w:val="22"/>
          <w:szCs w:val="22"/>
        </w:rPr>
        <w:t xml:space="preserve"> </w:t>
      </w:r>
      <w:r w:rsidRPr="003F564F">
        <w:rPr>
          <w:sz w:val="22"/>
          <w:szCs w:val="22"/>
        </w:rPr>
        <w:t>10</w:t>
      </w:r>
      <w:r w:rsidR="00627CC3" w:rsidRPr="003F564F">
        <w:rPr>
          <w:sz w:val="22"/>
          <w:szCs w:val="22"/>
        </w:rPr>
        <w:t> </w:t>
      </w:r>
      <w:r w:rsidRPr="003F564F">
        <w:rPr>
          <w:sz w:val="22"/>
          <w:szCs w:val="22"/>
        </w:rPr>
        <w:t>g/litre nuo pradinių reikšmių ir būdavo mažiausias po 8</w:t>
      </w:r>
      <w:r w:rsidR="00627CC3" w:rsidRPr="003F564F">
        <w:rPr>
          <w:sz w:val="22"/>
          <w:szCs w:val="22"/>
        </w:rPr>
        <w:noBreakHyphen/>
      </w:r>
      <w:r w:rsidRPr="003F564F">
        <w:rPr>
          <w:sz w:val="22"/>
          <w:szCs w:val="22"/>
        </w:rPr>
        <w:t>12</w:t>
      </w:r>
      <w:r w:rsidR="00627CC3" w:rsidRPr="003F564F">
        <w:rPr>
          <w:sz w:val="22"/>
          <w:szCs w:val="22"/>
        </w:rPr>
        <w:t> </w:t>
      </w:r>
      <w:r w:rsidRPr="003F564F">
        <w:rPr>
          <w:sz w:val="22"/>
          <w:szCs w:val="22"/>
        </w:rPr>
        <w:t>savaičių nuo vaistinio preparato</w:t>
      </w:r>
      <w:r w:rsidR="00627CC3" w:rsidRPr="003F564F">
        <w:rPr>
          <w:sz w:val="22"/>
          <w:szCs w:val="22"/>
        </w:rPr>
        <w:t xml:space="preserve"> </w:t>
      </w:r>
      <w:r w:rsidRPr="003F564F">
        <w:rPr>
          <w:sz w:val="22"/>
          <w:szCs w:val="22"/>
        </w:rPr>
        <w:t>vartojimo pradžios. Vėliau hemoglobino koncentracija laipsniškai atsistatydavo ir nusistovėdavo,</w:t>
      </w:r>
      <w:r w:rsidR="00627CC3" w:rsidRPr="003F564F">
        <w:rPr>
          <w:sz w:val="22"/>
          <w:szCs w:val="22"/>
        </w:rPr>
        <w:t xml:space="preserve"> </w:t>
      </w:r>
      <w:r w:rsidRPr="003F564F">
        <w:rPr>
          <w:sz w:val="22"/>
          <w:szCs w:val="22"/>
        </w:rPr>
        <w:t>tačiau būdavo maždaug 5</w:t>
      </w:r>
      <w:r w:rsidR="00627CC3" w:rsidRPr="003F564F">
        <w:rPr>
          <w:sz w:val="22"/>
          <w:szCs w:val="22"/>
        </w:rPr>
        <w:t> </w:t>
      </w:r>
      <w:r w:rsidRPr="003F564F">
        <w:rPr>
          <w:sz w:val="22"/>
          <w:szCs w:val="22"/>
        </w:rPr>
        <w:t>g/litre mažesnis nei pradinės reikšmės. Toks hemoglobino koncentracijos</w:t>
      </w:r>
      <w:r w:rsidR="00627CC3" w:rsidRPr="003F564F">
        <w:rPr>
          <w:sz w:val="22"/>
          <w:szCs w:val="22"/>
        </w:rPr>
        <w:t xml:space="preserve"> </w:t>
      </w:r>
      <w:r w:rsidRPr="003F564F">
        <w:rPr>
          <w:sz w:val="22"/>
          <w:szCs w:val="22"/>
        </w:rPr>
        <w:t>kitimo pobūdis buvo stebėtas pacientams nepriklausomai nuo to, ar jiems gydymo metu buvo perpiltas</w:t>
      </w:r>
      <w:r w:rsidR="00627CC3" w:rsidRPr="003F564F">
        <w:rPr>
          <w:sz w:val="22"/>
          <w:szCs w:val="22"/>
        </w:rPr>
        <w:t xml:space="preserve"> </w:t>
      </w:r>
      <w:r w:rsidRPr="003F564F">
        <w:rPr>
          <w:sz w:val="22"/>
          <w:szCs w:val="22"/>
        </w:rPr>
        <w:t>kraujas.</w:t>
      </w:r>
    </w:p>
    <w:p w14:paraId="4D334D2D" w14:textId="77777777" w:rsidR="00627CC3" w:rsidRPr="003F564F" w:rsidRDefault="00627CC3" w:rsidP="00627CC3">
      <w:pPr>
        <w:tabs>
          <w:tab w:val="left" w:pos="567"/>
        </w:tabs>
        <w:spacing w:line="260" w:lineRule="exact"/>
        <w:rPr>
          <w:sz w:val="22"/>
          <w:szCs w:val="22"/>
        </w:rPr>
      </w:pPr>
    </w:p>
    <w:p w14:paraId="5CFC60A7" w14:textId="0771A939" w:rsidR="009F34A7" w:rsidRPr="003F564F" w:rsidRDefault="009F34A7" w:rsidP="00627CC3">
      <w:pPr>
        <w:tabs>
          <w:tab w:val="left" w:pos="567"/>
        </w:tabs>
        <w:spacing w:line="260" w:lineRule="exact"/>
        <w:rPr>
          <w:sz w:val="22"/>
          <w:szCs w:val="22"/>
        </w:rPr>
      </w:pPr>
      <w:r w:rsidRPr="003F564F">
        <w:rPr>
          <w:sz w:val="22"/>
          <w:szCs w:val="22"/>
        </w:rPr>
        <w:t>Atsitiktinių imčių, placebu kontroliuoto klinikinio tyrimo COMFORT-I su MF sergančiais pacientais</w:t>
      </w:r>
      <w:r w:rsidR="00627CC3" w:rsidRPr="003F564F">
        <w:rPr>
          <w:sz w:val="22"/>
          <w:szCs w:val="22"/>
        </w:rPr>
        <w:t xml:space="preserve"> </w:t>
      </w:r>
      <w:r w:rsidRPr="003F564F">
        <w:rPr>
          <w:sz w:val="22"/>
          <w:szCs w:val="22"/>
        </w:rPr>
        <w:t>metu 60,6</w:t>
      </w:r>
      <w:r w:rsidR="00627CC3" w:rsidRPr="003F564F">
        <w:rPr>
          <w:sz w:val="22"/>
          <w:szCs w:val="22"/>
        </w:rPr>
        <w:t> </w:t>
      </w:r>
      <w:r w:rsidRPr="003F564F">
        <w:rPr>
          <w:sz w:val="22"/>
          <w:szCs w:val="22"/>
        </w:rPr>
        <w:t xml:space="preserve">% </w:t>
      </w:r>
      <w:proofErr w:type="spellStart"/>
      <w:r w:rsidR="00AE55FF" w:rsidRPr="003F564F">
        <w:rPr>
          <w:sz w:val="22"/>
          <w:szCs w:val="22"/>
        </w:rPr>
        <w:t>ruksolitinibo</w:t>
      </w:r>
      <w:proofErr w:type="spellEnd"/>
      <w:r w:rsidR="00AE55FF" w:rsidRPr="003F564F">
        <w:rPr>
          <w:sz w:val="22"/>
          <w:szCs w:val="22"/>
        </w:rPr>
        <w:t xml:space="preserve"> </w:t>
      </w:r>
      <w:r w:rsidRPr="003F564F">
        <w:rPr>
          <w:sz w:val="22"/>
          <w:szCs w:val="22"/>
        </w:rPr>
        <w:t>vartojusių pacientų ir 37,7</w:t>
      </w:r>
      <w:r w:rsidR="00627CC3" w:rsidRPr="003F564F">
        <w:rPr>
          <w:sz w:val="22"/>
          <w:szCs w:val="22"/>
        </w:rPr>
        <w:t> </w:t>
      </w:r>
      <w:r w:rsidRPr="003F564F">
        <w:rPr>
          <w:sz w:val="22"/>
          <w:szCs w:val="22"/>
        </w:rPr>
        <w:t>% vartojusiųjų placebo buvo skirtos eritrocitų masės</w:t>
      </w:r>
      <w:r w:rsidR="00627CC3" w:rsidRPr="003F564F">
        <w:rPr>
          <w:sz w:val="22"/>
          <w:szCs w:val="22"/>
        </w:rPr>
        <w:t xml:space="preserve"> </w:t>
      </w:r>
      <w:r w:rsidRPr="003F564F">
        <w:rPr>
          <w:sz w:val="22"/>
          <w:szCs w:val="22"/>
        </w:rPr>
        <w:t>transfuzijos (atsitiktiniu būdu skirto gydymo laikotarpiu). COMFORT-II tyrimo metu eritrocitų masės</w:t>
      </w:r>
      <w:r w:rsidR="00627CC3" w:rsidRPr="003F564F">
        <w:rPr>
          <w:sz w:val="22"/>
          <w:szCs w:val="22"/>
        </w:rPr>
        <w:t xml:space="preserve"> </w:t>
      </w:r>
      <w:r w:rsidRPr="003F564F">
        <w:rPr>
          <w:sz w:val="22"/>
          <w:szCs w:val="22"/>
        </w:rPr>
        <w:t>transfuzijų skyrimo dažnis buvo 53,4</w:t>
      </w:r>
      <w:r w:rsidR="00627CC3" w:rsidRPr="003F564F">
        <w:rPr>
          <w:sz w:val="22"/>
          <w:szCs w:val="22"/>
        </w:rPr>
        <w:t> </w:t>
      </w:r>
      <w:r w:rsidRPr="003F564F">
        <w:rPr>
          <w:sz w:val="22"/>
          <w:szCs w:val="22"/>
        </w:rPr>
        <w:t xml:space="preserve">% </w:t>
      </w:r>
      <w:proofErr w:type="spellStart"/>
      <w:r w:rsidR="00AE55FF" w:rsidRPr="003F564F">
        <w:rPr>
          <w:sz w:val="22"/>
          <w:szCs w:val="22"/>
        </w:rPr>
        <w:t>ruksolitinibo</w:t>
      </w:r>
      <w:proofErr w:type="spellEnd"/>
      <w:r w:rsidR="00AE55FF" w:rsidRPr="003F564F">
        <w:rPr>
          <w:sz w:val="22"/>
          <w:szCs w:val="22"/>
        </w:rPr>
        <w:t xml:space="preserve"> </w:t>
      </w:r>
      <w:r w:rsidRPr="003F564F">
        <w:rPr>
          <w:sz w:val="22"/>
          <w:szCs w:val="22"/>
        </w:rPr>
        <w:t>vartojusių pacientų grupėje ir 41,1</w:t>
      </w:r>
      <w:r w:rsidR="00627CC3" w:rsidRPr="003F564F">
        <w:rPr>
          <w:sz w:val="22"/>
          <w:szCs w:val="22"/>
        </w:rPr>
        <w:t> </w:t>
      </w:r>
      <w:r w:rsidRPr="003F564F">
        <w:rPr>
          <w:sz w:val="22"/>
          <w:szCs w:val="22"/>
        </w:rPr>
        <w:t>% geriausią</w:t>
      </w:r>
      <w:r w:rsidR="00627CC3" w:rsidRPr="003F564F">
        <w:rPr>
          <w:sz w:val="22"/>
          <w:szCs w:val="22"/>
        </w:rPr>
        <w:t xml:space="preserve"> </w:t>
      </w:r>
      <w:r w:rsidRPr="003F564F">
        <w:rPr>
          <w:sz w:val="22"/>
          <w:szCs w:val="22"/>
        </w:rPr>
        <w:t>prieinamą gydymą gavusiųjų grupėje.</w:t>
      </w:r>
    </w:p>
    <w:p w14:paraId="49055A11" w14:textId="77777777" w:rsidR="00627CC3" w:rsidRPr="003F564F" w:rsidRDefault="00627CC3" w:rsidP="00627CC3">
      <w:pPr>
        <w:tabs>
          <w:tab w:val="left" w:pos="567"/>
        </w:tabs>
        <w:spacing w:line="260" w:lineRule="exact"/>
        <w:rPr>
          <w:sz w:val="22"/>
          <w:szCs w:val="22"/>
        </w:rPr>
      </w:pPr>
    </w:p>
    <w:p w14:paraId="2E6576C0" w14:textId="6B1DEA61" w:rsidR="009F34A7" w:rsidRPr="003F564F" w:rsidRDefault="009F34A7" w:rsidP="00627CC3">
      <w:pPr>
        <w:tabs>
          <w:tab w:val="left" w:pos="567"/>
        </w:tabs>
        <w:spacing w:line="260" w:lineRule="exact"/>
        <w:rPr>
          <w:sz w:val="22"/>
          <w:szCs w:val="22"/>
        </w:rPr>
      </w:pPr>
      <w:r w:rsidRPr="003F564F">
        <w:rPr>
          <w:sz w:val="22"/>
          <w:szCs w:val="22"/>
        </w:rPr>
        <w:t>Pagrindinių tyrimų atsitiktinių imčių laikotarpio duomenimis, TP sergantiems pacientams anemija</w:t>
      </w:r>
      <w:r w:rsidR="00627CC3" w:rsidRPr="003F564F">
        <w:rPr>
          <w:sz w:val="22"/>
          <w:szCs w:val="22"/>
        </w:rPr>
        <w:t xml:space="preserve"> </w:t>
      </w:r>
      <w:r w:rsidRPr="003F564F">
        <w:rPr>
          <w:sz w:val="22"/>
          <w:szCs w:val="22"/>
        </w:rPr>
        <w:t>pasireiškė rečiau nei sergantiesiems MF (40,8</w:t>
      </w:r>
      <w:r w:rsidR="00AE55FF" w:rsidRPr="003F564F">
        <w:rPr>
          <w:sz w:val="22"/>
          <w:szCs w:val="22"/>
        </w:rPr>
        <w:t> </w:t>
      </w:r>
      <w:r w:rsidRPr="003F564F">
        <w:rPr>
          <w:sz w:val="22"/>
          <w:szCs w:val="22"/>
        </w:rPr>
        <w:t>% lyginant su 82,4</w:t>
      </w:r>
      <w:r w:rsidR="00AE55FF" w:rsidRPr="003F564F">
        <w:rPr>
          <w:sz w:val="22"/>
          <w:szCs w:val="22"/>
        </w:rPr>
        <w:t> </w:t>
      </w:r>
      <w:r w:rsidRPr="003F564F">
        <w:rPr>
          <w:sz w:val="22"/>
          <w:szCs w:val="22"/>
        </w:rPr>
        <w:t>%). TP sergančiųjų populiacijoje</w:t>
      </w:r>
      <w:r w:rsidR="00627CC3" w:rsidRPr="003F564F">
        <w:rPr>
          <w:sz w:val="22"/>
          <w:szCs w:val="22"/>
        </w:rPr>
        <w:t xml:space="preserve"> </w:t>
      </w:r>
      <w:r w:rsidRPr="003F564F">
        <w:rPr>
          <w:sz w:val="22"/>
          <w:szCs w:val="22"/>
        </w:rPr>
        <w:t>3</w:t>
      </w:r>
      <w:r w:rsidR="00AE55FF" w:rsidRPr="003F564F">
        <w:rPr>
          <w:sz w:val="22"/>
          <w:szCs w:val="22"/>
        </w:rPr>
        <w:noBreakHyphen/>
      </w:r>
      <w:r w:rsidRPr="003F564F">
        <w:rPr>
          <w:sz w:val="22"/>
          <w:szCs w:val="22"/>
        </w:rPr>
        <w:t>iojo ir 4</w:t>
      </w:r>
      <w:r w:rsidR="00AE55FF" w:rsidRPr="003F564F">
        <w:rPr>
          <w:sz w:val="22"/>
          <w:szCs w:val="22"/>
        </w:rPr>
        <w:noBreakHyphen/>
      </w:r>
      <w:r w:rsidRPr="003F564F">
        <w:rPr>
          <w:sz w:val="22"/>
          <w:szCs w:val="22"/>
        </w:rPr>
        <w:t>ojo laipsnių pagal CTCAE kriterijus reiškinių nustatyta 2,7</w:t>
      </w:r>
      <w:r w:rsidR="00AE55FF" w:rsidRPr="003F564F">
        <w:rPr>
          <w:sz w:val="22"/>
          <w:szCs w:val="22"/>
        </w:rPr>
        <w:t> </w:t>
      </w:r>
      <w:r w:rsidRPr="003F564F">
        <w:rPr>
          <w:sz w:val="22"/>
          <w:szCs w:val="22"/>
        </w:rPr>
        <w:t>% pacientų, o tuo tarpu jų</w:t>
      </w:r>
      <w:r w:rsidR="00627CC3" w:rsidRPr="003F564F">
        <w:rPr>
          <w:sz w:val="22"/>
          <w:szCs w:val="22"/>
        </w:rPr>
        <w:t xml:space="preserve"> </w:t>
      </w:r>
      <w:r w:rsidRPr="003F564F">
        <w:rPr>
          <w:sz w:val="22"/>
          <w:szCs w:val="22"/>
        </w:rPr>
        <w:t>dažnis MF sergantiems pacientams buvo 42,56</w:t>
      </w:r>
      <w:r w:rsidR="00AE55FF" w:rsidRPr="003F564F">
        <w:rPr>
          <w:sz w:val="22"/>
          <w:szCs w:val="22"/>
        </w:rPr>
        <w:t> </w:t>
      </w:r>
      <w:r w:rsidRPr="003F564F">
        <w:rPr>
          <w:sz w:val="22"/>
          <w:szCs w:val="22"/>
        </w:rPr>
        <w:t>%.</w:t>
      </w:r>
    </w:p>
    <w:p w14:paraId="28ED71ED" w14:textId="77777777" w:rsidR="00627CC3" w:rsidRPr="003F564F" w:rsidRDefault="00627CC3" w:rsidP="00627CC3">
      <w:pPr>
        <w:tabs>
          <w:tab w:val="left" w:pos="567"/>
        </w:tabs>
        <w:spacing w:line="260" w:lineRule="exact"/>
        <w:rPr>
          <w:sz w:val="22"/>
          <w:szCs w:val="22"/>
        </w:rPr>
      </w:pPr>
    </w:p>
    <w:p w14:paraId="41B9D631" w14:textId="38DE04FB" w:rsidR="009F34A7" w:rsidRPr="003F564F" w:rsidRDefault="009F34A7" w:rsidP="00627CC3">
      <w:pPr>
        <w:tabs>
          <w:tab w:val="left" w:pos="567"/>
        </w:tabs>
        <w:spacing w:line="260" w:lineRule="exact"/>
        <w:rPr>
          <w:sz w:val="22"/>
          <w:szCs w:val="22"/>
        </w:rPr>
      </w:pPr>
      <w:r w:rsidRPr="003F564F">
        <w:rPr>
          <w:sz w:val="22"/>
          <w:szCs w:val="22"/>
        </w:rPr>
        <w:t>III</w:t>
      </w:r>
      <w:r w:rsidR="00AE55FF" w:rsidRPr="003F564F">
        <w:rPr>
          <w:sz w:val="22"/>
          <w:szCs w:val="22"/>
        </w:rPr>
        <w:t> </w:t>
      </w:r>
      <w:r w:rsidRPr="003F564F">
        <w:rPr>
          <w:sz w:val="22"/>
          <w:szCs w:val="22"/>
        </w:rPr>
        <w:t xml:space="preserve">fazės klinikinių tyrimų su ūmine (REACH2 tyrimo) ir lėtine (REACH3 tyrimo) </w:t>
      </w:r>
      <w:proofErr w:type="spellStart"/>
      <w:r w:rsidRPr="003F564F">
        <w:rPr>
          <w:sz w:val="22"/>
          <w:szCs w:val="22"/>
        </w:rPr>
        <w:t>TpŠL</w:t>
      </w:r>
      <w:proofErr w:type="spellEnd"/>
      <w:r w:rsidRPr="003F564F">
        <w:rPr>
          <w:sz w:val="22"/>
          <w:szCs w:val="22"/>
        </w:rPr>
        <w:t xml:space="preserve"> sergančiais</w:t>
      </w:r>
      <w:r w:rsidR="00627CC3" w:rsidRPr="003F564F">
        <w:rPr>
          <w:sz w:val="22"/>
          <w:szCs w:val="22"/>
        </w:rPr>
        <w:t xml:space="preserve"> </w:t>
      </w:r>
      <w:r w:rsidRPr="003F564F">
        <w:rPr>
          <w:sz w:val="22"/>
          <w:szCs w:val="22"/>
        </w:rPr>
        <w:t>pacientais metu nustatyta, kad anemijos (visų laipsnių) atvejų pasireiškė atitinkamai 75,0</w:t>
      </w:r>
      <w:r w:rsidR="00AE55FF" w:rsidRPr="003F564F">
        <w:rPr>
          <w:sz w:val="22"/>
          <w:szCs w:val="22"/>
        </w:rPr>
        <w:t> </w:t>
      </w:r>
      <w:r w:rsidRPr="003F564F">
        <w:rPr>
          <w:sz w:val="22"/>
          <w:szCs w:val="22"/>
        </w:rPr>
        <w:t>% ir 68,6</w:t>
      </w:r>
      <w:r w:rsidR="00AE55FF" w:rsidRPr="003F564F">
        <w:rPr>
          <w:sz w:val="22"/>
          <w:szCs w:val="22"/>
        </w:rPr>
        <w:t> </w:t>
      </w:r>
      <w:r w:rsidRPr="003F564F">
        <w:rPr>
          <w:sz w:val="22"/>
          <w:szCs w:val="22"/>
        </w:rPr>
        <w:t>%</w:t>
      </w:r>
      <w:r w:rsidR="00627CC3" w:rsidRPr="003F564F">
        <w:rPr>
          <w:sz w:val="22"/>
          <w:szCs w:val="22"/>
        </w:rPr>
        <w:t xml:space="preserve"> </w:t>
      </w:r>
      <w:r w:rsidRPr="003F564F">
        <w:rPr>
          <w:sz w:val="22"/>
          <w:szCs w:val="22"/>
        </w:rPr>
        <w:t>pacientų, o 3</w:t>
      </w:r>
      <w:r w:rsidR="00AE55FF" w:rsidRPr="003F564F">
        <w:rPr>
          <w:sz w:val="22"/>
          <w:szCs w:val="22"/>
        </w:rPr>
        <w:noBreakHyphen/>
      </w:r>
      <w:r w:rsidRPr="003F564F">
        <w:rPr>
          <w:sz w:val="22"/>
          <w:szCs w:val="22"/>
        </w:rPr>
        <w:t>iojo laipsnio pagal CTCAE kriterijus anemija pasireiškė atitinkamai 47,7</w:t>
      </w:r>
      <w:r w:rsidR="00AE55FF" w:rsidRPr="003F564F">
        <w:rPr>
          <w:sz w:val="22"/>
          <w:szCs w:val="22"/>
        </w:rPr>
        <w:t> </w:t>
      </w:r>
      <w:r w:rsidRPr="003F564F">
        <w:rPr>
          <w:sz w:val="22"/>
          <w:szCs w:val="22"/>
        </w:rPr>
        <w:t>% ir 14,8</w:t>
      </w:r>
      <w:r w:rsidR="00AE55FF" w:rsidRPr="003F564F">
        <w:rPr>
          <w:sz w:val="22"/>
          <w:szCs w:val="22"/>
        </w:rPr>
        <w:t> </w:t>
      </w:r>
      <w:r w:rsidRPr="003F564F">
        <w:rPr>
          <w:sz w:val="22"/>
          <w:szCs w:val="22"/>
        </w:rPr>
        <w:t>%</w:t>
      </w:r>
      <w:r w:rsidR="00627CC3" w:rsidRPr="003F564F">
        <w:rPr>
          <w:sz w:val="22"/>
          <w:szCs w:val="22"/>
        </w:rPr>
        <w:t xml:space="preserve"> </w:t>
      </w:r>
      <w:r w:rsidRPr="003F564F">
        <w:rPr>
          <w:sz w:val="22"/>
          <w:szCs w:val="22"/>
        </w:rPr>
        <w:t xml:space="preserve">pacientų. Ūmine ir lėtine </w:t>
      </w:r>
      <w:proofErr w:type="spellStart"/>
      <w:r w:rsidRPr="003F564F">
        <w:rPr>
          <w:sz w:val="22"/>
          <w:szCs w:val="22"/>
        </w:rPr>
        <w:t>TpŠL</w:t>
      </w:r>
      <w:proofErr w:type="spellEnd"/>
      <w:r w:rsidRPr="003F564F">
        <w:rPr>
          <w:sz w:val="22"/>
          <w:szCs w:val="22"/>
        </w:rPr>
        <w:t xml:space="preserve"> sergantiems vaikams anemijos (visų laipsnių) atvejų pasireiškė</w:t>
      </w:r>
      <w:r w:rsidR="00627CC3" w:rsidRPr="003F564F">
        <w:rPr>
          <w:sz w:val="22"/>
          <w:szCs w:val="22"/>
        </w:rPr>
        <w:t xml:space="preserve"> </w:t>
      </w:r>
      <w:r w:rsidRPr="003F564F">
        <w:rPr>
          <w:sz w:val="22"/>
          <w:szCs w:val="22"/>
        </w:rPr>
        <w:lastRenderedPageBreak/>
        <w:t>atitinkamai 70,8</w:t>
      </w:r>
      <w:r w:rsidR="00AE55FF" w:rsidRPr="003F564F">
        <w:rPr>
          <w:sz w:val="22"/>
          <w:szCs w:val="22"/>
        </w:rPr>
        <w:t> </w:t>
      </w:r>
      <w:r w:rsidRPr="003F564F">
        <w:rPr>
          <w:sz w:val="22"/>
          <w:szCs w:val="22"/>
        </w:rPr>
        <w:t>% ir 49,1</w:t>
      </w:r>
      <w:r w:rsidR="00AE55FF" w:rsidRPr="003F564F">
        <w:rPr>
          <w:sz w:val="22"/>
          <w:szCs w:val="22"/>
        </w:rPr>
        <w:t> </w:t>
      </w:r>
      <w:r w:rsidRPr="003F564F">
        <w:rPr>
          <w:sz w:val="22"/>
          <w:szCs w:val="22"/>
        </w:rPr>
        <w:t>% pacientų, o 3-iojo laipsnio pagal CTCAE kriterijus anemija pasireiškė</w:t>
      </w:r>
      <w:r w:rsidR="00627CC3" w:rsidRPr="003F564F">
        <w:rPr>
          <w:sz w:val="22"/>
          <w:szCs w:val="22"/>
        </w:rPr>
        <w:t xml:space="preserve"> </w:t>
      </w:r>
      <w:r w:rsidRPr="003F564F">
        <w:rPr>
          <w:sz w:val="22"/>
          <w:szCs w:val="22"/>
        </w:rPr>
        <w:t>atitinkamai 45,8</w:t>
      </w:r>
      <w:r w:rsidR="00AE55FF" w:rsidRPr="003F564F">
        <w:rPr>
          <w:sz w:val="22"/>
          <w:szCs w:val="22"/>
        </w:rPr>
        <w:t> </w:t>
      </w:r>
      <w:r w:rsidRPr="003F564F">
        <w:rPr>
          <w:sz w:val="22"/>
          <w:szCs w:val="22"/>
        </w:rPr>
        <w:t>% ir 17,0</w:t>
      </w:r>
      <w:r w:rsidR="00AE55FF" w:rsidRPr="003F564F">
        <w:rPr>
          <w:sz w:val="22"/>
          <w:szCs w:val="22"/>
        </w:rPr>
        <w:t> </w:t>
      </w:r>
      <w:r w:rsidRPr="003F564F">
        <w:rPr>
          <w:sz w:val="22"/>
          <w:szCs w:val="22"/>
        </w:rPr>
        <w:t>% pacientų.</w:t>
      </w:r>
    </w:p>
    <w:p w14:paraId="65B65E84" w14:textId="77777777" w:rsidR="00627CC3" w:rsidRPr="003F564F" w:rsidRDefault="00627CC3" w:rsidP="00627CC3">
      <w:pPr>
        <w:tabs>
          <w:tab w:val="left" w:pos="567"/>
        </w:tabs>
        <w:spacing w:line="260" w:lineRule="exact"/>
        <w:rPr>
          <w:sz w:val="22"/>
          <w:szCs w:val="22"/>
        </w:rPr>
      </w:pPr>
    </w:p>
    <w:p w14:paraId="115AE920" w14:textId="38385F8C" w:rsidR="009F34A7" w:rsidRPr="003F564F" w:rsidRDefault="009F34A7" w:rsidP="00627CC3">
      <w:pPr>
        <w:tabs>
          <w:tab w:val="left" w:pos="567"/>
        </w:tabs>
        <w:spacing w:line="260" w:lineRule="exact"/>
        <w:rPr>
          <w:i/>
          <w:iCs/>
          <w:sz w:val="22"/>
          <w:szCs w:val="22"/>
          <w:u w:val="single"/>
        </w:rPr>
      </w:pPr>
      <w:proofErr w:type="spellStart"/>
      <w:r w:rsidRPr="003F564F">
        <w:rPr>
          <w:i/>
          <w:iCs/>
          <w:sz w:val="22"/>
          <w:szCs w:val="22"/>
          <w:u w:val="single"/>
        </w:rPr>
        <w:t>Trombocitopenija</w:t>
      </w:r>
      <w:proofErr w:type="spellEnd"/>
    </w:p>
    <w:p w14:paraId="7B2CDF52" w14:textId="798C3A20" w:rsidR="009F34A7" w:rsidRPr="003F564F" w:rsidRDefault="009F34A7" w:rsidP="00627CC3">
      <w:pPr>
        <w:tabs>
          <w:tab w:val="left" w:pos="567"/>
        </w:tabs>
        <w:spacing w:line="260" w:lineRule="exact"/>
        <w:rPr>
          <w:sz w:val="22"/>
          <w:szCs w:val="22"/>
        </w:rPr>
      </w:pPr>
      <w:r w:rsidRPr="003F564F">
        <w:rPr>
          <w:sz w:val="22"/>
          <w:szCs w:val="22"/>
        </w:rPr>
        <w:t>III</w:t>
      </w:r>
      <w:r w:rsidR="00AE55FF" w:rsidRPr="003F564F">
        <w:rPr>
          <w:sz w:val="22"/>
          <w:szCs w:val="22"/>
        </w:rPr>
        <w:t> </w:t>
      </w:r>
      <w:r w:rsidRPr="003F564F">
        <w:rPr>
          <w:sz w:val="22"/>
          <w:szCs w:val="22"/>
        </w:rPr>
        <w:t>fazės klinikinių tyrimų su sergančiaisiais MF metu pacientams, kuriems pasireiškė 3</w:t>
      </w:r>
      <w:r w:rsidR="00AE55FF" w:rsidRPr="003F564F">
        <w:rPr>
          <w:sz w:val="22"/>
          <w:szCs w:val="22"/>
        </w:rPr>
        <w:noBreakHyphen/>
      </w:r>
      <w:r w:rsidRPr="003F564F">
        <w:rPr>
          <w:sz w:val="22"/>
          <w:szCs w:val="22"/>
        </w:rPr>
        <w:t>iojo ar 4</w:t>
      </w:r>
      <w:r w:rsidR="00AE55FF" w:rsidRPr="003F564F">
        <w:rPr>
          <w:sz w:val="22"/>
          <w:szCs w:val="22"/>
        </w:rPr>
        <w:noBreakHyphen/>
      </w:r>
      <w:r w:rsidRPr="003F564F">
        <w:rPr>
          <w:sz w:val="22"/>
          <w:szCs w:val="22"/>
        </w:rPr>
        <w:t>ojo</w:t>
      </w:r>
      <w:r w:rsidR="00AE55FF" w:rsidRPr="003F564F">
        <w:rPr>
          <w:sz w:val="22"/>
          <w:szCs w:val="22"/>
        </w:rPr>
        <w:t xml:space="preserve"> </w:t>
      </w:r>
      <w:r w:rsidRPr="003F564F">
        <w:rPr>
          <w:sz w:val="22"/>
          <w:szCs w:val="22"/>
        </w:rPr>
        <w:t xml:space="preserve">sunkumo laipsnių </w:t>
      </w:r>
      <w:proofErr w:type="spellStart"/>
      <w:r w:rsidRPr="003F564F">
        <w:rPr>
          <w:sz w:val="22"/>
          <w:szCs w:val="22"/>
        </w:rPr>
        <w:t>trombocitopenija</w:t>
      </w:r>
      <w:proofErr w:type="spellEnd"/>
      <w:r w:rsidRPr="003F564F">
        <w:rPr>
          <w:sz w:val="22"/>
          <w:szCs w:val="22"/>
        </w:rPr>
        <w:t>, laiko iki šio reiškinio pasireiškimo mediana buvo maždaug</w:t>
      </w:r>
      <w:r w:rsidR="00AE55FF" w:rsidRPr="003F564F">
        <w:rPr>
          <w:sz w:val="22"/>
          <w:szCs w:val="22"/>
        </w:rPr>
        <w:t xml:space="preserve"> </w:t>
      </w:r>
      <w:r w:rsidRPr="003F564F">
        <w:rPr>
          <w:sz w:val="22"/>
          <w:szCs w:val="22"/>
        </w:rPr>
        <w:t>8</w:t>
      </w:r>
      <w:r w:rsidR="00AE55FF" w:rsidRPr="003F564F">
        <w:rPr>
          <w:sz w:val="22"/>
          <w:szCs w:val="22"/>
        </w:rPr>
        <w:t> </w:t>
      </w:r>
      <w:r w:rsidRPr="003F564F">
        <w:rPr>
          <w:sz w:val="22"/>
          <w:szCs w:val="22"/>
        </w:rPr>
        <w:t xml:space="preserve">savaitės. </w:t>
      </w:r>
      <w:proofErr w:type="spellStart"/>
      <w:r w:rsidRPr="003F564F">
        <w:rPr>
          <w:sz w:val="22"/>
          <w:szCs w:val="22"/>
        </w:rPr>
        <w:t>Trombocitopenija</w:t>
      </w:r>
      <w:proofErr w:type="spellEnd"/>
      <w:r w:rsidRPr="003F564F">
        <w:rPr>
          <w:sz w:val="22"/>
          <w:szCs w:val="22"/>
        </w:rPr>
        <w:t xml:space="preserve"> paprastai buvo grįžtama, sumažinus dozę ar laikinai nutraukus vaistinio</w:t>
      </w:r>
      <w:r w:rsidR="00AE55FF" w:rsidRPr="003F564F">
        <w:rPr>
          <w:sz w:val="22"/>
          <w:szCs w:val="22"/>
        </w:rPr>
        <w:t xml:space="preserve"> </w:t>
      </w:r>
      <w:r w:rsidRPr="003F564F">
        <w:rPr>
          <w:sz w:val="22"/>
          <w:szCs w:val="22"/>
        </w:rPr>
        <w:t>preparato vartojimą. Laiko iki trombocitų skaičiaus atsistatymo virš 50</w:t>
      </w:r>
      <w:r w:rsidR="00AE55FF" w:rsidRPr="003F564F">
        <w:rPr>
          <w:sz w:val="22"/>
          <w:szCs w:val="22"/>
        </w:rPr>
        <w:t> </w:t>
      </w:r>
      <w:r w:rsidRPr="003F564F">
        <w:rPr>
          <w:sz w:val="22"/>
          <w:szCs w:val="22"/>
        </w:rPr>
        <w:t>000/mm</w:t>
      </w:r>
      <w:r w:rsidRPr="003F564F">
        <w:rPr>
          <w:sz w:val="22"/>
          <w:szCs w:val="22"/>
          <w:vertAlign w:val="superscript"/>
        </w:rPr>
        <w:t>3</w:t>
      </w:r>
      <w:r w:rsidRPr="003F564F">
        <w:rPr>
          <w:sz w:val="22"/>
          <w:szCs w:val="22"/>
        </w:rPr>
        <w:t xml:space="preserve"> mediana buvo</w:t>
      </w:r>
      <w:r w:rsidR="00AE55FF" w:rsidRPr="003F564F">
        <w:rPr>
          <w:sz w:val="22"/>
          <w:szCs w:val="22"/>
        </w:rPr>
        <w:t xml:space="preserve"> </w:t>
      </w:r>
      <w:r w:rsidRPr="003F564F">
        <w:rPr>
          <w:sz w:val="22"/>
          <w:szCs w:val="22"/>
        </w:rPr>
        <w:t>14</w:t>
      </w:r>
      <w:r w:rsidR="00AE55FF" w:rsidRPr="003F564F">
        <w:rPr>
          <w:sz w:val="22"/>
          <w:szCs w:val="22"/>
        </w:rPr>
        <w:t> </w:t>
      </w:r>
      <w:r w:rsidRPr="003F564F">
        <w:rPr>
          <w:sz w:val="22"/>
          <w:szCs w:val="22"/>
        </w:rPr>
        <w:t>dienų. Atsitiktinių imčių tyrimo laikotarpiu trombocitų masės transfuzijos buvo skirtos 4,7</w:t>
      </w:r>
      <w:r w:rsidR="00AE55FF" w:rsidRPr="003F564F">
        <w:rPr>
          <w:sz w:val="22"/>
          <w:szCs w:val="22"/>
        </w:rPr>
        <w:t> </w:t>
      </w:r>
      <w:r w:rsidRPr="003F564F">
        <w:rPr>
          <w:sz w:val="22"/>
          <w:szCs w:val="22"/>
        </w:rPr>
        <w:t>%</w:t>
      </w:r>
      <w:r w:rsidR="00AE55FF" w:rsidRPr="003F564F">
        <w:rPr>
          <w:sz w:val="22"/>
          <w:szCs w:val="22"/>
        </w:rPr>
        <w:t xml:space="preserve"> </w:t>
      </w:r>
      <w:proofErr w:type="spellStart"/>
      <w:r w:rsidRPr="003F564F">
        <w:rPr>
          <w:sz w:val="22"/>
          <w:szCs w:val="22"/>
        </w:rPr>
        <w:t>ruksolitinibo</w:t>
      </w:r>
      <w:proofErr w:type="spellEnd"/>
      <w:r w:rsidRPr="003F564F">
        <w:rPr>
          <w:sz w:val="22"/>
          <w:szCs w:val="22"/>
        </w:rPr>
        <w:t xml:space="preserve"> vartojusių pacientų ir 4,0</w:t>
      </w:r>
      <w:r w:rsidR="00AE55FF" w:rsidRPr="003F564F">
        <w:rPr>
          <w:sz w:val="22"/>
          <w:szCs w:val="22"/>
        </w:rPr>
        <w:t> </w:t>
      </w:r>
      <w:r w:rsidRPr="003F564F">
        <w:rPr>
          <w:sz w:val="22"/>
          <w:szCs w:val="22"/>
        </w:rPr>
        <w:t>% palyginamųjų grupių pacientų. Dėl pasireiškusios</w:t>
      </w:r>
      <w:r w:rsidR="00AE55FF" w:rsidRPr="003F564F">
        <w:rPr>
          <w:sz w:val="22"/>
          <w:szCs w:val="22"/>
        </w:rPr>
        <w:t xml:space="preserve"> </w:t>
      </w:r>
      <w:proofErr w:type="spellStart"/>
      <w:r w:rsidRPr="003F564F">
        <w:rPr>
          <w:sz w:val="22"/>
          <w:szCs w:val="22"/>
        </w:rPr>
        <w:t>trombocitopenijos</w:t>
      </w:r>
      <w:proofErr w:type="spellEnd"/>
      <w:r w:rsidRPr="003F564F">
        <w:rPr>
          <w:sz w:val="22"/>
          <w:szCs w:val="22"/>
        </w:rPr>
        <w:t xml:space="preserve"> vaistinių preparatų vartojimą nutraukė 0,7</w:t>
      </w:r>
      <w:r w:rsidR="00AE55FF" w:rsidRPr="003F564F">
        <w:rPr>
          <w:sz w:val="22"/>
          <w:szCs w:val="22"/>
        </w:rPr>
        <w:t> </w:t>
      </w:r>
      <w:r w:rsidRPr="003F564F">
        <w:rPr>
          <w:sz w:val="22"/>
          <w:szCs w:val="22"/>
        </w:rPr>
        <w:t xml:space="preserve">% </w:t>
      </w:r>
      <w:proofErr w:type="spellStart"/>
      <w:r w:rsidRPr="003F564F">
        <w:rPr>
          <w:sz w:val="22"/>
          <w:szCs w:val="22"/>
        </w:rPr>
        <w:t>ruksolitinibo</w:t>
      </w:r>
      <w:proofErr w:type="spellEnd"/>
      <w:r w:rsidRPr="003F564F">
        <w:rPr>
          <w:sz w:val="22"/>
          <w:szCs w:val="22"/>
        </w:rPr>
        <w:t xml:space="preserve"> vartojusių pacientų ir</w:t>
      </w:r>
      <w:r w:rsidR="00AE55FF" w:rsidRPr="003F564F">
        <w:rPr>
          <w:sz w:val="22"/>
          <w:szCs w:val="22"/>
        </w:rPr>
        <w:t xml:space="preserve"> </w:t>
      </w:r>
      <w:r w:rsidRPr="003F564F">
        <w:rPr>
          <w:sz w:val="22"/>
          <w:szCs w:val="22"/>
        </w:rPr>
        <w:t>0,9</w:t>
      </w:r>
      <w:r w:rsidR="00AE55FF" w:rsidRPr="003F564F">
        <w:rPr>
          <w:sz w:val="22"/>
          <w:szCs w:val="22"/>
        </w:rPr>
        <w:t> </w:t>
      </w:r>
      <w:r w:rsidRPr="003F564F">
        <w:rPr>
          <w:sz w:val="22"/>
          <w:szCs w:val="22"/>
        </w:rPr>
        <w:t xml:space="preserve">% palyginamųjų grupių pacientų. Pacientams, kuriems prieš pradedant vartoti </w:t>
      </w:r>
      <w:proofErr w:type="spellStart"/>
      <w:r w:rsidRPr="003F564F">
        <w:rPr>
          <w:sz w:val="22"/>
          <w:szCs w:val="22"/>
        </w:rPr>
        <w:t>ruksolitinibo</w:t>
      </w:r>
      <w:proofErr w:type="spellEnd"/>
      <w:r w:rsidR="00AE55FF" w:rsidRPr="003F564F">
        <w:rPr>
          <w:sz w:val="22"/>
          <w:szCs w:val="22"/>
        </w:rPr>
        <w:t xml:space="preserve"> </w:t>
      </w:r>
      <w:r w:rsidRPr="003F564F">
        <w:rPr>
          <w:sz w:val="22"/>
          <w:szCs w:val="22"/>
        </w:rPr>
        <w:t>trombocitų skaičius buvo nuo 100</w:t>
      </w:r>
      <w:r w:rsidR="00AE55FF" w:rsidRPr="003F564F">
        <w:rPr>
          <w:sz w:val="22"/>
          <w:szCs w:val="22"/>
        </w:rPr>
        <w:t> </w:t>
      </w:r>
      <w:r w:rsidRPr="003F564F">
        <w:rPr>
          <w:sz w:val="22"/>
          <w:szCs w:val="22"/>
        </w:rPr>
        <w:t>000/mm</w:t>
      </w:r>
      <w:r w:rsidRPr="003F564F">
        <w:rPr>
          <w:sz w:val="22"/>
          <w:szCs w:val="22"/>
          <w:vertAlign w:val="superscript"/>
        </w:rPr>
        <w:t>3</w:t>
      </w:r>
      <w:r w:rsidRPr="003F564F">
        <w:rPr>
          <w:sz w:val="22"/>
          <w:szCs w:val="22"/>
        </w:rPr>
        <w:t xml:space="preserve"> iki 200</w:t>
      </w:r>
      <w:r w:rsidR="00AE55FF" w:rsidRPr="003F564F">
        <w:rPr>
          <w:sz w:val="22"/>
          <w:szCs w:val="22"/>
        </w:rPr>
        <w:t> </w:t>
      </w:r>
      <w:r w:rsidRPr="003F564F">
        <w:rPr>
          <w:sz w:val="22"/>
          <w:szCs w:val="22"/>
        </w:rPr>
        <w:t>000/mm</w:t>
      </w:r>
      <w:r w:rsidRPr="003F564F">
        <w:rPr>
          <w:sz w:val="22"/>
          <w:szCs w:val="22"/>
          <w:vertAlign w:val="superscript"/>
        </w:rPr>
        <w:t>3</w:t>
      </w:r>
      <w:r w:rsidRPr="003F564F">
        <w:rPr>
          <w:sz w:val="22"/>
          <w:szCs w:val="22"/>
        </w:rPr>
        <w:t>, nustatytas didesnis 3</w:t>
      </w:r>
      <w:r w:rsidR="00AE55FF" w:rsidRPr="003F564F">
        <w:rPr>
          <w:sz w:val="22"/>
          <w:szCs w:val="22"/>
        </w:rPr>
        <w:noBreakHyphen/>
      </w:r>
      <w:r w:rsidRPr="003F564F">
        <w:rPr>
          <w:sz w:val="22"/>
          <w:szCs w:val="22"/>
        </w:rPr>
        <w:t>iojo ar 4</w:t>
      </w:r>
      <w:r w:rsidR="00AE55FF" w:rsidRPr="003F564F">
        <w:rPr>
          <w:sz w:val="22"/>
          <w:szCs w:val="22"/>
        </w:rPr>
        <w:noBreakHyphen/>
      </w:r>
      <w:r w:rsidRPr="003F564F">
        <w:rPr>
          <w:sz w:val="22"/>
          <w:szCs w:val="22"/>
        </w:rPr>
        <w:t>ojo</w:t>
      </w:r>
      <w:r w:rsidR="00AE55FF" w:rsidRPr="003F564F">
        <w:rPr>
          <w:sz w:val="22"/>
          <w:szCs w:val="22"/>
        </w:rPr>
        <w:t xml:space="preserve"> </w:t>
      </w:r>
      <w:r w:rsidRPr="003F564F">
        <w:rPr>
          <w:sz w:val="22"/>
          <w:szCs w:val="22"/>
        </w:rPr>
        <w:t xml:space="preserve">sunkumo laipsnių </w:t>
      </w:r>
      <w:proofErr w:type="spellStart"/>
      <w:r w:rsidRPr="003F564F">
        <w:rPr>
          <w:sz w:val="22"/>
          <w:szCs w:val="22"/>
        </w:rPr>
        <w:t>trombocitopenijos</w:t>
      </w:r>
      <w:proofErr w:type="spellEnd"/>
      <w:r w:rsidRPr="003F564F">
        <w:rPr>
          <w:sz w:val="22"/>
          <w:szCs w:val="22"/>
        </w:rPr>
        <w:t xml:space="preserve"> pasireiškimo dažnis, lyginant su tais pacientais, kuriems</w:t>
      </w:r>
      <w:r w:rsidR="00AE55FF" w:rsidRPr="003F564F">
        <w:rPr>
          <w:sz w:val="22"/>
          <w:szCs w:val="22"/>
        </w:rPr>
        <w:t xml:space="preserve"> </w:t>
      </w:r>
      <w:r w:rsidRPr="003F564F">
        <w:rPr>
          <w:sz w:val="22"/>
          <w:szCs w:val="22"/>
        </w:rPr>
        <w:t>trombocitų skaičius buvo &gt;</w:t>
      </w:r>
      <w:r w:rsidR="00AE55FF" w:rsidRPr="003F564F">
        <w:rPr>
          <w:sz w:val="22"/>
          <w:szCs w:val="22"/>
        </w:rPr>
        <w:t> </w:t>
      </w:r>
      <w:r w:rsidRPr="003F564F">
        <w:rPr>
          <w:sz w:val="22"/>
          <w:szCs w:val="22"/>
        </w:rPr>
        <w:t>200</w:t>
      </w:r>
      <w:r w:rsidR="00AE55FF" w:rsidRPr="003F564F">
        <w:rPr>
          <w:sz w:val="22"/>
          <w:szCs w:val="22"/>
        </w:rPr>
        <w:t> </w:t>
      </w:r>
      <w:r w:rsidRPr="003F564F">
        <w:rPr>
          <w:sz w:val="22"/>
          <w:szCs w:val="22"/>
        </w:rPr>
        <w:t>000/mm</w:t>
      </w:r>
      <w:r w:rsidRPr="003F564F">
        <w:rPr>
          <w:sz w:val="22"/>
          <w:szCs w:val="22"/>
          <w:vertAlign w:val="superscript"/>
        </w:rPr>
        <w:t>3</w:t>
      </w:r>
      <w:r w:rsidRPr="003F564F">
        <w:rPr>
          <w:sz w:val="22"/>
          <w:szCs w:val="22"/>
        </w:rPr>
        <w:t xml:space="preserve"> (64,2</w:t>
      </w:r>
      <w:r w:rsidR="00AE55FF" w:rsidRPr="003F564F">
        <w:rPr>
          <w:sz w:val="22"/>
          <w:szCs w:val="22"/>
        </w:rPr>
        <w:t> </w:t>
      </w:r>
      <w:r w:rsidRPr="003F564F">
        <w:rPr>
          <w:sz w:val="22"/>
          <w:szCs w:val="22"/>
        </w:rPr>
        <w:t>% lyginant su 38,5</w:t>
      </w:r>
      <w:r w:rsidR="00AE55FF" w:rsidRPr="003F564F">
        <w:rPr>
          <w:sz w:val="22"/>
          <w:szCs w:val="22"/>
        </w:rPr>
        <w:t> </w:t>
      </w:r>
      <w:r w:rsidRPr="003F564F">
        <w:rPr>
          <w:sz w:val="22"/>
          <w:szCs w:val="22"/>
        </w:rPr>
        <w:t>%).</w:t>
      </w:r>
    </w:p>
    <w:p w14:paraId="7301E83C" w14:textId="77777777" w:rsidR="00AE55FF" w:rsidRPr="003F564F" w:rsidRDefault="00AE55FF" w:rsidP="00627CC3">
      <w:pPr>
        <w:tabs>
          <w:tab w:val="left" w:pos="567"/>
        </w:tabs>
        <w:spacing w:line="260" w:lineRule="exact"/>
        <w:rPr>
          <w:sz w:val="22"/>
          <w:szCs w:val="22"/>
        </w:rPr>
      </w:pPr>
    </w:p>
    <w:p w14:paraId="63AFFE1E" w14:textId="573F235B" w:rsidR="009F34A7" w:rsidRPr="003F564F" w:rsidRDefault="009F34A7" w:rsidP="00627CC3">
      <w:pPr>
        <w:tabs>
          <w:tab w:val="left" w:pos="567"/>
        </w:tabs>
        <w:spacing w:line="260" w:lineRule="exact"/>
        <w:rPr>
          <w:sz w:val="22"/>
          <w:szCs w:val="22"/>
        </w:rPr>
      </w:pPr>
      <w:r w:rsidRPr="003F564F">
        <w:rPr>
          <w:sz w:val="22"/>
          <w:szCs w:val="22"/>
        </w:rPr>
        <w:t>Pagrindinių tyrimų atsitiktinių imčių laikotarpio duomenimis, pacientų dalis, kuriems pasireiškė</w:t>
      </w:r>
      <w:r w:rsidR="00AE55FF" w:rsidRPr="003F564F">
        <w:rPr>
          <w:sz w:val="22"/>
          <w:szCs w:val="22"/>
        </w:rPr>
        <w:t xml:space="preserve"> </w:t>
      </w:r>
      <w:proofErr w:type="spellStart"/>
      <w:r w:rsidRPr="003F564F">
        <w:rPr>
          <w:sz w:val="22"/>
          <w:szCs w:val="22"/>
        </w:rPr>
        <w:t>trombocitopenija</w:t>
      </w:r>
      <w:proofErr w:type="spellEnd"/>
      <w:r w:rsidRPr="003F564F">
        <w:rPr>
          <w:sz w:val="22"/>
          <w:szCs w:val="22"/>
        </w:rPr>
        <w:t>, TP sergančiųjų grupėje buvo mažesnė (16,8</w:t>
      </w:r>
      <w:r w:rsidR="00AE55FF" w:rsidRPr="003F564F">
        <w:rPr>
          <w:sz w:val="22"/>
          <w:szCs w:val="22"/>
        </w:rPr>
        <w:t> </w:t>
      </w:r>
      <w:r w:rsidRPr="003F564F">
        <w:rPr>
          <w:sz w:val="22"/>
          <w:szCs w:val="22"/>
        </w:rPr>
        <w:t>%) lyginant su sergančiaisiais MF</w:t>
      </w:r>
      <w:r w:rsidR="00AE55FF" w:rsidRPr="003F564F">
        <w:rPr>
          <w:sz w:val="22"/>
          <w:szCs w:val="22"/>
        </w:rPr>
        <w:t xml:space="preserve"> </w:t>
      </w:r>
      <w:r w:rsidRPr="003F564F">
        <w:rPr>
          <w:sz w:val="22"/>
          <w:szCs w:val="22"/>
        </w:rPr>
        <w:t>(69,8</w:t>
      </w:r>
      <w:r w:rsidR="00AE55FF" w:rsidRPr="003F564F">
        <w:rPr>
          <w:sz w:val="22"/>
          <w:szCs w:val="22"/>
        </w:rPr>
        <w:t> </w:t>
      </w:r>
      <w:r w:rsidRPr="003F564F">
        <w:rPr>
          <w:sz w:val="22"/>
          <w:szCs w:val="22"/>
        </w:rPr>
        <w:t>%). Sunkios (t. y., 3</w:t>
      </w:r>
      <w:r w:rsidR="00AE55FF" w:rsidRPr="003F564F">
        <w:rPr>
          <w:sz w:val="22"/>
          <w:szCs w:val="22"/>
        </w:rPr>
        <w:noBreakHyphen/>
      </w:r>
      <w:r w:rsidRPr="003F564F">
        <w:rPr>
          <w:sz w:val="22"/>
          <w:szCs w:val="22"/>
        </w:rPr>
        <w:t>iojo ir 4</w:t>
      </w:r>
      <w:r w:rsidR="00AE55FF" w:rsidRPr="003F564F">
        <w:rPr>
          <w:sz w:val="22"/>
          <w:szCs w:val="22"/>
        </w:rPr>
        <w:noBreakHyphen/>
      </w:r>
      <w:r w:rsidRPr="003F564F">
        <w:rPr>
          <w:sz w:val="22"/>
          <w:szCs w:val="22"/>
        </w:rPr>
        <w:t xml:space="preserve">ojo laipsnių pagal CTCAE kriterijus) </w:t>
      </w:r>
      <w:proofErr w:type="spellStart"/>
      <w:r w:rsidRPr="003F564F">
        <w:rPr>
          <w:sz w:val="22"/>
          <w:szCs w:val="22"/>
        </w:rPr>
        <w:t>trombocitopenijos</w:t>
      </w:r>
      <w:proofErr w:type="spellEnd"/>
      <w:r w:rsidRPr="003F564F">
        <w:rPr>
          <w:sz w:val="22"/>
          <w:szCs w:val="22"/>
        </w:rPr>
        <w:t xml:space="preserve"> atvejų</w:t>
      </w:r>
      <w:r w:rsidR="00AE55FF" w:rsidRPr="003F564F">
        <w:rPr>
          <w:sz w:val="22"/>
          <w:szCs w:val="22"/>
        </w:rPr>
        <w:t xml:space="preserve"> </w:t>
      </w:r>
      <w:r w:rsidRPr="003F564F">
        <w:rPr>
          <w:sz w:val="22"/>
          <w:szCs w:val="22"/>
        </w:rPr>
        <w:t>dažnis buvo mažesnis TP sergančiųjų grupėje (2,7</w:t>
      </w:r>
      <w:r w:rsidR="00AE55FF" w:rsidRPr="003F564F">
        <w:rPr>
          <w:sz w:val="22"/>
          <w:szCs w:val="22"/>
        </w:rPr>
        <w:t> </w:t>
      </w:r>
      <w:r w:rsidRPr="003F564F">
        <w:rPr>
          <w:sz w:val="22"/>
          <w:szCs w:val="22"/>
        </w:rPr>
        <w:t>%) nei sergantiesiems MF (11,6</w:t>
      </w:r>
      <w:r w:rsidR="00AE55FF" w:rsidRPr="003F564F">
        <w:rPr>
          <w:sz w:val="22"/>
          <w:szCs w:val="22"/>
        </w:rPr>
        <w:t> </w:t>
      </w:r>
      <w:r w:rsidRPr="003F564F">
        <w:rPr>
          <w:sz w:val="22"/>
          <w:szCs w:val="22"/>
        </w:rPr>
        <w:t>%).</w:t>
      </w:r>
    </w:p>
    <w:p w14:paraId="7F3B05B6" w14:textId="77777777" w:rsidR="00AE55FF" w:rsidRPr="003F564F" w:rsidRDefault="00AE55FF" w:rsidP="00627CC3">
      <w:pPr>
        <w:tabs>
          <w:tab w:val="left" w:pos="567"/>
        </w:tabs>
        <w:spacing w:line="260" w:lineRule="exact"/>
        <w:rPr>
          <w:sz w:val="22"/>
          <w:szCs w:val="22"/>
        </w:rPr>
      </w:pPr>
    </w:p>
    <w:p w14:paraId="43F00FD3" w14:textId="6F66FBC3" w:rsidR="009F34A7" w:rsidRPr="003F564F" w:rsidRDefault="009F34A7" w:rsidP="00627CC3">
      <w:pPr>
        <w:tabs>
          <w:tab w:val="left" w:pos="567"/>
        </w:tabs>
        <w:spacing w:line="260" w:lineRule="exact"/>
        <w:rPr>
          <w:sz w:val="22"/>
          <w:szCs w:val="22"/>
        </w:rPr>
      </w:pPr>
      <w:r w:rsidRPr="003F564F">
        <w:rPr>
          <w:sz w:val="22"/>
          <w:szCs w:val="22"/>
        </w:rPr>
        <w:t>III</w:t>
      </w:r>
      <w:r w:rsidR="001C33D9" w:rsidRPr="003F564F">
        <w:rPr>
          <w:sz w:val="22"/>
          <w:szCs w:val="22"/>
        </w:rPr>
        <w:t> </w:t>
      </w:r>
      <w:r w:rsidRPr="003F564F">
        <w:rPr>
          <w:sz w:val="22"/>
          <w:szCs w:val="22"/>
        </w:rPr>
        <w:t xml:space="preserve">fazės tyrimo (REACH2) su ūmine </w:t>
      </w:r>
      <w:proofErr w:type="spellStart"/>
      <w:r w:rsidRPr="003F564F">
        <w:rPr>
          <w:sz w:val="22"/>
          <w:szCs w:val="22"/>
        </w:rPr>
        <w:t>TpŠL</w:t>
      </w:r>
      <w:proofErr w:type="spellEnd"/>
      <w:r w:rsidRPr="003F564F">
        <w:rPr>
          <w:sz w:val="22"/>
          <w:szCs w:val="22"/>
        </w:rPr>
        <w:t xml:space="preserve"> sergančiais pacientais metu nustatyta, kad 3</w:t>
      </w:r>
      <w:r w:rsidR="001C33D9" w:rsidRPr="003F564F">
        <w:rPr>
          <w:sz w:val="22"/>
          <w:szCs w:val="22"/>
        </w:rPr>
        <w:noBreakHyphen/>
      </w:r>
      <w:r w:rsidRPr="003F564F">
        <w:rPr>
          <w:sz w:val="22"/>
          <w:szCs w:val="22"/>
        </w:rPr>
        <w:t>iojo ir 4</w:t>
      </w:r>
      <w:r w:rsidR="001C33D9" w:rsidRPr="003F564F">
        <w:rPr>
          <w:sz w:val="22"/>
          <w:szCs w:val="22"/>
        </w:rPr>
        <w:noBreakHyphen/>
      </w:r>
      <w:r w:rsidRPr="003F564F">
        <w:rPr>
          <w:sz w:val="22"/>
          <w:szCs w:val="22"/>
        </w:rPr>
        <w:t>ojo</w:t>
      </w:r>
      <w:r w:rsidR="00AE55FF" w:rsidRPr="003F564F">
        <w:rPr>
          <w:sz w:val="22"/>
          <w:szCs w:val="22"/>
        </w:rPr>
        <w:t xml:space="preserve"> </w:t>
      </w:r>
      <w:r w:rsidRPr="003F564F">
        <w:rPr>
          <w:sz w:val="22"/>
          <w:szCs w:val="22"/>
        </w:rPr>
        <w:t xml:space="preserve">laipsnių </w:t>
      </w:r>
      <w:proofErr w:type="spellStart"/>
      <w:r w:rsidRPr="003F564F">
        <w:rPr>
          <w:sz w:val="22"/>
          <w:szCs w:val="22"/>
        </w:rPr>
        <w:t>trombocitopenija</w:t>
      </w:r>
      <w:proofErr w:type="spellEnd"/>
      <w:r w:rsidRPr="003F564F">
        <w:rPr>
          <w:sz w:val="22"/>
          <w:szCs w:val="22"/>
        </w:rPr>
        <w:t xml:space="preserve"> pasireiškė atitinkamai 31,3</w:t>
      </w:r>
      <w:r w:rsidR="001C33D9" w:rsidRPr="003F564F">
        <w:rPr>
          <w:sz w:val="22"/>
          <w:szCs w:val="22"/>
        </w:rPr>
        <w:t> </w:t>
      </w:r>
      <w:r w:rsidRPr="003F564F">
        <w:rPr>
          <w:sz w:val="22"/>
          <w:szCs w:val="22"/>
        </w:rPr>
        <w:t>% ir 47,7</w:t>
      </w:r>
      <w:r w:rsidR="001C33D9" w:rsidRPr="003F564F">
        <w:rPr>
          <w:sz w:val="22"/>
          <w:szCs w:val="22"/>
        </w:rPr>
        <w:t> </w:t>
      </w:r>
      <w:r w:rsidRPr="003F564F">
        <w:rPr>
          <w:sz w:val="22"/>
          <w:szCs w:val="22"/>
        </w:rPr>
        <w:t>% pacientų. III</w:t>
      </w:r>
      <w:r w:rsidR="001C33D9" w:rsidRPr="003F564F">
        <w:rPr>
          <w:sz w:val="22"/>
          <w:szCs w:val="22"/>
        </w:rPr>
        <w:t> </w:t>
      </w:r>
      <w:r w:rsidRPr="003F564F">
        <w:rPr>
          <w:sz w:val="22"/>
          <w:szCs w:val="22"/>
        </w:rPr>
        <w:t>fazės tyrimo</w:t>
      </w:r>
      <w:r w:rsidR="00AE55FF" w:rsidRPr="003F564F">
        <w:rPr>
          <w:sz w:val="22"/>
          <w:szCs w:val="22"/>
        </w:rPr>
        <w:t xml:space="preserve"> </w:t>
      </w:r>
      <w:r w:rsidRPr="003F564F">
        <w:rPr>
          <w:sz w:val="22"/>
          <w:szCs w:val="22"/>
        </w:rPr>
        <w:t xml:space="preserve">(REACH3) su lėtine </w:t>
      </w:r>
      <w:proofErr w:type="spellStart"/>
      <w:r w:rsidRPr="003F564F">
        <w:rPr>
          <w:sz w:val="22"/>
          <w:szCs w:val="22"/>
        </w:rPr>
        <w:t>TpŠL</w:t>
      </w:r>
      <w:proofErr w:type="spellEnd"/>
      <w:r w:rsidRPr="003F564F">
        <w:rPr>
          <w:sz w:val="22"/>
          <w:szCs w:val="22"/>
        </w:rPr>
        <w:t xml:space="preserve"> sergančiais pacientais metu nustatyta, kad 3</w:t>
      </w:r>
      <w:r w:rsidR="001C33D9" w:rsidRPr="003F564F">
        <w:rPr>
          <w:sz w:val="22"/>
          <w:szCs w:val="22"/>
        </w:rPr>
        <w:noBreakHyphen/>
      </w:r>
      <w:r w:rsidRPr="003F564F">
        <w:rPr>
          <w:sz w:val="22"/>
          <w:szCs w:val="22"/>
        </w:rPr>
        <w:t>iojo ir 4</w:t>
      </w:r>
      <w:r w:rsidR="001C33D9" w:rsidRPr="003F564F">
        <w:rPr>
          <w:sz w:val="22"/>
          <w:szCs w:val="22"/>
        </w:rPr>
        <w:noBreakHyphen/>
      </w:r>
      <w:r w:rsidRPr="003F564F">
        <w:rPr>
          <w:sz w:val="22"/>
          <w:szCs w:val="22"/>
        </w:rPr>
        <w:t>ojo laipsnių</w:t>
      </w:r>
      <w:r w:rsidR="00AE55FF" w:rsidRPr="003F564F">
        <w:rPr>
          <w:sz w:val="22"/>
          <w:szCs w:val="22"/>
        </w:rPr>
        <w:t xml:space="preserve"> </w:t>
      </w:r>
      <w:proofErr w:type="spellStart"/>
      <w:r w:rsidRPr="003F564F">
        <w:rPr>
          <w:sz w:val="22"/>
          <w:szCs w:val="22"/>
        </w:rPr>
        <w:t>trombocitopenijos</w:t>
      </w:r>
      <w:proofErr w:type="spellEnd"/>
      <w:r w:rsidRPr="003F564F">
        <w:rPr>
          <w:sz w:val="22"/>
          <w:szCs w:val="22"/>
        </w:rPr>
        <w:t xml:space="preserve"> atvejų pasireiškė rečiau (5,9</w:t>
      </w:r>
      <w:r w:rsidR="001C33D9" w:rsidRPr="003F564F">
        <w:rPr>
          <w:sz w:val="22"/>
          <w:szCs w:val="22"/>
        </w:rPr>
        <w:t> </w:t>
      </w:r>
      <w:r w:rsidRPr="003F564F">
        <w:rPr>
          <w:sz w:val="22"/>
          <w:szCs w:val="22"/>
        </w:rPr>
        <w:t>% ir 10,7</w:t>
      </w:r>
      <w:r w:rsidR="001C33D9" w:rsidRPr="003F564F">
        <w:rPr>
          <w:sz w:val="22"/>
          <w:szCs w:val="22"/>
        </w:rPr>
        <w:t> </w:t>
      </w:r>
      <w:r w:rsidRPr="003F564F">
        <w:rPr>
          <w:sz w:val="22"/>
          <w:szCs w:val="22"/>
        </w:rPr>
        <w:t xml:space="preserve">%) nei ūmine </w:t>
      </w:r>
      <w:proofErr w:type="spellStart"/>
      <w:r w:rsidRPr="003F564F">
        <w:rPr>
          <w:sz w:val="22"/>
          <w:szCs w:val="22"/>
        </w:rPr>
        <w:t>TpŠL</w:t>
      </w:r>
      <w:proofErr w:type="spellEnd"/>
      <w:r w:rsidRPr="003F564F">
        <w:rPr>
          <w:sz w:val="22"/>
          <w:szCs w:val="22"/>
        </w:rPr>
        <w:t xml:space="preserve"> sergantiems pacientams.</w:t>
      </w:r>
      <w:r w:rsidR="00AE55FF" w:rsidRPr="003F564F">
        <w:rPr>
          <w:sz w:val="22"/>
          <w:szCs w:val="22"/>
        </w:rPr>
        <w:t xml:space="preserve"> </w:t>
      </w:r>
      <w:r w:rsidRPr="003F564F">
        <w:rPr>
          <w:sz w:val="22"/>
          <w:szCs w:val="22"/>
        </w:rPr>
        <w:t>3</w:t>
      </w:r>
      <w:r w:rsidR="001C33D9" w:rsidRPr="003F564F">
        <w:rPr>
          <w:sz w:val="22"/>
          <w:szCs w:val="22"/>
        </w:rPr>
        <w:noBreakHyphen/>
      </w:r>
      <w:r w:rsidRPr="003F564F">
        <w:rPr>
          <w:sz w:val="22"/>
          <w:szCs w:val="22"/>
        </w:rPr>
        <w:t>iojo ir 4</w:t>
      </w:r>
      <w:r w:rsidR="001C33D9" w:rsidRPr="003F564F">
        <w:rPr>
          <w:sz w:val="22"/>
          <w:szCs w:val="22"/>
        </w:rPr>
        <w:noBreakHyphen/>
      </w:r>
      <w:r w:rsidRPr="003F564F">
        <w:rPr>
          <w:sz w:val="22"/>
          <w:szCs w:val="22"/>
        </w:rPr>
        <w:t xml:space="preserve">ojo laipsnių </w:t>
      </w:r>
      <w:proofErr w:type="spellStart"/>
      <w:r w:rsidRPr="003F564F">
        <w:rPr>
          <w:sz w:val="22"/>
          <w:szCs w:val="22"/>
        </w:rPr>
        <w:t>trombocitopenijos</w:t>
      </w:r>
      <w:proofErr w:type="spellEnd"/>
      <w:r w:rsidRPr="003F564F">
        <w:rPr>
          <w:sz w:val="22"/>
          <w:szCs w:val="22"/>
        </w:rPr>
        <w:t xml:space="preserve"> atvejų pasireiškimo dažnis (atitinkamai 14,6</w:t>
      </w:r>
      <w:r w:rsidR="001C33D9" w:rsidRPr="003F564F">
        <w:rPr>
          <w:sz w:val="22"/>
          <w:szCs w:val="22"/>
        </w:rPr>
        <w:t> </w:t>
      </w:r>
      <w:r w:rsidRPr="003F564F">
        <w:rPr>
          <w:sz w:val="22"/>
          <w:szCs w:val="22"/>
        </w:rPr>
        <w:t>% ir 22,4</w:t>
      </w:r>
      <w:r w:rsidR="001C33D9" w:rsidRPr="003F564F">
        <w:rPr>
          <w:sz w:val="22"/>
          <w:szCs w:val="22"/>
        </w:rPr>
        <w:t> </w:t>
      </w:r>
      <w:r w:rsidRPr="003F564F">
        <w:rPr>
          <w:sz w:val="22"/>
          <w:szCs w:val="22"/>
        </w:rPr>
        <w:t>%)</w:t>
      </w:r>
      <w:r w:rsidR="00AE55FF" w:rsidRPr="003F564F">
        <w:rPr>
          <w:sz w:val="22"/>
          <w:szCs w:val="22"/>
        </w:rPr>
        <w:t xml:space="preserve"> </w:t>
      </w:r>
      <w:r w:rsidRPr="003F564F">
        <w:rPr>
          <w:sz w:val="22"/>
          <w:szCs w:val="22"/>
        </w:rPr>
        <w:t xml:space="preserve">ūmine </w:t>
      </w:r>
      <w:proofErr w:type="spellStart"/>
      <w:r w:rsidRPr="003F564F">
        <w:rPr>
          <w:sz w:val="22"/>
          <w:szCs w:val="22"/>
        </w:rPr>
        <w:t>TpŠL</w:t>
      </w:r>
      <w:proofErr w:type="spellEnd"/>
      <w:r w:rsidRPr="003F564F">
        <w:rPr>
          <w:sz w:val="22"/>
          <w:szCs w:val="22"/>
        </w:rPr>
        <w:t xml:space="preserve"> sergantiems vaikams buvo mažesnis nei nustatytasis REACH2 tyrimo metu. Lėtine </w:t>
      </w:r>
      <w:proofErr w:type="spellStart"/>
      <w:r w:rsidRPr="003F564F">
        <w:rPr>
          <w:sz w:val="22"/>
          <w:szCs w:val="22"/>
        </w:rPr>
        <w:t>TpŠL</w:t>
      </w:r>
      <w:proofErr w:type="spellEnd"/>
      <w:r w:rsidR="00AE55FF" w:rsidRPr="003F564F">
        <w:rPr>
          <w:sz w:val="22"/>
          <w:szCs w:val="22"/>
        </w:rPr>
        <w:t xml:space="preserve"> </w:t>
      </w:r>
      <w:r w:rsidRPr="003F564F">
        <w:rPr>
          <w:sz w:val="22"/>
          <w:szCs w:val="22"/>
        </w:rPr>
        <w:t>sergantiems vaikams 3</w:t>
      </w:r>
      <w:r w:rsidR="001C33D9" w:rsidRPr="003F564F">
        <w:rPr>
          <w:sz w:val="22"/>
          <w:szCs w:val="22"/>
        </w:rPr>
        <w:noBreakHyphen/>
      </w:r>
      <w:r w:rsidRPr="003F564F">
        <w:rPr>
          <w:sz w:val="22"/>
          <w:szCs w:val="22"/>
        </w:rPr>
        <w:t>iojo ir 4</w:t>
      </w:r>
      <w:r w:rsidR="001C33D9" w:rsidRPr="003F564F">
        <w:rPr>
          <w:sz w:val="22"/>
          <w:szCs w:val="22"/>
        </w:rPr>
        <w:noBreakHyphen/>
      </w:r>
      <w:r w:rsidRPr="003F564F">
        <w:rPr>
          <w:sz w:val="22"/>
          <w:szCs w:val="22"/>
        </w:rPr>
        <w:t xml:space="preserve">ojo laipsnių </w:t>
      </w:r>
      <w:proofErr w:type="spellStart"/>
      <w:r w:rsidRPr="003F564F">
        <w:rPr>
          <w:sz w:val="22"/>
          <w:szCs w:val="22"/>
        </w:rPr>
        <w:t>trombocitopenijos</w:t>
      </w:r>
      <w:proofErr w:type="spellEnd"/>
      <w:r w:rsidRPr="003F564F">
        <w:rPr>
          <w:sz w:val="22"/>
          <w:szCs w:val="22"/>
        </w:rPr>
        <w:t xml:space="preserve"> atvejų pasireiškė rečiau (7,7</w:t>
      </w:r>
      <w:r w:rsidR="001C33D9" w:rsidRPr="003F564F">
        <w:rPr>
          <w:sz w:val="22"/>
          <w:szCs w:val="22"/>
        </w:rPr>
        <w:t> </w:t>
      </w:r>
      <w:r w:rsidRPr="003F564F">
        <w:rPr>
          <w:sz w:val="22"/>
          <w:szCs w:val="22"/>
        </w:rPr>
        <w:t>% ir</w:t>
      </w:r>
      <w:r w:rsidR="00AE55FF" w:rsidRPr="003F564F">
        <w:rPr>
          <w:sz w:val="22"/>
          <w:szCs w:val="22"/>
        </w:rPr>
        <w:t xml:space="preserve"> </w:t>
      </w:r>
      <w:r w:rsidRPr="003F564F">
        <w:rPr>
          <w:sz w:val="22"/>
          <w:szCs w:val="22"/>
        </w:rPr>
        <w:t>11,1</w:t>
      </w:r>
      <w:r w:rsidR="001C33D9" w:rsidRPr="003F564F">
        <w:rPr>
          <w:sz w:val="22"/>
          <w:szCs w:val="22"/>
        </w:rPr>
        <w:t> </w:t>
      </w:r>
      <w:r w:rsidRPr="003F564F">
        <w:rPr>
          <w:sz w:val="22"/>
          <w:szCs w:val="22"/>
        </w:rPr>
        <w:t xml:space="preserve">%) nei ūmine </w:t>
      </w:r>
      <w:proofErr w:type="spellStart"/>
      <w:r w:rsidRPr="003F564F">
        <w:rPr>
          <w:sz w:val="22"/>
          <w:szCs w:val="22"/>
        </w:rPr>
        <w:t>TpŠL</w:t>
      </w:r>
      <w:proofErr w:type="spellEnd"/>
      <w:r w:rsidRPr="003F564F">
        <w:rPr>
          <w:sz w:val="22"/>
          <w:szCs w:val="22"/>
        </w:rPr>
        <w:t xml:space="preserve"> sergantiems vaikams.</w:t>
      </w:r>
    </w:p>
    <w:p w14:paraId="2526A21F" w14:textId="77777777" w:rsidR="00AE55FF" w:rsidRPr="003F564F" w:rsidRDefault="00AE55FF" w:rsidP="00627CC3">
      <w:pPr>
        <w:tabs>
          <w:tab w:val="left" w:pos="567"/>
        </w:tabs>
        <w:spacing w:line="260" w:lineRule="exact"/>
        <w:rPr>
          <w:sz w:val="22"/>
          <w:szCs w:val="22"/>
        </w:rPr>
      </w:pPr>
    </w:p>
    <w:p w14:paraId="6B9BF8D4" w14:textId="165710A7" w:rsidR="009F34A7" w:rsidRPr="003F564F" w:rsidRDefault="009F34A7" w:rsidP="00627CC3">
      <w:pPr>
        <w:tabs>
          <w:tab w:val="left" w:pos="567"/>
        </w:tabs>
        <w:spacing w:line="260" w:lineRule="exact"/>
        <w:rPr>
          <w:i/>
          <w:iCs/>
          <w:sz w:val="22"/>
          <w:szCs w:val="22"/>
          <w:u w:val="single"/>
        </w:rPr>
      </w:pPr>
      <w:proofErr w:type="spellStart"/>
      <w:r w:rsidRPr="003F564F">
        <w:rPr>
          <w:i/>
          <w:iCs/>
          <w:sz w:val="22"/>
          <w:szCs w:val="22"/>
          <w:u w:val="single"/>
        </w:rPr>
        <w:t>Neutropenija</w:t>
      </w:r>
      <w:proofErr w:type="spellEnd"/>
    </w:p>
    <w:p w14:paraId="626405FF" w14:textId="67B830F1" w:rsidR="009F34A7" w:rsidRPr="003F564F" w:rsidRDefault="009F34A7" w:rsidP="00627CC3">
      <w:pPr>
        <w:tabs>
          <w:tab w:val="left" w:pos="567"/>
        </w:tabs>
        <w:spacing w:line="260" w:lineRule="exact"/>
        <w:rPr>
          <w:sz w:val="22"/>
          <w:szCs w:val="22"/>
        </w:rPr>
      </w:pPr>
      <w:r w:rsidRPr="003F564F">
        <w:rPr>
          <w:sz w:val="22"/>
          <w:szCs w:val="22"/>
        </w:rPr>
        <w:t>III</w:t>
      </w:r>
      <w:r w:rsidR="001C33D9" w:rsidRPr="003F564F">
        <w:rPr>
          <w:sz w:val="22"/>
          <w:szCs w:val="22"/>
        </w:rPr>
        <w:t> </w:t>
      </w:r>
      <w:r w:rsidRPr="003F564F">
        <w:rPr>
          <w:sz w:val="22"/>
          <w:szCs w:val="22"/>
        </w:rPr>
        <w:t>fazės klinikinių tyrimų su sergančiaisiais MF metu pacientams, kuriems pasireiškė 3</w:t>
      </w:r>
      <w:r w:rsidR="001C33D9" w:rsidRPr="003F564F">
        <w:rPr>
          <w:sz w:val="22"/>
          <w:szCs w:val="22"/>
        </w:rPr>
        <w:noBreakHyphen/>
      </w:r>
      <w:r w:rsidRPr="003F564F">
        <w:rPr>
          <w:sz w:val="22"/>
          <w:szCs w:val="22"/>
        </w:rPr>
        <w:t>iojo ar 4</w:t>
      </w:r>
      <w:r w:rsidR="001C33D9" w:rsidRPr="003F564F">
        <w:rPr>
          <w:sz w:val="22"/>
          <w:szCs w:val="22"/>
        </w:rPr>
        <w:noBreakHyphen/>
      </w:r>
      <w:r w:rsidRPr="003F564F">
        <w:rPr>
          <w:sz w:val="22"/>
          <w:szCs w:val="22"/>
        </w:rPr>
        <w:t>ojo</w:t>
      </w:r>
      <w:r w:rsidR="00AE55FF" w:rsidRPr="003F564F">
        <w:rPr>
          <w:sz w:val="22"/>
          <w:szCs w:val="22"/>
        </w:rPr>
        <w:t xml:space="preserve"> </w:t>
      </w:r>
      <w:r w:rsidRPr="003F564F">
        <w:rPr>
          <w:sz w:val="22"/>
          <w:szCs w:val="22"/>
        </w:rPr>
        <w:t xml:space="preserve">sunkumo laipsnių </w:t>
      </w:r>
      <w:proofErr w:type="spellStart"/>
      <w:r w:rsidRPr="003F564F">
        <w:rPr>
          <w:sz w:val="22"/>
          <w:szCs w:val="22"/>
        </w:rPr>
        <w:t>neutropenija</w:t>
      </w:r>
      <w:proofErr w:type="spellEnd"/>
      <w:r w:rsidRPr="003F564F">
        <w:rPr>
          <w:sz w:val="22"/>
          <w:szCs w:val="22"/>
        </w:rPr>
        <w:t>, laiko iki šio reiškinio pasireiškimo mediana buvo 12</w:t>
      </w:r>
      <w:r w:rsidR="001C33D9" w:rsidRPr="003F564F">
        <w:rPr>
          <w:sz w:val="22"/>
          <w:szCs w:val="22"/>
        </w:rPr>
        <w:t> </w:t>
      </w:r>
      <w:r w:rsidRPr="003F564F">
        <w:rPr>
          <w:sz w:val="22"/>
          <w:szCs w:val="22"/>
        </w:rPr>
        <w:t>savaičių.</w:t>
      </w:r>
      <w:r w:rsidR="00AE55FF" w:rsidRPr="003F564F">
        <w:rPr>
          <w:sz w:val="22"/>
          <w:szCs w:val="22"/>
        </w:rPr>
        <w:t xml:space="preserve"> </w:t>
      </w:r>
      <w:r w:rsidRPr="003F564F">
        <w:rPr>
          <w:sz w:val="22"/>
          <w:szCs w:val="22"/>
        </w:rPr>
        <w:t xml:space="preserve">Atsitiktinių imčių tyrimo laikotarpiu dėl pasireiškusios </w:t>
      </w:r>
      <w:proofErr w:type="spellStart"/>
      <w:r w:rsidRPr="003F564F">
        <w:rPr>
          <w:sz w:val="22"/>
          <w:szCs w:val="22"/>
        </w:rPr>
        <w:t>neutropenijos</w:t>
      </w:r>
      <w:proofErr w:type="spellEnd"/>
      <w:r w:rsidRPr="003F564F">
        <w:rPr>
          <w:sz w:val="22"/>
          <w:szCs w:val="22"/>
        </w:rPr>
        <w:t xml:space="preserve"> vaistinio preparato vartojimą</w:t>
      </w:r>
      <w:r w:rsidR="00AE55FF" w:rsidRPr="003F564F">
        <w:rPr>
          <w:sz w:val="22"/>
          <w:szCs w:val="22"/>
        </w:rPr>
        <w:t xml:space="preserve"> </w:t>
      </w:r>
      <w:r w:rsidRPr="003F564F">
        <w:rPr>
          <w:sz w:val="22"/>
          <w:szCs w:val="22"/>
        </w:rPr>
        <w:t>laikinai nutraukti ar sumažinti dozę reikėjo 1,0</w:t>
      </w:r>
      <w:r w:rsidR="001C33D9" w:rsidRPr="003F564F">
        <w:rPr>
          <w:sz w:val="22"/>
          <w:szCs w:val="22"/>
        </w:rPr>
        <w:t> </w:t>
      </w:r>
      <w:r w:rsidRPr="003F564F">
        <w:rPr>
          <w:sz w:val="22"/>
          <w:szCs w:val="22"/>
        </w:rPr>
        <w:t>% pacientų, o 0,3</w:t>
      </w:r>
      <w:r w:rsidR="001C33D9" w:rsidRPr="003F564F">
        <w:rPr>
          <w:sz w:val="22"/>
          <w:szCs w:val="22"/>
        </w:rPr>
        <w:t> </w:t>
      </w:r>
      <w:r w:rsidRPr="003F564F">
        <w:rPr>
          <w:sz w:val="22"/>
          <w:szCs w:val="22"/>
        </w:rPr>
        <w:t xml:space="preserve">% pacientų dėl </w:t>
      </w:r>
      <w:proofErr w:type="spellStart"/>
      <w:r w:rsidRPr="003F564F">
        <w:rPr>
          <w:sz w:val="22"/>
          <w:szCs w:val="22"/>
        </w:rPr>
        <w:t>neutropenijos</w:t>
      </w:r>
      <w:proofErr w:type="spellEnd"/>
      <w:r w:rsidR="00AE55FF" w:rsidRPr="003F564F">
        <w:rPr>
          <w:sz w:val="22"/>
          <w:szCs w:val="22"/>
        </w:rPr>
        <w:t xml:space="preserve"> </w:t>
      </w:r>
      <w:r w:rsidRPr="003F564F">
        <w:rPr>
          <w:sz w:val="22"/>
          <w:szCs w:val="22"/>
        </w:rPr>
        <w:t>vaistinio preparato vartojimą nutraukė visam laikui.</w:t>
      </w:r>
    </w:p>
    <w:p w14:paraId="17B3B1F1" w14:textId="77777777" w:rsidR="00AE55FF" w:rsidRPr="003F564F" w:rsidRDefault="00AE55FF" w:rsidP="00627CC3">
      <w:pPr>
        <w:tabs>
          <w:tab w:val="left" w:pos="567"/>
        </w:tabs>
        <w:spacing w:line="260" w:lineRule="exact"/>
        <w:rPr>
          <w:sz w:val="22"/>
          <w:szCs w:val="22"/>
        </w:rPr>
      </w:pPr>
    </w:p>
    <w:p w14:paraId="64716109" w14:textId="7D503382" w:rsidR="009F34A7" w:rsidRPr="003F564F" w:rsidRDefault="009F34A7" w:rsidP="00627CC3">
      <w:pPr>
        <w:tabs>
          <w:tab w:val="left" w:pos="567"/>
        </w:tabs>
        <w:spacing w:line="260" w:lineRule="exact"/>
        <w:rPr>
          <w:sz w:val="22"/>
          <w:szCs w:val="22"/>
        </w:rPr>
      </w:pPr>
      <w:r w:rsidRPr="003F564F">
        <w:rPr>
          <w:sz w:val="22"/>
          <w:szCs w:val="22"/>
        </w:rPr>
        <w:t>Šių III</w:t>
      </w:r>
      <w:r w:rsidR="001C33D9" w:rsidRPr="003F564F">
        <w:rPr>
          <w:sz w:val="22"/>
          <w:szCs w:val="22"/>
        </w:rPr>
        <w:t> </w:t>
      </w:r>
      <w:r w:rsidRPr="003F564F">
        <w:rPr>
          <w:sz w:val="22"/>
          <w:szCs w:val="22"/>
        </w:rPr>
        <w:t>fazės tyrimų su TP sergančiais pacientais atsitiktinių imčių laikotarpio duomenimis,</w:t>
      </w:r>
      <w:r w:rsidR="00AE55FF" w:rsidRPr="003F564F">
        <w:rPr>
          <w:sz w:val="22"/>
          <w:szCs w:val="22"/>
        </w:rPr>
        <w:t xml:space="preserve"> </w:t>
      </w:r>
      <w:proofErr w:type="spellStart"/>
      <w:r w:rsidRPr="003F564F">
        <w:rPr>
          <w:sz w:val="22"/>
          <w:szCs w:val="22"/>
        </w:rPr>
        <w:t>neutropenija</w:t>
      </w:r>
      <w:proofErr w:type="spellEnd"/>
      <w:r w:rsidRPr="003F564F">
        <w:rPr>
          <w:sz w:val="22"/>
          <w:szCs w:val="22"/>
        </w:rPr>
        <w:t xml:space="preserve"> pasireiškė 1,6</w:t>
      </w:r>
      <w:r w:rsidR="001C33D9" w:rsidRPr="003F564F">
        <w:rPr>
          <w:sz w:val="22"/>
          <w:szCs w:val="22"/>
        </w:rPr>
        <w:t> </w:t>
      </w:r>
      <w:r w:rsidRPr="003F564F">
        <w:rPr>
          <w:sz w:val="22"/>
          <w:szCs w:val="22"/>
        </w:rPr>
        <w:t xml:space="preserve">% pacientų, kurie vartojo </w:t>
      </w:r>
      <w:proofErr w:type="spellStart"/>
      <w:r w:rsidRPr="003F564F">
        <w:rPr>
          <w:sz w:val="22"/>
          <w:szCs w:val="22"/>
        </w:rPr>
        <w:t>ruksolitinibo</w:t>
      </w:r>
      <w:proofErr w:type="spellEnd"/>
      <w:r w:rsidRPr="003F564F">
        <w:rPr>
          <w:sz w:val="22"/>
          <w:szCs w:val="22"/>
        </w:rPr>
        <w:t>, lyginant su 7</w:t>
      </w:r>
      <w:r w:rsidR="001C33D9" w:rsidRPr="003F564F">
        <w:rPr>
          <w:sz w:val="22"/>
          <w:szCs w:val="22"/>
        </w:rPr>
        <w:t> </w:t>
      </w:r>
      <w:r w:rsidRPr="003F564F">
        <w:rPr>
          <w:sz w:val="22"/>
          <w:szCs w:val="22"/>
        </w:rPr>
        <w:t>% pacientų</w:t>
      </w:r>
      <w:r w:rsidR="00AE55FF" w:rsidRPr="003F564F">
        <w:rPr>
          <w:sz w:val="22"/>
          <w:szCs w:val="22"/>
        </w:rPr>
        <w:t xml:space="preserve"> </w:t>
      </w:r>
      <w:r w:rsidRPr="003F564F">
        <w:rPr>
          <w:sz w:val="22"/>
          <w:szCs w:val="22"/>
        </w:rPr>
        <w:t xml:space="preserve">palyginamųjų vaistinių preparatų vartojusiųjų grupėse. </w:t>
      </w:r>
      <w:proofErr w:type="spellStart"/>
      <w:r w:rsidRPr="003F564F">
        <w:rPr>
          <w:sz w:val="22"/>
          <w:szCs w:val="22"/>
        </w:rPr>
        <w:t>Ruksolitinibo</w:t>
      </w:r>
      <w:proofErr w:type="spellEnd"/>
      <w:r w:rsidRPr="003F564F">
        <w:rPr>
          <w:sz w:val="22"/>
          <w:szCs w:val="22"/>
        </w:rPr>
        <w:t xml:space="preserve"> vartojusiųjų grupėje vienam</w:t>
      </w:r>
      <w:r w:rsidR="00AE55FF" w:rsidRPr="003F564F">
        <w:rPr>
          <w:sz w:val="22"/>
          <w:szCs w:val="22"/>
        </w:rPr>
        <w:t xml:space="preserve"> </w:t>
      </w:r>
      <w:r w:rsidRPr="003F564F">
        <w:rPr>
          <w:sz w:val="22"/>
          <w:szCs w:val="22"/>
        </w:rPr>
        <w:t>pacientui nustatyta 4</w:t>
      </w:r>
      <w:r w:rsidR="001C33D9" w:rsidRPr="003F564F">
        <w:rPr>
          <w:sz w:val="22"/>
          <w:szCs w:val="22"/>
        </w:rPr>
        <w:noBreakHyphen/>
      </w:r>
      <w:r w:rsidRPr="003F564F">
        <w:rPr>
          <w:sz w:val="22"/>
          <w:szCs w:val="22"/>
        </w:rPr>
        <w:t xml:space="preserve">ojo laipsnio pagal CTCAE kriterijus </w:t>
      </w:r>
      <w:proofErr w:type="spellStart"/>
      <w:r w:rsidRPr="003F564F">
        <w:rPr>
          <w:sz w:val="22"/>
          <w:szCs w:val="22"/>
        </w:rPr>
        <w:t>neutropenija</w:t>
      </w:r>
      <w:proofErr w:type="spellEnd"/>
      <w:r w:rsidRPr="003F564F">
        <w:rPr>
          <w:sz w:val="22"/>
          <w:szCs w:val="22"/>
        </w:rPr>
        <w:t>. Tęstinio stebėjimo laikotarpio</w:t>
      </w:r>
      <w:r w:rsidR="00AE55FF" w:rsidRPr="003F564F">
        <w:rPr>
          <w:sz w:val="22"/>
          <w:szCs w:val="22"/>
        </w:rPr>
        <w:t xml:space="preserve"> </w:t>
      </w:r>
      <w:r w:rsidRPr="003F564F">
        <w:rPr>
          <w:sz w:val="22"/>
          <w:szCs w:val="22"/>
        </w:rPr>
        <w:t xml:space="preserve">metu pacientų, kuriems buvo skiriama </w:t>
      </w:r>
      <w:proofErr w:type="spellStart"/>
      <w:r w:rsidRPr="003F564F">
        <w:rPr>
          <w:sz w:val="22"/>
          <w:szCs w:val="22"/>
        </w:rPr>
        <w:t>ruksolitinibo</w:t>
      </w:r>
      <w:proofErr w:type="spellEnd"/>
      <w:r w:rsidRPr="003F564F">
        <w:rPr>
          <w:sz w:val="22"/>
          <w:szCs w:val="22"/>
        </w:rPr>
        <w:t>, grupėje 2 pacientams buvo nustatyta 4</w:t>
      </w:r>
      <w:r w:rsidR="001C33D9" w:rsidRPr="003F564F">
        <w:rPr>
          <w:sz w:val="22"/>
          <w:szCs w:val="22"/>
        </w:rPr>
        <w:noBreakHyphen/>
      </w:r>
      <w:r w:rsidRPr="003F564F">
        <w:rPr>
          <w:sz w:val="22"/>
          <w:szCs w:val="22"/>
        </w:rPr>
        <w:t>ojo</w:t>
      </w:r>
      <w:r w:rsidR="00AE55FF" w:rsidRPr="003F564F">
        <w:rPr>
          <w:sz w:val="22"/>
          <w:szCs w:val="22"/>
        </w:rPr>
        <w:t xml:space="preserve"> </w:t>
      </w:r>
      <w:r w:rsidRPr="003F564F">
        <w:rPr>
          <w:sz w:val="22"/>
          <w:szCs w:val="22"/>
        </w:rPr>
        <w:t xml:space="preserve">laipsnio pagal CTCAE kriterijus </w:t>
      </w:r>
      <w:proofErr w:type="spellStart"/>
      <w:r w:rsidRPr="003F564F">
        <w:rPr>
          <w:sz w:val="22"/>
          <w:szCs w:val="22"/>
        </w:rPr>
        <w:t>neutropenija</w:t>
      </w:r>
      <w:proofErr w:type="spellEnd"/>
      <w:r w:rsidRPr="003F564F">
        <w:rPr>
          <w:sz w:val="22"/>
          <w:szCs w:val="22"/>
        </w:rPr>
        <w:t>.</w:t>
      </w:r>
    </w:p>
    <w:p w14:paraId="0E8D2FFD" w14:textId="77777777" w:rsidR="00AE55FF" w:rsidRPr="003F564F" w:rsidRDefault="00AE55FF" w:rsidP="00627CC3">
      <w:pPr>
        <w:tabs>
          <w:tab w:val="left" w:pos="567"/>
        </w:tabs>
        <w:spacing w:line="260" w:lineRule="exact"/>
        <w:rPr>
          <w:sz w:val="22"/>
          <w:szCs w:val="22"/>
        </w:rPr>
      </w:pPr>
    </w:p>
    <w:p w14:paraId="6D369002" w14:textId="4CFED263" w:rsidR="009F34A7" w:rsidRPr="003F564F" w:rsidRDefault="009F34A7" w:rsidP="00627CC3">
      <w:pPr>
        <w:tabs>
          <w:tab w:val="left" w:pos="567"/>
        </w:tabs>
        <w:spacing w:line="260" w:lineRule="exact"/>
        <w:rPr>
          <w:sz w:val="22"/>
          <w:szCs w:val="22"/>
        </w:rPr>
      </w:pPr>
      <w:r w:rsidRPr="003F564F">
        <w:rPr>
          <w:sz w:val="22"/>
          <w:szCs w:val="22"/>
        </w:rPr>
        <w:t>III</w:t>
      </w:r>
      <w:r w:rsidR="001C33D9" w:rsidRPr="003F564F">
        <w:rPr>
          <w:sz w:val="22"/>
          <w:szCs w:val="22"/>
        </w:rPr>
        <w:t> </w:t>
      </w:r>
      <w:r w:rsidRPr="003F564F">
        <w:rPr>
          <w:sz w:val="22"/>
          <w:szCs w:val="22"/>
        </w:rPr>
        <w:t xml:space="preserve">fazės tyrimo (REACH2) su ūmine </w:t>
      </w:r>
      <w:proofErr w:type="spellStart"/>
      <w:r w:rsidRPr="003F564F">
        <w:rPr>
          <w:sz w:val="22"/>
          <w:szCs w:val="22"/>
        </w:rPr>
        <w:t>TpŠL</w:t>
      </w:r>
      <w:proofErr w:type="spellEnd"/>
      <w:r w:rsidRPr="003F564F">
        <w:rPr>
          <w:sz w:val="22"/>
          <w:szCs w:val="22"/>
        </w:rPr>
        <w:t xml:space="preserve"> sergančiais pacientais metu nustatyta, kad 3</w:t>
      </w:r>
      <w:r w:rsidR="001C33D9" w:rsidRPr="003F564F">
        <w:rPr>
          <w:sz w:val="22"/>
          <w:szCs w:val="22"/>
        </w:rPr>
        <w:noBreakHyphen/>
      </w:r>
      <w:r w:rsidRPr="003F564F">
        <w:rPr>
          <w:sz w:val="22"/>
          <w:szCs w:val="22"/>
        </w:rPr>
        <w:t>iojo ir 4</w:t>
      </w:r>
      <w:r w:rsidR="001C33D9" w:rsidRPr="003F564F">
        <w:rPr>
          <w:sz w:val="22"/>
          <w:szCs w:val="22"/>
        </w:rPr>
        <w:noBreakHyphen/>
      </w:r>
      <w:r w:rsidRPr="003F564F">
        <w:rPr>
          <w:sz w:val="22"/>
          <w:szCs w:val="22"/>
        </w:rPr>
        <w:t>ojo</w:t>
      </w:r>
      <w:r w:rsidR="00AE55FF" w:rsidRPr="003F564F">
        <w:rPr>
          <w:sz w:val="22"/>
          <w:szCs w:val="22"/>
        </w:rPr>
        <w:t xml:space="preserve"> </w:t>
      </w:r>
      <w:r w:rsidRPr="003F564F">
        <w:rPr>
          <w:sz w:val="22"/>
          <w:szCs w:val="22"/>
        </w:rPr>
        <w:t xml:space="preserve">laipsnių </w:t>
      </w:r>
      <w:proofErr w:type="spellStart"/>
      <w:r w:rsidRPr="003F564F">
        <w:rPr>
          <w:sz w:val="22"/>
          <w:szCs w:val="22"/>
        </w:rPr>
        <w:t>neutropenija</w:t>
      </w:r>
      <w:proofErr w:type="spellEnd"/>
      <w:r w:rsidRPr="003F564F">
        <w:rPr>
          <w:sz w:val="22"/>
          <w:szCs w:val="22"/>
        </w:rPr>
        <w:t xml:space="preserve"> pasireiškė atitinkamai 17,9</w:t>
      </w:r>
      <w:r w:rsidR="001C33D9" w:rsidRPr="003F564F">
        <w:rPr>
          <w:sz w:val="22"/>
          <w:szCs w:val="22"/>
        </w:rPr>
        <w:t> </w:t>
      </w:r>
      <w:r w:rsidRPr="003F564F">
        <w:rPr>
          <w:sz w:val="22"/>
          <w:szCs w:val="22"/>
        </w:rPr>
        <w:t>% ir 20,6</w:t>
      </w:r>
      <w:r w:rsidR="001C33D9" w:rsidRPr="003F564F">
        <w:rPr>
          <w:sz w:val="22"/>
          <w:szCs w:val="22"/>
        </w:rPr>
        <w:t> </w:t>
      </w:r>
      <w:r w:rsidRPr="003F564F">
        <w:rPr>
          <w:sz w:val="22"/>
          <w:szCs w:val="22"/>
        </w:rPr>
        <w:t>% pacientų. III</w:t>
      </w:r>
      <w:r w:rsidR="001C33D9" w:rsidRPr="003F564F">
        <w:rPr>
          <w:sz w:val="22"/>
          <w:szCs w:val="22"/>
        </w:rPr>
        <w:t> </w:t>
      </w:r>
      <w:r w:rsidRPr="003F564F">
        <w:rPr>
          <w:sz w:val="22"/>
          <w:szCs w:val="22"/>
        </w:rPr>
        <w:t>fazės tyrimo (REACH3) su</w:t>
      </w:r>
      <w:r w:rsidR="00AE55FF" w:rsidRPr="003F564F">
        <w:rPr>
          <w:sz w:val="22"/>
          <w:szCs w:val="22"/>
        </w:rPr>
        <w:t xml:space="preserve"> </w:t>
      </w:r>
      <w:r w:rsidRPr="003F564F">
        <w:rPr>
          <w:sz w:val="22"/>
          <w:szCs w:val="22"/>
        </w:rPr>
        <w:t xml:space="preserve">lėtine </w:t>
      </w:r>
      <w:proofErr w:type="spellStart"/>
      <w:r w:rsidRPr="003F564F">
        <w:rPr>
          <w:sz w:val="22"/>
          <w:szCs w:val="22"/>
        </w:rPr>
        <w:t>TpŠL</w:t>
      </w:r>
      <w:proofErr w:type="spellEnd"/>
      <w:r w:rsidRPr="003F564F">
        <w:rPr>
          <w:sz w:val="22"/>
          <w:szCs w:val="22"/>
        </w:rPr>
        <w:t xml:space="preserve"> sergančiais pacientais metu nustatyta, kad 3</w:t>
      </w:r>
      <w:r w:rsidR="001C33D9" w:rsidRPr="003F564F">
        <w:rPr>
          <w:sz w:val="22"/>
          <w:szCs w:val="22"/>
        </w:rPr>
        <w:noBreakHyphen/>
      </w:r>
      <w:r w:rsidRPr="003F564F">
        <w:rPr>
          <w:sz w:val="22"/>
          <w:szCs w:val="22"/>
        </w:rPr>
        <w:t>iojo ir 4</w:t>
      </w:r>
      <w:r w:rsidR="001C33D9" w:rsidRPr="003F564F">
        <w:rPr>
          <w:sz w:val="22"/>
          <w:szCs w:val="22"/>
        </w:rPr>
        <w:noBreakHyphen/>
      </w:r>
      <w:r w:rsidRPr="003F564F">
        <w:rPr>
          <w:sz w:val="22"/>
          <w:szCs w:val="22"/>
        </w:rPr>
        <w:t xml:space="preserve">ojo laipsnių </w:t>
      </w:r>
      <w:proofErr w:type="spellStart"/>
      <w:r w:rsidRPr="003F564F">
        <w:rPr>
          <w:sz w:val="22"/>
          <w:szCs w:val="22"/>
        </w:rPr>
        <w:t>neutropenijos</w:t>
      </w:r>
      <w:proofErr w:type="spellEnd"/>
      <w:r w:rsidRPr="003F564F">
        <w:rPr>
          <w:sz w:val="22"/>
          <w:szCs w:val="22"/>
        </w:rPr>
        <w:t xml:space="preserve"> atvejų</w:t>
      </w:r>
      <w:r w:rsidR="00AE55FF" w:rsidRPr="003F564F">
        <w:rPr>
          <w:sz w:val="22"/>
          <w:szCs w:val="22"/>
        </w:rPr>
        <w:t xml:space="preserve"> </w:t>
      </w:r>
      <w:r w:rsidRPr="003F564F">
        <w:rPr>
          <w:sz w:val="22"/>
          <w:szCs w:val="22"/>
        </w:rPr>
        <w:t>pasireiškė rečiau (9,5</w:t>
      </w:r>
      <w:r w:rsidR="001C33D9" w:rsidRPr="003F564F">
        <w:rPr>
          <w:sz w:val="22"/>
          <w:szCs w:val="22"/>
        </w:rPr>
        <w:t> </w:t>
      </w:r>
      <w:r w:rsidRPr="003F564F">
        <w:rPr>
          <w:sz w:val="22"/>
          <w:szCs w:val="22"/>
        </w:rPr>
        <w:t>% ir 6,7</w:t>
      </w:r>
      <w:r w:rsidR="001C33D9" w:rsidRPr="003F564F">
        <w:rPr>
          <w:sz w:val="22"/>
          <w:szCs w:val="22"/>
        </w:rPr>
        <w:t> </w:t>
      </w:r>
      <w:r w:rsidRPr="003F564F">
        <w:rPr>
          <w:sz w:val="22"/>
          <w:szCs w:val="22"/>
        </w:rPr>
        <w:t xml:space="preserve">%) nei ūmine </w:t>
      </w:r>
      <w:proofErr w:type="spellStart"/>
      <w:r w:rsidRPr="003F564F">
        <w:rPr>
          <w:sz w:val="22"/>
          <w:szCs w:val="22"/>
        </w:rPr>
        <w:t>TpŠL</w:t>
      </w:r>
      <w:proofErr w:type="spellEnd"/>
      <w:r w:rsidRPr="003F564F">
        <w:rPr>
          <w:sz w:val="22"/>
          <w:szCs w:val="22"/>
        </w:rPr>
        <w:t xml:space="preserve"> sergantiems pacientams. Vaikams 3</w:t>
      </w:r>
      <w:r w:rsidR="001C33D9" w:rsidRPr="003F564F">
        <w:rPr>
          <w:sz w:val="22"/>
          <w:szCs w:val="22"/>
        </w:rPr>
        <w:noBreakHyphen/>
      </w:r>
      <w:r w:rsidRPr="003F564F">
        <w:rPr>
          <w:sz w:val="22"/>
          <w:szCs w:val="22"/>
        </w:rPr>
        <w:t>iojo ir 4</w:t>
      </w:r>
      <w:r w:rsidR="001C33D9" w:rsidRPr="003F564F">
        <w:rPr>
          <w:sz w:val="22"/>
          <w:szCs w:val="22"/>
        </w:rPr>
        <w:noBreakHyphen/>
      </w:r>
      <w:r w:rsidRPr="003F564F">
        <w:rPr>
          <w:sz w:val="22"/>
          <w:szCs w:val="22"/>
        </w:rPr>
        <w:t>ojo</w:t>
      </w:r>
      <w:r w:rsidR="00AE55FF" w:rsidRPr="003F564F">
        <w:rPr>
          <w:sz w:val="22"/>
          <w:szCs w:val="22"/>
        </w:rPr>
        <w:t xml:space="preserve"> </w:t>
      </w:r>
      <w:r w:rsidRPr="003F564F">
        <w:rPr>
          <w:sz w:val="22"/>
          <w:szCs w:val="22"/>
        </w:rPr>
        <w:t xml:space="preserve">laipsnių </w:t>
      </w:r>
      <w:proofErr w:type="spellStart"/>
      <w:r w:rsidRPr="003F564F">
        <w:rPr>
          <w:sz w:val="22"/>
          <w:szCs w:val="22"/>
        </w:rPr>
        <w:t>neutropenijos</w:t>
      </w:r>
      <w:proofErr w:type="spellEnd"/>
      <w:r w:rsidRPr="003F564F">
        <w:rPr>
          <w:sz w:val="22"/>
          <w:szCs w:val="22"/>
        </w:rPr>
        <w:t xml:space="preserve"> atvejų pasireiškimo dažnis buvo atitinkamai 32,0</w:t>
      </w:r>
      <w:r w:rsidR="001C33D9" w:rsidRPr="003F564F">
        <w:rPr>
          <w:sz w:val="22"/>
          <w:szCs w:val="22"/>
        </w:rPr>
        <w:t> </w:t>
      </w:r>
      <w:r w:rsidRPr="003F564F">
        <w:rPr>
          <w:sz w:val="22"/>
          <w:szCs w:val="22"/>
        </w:rPr>
        <w:t>% ir 22,0</w:t>
      </w:r>
      <w:r w:rsidR="001C33D9" w:rsidRPr="003F564F">
        <w:rPr>
          <w:sz w:val="22"/>
          <w:szCs w:val="22"/>
        </w:rPr>
        <w:t> </w:t>
      </w:r>
      <w:r w:rsidRPr="003F564F">
        <w:rPr>
          <w:sz w:val="22"/>
          <w:szCs w:val="22"/>
        </w:rPr>
        <w:t>% (sergantiems</w:t>
      </w:r>
      <w:r w:rsidR="00AE55FF" w:rsidRPr="003F564F">
        <w:rPr>
          <w:sz w:val="22"/>
          <w:szCs w:val="22"/>
        </w:rPr>
        <w:t xml:space="preserve"> </w:t>
      </w:r>
      <w:r w:rsidRPr="003F564F">
        <w:rPr>
          <w:sz w:val="22"/>
          <w:szCs w:val="22"/>
        </w:rPr>
        <w:t xml:space="preserve">ūmine </w:t>
      </w:r>
      <w:proofErr w:type="spellStart"/>
      <w:r w:rsidRPr="003F564F">
        <w:rPr>
          <w:sz w:val="22"/>
          <w:szCs w:val="22"/>
        </w:rPr>
        <w:t>TpŠL</w:t>
      </w:r>
      <w:proofErr w:type="spellEnd"/>
      <w:r w:rsidRPr="003F564F">
        <w:rPr>
          <w:sz w:val="22"/>
          <w:szCs w:val="22"/>
        </w:rPr>
        <w:t>) bei 17,3</w:t>
      </w:r>
      <w:r w:rsidR="001C33D9" w:rsidRPr="003F564F">
        <w:rPr>
          <w:sz w:val="22"/>
          <w:szCs w:val="22"/>
        </w:rPr>
        <w:t> </w:t>
      </w:r>
      <w:r w:rsidRPr="003F564F">
        <w:rPr>
          <w:sz w:val="22"/>
          <w:szCs w:val="22"/>
        </w:rPr>
        <w:t>% ir 11,1</w:t>
      </w:r>
      <w:r w:rsidR="001C33D9" w:rsidRPr="003F564F">
        <w:rPr>
          <w:sz w:val="22"/>
          <w:szCs w:val="22"/>
        </w:rPr>
        <w:t> </w:t>
      </w:r>
      <w:r w:rsidRPr="003F564F">
        <w:rPr>
          <w:sz w:val="22"/>
          <w:szCs w:val="22"/>
        </w:rPr>
        <w:t xml:space="preserve">% (sergantiems lėtine </w:t>
      </w:r>
      <w:proofErr w:type="spellStart"/>
      <w:r w:rsidRPr="003F564F">
        <w:rPr>
          <w:sz w:val="22"/>
          <w:szCs w:val="22"/>
        </w:rPr>
        <w:t>TpŠL</w:t>
      </w:r>
      <w:proofErr w:type="spellEnd"/>
      <w:r w:rsidRPr="003F564F">
        <w:rPr>
          <w:sz w:val="22"/>
          <w:szCs w:val="22"/>
        </w:rPr>
        <w:t>).</w:t>
      </w:r>
    </w:p>
    <w:p w14:paraId="37FDC749" w14:textId="77777777" w:rsidR="00AE55FF" w:rsidRPr="003F564F" w:rsidRDefault="00AE55FF" w:rsidP="00627CC3">
      <w:pPr>
        <w:tabs>
          <w:tab w:val="left" w:pos="567"/>
        </w:tabs>
        <w:spacing w:line="260" w:lineRule="exact"/>
        <w:rPr>
          <w:sz w:val="22"/>
          <w:szCs w:val="22"/>
        </w:rPr>
      </w:pPr>
    </w:p>
    <w:p w14:paraId="613F8FE4" w14:textId="5976A751" w:rsidR="009F34A7" w:rsidRPr="003F564F" w:rsidRDefault="009F34A7" w:rsidP="00627CC3">
      <w:pPr>
        <w:tabs>
          <w:tab w:val="left" w:pos="567"/>
        </w:tabs>
        <w:spacing w:line="260" w:lineRule="exact"/>
        <w:rPr>
          <w:i/>
          <w:iCs/>
          <w:sz w:val="22"/>
          <w:szCs w:val="22"/>
          <w:u w:val="single"/>
        </w:rPr>
      </w:pPr>
      <w:r w:rsidRPr="003F564F">
        <w:rPr>
          <w:i/>
          <w:iCs/>
          <w:sz w:val="22"/>
          <w:szCs w:val="22"/>
          <w:u w:val="single"/>
        </w:rPr>
        <w:t>Kraujavimas</w:t>
      </w:r>
    </w:p>
    <w:p w14:paraId="0EA4EDB7" w14:textId="715BC6E2" w:rsidR="009F34A7" w:rsidRPr="003F564F" w:rsidRDefault="009F34A7" w:rsidP="00627CC3">
      <w:pPr>
        <w:tabs>
          <w:tab w:val="left" w:pos="567"/>
        </w:tabs>
        <w:spacing w:line="260" w:lineRule="exact"/>
        <w:rPr>
          <w:sz w:val="22"/>
          <w:szCs w:val="22"/>
        </w:rPr>
      </w:pPr>
      <w:r w:rsidRPr="003F564F">
        <w:rPr>
          <w:sz w:val="22"/>
          <w:szCs w:val="22"/>
        </w:rPr>
        <w:t>III</w:t>
      </w:r>
      <w:r w:rsidR="001C33D9" w:rsidRPr="003F564F">
        <w:t> </w:t>
      </w:r>
      <w:r w:rsidRPr="003F564F">
        <w:rPr>
          <w:sz w:val="22"/>
          <w:szCs w:val="22"/>
        </w:rPr>
        <w:t>fazės pagrindinių klinikinių tyrimų su sergančiaisiais MF metu kraujavimo reiškinių (įskaitant</w:t>
      </w:r>
      <w:r w:rsidR="001C33D9" w:rsidRPr="003F564F">
        <w:rPr>
          <w:sz w:val="22"/>
          <w:szCs w:val="22"/>
        </w:rPr>
        <w:t xml:space="preserve"> </w:t>
      </w:r>
      <w:proofErr w:type="spellStart"/>
      <w:r w:rsidRPr="003F564F">
        <w:rPr>
          <w:sz w:val="22"/>
          <w:szCs w:val="22"/>
        </w:rPr>
        <w:t>intrakranijinį</w:t>
      </w:r>
      <w:proofErr w:type="spellEnd"/>
      <w:r w:rsidRPr="003F564F">
        <w:rPr>
          <w:sz w:val="22"/>
          <w:szCs w:val="22"/>
        </w:rPr>
        <w:t xml:space="preserve"> ir iš virškinimo trakto, kraujosruvas ir kitokį kraujavimą) pasireiškė 32,6</w:t>
      </w:r>
      <w:r w:rsidR="001C33D9" w:rsidRPr="003F564F">
        <w:rPr>
          <w:sz w:val="22"/>
          <w:szCs w:val="22"/>
        </w:rPr>
        <w:t> </w:t>
      </w:r>
      <w:r w:rsidRPr="003F564F">
        <w:rPr>
          <w:sz w:val="22"/>
          <w:szCs w:val="22"/>
        </w:rPr>
        <w:t xml:space="preserve">% </w:t>
      </w:r>
      <w:proofErr w:type="spellStart"/>
      <w:r w:rsidRPr="003F564F">
        <w:rPr>
          <w:sz w:val="22"/>
          <w:szCs w:val="22"/>
        </w:rPr>
        <w:t>ruksolitinibo</w:t>
      </w:r>
      <w:proofErr w:type="spellEnd"/>
      <w:r w:rsidR="001C33D9" w:rsidRPr="003F564F">
        <w:rPr>
          <w:sz w:val="22"/>
          <w:szCs w:val="22"/>
        </w:rPr>
        <w:t xml:space="preserve"> </w:t>
      </w:r>
      <w:r w:rsidRPr="003F564F">
        <w:rPr>
          <w:sz w:val="22"/>
          <w:szCs w:val="22"/>
        </w:rPr>
        <w:t>vartojusių pacientų ir 23,2</w:t>
      </w:r>
      <w:r w:rsidR="001C33D9" w:rsidRPr="003F564F">
        <w:rPr>
          <w:sz w:val="22"/>
          <w:szCs w:val="22"/>
        </w:rPr>
        <w:t> </w:t>
      </w:r>
      <w:r w:rsidRPr="003F564F">
        <w:rPr>
          <w:sz w:val="22"/>
          <w:szCs w:val="22"/>
        </w:rPr>
        <w:t>% palyginamųjų grupių (placebo ar geriausio prieinamo gydymo grupės)</w:t>
      </w:r>
      <w:r w:rsidR="001C33D9" w:rsidRPr="003F564F">
        <w:rPr>
          <w:sz w:val="22"/>
          <w:szCs w:val="22"/>
        </w:rPr>
        <w:t xml:space="preserve"> </w:t>
      </w:r>
      <w:r w:rsidRPr="003F564F">
        <w:rPr>
          <w:sz w:val="22"/>
          <w:szCs w:val="22"/>
        </w:rPr>
        <w:lastRenderedPageBreak/>
        <w:t>pacientų. 3</w:t>
      </w:r>
      <w:r w:rsidR="001C33D9" w:rsidRPr="003F564F">
        <w:rPr>
          <w:sz w:val="22"/>
          <w:szCs w:val="22"/>
        </w:rPr>
        <w:noBreakHyphen/>
      </w:r>
      <w:r w:rsidRPr="003F564F">
        <w:rPr>
          <w:sz w:val="22"/>
          <w:szCs w:val="22"/>
        </w:rPr>
        <w:t>4</w:t>
      </w:r>
      <w:r w:rsidR="001C33D9" w:rsidRPr="003F564F">
        <w:rPr>
          <w:sz w:val="22"/>
          <w:szCs w:val="22"/>
        </w:rPr>
        <w:noBreakHyphen/>
      </w:r>
      <w:r w:rsidRPr="003F564F">
        <w:rPr>
          <w:sz w:val="22"/>
          <w:szCs w:val="22"/>
        </w:rPr>
        <w:t>ojo sunkumo laipsnių kraujavimo reiškinių pasireiškimo dažnis buvo panašus tiek</w:t>
      </w:r>
      <w:r w:rsidR="001C33D9" w:rsidRPr="003F564F">
        <w:rPr>
          <w:sz w:val="22"/>
          <w:szCs w:val="22"/>
        </w:rPr>
        <w:t xml:space="preserve"> </w:t>
      </w:r>
      <w:proofErr w:type="spellStart"/>
      <w:r w:rsidRPr="003F564F">
        <w:rPr>
          <w:sz w:val="22"/>
          <w:szCs w:val="22"/>
        </w:rPr>
        <w:t>ruksolitinibo</w:t>
      </w:r>
      <w:proofErr w:type="spellEnd"/>
      <w:r w:rsidRPr="003F564F">
        <w:rPr>
          <w:sz w:val="22"/>
          <w:szCs w:val="22"/>
        </w:rPr>
        <w:t>, tiek palyginamųjų vaistinių preparatų vartojusiųjų grupėse (4,7</w:t>
      </w:r>
      <w:r w:rsidR="001C33D9" w:rsidRPr="003F564F">
        <w:rPr>
          <w:sz w:val="22"/>
          <w:szCs w:val="22"/>
        </w:rPr>
        <w:t> </w:t>
      </w:r>
      <w:r w:rsidRPr="003F564F">
        <w:rPr>
          <w:sz w:val="22"/>
          <w:szCs w:val="22"/>
        </w:rPr>
        <w:t>% lyginant su 3,1</w:t>
      </w:r>
      <w:r w:rsidR="001C33D9" w:rsidRPr="003F564F">
        <w:rPr>
          <w:sz w:val="22"/>
          <w:szCs w:val="22"/>
        </w:rPr>
        <w:t> </w:t>
      </w:r>
      <w:r w:rsidRPr="003F564F">
        <w:rPr>
          <w:sz w:val="22"/>
          <w:szCs w:val="22"/>
        </w:rPr>
        <w:t>%).</w:t>
      </w:r>
      <w:r w:rsidR="001C33D9" w:rsidRPr="003F564F">
        <w:rPr>
          <w:sz w:val="22"/>
          <w:szCs w:val="22"/>
        </w:rPr>
        <w:t xml:space="preserve"> </w:t>
      </w:r>
      <w:r w:rsidRPr="003F564F">
        <w:rPr>
          <w:sz w:val="22"/>
          <w:szCs w:val="22"/>
        </w:rPr>
        <w:t>Daugumai pacientų, kuriems tiriamųjų vaistinių preparatų vartojimo metu pasireiškė su kraujavimu</w:t>
      </w:r>
      <w:r w:rsidR="001C33D9" w:rsidRPr="003F564F">
        <w:rPr>
          <w:sz w:val="22"/>
          <w:szCs w:val="22"/>
        </w:rPr>
        <w:t xml:space="preserve"> </w:t>
      </w:r>
      <w:r w:rsidRPr="003F564F">
        <w:rPr>
          <w:sz w:val="22"/>
          <w:szCs w:val="22"/>
        </w:rPr>
        <w:t>susijusių reiškinių, nurodė, kad tai buvo kraujosruvos (65,3</w:t>
      </w:r>
      <w:r w:rsidR="000A668B" w:rsidRPr="003F564F">
        <w:rPr>
          <w:sz w:val="22"/>
          <w:szCs w:val="22"/>
        </w:rPr>
        <w:t> </w:t>
      </w:r>
      <w:r w:rsidRPr="003F564F">
        <w:rPr>
          <w:sz w:val="22"/>
          <w:szCs w:val="22"/>
        </w:rPr>
        <w:t>%). Kraujosruvų dažniau pasireiškė</w:t>
      </w:r>
      <w:r w:rsidR="001C33D9" w:rsidRPr="003F564F">
        <w:rPr>
          <w:sz w:val="22"/>
          <w:szCs w:val="22"/>
        </w:rPr>
        <w:t xml:space="preserve"> </w:t>
      </w:r>
      <w:proofErr w:type="spellStart"/>
      <w:r w:rsidRPr="003F564F">
        <w:rPr>
          <w:sz w:val="22"/>
          <w:szCs w:val="22"/>
        </w:rPr>
        <w:t>ruksolitinibo</w:t>
      </w:r>
      <w:proofErr w:type="spellEnd"/>
      <w:r w:rsidRPr="003F564F">
        <w:rPr>
          <w:sz w:val="22"/>
          <w:szCs w:val="22"/>
        </w:rPr>
        <w:t xml:space="preserve"> vartojusiems pacientams, lyginant su palyginamųjų grupių pacientais (21,3</w:t>
      </w:r>
      <w:r w:rsidR="000A668B" w:rsidRPr="003F564F">
        <w:rPr>
          <w:sz w:val="22"/>
          <w:szCs w:val="22"/>
        </w:rPr>
        <w:t> </w:t>
      </w:r>
      <w:r w:rsidRPr="003F564F">
        <w:rPr>
          <w:sz w:val="22"/>
          <w:szCs w:val="22"/>
        </w:rPr>
        <w:t>% lyginant su</w:t>
      </w:r>
      <w:r w:rsidR="001C33D9" w:rsidRPr="003F564F">
        <w:rPr>
          <w:sz w:val="22"/>
          <w:szCs w:val="22"/>
        </w:rPr>
        <w:t xml:space="preserve"> </w:t>
      </w:r>
      <w:r w:rsidRPr="003F564F">
        <w:rPr>
          <w:sz w:val="22"/>
          <w:szCs w:val="22"/>
        </w:rPr>
        <w:t>11,6</w:t>
      </w:r>
      <w:r w:rsidR="000A668B" w:rsidRPr="003F564F">
        <w:rPr>
          <w:sz w:val="22"/>
          <w:szCs w:val="22"/>
        </w:rPr>
        <w:t> </w:t>
      </w:r>
      <w:r w:rsidRPr="003F564F">
        <w:rPr>
          <w:sz w:val="22"/>
          <w:szCs w:val="22"/>
        </w:rPr>
        <w:t xml:space="preserve">%). </w:t>
      </w:r>
      <w:proofErr w:type="spellStart"/>
      <w:r w:rsidRPr="003F564F">
        <w:rPr>
          <w:sz w:val="22"/>
          <w:szCs w:val="22"/>
        </w:rPr>
        <w:t>Intrakranijinių</w:t>
      </w:r>
      <w:proofErr w:type="spellEnd"/>
      <w:r w:rsidRPr="003F564F">
        <w:rPr>
          <w:sz w:val="22"/>
          <w:szCs w:val="22"/>
        </w:rPr>
        <w:t xml:space="preserve"> kraujavimo atvejų pasireiškė 1</w:t>
      </w:r>
      <w:r w:rsidR="000A668B" w:rsidRPr="003F564F">
        <w:rPr>
          <w:sz w:val="22"/>
          <w:szCs w:val="22"/>
        </w:rPr>
        <w:t> </w:t>
      </w:r>
      <w:r w:rsidRPr="003F564F">
        <w:rPr>
          <w:sz w:val="22"/>
          <w:szCs w:val="22"/>
        </w:rPr>
        <w:t xml:space="preserve">% </w:t>
      </w:r>
      <w:proofErr w:type="spellStart"/>
      <w:r w:rsidRPr="003F564F">
        <w:rPr>
          <w:sz w:val="22"/>
          <w:szCs w:val="22"/>
        </w:rPr>
        <w:t>ruksolitinibo</w:t>
      </w:r>
      <w:proofErr w:type="spellEnd"/>
      <w:r w:rsidRPr="003F564F">
        <w:rPr>
          <w:sz w:val="22"/>
          <w:szCs w:val="22"/>
        </w:rPr>
        <w:t xml:space="preserve"> vartojusių pacientų ir 0,9</w:t>
      </w:r>
      <w:r w:rsidR="000A668B" w:rsidRPr="003F564F">
        <w:rPr>
          <w:sz w:val="22"/>
          <w:szCs w:val="22"/>
        </w:rPr>
        <w:t> </w:t>
      </w:r>
      <w:r w:rsidRPr="003F564F">
        <w:rPr>
          <w:sz w:val="22"/>
          <w:szCs w:val="22"/>
        </w:rPr>
        <w:t>%</w:t>
      </w:r>
      <w:r w:rsidR="001C33D9" w:rsidRPr="003F564F">
        <w:rPr>
          <w:sz w:val="22"/>
          <w:szCs w:val="22"/>
        </w:rPr>
        <w:t xml:space="preserve"> </w:t>
      </w:r>
      <w:r w:rsidRPr="003F564F">
        <w:rPr>
          <w:sz w:val="22"/>
          <w:szCs w:val="22"/>
        </w:rPr>
        <w:t>vartojusiųjų palyginamųjų vaistinių preparatų. Kraujavimo iš virškinimo trakto atvejų pasireiškė 5,0</w:t>
      </w:r>
      <w:r w:rsidR="000A668B" w:rsidRPr="003F564F">
        <w:rPr>
          <w:sz w:val="22"/>
          <w:szCs w:val="22"/>
        </w:rPr>
        <w:t> </w:t>
      </w:r>
      <w:r w:rsidRPr="003F564F">
        <w:rPr>
          <w:sz w:val="22"/>
          <w:szCs w:val="22"/>
        </w:rPr>
        <w:t>%</w:t>
      </w:r>
      <w:r w:rsidR="001C33D9" w:rsidRPr="003F564F">
        <w:rPr>
          <w:sz w:val="22"/>
          <w:szCs w:val="22"/>
        </w:rPr>
        <w:t xml:space="preserve"> </w:t>
      </w:r>
      <w:proofErr w:type="spellStart"/>
      <w:r w:rsidRPr="003F564F">
        <w:rPr>
          <w:sz w:val="22"/>
          <w:szCs w:val="22"/>
        </w:rPr>
        <w:t>ruksolitinibo</w:t>
      </w:r>
      <w:proofErr w:type="spellEnd"/>
      <w:r w:rsidRPr="003F564F">
        <w:rPr>
          <w:sz w:val="22"/>
          <w:szCs w:val="22"/>
        </w:rPr>
        <w:t xml:space="preserve"> vartojusių pacientų, lyginant su 3,1</w:t>
      </w:r>
      <w:r w:rsidR="000A668B" w:rsidRPr="003F564F">
        <w:rPr>
          <w:sz w:val="22"/>
          <w:szCs w:val="22"/>
        </w:rPr>
        <w:t> </w:t>
      </w:r>
      <w:r w:rsidRPr="003F564F">
        <w:rPr>
          <w:sz w:val="22"/>
          <w:szCs w:val="22"/>
        </w:rPr>
        <w:t>% vartojusiųjų palyginamųjų vaistinių preparatų.</w:t>
      </w:r>
      <w:r w:rsidR="001C33D9" w:rsidRPr="003F564F">
        <w:rPr>
          <w:sz w:val="22"/>
          <w:szCs w:val="22"/>
        </w:rPr>
        <w:t xml:space="preserve"> </w:t>
      </w:r>
      <w:r w:rsidRPr="003F564F">
        <w:rPr>
          <w:sz w:val="22"/>
          <w:szCs w:val="22"/>
        </w:rPr>
        <w:t xml:space="preserve">Kitokių kraujavimo atvejų (pvz., įskaitant kraujavimą iš nosies, po procedūrų ir </w:t>
      </w:r>
      <w:proofErr w:type="spellStart"/>
      <w:r w:rsidRPr="003F564F">
        <w:rPr>
          <w:sz w:val="22"/>
          <w:szCs w:val="22"/>
        </w:rPr>
        <w:t>hematuriją</w:t>
      </w:r>
      <w:proofErr w:type="spellEnd"/>
      <w:r w:rsidRPr="003F564F">
        <w:rPr>
          <w:sz w:val="22"/>
          <w:szCs w:val="22"/>
        </w:rPr>
        <w:t>) pasireiškė</w:t>
      </w:r>
      <w:r w:rsidR="001C33D9" w:rsidRPr="003F564F">
        <w:rPr>
          <w:sz w:val="22"/>
          <w:szCs w:val="22"/>
        </w:rPr>
        <w:t xml:space="preserve"> </w:t>
      </w:r>
      <w:r w:rsidRPr="003F564F">
        <w:rPr>
          <w:sz w:val="22"/>
          <w:szCs w:val="22"/>
        </w:rPr>
        <w:t>13,3</w:t>
      </w:r>
      <w:r w:rsidR="000A668B" w:rsidRPr="003F564F">
        <w:rPr>
          <w:sz w:val="22"/>
          <w:szCs w:val="22"/>
        </w:rPr>
        <w:t> </w:t>
      </w:r>
      <w:r w:rsidRPr="003F564F">
        <w:rPr>
          <w:sz w:val="22"/>
          <w:szCs w:val="22"/>
        </w:rPr>
        <w:t xml:space="preserve">% </w:t>
      </w:r>
      <w:proofErr w:type="spellStart"/>
      <w:r w:rsidRPr="003F564F">
        <w:rPr>
          <w:sz w:val="22"/>
          <w:szCs w:val="22"/>
        </w:rPr>
        <w:t>ruksolitinibo</w:t>
      </w:r>
      <w:proofErr w:type="spellEnd"/>
      <w:r w:rsidRPr="003F564F">
        <w:rPr>
          <w:sz w:val="22"/>
          <w:szCs w:val="22"/>
        </w:rPr>
        <w:t xml:space="preserve"> vartojusių pacientų ir 10,3</w:t>
      </w:r>
      <w:r w:rsidR="000A668B" w:rsidRPr="003F564F">
        <w:rPr>
          <w:sz w:val="22"/>
          <w:szCs w:val="22"/>
        </w:rPr>
        <w:t> </w:t>
      </w:r>
      <w:r w:rsidRPr="003F564F">
        <w:rPr>
          <w:sz w:val="22"/>
          <w:szCs w:val="22"/>
        </w:rPr>
        <w:t>% vartojusiųjų palyginamųjų vaistinių preparatų.</w:t>
      </w:r>
    </w:p>
    <w:p w14:paraId="43794774" w14:textId="77777777" w:rsidR="001C33D9" w:rsidRPr="003F564F" w:rsidRDefault="001C33D9" w:rsidP="00627CC3">
      <w:pPr>
        <w:tabs>
          <w:tab w:val="left" w:pos="567"/>
        </w:tabs>
        <w:spacing w:line="260" w:lineRule="exact"/>
        <w:rPr>
          <w:sz w:val="22"/>
          <w:szCs w:val="22"/>
        </w:rPr>
      </w:pPr>
    </w:p>
    <w:p w14:paraId="1B3B0690" w14:textId="64254CBE" w:rsidR="009F34A7" w:rsidRPr="003F564F" w:rsidRDefault="009F34A7" w:rsidP="00627CC3">
      <w:pPr>
        <w:tabs>
          <w:tab w:val="left" w:pos="567"/>
        </w:tabs>
        <w:spacing w:line="260" w:lineRule="exact"/>
        <w:rPr>
          <w:sz w:val="22"/>
          <w:szCs w:val="22"/>
        </w:rPr>
      </w:pPr>
      <w:r w:rsidRPr="003F564F">
        <w:rPr>
          <w:sz w:val="22"/>
          <w:szCs w:val="22"/>
        </w:rPr>
        <w:t>III</w:t>
      </w:r>
      <w:r w:rsidR="000A668B" w:rsidRPr="003F564F">
        <w:rPr>
          <w:sz w:val="22"/>
          <w:szCs w:val="22"/>
        </w:rPr>
        <w:t> </w:t>
      </w:r>
      <w:r w:rsidRPr="003F564F">
        <w:rPr>
          <w:sz w:val="22"/>
          <w:szCs w:val="22"/>
        </w:rPr>
        <w:t>fazės klinikinių tyrimų su MF sergančiais pacientais ilgalaikio vartojimo stebėjimo laikotarpio</w:t>
      </w:r>
      <w:r w:rsidR="001C33D9" w:rsidRPr="003F564F">
        <w:rPr>
          <w:sz w:val="22"/>
          <w:szCs w:val="22"/>
        </w:rPr>
        <w:t xml:space="preserve"> </w:t>
      </w:r>
      <w:r w:rsidRPr="003F564F">
        <w:rPr>
          <w:sz w:val="22"/>
          <w:szCs w:val="22"/>
        </w:rPr>
        <w:t>duomenimis, kumuliacinis kraujavimo atvejų dažnis didėjo proporcingai ilgėjant stebėjimo</w:t>
      </w:r>
      <w:r w:rsidR="001C33D9" w:rsidRPr="003F564F">
        <w:rPr>
          <w:sz w:val="22"/>
          <w:szCs w:val="22"/>
        </w:rPr>
        <w:t xml:space="preserve"> </w:t>
      </w:r>
      <w:r w:rsidRPr="003F564F">
        <w:rPr>
          <w:sz w:val="22"/>
          <w:szCs w:val="22"/>
        </w:rPr>
        <w:t>laikotarpiui. Kraujosruvos buvo dažniausiai nustatyti kraujavimo atvejai (33,3</w:t>
      </w:r>
      <w:r w:rsidR="000A668B" w:rsidRPr="003F564F">
        <w:rPr>
          <w:sz w:val="22"/>
          <w:szCs w:val="22"/>
        </w:rPr>
        <w:t> </w:t>
      </w:r>
      <w:r w:rsidRPr="003F564F">
        <w:rPr>
          <w:sz w:val="22"/>
          <w:szCs w:val="22"/>
        </w:rPr>
        <w:t xml:space="preserve">%). </w:t>
      </w:r>
      <w:proofErr w:type="spellStart"/>
      <w:r w:rsidRPr="003F564F">
        <w:rPr>
          <w:sz w:val="22"/>
          <w:szCs w:val="22"/>
        </w:rPr>
        <w:t>Intrakranijinių</w:t>
      </w:r>
      <w:proofErr w:type="spellEnd"/>
      <w:r w:rsidR="001C33D9" w:rsidRPr="003F564F">
        <w:rPr>
          <w:sz w:val="22"/>
          <w:szCs w:val="22"/>
        </w:rPr>
        <w:t xml:space="preserve"> </w:t>
      </w:r>
      <w:r w:rsidRPr="003F564F">
        <w:rPr>
          <w:sz w:val="22"/>
          <w:szCs w:val="22"/>
        </w:rPr>
        <w:t>kraujavimo atvejų ir kraujavimo iš virškinimo trakto atvejų buvo nustatyta atitinkamai 1,3</w:t>
      </w:r>
      <w:r w:rsidR="000A668B" w:rsidRPr="003F564F">
        <w:rPr>
          <w:sz w:val="22"/>
          <w:szCs w:val="22"/>
        </w:rPr>
        <w:t> </w:t>
      </w:r>
      <w:r w:rsidRPr="003F564F">
        <w:rPr>
          <w:sz w:val="22"/>
          <w:szCs w:val="22"/>
        </w:rPr>
        <w:t>% ir 10,1</w:t>
      </w:r>
      <w:r w:rsidR="000A668B" w:rsidRPr="003F564F">
        <w:rPr>
          <w:sz w:val="22"/>
          <w:szCs w:val="22"/>
        </w:rPr>
        <w:t> </w:t>
      </w:r>
      <w:r w:rsidRPr="003F564F">
        <w:rPr>
          <w:sz w:val="22"/>
          <w:szCs w:val="22"/>
        </w:rPr>
        <w:t>%</w:t>
      </w:r>
      <w:r w:rsidR="001C33D9" w:rsidRPr="003F564F">
        <w:rPr>
          <w:sz w:val="22"/>
          <w:szCs w:val="22"/>
        </w:rPr>
        <w:t xml:space="preserve"> </w:t>
      </w:r>
      <w:r w:rsidRPr="003F564F">
        <w:rPr>
          <w:sz w:val="22"/>
          <w:szCs w:val="22"/>
        </w:rPr>
        <w:t>pacientų.</w:t>
      </w:r>
    </w:p>
    <w:p w14:paraId="49A83BE4" w14:textId="77777777" w:rsidR="001C33D9" w:rsidRPr="003F564F" w:rsidRDefault="001C33D9" w:rsidP="00627CC3">
      <w:pPr>
        <w:tabs>
          <w:tab w:val="left" w:pos="567"/>
        </w:tabs>
        <w:spacing w:line="260" w:lineRule="exact"/>
        <w:rPr>
          <w:sz w:val="22"/>
          <w:szCs w:val="22"/>
        </w:rPr>
      </w:pPr>
    </w:p>
    <w:p w14:paraId="4972A32E" w14:textId="5C5164F4" w:rsidR="009F34A7" w:rsidRPr="003F564F" w:rsidRDefault="009F34A7" w:rsidP="00627CC3">
      <w:pPr>
        <w:tabs>
          <w:tab w:val="left" w:pos="567"/>
        </w:tabs>
        <w:spacing w:line="260" w:lineRule="exact"/>
        <w:rPr>
          <w:sz w:val="22"/>
          <w:szCs w:val="22"/>
        </w:rPr>
      </w:pPr>
      <w:r w:rsidRPr="003F564F">
        <w:rPr>
          <w:sz w:val="22"/>
          <w:szCs w:val="22"/>
        </w:rPr>
        <w:t>Lyginamojo laikotarpio III</w:t>
      </w:r>
      <w:r w:rsidR="000A668B" w:rsidRPr="003F564F">
        <w:rPr>
          <w:sz w:val="22"/>
          <w:szCs w:val="22"/>
        </w:rPr>
        <w:t> </w:t>
      </w:r>
      <w:r w:rsidRPr="003F564F">
        <w:rPr>
          <w:sz w:val="22"/>
          <w:szCs w:val="22"/>
        </w:rPr>
        <w:t>fazės tyrimų metu TP sergantiems pacientams kraujavimo reiškinių</w:t>
      </w:r>
      <w:r w:rsidR="001C33D9" w:rsidRPr="003F564F">
        <w:rPr>
          <w:sz w:val="22"/>
          <w:szCs w:val="22"/>
        </w:rPr>
        <w:t xml:space="preserve"> </w:t>
      </w:r>
      <w:r w:rsidRPr="003F564F">
        <w:rPr>
          <w:sz w:val="22"/>
          <w:szCs w:val="22"/>
        </w:rPr>
        <w:t xml:space="preserve">(įskaitant </w:t>
      </w:r>
      <w:proofErr w:type="spellStart"/>
      <w:r w:rsidRPr="003F564F">
        <w:rPr>
          <w:sz w:val="22"/>
          <w:szCs w:val="22"/>
        </w:rPr>
        <w:t>intrakranijinį</w:t>
      </w:r>
      <w:proofErr w:type="spellEnd"/>
      <w:r w:rsidRPr="003F564F">
        <w:rPr>
          <w:sz w:val="22"/>
          <w:szCs w:val="22"/>
        </w:rPr>
        <w:t xml:space="preserve"> ir iš virškinimo trakto, kraujosruvas ir kitokį kraujavimą) pasireiškė 16,8</w:t>
      </w:r>
      <w:r w:rsidR="000A668B" w:rsidRPr="003F564F">
        <w:rPr>
          <w:sz w:val="22"/>
          <w:szCs w:val="22"/>
        </w:rPr>
        <w:t> </w:t>
      </w:r>
      <w:r w:rsidRPr="003F564F">
        <w:rPr>
          <w:sz w:val="22"/>
          <w:szCs w:val="22"/>
        </w:rPr>
        <w:t>%</w:t>
      </w:r>
      <w:r w:rsidR="001C33D9" w:rsidRPr="003F564F">
        <w:rPr>
          <w:sz w:val="22"/>
          <w:szCs w:val="22"/>
        </w:rPr>
        <w:t xml:space="preserve"> </w:t>
      </w:r>
      <w:proofErr w:type="spellStart"/>
      <w:r w:rsidRPr="003F564F">
        <w:rPr>
          <w:sz w:val="22"/>
          <w:szCs w:val="22"/>
        </w:rPr>
        <w:t>ruksolitinibo</w:t>
      </w:r>
      <w:proofErr w:type="spellEnd"/>
      <w:r w:rsidRPr="003F564F">
        <w:rPr>
          <w:sz w:val="22"/>
          <w:szCs w:val="22"/>
        </w:rPr>
        <w:t xml:space="preserve"> vartojusių pacientų, 15,3</w:t>
      </w:r>
      <w:r w:rsidR="000A668B" w:rsidRPr="003F564F">
        <w:rPr>
          <w:sz w:val="22"/>
          <w:szCs w:val="22"/>
        </w:rPr>
        <w:t> </w:t>
      </w:r>
      <w:r w:rsidRPr="003F564F">
        <w:rPr>
          <w:sz w:val="22"/>
          <w:szCs w:val="22"/>
        </w:rPr>
        <w:t>% geriausią prieinamą gydymą (GPG) gavusių pacientų</w:t>
      </w:r>
      <w:r w:rsidR="001C33D9" w:rsidRPr="003F564F">
        <w:rPr>
          <w:sz w:val="22"/>
          <w:szCs w:val="22"/>
        </w:rPr>
        <w:t xml:space="preserve"> </w:t>
      </w:r>
      <w:r w:rsidRPr="003F564F">
        <w:rPr>
          <w:sz w:val="22"/>
          <w:szCs w:val="22"/>
        </w:rPr>
        <w:t>RESPONSE tyrimo metu ir 12,0</w:t>
      </w:r>
      <w:r w:rsidR="000A668B" w:rsidRPr="003F564F">
        <w:rPr>
          <w:sz w:val="22"/>
          <w:szCs w:val="22"/>
        </w:rPr>
        <w:t> </w:t>
      </w:r>
      <w:r w:rsidRPr="003F564F">
        <w:rPr>
          <w:sz w:val="22"/>
          <w:szCs w:val="22"/>
        </w:rPr>
        <w:t>% geriausią prieinamą gydymą gavusių pacientų RESPONSE 2</w:t>
      </w:r>
      <w:r w:rsidR="001C33D9" w:rsidRPr="003F564F">
        <w:rPr>
          <w:sz w:val="22"/>
          <w:szCs w:val="22"/>
        </w:rPr>
        <w:t xml:space="preserve"> </w:t>
      </w:r>
      <w:r w:rsidRPr="003F564F">
        <w:rPr>
          <w:sz w:val="22"/>
          <w:szCs w:val="22"/>
        </w:rPr>
        <w:t>tyrimo metu. Kraujosruvos nustatytos 10,3</w:t>
      </w:r>
      <w:r w:rsidR="000A668B" w:rsidRPr="003F564F">
        <w:rPr>
          <w:sz w:val="22"/>
          <w:szCs w:val="22"/>
        </w:rPr>
        <w:t> </w:t>
      </w:r>
      <w:r w:rsidRPr="003F564F">
        <w:rPr>
          <w:sz w:val="22"/>
          <w:szCs w:val="22"/>
        </w:rPr>
        <w:t xml:space="preserve">% </w:t>
      </w:r>
      <w:proofErr w:type="spellStart"/>
      <w:r w:rsidRPr="003F564F">
        <w:rPr>
          <w:sz w:val="22"/>
          <w:szCs w:val="22"/>
        </w:rPr>
        <w:t>ruksolitinibo</w:t>
      </w:r>
      <w:proofErr w:type="spellEnd"/>
      <w:r w:rsidRPr="003F564F">
        <w:rPr>
          <w:sz w:val="22"/>
          <w:szCs w:val="22"/>
        </w:rPr>
        <w:t xml:space="preserve"> vartojusių pacientų, 8,1</w:t>
      </w:r>
      <w:r w:rsidR="000A668B" w:rsidRPr="003F564F">
        <w:rPr>
          <w:sz w:val="22"/>
          <w:szCs w:val="22"/>
        </w:rPr>
        <w:t> </w:t>
      </w:r>
      <w:r w:rsidRPr="003F564F">
        <w:rPr>
          <w:sz w:val="22"/>
          <w:szCs w:val="22"/>
        </w:rPr>
        <w:t>% geriausią</w:t>
      </w:r>
      <w:r w:rsidR="001C33D9" w:rsidRPr="003F564F">
        <w:rPr>
          <w:sz w:val="22"/>
          <w:szCs w:val="22"/>
        </w:rPr>
        <w:t xml:space="preserve"> </w:t>
      </w:r>
      <w:r w:rsidRPr="003F564F">
        <w:rPr>
          <w:sz w:val="22"/>
          <w:szCs w:val="22"/>
        </w:rPr>
        <w:t>prieinamą gydymą gavusių pacientų RESPONSE tyrimo metu ir 2,7</w:t>
      </w:r>
      <w:r w:rsidR="000A668B" w:rsidRPr="003F564F">
        <w:rPr>
          <w:sz w:val="22"/>
          <w:szCs w:val="22"/>
        </w:rPr>
        <w:t> </w:t>
      </w:r>
      <w:r w:rsidRPr="003F564F">
        <w:rPr>
          <w:sz w:val="22"/>
          <w:szCs w:val="22"/>
        </w:rPr>
        <w:t>% geriausią prieinamą gydymą</w:t>
      </w:r>
      <w:r w:rsidR="001C33D9" w:rsidRPr="003F564F">
        <w:rPr>
          <w:sz w:val="22"/>
          <w:szCs w:val="22"/>
        </w:rPr>
        <w:t xml:space="preserve"> </w:t>
      </w:r>
      <w:r w:rsidRPr="003F564F">
        <w:rPr>
          <w:sz w:val="22"/>
          <w:szCs w:val="22"/>
        </w:rPr>
        <w:t xml:space="preserve">gavusių pacientų RESPONSE 2 tyrimo metu. </w:t>
      </w:r>
      <w:proofErr w:type="spellStart"/>
      <w:r w:rsidRPr="003F564F">
        <w:rPr>
          <w:sz w:val="22"/>
          <w:szCs w:val="22"/>
        </w:rPr>
        <w:t>Ruksolitinibo</w:t>
      </w:r>
      <w:proofErr w:type="spellEnd"/>
      <w:r w:rsidRPr="003F564F">
        <w:rPr>
          <w:sz w:val="22"/>
          <w:szCs w:val="22"/>
        </w:rPr>
        <w:t xml:space="preserve"> vartojusiems pacientams nepasireiškė nė</w:t>
      </w:r>
      <w:r w:rsidR="001C33D9" w:rsidRPr="003F564F">
        <w:rPr>
          <w:sz w:val="22"/>
          <w:szCs w:val="22"/>
        </w:rPr>
        <w:t xml:space="preserve"> </w:t>
      </w:r>
      <w:r w:rsidRPr="003F564F">
        <w:rPr>
          <w:sz w:val="22"/>
          <w:szCs w:val="22"/>
        </w:rPr>
        <w:t xml:space="preserve">vieno </w:t>
      </w:r>
      <w:proofErr w:type="spellStart"/>
      <w:r w:rsidRPr="003F564F">
        <w:rPr>
          <w:sz w:val="22"/>
          <w:szCs w:val="22"/>
        </w:rPr>
        <w:t>intrakranijinio</w:t>
      </w:r>
      <w:proofErr w:type="spellEnd"/>
      <w:r w:rsidRPr="003F564F">
        <w:rPr>
          <w:sz w:val="22"/>
          <w:szCs w:val="22"/>
        </w:rPr>
        <w:t xml:space="preserve"> kraujavimo ar kraujavimo iš virškinimo trakto atvejo. Vienam </w:t>
      </w:r>
      <w:proofErr w:type="spellStart"/>
      <w:r w:rsidRPr="003F564F">
        <w:rPr>
          <w:sz w:val="22"/>
          <w:szCs w:val="22"/>
        </w:rPr>
        <w:t>ruksolitinibo</w:t>
      </w:r>
      <w:proofErr w:type="spellEnd"/>
      <w:r w:rsidR="001C33D9" w:rsidRPr="003F564F">
        <w:rPr>
          <w:sz w:val="22"/>
          <w:szCs w:val="22"/>
        </w:rPr>
        <w:t xml:space="preserve"> </w:t>
      </w:r>
      <w:r w:rsidRPr="003F564F">
        <w:rPr>
          <w:sz w:val="22"/>
          <w:szCs w:val="22"/>
        </w:rPr>
        <w:t>vartojusiam pacientui pasireiškė 3</w:t>
      </w:r>
      <w:r w:rsidR="000A668B" w:rsidRPr="003F564F">
        <w:rPr>
          <w:sz w:val="22"/>
          <w:szCs w:val="22"/>
        </w:rPr>
        <w:noBreakHyphen/>
      </w:r>
      <w:r w:rsidRPr="003F564F">
        <w:rPr>
          <w:sz w:val="22"/>
          <w:szCs w:val="22"/>
        </w:rPr>
        <w:t>iojo laipsnio kraujavimo atvejis (kraujavimas po procedūros);</w:t>
      </w:r>
      <w:r w:rsidR="001C33D9" w:rsidRPr="003F564F">
        <w:rPr>
          <w:sz w:val="22"/>
          <w:szCs w:val="22"/>
        </w:rPr>
        <w:t xml:space="preserve"> </w:t>
      </w:r>
      <w:r w:rsidRPr="003F564F">
        <w:rPr>
          <w:sz w:val="22"/>
          <w:szCs w:val="22"/>
        </w:rPr>
        <w:t>nenustatyta nė vieno 4</w:t>
      </w:r>
      <w:r w:rsidR="000A668B" w:rsidRPr="003F564F">
        <w:rPr>
          <w:sz w:val="22"/>
          <w:szCs w:val="22"/>
        </w:rPr>
        <w:noBreakHyphen/>
      </w:r>
      <w:r w:rsidRPr="003F564F">
        <w:rPr>
          <w:sz w:val="22"/>
          <w:szCs w:val="22"/>
        </w:rPr>
        <w:t>ojo laipsnio kraujavimo atvejo. Kitų kraujavimo atvejų (pvz., įskaitant</w:t>
      </w:r>
      <w:r w:rsidR="001C33D9" w:rsidRPr="003F564F">
        <w:rPr>
          <w:sz w:val="22"/>
          <w:szCs w:val="22"/>
        </w:rPr>
        <w:t xml:space="preserve"> </w:t>
      </w:r>
      <w:r w:rsidRPr="003F564F">
        <w:rPr>
          <w:sz w:val="22"/>
          <w:szCs w:val="22"/>
        </w:rPr>
        <w:t>kraujavimą iš nosies, po procedūrų ir iš dantenų) pasireiškė 8,7</w:t>
      </w:r>
      <w:r w:rsidR="000A668B" w:rsidRPr="003F564F">
        <w:rPr>
          <w:sz w:val="22"/>
          <w:szCs w:val="22"/>
        </w:rPr>
        <w:t> </w:t>
      </w:r>
      <w:r w:rsidRPr="003F564F">
        <w:rPr>
          <w:sz w:val="22"/>
          <w:szCs w:val="22"/>
        </w:rPr>
        <w:t xml:space="preserve">% </w:t>
      </w:r>
      <w:proofErr w:type="spellStart"/>
      <w:r w:rsidRPr="003F564F">
        <w:rPr>
          <w:sz w:val="22"/>
          <w:szCs w:val="22"/>
        </w:rPr>
        <w:t>ruksolitinibo</w:t>
      </w:r>
      <w:proofErr w:type="spellEnd"/>
      <w:r w:rsidRPr="003F564F">
        <w:rPr>
          <w:sz w:val="22"/>
          <w:szCs w:val="22"/>
        </w:rPr>
        <w:t xml:space="preserve"> vartojusių pacientų,</w:t>
      </w:r>
      <w:r w:rsidR="001C33D9" w:rsidRPr="003F564F">
        <w:rPr>
          <w:sz w:val="22"/>
          <w:szCs w:val="22"/>
        </w:rPr>
        <w:t xml:space="preserve"> </w:t>
      </w:r>
      <w:r w:rsidRPr="003F564F">
        <w:rPr>
          <w:sz w:val="22"/>
          <w:szCs w:val="22"/>
        </w:rPr>
        <w:t>6,3</w:t>
      </w:r>
      <w:r w:rsidR="000A668B" w:rsidRPr="003F564F">
        <w:rPr>
          <w:sz w:val="22"/>
          <w:szCs w:val="22"/>
        </w:rPr>
        <w:t> </w:t>
      </w:r>
      <w:r w:rsidRPr="003F564F">
        <w:rPr>
          <w:sz w:val="22"/>
          <w:szCs w:val="22"/>
        </w:rPr>
        <w:t>% geriausią prieinamą gydymą gavusių pacientų RESPONSE tyrimo metu ir 6,7</w:t>
      </w:r>
      <w:r w:rsidR="000A668B" w:rsidRPr="003F564F">
        <w:rPr>
          <w:sz w:val="22"/>
          <w:szCs w:val="22"/>
        </w:rPr>
        <w:t> </w:t>
      </w:r>
      <w:r w:rsidRPr="003F564F">
        <w:rPr>
          <w:sz w:val="22"/>
          <w:szCs w:val="22"/>
        </w:rPr>
        <w:t>% geriausią</w:t>
      </w:r>
      <w:r w:rsidR="001C33D9" w:rsidRPr="003F564F">
        <w:rPr>
          <w:sz w:val="22"/>
          <w:szCs w:val="22"/>
        </w:rPr>
        <w:t xml:space="preserve"> </w:t>
      </w:r>
      <w:r w:rsidRPr="003F564F">
        <w:rPr>
          <w:sz w:val="22"/>
          <w:szCs w:val="22"/>
        </w:rPr>
        <w:t>prieinamą gydymą gavusių pacientų RESPONSE 2 tyrimo metu.</w:t>
      </w:r>
    </w:p>
    <w:p w14:paraId="67C74CD3" w14:textId="77777777" w:rsidR="001C33D9" w:rsidRPr="003F564F" w:rsidRDefault="001C33D9" w:rsidP="00627CC3">
      <w:pPr>
        <w:tabs>
          <w:tab w:val="left" w:pos="567"/>
        </w:tabs>
        <w:spacing w:line="260" w:lineRule="exact"/>
        <w:rPr>
          <w:sz w:val="22"/>
          <w:szCs w:val="22"/>
        </w:rPr>
      </w:pPr>
    </w:p>
    <w:p w14:paraId="4DEAEF08" w14:textId="053050D2" w:rsidR="009F34A7" w:rsidRPr="003F564F" w:rsidRDefault="009F34A7" w:rsidP="00627CC3">
      <w:pPr>
        <w:tabs>
          <w:tab w:val="left" w:pos="567"/>
        </w:tabs>
        <w:spacing w:line="260" w:lineRule="exact"/>
        <w:rPr>
          <w:sz w:val="22"/>
          <w:szCs w:val="22"/>
        </w:rPr>
      </w:pPr>
      <w:r w:rsidRPr="003F564F">
        <w:rPr>
          <w:sz w:val="22"/>
          <w:szCs w:val="22"/>
        </w:rPr>
        <w:t>III</w:t>
      </w:r>
      <w:r w:rsidR="000A668B" w:rsidRPr="003F564F">
        <w:rPr>
          <w:sz w:val="22"/>
          <w:szCs w:val="22"/>
        </w:rPr>
        <w:t> </w:t>
      </w:r>
      <w:r w:rsidRPr="003F564F">
        <w:rPr>
          <w:sz w:val="22"/>
          <w:szCs w:val="22"/>
        </w:rPr>
        <w:t>fazės tyrimų su TP sergančiais pacientais ilgalaikio vartojimo stebėjimo laikotarpio duomenimis,</w:t>
      </w:r>
    </w:p>
    <w:p w14:paraId="4BE1EDB7" w14:textId="1689D28E" w:rsidR="009F34A7" w:rsidRPr="003F564F" w:rsidRDefault="009F34A7" w:rsidP="00627CC3">
      <w:pPr>
        <w:tabs>
          <w:tab w:val="left" w:pos="567"/>
        </w:tabs>
        <w:spacing w:line="260" w:lineRule="exact"/>
        <w:rPr>
          <w:sz w:val="22"/>
          <w:szCs w:val="22"/>
        </w:rPr>
      </w:pPr>
      <w:r w:rsidRPr="003F564F">
        <w:rPr>
          <w:sz w:val="22"/>
          <w:szCs w:val="22"/>
        </w:rPr>
        <w:t>kumuliacinis kraujavimo atvejų dažnis didėjo proporcingai ilgėjant stebėjimo laikotarpiui.</w:t>
      </w:r>
      <w:r w:rsidR="001C33D9" w:rsidRPr="003F564F">
        <w:rPr>
          <w:sz w:val="22"/>
          <w:szCs w:val="22"/>
        </w:rPr>
        <w:t xml:space="preserve"> </w:t>
      </w:r>
      <w:r w:rsidRPr="003F564F">
        <w:rPr>
          <w:sz w:val="22"/>
          <w:szCs w:val="22"/>
        </w:rPr>
        <w:t>Kraujosruvos buvo dažniausiai nustatyti kraujavimo atvejai (17,4</w:t>
      </w:r>
      <w:r w:rsidR="000A668B" w:rsidRPr="003F564F">
        <w:rPr>
          <w:sz w:val="22"/>
          <w:szCs w:val="22"/>
        </w:rPr>
        <w:t> </w:t>
      </w:r>
      <w:r w:rsidRPr="003F564F">
        <w:rPr>
          <w:sz w:val="22"/>
          <w:szCs w:val="22"/>
        </w:rPr>
        <w:t xml:space="preserve">%). </w:t>
      </w:r>
      <w:proofErr w:type="spellStart"/>
      <w:r w:rsidRPr="003F564F">
        <w:rPr>
          <w:sz w:val="22"/>
          <w:szCs w:val="22"/>
        </w:rPr>
        <w:t>Intrakranijinių</w:t>
      </w:r>
      <w:proofErr w:type="spellEnd"/>
      <w:r w:rsidRPr="003F564F">
        <w:rPr>
          <w:sz w:val="22"/>
          <w:szCs w:val="22"/>
        </w:rPr>
        <w:t xml:space="preserve"> kraujavimo</w:t>
      </w:r>
      <w:r w:rsidR="001C33D9" w:rsidRPr="003F564F">
        <w:rPr>
          <w:sz w:val="22"/>
          <w:szCs w:val="22"/>
        </w:rPr>
        <w:t xml:space="preserve"> </w:t>
      </w:r>
      <w:r w:rsidRPr="003F564F">
        <w:rPr>
          <w:sz w:val="22"/>
          <w:szCs w:val="22"/>
        </w:rPr>
        <w:t>atvejų ir kraujavimo iš virškinimo trakto atvejų buvo nustatyta atitinkamai 0,3</w:t>
      </w:r>
      <w:r w:rsidR="000A668B" w:rsidRPr="003F564F">
        <w:rPr>
          <w:sz w:val="22"/>
          <w:szCs w:val="22"/>
        </w:rPr>
        <w:t> </w:t>
      </w:r>
      <w:r w:rsidRPr="003F564F">
        <w:rPr>
          <w:sz w:val="22"/>
          <w:szCs w:val="22"/>
        </w:rPr>
        <w:t>% ir 3,5</w:t>
      </w:r>
      <w:r w:rsidR="000A668B" w:rsidRPr="003F564F">
        <w:rPr>
          <w:sz w:val="22"/>
          <w:szCs w:val="22"/>
        </w:rPr>
        <w:t> </w:t>
      </w:r>
      <w:r w:rsidRPr="003F564F">
        <w:rPr>
          <w:sz w:val="22"/>
          <w:szCs w:val="22"/>
        </w:rPr>
        <w:t>% pacientų.</w:t>
      </w:r>
    </w:p>
    <w:p w14:paraId="6B0F0502" w14:textId="77777777" w:rsidR="001C33D9" w:rsidRPr="003F564F" w:rsidRDefault="001C33D9" w:rsidP="00627CC3">
      <w:pPr>
        <w:tabs>
          <w:tab w:val="left" w:pos="567"/>
        </w:tabs>
        <w:spacing w:line="260" w:lineRule="exact"/>
        <w:rPr>
          <w:sz w:val="22"/>
          <w:szCs w:val="22"/>
        </w:rPr>
      </w:pPr>
    </w:p>
    <w:p w14:paraId="6CE60560" w14:textId="5F484B79" w:rsidR="009F34A7" w:rsidRPr="003F564F" w:rsidRDefault="009F34A7" w:rsidP="00627CC3">
      <w:pPr>
        <w:tabs>
          <w:tab w:val="left" w:pos="567"/>
        </w:tabs>
        <w:spacing w:line="260" w:lineRule="exact"/>
        <w:rPr>
          <w:sz w:val="22"/>
          <w:szCs w:val="22"/>
        </w:rPr>
      </w:pPr>
      <w:r w:rsidRPr="003F564F">
        <w:rPr>
          <w:sz w:val="22"/>
          <w:szCs w:val="22"/>
        </w:rPr>
        <w:t>Lyginamojo laikotarpio III</w:t>
      </w:r>
      <w:r w:rsidR="000A668B" w:rsidRPr="003F564F">
        <w:rPr>
          <w:sz w:val="22"/>
          <w:szCs w:val="22"/>
        </w:rPr>
        <w:t> </w:t>
      </w:r>
      <w:r w:rsidRPr="003F564F">
        <w:rPr>
          <w:sz w:val="22"/>
          <w:szCs w:val="22"/>
        </w:rPr>
        <w:t xml:space="preserve">fazės tyrimo (REACH2) metu ūmine </w:t>
      </w:r>
      <w:proofErr w:type="spellStart"/>
      <w:r w:rsidRPr="003F564F">
        <w:rPr>
          <w:sz w:val="22"/>
          <w:szCs w:val="22"/>
        </w:rPr>
        <w:t>TpŠL</w:t>
      </w:r>
      <w:proofErr w:type="spellEnd"/>
      <w:r w:rsidRPr="003F564F">
        <w:rPr>
          <w:sz w:val="22"/>
          <w:szCs w:val="22"/>
        </w:rPr>
        <w:t xml:space="preserve"> sergantiems pacientams</w:t>
      </w:r>
      <w:r w:rsidR="001C33D9" w:rsidRPr="003F564F">
        <w:rPr>
          <w:sz w:val="22"/>
          <w:szCs w:val="22"/>
        </w:rPr>
        <w:t xml:space="preserve"> </w:t>
      </w:r>
      <w:r w:rsidRPr="003F564F">
        <w:rPr>
          <w:sz w:val="22"/>
          <w:szCs w:val="22"/>
        </w:rPr>
        <w:t>kraujavimo reiškinių pasireiškė atitinkamai 25,0</w:t>
      </w:r>
      <w:r w:rsidR="000A668B" w:rsidRPr="003F564F">
        <w:rPr>
          <w:sz w:val="22"/>
          <w:szCs w:val="22"/>
        </w:rPr>
        <w:t> </w:t>
      </w:r>
      <w:r w:rsidRPr="003F564F">
        <w:rPr>
          <w:sz w:val="22"/>
          <w:szCs w:val="22"/>
        </w:rPr>
        <w:t>% ir 22,0</w:t>
      </w:r>
      <w:r w:rsidR="000A668B" w:rsidRPr="003F564F">
        <w:rPr>
          <w:sz w:val="22"/>
          <w:szCs w:val="22"/>
        </w:rPr>
        <w:t> </w:t>
      </w:r>
      <w:r w:rsidRPr="003F564F">
        <w:rPr>
          <w:sz w:val="22"/>
          <w:szCs w:val="22"/>
        </w:rPr>
        <w:t xml:space="preserve">% </w:t>
      </w:r>
      <w:proofErr w:type="spellStart"/>
      <w:r w:rsidRPr="003F564F">
        <w:rPr>
          <w:sz w:val="22"/>
          <w:szCs w:val="22"/>
        </w:rPr>
        <w:t>ruksolitinibo</w:t>
      </w:r>
      <w:proofErr w:type="spellEnd"/>
      <w:r w:rsidRPr="003F564F">
        <w:rPr>
          <w:sz w:val="22"/>
          <w:szCs w:val="22"/>
        </w:rPr>
        <w:t xml:space="preserve"> vartojusių pacientų ir GPG</w:t>
      </w:r>
      <w:r w:rsidR="001C33D9" w:rsidRPr="003F564F">
        <w:rPr>
          <w:sz w:val="22"/>
          <w:szCs w:val="22"/>
        </w:rPr>
        <w:t xml:space="preserve"> </w:t>
      </w:r>
      <w:r w:rsidRPr="003F564F">
        <w:rPr>
          <w:sz w:val="22"/>
          <w:szCs w:val="22"/>
        </w:rPr>
        <w:t>grupės pacientų. Kraujavimo reiškinių pobūdis tiriamosiose grupėse iš esmės buvo panašus:</w:t>
      </w:r>
      <w:r w:rsidR="001C33D9" w:rsidRPr="003F564F">
        <w:rPr>
          <w:sz w:val="22"/>
          <w:szCs w:val="22"/>
        </w:rPr>
        <w:t xml:space="preserve"> </w:t>
      </w:r>
      <w:r w:rsidRPr="003F564F">
        <w:rPr>
          <w:sz w:val="22"/>
          <w:szCs w:val="22"/>
        </w:rPr>
        <w:t>kraujosruvų atvejų nustatyta 5,9</w:t>
      </w:r>
      <w:r w:rsidR="000A668B" w:rsidRPr="003F564F">
        <w:rPr>
          <w:sz w:val="22"/>
          <w:szCs w:val="22"/>
        </w:rPr>
        <w:t> </w:t>
      </w:r>
      <w:r w:rsidRPr="003F564F">
        <w:rPr>
          <w:sz w:val="22"/>
          <w:szCs w:val="22"/>
        </w:rPr>
        <w:t xml:space="preserve">% </w:t>
      </w:r>
      <w:proofErr w:type="spellStart"/>
      <w:r w:rsidRPr="003F564F">
        <w:rPr>
          <w:sz w:val="22"/>
          <w:szCs w:val="22"/>
        </w:rPr>
        <w:t>ruksolitinibo</w:t>
      </w:r>
      <w:proofErr w:type="spellEnd"/>
      <w:r w:rsidRPr="003F564F">
        <w:rPr>
          <w:sz w:val="22"/>
          <w:szCs w:val="22"/>
        </w:rPr>
        <w:t xml:space="preserve"> vartojusių pacientų ir 6,7</w:t>
      </w:r>
      <w:r w:rsidR="000A668B" w:rsidRPr="003F564F">
        <w:rPr>
          <w:sz w:val="22"/>
          <w:szCs w:val="22"/>
        </w:rPr>
        <w:t> </w:t>
      </w:r>
      <w:r w:rsidRPr="003F564F">
        <w:rPr>
          <w:sz w:val="22"/>
          <w:szCs w:val="22"/>
        </w:rPr>
        <w:t>% GPG gavusių pacientų,</w:t>
      </w:r>
      <w:r w:rsidR="001C33D9" w:rsidRPr="003F564F">
        <w:rPr>
          <w:sz w:val="22"/>
          <w:szCs w:val="22"/>
        </w:rPr>
        <w:t xml:space="preserve"> </w:t>
      </w:r>
      <w:r w:rsidRPr="003F564F">
        <w:rPr>
          <w:sz w:val="22"/>
          <w:szCs w:val="22"/>
        </w:rPr>
        <w:t>kraujavimo iš virškinimo trakto atvejų nustatyta atitinkamai 9,2</w:t>
      </w:r>
      <w:r w:rsidR="000A668B" w:rsidRPr="003F564F">
        <w:rPr>
          <w:sz w:val="22"/>
          <w:szCs w:val="22"/>
        </w:rPr>
        <w:t> </w:t>
      </w:r>
      <w:r w:rsidRPr="003F564F">
        <w:rPr>
          <w:sz w:val="22"/>
          <w:szCs w:val="22"/>
        </w:rPr>
        <w:t>% ir 6,7</w:t>
      </w:r>
      <w:r w:rsidR="000A668B" w:rsidRPr="003F564F">
        <w:rPr>
          <w:sz w:val="22"/>
          <w:szCs w:val="22"/>
        </w:rPr>
        <w:t> </w:t>
      </w:r>
      <w:r w:rsidRPr="003F564F">
        <w:rPr>
          <w:sz w:val="22"/>
          <w:szCs w:val="22"/>
        </w:rPr>
        <w:t>% pacientų, kitų kraujavimo</w:t>
      </w:r>
      <w:r w:rsidR="001C33D9" w:rsidRPr="003F564F">
        <w:rPr>
          <w:sz w:val="22"/>
          <w:szCs w:val="22"/>
        </w:rPr>
        <w:t xml:space="preserve"> </w:t>
      </w:r>
      <w:r w:rsidRPr="003F564F">
        <w:rPr>
          <w:sz w:val="22"/>
          <w:szCs w:val="22"/>
        </w:rPr>
        <w:t>atvejų nustatyta atitinkamai 13,2</w:t>
      </w:r>
      <w:r w:rsidR="000A668B" w:rsidRPr="003F564F">
        <w:rPr>
          <w:sz w:val="22"/>
          <w:szCs w:val="22"/>
        </w:rPr>
        <w:t> </w:t>
      </w:r>
      <w:r w:rsidRPr="003F564F">
        <w:rPr>
          <w:sz w:val="22"/>
          <w:szCs w:val="22"/>
        </w:rPr>
        <w:t>% ir 10,7</w:t>
      </w:r>
      <w:r w:rsidR="000A668B" w:rsidRPr="003F564F">
        <w:rPr>
          <w:sz w:val="22"/>
          <w:szCs w:val="22"/>
        </w:rPr>
        <w:t> </w:t>
      </w:r>
      <w:r w:rsidRPr="003F564F">
        <w:rPr>
          <w:sz w:val="22"/>
          <w:szCs w:val="22"/>
        </w:rPr>
        <w:t xml:space="preserve">% pacientų. </w:t>
      </w:r>
      <w:proofErr w:type="spellStart"/>
      <w:r w:rsidRPr="003F564F">
        <w:rPr>
          <w:sz w:val="22"/>
          <w:szCs w:val="22"/>
        </w:rPr>
        <w:t>Intrakranijinio</w:t>
      </w:r>
      <w:proofErr w:type="spellEnd"/>
      <w:r w:rsidRPr="003F564F">
        <w:rPr>
          <w:sz w:val="22"/>
          <w:szCs w:val="22"/>
        </w:rPr>
        <w:t xml:space="preserve"> kraujavimo atvejų buvo</w:t>
      </w:r>
      <w:r w:rsidR="001C33D9" w:rsidRPr="003F564F">
        <w:rPr>
          <w:sz w:val="22"/>
          <w:szCs w:val="22"/>
        </w:rPr>
        <w:t xml:space="preserve"> </w:t>
      </w:r>
      <w:r w:rsidRPr="003F564F">
        <w:rPr>
          <w:sz w:val="22"/>
          <w:szCs w:val="22"/>
        </w:rPr>
        <w:t>nustatyta 0,7</w:t>
      </w:r>
      <w:r w:rsidR="000A668B" w:rsidRPr="003F564F">
        <w:rPr>
          <w:sz w:val="22"/>
          <w:szCs w:val="22"/>
        </w:rPr>
        <w:t> </w:t>
      </w:r>
      <w:r w:rsidRPr="003F564F">
        <w:rPr>
          <w:sz w:val="22"/>
          <w:szCs w:val="22"/>
        </w:rPr>
        <w:t xml:space="preserve">% GPG gavusių pacientų ir nė vienam </w:t>
      </w:r>
      <w:proofErr w:type="spellStart"/>
      <w:r w:rsidRPr="003F564F">
        <w:rPr>
          <w:sz w:val="22"/>
          <w:szCs w:val="22"/>
        </w:rPr>
        <w:t>ruksolitinibo</w:t>
      </w:r>
      <w:proofErr w:type="spellEnd"/>
      <w:r w:rsidRPr="003F564F">
        <w:rPr>
          <w:sz w:val="22"/>
          <w:szCs w:val="22"/>
        </w:rPr>
        <w:t xml:space="preserve"> vartojusiam pacientui. Vaikams</w:t>
      </w:r>
      <w:r w:rsidR="001C33D9" w:rsidRPr="003F564F">
        <w:rPr>
          <w:sz w:val="22"/>
          <w:szCs w:val="22"/>
        </w:rPr>
        <w:t xml:space="preserve"> </w:t>
      </w:r>
      <w:r w:rsidRPr="003F564F">
        <w:rPr>
          <w:sz w:val="22"/>
          <w:szCs w:val="22"/>
        </w:rPr>
        <w:t>kraujavimo reiškinių pasireiškimo dažnis buvo 23,5</w:t>
      </w:r>
      <w:r w:rsidR="000A668B" w:rsidRPr="003F564F">
        <w:rPr>
          <w:sz w:val="22"/>
          <w:szCs w:val="22"/>
        </w:rPr>
        <w:t> </w:t>
      </w:r>
      <w:r w:rsidRPr="003F564F">
        <w:rPr>
          <w:sz w:val="22"/>
          <w:szCs w:val="22"/>
        </w:rPr>
        <w:t>%. ≥</w:t>
      </w:r>
      <w:r w:rsidR="000A668B" w:rsidRPr="003F564F">
        <w:rPr>
          <w:sz w:val="22"/>
          <w:szCs w:val="22"/>
        </w:rPr>
        <w:t> </w:t>
      </w:r>
      <w:r w:rsidRPr="003F564F">
        <w:rPr>
          <w:sz w:val="22"/>
          <w:szCs w:val="22"/>
        </w:rPr>
        <w:t>5</w:t>
      </w:r>
      <w:r w:rsidR="000A668B" w:rsidRPr="003F564F">
        <w:rPr>
          <w:sz w:val="22"/>
          <w:szCs w:val="22"/>
        </w:rPr>
        <w:t> </w:t>
      </w:r>
      <w:r w:rsidRPr="003F564F">
        <w:rPr>
          <w:sz w:val="22"/>
          <w:szCs w:val="22"/>
        </w:rPr>
        <w:t>% dažniu pacientams nustatyti reiškiniai</w:t>
      </w:r>
      <w:r w:rsidR="001C33D9" w:rsidRPr="003F564F">
        <w:rPr>
          <w:sz w:val="22"/>
          <w:szCs w:val="22"/>
        </w:rPr>
        <w:t xml:space="preserve"> </w:t>
      </w:r>
      <w:r w:rsidRPr="003F564F">
        <w:rPr>
          <w:sz w:val="22"/>
          <w:szCs w:val="22"/>
        </w:rPr>
        <w:t>buvo hemoraginis cistitas ir kraujavimas iš nosies (kiekvieno dažnis po 5,9</w:t>
      </w:r>
      <w:r w:rsidR="000A668B" w:rsidRPr="003F564F">
        <w:rPr>
          <w:sz w:val="22"/>
          <w:szCs w:val="22"/>
        </w:rPr>
        <w:t> </w:t>
      </w:r>
      <w:r w:rsidRPr="003F564F">
        <w:rPr>
          <w:sz w:val="22"/>
          <w:szCs w:val="22"/>
        </w:rPr>
        <w:t xml:space="preserve">%). </w:t>
      </w:r>
      <w:proofErr w:type="spellStart"/>
      <w:r w:rsidRPr="003F564F">
        <w:rPr>
          <w:sz w:val="22"/>
          <w:szCs w:val="22"/>
        </w:rPr>
        <w:t>Intrakranijinio</w:t>
      </w:r>
      <w:proofErr w:type="spellEnd"/>
      <w:r w:rsidR="001C33D9" w:rsidRPr="003F564F">
        <w:rPr>
          <w:sz w:val="22"/>
          <w:szCs w:val="22"/>
        </w:rPr>
        <w:t xml:space="preserve"> </w:t>
      </w:r>
      <w:r w:rsidRPr="003F564F">
        <w:rPr>
          <w:sz w:val="22"/>
          <w:szCs w:val="22"/>
        </w:rPr>
        <w:t>kraujavimo atvejų vaikams nebuvo nustatyta.</w:t>
      </w:r>
    </w:p>
    <w:p w14:paraId="43934137" w14:textId="77777777" w:rsidR="001C33D9" w:rsidRPr="003F564F" w:rsidRDefault="001C33D9" w:rsidP="00627CC3">
      <w:pPr>
        <w:tabs>
          <w:tab w:val="left" w:pos="567"/>
        </w:tabs>
        <w:spacing w:line="260" w:lineRule="exact"/>
        <w:rPr>
          <w:sz w:val="22"/>
          <w:szCs w:val="22"/>
        </w:rPr>
      </w:pPr>
    </w:p>
    <w:p w14:paraId="1963AA62" w14:textId="407533BF" w:rsidR="009F34A7" w:rsidRPr="003F564F" w:rsidRDefault="009F34A7" w:rsidP="00627CC3">
      <w:pPr>
        <w:tabs>
          <w:tab w:val="left" w:pos="567"/>
        </w:tabs>
        <w:spacing w:line="260" w:lineRule="exact"/>
        <w:rPr>
          <w:sz w:val="22"/>
          <w:szCs w:val="22"/>
        </w:rPr>
      </w:pPr>
      <w:r w:rsidRPr="003F564F">
        <w:rPr>
          <w:sz w:val="22"/>
          <w:szCs w:val="22"/>
        </w:rPr>
        <w:t>Lyginamojo laikotarpio III</w:t>
      </w:r>
      <w:r w:rsidR="000A668B" w:rsidRPr="003F564F">
        <w:rPr>
          <w:sz w:val="22"/>
          <w:szCs w:val="22"/>
        </w:rPr>
        <w:t> </w:t>
      </w:r>
      <w:r w:rsidRPr="003F564F">
        <w:rPr>
          <w:sz w:val="22"/>
          <w:szCs w:val="22"/>
        </w:rPr>
        <w:t xml:space="preserve">fazės tyrimo (REACH3) metu lėtine </w:t>
      </w:r>
      <w:proofErr w:type="spellStart"/>
      <w:r w:rsidRPr="003F564F">
        <w:rPr>
          <w:sz w:val="22"/>
          <w:szCs w:val="22"/>
        </w:rPr>
        <w:t>TpŠL</w:t>
      </w:r>
      <w:proofErr w:type="spellEnd"/>
      <w:r w:rsidRPr="003F564F">
        <w:rPr>
          <w:sz w:val="22"/>
          <w:szCs w:val="22"/>
        </w:rPr>
        <w:t xml:space="preserve"> sergantiems pacientams</w:t>
      </w:r>
      <w:r w:rsidR="001C33D9" w:rsidRPr="003F564F">
        <w:rPr>
          <w:sz w:val="22"/>
          <w:szCs w:val="22"/>
        </w:rPr>
        <w:t xml:space="preserve"> </w:t>
      </w:r>
      <w:r w:rsidRPr="003F564F">
        <w:rPr>
          <w:sz w:val="22"/>
          <w:szCs w:val="22"/>
        </w:rPr>
        <w:t>kraujavimo reiškinių pasireiškė atitinkamai 11,5</w:t>
      </w:r>
      <w:r w:rsidR="000A668B" w:rsidRPr="003F564F">
        <w:rPr>
          <w:sz w:val="22"/>
          <w:szCs w:val="22"/>
        </w:rPr>
        <w:t> </w:t>
      </w:r>
      <w:r w:rsidRPr="003F564F">
        <w:rPr>
          <w:sz w:val="22"/>
          <w:szCs w:val="22"/>
        </w:rPr>
        <w:t>% ir 14,6</w:t>
      </w:r>
      <w:r w:rsidR="000A668B" w:rsidRPr="003F564F">
        <w:rPr>
          <w:sz w:val="22"/>
          <w:szCs w:val="22"/>
        </w:rPr>
        <w:t> </w:t>
      </w:r>
      <w:r w:rsidRPr="003F564F">
        <w:rPr>
          <w:sz w:val="22"/>
          <w:szCs w:val="22"/>
        </w:rPr>
        <w:t xml:space="preserve">% </w:t>
      </w:r>
      <w:proofErr w:type="spellStart"/>
      <w:r w:rsidRPr="003F564F">
        <w:rPr>
          <w:sz w:val="22"/>
          <w:szCs w:val="22"/>
        </w:rPr>
        <w:t>ruksolitinibo</w:t>
      </w:r>
      <w:proofErr w:type="spellEnd"/>
      <w:r w:rsidRPr="003F564F">
        <w:rPr>
          <w:sz w:val="22"/>
          <w:szCs w:val="22"/>
        </w:rPr>
        <w:t xml:space="preserve"> vartojusių pacientų ir GPG</w:t>
      </w:r>
      <w:r w:rsidR="001C33D9" w:rsidRPr="003F564F">
        <w:rPr>
          <w:sz w:val="22"/>
          <w:szCs w:val="22"/>
        </w:rPr>
        <w:t xml:space="preserve"> </w:t>
      </w:r>
      <w:r w:rsidRPr="003F564F">
        <w:rPr>
          <w:sz w:val="22"/>
          <w:szCs w:val="22"/>
        </w:rPr>
        <w:t>gavusių pacientų. Kraujavimo reiškinių pobūdis tiriamosiose grupėse iš esmės buvo panašus:</w:t>
      </w:r>
      <w:r w:rsidR="001C33D9" w:rsidRPr="003F564F">
        <w:rPr>
          <w:sz w:val="22"/>
          <w:szCs w:val="22"/>
        </w:rPr>
        <w:t xml:space="preserve"> </w:t>
      </w:r>
      <w:r w:rsidRPr="003F564F">
        <w:rPr>
          <w:sz w:val="22"/>
          <w:szCs w:val="22"/>
        </w:rPr>
        <w:t>kraujosruvų atvejų nustatyta 4,2</w:t>
      </w:r>
      <w:r w:rsidR="000A668B" w:rsidRPr="003F564F">
        <w:rPr>
          <w:sz w:val="22"/>
          <w:szCs w:val="22"/>
        </w:rPr>
        <w:t> </w:t>
      </w:r>
      <w:r w:rsidRPr="003F564F">
        <w:rPr>
          <w:sz w:val="22"/>
          <w:szCs w:val="22"/>
        </w:rPr>
        <w:t xml:space="preserve">% </w:t>
      </w:r>
      <w:proofErr w:type="spellStart"/>
      <w:r w:rsidRPr="003F564F">
        <w:rPr>
          <w:sz w:val="22"/>
          <w:szCs w:val="22"/>
        </w:rPr>
        <w:t>ruksolitinibo</w:t>
      </w:r>
      <w:proofErr w:type="spellEnd"/>
      <w:r w:rsidRPr="003F564F">
        <w:rPr>
          <w:sz w:val="22"/>
          <w:szCs w:val="22"/>
        </w:rPr>
        <w:t xml:space="preserve"> vartojusių pacientų ir 2,5</w:t>
      </w:r>
      <w:r w:rsidR="000A668B" w:rsidRPr="003F564F">
        <w:rPr>
          <w:sz w:val="22"/>
          <w:szCs w:val="22"/>
        </w:rPr>
        <w:t> </w:t>
      </w:r>
      <w:r w:rsidRPr="003F564F">
        <w:rPr>
          <w:sz w:val="22"/>
          <w:szCs w:val="22"/>
        </w:rPr>
        <w:t>% GPG gavusių pacientų,</w:t>
      </w:r>
      <w:r w:rsidR="001C33D9" w:rsidRPr="003F564F">
        <w:rPr>
          <w:sz w:val="22"/>
          <w:szCs w:val="22"/>
        </w:rPr>
        <w:t xml:space="preserve"> </w:t>
      </w:r>
      <w:r w:rsidRPr="003F564F">
        <w:rPr>
          <w:sz w:val="22"/>
          <w:szCs w:val="22"/>
        </w:rPr>
        <w:t>kraujavimo iš virškinimo trakto atvejų nustatyta atitinkamai 1,2</w:t>
      </w:r>
      <w:r w:rsidR="000A668B" w:rsidRPr="003F564F">
        <w:rPr>
          <w:sz w:val="22"/>
          <w:szCs w:val="22"/>
        </w:rPr>
        <w:t> </w:t>
      </w:r>
      <w:r w:rsidRPr="003F564F">
        <w:rPr>
          <w:sz w:val="22"/>
          <w:szCs w:val="22"/>
        </w:rPr>
        <w:t>% ir 3,2</w:t>
      </w:r>
      <w:r w:rsidR="000A668B" w:rsidRPr="003F564F">
        <w:rPr>
          <w:sz w:val="22"/>
          <w:szCs w:val="22"/>
        </w:rPr>
        <w:t> </w:t>
      </w:r>
      <w:r w:rsidRPr="003F564F">
        <w:rPr>
          <w:sz w:val="22"/>
          <w:szCs w:val="22"/>
        </w:rPr>
        <w:t>% pacientų, kitų kraujavimo</w:t>
      </w:r>
      <w:r w:rsidR="001C33D9" w:rsidRPr="003F564F">
        <w:rPr>
          <w:sz w:val="22"/>
          <w:szCs w:val="22"/>
        </w:rPr>
        <w:t xml:space="preserve"> </w:t>
      </w:r>
      <w:r w:rsidRPr="003F564F">
        <w:rPr>
          <w:sz w:val="22"/>
          <w:szCs w:val="22"/>
        </w:rPr>
        <w:t>atvejų nustatyta atitinkamai 6,7</w:t>
      </w:r>
      <w:r w:rsidR="000A668B" w:rsidRPr="003F564F">
        <w:rPr>
          <w:sz w:val="22"/>
          <w:szCs w:val="22"/>
        </w:rPr>
        <w:t> </w:t>
      </w:r>
      <w:r w:rsidRPr="003F564F">
        <w:rPr>
          <w:sz w:val="22"/>
          <w:szCs w:val="22"/>
        </w:rPr>
        <w:t>% ir 10,1</w:t>
      </w:r>
      <w:r w:rsidR="000A668B" w:rsidRPr="003F564F">
        <w:rPr>
          <w:sz w:val="22"/>
          <w:szCs w:val="22"/>
        </w:rPr>
        <w:t> </w:t>
      </w:r>
      <w:r w:rsidRPr="003F564F">
        <w:rPr>
          <w:sz w:val="22"/>
          <w:szCs w:val="22"/>
        </w:rPr>
        <w:t>% pacientų. Vaikams kraujavimo reiškinių pasireiškimo</w:t>
      </w:r>
      <w:r w:rsidR="001C33D9" w:rsidRPr="003F564F">
        <w:rPr>
          <w:sz w:val="22"/>
          <w:szCs w:val="22"/>
        </w:rPr>
        <w:t xml:space="preserve"> </w:t>
      </w:r>
      <w:r w:rsidRPr="003F564F">
        <w:rPr>
          <w:sz w:val="22"/>
          <w:szCs w:val="22"/>
        </w:rPr>
        <w:t>dažnis buvo 9,1</w:t>
      </w:r>
      <w:r w:rsidR="000A668B" w:rsidRPr="003F564F">
        <w:rPr>
          <w:sz w:val="22"/>
          <w:szCs w:val="22"/>
        </w:rPr>
        <w:t> </w:t>
      </w:r>
      <w:r w:rsidRPr="003F564F">
        <w:rPr>
          <w:sz w:val="22"/>
          <w:szCs w:val="22"/>
        </w:rPr>
        <w:t>%. Pasireiškę reiškiniai buvo kraujavimas iš nosies, kraujavimas iš tiesiosios žarnos,</w:t>
      </w:r>
      <w:r w:rsidR="001C33D9" w:rsidRPr="003F564F">
        <w:rPr>
          <w:sz w:val="22"/>
          <w:szCs w:val="22"/>
        </w:rPr>
        <w:t xml:space="preserve"> </w:t>
      </w:r>
      <w:r w:rsidRPr="003F564F">
        <w:rPr>
          <w:sz w:val="22"/>
          <w:szCs w:val="22"/>
        </w:rPr>
        <w:lastRenderedPageBreak/>
        <w:t>hematoma, kraujavimas po procedūros ir kraujavimas po oda (kiekvieno dažnis po 1,8</w:t>
      </w:r>
      <w:r w:rsidR="000A668B" w:rsidRPr="003F564F">
        <w:rPr>
          <w:sz w:val="22"/>
          <w:szCs w:val="22"/>
        </w:rPr>
        <w:t> </w:t>
      </w:r>
      <w:r w:rsidRPr="003F564F">
        <w:rPr>
          <w:sz w:val="22"/>
          <w:szCs w:val="22"/>
        </w:rPr>
        <w:t>%). Lėtine</w:t>
      </w:r>
      <w:r w:rsidR="001C33D9" w:rsidRPr="003F564F">
        <w:rPr>
          <w:sz w:val="22"/>
          <w:szCs w:val="22"/>
        </w:rPr>
        <w:t xml:space="preserve"> </w:t>
      </w:r>
      <w:proofErr w:type="spellStart"/>
      <w:r w:rsidRPr="003F564F">
        <w:rPr>
          <w:sz w:val="22"/>
          <w:szCs w:val="22"/>
        </w:rPr>
        <w:t>TpŠL</w:t>
      </w:r>
      <w:proofErr w:type="spellEnd"/>
      <w:r w:rsidRPr="003F564F">
        <w:rPr>
          <w:sz w:val="22"/>
          <w:szCs w:val="22"/>
        </w:rPr>
        <w:t xml:space="preserve"> sergantiems pacientams nebuvo nustatyta nė vieno </w:t>
      </w:r>
      <w:proofErr w:type="spellStart"/>
      <w:r w:rsidRPr="003F564F">
        <w:rPr>
          <w:sz w:val="22"/>
          <w:szCs w:val="22"/>
        </w:rPr>
        <w:t>intrakranijinio</w:t>
      </w:r>
      <w:proofErr w:type="spellEnd"/>
      <w:r w:rsidRPr="003F564F">
        <w:rPr>
          <w:sz w:val="22"/>
          <w:szCs w:val="22"/>
        </w:rPr>
        <w:t xml:space="preserve"> kraujavimo atvejo.</w:t>
      </w:r>
    </w:p>
    <w:p w14:paraId="57EECD0E" w14:textId="77777777" w:rsidR="001C33D9" w:rsidRPr="003F564F" w:rsidRDefault="001C33D9" w:rsidP="00627CC3">
      <w:pPr>
        <w:tabs>
          <w:tab w:val="left" w:pos="567"/>
        </w:tabs>
        <w:spacing w:line="260" w:lineRule="exact"/>
        <w:rPr>
          <w:sz w:val="22"/>
          <w:szCs w:val="22"/>
        </w:rPr>
      </w:pPr>
    </w:p>
    <w:p w14:paraId="1F8C254E" w14:textId="0339B559" w:rsidR="009F34A7" w:rsidRPr="003F564F" w:rsidRDefault="009F34A7" w:rsidP="00627CC3">
      <w:pPr>
        <w:tabs>
          <w:tab w:val="left" w:pos="567"/>
        </w:tabs>
        <w:spacing w:line="260" w:lineRule="exact"/>
        <w:rPr>
          <w:i/>
          <w:iCs/>
          <w:sz w:val="22"/>
          <w:szCs w:val="22"/>
          <w:u w:val="single"/>
        </w:rPr>
      </w:pPr>
      <w:r w:rsidRPr="003F564F">
        <w:rPr>
          <w:i/>
          <w:iCs/>
          <w:sz w:val="22"/>
          <w:szCs w:val="22"/>
          <w:u w:val="single"/>
        </w:rPr>
        <w:t>Infekcijos</w:t>
      </w:r>
    </w:p>
    <w:p w14:paraId="1E22A130" w14:textId="51008FD1" w:rsidR="009F34A7" w:rsidRPr="003F564F" w:rsidRDefault="009F34A7" w:rsidP="00627CC3">
      <w:pPr>
        <w:tabs>
          <w:tab w:val="left" w:pos="567"/>
        </w:tabs>
        <w:spacing w:line="260" w:lineRule="exact"/>
        <w:rPr>
          <w:sz w:val="22"/>
          <w:szCs w:val="22"/>
        </w:rPr>
      </w:pPr>
      <w:r w:rsidRPr="003F564F">
        <w:rPr>
          <w:sz w:val="22"/>
          <w:szCs w:val="22"/>
        </w:rPr>
        <w:t>III</w:t>
      </w:r>
      <w:r w:rsidR="000F65E8" w:rsidRPr="003F564F">
        <w:rPr>
          <w:sz w:val="22"/>
          <w:szCs w:val="22"/>
        </w:rPr>
        <w:t> </w:t>
      </w:r>
      <w:r w:rsidRPr="003F564F">
        <w:rPr>
          <w:sz w:val="22"/>
          <w:szCs w:val="22"/>
        </w:rPr>
        <w:t>fazės pagrindinių klinikinių tyrimų su sergančiaisiais MF metu 3</w:t>
      </w:r>
      <w:r w:rsidR="000F65E8" w:rsidRPr="003F564F">
        <w:rPr>
          <w:sz w:val="22"/>
          <w:szCs w:val="22"/>
        </w:rPr>
        <w:noBreakHyphen/>
      </w:r>
      <w:r w:rsidRPr="003F564F">
        <w:rPr>
          <w:sz w:val="22"/>
          <w:szCs w:val="22"/>
        </w:rPr>
        <w:t>iojo ar 4</w:t>
      </w:r>
      <w:r w:rsidR="000F65E8" w:rsidRPr="003F564F">
        <w:rPr>
          <w:sz w:val="22"/>
          <w:szCs w:val="22"/>
        </w:rPr>
        <w:noBreakHyphen/>
      </w:r>
      <w:r w:rsidRPr="003F564F">
        <w:rPr>
          <w:sz w:val="22"/>
          <w:szCs w:val="22"/>
        </w:rPr>
        <w:t>ojo sunkumo laipsnių</w:t>
      </w:r>
      <w:r w:rsidR="000A668B" w:rsidRPr="003F564F">
        <w:rPr>
          <w:sz w:val="22"/>
          <w:szCs w:val="22"/>
        </w:rPr>
        <w:t xml:space="preserve"> </w:t>
      </w:r>
      <w:r w:rsidRPr="003F564F">
        <w:rPr>
          <w:sz w:val="22"/>
          <w:szCs w:val="22"/>
        </w:rPr>
        <w:t>šlapimo takų infekcijų pasireiškė 1,0</w:t>
      </w:r>
      <w:r w:rsidR="000F65E8" w:rsidRPr="003F564F">
        <w:rPr>
          <w:sz w:val="22"/>
          <w:szCs w:val="22"/>
        </w:rPr>
        <w:t> </w:t>
      </w:r>
      <w:r w:rsidRPr="003F564F">
        <w:rPr>
          <w:sz w:val="22"/>
          <w:szCs w:val="22"/>
        </w:rPr>
        <w:t xml:space="preserve">% pacientų, </w:t>
      </w:r>
      <w:proofErr w:type="spellStart"/>
      <w:r w:rsidRPr="003F564F">
        <w:rPr>
          <w:i/>
          <w:iCs/>
          <w:sz w:val="22"/>
          <w:szCs w:val="22"/>
        </w:rPr>
        <w:t>Herpes</w:t>
      </w:r>
      <w:proofErr w:type="spellEnd"/>
      <w:r w:rsidRPr="003F564F">
        <w:rPr>
          <w:i/>
          <w:iCs/>
          <w:sz w:val="22"/>
          <w:szCs w:val="22"/>
        </w:rPr>
        <w:t xml:space="preserve"> </w:t>
      </w:r>
      <w:proofErr w:type="spellStart"/>
      <w:r w:rsidRPr="003F564F">
        <w:rPr>
          <w:i/>
          <w:iCs/>
          <w:sz w:val="22"/>
          <w:szCs w:val="22"/>
        </w:rPr>
        <w:t>zoster</w:t>
      </w:r>
      <w:proofErr w:type="spellEnd"/>
      <w:r w:rsidRPr="003F564F">
        <w:rPr>
          <w:sz w:val="22"/>
          <w:szCs w:val="22"/>
        </w:rPr>
        <w:t xml:space="preserve"> infekcijos atvejų – 4,3</w:t>
      </w:r>
      <w:r w:rsidR="000F65E8" w:rsidRPr="003F564F">
        <w:rPr>
          <w:sz w:val="22"/>
          <w:szCs w:val="22"/>
        </w:rPr>
        <w:t> </w:t>
      </w:r>
      <w:r w:rsidRPr="003F564F">
        <w:rPr>
          <w:sz w:val="22"/>
          <w:szCs w:val="22"/>
        </w:rPr>
        <w:t>%, o</w:t>
      </w:r>
      <w:r w:rsidR="000A668B" w:rsidRPr="003F564F">
        <w:rPr>
          <w:sz w:val="22"/>
          <w:szCs w:val="22"/>
        </w:rPr>
        <w:t xml:space="preserve"> </w:t>
      </w:r>
      <w:r w:rsidRPr="003F564F">
        <w:rPr>
          <w:sz w:val="22"/>
          <w:szCs w:val="22"/>
        </w:rPr>
        <w:t>tuberkuliozės – 1,0</w:t>
      </w:r>
      <w:r w:rsidR="000F65E8" w:rsidRPr="003F564F">
        <w:rPr>
          <w:sz w:val="22"/>
          <w:szCs w:val="22"/>
        </w:rPr>
        <w:t> </w:t>
      </w:r>
      <w:r w:rsidRPr="003F564F">
        <w:rPr>
          <w:sz w:val="22"/>
          <w:szCs w:val="22"/>
        </w:rPr>
        <w:t>% pacientų. III</w:t>
      </w:r>
      <w:r w:rsidR="000F65E8" w:rsidRPr="003F564F">
        <w:rPr>
          <w:sz w:val="22"/>
          <w:szCs w:val="22"/>
        </w:rPr>
        <w:t> </w:t>
      </w:r>
      <w:r w:rsidRPr="003F564F">
        <w:rPr>
          <w:sz w:val="22"/>
          <w:szCs w:val="22"/>
        </w:rPr>
        <w:t>fazės klinikinių tyrimų metu gauta pranešimų, kad sepsis pasireiškė</w:t>
      </w:r>
      <w:r w:rsidR="000A668B" w:rsidRPr="003F564F">
        <w:rPr>
          <w:sz w:val="22"/>
          <w:szCs w:val="22"/>
        </w:rPr>
        <w:t xml:space="preserve"> </w:t>
      </w:r>
      <w:r w:rsidRPr="003F564F">
        <w:rPr>
          <w:sz w:val="22"/>
          <w:szCs w:val="22"/>
        </w:rPr>
        <w:t>3,0</w:t>
      </w:r>
      <w:r w:rsidR="000F65E8" w:rsidRPr="003F564F">
        <w:rPr>
          <w:sz w:val="22"/>
          <w:szCs w:val="22"/>
        </w:rPr>
        <w:t> </w:t>
      </w:r>
      <w:r w:rsidRPr="003F564F">
        <w:rPr>
          <w:sz w:val="22"/>
          <w:szCs w:val="22"/>
        </w:rPr>
        <w:t xml:space="preserve">% pacientų. Pratęsto stebėjimo laikotarpio duomenys pacientų, gydytų </w:t>
      </w:r>
      <w:proofErr w:type="spellStart"/>
      <w:r w:rsidRPr="003F564F">
        <w:rPr>
          <w:sz w:val="22"/>
          <w:szCs w:val="22"/>
        </w:rPr>
        <w:t>ruksolitinibu</w:t>
      </w:r>
      <w:proofErr w:type="spellEnd"/>
      <w:r w:rsidRPr="003F564F">
        <w:rPr>
          <w:sz w:val="22"/>
          <w:szCs w:val="22"/>
        </w:rPr>
        <w:t xml:space="preserve"> neparodė</w:t>
      </w:r>
      <w:r w:rsidR="000A668B" w:rsidRPr="003F564F">
        <w:rPr>
          <w:sz w:val="22"/>
          <w:szCs w:val="22"/>
        </w:rPr>
        <w:t xml:space="preserve"> </w:t>
      </w:r>
      <w:r w:rsidRPr="003F564F">
        <w:rPr>
          <w:sz w:val="22"/>
          <w:szCs w:val="22"/>
        </w:rPr>
        <w:t>tendencijos sepsio dažnio didėjimui per tam tikrą laiką.</w:t>
      </w:r>
    </w:p>
    <w:p w14:paraId="51E515F0" w14:textId="77777777" w:rsidR="000A668B" w:rsidRPr="003F564F" w:rsidRDefault="000A668B" w:rsidP="00627CC3">
      <w:pPr>
        <w:tabs>
          <w:tab w:val="left" w:pos="567"/>
        </w:tabs>
        <w:spacing w:line="260" w:lineRule="exact"/>
        <w:rPr>
          <w:sz w:val="22"/>
          <w:szCs w:val="22"/>
        </w:rPr>
      </w:pPr>
    </w:p>
    <w:p w14:paraId="7B823EAE" w14:textId="163E9560" w:rsidR="009F34A7" w:rsidRPr="003F564F" w:rsidRDefault="009F34A7" w:rsidP="00627CC3">
      <w:pPr>
        <w:tabs>
          <w:tab w:val="left" w:pos="567"/>
        </w:tabs>
        <w:spacing w:line="260" w:lineRule="exact"/>
        <w:rPr>
          <w:sz w:val="22"/>
          <w:szCs w:val="22"/>
        </w:rPr>
      </w:pPr>
      <w:r w:rsidRPr="003F564F">
        <w:rPr>
          <w:sz w:val="22"/>
          <w:szCs w:val="22"/>
        </w:rPr>
        <w:t>Šių III</w:t>
      </w:r>
      <w:r w:rsidR="000F65E8" w:rsidRPr="003F564F">
        <w:rPr>
          <w:sz w:val="22"/>
          <w:szCs w:val="22"/>
        </w:rPr>
        <w:t> </w:t>
      </w:r>
      <w:r w:rsidRPr="003F564F">
        <w:rPr>
          <w:sz w:val="22"/>
          <w:szCs w:val="22"/>
        </w:rPr>
        <w:t>fazės tyrimų su TP sergančiais pacientais atsitiktinių imčių laikotarpio duomenimis, nustatytas</w:t>
      </w:r>
      <w:r w:rsidR="000A668B" w:rsidRPr="003F564F">
        <w:rPr>
          <w:sz w:val="22"/>
          <w:szCs w:val="22"/>
        </w:rPr>
        <w:t xml:space="preserve"> </w:t>
      </w:r>
      <w:r w:rsidRPr="003F564F">
        <w:rPr>
          <w:sz w:val="22"/>
          <w:szCs w:val="22"/>
        </w:rPr>
        <w:t>vienas (0,5</w:t>
      </w:r>
      <w:r w:rsidR="000F65E8" w:rsidRPr="003F564F">
        <w:rPr>
          <w:sz w:val="22"/>
          <w:szCs w:val="22"/>
        </w:rPr>
        <w:t> </w:t>
      </w:r>
      <w:r w:rsidRPr="003F564F">
        <w:rPr>
          <w:sz w:val="22"/>
          <w:szCs w:val="22"/>
        </w:rPr>
        <w:t>%) 3</w:t>
      </w:r>
      <w:r w:rsidR="000F65E8" w:rsidRPr="003F564F">
        <w:rPr>
          <w:sz w:val="22"/>
          <w:szCs w:val="22"/>
        </w:rPr>
        <w:noBreakHyphen/>
      </w:r>
      <w:r w:rsidRPr="003F564F">
        <w:rPr>
          <w:sz w:val="22"/>
          <w:szCs w:val="22"/>
        </w:rPr>
        <w:t>iojo laipsnio pagal CTCAE kriterijus šlapimo takų infekcijos atvejis ir nė vieno 4</w:t>
      </w:r>
      <w:r w:rsidR="000F65E8" w:rsidRPr="003F564F">
        <w:rPr>
          <w:sz w:val="22"/>
          <w:szCs w:val="22"/>
        </w:rPr>
        <w:noBreakHyphen/>
      </w:r>
      <w:r w:rsidRPr="003F564F">
        <w:rPr>
          <w:sz w:val="22"/>
          <w:szCs w:val="22"/>
        </w:rPr>
        <w:t>ojo</w:t>
      </w:r>
      <w:r w:rsidR="000A668B" w:rsidRPr="003F564F">
        <w:rPr>
          <w:sz w:val="22"/>
          <w:szCs w:val="22"/>
        </w:rPr>
        <w:t xml:space="preserve"> </w:t>
      </w:r>
      <w:r w:rsidRPr="003F564F">
        <w:rPr>
          <w:sz w:val="22"/>
          <w:szCs w:val="22"/>
        </w:rPr>
        <w:t xml:space="preserve">laipsnio tokio sutrikimo atvejo. </w:t>
      </w:r>
      <w:proofErr w:type="spellStart"/>
      <w:r w:rsidRPr="003F564F">
        <w:rPr>
          <w:i/>
          <w:iCs/>
          <w:sz w:val="22"/>
          <w:szCs w:val="22"/>
        </w:rPr>
        <w:t>Herpes</w:t>
      </w:r>
      <w:proofErr w:type="spellEnd"/>
      <w:r w:rsidRPr="003F564F">
        <w:rPr>
          <w:i/>
          <w:iCs/>
          <w:sz w:val="22"/>
          <w:szCs w:val="22"/>
        </w:rPr>
        <w:t xml:space="preserve"> </w:t>
      </w:r>
      <w:proofErr w:type="spellStart"/>
      <w:r w:rsidRPr="003F564F">
        <w:rPr>
          <w:i/>
          <w:iCs/>
          <w:sz w:val="22"/>
          <w:szCs w:val="22"/>
        </w:rPr>
        <w:t>zoster</w:t>
      </w:r>
      <w:proofErr w:type="spellEnd"/>
      <w:r w:rsidRPr="003F564F">
        <w:rPr>
          <w:sz w:val="22"/>
          <w:szCs w:val="22"/>
        </w:rPr>
        <w:t xml:space="preserve"> infekcijos pasireiškimo dažnis buvo panašus TP</w:t>
      </w:r>
      <w:r w:rsidR="000A668B" w:rsidRPr="003F564F">
        <w:rPr>
          <w:sz w:val="22"/>
          <w:szCs w:val="22"/>
        </w:rPr>
        <w:t xml:space="preserve"> </w:t>
      </w:r>
      <w:r w:rsidRPr="003F564F">
        <w:rPr>
          <w:sz w:val="22"/>
          <w:szCs w:val="22"/>
        </w:rPr>
        <w:t>sergantiems pacientams (4,3</w:t>
      </w:r>
      <w:r w:rsidR="000F65E8" w:rsidRPr="003F564F">
        <w:rPr>
          <w:sz w:val="22"/>
          <w:szCs w:val="22"/>
        </w:rPr>
        <w:t> </w:t>
      </w:r>
      <w:r w:rsidRPr="003F564F">
        <w:rPr>
          <w:sz w:val="22"/>
          <w:szCs w:val="22"/>
        </w:rPr>
        <w:t>%) ir sergantiesiems MF (4,0</w:t>
      </w:r>
      <w:r w:rsidR="000F65E8" w:rsidRPr="003F564F">
        <w:rPr>
          <w:sz w:val="22"/>
          <w:szCs w:val="22"/>
        </w:rPr>
        <w:t> </w:t>
      </w:r>
      <w:r w:rsidRPr="003F564F">
        <w:rPr>
          <w:sz w:val="22"/>
          <w:szCs w:val="22"/>
        </w:rPr>
        <w:t>%). TP sergančiųjų tarpe nustatytas vienas</w:t>
      </w:r>
      <w:r w:rsidR="000A668B" w:rsidRPr="003F564F">
        <w:rPr>
          <w:sz w:val="22"/>
          <w:szCs w:val="22"/>
        </w:rPr>
        <w:t xml:space="preserve"> </w:t>
      </w:r>
      <w:r w:rsidRPr="003F564F">
        <w:rPr>
          <w:sz w:val="22"/>
          <w:szCs w:val="22"/>
        </w:rPr>
        <w:t>3</w:t>
      </w:r>
      <w:r w:rsidR="000F65E8" w:rsidRPr="003F564F">
        <w:rPr>
          <w:sz w:val="22"/>
          <w:szCs w:val="22"/>
        </w:rPr>
        <w:noBreakHyphen/>
      </w:r>
      <w:r w:rsidRPr="003F564F">
        <w:rPr>
          <w:sz w:val="22"/>
          <w:szCs w:val="22"/>
        </w:rPr>
        <w:t xml:space="preserve">iojo laipsnio pagal CTCAE kriterijus </w:t>
      </w:r>
      <w:proofErr w:type="spellStart"/>
      <w:r w:rsidRPr="003F564F">
        <w:rPr>
          <w:sz w:val="22"/>
          <w:szCs w:val="22"/>
        </w:rPr>
        <w:t>poherpetinės</w:t>
      </w:r>
      <w:proofErr w:type="spellEnd"/>
      <w:r w:rsidRPr="003F564F">
        <w:rPr>
          <w:sz w:val="22"/>
          <w:szCs w:val="22"/>
        </w:rPr>
        <w:t xml:space="preserve"> neuralgijos atvejis. Pneumonijos atvejų nustatyta</w:t>
      </w:r>
      <w:r w:rsidR="000A668B" w:rsidRPr="003F564F">
        <w:rPr>
          <w:sz w:val="22"/>
          <w:szCs w:val="22"/>
        </w:rPr>
        <w:t xml:space="preserve"> </w:t>
      </w:r>
      <w:r w:rsidRPr="003F564F">
        <w:rPr>
          <w:sz w:val="22"/>
          <w:szCs w:val="22"/>
        </w:rPr>
        <w:t>0,5</w:t>
      </w:r>
      <w:r w:rsidR="000F65E8" w:rsidRPr="003F564F">
        <w:rPr>
          <w:sz w:val="22"/>
          <w:szCs w:val="22"/>
        </w:rPr>
        <w:t> </w:t>
      </w:r>
      <w:r w:rsidRPr="003F564F">
        <w:rPr>
          <w:sz w:val="22"/>
          <w:szCs w:val="22"/>
        </w:rPr>
        <w:t xml:space="preserve">% pacientų, kurie vartojo </w:t>
      </w:r>
      <w:proofErr w:type="spellStart"/>
      <w:r w:rsidRPr="003F564F">
        <w:rPr>
          <w:sz w:val="22"/>
          <w:szCs w:val="22"/>
        </w:rPr>
        <w:t>ruksolitinibo</w:t>
      </w:r>
      <w:proofErr w:type="spellEnd"/>
      <w:r w:rsidRPr="003F564F">
        <w:rPr>
          <w:sz w:val="22"/>
          <w:szCs w:val="22"/>
        </w:rPr>
        <w:t>, lyginant su 1,6</w:t>
      </w:r>
      <w:r w:rsidR="000F65E8" w:rsidRPr="003F564F">
        <w:rPr>
          <w:sz w:val="22"/>
          <w:szCs w:val="22"/>
        </w:rPr>
        <w:t> </w:t>
      </w:r>
      <w:r w:rsidRPr="003F564F">
        <w:rPr>
          <w:sz w:val="22"/>
          <w:szCs w:val="22"/>
        </w:rPr>
        <w:t>% pacientų palyginamųjų vaistinių</w:t>
      </w:r>
      <w:r w:rsidR="000A668B" w:rsidRPr="003F564F">
        <w:rPr>
          <w:sz w:val="22"/>
          <w:szCs w:val="22"/>
        </w:rPr>
        <w:t xml:space="preserve"> </w:t>
      </w:r>
      <w:r w:rsidRPr="003F564F">
        <w:rPr>
          <w:sz w:val="22"/>
          <w:szCs w:val="22"/>
        </w:rPr>
        <w:t xml:space="preserve">preparatų vartojusiųjų grupėse. Nė vienam pacientui </w:t>
      </w:r>
      <w:proofErr w:type="spellStart"/>
      <w:r w:rsidRPr="003F564F">
        <w:rPr>
          <w:sz w:val="22"/>
          <w:szCs w:val="22"/>
        </w:rPr>
        <w:t>ruksolitinibo</w:t>
      </w:r>
      <w:proofErr w:type="spellEnd"/>
      <w:r w:rsidRPr="003F564F">
        <w:rPr>
          <w:sz w:val="22"/>
          <w:szCs w:val="22"/>
        </w:rPr>
        <w:t xml:space="preserve"> vartojusiųjų grupėje nebuvo</w:t>
      </w:r>
      <w:r w:rsidR="000A668B" w:rsidRPr="003F564F">
        <w:rPr>
          <w:sz w:val="22"/>
          <w:szCs w:val="22"/>
        </w:rPr>
        <w:t xml:space="preserve"> </w:t>
      </w:r>
      <w:r w:rsidRPr="003F564F">
        <w:rPr>
          <w:sz w:val="22"/>
          <w:szCs w:val="22"/>
        </w:rPr>
        <w:t>nustatyta sepsio ar tuberkuliozės.</w:t>
      </w:r>
    </w:p>
    <w:p w14:paraId="553970AD" w14:textId="77777777" w:rsidR="000A668B" w:rsidRPr="003F564F" w:rsidRDefault="000A668B" w:rsidP="00627CC3">
      <w:pPr>
        <w:tabs>
          <w:tab w:val="left" w:pos="567"/>
        </w:tabs>
        <w:spacing w:line="260" w:lineRule="exact"/>
        <w:rPr>
          <w:sz w:val="22"/>
          <w:szCs w:val="22"/>
        </w:rPr>
      </w:pPr>
    </w:p>
    <w:p w14:paraId="189E0CA1" w14:textId="58352577" w:rsidR="009F34A7" w:rsidRPr="003F564F" w:rsidRDefault="009F34A7" w:rsidP="00627CC3">
      <w:pPr>
        <w:tabs>
          <w:tab w:val="left" w:pos="567"/>
        </w:tabs>
        <w:spacing w:line="260" w:lineRule="exact"/>
        <w:rPr>
          <w:sz w:val="22"/>
          <w:szCs w:val="22"/>
        </w:rPr>
      </w:pPr>
      <w:r w:rsidRPr="003F564F">
        <w:rPr>
          <w:sz w:val="22"/>
          <w:szCs w:val="22"/>
        </w:rPr>
        <w:t>III</w:t>
      </w:r>
      <w:r w:rsidR="000F65E8" w:rsidRPr="003F564F">
        <w:rPr>
          <w:sz w:val="22"/>
          <w:szCs w:val="22"/>
        </w:rPr>
        <w:t> </w:t>
      </w:r>
      <w:r w:rsidRPr="003F564F">
        <w:rPr>
          <w:sz w:val="22"/>
          <w:szCs w:val="22"/>
        </w:rPr>
        <w:t>fazės tyrimų su TP sergančiais pacientais ilgalaikio vartojimo stebėjimo laikotarpio duomenimis,</w:t>
      </w:r>
      <w:r w:rsidR="000A668B" w:rsidRPr="003F564F">
        <w:rPr>
          <w:sz w:val="22"/>
          <w:szCs w:val="22"/>
        </w:rPr>
        <w:t xml:space="preserve"> </w:t>
      </w:r>
      <w:r w:rsidRPr="003F564F">
        <w:rPr>
          <w:sz w:val="22"/>
          <w:szCs w:val="22"/>
        </w:rPr>
        <w:t>dažnai nustatytos infekcijos buvo šlapimo takų infekcija (11,8</w:t>
      </w:r>
      <w:r w:rsidR="000F65E8" w:rsidRPr="003F564F">
        <w:rPr>
          <w:sz w:val="22"/>
          <w:szCs w:val="22"/>
        </w:rPr>
        <w:t> </w:t>
      </w:r>
      <w:r w:rsidRPr="003F564F">
        <w:rPr>
          <w:sz w:val="22"/>
          <w:szCs w:val="22"/>
        </w:rPr>
        <w:t xml:space="preserve">%), </w:t>
      </w:r>
      <w:proofErr w:type="spellStart"/>
      <w:r w:rsidRPr="003F564F">
        <w:rPr>
          <w:i/>
          <w:iCs/>
          <w:sz w:val="22"/>
          <w:szCs w:val="22"/>
        </w:rPr>
        <w:t>herpes</w:t>
      </w:r>
      <w:proofErr w:type="spellEnd"/>
      <w:r w:rsidRPr="003F564F">
        <w:rPr>
          <w:i/>
          <w:iCs/>
          <w:sz w:val="22"/>
          <w:szCs w:val="22"/>
        </w:rPr>
        <w:t xml:space="preserve"> </w:t>
      </w:r>
      <w:proofErr w:type="spellStart"/>
      <w:r w:rsidRPr="003F564F">
        <w:rPr>
          <w:i/>
          <w:iCs/>
          <w:sz w:val="22"/>
          <w:szCs w:val="22"/>
        </w:rPr>
        <w:t>zoster</w:t>
      </w:r>
      <w:proofErr w:type="spellEnd"/>
      <w:r w:rsidRPr="003F564F">
        <w:rPr>
          <w:sz w:val="22"/>
          <w:szCs w:val="22"/>
        </w:rPr>
        <w:t xml:space="preserve"> infekcija (14,7</w:t>
      </w:r>
      <w:r w:rsidR="000F65E8" w:rsidRPr="003F564F">
        <w:rPr>
          <w:sz w:val="22"/>
          <w:szCs w:val="22"/>
        </w:rPr>
        <w:t> </w:t>
      </w:r>
      <w:r w:rsidRPr="003F564F">
        <w:rPr>
          <w:sz w:val="22"/>
          <w:szCs w:val="22"/>
        </w:rPr>
        <w:t>%) ir</w:t>
      </w:r>
      <w:r w:rsidR="000A668B" w:rsidRPr="003F564F">
        <w:rPr>
          <w:sz w:val="22"/>
          <w:szCs w:val="22"/>
        </w:rPr>
        <w:t xml:space="preserve"> </w:t>
      </w:r>
      <w:r w:rsidRPr="003F564F">
        <w:rPr>
          <w:sz w:val="22"/>
          <w:szCs w:val="22"/>
        </w:rPr>
        <w:t>pneumonija (7,1</w:t>
      </w:r>
      <w:r w:rsidR="000F65E8" w:rsidRPr="003F564F">
        <w:rPr>
          <w:sz w:val="22"/>
          <w:szCs w:val="22"/>
        </w:rPr>
        <w:t> </w:t>
      </w:r>
      <w:r w:rsidRPr="003F564F">
        <w:rPr>
          <w:sz w:val="22"/>
          <w:szCs w:val="22"/>
        </w:rPr>
        <w:t>%). Sepsio atvejų nustatyta 0,6</w:t>
      </w:r>
      <w:r w:rsidR="000F65E8" w:rsidRPr="003F564F">
        <w:rPr>
          <w:sz w:val="22"/>
          <w:szCs w:val="22"/>
        </w:rPr>
        <w:t> </w:t>
      </w:r>
      <w:r w:rsidRPr="003F564F">
        <w:rPr>
          <w:sz w:val="22"/>
          <w:szCs w:val="22"/>
        </w:rPr>
        <w:t>% pacientų. Nė vienam pacientui ilgalaikio vartojimo</w:t>
      </w:r>
      <w:r w:rsidR="000A668B" w:rsidRPr="003F564F">
        <w:rPr>
          <w:sz w:val="22"/>
          <w:szCs w:val="22"/>
        </w:rPr>
        <w:t xml:space="preserve"> </w:t>
      </w:r>
      <w:r w:rsidRPr="003F564F">
        <w:rPr>
          <w:sz w:val="22"/>
          <w:szCs w:val="22"/>
        </w:rPr>
        <w:t>stebėjimo laikotarpiu nebuvo nustatyta tuberkuliozės.</w:t>
      </w:r>
    </w:p>
    <w:p w14:paraId="1DEDF2A5" w14:textId="77777777" w:rsidR="000A668B" w:rsidRPr="003F564F" w:rsidRDefault="000A668B" w:rsidP="00627CC3">
      <w:pPr>
        <w:tabs>
          <w:tab w:val="left" w:pos="567"/>
        </w:tabs>
        <w:spacing w:line="260" w:lineRule="exact"/>
        <w:rPr>
          <w:sz w:val="22"/>
          <w:szCs w:val="22"/>
        </w:rPr>
      </w:pPr>
    </w:p>
    <w:p w14:paraId="728F930A" w14:textId="084C6638" w:rsidR="009F34A7" w:rsidRPr="003F564F" w:rsidRDefault="009F34A7" w:rsidP="00627CC3">
      <w:pPr>
        <w:tabs>
          <w:tab w:val="left" w:pos="567"/>
        </w:tabs>
        <w:spacing w:line="260" w:lineRule="exact"/>
        <w:rPr>
          <w:sz w:val="22"/>
          <w:szCs w:val="22"/>
        </w:rPr>
      </w:pPr>
      <w:r w:rsidRPr="003F564F">
        <w:rPr>
          <w:i/>
          <w:iCs/>
          <w:sz w:val="22"/>
          <w:szCs w:val="22"/>
        </w:rPr>
        <w:t>Lyginamojo laikotarpio</w:t>
      </w:r>
      <w:r w:rsidRPr="003F564F">
        <w:rPr>
          <w:sz w:val="22"/>
          <w:szCs w:val="22"/>
        </w:rPr>
        <w:t xml:space="preserve"> III</w:t>
      </w:r>
      <w:r w:rsidR="000F65E8" w:rsidRPr="003F564F">
        <w:rPr>
          <w:sz w:val="22"/>
          <w:szCs w:val="22"/>
        </w:rPr>
        <w:t> </w:t>
      </w:r>
      <w:r w:rsidRPr="003F564F">
        <w:rPr>
          <w:sz w:val="22"/>
          <w:szCs w:val="22"/>
        </w:rPr>
        <w:t xml:space="preserve">fazės tyrimo (REACH2) metu ūmine </w:t>
      </w:r>
      <w:proofErr w:type="spellStart"/>
      <w:r w:rsidRPr="003F564F">
        <w:rPr>
          <w:sz w:val="22"/>
          <w:szCs w:val="22"/>
        </w:rPr>
        <w:t>TpŠL</w:t>
      </w:r>
      <w:proofErr w:type="spellEnd"/>
      <w:r w:rsidRPr="003F564F">
        <w:rPr>
          <w:sz w:val="22"/>
          <w:szCs w:val="22"/>
        </w:rPr>
        <w:t xml:space="preserve"> sergantiems pacientams</w:t>
      </w:r>
      <w:r w:rsidR="000A668B" w:rsidRPr="003F564F">
        <w:rPr>
          <w:sz w:val="22"/>
          <w:szCs w:val="22"/>
        </w:rPr>
        <w:t xml:space="preserve"> </w:t>
      </w:r>
      <w:r w:rsidRPr="003F564F">
        <w:rPr>
          <w:sz w:val="22"/>
          <w:szCs w:val="22"/>
        </w:rPr>
        <w:t>šlapimo takų infekcijų pasireiškė 9,9</w:t>
      </w:r>
      <w:r w:rsidR="000F65E8" w:rsidRPr="003F564F">
        <w:rPr>
          <w:sz w:val="22"/>
          <w:szCs w:val="22"/>
        </w:rPr>
        <w:t> </w:t>
      </w:r>
      <w:r w:rsidRPr="003F564F">
        <w:rPr>
          <w:sz w:val="22"/>
          <w:szCs w:val="22"/>
        </w:rPr>
        <w:t>% (≥</w:t>
      </w:r>
      <w:r w:rsidR="000F65E8" w:rsidRPr="003F564F">
        <w:rPr>
          <w:sz w:val="22"/>
          <w:szCs w:val="22"/>
        </w:rPr>
        <w:t> </w:t>
      </w:r>
      <w:r w:rsidRPr="003F564F">
        <w:rPr>
          <w:sz w:val="22"/>
          <w:szCs w:val="22"/>
        </w:rPr>
        <w:t>3</w:t>
      </w:r>
      <w:r w:rsidR="000F65E8" w:rsidRPr="003F564F">
        <w:rPr>
          <w:sz w:val="22"/>
          <w:szCs w:val="22"/>
        </w:rPr>
        <w:noBreakHyphen/>
      </w:r>
      <w:r w:rsidRPr="003F564F">
        <w:rPr>
          <w:sz w:val="22"/>
          <w:szCs w:val="22"/>
        </w:rPr>
        <w:t>iojo laipsnio – 3,3</w:t>
      </w:r>
      <w:r w:rsidR="000F65E8" w:rsidRPr="003F564F">
        <w:rPr>
          <w:sz w:val="22"/>
          <w:szCs w:val="22"/>
        </w:rPr>
        <w:t> </w:t>
      </w:r>
      <w:r w:rsidRPr="003F564F">
        <w:rPr>
          <w:sz w:val="22"/>
          <w:szCs w:val="22"/>
        </w:rPr>
        <w:t xml:space="preserve">%) </w:t>
      </w:r>
      <w:proofErr w:type="spellStart"/>
      <w:r w:rsidRPr="003F564F">
        <w:rPr>
          <w:sz w:val="22"/>
          <w:szCs w:val="22"/>
        </w:rPr>
        <w:t>ruksolitinibo</w:t>
      </w:r>
      <w:proofErr w:type="spellEnd"/>
      <w:r w:rsidRPr="003F564F">
        <w:rPr>
          <w:sz w:val="22"/>
          <w:szCs w:val="22"/>
        </w:rPr>
        <w:t xml:space="preserve"> vartojusių pacientų,</w:t>
      </w:r>
      <w:r w:rsidR="000A668B" w:rsidRPr="003F564F">
        <w:rPr>
          <w:sz w:val="22"/>
          <w:szCs w:val="22"/>
        </w:rPr>
        <w:t xml:space="preserve"> </w:t>
      </w:r>
      <w:r w:rsidRPr="003F564F">
        <w:rPr>
          <w:sz w:val="22"/>
          <w:szCs w:val="22"/>
        </w:rPr>
        <w:t>lyginant su 10,7</w:t>
      </w:r>
      <w:r w:rsidR="000F65E8" w:rsidRPr="003F564F">
        <w:rPr>
          <w:sz w:val="22"/>
          <w:szCs w:val="22"/>
        </w:rPr>
        <w:t> </w:t>
      </w:r>
      <w:r w:rsidRPr="003F564F">
        <w:rPr>
          <w:sz w:val="22"/>
          <w:szCs w:val="22"/>
        </w:rPr>
        <w:t>% (≥</w:t>
      </w:r>
      <w:r w:rsidR="000F65E8" w:rsidRPr="003F564F">
        <w:rPr>
          <w:sz w:val="22"/>
          <w:szCs w:val="22"/>
        </w:rPr>
        <w:t> </w:t>
      </w:r>
      <w:r w:rsidRPr="003F564F">
        <w:rPr>
          <w:sz w:val="22"/>
          <w:szCs w:val="22"/>
        </w:rPr>
        <w:t>3</w:t>
      </w:r>
      <w:r w:rsidR="000F65E8" w:rsidRPr="003F564F">
        <w:rPr>
          <w:sz w:val="22"/>
          <w:szCs w:val="22"/>
        </w:rPr>
        <w:noBreakHyphen/>
      </w:r>
      <w:r w:rsidRPr="003F564F">
        <w:rPr>
          <w:sz w:val="22"/>
          <w:szCs w:val="22"/>
        </w:rPr>
        <w:t>iojo laipsnio – 6,0</w:t>
      </w:r>
      <w:r w:rsidR="000F65E8" w:rsidRPr="003F564F">
        <w:rPr>
          <w:sz w:val="22"/>
          <w:szCs w:val="22"/>
        </w:rPr>
        <w:t> </w:t>
      </w:r>
      <w:r w:rsidRPr="003F564F">
        <w:rPr>
          <w:sz w:val="22"/>
          <w:szCs w:val="22"/>
        </w:rPr>
        <w:t>%) pacientų GPG grupėje. CMV infekcijų nustatyta 28,3</w:t>
      </w:r>
      <w:r w:rsidR="000F65E8" w:rsidRPr="003F564F">
        <w:rPr>
          <w:sz w:val="22"/>
          <w:szCs w:val="22"/>
        </w:rPr>
        <w:t> </w:t>
      </w:r>
      <w:r w:rsidRPr="003F564F">
        <w:rPr>
          <w:sz w:val="22"/>
          <w:szCs w:val="22"/>
        </w:rPr>
        <w:t>%</w:t>
      </w:r>
      <w:r w:rsidR="000A668B" w:rsidRPr="003F564F">
        <w:rPr>
          <w:sz w:val="22"/>
          <w:szCs w:val="22"/>
        </w:rPr>
        <w:t xml:space="preserve"> </w:t>
      </w:r>
      <w:r w:rsidRPr="003F564F">
        <w:rPr>
          <w:sz w:val="22"/>
          <w:szCs w:val="22"/>
        </w:rPr>
        <w:t>(≥</w:t>
      </w:r>
      <w:r w:rsidR="000F65E8" w:rsidRPr="003F564F">
        <w:rPr>
          <w:sz w:val="22"/>
          <w:szCs w:val="22"/>
        </w:rPr>
        <w:t> </w:t>
      </w:r>
      <w:r w:rsidRPr="003F564F">
        <w:rPr>
          <w:sz w:val="22"/>
          <w:szCs w:val="22"/>
        </w:rPr>
        <w:t>3</w:t>
      </w:r>
      <w:r w:rsidR="000F65E8" w:rsidRPr="003F564F">
        <w:rPr>
          <w:sz w:val="22"/>
          <w:szCs w:val="22"/>
        </w:rPr>
        <w:noBreakHyphen/>
      </w:r>
      <w:r w:rsidRPr="003F564F">
        <w:rPr>
          <w:sz w:val="22"/>
          <w:szCs w:val="22"/>
        </w:rPr>
        <w:t>iojo laipsnio – 9,3</w:t>
      </w:r>
      <w:r w:rsidR="000F65E8" w:rsidRPr="003F564F">
        <w:rPr>
          <w:sz w:val="22"/>
          <w:szCs w:val="22"/>
        </w:rPr>
        <w:t> </w:t>
      </w:r>
      <w:r w:rsidRPr="003F564F">
        <w:rPr>
          <w:sz w:val="22"/>
          <w:szCs w:val="22"/>
        </w:rPr>
        <w:t xml:space="preserve">%) </w:t>
      </w:r>
      <w:proofErr w:type="spellStart"/>
      <w:r w:rsidRPr="003F564F">
        <w:rPr>
          <w:sz w:val="22"/>
          <w:szCs w:val="22"/>
        </w:rPr>
        <w:t>ruksolitinibo</w:t>
      </w:r>
      <w:proofErr w:type="spellEnd"/>
      <w:r w:rsidRPr="003F564F">
        <w:rPr>
          <w:sz w:val="22"/>
          <w:szCs w:val="22"/>
        </w:rPr>
        <w:t xml:space="preserve"> vartojusių pacientų, lyginant su 24,0</w:t>
      </w:r>
      <w:r w:rsidR="000F65E8" w:rsidRPr="003F564F">
        <w:rPr>
          <w:sz w:val="22"/>
          <w:szCs w:val="22"/>
        </w:rPr>
        <w:t> </w:t>
      </w:r>
      <w:r w:rsidRPr="003F564F">
        <w:rPr>
          <w:sz w:val="22"/>
          <w:szCs w:val="22"/>
        </w:rPr>
        <w:t>% (≥</w:t>
      </w:r>
      <w:r w:rsidR="000F65E8" w:rsidRPr="003F564F">
        <w:rPr>
          <w:sz w:val="22"/>
          <w:szCs w:val="22"/>
        </w:rPr>
        <w:t> </w:t>
      </w:r>
      <w:r w:rsidRPr="003F564F">
        <w:rPr>
          <w:sz w:val="22"/>
          <w:szCs w:val="22"/>
        </w:rPr>
        <w:t>3</w:t>
      </w:r>
      <w:r w:rsidR="000F65E8" w:rsidRPr="003F564F">
        <w:rPr>
          <w:sz w:val="22"/>
          <w:szCs w:val="22"/>
        </w:rPr>
        <w:noBreakHyphen/>
      </w:r>
      <w:r w:rsidRPr="003F564F">
        <w:rPr>
          <w:sz w:val="22"/>
          <w:szCs w:val="22"/>
        </w:rPr>
        <w:t>iojo laipsnio –</w:t>
      </w:r>
      <w:r w:rsidR="000A668B" w:rsidRPr="003F564F">
        <w:rPr>
          <w:sz w:val="22"/>
          <w:szCs w:val="22"/>
        </w:rPr>
        <w:t xml:space="preserve"> </w:t>
      </w:r>
      <w:r w:rsidRPr="003F564F">
        <w:rPr>
          <w:sz w:val="22"/>
          <w:szCs w:val="22"/>
        </w:rPr>
        <w:t>10,0</w:t>
      </w:r>
      <w:r w:rsidR="000F65E8" w:rsidRPr="003F564F">
        <w:rPr>
          <w:sz w:val="22"/>
          <w:szCs w:val="22"/>
        </w:rPr>
        <w:t> </w:t>
      </w:r>
      <w:r w:rsidRPr="003F564F">
        <w:rPr>
          <w:sz w:val="22"/>
          <w:szCs w:val="22"/>
        </w:rPr>
        <w:t>%) pacientų GPG grupėje. Sepsio atvejų nustatyta 12,5</w:t>
      </w:r>
      <w:r w:rsidR="000F65E8" w:rsidRPr="003F564F">
        <w:rPr>
          <w:sz w:val="22"/>
          <w:szCs w:val="22"/>
        </w:rPr>
        <w:t> </w:t>
      </w:r>
      <w:r w:rsidRPr="003F564F">
        <w:rPr>
          <w:sz w:val="22"/>
          <w:szCs w:val="22"/>
        </w:rPr>
        <w:t>% (≥</w:t>
      </w:r>
      <w:r w:rsidR="000F65E8" w:rsidRPr="003F564F">
        <w:rPr>
          <w:sz w:val="22"/>
          <w:szCs w:val="22"/>
        </w:rPr>
        <w:t> </w:t>
      </w:r>
      <w:r w:rsidRPr="003F564F">
        <w:rPr>
          <w:sz w:val="22"/>
          <w:szCs w:val="22"/>
        </w:rPr>
        <w:t>3</w:t>
      </w:r>
      <w:r w:rsidR="000F65E8" w:rsidRPr="003F564F">
        <w:rPr>
          <w:sz w:val="22"/>
          <w:szCs w:val="22"/>
        </w:rPr>
        <w:noBreakHyphen/>
      </w:r>
      <w:r w:rsidRPr="003F564F">
        <w:rPr>
          <w:sz w:val="22"/>
          <w:szCs w:val="22"/>
        </w:rPr>
        <w:t>iojo laipsnio – 11,1</w:t>
      </w:r>
      <w:r w:rsidR="000F65E8" w:rsidRPr="003F564F">
        <w:rPr>
          <w:sz w:val="22"/>
          <w:szCs w:val="22"/>
        </w:rPr>
        <w:t> </w:t>
      </w:r>
      <w:r w:rsidRPr="003F564F">
        <w:rPr>
          <w:sz w:val="22"/>
          <w:szCs w:val="22"/>
        </w:rPr>
        <w:t>%)</w:t>
      </w:r>
      <w:r w:rsidR="000A668B" w:rsidRPr="003F564F">
        <w:rPr>
          <w:sz w:val="22"/>
          <w:szCs w:val="22"/>
        </w:rPr>
        <w:t xml:space="preserve"> </w:t>
      </w:r>
      <w:proofErr w:type="spellStart"/>
      <w:r w:rsidRPr="003F564F">
        <w:rPr>
          <w:sz w:val="22"/>
          <w:szCs w:val="22"/>
        </w:rPr>
        <w:t>ruksolitinibo</w:t>
      </w:r>
      <w:proofErr w:type="spellEnd"/>
      <w:r w:rsidRPr="003F564F">
        <w:rPr>
          <w:sz w:val="22"/>
          <w:szCs w:val="22"/>
        </w:rPr>
        <w:t xml:space="preserve"> vartojusių pacientų, lyginant su 8,7</w:t>
      </w:r>
      <w:r w:rsidR="000F65E8" w:rsidRPr="003F564F">
        <w:rPr>
          <w:sz w:val="22"/>
          <w:szCs w:val="22"/>
        </w:rPr>
        <w:t> </w:t>
      </w:r>
      <w:r w:rsidRPr="003F564F">
        <w:rPr>
          <w:sz w:val="22"/>
          <w:szCs w:val="22"/>
        </w:rPr>
        <w:t>% (≥</w:t>
      </w:r>
      <w:r w:rsidR="000F65E8" w:rsidRPr="003F564F">
        <w:rPr>
          <w:sz w:val="22"/>
          <w:szCs w:val="22"/>
        </w:rPr>
        <w:t> </w:t>
      </w:r>
      <w:r w:rsidRPr="003F564F">
        <w:rPr>
          <w:sz w:val="22"/>
          <w:szCs w:val="22"/>
        </w:rPr>
        <w:t>3</w:t>
      </w:r>
      <w:r w:rsidR="000F65E8" w:rsidRPr="003F564F">
        <w:rPr>
          <w:sz w:val="22"/>
          <w:szCs w:val="22"/>
        </w:rPr>
        <w:noBreakHyphen/>
      </w:r>
      <w:r w:rsidRPr="003F564F">
        <w:rPr>
          <w:sz w:val="22"/>
          <w:szCs w:val="22"/>
        </w:rPr>
        <w:t>iojo laipsnio – 6,0</w:t>
      </w:r>
      <w:r w:rsidR="000F65E8" w:rsidRPr="003F564F">
        <w:rPr>
          <w:sz w:val="22"/>
          <w:szCs w:val="22"/>
        </w:rPr>
        <w:t> </w:t>
      </w:r>
      <w:r w:rsidRPr="003F564F">
        <w:rPr>
          <w:sz w:val="22"/>
          <w:szCs w:val="22"/>
        </w:rPr>
        <w:t>%) pacientų GPG grupėje.</w:t>
      </w:r>
      <w:r w:rsidR="000A668B" w:rsidRPr="003F564F">
        <w:rPr>
          <w:sz w:val="22"/>
          <w:szCs w:val="22"/>
        </w:rPr>
        <w:t xml:space="preserve"> </w:t>
      </w:r>
      <w:r w:rsidRPr="003F564F">
        <w:rPr>
          <w:sz w:val="22"/>
          <w:szCs w:val="22"/>
        </w:rPr>
        <w:t xml:space="preserve">BK viruso infekcijos atvejų nustatyta tik </w:t>
      </w:r>
      <w:proofErr w:type="spellStart"/>
      <w:r w:rsidRPr="003F564F">
        <w:rPr>
          <w:sz w:val="22"/>
          <w:szCs w:val="22"/>
        </w:rPr>
        <w:t>ruksolitinibo</w:t>
      </w:r>
      <w:proofErr w:type="spellEnd"/>
      <w:r w:rsidRPr="003F564F">
        <w:rPr>
          <w:sz w:val="22"/>
          <w:szCs w:val="22"/>
        </w:rPr>
        <w:t xml:space="preserve"> vartojusiųjų grupėje 3 pacientams, iš kurių</w:t>
      </w:r>
      <w:r w:rsidR="000A668B" w:rsidRPr="003F564F">
        <w:rPr>
          <w:sz w:val="22"/>
          <w:szCs w:val="22"/>
        </w:rPr>
        <w:t xml:space="preserve"> </w:t>
      </w:r>
      <w:r w:rsidRPr="003F564F">
        <w:rPr>
          <w:sz w:val="22"/>
          <w:szCs w:val="22"/>
        </w:rPr>
        <w:t>vienas atvejis buvo 3</w:t>
      </w:r>
      <w:r w:rsidR="000F65E8" w:rsidRPr="003F564F">
        <w:rPr>
          <w:sz w:val="22"/>
          <w:szCs w:val="22"/>
        </w:rPr>
        <w:noBreakHyphen/>
      </w:r>
      <w:r w:rsidRPr="003F564F">
        <w:rPr>
          <w:sz w:val="22"/>
          <w:szCs w:val="22"/>
        </w:rPr>
        <w:t xml:space="preserve">iojo laipsnio. Tyrimo </w:t>
      </w:r>
      <w:r w:rsidRPr="003F564F">
        <w:rPr>
          <w:i/>
          <w:iCs/>
          <w:sz w:val="22"/>
          <w:szCs w:val="22"/>
        </w:rPr>
        <w:t>tęstinio stebėjimo laikotarpiu</w:t>
      </w:r>
      <w:r w:rsidRPr="003F564F">
        <w:rPr>
          <w:sz w:val="22"/>
          <w:szCs w:val="22"/>
        </w:rPr>
        <w:t xml:space="preserve"> </w:t>
      </w:r>
      <w:proofErr w:type="spellStart"/>
      <w:r w:rsidRPr="003F564F">
        <w:rPr>
          <w:sz w:val="22"/>
          <w:szCs w:val="22"/>
        </w:rPr>
        <w:t>ruksolitinibo</w:t>
      </w:r>
      <w:proofErr w:type="spellEnd"/>
      <w:r w:rsidRPr="003F564F">
        <w:rPr>
          <w:sz w:val="22"/>
          <w:szCs w:val="22"/>
        </w:rPr>
        <w:t xml:space="preserve"> vartojusiems</w:t>
      </w:r>
      <w:r w:rsidR="000A668B" w:rsidRPr="003F564F">
        <w:rPr>
          <w:sz w:val="22"/>
          <w:szCs w:val="22"/>
        </w:rPr>
        <w:t xml:space="preserve"> </w:t>
      </w:r>
      <w:r w:rsidRPr="003F564F">
        <w:rPr>
          <w:sz w:val="22"/>
          <w:szCs w:val="22"/>
        </w:rPr>
        <w:t>pacientams šlapimo takų infekcijų atvejų nustatyta 17,9</w:t>
      </w:r>
      <w:r w:rsidR="000F65E8" w:rsidRPr="003F564F">
        <w:rPr>
          <w:sz w:val="22"/>
          <w:szCs w:val="22"/>
        </w:rPr>
        <w:t> </w:t>
      </w:r>
      <w:r w:rsidRPr="003F564F">
        <w:rPr>
          <w:sz w:val="22"/>
          <w:szCs w:val="22"/>
        </w:rPr>
        <w:t>% (≥</w:t>
      </w:r>
      <w:r w:rsidR="000F65E8" w:rsidRPr="003F564F">
        <w:rPr>
          <w:sz w:val="22"/>
          <w:szCs w:val="22"/>
        </w:rPr>
        <w:t> </w:t>
      </w:r>
      <w:r w:rsidRPr="003F564F">
        <w:rPr>
          <w:sz w:val="22"/>
          <w:szCs w:val="22"/>
        </w:rPr>
        <w:t>3</w:t>
      </w:r>
      <w:r w:rsidR="000F65E8" w:rsidRPr="003F564F">
        <w:rPr>
          <w:sz w:val="22"/>
          <w:szCs w:val="22"/>
        </w:rPr>
        <w:noBreakHyphen/>
      </w:r>
      <w:r w:rsidRPr="003F564F">
        <w:rPr>
          <w:sz w:val="22"/>
          <w:szCs w:val="22"/>
        </w:rPr>
        <w:t>iojo laipsnio – 6,5</w:t>
      </w:r>
      <w:r w:rsidR="000F65E8" w:rsidRPr="003F564F">
        <w:rPr>
          <w:sz w:val="22"/>
          <w:szCs w:val="22"/>
        </w:rPr>
        <w:t> </w:t>
      </w:r>
      <w:r w:rsidRPr="003F564F">
        <w:rPr>
          <w:sz w:val="22"/>
          <w:szCs w:val="22"/>
        </w:rPr>
        <w:t>%) pacientų, o</w:t>
      </w:r>
      <w:r w:rsidR="000A668B" w:rsidRPr="003F564F">
        <w:rPr>
          <w:sz w:val="22"/>
          <w:szCs w:val="22"/>
        </w:rPr>
        <w:t xml:space="preserve"> </w:t>
      </w:r>
      <w:r w:rsidRPr="003F564F">
        <w:rPr>
          <w:sz w:val="22"/>
          <w:szCs w:val="22"/>
        </w:rPr>
        <w:t>CMV infekcijų atvejų nustatyta 32,3</w:t>
      </w:r>
      <w:r w:rsidR="000F65E8" w:rsidRPr="003F564F">
        <w:rPr>
          <w:sz w:val="22"/>
          <w:szCs w:val="22"/>
        </w:rPr>
        <w:t> </w:t>
      </w:r>
      <w:r w:rsidRPr="003F564F">
        <w:rPr>
          <w:sz w:val="22"/>
          <w:szCs w:val="22"/>
        </w:rPr>
        <w:t>% (≥</w:t>
      </w:r>
      <w:r w:rsidR="000F65E8" w:rsidRPr="003F564F">
        <w:rPr>
          <w:sz w:val="22"/>
          <w:szCs w:val="22"/>
        </w:rPr>
        <w:t> </w:t>
      </w:r>
      <w:r w:rsidRPr="003F564F">
        <w:rPr>
          <w:sz w:val="22"/>
          <w:szCs w:val="22"/>
        </w:rPr>
        <w:t>3</w:t>
      </w:r>
      <w:r w:rsidR="000F65E8" w:rsidRPr="003F564F">
        <w:rPr>
          <w:sz w:val="22"/>
          <w:szCs w:val="22"/>
        </w:rPr>
        <w:noBreakHyphen/>
      </w:r>
      <w:r w:rsidRPr="003F564F">
        <w:rPr>
          <w:sz w:val="22"/>
          <w:szCs w:val="22"/>
        </w:rPr>
        <w:t>iojo laipsnio – 11,4</w:t>
      </w:r>
      <w:r w:rsidR="000F65E8" w:rsidRPr="003F564F">
        <w:rPr>
          <w:sz w:val="22"/>
          <w:szCs w:val="22"/>
        </w:rPr>
        <w:t> </w:t>
      </w:r>
      <w:r w:rsidRPr="003F564F">
        <w:rPr>
          <w:sz w:val="22"/>
          <w:szCs w:val="22"/>
        </w:rPr>
        <w:t>%) pacientų. Tik keliems pacientams</w:t>
      </w:r>
      <w:r w:rsidR="000A668B" w:rsidRPr="003F564F">
        <w:rPr>
          <w:sz w:val="22"/>
          <w:szCs w:val="22"/>
        </w:rPr>
        <w:t xml:space="preserve"> </w:t>
      </w:r>
      <w:r w:rsidRPr="003F564F">
        <w:rPr>
          <w:sz w:val="22"/>
          <w:szCs w:val="22"/>
        </w:rPr>
        <w:t>buvo nustatyta CMV infekcija su vidaus organų pažaida; bet kurio sunkumo laipsnio CMV kolitas,</w:t>
      </w:r>
      <w:r w:rsidR="000A668B" w:rsidRPr="003F564F">
        <w:rPr>
          <w:sz w:val="22"/>
          <w:szCs w:val="22"/>
        </w:rPr>
        <w:t xml:space="preserve"> </w:t>
      </w:r>
      <w:r w:rsidRPr="003F564F">
        <w:rPr>
          <w:sz w:val="22"/>
          <w:szCs w:val="22"/>
        </w:rPr>
        <w:t>CMV enteritas ir CMV sukelta virškinimo trakto infekcija buvo nustatyti atitinkamai keturiems, dviem</w:t>
      </w:r>
      <w:r w:rsidR="000A668B" w:rsidRPr="003F564F">
        <w:rPr>
          <w:sz w:val="22"/>
          <w:szCs w:val="22"/>
        </w:rPr>
        <w:t xml:space="preserve"> </w:t>
      </w:r>
      <w:r w:rsidRPr="003F564F">
        <w:rPr>
          <w:sz w:val="22"/>
          <w:szCs w:val="22"/>
        </w:rPr>
        <w:t>ir vienam pacientui. Sepsio atvejų, įskaitant bet kurio sunkumo laipsnio septinį šoką, nustatyta 25,4</w:t>
      </w:r>
      <w:r w:rsidR="000F65E8" w:rsidRPr="003F564F">
        <w:rPr>
          <w:sz w:val="22"/>
          <w:szCs w:val="22"/>
        </w:rPr>
        <w:t> </w:t>
      </w:r>
      <w:r w:rsidRPr="003F564F">
        <w:rPr>
          <w:sz w:val="22"/>
          <w:szCs w:val="22"/>
        </w:rPr>
        <w:t>%</w:t>
      </w:r>
      <w:r w:rsidR="000A668B" w:rsidRPr="003F564F">
        <w:rPr>
          <w:sz w:val="22"/>
          <w:szCs w:val="22"/>
        </w:rPr>
        <w:t xml:space="preserve"> </w:t>
      </w:r>
      <w:r w:rsidRPr="003F564F">
        <w:rPr>
          <w:sz w:val="22"/>
          <w:szCs w:val="22"/>
        </w:rPr>
        <w:t>(≥</w:t>
      </w:r>
      <w:r w:rsidR="000F65E8" w:rsidRPr="003F564F">
        <w:rPr>
          <w:sz w:val="22"/>
          <w:szCs w:val="22"/>
        </w:rPr>
        <w:t> </w:t>
      </w:r>
      <w:r w:rsidRPr="003F564F">
        <w:rPr>
          <w:sz w:val="22"/>
          <w:szCs w:val="22"/>
        </w:rPr>
        <w:t>3</w:t>
      </w:r>
      <w:r w:rsidR="000F65E8" w:rsidRPr="003F564F">
        <w:rPr>
          <w:sz w:val="22"/>
          <w:szCs w:val="22"/>
        </w:rPr>
        <w:noBreakHyphen/>
      </w:r>
      <w:r w:rsidRPr="003F564F">
        <w:rPr>
          <w:sz w:val="22"/>
          <w:szCs w:val="22"/>
        </w:rPr>
        <w:t>iojo laipsnio – 21,9</w:t>
      </w:r>
      <w:r w:rsidR="000F65E8" w:rsidRPr="003F564F">
        <w:rPr>
          <w:sz w:val="22"/>
          <w:szCs w:val="22"/>
        </w:rPr>
        <w:t> </w:t>
      </w:r>
      <w:r w:rsidRPr="003F564F">
        <w:rPr>
          <w:sz w:val="22"/>
          <w:szCs w:val="22"/>
        </w:rPr>
        <w:t xml:space="preserve">%) pacientų. Ūmine </w:t>
      </w:r>
      <w:proofErr w:type="spellStart"/>
      <w:r w:rsidRPr="003F564F">
        <w:rPr>
          <w:sz w:val="22"/>
          <w:szCs w:val="22"/>
        </w:rPr>
        <w:t>TpŠL</w:t>
      </w:r>
      <w:proofErr w:type="spellEnd"/>
      <w:r w:rsidRPr="003F564F">
        <w:rPr>
          <w:sz w:val="22"/>
          <w:szCs w:val="22"/>
        </w:rPr>
        <w:t xml:space="preserve"> sergantiems vaikams šlapimo takų infekcijų ir</w:t>
      </w:r>
      <w:r w:rsidR="000A668B" w:rsidRPr="003F564F">
        <w:rPr>
          <w:sz w:val="22"/>
          <w:szCs w:val="22"/>
        </w:rPr>
        <w:t xml:space="preserve"> </w:t>
      </w:r>
      <w:r w:rsidRPr="003F564F">
        <w:rPr>
          <w:sz w:val="22"/>
          <w:szCs w:val="22"/>
        </w:rPr>
        <w:t>sepsio atvejų nustatyta rečiau (kiekvieno dažnis po 9,8</w:t>
      </w:r>
      <w:r w:rsidR="000F65E8" w:rsidRPr="003F564F">
        <w:rPr>
          <w:sz w:val="22"/>
          <w:szCs w:val="22"/>
        </w:rPr>
        <w:t> </w:t>
      </w:r>
      <w:r w:rsidRPr="003F564F">
        <w:rPr>
          <w:sz w:val="22"/>
          <w:szCs w:val="22"/>
        </w:rPr>
        <w:t>%) nei suaugusiems pacientams ir paaugliams.</w:t>
      </w:r>
      <w:r w:rsidR="000A668B" w:rsidRPr="003F564F">
        <w:rPr>
          <w:sz w:val="22"/>
          <w:szCs w:val="22"/>
        </w:rPr>
        <w:t xml:space="preserve"> </w:t>
      </w:r>
      <w:r w:rsidRPr="003F564F">
        <w:rPr>
          <w:sz w:val="22"/>
          <w:szCs w:val="22"/>
        </w:rPr>
        <w:t>CMV infekcijų buvo nustatyta 31,4</w:t>
      </w:r>
      <w:r w:rsidR="000F65E8" w:rsidRPr="003F564F">
        <w:rPr>
          <w:sz w:val="22"/>
          <w:szCs w:val="22"/>
        </w:rPr>
        <w:t> </w:t>
      </w:r>
      <w:r w:rsidRPr="003F564F">
        <w:rPr>
          <w:sz w:val="22"/>
          <w:szCs w:val="22"/>
        </w:rPr>
        <w:t>% vaikų (3</w:t>
      </w:r>
      <w:r w:rsidR="000F65E8" w:rsidRPr="003F564F">
        <w:rPr>
          <w:sz w:val="22"/>
          <w:szCs w:val="22"/>
        </w:rPr>
        <w:noBreakHyphen/>
      </w:r>
      <w:r w:rsidRPr="003F564F">
        <w:rPr>
          <w:sz w:val="22"/>
          <w:szCs w:val="22"/>
        </w:rPr>
        <w:t>iojo laipsnio atvejų dažnis buvo 5,9</w:t>
      </w:r>
      <w:r w:rsidR="000F65E8" w:rsidRPr="003F564F">
        <w:rPr>
          <w:sz w:val="22"/>
          <w:szCs w:val="22"/>
        </w:rPr>
        <w:t> </w:t>
      </w:r>
      <w:r w:rsidRPr="003F564F">
        <w:rPr>
          <w:sz w:val="22"/>
          <w:szCs w:val="22"/>
        </w:rPr>
        <w:t>%).</w:t>
      </w:r>
    </w:p>
    <w:p w14:paraId="3EF33A75" w14:textId="77777777" w:rsidR="000A668B" w:rsidRPr="003F564F" w:rsidRDefault="000A668B" w:rsidP="00627CC3">
      <w:pPr>
        <w:tabs>
          <w:tab w:val="left" w:pos="567"/>
        </w:tabs>
        <w:spacing w:line="260" w:lineRule="exact"/>
        <w:rPr>
          <w:sz w:val="22"/>
          <w:szCs w:val="22"/>
        </w:rPr>
      </w:pPr>
    </w:p>
    <w:p w14:paraId="701300F5" w14:textId="4800E5A5" w:rsidR="009F34A7" w:rsidRPr="003F564F" w:rsidRDefault="009F34A7" w:rsidP="00627CC3">
      <w:pPr>
        <w:tabs>
          <w:tab w:val="left" w:pos="567"/>
        </w:tabs>
        <w:spacing w:line="260" w:lineRule="exact"/>
        <w:rPr>
          <w:sz w:val="22"/>
          <w:szCs w:val="22"/>
        </w:rPr>
      </w:pPr>
      <w:r w:rsidRPr="003F564F">
        <w:rPr>
          <w:i/>
          <w:iCs/>
          <w:sz w:val="22"/>
          <w:szCs w:val="22"/>
        </w:rPr>
        <w:t>Lyginamojo laikotarpio</w:t>
      </w:r>
      <w:r w:rsidRPr="003F564F">
        <w:rPr>
          <w:sz w:val="22"/>
          <w:szCs w:val="22"/>
        </w:rPr>
        <w:t xml:space="preserve"> III</w:t>
      </w:r>
      <w:r w:rsidR="000F65E8" w:rsidRPr="003F564F">
        <w:rPr>
          <w:sz w:val="22"/>
          <w:szCs w:val="22"/>
        </w:rPr>
        <w:t> </w:t>
      </w:r>
      <w:r w:rsidRPr="003F564F">
        <w:rPr>
          <w:sz w:val="22"/>
          <w:szCs w:val="22"/>
        </w:rPr>
        <w:t xml:space="preserve">fazės tyrimo (REACH3) metu lėtine </w:t>
      </w:r>
      <w:proofErr w:type="spellStart"/>
      <w:r w:rsidRPr="003F564F">
        <w:rPr>
          <w:sz w:val="22"/>
          <w:szCs w:val="22"/>
        </w:rPr>
        <w:t>TpŠL</w:t>
      </w:r>
      <w:proofErr w:type="spellEnd"/>
      <w:r w:rsidRPr="003F564F">
        <w:rPr>
          <w:sz w:val="22"/>
          <w:szCs w:val="22"/>
        </w:rPr>
        <w:t xml:space="preserve"> sergantiems pacientams šlapimo</w:t>
      </w:r>
      <w:r w:rsidR="000A668B" w:rsidRPr="003F564F">
        <w:rPr>
          <w:sz w:val="22"/>
          <w:szCs w:val="22"/>
        </w:rPr>
        <w:t xml:space="preserve"> </w:t>
      </w:r>
      <w:r w:rsidRPr="003F564F">
        <w:rPr>
          <w:sz w:val="22"/>
          <w:szCs w:val="22"/>
        </w:rPr>
        <w:t>takų infekcijų pasireiškė 8,5</w:t>
      </w:r>
      <w:r w:rsidR="000F65E8" w:rsidRPr="003F564F">
        <w:rPr>
          <w:sz w:val="22"/>
          <w:szCs w:val="22"/>
        </w:rPr>
        <w:t> </w:t>
      </w:r>
      <w:r w:rsidRPr="003F564F">
        <w:rPr>
          <w:sz w:val="22"/>
          <w:szCs w:val="22"/>
        </w:rPr>
        <w:t>% (≥</w:t>
      </w:r>
      <w:r w:rsidR="000F65E8" w:rsidRPr="003F564F">
        <w:rPr>
          <w:sz w:val="22"/>
          <w:szCs w:val="22"/>
        </w:rPr>
        <w:t> </w:t>
      </w:r>
      <w:r w:rsidRPr="003F564F">
        <w:rPr>
          <w:sz w:val="22"/>
          <w:szCs w:val="22"/>
        </w:rPr>
        <w:t>3</w:t>
      </w:r>
      <w:r w:rsidR="000F65E8" w:rsidRPr="003F564F">
        <w:rPr>
          <w:sz w:val="22"/>
          <w:szCs w:val="22"/>
        </w:rPr>
        <w:noBreakHyphen/>
      </w:r>
      <w:r w:rsidRPr="003F564F">
        <w:rPr>
          <w:sz w:val="22"/>
          <w:szCs w:val="22"/>
        </w:rPr>
        <w:t>iojo laipsnio – 1,2</w:t>
      </w:r>
      <w:r w:rsidR="000F65E8" w:rsidRPr="003F564F">
        <w:rPr>
          <w:sz w:val="22"/>
          <w:szCs w:val="22"/>
        </w:rPr>
        <w:t> </w:t>
      </w:r>
      <w:r w:rsidRPr="003F564F">
        <w:rPr>
          <w:sz w:val="22"/>
          <w:szCs w:val="22"/>
        </w:rPr>
        <w:t xml:space="preserve">%) </w:t>
      </w:r>
      <w:proofErr w:type="spellStart"/>
      <w:r w:rsidRPr="003F564F">
        <w:rPr>
          <w:sz w:val="22"/>
          <w:szCs w:val="22"/>
        </w:rPr>
        <w:t>ruksolitinibo</w:t>
      </w:r>
      <w:proofErr w:type="spellEnd"/>
      <w:r w:rsidRPr="003F564F">
        <w:rPr>
          <w:sz w:val="22"/>
          <w:szCs w:val="22"/>
        </w:rPr>
        <w:t xml:space="preserve"> vartojusių pacientų, lyginant</w:t>
      </w:r>
      <w:r w:rsidR="000A668B" w:rsidRPr="003F564F">
        <w:rPr>
          <w:sz w:val="22"/>
          <w:szCs w:val="22"/>
        </w:rPr>
        <w:t xml:space="preserve"> </w:t>
      </w:r>
      <w:r w:rsidRPr="003F564F">
        <w:rPr>
          <w:sz w:val="22"/>
          <w:szCs w:val="22"/>
        </w:rPr>
        <w:t>su 6,3</w:t>
      </w:r>
      <w:r w:rsidR="000F65E8" w:rsidRPr="003F564F">
        <w:rPr>
          <w:sz w:val="22"/>
          <w:szCs w:val="22"/>
        </w:rPr>
        <w:t> </w:t>
      </w:r>
      <w:r w:rsidRPr="003F564F">
        <w:rPr>
          <w:sz w:val="22"/>
          <w:szCs w:val="22"/>
        </w:rPr>
        <w:t>% (≥</w:t>
      </w:r>
      <w:r w:rsidR="000F65E8" w:rsidRPr="003F564F">
        <w:rPr>
          <w:sz w:val="22"/>
          <w:szCs w:val="22"/>
        </w:rPr>
        <w:t> </w:t>
      </w:r>
      <w:r w:rsidRPr="003F564F">
        <w:rPr>
          <w:sz w:val="22"/>
          <w:szCs w:val="22"/>
        </w:rPr>
        <w:t>3</w:t>
      </w:r>
      <w:r w:rsidR="000F65E8" w:rsidRPr="003F564F">
        <w:rPr>
          <w:sz w:val="22"/>
          <w:szCs w:val="22"/>
        </w:rPr>
        <w:noBreakHyphen/>
      </w:r>
      <w:r w:rsidRPr="003F564F">
        <w:rPr>
          <w:sz w:val="22"/>
          <w:szCs w:val="22"/>
        </w:rPr>
        <w:t>iojo laipsnio – 1,3</w:t>
      </w:r>
      <w:r w:rsidR="000F65E8" w:rsidRPr="003F564F">
        <w:rPr>
          <w:sz w:val="22"/>
          <w:szCs w:val="22"/>
        </w:rPr>
        <w:t> </w:t>
      </w:r>
      <w:r w:rsidRPr="003F564F">
        <w:rPr>
          <w:sz w:val="22"/>
          <w:szCs w:val="22"/>
        </w:rPr>
        <w:t>%) pacientų GPG grupėje. BK viruso infekcijos atvejų nustatyta</w:t>
      </w:r>
      <w:r w:rsidR="000A668B" w:rsidRPr="003F564F">
        <w:rPr>
          <w:sz w:val="22"/>
          <w:szCs w:val="22"/>
        </w:rPr>
        <w:t xml:space="preserve"> </w:t>
      </w:r>
      <w:r w:rsidRPr="003F564F">
        <w:rPr>
          <w:sz w:val="22"/>
          <w:szCs w:val="22"/>
        </w:rPr>
        <w:t>5,5</w:t>
      </w:r>
      <w:r w:rsidR="000F65E8" w:rsidRPr="003F564F">
        <w:rPr>
          <w:sz w:val="22"/>
          <w:szCs w:val="22"/>
        </w:rPr>
        <w:t> </w:t>
      </w:r>
      <w:r w:rsidRPr="003F564F">
        <w:rPr>
          <w:sz w:val="22"/>
          <w:szCs w:val="22"/>
        </w:rPr>
        <w:t>% (≥</w:t>
      </w:r>
      <w:r w:rsidR="000F65E8" w:rsidRPr="003F564F">
        <w:rPr>
          <w:sz w:val="22"/>
          <w:szCs w:val="22"/>
        </w:rPr>
        <w:t> </w:t>
      </w:r>
      <w:r w:rsidRPr="003F564F">
        <w:rPr>
          <w:sz w:val="22"/>
          <w:szCs w:val="22"/>
        </w:rPr>
        <w:t>3</w:t>
      </w:r>
      <w:r w:rsidR="000F65E8" w:rsidRPr="003F564F">
        <w:rPr>
          <w:sz w:val="22"/>
          <w:szCs w:val="22"/>
        </w:rPr>
        <w:noBreakHyphen/>
      </w:r>
      <w:r w:rsidRPr="003F564F">
        <w:rPr>
          <w:sz w:val="22"/>
          <w:szCs w:val="22"/>
        </w:rPr>
        <w:t>iojo laipsnio – 0,6</w:t>
      </w:r>
      <w:r w:rsidR="000F65E8" w:rsidRPr="003F564F">
        <w:rPr>
          <w:sz w:val="22"/>
          <w:szCs w:val="22"/>
        </w:rPr>
        <w:t> </w:t>
      </w:r>
      <w:r w:rsidRPr="003F564F">
        <w:rPr>
          <w:sz w:val="22"/>
          <w:szCs w:val="22"/>
        </w:rPr>
        <w:t xml:space="preserve">%) </w:t>
      </w:r>
      <w:proofErr w:type="spellStart"/>
      <w:r w:rsidRPr="003F564F">
        <w:rPr>
          <w:sz w:val="22"/>
          <w:szCs w:val="22"/>
        </w:rPr>
        <w:t>ruksolitinibo</w:t>
      </w:r>
      <w:proofErr w:type="spellEnd"/>
      <w:r w:rsidRPr="003F564F">
        <w:rPr>
          <w:sz w:val="22"/>
          <w:szCs w:val="22"/>
        </w:rPr>
        <w:t xml:space="preserve"> vartojusių pacientų, lyginant su 1,3</w:t>
      </w:r>
      <w:r w:rsidR="000F65E8" w:rsidRPr="003F564F">
        <w:rPr>
          <w:sz w:val="22"/>
          <w:szCs w:val="22"/>
        </w:rPr>
        <w:t> </w:t>
      </w:r>
      <w:r w:rsidRPr="003F564F">
        <w:rPr>
          <w:sz w:val="22"/>
          <w:szCs w:val="22"/>
        </w:rPr>
        <w:t>% pacientų GPG</w:t>
      </w:r>
      <w:r w:rsidR="000A668B" w:rsidRPr="003F564F">
        <w:rPr>
          <w:sz w:val="22"/>
          <w:szCs w:val="22"/>
        </w:rPr>
        <w:t xml:space="preserve"> </w:t>
      </w:r>
      <w:r w:rsidRPr="003F564F">
        <w:rPr>
          <w:sz w:val="22"/>
          <w:szCs w:val="22"/>
        </w:rPr>
        <w:t>grupėje. CMV infekcijų atvejų nustatyta 9,1</w:t>
      </w:r>
      <w:r w:rsidR="000F65E8" w:rsidRPr="003F564F">
        <w:rPr>
          <w:sz w:val="22"/>
          <w:szCs w:val="22"/>
        </w:rPr>
        <w:t> </w:t>
      </w:r>
      <w:r w:rsidRPr="003F564F">
        <w:rPr>
          <w:sz w:val="22"/>
          <w:szCs w:val="22"/>
        </w:rPr>
        <w:t>% (≥</w:t>
      </w:r>
      <w:r w:rsidR="000F65E8" w:rsidRPr="003F564F">
        <w:rPr>
          <w:sz w:val="22"/>
          <w:szCs w:val="22"/>
        </w:rPr>
        <w:t> </w:t>
      </w:r>
      <w:r w:rsidRPr="003F564F">
        <w:rPr>
          <w:sz w:val="22"/>
          <w:szCs w:val="22"/>
        </w:rPr>
        <w:t>3</w:t>
      </w:r>
      <w:r w:rsidR="000F65E8" w:rsidRPr="003F564F">
        <w:rPr>
          <w:sz w:val="22"/>
          <w:szCs w:val="22"/>
        </w:rPr>
        <w:noBreakHyphen/>
      </w:r>
      <w:r w:rsidRPr="003F564F">
        <w:rPr>
          <w:sz w:val="22"/>
          <w:szCs w:val="22"/>
        </w:rPr>
        <w:t>iojo laipsnio – 1,8</w:t>
      </w:r>
      <w:r w:rsidR="000F65E8" w:rsidRPr="003F564F">
        <w:rPr>
          <w:sz w:val="22"/>
          <w:szCs w:val="22"/>
        </w:rPr>
        <w:t> </w:t>
      </w:r>
      <w:r w:rsidRPr="003F564F">
        <w:rPr>
          <w:sz w:val="22"/>
          <w:szCs w:val="22"/>
        </w:rPr>
        <w:t xml:space="preserve">%) </w:t>
      </w:r>
      <w:proofErr w:type="spellStart"/>
      <w:r w:rsidRPr="003F564F">
        <w:rPr>
          <w:sz w:val="22"/>
          <w:szCs w:val="22"/>
        </w:rPr>
        <w:t>ruksolitinibo</w:t>
      </w:r>
      <w:proofErr w:type="spellEnd"/>
      <w:r w:rsidRPr="003F564F">
        <w:rPr>
          <w:sz w:val="22"/>
          <w:szCs w:val="22"/>
        </w:rPr>
        <w:t xml:space="preserve"> vartojusių</w:t>
      </w:r>
      <w:r w:rsidR="000A668B" w:rsidRPr="003F564F">
        <w:rPr>
          <w:sz w:val="22"/>
          <w:szCs w:val="22"/>
        </w:rPr>
        <w:t xml:space="preserve"> </w:t>
      </w:r>
      <w:r w:rsidRPr="003F564F">
        <w:rPr>
          <w:sz w:val="22"/>
          <w:szCs w:val="22"/>
        </w:rPr>
        <w:t>pacientų, lyginant su 10,8</w:t>
      </w:r>
      <w:r w:rsidR="000F65E8" w:rsidRPr="003F564F">
        <w:rPr>
          <w:sz w:val="22"/>
          <w:szCs w:val="22"/>
        </w:rPr>
        <w:t> </w:t>
      </w:r>
      <w:r w:rsidRPr="003F564F">
        <w:rPr>
          <w:sz w:val="22"/>
          <w:szCs w:val="22"/>
        </w:rPr>
        <w:t>% (≥</w:t>
      </w:r>
      <w:r w:rsidR="000F65E8" w:rsidRPr="003F564F">
        <w:rPr>
          <w:sz w:val="22"/>
          <w:szCs w:val="22"/>
        </w:rPr>
        <w:t> </w:t>
      </w:r>
      <w:r w:rsidRPr="003F564F">
        <w:rPr>
          <w:sz w:val="22"/>
          <w:szCs w:val="22"/>
        </w:rPr>
        <w:t>3</w:t>
      </w:r>
      <w:r w:rsidR="000F65E8" w:rsidRPr="003F564F">
        <w:rPr>
          <w:sz w:val="22"/>
          <w:szCs w:val="22"/>
        </w:rPr>
        <w:noBreakHyphen/>
      </w:r>
      <w:r w:rsidRPr="003F564F">
        <w:rPr>
          <w:sz w:val="22"/>
          <w:szCs w:val="22"/>
        </w:rPr>
        <w:t>iojo laipsnio – 1,9</w:t>
      </w:r>
      <w:r w:rsidR="000F65E8" w:rsidRPr="003F564F">
        <w:rPr>
          <w:sz w:val="22"/>
          <w:szCs w:val="22"/>
        </w:rPr>
        <w:t> </w:t>
      </w:r>
      <w:r w:rsidRPr="003F564F">
        <w:rPr>
          <w:sz w:val="22"/>
          <w:szCs w:val="22"/>
        </w:rPr>
        <w:t>%) pacientų GPG grupėje. Sepsio atvejų nustatyta</w:t>
      </w:r>
      <w:r w:rsidR="000A668B" w:rsidRPr="003F564F">
        <w:rPr>
          <w:sz w:val="22"/>
          <w:szCs w:val="22"/>
        </w:rPr>
        <w:t xml:space="preserve"> </w:t>
      </w:r>
      <w:r w:rsidRPr="003F564F">
        <w:rPr>
          <w:sz w:val="22"/>
          <w:szCs w:val="22"/>
        </w:rPr>
        <w:t>2,4</w:t>
      </w:r>
      <w:r w:rsidR="000F65E8" w:rsidRPr="003F564F">
        <w:rPr>
          <w:sz w:val="22"/>
          <w:szCs w:val="22"/>
        </w:rPr>
        <w:t> </w:t>
      </w:r>
      <w:r w:rsidRPr="003F564F">
        <w:rPr>
          <w:sz w:val="22"/>
          <w:szCs w:val="22"/>
        </w:rPr>
        <w:t>% (≥</w:t>
      </w:r>
      <w:r w:rsidR="000F65E8" w:rsidRPr="003F564F">
        <w:rPr>
          <w:sz w:val="22"/>
          <w:szCs w:val="22"/>
        </w:rPr>
        <w:t> </w:t>
      </w:r>
      <w:r w:rsidRPr="003F564F">
        <w:rPr>
          <w:sz w:val="22"/>
          <w:szCs w:val="22"/>
        </w:rPr>
        <w:t>3</w:t>
      </w:r>
      <w:r w:rsidR="000F65E8" w:rsidRPr="003F564F">
        <w:rPr>
          <w:sz w:val="22"/>
          <w:szCs w:val="22"/>
        </w:rPr>
        <w:noBreakHyphen/>
      </w:r>
      <w:r w:rsidRPr="003F564F">
        <w:rPr>
          <w:sz w:val="22"/>
          <w:szCs w:val="22"/>
        </w:rPr>
        <w:t>iojo laipsnio – 2,4</w:t>
      </w:r>
      <w:r w:rsidR="000F65E8" w:rsidRPr="003F564F">
        <w:rPr>
          <w:sz w:val="22"/>
          <w:szCs w:val="22"/>
        </w:rPr>
        <w:t> </w:t>
      </w:r>
      <w:r w:rsidRPr="003F564F">
        <w:rPr>
          <w:sz w:val="22"/>
          <w:szCs w:val="22"/>
        </w:rPr>
        <w:t xml:space="preserve">%) </w:t>
      </w:r>
      <w:proofErr w:type="spellStart"/>
      <w:r w:rsidRPr="003F564F">
        <w:rPr>
          <w:sz w:val="22"/>
          <w:szCs w:val="22"/>
        </w:rPr>
        <w:t>ruksolitinibo</w:t>
      </w:r>
      <w:proofErr w:type="spellEnd"/>
      <w:r w:rsidRPr="003F564F">
        <w:rPr>
          <w:sz w:val="22"/>
          <w:szCs w:val="22"/>
        </w:rPr>
        <w:t xml:space="preserve"> vartojusių pacientų, lyginant su 6,3</w:t>
      </w:r>
      <w:r w:rsidR="000F65E8" w:rsidRPr="003F564F">
        <w:rPr>
          <w:sz w:val="22"/>
          <w:szCs w:val="22"/>
        </w:rPr>
        <w:t> </w:t>
      </w:r>
      <w:r w:rsidRPr="003F564F">
        <w:rPr>
          <w:sz w:val="22"/>
          <w:szCs w:val="22"/>
        </w:rPr>
        <w:t>% (≥</w:t>
      </w:r>
      <w:r w:rsidR="000F65E8" w:rsidRPr="003F564F">
        <w:rPr>
          <w:sz w:val="22"/>
          <w:szCs w:val="22"/>
        </w:rPr>
        <w:t> </w:t>
      </w:r>
      <w:r w:rsidRPr="003F564F">
        <w:rPr>
          <w:sz w:val="22"/>
          <w:szCs w:val="22"/>
        </w:rPr>
        <w:t>3</w:t>
      </w:r>
      <w:r w:rsidR="000F65E8" w:rsidRPr="003F564F">
        <w:rPr>
          <w:sz w:val="22"/>
          <w:szCs w:val="22"/>
        </w:rPr>
        <w:noBreakHyphen/>
      </w:r>
      <w:r w:rsidRPr="003F564F">
        <w:rPr>
          <w:sz w:val="22"/>
          <w:szCs w:val="22"/>
        </w:rPr>
        <w:t>iojo laipsnio</w:t>
      </w:r>
      <w:r w:rsidR="000A668B" w:rsidRPr="003F564F">
        <w:rPr>
          <w:sz w:val="22"/>
          <w:szCs w:val="22"/>
        </w:rPr>
        <w:t xml:space="preserve"> </w:t>
      </w:r>
      <w:r w:rsidRPr="003F564F">
        <w:rPr>
          <w:sz w:val="22"/>
          <w:szCs w:val="22"/>
        </w:rPr>
        <w:t>– 5,7</w:t>
      </w:r>
      <w:r w:rsidR="000F65E8" w:rsidRPr="003F564F">
        <w:rPr>
          <w:sz w:val="22"/>
          <w:szCs w:val="22"/>
        </w:rPr>
        <w:t> </w:t>
      </w:r>
      <w:r w:rsidRPr="003F564F">
        <w:rPr>
          <w:sz w:val="22"/>
          <w:szCs w:val="22"/>
        </w:rPr>
        <w:t xml:space="preserve">%) pacientų GPG grupėje. Tyrimo </w:t>
      </w:r>
      <w:r w:rsidRPr="003F564F">
        <w:rPr>
          <w:i/>
          <w:iCs/>
          <w:sz w:val="22"/>
          <w:szCs w:val="22"/>
        </w:rPr>
        <w:t>tęstinio stebėjimo laikotarpiu</w:t>
      </w:r>
      <w:r w:rsidRPr="003F564F">
        <w:rPr>
          <w:sz w:val="22"/>
          <w:szCs w:val="22"/>
        </w:rPr>
        <w:t xml:space="preserve"> </w:t>
      </w:r>
      <w:proofErr w:type="spellStart"/>
      <w:r w:rsidRPr="003F564F">
        <w:rPr>
          <w:sz w:val="22"/>
          <w:szCs w:val="22"/>
        </w:rPr>
        <w:t>ruksolitinibo</w:t>
      </w:r>
      <w:proofErr w:type="spellEnd"/>
      <w:r w:rsidRPr="003F564F">
        <w:rPr>
          <w:sz w:val="22"/>
          <w:szCs w:val="22"/>
        </w:rPr>
        <w:t xml:space="preserve"> vartojusiems</w:t>
      </w:r>
      <w:r w:rsidR="000A668B" w:rsidRPr="003F564F">
        <w:rPr>
          <w:sz w:val="22"/>
          <w:szCs w:val="22"/>
        </w:rPr>
        <w:t xml:space="preserve"> </w:t>
      </w:r>
      <w:r w:rsidRPr="003F564F">
        <w:rPr>
          <w:sz w:val="22"/>
          <w:szCs w:val="22"/>
        </w:rPr>
        <w:t>pacientams šlapimo takų infekcijų atvejų ir BK viruso infekcijų atvejų nustatyta atitinkamai 9,3</w:t>
      </w:r>
      <w:r w:rsidR="000F65E8" w:rsidRPr="003F564F">
        <w:rPr>
          <w:sz w:val="22"/>
          <w:szCs w:val="22"/>
        </w:rPr>
        <w:t> </w:t>
      </w:r>
      <w:r w:rsidRPr="003F564F">
        <w:rPr>
          <w:sz w:val="22"/>
          <w:szCs w:val="22"/>
        </w:rPr>
        <w:t>%</w:t>
      </w:r>
      <w:r w:rsidR="000A668B" w:rsidRPr="003F564F">
        <w:rPr>
          <w:sz w:val="22"/>
          <w:szCs w:val="22"/>
        </w:rPr>
        <w:t xml:space="preserve"> </w:t>
      </w:r>
      <w:r w:rsidRPr="003F564F">
        <w:rPr>
          <w:sz w:val="22"/>
          <w:szCs w:val="22"/>
        </w:rPr>
        <w:t>(≥</w:t>
      </w:r>
      <w:r w:rsidR="000F65E8" w:rsidRPr="003F564F">
        <w:rPr>
          <w:sz w:val="22"/>
          <w:szCs w:val="22"/>
        </w:rPr>
        <w:t> </w:t>
      </w:r>
      <w:r w:rsidRPr="003F564F">
        <w:rPr>
          <w:sz w:val="22"/>
          <w:szCs w:val="22"/>
        </w:rPr>
        <w:t>3</w:t>
      </w:r>
      <w:r w:rsidR="000F65E8" w:rsidRPr="003F564F">
        <w:rPr>
          <w:sz w:val="22"/>
          <w:szCs w:val="22"/>
        </w:rPr>
        <w:noBreakHyphen/>
      </w:r>
      <w:r w:rsidRPr="003F564F">
        <w:rPr>
          <w:sz w:val="22"/>
          <w:szCs w:val="22"/>
        </w:rPr>
        <w:t>iojo laipsnio – 1,3</w:t>
      </w:r>
      <w:r w:rsidR="000F65E8" w:rsidRPr="003F564F">
        <w:rPr>
          <w:sz w:val="22"/>
          <w:szCs w:val="22"/>
        </w:rPr>
        <w:t> </w:t>
      </w:r>
      <w:r w:rsidRPr="003F564F">
        <w:rPr>
          <w:sz w:val="22"/>
          <w:szCs w:val="22"/>
        </w:rPr>
        <w:t>%) ir 4,9</w:t>
      </w:r>
      <w:r w:rsidR="000F65E8" w:rsidRPr="003F564F">
        <w:rPr>
          <w:sz w:val="22"/>
          <w:szCs w:val="22"/>
        </w:rPr>
        <w:t> </w:t>
      </w:r>
      <w:r w:rsidRPr="003F564F">
        <w:rPr>
          <w:sz w:val="22"/>
          <w:szCs w:val="22"/>
        </w:rPr>
        <w:t>% (≥</w:t>
      </w:r>
      <w:r w:rsidR="000F65E8" w:rsidRPr="003F564F">
        <w:rPr>
          <w:sz w:val="22"/>
          <w:szCs w:val="22"/>
        </w:rPr>
        <w:t> </w:t>
      </w:r>
      <w:r w:rsidRPr="003F564F">
        <w:rPr>
          <w:sz w:val="22"/>
          <w:szCs w:val="22"/>
        </w:rPr>
        <w:t>3</w:t>
      </w:r>
      <w:r w:rsidR="000F65E8" w:rsidRPr="003F564F">
        <w:rPr>
          <w:sz w:val="22"/>
          <w:szCs w:val="22"/>
        </w:rPr>
        <w:noBreakHyphen/>
      </w:r>
      <w:r w:rsidRPr="003F564F">
        <w:rPr>
          <w:sz w:val="22"/>
          <w:szCs w:val="22"/>
        </w:rPr>
        <w:t>iojo laipsnio – 0,4</w:t>
      </w:r>
      <w:r w:rsidR="000F65E8" w:rsidRPr="003F564F">
        <w:rPr>
          <w:sz w:val="22"/>
          <w:szCs w:val="22"/>
        </w:rPr>
        <w:t> </w:t>
      </w:r>
      <w:r w:rsidRPr="003F564F">
        <w:rPr>
          <w:sz w:val="22"/>
          <w:szCs w:val="22"/>
        </w:rPr>
        <w:t>%) pacientų. CMV infekcijų ir sepsio</w:t>
      </w:r>
      <w:r w:rsidR="000A668B" w:rsidRPr="003F564F">
        <w:rPr>
          <w:sz w:val="22"/>
          <w:szCs w:val="22"/>
        </w:rPr>
        <w:t xml:space="preserve"> </w:t>
      </w:r>
      <w:r w:rsidRPr="003F564F">
        <w:rPr>
          <w:sz w:val="22"/>
          <w:szCs w:val="22"/>
        </w:rPr>
        <w:t>atvejų nustatyta atitinkamai 8,8</w:t>
      </w:r>
      <w:r w:rsidR="000F65E8" w:rsidRPr="003F564F">
        <w:rPr>
          <w:sz w:val="22"/>
          <w:szCs w:val="22"/>
        </w:rPr>
        <w:t> </w:t>
      </w:r>
      <w:r w:rsidRPr="003F564F">
        <w:rPr>
          <w:sz w:val="22"/>
          <w:szCs w:val="22"/>
        </w:rPr>
        <w:t>% (≥</w:t>
      </w:r>
      <w:r w:rsidR="000F65E8" w:rsidRPr="003F564F">
        <w:rPr>
          <w:sz w:val="22"/>
          <w:szCs w:val="22"/>
        </w:rPr>
        <w:t> </w:t>
      </w:r>
      <w:r w:rsidRPr="003F564F">
        <w:rPr>
          <w:sz w:val="22"/>
          <w:szCs w:val="22"/>
        </w:rPr>
        <w:t>3</w:t>
      </w:r>
      <w:r w:rsidR="000F65E8" w:rsidRPr="003F564F">
        <w:rPr>
          <w:sz w:val="22"/>
          <w:szCs w:val="22"/>
        </w:rPr>
        <w:noBreakHyphen/>
      </w:r>
      <w:r w:rsidRPr="003F564F">
        <w:rPr>
          <w:sz w:val="22"/>
          <w:szCs w:val="22"/>
        </w:rPr>
        <w:t>iojo laipsnio – 1,3</w:t>
      </w:r>
      <w:r w:rsidR="000F65E8" w:rsidRPr="003F564F">
        <w:rPr>
          <w:sz w:val="22"/>
          <w:szCs w:val="22"/>
        </w:rPr>
        <w:t> </w:t>
      </w:r>
      <w:r w:rsidRPr="003F564F">
        <w:rPr>
          <w:sz w:val="22"/>
          <w:szCs w:val="22"/>
        </w:rPr>
        <w:t>%) ir 3,5</w:t>
      </w:r>
      <w:r w:rsidR="000F65E8" w:rsidRPr="003F564F">
        <w:rPr>
          <w:sz w:val="22"/>
          <w:szCs w:val="22"/>
        </w:rPr>
        <w:t> </w:t>
      </w:r>
      <w:r w:rsidRPr="003F564F">
        <w:rPr>
          <w:sz w:val="22"/>
          <w:szCs w:val="22"/>
        </w:rPr>
        <w:t>% (≥</w:t>
      </w:r>
      <w:r w:rsidR="000F65E8" w:rsidRPr="003F564F">
        <w:rPr>
          <w:sz w:val="22"/>
          <w:szCs w:val="22"/>
        </w:rPr>
        <w:t> </w:t>
      </w:r>
      <w:r w:rsidRPr="003F564F">
        <w:rPr>
          <w:sz w:val="22"/>
          <w:szCs w:val="22"/>
        </w:rPr>
        <w:t>3</w:t>
      </w:r>
      <w:r w:rsidR="000F65E8" w:rsidRPr="003F564F">
        <w:rPr>
          <w:sz w:val="22"/>
          <w:szCs w:val="22"/>
        </w:rPr>
        <w:noBreakHyphen/>
      </w:r>
      <w:r w:rsidRPr="003F564F">
        <w:rPr>
          <w:sz w:val="22"/>
          <w:szCs w:val="22"/>
        </w:rPr>
        <w:t>iojo laipsnio – 3,5</w:t>
      </w:r>
      <w:r w:rsidR="000F65E8" w:rsidRPr="003F564F">
        <w:rPr>
          <w:sz w:val="22"/>
          <w:szCs w:val="22"/>
        </w:rPr>
        <w:t> </w:t>
      </w:r>
      <w:r w:rsidRPr="003F564F">
        <w:rPr>
          <w:sz w:val="22"/>
          <w:szCs w:val="22"/>
        </w:rPr>
        <w:t>%)</w:t>
      </w:r>
      <w:r w:rsidR="000A668B" w:rsidRPr="003F564F">
        <w:rPr>
          <w:sz w:val="22"/>
          <w:szCs w:val="22"/>
        </w:rPr>
        <w:t xml:space="preserve"> </w:t>
      </w:r>
      <w:r w:rsidRPr="003F564F">
        <w:rPr>
          <w:sz w:val="22"/>
          <w:szCs w:val="22"/>
        </w:rPr>
        <w:t xml:space="preserve">pacientų. Lėtine </w:t>
      </w:r>
      <w:proofErr w:type="spellStart"/>
      <w:r w:rsidRPr="003F564F">
        <w:rPr>
          <w:sz w:val="22"/>
          <w:szCs w:val="22"/>
        </w:rPr>
        <w:t>TpŠL</w:t>
      </w:r>
      <w:proofErr w:type="spellEnd"/>
      <w:r w:rsidRPr="003F564F">
        <w:rPr>
          <w:sz w:val="22"/>
          <w:szCs w:val="22"/>
        </w:rPr>
        <w:t xml:space="preserve"> sergantiems vaikams šlapimo takų infekcijų atvejų nustatyta 5,5</w:t>
      </w:r>
      <w:r w:rsidR="000F65E8" w:rsidRPr="003F564F">
        <w:rPr>
          <w:sz w:val="22"/>
          <w:szCs w:val="22"/>
        </w:rPr>
        <w:t> </w:t>
      </w:r>
      <w:r w:rsidRPr="003F564F">
        <w:rPr>
          <w:sz w:val="22"/>
          <w:szCs w:val="22"/>
        </w:rPr>
        <w:t>% (3</w:t>
      </w:r>
      <w:r w:rsidR="000F65E8" w:rsidRPr="003F564F">
        <w:rPr>
          <w:sz w:val="22"/>
          <w:szCs w:val="22"/>
        </w:rPr>
        <w:noBreakHyphen/>
      </w:r>
      <w:r w:rsidRPr="003F564F">
        <w:rPr>
          <w:sz w:val="22"/>
          <w:szCs w:val="22"/>
        </w:rPr>
        <w:t>iojo</w:t>
      </w:r>
      <w:r w:rsidR="000A668B" w:rsidRPr="003F564F">
        <w:rPr>
          <w:sz w:val="22"/>
          <w:szCs w:val="22"/>
        </w:rPr>
        <w:t xml:space="preserve"> </w:t>
      </w:r>
      <w:r w:rsidRPr="003F564F">
        <w:rPr>
          <w:sz w:val="22"/>
          <w:szCs w:val="22"/>
        </w:rPr>
        <w:t>laipsnio –1,8</w:t>
      </w:r>
      <w:r w:rsidR="000F65E8" w:rsidRPr="003F564F">
        <w:rPr>
          <w:sz w:val="22"/>
          <w:szCs w:val="22"/>
        </w:rPr>
        <w:t> </w:t>
      </w:r>
      <w:r w:rsidRPr="003F564F">
        <w:rPr>
          <w:sz w:val="22"/>
          <w:szCs w:val="22"/>
        </w:rPr>
        <w:t>%) pacientų, o BK viruso infekcijų atvejų nustatyta 1,8</w:t>
      </w:r>
      <w:r w:rsidR="000F65E8" w:rsidRPr="003F564F">
        <w:rPr>
          <w:sz w:val="22"/>
          <w:szCs w:val="22"/>
        </w:rPr>
        <w:t> </w:t>
      </w:r>
      <w:r w:rsidRPr="003F564F">
        <w:rPr>
          <w:sz w:val="22"/>
          <w:szCs w:val="22"/>
        </w:rPr>
        <w:t>% pacientų (≥</w:t>
      </w:r>
      <w:r w:rsidR="000F65E8" w:rsidRPr="003F564F">
        <w:rPr>
          <w:sz w:val="22"/>
          <w:szCs w:val="22"/>
        </w:rPr>
        <w:t> </w:t>
      </w:r>
      <w:r w:rsidRPr="003F564F">
        <w:rPr>
          <w:sz w:val="22"/>
          <w:szCs w:val="22"/>
        </w:rPr>
        <w:t>3</w:t>
      </w:r>
      <w:r w:rsidR="000F65E8" w:rsidRPr="003F564F">
        <w:rPr>
          <w:sz w:val="22"/>
          <w:szCs w:val="22"/>
        </w:rPr>
        <w:noBreakHyphen/>
      </w:r>
      <w:r w:rsidRPr="003F564F">
        <w:rPr>
          <w:sz w:val="22"/>
          <w:szCs w:val="22"/>
        </w:rPr>
        <w:t>iojo laipsnio</w:t>
      </w:r>
      <w:r w:rsidR="000A668B" w:rsidRPr="003F564F">
        <w:rPr>
          <w:sz w:val="22"/>
          <w:szCs w:val="22"/>
        </w:rPr>
        <w:t xml:space="preserve"> </w:t>
      </w:r>
      <w:r w:rsidRPr="003F564F">
        <w:rPr>
          <w:sz w:val="22"/>
          <w:szCs w:val="22"/>
        </w:rPr>
        <w:t>atvejų nenustatyta). CMV infekcijų pasireiškė 7,3</w:t>
      </w:r>
      <w:r w:rsidR="000F65E8" w:rsidRPr="003F564F">
        <w:rPr>
          <w:sz w:val="22"/>
          <w:szCs w:val="22"/>
        </w:rPr>
        <w:t> </w:t>
      </w:r>
      <w:r w:rsidRPr="003F564F">
        <w:rPr>
          <w:sz w:val="22"/>
          <w:szCs w:val="22"/>
        </w:rPr>
        <w:t>% pacientų (≥</w:t>
      </w:r>
      <w:r w:rsidR="000F65E8" w:rsidRPr="003F564F">
        <w:rPr>
          <w:sz w:val="22"/>
          <w:szCs w:val="22"/>
        </w:rPr>
        <w:t> </w:t>
      </w:r>
      <w:r w:rsidRPr="003F564F">
        <w:rPr>
          <w:sz w:val="22"/>
          <w:szCs w:val="22"/>
        </w:rPr>
        <w:t>3</w:t>
      </w:r>
      <w:r w:rsidR="000F65E8" w:rsidRPr="003F564F">
        <w:rPr>
          <w:sz w:val="22"/>
          <w:szCs w:val="22"/>
        </w:rPr>
        <w:noBreakHyphen/>
      </w:r>
      <w:r w:rsidRPr="003F564F">
        <w:rPr>
          <w:sz w:val="22"/>
          <w:szCs w:val="22"/>
        </w:rPr>
        <w:t>iojo laipsnio atvejų nenustatyta).</w:t>
      </w:r>
    </w:p>
    <w:p w14:paraId="3CE1A0FC" w14:textId="77777777" w:rsidR="000A668B" w:rsidRPr="003F564F" w:rsidRDefault="000A668B" w:rsidP="00627CC3">
      <w:pPr>
        <w:tabs>
          <w:tab w:val="left" w:pos="567"/>
        </w:tabs>
        <w:spacing w:line="260" w:lineRule="exact"/>
        <w:rPr>
          <w:sz w:val="22"/>
          <w:szCs w:val="22"/>
        </w:rPr>
      </w:pPr>
    </w:p>
    <w:p w14:paraId="24189BC9" w14:textId="1416770B" w:rsidR="009F34A7" w:rsidRPr="003F564F" w:rsidRDefault="009F34A7" w:rsidP="00627CC3">
      <w:pPr>
        <w:tabs>
          <w:tab w:val="left" w:pos="567"/>
        </w:tabs>
        <w:spacing w:line="260" w:lineRule="exact"/>
        <w:rPr>
          <w:i/>
          <w:iCs/>
          <w:sz w:val="22"/>
          <w:szCs w:val="22"/>
          <w:u w:val="single"/>
        </w:rPr>
      </w:pPr>
      <w:r w:rsidRPr="003F564F">
        <w:rPr>
          <w:i/>
          <w:iCs/>
          <w:sz w:val="22"/>
          <w:szCs w:val="22"/>
          <w:u w:val="single"/>
        </w:rPr>
        <w:t>Padidėjęs lipazės aktyvumas</w:t>
      </w:r>
    </w:p>
    <w:p w14:paraId="503FC50D" w14:textId="5837BC11" w:rsidR="009F34A7" w:rsidRPr="003F564F" w:rsidRDefault="009F34A7" w:rsidP="00627CC3">
      <w:pPr>
        <w:tabs>
          <w:tab w:val="left" w:pos="567"/>
        </w:tabs>
        <w:spacing w:line="260" w:lineRule="exact"/>
        <w:rPr>
          <w:sz w:val="22"/>
          <w:szCs w:val="22"/>
        </w:rPr>
      </w:pPr>
      <w:r w:rsidRPr="003F564F">
        <w:rPr>
          <w:sz w:val="22"/>
          <w:szCs w:val="22"/>
        </w:rPr>
        <w:t xml:space="preserve">RESPONSE tyrimo atsitiktinių imčių laikotarpio duomenimis, lipazės </w:t>
      </w:r>
      <w:r w:rsidR="00F647BB" w:rsidRPr="003F564F">
        <w:rPr>
          <w:sz w:val="22"/>
          <w:szCs w:val="22"/>
        </w:rPr>
        <w:t xml:space="preserve">aktyvumo </w:t>
      </w:r>
      <w:r w:rsidR="006D7F62">
        <w:rPr>
          <w:sz w:val="22"/>
          <w:szCs w:val="22"/>
        </w:rPr>
        <w:t xml:space="preserve">padidėjimo </w:t>
      </w:r>
      <w:r w:rsidRPr="003F564F">
        <w:rPr>
          <w:sz w:val="22"/>
          <w:szCs w:val="22"/>
        </w:rPr>
        <w:t xml:space="preserve">reikšmės buvo dažnesnės </w:t>
      </w:r>
      <w:proofErr w:type="spellStart"/>
      <w:r w:rsidRPr="003F564F">
        <w:rPr>
          <w:sz w:val="22"/>
          <w:szCs w:val="22"/>
        </w:rPr>
        <w:t>ruksolitinibo</w:t>
      </w:r>
      <w:proofErr w:type="spellEnd"/>
      <w:r w:rsidRPr="003F564F">
        <w:rPr>
          <w:sz w:val="22"/>
          <w:szCs w:val="22"/>
        </w:rPr>
        <w:t xml:space="preserve"> vartojusių pacientų grupėje, lyginant palyginamuosius</w:t>
      </w:r>
      <w:r w:rsidR="000A668B" w:rsidRPr="003F564F">
        <w:rPr>
          <w:sz w:val="22"/>
          <w:szCs w:val="22"/>
        </w:rPr>
        <w:t xml:space="preserve"> </w:t>
      </w:r>
      <w:r w:rsidRPr="003F564F">
        <w:rPr>
          <w:sz w:val="22"/>
          <w:szCs w:val="22"/>
        </w:rPr>
        <w:t>vaistinius preparatus vartojusiųjų grupe, o šį skirtumą daugiausia lėmė 1</w:t>
      </w:r>
      <w:r w:rsidR="000F65E8" w:rsidRPr="003F564F">
        <w:rPr>
          <w:sz w:val="22"/>
          <w:szCs w:val="22"/>
        </w:rPr>
        <w:noBreakHyphen/>
      </w:r>
      <w:r w:rsidRPr="003F564F">
        <w:rPr>
          <w:sz w:val="22"/>
          <w:szCs w:val="22"/>
        </w:rPr>
        <w:t>ojo laipsnio aktyvumo</w:t>
      </w:r>
      <w:r w:rsidR="000A668B" w:rsidRPr="003F564F">
        <w:rPr>
          <w:sz w:val="22"/>
          <w:szCs w:val="22"/>
        </w:rPr>
        <w:t xml:space="preserve"> </w:t>
      </w:r>
      <w:r w:rsidRPr="003F564F">
        <w:rPr>
          <w:sz w:val="22"/>
          <w:szCs w:val="22"/>
        </w:rPr>
        <w:t>padidėjimo atvejai (18,2</w:t>
      </w:r>
      <w:r w:rsidR="000F65E8" w:rsidRPr="003F564F">
        <w:rPr>
          <w:sz w:val="22"/>
          <w:szCs w:val="22"/>
        </w:rPr>
        <w:t> </w:t>
      </w:r>
      <w:r w:rsidRPr="003F564F">
        <w:rPr>
          <w:sz w:val="22"/>
          <w:szCs w:val="22"/>
        </w:rPr>
        <w:t>%, lyginant su 8,1</w:t>
      </w:r>
      <w:r w:rsidR="000F65E8" w:rsidRPr="003F564F">
        <w:rPr>
          <w:sz w:val="22"/>
          <w:szCs w:val="22"/>
        </w:rPr>
        <w:t> </w:t>
      </w:r>
      <w:r w:rsidRPr="003F564F">
        <w:rPr>
          <w:sz w:val="22"/>
          <w:szCs w:val="22"/>
        </w:rPr>
        <w:t>%). ≥</w:t>
      </w:r>
      <w:r w:rsidR="000F65E8" w:rsidRPr="003F564F">
        <w:rPr>
          <w:sz w:val="22"/>
          <w:szCs w:val="22"/>
        </w:rPr>
        <w:t> </w:t>
      </w:r>
      <w:r w:rsidRPr="003F564F">
        <w:rPr>
          <w:sz w:val="22"/>
          <w:szCs w:val="22"/>
        </w:rPr>
        <w:t>2</w:t>
      </w:r>
      <w:r w:rsidR="000F65E8" w:rsidRPr="003F564F">
        <w:rPr>
          <w:sz w:val="22"/>
          <w:szCs w:val="22"/>
        </w:rPr>
        <w:noBreakHyphen/>
      </w:r>
      <w:r w:rsidRPr="003F564F">
        <w:rPr>
          <w:sz w:val="22"/>
          <w:szCs w:val="22"/>
        </w:rPr>
        <w:t>ojo laipsnio lipazės aktyvumo padidėjimo atvejų</w:t>
      </w:r>
      <w:r w:rsidR="000A668B" w:rsidRPr="003F564F">
        <w:rPr>
          <w:sz w:val="22"/>
          <w:szCs w:val="22"/>
        </w:rPr>
        <w:t xml:space="preserve"> </w:t>
      </w:r>
      <w:r w:rsidRPr="003F564F">
        <w:rPr>
          <w:sz w:val="22"/>
          <w:szCs w:val="22"/>
        </w:rPr>
        <w:t>dažnis abejose tiriamosiose grupėse buvo panašus. RESPONSE 2 tyrimo duomenimis, šių reiškinių</w:t>
      </w:r>
      <w:r w:rsidR="000A668B" w:rsidRPr="003F564F">
        <w:rPr>
          <w:sz w:val="22"/>
          <w:szCs w:val="22"/>
        </w:rPr>
        <w:t xml:space="preserve"> </w:t>
      </w:r>
      <w:r w:rsidRPr="003F564F">
        <w:rPr>
          <w:sz w:val="22"/>
          <w:szCs w:val="22"/>
        </w:rPr>
        <w:t xml:space="preserve">dažniai </w:t>
      </w:r>
      <w:proofErr w:type="spellStart"/>
      <w:r w:rsidRPr="003F564F">
        <w:rPr>
          <w:sz w:val="22"/>
          <w:szCs w:val="22"/>
        </w:rPr>
        <w:t>ruksolitinibo</w:t>
      </w:r>
      <w:proofErr w:type="spellEnd"/>
      <w:r w:rsidRPr="003F564F">
        <w:rPr>
          <w:sz w:val="22"/>
          <w:szCs w:val="22"/>
        </w:rPr>
        <w:t xml:space="preserve"> vartojusių pacientų ir palyginamojoje grupėse buvo panašūs (10,8</w:t>
      </w:r>
      <w:r w:rsidR="000F65E8" w:rsidRPr="003F564F">
        <w:rPr>
          <w:sz w:val="22"/>
          <w:szCs w:val="22"/>
        </w:rPr>
        <w:t> </w:t>
      </w:r>
      <w:r w:rsidRPr="003F564F">
        <w:rPr>
          <w:sz w:val="22"/>
          <w:szCs w:val="22"/>
        </w:rPr>
        <w:t>%, lyginant su</w:t>
      </w:r>
      <w:r w:rsidR="000A668B" w:rsidRPr="003F564F">
        <w:rPr>
          <w:sz w:val="22"/>
          <w:szCs w:val="22"/>
        </w:rPr>
        <w:t xml:space="preserve"> </w:t>
      </w:r>
      <w:r w:rsidRPr="003F564F">
        <w:rPr>
          <w:sz w:val="22"/>
          <w:szCs w:val="22"/>
        </w:rPr>
        <w:t>8</w:t>
      </w:r>
      <w:r w:rsidR="000F65E8" w:rsidRPr="003F564F">
        <w:rPr>
          <w:sz w:val="22"/>
          <w:szCs w:val="22"/>
        </w:rPr>
        <w:t> </w:t>
      </w:r>
      <w:r w:rsidRPr="003F564F">
        <w:rPr>
          <w:sz w:val="22"/>
          <w:szCs w:val="22"/>
        </w:rPr>
        <w:t>%). III</w:t>
      </w:r>
      <w:r w:rsidR="000F65E8" w:rsidRPr="003F564F">
        <w:rPr>
          <w:sz w:val="22"/>
          <w:szCs w:val="22"/>
        </w:rPr>
        <w:t> </w:t>
      </w:r>
      <w:r w:rsidRPr="003F564F">
        <w:rPr>
          <w:sz w:val="22"/>
          <w:szCs w:val="22"/>
        </w:rPr>
        <w:t>fazės tyrimų su TP sergančiais pacientais ilgalaikio vartojimo stebėjimo laikotarpio</w:t>
      </w:r>
      <w:r w:rsidR="000A668B" w:rsidRPr="003F564F">
        <w:rPr>
          <w:sz w:val="22"/>
          <w:szCs w:val="22"/>
        </w:rPr>
        <w:t xml:space="preserve"> </w:t>
      </w:r>
      <w:r w:rsidRPr="003F564F">
        <w:rPr>
          <w:sz w:val="22"/>
          <w:szCs w:val="22"/>
        </w:rPr>
        <w:t>duomenimis, atitinkamai 7,4</w:t>
      </w:r>
      <w:r w:rsidR="000F65E8" w:rsidRPr="003F564F">
        <w:rPr>
          <w:sz w:val="22"/>
          <w:szCs w:val="22"/>
        </w:rPr>
        <w:t> </w:t>
      </w:r>
      <w:r w:rsidRPr="003F564F">
        <w:rPr>
          <w:sz w:val="22"/>
          <w:szCs w:val="22"/>
        </w:rPr>
        <w:t>% ir 0,9</w:t>
      </w:r>
      <w:r w:rsidR="000F65E8" w:rsidRPr="003F564F">
        <w:rPr>
          <w:sz w:val="22"/>
          <w:szCs w:val="22"/>
        </w:rPr>
        <w:t> </w:t>
      </w:r>
      <w:r w:rsidRPr="003F564F">
        <w:rPr>
          <w:sz w:val="22"/>
          <w:szCs w:val="22"/>
        </w:rPr>
        <w:t>% pacientų buvo nustatyta 3</w:t>
      </w:r>
      <w:r w:rsidR="000F65E8" w:rsidRPr="003F564F">
        <w:rPr>
          <w:sz w:val="22"/>
          <w:szCs w:val="22"/>
        </w:rPr>
        <w:noBreakHyphen/>
      </w:r>
      <w:r w:rsidRPr="003F564F">
        <w:rPr>
          <w:sz w:val="22"/>
          <w:szCs w:val="22"/>
        </w:rPr>
        <w:t>iojo ir 4</w:t>
      </w:r>
      <w:r w:rsidR="000F65E8" w:rsidRPr="003F564F">
        <w:rPr>
          <w:sz w:val="22"/>
          <w:szCs w:val="22"/>
        </w:rPr>
        <w:noBreakHyphen/>
      </w:r>
      <w:r w:rsidRPr="003F564F">
        <w:rPr>
          <w:sz w:val="22"/>
          <w:szCs w:val="22"/>
        </w:rPr>
        <w:t>ojo laipsnių padidėjusio</w:t>
      </w:r>
      <w:r w:rsidR="000A668B" w:rsidRPr="003F564F">
        <w:rPr>
          <w:sz w:val="22"/>
          <w:szCs w:val="22"/>
        </w:rPr>
        <w:t xml:space="preserve"> </w:t>
      </w:r>
      <w:r w:rsidRPr="003F564F">
        <w:rPr>
          <w:sz w:val="22"/>
          <w:szCs w:val="22"/>
        </w:rPr>
        <w:t>lipazės aktyvumo atvejų. Šiems pacientams be padidėjusio lipazės aktyvumo reikšmių nebuvo</w:t>
      </w:r>
      <w:r w:rsidR="000A668B" w:rsidRPr="003F564F">
        <w:rPr>
          <w:sz w:val="22"/>
          <w:szCs w:val="22"/>
        </w:rPr>
        <w:t xml:space="preserve"> </w:t>
      </w:r>
      <w:r w:rsidRPr="003F564F">
        <w:rPr>
          <w:sz w:val="22"/>
          <w:szCs w:val="22"/>
        </w:rPr>
        <w:t>nustatyta jokių gretutinių pankreatito požymių ar simptomų.</w:t>
      </w:r>
    </w:p>
    <w:p w14:paraId="40C5889E" w14:textId="77777777" w:rsidR="000A668B" w:rsidRPr="003F564F" w:rsidRDefault="000A668B" w:rsidP="00627CC3">
      <w:pPr>
        <w:tabs>
          <w:tab w:val="left" w:pos="567"/>
        </w:tabs>
        <w:spacing w:line="260" w:lineRule="exact"/>
        <w:rPr>
          <w:sz w:val="22"/>
          <w:szCs w:val="22"/>
        </w:rPr>
      </w:pPr>
    </w:p>
    <w:p w14:paraId="421294E0" w14:textId="693A7CB6" w:rsidR="009F34A7" w:rsidRPr="003F564F" w:rsidRDefault="009F34A7" w:rsidP="00627CC3">
      <w:pPr>
        <w:tabs>
          <w:tab w:val="left" w:pos="567"/>
        </w:tabs>
        <w:spacing w:line="260" w:lineRule="exact"/>
        <w:rPr>
          <w:sz w:val="22"/>
          <w:szCs w:val="22"/>
        </w:rPr>
      </w:pPr>
      <w:r w:rsidRPr="003F564F">
        <w:rPr>
          <w:sz w:val="22"/>
          <w:szCs w:val="22"/>
        </w:rPr>
        <w:t>III</w:t>
      </w:r>
      <w:r w:rsidR="000F65E8" w:rsidRPr="003F564F">
        <w:rPr>
          <w:sz w:val="22"/>
          <w:szCs w:val="22"/>
        </w:rPr>
        <w:t> </w:t>
      </w:r>
      <w:r w:rsidRPr="003F564F">
        <w:rPr>
          <w:sz w:val="22"/>
          <w:szCs w:val="22"/>
        </w:rPr>
        <w:t>fazės tyrimų su MF sergančiais pacientais duomenimis, padidėjusios lipazės aktyvumo reikšmės</w:t>
      </w:r>
      <w:r w:rsidR="000A668B" w:rsidRPr="003F564F">
        <w:rPr>
          <w:sz w:val="22"/>
          <w:szCs w:val="22"/>
        </w:rPr>
        <w:t xml:space="preserve"> </w:t>
      </w:r>
      <w:r w:rsidRPr="003F564F">
        <w:rPr>
          <w:sz w:val="22"/>
          <w:szCs w:val="22"/>
        </w:rPr>
        <w:t>buvo nustatytos 18,7</w:t>
      </w:r>
      <w:r w:rsidR="000F65E8" w:rsidRPr="003F564F">
        <w:rPr>
          <w:sz w:val="22"/>
          <w:szCs w:val="22"/>
        </w:rPr>
        <w:t> </w:t>
      </w:r>
      <w:r w:rsidRPr="003F564F">
        <w:rPr>
          <w:sz w:val="22"/>
          <w:szCs w:val="22"/>
        </w:rPr>
        <w:t>% ir 19,3</w:t>
      </w:r>
      <w:r w:rsidR="000F65E8" w:rsidRPr="003F564F">
        <w:rPr>
          <w:sz w:val="22"/>
          <w:szCs w:val="22"/>
        </w:rPr>
        <w:t> </w:t>
      </w:r>
      <w:r w:rsidRPr="003F564F">
        <w:rPr>
          <w:sz w:val="22"/>
          <w:szCs w:val="22"/>
        </w:rPr>
        <w:t xml:space="preserve">% pacientų </w:t>
      </w:r>
      <w:proofErr w:type="spellStart"/>
      <w:r w:rsidRPr="003F564F">
        <w:rPr>
          <w:sz w:val="22"/>
          <w:szCs w:val="22"/>
        </w:rPr>
        <w:t>ruksolitinibo</w:t>
      </w:r>
      <w:proofErr w:type="spellEnd"/>
      <w:r w:rsidRPr="003F564F">
        <w:rPr>
          <w:sz w:val="22"/>
          <w:szCs w:val="22"/>
        </w:rPr>
        <w:t xml:space="preserve"> vartojusiųjų grupėse, lyginant su 16,6</w:t>
      </w:r>
      <w:r w:rsidR="000F65E8" w:rsidRPr="003F564F">
        <w:rPr>
          <w:sz w:val="22"/>
          <w:szCs w:val="22"/>
        </w:rPr>
        <w:t> </w:t>
      </w:r>
      <w:r w:rsidRPr="003F564F">
        <w:rPr>
          <w:sz w:val="22"/>
          <w:szCs w:val="22"/>
        </w:rPr>
        <w:t>% ir</w:t>
      </w:r>
      <w:r w:rsidR="000A668B" w:rsidRPr="003F564F">
        <w:rPr>
          <w:sz w:val="22"/>
          <w:szCs w:val="22"/>
        </w:rPr>
        <w:t xml:space="preserve"> </w:t>
      </w:r>
      <w:r w:rsidRPr="003F564F">
        <w:rPr>
          <w:sz w:val="22"/>
          <w:szCs w:val="22"/>
        </w:rPr>
        <w:t>14,0</w:t>
      </w:r>
      <w:r w:rsidR="000F65E8" w:rsidRPr="003F564F">
        <w:rPr>
          <w:sz w:val="22"/>
          <w:szCs w:val="22"/>
        </w:rPr>
        <w:t> </w:t>
      </w:r>
      <w:r w:rsidRPr="003F564F">
        <w:rPr>
          <w:sz w:val="22"/>
          <w:szCs w:val="22"/>
        </w:rPr>
        <w:t>% pacientų palyginamosiose grupėse, atitinkamai COMFORT-I ir COMFORT-II tyrimų metu.</w:t>
      </w:r>
      <w:r w:rsidR="000A668B" w:rsidRPr="003F564F">
        <w:rPr>
          <w:sz w:val="22"/>
          <w:szCs w:val="22"/>
        </w:rPr>
        <w:t xml:space="preserve"> </w:t>
      </w:r>
      <w:r w:rsidRPr="003F564F">
        <w:rPr>
          <w:sz w:val="22"/>
          <w:szCs w:val="22"/>
        </w:rPr>
        <w:t>Pacientams, kuriems nustatytos padidėjusio lipazės aktyvumo reikšmės, nebuvo nustatyta jokių</w:t>
      </w:r>
      <w:r w:rsidR="000A668B" w:rsidRPr="003F564F">
        <w:rPr>
          <w:sz w:val="22"/>
          <w:szCs w:val="22"/>
        </w:rPr>
        <w:t xml:space="preserve"> </w:t>
      </w:r>
      <w:r w:rsidRPr="003F564F">
        <w:rPr>
          <w:sz w:val="22"/>
          <w:szCs w:val="22"/>
        </w:rPr>
        <w:t>gretutinių pankreatito požymių ar simptomų.</w:t>
      </w:r>
    </w:p>
    <w:p w14:paraId="0DC7B31C" w14:textId="77777777" w:rsidR="000A668B" w:rsidRPr="003F564F" w:rsidRDefault="000A668B" w:rsidP="00627CC3">
      <w:pPr>
        <w:tabs>
          <w:tab w:val="left" w:pos="567"/>
        </w:tabs>
        <w:spacing w:line="260" w:lineRule="exact"/>
        <w:rPr>
          <w:sz w:val="22"/>
          <w:szCs w:val="22"/>
        </w:rPr>
      </w:pPr>
    </w:p>
    <w:p w14:paraId="798E67DF" w14:textId="666F1417" w:rsidR="009F34A7" w:rsidRPr="003F564F" w:rsidRDefault="009F34A7" w:rsidP="00627CC3">
      <w:pPr>
        <w:tabs>
          <w:tab w:val="left" w:pos="567"/>
        </w:tabs>
        <w:spacing w:line="260" w:lineRule="exact"/>
        <w:rPr>
          <w:sz w:val="22"/>
          <w:szCs w:val="22"/>
        </w:rPr>
      </w:pPr>
      <w:r w:rsidRPr="003F564F">
        <w:rPr>
          <w:i/>
          <w:iCs/>
          <w:sz w:val="22"/>
          <w:szCs w:val="22"/>
        </w:rPr>
        <w:t>Lyginamojo laikotarpio</w:t>
      </w:r>
      <w:r w:rsidRPr="003F564F">
        <w:rPr>
          <w:sz w:val="22"/>
          <w:szCs w:val="22"/>
        </w:rPr>
        <w:t xml:space="preserve"> III</w:t>
      </w:r>
      <w:r w:rsidR="000F65E8" w:rsidRPr="003F564F">
        <w:rPr>
          <w:sz w:val="22"/>
          <w:szCs w:val="22"/>
        </w:rPr>
        <w:t> </w:t>
      </w:r>
      <w:r w:rsidRPr="003F564F">
        <w:rPr>
          <w:sz w:val="22"/>
          <w:szCs w:val="22"/>
        </w:rPr>
        <w:t xml:space="preserve">fazės tyrimo (REACH2) metu ūmine </w:t>
      </w:r>
      <w:proofErr w:type="spellStart"/>
      <w:r w:rsidRPr="003F564F">
        <w:rPr>
          <w:sz w:val="22"/>
          <w:szCs w:val="22"/>
        </w:rPr>
        <w:t>TpŠL</w:t>
      </w:r>
      <w:proofErr w:type="spellEnd"/>
      <w:r w:rsidRPr="003F564F">
        <w:rPr>
          <w:sz w:val="22"/>
          <w:szCs w:val="22"/>
        </w:rPr>
        <w:t xml:space="preserve"> sergantiems pacientams naujų</w:t>
      </w:r>
      <w:r w:rsidR="000A668B" w:rsidRPr="003F564F">
        <w:rPr>
          <w:sz w:val="22"/>
          <w:szCs w:val="22"/>
        </w:rPr>
        <w:t xml:space="preserve"> </w:t>
      </w:r>
      <w:r w:rsidRPr="003F564F">
        <w:rPr>
          <w:sz w:val="22"/>
          <w:szCs w:val="22"/>
        </w:rPr>
        <w:t xml:space="preserve">padidėjusio lipazės aktyvumo atvejų arba </w:t>
      </w:r>
      <w:r w:rsidR="00BD77B3">
        <w:rPr>
          <w:sz w:val="22"/>
          <w:szCs w:val="22"/>
        </w:rPr>
        <w:t>padidėjusių</w:t>
      </w:r>
      <w:r w:rsidR="00BD77B3" w:rsidRPr="003F564F">
        <w:rPr>
          <w:sz w:val="22"/>
          <w:szCs w:val="22"/>
        </w:rPr>
        <w:t xml:space="preserve"> </w:t>
      </w:r>
      <w:r w:rsidRPr="003F564F">
        <w:rPr>
          <w:sz w:val="22"/>
          <w:szCs w:val="22"/>
        </w:rPr>
        <w:t>lipazės aktyvumo rodmenų atvejų nustatyta</w:t>
      </w:r>
      <w:r w:rsidR="000A668B" w:rsidRPr="003F564F">
        <w:rPr>
          <w:sz w:val="22"/>
          <w:szCs w:val="22"/>
        </w:rPr>
        <w:t xml:space="preserve"> </w:t>
      </w:r>
      <w:r w:rsidRPr="003F564F">
        <w:rPr>
          <w:sz w:val="22"/>
          <w:szCs w:val="22"/>
        </w:rPr>
        <w:t>19,7</w:t>
      </w:r>
      <w:r w:rsidR="000F65E8" w:rsidRPr="003F564F">
        <w:rPr>
          <w:sz w:val="22"/>
          <w:szCs w:val="22"/>
        </w:rPr>
        <w:t> </w:t>
      </w:r>
      <w:r w:rsidRPr="003F564F">
        <w:rPr>
          <w:sz w:val="22"/>
          <w:szCs w:val="22"/>
        </w:rPr>
        <w:t xml:space="preserve">% </w:t>
      </w:r>
      <w:proofErr w:type="spellStart"/>
      <w:r w:rsidRPr="003F564F">
        <w:rPr>
          <w:sz w:val="22"/>
          <w:szCs w:val="22"/>
        </w:rPr>
        <w:t>ruksolitinibo</w:t>
      </w:r>
      <w:proofErr w:type="spellEnd"/>
      <w:r w:rsidRPr="003F564F">
        <w:rPr>
          <w:sz w:val="22"/>
          <w:szCs w:val="22"/>
        </w:rPr>
        <w:t xml:space="preserve"> vartojusių pacientų, lyginant su 12,5</w:t>
      </w:r>
      <w:r w:rsidR="000F65E8" w:rsidRPr="003F564F">
        <w:rPr>
          <w:sz w:val="22"/>
          <w:szCs w:val="22"/>
        </w:rPr>
        <w:t> </w:t>
      </w:r>
      <w:r w:rsidRPr="003F564F">
        <w:rPr>
          <w:sz w:val="22"/>
          <w:szCs w:val="22"/>
        </w:rPr>
        <w:t>% pacientų GPG grupėje; 3</w:t>
      </w:r>
      <w:r w:rsidR="000F65E8" w:rsidRPr="003F564F">
        <w:rPr>
          <w:sz w:val="22"/>
          <w:szCs w:val="22"/>
        </w:rPr>
        <w:noBreakHyphen/>
      </w:r>
      <w:r w:rsidRPr="003F564F">
        <w:rPr>
          <w:sz w:val="22"/>
          <w:szCs w:val="22"/>
        </w:rPr>
        <w:t>iojo laipsnio</w:t>
      </w:r>
      <w:r w:rsidR="000A668B" w:rsidRPr="003F564F">
        <w:rPr>
          <w:sz w:val="22"/>
          <w:szCs w:val="22"/>
        </w:rPr>
        <w:t xml:space="preserve"> </w:t>
      </w:r>
      <w:r w:rsidRPr="003F564F">
        <w:rPr>
          <w:sz w:val="22"/>
          <w:szCs w:val="22"/>
        </w:rPr>
        <w:t>(3,1</w:t>
      </w:r>
      <w:r w:rsidR="000F65E8" w:rsidRPr="003F564F">
        <w:rPr>
          <w:sz w:val="22"/>
          <w:szCs w:val="22"/>
        </w:rPr>
        <w:t> </w:t>
      </w:r>
      <w:r w:rsidRPr="003F564F">
        <w:rPr>
          <w:sz w:val="22"/>
          <w:szCs w:val="22"/>
        </w:rPr>
        <w:t>%, lyginant su 5,1</w:t>
      </w:r>
      <w:r w:rsidR="000F65E8" w:rsidRPr="003F564F">
        <w:rPr>
          <w:sz w:val="22"/>
          <w:szCs w:val="22"/>
        </w:rPr>
        <w:t> </w:t>
      </w:r>
      <w:r w:rsidRPr="003F564F">
        <w:rPr>
          <w:sz w:val="22"/>
          <w:szCs w:val="22"/>
        </w:rPr>
        <w:t>%) ir 4</w:t>
      </w:r>
      <w:r w:rsidR="000F65E8" w:rsidRPr="003F564F">
        <w:rPr>
          <w:sz w:val="22"/>
          <w:szCs w:val="22"/>
        </w:rPr>
        <w:noBreakHyphen/>
      </w:r>
      <w:r w:rsidRPr="003F564F">
        <w:rPr>
          <w:sz w:val="22"/>
          <w:szCs w:val="22"/>
        </w:rPr>
        <w:t>ojo laipsnio (0</w:t>
      </w:r>
      <w:r w:rsidR="000F65E8" w:rsidRPr="003F564F">
        <w:rPr>
          <w:sz w:val="22"/>
          <w:szCs w:val="22"/>
        </w:rPr>
        <w:t> </w:t>
      </w:r>
      <w:r w:rsidRPr="003F564F">
        <w:rPr>
          <w:sz w:val="22"/>
          <w:szCs w:val="22"/>
        </w:rPr>
        <w:t>%, lyginant su 0,8</w:t>
      </w:r>
      <w:r w:rsidR="000F65E8" w:rsidRPr="003F564F">
        <w:rPr>
          <w:sz w:val="22"/>
          <w:szCs w:val="22"/>
        </w:rPr>
        <w:t> </w:t>
      </w:r>
      <w:r w:rsidRPr="003F564F">
        <w:rPr>
          <w:sz w:val="22"/>
          <w:szCs w:val="22"/>
        </w:rPr>
        <w:t>%) šių atvejų dažnis tiriamosiose</w:t>
      </w:r>
      <w:r w:rsidR="000A668B" w:rsidRPr="003F564F">
        <w:rPr>
          <w:sz w:val="22"/>
          <w:szCs w:val="22"/>
        </w:rPr>
        <w:t xml:space="preserve"> </w:t>
      </w:r>
      <w:r w:rsidRPr="003F564F">
        <w:rPr>
          <w:sz w:val="22"/>
          <w:szCs w:val="22"/>
        </w:rPr>
        <w:t xml:space="preserve">grupėse buvo panašus. </w:t>
      </w:r>
      <w:r w:rsidRPr="003F564F">
        <w:rPr>
          <w:i/>
          <w:iCs/>
          <w:sz w:val="22"/>
          <w:szCs w:val="22"/>
        </w:rPr>
        <w:t>Tęstinio stebėjimo laikotarpiu</w:t>
      </w:r>
      <w:r w:rsidRPr="003F564F">
        <w:rPr>
          <w:sz w:val="22"/>
          <w:szCs w:val="22"/>
        </w:rPr>
        <w:t xml:space="preserve"> </w:t>
      </w:r>
      <w:proofErr w:type="spellStart"/>
      <w:r w:rsidRPr="003F564F">
        <w:rPr>
          <w:sz w:val="22"/>
          <w:szCs w:val="22"/>
        </w:rPr>
        <w:t>ruksolitinibo</w:t>
      </w:r>
      <w:proofErr w:type="spellEnd"/>
      <w:r w:rsidRPr="003F564F">
        <w:rPr>
          <w:sz w:val="22"/>
          <w:szCs w:val="22"/>
        </w:rPr>
        <w:t xml:space="preserve"> vartojusiems pacientams</w:t>
      </w:r>
      <w:r w:rsidR="000A668B" w:rsidRPr="003F564F">
        <w:rPr>
          <w:sz w:val="22"/>
          <w:szCs w:val="22"/>
        </w:rPr>
        <w:t xml:space="preserve"> </w:t>
      </w:r>
      <w:r w:rsidRPr="003F564F">
        <w:rPr>
          <w:sz w:val="22"/>
          <w:szCs w:val="22"/>
        </w:rPr>
        <w:t>padidėjusio lipazės aktyvumo atvejų nustatyta 32,2</w:t>
      </w:r>
      <w:r w:rsidR="000F65E8" w:rsidRPr="003F564F">
        <w:rPr>
          <w:sz w:val="22"/>
          <w:szCs w:val="22"/>
        </w:rPr>
        <w:t> </w:t>
      </w:r>
      <w:r w:rsidRPr="003F564F">
        <w:rPr>
          <w:sz w:val="22"/>
          <w:szCs w:val="22"/>
        </w:rPr>
        <w:t>% pacientų; 3</w:t>
      </w:r>
      <w:r w:rsidR="000F65E8" w:rsidRPr="003F564F">
        <w:rPr>
          <w:sz w:val="22"/>
          <w:szCs w:val="22"/>
        </w:rPr>
        <w:noBreakHyphen/>
      </w:r>
      <w:r w:rsidRPr="003F564F">
        <w:rPr>
          <w:sz w:val="22"/>
          <w:szCs w:val="22"/>
        </w:rPr>
        <w:t>iojo ir 4</w:t>
      </w:r>
      <w:r w:rsidR="000F65E8" w:rsidRPr="003F564F">
        <w:rPr>
          <w:sz w:val="22"/>
          <w:szCs w:val="22"/>
        </w:rPr>
        <w:noBreakHyphen/>
      </w:r>
      <w:r w:rsidRPr="003F564F">
        <w:rPr>
          <w:sz w:val="22"/>
          <w:szCs w:val="22"/>
        </w:rPr>
        <w:t>ojo laipsnių atvejų</w:t>
      </w:r>
      <w:r w:rsidR="000A668B" w:rsidRPr="003F564F">
        <w:rPr>
          <w:sz w:val="22"/>
          <w:szCs w:val="22"/>
        </w:rPr>
        <w:t xml:space="preserve"> </w:t>
      </w:r>
      <w:r w:rsidRPr="003F564F">
        <w:rPr>
          <w:sz w:val="22"/>
          <w:szCs w:val="22"/>
        </w:rPr>
        <w:t>nustatyta atitinkamai 8,7</w:t>
      </w:r>
      <w:r w:rsidR="000F65E8" w:rsidRPr="003F564F">
        <w:rPr>
          <w:sz w:val="22"/>
          <w:szCs w:val="22"/>
        </w:rPr>
        <w:t> </w:t>
      </w:r>
      <w:r w:rsidRPr="003F564F">
        <w:rPr>
          <w:sz w:val="22"/>
          <w:szCs w:val="22"/>
        </w:rPr>
        <w:t>% ir 2,2</w:t>
      </w:r>
      <w:r w:rsidR="000F65E8" w:rsidRPr="003F564F">
        <w:rPr>
          <w:sz w:val="22"/>
          <w:szCs w:val="22"/>
        </w:rPr>
        <w:t> </w:t>
      </w:r>
      <w:r w:rsidRPr="003F564F">
        <w:rPr>
          <w:sz w:val="22"/>
          <w:szCs w:val="22"/>
        </w:rPr>
        <w:t>% pacientų. Padidėjusio lipazės aktyvumo atvejų nustatyta 20,4</w:t>
      </w:r>
      <w:r w:rsidR="000F65E8" w:rsidRPr="003F564F">
        <w:rPr>
          <w:sz w:val="22"/>
          <w:szCs w:val="22"/>
        </w:rPr>
        <w:t> </w:t>
      </w:r>
      <w:r w:rsidRPr="003F564F">
        <w:rPr>
          <w:sz w:val="22"/>
          <w:szCs w:val="22"/>
        </w:rPr>
        <w:t>%</w:t>
      </w:r>
      <w:r w:rsidR="000A668B" w:rsidRPr="003F564F">
        <w:rPr>
          <w:sz w:val="22"/>
          <w:szCs w:val="22"/>
        </w:rPr>
        <w:t xml:space="preserve"> </w:t>
      </w:r>
      <w:r w:rsidRPr="003F564F">
        <w:rPr>
          <w:sz w:val="22"/>
          <w:szCs w:val="22"/>
        </w:rPr>
        <w:t>vaikų (3</w:t>
      </w:r>
      <w:r w:rsidR="000F65E8" w:rsidRPr="003F564F">
        <w:rPr>
          <w:sz w:val="22"/>
          <w:szCs w:val="22"/>
        </w:rPr>
        <w:noBreakHyphen/>
      </w:r>
      <w:r w:rsidRPr="003F564F">
        <w:rPr>
          <w:sz w:val="22"/>
          <w:szCs w:val="22"/>
        </w:rPr>
        <w:t>iojo ir 4</w:t>
      </w:r>
      <w:r w:rsidR="000F65E8" w:rsidRPr="003F564F">
        <w:rPr>
          <w:sz w:val="22"/>
          <w:szCs w:val="22"/>
        </w:rPr>
        <w:noBreakHyphen/>
      </w:r>
      <w:r w:rsidRPr="003F564F">
        <w:rPr>
          <w:sz w:val="22"/>
          <w:szCs w:val="22"/>
        </w:rPr>
        <w:t>ojo laipsnių atvejų nustatyta atitinkamai 8,5</w:t>
      </w:r>
      <w:r w:rsidR="000F65E8" w:rsidRPr="003F564F">
        <w:rPr>
          <w:sz w:val="22"/>
          <w:szCs w:val="22"/>
        </w:rPr>
        <w:t> </w:t>
      </w:r>
      <w:r w:rsidRPr="003F564F">
        <w:rPr>
          <w:sz w:val="22"/>
          <w:szCs w:val="22"/>
        </w:rPr>
        <w:t>% ir 4,1</w:t>
      </w:r>
      <w:r w:rsidR="000F65E8" w:rsidRPr="003F564F">
        <w:rPr>
          <w:sz w:val="22"/>
          <w:szCs w:val="22"/>
        </w:rPr>
        <w:t> </w:t>
      </w:r>
      <w:r w:rsidRPr="003F564F">
        <w:rPr>
          <w:sz w:val="22"/>
          <w:szCs w:val="22"/>
        </w:rPr>
        <w:t>% pacientų).</w:t>
      </w:r>
      <w:r w:rsidR="000A668B" w:rsidRPr="003F564F">
        <w:rPr>
          <w:sz w:val="22"/>
          <w:szCs w:val="22"/>
        </w:rPr>
        <w:t xml:space="preserve"> </w:t>
      </w:r>
      <w:r w:rsidRPr="003F564F">
        <w:rPr>
          <w:i/>
          <w:iCs/>
          <w:sz w:val="22"/>
          <w:szCs w:val="22"/>
        </w:rPr>
        <w:t>Lyginamojo laikotarpio</w:t>
      </w:r>
      <w:r w:rsidRPr="003F564F">
        <w:rPr>
          <w:sz w:val="22"/>
          <w:szCs w:val="22"/>
        </w:rPr>
        <w:t xml:space="preserve"> III</w:t>
      </w:r>
      <w:r w:rsidR="000F65E8" w:rsidRPr="003F564F">
        <w:rPr>
          <w:sz w:val="22"/>
          <w:szCs w:val="22"/>
        </w:rPr>
        <w:t> </w:t>
      </w:r>
      <w:r w:rsidRPr="003F564F">
        <w:rPr>
          <w:sz w:val="22"/>
          <w:szCs w:val="22"/>
        </w:rPr>
        <w:t xml:space="preserve">fazės tyrimo (REACH3) metu lėtine </w:t>
      </w:r>
      <w:proofErr w:type="spellStart"/>
      <w:r w:rsidRPr="003F564F">
        <w:rPr>
          <w:sz w:val="22"/>
          <w:szCs w:val="22"/>
        </w:rPr>
        <w:t>TpŠL</w:t>
      </w:r>
      <w:proofErr w:type="spellEnd"/>
      <w:r w:rsidRPr="003F564F">
        <w:rPr>
          <w:sz w:val="22"/>
          <w:szCs w:val="22"/>
        </w:rPr>
        <w:t xml:space="preserve"> sergantiems pacientams naujų</w:t>
      </w:r>
      <w:r w:rsidR="000A668B" w:rsidRPr="003F564F">
        <w:rPr>
          <w:sz w:val="22"/>
          <w:szCs w:val="22"/>
        </w:rPr>
        <w:t xml:space="preserve"> </w:t>
      </w:r>
      <w:r w:rsidRPr="003F564F">
        <w:rPr>
          <w:sz w:val="22"/>
          <w:szCs w:val="22"/>
        </w:rPr>
        <w:t xml:space="preserve">padidėjusio lipazės aktyvumo atvejų arba </w:t>
      </w:r>
      <w:r w:rsidR="00975E02">
        <w:rPr>
          <w:sz w:val="22"/>
          <w:szCs w:val="22"/>
        </w:rPr>
        <w:t>padidėjusių</w:t>
      </w:r>
      <w:r w:rsidR="00975E02" w:rsidRPr="003F564F">
        <w:rPr>
          <w:sz w:val="22"/>
          <w:szCs w:val="22"/>
        </w:rPr>
        <w:t xml:space="preserve"> </w:t>
      </w:r>
      <w:r w:rsidRPr="003F564F">
        <w:rPr>
          <w:sz w:val="22"/>
          <w:szCs w:val="22"/>
        </w:rPr>
        <w:t>lipazės aktyvumo rodmenų atvejų nustatyta</w:t>
      </w:r>
      <w:r w:rsidR="000A668B" w:rsidRPr="003F564F">
        <w:rPr>
          <w:sz w:val="22"/>
          <w:szCs w:val="22"/>
        </w:rPr>
        <w:t xml:space="preserve"> </w:t>
      </w:r>
      <w:r w:rsidRPr="003F564F">
        <w:rPr>
          <w:sz w:val="22"/>
          <w:szCs w:val="22"/>
        </w:rPr>
        <w:t>32,1</w:t>
      </w:r>
      <w:r w:rsidR="000F65E8" w:rsidRPr="003F564F">
        <w:rPr>
          <w:sz w:val="22"/>
          <w:szCs w:val="22"/>
        </w:rPr>
        <w:t> </w:t>
      </w:r>
      <w:r w:rsidRPr="003F564F">
        <w:rPr>
          <w:sz w:val="22"/>
          <w:szCs w:val="22"/>
        </w:rPr>
        <w:t xml:space="preserve">% </w:t>
      </w:r>
      <w:proofErr w:type="spellStart"/>
      <w:r w:rsidRPr="003F564F">
        <w:rPr>
          <w:sz w:val="22"/>
          <w:szCs w:val="22"/>
        </w:rPr>
        <w:t>ruksolitinibo</w:t>
      </w:r>
      <w:proofErr w:type="spellEnd"/>
      <w:r w:rsidRPr="003F564F">
        <w:rPr>
          <w:sz w:val="22"/>
          <w:szCs w:val="22"/>
        </w:rPr>
        <w:t xml:space="preserve"> vartojusių pacientų, lyginant su 23,5</w:t>
      </w:r>
      <w:r w:rsidR="000F65E8" w:rsidRPr="003F564F">
        <w:rPr>
          <w:sz w:val="22"/>
          <w:szCs w:val="22"/>
        </w:rPr>
        <w:t> </w:t>
      </w:r>
      <w:r w:rsidRPr="003F564F">
        <w:rPr>
          <w:sz w:val="22"/>
          <w:szCs w:val="22"/>
        </w:rPr>
        <w:t>% pacientų GPG grupėje; 3</w:t>
      </w:r>
      <w:r w:rsidR="000F65E8" w:rsidRPr="003F564F">
        <w:rPr>
          <w:sz w:val="22"/>
          <w:szCs w:val="22"/>
        </w:rPr>
        <w:noBreakHyphen/>
      </w:r>
      <w:r w:rsidRPr="003F564F">
        <w:rPr>
          <w:sz w:val="22"/>
          <w:szCs w:val="22"/>
        </w:rPr>
        <w:t>iojo laipsnio</w:t>
      </w:r>
      <w:r w:rsidR="000A668B" w:rsidRPr="003F564F">
        <w:rPr>
          <w:sz w:val="22"/>
          <w:szCs w:val="22"/>
        </w:rPr>
        <w:t xml:space="preserve"> </w:t>
      </w:r>
      <w:r w:rsidRPr="003F564F">
        <w:rPr>
          <w:sz w:val="22"/>
          <w:szCs w:val="22"/>
        </w:rPr>
        <w:t>(10,6</w:t>
      </w:r>
      <w:r w:rsidR="000F65E8" w:rsidRPr="003F564F">
        <w:rPr>
          <w:sz w:val="22"/>
          <w:szCs w:val="22"/>
        </w:rPr>
        <w:t> </w:t>
      </w:r>
      <w:r w:rsidRPr="003F564F">
        <w:rPr>
          <w:sz w:val="22"/>
          <w:szCs w:val="22"/>
        </w:rPr>
        <w:t>%, lyginant su 6,2</w:t>
      </w:r>
      <w:r w:rsidR="000F65E8" w:rsidRPr="003F564F">
        <w:rPr>
          <w:sz w:val="22"/>
          <w:szCs w:val="22"/>
        </w:rPr>
        <w:t> </w:t>
      </w:r>
      <w:r w:rsidRPr="003F564F">
        <w:rPr>
          <w:sz w:val="22"/>
          <w:szCs w:val="22"/>
        </w:rPr>
        <w:t>%) ir 4</w:t>
      </w:r>
      <w:r w:rsidR="000F65E8" w:rsidRPr="003F564F">
        <w:rPr>
          <w:sz w:val="22"/>
          <w:szCs w:val="22"/>
        </w:rPr>
        <w:noBreakHyphen/>
      </w:r>
      <w:r w:rsidRPr="003F564F">
        <w:rPr>
          <w:sz w:val="22"/>
          <w:szCs w:val="22"/>
        </w:rPr>
        <w:t>ojo laipsnio (0,6</w:t>
      </w:r>
      <w:r w:rsidR="000F65E8" w:rsidRPr="003F564F">
        <w:rPr>
          <w:sz w:val="22"/>
          <w:szCs w:val="22"/>
        </w:rPr>
        <w:t> </w:t>
      </w:r>
      <w:r w:rsidRPr="003F564F">
        <w:rPr>
          <w:sz w:val="22"/>
          <w:szCs w:val="22"/>
        </w:rPr>
        <w:t>%, lyginant su 0</w:t>
      </w:r>
      <w:r w:rsidR="000F65E8" w:rsidRPr="003F564F">
        <w:rPr>
          <w:sz w:val="22"/>
          <w:szCs w:val="22"/>
        </w:rPr>
        <w:t> </w:t>
      </w:r>
      <w:r w:rsidRPr="003F564F">
        <w:rPr>
          <w:sz w:val="22"/>
          <w:szCs w:val="22"/>
        </w:rPr>
        <w:t>%) šių atvejų dažnis tiriamosiose</w:t>
      </w:r>
      <w:r w:rsidR="000A668B" w:rsidRPr="003F564F">
        <w:rPr>
          <w:sz w:val="22"/>
          <w:szCs w:val="22"/>
        </w:rPr>
        <w:t xml:space="preserve"> </w:t>
      </w:r>
      <w:r w:rsidRPr="003F564F">
        <w:rPr>
          <w:sz w:val="22"/>
          <w:szCs w:val="22"/>
        </w:rPr>
        <w:t xml:space="preserve">grupėse buvo panašus. </w:t>
      </w:r>
      <w:r w:rsidRPr="003F564F">
        <w:rPr>
          <w:i/>
          <w:iCs/>
          <w:sz w:val="22"/>
          <w:szCs w:val="22"/>
        </w:rPr>
        <w:t>Tęstinio stebėjimo laikotarpiu</w:t>
      </w:r>
      <w:r w:rsidRPr="003F564F">
        <w:rPr>
          <w:sz w:val="22"/>
          <w:szCs w:val="22"/>
        </w:rPr>
        <w:t xml:space="preserve"> </w:t>
      </w:r>
      <w:proofErr w:type="spellStart"/>
      <w:r w:rsidRPr="003F564F">
        <w:rPr>
          <w:sz w:val="22"/>
          <w:szCs w:val="22"/>
        </w:rPr>
        <w:t>ruksolitinibo</w:t>
      </w:r>
      <w:proofErr w:type="spellEnd"/>
      <w:r w:rsidRPr="003F564F">
        <w:rPr>
          <w:sz w:val="22"/>
          <w:szCs w:val="22"/>
        </w:rPr>
        <w:t xml:space="preserve"> vartojusiems pacientams</w:t>
      </w:r>
      <w:r w:rsidR="000A668B" w:rsidRPr="003F564F">
        <w:rPr>
          <w:sz w:val="22"/>
          <w:szCs w:val="22"/>
        </w:rPr>
        <w:t xml:space="preserve"> </w:t>
      </w:r>
      <w:r w:rsidRPr="003F564F">
        <w:rPr>
          <w:sz w:val="22"/>
          <w:szCs w:val="22"/>
        </w:rPr>
        <w:t>padidėjusio lipazės aktyvumo atvejų nustatyta 35,9</w:t>
      </w:r>
      <w:r w:rsidR="000F65E8" w:rsidRPr="003F564F">
        <w:rPr>
          <w:sz w:val="22"/>
          <w:szCs w:val="22"/>
        </w:rPr>
        <w:t> </w:t>
      </w:r>
      <w:r w:rsidRPr="003F564F">
        <w:rPr>
          <w:sz w:val="22"/>
          <w:szCs w:val="22"/>
        </w:rPr>
        <w:t>% pacientų; 3</w:t>
      </w:r>
      <w:r w:rsidR="000F65E8" w:rsidRPr="003F564F">
        <w:rPr>
          <w:sz w:val="22"/>
          <w:szCs w:val="22"/>
        </w:rPr>
        <w:noBreakHyphen/>
      </w:r>
      <w:r w:rsidRPr="003F564F">
        <w:rPr>
          <w:sz w:val="22"/>
          <w:szCs w:val="22"/>
        </w:rPr>
        <w:t>iojo ir 4</w:t>
      </w:r>
      <w:r w:rsidR="000F65E8" w:rsidRPr="003F564F">
        <w:rPr>
          <w:sz w:val="22"/>
          <w:szCs w:val="22"/>
        </w:rPr>
        <w:noBreakHyphen/>
      </w:r>
      <w:r w:rsidRPr="003F564F">
        <w:rPr>
          <w:sz w:val="22"/>
          <w:szCs w:val="22"/>
        </w:rPr>
        <w:t>ojo laipsnių atvejų</w:t>
      </w:r>
      <w:r w:rsidR="000A668B" w:rsidRPr="003F564F">
        <w:rPr>
          <w:sz w:val="22"/>
          <w:szCs w:val="22"/>
        </w:rPr>
        <w:t xml:space="preserve"> </w:t>
      </w:r>
      <w:r w:rsidRPr="003F564F">
        <w:rPr>
          <w:sz w:val="22"/>
          <w:szCs w:val="22"/>
        </w:rPr>
        <w:t>nustatyta atitinkamai 9,5</w:t>
      </w:r>
      <w:r w:rsidR="000F65E8" w:rsidRPr="003F564F">
        <w:rPr>
          <w:sz w:val="22"/>
          <w:szCs w:val="22"/>
        </w:rPr>
        <w:t> </w:t>
      </w:r>
      <w:r w:rsidRPr="003F564F">
        <w:rPr>
          <w:sz w:val="22"/>
          <w:szCs w:val="22"/>
        </w:rPr>
        <w:t>% ir 0,4</w:t>
      </w:r>
      <w:r w:rsidR="000F65E8" w:rsidRPr="003F564F">
        <w:rPr>
          <w:sz w:val="22"/>
          <w:szCs w:val="22"/>
        </w:rPr>
        <w:t> </w:t>
      </w:r>
      <w:r w:rsidRPr="003F564F">
        <w:rPr>
          <w:sz w:val="22"/>
          <w:szCs w:val="22"/>
        </w:rPr>
        <w:t>% pacientų. Vaikams padidėjusio lipazės aktyvumo atvejų nustatyta</w:t>
      </w:r>
      <w:r w:rsidR="000A668B" w:rsidRPr="003F564F">
        <w:rPr>
          <w:sz w:val="22"/>
          <w:szCs w:val="22"/>
        </w:rPr>
        <w:t xml:space="preserve"> </w:t>
      </w:r>
      <w:r w:rsidRPr="003F564F">
        <w:rPr>
          <w:sz w:val="22"/>
          <w:szCs w:val="22"/>
        </w:rPr>
        <w:t>rečiau (20,4</w:t>
      </w:r>
      <w:r w:rsidR="000F65E8" w:rsidRPr="003F564F">
        <w:rPr>
          <w:sz w:val="22"/>
          <w:szCs w:val="22"/>
        </w:rPr>
        <w:t> </w:t>
      </w:r>
      <w:r w:rsidRPr="003F564F">
        <w:rPr>
          <w:sz w:val="22"/>
          <w:szCs w:val="22"/>
        </w:rPr>
        <w:t>% dažniu; 3</w:t>
      </w:r>
      <w:r w:rsidR="000F65E8" w:rsidRPr="003F564F">
        <w:rPr>
          <w:sz w:val="22"/>
          <w:szCs w:val="22"/>
        </w:rPr>
        <w:noBreakHyphen/>
      </w:r>
      <w:r w:rsidRPr="003F564F">
        <w:rPr>
          <w:sz w:val="22"/>
          <w:szCs w:val="22"/>
        </w:rPr>
        <w:t>iojo ir 4</w:t>
      </w:r>
      <w:r w:rsidR="000F65E8" w:rsidRPr="003F564F">
        <w:rPr>
          <w:sz w:val="22"/>
          <w:szCs w:val="22"/>
        </w:rPr>
        <w:noBreakHyphen/>
      </w:r>
      <w:r w:rsidRPr="003F564F">
        <w:rPr>
          <w:sz w:val="22"/>
          <w:szCs w:val="22"/>
        </w:rPr>
        <w:t>ojo laipsnių atvejų nustatyta atitinkamai 3,8</w:t>
      </w:r>
      <w:r w:rsidR="000F65E8" w:rsidRPr="003F564F">
        <w:rPr>
          <w:sz w:val="22"/>
          <w:szCs w:val="22"/>
        </w:rPr>
        <w:t> </w:t>
      </w:r>
      <w:r w:rsidRPr="003F564F">
        <w:rPr>
          <w:sz w:val="22"/>
          <w:szCs w:val="22"/>
        </w:rPr>
        <w:t>% ir 1,9</w:t>
      </w:r>
      <w:r w:rsidR="000F65E8" w:rsidRPr="003F564F">
        <w:rPr>
          <w:sz w:val="22"/>
          <w:szCs w:val="22"/>
        </w:rPr>
        <w:t> </w:t>
      </w:r>
      <w:r w:rsidRPr="003F564F">
        <w:rPr>
          <w:sz w:val="22"/>
          <w:szCs w:val="22"/>
        </w:rPr>
        <w:t>% pacientų).</w:t>
      </w:r>
    </w:p>
    <w:p w14:paraId="3FE8F199" w14:textId="77777777" w:rsidR="000A668B" w:rsidRPr="003F564F" w:rsidRDefault="000A668B" w:rsidP="00627CC3">
      <w:pPr>
        <w:tabs>
          <w:tab w:val="left" w:pos="567"/>
        </w:tabs>
        <w:spacing w:line="260" w:lineRule="exact"/>
        <w:rPr>
          <w:sz w:val="22"/>
          <w:szCs w:val="22"/>
        </w:rPr>
      </w:pPr>
    </w:p>
    <w:p w14:paraId="6733CD25" w14:textId="412EEA8D" w:rsidR="009F34A7" w:rsidRPr="003F564F" w:rsidRDefault="009F34A7" w:rsidP="00627CC3">
      <w:pPr>
        <w:tabs>
          <w:tab w:val="left" w:pos="567"/>
        </w:tabs>
        <w:spacing w:line="260" w:lineRule="exact"/>
        <w:rPr>
          <w:i/>
          <w:iCs/>
          <w:sz w:val="22"/>
          <w:szCs w:val="22"/>
          <w:u w:val="single"/>
        </w:rPr>
      </w:pPr>
      <w:r w:rsidRPr="003F564F">
        <w:rPr>
          <w:i/>
          <w:iCs/>
          <w:sz w:val="22"/>
          <w:szCs w:val="22"/>
          <w:u w:val="single"/>
        </w:rPr>
        <w:t xml:space="preserve">Padidėjęs </w:t>
      </w:r>
      <w:proofErr w:type="spellStart"/>
      <w:r w:rsidRPr="003F564F">
        <w:rPr>
          <w:i/>
          <w:iCs/>
          <w:sz w:val="22"/>
          <w:szCs w:val="22"/>
          <w:u w:val="single"/>
        </w:rPr>
        <w:t>sistolinis</w:t>
      </w:r>
      <w:proofErr w:type="spellEnd"/>
      <w:r w:rsidRPr="003F564F">
        <w:rPr>
          <w:i/>
          <w:iCs/>
          <w:sz w:val="22"/>
          <w:szCs w:val="22"/>
          <w:u w:val="single"/>
        </w:rPr>
        <w:t xml:space="preserve"> kraujospūdis</w:t>
      </w:r>
    </w:p>
    <w:p w14:paraId="46B8A153" w14:textId="13090F69" w:rsidR="009F34A7" w:rsidRPr="003F564F" w:rsidRDefault="009F34A7" w:rsidP="00627CC3">
      <w:pPr>
        <w:tabs>
          <w:tab w:val="left" w:pos="567"/>
        </w:tabs>
        <w:spacing w:line="260" w:lineRule="exact"/>
        <w:rPr>
          <w:sz w:val="22"/>
          <w:szCs w:val="22"/>
        </w:rPr>
      </w:pPr>
      <w:r w:rsidRPr="003F564F">
        <w:rPr>
          <w:sz w:val="22"/>
          <w:szCs w:val="22"/>
        </w:rPr>
        <w:t>III</w:t>
      </w:r>
      <w:r w:rsidR="000F65E8" w:rsidRPr="003F564F">
        <w:rPr>
          <w:sz w:val="22"/>
          <w:szCs w:val="22"/>
        </w:rPr>
        <w:t> </w:t>
      </w:r>
      <w:r w:rsidRPr="003F564F">
        <w:rPr>
          <w:sz w:val="22"/>
          <w:szCs w:val="22"/>
        </w:rPr>
        <w:t xml:space="preserve">fazės pagrindinių klinikinių tyrimų su sergančiaisiais MF metu </w:t>
      </w:r>
      <w:proofErr w:type="spellStart"/>
      <w:r w:rsidRPr="003F564F">
        <w:rPr>
          <w:sz w:val="22"/>
          <w:szCs w:val="22"/>
        </w:rPr>
        <w:t>sistolinio</w:t>
      </w:r>
      <w:proofErr w:type="spellEnd"/>
      <w:r w:rsidRPr="003F564F">
        <w:rPr>
          <w:sz w:val="22"/>
          <w:szCs w:val="22"/>
        </w:rPr>
        <w:t xml:space="preserve"> kraujospūdžio</w:t>
      </w:r>
      <w:r w:rsidR="000A668B" w:rsidRPr="003F564F">
        <w:rPr>
          <w:sz w:val="22"/>
          <w:szCs w:val="22"/>
        </w:rPr>
        <w:t xml:space="preserve"> </w:t>
      </w:r>
      <w:r w:rsidRPr="003F564F">
        <w:rPr>
          <w:sz w:val="22"/>
          <w:szCs w:val="22"/>
        </w:rPr>
        <w:t>padidėjimas 20</w:t>
      </w:r>
      <w:r w:rsidR="000F65E8" w:rsidRPr="003F564F">
        <w:rPr>
          <w:sz w:val="22"/>
          <w:szCs w:val="22"/>
        </w:rPr>
        <w:t> </w:t>
      </w:r>
      <w:proofErr w:type="spellStart"/>
      <w:r w:rsidRPr="003F564F">
        <w:rPr>
          <w:sz w:val="22"/>
          <w:szCs w:val="22"/>
        </w:rPr>
        <w:t>mmHg</w:t>
      </w:r>
      <w:proofErr w:type="spellEnd"/>
      <w:r w:rsidRPr="003F564F">
        <w:rPr>
          <w:sz w:val="22"/>
          <w:szCs w:val="22"/>
        </w:rPr>
        <w:t xml:space="preserve"> ar daugiau, lyginant su pradinėmis reikšmėmis, bent vieno vizito metu</w:t>
      </w:r>
      <w:r w:rsidR="000A668B" w:rsidRPr="003F564F">
        <w:rPr>
          <w:sz w:val="22"/>
          <w:szCs w:val="22"/>
        </w:rPr>
        <w:t xml:space="preserve"> </w:t>
      </w:r>
      <w:r w:rsidRPr="003F564F">
        <w:rPr>
          <w:sz w:val="22"/>
          <w:szCs w:val="22"/>
        </w:rPr>
        <w:t>nustatytas 31,5</w:t>
      </w:r>
      <w:r w:rsidR="000F65E8" w:rsidRPr="003F564F">
        <w:rPr>
          <w:sz w:val="22"/>
          <w:szCs w:val="22"/>
        </w:rPr>
        <w:t> </w:t>
      </w:r>
      <w:r w:rsidRPr="003F564F">
        <w:rPr>
          <w:sz w:val="22"/>
          <w:szCs w:val="22"/>
        </w:rPr>
        <w:t xml:space="preserve">% </w:t>
      </w:r>
      <w:proofErr w:type="spellStart"/>
      <w:r w:rsidR="00AC42EF" w:rsidRPr="003F564F">
        <w:rPr>
          <w:sz w:val="22"/>
          <w:szCs w:val="22"/>
        </w:rPr>
        <w:t>ruksolitinibo</w:t>
      </w:r>
      <w:proofErr w:type="spellEnd"/>
      <w:r w:rsidRPr="003F564F">
        <w:rPr>
          <w:sz w:val="22"/>
          <w:szCs w:val="22"/>
        </w:rPr>
        <w:t xml:space="preserve"> vartojusių pacientų, lyginant su 19,5</w:t>
      </w:r>
      <w:r w:rsidR="000F65E8" w:rsidRPr="003F564F">
        <w:rPr>
          <w:sz w:val="22"/>
          <w:szCs w:val="22"/>
        </w:rPr>
        <w:t> </w:t>
      </w:r>
      <w:r w:rsidRPr="003F564F">
        <w:rPr>
          <w:sz w:val="22"/>
          <w:szCs w:val="22"/>
        </w:rPr>
        <w:t>% vartojusiųjų palyginamųjų vaistinių</w:t>
      </w:r>
      <w:r w:rsidR="000A668B" w:rsidRPr="003F564F">
        <w:rPr>
          <w:sz w:val="22"/>
          <w:szCs w:val="22"/>
        </w:rPr>
        <w:t xml:space="preserve"> </w:t>
      </w:r>
      <w:r w:rsidRPr="003F564F">
        <w:rPr>
          <w:sz w:val="22"/>
          <w:szCs w:val="22"/>
        </w:rPr>
        <w:t xml:space="preserve">preparatų. COMFORT-I tyrimo (su sergančiaisiais MF) duomenimis, vidutinis </w:t>
      </w:r>
      <w:proofErr w:type="spellStart"/>
      <w:r w:rsidRPr="003F564F">
        <w:rPr>
          <w:sz w:val="22"/>
          <w:szCs w:val="22"/>
        </w:rPr>
        <w:t>sistolinio</w:t>
      </w:r>
      <w:proofErr w:type="spellEnd"/>
      <w:r w:rsidR="000A668B" w:rsidRPr="003F564F">
        <w:rPr>
          <w:sz w:val="22"/>
          <w:szCs w:val="22"/>
        </w:rPr>
        <w:t xml:space="preserve"> </w:t>
      </w:r>
      <w:r w:rsidRPr="003F564F">
        <w:rPr>
          <w:sz w:val="22"/>
          <w:szCs w:val="22"/>
        </w:rPr>
        <w:t xml:space="preserve">kraujospūdžio padidėjimas, lyginant su pradinėmis reikšmėmis, </w:t>
      </w:r>
      <w:proofErr w:type="spellStart"/>
      <w:r w:rsidRPr="003F564F">
        <w:rPr>
          <w:sz w:val="22"/>
          <w:szCs w:val="22"/>
        </w:rPr>
        <w:t>ruksolitinibo</w:t>
      </w:r>
      <w:proofErr w:type="spellEnd"/>
      <w:r w:rsidRPr="003F564F">
        <w:rPr>
          <w:sz w:val="22"/>
          <w:szCs w:val="22"/>
        </w:rPr>
        <w:t xml:space="preserve"> vartojusiems pacientams</w:t>
      </w:r>
      <w:r w:rsidR="000A668B" w:rsidRPr="003F564F">
        <w:rPr>
          <w:sz w:val="22"/>
          <w:szCs w:val="22"/>
        </w:rPr>
        <w:t xml:space="preserve"> </w:t>
      </w:r>
      <w:r w:rsidRPr="003F564F">
        <w:rPr>
          <w:sz w:val="22"/>
          <w:szCs w:val="22"/>
        </w:rPr>
        <w:t>buvo 0</w:t>
      </w:r>
      <w:r w:rsidR="000F65E8" w:rsidRPr="003F564F">
        <w:rPr>
          <w:sz w:val="22"/>
          <w:szCs w:val="22"/>
        </w:rPr>
        <w:noBreakHyphen/>
      </w:r>
      <w:r w:rsidRPr="003F564F">
        <w:rPr>
          <w:sz w:val="22"/>
          <w:szCs w:val="22"/>
        </w:rPr>
        <w:t>2</w:t>
      </w:r>
      <w:r w:rsidR="000F65E8" w:rsidRPr="003F564F">
        <w:rPr>
          <w:sz w:val="22"/>
          <w:szCs w:val="22"/>
        </w:rPr>
        <w:t> </w:t>
      </w:r>
      <w:proofErr w:type="spellStart"/>
      <w:r w:rsidRPr="003F564F">
        <w:rPr>
          <w:sz w:val="22"/>
          <w:szCs w:val="22"/>
        </w:rPr>
        <w:t>mmHg</w:t>
      </w:r>
      <w:proofErr w:type="spellEnd"/>
      <w:r w:rsidRPr="003F564F">
        <w:rPr>
          <w:sz w:val="22"/>
          <w:szCs w:val="22"/>
        </w:rPr>
        <w:t>, palyginus su kraujospūdžio sumažėjimu 2</w:t>
      </w:r>
      <w:r w:rsidR="000F65E8" w:rsidRPr="003F564F">
        <w:rPr>
          <w:sz w:val="22"/>
          <w:szCs w:val="22"/>
        </w:rPr>
        <w:noBreakHyphen/>
      </w:r>
      <w:r w:rsidRPr="003F564F">
        <w:rPr>
          <w:sz w:val="22"/>
          <w:szCs w:val="22"/>
        </w:rPr>
        <w:t>5</w:t>
      </w:r>
      <w:r w:rsidR="000F65E8" w:rsidRPr="003F564F">
        <w:rPr>
          <w:sz w:val="22"/>
          <w:szCs w:val="22"/>
        </w:rPr>
        <w:t> </w:t>
      </w:r>
      <w:proofErr w:type="spellStart"/>
      <w:r w:rsidRPr="003F564F">
        <w:rPr>
          <w:sz w:val="22"/>
          <w:szCs w:val="22"/>
        </w:rPr>
        <w:t>mmHg</w:t>
      </w:r>
      <w:proofErr w:type="spellEnd"/>
      <w:r w:rsidRPr="003F564F">
        <w:rPr>
          <w:sz w:val="22"/>
          <w:szCs w:val="22"/>
        </w:rPr>
        <w:t xml:space="preserve"> placebo grupėje. COMFORT-II</w:t>
      </w:r>
      <w:r w:rsidR="000A668B" w:rsidRPr="003F564F">
        <w:rPr>
          <w:sz w:val="22"/>
          <w:szCs w:val="22"/>
        </w:rPr>
        <w:t xml:space="preserve"> </w:t>
      </w:r>
      <w:r w:rsidRPr="003F564F">
        <w:rPr>
          <w:sz w:val="22"/>
          <w:szCs w:val="22"/>
        </w:rPr>
        <w:t xml:space="preserve">tyrimo su sergančiaisiais MF metu lyginant </w:t>
      </w:r>
      <w:proofErr w:type="spellStart"/>
      <w:r w:rsidRPr="003F564F">
        <w:rPr>
          <w:sz w:val="22"/>
          <w:szCs w:val="22"/>
        </w:rPr>
        <w:t>ruksolitinibo</w:t>
      </w:r>
      <w:proofErr w:type="spellEnd"/>
      <w:r w:rsidRPr="003F564F">
        <w:rPr>
          <w:sz w:val="22"/>
          <w:szCs w:val="22"/>
        </w:rPr>
        <w:t xml:space="preserve"> ir palyginamųjų vaistinių preparatų</w:t>
      </w:r>
      <w:r w:rsidR="000A668B" w:rsidRPr="003F564F">
        <w:rPr>
          <w:sz w:val="22"/>
          <w:szCs w:val="22"/>
        </w:rPr>
        <w:t xml:space="preserve"> </w:t>
      </w:r>
      <w:r w:rsidRPr="003F564F">
        <w:rPr>
          <w:sz w:val="22"/>
          <w:szCs w:val="22"/>
        </w:rPr>
        <w:t xml:space="preserve">vartojusiųjų grupes, nustatytas nedidelis vidutinio </w:t>
      </w:r>
      <w:proofErr w:type="spellStart"/>
      <w:r w:rsidRPr="003F564F">
        <w:rPr>
          <w:sz w:val="22"/>
          <w:szCs w:val="22"/>
        </w:rPr>
        <w:t>sistolinio</w:t>
      </w:r>
      <w:proofErr w:type="spellEnd"/>
      <w:r w:rsidRPr="003F564F">
        <w:rPr>
          <w:sz w:val="22"/>
          <w:szCs w:val="22"/>
        </w:rPr>
        <w:t xml:space="preserve"> kraujospūdžio reikšmių skirtumas.</w:t>
      </w:r>
    </w:p>
    <w:p w14:paraId="3F3BA14E" w14:textId="77777777" w:rsidR="000A668B" w:rsidRPr="003F564F" w:rsidRDefault="000A668B" w:rsidP="00627CC3">
      <w:pPr>
        <w:tabs>
          <w:tab w:val="left" w:pos="567"/>
        </w:tabs>
        <w:spacing w:line="260" w:lineRule="exact"/>
        <w:rPr>
          <w:sz w:val="22"/>
          <w:szCs w:val="22"/>
        </w:rPr>
      </w:pPr>
    </w:p>
    <w:p w14:paraId="4B6670EC" w14:textId="620626FA" w:rsidR="009F34A7" w:rsidRPr="003F564F" w:rsidRDefault="009F34A7" w:rsidP="00627CC3">
      <w:pPr>
        <w:tabs>
          <w:tab w:val="left" w:pos="567"/>
        </w:tabs>
        <w:spacing w:line="260" w:lineRule="exact"/>
        <w:rPr>
          <w:sz w:val="22"/>
          <w:szCs w:val="22"/>
        </w:rPr>
      </w:pPr>
      <w:r w:rsidRPr="003F564F">
        <w:rPr>
          <w:sz w:val="22"/>
          <w:szCs w:val="22"/>
        </w:rPr>
        <w:t>Pagrindinio tyrimo su TP sergančiais pacientais atsitiktinių imčių laikotarpio duomenimis, vidutinis</w:t>
      </w:r>
      <w:r w:rsidR="000A668B" w:rsidRPr="003F564F">
        <w:rPr>
          <w:sz w:val="22"/>
          <w:szCs w:val="22"/>
        </w:rPr>
        <w:t xml:space="preserve"> </w:t>
      </w:r>
      <w:proofErr w:type="spellStart"/>
      <w:r w:rsidRPr="003F564F">
        <w:rPr>
          <w:sz w:val="22"/>
          <w:szCs w:val="22"/>
        </w:rPr>
        <w:t>sistolinis</w:t>
      </w:r>
      <w:proofErr w:type="spellEnd"/>
      <w:r w:rsidRPr="003F564F">
        <w:rPr>
          <w:sz w:val="22"/>
          <w:szCs w:val="22"/>
        </w:rPr>
        <w:t xml:space="preserve"> kraujospūdis </w:t>
      </w:r>
      <w:proofErr w:type="spellStart"/>
      <w:r w:rsidRPr="003F564F">
        <w:rPr>
          <w:sz w:val="22"/>
          <w:szCs w:val="22"/>
        </w:rPr>
        <w:t>ruksolitinibo</w:t>
      </w:r>
      <w:proofErr w:type="spellEnd"/>
      <w:r w:rsidRPr="003F564F">
        <w:rPr>
          <w:sz w:val="22"/>
          <w:szCs w:val="22"/>
        </w:rPr>
        <w:t xml:space="preserve"> vartojusiems pacientams padidėjo 0,65</w:t>
      </w:r>
      <w:r w:rsidR="000F65E8" w:rsidRPr="003F564F">
        <w:rPr>
          <w:sz w:val="22"/>
          <w:szCs w:val="22"/>
        </w:rPr>
        <w:t> </w:t>
      </w:r>
      <w:proofErr w:type="spellStart"/>
      <w:r w:rsidRPr="003F564F">
        <w:rPr>
          <w:sz w:val="22"/>
          <w:szCs w:val="22"/>
        </w:rPr>
        <w:t>mmHg</w:t>
      </w:r>
      <w:proofErr w:type="spellEnd"/>
      <w:r w:rsidRPr="003F564F">
        <w:rPr>
          <w:sz w:val="22"/>
          <w:szCs w:val="22"/>
        </w:rPr>
        <w:t>, o GPG gavusiųjų</w:t>
      </w:r>
      <w:r w:rsidR="000A668B" w:rsidRPr="003F564F">
        <w:rPr>
          <w:sz w:val="22"/>
          <w:szCs w:val="22"/>
        </w:rPr>
        <w:t xml:space="preserve"> </w:t>
      </w:r>
      <w:r w:rsidRPr="003F564F">
        <w:rPr>
          <w:sz w:val="22"/>
          <w:szCs w:val="22"/>
        </w:rPr>
        <w:t>grupėje sumažėjo 2</w:t>
      </w:r>
      <w:r w:rsidR="000F65E8" w:rsidRPr="003F564F">
        <w:rPr>
          <w:sz w:val="22"/>
          <w:szCs w:val="22"/>
        </w:rPr>
        <w:t> </w:t>
      </w:r>
      <w:proofErr w:type="spellStart"/>
      <w:r w:rsidRPr="003F564F">
        <w:rPr>
          <w:sz w:val="22"/>
          <w:szCs w:val="22"/>
        </w:rPr>
        <w:t>mmHg</w:t>
      </w:r>
      <w:proofErr w:type="spellEnd"/>
      <w:r w:rsidRPr="003F564F">
        <w:rPr>
          <w:sz w:val="22"/>
          <w:szCs w:val="22"/>
        </w:rPr>
        <w:t>.</w:t>
      </w:r>
    </w:p>
    <w:p w14:paraId="3D72C52A" w14:textId="77777777" w:rsidR="000A668B" w:rsidRPr="003F564F" w:rsidRDefault="000A668B" w:rsidP="00627CC3">
      <w:pPr>
        <w:tabs>
          <w:tab w:val="left" w:pos="567"/>
        </w:tabs>
        <w:spacing w:line="260" w:lineRule="exact"/>
        <w:rPr>
          <w:sz w:val="22"/>
          <w:szCs w:val="22"/>
        </w:rPr>
      </w:pPr>
    </w:p>
    <w:p w14:paraId="3406EFBE" w14:textId="66895445" w:rsidR="009F34A7" w:rsidRPr="003F564F" w:rsidRDefault="009F34A7" w:rsidP="00627CC3">
      <w:pPr>
        <w:tabs>
          <w:tab w:val="left" w:pos="567"/>
        </w:tabs>
        <w:spacing w:line="260" w:lineRule="exact"/>
        <w:rPr>
          <w:sz w:val="22"/>
          <w:szCs w:val="22"/>
          <w:u w:val="single"/>
        </w:rPr>
      </w:pPr>
      <w:r w:rsidRPr="003F564F">
        <w:rPr>
          <w:sz w:val="22"/>
          <w:szCs w:val="22"/>
          <w:u w:val="single"/>
        </w:rPr>
        <w:t>Ypatingos populiacijos</w:t>
      </w:r>
    </w:p>
    <w:p w14:paraId="611FA6EA" w14:textId="77777777" w:rsidR="000A668B" w:rsidRPr="003F564F" w:rsidRDefault="000A668B" w:rsidP="00627CC3">
      <w:pPr>
        <w:tabs>
          <w:tab w:val="left" w:pos="567"/>
        </w:tabs>
        <w:spacing w:line="260" w:lineRule="exact"/>
        <w:rPr>
          <w:sz w:val="22"/>
          <w:szCs w:val="22"/>
        </w:rPr>
      </w:pPr>
    </w:p>
    <w:p w14:paraId="092815FB" w14:textId="6DA80047" w:rsidR="009F34A7" w:rsidRPr="003F564F" w:rsidRDefault="009F34A7" w:rsidP="00627CC3">
      <w:pPr>
        <w:tabs>
          <w:tab w:val="left" w:pos="567"/>
        </w:tabs>
        <w:spacing w:line="260" w:lineRule="exact"/>
        <w:rPr>
          <w:i/>
          <w:iCs/>
          <w:sz w:val="22"/>
          <w:szCs w:val="22"/>
        </w:rPr>
      </w:pPr>
      <w:r w:rsidRPr="003F564F">
        <w:rPr>
          <w:i/>
          <w:iCs/>
          <w:sz w:val="22"/>
          <w:szCs w:val="22"/>
        </w:rPr>
        <w:t>Vaikų populiacija</w:t>
      </w:r>
    </w:p>
    <w:p w14:paraId="37DBE670" w14:textId="582C72B0" w:rsidR="009F34A7" w:rsidRPr="003F564F" w:rsidRDefault="009F34A7" w:rsidP="00627CC3">
      <w:pPr>
        <w:tabs>
          <w:tab w:val="left" w:pos="567"/>
        </w:tabs>
        <w:spacing w:line="260" w:lineRule="exact"/>
        <w:rPr>
          <w:sz w:val="22"/>
          <w:szCs w:val="22"/>
        </w:rPr>
      </w:pPr>
      <w:r w:rsidRPr="003F564F">
        <w:rPr>
          <w:sz w:val="22"/>
          <w:szCs w:val="22"/>
        </w:rPr>
        <w:t>Saugumo savybių duomenys buvo išanalizuoti iš viso 106</w:t>
      </w:r>
      <w:r w:rsidR="000F65E8" w:rsidRPr="003F564F">
        <w:rPr>
          <w:sz w:val="22"/>
          <w:szCs w:val="22"/>
        </w:rPr>
        <w:t> </w:t>
      </w:r>
      <w:r w:rsidRPr="003F564F">
        <w:rPr>
          <w:sz w:val="22"/>
          <w:szCs w:val="22"/>
        </w:rPr>
        <w:t>pacientams nuo 2 iki &lt;</w:t>
      </w:r>
      <w:r w:rsidR="000F65E8" w:rsidRPr="003F564F">
        <w:rPr>
          <w:sz w:val="22"/>
          <w:szCs w:val="22"/>
        </w:rPr>
        <w:t> </w:t>
      </w:r>
      <w:r w:rsidRPr="003F564F">
        <w:rPr>
          <w:sz w:val="22"/>
          <w:szCs w:val="22"/>
        </w:rPr>
        <w:t>18</w:t>
      </w:r>
      <w:r w:rsidR="000F65E8" w:rsidRPr="003F564F">
        <w:rPr>
          <w:sz w:val="22"/>
          <w:szCs w:val="22"/>
        </w:rPr>
        <w:t> </w:t>
      </w:r>
      <w:r w:rsidRPr="003F564F">
        <w:rPr>
          <w:sz w:val="22"/>
          <w:szCs w:val="22"/>
        </w:rPr>
        <w:t>metų,</w:t>
      </w:r>
      <w:r w:rsidR="000A668B" w:rsidRPr="003F564F">
        <w:rPr>
          <w:sz w:val="22"/>
          <w:szCs w:val="22"/>
        </w:rPr>
        <w:t xml:space="preserve"> </w:t>
      </w:r>
      <w:r w:rsidRPr="003F564F">
        <w:rPr>
          <w:sz w:val="22"/>
          <w:szCs w:val="22"/>
        </w:rPr>
        <w:t xml:space="preserve">sergantiems </w:t>
      </w:r>
      <w:proofErr w:type="spellStart"/>
      <w:r w:rsidRPr="003F564F">
        <w:rPr>
          <w:sz w:val="22"/>
          <w:szCs w:val="22"/>
        </w:rPr>
        <w:t>TpŠL</w:t>
      </w:r>
      <w:proofErr w:type="spellEnd"/>
      <w:r w:rsidRPr="003F564F">
        <w:rPr>
          <w:sz w:val="22"/>
          <w:szCs w:val="22"/>
        </w:rPr>
        <w:t>: 51</w:t>
      </w:r>
      <w:r w:rsidR="000F65E8" w:rsidRPr="003F564F">
        <w:rPr>
          <w:sz w:val="22"/>
          <w:szCs w:val="22"/>
        </w:rPr>
        <w:t> </w:t>
      </w:r>
      <w:r w:rsidRPr="003F564F">
        <w:rPr>
          <w:sz w:val="22"/>
          <w:szCs w:val="22"/>
        </w:rPr>
        <w:t xml:space="preserve">pacientas dalyvavo ūminės </w:t>
      </w:r>
      <w:proofErr w:type="spellStart"/>
      <w:r w:rsidRPr="003F564F">
        <w:rPr>
          <w:sz w:val="22"/>
          <w:szCs w:val="22"/>
        </w:rPr>
        <w:t>TpŠL</w:t>
      </w:r>
      <w:proofErr w:type="spellEnd"/>
      <w:r w:rsidRPr="003F564F">
        <w:rPr>
          <w:sz w:val="22"/>
          <w:szCs w:val="22"/>
        </w:rPr>
        <w:t xml:space="preserve"> tyrimuose (45</w:t>
      </w:r>
      <w:r w:rsidR="000F65E8" w:rsidRPr="003F564F">
        <w:rPr>
          <w:sz w:val="22"/>
          <w:szCs w:val="22"/>
        </w:rPr>
        <w:t> </w:t>
      </w:r>
      <w:r w:rsidRPr="003F564F">
        <w:rPr>
          <w:sz w:val="22"/>
          <w:szCs w:val="22"/>
        </w:rPr>
        <w:t>pacientai – REACH4 tyrime ir</w:t>
      </w:r>
      <w:r w:rsidR="000A668B" w:rsidRPr="003F564F">
        <w:rPr>
          <w:sz w:val="22"/>
          <w:szCs w:val="22"/>
        </w:rPr>
        <w:t xml:space="preserve"> </w:t>
      </w:r>
      <w:r w:rsidRPr="003F564F">
        <w:rPr>
          <w:sz w:val="22"/>
          <w:szCs w:val="22"/>
        </w:rPr>
        <w:lastRenderedPageBreak/>
        <w:t>6</w:t>
      </w:r>
      <w:r w:rsidR="000F65E8" w:rsidRPr="003F564F">
        <w:rPr>
          <w:sz w:val="22"/>
          <w:szCs w:val="22"/>
        </w:rPr>
        <w:t> </w:t>
      </w:r>
      <w:r w:rsidRPr="003F564F">
        <w:rPr>
          <w:sz w:val="22"/>
          <w:szCs w:val="22"/>
        </w:rPr>
        <w:t>pacientai – REACH2 tyrime), o 55</w:t>
      </w:r>
      <w:r w:rsidR="000F65E8" w:rsidRPr="003F564F">
        <w:rPr>
          <w:sz w:val="22"/>
          <w:szCs w:val="22"/>
        </w:rPr>
        <w:t> </w:t>
      </w:r>
      <w:r w:rsidRPr="003F564F">
        <w:rPr>
          <w:sz w:val="22"/>
          <w:szCs w:val="22"/>
        </w:rPr>
        <w:t xml:space="preserve">pacientai dalyvavo lėtinės </w:t>
      </w:r>
      <w:proofErr w:type="spellStart"/>
      <w:r w:rsidRPr="003F564F">
        <w:rPr>
          <w:sz w:val="22"/>
          <w:szCs w:val="22"/>
        </w:rPr>
        <w:t>TpŠL</w:t>
      </w:r>
      <w:proofErr w:type="spellEnd"/>
      <w:r w:rsidRPr="003F564F">
        <w:rPr>
          <w:sz w:val="22"/>
          <w:szCs w:val="22"/>
        </w:rPr>
        <w:t xml:space="preserve"> tyrimuose (45</w:t>
      </w:r>
      <w:r w:rsidR="000F65E8" w:rsidRPr="003F564F">
        <w:rPr>
          <w:sz w:val="22"/>
          <w:szCs w:val="22"/>
        </w:rPr>
        <w:t> </w:t>
      </w:r>
      <w:r w:rsidRPr="003F564F">
        <w:rPr>
          <w:sz w:val="22"/>
          <w:szCs w:val="22"/>
        </w:rPr>
        <w:t>pacientai –</w:t>
      </w:r>
      <w:r w:rsidR="000A668B" w:rsidRPr="003F564F">
        <w:rPr>
          <w:sz w:val="22"/>
          <w:szCs w:val="22"/>
        </w:rPr>
        <w:t xml:space="preserve"> </w:t>
      </w:r>
      <w:r w:rsidRPr="003F564F">
        <w:rPr>
          <w:sz w:val="22"/>
          <w:szCs w:val="22"/>
        </w:rPr>
        <w:t>REACH5 tyrime ir 10</w:t>
      </w:r>
      <w:r w:rsidR="000F65E8" w:rsidRPr="003F564F">
        <w:rPr>
          <w:sz w:val="22"/>
          <w:szCs w:val="22"/>
        </w:rPr>
        <w:t> </w:t>
      </w:r>
      <w:r w:rsidRPr="003F564F">
        <w:rPr>
          <w:sz w:val="22"/>
          <w:szCs w:val="22"/>
        </w:rPr>
        <w:t xml:space="preserve">pacientų – REACH3 tyrime). </w:t>
      </w:r>
      <w:proofErr w:type="spellStart"/>
      <w:r w:rsidRPr="003F564F">
        <w:rPr>
          <w:sz w:val="22"/>
          <w:szCs w:val="22"/>
        </w:rPr>
        <w:t>Ruksolitinibo</w:t>
      </w:r>
      <w:proofErr w:type="spellEnd"/>
      <w:r w:rsidRPr="003F564F">
        <w:rPr>
          <w:sz w:val="22"/>
          <w:szCs w:val="22"/>
        </w:rPr>
        <w:t xml:space="preserve"> vartojusiems vaikams nustatytos</w:t>
      </w:r>
      <w:r w:rsidR="000A668B" w:rsidRPr="003F564F">
        <w:rPr>
          <w:sz w:val="22"/>
          <w:szCs w:val="22"/>
        </w:rPr>
        <w:t xml:space="preserve"> </w:t>
      </w:r>
      <w:r w:rsidRPr="003F564F">
        <w:rPr>
          <w:sz w:val="22"/>
          <w:szCs w:val="22"/>
        </w:rPr>
        <w:t>saugumo savybės buvo panašios į nustatytąsias suaugusiems pacientams.</w:t>
      </w:r>
    </w:p>
    <w:p w14:paraId="16C07492" w14:textId="77777777" w:rsidR="000A668B" w:rsidRPr="003F564F" w:rsidRDefault="000A668B" w:rsidP="00627CC3">
      <w:pPr>
        <w:tabs>
          <w:tab w:val="left" w:pos="567"/>
        </w:tabs>
        <w:spacing w:line="260" w:lineRule="exact"/>
        <w:rPr>
          <w:sz w:val="22"/>
          <w:szCs w:val="22"/>
        </w:rPr>
      </w:pPr>
    </w:p>
    <w:p w14:paraId="0A242A16" w14:textId="16535A6B" w:rsidR="009F34A7" w:rsidRPr="003F564F" w:rsidRDefault="009F34A7" w:rsidP="00627CC3">
      <w:pPr>
        <w:tabs>
          <w:tab w:val="left" w:pos="567"/>
        </w:tabs>
        <w:spacing w:line="260" w:lineRule="exact"/>
        <w:rPr>
          <w:i/>
          <w:iCs/>
          <w:sz w:val="22"/>
          <w:szCs w:val="22"/>
        </w:rPr>
      </w:pPr>
      <w:r w:rsidRPr="003F564F">
        <w:rPr>
          <w:i/>
          <w:iCs/>
          <w:sz w:val="22"/>
          <w:szCs w:val="22"/>
        </w:rPr>
        <w:t>Senyvi pacientai</w:t>
      </w:r>
    </w:p>
    <w:p w14:paraId="440262D3" w14:textId="2FA5761C" w:rsidR="009F34A7" w:rsidRPr="003F564F" w:rsidRDefault="009F34A7" w:rsidP="00627CC3">
      <w:pPr>
        <w:tabs>
          <w:tab w:val="left" w:pos="567"/>
        </w:tabs>
        <w:spacing w:line="260" w:lineRule="exact"/>
        <w:rPr>
          <w:sz w:val="22"/>
          <w:szCs w:val="22"/>
        </w:rPr>
      </w:pPr>
      <w:r w:rsidRPr="003F564F">
        <w:rPr>
          <w:sz w:val="22"/>
          <w:szCs w:val="22"/>
        </w:rPr>
        <w:t>Saugumo savybių duomenys buvo išanalizuoti iš viso 29</w:t>
      </w:r>
      <w:r w:rsidR="00AC42EF" w:rsidRPr="003F564F">
        <w:rPr>
          <w:sz w:val="22"/>
          <w:szCs w:val="22"/>
        </w:rPr>
        <w:t> </w:t>
      </w:r>
      <w:r w:rsidRPr="003F564F">
        <w:rPr>
          <w:sz w:val="22"/>
          <w:szCs w:val="22"/>
        </w:rPr>
        <w:t>pacientams, kurie dalyvavo REACH2 tyrime,</w:t>
      </w:r>
      <w:r w:rsidR="000A668B" w:rsidRPr="003F564F">
        <w:rPr>
          <w:sz w:val="22"/>
          <w:szCs w:val="22"/>
        </w:rPr>
        <w:t xml:space="preserve"> </w:t>
      </w:r>
      <w:r w:rsidRPr="003F564F">
        <w:rPr>
          <w:sz w:val="22"/>
          <w:szCs w:val="22"/>
        </w:rPr>
        <w:t>ir 25</w:t>
      </w:r>
      <w:r w:rsidR="00AC42EF" w:rsidRPr="003F564F">
        <w:rPr>
          <w:sz w:val="22"/>
          <w:szCs w:val="22"/>
        </w:rPr>
        <w:t> </w:t>
      </w:r>
      <w:r w:rsidRPr="003F564F">
        <w:rPr>
          <w:sz w:val="22"/>
          <w:szCs w:val="22"/>
        </w:rPr>
        <w:t>pacientams, kurie dalyvavo REACH3 tyrime, bei kurie buvo &gt;</w:t>
      </w:r>
      <w:r w:rsidR="00AC42EF" w:rsidRPr="003F564F">
        <w:rPr>
          <w:sz w:val="22"/>
          <w:szCs w:val="22"/>
        </w:rPr>
        <w:t> </w:t>
      </w:r>
      <w:r w:rsidRPr="003F564F">
        <w:rPr>
          <w:sz w:val="22"/>
          <w:szCs w:val="22"/>
        </w:rPr>
        <w:t>65</w:t>
      </w:r>
      <w:r w:rsidR="00AC42EF" w:rsidRPr="003F564F">
        <w:rPr>
          <w:sz w:val="22"/>
          <w:szCs w:val="22"/>
        </w:rPr>
        <w:t> </w:t>
      </w:r>
      <w:r w:rsidRPr="003F564F">
        <w:rPr>
          <w:sz w:val="22"/>
          <w:szCs w:val="22"/>
        </w:rPr>
        <w:t>metų ir kuriems buvo</w:t>
      </w:r>
      <w:r w:rsidR="000A668B" w:rsidRPr="003F564F">
        <w:rPr>
          <w:sz w:val="22"/>
          <w:szCs w:val="22"/>
        </w:rPr>
        <w:t xml:space="preserve"> </w:t>
      </w:r>
      <w:r w:rsidRPr="003F564F">
        <w:rPr>
          <w:sz w:val="22"/>
          <w:szCs w:val="22"/>
        </w:rPr>
        <w:t xml:space="preserve">skiriamas gydymas </w:t>
      </w:r>
      <w:proofErr w:type="spellStart"/>
      <w:r w:rsidRPr="003F564F">
        <w:rPr>
          <w:sz w:val="22"/>
          <w:szCs w:val="22"/>
        </w:rPr>
        <w:t>ruksolitinibu</w:t>
      </w:r>
      <w:proofErr w:type="spellEnd"/>
      <w:r w:rsidRPr="003F564F">
        <w:rPr>
          <w:sz w:val="22"/>
          <w:szCs w:val="22"/>
        </w:rPr>
        <w:t>. Naujų su saugumu susijusių signalų nenustatyta, o saugumo savybių</w:t>
      </w:r>
      <w:r w:rsidR="000A668B" w:rsidRPr="003F564F">
        <w:rPr>
          <w:sz w:val="22"/>
          <w:szCs w:val="22"/>
        </w:rPr>
        <w:t xml:space="preserve"> </w:t>
      </w:r>
      <w:r w:rsidRPr="003F564F">
        <w:rPr>
          <w:sz w:val="22"/>
          <w:szCs w:val="22"/>
        </w:rPr>
        <w:t>pobūdis &gt;</w:t>
      </w:r>
      <w:r w:rsidR="00AC42EF" w:rsidRPr="003F564F">
        <w:rPr>
          <w:sz w:val="22"/>
          <w:szCs w:val="22"/>
        </w:rPr>
        <w:t> </w:t>
      </w:r>
      <w:r w:rsidRPr="003F564F">
        <w:rPr>
          <w:sz w:val="22"/>
          <w:szCs w:val="22"/>
        </w:rPr>
        <w:t>65</w:t>
      </w:r>
      <w:r w:rsidR="00AC42EF" w:rsidRPr="003F564F">
        <w:rPr>
          <w:sz w:val="22"/>
          <w:szCs w:val="22"/>
        </w:rPr>
        <w:t> </w:t>
      </w:r>
      <w:r w:rsidRPr="003F564F">
        <w:rPr>
          <w:sz w:val="22"/>
          <w:szCs w:val="22"/>
        </w:rPr>
        <w:t>metų pacientams iš esmės buvo panašus į nustatytąjį 18</w:t>
      </w:r>
      <w:r w:rsidR="00AC42EF" w:rsidRPr="003F564F">
        <w:rPr>
          <w:sz w:val="22"/>
          <w:szCs w:val="22"/>
        </w:rPr>
        <w:noBreakHyphen/>
      </w:r>
      <w:r w:rsidRPr="003F564F">
        <w:rPr>
          <w:sz w:val="22"/>
          <w:szCs w:val="22"/>
        </w:rPr>
        <w:t>65</w:t>
      </w:r>
      <w:r w:rsidR="00AC42EF" w:rsidRPr="003F564F">
        <w:rPr>
          <w:sz w:val="22"/>
          <w:szCs w:val="22"/>
        </w:rPr>
        <w:t> </w:t>
      </w:r>
      <w:r w:rsidRPr="003F564F">
        <w:rPr>
          <w:sz w:val="22"/>
          <w:szCs w:val="22"/>
        </w:rPr>
        <w:t>metų pacientams.</w:t>
      </w:r>
    </w:p>
    <w:p w14:paraId="536AFF83" w14:textId="77777777" w:rsidR="00AC42EF" w:rsidRPr="003F564F" w:rsidRDefault="00AC42EF" w:rsidP="00627CC3">
      <w:pPr>
        <w:tabs>
          <w:tab w:val="left" w:pos="567"/>
        </w:tabs>
        <w:spacing w:line="260" w:lineRule="exact"/>
        <w:rPr>
          <w:sz w:val="22"/>
          <w:szCs w:val="22"/>
        </w:rPr>
      </w:pPr>
    </w:p>
    <w:p w14:paraId="17855D0D" w14:textId="77777777" w:rsidR="008D3B35" w:rsidRPr="003F564F" w:rsidRDefault="00AB4978">
      <w:pPr>
        <w:tabs>
          <w:tab w:val="left" w:pos="567"/>
        </w:tabs>
        <w:spacing w:line="260" w:lineRule="exact"/>
        <w:jc w:val="both"/>
        <w:rPr>
          <w:sz w:val="22"/>
          <w:szCs w:val="22"/>
          <w:u w:val="single"/>
        </w:rPr>
      </w:pPr>
      <w:r w:rsidRPr="003F564F">
        <w:rPr>
          <w:sz w:val="22"/>
          <w:szCs w:val="22"/>
          <w:u w:val="single"/>
        </w:rPr>
        <w:t>Pranešimas apie įtariamas nepageidaujamas reakcijas</w:t>
      </w:r>
    </w:p>
    <w:p w14:paraId="724F86B9" w14:textId="5DFB19EC" w:rsidR="008D3B35" w:rsidRPr="003F564F" w:rsidRDefault="00AB4978">
      <w:pPr>
        <w:tabs>
          <w:tab w:val="left" w:pos="567"/>
        </w:tabs>
        <w:spacing w:line="260" w:lineRule="exact"/>
        <w:jc w:val="both"/>
        <w:rPr>
          <w:sz w:val="22"/>
          <w:szCs w:val="24"/>
        </w:rPr>
      </w:pPr>
      <w:r w:rsidRPr="003F564F">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000A6D36" w:rsidRPr="00301C38">
          <w:rPr>
            <w:rStyle w:val="Hipersaitas"/>
            <w:sz w:val="22"/>
            <w:szCs w:val="22"/>
          </w:rPr>
          <w:t>https://vvkt.lrv.lt/lt/</w:t>
        </w:r>
      </w:hyperlink>
      <w:r w:rsidR="000A6D36">
        <w:rPr>
          <w:sz w:val="22"/>
          <w:szCs w:val="22"/>
        </w:rPr>
        <w:t xml:space="preserve"> </w:t>
      </w:r>
      <w:r w:rsidRPr="003F564F">
        <w:rPr>
          <w:sz w:val="22"/>
          <w:szCs w:val="22"/>
        </w:rPr>
        <w:t>nurodytais būdais.</w:t>
      </w:r>
    </w:p>
    <w:p w14:paraId="6FF06097" w14:textId="77777777" w:rsidR="008D3B35" w:rsidRPr="003F564F" w:rsidRDefault="008D3B35">
      <w:pPr>
        <w:tabs>
          <w:tab w:val="left" w:pos="567"/>
        </w:tabs>
        <w:spacing w:line="260" w:lineRule="exact"/>
        <w:rPr>
          <w:sz w:val="22"/>
          <w:szCs w:val="24"/>
        </w:rPr>
      </w:pPr>
    </w:p>
    <w:p w14:paraId="73B66495" w14:textId="77777777" w:rsidR="008D3B35" w:rsidRPr="003F564F" w:rsidRDefault="00AB4978">
      <w:pPr>
        <w:keepNext/>
        <w:tabs>
          <w:tab w:val="left" w:pos="567"/>
        </w:tabs>
        <w:spacing w:line="260" w:lineRule="exact"/>
        <w:jc w:val="both"/>
        <w:outlineLvl w:val="3"/>
        <w:rPr>
          <w:b/>
          <w:bCs/>
          <w:sz w:val="22"/>
          <w:szCs w:val="28"/>
          <w:lang w:eastAsia="x-none"/>
        </w:rPr>
      </w:pPr>
      <w:r w:rsidRPr="003F564F">
        <w:rPr>
          <w:b/>
          <w:bCs/>
          <w:sz w:val="22"/>
          <w:szCs w:val="28"/>
          <w:lang w:eastAsia="x-none"/>
        </w:rPr>
        <w:t>4.9</w:t>
      </w:r>
      <w:r w:rsidRPr="003F564F">
        <w:rPr>
          <w:b/>
          <w:bCs/>
          <w:sz w:val="22"/>
          <w:szCs w:val="28"/>
          <w:lang w:eastAsia="x-none"/>
        </w:rPr>
        <w:tab/>
        <w:t>Perdozavimas</w:t>
      </w:r>
    </w:p>
    <w:p w14:paraId="373D9F57" w14:textId="77777777" w:rsidR="008D3B35" w:rsidRPr="003F564F" w:rsidRDefault="008D3B35">
      <w:pPr>
        <w:tabs>
          <w:tab w:val="left" w:pos="567"/>
        </w:tabs>
        <w:spacing w:line="260" w:lineRule="exact"/>
        <w:rPr>
          <w:sz w:val="22"/>
          <w:szCs w:val="24"/>
        </w:rPr>
      </w:pPr>
    </w:p>
    <w:p w14:paraId="5209CB2B" w14:textId="1575FDEE" w:rsidR="00AC42EF" w:rsidRPr="003F564F" w:rsidRDefault="00AC42EF" w:rsidP="0036574D">
      <w:pPr>
        <w:tabs>
          <w:tab w:val="left" w:pos="567"/>
        </w:tabs>
        <w:spacing w:line="260" w:lineRule="exact"/>
        <w:rPr>
          <w:sz w:val="22"/>
          <w:szCs w:val="24"/>
        </w:rPr>
      </w:pPr>
      <w:r w:rsidRPr="003F564F">
        <w:rPr>
          <w:sz w:val="22"/>
          <w:szCs w:val="24"/>
        </w:rPr>
        <w:t xml:space="preserve">Perdozavus </w:t>
      </w:r>
      <w:proofErr w:type="spellStart"/>
      <w:r w:rsidRPr="003F564F">
        <w:rPr>
          <w:sz w:val="22"/>
          <w:szCs w:val="24"/>
        </w:rPr>
        <w:t>ruksolitinibo</w:t>
      </w:r>
      <w:proofErr w:type="spellEnd"/>
      <w:r w:rsidRPr="003F564F">
        <w:rPr>
          <w:sz w:val="22"/>
          <w:szCs w:val="24"/>
        </w:rPr>
        <w:t>, priešnuodžio vaistiniam preparatui nežinoma. Skiriant iki 200</w:t>
      </w:r>
      <w:r w:rsidR="00D3679D" w:rsidRPr="003F564F">
        <w:rPr>
          <w:sz w:val="22"/>
          <w:szCs w:val="24"/>
        </w:rPr>
        <w:t> </w:t>
      </w:r>
      <w:r w:rsidRPr="003F564F">
        <w:rPr>
          <w:sz w:val="22"/>
          <w:szCs w:val="24"/>
        </w:rPr>
        <w:t xml:space="preserve">mg vienkartines dozes, vaistinio preparato toleravimo pobūdis buvo priimtinas. Kartotinių, didesnių nei rekomenduojama dozių vartojimas susijęs su dažnesniu </w:t>
      </w:r>
      <w:proofErr w:type="spellStart"/>
      <w:r w:rsidRPr="003F564F">
        <w:rPr>
          <w:sz w:val="22"/>
          <w:szCs w:val="24"/>
        </w:rPr>
        <w:t>mielosupresijos</w:t>
      </w:r>
      <w:proofErr w:type="spellEnd"/>
      <w:r w:rsidRPr="003F564F">
        <w:rPr>
          <w:sz w:val="22"/>
          <w:szCs w:val="24"/>
        </w:rPr>
        <w:t xml:space="preserve">, įskaitant </w:t>
      </w:r>
      <w:proofErr w:type="spellStart"/>
      <w:r w:rsidRPr="003F564F">
        <w:rPr>
          <w:sz w:val="22"/>
          <w:szCs w:val="24"/>
        </w:rPr>
        <w:t>leukopeniją</w:t>
      </w:r>
      <w:proofErr w:type="spellEnd"/>
      <w:r w:rsidRPr="003F564F">
        <w:rPr>
          <w:sz w:val="22"/>
          <w:szCs w:val="24"/>
        </w:rPr>
        <w:t xml:space="preserve">, anemiją ir </w:t>
      </w:r>
      <w:proofErr w:type="spellStart"/>
      <w:r w:rsidRPr="003F564F">
        <w:rPr>
          <w:sz w:val="22"/>
          <w:szCs w:val="24"/>
        </w:rPr>
        <w:t>trombocitopeniją</w:t>
      </w:r>
      <w:proofErr w:type="spellEnd"/>
      <w:r w:rsidRPr="003F564F">
        <w:rPr>
          <w:sz w:val="22"/>
          <w:szCs w:val="24"/>
        </w:rPr>
        <w:t>, pasireiškimu. Perdozavimo atveju reikia skirti tinkamas palaikomojo gydymo priemones.</w:t>
      </w:r>
    </w:p>
    <w:p w14:paraId="77A2830E" w14:textId="77777777" w:rsidR="00AC42EF" w:rsidRPr="003F564F" w:rsidRDefault="00AC42EF" w:rsidP="0036574D">
      <w:pPr>
        <w:tabs>
          <w:tab w:val="left" w:pos="567"/>
        </w:tabs>
        <w:spacing w:line="260" w:lineRule="exact"/>
        <w:rPr>
          <w:sz w:val="22"/>
          <w:szCs w:val="24"/>
        </w:rPr>
      </w:pPr>
    </w:p>
    <w:p w14:paraId="3273BED2" w14:textId="5CC41CE4" w:rsidR="008D3B35" w:rsidRPr="003F564F" w:rsidRDefault="00AC42EF" w:rsidP="0036574D">
      <w:pPr>
        <w:tabs>
          <w:tab w:val="left" w:pos="567"/>
        </w:tabs>
        <w:spacing w:line="260" w:lineRule="exact"/>
        <w:rPr>
          <w:sz w:val="22"/>
          <w:szCs w:val="24"/>
        </w:rPr>
      </w:pPr>
      <w:r w:rsidRPr="003F564F">
        <w:rPr>
          <w:sz w:val="22"/>
          <w:szCs w:val="24"/>
        </w:rPr>
        <w:t xml:space="preserve">Nesitikima, kad hemodializė didintų </w:t>
      </w:r>
      <w:proofErr w:type="spellStart"/>
      <w:r w:rsidRPr="003F564F">
        <w:rPr>
          <w:sz w:val="22"/>
          <w:szCs w:val="24"/>
        </w:rPr>
        <w:t>ruksolitinibo</w:t>
      </w:r>
      <w:proofErr w:type="spellEnd"/>
      <w:r w:rsidRPr="003F564F">
        <w:rPr>
          <w:sz w:val="22"/>
          <w:szCs w:val="24"/>
        </w:rPr>
        <w:t xml:space="preserve"> eliminaciją.</w:t>
      </w:r>
    </w:p>
    <w:p w14:paraId="0A484768" w14:textId="77777777" w:rsidR="00AC42EF" w:rsidRPr="003F564F" w:rsidRDefault="00AC42EF" w:rsidP="0036574D">
      <w:pPr>
        <w:tabs>
          <w:tab w:val="left" w:pos="567"/>
        </w:tabs>
        <w:spacing w:line="260" w:lineRule="exact"/>
        <w:rPr>
          <w:sz w:val="22"/>
          <w:szCs w:val="24"/>
        </w:rPr>
      </w:pPr>
    </w:p>
    <w:p w14:paraId="3CD555FE" w14:textId="77777777" w:rsidR="00AC42EF" w:rsidRPr="003F564F" w:rsidRDefault="00AC42EF">
      <w:pPr>
        <w:tabs>
          <w:tab w:val="left" w:pos="567"/>
        </w:tabs>
        <w:spacing w:line="260" w:lineRule="exact"/>
        <w:rPr>
          <w:sz w:val="22"/>
          <w:szCs w:val="24"/>
        </w:rPr>
      </w:pPr>
    </w:p>
    <w:p w14:paraId="1D6C4B05" w14:textId="77777777" w:rsidR="008D3B35" w:rsidRPr="003F564F" w:rsidRDefault="00AB4978">
      <w:pPr>
        <w:keepNext/>
        <w:keepLines/>
        <w:tabs>
          <w:tab w:val="left" w:pos="567"/>
        </w:tabs>
        <w:outlineLvl w:val="2"/>
        <w:rPr>
          <w:b/>
          <w:bCs/>
          <w:sz w:val="22"/>
          <w:szCs w:val="26"/>
          <w:lang w:eastAsia="x-none"/>
        </w:rPr>
      </w:pPr>
      <w:r w:rsidRPr="003F564F">
        <w:rPr>
          <w:b/>
          <w:bCs/>
          <w:sz w:val="22"/>
          <w:szCs w:val="26"/>
          <w:lang w:eastAsia="x-none"/>
        </w:rPr>
        <w:t>5.</w:t>
      </w:r>
      <w:r w:rsidRPr="003F564F">
        <w:rPr>
          <w:b/>
          <w:bCs/>
          <w:sz w:val="22"/>
          <w:szCs w:val="26"/>
          <w:lang w:eastAsia="x-none"/>
        </w:rPr>
        <w:tab/>
        <w:t>FARMAKOLOGINĖS SAVYBĖS</w:t>
      </w:r>
    </w:p>
    <w:p w14:paraId="5E86B24A" w14:textId="77777777" w:rsidR="008D3B35" w:rsidRPr="003F564F" w:rsidRDefault="008D3B35">
      <w:pPr>
        <w:tabs>
          <w:tab w:val="left" w:pos="567"/>
        </w:tabs>
        <w:spacing w:line="260" w:lineRule="exact"/>
        <w:rPr>
          <w:sz w:val="22"/>
          <w:szCs w:val="24"/>
        </w:rPr>
      </w:pPr>
    </w:p>
    <w:p w14:paraId="7072B8EA" w14:textId="77777777" w:rsidR="008D3B35" w:rsidRPr="003F564F" w:rsidRDefault="00AB4978">
      <w:pPr>
        <w:keepNext/>
        <w:tabs>
          <w:tab w:val="left" w:pos="567"/>
        </w:tabs>
        <w:spacing w:line="260" w:lineRule="exact"/>
        <w:jc w:val="both"/>
        <w:outlineLvl w:val="3"/>
        <w:rPr>
          <w:b/>
          <w:bCs/>
          <w:sz w:val="22"/>
          <w:szCs w:val="28"/>
          <w:lang w:eastAsia="x-none"/>
        </w:rPr>
      </w:pPr>
      <w:r w:rsidRPr="003F564F">
        <w:rPr>
          <w:b/>
          <w:bCs/>
          <w:sz w:val="22"/>
          <w:szCs w:val="28"/>
          <w:lang w:eastAsia="x-none"/>
        </w:rPr>
        <w:t>5.1</w:t>
      </w:r>
      <w:r w:rsidRPr="003F564F">
        <w:rPr>
          <w:b/>
          <w:sz w:val="22"/>
          <w:szCs w:val="24"/>
          <w:lang w:eastAsia="x-none"/>
        </w:rPr>
        <w:t xml:space="preserve"> </w:t>
      </w:r>
      <w:r w:rsidRPr="003F564F">
        <w:rPr>
          <w:b/>
          <w:bCs/>
          <w:sz w:val="22"/>
          <w:szCs w:val="28"/>
          <w:lang w:eastAsia="x-none"/>
        </w:rPr>
        <w:tab/>
      </w:r>
      <w:proofErr w:type="spellStart"/>
      <w:r w:rsidRPr="003F564F">
        <w:rPr>
          <w:b/>
          <w:bCs/>
          <w:sz w:val="22"/>
          <w:szCs w:val="28"/>
          <w:lang w:eastAsia="x-none"/>
        </w:rPr>
        <w:t>Farmakodinaminės</w:t>
      </w:r>
      <w:proofErr w:type="spellEnd"/>
      <w:r w:rsidRPr="003F564F">
        <w:rPr>
          <w:b/>
          <w:bCs/>
          <w:sz w:val="22"/>
          <w:szCs w:val="28"/>
          <w:lang w:eastAsia="x-none"/>
        </w:rPr>
        <w:t xml:space="preserve"> savybės</w:t>
      </w:r>
    </w:p>
    <w:p w14:paraId="7C2CE8C2" w14:textId="77777777" w:rsidR="008D3B35" w:rsidRPr="003F564F" w:rsidRDefault="008D3B35">
      <w:pPr>
        <w:tabs>
          <w:tab w:val="left" w:pos="567"/>
        </w:tabs>
        <w:spacing w:line="260" w:lineRule="exact"/>
        <w:rPr>
          <w:sz w:val="22"/>
          <w:szCs w:val="24"/>
        </w:rPr>
      </w:pPr>
    </w:p>
    <w:p w14:paraId="0D4A1E9A" w14:textId="4FB5FD24" w:rsidR="00D3679D" w:rsidRPr="003F564F" w:rsidRDefault="00D3679D" w:rsidP="0036574D">
      <w:pPr>
        <w:rPr>
          <w:sz w:val="22"/>
          <w:szCs w:val="22"/>
          <w:lang w:eastAsia="lt-LT"/>
        </w:rPr>
      </w:pPr>
      <w:proofErr w:type="spellStart"/>
      <w:r w:rsidRPr="003F564F">
        <w:rPr>
          <w:sz w:val="22"/>
          <w:szCs w:val="22"/>
          <w:lang w:eastAsia="lt-LT"/>
        </w:rPr>
        <w:t>Farmakoterapinė</w:t>
      </w:r>
      <w:proofErr w:type="spellEnd"/>
      <w:r w:rsidRPr="003F564F">
        <w:rPr>
          <w:sz w:val="22"/>
          <w:szCs w:val="22"/>
          <w:lang w:eastAsia="lt-LT"/>
        </w:rPr>
        <w:t xml:space="preserve"> grupė – </w:t>
      </w:r>
      <w:proofErr w:type="spellStart"/>
      <w:r w:rsidRPr="003F564F">
        <w:rPr>
          <w:sz w:val="22"/>
          <w:szCs w:val="22"/>
          <w:lang w:eastAsia="lt-LT"/>
        </w:rPr>
        <w:t>antinavikiniai</w:t>
      </w:r>
      <w:proofErr w:type="spellEnd"/>
      <w:r w:rsidRPr="003F564F">
        <w:rPr>
          <w:sz w:val="22"/>
          <w:szCs w:val="22"/>
          <w:lang w:eastAsia="lt-LT"/>
        </w:rPr>
        <w:t xml:space="preserve"> vaistiniai preparatai, </w:t>
      </w:r>
      <w:proofErr w:type="spellStart"/>
      <w:r w:rsidRPr="003F564F">
        <w:rPr>
          <w:sz w:val="22"/>
          <w:szCs w:val="22"/>
          <w:lang w:eastAsia="lt-LT"/>
        </w:rPr>
        <w:t>proteinkinazės</w:t>
      </w:r>
      <w:proofErr w:type="spellEnd"/>
      <w:r w:rsidRPr="003F564F">
        <w:rPr>
          <w:sz w:val="22"/>
          <w:szCs w:val="22"/>
          <w:lang w:eastAsia="lt-LT"/>
        </w:rPr>
        <w:t xml:space="preserve"> inhibitoriai, ATC kodas – L01EJ01</w:t>
      </w:r>
    </w:p>
    <w:p w14:paraId="74EAEADF" w14:textId="77777777" w:rsidR="008D3B35" w:rsidRPr="003F564F" w:rsidRDefault="008D3B35" w:rsidP="0036574D">
      <w:pPr>
        <w:rPr>
          <w:sz w:val="22"/>
          <w:szCs w:val="22"/>
          <w:lang w:eastAsia="lt-LT"/>
        </w:rPr>
      </w:pPr>
    </w:p>
    <w:p w14:paraId="5E6F1A34" w14:textId="67909DCD" w:rsidR="008D3B35" w:rsidRPr="003F564F" w:rsidRDefault="00AB4978" w:rsidP="0036574D">
      <w:pPr>
        <w:rPr>
          <w:sz w:val="22"/>
          <w:szCs w:val="22"/>
          <w:u w:val="single"/>
          <w:lang w:eastAsia="lt-LT"/>
        </w:rPr>
      </w:pPr>
      <w:r w:rsidRPr="003F564F">
        <w:rPr>
          <w:sz w:val="22"/>
          <w:szCs w:val="22"/>
          <w:u w:val="single"/>
          <w:lang w:eastAsia="lt-LT"/>
        </w:rPr>
        <w:t>Veikimo mechanizmas</w:t>
      </w:r>
    </w:p>
    <w:p w14:paraId="58D40983" w14:textId="77777777" w:rsidR="00D3679D" w:rsidRPr="003F564F" w:rsidRDefault="00D3679D" w:rsidP="0036574D">
      <w:pPr>
        <w:rPr>
          <w:sz w:val="22"/>
          <w:szCs w:val="22"/>
          <w:lang w:eastAsia="lt-LT"/>
        </w:rPr>
      </w:pPr>
    </w:p>
    <w:p w14:paraId="4C44693E" w14:textId="68A8BD1E" w:rsidR="00D3679D" w:rsidRPr="003F564F" w:rsidRDefault="00D3679D" w:rsidP="0036574D">
      <w:pPr>
        <w:rPr>
          <w:sz w:val="22"/>
          <w:szCs w:val="22"/>
          <w:lang w:eastAsia="lt-LT"/>
        </w:rPr>
      </w:pPr>
      <w:proofErr w:type="spellStart"/>
      <w:r w:rsidRPr="003F564F">
        <w:rPr>
          <w:sz w:val="22"/>
          <w:szCs w:val="22"/>
          <w:lang w:eastAsia="lt-LT"/>
        </w:rPr>
        <w:t>Ruksolitinibas</w:t>
      </w:r>
      <w:proofErr w:type="spellEnd"/>
      <w:r w:rsidRPr="003F564F">
        <w:rPr>
          <w:sz w:val="22"/>
          <w:szCs w:val="22"/>
          <w:lang w:eastAsia="lt-LT"/>
        </w:rPr>
        <w:t xml:space="preserve"> yra selektyvus Janus </w:t>
      </w:r>
      <w:proofErr w:type="spellStart"/>
      <w:r w:rsidRPr="003F564F">
        <w:rPr>
          <w:sz w:val="22"/>
          <w:szCs w:val="22"/>
          <w:lang w:eastAsia="lt-LT"/>
        </w:rPr>
        <w:t>kinazių</w:t>
      </w:r>
      <w:proofErr w:type="spellEnd"/>
      <w:r w:rsidRPr="003F564F">
        <w:rPr>
          <w:sz w:val="22"/>
          <w:szCs w:val="22"/>
          <w:lang w:eastAsia="lt-LT"/>
        </w:rPr>
        <w:t xml:space="preserve"> (angl. </w:t>
      </w:r>
      <w:r w:rsidRPr="003F564F">
        <w:rPr>
          <w:i/>
          <w:iCs/>
          <w:sz w:val="22"/>
          <w:szCs w:val="22"/>
          <w:lang w:eastAsia="lt-LT"/>
        </w:rPr>
        <w:t xml:space="preserve">Janus </w:t>
      </w:r>
      <w:proofErr w:type="spellStart"/>
      <w:r w:rsidRPr="003F564F">
        <w:rPr>
          <w:i/>
          <w:iCs/>
          <w:sz w:val="22"/>
          <w:szCs w:val="22"/>
          <w:lang w:eastAsia="lt-LT"/>
        </w:rPr>
        <w:t>Associated</w:t>
      </w:r>
      <w:proofErr w:type="spellEnd"/>
      <w:r w:rsidRPr="003F564F">
        <w:rPr>
          <w:i/>
          <w:iCs/>
          <w:sz w:val="22"/>
          <w:szCs w:val="22"/>
          <w:lang w:eastAsia="lt-LT"/>
        </w:rPr>
        <w:t xml:space="preserve"> </w:t>
      </w:r>
      <w:proofErr w:type="spellStart"/>
      <w:r w:rsidRPr="003F564F">
        <w:rPr>
          <w:i/>
          <w:iCs/>
          <w:sz w:val="22"/>
          <w:szCs w:val="22"/>
          <w:lang w:eastAsia="lt-LT"/>
        </w:rPr>
        <w:t>Kinases</w:t>
      </w:r>
      <w:proofErr w:type="spellEnd"/>
      <w:r w:rsidRPr="003F564F">
        <w:rPr>
          <w:sz w:val="22"/>
          <w:szCs w:val="22"/>
          <w:lang w:eastAsia="lt-LT"/>
        </w:rPr>
        <w:t xml:space="preserve"> - </w:t>
      </w:r>
      <w:proofErr w:type="spellStart"/>
      <w:r w:rsidRPr="003F564F">
        <w:rPr>
          <w:sz w:val="22"/>
          <w:szCs w:val="22"/>
          <w:lang w:eastAsia="lt-LT"/>
        </w:rPr>
        <w:t>JAKs</w:t>
      </w:r>
      <w:proofErr w:type="spellEnd"/>
      <w:r w:rsidRPr="003F564F">
        <w:rPr>
          <w:sz w:val="22"/>
          <w:szCs w:val="22"/>
          <w:lang w:eastAsia="lt-LT"/>
        </w:rPr>
        <w:t>) JAK1 ir JAK2 inhibitorius (IC50 reikšmės JAK1 ir JAK2 fermentams yra, atitinkamai, 3,3</w:t>
      </w:r>
      <w:r w:rsidR="0036574D" w:rsidRPr="003F564F">
        <w:rPr>
          <w:sz w:val="22"/>
          <w:szCs w:val="22"/>
          <w:lang w:eastAsia="lt-LT"/>
        </w:rPr>
        <w:t> </w:t>
      </w:r>
      <w:proofErr w:type="spellStart"/>
      <w:r w:rsidRPr="003F564F">
        <w:rPr>
          <w:sz w:val="22"/>
          <w:szCs w:val="22"/>
          <w:lang w:eastAsia="lt-LT"/>
        </w:rPr>
        <w:t>nM</w:t>
      </w:r>
      <w:proofErr w:type="spellEnd"/>
      <w:r w:rsidRPr="003F564F">
        <w:rPr>
          <w:sz w:val="22"/>
          <w:szCs w:val="22"/>
          <w:lang w:eastAsia="lt-LT"/>
        </w:rPr>
        <w:t xml:space="preserve"> ir 2,8</w:t>
      </w:r>
      <w:r w:rsidR="0036574D" w:rsidRPr="003F564F">
        <w:rPr>
          <w:sz w:val="22"/>
          <w:szCs w:val="22"/>
          <w:lang w:eastAsia="lt-LT"/>
        </w:rPr>
        <w:t> </w:t>
      </w:r>
      <w:proofErr w:type="spellStart"/>
      <w:r w:rsidRPr="003F564F">
        <w:rPr>
          <w:sz w:val="22"/>
          <w:szCs w:val="22"/>
          <w:lang w:eastAsia="lt-LT"/>
        </w:rPr>
        <w:t>nM</w:t>
      </w:r>
      <w:proofErr w:type="spellEnd"/>
      <w:r w:rsidRPr="003F564F">
        <w:rPr>
          <w:sz w:val="22"/>
          <w:szCs w:val="22"/>
          <w:lang w:eastAsia="lt-LT"/>
        </w:rPr>
        <w:t xml:space="preserve">). Šie fermentai įtakoja daugelio </w:t>
      </w:r>
      <w:proofErr w:type="spellStart"/>
      <w:r w:rsidRPr="003F564F">
        <w:rPr>
          <w:sz w:val="22"/>
          <w:szCs w:val="22"/>
          <w:lang w:eastAsia="lt-LT"/>
        </w:rPr>
        <w:t>citokinų</w:t>
      </w:r>
      <w:proofErr w:type="spellEnd"/>
      <w:r w:rsidRPr="003F564F">
        <w:rPr>
          <w:sz w:val="22"/>
          <w:szCs w:val="22"/>
          <w:lang w:eastAsia="lt-LT"/>
        </w:rPr>
        <w:t xml:space="preserve"> ir augimo faktorių, kurie svarbūs </w:t>
      </w:r>
      <w:proofErr w:type="spellStart"/>
      <w:r w:rsidRPr="003F564F">
        <w:rPr>
          <w:sz w:val="22"/>
          <w:szCs w:val="22"/>
          <w:lang w:eastAsia="lt-LT"/>
        </w:rPr>
        <w:t>kraujodarai</w:t>
      </w:r>
      <w:proofErr w:type="spellEnd"/>
      <w:r w:rsidRPr="003F564F">
        <w:rPr>
          <w:sz w:val="22"/>
          <w:szCs w:val="22"/>
          <w:lang w:eastAsia="lt-LT"/>
        </w:rPr>
        <w:t xml:space="preserve"> ir imuninės sistemos funkcijai, signalų perdavimo mechanizmą.</w:t>
      </w:r>
    </w:p>
    <w:p w14:paraId="3D05250E" w14:textId="77777777" w:rsidR="00D3679D" w:rsidRPr="003F564F" w:rsidRDefault="00D3679D" w:rsidP="0036574D">
      <w:pPr>
        <w:rPr>
          <w:sz w:val="22"/>
          <w:szCs w:val="22"/>
          <w:lang w:eastAsia="lt-LT"/>
        </w:rPr>
      </w:pPr>
    </w:p>
    <w:p w14:paraId="00EEDD4C" w14:textId="3AA8B0D7" w:rsidR="00D3679D" w:rsidRPr="003F564F" w:rsidRDefault="00D3679D" w:rsidP="0036574D">
      <w:pPr>
        <w:rPr>
          <w:sz w:val="22"/>
          <w:szCs w:val="22"/>
          <w:lang w:eastAsia="lt-LT"/>
        </w:rPr>
      </w:pPr>
      <w:r w:rsidRPr="003F564F">
        <w:rPr>
          <w:sz w:val="22"/>
          <w:szCs w:val="22"/>
          <w:lang w:eastAsia="lt-LT"/>
        </w:rPr>
        <w:t xml:space="preserve">MF ir TP yra </w:t>
      </w:r>
      <w:proofErr w:type="spellStart"/>
      <w:r w:rsidRPr="003F564F">
        <w:rPr>
          <w:sz w:val="22"/>
          <w:szCs w:val="22"/>
          <w:lang w:eastAsia="lt-LT"/>
        </w:rPr>
        <w:t>mieloproliferaciniai</w:t>
      </w:r>
      <w:proofErr w:type="spellEnd"/>
      <w:r w:rsidRPr="003F564F">
        <w:rPr>
          <w:sz w:val="22"/>
          <w:szCs w:val="22"/>
          <w:lang w:eastAsia="lt-LT"/>
        </w:rPr>
        <w:t xml:space="preserve"> navikai, kurių vystymasis susijęs su sutrikusiu JAK1 ir JAK2 signalų perdavimo mechanizmu. Manoma, kad šio sutrikimo pagrindas yra padidėjęs cirkuliuojančių </w:t>
      </w:r>
      <w:proofErr w:type="spellStart"/>
      <w:r w:rsidRPr="003F564F">
        <w:rPr>
          <w:sz w:val="22"/>
          <w:szCs w:val="22"/>
          <w:lang w:eastAsia="lt-LT"/>
        </w:rPr>
        <w:t>citokinų</w:t>
      </w:r>
      <w:proofErr w:type="spellEnd"/>
      <w:r w:rsidRPr="003F564F">
        <w:rPr>
          <w:sz w:val="22"/>
          <w:szCs w:val="22"/>
          <w:lang w:eastAsia="lt-LT"/>
        </w:rPr>
        <w:t xml:space="preserve">, kurie aktyvuoja JAK-STAT sistemą, kiekis, aktyvuojančios mutacijos (pavyzdžiui, JAK2V617F) ir slopinantį poveikį turinčių reguliuojančių mechanizmų susilpnėjimas. MF sergantiems pacientams nustatomas sutrikęs JAK sistemos signalų perdavimo mechanizmas, nepriklausantis nuo JAK2V617F mutacijos buvimo. Aktyvuojančios JAK2 geno mutacijos (V617F ar 12 </w:t>
      </w:r>
      <w:proofErr w:type="spellStart"/>
      <w:r w:rsidRPr="003F564F">
        <w:rPr>
          <w:sz w:val="22"/>
          <w:szCs w:val="22"/>
          <w:lang w:eastAsia="lt-LT"/>
        </w:rPr>
        <w:t>egzone</w:t>
      </w:r>
      <w:proofErr w:type="spellEnd"/>
      <w:r w:rsidRPr="003F564F">
        <w:rPr>
          <w:sz w:val="22"/>
          <w:szCs w:val="22"/>
          <w:lang w:eastAsia="lt-LT"/>
        </w:rPr>
        <w:t>) nustatomos &gt;</w:t>
      </w:r>
      <w:r w:rsidR="0036574D" w:rsidRPr="003F564F">
        <w:rPr>
          <w:sz w:val="22"/>
          <w:szCs w:val="22"/>
          <w:lang w:eastAsia="lt-LT"/>
        </w:rPr>
        <w:t> </w:t>
      </w:r>
      <w:r w:rsidRPr="003F564F">
        <w:rPr>
          <w:sz w:val="22"/>
          <w:szCs w:val="22"/>
          <w:lang w:eastAsia="lt-LT"/>
        </w:rPr>
        <w:t>95</w:t>
      </w:r>
      <w:r w:rsidR="0036574D" w:rsidRPr="003F564F">
        <w:rPr>
          <w:sz w:val="22"/>
          <w:szCs w:val="22"/>
          <w:lang w:eastAsia="lt-LT"/>
        </w:rPr>
        <w:t> </w:t>
      </w:r>
      <w:r w:rsidRPr="003F564F">
        <w:rPr>
          <w:sz w:val="22"/>
          <w:szCs w:val="22"/>
          <w:lang w:eastAsia="lt-LT"/>
        </w:rPr>
        <w:t>% TP sergančių pacientų.</w:t>
      </w:r>
    </w:p>
    <w:p w14:paraId="75AF063E" w14:textId="77777777" w:rsidR="00D3679D" w:rsidRPr="003F564F" w:rsidRDefault="00D3679D" w:rsidP="0036574D">
      <w:pPr>
        <w:rPr>
          <w:sz w:val="22"/>
          <w:szCs w:val="22"/>
          <w:lang w:eastAsia="lt-LT"/>
        </w:rPr>
      </w:pPr>
    </w:p>
    <w:p w14:paraId="66AA12A8" w14:textId="10144FA8" w:rsidR="00D3679D" w:rsidRPr="003F564F" w:rsidRDefault="00D3679D" w:rsidP="0036574D">
      <w:pPr>
        <w:rPr>
          <w:sz w:val="22"/>
          <w:szCs w:val="22"/>
          <w:lang w:eastAsia="lt-LT"/>
        </w:rPr>
      </w:pPr>
      <w:proofErr w:type="spellStart"/>
      <w:r w:rsidRPr="003F564F">
        <w:rPr>
          <w:sz w:val="22"/>
          <w:szCs w:val="22"/>
          <w:lang w:eastAsia="lt-LT"/>
        </w:rPr>
        <w:t>Ruksolitinibas</w:t>
      </w:r>
      <w:proofErr w:type="spellEnd"/>
      <w:r w:rsidRPr="003F564F">
        <w:rPr>
          <w:sz w:val="22"/>
          <w:szCs w:val="22"/>
          <w:lang w:eastAsia="lt-LT"/>
        </w:rPr>
        <w:t xml:space="preserve"> slopina JAK-STAT sistemos signalų perdavimo mechanizmą ir piktybinių kraujo ligų nuo </w:t>
      </w:r>
      <w:proofErr w:type="spellStart"/>
      <w:r w:rsidRPr="003F564F">
        <w:rPr>
          <w:sz w:val="22"/>
          <w:szCs w:val="22"/>
          <w:lang w:eastAsia="lt-LT"/>
        </w:rPr>
        <w:t>citokinų</w:t>
      </w:r>
      <w:proofErr w:type="spellEnd"/>
      <w:r w:rsidRPr="003F564F">
        <w:rPr>
          <w:sz w:val="22"/>
          <w:szCs w:val="22"/>
          <w:lang w:eastAsia="lt-LT"/>
        </w:rPr>
        <w:t xml:space="preserve"> poveikio priklausančių ląstelių </w:t>
      </w:r>
      <w:proofErr w:type="spellStart"/>
      <w:r w:rsidRPr="003F564F">
        <w:rPr>
          <w:sz w:val="22"/>
          <w:szCs w:val="22"/>
          <w:lang w:eastAsia="lt-LT"/>
        </w:rPr>
        <w:t>proliferaciją</w:t>
      </w:r>
      <w:proofErr w:type="spellEnd"/>
      <w:r w:rsidRPr="003F564F">
        <w:rPr>
          <w:sz w:val="22"/>
          <w:szCs w:val="22"/>
          <w:lang w:eastAsia="lt-LT"/>
        </w:rPr>
        <w:t xml:space="preserve">, taip pat nuo </w:t>
      </w:r>
      <w:proofErr w:type="spellStart"/>
      <w:r w:rsidRPr="003F564F">
        <w:rPr>
          <w:sz w:val="22"/>
          <w:szCs w:val="22"/>
          <w:lang w:eastAsia="lt-LT"/>
        </w:rPr>
        <w:t>citokinų</w:t>
      </w:r>
      <w:proofErr w:type="spellEnd"/>
      <w:r w:rsidRPr="003F564F">
        <w:rPr>
          <w:sz w:val="22"/>
          <w:szCs w:val="22"/>
          <w:lang w:eastAsia="lt-LT"/>
        </w:rPr>
        <w:t xml:space="preserve"> poveikio nepriklausančių, bet </w:t>
      </w:r>
      <w:proofErr w:type="spellStart"/>
      <w:r w:rsidRPr="003F564F">
        <w:rPr>
          <w:sz w:val="22"/>
          <w:szCs w:val="22"/>
          <w:lang w:eastAsia="lt-LT"/>
        </w:rPr>
        <w:t>mutavusį</w:t>
      </w:r>
      <w:proofErr w:type="spellEnd"/>
      <w:r w:rsidRPr="003F564F">
        <w:rPr>
          <w:sz w:val="22"/>
          <w:szCs w:val="22"/>
          <w:lang w:eastAsia="lt-LT"/>
        </w:rPr>
        <w:t xml:space="preserve"> JAK2V617F baltymą </w:t>
      </w:r>
      <w:proofErr w:type="spellStart"/>
      <w:r w:rsidRPr="003F564F">
        <w:rPr>
          <w:sz w:val="22"/>
          <w:szCs w:val="22"/>
          <w:lang w:eastAsia="lt-LT"/>
        </w:rPr>
        <w:t>ekspresuojančių</w:t>
      </w:r>
      <w:proofErr w:type="spellEnd"/>
      <w:r w:rsidRPr="003F564F">
        <w:rPr>
          <w:sz w:val="22"/>
          <w:szCs w:val="22"/>
          <w:lang w:eastAsia="lt-LT"/>
        </w:rPr>
        <w:t xml:space="preserve"> </w:t>
      </w:r>
      <w:proofErr w:type="spellStart"/>
      <w:r w:rsidRPr="003F564F">
        <w:rPr>
          <w:sz w:val="22"/>
          <w:szCs w:val="22"/>
          <w:lang w:eastAsia="lt-LT"/>
        </w:rPr>
        <w:t>Ba</w:t>
      </w:r>
      <w:proofErr w:type="spellEnd"/>
      <w:r w:rsidRPr="003F564F">
        <w:rPr>
          <w:sz w:val="22"/>
          <w:szCs w:val="22"/>
          <w:lang w:eastAsia="lt-LT"/>
        </w:rPr>
        <w:t xml:space="preserve">/F3 ląstelių </w:t>
      </w:r>
      <w:proofErr w:type="spellStart"/>
      <w:r w:rsidRPr="003F564F">
        <w:rPr>
          <w:sz w:val="22"/>
          <w:szCs w:val="22"/>
          <w:lang w:eastAsia="lt-LT"/>
        </w:rPr>
        <w:t>proliferaciją</w:t>
      </w:r>
      <w:proofErr w:type="spellEnd"/>
      <w:r w:rsidRPr="003F564F">
        <w:rPr>
          <w:sz w:val="22"/>
          <w:szCs w:val="22"/>
          <w:lang w:eastAsia="lt-LT"/>
        </w:rPr>
        <w:t>; o vaistinio preparato IC50 rodiklio reikšmė yra 80</w:t>
      </w:r>
      <w:r w:rsidR="0036574D" w:rsidRPr="003F564F">
        <w:rPr>
          <w:sz w:val="22"/>
          <w:szCs w:val="22"/>
          <w:lang w:eastAsia="lt-LT"/>
        </w:rPr>
        <w:noBreakHyphen/>
      </w:r>
      <w:r w:rsidRPr="003F564F">
        <w:rPr>
          <w:sz w:val="22"/>
          <w:szCs w:val="22"/>
          <w:lang w:eastAsia="lt-LT"/>
        </w:rPr>
        <w:t>320</w:t>
      </w:r>
      <w:r w:rsidR="0036574D" w:rsidRPr="003F564F">
        <w:rPr>
          <w:sz w:val="22"/>
          <w:szCs w:val="22"/>
          <w:lang w:eastAsia="lt-LT"/>
        </w:rPr>
        <w:t> </w:t>
      </w:r>
      <w:proofErr w:type="spellStart"/>
      <w:r w:rsidRPr="003F564F">
        <w:rPr>
          <w:sz w:val="22"/>
          <w:szCs w:val="22"/>
          <w:lang w:eastAsia="lt-LT"/>
        </w:rPr>
        <w:t>nM</w:t>
      </w:r>
      <w:proofErr w:type="spellEnd"/>
      <w:r w:rsidRPr="003F564F">
        <w:rPr>
          <w:sz w:val="22"/>
          <w:szCs w:val="22"/>
          <w:lang w:eastAsia="lt-LT"/>
        </w:rPr>
        <w:t>.</w:t>
      </w:r>
    </w:p>
    <w:p w14:paraId="59F49F48" w14:textId="77777777" w:rsidR="00D3679D" w:rsidRPr="003F564F" w:rsidRDefault="00D3679D" w:rsidP="0036574D">
      <w:pPr>
        <w:rPr>
          <w:sz w:val="22"/>
          <w:szCs w:val="22"/>
          <w:lang w:eastAsia="lt-LT"/>
        </w:rPr>
      </w:pPr>
    </w:p>
    <w:p w14:paraId="47439988" w14:textId="7640AA48" w:rsidR="00D3679D" w:rsidRPr="003F564F" w:rsidRDefault="00D3679D" w:rsidP="0036574D">
      <w:pPr>
        <w:rPr>
          <w:sz w:val="22"/>
          <w:szCs w:val="22"/>
          <w:lang w:eastAsia="lt-LT"/>
        </w:rPr>
      </w:pPr>
      <w:r w:rsidRPr="003F564F">
        <w:rPr>
          <w:sz w:val="22"/>
          <w:szCs w:val="22"/>
          <w:lang w:eastAsia="lt-LT"/>
        </w:rPr>
        <w:lastRenderedPageBreak/>
        <w:t xml:space="preserve">JAK-STAT sistemos signalų perdavimo mechanizmas svarbus </w:t>
      </w:r>
      <w:proofErr w:type="spellStart"/>
      <w:r w:rsidRPr="003F564F">
        <w:rPr>
          <w:sz w:val="22"/>
          <w:szCs w:val="22"/>
          <w:lang w:eastAsia="lt-LT"/>
        </w:rPr>
        <w:t>TpŠL</w:t>
      </w:r>
      <w:proofErr w:type="spellEnd"/>
      <w:r w:rsidRPr="003F564F">
        <w:rPr>
          <w:sz w:val="22"/>
          <w:szCs w:val="22"/>
          <w:lang w:eastAsia="lt-LT"/>
        </w:rPr>
        <w:t xml:space="preserve"> patogenezėje reguliuojant įvairių tipų imuninių ląstelių brendimą, </w:t>
      </w:r>
      <w:proofErr w:type="spellStart"/>
      <w:r w:rsidRPr="003F564F">
        <w:rPr>
          <w:sz w:val="22"/>
          <w:szCs w:val="22"/>
          <w:lang w:eastAsia="lt-LT"/>
        </w:rPr>
        <w:t>proliferaciją</w:t>
      </w:r>
      <w:proofErr w:type="spellEnd"/>
      <w:r w:rsidRPr="003F564F">
        <w:rPr>
          <w:sz w:val="22"/>
          <w:szCs w:val="22"/>
          <w:lang w:eastAsia="lt-LT"/>
        </w:rPr>
        <w:t xml:space="preserve"> ir aktyvinimą.</w:t>
      </w:r>
    </w:p>
    <w:p w14:paraId="48992058" w14:textId="77777777" w:rsidR="00D3679D" w:rsidRPr="003F564F" w:rsidRDefault="00D3679D" w:rsidP="0036574D">
      <w:pPr>
        <w:rPr>
          <w:sz w:val="22"/>
          <w:szCs w:val="22"/>
          <w:lang w:eastAsia="lt-LT"/>
        </w:rPr>
      </w:pPr>
    </w:p>
    <w:p w14:paraId="674D27BC" w14:textId="670B16DB" w:rsidR="008D3B35" w:rsidRPr="003F564F" w:rsidRDefault="00AB4978" w:rsidP="0036574D">
      <w:pPr>
        <w:rPr>
          <w:sz w:val="22"/>
          <w:szCs w:val="22"/>
          <w:u w:val="single"/>
          <w:lang w:eastAsia="lt-LT"/>
        </w:rPr>
      </w:pPr>
      <w:proofErr w:type="spellStart"/>
      <w:r w:rsidRPr="003F564F">
        <w:rPr>
          <w:sz w:val="22"/>
          <w:szCs w:val="22"/>
          <w:u w:val="single"/>
          <w:lang w:eastAsia="lt-LT"/>
        </w:rPr>
        <w:t>Farmakodinaminis</w:t>
      </w:r>
      <w:proofErr w:type="spellEnd"/>
      <w:r w:rsidRPr="003F564F">
        <w:rPr>
          <w:sz w:val="22"/>
          <w:szCs w:val="22"/>
          <w:u w:val="single"/>
          <w:lang w:eastAsia="lt-LT"/>
        </w:rPr>
        <w:t xml:space="preserve"> poveikis</w:t>
      </w:r>
    </w:p>
    <w:p w14:paraId="548E06D8" w14:textId="77777777" w:rsidR="00D3679D" w:rsidRPr="003F564F" w:rsidRDefault="00D3679D" w:rsidP="0036574D">
      <w:pPr>
        <w:rPr>
          <w:sz w:val="22"/>
          <w:szCs w:val="22"/>
          <w:lang w:eastAsia="lt-LT"/>
        </w:rPr>
      </w:pPr>
    </w:p>
    <w:p w14:paraId="794987FA" w14:textId="49B9BE0A" w:rsidR="00D3679D" w:rsidRPr="003F564F" w:rsidRDefault="00D3679D" w:rsidP="0036574D">
      <w:pPr>
        <w:rPr>
          <w:sz w:val="22"/>
          <w:szCs w:val="22"/>
          <w:lang w:eastAsia="lt-LT"/>
        </w:rPr>
      </w:pPr>
      <w:proofErr w:type="spellStart"/>
      <w:r w:rsidRPr="003F564F">
        <w:rPr>
          <w:sz w:val="22"/>
          <w:szCs w:val="22"/>
          <w:lang w:eastAsia="lt-LT"/>
        </w:rPr>
        <w:t>Ruksolitinibas</w:t>
      </w:r>
      <w:proofErr w:type="spellEnd"/>
      <w:r w:rsidRPr="003F564F">
        <w:rPr>
          <w:sz w:val="22"/>
          <w:szCs w:val="22"/>
          <w:lang w:eastAsia="lt-LT"/>
        </w:rPr>
        <w:t xml:space="preserve"> slopina </w:t>
      </w:r>
      <w:proofErr w:type="spellStart"/>
      <w:r w:rsidRPr="003F564F">
        <w:rPr>
          <w:sz w:val="22"/>
          <w:szCs w:val="22"/>
          <w:lang w:eastAsia="lt-LT"/>
        </w:rPr>
        <w:t>citokinų</w:t>
      </w:r>
      <w:proofErr w:type="spellEnd"/>
      <w:r w:rsidRPr="003F564F">
        <w:rPr>
          <w:sz w:val="22"/>
          <w:szCs w:val="22"/>
          <w:lang w:eastAsia="lt-LT"/>
        </w:rPr>
        <w:t xml:space="preserve"> sukeltą STAT3 </w:t>
      </w:r>
      <w:proofErr w:type="spellStart"/>
      <w:r w:rsidRPr="003F564F">
        <w:rPr>
          <w:sz w:val="22"/>
          <w:szCs w:val="22"/>
          <w:lang w:eastAsia="lt-LT"/>
        </w:rPr>
        <w:t>fosforilinimo</w:t>
      </w:r>
      <w:proofErr w:type="spellEnd"/>
      <w:r w:rsidRPr="003F564F">
        <w:rPr>
          <w:sz w:val="22"/>
          <w:szCs w:val="22"/>
          <w:lang w:eastAsia="lt-LT"/>
        </w:rPr>
        <w:t xml:space="preserve"> procesą kraujyje sveikiems tiriamiesiems asmenims, MF sergantiems pacientams ir TP sergantiems pacientams. Didžiausias </w:t>
      </w:r>
      <w:proofErr w:type="spellStart"/>
      <w:r w:rsidRPr="003F564F">
        <w:rPr>
          <w:sz w:val="22"/>
          <w:szCs w:val="22"/>
          <w:lang w:eastAsia="lt-LT"/>
        </w:rPr>
        <w:t>ruksolitinibo</w:t>
      </w:r>
      <w:proofErr w:type="spellEnd"/>
      <w:r w:rsidRPr="003F564F">
        <w:rPr>
          <w:sz w:val="22"/>
          <w:szCs w:val="22"/>
          <w:lang w:eastAsia="lt-LT"/>
        </w:rPr>
        <w:t xml:space="preserve"> slopinamasis poveikis STAT3 </w:t>
      </w:r>
      <w:proofErr w:type="spellStart"/>
      <w:r w:rsidRPr="003F564F">
        <w:rPr>
          <w:sz w:val="22"/>
          <w:szCs w:val="22"/>
          <w:lang w:eastAsia="lt-LT"/>
        </w:rPr>
        <w:t>fosforilinimo</w:t>
      </w:r>
      <w:proofErr w:type="spellEnd"/>
      <w:r w:rsidRPr="003F564F">
        <w:rPr>
          <w:sz w:val="22"/>
          <w:szCs w:val="22"/>
          <w:lang w:eastAsia="lt-LT"/>
        </w:rPr>
        <w:t xml:space="preserve"> procesui tiek sveikiems tiriamiesiems asmenims, tiek MF sergantiems pacientams pasireiškia praėjus 2</w:t>
      </w:r>
      <w:r w:rsidR="0036574D" w:rsidRPr="003F564F">
        <w:rPr>
          <w:sz w:val="22"/>
          <w:szCs w:val="22"/>
          <w:lang w:eastAsia="lt-LT"/>
        </w:rPr>
        <w:t> </w:t>
      </w:r>
      <w:r w:rsidRPr="003F564F">
        <w:rPr>
          <w:sz w:val="22"/>
          <w:szCs w:val="22"/>
          <w:lang w:eastAsia="lt-LT"/>
        </w:rPr>
        <w:t xml:space="preserve">valandoms nuo vaistinio preparato vartojimo, o STAT3 </w:t>
      </w:r>
      <w:proofErr w:type="spellStart"/>
      <w:r w:rsidRPr="003F564F">
        <w:rPr>
          <w:sz w:val="22"/>
          <w:szCs w:val="22"/>
          <w:lang w:eastAsia="lt-LT"/>
        </w:rPr>
        <w:t>fosforilinimas</w:t>
      </w:r>
      <w:proofErr w:type="spellEnd"/>
      <w:r w:rsidRPr="003F564F">
        <w:rPr>
          <w:sz w:val="22"/>
          <w:szCs w:val="22"/>
          <w:lang w:eastAsia="lt-LT"/>
        </w:rPr>
        <w:t xml:space="preserve"> atsistato beveik iki pradinių reikšmių po 8</w:t>
      </w:r>
      <w:r w:rsidR="0036574D" w:rsidRPr="003F564F">
        <w:rPr>
          <w:sz w:val="22"/>
          <w:szCs w:val="22"/>
          <w:lang w:eastAsia="lt-LT"/>
        </w:rPr>
        <w:t> </w:t>
      </w:r>
      <w:r w:rsidRPr="003F564F">
        <w:rPr>
          <w:sz w:val="22"/>
          <w:szCs w:val="22"/>
          <w:lang w:eastAsia="lt-LT"/>
        </w:rPr>
        <w:t>valandų; tai rodo, kad žmogaus organizme nesusikaupia nei pirminės veikliosios medžiagos, nei jos veikliųjų metabolitų.</w:t>
      </w:r>
    </w:p>
    <w:p w14:paraId="73F5FD47" w14:textId="77777777" w:rsidR="00D3679D" w:rsidRPr="003F564F" w:rsidRDefault="00D3679D" w:rsidP="0036574D">
      <w:pPr>
        <w:rPr>
          <w:sz w:val="22"/>
          <w:szCs w:val="22"/>
          <w:lang w:eastAsia="lt-LT"/>
        </w:rPr>
      </w:pPr>
    </w:p>
    <w:p w14:paraId="3E9637B7" w14:textId="57F9FC41" w:rsidR="00D3679D" w:rsidRPr="003F564F" w:rsidRDefault="00D3679D" w:rsidP="0036574D">
      <w:pPr>
        <w:rPr>
          <w:sz w:val="22"/>
          <w:szCs w:val="22"/>
          <w:lang w:eastAsia="lt-LT"/>
        </w:rPr>
      </w:pPr>
      <w:r w:rsidRPr="003F564F">
        <w:rPr>
          <w:sz w:val="22"/>
          <w:szCs w:val="22"/>
          <w:lang w:eastAsia="lt-LT"/>
        </w:rPr>
        <w:t xml:space="preserve">MF sergantiems pacientams skiriant gydymą </w:t>
      </w:r>
      <w:proofErr w:type="spellStart"/>
      <w:r w:rsidRPr="003F564F">
        <w:rPr>
          <w:sz w:val="22"/>
          <w:szCs w:val="22"/>
          <w:lang w:eastAsia="lt-LT"/>
        </w:rPr>
        <w:t>ruksolitinibu</w:t>
      </w:r>
      <w:proofErr w:type="spellEnd"/>
      <w:r w:rsidRPr="003F564F">
        <w:rPr>
          <w:sz w:val="22"/>
          <w:szCs w:val="22"/>
          <w:lang w:eastAsia="lt-LT"/>
        </w:rPr>
        <w:t xml:space="preserve">, sumažėjo su šios ligos būdingais simptomais susijusių uždegiminių žymenų (pvz., TNFα, IL-6 ir CRB) koncentracija, kuri būdavo padidėjusi prieš skiriant gydymą. Skiriant gydymą </w:t>
      </w:r>
      <w:proofErr w:type="spellStart"/>
      <w:r w:rsidRPr="003F564F">
        <w:rPr>
          <w:sz w:val="22"/>
          <w:szCs w:val="22"/>
          <w:lang w:eastAsia="lt-LT"/>
        </w:rPr>
        <w:t>ruksolitinibu</w:t>
      </w:r>
      <w:proofErr w:type="spellEnd"/>
      <w:r w:rsidRPr="003F564F">
        <w:rPr>
          <w:sz w:val="22"/>
          <w:szCs w:val="22"/>
          <w:lang w:eastAsia="lt-LT"/>
        </w:rPr>
        <w:t xml:space="preserve"> MF sergantiems pacientams nenustatyta, kad ilgainiui susidarytų atsparumas </w:t>
      </w:r>
      <w:proofErr w:type="spellStart"/>
      <w:r w:rsidRPr="003F564F">
        <w:rPr>
          <w:sz w:val="22"/>
          <w:szCs w:val="22"/>
          <w:lang w:eastAsia="lt-LT"/>
        </w:rPr>
        <w:t>farmakodinaminiam</w:t>
      </w:r>
      <w:proofErr w:type="spellEnd"/>
      <w:r w:rsidRPr="003F564F">
        <w:rPr>
          <w:sz w:val="22"/>
          <w:szCs w:val="22"/>
          <w:lang w:eastAsia="lt-LT"/>
        </w:rPr>
        <w:t xml:space="preserve"> vaistinio preparato poveikiui. TP</w:t>
      </w:r>
      <w:r w:rsidR="0036574D" w:rsidRPr="003F564F">
        <w:rPr>
          <w:sz w:val="22"/>
          <w:szCs w:val="22"/>
          <w:lang w:eastAsia="lt-LT"/>
        </w:rPr>
        <w:t xml:space="preserve"> </w:t>
      </w:r>
      <w:r w:rsidRPr="003F564F">
        <w:rPr>
          <w:sz w:val="22"/>
          <w:szCs w:val="22"/>
          <w:lang w:eastAsia="lt-LT"/>
        </w:rPr>
        <w:t xml:space="preserve">sergantiems pacientams, panašiai kaip ir sergantiesiems MF, prieš skiriant gydymą taip pat būdavo nustatoma padidėjusi uždegiminių žymenų koncentracija, o šių žymenų koncentracija sumažėjo skiriant gydymą </w:t>
      </w:r>
      <w:proofErr w:type="spellStart"/>
      <w:r w:rsidRPr="003F564F">
        <w:rPr>
          <w:sz w:val="22"/>
          <w:szCs w:val="22"/>
          <w:lang w:eastAsia="lt-LT"/>
        </w:rPr>
        <w:t>ruksolitinibu</w:t>
      </w:r>
      <w:proofErr w:type="spellEnd"/>
      <w:r w:rsidRPr="003F564F">
        <w:rPr>
          <w:sz w:val="22"/>
          <w:szCs w:val="22"/>
          <w:lang w:eastAsia="lt-LT"/>
        </w:rPr>
        <w:t>.</w:t>
      </w:r>
    </w:p>
    <w:p w14:paraId="5F18EDB2" w14:textId="77777777" w:rsidR="00D3679D" w:rsidRPr="003F564F" w:rsidRDefault="00D3679D" w:rsidP="0036574D">
      <w:pPr>
        <w:rPr>
          <w:sz w:val="22"/>
          <w:szCs w:val="22"/>
          <w:lang w:eastAsia="lt-LT"/>
        </w:rPr>
      </w:pPr>
    </w:p>
    <w:p w14:paraId="6C0570FE" w14:textId="587EE16B" w:rsidR="00D3679D" w:rsidRPr="003F564F" w:rsidRDefault="00D3679D" w:rsidP="0036574D">
      <w:pPr>
        <w:rPr>
          <w:sz w:val="22"/>
          <w:szCs w:val="22"/>
          <w:lang w:eastAsia="lt-LT"/>
        </w:rPr>
      </w:pPr>
      <w:r w:rsidRPr="003F564F">
        <w:rPr>
          <w:sz w:val="22"/>
          <w:szCs w:val="22"/>
          <w:lang w:eastAsia="lt-LT"/>
        </w:rPr>
        <w:t xml:space="preserve">Atlikus išsamų vaistinio preparato poveikio QT intervalui tyrimą su sveikais savanoriais nebuvo nustatyta, kad </w:t>
      </w:r>
      <w:proofErr w:type="spellStart"/>
      <w:r w:rsidRPr="003F564F">
        <w:rPr>
          <w:sz w:val="22"/>
          <w:szCs w:val="22"/>
          <w:lang w:eastAsia="lt-LT"/>
        </w:rPr>
        <w:t>ruksolitinibas</w:t>
      </w:r>
      <w:proofErr w:type="spellEnd"/>
      <w:r w:rsidRPr="003F564F">
        <w:rPr>
          <w:sz w:val="22"/>
          <w:szCs w:val="22"/>
          <w:lang w:eastAsia="lt-LT"/>
        </w:rPr>
        <w:t xml:space="preserve"> (skiriant įvairias vienkartines dozes iki </w:t>
      </w:r>
      <w:proofErr w:type="spellStart"/>
      <w:r w:rsidRPr="003F564F">
        <w:rPr>
          <w:sz w:val="22"/>
          <w:szCs w:val="22"/>
          <w:lang w:eastAsia="lt-LT"/>
        </w:rPr>
        <w:t>subterapinio</w:t>
      </w:r>
      <w:proofErr w:type="spellEnd"/>
      <w:r w:rsidRPr="003F564F">
        <w:rPr>
          <w:sz w:val="22"/>
          <w:szCs w:val="22"/>
          <w:lang w:eastAsia="lt-LT"/>
        </w:rPr>
        <w:t xml:space="preserve"> poveikio 200</w:t>
      </w:r>
      <w:r w:rsidR="0036574D" w:rsidRPr="003F564F">
        <w:rPr>
          <w:sz w:val="22"/>
          <w:szCs w:val="22"/>
          <w:lang w:eastAsia="lt-LT"/>
        </w:rPr>
        <w:t> </w:t>
      </w:r>
      <w:r w:rsidRPr="003F564F">
        <w:rPr>
          <w:sz w:val="22"/>
          <w:szCs w:val="22"/>
          <w:lang w:eastAsia="lt-LT"/>
        </w:rPr>
        <w:t xml:space="preserve">mg dozės) ilgintų QT ar </w:t>
      </w:r>
      <w:proofErr w:type="spellStart"/>
      <w:r w:rsidRPr="003F564F">
        <w:rPr>
          <w:sz w:val="22"/>
          <w:szCs w:val="22"/>
          <w:lang w:eastAsia="lt-LT"/>
        </w:rPr>
        <w:t>QTc</w:t>
      </w:r>
      <w:proofErr w:type="spellEnd"/>
      <w:r w:rsidRPr="003F564F">
        <w:rPr>
          <w:sz w:val="22"/>
          <w:szCs w:val="22"/>
          <w:lang w:eastAsia="lt-LT"/>
        </w:rPr>
        <w:t xml:space="preserve"> intervalą; tai rodo, kad </w:t>
      </w:r>
      <w:proofErr w:type="spellStart"/>
      <w:r w:rsidRPr="003F564F">
        <w:rPr>
          <w:sz w:val="22"/>
          <w:szCs w:val="22"/>
          <w:lang w:eastAsia="lt-LT"/>
        </w:rPr>
        <w:t>ruksolitinibas</w:t>
      </w:r>
      <w:proofErr w:type="spellEnd"/>
      <w:r w:rsidRPr="003F564F">
        <w:rPr>
          <w:sz w:val="22"/>
          <w:szCs w:val="22"/>
          <w:lang w:eastAsia="lt-LT"/>
        </w:rPr>
        <w:t xml:space="preserve"> neveikia širdies </w:t>
      </w:r>
      <w:proofErr w:type="spellStart"/>
      <w:r w:rsidRPr="003F564F">
        <w:rPr>
          <w:sz w:val="22"/>
          <w:szCs w:val="22"/>
          <w:lang w:eastAsia="lt-LT"/>
        </w:rPr>
        <w:t>repoliarizacijos</w:t>
      </w:r>
      <w:proofErr w:type="spellEnd"/>
      <w:r w:rsidRPr="003F564F">
        <w:rPr>
          <w:sz w:val="22"/>
          <w:szCs w:val="22"/>
          <w:lang w:eastAsia="lt-LT"/>
        </w:rPr>
        <w:t xml:space="preserve"> procesų.</w:t>
      </w:r>
    </w:p>
    <w:p w14:paraId="0B7DC392" w14:textId="77777777" w:rsidR="00D3679D" w:rsidRPr="003F564F" w:rsidRDefault="00D3679D" w:rsidP="0036574D">
      <w:pPr>
        <w:rPr>
          <w:sz w:val="22"/>
          <w:szCs w:val="22"/>
          <w:lang w:eastAsia="lt-LT"/>
        </w:rPr>
      </w:pPr>
    </w:p>
    <w:p w14:paraId="15FA5840" w14:textId="4A71C750" w:rsidR="008D3B35" w:rsidRPr="003F564F" w:rsidRDefault="00AB4978" w:rsidP="0036574D">
      <w:pPr>
        <w:rPr>
          <w:sz w:val="22"/>
          <w:szCs w:val="22"/>
          <w:u w:val="single"/>
          <w:lang w:eastAsia="lt-LT"/>
        </w:rPr>
      </w:pPr>
      <w:r w:rsidRPr="003F564F">
        <w:rPr>
          <w:sz w:val="22"/>
          <w:szCs w:val="22"/>
          <w:u w:val="single"/>
          <w:lang w:eastAsia="lt-LT"/>
        </w:rPr>
        <w:t>Klinikinis veiksmingumas ir saugumas</w:t>
      </w:r>
    </w:p>
    <w:p w14:paraId="4EE57CC3" w14:textId="77777777" w:rsidR="00D3679D" w:rsidRPr="003F564F" w:rsidRDefault="00D3679D" w:rsidP="0036574D">
      <w:pPr>
        <w:rPr>
          <w:sz w:val="22"/>
          <w:szCs w:val="22"/>
          <w:lang w:eastAsia="lt-LT"/>
        </w:rPr>
      </w:pPr>
    </w:p>
    <w:p w14:paraId="06DBF910" w14:textId="52562C11" w:rsidR="00D3679D" w:rsidRPr="003F564F" w:rsidRDefault="00D3679D" w:rsidP="0036574D">
      <w:pPr>
        <w:rPr>
          <w:i/>
          <w:iCs/>
          <w:sz w:val="22"/>
          <w:szCs w:val="22"/>
          <w:u w:val="single"/>
          <w:lang w:eastAsia="lt-LT"/>
        </w:rPr>
      </w:pPr>
      <w:proofErr w:type="spellStart"/>
      <w:r w:rsidRPr="003F564F">
        <w:rPr>
          <w:i/>
          <w:iCs/>
          <w:sz w:val="22"/>
          <w:szCs w:val="22"/>
          <w:u w:val="single"/>
          <w:lang w:eastAsia="lt-LT"/>
        </w:rPr>
        <w:t>Mielofibroze</w:t>
      </w:r>
      <w:proofErr w:type="spellEnd"/>
      <w:r w:rsidRPr="003F564F">
        <w:rPr>
          <w:i/>
          <w:iCs/>
          <w:sz w:val="22"/>
          <w:szCs w:val="22"/>
          <w:u w:val="single"/>
          <w:lang w:eastAsia="lt-LT"/>
        </w:rPr>
        <w:t xml:space="preserve"> sergantys pacientai</w:t>
      </w:r>
    </w:p>
    <w:p w14:paraId="791CE623" w14:textId="77777777" w:rsidR="000A6D36" w:rsidRDefault="000A6D36" w:rsidP="0036574D">
      <w:pPr>
        <w:rPr>
          <w:sz w:val="22"/>
          <w:szCs w:val="22"/>
          <w:lang w:eastAsia="lt-LT"/>
        </w:rPr>
      </w:pPr>
    </w:p>
    <w:p w14:paraId="77B92EFF" w14:textId="30E350FF" w:rsidR="00D3679D" w:rsidRPr="003F564F" w:rsidRDefault="00D3679D" w:rsidP="0036574D">
      <w:pPr>
        <w:rPr>
          <w:sz w:val="22"/>
          <w:szCs w:val="22"/>
          <w:lang w:eastAsia="lt-LT"/>
        </w:rPr>
      </w:pPr>
      <w:r w:rsidRPr="003F564F">
        <w:rPr>
          <w:sz w:val="22"/>
          <w:szCs w:val="22"/>
          <w:lang w:eastAsia="lt-LT"/>
        </w:rPr>
        <w:t>Atlikti du atsitiktinės atrankos, III</w:t>
      </w:r>
      <w:r w:rsidR="000A6D36">
        <w:rPr>
          <w:sz w:val="22"/>
          <w:szCs w:val="22"/>
          <w:lang w:eastAsia="lt-LT"/>
        </w:rPr>
        <w:t> </w:t>
      </w:r>
      <w:r w:rsidRPr="003F564F">
        <w:rPr>
          <w:sz w:val="22"/>
          <w:szCs w:val="22"/>
          <w:lang w:eastAsia="lt-LT"/>
        </w:rPr>
        <w:t xml:space="preserve">fazės klinikiniai tyrimai (COMFORT-I ir COMFORT-II), kuriuose dalyvavo MF (pirmine MF, MF sergant tikrąja </w:t>
      </w:r>
      <w:proofErr w:type="spellStart"/>
      <w:r w:rsidRPr="003F564F">
        <w:rPr>
          <w:sz w:val="22"/>
          <w:szCs w:val="22"/>
          <w:lang w:eastAsia="lt-LT"/>
        </w:rPr>
        <w:t>policitemija</w:t>
      </w:r>
      <w:proofErr w:type="spellEnd"/>
      <w:r w:rsidRPr="003F564F">
        <w:rPr>
          <w:sz w:val="22"/>
          <w:szCs w:val="22"/>
          <w:lang w:eastAsia="lt-LT"/>
        </w:rPr>
        <w:t xml:space="preserve"> arba MF sergant pirmine </w:t>
      </w:r>
      <w:proofErr w:type="spellStart"/>
      <w:r w:rsidRPr="003F564F">
        <w:rPr>
          <w:sz w:val="22"/>
          <w:szCs w:val="22"/>
          <w:lang w:eastAsia="lt-LT"/>
        </w:rPr>
        <w:t>trombocitemija</w:t>
      </w:r>
      <w:proofErr w:type="spellEnd"/>
      <w:r w:rsidRPr="003F564F">
        <w:rPr>
          <w:sz w:val="22"/>
          <w:szCs w:val="22"/>
          <w:lang w:eastAsia="lt-LT"/>
        </w:rPr>
        <w:t xml:space="preserve">) sirgę pacientai. Į abu tyrimus buvo įtraukiami pacientai, kuriems </w:t>
      </w:r>
      <w:proofErr w:type="spellStart"/>
      <w:r w:rsidRPr="003F564F">
        <w:rPr>
          <w:sz w:val="22"/>
          <w:szCs w:val="22"/>
          <w:lang w:eastAsia="lt-LT"/>
        </w:rPr>
        <w:t>palpuojant</w:t>
      </w:r>
      <w:proofErr w:type="spellEnd"/>
      <w:r w:rsidRPr="003F564F">
        <w:rPr>
          <w:sz w:val="22"/>
          <w:szCs w:val="22"/>
          <w:lang w:eastAsia="lt-LT"/>
        </w:rPr>
        <w:t xml:space="preserve"> buvo nustatoma </w:t>
      </w:r>
      <w:proofErr w:type="spellStart"/>
      <w:r w:rsidRPr="003F564F">
        <w:rPr>
          <w:sz w:val="22"/>
          <w:szCs w:val="22"/>
          <w:lang w:eastAsia="lt-LT"/>
        </w:rPr>
        <w:t>splenomegalija</w:t>
      </w:r>
      <w:proofErr w:type="spellEnd"/>
      <w:r w:rsidRPr="003F564F">
        <w:rPr>
          <w:sz w:val="22"/>
          <w:szCs w:val="22"/>
          <w:lang w:eastAsia="lt-LT"/>
        </w:rPr>
        <w:t xml:space="preserve"> (mažiausiai 5</w:t>
      </w:r>
      <w:r w:rsidR="00AB6E63" w:rsidRPr="003F564F">
        <w:rPr>
          <w:sz w:val="22"/>
          <w:szCs w:val="22"/>
          <w:lang w:eastAsia="lt-LT"/>
        </w:rPr>
        <w:t> </w:t>
      </w:r>
      <w:r w:rsidRPr="003F564F">
        <w:rPr>
          <w:sz w:val="22"/>
          <w:szCs w:val="22"/>
          <w:lang w:eastAsia="lt-LT"/>
        </w:rPr>
        <w:t xml:space="preserve">cm žemiau šonkaulių lanko) ir kurių rizikos kategorija įvertinta kaip vidutinė-2 ar didelė, remiantis Tarptautinės darbo grupės sutartiniais kriterijais (angl. </w:t>
      </w:r>
      <w:r w:rsidRPr="003F564F">
        <w:rPr>
          <w:i/>
          <w:iCs/>
          <w:sz w:val="22"/>
          <w:szCs w:val="22"/>
          <w:lang w:eastAsia="lt-LT"/>
        </w:rPr>
        <w:t xml:space="preserve">International </w:t>
      </w:r>
      <w:proofErr w:type="spellStart"/>
      <w:r w:rsidRPr="003F564F">
        <w:rPr>
          <w:i/>
          <w:iCs/>
          <w:sz w:val="22"/>
          <w:szCs w:val="22"/>
          <w:lang w:eastAsia="lt-LT"/>
        </w:rPr>
        <w:t>Working</w:t>
      </w:r>
      <w:proofErr w:type="spellEnd"/>
      <w:r w:rsidRPr="003F564F">
        <w:rPr>
          <w:i/>
          <w:iCs/>
          <w:sz w:val="22"/>
          <w:szCs w:val="22"/>
          <w:lang w:eastAsia="lt-LT"/>
        </w:rPr>
        <w:t xml:space="preserve"> Group (IWG) </w:t>
      </w:r>
      <w:proofErr w:type="spellStart"/>
      <w:r w:rsidRPr="003F564F">
        <w:rPr>
          <w:i/>
          <w:iCs/>
          <w:sz w:val="22"/>
          <w:szCs w:val="22"/>
          <w:lang w:eastAsia="lt-LT"/>
        </w:rPr>
        <w:t>Consensus</w:t>
      </w:r>
      <w:proofErr w:type="spellEnd"/>
      <w:r w:rsidRPr="003F564F">
        <w:rPr>
          <w:i/>
          <w:iCs/>
          <w:sz w:val="22"/>
          <w:szCs w:val="22"/>
          <w:lang w:eastAsia="lt-LT"/>
        </w:rPr>
        <w:t xml:space="preserve"> </w:t>
      </w:r>
      <w:proofErr w:type="spellStart"/>
      <w:r w:rsidRPr="003F564F">
        <w:rPr>
          <w:i/>
          <w:iCs/>
          <w:sz w:val="22"/>
          <w:szCs w:val="22"/>
          <w:lang w:eastAsia="lt-LT"/>
        </w:rPr>
        <w:t>Criteria</w:t>
      </w:r>
      <w:proofErr w:type="spellEnd"/>
      <w:r w:rsidRPr="003F564F">
        <w:rPr>
          <w:sz w:val="22"/>
          <w:szCs w:val="22"/>
          <w:lang w:eastAsia="lt-LT"/>
        </w:rPr>
        <w:t xml:space="preserve">). Pradinė </w:t>
      </w:r>
      <w:proofErr w:type="spellStart"/>
      <w:r w:rsidR="00AB6E63" w:rsidRPr="003F564F">
        <w:rPr>
          <w:sz w:val="22"/>
          <w:szCs w:val="22"/>
          <w:lang w:eastAsia="lt-LT"/>
        </w:rPr>
        <w:t>ruksolitinibo</w:t>
      </w:r>
      <w:proofErr w:type="spellEnd"/>
      <w:r w:rsidRPr="003F564F">
        <w:rPr>
          <w:sz w:val="22"/>
          <w:szCs w:val="22"/>
          <w:lang w:eastAsia="lt-LT"/>
        </w:rPr>
        <w:t xml:space="preserve"> dozė buvo parenkama pagal trombocitų skaičių. Pacientai, kurių trombocitų skaičius ≤</w:t>
      </w:r>
      <w:r w:rsidR="00AB6E63" w:rsidRPr="003F564F">
        <w:rPr>
          <w:sz w:val="22"/>
          <w:szCs w:val="22"/>
          <w:lang w:eastAsia="lt-LT"/>
        </w:rPr>
        <w:t> </w:t>
      </w:r>
      <w:r w:rsidRPr="003F564F">
        <w:rPr>
          <w:sz w:val="22"/>
          <w:szCs w:val="22"/>
          <w:lang w:eastAsia="lt-LT"/>
        </w:rPr>
        <w:t>100</w:t>
      </w:r>
      <w:r w:rsidR="00AB6E63" w:rsidRPr="003F564F">
        <w:rPr>
          <w:sz w:val="22"/>
          <w:szCs w:val="22"/>
          <w:lang w:eastAsia="lt-LT"/>
        </w:rPr>
        <w:t> </w:t>
      </w:r>
      <w:r w:rsidRPr="003F564F">
        <w:rPr>
          <w:sz w:val="22"/>
          <w:szCs w:val="22"/>
          <w:lang w:eastAsia="lt-LT"/>
        </w:rPr>
        <w:t>000/mm</w:t>
      </w:r>
      <w:r w:rsidRPr="003F564F">
        <w:rPr>
          <w:sz w:val="22"/>
          <w:szCs w:val="22"/>
          <w:vertAlign w:val="superscript"/>
          <w:lang w:eastAsia="lt-LT"/>
        </w:rPr>
        <w:t>3</w:t>
      </w:r>
      <w:r w:rsidRPr="003F564F">
        <w:rPr>
          <w:sz w:val="22"/>
          <w:szCs w:val="22"/>
          <w:lang w:eastAsia="lt-LT"/>
        </w:rPr>
        <w:t>, nebuvo įtraukiami į COMFORT tyrimus, tačiau 69</w:t>
      </w:r>
      <w:r w:rsidR="00AB6E63" w:rsidRPr="003F564F">
        <w:rPr>
          <w:sz w:val="22"/>
          <w:szCs w:val="22"/>
          <w:lang w:eastAsia="lt-LT"/>
        </w:rPr>
        <w:t> </w:t>
      </w:r>
      <w:r w:rsidRPr="003F564F">
        <w:rPr>
          <w:sz w:val="22"/>
          <w:szCs w:val="22"/>
          <w:lang w:eastAsia="lt-LT"/>
        </w:rPr>
        <w:t xml:space="preserve">pacientai buvo įtraukti į EXPAND tyrimą </w:t>
      </w:r>
      <w:r w:rsidR="000A6D36">
        <w:rPr>
          <w:sz w:val="22"/>
          <w:szCs w:val="22"/>
          <w:lang w:eastAsia="lt-LT"/>
        </w:rPr>
        <w:t>–</w:t>
      </w:r>
      <w:r w:rsidRPr="003F564F">
        <w:rPr>
          <w:sz w:val="22"/>
          <w:szCs w:val="22"/>
          <w:lang w:eastAsia="lt-LT"/>
        </w:rPr>
        <w:t xml:space="preserve"> </w:t>
      </w:r>
      <w:proofErr w:type="spellStart"/>
      <w:r w:rsidRPr="003F564F">
        <w:rPr>
          <w:sz w:val="22"/>
          <w:szCs w:val="22"/>
          <w:lang w:eastAsia="lt-LT"/>
        </w:rPr>
        <w:t>Ib</w:t>
      </w:r>
      <w:proofErr w:type="spellEnd"/>
      <w:r w:rsidR="000A6D36">
        <w:rPr>
          <w:sz w:val="22"/>
          <w:szCs w:val="22"/>
          <w:lang w:eastAsia="lt-LT"/>
        </w:rPr>
        <w:t> </w:t>
      </w:r>
      <w:r w:rsidRPr="003F564F">
        <w:rPr>
          <w:sz w:val="22"/>
          <w:szCs w:val="22"/>
          <w:lang w:eastAsia="lt-LT"/>
        </w:rPr>
        <w:t xml:space="preserve">fazės, atvirą, dozės nustatymo tyrimą MF pacientams (pirmine MF, MF sergant tikrąja </w:t>
      </w:r>
      <w:proofErr w:type="spellStart"/>
      <w:r w:rsidRPr="003F564F">
        <w:rPr>
          <w:sz w:val="22"/>
          <w:szCs w:val="22"/>
          <w:lang w:eastAsia="lt-LT"/>
        </w:rPr>
        <w:t>policitemija</w:t>
      </w:r>
      <w:proofErr w:type="spellEnd"/>
      <w:r w:rsidRPr="003F564F">
        <w:rPr>
          <w:sz w:val="22"/>
          <w:szCs w:val="22"/>
          <w:lang w:eastAsia="lt-LT"/>
        </w:rPr>
        <w:t xml:space="preserve"> arba MF sergant pirmine </w:t>
      </w:r>
      <w:proofErr w:type="spellStart"/>
      <w:r w:rsidRPr="003F564F">
        <w:rPr>
          <w:sz w:val="22"/>
          <w:szCs w:val="22"/>
          <w:lang w:eastAsia="lt-LT"/>
        </w:rPr>
        <w:t>trombocitemija</w:t>
      </w:r>
      <w:proofErr w:type="spellEnd"/>
      <w:r w:rsidRPr="003F564F">
        <w:rPr>
          <w:sz w:val="22"/>
          <w:szCs w:val="22"/>
          <w:lang w:eastAsia="lt-LT"/>
        </w:rPr>
        <w:t>) ir esant pradiniam trombocitų skaičiui ≥</w:t>
      </w:r>
      <w:r w:rsidR="00AB6E63" w:rsidRPr="003F564F">
        <w:rPr>
          <w:sz w:val="22"/>
          <w:szCs w:val="22"/>
          <w:lang w:eastAsia="lt-LT"/>
        </w:rPr>
        <w:t> </w:t>
      </w:r>
      <w:r w:rsidRPr="003F564F">
        <w:rPr>
          <w:sz w:val="22"/>
          <w:szCs w:val="22"/>
          <w:lang w:eastAsia="lt-LT"/>
        </w:rPr>
        <w:t>50</w:t>
      </w:r>
      <w:r w:rsidR="00AB6E63" w:rsidRPr="003F564F">
        <w:rPr>
          <w:sz w:val="22"/>
          <w:szCs w:val="22"/>
          <w:lang w:eastAsia="lt-LT"/>
        </w:rPr>
        <w:t> </w:t>
      </w:r>
      <w:r w:rsidRPr="003F564F">
        <w:rPr>
          <w:sz w:val="22"/>
          <w:szCs w:val="22"/>
          <w:lang w:eastAsia="lt-LT"/>
        </w:rPr>
        <w:t>000 ir &lt;</w:t>
      </w:r>
      <w:r w:rsidR="00AB6E63" w:rsidRPr="003F564F">
        <w:rPr>
          <w:sz w:val="22"/>
          <w:szCs w:val="22"/>
          <w:lang w:eastAsia="lt-LT"/>
        </w:rPr>
        <w:t> </w:t>
      </w:r>
      <w:r w:rsidRPr="003F564F">
        <w:rPr>
          <w:sz w:val="22"/>
          <w:szCs w:val="22"/>
          <w:lang w:eastAsia="lt-LT"/>
        </w:rPr>
        <w:t>100</w:t>
      </w:r>
      <w:r w:rsidR="00AB6E63" w:rsidRPr="003F564F">
        <w:rPr>
          <w:sz w:val="22"/>
          <w:szCs w:val="22"/>
          <w:lang w:eastAsia="lt-LT"/>
        </w:rPr>
        <w:t> </w:t>
      </w:r>
      <w:r w:rsidRPr="003F564F">
        <w:rPr>
          <w:sz w:val="22"/>
          <w:szCs w:val="22"/>
          <w:lang w:eastAsia="lt-LT"/>
        </w:rPr>
        <w:t>000/mm</w:t>
      </w:r>
      <w:r w:rsidRPr="003F564F">
        <w:rPr>
          <w:sz w:val="22"/>
          <w:szCs w:val="22"/>
          <w:vertAlign w:val="superscript"/>
          <w:lang w:eastAsia="lt-LT"/>
        </w:rPr>
        <w:t>3</w:t>
      </w:r>
      <w:r w:rsidRPr="003F564F">
        <w:rPr>
          <w:sz w:val="22"/>
          <w:szCs w:val="22"/>
          <w:lang w:eastAsia="lt-LT"/>
        </w:rPr>
        <w:t>.</w:t>
      </w:r>
    </w:p>
    <w:p w14:paraId="229F53D7" w14:textId="77777777" w:rsidR="00D3679D" w:rsidRPr="003F564F" w:rsidRDefault="00D3679D" w:rsidP="0036574D">
      <w:pPr>
        <w:rPr>
          <w:sz w:val="22"/>
          <w:szCs w:val="22"/>
          <w:lang w:eastAsia="lt-LT"/>
        </w:rPr>
      </w:pPr>
    </w:p>
    <w:p w14:paraId="3D305EB9" w14:textId="24F6C7FF" w:rsidR="00D3679D" w:rsidRPr="003F564F" w:rsidRDefault="00D3679D" w:rsidP="0036574D">
      <w:pPr>
        <w:rPr>
          <w:sz w:val="22"/>
          <w:szCs w:val="22"/>
          <w:lang w:eastAsia="lt-LT"/>
        </w:rPr>
      </w:pPr>
      <w:r w:rsidRPr="003F564F">
        <w:rPr>
          <w:sz w:val="22"/>
          <w:szCs w:val="22"/>
          <w:lang w:eastAsia="lt-LT"/>
        </w:rPr>
        <w:t>COMFORT-I tyrimas buvo dvigubai koduotas, atsitiktinių imčių, placebu kontroliuojamas tyrimas, kuriame dalyvavo 309</w:t>
      </w:r>
      <w:r w:rsidR="00AB6E63" w:rsidRPr="003F564F">
        <w:rPr>
          <w:sz w:val="22"/>
          <w:szCs w:val="22"/>
          <w:lang w:eastAsia="lt-LT"/>
        </w:rPr>
        <w:t> </w:t>
      </w:r>
      <w:r w:rsidRPr="003F564F">
        <w:rPr>
          <w:sz w:val="22"/>
          <w:szCs w:val="22"/>
          <w:lang w:eastAsia="lt-LT"/>
        </w:rPr>
        <w:t>pacientai; šiems pacientams negalėjo būti skiriamas prieinamas gydymas arba jiems buvo nustatytas atsparumas turimiems gydymo metodams. Pirminė veiksmingumo vertinamoji baigtis buvo pacientų, kuriems po 24</w:t>
      </w:r>
      <w:r w:rsidR="00AB6E63" w:rsidRPr="003F564F">
        <w:rPr>
          <w:sz w:val="22"/>
          <w:szCs w:val="22"/>
          <w:lang w:eastAsia="lt-LT"/>
        </w:rPr>
        <w:t> </w:t>
      </w:r>
      <w:r w:rsidRPr="003F564F">
        <w:rPr>
          <w:sz w:val="22"/>
          <w:szCs w:val="22"/>
          <w:lang w:eastAsia="lt-LT"/>
        </w:rPr>
        <w:t>savaičių nustatytas ≥</w:t>
      </w:r>
      <w:r w:rsidR="00AB6E63" w:rsidRPr="003F564F">
        <w:rPr>
          <w:sz w:val="22"/>
          <w:szCs w:val="22"/>
          <w:lang w:eastAsia="lt-LT"/>
        </w:rPr>
        <w:t> </w:t>
      </w:r>
      <w:r w:rsidRPr="003F564F">
        <w:rPr>
          <w:sz w:val="22"/>
          <w:szCs w:val="22"/>
          <w:lang w:eastAsia="lt-LT"/>
        </w:rPr>
        <w:t>35</w:t>
      </w:r>
      <w:r w:rsidR="00AB6E63" w:rsidRPr="003F564F">
        <w:rPr>
          <w:sz w:val="22"/>
          <w:szCs w:val="22"/>
          <w:lang w:eastAsia="lt-LT"/>
        </w:rPr>
        <w:t> </w:t>
      </w:r>
      <w:r w:rsidRPr="003F564F">
        <w:rPr>
          <w:sz w:val="22"/>
          <w:szCs w:val="22"/>
          <w:lang w:eastAsia="lt-LT"/>
        </w:rPr>
        <w:t>% blužnies tūrio sumažėjimas lyginant su pradinėmis reikšmėmis ir vertinant atlikus magnetinio rezonanso tomografijos (MRT) ar kompiuterinės tomografijos (KT) tyrimus, dalis.</w:t>
      </w:r>
    </w:p>
    <w:p w14:paraId="62ACE4AD" w14:textId="77777777" w:rsidR="00D3679D" w:rsidRPr="003F564F" w:rsidRDefault="00D3679D" w:rsidP="0036574D">
      <w:pPr>
        <w:rPr>
          <w:sz w:val="22"/>
          <w:szCs w:val="22"/>
          <w:lang w:eastAsia="lt-LT"/>
        </w:rPr>
      </w:pPr>
    </w:p>
    <w:p w14:paraId="78827590" w14:textId="37EADD69" w:rsidR="00D3679D" w:rsidRPr="003F564F" w:rsidRDefault="00D3679D" w:rsidP="0036574D">
      <w:pPr>
        <w:rPr>
          <w:sz w:val="22"/>
          <w:szCs w:val="22"/>
          <w:lang w:eastAsia="lt-LT"/>
        </w:rPr>
      </w:pPr>
      <w:r w:rsidRPr="003F564F">
        <w:rPr>
          <w:sz w:val="22"/>
          <w:szCs w:val="22"/>
          <w:lang w:eastAsia="lt-LT"/>
        </w:rPr>
        <w:t>Antrinės vertinamosios baigtys buvo šios: laikotarpio, kai blužnies tūris išliko sumažėjęs ≥</w:t>
      </w:r>
      <w:r w:rsidR="00AB6E63" w:rsidRPr="003F564F">
        <w:rPr>
          <w:sz w:val="22"/>
          <w:szCs w:val="22"/>
          <w:lang w:eastAsia="lt-LT"/>
        </w:rPr>
        <w:t> </w:t>
      </w:r>
      <w:r w:rsidRPr="003F564F">
        <w:rPr>
          <w:sz w:val="22"/>
          <w:szCs w:val="22"/>
          <w:lang w:eastAsia="lt-LT"/>
        </w:rPr>
        <w:t>35</w:t>
      </w:r>
      <w:r w:rsidR="00AB6E63" w:rsidRPr="003F564F">
        <w:rPr>
          <w:sz w:val="22"/>
          <w:szCs w:val="22"/>
          <w:lang w:eastAsia="lt-LT"/>
        </w:rPr>
        <w:t> </w:t>
      </w:r>
      <w:r w:rsidRPr="003F564F">
        <w:rPr>
          <w:sz w:val="22"/>
          <w:szCs w:val="22"/>
          <w:lang w:eastAsia="lt-LT"/>
        </w:rPr>
        <w:t>% nuo pradinės reikšmės, trukmė; pacientų, kuriems bendrasis ligos simptomų įvertinimo balas sumažėjo ≥</w:t>
      </w:r>
      <w:r w:rsidR="00AB6E63" w:rsidRPr="003F564F">
        <w:rPr>
          <w:sz w:val="22"/>
          <w:szCs w:val="22"/>
          <w:lang w:eastAsia="lt-LT"/>
        </w:rPr>
        <w:t> </w:t>
      </w:r>
      <w:r w:rsidRPr="003F564F">
        <w:rPr>
          <w:sz w:val="22"/>
          <w:szCs w:val="22"/>
          <w:lang w:eastAsia="lt-LT"/>
        </w:rPr>
        <w:t>50</w:t>
      </w:r>
      <w:r w:rsidR="00AB6E63" w:rsidRPr="003F564F">
        <w:rPr>
          <w:sz w:val="22"/>
          <w:szCs w:val="22"/>
          <w:lang w:eastAsia="lt-LT"/>
        </w:rPr>
        <w:t> </w:t>
      </w:r>
      <w:r w:rsidRPr="003F564F">
        <w:rPr>
          <w:sz w:val="22"/>
          <w:szCs w:val="22"/>
          <w:lang w:eastAsia="lt-LT"/>
        </w:rPr>
        <w:t xml:space="preserve">%, dalis ir bendrojo ligos simptomų įvertinimo balo pokytis, vertinant pagal modifikuotos MF simptomų vertinimo skalės (angl. </w:t>
      </w:r>
      <w:proofErr w:type="spellStart"/>
      <w:r w:rsidRPr="003F564F">
        <w:rPr>
          <w:i/>
          <w:iCs/>
          <w:sz w:val="22"/>
          <w:szCs w:val="22"/>
          <w:lang w:eastAsia="lt-LT"/>
        </w:rPr>
        <w:t>Myelofibrosis</w:t>
      </w:r>
      <w:proofErr w:type="spellEnd"/>
      <w:r w:rsidRPr="003F564F">
        <w:rPr>
          <w:i/>
          <w:iCs/>
          <w:sz w:val="22"/>
          <w:szCs w:val="22"/>
          <w:lang w:eastAsia="lt-LT"/>
        </w:rPr>
        <w:t xml:space="preserve"> </w:t>
      </w:r>
      <w:proofErr w:type="spellStart"/>
      <w:r w:rsidRPr="003F564F">
        <w:rPr>
          <w:i/>
          <w:iCs/>
          <w:sz w:val="22"/>
          <w:szCs w:val="22"/>
          <w:lang w:eastAsia="lt-LT"/>
        </w:rPr>
        <w:t>Symptom</w:t>
      </w:r>
      <w:proofErr w:type="spellEnd"/>
      <w:r w:rsidRPr="003F564F">
        <w:rPr>
          <w:i/>
          <w:iCs/>
          <w:sz w:val="22"/>
          <w:szCs w:val="22"/>
          <w:lang w:eastAsia="lt-LT"/>
        </w:rPr>
        <w:t xml:space="preserve"> </w:t>
      </w:r>
      <w:proofErr w:type="spellStart"/>
      <w:r w:rsidRPr="003F564F">
        <w:rPr>
          <w:i/>
          <w:iCs/>
          <w:sz w:val="22"/>
          <w:szCs w:val="22"/>
          <w:lang w:eastAsia="lt-LT"/>
        </w:rPr>
        <w:t>Assessment</w:t>
      </w:r>
      <w:proofErr w:type="spellEnd"/>
      <w:r w:rsidRPr="003F564F">
        <w:rPr>
          <w:i/>
          <w:iCs/>
          <w:sz w:val="22"/>
          <w:szCs w:val="22"/>
          <w:lang w:eastAsia="lt-LT"/>
        </w:rPr>
        <w:t xml:space="preserve"> </w:t>
      </w:r>
      <w:proofErr w:type="spellStart"/>
      <w:r w:rsidRPr="003F564F">
        <w:rPr>
          <w:i/>
          <w:iCs/>
          <w:sz w:val="22"/>
          <w:szCs w:val="22"/>
          <w:lang w:eastAsia="lt-LT"/>
        </w:rPr>
        <w:t>Form</w:t>
      </w:r>
      <w:proofErr w:type="spellEnd"/>
      <w:r w:rsidRPr="003F564F">
        <w:rPr>
          <w:i/>
          <w:iCs/>
          <w:sz w:val="22"/>
          <w:szCs w:val="22"/>
          <w:lang w:eastAsia="lt-LT"/>
        </w:rPr>
        <w:t xml:space="preserve"> - MFSAF</w:t>
      </w:r>
      <w:r w:rsidRPr="003F564F">
        <w:rPr>
          <w:sz w:val="22"/>
          <w:szCs w:val="22"/>
          <w:lang w:eastAsia="lt-LT"/>
        </w:rPr>
        <w:t>) v2.0 dienyną nuo pradinės reikšmės iki 24</w:t>
      </w:r>
      <w:r w:rsidR="00AB6E63" w:rsidRPr="003F564F">
        <w:rPr>
          <w:sz w:val="22"/>
          <w:szCs w:val="22"/>
          <w:lang w:eastAsia="lt-LT"/>
        </w:rPr>
        <w:t> </w:t>
      </w:r>
      <w:r w:rsidRPr="003F564F">
        <w:rPr>
          <w:sz w:val="22"/>
          <w:szCs w:val="22"/>
          <w:lang w:eastAsia="lt-LT"/>
        </w:rPr>
        <w:t>savaitės įvertinimo; bei bendrojo išgyvenimo dažnis.</w:t>
      </w:r>
    </w:p>
    <w:p w14:paraId="7803F1F2" w14:textId="77777777" w:rsidR="00D3679D" w:rsidRPr="003F564F" w:rsidRDefault="00D3679D" w:rsidP="0036574D">
      <w:pPr>
        <w:rPr>
          <w:sz w:val="22"/>
          <w:szCs w:val="22"/>
          <w:lang w:eastAsia="lt-LT"/>
        </w:rPr>
      </w:pPr>
    </w:p>
    <w:p w14:paraId="4B5DA1CC" w14:textId="53201093" w:rsidR="00D3679D" w:rsidRPr="003F564F" w:rsidRDefault="00D3679D" w:rsidP="0036574D">
      <w:pPr>
        <w:rPr>
          <w:sz w:val="22"/>
          <w:szCs w:val="22"/>
          <w:lang w:eastAsia="lt-LT"/>
        </w:rPr>
      </w:pPr>
      <w:r w:rsidRPr="003F564F">
        <w:rPr>
          <w:sz w:val="22"/>
          <w:szCs w:val="22"/>
          <w:lang w:eastAsia="lt-LT"/>
        </w:rPr>
        <w:t>COMFORT-II tyrimas buvo atviras, atsitiktinių imčių tyrimas, kuriame dalyvavo 219</w:t>
      </w:r>
      <w:r w:rsidR="00AB6E63" w:rsidRPr="003F564F">
        <w:rPr>
          <w:sz w:val="22"/>
          <w:szCs w:val="22"/>
          <w:lang w:eastAsia="lt-LT"/>
        </w:rPr>
        <w:t> </w:t>
      </w:r>
      <w:r w:rsidRPr="003F564F">
        <w:rPr>
          <w:sz w:val="22"/>
          <w:szCs w:val="22"/>
          <w:lang w:eastAsia="lt-LT"/>
        </w:rPr>
        <w:t xml:space="preserve">pacientų. Pacientai buvo atsitiktiniu būdu suskirstyti į dvi grupes santykiu 2:1 ir jiems buvo skiriama </w:t>
      </w:r>
      <w:proofErr w:type="spellStart"/>
      <w:r w:rsidRPr="003F564F">
        <w:rPr>
          <w:sz w:val="22"/>
          <w:szCs w:val="22"/>
          <w:lang w:eastAsia="lt-LT"/>
        </w:rPr>
        <w:t>ruksolitinibo</w:t>
      </w:r>
      <w:proofErr w:type="spellEnd"/>
      <w:r w:rsidRPr="003F564F">
        <w:rPr>
          <w:sz w:val="22"/>
          <w:szCs w:val="22"/>
          <w:lang w:eastAsia="lt-LT"/>
        </w:rPr>
        <w:t xml:space="preserve"> arba geriausias prieinamas gydymas. Geriausią prieinamą gydymą gavusiųjų grupėje </w:t>
      </w:r>
      <w:r w:rsidRPr="003F564F">
        <w:rPr>
          <w:sz w:val="22"/>
          <w:szCs w:val="22"/>
          <w:lang w:eastAsia="lt-LT"/>
        </w:rPr>
        <w:lastRenderedPageBreak/>
        <w:t>47</w:t>
      </w:r>
      <w:r w:rsidR="00AB6E63" w:rsidRPr="003F564F">
        <w:rPr>
          <w:sz w:val="22"/>
          <w:szCs w:val="22"/>
          <w:lang w:eastAsia="lt-LT"/>
        </w:rPr>
        <w:t> </w:t>
      </w:r>
      <w:r w:rsidRPr="003F564F">
        <w:rPr>
          <w:sz w:val="22"/>
          <w:szCs w:val="22"/>
          <w:lang w:eastAsia="lt-LT"/>
        </w:rPr>
        <w:t xml:space="preserve">% pacientų buvo skiriama </w:t>
      </w:r>
      <w:proofErr w:type="spellStart"/>
      <w:r w:rsidRPr="003F564F">
        <w:rPr>
          <w:sz w:val="22"/>
          <w:szCs w:val="22"/>
          <w:lang w:eastAsia="lt-LT"/>
        </w:rPr>
        <w:t>hidroksikarbamido</w:t>
      </w:r>
      <w:proofErr w:type="spellEnd"/>
      <w:r w:rsidRPr="003F564F">
        <w:rPr>
          <w:sz w:val="22"/>
          <w:szCs w:val="22"/>
          <w:lang w:eastAsia="lt-LT"/>
        </w:rPr>
        <w:t>, o 16</w:t>
      </w:r>
      <w:r w:rsidR="00AB6E63" w:rsidRPr="003F564F">
        <w:rPr>
          <w:sz w:val="22"/>
          <w:szCs w:val="22"/>
          <w:lang w:eastAsia="lt-LT"/>
        </w:rPr>
        <w:t> </w:t>
      </w:r>
      <w:r w:rsidRPr="003F564F">
        <w:rPr>
          <w:sz w:val="22"/>
          <w:szCs w:val="22"/>
          <w:lang w:eastAsia="lt-LT"/>
        </w:rPr>
        <w:t xml:space="preserve">% pacientų - </w:t>
      </w:r>
      <w:proofErr w:type="spellStart"/>
      <w:r w:rsidRPr="003F564F">
        <w:rPr>
          <w:sz w:val="22"/>
          <w:szCs w:val="22"/>
          <w:lang w:eastAsia="lt-LT"/>
        </w:rPr>
        <w:t>gliukokortikoidų</w:t>
      </w:r>
      <w:proofErr w:type="spellEnd"/>
      <w:r w:rsidRPr="003F564F">
        <w:rPr>
          <w:sz w:val="22"/>
          <w:szCs w:val="22"/>
          <w:lang w:eastAsia="lt-LT"/>
        </w:rPr>
        <w:t>. Pirminė veiksmingumo vertinamoji baigtis buvo pacientų, kuriems po 48</w:t>
      </w:r>
      <w:r w:rsidR="00AB6E63" w:rsidRPr="003F564F">
        <w:rPr>
          <w:sz w:val="22"/>
          <w:szCs w:val="22"/>
          <w:lang w:eastAsia="lt-LT"/>
        </w:rPr>
        <w:t> </w:t>
      </w:r>
      <w:r w:rsidRPr="003F564F">
        <w:rPr>
          <w:sz w:val="22"/>
          <w:szCs w:val="22"/>
          <w:lang w:eastAsia="lt-LT"/>
        </w:rPr>
        <w:t>savaičių nustatytas ≥</w:t>
      </w:r>
      <w:r w:rsidR="00AB6E63" w:rsidRPr="003F564F">
        <w:rPr>
          <w:sz w:val="22"/>
          <w:szCs w:val="22"/>
          <w:lang w:eastAsia="lt-LT"/>
        </w:rPr>
        <w:t> </w:t>
      </w:r>
      <w:r w:rsidRPr="003F564F">
        <w:rPr>
          <w:sz w:val="22"/>
          <w:szCs w:val="22"/>
          <w:lang w:eastAsia="lt-LT"/>
        </w:rPr>
        <w:t>35</w:t>
      </w:r>
      <w:r w:rsidR="00AB6E63" w:rsidRPr="003F564F">
        <w:rPr>
          <w:sz w:val="22"/>
          <w:szCs w:val="22"/>
          <w:lang w:eastAsia="lt-LT"/>
        </w:rPr>
        <w:t> </w:t>
      </w:r>
      <w:r w:rsidRPr="003F564F">
        <w:rPr>
          <w:sz w:val="22"/>
          <w:szCs w:val="22"/>
          <w:lang w:eastAsia="lt-LT"/>
        </w:rPr>
        <w:t>% blužnies tūrio sumažėjimas lyginant su pradinėmis reikšmėmis ir vertinant atlikus MRT ar KT tyrimus, dalis.</w:t>
      </w:r>
    </w:p>
    <w:p w14:paraId="3D930EFA" w14:textId="77777777" w:rsidR="00D3679D" w:rsidRPr="003F564F" w:rsidRDefault="00D3679D" w:rsidP="0036574D">
      <w:pPr>
        <w:rPr>
          <w:sz w:val="22"/>
          <w:szCs w:val="22"/>
          <w:lang w:eastAsia="lt-LT"/>
        </w:rPr>
      </w:pPr>
    </w:p>
    <w:p w14:paraId="2F0EAD47" w14:textId="476904D0" w:rsidR="00D3679D" w:rsidRPr="003F564F" w:rsidRDefault="00D3679D" w:rsidP="0036574D">
      <w:pPr>
        <w:rPr>
          <w:sz w:val="22"/>
          <w:szCs w:val="22"/>
          <w:lang w:eastAsia="lt-LT"/>
        </w:rPr>
      </w:pPr>
      <w:r w:rsidRPr="003F564F">
        <w:rPr>
          <w:sz w:val="22"/>
          <w:szCs w:val="22"/>
          <w:lang w:eastAsia="lt-LT"/>
        </w:rPr>
        <w:t>Antrinės vertinamosios baigtys buvo šios: pacientų, kuriems po 24</w:t>
      </w:r>
      <w:r w:rsidR="00AB6E63" w:rsidRPr="003F564F">
        <w:rPr>
          <w:sz w:val="22"/>
          <w:szCs w:val="22"/>
          <w:lang w:eastAsia="lt-LT"/>
        </w:rPr>
        <w:t> </w:t>
      </w:r>
      <w:r w:rsidRPr="003F564F">
        <w:rPr>
          <w:sz w:val="22"/>
          <w:szCs w:val="22"/>
          <w:lang w:eastAsia="lt-LT"/>
        </w:rPr>
        <w:t>savaičių nustatytas ≥</w:t>
      </w:r>
      <w:r w:rsidR="00AB6E63" w:rsidRPr="003F564F">
        <w:rPr>
          <w:sz w:val="22"/>
          <w:szCs w:val="22"/>
          <w:lang w:eastAsia="lt-LT"/>
        </w:rPr>
        <w:t> </w:t>
      </w:r>
      <w:r w:rsidRPr="003F564F">
        <w:rPr>
          <w:sz w:val="22"/>
          <w:szCs w:val="22"/>
          <w:lang w:eastAsia="lt-LT"/>
        </w:rPr>
        <w:t>35</w:t>
      </w:r>
      <w:r w:rsidR="00AB6E63" w:rsidRPr="003F564F">
        <w:rPr>
          <w:sz w:val="22"/>
          <w:szCs w:val="22"/>
          <w:lang w:eastAsia="lt-LT"/>
        </w:rPr>
        <w:t> </w:t>
      </w:r>
      <w:r w:rsidRPr="003F564F">
        <w:rPr>
          <w:sz w:val="22"/>
          <w:szCs w:val="22"/>
          <w:lang w:eastAsia="lt-LT"/>
        </w:rPr>
        <w:t>% blužnies tūrio sumažėjimas lyginant su pradinėmis reikšmėmis, dalis bei laikotarpio, kai blužnies tūris išliko sumažėjęs ≥</w:t>
      </w:r>
      <w:r w:rsidR="00AB6E63" w:rsidRPr="003F564F">
        <w:rPr>
          <w:sz w:val="22"/>
          <w:szCs w:val="22"/>
          <w:lang w:eastAsia="lt-LT"/>
        </w:rPr>
        <w:t> </w:t>
      </w:r>
      <w:r w:rsidRPr="003F564F">
        <w:rPr>
          <w:sz w:val="22"/>
          <w:szCs w:val="22"/>
          <w:lang w:eastAsia="lt-LT"/>
        </w:rPr>
        <w:t>35</w:t>
      </w:r>
      <w:r w:rsidR="00AB6E63" w:rsidRPr="003F564F">
        <w:rPr>
          <w:sz w:val="22"/>
          <w:szCs w:val="22"/>
          <w:lang w:eastAsia="lt-LT"/>
        </w:rPr>
        <w:t> </w:t>
      </w:r>
      <w:r w:rsidRPr="003F564F">
        <w:rPr>
          <w:sz w:val="22"/>
          <w:szCs w:val="22"/>
          <w:lang w:eastAsia="lt-LT"/>
        </w:rPr>
        <w:t>% nuo pradinės reikšmės, trukmė.</w:t>
      </w:r>
    </w:p>
    <w:p w14:paraId="4D982FE8" w14:textId="77777777" w:rsidR="00D3679D" w:rsidRPr="003F564F" w:rsidRDefault="00D3679D" w:rsidP="0036574D">
      <w:pPr>
        <w:rPr>
          <w:sz w:val="22"/>
          <w:szCs w:val="22"/>
          <w:lang w:eastAsia="lt-LT"/>
        </w:rPr>
      </w:pPr>
    </w:p>
    <w:p w14:paraId="3A5E0FDF" w14:textId="6871939C" w:rsidR="00D3679D" w:rsidRPr="003F564F" w:rsidRDefault="00D3679D" w:rsidP="0036574D">
      <w:pPr>
        <w:rPr>
          <w:sz w:val="22"/>
          <w:szCs w:val="22"/>
          <w:lang w:eastAsia="lt-LT"/>
        </w:rPr>
      </w:pPr>
      <w:r w:rsidRPr="003F564F">
        <w:rPr>
          <w:sz w:val="22"/>
          <w:szCs w:val="22"/>
          <w:lang w:eastAsia="lt-LT"/>
        </w:rPr>
        <w:t>COMFORT-I ir COMFORT-II tyrimuose dalyvavusių pacientų pradiniai demografiniai duomenys ir ligos ypatybės tiriamosiose grupėse buvo panašūs.</w:t>
      </w:r>
    </w:p>
    <w:p w14:paraId="645306B4" w14:textId="77777777" w:rsidR="00D3679D" w:rsidRPr="003F564F" w:rsidRDefault="00D3679D" w:rsidP="0036574D">
      <w:pPr>
        <w:rPr>
          <w:sz w:val="22"/>
          <w:szCs w:val="22"/>
          <w:lang w:eastAsia="lt-LT"/>
        </w:rPr>
      </w:pPr>
    </w:p>
    <w:p w14:paraId="5073C72F" w14:textId="47C2CD04" w:rsidR="00D3679D" w:rsidRPr="003F564F" w:rsidRDefault="00D3679D" w:rsidP="00AB6E63">
      <w:pPr>
        <w:ind w:left="1290" w:hanging="1290"/>
        <w:rPr>
          <w:b/>
          <w:bCs/>
          <w:sz w:val="22"/>
          <w:szCs w:val="22"/>
          <w:lang w:eastAsia="lt-LT"/>
        </w:rPr>
      </w:pPr>
      <w:r w:rsidRPr="003F564F">
        <w:rPr>
          <w:b/>
          <w:bCs/>
          <w:sz w:val="22"/>
          <w:szCs w:val="22"/>
          <w:lang w:eastAsia="lt-LT"/>
        </w:rPr>
        <w:t>8</w:t>
      </w:r>
      <w:r w:rsidR="00AB6E63" w:rsidRPr="003F564F">
        <w:rPr>
          <w:b/>
          <w:bCs/>
          <w:sz w:val="22"/>
          <w:szCs w:val="22"/>
          <w:lang w:eastAsia="lt-LT"/>
        </w:rPr>
        <w:t> </w:t>
      </w:r>
      <w:r w:rsidRPr="003F564F">
        <w:rPr>
          <w:b/>
          <w:bCs/>
          <w:sz w:val="22"/>
          <w:szCs w:val="22"/>
          <w:lang w:eastAsia="lt-LT"/>
        </w:rPr>
        <w:t>lentelė</w:t>
      </w:r>
      <w:r w:rsidR="00AB6E63" w:rsidRPr="003F564F">
        <w:rPr>
          <w:b/>
          <w:bCs/>
          <w:sz w:val="22"/>
          <w:szCs w:val="22"/>
          <w:lang w:eastAsia="lt-LT"/>
        </w:rPr>
        <w:tab/>
      </w:r>
      <w:r w:rsidRPr="003F564F">
        <w:rPr>
          <w:b/>
          <w:bCs/>
          <w:sz w:val="22"/>
          <w:szCs w:val="22"/>
          <w:lang w:eastAsia="lt-LT"/>
        </w:rPr>
        <w:t>Pacientų, kuriems nustatytas ≥</w:t>
      </w:r>
      <w:r w:rsidR="00AB6E63" w:rsidRPr="003F564F">
        <w:rPr>
          <w:b/>
          <w:bCs/>
          <w:sz w:val="22"/>
          <w:szCs w:val="22"/>
          <w:lang w:eastAsia="lt-LT"/>
        </w:rPr>
        <w:t> </w:t>
      </w:r>
      <w:r w:rsidRPr="003F564F">
        <w:rPr>
          <w:b/>
          <w:bCs/>
          <w:sz w:val="22"/>
          <w:szCs w:val="22"/>
          <w:lang w:eastAsia="lt-LT"/>
        </w:rPr>
        <w:t>35</w:t>
      </w:r>
      <w:r w:rsidR="00AB6E63" w:rsidRPr="003F564F">
        <w:rPr>
          <w:b/>
          <w:bCs/>
          <w:sz w:val="22"/>
          <w:szCs w:val="22"/>
          <w:lang w:eastAsia="lt-LT"/>
        </w:rPr>
        <w:t> </w:t>
      </w:r>
      <w:r w:rsidRPr="003F564F">
        <w:rPr>
          <w:b/>
          <w:bCs/>
          <w:sz w:val="22"/>
          <w:szCs w:val="22"/>
          <w:lang w:eastAsia="lt-LT"/>
        </w:rPr>
        <w:t>% blužnies tūrio sumažėjimas lyginant su pradinėmis reikšmėmis po 24</w:t>
      </w:r>
      <w:r w:rsidR="00AB6E63" w:rsidRPr="003F564F">
        <w:rPr>
          <w:b/>
          <w:bCs/>
          <w:sz w:val="22"/>
          <w:szCs w:val="22"/>
          <w:lang w:eastAsia="lt-LT"/>
        </w:rPr>
        <w:t> </w:t>
      </w:r>
      <w:r w:rsidRPr="003F564F">
        <w:rPr>
          <w:b/>
          <w:bCs/>
          <w:sz w:val="22"/>
          <w:szCs w:val="22"/>
          <w:lang w:eastAsia="lt-LT"/>
        </w:rPr>
        <w:t>savaičių COMFORT-I tyrimo metu ir po 48</w:t>
      </w:r>
      <w:r w:rsidR="00AB6E63" w:rsidRPr="003F564F">
        <w:rPr>
          <w:b/>
          <w:bCs/>
          <w:sz w:val="22"/>
          <w:szCs w:val="22"/>
          <w:lang w:eastAsia="lt-LT"/>
        </w:rPr>
        <w:t> </w:t>
      </w:r>
      <w:r w:rsidRPr="003F564F">
        <w:rPr>
          <w:b/>
          <w:bCs/>
          <w:sz w:val="22"/>
          <w:szCs w:val="22"/>
          <w:lang w:eastAsia="lt-LT"/>
        </w:rPr>
        <w:t>savaičių COMFORT-II tyrimo metu, procentinė dalis (ITT populiacijos duomenys)</w:t>
      </w:r>
    </w:p>
    <w:p w14:paraId="56C53D9B" w14:textId="77777777" w:rsidR="00D3679D" w:rsidRPr="003F564F" w:rsidRDefault="00D3679D" w:rsidP="0036574D">
      <w:pPr>
        <w:rPr>
          <w:sz w:val="22"/>
          <w:szCs w:val="22"/>
          <w:lang w:eastAsia="lt-LT"/>
        </w:rPr>
      </w:pPr>
    </w:p>
    <w:tbl>
      <w:tblPr>
        <w:tblStyle w:val="Lentelstinklelis"/>
        <w:tblW w:w="0" w:type="auto"/>
        <w:tblLook w:val="04A0" w:firstRow="1" w:lastRow="0" w:firstColumn="1" w:lastColumn="0" w:noHBand="0" w:noVBand="1"/>
      </w:tblPr>
      <w:tblGrid>
        <w:gridCol w:w="2423"/>
        <w:gridCol w:w="1652"/>
        <w:gridCol w:w="1559"/>
        <w:gridCol w:w="1658"/>
        <w:gridCol w:w="1768"/>
      </w:tblGrid>
      <w:tr w:rsidR="00895A07" w:rsidRPr="003F564F" w14:paraId="7F0407B0" w14:textId="77777777" w:rsidTr="00AB6E63">
        <w:tc>
          <w:tcPr>
            <w:tcW w:w="2660" w:type="dxa"/>
            <w:vMerge w:val="restart"/>
          </w:tcPr>
          <w:p w14:paraId="46002D18" w14:textId="77777777" w:rsidR="00895A07" w:rsidRPr="003F564F" w:rsidRDefault="00895A07" w:rsidP="00D3679D">
            <w:pPr>
              <w:jc w:val="both"/>
              <w:rPr>
                <w:sz w:val="22"/>
                <w:szCs w:val="22"/>
                <w:lang w:eastAsia="lt-LT"/>
              </w:rPr>
            </w:pPr>
          </w:p>
        </w:tc>
        <w:tc>
          <w:tcPr>
            <w:tcW w:w="3402" w:type="dxa"/>
            <w:gridSpan w:val="2"/>
          </w:tcPr>
          <w:p w14:paraId="0C19167A" w14:textId="5FB4BBBC" w:rsidR="00895A07" w:rsidRPr="003F564F" w:rsidRDefault="00895A07" w:rsidP="00AB6E63">
            <w:pPr>
              <w:jc w:val="center"/>
              <w:rPr>
                <w:sz w:val="22"/>
                <w:szCs w:val="22"/>
                <w:lang w:eastAsia="lt-LT"/>
              </w:rPr>
            </w:pPr>
            <w:r w:rsidRPr="003F564F">
              <w:rPr>
                <w:sz w:val="22"/>
                <w:szCs w:val="22"/>
                <w:lang w:eastAsia="lt-LT"/>
              </w:rPr>
              <w:t>COMFORT-I tyrimas</w:t>
            </w:r>
          </w:p>
        </w:tc>
        <w:tc>
          <w:tcPr>
            <w:tcW w:w="3652" w:type="dxa"/>
            <w:gridSpan w:val="2"/>
          </w:tcPr>
          <w:p w14:paraId="7EE3AA2A" w14:textId="38AEFF1E" w:rsidR="00895A07" w:rsidRPr="003F564F" w:rsidRDefault="00895A07" w:rsidP="00AB6E63">
            <w:pPr>
              <w:jc w:val="center"/>
              <w:rPr>
                <w:sz w:val="22"/>
                <w:szCs w:val="22"/>
                <w:lang w:eastAsia="lt-LT"/>
              </w:rPr>
            </w:pPr>
            <w:r w:rsidRPr="003F564F">
              <w:rPr>
                <w:sz w:val="22"/>
                <w:szCs w:val="22"/>
                <w:lang w:eastAsia="lt-LT"/>
              </w:rPr>
              <w:t>COMFORT-II tyrimas</w:t>
            </w:r>
          </w:p>
        </w:tc>
      </w:tr>
      <w:tr w:rsidR="00895A07" w:rsidRPr="003F564F" w14:paraId="76A8A9ED" w14:textId="77777777" w:rsidTr="00AB6E63">
        <w:tc>
          <w:tcPr>
            <w:tcW w:w="2660" w:type="dxa"/>
            <w:vMerge/>
          </w:tcPr>
          <w:p w14:paraId="58A7E3A5" w14:textId="77777777" w:rsidR="00895A07" w:rsidRPr="003F564F" w:rsidRDefault="00895A07" w:rsidP="00D3679D">
            <w:pPr>
              <w:jc w:val="both"/>
              <w:rPr>
                <w:sz w:val="22"/>
                <w:szCs w:val="22"/>
                <w:lang w:eastAsia="lt-LT"/>
              </w:rPr>
            </w:pPr>
          </w:p>
        </w:tc>
        <w:tc>
          <w:tcPr>
            <w:tcW w:w="1701" w:type="dxa"/>
          </w:tcPr>
          <w:p w14:paraId="1A20578A" w14:textId="193BAECE" w:rsidR="00895A07" w:rsidRPr="003F564F" w:rsidRDefault="00895A07" w:rsidP="00AB6E63">
            <w:pPr>
              <w:jc w:val="center"/>
              <w:rPr>
                <w:sz w:val="22"/>
                <w:szCs w:val="22"/>
                <w:lang w:eastAsia="lt-LT"/>
              </w:rPr>
            </w:pPr>
            <w:proofErr w:type="spellStart"/>
            <w:r w:rsidRPr="003F564F">
              <w:rPr>
                <w:sz w:val="22"/>
                <w:szCs w:val="22"/>
                <w:lang w:eastAsia="lt-LT"/>
              </w:rPr>
              <w:t>Ruksolitinibas</w:t>
            </w:r>
            <w:proofErr w:type="spellEnd"/>
          </w:p>
          <w:p w14:paraId="3BD522C2" w14:textId="5E42F266" w:rsidR="00895A07" w:rsidRPr="003F564F" w:rsidRDefault="00895A07" w:rsidP="00AB6E63">
            <w:pPr>
              <w:jc w:val="center"/>
              <w:rPr>
                <w:sz w:val="22"/>
                <w:szCs w:val="22"/>
                <w:lang w:eastAsia="lt-LT"/>
              </w:rPr>
            </w:pPr>
            <w:r w:rsidRPr="003F564F">
              <w:rPr>
                <w:sz w:val="22"/>
                <w:szCs w:val="22"/>
                <w:lang w:eastAsia="lt-LT"/>
              </w:rPr>
              <w:t>(N = 155)</w:t>
            </w:r>
          </w:p>
        </w:tc>
        <w:tc>
          <w:tcPr>
            <w:tcW w:w="1701" w:type="dxa"/>
          </w:tcPr>
          <w:p w14:paraId="5486042E" w14:textId="77777777" w:rsidR="00895A07" w:rsidRPr="003F564F" w:rsidRDefault="00895A07" w:rsidP="00AB6E63">
            <w:pPr>
              <w:jc w:val="center"/>
              <w:rPr>
                <w:sz w:val="22"/>
                <w:szCs w:val="22"/>
                <w:lang w:eastAsia="lt-LT"/>
              </w:rPr>
            </w:pPr>
            <w:r w:rsidRPr="003F564F">
              <w:rPr>
                <w:sz w:val="22"/>
                <w:szCs w:val="22"/>
                <w:lang w:eastAsia="lt-LT"/>
              </w:rPr>
              <w:t>Placebas</w:t>
            </w:r>
          </w:p>
          <w:p w14:paraId="7AA342F1" w14:textId="6E39B1EF" w:rsidR="00895A07" w:rsidRPr="003F564F" w:rsidRDefault="00895A07" w:rsidP="00AB6E63">
            <w:pPr>
              <w:jc w:val="center"/>
              <w:rPr>
                <w:sz w:val="22"/>
                <w:szCs w:val="22"/>
                <w:lang w:eastAsia="lt-LT"/>
              </w:rPr>
            </w:pPr>
            <w:r w:rsidRPr="003F564F">
              <w:rPr>
                <w:sz w:val="22"/>
                <w:szCs w:val="22"/>
                <w:lang w:eastAsia="lt-LT"/>
              </w:rPr>
              <w:t>(N = 153)</w:t>
            </w:r>
          </w:p>
        </w:tc>
        <w:tc>
          <w:tcPr>
            <w:tcW w:w="1709" w:type="dxa"/>
          </w:tcPr>
          <w:p w14:paraId="243227FE" w14:textId="77777777" w:rsidR="00895A07" w:rsidRPr="003F564F" w:rsidRDefault="00895A07" w:rsidP="00AB6E63">
            <w:pPr>
              <w:jc w:val="center"/>
              <w:rPr>
                <w:sz w:val="22"/>
                <w:szCs w:val="22"/>
                <w:lang w:eastAsia="lt-LT"/>
              </w:rPr>
            </w:pPr>
            <w:proofErr w:type="spellStart"/>
            <w:r w:rsidRPr="003F564F">
              <w:rPr>
                <w:sz w:val="22"/>
                <w:szCs w:val="22"/>
                <w:lang w:eastAsia="lt-LT"/>
              </w:rPr>
              <w:t>Ruksolitinibas</w:t>
            </w:r>
            <w:proofErr w:type="spellEnd"/>
          </w:p>
          <w:p w14:paraId="644C08EA" w14:textId="4D97B38E" w:rsidR="00895A07" w:rsidRPr="003F564F" w:rsidRDefault="00895A07" w:rsidP="00AB6E63">
            <w:pPr>
              <w:jc w:val="center"/>
              <w:rPr>
                <w:sz w:val="22"/>
                <w:szCs w:val="22"/>
                <w:lang w:eastAsia="lt-LT"/>
              </w:rPr>
            </w:pPr>
            <w:r w:rsidRPr="003F564F">
              <w:rPr>
                <w:sz w:val="22"/>
                <w:szCs w:val="22"/>
                <w:lang w:eastAsia="lt-LT"/>
              </w:rPr>
              <w:t>(N = 144)</w:t>
            </w:r>
          </w:p>
        </w:tc>
        <w:tc>
          <w:tcPr>
            <w:tcW w:w="1943" w:type="dxa"/>
          </w:tcPr>
          <w:p w14:paraId="4609E168" w14:textId="0EB07C8D" w:rsidR="00895A07" w:rsidRPr="003F564F" w:rsidRDefault="00895A07" w:rsidP="00AB6E63">
            <w:pPr>
              <w:jc w:val="center"/>
              <w:rPr>
                <w:sz w:val="22"/>
                <w:szCs w:val="22"/>
                <w:lang w:eastAsia="lt-LT"/>
              </w:rPr>
            </w:pPr>
            <w:r w:rsidRPr="003F564F">
              <w:rPr>
                <w:sz w:val="22"/>
                <w:szCs w:val="22"/>
                <w:lang w:eastAsia="lt-LT"/>
              </w:rPr>
              <w:t>Geriausias prieinamas gydymas</w:t>
            </w:r>
          </w:p>
          <w:p w14:paraId="53FEF277" w14:textId="244E1996" w:rsidR="00895A07" w:rsidRPr="003F564F" w:rsidRDefault="00895A07" w:rsidP="00AB6E63">
            <w:pPr>
              <w:jc w:val="center"/>
              <w:rPr>
                <w:sz w:val="22"/>
                <w:szCs w:val="22"/>
                <w:lang w:eastAsia="lt-LT"/>
              </w:rPr>
            </w:pPr>
            <w:r w:rsidRPr="003F564F">
              <w:rPr>
                <w:sz w:val="22"/>
                <w:szCs w:val="22"/>
                <w:lang w:eastAsia="lt-LT"/>
              </w:rPr>
              <w:t>(N = 72)</w:t>
            </w:r>
          </w:p>
        </w:tc>
      </w:tr>
      <w:tr w:rsidR="00AB6E63" w:rsidRPr="003F564F" w14:paraId="2D6D290F" w14:textId="77777777" w:rsidTr="00AB6E63">
        <w:tc>
          <w:tcPr>
            <w:tcW w:w="2660" w:type="dxa"/>
          </w:tcPr>
          <w:p w14:paraId="3F8BDC1D" w14:textId="30EFEC09" w:rsidR="00AB6E63" w:rsidRPr="003F564F" w:rsidRDefault="00AB6E63" w:rsidP="00AB6E63">
            <w:pPr>
              <w:rPr>
                <w:sz w:val="22"/>
                <w:szCs w:val="22"/>
                <w:lang w:eastAsia="lt-LT"/>
              </w:rPr>
            </w:pPr>
            <w:r w:rsidRPr="003F564F">
              <w:rPr>
                <w:sz w:val="22"/>
                <w:szCs w:val="22"/>
                <w:lang w:eastAsia="lt-LT"/>
              </w:rPr>
              <w:t>Vertinimo laikotarpis</w:t>
            </w:r>
          </w:p>
        </w:tc>
        <w:tc>
          <w:tcPr>
            <w:tcW w:w="3402" w:type="dxa"/>
            <w:gridSpan w:val="2"/>
          </w:tcPr>
          <w:p w14:paraId="46F9A672" w14:textId="02E37973" w:rsidR="00AB6E63" w:rsidRPr="003F564F" w:rsidRDefault="00AB6E63" w:rsidP="00AB6E63">
            <w:pPr>
              <w:jc w:val="center"/>
              <w:rPr>
                <w:sz w:val="22"/>
                <w:szCs w:val="22"/>
                <w:lang w:eastAsia="lt-LT"/>
              </w:rPr>
            </w:pPr>
            <w:r w:rsidRPr="003F564F">
              <w:rPr>
                <w:sz w:val="22"/>
                <w:szCs w:val="22"/>
                <w:lang w:eastAsia="lt-LT"/>
              </w:rPr>
              <w:t>24</w:t>
            </w:r>
            <w:r w:rsidRPr="003F564F">
              <w:rPr>
                <w:sz w:val="22"/>
                <w:szCs w:val="22"/>
                <w:lang w:eastAsia="lt-LT"/>
              </w:rPr>
              <w:noBreakHyphen/>
              <w:t>oji savaitė</w:t>
            </w:r>
          </w:p>
        </w:tc>
        <w:tc>
          <w:tcPr>
            <w:tcW w:w="3652" w:type="dxa"/>
            <w:gridSpan w:val="2"/>
          </w:tcPr>
          <w:p w14:paraId="4949C090" w14:textId="5F48E6DA" w:rsidR="00AB6E63" w:rsidRPr="003F564F" w:rsidRDefault="00AB6E63" w:rsidP="00AB6E63">
            <w:pPr>
              <w:jc w:val="center"/>
              <w:rPr>
                <w:sz w:val="22"/>
                <w:szCs w:val="22"/>
                <w:lang w:eastAsia="lt-LT"/>
              </w:rPr>
            </w:pPr>
            <w:r w:rsidRPr="003F564F">
              <w:rPr>
                <w:sz w:val="22"/>
                <w:szCs w:val="22"/>
                <w:lang w:eastAsia="lt-LT"/>
              </w:rPr>
              <w:t>48</w:t>
            </w:r>
            <w:r w:rsidRPr="003F564F">
              <w:rPr>
                <w:sz w:val="22"/>
                <w:szCs w:val="22"/>
                <w:lang w:eastAsia="lt-LT"/>
              </w:rPr>
              <w:noBreakHyphen/>
              <w:t>oji savaitė</w:t>
            </w:r>
          </w:p>
        </w:tc>
      </w:tr>
      <w:tr w:rsidR="00D3679D" w:rsidRPr="003F564F" w14:paraId="312E79D8" w14:textId="77777777" w:rsidTr="00AB6E63">
        <w:tc>
          <w:tcPr>
            <w:tcW w:w="2660" w:type="dxa"/>
          </w:tcPr>
          <w:p w14:paraId="4FCCE8A2" w14:textId="3925503C" w:rsidR="00D3679D" w:rsidRPr="003F564F" w:rsidRDefault="00AB6E63" w:rsidP="00AB6E63">
            <w:pPr>
              <w:rPr>
                <w:sz w:val="22"/>
                <w:szCs w:val="22"/>
                <w:lang w:eastAsia="lt-LT"/>
              </w:rPr>
            </w:pPr>
            <w:r w:rsidRPr="003F564F">
              <w:rPr>
                <w:sz w:val="22"/>
                <w:szCs w:val="22"/>
                <w:lang w:eastAsia="lt-LT"/>
              </w:rPr>
              <w:t>Pacientų, kuriems blužnies tūris sumažėjo ≥ 35 %, kiekis (%)</w:t>
            </w:r>
          </w:p>
        </w:tc>
        <w:tc>
          <w:tcPr>
            <w:tcW w:w="1701" w:type="dxa"/>
          </w:tcPr>
          <w:p w14:paraId="030573EF" w14:textId="246693FC" w:rsidR="00D3679D" w:rsidRPr="003F564F" w:rsidRDefault="00AB6E63" w:rsidP="00AB6E63">
            <w:pPr>
              <w:jc w:val="center"/>
              <w:rPr>
                <w:sz w:val="22"/>
                <w:szCs w:val="22"/>
                <w:lang w:eastAsia="lt-LT"/>
              </w:rPr>
            </w:pPr>
            <w:r w:rsidRPr="003F564F">
              <w:rPr>
                <w:sz w:val="22"/>
                <w:szCs w:val="22"/>
                <w:lang w:eastAsia="lt-LT"/>
              </w:rPr>
              <w:t>65 (41,9)</w:t>
            </w:r>
          </w:p>
        </w:tc>
        <w:tc>
          <w:tcPr>
            <w:tcW w:w="1701" w:type="dxa"/>
          </w:tcPr>
          <w:p w14:paraId="033D4C94" w14:textId="0A103EFB" w:rsidR="00D3679D" w:rsidRPr="003F564F" w:rsidRDefault="00AB6E63" w:rsidP="00AB6E63">
            <w:pPr>
              <w:jc w:val="center"/>
              <w:rPr>
                <w:sz w:val="22"/>
                <w:szCs w:val="22"/>
                <w:lang w:eastAsia="lt-LT"/>
              </w:rPr>
            </w:pPr>
            <w:r w:rsidRPr="003F564F">
              <w:rPr>
                <w:sz w:val="22"/>
                <w:szCs w:val="22"/>
                <w:lang w:eastAsia="lt-LT"/>
              </w:rPr>
              <w:t>1 (0,7)</w:t>
            </w:r>
          </w:p>
        </w:tc>
        <w:tc>
          <w:tcPr>
            <w:tcW w:w="1709" w:type="dxa"/>
          </w:tcPr>
          <w:p w14:paraId="61AF7872" w14:textId="5C19CA04" w:rsidR="00D3679D" w:rsidRPr="003F564F" w:rsidRDefault="00AB6E63" w:rsidP="00AB6E63">
            <w:pPr>
              <w:jc w:val="center"/>
              <w:rPr>
                <w:sz w:val="22"/>
                <w:szCs w:val="22"/>
                <w:lang w:eastAsia="lt-LT"/>
              </w:rPr>
            </w:pPr>
            <w:r w:rsidRPr="003F564F">
              <w:rPr>
                <w:sz w:val="22"/>
                <w:szCs w:val="22"/>
                <w:lang w:eastAsia="lt-LT"/>
              </w:rPr>
              <w:t>41 (28,5)</w:t>
            </w:r>
          </w:p>
        </w:tc>
        <w:tc>
          <w:tcPr>
            <w:tcW w:w="1943" w:type="dxa"/>
          </w:tcPr>
          <w:p w14:paraId="23ACA479" w14:textId="7B37BD50" w:rsidR="00D3679D" w:rsidRPr="003F564F" w:rsidRDefault="00AB6E63" w:rsidP="00AB6E63">
            <w:pPr>
              <w:jc w:val="center"/>
              <w:rPr>
                <w:sz w:val="22"/>
                <w:szCs w:val="22"/>
                <w:lang w:eastAsia="lt-LT"/>
              </w:rPr>
            </w:pPr>
            <w:r w:rsidRPr="003F564F">
              <w:rPr>
                <w:sz w:val="22"/>
                <w:szCs w:val="22"/>
                <w:lang w:eastAsia="lt-LT"/>
              </w:rPr>
              <w:t>0</w:t>
            </w:r>
          </w:p>
        </w:tc>
      </w:tr>
      <w:tr w:rsidR="00D3679D" w:rsidRPr="003F564F" w14:paraId="3476A5BB" w14:textId="77777777" w:rsidTr="00AB6E63">
        <w:tc>
          <w:tcPr>
            <w:tcW w:w="2660" w:type="dxa"/>
          </w:tcPr>
          <w:p w14:paraId="5F051CAC" w14:textId="48F2DA0D" w:rsidR="00D3679D" w:rsidRPr="003F564F" w:rsidRDefault="00AB6E63" w:rsidP="00AB6E63">
            <w:pPr>
              <w:rPr>
                <w:sz w:val="22"/>
                <w:szCs w:val="22"/>
                <w:lang w:eastAsia="lt-LT"/>
              </w:rPr>
            </w:pPr>
            <w:r w:rsidRPr="003F564F">
              <w:rPr>
                <w:sz w:val="22"/>
                <w:szCs w:val="22"/>
                <w:lang w:eastAsia="lt-LT"/>
              </w:rPr>
              <w:t>95 % pasikliautinumo intervalas</w:t>
            </w:r>
          </w:p>
        </w:tc>
        <w:tc>
          <w:tcPr>
            <w:tcW w:w="1701" w:type="dxa"/>
          </w:tcPr>
          <w:p w14:paraId="6229DE14" w14:textId="458F0F88" w:rsidR="00D3679D" w:rsidRPr="003F564F" w:rsidRDefault="00AB6E63" w:rsidP="00AB6E63">
            <w:pPr>
              <w:jc w:val="center"/>
              <w:rPr>
                <w:sz w:val="22"/>
                <w:szCs w:val="22"/>
                <w:lang w:eastAsia="lt-LT"/>
              </w:rPr>
            </w:pPr>
            <w:r w:rsidRPr="003F564F">
              <w:rPr>
                <w:sz w:val="22"/>
                <w:szCs w:val="22"/>
                <w:lang w:eastAsia="lt-LT"/>
              </w:rPr>
              <w:t>34,1, 50,1</w:t>
            </w:r>
          </w:p>
        </w:tc>
        <w:tc>
          <w:tcPr>
            <w:tcW w:w="1701" w:type="dxa"/>
          </w:tcPr>
          <w:p w14:paraId="7B399F2C" w14:textId="14B3EADD" w:rsidR="00D3679D" w:rsidRPr="003F564F" w:rsidRDefault="00AB6E63" w:rsidP="00AB6E63">
            <w:pPr>
              <w:jc w:val="center"/>
              <w:rPr>
                <w:sz w:val="22"/>
                <w:szCs w:val="22"/>
                <w:lang w:eastAsia="lt-LT"/>
              </w:rPr>
            </w:pPr>
            <w:r w:rsidRPr="003F564F">
              <w:rPr>
                <w:sz w:val="22"/>
                <w:szCs w:val="22"/>
                <w:lang w:eastAsia="lt-LT"/>
              </w:rPr>
              <w:t>0, 3,6</w:t>
            </w:r>
          </w:p>
        </w:tc>
        <w:tc>
          <w:tcPr>
            <w:tcW w:w="1709" w:type="dxa"/>
          </w:tcPr>
          <w:p w14:paraId="6C9C4920" w14:textId="59C3C293" w:rsidR="00D3679D" w:rsidRPr="003F564F" w:rsidRDefault="00AB6E63" w:rsidP="00AB6E63">
            <w:pPr>
              <w:jc w:val="center"/>
              <w:rPr>
                <w:sz w:val="22"/>
                <w:szCs w:val="22"/>
                <w:lang w:eastAsia="lt-LT"/>
              </w:rPr>
            </w:pPr>
            <w:r w:rsidRPr="003F564F">
              <w:rPr>
                <w:sz w:val="22"/>
                <w:szCs w:val="22"/>
                <w:lang w:eastAsia="lt-LT"/>
              </w:rPr>
              <w:t>21,3, 36,6</w:t>
            </w:r>
          </w:p>
        </w:tc>
        <w:tc>
          <w:tcPr>
            <w:tcW w:w="1943" w:type="dxa"/>
          </w:tcPr>
          <w:p w14:paraId="42AE516D" w14:textId="3BAA61A9" w:rsidR="00D3679D" w:rsidRPr="003F564F" w:rsidRDefault="00AB6E63" w:rsidP="00AB6E63">
            <w:pPr>
              <w:jc w:val="center"/>
              <w:rPr>
                <w:sz w:val="22"/>
                <w:szCs w:val="22"/>
                <w:lang w:eastAsia="lt-LT"/>
              </w:rPr>
            </w:pPr>
            <w:r w:rsidRPr="003F564F">
              <w:rPr>
                <w:sz w:val="22"/>
                <w:szCs w:val="22"/>
                <w:lang w:eastAsia="lt-LT"/>
              </w:rPr>
              <w:t>0,0, 5,0</w:t>
            </w:r>
          </w:p>
        </w:tc>
      </w:tr>
      <w:tr w:rsidR="00AB6E63" w:rsidRPr="003F564F" w14:paraId="4EC06256" w14:textId="77777777" w:rsidTr="00AB6E63">
        <w:tc>
          <w:tcPr>
            <w:tcW w:w="2660" w:type="dxa"/>
          </w:tcPr>
          <w:p w14:paraId="46C0B653" w14:textId="355E2B18" w:rsidR="00AB6E63" w:rsidRPr="003F564F" w:rsidRDefault="00AB6E63" w:rsidP="00AB6E63">
            <w:pPr>
              <w:rPr>
                <w:sz w:val="22"/>
                <w:szCs w:val="22"/>
                <w:lang w:eastAsia="lt-LT"/>
              </w:rPr>
            </w:pPr>
            <w:r w:rsidRPr="003F564F">
              <w:rPr>
                <w:sz w:val="22"/>
                <w:szCs w:val="22"/>
                <w:lang w:eastAsia="lt-LT"/>
              </w:rPr>
              <w:t xml:space="preserve">p reikšmė </w:t>
            </w:r>
          </w:p>
        </w:tc>
        <w:tc>
          <w:tcPr>
            <w:tcW w:w="3402" w:type="dxa"/>
            <w:gridSpan w:val="2"/>
          </w:tcPr>
          <w:p w14:paraId="4FFCA2EE" w14:textId="5BCDF070" w:rsidR="00AB6E63" w:rsidRPr="003F564F" w:rsidRDefault="00AB6E63" w:rsidP="00AB6E63">
            <w:pPr>
              <w:jc w:val="center"/>
              <w:rPr>
                <w:sz w:val="22"/>
                <w:szCs w:val="22"/>
                <w:lang w:eastAsia="lt-LT"/>
              </w:rPr>
            </w:pPr>
            <w:r w:rsidRPr="003F564F">
              <w:rPr>
                <w:sz w:val="22"/>
                <w:szCs w:val="22"/>
                <w:lang w:eastAsia="lt-LT"/>
              </w:rPr>
              <w:t>&lt; 0,0001</w:t>
            </w:r>
          </w:p>
        </w:tc>
        <w:tc>
          <w:tcPr>
            <w:tcW w:w="3652" w:type="dxa"/>
            <w:gridSpan w:val="2"/>
          </w:tcPr>
          <w:p w14:paraId="5FB57117" w14:textId="0A706F9B" w:rsidR="00AB6E63" w:rsidRPr="003F564F" w:rsidRDefault="00AB6E63" w:rsidP="00AB6E63">
            <w:pPr>
              <w:jc w:val="center"/>
              <w:rPr>
                <w:sz w:val="22"/>
                <w:szCs w:val="22"/>
                <w:lang w:eastAsia="lt-LT"/>
              </w:rPr>
            </w:pPr>
            <w:r w:rsidRPr="003F564F">
              <w:rPr>
                <w:sz w:val="22"/>
                <w:szCs w:val="22"/>
                <w:lang w:eastAsia="lt-LT"/>
              </w:rPr>
              <w:t>&lt; 0,0001</w:t>
            </w:r>
          </w:p>
        </w:tc>
      </w:tr>
    </w:tbl>
    <w:p w14:paraId="71B2CA18" w14:textId="77777777" w:rsidR="00D3679D" w:rsidRPr="003F564F" w:rsidRDefault="00D3679D" w:rsidP="0036574D">
      <w:pPr>
        <w:rPr>
          <w:sz w:val="22"/>
          <w:szCs w:val="22"/>
          <w:lang w:eastAsia="lt-LT"/>
        </w:rPr>
      </w:pPr>
    </w:p>
    <w:p w14:paraId="1D7FD267" w14:textId="29956ABA" w:rsidR="00D3679D" w:rsidRPr="003F564F" w:rsidRDefault="00D3679D" w:rsidP="0036574D">
      <w:pPr>
        <w:rPr>
          <w:sz w:val="22"/>
          <w:szCs w:val="22"/>
          <w:lang w:eastAsia="lt-LT"/>
        </w:rPr>
      </w:pPr>
      <w:r w:rsidRPr="003F564F">
        <w:rPr>
          <w:sz w:val="22"/>
          <w:szCs w:val="22"/>
          <w:lang w:eastAsia="lt-LT"/>
        </w:rPr>
        <w:t xml:space="preserve">Reikšmingai didesnei pacientų daliai </w:t>
      </w:r>
      <w:proofErr w:type="spellStart"/>
      <w:r w:rsidR="00AB6E63" w:rsidRPr="003F564F">
        <w:rPr>
          <w:sz w:val="22"/>
          <w:szCs w:val="22"/>
          <w:lang w:eastAsia="lt-LT"/>
        </w:rPr>
        <w:t>ruksolitinibo</w:t>
      </w:r>
      <w:proofErr w:type="spellEnd"/>
      <w:r w:rsidRPr="003F564F">
        <w:rPr>
          <w:sz w:val="22"/>
          <w:szCs w:val="22"/>
          <w:lang w:eastAsia="lt-LT"/>
        </w:rPr>
        <w:t xml:space="preserve"> vartojusiųjų grupėje nustatytas ≥</w:t>
      </w:r>
      <w:r w:rsidR="00AB6E63" w:rsidRPr="003F564F">
        <w:rPr>
          <w:sz w:val="22"/>
          <w:szCs w:val="22"/>
          <w:lang w:eastAsia="lt-LT"/>
        </w:rPr>
        <w:t> </w:t>
      </w:r>
      <w:r w:rsidRPr="003F564F">
        <w:rPr>
          <w:sz w:val="22"/>
          <w:szCs w:val="22"/>
          <w:lang w:eastAsia="lt-LT"/>
        </w:rPr>
        <w:t>35</w:t>
      </w:r>
      <w:r w:rsidR="00AB6E63" w:rsidRPr="003F564F">
        <w:rPr>
          <w:sz w:val="22"/>
          <w:szCs w:val="22"/>
          <w:lang w:eastAsia="lt-LT"/>
        </w:rPr>
        <w:t> </w:t>
      </w:r>
      <w:r w:rsidRPr="003F564F">
        <w:rPr>
          <w:sz w:val="22"/>
          <w:szCs w:val="22"/>
          <w:lang w:eastAsia="lt-LT"/>
        </w:rPr>
        <w:t>% blužnies tūrio sumažėjimas lyginant su pradinėmis reikšmėmis (žr.</w:t>
      </w:r>
      <w:r w:rsidR="00AB6E63" w:rsidRPr="003F564F">
        <w:rPr>
          <w:sz w:val="22"/>
          <w:szCs w:val="22"/>
          <w:lang w:eastAsia="lt-LT"/>
        </w:rPr>
        <w:t> </w:t>
      </w:r>
      <w:r w:rsidRPr="003F564F">
        <w:rPr>
          <w:sz w:val="22"/>
          <w:szCs w:val="22"/>
          <w:lang w:eastAsia="lt-LT"/>
        </w:rPr>
        <w:t>8</w:t>
      </w:r>
      <w:r w:rsidR="00AB6E63" w:rsidRPr="003F564F">
        <w:rPr>
          <w:sz w:val="22"/>
          <w:szCs w:val="22"/>
          <w:lang w:eastAsia="lt-LT"/>
        </w:rPr>
        <w:t> </w:t>
      </w:r>
      <w:r w:rsidRPr="003F564F">
        <w:rPr>
          <w:sz w:val="22"/>
          <w:szCs w:val="22"/>
          <w:lang w:eastAsia="lt-LT"/>
        </w:rPr>
        <w:t>lentelę), nepriklausomai nuo JAK2V617F mutacijos buvimo ar nebuvimo (žr.</w:t>
      </w:r>
      <w:r w:rsidR="00AB6E63" w:rsidRPr="003F564F">
        <w:rPr>
          <w:sz w:val="22"/>
          <w:szCs w:val="22"/>
          <w:lang w:eastAsia="lt-LT"/>
        </w:rPr>
        <w:t> </w:t>
      </w:r>
      <w:r w:rsidRPr="003F564F">
        <w:rPr>
          <w:sz w:val="22"/>
          <w:szCs w:val="22"/>
          <w:lang w:eastAsia="lt-LT"/>
        </w:rPr>
        <w:t>9</w:t>
      </w:r>
      <w:r w:rsidR="00AB6E63" w:rsidRPr="003F564F">
        <w:rPr>
          <w:sz w:val="22"/>
          <w:szCs w:val="22"/>
          <w:lang w:eastAsia="lt-LT"/>
        </w:rPr>
        <w:t> </w:t>
      </w:r>
      <w:r w:rsidRPr="003F564F">
        <w:rPr>
          <w:sz w:val="22"/>
          <w:szCs w:val="22"/>
          <w:lang w:eastAsia="lt-LT"/>
        </w:rPr>
        <w:t xml:space="preserve">lentelę), taip pat nepriklausomai nuo ligos tipo (pirminė MF, MF sergant tikrąja </w:t>
      </w:r>
      <w:proofErr w:type="spellStart"/>
      <w:r w:rsidRPr="003F564F">
        <w:rPr>
          <w:sz w:val="22"/>
          <w:szCs w:val="22"/>
          <w:lang w:eastAsia="lt-LT"/>
        </w:rPr>
        <w:t>policitemija</w:t>
      </w:r>
      <w:proofErr w:type="spellEnd"/>
      <w:r w:rsidRPr="003F564F">
        <w:rPr>
          <w:sz w:val="22"/>
          <w:szCs w:val="22"/>
          <w:lang w:eastAsia="lt-LT"/>
        </w:rPr>
        <w:t xml:space="preserve"> ar MF sergant pirmine </w:t>
      </w:r>
      <w:proofErr w:type="spellStart"/>
      <w:r w:rsidRPr="003F564F">
        <w:rPr>
          <w:sz w:val="22"/>
          <w:szCs w:val="22"/>
          <w:lang w:eastAsia="lt-LT"/>
        </w:rPr>
        <w:t>trombocitemija</w:t>
      </w:r>
      <w:proofErr w:type="spellEnd"/>
      <w:r w:rsidRPr="003F564F">
        <w:rPr>
          <w:sz w:val="22"/>
          <w:szCs w:val="22"/>
          <w:lang w:eastAsia="lt-LT"/>
        </w:rPr>
        <w:t>).</w:t>
      </w:r>
    </w:p>
    <w:p w14:paraId="2C72FAD8" w14:textId="77777777" w:rsidR="00D3679D" w:rsidRPr="003F564F" w:rsidRDefault="00D3679D" w:rsidP="0036574D">
      <w:pPr>
        <w:rPr>
          <w:sz w:val="22"/>
          <w:szCs w:val="22"/>
          <w:lang w:eastAsia="lt-LT"/>
        </w:rPr>
      </w:pPr>
    </w:p>
    <w:p w14:paraId="16561219" w14:textId="73DE4B8D" w:rsidR="00D3679D" w:rsidRPr="003F564F" w:rsidRDefault="00D3679D" w:rsidP="00AB6E63">
      <w:pPr>
        <w:ind w:left="1290" w:hanging="1290"/>
        <w:rPr>
          <w:b/>
          <w:bCs/>
          <w:sz w:val="22"/>
          <w:szCs w:val="22"/>
          <w:lang w:eastAsia="lt-LT"/>
        </w:rPr>
      </w:pPr>
      <w:r w:rsidRPr="003F564F">
        <w:rPr>
          <w:b/>
          <w:bCs/>
          <w:sz w:val="22"/>
          <w:szCs w:val="22"/>
          <w:lang w:eastAsia="lt-LT"/>
        </w:rPr>
        <w:t>9</w:t>
      </w:r>
      <w:r w:rsidR="00AB6E63" w:rsidRPr="003F564F">
        <w:rPr>
          <w:b/>
          <w:bCs/>
          <w:sz w:val="22"/>
          <w:szCs w:val="22"/>
          <w:lang w:eastAsia="lt-LT"/>
        </w:rPr>
        <w:t> </w:t>
      </w:r>
      <w:r w:rsidRPr="003F564F">
        <w:rPr>
          <w:b/>
          <w:bCs/>
          <w:sz w:val="22"/>
          <w:szCs w:val="22"/>
          <w:lang w:eastAsia="lt-LT"/>
        </w:rPr>
        <w:t>lentelė</w:t>
      </w:r>
      <w:r w:rsidR="00AB6E63" w:rsidRPr="003F564F">
        <w:rPr>
          <w:b/>
          <w:bCs/>
          <w:sz w:val="22"/>
          <w:szCs w:val="22"/>
          <w:lang w:eastAsia="lt-LT"/>
        </w:rPr>
        <w:tab/>
      </w:r>
      <w:r w:rsidRPr="003F564F">
        <w:rPr>
          <w:b/>
          <w:bCs/>
          <w:sz w:val="22"/>
          <w:szCs w:val="22"/>
          <w:lang w:eastAsia="lt-LT"/>
        </w:rPr>
        <w:t>Pacientų, kuriems nustatytas ≥</w:t>
      </w:r>
      <w:r w:rsidR="00AB6E63" w:rsidRPr="003F564F">
        <w:rPr>
          <w:b/>
          <w:bCs/>
          <w:sz w:val="22"/>
          <w:szCs w:val="22"/>
          <w:lang w:eastAsia="lt-LT"/>
        </w:rPr>
        <w:t> </w:t>
      </w:r>
      <w:r w:rsidRPr="003F564F">
        <w:rPr>
          <w:b/>
          <w:bCs/>
          <w:sz w:val="22"/>
          <w:szCs w:val="22"/>
          <w:lang w:eastAsia="lt-LT"/>
        </w:rPr>
        <w:t>35</w:t>
      </w:r>
      <w:r w:rsidR="00AB6E63" w:rsidRPr="003F564F">
        <w:rPr>
          <w:b/>
          <w:bCs/>
          <w:sz w:val="22"/>
          <w:szCs w:val="22"/>
          <w:lang w:eastAsia="lt-LT"/>
        </w:rPr>
        <w:t> </w:t>
      </w:r>
      <w:r w:rsidRPr="003F564F">
        <w:rPr>
          <w:b/>
          <w:bCs/>
          <w:sz w:val="22"/>
          <w:szCs w:val="22"/>
          <w:lang w:eastAsia="lt-LT"/>
        </w:rPr>
        <w:t>% blužnies tūrio sumažėjimas lyginant su pradinėmis reikšmėmis, procentinė dalis pagal JAK mutacijų nustatymą (saugumo duomenys)</w:t>
      </w:r>
    </w:p>
    <w:p w14:paraId="53555B7F" w14:textId="77777777" w:rsidR="00D3679D" w:rsidRPr="003F564F" w:rsidRDefault="00D3679D" w:rsidP="0036574D">
      <w:pPr>
        <w:rPr>
          <w:sz w:val="22"/>
          <w:szCs w:val="22"/>
          <w:lang w:eastAsia="lt-LT"/>
        </w:rPr>
      </w:pPr>
    </w:p>
    <w:tbl>
      <w:tblPr>
        <w:tblStyle w:val="Lentelstinklelis"/>
        <w:tblW w:w="0" w:type="auto"/>
        <w:tblLook w:val="04A0" w:firstRow="1" w:lastRow="0" w:firstColumn="1" w:lastColumn="0" w:noHBand="0" w:noVBand="1"/>
      </w:tblPr>
      <w:tblGrid>
        <w:gridCol w:w="1167"/>
        <w:gridCol w:w="1052"/>
        <w:gridCol w:w="947"/>
        <w:gridCol w:w="1053"/>
        <w:gridCol w:w="947"/>
        <w:gridCol w:w="1053"/>
        <w:gridCol w:w="947"/>
        <w:gridCol w:w="947"/>
        <w:gridCol w:w="947"/>
      </w:tblGrid>
      <w:tr w:rsidR="00895A07" w:rsidRPr="003F564F" w14:paraId="1D96C0A4" w14:textId="77777777" w:rsidTr="00895A07">
        <w:tc>
          <w:tcPr>
            <w:tcW w:w="1206" w:type="dxa"/>
          </w:tcPr>
          <w:p w14:paraId="4ECD1456" w14:textId="77777777" w:rsidR="00895A07" w:rsidRPr="003F564F" w:rsidRDefault="00895A07" w:rsidP="00D3679D">
            <w:pPr>
              <w:jc w:val="both"/>
              <w:rPr>
                <w:sz w:val="22"/>
                <w:szCs w:val="22"/>
                <w:lang w:eastAsia="lt-LT"/>
              </w:rPr>
            </w:pPr>
          </w:p>
        </w:tc>
        <w:tc>
          <w:tcPr>
            <w:tcW w:w="4200" w:type="dxa"/>
            <w:gridSpan w:val="4"/>
          </w:tcPr>
          <w:p w14:paraId="561E2FA7" w14:textId="1388938F" w:rsidR="00895A07" w:rsidRPr="003F564F" w:rsidRDefault="00895A07" w:rsidP="00895A07">
            <w:pPr>
              <w:jc w:val="center"/>
              <w:rPr>
                <w:sz w:val="22"/>
                <w:szCs w:val="22"/>
                <w:lang w:eastAsia="lt-LT"/>
              </w:rPr>
            </w:pPr>
            <w:r w:rsidRPr="003F564F">
              <w:rPr>
                <w:sz w:val="22"/>
                <w:szCs w:val="22"/>
                <w:lang w:eastAsia="lt-LT"/>
              </w:rPr>
              <w:t>COMFORT-I tyrimas</w:t>
            </w:r>
          </w:p>
        </w:tc>
        <w:tc>
          <w:tcPr>
            <w:tcW w:w="4308" w:type="dxa"/>
            <w:gridSpan w:val="4"/>
          </w:tcPr>
          <w:p w14:paraId="056F6588" w14:textId="124FC955" w:rsidR="00895A07" w:rsidRPr="003F564F" w:rsidRDefault="00895A07" w:rsidP="00895A07">
            <w:pPr>
              <w:jc w:val="center"/>
              <w:rPr>
                <w:sz w:val="22"/>
                <w:szCs w:val="22"/>
                <w:lang w:eastAsia="lt-LT"/>
              </w:rPr>
            </w:pPr>
            <w:r w:rsidRPr="003F564F">
              <w:rPr>
                <w:sz w:val="22"/>
                <w:szCs w:val="22"/>
                <w:lang w:eastAsia="lt-LT"/>
              </w:rPr>
              <w:t>COMFORT-II tyrimas</w:t>
            </w:r>
          </w:p>
        </w:tc>
      </w:tr>
      <w:tr w:rsidR="00895A07" w:rsidRPr="003F564F" w14:paraId="3291CBCE" w14:textId="77777777" w:rsidTr="00895A07">
        <w:tc>
          <w:tcPr>
            <w:tcW w:w="1206" w:type="dxa"/>
          </w:tcPr>
          <w:p w14:paraId="777CDD18" w14:textId="77777777" w:rsidR="00895A07" w:rsidRPr="003F564F" w:rsidRDefault="00895A07" w:rsidP="00D3679D">
            <w:pPr>
              <w:jc w:val="both"/>
              <w:rPr>
                <w:sz w:val="22"/>
                <w:szCs w:val="22"/>
                <w:lang w:eastAsia="lt-LT"/>
              </w:rPr>
            </w:pPr>
          </w:p>
        </w:tc>
        <w:tc>
          <w:tcPr>
            <w:tcW w:w="2244" w:type="dxa"/>
            <w:gridSpan w:val="2"/>
          </w:tcPr>
          <w:p w14:paraId="3B6909D4" w14:textId="222E16FD" w:rsidR="00895A07" w:rsidRPr="003F564F" w:rsidRDefault="00895A07" w:rsidP="00895A07">
            <w:pPr>
              <w:jc w:val="center"/>
              <w:rPr>
                <w:sz w:val="22"/>
                <w:szCs w:val="22"/>
                <w:lang w:eastAsia="lt-LT"/>
              </w:rPr>
            </w:pPr>
            <w:proofErr w:type="spellStart"/>
            <w:r w:rsidRPr="003F564F">
              <w:rPr>
                <w:sz w:val="22"/>
                <w:szCs w:val="22"/>
                <w:lang w:eastAsia="lt-LT"/>
              </w:rPr>
              <w:t>Ruksolitinibas</w:t>
            </w:r>
            <w:proofErr w:type="spellEnd"/>
          </w:p>
        </w:tc>
        <w:tc>
          <w:tcPr>
            <w:tcW w:w="1956" w:type="dxa"/>
            <w:gridSpan w:val="2"/>
          </w:tcPr>
          <w:p w14:paraId="7F1FBAD1" w14:textId="191F970C" w:rsidR="00895A07" w:rsidRPr="003F564F" w:rsidRDefault="00895A07" w:rsidP="00895A07">
            <w:pPr>
              <w:jc w:val="center"/>
              <w:rPr>
                <w:sz w:val="22"/>
                <w:szCs w:val="22"/>
                <w:lang w:eastAsia="lt-LT"/>
              </w:rPr>
            </w:pPr>
            <w:r w:rsidRPr="003F564F">
              <w:rPr>
                <w:sz w:val="22"/>
                <w:szCs w:val="22"/>
                <w:lang w:eastAsia="lt-LT"/>
              </w:rPr>
              <w:t>Placebas</w:t>
            </w:r>
          </w:p>
        </w:tc>
        <w:tc>
          <w:tcPr>
            <w:tcW w:w="2246" w:type="dxa"/>
            <w:gridSpan w:val="2"/>
          </w:tcPr>
          <w:p w14:paraId="10E8D3DC" w14:textId="38988780" w:rsidR="00895A07" w:rsidRPr="003F564F" w:rsidRDefault="00895A07" w:rsidP="00895A07">
            <w:pPr>
              <w:jc w:val="center"/>
              <w:rPr>
                <w:sz w:val="22"/>
                <w:szCs w:val="22"/>
                <w:lang w:eastAsia="lt-LT"/>
              </w:rPr>
            </w:pPr>
            <w:proofErr w:type="spellStart"/>
            <w:r w:rsidRPr="003F564F">
              <w:rPr>
                <w:sz w:val="22"/>
                <w:szCs w:val="22"/>
                <w:lang w:eastAsia="lt-LT"/>
              </w:rPr>
              <w:t>Ruksolitinibas</w:t>
            </w:r>
            <w:proofErr w:type="spellEnd"/>
          </w:p>
        </w:tc>
        <w:tc>
          <w:tcPr>
            <w:tcW w:w="2062" w:type="dxa"/>
            <w:gridSpan w:val="2"/>
          </w:tcPr>
          <w:p w14:paraId="595F2816" w14:textId="4F4E3508" w:rsidR="00895A07" w:rsidRPr="003F564F" w:rsidRDefault="00895A07" w:rsidP="00895A07">
            <w:pPr>
              <w:jc w:val="center"/>
              <w:rPr>
                <w:sz w:val="22"/>
                <w:szCs w:val="22"/>
                <w:lang w:eastAsia="lt-LT"/>
              </w:rPr>
            </w:pPr>
            <w:r w:rsidRPr="003F564F">
              <w:rPr>
                <w:sz w:val="22"/>
                <w:szCs w:val="22"/>
                <w:lang w:eastAsia="lt-LT"/>
              </w:rPr>
              <w:t>Geriausias prieinamas gydymas</w:t>
            </w:r>
          </w:p>
        </w:tc>
      </w:tr>
      <w:tr w:rsidR="00895A07" w:rsidRPr="003F564F" w14:paraId="4E15B24B" w14:textId="77777777" w:rsidTr="00895A07">
        <w:tc>
          <w:tcPr>
            <w:tcW w:w="1206" w:type="dxa"/>
          </w:tcPr>
          <w:p w14:paraId="45E95B4C" w14:textId="167911E9" w:rsidR="00D3679D" w:rsidRPr="003F564F" w:rsidRDefault="00895A07" w:rsidP="00895A07">
            <w:pPr>
              <w:rPr>
                <w:sz w:val="22"/>
                <w:szCs w:val="22"/>
                <w:lang w:eastAsia="lt-LT"/>
              </w:rPr>
            </w:pPr>
            <w:r w:rsidRPr="003F564F">
              <w:rPr>
                <w:sz w:val="22"/>
                <w:szCs w:val="22"/>
                <w:lang w:eastAsia="lt-LT"/>
              </w:rPr>
              <w:t>JAK mutacijos nustatymas</w:t>
            </w:r>
          </w:p>
        </w:tc>
        <w:tc>
          <w:tcPr>
            <w:tcW w:w="1313" w:type="dxa"/>
          </w:tcPr>
          <w:p w14:paraId="2F499562" w14:textId="77777777" w:rsidR="00895A07" w:rsidRPr="003F564F" w:rsidRDefault="00895A07" w:rsidP="00895A07">
            <w:pPr>
              <w:jc w:val="center"/>
              <w:rPr>
                <w:sz w:val="22"/>
                <w:szCs w:val="22"/>
                <w:lang w:eastAsia="lt-LT"/>
              </w:rPr>
            </w:pPr>
            <w:proofErr w:type="spellStart"/>
            <w:r w:rsidRPr="003F564F">
              <w:rPr>
                <w:sz w:val="22"/>
                <w:szCs w:val="22"/>
                <w:lang w:eastAsia="lt-LT"/>
              </w:rPr>
              <w:t>Teig</w:t>
            </w:r>
            <w:proofErr w:type="spellEnd"/>
            <w:r w:rsidRPr="003F564F">
              <w:rPr>
                <w:sz w:val="22"/>
                <w:szCs w:val="22"/>
                <w:lang w:eastAsia="lt-LT"/>
              </w:rPr>
              <w:t>.</w:t>
            </w:r>
          </w:p>
          <w:p w14:paraId="276CB78C" w14:textId="68E19105" w:rsidR="00895A07" w:rsidRPr="003F564F" w:rsidRDefault="00895A07" w:rsidP="00895A07">
            <w:pPr>
              <w:jc w:val="center"/>
              <w:rPr>
                <w:sz w:val="22"/>
                <w:szCs w:val="22"/>
                <w:lang w:eastAsia="lt-LT"/>
              </w:rPr>
            </w:pPr>
            <w:r w:rsidRPr="003F564F">
              <w:rPr>
                <w:sz w:val="22"/>
                <w:szCs w:val="22"/>
                <w:lang w:eastAsia="lt-LT"/>
              </w:rPr>
              <w:t>(N = 113)</w:t>
            </w:r>
          </w:p>
          <w:p w14:paraId="5D7974E4" w14:textId="0F788ECA" w:rsidR="00D3679D" w:rsidRPr="003F564F" w:rsidRDefault="00895A07" w:rsidP="00895A07">
            <w:pPr>
              <w:jc w:val="center"/>
              <w:rPr>
                <w:sz w:val="22"/>
                <w:szCs w:val="22"/>
                <w:lang w:eastAsia="lt-LT"/>
              </w:rPr>
            </w:pPr>
            <w:r w:rsidRPr="003F564F">
              <w:rPr>
                <w:sz w:val="22"/>
                <w:szCs w:val="22"/>
                <w:lang w:eastAsia="lt-LT"/>
              </w:rPr>
              <w:t>n (%)</w:t>
            </w:r>
          </w:p>
        </w:tc>
        <w:tc>
          <w:tcPr>
            <w:tcW w:w="931" w:type="dxa"/>
          </w:tcPr>
          <w:p w14:paraId="3A1C803A" w14:textId="77777777" w:rsidR="00895A07" w:rsidRPr="003F564F" w:rsidRDefault="00895A07" w:rsidP="00895A07">
            <w:pPr>
              <w:jc w:val="center"/>
              <w:rPr>
                <w:sz w:val="22"/>
                <w:szCs w:val="22"/>
                <w:lang w:eastAsia="lt-LT"/>
              </w:rPr>
            </w:pPr>
            <w:proofErr w:type="spellStart"/>
            <w:r w:rsidRPr="003F564F">
              <w:rPr>
                <w:sz w:val="22"/>
                <w:szCs w:val="22"/>
                <w:lang w:eastAsia="lt-LT"/>
              </w:rPr>
              <w:t>Neig</w:t>
            </w:r>
            <w:proofErr w:type="spellEnd"/>
            <w:r w:rsidRPr="003F564F">
              <w:rPr>
                <w:sz w:val="22"/>
                <w:szCs w:val="22"/>
                <w:lang w:eastAsia="lt-LT"/>
              </w:rPr>
              <w:t>.</w:t>
            </w:r>
          </w:p>
          <w:p w14:paraId="4D2BF7AA" w14:textId="666D99BA" w:rsidR="00895A07" w:rsidRPr="003F564F" w:rsidRDefault="00895A07" w:rsidP="00895A07">
            <w:pPr>
              <w:jc w:val="center"/>
              <w:rPr>
                <w:sz w:val="22"/>
                <w:szCs w:val="22"/>
                <w:lang w:eastAsia="lt-LT"/>
              </w:rPr>
            </w:pPr>
            <w:r w:rsidRPr="003F564F">
              <w:rPr>
                <w:sz w:val="22"/>
                <w:szCs w:val="22"/>
                <w:lang w:eastAsia="lt-LT"/>
              </w:rPr>
              <w:t>(N = 40)</w:t>
            </w:r>
          </w:p>
          <w:p w14:paraId="1E446253" w14:textId="74760FD0" w:rsidR="00D3679D" w:rsidRPr="003F564F" w:rsidRDefault="00895A07" w:rsidP="00895A07">
            <w:pPr>
              <w:jc w:val="center"/>
              <w:rPr>
                <w:sz w:val="22"/>
                <w:szCs w:val="22"/>
                <w:lang w:eastAsia="lt-LT"/>
              </w:rPr>
            </w:pPr>
            <w:r w:rsidRPr="003F564F">
              <w:rPr>
                <w:sz w:val="22"/>
                <w:szCs w:val="22"/>
                <w:lang w:eastAsia="lt-LT"/>
              </w:rPr>
              <w:t>n (%)</w:t>
            </w:r>
          </w:p>
        </w:tc>
        <w:tc>
          <w:tcPr>
            <w:tcW w:w="1027" w:type="dxa"/>
          </w:tcPr>
          <w:p w14:paraId="7F9C77DE" w14:textId="77777777" w:rsidR="00895A07" w:rsidRPr="003F564F" w:rsidRDefault="00895A07" w:rsidP="00895A07">
            <w:pPr>
              <w:jc w:val="center"/>
              <w:rPr>
                <w:sz w:val="22"/>
                <w:szCs w:val="22"/>
                <w:lang w:eastAsia="lt-LT"/>
              </w:rPr>
            </w:pPr>
            <w:proofErr w:type="spellStart"/>
            <w:r w:rsidRPr="003F564F">
              <w:rPr>
                <w:sz w:val="22"/>
                <w:szCs w:val="22"/>
                <w:lang w:eastAsia="lt-LT"/>
              </w:rPr>
              <w:t>Teig</w:t>
            </w:r>
            <w:proofErr w:type="spellEnd"/>
            <w:r w:rsidRPr="003F564F">
              <w:rPr>
                <w:sz w:val="22"/>
                <w:szCs w:val="22"/>
                <w:lang w:eastAsia="lt-LT"/>
              </w:rPr>
              <w:t>.</w:t>
            </w:r>
          </w:p>
          <w:p w14:paraId="59FC0698" w14:textId="51E1D30B" w:rsidR="00895A07" w:rsidRPr="003F564F" w:rsidRDefault="00895A07" w:rsidP="00895A07">
            <w:pPr>
              <w:jc w:val="center"/>
              <w:rPr>
                <w:sz w:val="22"/>
                <w:szCs w:val="22"/>
                <w:lang w:eastAsia="lt-LT"/>
              </w:rPr>
            </w:pPr>
            <w:r w:rsidRPr="003F564F">
              <w:rPr>
                <w:sz w:val="22"/>
                <w:szCs w:val="22"/>
                <w:lang w:eastAsia="lt-LT"/>
              </w:rPr>
              <w:t>(N = 121)</w:t>
            </w:r>
          </w:p>
          <w:p w14:paraId="407CBE61" w14:textId="70499A44" w:rsidR="00D3679D" w:rsidRPr="003F564F" w:rsidRDefault="00895A07" w:rsidP="00895A07">
            <w:pPr>
              <w:jc w:val="center"/>
              <w:rPr>
                <w:sz w:val="22"/>
                <w:szCs w:val="22"/>
                <w:lang w:eastAsia="lt-LT"/>
              </w:rPr>
            </w:pPr>
            <w:r w:rsidRPr="003F564F">
              <w:rPr>
                <w:sz w:val="22"/>
                <w:szCs w:val="22"/>
                <w:lang w:eastAsia="lt-LT"/>
              </w:rPr>
              <w:t>n (%)</w:t>
            </w:r>
          </w:p>
        </w:tc>
        <w:tc>
          <w:tcPr>
            <w:tcW w:w="929" w:type="dxa"/>
          </w:tcPr>
          <w:p w14:paraId="21F1E054" w14:textId="77777777" w:rsidR="00895A07" w:rsidRPr="003F564F" w:rsidRDefault="00895A07" w:rsidP="00895A07">
            <w:pPr>
              <w:jc w:val="center"/>
              <w:rPr>
                <w:sz w:val="22"/>
                <w:szCs w:val="22"/>
                <w:lang w:eastAsia="lt-LT"/>
              </w:rPr>
            </w:pPr>
            <w:proofErr w:type="spellStart"/>
            <w:r w:rsidRPr="003F564F">
              <w:rPr>
                <w:sz w:val="22"/>
                <w:szCs w:val="22"/>
                <w:lang w:eastAsia="lt-LT"/>
              </w:rPr>
              <w:t>Neig</w:t>
            </w:r>
            <w:proofErr w:type="spellEnd"/>
            <w:r w:rsidRPr="003F564F">
              <w:rPr>
                <w:sz w:val="22"/>
                <w:szCs w:val="22"/>
                <w:lang w:eastAsia="lt-LT"/>
              </w:rPr>
              <w:t>.</w:t>
            </w:r>
          </w:p>
          <w:p w14:paraId="0E673C9A" w14:textId="22B47515" w:rsidR="00895A07" w:rsidRPr="003F564F" w:rsidRDefault="00895A07" w:rsidP="00895A07">
            <w:pPr>
              <w:jc w:val="center"/>
              <w:rPr>
                <w:sz w:val="22"/>
                <w:szCs w:val="22"/>
                <w:lang w:eastAsia="lt-LT"/>
              </w:rPr>
            </w:pPr>
            <w:r w:rsidRPr="003F564F">
              <w:rPr>
                <w:sz w:val="22"/>
                <w:szCs w:val="22"/>
                <w:lang w:eastAsia="lt-LT"/>
              </w:rPr>
              <w:t>(N = 27)</w:t>
            </w:r>
          </w:p>
          <w:p w14:paraId="0CA059DF" w14:textId="52B01EB5" w:rsidR="00D3679D" w:rsidRPr="003F564F" w:rsidRDefault="00895A07" w:rsidP="00895A07">
            <w:pPr>
              <w:jc w:val="center"/>
              <w:rPr>
                <w:sz w:val="22"/>
                <w:szCs w:val="22"/>
                <w:lang w:eastAsia="lt-LT"/>
              </w:rPr>
            </w:pPr>
            <w:r w:rsidRPr="003F564F">
              <w:rPr>
                <w:sz w:val="22"/>
                <w:szCs w:val="22"/>
                <w:lang w:eastAsia="lt-LT"/>
              </w:rPr>
              <w:t>n (%)</w:t>
            </w:r>
          </w:p>
        </w:tc>
        <w:tc>
          <w:tcPr>
            <w:tcW w:w="1313" w:type="dxa"/>
          </w:tcPr>
          <w:p w14:paraId="2C97E770" w14:textId="77777777" w:rsidR="00895A07" w:rsidRPr="003F564F" w:rsidRDefault="00895A07" w:rsidP="00895A07">
            <w:pPr>
              <w:jc w:val="center"/>
              <w:rPr>
                <w:sz w:val="22"/>
                <w:szCs w:val="22"/>
                <w:lang w:eastAsia="lt-LT"/>
              </w:rPr>
            </w:pPr>
            <w:proofErr w:type="spellStart"/>
            <w:r w:rsidRPr="003F564F">
              <w:rPr>
                <w:sz w:val="22"/>
                <w:szCs w:val="22"/>
                <w:lang w:eastAsia="lt-LT"/>
              </w:rPr>
              <w:t>Teig</w:t>
            </w:r>
            <w:proofErr w:type="spellEnd"/>
            <w:r w:rsidRPr="003F564F">
              <w:rPr>
                <w:sz w:val="22"/>
                <w:szCs w:val="22"/>
                <w:lang w:eastAsia="lt-LT"/>
              </w:rPr>
              <w:t>.</w:t>
            </w:r>
          </w:p>
          <w:p w14:paraId="58313A38" w14:textId="2EDB77EF" w:rsidR="00895A07" w:rsidRPr="003F564F" w:rsidRDefault="00895A07" w:rsidP="00895A07">
            <w:pPr>
              <w:jc w:val="center"/>
              <w:rPr>
                <w:sz w:val="22"/>
                <w:szCs w:val="22"/>
                <w:lang w:eastAsia="lt-LT"/>
              </w:rPr>
            </w:pPr>
            <w:r w:rsidRPr="003F564F">
              <w:rPr>
                <w:sz w:val="22"/>
                <w:szCs w:val="22"/>
                <w:lang w:eastAsia="lt-LT"/>
              </w:rPr>
              <w:t>(N = 110)</w:t>
            </w:r>
          </w:p>
          <w:p w14:paraId="7EA47030" w14:textId="4996F745" w:rsidR="00D3679D" w:rsidRPr="003F564F" w:rsidRDefault="00895A07" w:rsidP="00895A07">
            <w:pPr>
              <w:jc w:val="center"/>
              <w:rPr>
                <w:sz w:val="22"/>
                <w:szCs w:val="22"/>
                <w:lang w:eastAsia="lt-LT"/>
              </w:rPr>
            </w:pPr>
            <w:r w:rsidRPr="003F564F">
              <w:rPr>
                <w:sz w:val="22"/>
                <w:szCs w:val="22"/>
                <w:lang w:eastAsia="lt-LT"/>
              </w:rPr>
              <w:t>n (%)</w:t>
            </w:r>
          </w:p>
        </w:tc>
        <w:tc>
          <w:tcPr>
            <w:tcW w:w="933" w:type="dxa"/>
          </w:tcPr>
          <w:p w14:paraId="639E1637" w14:textId="77777777" w:rsidR="00895A07" w:rsidRPr="003F564F" w:rsidRDefault="00895A07" w:rsidP="00895A07">
            <w:pPr>
              <w:jc w:val="center"/>
              <w:rPr>
                <w:sz w:val="22"/>
                <w:szCs w:val="22"/>
                <w:lang w:eastAsia="lt-LT"/>
              </w:rPr>
            </w:pPr>
            <w:proofErr w:type="spellStart"/>
            <w:r w:rsidRPr="003F564F">
              <w:rPr>
                <w:sz w:val="22"/>
                <w:szCs w:val="22"/>
                <w:lang w:eastAsia="lt-LT"/>
              </w:rPr>
              <w:t>Neig</w:t>
            </w:r>
            <w:proofErr w:type="spellEnd"/>
            <w:r w:rsidRPr="003F564F">
              <w:rPr>
                <w:sz w:val="22"/>
                <w:szCs w:val="22"/>
                <w:lang w:eastAsia="lt-LT"/>
              </w:rPr>
              <w:t>.</w:t>
            </w:r>
          </w:p>
          <w:p w14:paraId="6FEF6DA8" w14:textId="6D07E783" w:rsidR="00895A07" w:rsidRPr="003F564F" w:rsidRDefault="00895A07" w:rsidP="00895A07">
            <w:pPr>
              <w:jc w:val="center"/>
              <w:rPr>
                <w:sz w:val="22"/>
                <w:szCs w:val="22"/>
                <w:lang w:eastAsia="lt-LT"/>
              </w:rPr>
            </w:pPr>
            <w:r w:rsidRPr="003F564F">
              <w:rPr>
                <w:sz w:val="22"/>
                <w:szCs w:val="22"/>
                <w:lang w:eastAsia="lt-LT"/>
              </w:rPr>
              <w:t>(N = 35)</w:t>
            </w:r>
          </w:p>
          <w:p w14:paraId="0570D9C7" w14:textId="3F98F306" w:rsidR="00D3679D" w:rsidRPr="003F564F" w:rsidRDefault="00895A07" w:rsidP="00895A07">
            <w:pPr>
              <w:jc w:val="center"/>
              <w:rPr>
                <w:sz w:val="22"/>
                <w:szCs w:val="22"/>
                <w:lang w:eastAsia="lt-LT"/>
              </w:rPr>
            </w:pPr>
            <w:r w:rsidRPr="003F564F">
              <w:rPr>
                <w:sz w:val="22"/>
                <w:szCs w:val="22"/>
                <w:lang w:eastAsia="lt-LT"/>
              </w:rPr>
              <w:t>n (%)</w:t>
            </w:r>
          </w:p>
        </w:tc>
        <w:tc>
          <w:tcPr>
            <w:tcW w:w="1133" w:type="dxa"/>
          </w:tcPr>
          <w:p w14:paraId="379A9F3D" w14:textId="77777777" w:rsidR="00895A07" w:rsidRPr="003F564F" w:rsidRDefault="00895A07" w:rsidP="00895A07">
            <w:pPr>
              <w:jc w:val="center"/>
              <w:rPr>
                <w:sz w:val="22"/>
                <w:szCs w:val="22"/>
                <w:lang w:eastAsia="lt-LT"/>
              </w:rPr>
            </w:pPr>
            <w:proofErr w:type="spellStart"/>
            <w:r w:rsidRPr="003F564F">
              <w:rPr>
                <w:sz w:val="22"/>
                <w:szCs w:val="22"/>
                <w:lang w:eastAsia="lt-LT"/>
              </w:rPr>
              <w:t>Teig</w:t>
            </w:r>
            <w:proofErr w:type="spellEnd"/>
            <w:r w:rsidRPr="003F564F">
              <w:rPr>
                <w:sz w:val="22"/>
                <w:szCs w:val="22"/>
                <w:lang w:eastAsia="lt-LT"/>
              </w:rPr>
              <w:t>.</w:t>
            </w:r>
          </w:p>
          <w:p w14:paraId="252EFE31" w14:textId="042D8A66" w:rsidR="00895A07" w:rsidRPr="003F564F" w:rsidRDefault="00895A07" w:rsidP="00895A07">
            <w:pPr>
              <w:jc w:val="center"/>
              <w:rPr>
                <w:sz w:val="22"/>
                <w:szCs w:val="22"/>
                <w:lang w:eastAsia="lt-LT"/>
              </w:rPr>
            </w:pPr>
            <w:r w:rsidRPr="003F564F">
              <w:rPr>
                <w:sz w:val="22"/>
                <w:szCs w:val="22"/>
                <w:lang w:eastAsia="lt-LT"/>
              </w:rPr>
              <w:t>(N = 49)</w:t>
            </w:r>
          </w:p>
          <w:p w14:paraId="555F4FFA" w14:textId="69B008AA" w:rsidR="00D3679D" w:rsidRPr="003F564F" w:rsidRDefault="00895A07" w:rsidP="00895A07">
            <w:pPr>
              <w:jc w:val="center"/>
              <w:rPr>
                <w:sz w:val="22"/>
                <w:szCs w:val="22"/>
                <w:lang w:eastAsia="lt-LT"/>
              </w:rPr>
            </w:pPr>
            <w:r w:rsidRPr="003F564F">
              <w:rPr>
                <w:sz w:val="22"/>
                <w:szCs w:val="22"/>
                <w:lang w:eastAsia="lt-LT"/>
              </w:rPr>
              <w:t>n (%)</w:t>
            </w:r>
          </w:p>
        </w:tc>
        <w:tc>
          <w:tcPr>
            <w:tcW w:w="929" w:type="dxa"/>
          </w:tcPr>
          <w:p w14:paraId="4A2DC89C" w14:textId="77777777" w:rsidR="00895A07" w:rsidRPr="003F564F" w:rsidRDefault="00895A07" w:rsidP="00895A07">
            <w:pPr>
              <w:jc w:val="center"/>
              <w:rPr>
                <w:sz w:val="22"/>
                <w:szCs w:val="22"/>
                <w:lang w:eastAsia="lt-LT"/>
              </w:rPr>
            </w:pPr>
            <w:proofErr w:type="spellStart"/>
            <w:r w:rsidRPr="003F564F">
              <w:rPr>
                <w:sz w:val="22"/>
                <w:szCs w:val="22"/>
                <w:lang w:eastAsia="lt-LT"/>
              </w:rPr>
              <w:t>Neig</w:t>
            </w:r>
            <w:proofErr w:type="spellEnd"/>
            <w:r w:rsidRPr="003F564F">
              <w:rPr>
                <w:sz w:val="22"/>
                <w:szCs w:val="22"/>
                <w:lang w:eastAsia="lt-LT"/>
              </w:rPr>
              <w:t>.</w:t>
            </w:r>
          </w:p>
          <w:p w14:paraId="1BCA1E64" w14:textId="053EA072" w:rsidR="00895A07" w:rsidRPr="003F564F" w:rsidRDefault="00895A07" w:rsidP="00895A07">
            <w:pPr>
              <w:jc w:val="center"/>
              <w:rPr>
                <w:sz w:val="22"/>
                <w:szCs w:val="22"/>
                <w:lang w:eastAsia="lt-LT"/>
              </w:rPr>
            </w:pPr>
            <w:r w:rsidRPr="003F564F">
              <w:rPr>
                <w:sz w:val="22"/>
                <w:szCs w:val="22"/>
                <w:lang w:eastAsia="lt-LT"/>
              </w:rPr>
              <w:t>(N = 20)</w:t>
            </w:r>
          </w:p>
          <w:p w14:paraId="448C1BDC" w14:textId="33FCAE28" w:rsidR="00D3679D" w:rsidRPr="003F564F" w:rsidRDefault="00895A07" w:rsidP="00895A07">
            <w:pPr>
              <w:jc w:val="center"/>
              <w:rPr>
                <w:sz w:val="22"/>
                <w:szCs w:val="22"/>
                <w:lang w:eastAsia="lt-LT"/>
              </w:rPr>
            </w:pPr>
            <w:r w:rsidRPr="003F564F">
              <w:rPr>
                <w:sz w:val="22"/>
                <w:szCs w:val="22"/>
                <w:lang w:eastAsia="lt-LT"/>
              </w:rPr>
              <w:t>n (%)</w:t>
            </w:r>
          </w:p>
        </w:tc>
      </w:tr>
      <w:tr w:rsidR="00895A07" w:rsidRPr="003F564F" w14:paraId="0F0153A0" w14:textId="77777777" w:rsidTr="00895A07">
        <w:tc>
          <w:tcPr>
            <w:tcW w:w="1206" w:type="dxa"/>
          </w:tcPr>
          <w:p w14:paraId="1DB505B3" w14:textId="5A680D9D" w:rsidR="00D3679D" w:rsidRPr="003F564F" w:rsidRDefault="00895A07" w:rsidP="00895A07">
            <w:pPr>
              <w:rPr>
                <w:sz w:val="22"/>
                <w:szCs w:val="22"/>
                <w:lang w:eastAsia="lt-LT"/>
              </w:rPr>
            </w:pPr>
            <w:r w:rsidRPr="003F564F">
              <w:rPr>
                <w:sz w:val="22"/>
                <w:szCs w:val="22"/>
                <w:lang w:eastAsia="lt-LT"/>
              </w:rPr>
              <w:t>Pacientų, kuriems blužnies tūris sumažėjo ≥ 35 %, kiekis (%)</w:t>
            </w:r>
          </w:p>
        </w:tc>
        <w:tc>
          <w:tcPr>
            <w:tcW w:w="1313" w:type="dxa"/>
          </w:tcPr>
          <w:p w14:paraId="1273C70B" w14:textId="10F7EF33" w:rsidR="00D3679D" w:rsidRPr="003F564F" w:rsidRDefault="00895A07" w:rsidP="00895A07">
            <w:pPr>
              <w:jc w:val="center"/>
              <w:rPr>
                <w:sz w:val="22"/>
                <w:szCs w:val="22"/>
                <w:lang w:eastAsia="lt-LT"/>
              </w:rPr>
            </w:pPr>
            <w:r w:rsidRPr="003F564F">
              <w:rPr>
                <w:sz w:val="22"/>
                <w:szCs w:val="22"/>
                <w:lang w:eastAsia="lt-LT"/>
              </w:rPr>
              <w:t>54 (47,8)</w:t>
            </w:r>
          </w:p>
        </w:tc>
        <w:tc>
          <w:tcPr>
            <w:tcW w:w="931" w:type="dxa"/>
          </w:tcPr>
          <w:p w14:paraId="3165CC40" w14:textId="124001C2" w:rsidR="00D3679D" w:rsidRPr="003F564F" w:rsidRDefault="00895A07" w:rsidP="00895A07">
            <w:pPr>
              <w:jc w:val="center"/>
              <w:rPr>
                <w:sz w:val="22"/>
                <w:szCs w:val="22"/>
                <w:lang w:eastAsia="lt-LT"/>
              </w:rPr>
            </w:pPr>
            <w:r w:rsidRPr="003F564F">
              <w:rPr>
                <w:sz w:val="22"/>
                <w:szCs w:val="22"/>
                <w:lang w:eastAsia="lt-LT"/>
              </w:rPr>
              <w:t>11 (27,5)</w:t>
            </w:r>
          </w:p>
        </w:tc>
        <w:tc>
          <w:tcPr>
            <w:tcW w:w="1027" w:type="dxa"/>
          </w:tcPr>
          <w:p w14:paraId="29598765" w14:textId="44DDF655" w:rsidR="00D3679D" w:rsidRPr="003F564F" w:rsidRDefault="00895A07" w:rsidP="00895A07">
            <w:pPr>
              <w:jc w:val="center"/>
              <w:rPr>
                <w:sz w:val="22"/>
                <w:szCs w:val="22"/>
                <w:lang w:eastAsia="lt-LT"/>
              </w:rPr>
            </w:pPr>
            <w:r w:rsidRPr="003F564F">
              <w:rPr>
                <w:sz w:val="22"/>
                <w:szCs w:val="22"/>
                <w:lang w:eastAsia="lt-LT"/>
              </w:rPr>
              <w:t>1 (0,8)</w:t>
            </w:r>
          </w:p>
        </w:tc>
        <w:tc>
          <w:tcPr>
            <w:tcW w:w="929" w:type="dxa"/>
          </w:tcPr>
          <w:p w14:paraId="6AAC06DB" w14:textId="0542D571" w:rsidR="00D3679D" w:rsidRPr="003F564F" w:rsidRDefault="00895A07" w:rsidP="00895A07">
            <w:pPr>
              <w:jc w:val="center"/>
              <w:rPr>
                <w:sz w:val="22"/>
                <w:szCs w:val="22"/>
                <w:lang w:eastAsia="lt-LT"/>
              </w:rPr>
            </w:pPr>
            <w:r w:rsidRPr="003F564F">
              <w:rPr>
                <w:sz w:val="22"/>
                <w:szCs w:val="22"/>
                <w:lang w:eastAsia="lt-LT"/>
              </w:rPr>
              <w:t>0</w:t>
            </w:r>
          </w:p>
        </w:tc>
        <w:tc>
          <w:tcPr>
            <w:tcW w:w="1313" w:type="dxa"/>
          </w:tcPr>
          <w:p w14:paraId="648FDF3D" w14:textId="28FFC534" w:rsidR="00D3679D" w:rsidRPr="003F564F" w:rsidRDefault="00895A07" w:rsidP="00895A07">
            <w:pPr>
              <w:jc w:val="center"/>
              <w:rPr>
                <w:sz w:val="22"/>
                <w:szCs w:val="22"/>
                <w:lang w:eastAsia="lt-LT"/>
              </w:rPr>
            </w:pPr>
            <w:r w:rsidRPr="003F564F">
              <w:rPr>
                <w:sz w:val="22"/>
                <w:szCs w:val="22"/>
                <w:lang w:eastAsia="lt-LT"/>
              </w:rPr>
              <w:t>36 (32,7)</w:t>
            </w:r>
          </w:p>
        </w:tc>
        <w:tc>
          <w:tcPr>
            <w:tcW w:w="933" w:type="dxa"/>
          </w:tcPr>
          <w:p w14:paraId="7E7425A3" w14:textId="3A23467A" w:rsidR="00D3679D" w:rsidRPr="003F564F" w:rsidRDefault="00895A07" w:rsidP="00895A07">
            <w:pPr>
              <w:jc w:val="center"/>
              <w:rPr>
                <w:sz w:val="22"/>
                <w:szCs w:val="22"/>
                <w:lang w:eastAsia="lt-LT"/>
              </w:rPr>
            </w:pPr>
            <w:r w:rsidRPr="003F564F">
              <w:rPr>
                <w:sz w:val="22"/>
                <w:szCs w:val="22"/>
                <w:lang w:eastAsia="lt-LT"/>
              </w:rPr>
              <w:t>5 (14,3)</w:t>
            </w:r>
          </w:p>
        </w:tc>
        <w:tc>
          <w:tcPr>
            <w:tcW w:w="1133" w:type="dxa"/>
          </w:tcPr>
          <w:p w14:paraId="48D4CF6E" w14:textId="61561826" w:rsidR="00D3679D" w:rsidRPr="003F564F" w:rsidRDefault="00895A07" w:rsidP="00895A07">
            <w:pPr>
              <w:jc w:val="center"/>
              <w:rPr>
                <w:sz w:val="22"/>
                <w:szCs w:val="22"/>
                <w:lang w:eastAsia="lt-LT"/>
              </w:rPr>
            </w:pPr>
            <w:r w:rsidRPr="003F564F">
              <w:rPr>
                <w:sz w:val="22"/>
                <w:szCs w:val="22"/>
                <w:lang w:eastAsia="lt-LT"/>
              </w:rPr>
              <w:t>0</w:t>
            </w:r>
          </w:p>
        </w:tc>
        <w:tc>
          <w:tcPr>
            <w:tcW w:w="929" w:type="dxa"/>
          </w:tcPr>
          <w:p w14:paraId="27269A7C" w14:textId="3EE94C56" w:rsidR="00D3679D" w:rsidRPr="003F564F" w:rsidRDefault="00895A07" w:rsidP="00895A07">
            <w:pPr>
              <w:jc w:val="center"/>
              <w:rPr>
                <w:sz w:val="22"/>
                <w:szCs w:val="22"/>
                <w:lang w:eastAsia="lt-LT"/>
              </w:rPr>
            </w:pPr>
            <w:r w:rsidRPr="003F564F">
              <w:rPr>
                <w:sz w:val="22"/>
                <w:szCs w:val="22"/>
                <w:lang w:eastAsia="lt-LT"/>
              </w:rPr>
              <w:t>0</w:t>
            </w:r>
          </w:p>
        </w:tc>
      </w:tr>
      <w:tr w:rsidR="00895A07" w:rsidRPr="003F564F" w14:paraId="61F0F960" w14:textId="77777777" w:rsidTr="00895A07">
        <w:tc>
          <w:tcPr>
            <w:tcW w:w="1206" w:type="dxa"/>
          </w:tcPr>
          <w:p w14:paraId="0E36A7BB" w14:textId="71BA5490" w:rsidR="00895A07" w:rsidRPr="003F564F" w:rsidRDefault="00895A07" w:rsidP="00895A07">
            <w:pPr>
              <w:rPr>
                <w:sz w:val="22"/>
                <w:szCs w:val="22"/>
                <w:lang w:eastAsia="lt-LT"/>
              </w:rPr>
            </w:pPr>
            <w:r w:rsidRPr="003F564F">
              <w:rPr>
                <w:sz w:val="22"/>
                <w:szCs w:val="22"/>
                <w:lang w:eastAsia="lt-LT"/>
              </w:rPr>
              <w:t>Vertinimo laikotarpis</w:t>
            </w:r>
          </w:p>
        </w:tc>
        <w:tc>
          <w:tcPr>
            <w:tcW w:w="4200" w:type="dxa"/>
            <w:gridSpan w:val="4"/>
          </w:tcPr>
          <w:p w14:paraId="6C3B0424" w14:textId="770738FF" w:rsidR="00895A07" w:rsidRPr="003F564F" w:rsidRDefault="00895A07" w:rsidP="00895A07">
            <w:pPr>
              <w:rPr>
                <w:sz w:val="22"/>
                <w:szCs w:val="22"/>
                <w:lang w:eastAsia="lt-LT"/>
              </w:rPr>
            </w:pPr>
            <w:r w:rsidRPr="003F564F">
              <w:rPr>
                <w:sz w:val="22"/>
                <w:szCs w:val="22"/>
                <w:lang w:eastAsia="lt-LT"/>
              </w:rPr>
              <w:t>Po 24 savaičių</w:t>
            </w:r>
          </w:p>
        </w:tc>
        <w:tc>
          <w:tcPr>
            <w:tcW w:w="4308" w:type="dxa"/>
            <w:gridSpan w:val="4"/>
          </w:tcPr>
          <w:p w14:paraId="4529716B" w14:textId="24A9C411" w:rsidR="00895A07" w:rsidRPr="003F564F" w:rsidRDefault="00895A07" w:rsidP="00895A07">
            <w:pPr>
              <w:rPr>
                <w:sz w:val="22"/>
                <w:szCs w:val="22"/>
                <w:lang w:eastAsia="lt-LT"/>
              </w:rPr>
            </w:pPr>
            <w:r w:rsidRPr="003F564F">
              <w:rPr>
                <w:sz w:val="22"/>
                <w:szCs w:val="22"/>
                <w:lang w:eastAsia="lt-LT"/>
              </w:rPr>
              <w:t>Po 48 savaičių</w:t>
            </w:r>
          </w:p>
        </w:tc>
      </w:tr>
    </w:tbl>
    <w:p w14:paraId="7DF95E06" w14:textId="77777777" w:rsidR="00D3679D" w:rsidRPr="003F564F" w:rsidRDefault="00D3679D" w:rsidP="0036574D">
      <w:pPr>
        <w:rPr>
          <w:sz w:val="22"/>
          <w:szCs w:val="22"/>
          <w:lang w:eastAsia="lt-LT"/>
        </w:rPr>
      </w:pPr>
    </w:p>
    <w:p w14:paraId="0D73360B" w14:textId="634DAA85" w:rsidR="00D3679D" w:rsidRPr="003F564F" w:rsidRDefault="00D3679D" w:rsidP="0036574D">
      <w:pPr>
        <w:rPr>
          <w:sz w:val="22"/>
          <w:szCs w:val="22"/>
          <w:lang w:eastAsia="lt-LT"/>
        </w:rPr>
      </w:pPr>
      <w:r w:rsidRPr="003F564F">
        <w:rPr>
          <w:sz w:val="22"/>
          <w:szCs w:val="22"/>
          <w:lang w:eastAsia="lt-LT"/>
        </w:rPr>
        <w:lastRenderedPageBreak/>
        <w:t xml:space="preserve">Tikimybė, kad pacientui skiriant gydymą </w:t>
      </w:r>
      <w:proofErr w:type="spellStart"/>
      <w:r w:rsidR="00EB0B12" w:rsidRPr="003F564F">
        <w:rPr>
          <w:sz w:val="22"/>
          <w:szCs w:val="22"/>
          <w:lang w:eastAsia="lt-LT"/>
        </w:rPr>
        <w:t>ruksolitinibu</w:t>
      </w:r>
      <w:proofErr w:type="spellEnd"/>
      <w:r w:rsidR="00EB0B12" w:rsidRPr="003F564F">
        <w:rPr>
          <w:sz w:val="22"/>
          <w:szCs w:val="22"/>
          <w:lang w:eastAsia="lt-LT"/>
        </w:rPr>
        <w:t xml:space="preserve"> </w:t>
      </w:r>
      <w:r w:rsidRPr="003F564F">
        <w:rPr>
          <w:sz w:val="22"/>
          <w:szCs w:val="22"/>
          <w:lang w:eastAsia="lt-LT"/>
        </w:rPr>
        <w:t>bent 24</w:t>
      </w:r>
      <w:r w:rsidR="00EB0B12" w:rsidRPr="003F564F">
        <w:rPr>
          <w:sz w:val="22"/>
          <w:szCs w:val="22"/>
          <w:lang w:eastAsia="lt-LT"/>
        </w:rPr>
        <w:t> </w:t>
      </w:r>
      <w:r w:rsidRPr="003F564F">
        <w:rPr>
          <w:sz w:val="22"/>
          <w:szCs w:val="22"/>
          <w:lang w:eastAsia="lt-LT"/>
        </w:rPr>
        <w:t>savaites išliks atsakas (≥</w:t>
      </w:r>
      <w:r w:rsidR="00EB0B12" w:rsidRPr="003F564F">
        <w:rPr>
          <w:sz w:val="22"/>
          <w:szCs w:val="22"/>
          <w:lang w:eastAsia="lt-LT"/>
        </w:rPr>
        <w:t> </w:t>
      </w:r>
      <w:r w:rsidRPr="003F564F">
        <w:rPr>
          <w:sz w:val="22"/>
          <w:szCs w:val="22"/>
          <w:lang w:eastAsia="lt-LT"/>
        </w:rPr>
        <w:t>35</w:t>
      </w:r>
      <w:r w:rsidR="00EB0B12" w:rsidRPr="003F564F">
        <w:rPr>
          <w:sz w:val="22"/>
          <w:szCs w:val="22"/>
          <w:lang w:eastAsia="lt-LT"/>
        </w:rPr>
        <w:t> </w:t>
      </w:r>
      <w:r w:rsidRPr="003F564F">
        <w:rPr>
          <w:sz w:val="22"/>
          <w:szCs w:val="22"/>
          <w:lang w:eastAsia="lt-LT"/>
        </w:rPr>
        <w:t>% blužnies tūrio sumažėjimas), COMFORT-I tyrime buvo 89</w:t>
      </w:r>
      <w:r w:rsidR="00EB0B12" w:rsidRPr="003F564F">
        <w:rPr>
          <w:sz w:val="22"/>
          <w:szCs w:val="22"/>
          <w:lang w:eastAsia="lt-LT"/>
        </w:rPr>
        <w:t> </w:t>
      </w:r>
      <w:r w:rsidRPr="003F564F">
        <w:rPr>
          <w:sz w:val="22"/>
          <w:szCs w:val="22"/>
          <w:lang w:eastAsia="lt-LT"/>
        </w:rPr>
        <w:t>%, o COMFORT-II tyrime buvo 87</w:t>
      </w:r>
      <w:r w:rsidR="00EB0B12" w:rsidRPr="003F564F">
        <w:rPr>
          <w:sz w:val="22"/>
          <w:szCs w:val="22"/>
          <w:lang w:eastAsia="lt-LT"/>
        </w:rPr>
        <w:t> </w:t>
      </w:r>
      <w:r w:rsidRPr="003F564F">
        <w:rPr>
          <w:sz w:val="22"/>
          <w:szCs w:val="22"/>
          <w:lang w:eastAsia="lt-LT"/>
        </w:rPr>
        <w:t>%; 52</w:t>
      </w:r>
      <w:r w:rsidR="00EB0B12" w:rsidRPr="003F564F">
        <w:rPr>
          <w:sz w:val="22"/>
          <w:szCs w:val="22"/>
          <w:lang w:eastAsia="lt-LT"/>
        </w:rPr>
        <w:t> </w:t>
      </w:r>
      <w:r w:rsidRPr="003F564F">
        <w:rPr>
          <w:sz w:val="22"/>
          <w:szCs w:val="22"/>
          <w:lang w:eastAsia="lt-LT"/>
        </w:rPr>
        <w:t>% pacientų šis blužnies sumažėjimas COMFORT-II tyrimo metu išliko bent 48</w:t>
      </w:r>
      <w:r w:rsidR="00EB0B12" w:rsidRPr="003F564F">
        <w:rPr>
          <w:sz w:val="22"/>
          <w:szCs w:val="22"/>
          <w:lang w:eastAsia="lt-LT"/>
        </w:rPr>
        <w:t> </w:t>
      </w:r>
      <w:r w:rsidRPr="003F564F">
        <w:rPr>
          <w:sz w:val="22"/>
          <w:szCs w:val="22"/>
          <w:lang w:eastAsia="lt-LT"/>
        </w:rPr>
        <w:t>savaites.</w:t>
      </w:r>
    </w:p>
    <w:p w14:paraId="003D3CC3" w14:textId="77777777" w:rsidR="00D3679D" w:rsidRPr="003F564F" w:rsidRDefault="00D3679D" w:rsidP="0036574D">
      <w:pPr>
        <w:rPr>
          <w:sz w:val="22"/>
          <w:szCs w:val="22"/>
          <w:lang w:eastAsia="lt-LT"/>
        </w:rPr>
      </w:pPr>
    </w:p>
    <w:p w14:paraId="09D627AF" w14:textId="3B8535AF" w:rsidR="00D3679D" w:rsidRPr="003F564F" w:rsidRDefault="00D3679D" w:rsidP="0036574D">
      <w:pPr>
        <w:rPr>
          <w:sz w:val="22"/>
          <w:szCs w:val="22"/>
          <w:lang w:eastAsia="lt-LT"/>
        </w:rPr>
      </w:pPr>
      <w:r w:rsidRPr="003F564F">
        <w:rPr>
          <w:sz w:val="22"/>
          <w:szCs w:val="22"/>
          <w:lang w:eastAsia="lt-LT"/>
        </w:rPr>
        <w:t>COMFORT-I tyrimo metu 45,9</w:t>
      </w:r>
      <w:r w:rsidR="00EB0B12" w:rsidRPr="003F564F">
        <w:rPr>
          <w:sz w:val="22"/>
          <w:szCs w:val="22"/>
          <w:lang w:eastAsia="lt-LT"/>
        </w:rPr>
        <w:t> </w:t>
      </w:r>
      <w:r w:rsidRPr="003F564F">
        <w:rPr>
          <w:sz w:val="22"/>
          <w:szCs w:val="22"/>
          <w:lang w:eastAsia="lt-LT"/>
        </w:rPr>
        <w:t xml:space="preserve">% </w:t>
      </w:r>
      <w:proofErr w:type="spellStart"/>
      <w:r w:rsidR="00EB0B12" w:rsidRPr="003F564F">
        <w:rPr>
          <w:sz w:val="22"/>
          <w:szCs w:val="22"/>
          <w:lang w:eastAsia="lt-LT"/>
        </w:rPr>
        <w:t>ruksolitinibo</w:t>
      </w:r>
      <w:proofErr w:type="spellEnd"/>
      <w:r w:rsidR="00EB0B12" w:rsidRPr="003F564F">
        <w:rPr>
          <w:sz w:val="22"/>
          <w:szCs w:val="22"/>
          <w:lang w:eastAsia="lt-LT"/>
        </w:rPr>
        <w:t xml:space="preserve"> </w:t>
      </w:r>
      <w:r w:rsidRPr="003F564F">
        <w:rPr>
          <w:sz w:val="22"/>
          <w:szCs w:val="22"/>
          <w:lang w:eastAsia="lt-LT"/>
        </w:rPr>
        <w:t>vartojusių pacientų nustatytas bendrojo ligos simptomų įvertinimo balo (vertinant pagal MFSAF v2.0 dienyną) sumažėjimas ≥</w:t>
      </w:r>
      <w:r w:rsidR="00EB0B12" w:rsidRPr="003F564F">
        <w:rPr>
          <w:sz w:val="22"/>
          <w:szCs w:val="22"/>
          <w:lang w:eastAsia="lt-LT"/>
        </w:rPr>
        <w:t> </w:t>
      </w:r>
      <w:r w:rsidRPr="003F564F">
        <w:rPr>
          <w:sz w:val="22"/>
          <w:szCs w:val="22"/>
          <w:lang w:eastAsia="lt-LT"/>
        </w:rPr>
        <w:t>50</w:t>
      </w:r>
      <w:r w:rsidR="00EB0B12" w:rsidRPr="003F564F">
        <w:rPr>
          <w:sz w:val="22"/>
          <w:szCs w:val="22"/>
          <w:lang w:eastAsia="lt-LT"/>
        </w:rPr>
        <w:t> </w:t>
      </w:r>
      <w:r w:rsidRPr="003F564F">
        <w:rPr>
          <w:sz w:val="22"/>
          <w:szCs w:val="22"/>
          <w:lang w:eastAsia="lt-LT"/>
        </w:rPr>
        <w:t>% nuo pradinės reikšmės iki 24</w:t>
      </w:r>
      <w:r w:rsidR="00EB0B12" w:rsidRPr="003F564F">
        <w:rPr>
          <w:sz w:val="22"/>
          <w:szCs w:val="22"/>
          <w:lang w:eastAsia="lt-LT"/>
        </w:rPr>
        <w:t> </w:t>
      </w:r>
      <w:r w:rsidRPr="003F564F">
        <w:rPr>
          <w:sz w:val="22"/>
          <w:szCs w:val="22"/>
          <w:lang w:eastAsia="lt-LT"/>
        </w:rPr>
        <w:t>savaitės įvertinimo, lyginant su 5,3</w:t>
      </w:r>
      <w:r w:rsidR="00EB0B12" w:rsidRPr="003F564F">
        <w:rPr>
          <w:sz w:val="22"/>
          <w:szCs w:val="22"/>
          <w:lang w:eastAsia="lt-LT"/>
        </w:rPr>
        <w:t> </w:t>
      </w:r>
      <w:r w:rsidRPr="003F564F">
        <w:rPr>
          <w:sz w:val="22"/>
          <w:szCs w:val="22"/>
          <w:lang w:eastAsia="lt-LT"/>
        </w:rPr>
        <w:t>% placebo grupės pacientų (p</w:t>
      </w:r>
      <w:r w:rsidR="00EB0B12" w:rsidRPr="003F564F">
        <w:rPr>
          <w:sz w:val="22"/>
          <w:szCs w:val="22"/>
          <w:lang w:eastAsia="lt-LT"/>
        </w:rPr>
        <w:t> </w:t>
      </w:r>
      <w:r w:rsidRPr="003F564F">
        <w:rPr>
          <w:sz w:val="22"/>
          <w:szCs w:val="22"/>
          <w:lang w:eastAsia="lt-LT"/>
        </w:rPr>
        <w:t>&lt;</w:t>
      </w:r>
      <w:r w:rsidR="00EB0B12" w:rsidRPr="003F564F">
        <w:rPr>
          <w:sz w:val="22"/>
          <w:szCs w:val="22"/>
          <w:lang w:eastAsia="lt-LT"/>
        </w:rPr>
        <w:t> </w:t>
      </w:r>
      <w:r w:rsidRPr="003F564F">
        <w:rPr>
          <w:sz w:val="22"/>
          <w:szCs w:val="22"/>
          <w:lang w:eastAsia="lt-LT"/>
        </w:rPr>
        <w:t xml:space="preserve">0,0001 naudojant </w:t>
      </w:r>
      <w:proofErr w:type="spellStart"/>
      <w:r w:rsidRPr="003F564F">
        <w:rPr>
          <w:i/>
          <w:iCs/>
          <w:sz w:val="22"/>
          <w:szCs w:val="22"/>
          <w:lang w:eastAsia="lt-LT"/>
        </w:rPr>
        <w:t>chi</w:t>
      </w:r>
      <w:proofErr w:type="spellEnd"/>
      <w:r w:rsidRPr="003F564F">
        <w:rPr>
          <w:sz w:val="22"/>
          <w:szCs w:val="22"/>
          <w:lang w:eastAsia="lt-LT"/>
        </w:rPr>
        <w:t>-kvadrato tyrimo metodą). Naudojant EORTC QLQ-C30 klausimyną nustatytos bendrosios sveikatos būklės pokyčio iki 24</w:t>
      </w:r>
      <w:r w:rsidR="00781CD5" w:rsidRPr="003F564F">
        <w:rPr>
          <w:sz w:val="22"/>
          <w:szCs w:val="22"/>
          <w:lang w:eastAsia="lt-LT"/>
        </w:rPr>
        <w:noBreakHyphen/>
      </w:r>
      <w:r w:rsidRPr="003F564F">
        <w:rPr>
          <w:sz w:val="22"/>
          <w:szCs w:val="22"/>
          <w:lang w:eastAsia="lt-LT"/>
        </w:rPr>
        <w:t>osios savaitės vidurkis buvo +12,3</w:t>
      </w:r>
      <w:r w:rsidR="00781CD5" w:rsidRPr="003F564F">
        <w:rPr>
          <w:sz w:val="22"/>
          <w:szCs w:val="22"/>
          <w:lang w:eastAsia="lt-LT"/>
        </w:rPr>
        <w:t> </w:t>
      </w:r>
      <w:r w:rsidRPr="003F564F">
        <w:rPr>
          <w:sz w:val="22"/>
          <w:szCs w:val="22"/>
          <w:lang w:eastAsia="lt-LT"/>
        </w:rPr>
        <w:t xml:space="preserve">balų </w:t>
      </w:r>
      <w:proofErr w:type="spellStart"/>
      <w:r w:rsidR="00EB0B12" w:rsidRPr="003F564F">
        <w:rPr>
          <w:sz w:val="22"/>
          <w:szCs w:val="22"/>
          <w:lang w:eastAsia="lt-LT"/>
        </w:rPr>
        <w:t>ruksolitinibo</w:t>
      </w:r>
      <w:proofErr w:type="spellEnd"/>
      <w:r w:rsidR="00EB0B12" w:rsidRPr="003F564F">
        <w:rPr>
          <w:sz w:val="22"/>
          <w:szCs w:val="22"/>
          <w:lang w:eastAsia="lt-LT"/>
        </w:rPr>
        <w:t xml:space="preserve"> </w:t>
      </w:r>
      <w:r w:rsidRPr="003F564F">
        <w:rPr>
          <w:sz w:val="22"/>
          <w:szCs w:val="22"/>
          <w:lang w:eastAsia="lt-LT"/>
        </w:rPr>
        <w:t>vartojusiųjų grupėje ir -3,4</w:t>
      </w:r>
      <w:r w:rsidR="00781CD5" w:rsidRPr="003F564F">
        <w:rPr>
          <w:sz w:val="22"/>
          <w:szCs w:val="22"/>
          <w:lang w:eastAsia="lt-LT"/>
        </w:rPr>
        <w:t> </w:t>
      </w:r>
      <w:r w:rsidRPr="003F564F">
        <w:rPr>
          <w:sz w:val="22"/>
          <w:szCs w:val="22"/>
          <w:lang w:eastAsia="lt-LT"/>
        </w:rPr>
        <w:t>balo placebo grupėje (p</w:t>
      </w:r>
      <w:r w:rsidR="00781CD5" w:rsidRPr="003F564F">
        <w:rPr>
          <w:sz w:val="22"/>
          <w:szCs w:val="22"/>
          <w:lang w:eastAsia="lt-LT"/>
        </w:rPr>
        <w:t> </w:t>
      </w:r>
      <w:r w:rsidRPr="003F564F">
        <w:rPr>
          <w:sz w:val="22"/>
          <w:szCs w:val="22"/>
          <w:lang w:eastAsia="lt-LT"/>
        </w:rPr>
        <w:t>&lt;</w:t>
      </w:r>
      <w:r w:rsidR="00781CD5" w:rsidRPr="003F564F">
        <w:rPr>
          <w:sz w:val="22"/>
          <w:szCs w:val="22"/>
          <w:lang w:eastAsia="lt-LT"/>
        </w:rPr>
        <w:t> </w:t>
      </w:r>
      <w:r w:rsidRPr="003F564F">
        <w:rPr>
          <w:sz w:val="22"/>
          <w:szCs w:val="22"/>
          <w:lang w:eastAsia="lt-LT"/>
        </w:rPr>
        <w:t>0,0001).</w:t>
      </w:r>
    </w:p>
    <w:p w14:paraId="0A554479" w14:textId="77777777" w:rsidR="00D3679D" w:rsidRPr="003F564F" w:rsidRDefault="00D3679D" w:rsidP="0036574D">
      <w:pPr>
        <w:rPr>
          <w:sz w:val="22"/>
          <w:szCs w:val="22"/>
          <w:lang w:eastAsia="lt-LT"/>
        </w:rPr>
      </w:pPr>
    </w:p>
    <w:p w14:paraId="53FD22F4" w14:textId="1E069317" w:rsidR="00D3679D" w:rsidRPr="003F564F" w:rsidRDefault="00D3679D" w:rsidP="0036574D">
      <w:pPr>
        <w:rPr>
          <w:sz w:val="22"/>
          <w:szCs w:val="22"/>
          <w:lang w:eastAsia="lt-LT"/>
        </w:rPr>
      </w:pPr>
      <w:r w:rsidRPr="003F564F">
        <w:rPr>
          <w:sz w:val="22"/>
          <w:szCs w:val="22"/>
          <w:lang w:eastAsia="lt-LT"/>
        </w:rPr>
        <w:t>COMFORT-I tyrimo duomenimis, po stebėjimo laikotarpio, kurio medianos trukmė buvo 34,3</w:t>
      </w:r>
      <w:r w:rsidR="00781CD5" w:rsidRPr="003F564F">
        <w:rPr>
          <w:sz w:val="22"/>
          <w:szCs w:val="22"/>
          <w:lang w:eastAsia="lt-LT"/>
        </w:rPr>
        <w:t> </w:t>
      </w:r>
      <w:r w:rsidRPr="003F564F">
        <w:rPr>
          <w:sz w:val="22"/>
          <w:szCs w:val="22"/>
          <w:lang w:eastAsia="lt-LT"/>
        </w:rPr>
        <w:t xml:space="preserve">mėnesių, mirčių dažnis </w:t>
      </w:r>
      <w:proofErr w:type="spellStart"/>
      <w:r w:rsidRPr="003F564F">
        <w:rPr>
          <w:sz w:val="22"/>
          <w:szCs w:val="22"/>
          <w:lang w:eastAsia="lt-LT"/>
        </w:rPr>
        <w:t>ruksolitinibo</w:t>
      </w:r>
      <w:proofErr w:type="spellEnd"/>
      <w:r w:rsidRPr="003F564F">
        <w:rPr>
          <w:sz w:val="22"/>
          <w:szCs w:val="22"/>
          <w:lang w:eastAsia="lt-LT"/>
        </w:rPr>
        <w:t xml:space="preserve"> grupei atsitiktinai priskirtų pacientų tarpe buvo 27,1</w:t>
      </w:r>
      <w:r w:rsidR="00781CD5" w:rsidRPr="003F564F">
        <w:rPr>
          <w:sz w:val="22"/>
          <w:szCs w:val="22"/>
          <w:lang w:eastAsia="lt-LT"/>
        </w:rPr>
        <w:t> </w:t>
      </w:r>
      <w:r w:rsidRPr="003F564F">
        <w:rPr>
          <w:sz w:val="22"/>
          <w:szCs w:val="22"/>
          <w:lang w:eastAsia="lt-LT"/>
        </w:rPr>
        <w:t>%, palyginus su 35,1</w:t>
      </w:r>
      <w:r w:rsidR="00781CD5" w:rsidRPr="003F564F">
        <w:rPr>
          <w:sz w:val="22"/>
          <w:szCs w:val="22"/>
          <w:lang w:eastAsia="lt-LT"/>
        </w:rPr>
        <w:t> </w:t>
      </w:r>
      <w:r w:rsidRPr="003F564F">
        <w:rPr>
          <w:sz w:val="22"/>
          <w:szCs w:val="22"/>
          <w:lang w:eastAsia="lt-LT"/>
        </w:rPr>
        <w:t>% dažniu placebo grupei priskirtų pacientų tarpe; RS 0,687; 95</w:t>
      </w:r>
      <w:r w:rsidR="00781CD5" w:rsidRPr="003F564F">
        <w:rPr>
          <w:sz w:val="22"/>
          <w:szCs w:val="22"/>
          <w:lang w:eastAsia="lt-LT"/>
        </w:rPr>
        <w:t> </w:t>
      </w:r>
      <w:r w:rsidRPr="003F564F">
        <w:rPr>
          <w:sz w:val="22"/>
          <w:szCs w:val="22"/>
          <w:lang w:eastAsia="lt-LT"/>
        </w:rPr>
        <w:t>% PI 0,459, 1,029; p</w:t>
      </w:r>
      <w:r w:rsidR="00781CD5" w:rsidRPr="003F564F">
        <w:rPr>
          <w:sz w:val="22"/>
          <w:szCs w:val="22"/>
          <w:lang w:eastAsia="lt-LT"/>
        </w:rPr>
        <w:t> </w:t>
      </w:r>
      <w:r w:rsidRPr="003F564F">
        <w:rPr>
          <w:sz w:val="22"/>
          <w:szCs w:val="22"/>
          <w:lang w:eastAsia="lt-LT"/>
        </w:rPr>
        <w:t>=</w:t>
      </w:r>
      <w:r w:rsidR="00781CD5" w:rsidRPr="003F564F">
        <w:rPr>
          <w:sz w:val="22"/>
          <w:szCs w:val="22"/>
          <w:lang w:eastAsia="lt-LT"/>
        </w:rPr>
        <w:t> </w:t>
      </w:r>
      <w:r w:rsidRPr="003F564F">
        <w:rPr>
          <w:sz w:val="22"/>
          <w:szCs w:val="22"/>
          <w:lang w:eastAsia="lt-LT"/>
        </w:rPr>
        <w:t>0,0668).</w:t>
      </w:r>
    </w:p>
    <w:p w14:paraId="30ED1A85" w14:textId="77777777" w:rsidR="00D3679D" w:rsidRPr="003F564F" w:rsidRDefault="00D3679D" w:rsidP="0036574D">
      <w:pPr>
        <w:rPr>
          <w:sz w:val="22"/>
          <w:szCs w:val="22"/>
          <w:lang w:eastAsia="lt-LT"/>
        </w:rPr>
      </w:pPr>
    </w:p>
    <w:p w14:paraId="588F0FF7" w14:textId="38E01DC8" w:rsidR="00D3679D" w:rsidRPr="003F564F" w:rsidRDefault="00D3679D" w:rsidP="0036574D">
      <w:pPr>
        <w:rPr>
          <w:sz w:val="22"/>
          <w:szCs w:val="22"/>
          <w:lang w:eastAsia="lt-LT"/>
        </w:rPr>
      </w:pPr>
      <w:r w:rsidRPr="003F564F">
        <w:rPr>
          <w:sz w:val="22"/>
          <w:szCs w:val="22"/>
          <w:lang w:eastAsia="lt-LT"/>
        </w:rPr>
        <w:t>COMFORT-I tyrimo duomenimis, po stebėjimo laikotarpio, kurio medianos trukmė buvo 61,7</w:t>
      </w:r>
      <w:r w:rsidR="00781CD5" w:rsidRPr="003F564F">
        <w:rPr>
          <w:sz w:val="22"/>
          <w:szCs w:val="22"/>
          <w:lang w:eastAsia="lt-LT"/>
        </w:rPr>
        <w:t> </w:t>
      </w:r>
      <w:r w:rsidRPr="003F564F">
        <w:rPr>
          <w:sz w:val="22"/>
          <w:szCs w:val="22"/>
          <w:lang w:eastAsia="lt-LT"/>
        </w:rPr>
        <w:t xml:space="preserve">mėnesių, mirčių dažnis </w:t>
      </w:r>
      <w:proofErr w:type="spellStart"/>
      <w:r w:rsidRPr="003F564F">
        <w:rPr>
          <w:sz w:val="22"/>
          <w:szCs w:val="22"/>
          <w:lang w:eastAsia="lt-LT"/>
        </w:rPr>
        <w:t>ruksolitinibo</w:t>
      </w:r>
      <w:proofErr w:type="spellEnd"/>
      <w:r w:rsidRPr="003F564F">
        <w:rPr>
          <w:sz w:val="22"/>
          <w:szCs w:val="22"/>
          <w:lang w:eastAsia="lt-LT"/>
        </w:rPr>
        <w:t xml:space="preserve"> grupei atsitiktinai priskirtų pacientų tarpe buvo 44,5</w:t>
      </w:r>
      <w:r w:rsidR="00781CD5" w:rsidRPr="003F564F">
        <w:rPr>
          <w:sz w:val="22"/>
          <w:szCs w:val="22"/>
          <w:lang w:eastAsia="lt-LT"/>
        </w:rPr>
        <w:t> </w:t>
      </w:r>
      <w:r w:rsidRPr="003F564F">
        <w:rPr>
          <w:sz w:val="22"/>
          <w:szCs w:val="22"/>
          <w:lang w:eastAsia="lt-LT"/>
        </w:rPr>
        <w:t>% (69 iš 155</w:t>
      </w:r>
      <w:r w:rsidR="00781CD5" w:rsidRPr="003F564F">
        <w:rPr>
          <w:sz w:val="22"/>
          <w:szCs w:val="22"/>
          <w:lang w:eastAsia="lt-LT"/>
        </w:rPr>
        <w:t> </w:t>
      </w:r>
      <w:r w:rsidRPr="003F564F">
        <w:rPr>
          <w:sz w:val="22"/>
          <w:szCs w:val="22"/>
          <w:lang w:eastAsia="lt-LT"/>
        </w:rPr>
        <w:t>pacientų), palyginus su 53,2</w:t>
      </w:r>
      <w:r w:rsidR="00781CD5" w:rsidRPr="003F564F">
        <w:rPr>
          <w:sz w:val="22"/>
          <w:szCs w:val="22"/>
          <w:lang w:eastAsia="lt-LT"/>
        </w:rPr>
        <w:t> </w:t>
      </w:r>
      <w:r w:rsidRPr="003F564F">
        <w:rPr>
          <w:sz w:val="22"/>
          <w:szCs w:val="22"/>
          <w:lang w:eastAsia="lt-LT"/>
        </w:rPr>
        <w:t>% (82 iš 154</w:t>
      </w:r>
      <w:r w:rsidR="00781CD5" w:rsidRPr="003F564F">
        <w:rPr>
          <w:sz w:val="22"/>
          <w:szCs w:val="22"/>
          <w:lang w:eastAsia="lt-LT"/>
        </w:rPr>
        <w:t> </w:t>
      </w:r>
      <w:r w:rsidRPr="003F564F">
        <w:rPr>
          <w:sz w:val="22"/>
          <w:szCs w:val="22"/>
          <w:lang w:eastAsia="lt-LT"/>
        </w:rPr>
        <w:t xml:space="preserve">pacientų) dažniu placebo grupei priskirtų pacientų tarpe. </w:t>
      </w:r>
      <w:proofErr w:type="spellStart"/>
      <w:r w:rsidRPr="003F564F">
        <w:rPr>
          <w:sz w:val="22"/>
          <w:szCs w:val="22"/>
          <w:lang w:eastAsia="lt-LT"/>
        </w:rPr>
        <w:t>Ruksolitinibo</w:t>
      </w:r>
      <w:proofErr w:type="spellEnd"/>
      <w:r w:rsidRPr="003F564F">
        <w:rPr>
          <w:sz w:val="22"/>
          <w:szCs w:val="22"/>
          <w:lang w:eastAsia="lt-LT"/>
        </w:rPr>
        <w:t xml:space="preserve"> vartojusiųjų grupėje 33</w:t>
      </w:r>
      <w:r w:rsidR="00781CD5" w:rsidRPr="003F564F">
        <w:rPr>
          <w:sz w:val="22"/>
          <w:szCs w:val="22"/>
          <w:lang w:eastAsia="lt-LT"/>
        </w:rPr>
        <w:t> </w:t>
      </w:r>
      <w:r w:rsidRPr="003F564F">
        <w:rPr>
          <w:sz w:val="22"/>
          <w:szCs w:val="22"/>
          <w:lang w:eastAsia="lt-LT"/>
        </w:rPr>
        <w:t>% sumažėjo mirčių atvejų rizika lyginant su placebo grupe (RS 0,69; 95</w:t>
      </w:r>
      <w:r w:rsidR="00781CD5" w:rsidRPr="003F564F">
        <w:rPr>
          <w:sz w:val="22"/>
          <w:szCs w:val="22"/>
          <w:lang w:eastAsia="lt-LT"/>
        </w:rPr>
        <w:t> </w:t>
      </w:r>
      <w:r w:rsidRPr="003F564F">
        <w:rPr>
          <w:sz w:val="22"/>
          <w:szCs w:val="22"/>
          <w:lang w:eastAsia="lt-LT"/>
        </w:rPr>
        <w:t>% PI 0,50; 0,96; p</w:t>
      </w:r>
      <w:r w:rsidR="00781CD5" w:rsidRPr="003F564F">
        <w:rPr>
          <w:sz w:val="22"/>
          <w:szCs w:val="22"/>
          <w:lang w:eastAsia="lt-LT"/>
        </w:rPr>
        <w:t> </w:t>
      </w:r>
      <w:r w:rsidRPr="003F564F">
        <w:rPr>
          <w:sz w:val="22"/>
          <w:szCs w:val="22"/>
          <w:lang w:eastAsia="lt-LT"/>
        </w:rPr>
        <w:t>=</w:t>
      </w:r>
      <w:r w:rsidR="00781CD5" w:rsidRPr="003F564F">
        <w:rPr>
          <w:sz w:val="22"/>
          <w:szCs w:val="22"/>
          <w:lang w:eastAsia="lt-LT"/>
        </w:rPr>
        <w:t> </w:t>
      </w:r>
      <w:r w:rsidRPr="003F564F">
        <w:rPr>
          <w:sz w:val="22"/>
          <w:szCs w:val="22"/>
          <w:lang w:eastAsia="lt-LT"/>
        </w:rPr>
        <w:t>0,025).</w:t>
      </w:r>
    </w:p>
    <w:p w14:paraId="6F0E8A5A" w14:textId="77777777" w:rsidR="00895A07" w:rsidRPr="003F564F" w:rsidRDefault="00895A07" w:rsidP="0036574D">
      <w:pPr>
        <w:rPr>
          <w:sz w:val="22"/>
          <w:szCs w:val="22"/>
          <w:lang w:eastAsia="lt-LT"/>
        </w:rPr>
      </w:pPr>
    </w:p>
    <w:p w14:paraId="5AA82EF3" w14:textId="7794F884" w:rsidR="00D3679D" w:rsidRPr="003F564F" w:rsidRDefault="00D3679D" w:rsidP="0036574D">
      <w:pPr>
        <w:rPr>
          <w:sz w:val="22"/>
          <w:szCs w:val="22"/>
          <w:lang w:eastAsia="lt-LT"/>
        </w:rPr>
      </w:pPr>
      <w:r w:rsidRPr="003F564F">
        <w:rPr>
          <w:sz w:val="22"/>
          <w:szCs w:val="22"/>
          <w:lang w:eastAsia="lt-LT"/>
        </w:rPr>
        <w:t>COMFORT-II tyrimo duomenimis, po stebėjimo laikotarpio, kurio medianos trukmė buvo 34,7</w:t>
      </w:r>
      <w:r w:rsidR="00781CD5" w:rsidRPr="003F564F">
        <w:rPr>
          <w:sz w:val="22"/>
          <w:szCs w:val="22"/>
          <w:lang w:eastAsia="lt-LT"/>
        </w:rPr>
        <w:t> </w:t>
      </w:r>
      <w:r w:rsidRPr="003F564F">
        <w:rPr>
          <w:sz w:val="22"/>
          <w:szCs w:val="22"/>
          <w:lang w:eastAsia="lt-LT"/>
        </w:rPr>
        <w:t xml:space="preserve">mėnesių, mirčių dažnis </w:t>
      </w:r>
      <w:proofErr w:type="spellStart"/>
      <w:r w:rsidRPr="003F564F">
        <w:rPr>
          <w:sz w:val="22"/>
          <w:szCs w:val="22"/>
          <w:lang w:eastAsia="lt-LT"/>
        </w:rPr>
        <w:t>ruksolitinibo</w:t>
      </w:r>
      <w:proofErr w:type="spellEnd"/>
      <w:r w:rsidRPr="003F564F">
        <w:rPr>
          <w:sz w:val="22"/>
          <w:szCs w:val="22"/>
          <w:lang w:eastAsia="lt-LT"/>
        </w:rPr>
        <w:t xml:space="preserve"> grupei atsitiktinai priskirtų pacientų tarpe buvo 19,9</w:t>
      </w:r>
      <w:r w:rsidR="00781CD5" w:rsidRPr="003F564F">
        <w:rPr>
          <w:sz w:val="22"/>
          <w:szCs w:val="22"/>
          <w:lang w:eastAsia="lt-LT"/>
        </w:rPr>
        <w:t> </w:t>
      </w:r>
      <w:r w:rsidRPr="003F564F">
        <w:rPr>
          <w:sz w:val="22"/>
          <w:szCs w:val="22"/>
          <w:lang w:eastAsia="lt-LT"/>
        </w:rPr>
        <w:t>%, palyginus su 30,1</w:t>
      </w:r>
      <w:r w:rsidR="00781CD5" w:rsidRPr="003F564F">
        <w:rPr>
          <w:sz w:val="22"/>
          <w:szCs w:val="22"/>
          <w:lang w:eastAsia="lt-LT"/>
        </w:rPr>
        <w:t> </w:t>
      </w:r>
      <w:r w:rsidRPr="003F564F">
        <w:rPr>
          <w:sz w:val="22"/>
          <w:szCs w:val="22"/>
          <w:lang w:eastAsia="lt-LT"/>
        </w:rPr>
        <w:t>% dažniu geriausio prieinamo gydymo (GPG) grupei priskirtų pacientų tarpe; RS 0,48; 95</w:t>
      </w:r>
      <w:r w:rsidR="00781CD5" w:rsidRPr="003F564F">
        <w:rPr>
          <w:sz w:val="22"/>
          <w:szCs w:val="22"/>
          <w:lang w:eastAsia="lt-LT"/>
        </w:rPr>
        <w:t> </w:t>
      </w:r>
      <w:r w:rsidRPr="003F564F">
        <w:rPr>
          <w:sz w:val="22"/>
          <w:szCs w:val="22"/>
          <w:lang w:eastAsia="lt-LT"/>
        </w:rPr>
        <w:t>% PI 0,28; 0,85; p</w:t>
      </w:r>
      <w:r w:rsidR="00781CD5" w:rsidRPr="003F564F">
        <w:rPr>
          <w:sz w:val="22"/>
          <w:szCs w:val="22"/>
          <w:lang w:eastAsia="lt-LT"/>
        </w:rPr>
        <w:t> </w:t>
      </w:r>
      <w:r w:rsidRPr="003F564F">
        <w:rPr>
          <w:sz w:val="22"/>
          <w:szCs w:val="22"/>
          <w:lang w:eastAsia="lt-LT"/>
        </w:rPr>
        <w:t>=</w:t>
      </w:r>
      <w:r w:rsidR="00781CD5" w:rsidRPr="003F564F">
        <w:rPr>
          <w:sz w:val="22"/>
          <w:szCs w:val="22"/>
          <w:lang w:eastAsia="lt-LT"/>
        </w:rPr>
        <w:t> </w:t>
      </w:r>
      <w:r w:rsidRPr="003F564F">
        <w:rPr>
          <w:sz w:val="22"/>
          <w:szCs w:val="22"/>
          <w:lang w:eastAsia="lt-LT"/>
        </w:rPr>
        <w:t xml:space="preserve">0,009. Abiejuose tyrimuose mažesnis mirčių dažnis nurodytas </w:t>
      </w:r>
      <w:proofErr w:type="spellStart"/>
      <w:r w:rsidRPr="003F564F">
        <w:rPr>
          <w:sz w:val="22"/>
          <w:szCs w:val="22"/>
          <w:lang w:eastAsia="lt-LT"/>
        </w:rPr>
        <w:t>ruksolitinibo</w:t>
      </w:r>
      <w:proofErr w:type="spellEnd"/>
      <w:r w:rsidRPr="003F564F">
        <w:rPr>
          <w:sz w:val="22"/>
          <w:szCs w:val="22"/>
          <w:lang w:eastAsia="lt-LT"/>
        </w:rPr>
        <w:t xml:space="preserve"> vartojusiųjų grupėse daugiausia buvo nulemtas sergančių tikrąja </w:t>
      </w:r>
      <w:proofErr w:type="spellStart"/>
      <w:r w:rsidRPr="003F564F">
        <w:rPr>
          <w:sz w:val="22"/>
          <w:szCs w:val="22"/>
          <w:lang w:eastAsia="lt-LT"/>
        </w:rPr>
        <w:t>policitemija</w:t>
      </w:r>
      <w:proofErr w:type="spellEnd"/>
      <w:r w:rsidRPr="003F564F">
        <w:rPr>
          <w:sz w:val="22"/>
          <w:szCs w:val="22"/>
          <w:lang w:eastAsia="lt-LT"/>
        </w:rPr>
        <w:t xml:space="preserve"> ir pirmine </w:t>
      </w:r>
      <w:proofErr w:type="spellStart"/>
      <w:r w:rsidRPr="003F564F">
        <w:rPr>
          <w:sz w:val="22"/>
          <w:szCs w:val="22"/>
          <w:lang w:eastAsia="lt-LT"/>
        </w:rPr>
        <w:t>trombocitemija</w:t>
      </w:r>
      <w:proofErr w:type="spellEnd"/>
      <w:r w:rsidRPr="003F564F">
        <w:rPr>
          <w:sz w:val="22"/>
          <w:szCs w:val="22"/>
          <w:lang w:eastAsia="lt-LT"/>
        </w:rPr>
        <w:t xml:space="preserve"> pogrupių duomenų.</w:t>
      </w:r>
    </w:p>
    <w:p w14:paraId="2684EB45" w14:textId="77777777" w:rsidR="00D3679D" w:rsidRPr="003F564F" w:rsidRDefault="00D3679D" w:rsidP="0036574D">
      <w:pPr>
        <w:rPr>
          <w:sz w:val="22"/>
          <w:szCs w:val="22"/>
          <w:lang w:eastAsia="lt-LT"/>
        </w:rPr>
      </w:pPr>
    </w:p>
    <w:p w14:paraId="584B5402" w14:textId="6F176424" w:rsidR="00D3679D" w:rsidRPr="003F564F" w:rsidRDefault="00D3679D" w:rsidP="0036574D">
      <w:pPr>
        <w:rPr>
          <w:sz w:val="22"/>
          <w:szCs w:val="22"/>
          <w:lang w:eastAsia="lt-LT"/>
        </w:rPr>
      </w:pPr>
      <w:r w:rsidRPr="003F564F">
        <w:rPr>
          <w:sz w:val="22"/>
          <w:szCs w:val="22"/>
          <w:lang w:eastAsia="lt-LT"/>
        </w:rPr>
        <w:t>COMFORT-II tyrimo duomenimis, po stebėjimo laikotarpio, kurio medianos trukmė buvo 55,9</w:t>
      </w:r>
      <w:r w:rsidR="00781CD5" w:rsidRPr="003F564F">
        <w:rPr>
          <w:sz w:val="22"/>
          <w:szCs w:val="22"/>
          <w:lang w:eastAsia="lt-LT"/>
        </w:rPr>
        <w:t> </w:t>
      </w:r>
      <w:r w:rsidRPr="003F564F">
        <w:rPr>
          <w:sz w:val="22"/>
          <w:szCs w:val="22"/>
          <w:lang w:eastAsia="lt-LT"/>
        </w:rPr>
        <w:t xml:space="preserve">mėnesių, mirčių dažnis </w:t>
      </w:r>
      <w:proofErr w:type="spellStart"/>
      <w:r w:rsidRPr="003F564F">
        <w:rPr>
          <w:sz w:val="22"/>
          <w:szCs w:val="22"/>
          <w:lang w:eastAsia="lt-LT"/>
        </w:rPr>
        <w:t>ruksolitinibo</w:t>
      </w:r>
      <w:proofErr w:type="spellEnd"/>
      <w:r w:rsidRPr="003F564F">
        <w:rPr>
          <w:sz w:val="22"/>
          <w:szCs w:val="22"/>
          <w:lang w:eastAsia="lt-LT"/>
        </w:rPr>
        <w:t xml:space="preserve"> grupei atsitiktinai priskirtų pacientų tarpe buvo 40,4</w:t>
      </w:r>
      <w:r w:rsidR="00781CD5" w:rsidRPr="003F564F">
        <w:rPr>
          <w:sz w:val="22"/>
          <w:szCs w:val="22"/>
          <w:lang w:eastAsia="lt-LT"/>
        </w:rPr>
        <w:t> </w:t>
      </w:r>
      <w:r w:rsidRPr="003F564F">
        <w:rPr>
          <w:sz w:val="22"/>
          <w:szCs w:val="22"/>
          <w:lang w:eastAsia="lt-LT"/>
        </w:rPr>
        <w:t>% (59 iš 146</w:t>
      </w:r>
      <w:r w:rsidR="00781CD5" w:rsidRPr="003F564F">
        <w:rPr>
          <w:sz w:val="22"/>
          <w:szCs w:val="22"/>
          <w:lang w:eastAsia="lt-LT"/>
        </w:rPr>
        <w:t> </w:t>
      </w:r>
      <w:r w:rsidRPr="003F564F">
        <w:rPr>
          <w:sz w:val="22"/>
          <w:szCs w:val="22"/>
          <w:lang w:eastAsia="lt-LT"/>
        </w:rPr>
        <w:t>pacientų), palyginus su 47,9</w:t>
      </w:r>
      <w:r w:rsidR="00781CD5" w:rsidRPr="003F564F">
        <w:rPr>
          <w:sz w:val="22"/>
          <w:szCs w:val="22"/>
          <w:lang w:eastAsia="lt-LT"/>
        </w:rPr>
        <w:t> </w:t>
      </w:r>
      <w:r w:rsidRPr="003F564F">
        <w:rPr>
          <w:sz w:val="22"/>
          <w:szCs w:val="22"/>
          <w:lang w:eastAsia="lt-LT"/>
        </w:rPr>
        <w:t>% (35 iš 73</w:t>
      </w:r>
      <w:r w:rsidR="00781CD5" w:rsidRPr="003F564F">
        <w:rPr>
          <w:sz w:val="22"/>
          <w:szCs w:val="22"/>
          <w:lang w:eastAsia="lt-LT"/>
        </w:rPr>
        <w:t> </w:t>
      </w:r>
      <w:r w:rsidRPr="003F564F">
        <w:rPr>
          <w:sz w:val="22"/>
          <w:szCs w:val="22"/>
          <w:lang w:eastAsia="lt-LT"/>
        </w:rPr>
        <w:t xml:space="preserve">pacientų) dažniu geriausio prieinamo gydymo (GPG) grupei priskirtų pacientų tarpe. </w:t>
      </w:r>
      <w:proofErr w:type="spellStart"/>
      <w:r w:rsidRPr="003F564F">
        <w:rPr>
          <w:sz w:val="22"/>
          <w:szCs w:val="22"/>
          <w:lang w:eastAsia="lt-LT"/>
        </w:rPr>
        <w:t>Ruksolitinibo</w:t>
      </w:r>
      <w:proofErr w:type="spellEnd"/>
      <w:r w:rsidRPr="003F564F">
        <w:rPr>
          <w:sz w:val="22"/>
          <w:szCs w:val="22"/>
          <w:lang w:eastAsia="lt-LT"/>
        </w:rPr>
        <w:t xml:space="preserve"> vartojusiųjų grupėje 33</w:t>
      </w:r>
      <w:r w:rsidR="00781CD5" w:rsidRPr="003F564F">
        <w:rPr>
          <w:sz w:val="22"/>
          <w:szCs w:val="22"/>
          <w:lang w:eastAsia="lt-LT"/>
        </w:rPr>
        <w:t> </w:t>
      </w:r>
      <w:r w:rsidRPr="003F564F">
        <w:rPr>
          <w:sz w:val="22"/>
          <w:szCs w:val="22"/>
          <w:lang w:eastAsia="lt-LT"/>
        </w:rPr>
        <w:t>% sumažėjo mirčių atvejų rizika lyginant su GPG grupe (RS 0,67; 95</w:t>
      </w:r>
      <w:r w:rsidR="00781CD5" w:rsidRPr="003F564F">
        <w:rPr>
          <w:sz w:val="22"/>
          <w:szCs w:val="22"/>
          <w:lang w:eastAsia="lt-LT"/>
        </w:rPr>
        <w:t> </w:t>
      </w:r>
      <w:r w:rsidRPr="003F564F">
        <w:rPr>
          <w:sz w:val="22"/>
          <w:szCs w:val="22"/>
          <w:lang w:eastAsia="lt-LT"/>
        </w:rPr>
        <w:t>% PI 0,44; 1,02; p</w:t>
      </w:r>
      <w:r w:rsidR="00781CD5" w:rsidRPr="003F564F">
        <w:rPr>
          <w:sz w:val="22"/>
          <w:szCs w:val="22"/>
          <w:lang w:eastAsia="lt-LT"/>
        </w:rPr>
        <w:t> </w:t>
      </w:r>
      <w:r w:rsidRPr="003F564F">
        <w:rPr>
          <w:sz w:val="22"/>
          <w:szCs w:val="22"/>
          <w:lang w:eastAsia="lt-LT"/>
        </w:rPr>
        <w:t>=</w:t>
      </w:r>
      <w:r w:rsidR="00781CD5" w:rsidRPr="003F564F">
        <w:rPr>
          <w:sz w:val="22"/>
          <w:szCs w:val="22"/>
          <w:lang w:eastAsia="lt-LT"/>
        </w:rPr>
        <w:t> </w:t>
      </w:r>
      <w:r w:rsidRPr="003F564F">
        <w:rPr>
          <w:sz w:val="22"/>
          <w:szCs w:val="22"/>
          <w:lang w:eastAsia="lt-LT"/>
        </w:rPr>
        <w:t>0,062).</w:t>
      </w:r>
    </w:p>
    <w:p w14:paraId="6999D0D9" w14:textId="77777777" w:rsidR="00D3679D" w:rsidRPr="003F564F" w:rsidRDefault="00D3679D" w:rsidP="0036574D">
      <w:pPr>
        <w:rPr>
          <w:sz w:val="22"/>
          <w:szCs w:val="22"/>
          <w:lang w:eastAsia="lt-LT"/>
        </w:rPr>
      </w:pPr>
    </w:p>
    <w:p w14:paraId="2379BA9E" w14:textId="77777777" w:rsidR="00D3679D" w:rsidRPr="003F564F" w:rsidRDefault="00D3679D" w:rsidP="0036574D">
      <w:pPr>
        <w:rPr>
          <w:i/>
          <w:iCs/>
          <w:sz w:val="22"/>
          <w:szCs w:val="22"/>
          <w:u w:val="single"/>
          <w:lang w:eastAsia="lt-LT"/>
        </w:rPr>
      </w:pPr>
      <w:r w:rsidRPr="003F564F">
        <w:rPr>
          <w:i/>
          <w:iCs/>
          <w:sz w:val="22"/>
          <w:szCs w:val="22"/>
          <w:u w:val="single"/>
          <w:lang w:eastAsia="lt-LT"/>
        </w:rPr>
        <w:t xml:space="preserve">Tikrąja </w:t>
      </w:r>
      <w:proofErr w:type="spellStart"/>
      <w:r w:rsidRPr="003F564F">
        <w:rPr>
          <w:i/>
          <w:iCs/>
          <w:sz w:val="22"/>
          <w:szCs w:val="22"/>
          <w:u w:val="single"/>
          <w:lang w:eastAsia="lt-LT"/>
        </w:rPr>
        <w:t>policitemija</w:t>
      </w:r>
      <w:proofErr w:type="spellEnd"/>
      <w:r w:rsidRPr="003F564F">
        <w:rPr>
          <w:i/>
          <w:iCs/>
          <w:sz w:val="22"/>
          <w:szCs w:val="22"/>
          <w:u w:val="single"/>
          <w:lang w:eastAsia="lt-LT"/>
        </w:rPr>
        <w:t xml:space="preserve"> sergantys pacientai</w:t>
      </w:r>
    </w:p>
    <w:p w14:paraId="33D44562" w14:textId="4EB6E64B" w:rsidR="00D3679D" w:rsidRPr="003F564F" w:rsidRDefault="00D3679D" w:rsidP="0036574D">
      <w:pPr>
        <w:rPr>
          <w:sz w:val="22"/>
          <w:szCs w:val="22"/>
          <w:lang w:eastAsia="lt-LT"/>
        </w:rPr>
      </w:pPr>
      <w:r w:rsidRPr="003F564F">
        <w:rPr>
          <w:sz w:val="22"/>
          <w:szCs w:val="22"/>
          <w:lang w:eastAsia="lt-LT"/>
        </w:rPr>
        <w:t>Atliktas atsitiktinių imčių, atvirasis, veikliuoju preparatu kontroliuojamas, III</w:t>
      </w:r>
      <w:r w:rsidR="0016599D">
        <w:rPr>
          <w:sz w:val="22"/>
          <w:szCs w:val="22"/>
          <w:lang w:eastAsia="lt-LT"/>
        </w:rPr>
        <w:t> </w:t>
      </w:r>
      <w:r w:rsidRPr="003F564F">
        <w:rPr>
          <w:sz w:val="22"/>
          <w:szCs w:val="22"/>
          <w:lang w:eastAsia="lt-LT"/>
        </w:rPr>
        <w:t xml:space="preserve">fazės tyrimas (RESPONSE), kuriame dalyvavo 222 TP sergantys pacientai; šiems pacientams buvo nustatytas atsparumas </w:t>
      </w:r>
      <w:proofErr w:type="spellStart"/>
      <w:r w:rsidRPr="003F564F">
        <w:rPr>
          <w:sz w:val="22"/>
          <w:szCs w:val="22"/>
          <w:lang w:eastAsia="lt-LT"/>
        </w:rPr>
        <w:t>hidroksikarbamidui</w:t>
      </w:r>
      <w:proofErr w:type="spellEnd"/>
      <w:r w:rsidRPr="003F564F">
        <w:rPr>
          <w:sz w:val="22"/>
          <w:szCs w:val="22"/>
          <w:lang w:eastAsia="lt-LT"/>
        </w:rPr>
        <w:t xml:space="preserve"> arba jie netoleravo šio vaistinio preparato, ir tai buvo nustatyta remiantis Europos leukemijos grupės (angl. </w:t>
      </w:r>
      <w:proofErr w:type="spellStart"/>
      <w:r w:rsidRPr="003F564F">
        <w:rPr>
          <w:i/>
          <w:iCs/>
          <w:sz w:val="22"/>
          <w:szCs w:val="22"/>
          <w:lang w:eastAsia="lt-LT"/>
        </w:rPr>
        <w:t>European</w:t>
      </w:r>
      <w:proofErr w:type="spellEnd"/>
      <w:r w:rsidRPr="003F564F">
        <w:rPr>
          <w:i/>
          <w:iCs/>
          <w:sz w:val="22"/>
          <w:szCs w:val="22"/>
          <w:lang w:eastAsia="lt-LT"/>
        </w:rPr>
        <w:t xml:space="preserve"> </w:t>
      </w:r>
      <w:proofErr w:type="spellStart"/>
      <w:r w:rsidRPr="003F564F">
        <w:rPr>
          <w:i/>
          <w:iCs/>
          <w:sz w:val="22"/>
          <w:szCs w:val="22"/>
          <w:lang w:eastAsia="lt-LT"/>
        </w:rPr>
        <w:t>Leukemia</w:t>
      </w:r>
      <w:proofErr w:type="spellEnd"/>
      <w:r w:rsidRPr="003F564F">
        <w:rPr>
          <w:i/>
          <w:iCs/>
          <w:sz w:val="22"/>
          <w:szCs w:val="22"/>
          <w:lang w:eastAsia="lt-LT"/>
        </w:rPr>
        <w:t xml:space="preserve"> Net</w:t>
      </w:r>
      <w:r w:rsidRPr="003F564F">
        <w:rPr>
          <w:sz w:val="22"/>
          <w:szCs w:val="22"/>
          <w:lang w:eastAsia="lt-LT"/>
        </w:rPr>
        <w:t>) tarptautinės darbo grupės paskelbtaisiais kriterijais. 110</w:t>
      </w:r>
      <w:r w:rsidR="00781CD5" w:rsidRPr="003F564F">
        <w:rPr>
          <w:sz w:val="22"/>
          <w:szCs w:val="22"/>
          <w:lang w:eastAsia="lt-LT"/>
        </w:rPr>
        <w:t> </w:t>
      </w:r>
      <w:r w:rsidRPr="003F564F">
        <w:rPr>
          <w:sz w:val="22"/>
          <w:szCs w:val="22"/>
          <w:lang w:eastAsia="lt-LT"/>
        </w:rPr>
        <w:t xml:space="preserve">pacientų atsitiktine tvarka buvo paskirtas vartoti </w:t>
      </w:r>
      <w:proofErr w:type="spellStart"/>
      <w:r w:rsidRPr="003F564F">
        <w:rPr>
          <w:sz w:val="22"/>
          <w:szCs w:val="22"/>
          <w:lang w:eastAsia="lt-LT"/>
        </w:rPr>
        <w:t>ruksolitinibas</w:t>
      </w:r>
      <w:proofErr w:type="spellEnd"/>
      <w:r w:rsidRPr="003F564F">
        <w:rPr>
          <w:sz w:val="22"/>
          <w:szCs w:val="22"/>
          <w:lang w:eastAsia="lt-LT"/>
        </w:rPr>
        <w:t>, o 112</w:t>
      </w:r>
      <w:r w:rsidR="00781CD5" w:rsidRPr="003F564F">
        <w:rPr>
          <w:sz w:val="22"/>
          <w:szCs w:val="22"/>
          <w:lang w:eastAsia="lt-LT"/>
        </w:rPr>
        <w:t> </w:t>
      </w:r>
      <w:r w:rsidRPr="003F564F">
        <w:rPr>
          <w:sz w:val="22"/>
          <w:szCs w:val="22"/>
          <w:lang w:eastAsia="lt-LT"/>
        </w:rPr>
        <w:t xml:space="preserve">pacientų buvo skiriamas GPG. Pradinė </w:t>
      </w:r>
      <w:proofErr w:type="spellStart"/>
      <w:r w:rsidR="00781CD5" w:rsidRPr="003F564F">
        <w:rPr>
          <w:sz w:val="22"/>
          <w:szCs w:val="22"/>
          <w:lang w:eastAsia="lt-LT"/>
        </w:rPr>
        <w:t>ruksolitinibo</w:t>
      </w:r>
      <w:proofErr w:type="spellEnd"/>
      <w:r w:rsidR="00781CD5" w:rsidRPr="003F564F">
        <w:rPr>
          <w:sz w:val="22"/>
          <w:szCs w:val="22"/>
          <w:lang w:eastAsia="lt-LT"/>
        </w:rPr>
        <w:t xml:space="preserve"> </w:t>
      </w:r>
      <w:r w:rsidRPr="003F564F">
        <w:rPr>
          <w:sz w:val="22"/>
          <w:szCs w:val="22"/>
          <w:lang w:eastAsia="lt-LT"/>
        </w:rPr>
        <w:t>dozė buvo po 10</w:t>
      </w:r>
      <w:r w:rsidR="00781CD5" w:rsidRPr="003F564F">
        <w:rPr>
          <w:sz w:val="22"/>
          <w:szCs w:val="22"/>
          <w:lang w:eastAsia="lt-LT"/>
        </w:rPr>
        <w:t> </w:t>
      </w:r>
      <w:r w:rsidRPr="003F564F">
        <w:rPr>
          <w:sz w:val="22"/>
          <w:szCs w:val="22"/>
          <w:lang w:eastAsia="lt-LT"/>
        </w:rPr>
        <w:t>mg du kartus per parą. Vėliau atskiriems pacientams dozė buvo koreguojama individualiai, atsižvelgiant į toleravimą ir veiksmingumą bei didinant iki didžiausios po 25</w:t>
      </w:r>
      <w:r w:rsidR="00781CD5" w:rsidRPr="003F564F">
        <w:rPr>
          <w:sz w:val="22"/>
          <w:szCs w:val="22"/>
          <w:lang w:eastAsia="lt-LT"/>
        </w:rPr>
        <w:t> </w:t>
      </w:r>
      <w:r w:rsidRPr="003F564F">
        <w:rPr>
          <w:sz w:val="22"/>
          <w:szCs w:val="22"/>
          <w:lang w:eastAsia="lt-LT"/>
        </w:rPr>
        <w:t xml:space="preserve">mg du kartus per parą dozės. GPG buvo parenkamas tyrėjo sprendimu kiekvienam pacientui atskirai, o GPG grupės pacientams galėjo būti skiriama </w:t>
      </w:r>
      <w:proofErr w:type="spellStart"/>
      <w:r w:rsidRPr="003F564F">
        <w:rPr>
          <w:sz w:val="22"/>
          <w:szCs w:val="22"/>
          <w:lang w:eastAsia="lt-LT"/>
        </w:rPr>
        <w:t>hidroksikarbamido</w:t>
      </w:r>
      <w:proofErr w:type="spellEnd"/>
      <w:r w:rsidRPr="003F564F">
        <w:rPr>
          <w:sz w:val="22"/>
          <w:szCs w:val="22"/>
          <w:lang w:eastAsia="lt-LT"/>
        </w:rPr>
        <w:t xml:space="preserve"> (59,5</w:t>
      </w:r>
      <w:r w:rsidR="00781CD5" w:rsidRPr="003F564F">
        <w:rPr>
          <w:sz w:val="22"/>
          <w:szCs w:val="22"/>
          <w:lang w:eastAsia="lt-LT"/>
        </w:rPr>
        <w:t> </w:t>
      </w:r>
      <w:r w:rsidRPr="003F564F">
        <w:rPr>
          <w:sz w:val="22"/>
          <w:szCs w:val="22"/>
          <w:lang w:eastAsia="lt-LT"/>
        </w:rPr>
        <w:t xml:space="preserve">%), interferono ar </w:t>
      </w:r>
      <w:proofErr w:type="spellStart"/>
      <w:r w:rsidRPr="003F564F">
        <w:rPr>
          <w:sz w:val="22"/>
          <w:szCs w:val="22"/>
          <w:lang w:eastAsia="lt-LT"/>
        </w:rPr>
        <w:t>pegiliuoto</w:t>
      </w:r>
      <w:proofErr w:type="spellEnd"/>
      <w:r w:rsidRPr="003F564F">
        <w:rPr>
          <w:sz w:val="22"/>
          <w:szCs w:val="22"/>
          <w:lang w:eastAsia="lt-LT"/>
        </w:rPr>
        <w:t xml:space="preserve"> interferono (11,7</w:t>
      </w:r>
      <w:r w:rsidR="00781CD5" w:rsidRPr="003F564F">
        <w:rPr>
          <w:sz w:val="22"/>
          <w:szCs w:val="22"/>
          <w:lang w:eastAsia="lt-LT"/>
        </w:rPr>
        <w:t> </w:t>
      </w:r>
      <w:r w:rsidRPr="003F564F">
        <w:rPr>
          <w:sz w:val="22"/>
          <w:szCs w:val="22"/>
          <w:lang w:eastAsia="lt-LT"/>
        </w:rPr>
        <w:t xml:space="preserve">%), </w:t>
      </w:r>
      <w:proofErr w:type="spellStart"/>
      <w:r w:rsidRPr="003F564F">
        <w:rPr>
          <w:sz w:val="22"/>
          <w:szCs w:val="22"/>
          <w:lang w:eastAsia="lt-LT"/>
        </w:rPr>
        <w:t>anagrelido</w:t>
      </w:r>
      <w:proofErr w:type="spellEnd"/>
      <w:r w:rsidRPr="003F564F">
        <w:rPr>
          <w:sz w:val="22"/>
          <w:szCs w:val="22"/>
          <w:lang w:eastAsia="lt-LT"/>
        </w:rPr>
        <w:t xml:space="preserve"> (7,2</w:t>
      </w:r>
      <w:r w:rsidR="00781CD5" w:rsidRPr="003F564F">
        <w:rPr>
          <w:sz w:val="22"/>
          <w:szCs w:val="22"/>
          <w:lang w:eastAsia="lt-LT"/>
        </w:rPr>
        <w:t> </w:t>
      </w:r>
      <w:r w:rsidRPr="003F564F">
        <w:rPr>
          <w:sz w:val="22"/>
          <w:szCs w:val="22"/>
          <w:lang w:eastAsia="lt-LT"/>
        </w:rPr>
        <w:t xml:space="preserve">%), </w:t>
      </w:r>
      <w:proofErr w:type="spellStart"/>
      <w:r w:rsidRPr="003F564F">
        <w:rPr>
          <w:sz w:val="22"/>
          <w:szCs w:val="22"/>
          <w:lang w:eastAsia="lt-LT"/>
        </w:rPr>
        <w:t>pipobromano</w:t>
      </w:r>
      <w:proofErr w:type="spellEnd"/>
      <w:r w:rsidRPr="003F564F">
        <w:rPr>
          <w:sz w:val="22"/>
          <w:szCs w:val="22"/>
          <w:lang w:eastAsia="lt-LT"/>
        </w:rPr>
        <w:t xml:space="preserve"> (1,8</w:t>
      </w:r>
      <w:r w:rsidR="00781CD5" w:rsidRPr="003F564F">
        <w:rPr>
          <w:sz w:val="22"/>
          <w:szCs w:val="22"/>
          <w:lang w:eastAsia="lt-LT"/>
        </w:rPr>
        <w:t> </w:t>
      </w:r>
      <w:r w:rsidRPr="003F564F">
        <w:rPr>
          <w:sz w:val="22"/>
          <w:szCs w:val="22"/>
          <w:lang w:eastAsia="lt-LT"/>
        </w:rPr>
        <w:t>%) arba būklė galėjo būti tik stebima (15,3</w:t>
      </w:r>
      <w:r w:rsidR="00781CD5" w:rsidRPr="003F564F">
        <w:rPr>
          <w:sz w:val="22"/>
          <w:szCs w:val="22"/>
          <w:lang w:eastAsia="lt-LT"/>
        </w:rPr>
        <w:t> </w:t>
      </w:r>
      <w:r w:rsidRPr="003F564F">
        <w:rPr>
          <w:sz w:val="22"/>
          <w:szCs w:val="22"/>
          <w:lang w:eastAsia="lt-LT"/>
        </w:rPr>
        <w:t>%).</w:t>
      </w:r>
    </w:p>
    <w:p w14:paraId="0A523680" w14:textId="77777777" w:rsidR="00D3679D" w:rsidRPr="003F564F" w:rsidRDefault="00D3679D" w:rsidP="0036574D">
      <w:pPr>
        <w:rPr>
          <w:sz w:val="22"/>
          <w:szCs w:val="22"/>
          <w:lang w:eastAsia="lt-LT"/>
        </w:rPr>
      </w:pPr>
    </w:p>
    <w:p w14:paraId="0DC83908" w14:textId="53048697" w:rsidR="00D3679D" w:rsidRPr="003F564F" w:rsidRDefault="00D3679D" w:rsidP="0036574D">
      <w:pPr>
        <w:rPr>
          <w:sz w:val="22"/>
          <w:szCs w:val="22"/>
          <w:lang w:eastAsia="lt-LT"/>
        </w:rPr>
      </w:pPr>
      <w:r w:rsidRPr="003F564F">
        <w:rPr>
          <w:sz w:val="22"/>
          <w:szCs w:val="22"/>
          <w:lang w:eastAsia="lt-LT"/>
        </w:rPr>
        <w:t>Pradiniai pacientų demografiniai rodikliai ir ligos ypatybės abejose grupėse buvo panašūs. Pacientų amžiaus mediana buvo 60</w:t>
      </w:r>
      <w:r w:rsidR="00781CD5" w:rsidRPr="003F564F">
        <w:rPr>
          <w:sz w:val="22"/>
          <w:szCs w:val="22"/>
          <w:lang w:eastAsia="lt-LT"/>
        </w:rPr>
        <w:t> </w:t>
      </w:r>
      <w:r w:rsidRPr="003F564F">
        <w:rPr>
          <w:sz w:val="22"/>
          <w:szCs w:val="22"/>
          <w:lang w:eastAsia="lt-LT"/>
        </w:rPr>
        <w:t>metų (svyravo nuo 33</w:t>
      </w:r>
      <w:r w:rsidR="00781CD5" w:rsidRPr="003F564F">
        <w:rPr>
          <w:sz w:val="22"/>
          <w:szCs w:val="22"/>
          <w:lang w:eastAsia="lt-LT"/>
        </w:rPr>
        <w:t> </w:t>
      </w:r>
      <w:r w:rsidRPr="003F564F">
        <w:rPr>
          <w:sz w:val="22"/>
          <w:szCs w:val="22"/>
          <w:lang w:eastAsia="lt-LT"/>
        </w:rPr>
        <w:t>metų iki 90</w:t>
      </w:r>
      <w:r w:rsidR="00781CD5" w:rsidRPr="003F564F">
        <w:rPr>
          <w:sz w:val="22"/>
          <w:szCs w:val="22"/>
          <w:lang w:eastAsia="lt-LT"/>
        </w:rPr>
        <w:t> </w:t>
      </w:r>
      <w:r w:rsidRPr="003F564F">
        <w:rPr>
          <w:sz w:val="22"/>
          <w:szCs w:val="22"/>
          <w:lang w:eastAsia="lt-LT"/>
        </w:rPr>
        <w:t xml:space="preserve">metų). </w:t>
      </w:r>
      <w:proofErr w:type="spellStart"/>
      <w:r w:rsidRPr="003F564F">
        <w:rPr>
          <w:sz w:val="22"/>
          <w:szCs w:val="22"/>
          <w:lang w:eastAsia="lt-LT"/>
        </w:rPr>
        <w:t>Ruksolitinibo</w:t>
      </w:r>
      <w:proofErr w:type="spellEnd"/>
      <w:r w:rsidRPr="003F564F">
        <w:rPr>
          <w:sz w:val="22"/>
          <w:szCs w:val="22"/>
          <w:lang w:eastAsia="lt-LT"/>
        </w:rPr>
        <w:t xml:space="preserve"> vartojusiųjų grupėje TP diagnozė buvo nustatyta vidutiniškai prieš 8,2</w:t>
      </w:r>
      <w:r w:rsidR="00781CD5" w:rsidRPr="003F564F">
        <w:rPr>
          <w:sz w:val="22"/>
          <w:szCs w:val="22"/>
          <w:lang w:eastAsia="lt-LT"/>
        </w:rPr>
        <w:t> </w:t>
      </w:r>
      <w:r w:rsidRPr="003F564F">
        <w:rPr>
          <w:sz w:val="22"/>
          <w:szCs w:val="22"/>
          <w:lang w:eastAsia="lt-LT"/>
        </w:rPr>
        <w:t xml:space="preserve">metų ir šiems pacientams anksčiau buvo skirtas gydymas </w:t>
      </w:r>
      <w:proofErr w:type="spellStart"/>
      <w:r w:rsidRPr="003F564F">
        <w:rPr>
          <w:sz w:val="22"/>
          <w:szCs w:val="22"/>
          <w:lang w:eastAsia="lt-LT"/>
        </w:rPr>
        <w:t>hidroksikarbamidu</w:t>
      </w:r>
      <w:proofErr w:type="spellEnd"/>
      <w:r w:rsidRPr="003F564F">
        <w:rPr>
          <w:sz w:val="22"/>
          <w:szCs w:val="22"/>
          <w:lang w:eastAsia="lt-LT"/>
        </w:rPr>
        <w:t xml:space="preserve"> (kai gydymo trukmės mediana buvo maždaug 3</w:t>
      </w:r>
      <w:r w:rsidR="00781CD5" w:rsidRPr="003F564F">
        <w:rPr>
          <w:sz w:val="22"/>
          <w:szCs w:val="22"/>
          <w:lang w:eastAsia="lt-LT"/>
        </w:rPr>
        <w:t> </w:t>
      </w:r>
      <w:r w:rsidRPr="003F564F">
        <w:rPr>
          <w:sz w:val="22"/>
          <w:szCs w:val="22"/>
          <w:lang w:eastAsia="lt-LT"/>
        </w:rPr>
        <w:t>metai). Daugeliui pacientų (&gt;</w:t>
      </w:r>
      <w:r w:rsidR="00781CD5" w:rsidRPr="003F564F">
        <w:rPr>
          <w:sz w:val="22"/>
          <w:szCs w:val="22"/>
          <w:lang w:eastAsia="lt-LT"/>
        </w:rPr>
        <w:t> </w:t>
      </w:r>
      <w:r w:rsidRPr="003F564F">
        <w:rPr>
          <w:sz w:val="22"/>
          <w:szCs w:val="22"/>
          <w:lang w:eastAsia="lt-LT"/>
        </w:rPr>
        <w:t>80</w:t>
      </w:r>
      <w:r w:rsidR="00781CD5" w:rsidRPr="003F564F">
        <w:rPr>
          <w:sz w:val="22"/>
          <w:szCs w:val="22"/>
          <w:lang w:eastAsia="lt-LT"/>
        </w:rPr>
        <w:t> </w:t>
      </w:r>
      <w:r w:rsidRPr="003F564F">
        <w:rPr>
          <w:sz w:val="22"/>
          <w:szCs w:val="22"/>
          <w:lang w:eastAsia="lt-LT"/>
        </w:rPr>
        <w:t>%) per paskutiniąsias 24</w:t>
      </w:r>
      <w:r w:rsidR="00781CD5" w:rsidRPr="003F564F">
        <w:rPr>
          <w:sz w:val="22"/>
          <w:szCs w:val="22"/>
          <w:lang w:eastAsia="lt-LT"/>
        </w:rPr>
        <w:t> </w:t>
      </w:r>
      <w:r w:rsidRPr="003F564F">
        <w:rPr>
          <w:sz w:val="22"/>
          <w:szCs w:val="22"/>
          <w:lang w:eastAsia="lt-LT"/>
        </w:rPr>
        <w:t xml:space="preserve">savaites iki įtraukimo į tyrimą buvo atliktos mažiausiai dvi </w:t>
      </w:r>
      <w:proofErr w:type="spellStart"/>
      <w:r w:rsidRPr="003F564F">
        <w:rPr>
          <w:sz w:val="22"/>
          <w:szCs w:val="22"/>
          <w:lang w:eastAsia="lt-LT"/>
        </w:rPr>
        <w:t>flebotomijos</w:t>
      </w:r>
      <w:proofErr w:type="spellEnd"/>
      <w:r w:rsidRPr="003F564F">
        <w:rPr>
          <w:sz w:val="22"/>
          <w:szCs w:val="22"/>
          <w:lang w:eastAsia="lt-LT"/>
        </w:rPr>
        <w:t>. Palyginamųjų ilgalaikio išgyvenimo ir ligos komplikacijų dažnio duomenų neturima.</w:t>
      </w:r>
    </w:p>
    <w:p w14:paraId="4555A57D" w14:textId="77777777" w:rsidR="00D3679D" w:rsidRPr="003F564F" w:rsidRDefault="00D3679D" w:rsidP="0036574D">
      <w:pPr>
        <w:rPr>
          <w:sz w:val="22"/>
          <w:szCs w:val="22"/>
          <w:lang w:eastAsia="lt-LT"/>
        </w:rPr>
      </w:pPr>
    </w:p>
    <w:p w14:paraId="6087FB88" w14:textId="44171B09" w:rsidR="00D3679D" w:rsidRPr="003F564F" w:rsidRDefault="00D3679D" w:rsidP="0036574D">
      <w:pPr>
        <w:rPr>
          <w:sz w:val="22"/>
          <w:szCs w:val="22"/>
          <w:lang w:eastAsia="lt-LT"/>
        </w:rPr>
      </w:pPr>
      <w:r w:rsidRPr="003F564F">
        <w:rPr>
          <w:sz w:val="22"/>
          <w:szCs w:val="22"/>
          <w:lang w:eastAsia="lt-LT"/>
        </w:rPr>
        <w:lastRenderedPageBreak/>
        <w:t xml:space="preserve">Pirminė sudėtinė vertinamoji baigtis buvo pacientų, kuriems nereikėjo atlikti </w:t>
      </w:r>
      <w:proofErr w:type="spellStart"/>
      <w:r w:rsidRPr="003F564F">
        <w:rPr>
          <w:sz w:val="22"/>
          <w:szCs w:val="22"/>
          <w:lang w:eastAsia="lt-LT"/>
        </w:rPr>
        <w:t>flebotomijos</w:t>
      </w:r>
      <w:proofErr w:type="spellEnd"/>
      <w:r w:rsidRPr="003F564F">
        <w:rPr>
          <w:sz w:val="22"/>
          <w:szCs w:val="22"/>
          <w:lang w:eastAsia="lt-LT"/>
        </w:rPr>
        <w:t xml:space="preserve"> (dėl </w:t>
      </w:r>
      <w:proofErr w:type="spellStart"/>
      <w:r w:rsidRPr="003F564F">
        <w:rPr>
          <w:sz w:val="22"/>
          <w:szCs w:val="22"/>
          <w:lang w:eastAsia="lt-LT"/>
        </w:rPr>
        <w:t>hematokrito</w:t>
      </w:r>
      <w:proofErr w:type="spellEnd"/>
      <w:r w:rsidRPr="003F564F">
        <w:rPr>
          <w:sz w:val="22"/>
          <w:szCs w:val="22"/>
          <w:lang w:eastAsia="lt-LT"/>
        </w:rPr>
        <w:t xml:space="preserve"> koregavimo) bei kuriems pasiektas ≥</w:t>
      </w:r>
      <w:r w:rsidR="00781CD5" w:rsidRPr="003F564F">
        <w:rPr>
          <w:sz w:val="22"/>
          <w:szCs w:val="22"/>
          <w:lang w:eastAsia="lt-LT"/>
        </w:rPr>
        <w:t> </w:t>
      </w:r>
      <w:r w:rsidRPr="003F564F">
        <w:rPr>
          <w:sz w:val="22"/>
          <w:szCs w:val="22"/>
          <w:lang w:eastAsia="lt-LT"/>
        </w:rPr>
        <w:t>35</w:t>
      </w:r>
      <w:r w:rsidR="00781CD5" w:rsidRPr="003F564F">
        <w:rPr>
          <w:sz w:val="22"/>
          <w:szCs w:val="22"/>
          <w:lang w:eastAsia="lt-LT"/>
        </w:rPr>
        <w:t> </w:t>
      </w:r>
      <w:r w:rsidRPr="003F564F">
        <w:rPr>
          <w:sz w:val="22"/>
          <w:szCs w:val="22"/>
          <w:lang w:eastAsia="lt-LT"/>
        </w:rPr>
        <w:t>% blužnies tūrio sumažėjimas nuo pradinių reikšmių iki 32</w:t>
      </w:r>
      <w:r w:rsidR="00781CD5" w:rsidRPr="003F564F">
        <w:rPr>
          <w:sz w:val="22"/>
          <w:szCs w:val="22"/>
          <w:lang w:eastAsia="lt-LT"/>
        </w:rPr>
        <w:noBreakHyphen/>
      </w:r>
      <w:r w:rsidRPr="003F564F">
        <w:rPr>
          <w:sz w:val="22"/>
          <w:szCs w:val="22"/>
          <w:lang w:eastAsia="lt-LT"/>
        </w:rPr>
        <w:t xml:space="preserve">osios savaitės, dalis. </w:t>
      </w:r>
      <w:proofErr w:type="spellStart"/>
      <w:r w:rsidRPr="003F564F">
        <w:rPr>
          <w:sz w:val="22"/>
          <w:szCs w:val="22"/>
          <w:lang w:eastAsia="lt-LT"/>
        </w:rPr>
        <w:t>Flebotomijos</w:t>
      </w:r>
      <w:proofErr w:type="spellEnd"/>
      <w:r w:rsidRPr="003F564F">
        <w:rPr>
          <w:sz w:val="22"/>
          <w:szCs w:val="22"/>
          <w:lang w:eastAsia="lt-LT"/>
        </w:rPr>
        <w:t xml:space="preserve"> atlikimo poreikis buvo apibrėžiamas kaip patvirtintas </w:t>
      </w:r>
      <w:proofErr w:type="spellStart"/>
      <w:r w:rsidRPr="003F564F">
        <w:rPr>
          <w:sz w:val="22"/>
          <w:szCs w:val="22"/>
          <w:lang w:eastAsia="lt-LT"/>
        </w:rPr>
        <w:t>hematokrito</w:t>
      </w:r>
      <w:proofErr w:type="spellEnd"/>
      <w:r w:rsidRPr="003F564F">
        <w:rPr>
          <w:sz w:val="22"/>
          <w:szCs w:val="22"/>
          <w:lang w:eastAsia="lt-LT"/>
        </w:rPr>
        <w:t xml:space="preserve"> (HCT) rodiklis &gt;</w:t>
      </w:r>
      <w:r w:rsidR="00781CD5" w:rsidRPr="003F564F">
        <w:rPr>
          <w:sz w:val="22"/>
          <w:szCs w:val="22"/>
          <w:lang w:eastAsia="lt-LT"/>
        </w:rPr>
        <w:t> </w:t>
      </w:r>
      <w:r w:rsidRPr="003F564F">
        <w:rPr>
          <w:sz w:val="22"/>
          <w:szCs w:val="22"/>
          <w:lang w:eastAsia="lt-LT"/>
        </w:rPr>
        <w:t>45</w:t>
      </w:r>
      <w:r w:rsidR="00781CD5" w:rsidRPr="003F564F">
        <w:rPr>
          <w:sz w:val="22"/>
          <w:szCs w:val="22"/>
          <w:lang w:eastAsia="lt-LT"/>
        </w:rPr>
        <w:t> </w:t>
      </w:r>
      <w:r w:rsidRPr="003F564F">
        <w:rPr>
          <w:sz w:val="22"/>
          <w:szCs w:val="22"/>
          <w:lang w:eastAsia="lt-LT"/>
        </w:rPr>
        <w:t>%, t. y., bent 3</w:t>
      </w:r>
      <w:r w:rsidR="00781CD5" w:rsidRPr="003F564F">
        <w:rPr>
          <w:sz w:val="22"/>
          <w:szCs w:val="22"/>
          <w:lang w:eastAsia="lt-LT"/>
        </w:rPr>
        <w:t> </w:t>
      </w:r>
      <w:r w:rsidRPr="003F564F">
        <w:rPr>
          <w:sz w:val="22"/>
          <w:szCs w:val="22"/>
          <w:lang w:eastAsia="lt-LT"/>
        </w:rPr>
        <w:t>procentiniais punktais didesnis nei tyrimo pradžioje nustatytas HCT, arba patvirtintas HCT rodiklis &gt;</w:t>
      </w:r>
      <w:r w:rsidR="00781CD5" w:rsidRPr="003F564F">
        <w:rPr>
          <w:sz w:val="22"/>
          <w:szCs w:val="22"/>
          <w:lang w:eastAsia="lt-LT"/>
        </w:rPr>
        <w:t> </w:t>
      </w:r>
      <w:r w:rsidRPr="003F564F">
        <w:rPr>
          <w:sz w:val="22"/>
          <w:szCs w:val="22"/>
          <w:lang w:eastAsia="lt-LT"/>
        </w:rPr>
        <w:t>48</w:t>
      </w:r>
      <w:r w:rsidR="00781CD5" w:rsidRPr="003F564F">
        <w:rPr>
          <w:sz w:val="22"/>
          <w:szCs w:val="22"/>
          <w:lang w:eastAsia="lt-LT"/>
        </w:rPr>
        <w:t> </w:t>
      </w:r>
      <w:r w:rsidRPr="003F564F">
        <w:rPr>
          <w:sz w:val="22"/>
          <w:szCs w:val="22"/>
          <w:lang w:eastAsia="lt-LT"/>
        </w:rPr>
        <w:t>% (priklausomai nuo to, kuris rodiklis buvo mažesnis). Svarbiausiosios antrinės vertinamosios baigtys buvo šios: pacientų, kuriems pasiekta pirminė vertinamoji baigtis ir kuriems po 48</w:t>
      </w:r>
      <w:r w:rsidR="00781CD5" w:rsidRPr="003F564F">
        <w:rPr>
          <w:sz w:val="22"/>
          <w:szCs w:val="22"/>
          <w:lang w:eastAsia="lt-LT"/>
        </w:rPr>
        <w:t> </w:t>
      </w:r>
      <w:r w:rsidRPr="003F564F">
        <w:rPr>
          <w:sz w:val="22"/>
          <w:szCs w:val="22"/>
          <w:lang w:eastAsia="lt-LT"/>
        </w:rPr>
        <w:t>savaičių nenustatyta ligos progresavimo, dalis bei pacientų, kuriems po 32</w:t>
      </w:r>
      <w:r w:rsidR="00781CD5" w:rsidRPr="003F564F">
        <w:rPr>
          <w:sz w:val="22"/>
          <w:szCs w:val="22"/>
          <w:lang w:eastAsia="lt-LT"/>
        </w:rPr>
        <w:t> </w:t>
      </w:r>
      <w:r w:rsidRPr="003F564F">
        <w:rPr>
          <w:sz w:val="22"/>
          <w:szCs w:val="22"/>
          <w:lang w:eastAsia="lt-LT"/>
        </w:rPr>
        <w:t>savaičių nustatyta visiška hematologinė remisija, dalis.</w:t>
      </w:r>
    </w:p>
    <w:p w14:paraId="5BFA6228" w14:textId="77777777" w:rsidR="00D3679D" w:rsidRPr="003F564F" w:rsidRDefault="00D3679D" w:rsidP="0036574D">
      <w:pPr>
        <w:rPr>
          <w:sz w:val="22"/>
          <w:szCs w:val="22"/>
          <w:lang w:eastAsia="lt-LT"/>
        </w:rPr>
      </w:pPr>
    </w:p>
    <w:p w14:paraId="00234D34" w14:textId="70B73844" w:rsidR="00D3679D" w:rsidRPr="003F564F" w:rsidRDefault="00D3679D" w:rsidP="0036574D">
      <w:pPr>
        <w:rPr>
          <w:sz w:val="22"/>
          <w:szCs w:val="22"/>
          <w:lang w:eastAsia="lt-LT"/>
        </w:rPr>
      </w:pPr>
      <w:r w:rsidRPr="003F564F">
        <w:rPr>
          <w:sz w:val="22"/>
          <w:szCs w:val="22"/>
          <w:lang w:eastAsia="lt-LT"/>
        </w:rPr>
        <w:t xml:space="preserve">Tyrimo metu buvo pasiektas pagrindinis tikslas ir didesnei pacientų daliai </w:t>
      </w:r>
      <w:proofErr w:type="spellStart"/>
      <w:r w:rsidR="00781CD5" w:rsidRPr="003F564F">
        <w:rPr>
          <w:sz w:val="22"/>
          <w:szCs w:val="22"/>
          <w:lang w:eastAsia="lt-LT"/>
        </w:rPr>
        <w:t>ruksolitinibo</w:t>
      </w:r>
      <w:proofErr w:type="spellEnd"/>
      <w:r w:rsidR="00781CD5" w:rsidRPr="003F564F">
        <w:rPr>
          <w:sz w:val="22"/>
          <w:szCs w:val="22"/>
          <w:lang w:eastAsia="lt-LT"/>
        </w:rPr>
        <w:t xml:space="preserve"> </w:t>
      </w:r>
      <w:r w:rsidRPr="003F564F">
        <w:rPr>
          <w:sz w:val="22"/>
          <w:szCs w:val="22"/>
          <w:lang w:eastAsia="lt-LT"/>
        </w:rPr>
        <w:t xml:space="preserve">vartojusiųjų grupėje buvo pasiekta pirminė sudėtinė vertinamoji baigtis bei pasiektas kiekvienas jos komponentas atskirai. Reikšmingai didesnei </w:t>
      </w:r>
      <w:proofErr w:type="spellStart"/>
      <w:r w:rsidR="00781CD5" w:rsidRPr="003F564F">
        <w:rPr>
          <w:sz w:val="22"/>
          <w:szCs w:val="22"/>
          <w:lang w:eastAsia="lt-LT"/>
        </w:rPr>
        <w:t>ruksolitinibo</w:t>
      </w:r>
      <w:proofErr w:type="spellEnd"/>
      <w:r w:rsidR="00781CD5" w:rsidRPr="003F564F">
        <w:rPr>
          <w:sz w:val="22"/>
          <w:szCs w:val="22"/>
          <w:lang w:eastAsia="lt-LT"/>
        </w:rPr>
        <w:t xml:space="preserve"> </w:t>
      </w:r>
      <w:r w:rsidRPr="003F564F">
        <w:rPr>
          <w:sz w:val="22"/>
          <w:szCs w:val="22"/>
          <w:lang w:eastAsia="lt-LT"/>
        </w:rPr>
        <w:t>vartojusių pacientų daliai (23</w:t>
      </w:r>
      <w:r w:rsidR="00781CD5" w:rsidRPr="003F564F">
        <w:rPr>
          <w:sz w:val="22"/>
          <w:szCs w:val="22"/>
          <w:lang w:eastAsia="lt-LT"/>
        </w:rPr>
        <w:t> </w:t>
      </w:r>
      <w:r w:rsidRPr="003F564F">
        <w:rPr>
          <w:sz w:val="22"/>
          <w:szCs w:val="22"/>
          <w:lang w:eastAsia="lt-LT"/>
        </w:rPr>
        <w:t>%) nustatytas pirminis atsakas (p</w:t>
      </w:r>
      <w:r w:rsidR="00781CD5" w:rsidRPr="003F564F">
        <w:rPr>
          <w:sz w:val="22"/>
          <w:szCs w:val="22"/>
          <w:lang w:eastAsia="lt-LT"/>
        </w:rPr>
        <w:t> </w:t>
      </w:r>
      <w:r w:rsidRPr="003F564F">
        <w:rPr>
          <w:sz w:val="22"/>
          <w:szCs w:val="22"/>
          <w:lang w:eastAsia="lt-LT"/>
        </w:rPr>
        <w:t>&lt;</w:t>
      </w:r>
      <w:r w:rsidR="00781CD5" w:rsidRPr="003F564F">
        <w:rPr>
          <w:sz w:val="22"/>
          <w:szCs w:val="22"/>
          <w:lang w:eastAsia="lt-LT"/>
        </w:rPr>
        <w:t> </w:t>
      </w:r>
      <w:r w:rsidRPr="003F564F">
        <w:rPr>
          <w:sz w:val="22"/>
          <w:szCs w:val="22"/>
          <w:lang w:eastAsia="lt-LT"/>
        </w:rPr>
        <w:t>0,0001), lyginant su GPG gavusiųjų grupe (0,9</w:t>
      </w:r>
      <w:r w:rsidR="00781CD5" w:rsidRPr="003F564F">
        <w:rPr>
          <w:sz w:val="22"/>
          <w:szCs w:val="22"/>
          <w:lang w:eastAsia="lt-LT"/>
        </w:rPr>
        <w:t> </w:t>
      </w:r>
      <w:r w:rsidRPr="003F564F">
        <w:rPr>
          <w:sz w:val="22"/>
          <w:szCs w:val="22"/>
          <w:lang w:eastAsia="lt-LT"/>
        </w:rPr>
        <w:t xml:space="preserve">%). </w:t>
      </w:r>
      <w:proofErr w:type="spellStart"/>
      <w:r w:rsidRPr="003F564F">
        <w:rPr>
          <w:sz w:val="22"/>
          <w:szCs w:val="22"/>
          <w:lang w:eastAsia="lt-LT"/>
        </w:rPr>
        <w:t>Hematokrito</w:t>
      </w:r>
      <w:proofErr w:type="spellEnd"/>
      <w:r w:rsidRPr="003F564F">
        <w:rPr>
          <w:sz w:val="22"/>
          <w:szCs w:val="22"/>
          <w:lang w:eastAsia="lt-LT"/>
        </w:rPr>
        <w:t xml:space="preserve"> rodiklis buvo sukoreguotas 60</w:t>
      </w:r>
      <w:r w:rsidR="00781CD5" w:rsidRPr="003F564F">
        <w:rPr>
          <w:sz w:val="22"/>
          <w:szCs w:val="22"/>
          <w:lang w:eastAsia="lt-LT"/>
        </w:rPr>
        <w:t> </w:t>
      </w:r>
      <w:r w:rsidRPr="003F564F">
        <w:rPr>
          <w:sz w:val="22"/>
          <w:szCs w:val="22"/>
          <w:lang w:eastAsia="lt-LT"/>
        </w:rPr>
        <w:t xml:space="preserve">% </w:t>
      </w:r>
      <w:proofErr w:type="spellStart"/>
      <w:r w:rsidR="00781CD5" w:rsidRPr="003F564F">
        <w:rPr>
          <w:sz w:val="22"/>
          <w:szCs w:val="22"/>
          <w:lang w:eastAsia="lt-LT"/>
        </w:rPr>
        <w:t>ruksolitinibo</w:t>
      </w:r>
      <w:proofErr w:type="spellEnd"/>
      <w:r w:rsidRPr="003F564F">
        <w:rPr>
          <w:sz w:val="22"/>
          <w:szCs w:val="22"/>
          <w:lang w:eastAsia="lt-LT"/>
        </w:rPr>
        <w:t xml:space="preserve"> vartojusių pacientų, lyginant su 18,8</w:t>
      </w:r>
      <w:r w:rsidR="00781CD5" w:rsidRPr="003F564F">
        <w:rPr>
          <w:sz w:val="22"/>
          <w:szCs w:val="22"/>
          <w:lang w:eastAsia="lt-LT"/>
        </w:rPr>
        <w:t> </w:t>
      </w:r>
      <w:r w:rsidRPr="003F564F">
        <w:rPr>
          <w:sz w:val="22"/>
          <w:szCs w:val="22"/>
          <w:lang w:eastAsia="lt-LT"/>
        </w:rPr>
        <w:t>% pacientų GPG grupėje, o ≥</w:t>
      </w:r>
      <w:r w:rsidR="00781CD5" w:rsidRPr="003F564F">
        <w:rPr>
          <w:sz w:val="22"/>
          <w:szCs w:val="22"/>
          <w:lang w:eastAsia="lt-LT"/>
        </w:rPr>
        <w:t> </w:t>
      </w:r>
      <w:r w:rsidRPr="003F564F">
        <w:rPr>
          <w:sz w:val="22"/>
          <w:szCs w:val="22"/>
          <w:lang w:eastAsia="lt-LT"/>
        </w:rPr>
        <w:t>35</w:t>
      </w:r>
      <w:r w:rsidR="00781CD5" w:rsidRPr="003F564F">
        <w:rPr>
          <w:sz w:val="22"/>
          <w:szCs w:val="22"/>
          <w:lang w:eastAsia="lt-LT"/>
        </w:rPr>
        <w:t> </w:t>
      </w:r>
      <w:r w:rsidRPr="003F564F">
        <w:rPr>
          <w:sz w:val="22"/>
          <w:szCs w:val="22"/>
          <w:lang w:eastAsia="lt-LT"/>
        </w:rPr>
        <w:t>% blužnies tūrio sumažėjimas pasiektas 40</w:t>
      </w:r>
      <w:r w:rsidR="00781CD5" w:rsidRPr="003F564F">
        <w:rPr>
          <w:sz w:val="22"/>
          <w:szCs w:val="22"/>
          <w:lang w:eastAsia="lt-LT"/>
        </w:rPr>
        <w:t> </w:t>
      </w:r>
      <w:r w:rsidRPr="003F564F">
        <w:rPr>
          <w:sz w:val="22"/>
          <w:szCs w:val="22"/>
          <w:lang w:eastAsia="lt-LT"/>
        </w:rPr>
        <w:t xml:space="preserve">% </w:t>
      </w:r>
      <w:proofErr w:type="spellStart"/>
      <w:r w:rsidR="00781CD5" w:rsidRPr="003F564F">
        <w:rPr>
          <w:sz w:val="22"/>
          <w:szCs w:val="22"/>
          <w:lang w:eastAsia="lt-LT"/>
        </w:rPr>
        <w:t>ruksolitinibo</w:t>
      </w:r>
      <w:proofErr w:type="spellEnd"/>
      <w:r w:rsidRPr="003F564F">
        <w:rPr>
          <w:sz w:val="22"/>
          <w:szCs w:val="22"/>
          <w:lang w:eastAsia="lt-LT"/>
        </w:rPr>
        <w:t xml:space="preserve"> vartojusių pacientų, lyginant su 0,9</w:t>
      </w:r>
      <w:r w:rsidR="00781CD5" w:rsidRPr="003F564F">
        <w:rPr>
          <w:sz w:val="22"/>
          <w:szCs w:val="22"/>
          <w:lang w:eastAsia="lt-LT"/>
        </w:rPr>
        <w:t> </w:t>
      </w:r>
      <w:r w:rsidRPr="003F564F">
        <w:rPr>
          <w:sz w:val="22"/>
          <w:szCs w:val="22"/>
          <w:lang w:eastAsia="lt-LT"/>
        </w:rPr>
        <w:t>% pacientų GPG grupėje (žr.</w:t>
      </w:r>
      <w:r w:rsidR="00781CD5" w:rsidRPr="003F564F">
        <w:rPr>
          <w:sz w:val="22"/>
          <w:szCs w:val="22"/>
          <w:lang w:eastAsia="lt-LT"/>
        </w:rPr>
        <w:t> </w:t>
      </w:r>
      <w:r w:rsidRPr="003F564F">
        <w:rPr>
          <w:sz w:val="22"/>
          <w:szCs w:val="22"/>
          <w:lang w:eastAsia="lt-LT"/>
        </w:rPr>
        <w:t>1</w:t>
      </w:r>
      <w:r w:rsidR="00781CD5" w:rsidRPr="003F564F">
        <w:rPr>
          <w:sz w:val="22"/>
          <w:szCs w:val="22"/>
          <w:lang w:eastAsia="lt-LT"/>
        </w:rPr>
        <w:t> </w:t>
      </w:r>
      <w:r w:rsidRPr="003F564F">
        <w:rPr>
          <w:sz w:val="22"/>
          <w:szCs w:val="22"/>
          <w:lang w:eastAsia="lt-LT"/>
        </w:rPr>
        <w:t>pav.).</w:t>
      </w:r>
    </w:p>
    <w:p w14:paraId="4236C512" w14:textId="77777777" w:rsidR="00D3679D" w:rsidRPr="003F564F" w:rsidRDefault="00D3679D" w:rsidP="0036574D">
      <w:pPr>
        <w:rPr>
          <w:sz w:val="22"/>
          <w:szCs w:val="22"/>
          <w:lang w:eastAsia="lt-LT"/>
        </w:rPr>
      </w:pPr>
    </w:p>
    <w:p w14:paraId="6246E85C" w14:textId="1A9BB806" w:rsidR="00D3679D" w:rsidRPr="003F564F" w:rsidRDefault="00D3679D" w:rsidP="0036574D">
      <w:pPr>
        <w:rPr>
          <w:sz w:val="22"/>
          <w:szCs w:val="22"/>
          <w:lang w:eastAsia="lt-LT"/>
        </w:rPr>
      </w:pPr>
      <w:r w:rsidRPr="003F564F">
        <w:rPr>
          <w:sz w:val="22"/>
          <w:szCs w:val="22"/>
          <w:lang w:eastAsia="lt-LT"/>
        </w:rPr>
        <w:t>Abi svarbiausiosios antrinės vertinamosios baigtys taip pat buvo pasiektos. Pacientų, kuriems pasiekta visiška hematologinė remisija, dalis buvo 23,6</w:t>
      </w:r>
      <w:r w:rsidR="00781CD5" w:rsidRPr="003F564F">
        <w:rPr>
          <w:sz w:val="22"/>
          <w:szCs w:val="22"/>
          <w:lang w:eastAsia="lt-LT"/>
        </w:rPr>
        <w:t> </w:t>
      </w:r>
      <w:r w:rsidRPr="003F564F">
        <w:rPr>
          <w:sz w:val="22"/>
          <w:szCs w:val="22"/>
          <w:lang w:eastAsia="lt-LT"/>
        </w:rPr>
        <w:t xml:space="preserve">% </w:t>
      </w:r>
      <w:proofErr w:type="spellStart"/>
      <w:r w:rsidR="00781CD5" w:rsidRPr="003F564F">
        <w:rPr>
          <w:sz w:val="22"/>
          <w:szCs w:val="22"/>
          <w:lang w:eastAsia="lt-LT"/>
        </w:rPr>
        <w:t>ruksolitinibo</w:t>
      </w:r>
      <w:proofErr w:type="spellEnd"/>
      <w:r w:rsidRPr="003F564F">
        <w:rPr>
          <w:sz w:val="22"/>
          <w:szCs w:val="22"/>
          <w:lang w:eastAsia="lt-LT"/>
        </w:rPr>
        <w:t xml:space="preserve"> vartojusiųjų grupėje, lyginant su 8,0</w:t>
      </w:r>
      <w:r w:rsidR="00781CD5" w:rsidRPr="003F564F">
        <w:rPr>
          <w:sz w:val="22"/>
          <w:szCs w:val="22"/>
          <w:lang w:eastAsia="lt-LT"/>
        </w:rPr>
        <w:t> </w:t>
      </w:r>
      <w:r w:rsidRPr="003F564F">
        <w:rPr>
          <w:sz w:val="22"/>
          <w:szCs w:val="22"/>
          <w:lang w:eastAsia="lt-LT"/>
        </w:rPr>
        <w:t>% pacientų GPG grupėje (p</w:t>
      </w:r>
      <w:r w:rsidR="00781CD5" w:rsidRPr="003F564F">
        <w:rPr>
          <w:sz w:val="22"/>
          <w:szCs w:val="22"/>
          <w:lang w:eastAsia="lt-LT"/>
        </w:rPr>
        <w:t> </w:t>
      </w:r>
      <w:r w:rsidRPr="003F564F">
        <w:rPr>
          <w:sz w:val="22"/>
          <w:szCs w:val="22"/>
          <w:lang w:eastAsia="lt-LT"/>
        </w:rPr>
        <w:t>=</w:t>
      </w:r>
      <w:r w:rsidR="00781CD5" w:rsidRPr="003F564F">
        <w:rPr>
          <w:sz w:val="22"/>
          <w:szCs w:val="22"/>
          <w:lang w:eastAsia="lt-LT"/>
        </w:rPr>
        <w:t> </w:t>
      </w:r>
      <w:r w:rsidRPr="003F564F">
        <w:rPr>
          <w:sz w:val="22"/>
          <w:szCs w:val="22"/>
          <w:lang w:eastAsia="lt-LT"/>
        </w:rPr>
        <w:t>0,0013), o pacientų, kuriems po 48</w:t>
      </w:r>
      <w:r w:rsidR="00781CD5" w:rsidRPr="003F564F">
        <w:rPr>
          <w:sz w:val="22"/>
          <w:szCs w:val="22"/>
          <w:lang w:eastAsia="lt-LT"/>
        </w:rPr>
        <w:t> </w:t>
      </w:r>
      <w:r w:rsidRPr="003F564F">
        <w:rPr>
          <w:sz w:val="22"/>
          <w:szCs w:val="22"/>
          <w:lang w:eastAsia="lt-LT"/>
        </w:rPr>
        <w:t>savaičių nustatytas ilgalaikis pirminis atsakas, dalis buvo 20</w:t>
      </w:r>
      <w:r w:rsidR="00781CD5" w:rsidRPr="003F564F">
        <w:rPr>
          <w:sz w:val="22"/>
          <w:szCs w:val="22"/>
          <w:lang w:eastAsia="lt-LT"/>
        </w:rPr>
        <w:t> </w:t>
      </w:r>
      <w:r w:rsidRPr="003F564F">
        <w:rPr>
          <w:sz w:val="22"/>
          <w:szCs w:val="22"/>
          <w:lang w:eastAsia="lt-LT"/>
        </w:rPr>
        <w:t xml:space="preserve">% </w:t>
      </w:r>
      <w:proofErr w:type="spellStart"/>
      <w:r w:rsidR="00781CD5" w:rsidRPr="003F564F">
        <w:rPr>
          <w:sz w:val="22"/>
          <w:szCs w:val="22"/>
          <w:lang w:eastAsia="lt-LT"/>
        </w:rPr>
        <w:t>ruksolitinibo</w:t>
      </w:r>
      <w:proofErr w:type="spellEnd"/>
      <w:r w:rsidRPr="003F564F">
        <w:rPr>
          <w:sz w:val="22"/>
          <w:szCs w:val="22"/>
          <w:lang w:eastAsia="lt-LT"/>
        </w:rPr>
        <w:t xml:space="preserve"> vartojusiųjų grupėje bei 0,9</w:t>
      </w:r>
      <w:r w:rsidR="00781CD5" w:rsidRPr="003F564F">
        <w:rPr>
          <w:sz w:val="22"/>
          <w:szCs w:val="22"/>
          <w:lang w:eastAsia="lt-LT"/>
        </w:rPr>
        <w:t> </w:t>
      </w:r>
      <w:r w:rsidRPr="003F564F">
        <w:rPr>
          <w:sz w:val="22"/>
          <w:szCs w:val="22"/>
          <w:lang w:eastAsia="lt-LT"/>
        </w:rPr>
        <w:t>% GPG grupėje (p</w:t>
      </w:r>
      <w:r w:rsidR="00781CD5" w:rsidRPr="003F564F">
        <w:rPr>
          <w:sz w:val="22"/>
          <w:szCs w:val="22"/>
          <w:lang w:eastAsia="lt-LT"/>
        </w:rPr>
        <w:t> </w:t>
      </w:r>
      <w:r w:rsidRPr="003F564F">
        <w:rPr>
          <w:sz w:val="22"/>
          <w:szCs w:val="22"/>
          <w:lang w:eastAsia="lt-LT"/>
        </w:rPr>
        <w:t>&lt;</w:t>
      </w:r>
      <w:r w:rsidR="00781CD5" w:rsidRPr="003F564F">
        <w:rPr>
          <w:sz w:val="22"/>
          <w:szCs w:val="22"/>
          <w:lang w:eastAsia="lt-LT"/>
        </w:rPr>
        <w:t> </w:t>
      </w:r>
      <w:r w:rsidRPr="003F564F">
        <w:rPr>
          <w:sz w:val="22"/>
          <w:szCs w:val="22"/>
          <w:lang w:eastAsia="lt-LT"/>
        </w:rPr>
        <w:t>0,0001).</w:t>
      </w:r>
    </w:p>
    <w:p w14:paraId="25F8040B" w14:textId="77777777" w:rsidR="00D3679D" w:rsidRPr="003F564F" w:rsidRDefault="00D3679D" w:rsidP="0036574D">
      <w:pPr>
        <w:rPr>
          <w:sz w:val="22"/>
          <w:szCs w:val="22"/>
          <w:lang w:eastAsia="lt-LT"/>
        </w:rPr>
      </w:pPr>
    </w:p>
    <w:p w14:paraId="6F55DCC4" w14:textId="7027F6D6" w:rsidR="00D3679D" w:rsidRPr="003F564F" w:rsidRDefault="00D3679D" w:rsidP="004300CB">
      <w:pPr>
        <w:ind w:left="1290" w:hanging="1290"/>
        <w:rPr>
          <w:b/>
          <w:bCs/>
          <w:sz w:val="22"/>
          <w:szCs w:val="22"/>
          <w:lang w:eastAsia="lt-LT"/>
        </w:rPr>
      </w:pPr>
      <w:r w:rsidRPr="003F564F">
        <w:rPr>
          <w:b/>
          <w:bCs/>
          <w:sz w:val="22"/>
          <w:szCs w:val="22"/>
          <w:lang w:eastAsia="lt-LT"/>
        </w:rPr>
        <w:t>1</w:t>
      </w:r>
      <w:r w:rsidR="004300CB" w:rsidRPr="003F564F">
        <w:rPr>
          <w:b/>
          <w:bCs/>
          <w:sz w:val="22"/>
          <w:szCs w:val="22"/>
          <w:lang w:eastAsia="lt-LT"/>
        </w:rPr>
        <w:t> </w:t>
      </w:r>
      <w:r w:rsidRPr="003F564F">
        <w:rPr>
          <w:b/>
          <w:bCs/>
          <w:sz w:val="22"/>
          <w:szCs w:val="22"/>
          <w:lang w:eastAsia="lt-LT"/>
        </w:rPr>
        <w:t>pav.</w:t>
      </w:r>
      <w:r w:rsidR="004300CB" w:rsidRPr="003F564F">
        <w:rPr>
          <w:b/>
          <w:bCs/>
          <w:sz w:val="22"/>
          <w:szCs w:val="22"/>
          <w:lang w:eastAsia="lt-LT"/>
        </w:rPr>
        <w:tab/>
      </w:r>
      <w:r w:rsidRPr="003F564F">
        <w:rPr>
          <w:b/>
          <w:bCs/>
          <w:sz w:val="22"/>
          <w:szCs w:val="22"/>
          <w:lang w:eastAsia="lt-LT"/>
        </w:rPr>
        <w:t>Pacientai, kuriems po 32</w:t>
      </w:r>
      <w:r w:rsidR="00781CD5" w:rsidRPr="003F564F">
        <w:rPr>
          <w:b/>
          <w:bCs/>
          <w:sz w:val="22"/>
          <w:szCs w:val="22"/>
          <w:lang w:eastAsia="lt-LT"/>
        </w:rPr>
        <w:t> </w:t>
      </w:r>
      <w:r w:rsidRPr="003F564F">
        <w:rPr>
          <w:b/>
          <w:bCs/>
          <w:sz w:val="22"/>
          <w:szCs w:val="22"/>
          <w:lang w:eastAsia="lt-LT"/>
        </w:rPr>
        <w:t>savaičių nustatyta pirminė vertinamoji baigtis ir abi šios vertinamosios baigties sudėtinės dalys</w:t>
      </w:r>
    </w:p>
    <w:p w14:paraId="77C7464A" w14:textId="77777777" w:rsidR="00D3679D" w:rsidRPr="003F564F" w:rsidRDefault="00D3679D" w:rsidP="0036574D">
      <w:pPr>
        <w:rPr>
          <w:sz w:val="22"/>
          <w:szCs w:val="22"/>
          <w:lang w:eastAsia="lt-LT"/>
        </w:rPr>
      </w:pPr>
    </w:p>
    <w:p w14:paraId="38F2334B" w14:textId="27B05A59" w:rsidR="00781CD5" w:rsidRPr="003F564F" w:rsidRDefault="004300CB" w:rsidP="0036574D">
      <w:pPr>
        <w:rPr>
          <w:sz w:val="22"/>
          <w:szCs w:val="22"/>
          <w:lang w:eastAsia="lt-LT"/>
        </w:rPr>
      </w:pPr>
      <w:r w:rsidRPr="003F564F">
        <w:rPr>
          <w:noProof/>
          <w:sz w:val="22"/>
          <w:szCs w:val="22"/>
          <w:lang w:eastAsia="lt-LT"/>
        </w:rPr>
        <w:drawing>
          <wp:inline distT="0" distB="0" distL="0" distR="0" wp14:anchorId="3386DF8D" wp14:editId="705BD45C">
            <wp:extent cx="5749747" cy="3634000"/>
            <wp:effectExtent l="0" t="0" r="3810" b="5080"/>
            <wp:docPr id="16693274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327412" name="Picture 1669327412"/>
                    <pic:cNvPicPr/>
                  </pic:nvPicPr>
                  <pic:blipFill>
                    <a:blip r:embed="rId8">
                      <a:extLst>
                        <a:ext uri="{28A0092B-C50C-407E-A947-70E740481C1C}">
                          <a14:useLocalDpi xmlns:a14="http://schemas.microsoft.com/office/drawing/2010/main" val="0"/>
                        </a:ext>
                      </a:extLst>
                    </a:blip>
                    <a:stretch>
                      <a:fillRect/>
                    </a:stretch>
                  </pic:blipFill>
                  <pic:spPr>
                    <a:xfrm>
                      <a:off x="0" y="0"/>
                      <a:ext cx="5762975" cy="3642360"/>
                    </a:xfrm>
                    <a:prstGeom prst="rect">
                      <a:avLst/>
                    </a:prstGeom>
                  </pic:spPr>
                </pic:pic>
              </a:graphicData>
            </a:graphic>
          </wp:inline>
        </w:drawing>
      </w:r>
    </w:p>
    <w:p w14:paraId="68C9210C" w14:textId="77777777" w:rsidR="00D3679D" w:rsidRPr="003F564F" w:rsidRDefault="00D3679D" w:rsidP="0036574D">
      <w:pPr>
        <w:rPr>
          <w:sz w:val="22"/>
          <w:szCs w:val="22"/>
          <w:lang w:eastAsia="lt-LT"/>
        </w:rPr>
      </w:pPr>
    </w:p>
    <w:p w14:paraId="26AA13F0" w14:textId="0064F979" w:rsidR="00D3679D" w:rsidRPr="003F564F" w:rsidRDefault="00D3679D" w:rsidP="0036574D">
      <w:pPr>
        <w:rPr>
          <w:sz w:val="22"/>
          <w:szCs w:val="22"/>
          <w:lang w:eastAsia="lt-LT"/>
        </w:rPr>
      </w:pPr>
      <w:r w:rsidRPr="003F564F">
        <w:rPr>
          <w:sz w:val="22"/>
          <w:szCs w:val="22"/>
          <w:lang w:eastAsia="lt-LT"/>
        </w:rPr>
        <w:t>Ligos simptomų įtaka buvo vertinama naudojant elektroninio pacientų dienyno MPN-SAF formos (kurią sudarė 14</w:t>
      </w:r>
      <w:r w:rsidR="004300CB" w:rsidRPr="003F564F">
        <w:rPr>
          <w:sz w:val="22"/>
          <w:szCs w:val="22"/>
          <w:lang w:eastAsia="lt-LT"/>
        </w:rPr>
        <w:t> </w:t>
      </w:r>
      <w:r w:rsidRPr="003F564F">
        <w:rPr>
          <w:sz w:val="22"/>
          <w:szCs w:val="22"/>
          <w:lang w:eastAsia="lt-LT"/>
        </w:rPr>
        <w:t>klausimų) bendrojo simptomų balo (BSB) įvertinimą. Po 32</w:t>
      </w:r>
      <w:r w:rsidR="004300CB" w:rsidRPr="003F564F">
        <w:rPr>
          <w:sz w:val="22"/>
          <w:szCs w:val="22"/>
          <w:lang w:eastAsia="lt-LT"/>
        </w:rPr>
        <w:t> </w:t>
      </w:r>
      <w:r w:rsidRPr="003F564F">
        <w:rPr>
          <w:sz w:val="22"/>
          <w:szCs w:val="22"/>
          <w:lang w:eastAsia="lt-LT"/>
        </w:rPr>
        <w:t>savaičių 49</w:t>
      </w:r>
      <w:r w:rsidR="004300CB" w:rsidRPr="003F564F">
        <w:rPr>
          <w:sz w:val="22"/>
          <w:szCs w:val="22"/>
          <w:lang w:eastAsia="lt-LT"/>
        </w:rPr>
        <w:t> </w:t>
      </w:r>
      <w:r w:rsidRPr="003F564F">
        <w:rPr>
          <w:sz w:val="22"/>
          <w:szCs w:val="22"/>
          <w:lang w:eastAsia="lt-LT"/>
        </w:rPr>
        <w:t>% ir 64</w:t>
      </w:r>
      <w:r w:rsidR="004300CB" w:rsidRPr="003F564F">
        <w:rPr>
          <w:sz w:val="22"/>
          <w:szCs w:val="22"/>
          <w:lang w:eastAsia="lt-LT"/>
        </w:rPr>
        <w:t> </w:t>
      </w:r>
      <w:r w:rsidRPr="003F564F">
        <w:rPr>
          <w:sz w:val="22"/>
          <w:szCs w:val="22"/>
          <w:lang w:eastAsia="lt-LT"/>
        </w:rPr>
        <w:t xml:space="preserve">% </w:t>
      </w:r>
      <w:proofErr w:type="spellStart"/>
      <w:r w:rsidRPr="003F564F">
        <w:rPr>
          <w:sz w:val="22"/>
          <w:szCs w:val="22"/>
          <w:lang w:eastAsia="lt-LT"/>
        </w:rPr>
        <w:t>ruksolitinibo</w:t>
      </w:r>
      <w:proofErr w:type="spellEnd"/>
      <w:r w:rsidRPr="003F564F">
        <w:rPr>
          <w:sz w:val="22"/>
          <w:szCs w:val="22"/>
          <w:lang w:eastAsia="lt-LT"/>
        </w:rPr>
        <w:t xml:space="preserve"> vartojusių pacientų nustatytas ≥</w:t>
      </w:r>
      <w:r w:rsidR="004300CB" w:rsidRPr="003F564F">
        <w:rPr>
          <w:sz w:val="22"/>
          <w:szCs w:val="22"/>
          <w:lang w:eastAsia="lt-LT"/>
        </w:rPr>
        <w:t> </w:t>
      </w:r>
      <w:r w:rsidRPr="003F564F">
        <w:rPr>
          <w:sz w:val="22"/>
          <w:szCs w:val="22"/>
          <w:lang w:eastAsia="lt-LT"/>
        </w:rPr>
        <w:t>50</w:t>
      </w:r>
      <w:r w:rsidR="004300CB" w:rsidRPr="003F564F">
        <w:rPr>
          <w:sz w:val="22"/>
          <w:szCs w:val="22"/>
          <w:lang w:eastAsia="lt-LT"/>
        </w:rPr>
        <w:t> </w:t>
      </w:r>
      <w:r w:rsidRPr="003F564F">
        <w:rPr>
          <w:sz w:val="22"/>
          <w:szCs w:val="22"/>
          <w:lang w:eastAsia="lt-LT"/>
        </w:rPr>
        <w:t>% balo sumažėjimas, atitinkamai, BSB-14 ir BSB-5 skalėse, lyginant su tik 5</w:t>
      </w:r>
      <w:r w:rsidR="004300CB" w:rsidRPr="003F564F">
        <w:rPr>
          <w:sz w:val="22"/>
          <w:szCs w:val="22"/>
          <w:lang w:eastAsia="lt-LT"/>
        </w:rPr>
        <w:t> </w:t>
      </w:r>
      <w:r w:rsidRPr="003F564F">
        <w:rPr>
          <w:sz w:val="22"/>
          <w:szCs w:val="22"/>
          <w:lang w:eastAsia="lt-LT"/>
        </w:rPr>
        <w:t>% ir 11</w:t>
      </w:r>
      <w:r w:rsidR="004300CB" w:rsidRPr="003F564F">
        <w:rPr>
          <w:sz w:val="22"/>
          <w:szCs w:val="22"/>
          <w:lang w:eastAsia="lt-LT"/>
        </w:rPr>
        <w:t> </w:t>
      </w:r>
      <w:r w:rsidRPr="003F564F">
        <w:rPr>
          <w:sz w:val="22"/>
          <w:szCs w:val="22"/>
          <w:lang w:eastAsia="lt-LT"/>
        </w:rPr>
        <w:t>% pacientų GPG grupėje.</w:t>
      </w:r>
    </w:p>
    <w:p w14:paraId="162E3DC8" w14:textId="77777777" w:rsidR="00D3679D" w:rsidRPr="003F564F" w:rsidRDefault="00D3679D" w:rsidP="0036574D">
      <w:pPr>
        <w:rPr>
          <w:sz w:val="22"/>
          <w:szCs w:val="22"/>
          <w:lang w:eastAsia="lt-LT"/>
        </w:rPr>
      </w:pPr>
    </w:p>
    <w:p w14:paraId="7A515CAB" w14:textId="25032747" w:rsidR="00D3679D" w:rsidRPr="003F564F" w:rsidRDefault="00D3679D" w:rsidP="0036574D">
      <w:pPr>
        <w:rPr>
          <w:sz w:val="22"/>
          <w:szCs w:val="22"/>
          <w:lang w:eastAsia="lt-LT"/>
        </w:rPr>
      </w:pPr>
      <w:r w:rsidRPr="003F564F">
        <w:rPr>
          <w:sz w:val="22"/>
          <w:szCs w:val="22"/>
          <w:lang w:eastAsia="lt-LT"/>
        </w:rPr>
        <w:t xml:space="preserve">Gydymo naudos pojūtis buvo vertinamas naudojant Bendrojo pacientų įspūdžio apie pokyčius klausimyną (angl. </w:t>
      </w:r>
      <w:proofErr w:type="spellStart"/>
      <w:r w:rsidRPr="003F564F">
        <w:rPr>
          <w:i/>
          <w:iCs/>
          <w:sz w:val="22"/>
          <w:szCs w:val="22"/>
          <w:lang w:eastAsia="lt-LT"/>
        </w:rPr>
        <w:t>Patient</w:t>
      </w:r>
      <w:proofErr w:type="spellEnd"/>
      <w:r w:rsidRPr="003F564F">
        <w:rPr>
          <w:i/>
          <w:iCs/>
          <w:sz w:val="22"/>
          <w:szCs w:val="22"/>
          <w:lang w:eastAsia="lt-LT"/>
        </w:rPr>
        <w:t xml:space="preserve"> Global </w:t>
      </w:r>
      <w:proofErr w:type="spellStart"/>
      <w:r w:rsidRPr="003F564F">
        <w:rPr>
          <w:i/>
          <w:iCs/>
          <w:sz w:val="22"/>
          <w:szCs w:val="22"/>
          <w:lang w:eastAsia="lt-LT"/>
        </w:rPr>
        <w:t>Impression</w:t>
      </w:r>
      <w:proofErr w:type="spellEnd"/>
      <w:r w:rsidRPr="003F564F">
        <w:rPr>
          <w:i/>
          <w:iCs/>
          <w:sz w:val="22"/>
          <w:szCs w:val="22"/>
          <w:lang w:eastAsia="lt-LT"/>
        </w:rPr>
        <w:t xml:space="preserve"> </w:t>
      </w:r>
      <w:proofErr w:type="spellStart"/>
      <w:r w:rsidRPr="003F564F">
        <w:rPr>
          <w:i/>
          <w:iCs/>
          <w:sz w:val="22"/>
          <w:szCs w:val="22"/>
          <w:lang w:eastAsia="lt-LT"/>
        </w:rPr>
        <w:t>of</w:t>
      </w:r>
      <w:proofErr w:type="spellEnd"/>
      <w:r w:rsidRPr="003F564F">
        <w:rPr>
          <w:i/>
          <w:iCs/>
          <w:sz w:val="22"/>
          <w:szCs w:val="22"/>
          <w:lang w:eastAsia="lt-LT"/>
        </w:rPr>
        <w:t xml:space="preserve"> </w:t>
      </w:r>
      <w:proofErr w:type="spellStart"/>
      <w:r w:rsidRPr="003F564F">
        <w:rPr>
          <w:i/>
          <w:iCs/>
          <w:sz w:val="22"/>
          <w:szCs w:val="22"/>
          <w:lang w:eastAsia="lt-LT"/>
        </w:rPr>
        <w:t>Change</w:t>
      </w:r>
      <w:proofErr w:type="spellEnd"/>
      <w:r w:rsidRPr="003F564F">
        <w:rPr>
          <w:i/>
          <w:iCs/>
          <w:sz w:val="22"/>
          <w:szCs w:val="22"/>
          <w:lang w:eastAsia="lt-LT"/>
        </w:rPr>
        <w:t xml:space="preserve"> – PGIC</w:t>
      </w:r>
      <w:r w:rsidRPr="003F564F">
        <w:rPr>
          <w:sz w:val="22"/>
          <w:szCs w:val="22"/>
          <w:lang w:eastAsia="lt-LT"/>
        </w:rPr>
        <w:t>). 66</w:t>
      </w:r>
      <w:r w:rsidR="004300CB" w:rsidRPr="003F564F">
        <w:rPr>
          <w:sz w:val="22"/>
          <w:szCs w:val="22"/>
          <w:lang w:eastAsia="lt-LT"/>
        </w:rPr>
        <w:t> </w:t>
      </w:r>
      <w:r w:rsidRPr="003F564F">
        <w:rPr>
          <w:sz w:val="22"/>
          <w:szCs w:val="22"/>
          <w:lang w:eastAsia="lt-LT"/>
        </w:rPr>
        <w:t xml:space="preserve">% </w:t>
      </w:r>
      <w:proofErr w:type="spellStart"/>
      <w:r w:rsidRPr="003F564F">
        <w:rPr>
          <w:sz w:val="22"/>
          <w:szCs w:val="22"/>
          <w:lang w:eastAsia="lt-LT"/>
        </w:rPr>
        <w:t>ruksolitinibo</w:t>
      </w:r>
      <w:proofErr w:type="spellEnd"/>
      <w:r w:rsidRPr="003F564F">
        <w:rPr>
          <w:sz w:val="22"/>
          <w:szCs w:val="22"/>
          <w:lang w:eastAsia="lt-LT"/>
        </w:rPr>
        <w:t xml:space="preserve"> vartojusių pacientų, lyginant su 19</w:t>
      </w:r>
      <w:r w:rsidR="004300CB" w:rsidRPr="003F564F">
        <w:rPr>
          <w:sz w:val="22"/>
          <w:szCs w:val="22"/>
          <w:lang w:eastAsia="lt-LT"/>
        </w:rPr>
        <w:t> </w:t>
      </w:r>
      <w:r w:rsidRPr="003F564F">
        <w:rPr>
          <w:sz w:val="22"/>
          <w:szCs w:val="22"/>
          <w:lang w:eastAsia="lt-LT"/>
        </w:rPr>
        <w:t xml:space="preserve">% pacientų GPG grupėje, nurodė būklės pagerėjimą jau po keturių savaičių </w:t>
      </w:r>
      <w:r w:rsidRPr="003F564F">
        <w:rPr>
          <w:sz w:val="22"/>
          <w:szCs w:val="22"/>
          <w:lang w:eastAsia="lt-LT"/>
        </w:rPr>
        <w:lastRenderedPageBreak/>
        <w:t>nuo vaistinio preparato vartojimo pradžios. Gydymo naudos pojūčio įvertinimo pagerėjimas po 32</w:t>
      </w:r>
      <w:r w:rsidR="004300CB" w:rsidRPr="003F564F">
        <w:rPr>
          <w:sz w:val="22"/>
          <w:szCs w:val="22"/>
          <w:lang w:eastAsia="lt-LT"/>
        </w:rPr>
        <w:t> </w:t>
      </w:r>
      <w:r w:rsidRPr="003F564F">
        <w:rPr>
          <w:sz w:val="22"/>
          <w:szCs w:val="22"/>
          <w:lang w:eastAsia="lt-LT"/>
        </w:rPr>
        <w:t xml:space="preserve">savaičių taip pat buvo didesnis </w:t>
      </w:r>
      <w:proofErr w:type="spellStart"/>
      <w:r w:rsidRPr="003F564F">
        <w:rPr>
          <w:sz w:val="22"/>
          <w:szCs w:val="22"/>
          <w:lang w:eastAsia="lt-LT"/>
        </w:rPr>
        <w:t>ruksolitinibo</w:t>
      </w:r>
      <w:proofErr w:type="spellEnd"/>
      <w:r w:rsidRPr="003F564F">
        <w:rPr>
          <w:sz w:val="22"/>
          <w:szCs w:val="22"/>
          <w:lang w:eastAsia="lt-LT"/>
        </w:rPr>
        <w:t xml:space="preserve"> vartojusiųjų tarpe (78</w:t>
      </w:r>
      <w:r w:rsidR="004300CB" w:rsidRPr="003F564F">
        <w:rPr>
          <w:sz w:val="22"/>
          <w:szCs w:val="22"/>
          <w:lang w:eastAsia="lt-LT"/>
        </w:rPr>
        <w:t> </w:t>
      </w:r>
      <w:r w:rsidRPr="003F564F">
        <w:rPr>
          <w:sz w:val="22"/>
          <w:szCs w:val="22"/>
          <w:lang w:eastAsia="lt-LT"/>
        </w:rPr>
        <w:t>% lyginant su 33</w:t>
      </w:r>
      <w:r w:rsidR="004300CB" w:rsidRPr="003F564F">
        <w:rPr>
          <w:sz w:val="22"/>
          <w:szCs w:val="22"/>
          <w:lang w:eastAsia="lt-LT"/>
        </w:rPr>
        <w:t> </w:t>
      </w:r>
      <w:r w:rsidRPr="003F564F">
        <w:rPr>
          <w:sz w:val="22"/>
          <w:szCs w:val="22"/>
          <w:lang w:eastAsia="lt-LT"/>
        </w:rPr>
        <w:t>%).</w:t>
      </w:r>
    </w:p>
    <w:p w14:paraId="5F490CD5" w14:textId="77777777" w:rsidR="00D3679D" w:rsidRPr="003F564F" w:rsidRDefault="00D3679D" w:rsidP="0036574D">
      <w:pPr>
        <w:rPr>
          <w:sz w:val="22"/>
          <w:szCs w:val="22"/>
          <w:lang w:eastAsia="lt-LT"/>
        </w:rPr>
      </w:pPr>
    </w:p>
    <w:p w14:paraId="012FAC3A" w14:textId="299F78DD" w:rsidR="00D3679D" w:rsidRPr="003F564F" w:rsidRDefault="00D3679D" w:rsidP="0036574D">
      <w:pPr>
        <w:rPr>
          <w:sz w:val="22"/>
          <w:szCs w:val="22"/>
          <w:lang w:eastAsia="lt-LT"/>
        </w:rPr>
      </w:pPr>
      <w:r w:rsidRPr="003F564F">
        <w:rPr>
          <w:sz w:val="22"/>
          <w:szCs w:val="22"/>
          <w:lang w:eastAsia="lt-LT"/>
        </w:rPr>
        <w:t>Papildomos RESPONSE tyrimo analizės, skirtos įvertinti ilgalaikį atsaką, buvo atliktos 80</w:t>
      </w:r>
      <w:r w:rsidR="004300CB" w:rsidRPr="003F564F">
        <w:rPr>
          <w:sz w:val="22"/>
          <w:szCs w:val="22"/>
          <w:lang w:eastAsia="lt-LT"/>
        </w:rPr>
        <w:t> </w:t>
      </w:r>
      <w:r w:rsidRPr="003F564F">
        <w:rPr>
          <w:sz w:val="22"/>
          <w:szCs w:val="22"/>
          <w:lang w:eastAsia="lt-LT"/>
        </w:rPr>
        <w:t>savaitę ir 256</w:t>
      </w:r>
      <w:r w:rsidR="004300CB" w:rsidRPr="003F564F">
        <w:rPr>
          <w:sz w:val="22"/>
          <w:szCs w:val="22"/>
          <w:lang w:eastAsia="lt-LT"/>
        </w:rPr>
        <w:t> </w:t>
      </w:r>
      <w:r w:rsidRPr="003F564F">
        <w:rPr>
          <w:sz w:val="22"/>
          <w:szCs w:val="22"/>
          <w:lang w:eastAsia="lt-LT"/>
        </w:rPr>
        <w:t>savaitę po atsitiktinės atrankos. Iš 25</w:t>
      </w:r>
      <w:r w:rsidR="004300CB" w:rsidRPr="003F564F">
        <w:rPr>
          <w:sz w:val="22"/>
          <w:szCs w:val="22"/>
          <w:lang w:eastAsia="lt-LT"/>
        </w:rPr>
        <w:t> </w:t>
      </w:r>
      <w:r w:rsidRPr="003F564F">
        <w:rPr>
          <w:sz w:val="22"/>
          <w:szCs w:val="22"/>
          <w:lang w:eastAsia="lt-LT"/>
        </w:rPr>
        <w:t>pacientų, kuriems 32</w:t>
      </w:r>
      <w:r w:rsidR="004300CB" w:rsidRPr="003F564F">
        <w:rPr>
          <w:sz w:val="22"/>
          <w:szCs w:val="22"/>
          <w:lang w:eastAsia="lt-LT"/>
        </w:rPr>
        <w:noBreakHyphen/>
      </w:r>
      <w:r w:rsidRPr="003F564F">
        <w:rPr>
          <w:sz w:val="22"/>
          <w:szCs w:val="22"/>
          <w:lang w:eastAsia="lt-LT"/>
        </w:rPr>
        <w:t>ąją savaitę buvo pasiektas pirminis atsakas, ligos progresavimas 3</w:t>
      </w:r>
      <w:r w:rsidR="004300CB" w:rsidRPr="003F564F">
        <w:rPr>
          <w:sz w:val="22"/>
          <w:szCs w:val="22"/>
          <w:lang w:eastAsia="lt-LT"/>
        </w:rPr>
        <w:t> </w:t>
      </w:r>
      <w:r w:rsidRPr="003F564F">
        <w:rPr>
          <w:sz w:val="22"/>
          <w:szCs w:val="22"/>
          <w:lang w:eastAsia="lt-LT"/>
        </w:rPr>
        <w:t>pacientams buvo nustatytas 80</w:t>
      </w:r>
      <w:r w:rsidR="004300CB" w:rsidRPr="003F564F">
        <w:rPr>
          <w:sz w:val="22"/>
          <w:szCs w:val="22"/>
          <w:lang w:eastAsia="lt-LT"/>
        </w:rPr>
        <w:noBreakHyphen/>
      </w:r>
      <w:r w:rsidRPr="003F564F">
        <w:rPr>
          <w:sz w:val="22"/>
          <w:szCs w:val="22"/>
          <w:lang w:eastAsia="lt-LT"/>
        </w:rPr>
        <w:t>ąją savaitę, o 6</w:t>
      </w:r>
      <w:r w:rsidR="004300CB" w:rsidRPr="003F564F">
        <w:rPr>
          <w:sz w:val="22"/>
          <w:szCs w:val="22"/>
          <w:lang w:eastAsia="lt-LT"/>
        </w:rPr>
        <w:t> </w:t>
      </w:r>
      <w:r w:rsidRPr="003F564F">
        <w:rPr>
          <w:sz w:val="22"/>
          <w:szCs w:val="22"/>
          <w:lang w:eastAsia="lt-LT"/>
        </w:rPr>
        <w:t>pacientams – 256</w:t>
      </w:r>
      <w:r w:rsidR="004300CB" w:rsidRPr="003F564F">
        <w:rPr>
          <w:sz w:val="22"/>
          <w:szCs w:val="22"/>
          <w:lang w:eastAsia="lt-LT"/>
        </w:rPr>
        <w:noBreakHyphen/>
      </w:r>
      <w:r w:rsidRPr="003F564F">
        <w:rPr>
          <w:sz w:val="22"/>
          <w:szCs w:val="22"/>
          <w:lang w:eastAsia="lt-LT"/>
        </w:rPr>
        <w:t>ąją savaitę. Tikimybė, kad atsakas išliks nuo 32</w:t>
      </w:r>
      <w:r w:rsidR="004300CB" w:rsidRPr="003F564F">
        <w:rPr>
          <w:sz w:val="22"/>
          <w:szCs w:val="22"/>
          <w:lang w:eastAsia="lt-LT"/>
        </w:rPr>
        <w:noBreakHyphen/>
      </w:r>
      <w:r w:rsidRPr="003F564F">
        <w:rPr>
          <w:sz w:val="22"/>
          <w:szCs w:val="22"/>
          <w:lang w:eastAsia="lt-LT"/>
        </w:rPr>
        <w:t>osios savaitės iki 80</w:t>
      </w:r>
      <w:r w:rsidR="004300CB" w:rsidRPr="003F564F">
        <w:rPr>
          <w:sz w:val="22"/>
          <w:szCs w:val="22"/>
          <w:lang w:eastAsia="lt-LT"/>
        </w:rPr>
        <w:noBreakHyphen/>
      </w:r>
      <w:r w:rsidRPr="003F564F">
        <w:rPr>
          <w:sz w:val="22"/>
          <w:szCs w:val="22"/>
          <w:lang w:eastAsia="lt-LT"/>
        </w:rPr>
        <w:t>osios ar 256</w:t>
      </w:r>
      <w:r w:rsidR="004300CB" w:rsidRPr="003F564F">
        <w:rPr>
          <w:sz w:val="22"/>
          <w:szCs w:val="22"/>
          <w:lang w:eastAsia="lt-LT"/>
        </w:rPr>
        <w:noBreakHyphen/>
      </w:r>
      <w:r w:rsidRPr="003F564F">
        <w:rPr>
          <w:sz w:val="22"/>
          <w:szCs w:val="22"/>
          <w:lang w:eastAsia="lt-LT"/>
        </w:rPr>
        <w:t>osios savaitės buvo atitinkamai 92</w:t>
      </w:r>
      <w:r w:rsidR="004300CB" w:rsidRPr="003F564F">
        <w:rPr>
          <w:sz w:val="22"/>
          <w:szCs w:val="22"/>
          <w:lang w:eastAsia="lt-LT"/>
        </w:rPr>
        <w:t> </w:t>
      </w:r>
      <w:r w:rsidRPr="003F564F">
        <w:rPr>
          <w:sz w:val="22"/>
          <w:szCs w:val="22"/>
          <w:lang w:eastAsia="lt-LT"/>
        </w:rPr>
        <w:t>% ir 74</w:t>
      </w:r>
      <w:r w:rsidR="004300CB" w:rsidRPr="003F564F">
        <w:rPr>
          <w:sz w:val="22"/>
          <w:szCs w:val="22"/>
          <w:lang w:eastAsia="lt-LT"/>
        </w:rPr>
        <w:t> </w:t>
      </w:r>
      <w:r w:rsidRPr="003F564F">
        <w:rPr>
          <w:sz w:val="22"/>
          <w:szCs w:val="22"/>
          <w:lang w:eastAsia="lt-LT"/>
        </w:rPr>
        <w:t>% (žr.</w:t>
      </w:r>
      <w:r w:rsidR="004300CB" w:rsidRPr="003F564F">
        <w:rPr>
          <w:sz w:val="22"/>
          <w:szCs w:val="22"/>
          <w:lang w:eastAsia="lt-LT"/>
        </w:rPr>
        <w:t> </w:t>
      </w:r>
      <w:r w:rsidRPr="003F564F">
        <w:rPr>
          <w:sz w:val="22"/>
          <w:szCs w:val="22"/>
          <w:lang w:eastAsia="lt-LT"/>
        </w:rPr>
        <w:t>10</w:t>
      </w:r>
      <w:r w:rsidR="004300CB" w:rsidRPr="003F564F">
        <w:rPr>
          <w:sz w:val="22"/>
          <w:szCs w:val="22"/>
          <w:lang w:eastAsia="lt-LT"/>
        </w:rPr>
        <w:t> </w:t>
      </w:r>
      <w:r w:rsidRPr="003F564F">
        <w:rPr>
          <w:sz w:val="22"/>
          <w:szCs w:val="22"/>
          <w:lang w:eastAsia="lt-LT"/>
        </w:rPr>
        <w:t>lentelę).</w:t>
      </w:r>
    </w:p>
    <w:p w14:paraId="10C47B4F" w14:textId="77777777" w:rsidR="00D3679D" w:rsidRPr="003F564F" w:rsidRDefault="00D3679D" w:rsidP="0036574D">
      <w:pPr>
        <w:rPr>
          <w:sz w:val="22"/>
          <w:szCs w:val="22"/>
          <w:lang w:eastAsia="lt-LT"/>
        </w:rPr>
      </w:pPr>
    </w:p>
    <w:p w14:paraId="54A1926D" w14:textId="11F7474E" w:rsidR="00D3679D" w:rsidRPr="003F564F" w:rsidRDefault="00D3679D" w:rsidP="0036574D">
      <w:pPr>
        <w:rPr>
          <w:b/>
          <w:bCs/>
          <w:sz w:val="22"/>
          <w:szCs w:val="22"/>
          <w:lang w:eastAsia="lt-LT"/>
        </w:rPr>
      </w:pPr>
      <w:r w:rsidRPr="003F564F">
        <w:rPr>
          <w:b/>
          <w:bCs/>
          <w:sz w:val="22"/>
          <w:szCs w:val="22"/>
          <w:lang w:eastAsia="lt-LT"/>
        </w:rPr>
        <w:t>10</w:t>
      </w:r>
      <w:r w:rsidR="004300CB" w:rsidRPr="003F564F">
        <w:rPr>
          <w:b/>
          <w:bCs/>
          <w:sz w:val="22"/>
          <w:szCs w:val="22"/>
          <w:lang w:eastAsia="lt-LT"/>
        </w:rPr>
        <w:t> </w:t>
      </w:r>
      <w:r w:rsidRPr="003F564F">
        <w:rPr>
          <w:b/>
          <w:bCs/>
          <w:sz w:val="22"/>
          <w:szCs w:val="22"/>
          <w:lang w:eastAsia="lt-LT"/>
        </w:rPr>
        <w:t>lentelė</w:t>
      </w:r>
      <w:r w:rsidR="004300CB" w:rsidRPr="003F564F">
        <w:rPr>
          <w:b/>
          <w:bCs/>
          <w:sz w:val="22"/>
          <w:szCs w:val="22"/>
          <w:lang w:eastAsia="lt-LT"/>
        </w:rPr>
        <w:tab/>
      </w:r>
      <w:r w:rsidRPr="003F564F">
        <w:rPr>
          <w:b/>
          <w:bCs/>
          <w:sz w:val="22"/>
          <w:szCs w:val="22"/>
          <w:lang w:eastAsia="lt-LT"/>
        </w:rPr>
        <w:t>Pirminio atsako išlikimo trukmė RESPONSE tyrimo duomenimis</w:t>
      </w:r>
    </w:p>
    <w:p w14:paraId="043A483C" w14:textId="77777777" w:rsidR="00D3679D" w:rsidRPr="003F564F" w:rsidRDefault="00D3679D" w:rsidP="0036574D">
      <w:pPr>
        <w:rPr>
          <w:sz w:val="22"/>
          <w:szCs w:val="22"/>
          <w:lang w:eastAsia="lt-LT"/>
        </w:rPr>
      </w:pPr>
    </w:p>
    <w:tbl>
      <w:tblPr>
        <w:tblStyle w:val="Lentelstinklelis"/>
        <w:tblW w:w="0" w:type="auto"/>
        <w:tblLook w:val="04A0" w:firstRow="1" w:lastRow="0" w:firstColumn="1" w:lastColumn="0" w:noHBand="0" w:noVBand="1"/>
      </w:tblPr>
      <w:tblGrid>
        <w:gridCol w:w="2254"/>
        <w:gridCol w:w="2262"/>
        <w:gridCol w:w="2266"/>
        <w:gridCol w:w="2278"/>
      </w:tblGrid>
      <w:tr w:rsidR="00D3679D" w:rsidRPr="003F564F" w14:paraId="0E2481C0" w14:textId="77777777" w:rsidTr="004300CB">
        <w:tc>
          <w:tcPr>
            <w:tcW w:w="2428" w:type="dxa"/>
          </w:tcPr>
          <w:p w14:paraId="70B1BCB9" w14:textId="77777777" w:rsidR="00D3679D" w:rsidRPr="003F564F" w:rsidRDefault="00D3679D" w:rsidP="00D3679D">
            <w:pPr>
              <w:jc w:val="both"/>
              <w:rPr>
                <w:sz w:val="22"/>
                <w:szCs w:val="22"/>
                <w:lang w:eastAsia="lt-LT"/>
              </w:rPr>
            </w:pPr>
          </w:p>
        </w:tc>
        <w:tc>
          <w:tcPr>
            <w:tcW w:w="2428" w:type="dxa"/>
          </w:tcPr>
          <w:p w14:paraId="6DA1E902" w14:textId="7944CAA3" w:rsidR="00D3679D" w:rsidRPr="003F564F" w:rsidRDefault="004300CB" w:rsidP="004300CB">
            <w:pPr>
              <w:jc w:val="center"/>
              <w:rPr>
                <w:sz w:val="22"/>
                <w:szCs w:val="22"/>
                <w:lang w:eastAsia="lt-LT"/>
              </w:rPr>
            </w:pPr>
            <w:r w:rsidRPr="003F564F">
              <w:rPr>
                <w:sz w:val="22"/>
                <w:szCs w:val="22"/>
                <w:lang w:eastAsia="lt-LT"/>
              </w:rPr>
              <w:t>32 savaitės</w:t>
            </w:r>
          </w:p>
        </w:tc>
        <w:tc>
          <w:tcPr>
            <w:tcW w:w="2429" w:type="dxa"/>
          </w:tcPr>
          <w:p w14:paraId="7774EFD4" w14:textId="2669BABC" w:rsidR="00D3679D" w:rsidRPr="003F564F" w:rsidRDefault="004300CB" w:rsidP="004300CB">
            <w:pPr>
              <w:jc w:val="center"/>
              <w:rPr>
                <w:sz w:val="22"/>
                <w:szCs w:val="22"/>
                <w:lang w:eastAsia="lt-LT"/>
              </w:rPr>
            </w:pPr>
            <w:r w:rsidRPr="003F564F">
              <w:rPr>
                <w:sz w:val="22"/>
                <w:szCs w:val="22"/>
                <w:lang w:eastAsia="lt-LT"/>
              </w:rPr>
              <w:t>80 savaičių</w:t>
            </w:r>
          </w:p>
        </w:tc>
        <w:tc>
          <w:tcPr>
            <w:tcW w:w="2429" w:type="dxa"/>
          </w:tcPr>
          <w:p w14:paraId="5C218CD4" w14:textId="095E147E" w:rsidR="00D3679D" w:rsidRPr="003F564F" w:rsidRDefault="004300CB" w:rsidP="004300CB">
            <w:pPr>
              <w:jc w:val="center"/>
              <w:rPr>
                <w:sz w:val="22"/>
                <w:szCs w:val="22"/>
                <w:lang w:eastAsia="lt-LT"/>
              </w:rPr>
            </w:pPr>
            <w:r w:rsidRPr="003F564F">
              <w:rPr>
                <w:sz w:val="22"/>
                <w:szCs w:val="22"/>
                <w:lang w:eastAsia="lt-LT"/>
              </w:rPr>
              <w:t>256 savaitės</w:t>
            </w:r>
          </w:p>
        </w:tc>
      </w:tr>
      <w:tr w:rsidR="00D3679D" w:rsidRPr="003F564F" w14:paraId="5FF49124" w14:textId="77777777" w:rsidTr="004300CB">
        <w:tc>
          <w:tcPr>
            <w:tcW w:w="2428" w:type="dxa"/>
          </w:tcPr>
          <w:p w14:paraId="2B00F01B" w14:textId="2F7CC8C7" w:rsidR="004300CB" w:rsidRPr="003F564F" w:rsidRDefault="004300CB" w:rsidP="004300CB">
            <w:pPr>
              <w:rPr>
                <w:sz w:val="22"/>
                <w:szCs w:val="22"/>
                <w:lang w:eastAsia="lt-LT"/>
              </w:rPr>
            </w:pPr>
            <w:r w:rsidRPr="003F564F">
              <w:rPr>
                <w:sz w:val="22"/>
                <w:szCs w:val="22"/>
                <w:lang w:eastAsia="lt-LT"/>
              </w:rPr>
              <w:t>Pirminis atsakas, pasiektas 32-ąją savaitę*</w:t>
            </w:r>
          </w:p>
          <w:p w14:paraId="29926956" w14:textId="65118BB1" w:rsidR="00D3679D" w:rsidRPr="003F564F" w:rsidRDefault="004300CB" w:rsidP="004300CB">
            <w:pPr>
              <w:rPr>
                <w:sz w:val="22"/>
                <w:szCs w:val="22"/>
                <w:lang w:eastAsia="lt-LT"/>
              </w:rPr>
            </w:pPr>
            <w:r w:rsidRPr="003F564F">
              <w:rPr>
                <w:sz w:val="22"/>
                <w:szCs w:val="22"/>
                <w:lang w:eastAsia="lt-LT"/>
              </w:rPr>
              <w:t>n/N (%)</w:t>
            </w:r>
          </w:p>
        </w:tc>
        <w:tc>
          <w:tcPr>
            <w:tcW w:w="2428" w:type="dxa"/>
          </w:tcPr>
          <w:p w14:paraId="70DFBFC3" w14:textId="0AE1422F" w:rsidR="00D3679D" w:rsidRPr="003F564F" w:rsidRDefault="004300CB" w:rsidP="004300CB">
            <w:pPr>
              <w:jc w:val="center"/>
              <w:rPr>
                <w:sz w:val="22"/>
                <w:szCs w:val="22"/>
                <w:lang w:eastAsia="lt-LT"/>
              </w:rPr>
            </w:pPr>
            <w:r w:rsidRPr="003F564F">
              <w:rPr>
                <w:sz w:val="22"/>
                <w:szCs w:val="22"/>
                <w:lang w:eastAsia="lt-LT"/>
              </w:rPr>
              <w:t>25/110 (23 %)</w:t>
            </w:r>
          </w:p>
        </w:tc>
        <w:tc>
          <w:tcPr>
            <w:tcW w:w="2429" w:type="dxa"/>
          </w:tcPr>
          <w:p w14:paraId="52CC8C88" w14:textId="62C6E3AD" w:rsidR="00D3679D" w:rsidRPr="003F564F" w:rsidRDefault="004300CB" w:rsidP="004300CB">
            <w:pPr>
              <w:jc w:val="center"/>
              <w:rPr>
                <w:sz w:val="22"/>
                <w:szCs w:val="22"/>
                <w:lang w:eastAsia="lt-LT"/>
              </w:rPr>
            </w:pPr>
            <w:r w:rsidRPr="003F564F">
              <w:rPr>
                <w:sz w:val="22"/>
                <w:szCs w:val="22"/>
                <w:lang w:eastAsia="lt-LT"/>
              </w:rPr>
              <w:t>n/t</w:t>
            </w:r>
          </w:p>
        </w:tc>
        <w:tc>
          <w:tcPr>
            <w:tcW w:w="2429" w:type="dxa"/>
          </w:tcPr>
          <w:p w14:paraId="0C381E71" w14:textId="0037FC83" w:rsidR="00D3679D" w:rsidRPr="003F564F" w:rsidRDefault="004300CB" w:rsidP="004300CB">
            <w:pPr>
              <w:jc w:val="center"/>
              <w:rPr>
                <w:sz w:val="22"/>
                <w:szCs w:val="22"/>
                <w:lang w:eastAsia="lt-LT"/>
              </w:rPr>
            </w:pPr>
            <w:r w:rsidRPr="003F564F">
              <w:rPr>
                <w:sz w:val="22"/>
                <w:szCs w:val="22"/>
                <w:lang w:eastAsia="lt-LT"/>
              </w:rPr>
              <w:t>n/t</w:t>
            </w:r>
          </w:p>
        </w:tc>
      </w:tr>
      <w:tr w:rsidR="00D3679D" w:rsidRPr="003F564F" w14:paraId="5FB38C39" w14:textId="77777777" w:rsidTr="004300CB">
        <w:tc>
          <w:tcPr>
            <w:tcW w:w="2428" w:type="dxa"/>
          </w:tcPr>
          <w:p w14:paraId="447105D8" w14:textId="00F9979E" w:rsidR="00D3679D" w:rsidRPr="003F564F" w:rsidRDefault="004300CB" w:rsidP="004300CB">
            <w:pPr>
              <w:rPr>
                <w:sz w:val="22"/>
                <w:szCs w:val="22"/>
                <w:lang w:eastAsia="lt-LT"/>
              </w:rPr>
            </w:pPr>
            <w:r w:rsidRPr="003F564F">
              <w:rPr>
                <w:sz w:val="22"/>
                <w:szCs w:val="22"/>
                <w:lang w:eastAsia="lt-LT"/>
              </w:rPr>
              <w:t>Pacientai, kuriems išliko pirminis atsakas</w:t>
            </w:r>
          </w:p>
        </w:tc>
        <w:tc>
          <w:tcPr>
            <w:tcW w:w="2428" w:type="dxa"/>
          </w:tcPr>
          <w:p w14:paraId="3EF9FB4C" w14:textId="76710A3C" w:rsidR="00D3679D" w:rsidRPr="003F564F" w:rsidRDefault="004300CB" w:rsidP="004300CB">
            <w:pPr>
              <w:jc w:val="center"/>
              <w:rPr>
                <w:sz w:val="22"/>
                <w:szCs w:val="22"/>
                <w:lang w:eastAsia="lt-LT"/>
              </w:rPr>
            </w:pPr>
            <w:r w:rsidRPr="003F564F">
              <w:rPr>
                <w:sz w:val="22"/>
                <w:szCs w:val="22"/>
                <w:lang w:eastAsia="lt-LT"/>
              </w:rPr>
              <w:t>n/t</w:t>
            </w:r>
          </w:p>
        </w:tc>
        <w:tc>
          <w:tcPr>
            <w:tcW w:w="2429" w:type="dxa"/>
          </w:tcPr>
          <w:p w14:paraId="172A658F" w14:textId="41F7C976" w:rsidR="00D3679D" w:rsidRPr="003F564F" w:rsidRDefault="004300CB" w:rsidP="004300CB">
            <w:pPr>
              <w:jc w:val="center"/>
              <w:rPr>
                <w:sz w:val="22"/>
                <w:szCs w:val="22"/>
                <w:lang w:eastAsia="lt-LT"/>
              </w:rPr>
            </w:pPr>
            <w:r w:rsidRPr="003F564F">
              <w:rPr>
                <w:sz w:val="22"/>
                <w:szCs w:val="22"/>
                <w:lang w:eastAsia="lt-LT"/>
              </w:rPr>
              <w:t>22/25</w:t>
            </w:r>
          </w:p>
        </w:tc>
        <w:tc>
          <w:tcPr>
            <w:tcW w:w="2429" w:type="dxa"/>
          </w:tcPr>
          <w:p w14:paraId="5086D559" w14:textId="4F73C494" w:rsidR="00D3679D" w:rsidRPr="003F564F" w:rsidRDefault="004300CB" w:rsidP="004300CB">
            <w:pPr>
              <w:jc w:val="center"/>
              <w:rPr>
                <w:sz w:val="22"/>
                <w:szCs w:val="22"/>
                <w:lang w:eastAsia="lt-LT"/>
              </w:rPr>
            </w:pPr>
            <w:r w:rsidRPr="003F564F">
              <w:rPr>
                <w:sz w:val="22"/>
                <w:szCs w:val="22"/>
                <w:lang w:eastAsia="lt-LT"/>
              </w:rPr>
              <w:t>19/25</w:t>
            </w:r>
          </w:p>
        </w:tc>
      </w:tr>
      <w:tr w:rsidR="00D3679D" w:rsidRPr="003F564F" w14:paraId="02C06AEB" w14:textId="77777777" w:rsidTr="004300CB">
        <w:tc>
          <w:tcPr>
            <w:tcW w:w="2428" w:type="dxa"/>
          </w:tcPr>
          <w:p w14:paraId="06175F32" w14:textId="0BFB95E0" w:rsidR="00D3679D" w:rsidRPr="003F564F" w:rsidRDefault="004300CB" w:rsidP="004300CB">
            <w:pPr>
              <w:rPr>
                <w:sz w:val="22"/>
                <w:szCs w:val="22"/>
                <w:lang w:eastAsia="lt-LT"/>
              </w:rPr>
            </w:pPr>
            <w:r w:rsidRPr="003F564F">
              <w:rPr>
                <w:sz w:val="22"/>
                <w:szCs w:val="22"/>
                <w:lang w:eastAsia="lt-LT"/>
              </w:rPr>
              <w:t>Tikimybė išlikti pirminiam atsakui</w:t>
            </w:r>
          </w:p>
        </w:tc>
        <w:tc>
          <w:tcPr>
            <w:tcW w:w="2428" w:type="dxa"/>
          </w:tcPr>
          <w:p w14:paraId="49ABB7A3" w14:textId="5F1EB724" w:rsidR="00D3679D" w:rsidRPr="003F564F" w:rsidRDefault="004300CB" w:rsidP="004300CB">
            <w:pPr>
              <w:jc w:val="center"/>
              <w:rPr>
                <w:sz w:val="22"/>
                <w:szCs w:val="22"/>
                <w:lang w:eastAsia="lt-LT"/>
              </w:rPr>
            </w:pPr>
            <w:r w:rsidRPr="003F564F">
              <w:rPr>
                <w:sz w:val="22"/>
                <w:szCs w:val="22"/>
                <w:lang w:eastAsia="lt-LT"/>
              </w:rPr>
              <w:t>n/t</w:t>
            </w:r>
          </w:p>
        </w:tc>
        <w:tc>
          <w:tcPr>
            <w:tcW w:w="2429" w:type="dxa"/>
          </w:tcPr>
          <w:p w14:paraId="5BB0C413" w14:textId="788B6EB3" w:rsidR="00D3679D" w:rsidRPr="003F564F" w:rsidRDefault="004300CB" w:rsidP="004300CB">
            <w:pPr>
              <w:jc w:val="center"/>
              <w:rPr>
                <w:sz w:val="22"/>
                <w:szCs w:val="22"/>
                <w:lang w:eastAsia="lt-LT"/>
              </w:rPr>
            </w:pPr>
            <w:r w:rsidRPr="003F564F">
              <w:rPr>
                <w:sz w:val="22"/>
                <w:szCs w:val="22"/>
                <w:lang w:eastAsia="lt-LT"/>
              </w:rPr>
              <w:t>92 %</w:t>
            </w:r>
          </w:p>
        </w:tc>
        <w:tc>
          <w:tcPr>
            <w:tcW w:w="2429" w:type="dxa"/>
          </w:tcPr>
          <w:p w14:paraId="275F0145" w14:textId="07164AA3" w:rsidR="00D3679D" w:rsidRPr="003F564F" w:rsidRDefault="004300CB" w:rsidP="004300CB">
            <w:pPr>
              <w:jc w:val="center"/>
              <w:rPr>
                <w:sz w:val="22"/>
                <w:szCs w:val="22"/>
                <w:lang w:eastAsia="lt-LT"/>
              </w:rPr>
            </w:pPr>
            <w:r w:rsidRPr="003F564F">
              <w:rPr>
                <w:sz w:val="22"/>
                <w:szCs w:val="22"/>
                <w:lang w:eastAsia="lt-LT"/>
              </w:rPr>
              <w:t>74 %</w:t>
            </w:r>
          </w:p>
        </w:tc>
      </w:tr>
      <w:tr w:rsidR="004300CB" w:rsidRPr="003F564F" w14:paraId="596AA3E9" w14:textId="77777777" w:rsidTr="00966644">
        <w:tc>
          <w:tcPr>
            <w:tcW w:w="9714" w:type="dxa"/>
            <w:gridSpan w:val="4"/>
          </w:tcPr>
          <w:p w14:paraId="49F1D8B6" w14:textId="5133CC73" w:rsidR="004300CB" w:rsidRPr="003F564F" w:rsidRDefault="004300CB" w:rsidP="004300CB">
            <w:pPr>
              <w:jc w:val="both"/>
              <w:rPr>
                <w:sz w:val="22"/>
                <w:szCs w:val="22"/>
                <w:lang w:eastAsia="lt-LT"/>
              </w:rPr>
            </w:pPr>
            <w:r w:rsidRPr="003F564F">
              <w:rPr>
                <w:sz w:val="22"/>
                <w:szCs w:val="22"/>
                <w:lang w:eastAsia="lt-LT"/>
              </w:rPr>
              <w:t xml:space="preserve">* Pagal pirminio atsako sudėtinių vertinamųjų baigčių kriterijus: pacientams nereikėjo atlikti </w:t>
            </w:r>
            <w:proofErr w:type="spellStart"/>
            <w:r w:rsidRPr="003F564F">
              <w:rPr>
                <w:sz w:val="22"/>
                <w:szCs w:val="22"/>
                <w:lang w:eastAsia="lt-LT"/>
              </w:rPr>
              <w:t>flebotomijos</w:t>
            </w:r>
            <w:proofErr w:type="spellEnd"/>
            <w:r w:rsidRPr="003F564F">
              <w:rPr>
                <w:sz w:val="22"/>
                <w:szCs w:val="22"/>
                <w:lang w:eastAsia="lt-LT"/>
              </w:rPr>
              <w:t xml:space="preserve"> (dėl </w:t>
            </w:r>
            <w:proofErr w:type="spellStart"/>
            <w:r w:rsidRPr="003F564F">
              <w:rPr>
                <w:sz w:val="22"/>
                <w:szCs w:val="22"/>
                <w:lang w:eastAsia="lt-LT"/>
              </w:rPr>
              <w:t>hematokrito</w:t>
            </w:r>
            <w:proofErr w:type="spellEnd"/>
            <w:r w:rsidRPr="003F564F">
              <w:rPr>
                <w:sz w:val="22"/>
                <w:szCs w:val="22"/>
                <w:lang w:eastAsia="lt-LT"/>
              </w:rPr>
              <w:t xml:space="preserve"> koregavimo) bei pasiektas ≥ 35 % blužnies tūrio sumažėjimas nuo pradinių reikšmių.</w:t>
            </w:r>
          </w:p>
          <w:p w14:paraId="35AA1815" w14:textId="5E139DE0" w:rsidR="004300CB" w:rsidRPr="003F564F" w:rsidRDefault="004300CB" w:rsidP="004300CB">
            <w:pPr>
              <w:jc w:val="both"/>
              <w:rPr>
                <w:sz w:val="22"/>
                <w:szCs w:val="22"/>
                <w:lang w:eastAsia="lt-LT"/>
              </w:rPr>
            </w:pPr>
            <w:r w:rsidRPr="003F564F">
              <w:rPr>
                <w:sz w:val="22"/>
                <w:szCs w:val="22"/>
                <w:lang w:eastAsia="lt-LT"/>
              </w:rPr>
              <w:t>n/t – netaikoma.</w:t>
            </w:r>
          </w:p>
        </w:tc>
      </w:tr>
    </w:tbl>
    <w:p w14:paraId="3C59D665" w14:textId="77777777" w:rsidR="00D3679D" w:rsidRPr="003F564F" w:rsidRDefault="00D3679D" w:rsidP="0036574D">
      <w:pPr>
        <w:rPr>
          <w:sz w:val="22"/>
          <w:szCs w:val="22"/>
          <w:lang w:eastAsia="lt-LT"/>
        </w:rPr>
      </w:pPr>
    </w:p>
    <w:p w14:paraId="45F1F841" w14:textId="4E62954A" w:rsidR="00D3679D" w:rsidRPr="003F564F" w:rsidRDefault="00D3679D" w:rsidP="0036574D">
      <w:pPr>
        <w:rPr>
          <w:sz w:val="22"/>
          <w:szCs w:val="22"/>
          <w:lang w:eastAsia="lt-LT"/>
        </w:rPr>
      </w:pPr>
      <w:r w:rsidRPr="003F564F">
        <w:rPr>
          <w:sz w:val="22"/>
          <w:szCs w:val="22"/>
          <w:lang w:eastAsia="lt-LT"/>
        </w:rPr>
        <w:t xml:space="preserve">Antrojo atsitiktinės atrankos, atviro, aktyviai kontroliuojamo </w:t>
      </w:r>
      <w:proofErr w:type="spellStart"/>
      <w:r w:rsidRPr="003F564F">
        <w:rPr>
          <w:sz w:val="22"/>
          <w:szCs w:val="22"/>
          <w:lang w:eastAsia="lt-LT"/>
        </w:rPr>
        <w:t>IIIb</w:t>
      </w:r>
      <w:proofErr w:type="spellEnd"/>
      <w:r w:rsidR="004300CB" w:rsidRPr="003F564F">
        <w:rPr>
          <w:sz w:val="22"/>
          <w:szCs w:val="22"/>
          <w:lang w:eastAsia="lt-LT"/>
        </w:rPr>
        <w:t> </w:t>
      </w:r>
      <w:r w:rsidRPr="003F564F">
        <w:rPr>
          <w:sz w:val="22"/>
          <w:szCs w:val="22"/>
          <w:lang w:eastAsia="lt-LT"/>
        </w:rPr>
        <w:t xml:space="preserve">fazės klinikinio tyrimo (RESPONSE 2) metu dalyvavo 149 TP sergantys pacientai, kurie buvo atsparūs arba netoleravo </w:t>
      </w:r>
      <w:proofErr w:type="spellStart"/>
      <w:r w:rsidR="00687D42" w:rsidRPr="003F564F">
        <w:rPr>
          <w:sz w:val="22"/>
          <w:szCs w:val="22"/>
          <w:lang w:eastAsia="lt-LT"/>
        </w:rPr>
        <w:t>hidroksi</w:t>
      </w:r>
      <w:r w:rsidR="00687D42">
        <w:rPr>
          <w:sz w:val="22"/>
          <w:szCs w:val="22"/>
          <w:lang w:eastAsia="lt-LT"/>
        </w:rPr>
        <w:t>karbamid</w:t>
      </w:r>
      <w:r w:rsidR="00B8232E">
        <w:rPr>
          <w:sz w:val="22"/>
          <w:szCs w:val="22"/>
          <w:lang w:eastAsia="lt-LT"/>
        </w:rPr>
        <w:t>o</w:t>
      </w:r>
      <w:proofErr w:type="spellEnd"/>
      <w:r w:rsidRPr="003F564F">
        <w:rPr>
          <w:sz w:val="22"/>
          <w:szCs w:val="22"/>
          <w:lang w:eastAsia="lt-LT"/>
        </w:rPr>
        <w:t xml:space="preserve">, tačiau kuriems </w:t>
      </w:r>
      <w:proofErr w:type="spellStart"/>
      <w:r w:rsidRPr="003F564F">
        <w:rPr>
          <w:sz w:val="22"/>
          <w:szCs w:val="22"/>
          <w:lang w:eastAsia="lt-LT"/>
        </w:rPr>
        <w:t>palpuojant</w:t>
      </w:r>
      <w:proofErr w:type="spellEnd"/>
      <w:r w:rsidRPr="003F564F">
        <w:rPr>
          <w:sz w:val="22"/>
          <w:szCs w:val="22"/>
          <w:lang w:eastAsia="lt-LT"/>
        </w:rPr>
        <w:t xml:space="preserve"> nebuvo nustatyta </w:t>
      </w:r>
      <w:proofErr w:type="spellStart"/>
      <w:r w:rsidRPr="003F564F">
        <w:rPr>
          <w:sz w:val="22"/>
          <w:szCs w:val="22"/>
          <w:lang w:eastAsia="lt-LT"/>
        </w:rPr>
        <w:t>splenomegalija</w:t>
      </w:r>
      <w:proofErr w:type="spellEnd"/>
      <w:r w:rsidRPr="003F564F">
        <w:rPr>
          <w:sz w:val="22"/>
          <w:szCs w:val="22"/>
          <w:lang w:eastAsia="lt-LT"/>
        </w:rPr>
        <w:t xml:space="preserve">. Pirminė vertinamoji baigtis apibrėžta kaip pacientų dalis, kuriems nereikėjo atlikti </w:t>
      </w:r>
      <w:proofErr w:type="spellStart"/>
      <w:r w:rsidRPr="003F564F">
        <w:rPr>
          <w:sz w:val="22"/>
          <w:szCs w:val="22"/>
          <w:lang w:eastAsia="lt-LT"/>
        </w:rPr>
        <w:t>flebotomijos</w:t>
      </w:r>
      <w:proofErr w:type="spellEnd"/>
      <w:r w:rsidRPr="003F564F">
        <w:rPr>
          <w:sz w:val="22"/>
          <w:szCs w:val="22"/>
          <w:lang w:eastAsia="lt-LT"/>
        </w:rPr>
        <w:t xml:space="preserve"> (dėl </w:t>
      </w:r>
      <w:proofErr w:type="spellStart"/>
      <w:r w:rsidRPr="003F564F">
        <w:rPr>
          <w:sz w:val="22"/>
          <w:szCs w:val="22"/>
          <w:lang w:eastAsia="lt-LT"/>
        </w:rPr>
        <w:t>hematokrito</w:t>
      </w:r>
      <w:proofErr w:type="spellEnd"/>
      <w:r w:rsidRPr="003F564F">
        <w:rPr>
          <w:sz w:val="22"/>
          <w:szCs w:val="22"/>
          <w:lang w:eastAsia="lt-LT"/>
        </w:rPr>
        <w:t xml:space="preserve"> koregavimo) po 28</w:t>
      </w:r>
      <w:r w:rsidR="004300CB" w:rsidRPr="003F564F">
        <w:rPr>
          <w:sz w:val="22"/>
          <w:szCs w:val="22"/>
          <w:lang w:eastAsia="lt-LT"/>
        </w:rPr>
        <w:t> </w:t>
      </w:r>
      <w:r w:rsidRPr="003F564F">
        <w:rPr>
          <w:sz w:val="22"/>
          <w:szCs w:val="22"/>
          <w:lang w:eastAsia="lt-LT"/>
        </w:rPr>
        <w:t>savaičių (62,2</w:t>
      </w:r>
      <w:r w:rsidR="004300CB" w:rsidRPr="003F564F">
        <w:rPr>
          <w:sz w:val="22"/>
          <w:szCs w:val="22"/>
          <w:lang w:eastAsia="lt-LT"/>
        </w:rPr>
        <w:t> </w:t>
      </w:r>
      <w:r w:rsidRPr="003F564F">
        <w:rPr>
          <w:sz w:val="22"/>
          <w:szCs w:val="22"/>
          <w:lang w:eastAsia="lt-LT"/>
        </w:rPr>
        <w:t xml:space="preserve">% </w:t>
      </w:r>
      <w:proofErr w:type="spellStart"/>
      <w:r w:rsidR="004300CB" w:rsidRPr="003F564F">
        <w:rPr>
          <w:sz w:val="22"/>
          <w:szCs w:val="22"/>
          <w:lang w:eastAsia="lt-LT"/>
        </w:rPr>
        <w:t>ruksolitinibo</w:t>
      </w:r>
      <w:proofErr w:type="spellEnd"/>
      <w:r w:rsidR="004300CB" w:rsidRPr="003F564F">
        <w:rPr>
          <w:sz w:val="22"/>
          <w:szCs w:val="22"/>
          <w:lang w:eastAsia="lt-LT"/>
        </w:rPr>
        <w:t xml:space="preserve"> </w:t>
      </w:r>
      <w:r w:rsidRPr="003F564F">
        <w:rPr>
          <w:sz w:val="22"/>
          <w:szCs w:val="22"/>
          <w:lang w:eastAsia="lt-LT"/>
        </w:rPr>
        <w:t>vartojusiųjų grupėje, lyginant su 18,7</w:t>
      </w:r>
      <w:r w:rsidR="004300CB" w:rsidRPr="003F564F">
        <w:rPr>
          <w:sz w:val="22"/>
          <w:szCs w:val="22"/>
          <w:lang w:eastAsia="lt-LT"/>
        </w:rPr>
        <w:t> </w:t>
      </w:r>
      <w:r w:rsidRPr="003F564F">
        <w:rPr>
          <w:sz w:val="22"/>
          <w:szCs w:val="22"/>
          <w:lang w:eastAsia="lt-LT"/>
        </w:rPr>
        <w:t>% GPG grupėje). Antrinė vertinamoji baigtis apibrėžta kaip pacientų dalis, kuriems pasiekta visiška hematologinė remisija po 28</w:t>
      </w:r>
      <w:r w:rsidR="004300CB" w:rsidRPr="003F564F">
        <w:rPr>
          <w:sz w:val="22"/>
          <w:szCs w:val="22"/>
          <w:lang w:eastAsia="lt-LT"/>
        </w:rPr>
        <w:t> </w:t>
      </w:r>
      <w:r w:rsidRPr="003F564F">
        <w:rPr>
          <w:sz w:val="22"/>
          <w:szCs w:val="22"/>
          <w:lang w:eastAsia="lt-LT"/>
        </w:rPr>
        <w:t>savaičių (23,0</w:t>
      </w:r>
      <w:r w:rsidR="004300CB" w:rsidRPr="003F564F">
        <w:rPr>
          <w:sz w:val="22"/>
          <w:szCs w:val="22"/>
          <w:lang w:eastAsia="lt-LT"/>
        </w:rPr>
        <w:t> </w:t>
      </w:r>
      <w:r w:rsidRPr="003F564F">
        <w:rPr>
          <w:sz w:val="22"/>
          <w:szCs w:val="22"/>
          <w:lang w:eastAsia="lt-LT"/>
        </w:rPr>
        <w:t xml:space="preserve">% </w:t>
      </w:r>
      <w:proofErr w:type="spellStart"/>
      <w:r w:rsidR="004300CB" w:rsidRPr="003F564F">
        <w:rPr>
          <w:sz w:val="22"/>
          <w:szCs w:val="22"/>
          <w:lang w:eastAsia="lt-LT"/>
        </w:rPr>
        <w:t>ruksolitinibo</w:t>
      </w:r>
      <w:proofErr w:type="spellEnd"/>
      <w:r w:rsidR="004300CB" w:rsidRPr="003F564F">
        <w:rPr>
          <w:sz w:val="22"/>
          <w:szCs w:val="22"/>
          <w:lang w:eastAsia="lt-LT"/>
        </w:rPr>
        <w:t xml:space="preserve"> </w:t>
      </w:r>
      <w:r w:rsidRPr="003F564F">
        <w:rPr>
          <w:sz w:val="22"/>
          <w:szCs w:val="22"/>
          <w:lang w:eastAsia="lt-LT"/>
        </w:rPr>
        <w:t>vartojusiųjų grupėje, lyginant su 5,3</w:t>
      </w:r>
      <w:r w:rsidR="004300CB" w:rsidRPr="003F564F">
        <w:rPr>
          <w:sz w:val="22"/>
          <w:szCs w:val="22"/>
          <w:lang w:eastAsia="lt-LT"/>
        </w:rPr>
        <w:t> </w:t>
      </w:r>
      <w:r w:rsidRPr="003F564F">
        <w:rPr>
          <w:sz w:val="22"/>
          <w:szCs w:val="22"/>
          <w:lang w:eastAsia="lt-LT"/>
        </w:rPr>
        <w:t>% pacientų GPG grupėje).</w:t>
      </w:r>
    </w:p>
    <w:p w14:paraId="182F5663" w14:textId="77777777" w:rsidR="00D3679D" w:rsidRPr="003F564F" w:rsidRDefault="00D3679D" w:rsidP="0036574D">
      <w:pPr>
        <w:rPr>
          <w:sz w:val="22"/>
          <w:szCs w:val="22"/>
          <w:lang w:eastAsia="lt-LT"/>
        </w:rPr>
      </w:pPr>
    </w:p>
    <w:p w14:paraId="6ECDBF1C" w14:textId="4B79BC08" w:rsidR="00D3679D" w:rsidRPr="003F564F" w:rsidRDefault="00D3679D" w:rsidP="0036574D">
      <w:pPr>
        <w:rPr>
          <w:i/>
          <w:iCs/>
          <w:sz w:val="22"/>
          <w:szCs w:val="22"/>
          <w:u w:val="single"/>
          <w:lang w:eastAsia="lt-LT"/>
        </w:rPr>
      </w:pPr>
      <w:proofErr w:type="spellStart"/>
      <w:r w:rsidRPr="003F564F">
        <w:rPr>
          <w:i/>
          <w:iCs/>
          <w:sz w:val="22"/>
          <w:szCs w:val="22"/>
          <w:u w:val="single"/>
          <w:lang w:eastAsia="lt-LT"/>
        </w:rPr>
        <w:t>Transplantato</w:t>
      </w:r>
      <w:proofErr w:type="spellEnd"/>
      <w:r w:rsidRPr="003F564F">
        <w:rPr>
          <w:i/>
          <w:iCs/>
          <w:sz w:val="22"/>
          <w:szCs w:val="22"/>
          <w:u w:val="single"/>
          <w:lang w:eastAsia="lt-LT"/>
        </w:rPr>
        <w:t xml:space="preserve"> prieš šeimininką liga</w:t>
      </w:r>
    </w:p>
    <w:p w14:paraId="36500219" w14:textId="2B43D394" w:rsidR="00D3679D" w:rsidRPr="003F564F" w:rsidRDefault="00D3679D" w:rsidP="0036574D">
      <w:pPr>
        <w:rPr>
          <w:sz w:val="22"/>
          <w:szCs w:val="22"/>
          <w:lang w:eastAsia="lt-LT"/>
        </w:rPr>
      </w:pPr>
      <w:r w:rsidRPr="003F564F">
        <w:rPr>
          <w:sz w:val="22"/>
          <w:szCs w:val="22"/>
          <w:lang w:eastAsia="lt-LT"/>
        </w:rPr>
        <w:t>Atlikti du atsitiktinių imčių, III</w:t>
      </w:r>
      <w:r w:rsidR="004300CB" w:rsidRPr="003F564F">
        <w:rPr>
          <w:sz w:val="22"/>
          <w:szCs w:val="22"/>
          <w:lang w:eastAsia="lt-LT"/>
        </w:rPr>
        <w:t> </w:t>
      </w:r>
      <w:r w:rsidRPr="003F564F">
        <w:rPr>
          <w:sz w:val="22"/>
          <w:szCs w:val="22"/>
          <w:lang w:eastAsia="lt-LT"/>
        </w:rPr>
        <w:t xml:space="preserve">fazės, atvirieji, </w:t>
      </w:r>
      <w:proofErr w:type="spellStart"/>
      <w:r w:rsidRPr="003F564F">
        <w:rPr>
          <w:sz w:val="22"/>
          <w:szCs w:val="22"/>
          <w:lang w:eastAsia="lt-LT"/>
        </w:rPr>
        <w:t>daugiacentriai</w:t>
      </w:r>
      <w:proofErr w:type="spellEnd"/>
      <w:r w:rsidRPr="003F564F">
        <w:rPr>
          <w:sz w:val="22"/>
          <w:szCs w:val="22"/>
          <w:lang w:eastAsia="lt-LT"/>
        </w:rPr>
        <w:t xml:space="preserve"> klinikiniai tyrimai, siekiant įvertinti </w:t>
      </w:r>
      <w:proofErr w:type="spellStart"/>
      <w:r w:rsidR="004300CB" w:rsidRPr="003F564F">
        <w:rPr>
          <w:sz w:val="22"/>
          <w:szCs w:val="22"/>
          <w:lang w:eastAsia="lt-LT"/>
        </w:rPr>
        <w:t>ruksolitinibo</w:t>
      </w:r>
      <w:proofErr w:type="spellEnd"/>
      <w:r w:rsidR="004300CB" w:rsidRPr="003F564F">
        <w:rPr>
          <w:sz w:val="22"/>
          <w:szCs w:val="22"/>
          <w:lang w:eastAsia="lt-LT"/>
        </w:rPr>
        <w:t xml:space="preserve"> </w:t>
      </w:r>
      <w:r w:rsidRPr="003F564F">
        <w:rPr>
          <w:sz w:val="22"/>
          <w:szCs w:val="22"/>
          <w:lang w:eastAsia="lt-LT"/>
        </w:rPr>
        <w:t>poveikį 12</w:t>
      </w:r>
      <w:r w:rsidR="004300CB" w:rsidRPr="003F564F">
        <w:rPr>
          <w:sz w:val="22"/>
          <w:szCs w:val="22"/>
          <w:lang w:eastAsia="lt-LT"/>
        </w:rPr>
        <w:t> </w:t>
      </w:r>
      <w:r w:rsidRPr="003F564F">
        <w:rPr>
          <w:sz w:val="22"/>
          <w:szCs w:val="22"/>
          <w:lang w:eastAsia="lt-LT"/>
        </w:rPr>
        <w:t xml:space="preserve">metų ir vyresniems pacientams, sergantiems ūmine </w:t>
      </w:r>
      <w:proofErr w:type="spellStart"/>
      <w:r w:rsidRPr="003F564F">
        <w:rPr>
          <w:sz w:val="22"/>
          <w:szCs w:val="22"/>
          <w:lang w:eastAsia="lt-LT"/>
        </w:rPr>
        <w:t>TpŠL</w:t>
      </w:r>
      <w:proofErr w:type="spellEnd"/>
      <w:r w:rsidRPr="003F564F">
        <w:rPr>
          <w:sz w:val="22"/>
          <w:szCs w:val="22"/>
          <w:lang w:eastAsia="lt-LT"/>
        </w:rPr>
        <w:t xml:space="preserve"> (REACH2 tyrimas) arba lėtine </w:t>
      </w:r>
      <w:proofErr w:type="spellStart"/>
      <w:r w:rsidRPr="003F564F">
        <w:rPr>
          <w:sz w:val="22"/>
          <w:szCs w:val="22"/>
          <w:lang w:eastAsia="lt-LT"/>
        </w:rPr>
        <w:t>TpŠL</w:t>
      </w:r>
      <w:proofErr w:type="spellEnd"/>
      <w:r w:rsidRPr="003F564F">
        <w:rPr>
          <w:sz w:val="22"/>
          <w:szCs w:val="22"/>
          <w:lang w:eastAsia="lt-LT"/>
        </w:rPr>
        <w:t xml:space="preserve"> (REACH3 tyrimas), po to, kai jiems buvo atlikta alogeninė </w:t>
      </w:r>
      <w:proofErr w:type="spellStart"/>
      <w:r w:rsidRPr="003F564F">
        <w:rPr>
          <w:sz w:val="22"/>
          <w:szCs w:val="22"/>
          <w:lang w:eastAsia="lt-LT"/>
        </w:rPr>
        <w:t>kraujodaros</w:t>
      </w:r>
      <w:proofErr w:type="spellEnd"/>
      <w:r w:rsidRPr="003F564F">
        <w:rPr>
          <w:sz w:val="22"/>
          <w:szCs w:val="22"/>
          <w:lang w:eastAsia="lt-LT"/>
        </w:rPr>
        <w:t xml:space="preserve"> kamieninių ląstelių transplantacija (</w:t>
      </w:r>
      <w:proofErr w:type="spellStart"/>
      <w:r w:rsidRPr="003F564F">
        <w:rPr>
          <w:sz w:val="22"/>
          <w:szCs w:val="22"/>
          <w:lang w:eastAsia="lt-LT"/>
        </w:rPr>
        <w:t>aloKLT</w:t>
      </w:r>
      <w:proofErr w:type="spellEnd"/>
      <w:r w:rsidRPr="003F564F">
        <w:rPr>
          <w:sz w:val="22"/>
          <w:szCs w:val="22"/>
          <w:lang w:eastAsia="lt-LT"/>
        </w:rPr>
        <w:t xml:space="preserve">) ir kai jiems nustatytas nepakankamas atsakas gydant kortikosteroidais ir (arba) kitu sisteminio poveikio gydymu. Pradinė </w:t>
      </w:r>
      <w:proofErr w:type="spellStart"/>
      <w:r w:rsidR="004300CB" w:rsidRPr="003F564F">
        <w:rPr>
          <w:sz w:val="22"/>
          <w:szCs w:val="22"/>
          <w:lang w:eastAsia="lt-LT"/>
        </w:rPr>
        <w:t>ruksolitinibo</w:t>
      </w:r>
      <w:proofErr w:type="spellEnd"/>
      <w:r w:rsidR="004300CB" w:rsidRPr="003F564F">
        <w:rPr>
          <w:sz w:val="22"/>
          <w:szCs w:val="22"/>
          <w:lang w:eastAsia="lt-LT"/>
        </w:rPr>
        <w:t xml:space="preserve"> </w:t>
      </w:r>
      <w:r w:rsidRPr="003F564F">
        <w:rPr>
          <w:sz w:val="22"/>
          <w:szCs w:val="22"/>
          <w:lang w:eastAsia="lt-LT"/>
        </w:rPr>
        <w:t>dozė buvo po 10</w:t>
      </w:r>
      <w:r w:rsidR="004300CB" w:rsidRPr="003F564F">
        <w:rPr>
          <w:sz w:val="22"/>
          <w:szCs w:val="22"/>
          <w:lang w:eastAsia="lt-LT"/>
        </w:rPr>
        <w:t> </w:t>
      </w:r>
      <w:r w:rsidRPr="003F564F">
        <w:rPr>
          <w:sz w:val="22"/>
          <w:szCs w:val="22"/>
          <w:lang w:eastAsia="lt-LT"/>
        </w:rPr>
        <w:t>mg du kartus per parą.</w:t>
      </w:r>
    </w:p>
    <w:p w14:paraId="275BC659" w14:textId="77777777" w:rsidR="00D3679D" w:rsidRPr="003F564F" w:rsidRDefault="00D3679D" w:rsidP="0036574D">
      <w:pPr>
        <w:rPr>
          <w:sz w:val="22"/>
          <w:szCs w:val="22"/>
          <w:lang w:eastAsia="lt-LT"/>
        </w:rPr>
      </w:pPr>
    </w:p>
    <w:p w14:paraId="366D37A6" w14:textId="6B11DD18" w:rsidR="00D3679D" w:rsidRPr="003F564F" w:rsidRDefault="00D3679D" w:rsidP="0036574D">
      <w:pPr>
        <w:rPr>
          <w:i/>
          <w:iCs/>
          <w:sz w:val="22"/>
          <w:szCs w:val="22"/>
          <w:lang w:eastAsia="lt-LT"/>
        </w:rPr>
      </w:pPr>
      <w:r w:rsidRPr="003F564F">
        <w:rPr>
          <w:i/>
          <w:iCs/>
          <w:sz w:val="22"/>
          <w:szCs w:val="22"/>
          <w:lang w:eastAsia="lt-LT"/>
        </w:rPr>
        <w:t xml:space="preserve">Ūminė </w:t>
      </w:r>
      <w:proofErr w:type="spellStart"/>
      <w:r w:rsidRPr="003F564F">
        <w:rPr>
          <w:i/>
          <w:iCs/>
          <w:sz w:val="22"/>
          <w:szCs w:val="22"/>
          <w:lang w:eastAsia="lt-LT"/>
        </w:rPr>
        <w:t>transplantato</w:t>
      </w:r>
      <w:proofErr w:type="spellEnd"/>
      <w:r w:rsidRPr="003F564F">
        <w:rPr>
          <w:i/>
          <w:iCs/>
          <w:sz w:val="22"/>
          <w:szCs w:val="22"/>
          <w:lang w:eastAsia="lt-LT"/>
        </w:rPr>
        <w:t xml:space="preserve"> prieš šeimininką liga</w:t>
      </w:r>
    </w:p>
    <w:p w14:paraId="72FAA911" w14:textId="3706170B" w:rsidR="00D3679D" w:rsidRPr="003F564F" w:rsidRDefault="00D3679D" w:rsidP="0036574D">
      <w:pPr>
        <w:rPr>
          <w:sz w:val="22"/>
          <w:szCs w:val="22"/>
          <w:lang w:eastAsia="lt-LT"/>
        </w:rPr>
      </w:pPr>
      <w:r w:rsidRPr="003F564F">
        <w:rPr>
          <w:sz w:val="22"/>
          <w:szCs w:val="22"/>
          <w:lang w:eastAsia="lt-LT"/>
        </w:rPr>
        <w:t>REACH2 tyrimo metu 309</w:t>
      </w:r>
      <w:r w:rsidR="004300CB" w:rsidRPr="003F564F">
        <w:rPr>
          <w:sz w:val="22"/>
          <w:szCs w:val="22"/>
          <w:lang w:eastAsia="lt-LT"/>
        </w:rPr>
        <w:t> </w:t>
      </w:r>
      <w:r w:rsidRPr="003F564F">
        <w:rPr>
          <w:sz w:val="22"/>
          <w:szCs w:val="22"/>
          <w:lang w:eastAsia="lt-LT"/>
        </w:rPr>
        <w:t>pacientai, kuriems buvo nustatyta II, III arba IV</w:t>
      </w:r>
      <w:r w:rsidR="004300CB" w:rsidRPr="003F564F">
        <w:rPr>
          <w:sz w:val="22"/>
          <w:szCs w:val="22"/>
          <w:lang w:eastAsia="lt-LT"/>
        </w:rPr>
        <w:t> </w:t>
      </w:r>
      <w:r w:rsidRPr="003F564F">
        <w:rPr>
          <w:sz w:val="22"/>
          <w:szCs w:val="22"/>
          <w:lang w:eastAsia="lt-LT"/>
        </w:rPr>
        <w:t xml:space="preserve">laipsnių kortikosteroidams atspari ūminė </w:t>
      </w:r>
      <w:proofErr w:type="spellStart"/>
      <w:r w:rsidRPr="003F564F">
        <w:rPr>
          <w:sz w:val="22"/>
          <w:szCs w:val="22"/>
          <w:lang w:eastAsia="lt-LT"/>
        </w:rPr>
        <w:t>TpŠL</w:t>
      </w:r>
      <w:proofErr w:type="spellEnd"/>
      <w:r w:rsidRPr="003F564F">
        <w:rPr>
          <w:sz w:val="22"/>
          <w:szCs w:val="22"/>
          <w:lang w:eastAsia="lt-LT"/>
        </w:rPr>
        <w:t xml:space="preserve">, atsitiktine tvarka santykiu 1:1 buvo suskirstyti į grupes ir jiems buvo paskirta vartoti </w:t>
      </w:r>
      <w:proofErr w:type="spellStart"/>
      <w:r w:rsidR="004300CB" w:rsidRPr="003F564F">
        <w:rPr>
          <w:sz w:val="22"/>
          <w:szCs w:val="22"/>
          <w:lang w:eastAsia="lt-LT"/>
        </w:rPr>
        <w:t>ruksolitinibo</w:t>
      </w:r>
      <w:proofErr w:type="spellEnd"/>
      <w:r w:rsidR="004300CB" w:rsidRPr="003F564F">
        <w:rPr>
          <w:sz w:val="22"/>
          <w:szCs w:val="22"/>
          <w:lang w:eastAsia="lt-LT"/>
        </w:rPr>
        <w:t xml:space="preserve"> </w:t>
      </w:r>
      <w:r w:rsidRPr="003F564F">
        <w:rPr>
          <w:sz w:val="22"/>
          <w:szCs w:val="22"/>
          <w:lang w:eastAsia="lt-LT"/>
        </w:rPr>
        <w:t xml:space="preserve">arba GPG. Pacientai buvo </w:t>
      </w:r>
      <w:proofErr w:type="spellStart"/>
      <w:r w:rsidRPr="003F564F">
        <w:rPr>
          <w:sz w:val="22"/>
          <w:szCs w:val="22"/>
          <w:lang w:eastAsia="lt-LT"/>
        </w:rPr>
        <w:t>stratifikuojami</w:t>
      </w:r>
      <w:proofErr w:type="spellEnd"/>
      <w:r w:rsidRPr="003F564F">
        <w:rPr>
          <w:sz w:val="22"/>
          <w:szCs w:val="22"/>
          <w:lang w:eastAsia="lt-LT"/>
        </w:rPr>
        <w:t xml:space="preserve"> pagal </w:t>
      </w:r>
      <w:r w:rsidR="00D65CCF">
        <w:rPr>
          <w:sz w:val="22"/>
          <w:szCs w:val="22"/>
          <w:lang w:eastAsia="lt-LT"/>
        </w:rPr>
        <w:t>atsitiktinių imčių</w:t>
      </w:r>
      <w:r w:rsidR="00D65CCF" w:rsidRPr="003F564F">
        <w:rPr>
          <w:sz w:val="22"/>
          <w:szCs w:val="22"/>
          <w:lang w:eastAsia="lt-LT"/>
        </w:rPr>
        <w:t xml:space="preserve"> </w:t>
      </w:r>
      <w:r w:rsidRPr="003F564F">
        <w:rPr>
          <w:sz w:val="22"/>
          <w:szCs w:val="22"/>
          <w:lang w:eastAsia="lt-LT"/>
        </w:rPr>
        <w:t xml:space="preserve">metu nustatytą ūminės </w:t>
      </w:r>
      <w:proofErr w:type="spellStart"/>
      <w:r w:rsidRPr="003F564F">
        <w:rPr>
          <w:sz w:val="22"/>
          <w:szCs w:val="22"/>
          <w:lang w:eastAsia="lt-LT"/>
        </w:rPr>
        <w:t>TpŠL</w:t>
      </w:r>
      <w:proofErr w:type="spellEnd"/>
      <w:r w:rsidRPr="003F564F">
        <w:rPr>
          <w:sz w:val="22"/>
          <w:szCs w:val="22"/>
          <w:lang w:eastAsia="lt-LT"/>
        </w:rPr>
        <w:t xml:space="preserve"> sunkumą. Atsparumas kortikosteroidams buvo nustatomas tuomet, kai pacientų liga progresavo po bent 3</w:t>
      </w:r>
      <w:r w:rsidR="004300CB" w:rsidRPr="003F564F">
        <w:rPr>
          <w:sz w:val="22"/>
          <w:szCs w:val="22"/>
          <w:lang w:eastAsia="lt-LT"/>
        </w:rPr>
        <w:t> </w:t>
      </w:r>
      <w:r w:rsidRPr="003F564F">
        <w:rPr>
          <w:sz w:val="22"/>
          <w:szCs w:val="22"/>
          <w:lang w:eastAsia="lt-LT"/>
        </w:rPr>
        <w:t>dienų gydymo, nebuvo pasiekiamas atsakas per 7</w:t>
      </w:r>
      <w:r w:rsidR="0016599D">
        <w:rPr>
          <w:sz w:val="22"/>
          <w:szCs w:val="22"/>
          <w:lang w:eastAsia="lt-LT"/>
        </w:rPr>
        <w:t> </w:t>
      </w:r>
      <w:r w:rsidRPr="003F564F">
        <w:rPr>
          <w:sz w:val="22"/>
          <w:szCs w:val="22"/>
          <w:lang w:eastAsia="lt-LT"/>
        </w:rPr>
        <w:t>dienas arba jiems nebuvo įmanoma mažinti kortikosteroidų dozės ir nutraukti jų vartojimo.</w:t>
      </w:r>
    </w:p>
    <w:p w14:paraId="38A2D347" w14:textId="77777777" w:rsidR="00D3679D" w:rsidRPr="003F564F" w:rsidRDefault="00D3679D" w:rsidP="0036574D">
      <w:pPr>
        <w:rPr>
          <w:sz w:val="22"/>
          <w:szCs w:val="22"/>
          <w:lang w:eastAsia="lt-LT"/>
        </w:rPr>
      </w:pPr>
    </w:p>
    <w:p w14:paraId="284DC366" w14:textId="18310FBB" w:rsidR="00D3679D" w:rsidRPr="003F564F" w:rsidRDefault="00D3679D" w:rsidP="0036574D">
      <w:pPr>
        <w:rPr>
          <w:sz w:val="22"/>
          <w:szCs w:val="22"/>
          <w:lang w:eastAsia="lt-LT"/>
        </w:rPr>
      </w:pPr>
      <w:r w:rsidRPr="003F564F">
        <w:rPr>
          <w:sz w:val="22"/>
          <w:szCs w:val="22"/>
          <w:lang w:eastAsia="lt-LT"/>
        </w:rPr>
        <w:t xml:space="preserve">GPG buvo pasirenkamas tyrėjo kiekvienam pacientui individualiai, ir kaip GPG buvo galima skirti </w:t>
      </w:r>
      <w:proofErr w:type="spellStart"/>
      <w:r w:rsidRPr="003F564F">
        <w:rPr>
          <w:sz w:val="22"/>
          <w:szCs w:val="22"/>
          <w:lang w:eastAsia="lt-LT"/>
        </w:rPr>
        <w:t>antitimocitinį</w:t>
      </w:r>
      <w:proofErr w:type="spellEnd"/>
      <w:r w:rsidRPr="003F564F">
        <w:rPr>
          <w:sz w:val="22"/>
          <w:szCs w:val="22"/>
          <w:lang w:eastAsia="lt-LT"/>
        </w:rPr>
        <w:t xml:space="preserve"> </w:t>
      </w:r>
      <w:proofErr w:type="spellStart"/>
      <w:r w:rsidRPr="003F564F">
        <w:rPr>
          <w:sz w:val="22"/>
          <w:szCs w:val="22"/>
          <w:lang w:eastAsia="lt-LT"/>
        </w:rPr>
        <w:t>globuliną</w:t>
      </w:r>
      <w:proofErr w:type="spellEnd"/>
      <w:r w:rsidRPr="003F564F">
        <w:rPr>
          <w:sz w:val="22"/>
          <w:szCs w:val="22"/>
          <w:lang w:eastAsia="lt-LT"/>
        </w:rPr>
        <w:t xml:space="preserve">, </w:t>
      </w:r>
      <w:proofErr w:type="spellStart"/>
      <w:r w:rsidRPr="003F564F">
        <w:rPr>
          <w:sz w:val="22"/>
          <w:szCs w:val="22"/>
          <w:lang w:eastAsia="lt-LT"/>
        </w:rPr>
        <w:t>ekstrakorporinę</w:t>
      </w:r>
      <w:proofErr w:type="spellEnd"/>
      <w:r w:rsidRPr="003F564F">
        <w:rPr>
          <w:sz w:val="22"/>
          <w:szCs w:val="22"/>
          <w:lang w:eastAsia="lt-LT"/>
        </w:rPr>
        <w:t xml:space="preserve"> </w:t>
      </w:r>
      <w:proofErr w:type="spellStart"/>
      <w:r w:rsidRPr="003F564F">
        <w:rPr>
          <w:sz w:val="22"/>
          <w:szCs w:val="22"/>
          <w:lang w:eastAsia="lt-LT"/>
        </w:rPr>
        <w:t>fotoferezę</w:t>
      </w:r>
      <w:proofErr w:type="spellEnd"/>
      <w:r w:rsidRPr="003F564F">
        <w:rPr>
          <w:sz w:val="22"/>
          <w:szCs w:val="22"/>
          <w:lang w:eastAsia="lt-LT"/>
        </w:rPr>
        <w:t xml:space="preserve">, </w:t>
      </w:r>
      <w:proofErr w:type="spellStart"/>
      <w:r w:rsidRPr="003F564F">
        <w:rPr>
          <w:sz w:val="22"/>
          <w:szCs w:val="22"/>
          <w:lang w:eastAsia="lt-LT"/>
        </w:rPr>
        <w:t>mezenchimines</w:t>
      </w:r>
      <w:proofErr w:type="spellEnd"/>
      <w:r w:rsidRPr="003F564F">
        <w:rPr>
          <w:sz w:val="22"/>
          <w:szCs w:val="22"/>
          <w:lang w:eastAsia="lt-LT"/>
        </w:rPr>
        <w:t xml:space="preserve"> </w:t>
      </w:r>
      <w:proofErr w:type="spellStart"/>
      <w:r w:rsidRPr="003F564F">
        <w:rPr>
          <w:sz w:val="22"/>
          <w:szCs w:val="22"/>
          <w:lang w:eastAsia="lt-LT"/>
        </w:rPr>
        <w:t>stromos</w:t>
      </w:r>
      <w:proofErr w:type="spellEnd"/>
      <w:r w:rsidRPr="003F564F">
        <w:rPr>
          <w:sz w:val="22"/>
          <w:szCs w:val="22"/>
          <w:lang w:eastAsia="lt-LT"/>
        </w:rPr>
        <w:t xml:space="preserve"> ląsteles (MSC), nedidelę </w:t>
      </w:r>
      <w:proofErr w:type="spellStart"/>
      <w:r w:rsidRPr="003F564F">
        <w:rPr>
          <w:sz w:val="22"/>
          <w:szCs w:val="22"/>
          <w:lang w:eastAsia="lt-LT"/>
        </w:rPr>
        <w:t>metotreksato</w:t>
      </w:r>
      <w:proofErr w:type="spellEnd"/>
      <w:r w:rsidRPr="003F564F">
        <w:rPr>
          <w:sz w:val="22"/>
          <w:szCs w:val="22"/>
          <w:lang w:eastAsia="lt-LT"/>
        </w:rPr>
        <w:t xml:space="preserve"> (MTX) dozę, </w:t>
      </w:r>
      <w:proofErr w:type="spellStart"/>
      <w:r w:rsidRPr="003F564F">
        <w:rPr>
          <w:sz w:val="22"/>
          <w:szCs w:val="22"/>
          <w:lang w:eastAsia="lt-LT"/>
        </w:rPr>
        <w:t>mikofenolato</w:t>
      </w:r>
      <w:proofErr w:type="spellEnd"/>
      <w:r w:rsidRPr="003F564F">
        <w:rPr>
          <w:sz w:val="22"/>
          <w:szCs w:val="22"/>
          <w:lang w:eastAsia="lt-LT"/>
        </w:rPr>
        <w:t xml:space="preserve"> </w:t>
      </w:r>
      <w:proofErr w:type="spellStart"/>
      <w:r w:rsidRPr="003F564F">
        <w:rPr>
          <w:sz w:val="22"/>
          <w:szCs w:val="22"/>
          <w:lang w:eastAsia="lt-LT"/>
        </w:rPr>
        <w:t>mofetilį</w:t>
      </w:r>
      <w:proofErr w:type="spellEnd"/>
      <w:r w:rsidRPr="003F564F">
        <w:rPr>
          <w:sz w:val="22"/>
          <w:szCs w:val="22"/>
          <w:lang w:eastAsia="lt-LT"/>
        </w:rPr>
        <w:t xml:space="preserve"> (MMF), </w:t>
      </w:r>
      <w:proofErr w:type="spellStart"/>
      <w:r w:rsidRPr="003F564F">
        <w:rPr>
          <w:sz w:val="22"/>
          <w:szCs w:val="22"/>
          <w:lang w:eastAsia="lt-LT"/>
        </w:rPr>
        <w:t>mTOR</w:t>
      </w:r>
      <w:proofErr w:type="spellEnd"/>
      <w:r w:rsidRPr="003F564F">
        <w:rPr>
          <w:sz w:val="22"/>
          <w:szCs w:val="22"/>
          <w:lang w:eastAsia="lt-LT"/>
        </w:rPr>
        <w:t xml:space="preserve"> inhibitorių (</w:t>
      </w:r>
      <w:proofErr w:type="spellStart"/>
      <w:r w:rsidRPr="003F564F">
        <w:rPr>
          <w:sz w:val="22"/>
          <w:szCs w:val="22"/>
          <w:lang w:eastAsia="lt-LT"/>
        </w:rPr>
        <w:t>everolimuzą</w:t>
      </w:r>
      <w:proofErr w:type="spellEnd"/>
      <w:r w:rsidRPr="003F564F">
        <w:rPr>
          <w:sz w:val="22"/>
          <w:szCs w:val="22"/>
          <w:lang w:eastAsia="lt-LT"/>
        </w:rPr>
        <w:t xml:space="preserve"> ar </w:t>
      </w:r>
      <w:proofErr w:type="spellStart"/>
      <w:r w:rsidRPr="003F564F">
        <w:rPr>
          <w:sz w:val="22"/>
          <w:szCs w:val="22"/>
          <w:lang w:eastAsia="lt-LT"/>
        </w:rPr>
        <w:t>sirolimuzą</w:t>
      </w:r>
      <w:proofErr w:type="spellEnd"/>
      <w:r w:rsidRPr="003F564F">
        <w:rPr>
          <w:sz w:val="22"/>
          <w:szCs w:val="22"/>
          <w:lang w:eastAsia="lt-LT"/>
        </w:rPr>
        <w:t xml:space="preserve">), </w:t>
      </w:r>
      <w:proofErr w:type="spellStart"/>
      <w:r w:rsidRPr="003F564F">
        <w:rPr>
          <w:sz w:val="22"/>
          <w:szCs w:val="22"/>
          <w:lang w:eastAsia="lt-LT"/>
        </w:rPr>
        <w:t>etanerceptą</w:t>
      </w:r>
      <w:proofErr w:type="spellEnd"/>
      <w:r w:rsidRPr="003F564F">
        <w:rPr>
          <w:sz w:val="22"/>
          <w:szCs w:val="22"/>
          <w:lang w:eastAsia="lt-LT"/>
        </w:rPr>
        <w:t xml:space="preserve"> arba </w:t>
      </w:r>
      <w:proofErr w:type="spellStart"/>
      <w:r w:rsidRPr="003F564F">
        <w:rPr>
          <w:sz w:val="22"/>
          <w:szCs w:val="22"/>
          <w:lang w:eastAsia="lt-LT"/>
        </w:rPr>
        <w:t>infliksimabą</w:t>
      </w:r>
      <w:proofErr w:type="spellEnd"/>
      <w:r w:rsidRPr="003F564F">
        <w:rPr>
          <w:sz w:val="22"/>
          <w:szCs w:val="22"/>
          <w:lang w:eastAsia="lt-LT"/>
        </w:rPr>
        <w:t>.</w:t>
      </w:r>
    </w:p>
    <w:p w14:paraId="09D46CC9" w14:textId="77777777" w:rsidR="00D3679D" w:rsidRPr="003F564F" w:rsidRDefault="00D3679D" w:rsidP="0036574D">
      <w:pPr>
        <w:rPr>
          <w:sz w:val="22"/>
          <w:szCs w:val="22"/>
          <w:lang w:eastAsia="lt-LT"/>
        </w:rPr>
      </w:pPr>
    </w:p>
    <w:p w14:paraId="4BA6D6DF" w14:textId="3903F92B" w:rsidR="00D3679D" w:rsidRPr="003F564F" w:rsidRDefault="00D3679D" w:rsidP="0036574D">
      <w:pPr>
        <w:rPr>
          <w:sz w:val="22"/>
          <w:szCs w:val="22"/>
          <w:lang w:eastAsia="lt-LT"/>
        </w:rPr>
      </w:pPr>
      <w:r w:rsidRPr="003F564F">
        <w:rPr>
          <w:sz w:val="22"/>
          <w:szCs w:val="22"/>
          <w:lang w:eastAsia="lt-LT"/>
        </w:rPr>
        <w:t xml:space="preserve">Be </w:t>
      </w:r>
      <w:proofErr w:type="spellStart"/>
      <w:r w:rsidR="004300CB" w:rsidRPr="003F564F">
        <w:rPr>
          <w:sz w:val="22"/>
          <w:szCs w:val="22"/>
          <w:lang w:eastAsia="lt-LT"/>
        </w:rPr>
        <w:t>ruksolitinibo</w:t>
      </w:r>
      <w:proofErr w:type="spellEnd"/>
      <w:r w:rsidR="004300CB" w:rsidRPr="003F564F">
        <w:rPr>
          <w:sz w:val="22"/>
          <w:szCs w:val="22"/>
          <w:lang w:eastAsia="lt-LT"/>
        </w:rPr>
        <w:t xml:space="preserve"> </w:t>
      </w:r>
      <w:r w:rsidRPr="003F564F">
        <w:rPr>
          <w:sz w:val="22"/>
          <w:szCs w:val="22"/>
          <w:lang w:eastAsia="lt-LT"/>
        </w:rPr>
        <w:t xml:space="preserve">arba GPG pacientams buvo galima atlikti įprastinę alogeninę kamieninių ląstelių transplantaciją, skirti palaikomąjį gydymą, įskaitant vaistinius preparatus infekcijoms gydyti ir kraujo </w:t>
      </w:r>
      <w:r w:rsidRPr="003F564F">
        <w:rPr>
          <w:sz w:val="22"/>
          <w:szCs w:val="22"/>
          <w:lang w:eastAsia="lt-LT"/>
        </w:rPr>
        <w:lastRenderedPageBreak/>
        <w:t xml:space="preserve">komponentų transfuzijas. </w:t>
      </w:r>
      <w:proofErr w:type="spellStart"/>
      <w:r w:rsidRPr="003F564F">
        <w:rPr>
          <w:sz w:val="22"/>
          <w:szCs w:val="22"/>
          <w:lang w:eastAsia="lt-LT"/>
        </w:rPr>
        <w:t>Ruksolitinibo</w:t>
      </w:r>
      <w:proofErr w:type="spellEnd"/>
      <w:r w:rsidRPr="003F564F">
        <w:rPr>
          <w:sz w:val="22"/>
          <w:szCs w:val="22"/>
          <w:lang w:eastAsia="lt-LT"/>
        </w:rPr>
        <w:t xml:space="preserve"> buvo paskirta tęsiant gydymą kortikosteroidais ir (arba) </w:t>
      </w:r>
      <w:proofErr w:type="spellStart"/>
      <w:r w:rsidRPr="003F564F">
        <w:rPr>
          <w:sz w:val="22"/>
          <w:szCs w:val="22"/>
          <w:lang w:eastAsia="lt-LT"/>
        </w:rPr>
        <w:t>kalcineurino</w:t>
      </w:r>
      <w:proofErr w:type="spellEnd"/>
      <w:r w:rsidRPr="003F564F">
        <w:rPr>
          <w:sz w:val="22"/>
          <w:szCs w:val="22"/>
          <w:lang w:eastAsia="lt-LT"/>
        </w:rPr>
        <w:t xml:space="preserve"> inhibitoriais (KNI), pavyzdžiui, </w:t>
      </w:r>
      <w:proofErr w:type="spellStart"/>
      <w:r w:rsidRPr="003F564F">
        <w:rPr>
          <w:sz w:val="22"/>
          <w:szCs w:val="22"/>
          <w:lang w:eastAsia="lt-LT"/>
        </w:rPr>
        <w:t>ciklosporinu</w:t>
      </w:r>
      <w:proofErr w:type="spellEnd"/>
      <w:r w:rsidRPr="003F564F">
        <w:rPr>
          <w:sz w:val="22"/>
          <w:szCs w:val="22"/>
          <w:lang w:eastAsia="lt-LT"/>
        </w:rPr>
        <w:t xml:space="preserve"> ar </w:t>
      </w:r>
      <w:proofErr w:type="spellStart"/>
      <w:r w:rsidRPr="003F564F">
        <w:rPr>
          <w:sz w:val="22"/>
          <w:szCs w:val="22"/>
          <w:lang w:eastAsia="lt-LT"/>
        </w:rPr>
        <w:t>takrolimuzu</w:t>
      </w:r>
      <w:proofErr w:type="spellEnd"/>
      <w:r w:rsidRPr="003F564F">
        <w:rPr>
          <w:sz w:val="22"/>
          <w:szCs w:val="22"/>
          <w:lang w:eastAsia="lt-LT"/>
        </w:rPr>
        <w:t>, ir (arba) vietiniais ar įkvepiamaisiais kortikosteroidais, laikantis vietinių rekomendacijų.</w:t>
      </w:r>
    </w:p>
    <w:p w14:paraId="11312F9F" w14:textId="687AB3F2" w:rsidR="00D3679D" w:rsidRPr="003F564F" w:rsidRDefault="00D3679D" w:rsidP="0036574D">
      <w:pPr>
        <w:rPr>
          <w:sz w:val="22"/>
          <w:szCs w:val="22"/>
          <w:lang w:eastAsia="lt-LT"/>
        </w:rPr>
      </w:pPr>
      <w:r w:rsidRPr="003F564F">
        <w:rPr>
          <w:sz w:val="22"/>
          <w:szCs w:val="22"/>
          <w:lang w:eastAsia="lt-LT"/>
        </w:rPr>
        <w:t xml:space="preserve">Į tyrimą galėjo būti įtraukiami pacientai, kuriems ūminei </w:t>
      </w:r>
      <w:proofErr w:type="spellStart"/>
      <w:r w:rsidRPr="003F564F">
        <w:rPr>
          <w:sz w:val="22"/>
          <w:szCs w:val="22"/>
          <w:lang w:eastAsia="lt-LT"/>
        </w:rPr>
        <w:t>TpŠL</w:t>
      </w:r>
      <w:proofErr w:type="spellEnd"/>
      <w:r w:rsidRPr="003F564F">
        <w:rPr>
          <w:sz w:val="22"/>
          <w:szCs w:val="22"/>
          <w:lang w:eastAsia="lt-LT"/>
        </w:rPr>
        <w:t xml:space="preserve"> gydyti anksčiau buvo skirtas vienas sisteminio poveikio gydymas (kitoks nei kortikosteroidais ir KNI). Tyrimo laikotarpiu be kortikosteroidų ir KNI buvo leidžiama tęsti gydymą anksčiau paskirtu sisteminio poveikio vaistiniu</w:t>
      </w:r>
      <w:r w:rsidR="004300CB" w:rsidRPr="003F564F">
        <w:rPr>
          <w:sz w:val="22"/>
          <w:szCs w:val="22"/>
          <w:lang w:eastAsia="lt-LT"/>
        </w:rPr>
        <w:t xml:space="preserve"> </w:t>
      </w:r>
      <w:r w:rsidRPr="003F564F">
        <w:rPr>
          <w:sz w:val="22"/>
          <w:szCs w:val="22"/>
          <w:lang w:eastAsia="lt-LT"/>
        </w:rPr>
        <w:t xml:space="preserve">preparatu nuo ūminės </w:t>
      </w:r>
      <w:proofErr w:type="spellStart"/>
      <w:r w:rsidRPr="003F564F">
        <w:rPr>
          <w:sz w:val="22"/>
          <w:szCs w:val="22"/>
          <w:lang w:eastAsia="lt-LT"/>
        </w:rPr>
        <w:t>TpŠL</w:t>
      </w:r>
      <w:proofErr w:type="spellEnd"/>
      <w:r w:rsidRPr="003F564F">
        <w:rPr>
          <w:sz w:val="22"/>
          <w:szCs w:val="22"/>
          <w:lang w:eastAsia="lt-LT"/>
        </w:rPr>
        <w:t xml:space="preserve"> (tik tokiu atveju, jei jis buvo skiriamas ūminės </w:t>
      </w:r>
      <w:proofErr w:type="spellStart"/>
      <w:r w:rsidRPr="003F564F">
        <w:rPr>
          <w:sz w:val="22"/>
          <w:szCs w:val="22"/>
          <w:lang w:eastAsia="lt-LT"/>
        </w:rPr>
        <w:t>TpŠL</w:t>
      </w:r>
      <w:proofErr w:type="spellEnd"/>
      <w:r w:rsidRPr="003F564F">
        <w:rPr>
          <w:sz w:val="22"/>
          <w:szCs w:val="22"/>
          <w:lang w:eastAsia="lt-LT"/>
        </w:rPr>
        <w:t xml:space="preserve"> profilaktikai, t. y. pradėtas vartoti prieš nustatant ūminės </w:t>
      </w:r>
      <w:proofErr w:type="spellStart"/>
      <w:r w:rsidRPr="003F564F">
        <w:rPr>
          <w:sz w:val="22"/>
          <w:szCs w:val="22"/>
          <w:lang w:eastAsia="lt-LT"/>
        </w:rPr>
        <w:t>TpŠL</w:t>
      </w:r>
      <w:proofErr w:type="spellEnd"/>
      <w:r w:rsidRPr="003F564F">
        <w:rPr>
          <w:sz w:val="22"/>
          <w:szCs w:val="22"/>
          <w:lang w:eastAsia="lt-LT"/>
        </w:rPr>
        <w:t xml:space="preserve"> diagnozę), vadovaujantis įprastine klinikine praktika.</w:t>
      </w:r>
    </w:p>
    <w:p w14:paraId="1A86CC8A" w14:textId="77777777" w:rsidR="00D3679D" w:rsidRPr="003F564F" w:rsidRDefault="00D3679D" w:rsidP="0036574D">
      <w:pPr>
        <w:rPr>
          <w:sz w:val="22"/>
          <w:szCs w:val="22"/>
          <w:lang w:eastAsia="lt-LT"/>
        </w:rPr>
      </w:pPr>
    </w:p>
    <w:p w14:paraId="448D7E22" w14:textId="7467B3C7" w:rsidR="00D3679D" w:rsidRPr="003F564F" w:rsidRDefault="00D3679D" w:rsidP="0036574D">
      <w:pPr>
        <w:rPr>
          <w:sz w:val="22"/>
          <w:szCs w:val="22"/>
          <w:lang w:eastAsia="lt-LT"/>
        </w:rPr>
      </w:pPr>
      <w:r w:rsidRPr="003F564F">
        <w:rPr>
          <w:sz w:val="22"/>
          <w:szCs w:val="22"/>
          <w:lang w:eastAsia="lt-LT"/>
        </w:rPr>
        <w:t>Po 28</w:t>
      </w:r>
      <w:r w:rsidR="004300CB" w:rsidRPr="003F564F">
        <w:rPr>
          <w:sz w:val="22"/>
          <w:szCs w:val="22"/>
          <w:lang w:eastAsia="lt-LT"/>
        </w:rPr>
        <w:t> </w:t>
      </w:r>
      <w:r w:rsidRPr="003F564F">
        <w:rPr>
          <w:sz w:val="22"/>
          <w:szCs w:val="22"/>
          <w:lang w:eastAsia="lt-LT"/>
        </w:rPr>
        <w:t xml:space="preserve">dienų pacientams GPG galėjo būti keičiamas į gydymą </w:t>
      </w:r>
      <w:bookmarkStart w:id="0" w:name="_Hlk221545340"/>
      <w:proofErr w:type="spellStart"/>
      <w:r w:rsidRPr="003F564F">
        <w:rPr>
          <w:sz w:val="22"/>
          <w:szCs w:val="22"/>
          <w:lang w:eastAsia="lt-LT"/>
        </w:rPr>
        <w:t>ruksolitinibu</w:t>
      </w:r>
      <w:bookmarkEnd w:id="0"/>
      <w:proofErr w:type="spellEnd"/>
      <w:r w:rsidRPr="003F564F">
        <w:rPr>
          <w:sz w:val="22"/>
          <w:szCs w:val="22"/>
          <w:lang w:eastAsia="lt-LT"/>
        </w:rPr>
        <w:t>, jeigu jie atitiko toliau išvardytus kriterijus:</w:t>
      </w:r>
    </w:p>
    <w:p w14:paraId="653E65FF" w14:textId="7093609E" w:rsidR="00D3679D" w:rsidRPr="003F564F" w:rsidRDefault="00D3679D" w:rsidP="004300CB">
      <w:pPr>
        <w:pStyle w:val="Sraopastraipa"/>
        <w:numPr>
          <w:ilvl w:val="0"/>
          <w:numId w:val="1"/>
        </w:numPr>
        <w:ind w:left="567" w:hanging="567"/>
        <w:rPr>
          <w:sz w:val="22"/>
          <w:szCs w:val="22"/>
          <w:lang w:eastAsia="lt-LT"/>
        </w:rPr>
      </w:pPr>
      <w:r w:rsidRPr="003F564F">
        <w:rPr>
          <w:sz w:val="22"/>
          <w:szCs w:val="22"/>
          <w:lang w:eastAsia="lt-LT"/>
        </w:rPr>
        <w:t>28</w:t>
      </w:r>
      <w:r w:rsidR="004300CB" w:rsidRPr="003F564F">
        <w:rPr>
          <w:sz w:val="22"/>
          <w:szCs w:val="22"/>
          <w:lang w:eastAsia="lt-LT"/>
        </w:rPr>
        <w:noBreakHyphen/>
      </w:r>
      <w:r w:rsidRPr="003F564F">
        <w:rPr>
          <w:sz w:val="22"/>
          <w:szCs w:val="22"/>
          <w:lang w:eastAsia="lt-LT"/>
        </w:rPr>
        <w:t>ąją dieną nebuvo pasiektas atsakas pagal pagrindinės vertinamosios baigties apibrėžimą (visiškas atsakas [VA] arba dalinis atsakas [DA]); ARBA</w:t>
      </w:r>
    </w:p>
    <w:p w14:paraId="08076C16" w14:textId="7FAECEB1" w:rsidR="00D3679D" w:rsidRPr="003F564F" w:rsidRDefault="00D3679D" w:rsidP="004300CB">
      <w:pPr>
        <w:pStyle w:val="Sraopastraipa"/>
        <w:numPr>
          <w:ilvl w:val="0"/>
          <w:numId w:val="1"/>
        </w:numPr>
        <w:ind w:left="567" w:hanging="567"/>
        <w:rPr>
          <w:sz w:val="22"/>
          <w:szCs w:val="22"/>
          <w:lang w:eastAsia="lt-LT"/>
        </w:rPr>
      </w:pPr>
      <w:r w:rsidRPr="003F564F">
        <w:rPr>
          <w:sz w:val="22"/>
          <w:szCs w:val="22"/>
          <w:lang w:eastAsia="lt-LT"/>
        </w:rPr>
        <w:t>vėlesniu laikotarpiu atsakas</w:t>
      </w:r>
      <w:r w:rsidR="005B07E9">
        <w:rPr>
          <w:sz w:val="22"/>
          <w:szCs w:val="22"/>
          <w:lang w:eastAsia="lt-LT"/>
        </w:rPr>
        <w:t xml:space="preserve"> išnyko</w:t>
      </w:r>
      <w:r w:rsidRPr="003F564F">
        <w:rPr>
          <w:sz w:val="22"/>
          <w:szCs w:val="22"/>
          <w:lang w:eastAsia="lt-LT"/>
        </w:rPr>
        <w:t xml:space="preserve"> ir pacientai atitiko ligos progresavimo, mišraus atsako ar atsako nebuvimo kriterijus bei dėl to būtų būtina skirti naują papildomą sisteminio poveikio </w:t>
      </w:r>
      <w:proofErr w:type="spellStart"/>
      <w:r w:rsidRPr="003F564F">
        <w:rPr>
          <w:sz w:val="22"/>
          <w:szCs w:val="22"/>
          <w:lang w:eastAsia="lt-LT"/>
        </w:rPr>
        <w:t>imunosupresantą</w:t>
      </w:r>
      <w:proofErr w:type="spellEnd"/>
      <w:r w:rsidRPr="003F564F">
        <w:rPr>
          <w:sz w:val="22"/>
          <w:szCs w:val="22"/>
          <w:lang w:eastAsia="lt-LT"/>
        </w:rPr>
        <w:t xml:space="preserve"> ūminei </w:t>
      </w:r>
      <w:proofErr w:type="spellStart"/>
      <w:r w:rsidRPr="003F564F">
        <w:rPr>
          <w:sz w:val="22"/>
          <w:szCs w:val="22"/>
          <w:lang w:eastAsia="lt-LT"/>
        </w:rPr>
        <w:t>TpŠL</w:t>
      </w:r>
      <w:proofErr w:type="spellEnd"/>
      <w:r w:rsidRPr="003F564F">
        <w:rPr>
          <w:sz w:val="22"/>
          <w:szCs w:val="22"/>
          <w:lang w:eastAsia="lt-LT"/>
        </w:rPr>
        <w:t xml:space="preserve"> gydyti; IR</w:t>
      </w:r>
    </w:p>
    <w:p w14:paraId="1FCA4D27" w14:textId="4A6B9839" w:rsidR="00D3679D" w:rsidRPr="003F564F" w:rsidRDefault="00D3679D" w:rsidP="004300CB">
      <w:pPr>
        <w:pStyle w:val="Sraopastraipa"/>
        <w:numPr>
          <w:ilvl w:val="0"/>
          <w:numId w:val="1"/>
        </w:numPr>
        <w:ind w:left="567" w:hanging="567"/>
        <w:rPr>
          <w:sz w:val="22"/>
          <w:szCs w:val="22"/>
          <w:lang w:eastAsia="lt-LT"/>
        </w:rPr>
      </w:pPr>
      <w:r w:rsidRPr="003F564F">
        <w:rPr>
          <w:sz w:val="22"/>
          <w:szCs w:val="22"/>
          <w:lang w:eastAsia="lt-LT"/>
        </w:rPr>
        <w:t xml:space="preserve">nebuvo nustatyta lėtinės </w:t>
      </w:r>
      <w:proofErr w:type="spellStart"/>
      <w:r w:rsidRPr="003F564F">
        <w:rPr>
          <w:sz w:val="22"/>
          <w:szCs w:val="22"/>
          <w:lang w:eastAsia="lt-LT"/>
        </w:rPr>
        <w:t>TpŠL</w:t>
      </w:r>
      <w:proofErr w:type="spellEnd"/>
      <w:r w:rsidRPr="003F564F">
        <w:rPr>
          <w:sz w:val="22"/>
          <w:szCs w:val="22"/>
          <w:lang w:eastAsia="lt-LT"/>
        </w:rPr>
        <w:t xml:space="preserve"> požymių ar simptomų.</w:t>
      </w:r>
    </w:p>
    <w:p w14:paraId="7BD3E506" w14:textId="77777777" w:rsidR="00D3679D" w:rsidRPr="003F564F" w:rsidRDefault="00D3679D" w:rsidP="0036574D">
      <w:pPr>
        <w:rPr>
          <w:sz w:val="22"/>
          <w:szCs w:val="22"/>
          <w:lang w:eastAsia="lt-LT"/>
        </w:rPr>
      </w:pPr>
    </w:p>
    <w:p w14:paraId="78F67449" w14:textId="2162F95D" w:rsidR="00D3679D" w:rsidRPr="003F564F" w:rsidRDefault="00D3679D" w:rsidP="0036574D">
      <w:pPr>
        <w:rPr>
          <w:sz w:val="22"/>
          <w:szCs w:val="22"/>
          <w:lang w:eastAsia="lt-LT"/>
        </w:rPr>
      </w:pPr>
      <w:r w:rsidRPr="003F564F">
        <w:rPr>
          <w:sz w:val="22"/>
          <w:szCs w:val="22"/>
          <w:lang w:eastAsia="lt-LT"/>
        </w:rPr>
        <w:t>Nustačius atsaką į gydymą, po 56</w:t>
      </w:r>
      <w:r w:rsidR="004300CB" w:rsidRPr="003F564F">
        <w:rPr>
          <w:sz w:val="22"/>
          <w:szCs w:val="22"/>
          <w:lang w:eastAsia="lt-LT"/>
        </w:rPr>
        <w:noBreakHyphen/>
      </w:r>
      <w:r w:rsidRPr="003F564F">
        <w:rPr>
          <w:sz w:val="22"/>
          <w:szCs w:val="22"/>
          <w:lang w:eastAsia="lt-LT"/>
        </w:rPr>
        <w:t xml:space="preserve">osios dienos vizito buvo leidžiama pacientams mažinti </w:t>
      </w:r>
      <w:proofErr w:type="spellStart"/>
      <w:r w:rsidR="004300CB" w:rsidRPr="003F564F">
        <w:rPr>
          <w:sz w:val="22"/>
          <w:szCs w:val="22"/>
          <w:lang w:eastAsia="lt-LT"/>
        </w:rPr>
        <w:t>ruksolitinibo</w:t>
      </w:r>
      <w:proofErr w:type="spellEnd"/>
      <w:r w:rsidR="004300CB" w:rsidRPr="003F564F">
        <w:rPr>
          <w:sz w:val="22"/>
          <w:szCs w:val="22"/>
          <w:lang w:eastAsia="lt-LT"/>
        </w:rPr>
        <w:t xml:space="preserve"> </w:t>
      </w:r>
      <w:r w:rsidRPr="003F564F">
        <w:rPr>
          <w:sz w:val="22"/>
          <w:szCs w:val="22"/>
          <w:lang w:eastAsia="lt-LT"/>
        </w:rPr>
        <w:t>dozę ir jo vartojimą nutraukti.</w:t>
      </w:r>
    </w:p>
    <w:p w14:paraId="02FE24E3" w14:textId="77777777" w:rsidR="00D3679D" w:rsidRPr="003F564F" w:rsidRDefault="00D3679D" w:rsidP="0036574D">
      <w:pPr>
        <w:rPr>
          <w:sz w:val="22"/>
          <w:szCs w:val="22"/>
          <w:lang w:eastAsia="lt-LT"/>
        </w:rPr>
      </w:pPr>
    </w:p>
    <w:p w14:paraId="135D7B92" w14:textId="0F15CA91" w:rsidR="00D3679D" w:rsidRPr="003F564F" w:rsidRDefault="00D3679D" w:rsidP="0036574D">
      <w:pPr>
        <w:rPr>
          <w:sz w:val="22"/>
          <w:szCs w:val="22"/>
          <w:lang w:eastAsia="lt-LT"/>
        </w:rPr>
      </w:pPr>
      <w:r w:rsidRPr="003F564F">
        <w:rPr>
          <w:sz w:val="22"/>
          <w:szCs w:val="22"/>
          <w:lang w:eastAsia="lt-LT"/>
        </w:rPr>
        <w:t>Abejose tiriamosiose grupėse pradiniai demografiniai pacientų duomenys ir ligos ypatybės buvo panašūs. Pacientų amžiaus mediana buvo 54</w:t>
      </w:r>
      <w:r w:rsidR="004300CB" w:rsidRPr="003F564F">
        <w:rPr>
          <w:sz w:val="22"/>
          <w:szCs w:val="22"/>
          <w:lang w:eastAsia="lt-LT"/>
        </w:rPr>
        <w:t> </w:t>
      </w:r>
      <w:r w:rsidRPr="003F564F">
        <w:rPr>
          <w:sz w:val="22"/>
          <w:szCs w:val="22"/>
          <w:lang w:eastAsia="lt-LT"/>
        </w:rPr>
        <w:t>metai (svyravo nuo 12 iki 73</w:t>
      </w:r>
      <w:r w:rsidR="004300CB" w:rsidRPr="003F564F">
        <w:rPr>
          <w:sz w:val="22"/>
          <w:szCs w:val="22"/>
          <w:lang w:eastAsia="lt-LT"/>
        </w:rPr>
        <w:t> </w:t>
      </w:r>
      <w:r w:rsidRPr="003F564F">
        <w:rPr>
          <w:sz w:val="22"/>
          <w:szCs w:val="22"/>
          <w:lang w:eastAsia="lt-LT"/>
        </w:rPr>
        <w:t>metų). Tarp tiriamųjų asmenų buvo 2,9</w:t>
      </w:r>
      <w:r w:rsidR="004300CB" w:rsidRPr="003F564F">
        <w:rPr>
          <w:sz w:val="22"/>
          <w:szCs w:val="22"/>
          <w:lang w:eastAsia="lt-LT"/>
        </w:rPr>
        <w:t> </w:t>
      </w:r>
      <w:r w:rsidRPr="003F564F">
        <w:rPr>
          <w:sz w:val="22"/>
          <w:szCs w:val="22"/>
          <w:lang w:eastAsia="lt-LT"/>
        </w:rPr>
        <w:t>% paauglių, 59,2</w:t>
      </w:r>
      <w:r w:rsidR="004300CB" w:rsidRPr="003F564F">
        <w:rPr>
          <w:sz w:val="22"/>
          <w:szCs w:val="22"/>
          <w:lang w:eastAsia="lt-LT"/>
        </w:rPr>
        <w:t> </w:t>
      </w:r>
      <w:r w:rsidRPr="003F564F">
        <w:rPr>
          <w:sz w:val="22"/>
          <w:szCs w:val="22"/>
          <w:lang w:eastAsia="lt-LT"/>
        </w:rPr>
        <w:t>% vyriškosios lyties ir 68,9</w:t>
      </w:r>
      <w:r w:rsidR="004300CB" w:rsidRPr="003F564F">
        <w:rPr>
          <w:sz w:val="22"/>
          <w:szCs w:val="22"/>
          <w:lang w:eastAsia="lt-LT"/>
        </w:rPr>
        <w:t> </w:t>
      </w:r>
      <w:r w:rsidRPr="003F564F">
        <w:rPr>
          <w:sz w:val="22"/>
          <w:szCs w:val="22"/>
          <w:lang w:eastAsia="lt-LT"/>
        </w:rPr>
        <w:t>% baltaodžių pacientų. Daugeliui į tyrimą įtrauktų pacientų buvo nustatyta piktybinė gretutinė liga.</w:t>
      </w:r>
    </w:p>
    <w:p w14:paraId="41EFFD06" w14:textId="77777777" w:rsidR="00D3679D" w:rsidRPr="003F564F" w:rsidRDefault="00D3679D" w:rsidP="0036574D">
      <w:pPr>
        <w:rPr>
          <w:sz w:val="22"/>
          <w:szCs w:val="22"/>
          <w:lang w:eastAsia="lt-LT"/>
        </w:rPr>
      </w:pPr>
    </w:p>
    <w:p w14:paraId="2AD428C4" w14:textId="48C9650D" w:rsidR="00D3679D" w:rsidRPr="003F564F" w:rsidRDefault="00D3679D" w:rsidP="0036574D">
      <w:pPr>
        <w:rPr>
          <w:sz w:val="22"/>
          <w:szCs w:val="22"/>
          <w:lang w:eastAsia="lt-LT"/>
        </w:rPr>
      </w:pPr>
      <w:r w:rsidRPr="003F564F">
        <w:rPr>
          <w:sz w:val="22"/>
          <w:szCs w:val="22"/>
          <w:lang w:eastAsia="lt-LT"/>
        </w:rPr>
        <w:t xml:space="preserve">Ūminės </w:t>
      </w:r>
      <w:proofErr w:type="spellStart"/>
      <w:r w:rsidRPr="003F564F">
        <w:rPr>
          <w:sz w:val="22"/>
          <w:szCs w:val="22"/>
          <w:lang w:eastAsia="lt-LT"/>
        </w:rPr>
        <w:t>TpŠL</w:t>
      </w:r>
      <w:proofErr w:type="spellEnd"/>
      <w:r w:rsidRPr="003F564F">
        <w:rPr>
          <w:sz w:val="22"/>
          <w:szCs w:val="22"/>
          <w:lang w:eastAsia="lt-LT"/>
        </w:rPr>
        <w:t xml:space="preserve"> sunkumas </w:t>
      </w:r>
      <w:proofErr w:type="spellStart"/>
      <w:r w:rsidR="004300CB" w:rsidRPr="003F564F">
        <w:rPr>
          <w:sz w:val="22"/>
          <w:szCs w:val="22"/>
          <w:lang w:eastAsia="lt-LT"/>
        </w:rPr>
        <w:t>ruksolitinibo</w:t>
      </w:r>
      <w:proofErr w:type="spellEnd"/>
      <w:r w:rsidR="004300CB" w:rsidRPr="003F564F">
        <w:rPr>
          <w:sz w:val="22"/>
          <w:szCs w:val="22"/>
          <w:lang w:eastAsia="lt-LT"/>
        </w:rPr>
        <w:t xml:space="preserve"> </w:t>
      </w:r>
      <w:r w:rsidRPr="003F564F">
        <w:rPr>
          <w:sz w:val="22"/>
          <w:szCs w:val="22"/>
          <w:lang w:eastAsia="lt-LT"/>
        </w:rPr>
        <w:t>ir GPG grupėse buvo toks: II</w:t>
      </w:r>
      <w:r w:rsidR="004300CB" w:rsidRPr="003F564F">
        <w:rPr>
          <w:sz w:val="22"/>
          <w:szCs w:val="22"/>
          <w:lang w:eastAsia="lt-LT"/>
        </w:rPr>
        <w:t> </w:t>
      </w:r>
      <w:r w:rsidRPr="003F564F">
        <w:rPr>
          <w:sz w:val="22"/>
          <w:szCs w:val="22"/>
          <w:lang w:eastAsia="lt-LT"/>
        </w:rPr>
        <w:t>laipsnio atitinkamai 34</w:t>
      </w:r>
      <w:r w:rsidR="004300CB" w:rsidRPr="003F564F">
        <w:rPr>
          <w:sz w:val="22"/>
          <w:szCs w:val="22"/>
          <w:lang w:eastAsia="lt-LT"/>
        </w:rPr>
        <w:t> </w:t>
      </w:r>
      <w:r w:rsidRPr="003F564F">
        <w:rPr>
          <w:sz w:val="22"/>
          <w:szCs w:val="22"/>
          <w:lang w:eastAsia="lt-LT"/>
        </w:rPr>
        <w:t>% ir 34</w:t>
      </w:r>
      <w:r w:rsidR="004300CB" w:rsidRPr="003F564F">
        <w:rPr>
          <w:sz w:val="22"/>
          <w:szCs w:val="22"/>
          <w:lang w:eastAsia="lt-LT"/>
        </w:rPr>
        <w:t> </w:t>
      </w:r>
      <w:r w:rsidRPr="003F564F">
        <w:rPr>
          <w:sz w:val="22"/>
          <w:szCs w:val="22"/>
          <w:lang w:eastAsia="lt-LT"/>
        </w:rPr>
        <w:t>% pacientų, III</w:t>
      </w:r>
      <w:r w:rsidR="004300CB" w:rsidRPr="003F564F">
        <w:rPr>
          <w:sz w:val="22"/>
          <w:szCs w:val="22"/>
          <w:lang w:eastAsia="lt-LT"/>
        </w:rPr>
        <w:t> </w:t>
      </w:r>
      <w:r w:rsidRPr="003F564F">
        <w:rPr>
          <w:sz w:val="22"/>
          <w:szCs w:val="22"/>
          <w:lang w:eastAsia="lt-LT"/>
        </w:rPr>
        <w:t>laipsnio atitinkamai 46</w:t>
      </w:r>
      <w:r w:rsidR="004300CB" w:rsidRPr="003F564F">
        <w:rPr>
          <w:sz w:val="22"/>
          <w:szCs w:val="22"/>
          <w:lang w:eastAsia="lt-LT"/>
        </w:rPr>
        <w:t> </w:t>
      </w:r>
      <w:r w:rsidRPr="003F564F">
        <w:rPr>
          <w:sz w:val="22"/>
          <w:szCs w:val="22"/>
          <w:lang w:eastAsia="lt-LT"/>
        </w:rPr>
        <w:t>% ir 47</w:t>
      </w:r>
      <w:r w:rsidR="004300CB" w:rsidRPr="003F564F">
        <w:rPr>
          <w:sz w:val="22"/>
          <w:szCs w:val="22"/>
          <w:lang w:eastAsia="lt-LT"/>
        </w:rPr>
        <w:t> </w:t>
      </w:r>
      <w:r w:rsidRPr="003F564F">
        <w:rPr>
          <w:sz w:val="22"/>
          <w:szCs w:val="22"/>
          <w:lang w:eastAsia="lt-LT"/>
        </w:rPr>
        <w:t>% pacientų, o IV</w:t>
      </w:r>
      <w:r w:rsidR="004300CB" w:rsidRPr="003F564F">
        <w:rPr>
          <w:sz w:val="22"/>
          <w:szCs w:val="22"/>
          <w:lang w:eastAsia="lt-LT"/>
        </w:rPr>
        <w:t> </w:t>
      </w:r>
      <w:r w:rsidRPr="003F564F">
        <w:rPr>
          <w:sz w:val="22"/>
          <w:szCs w:val="22"/>
          <w:lang w:eastAsia="lt-LT"/>
        </w:rPr>
        <w:t>laipsnio atitinkamai 20</w:t>
      </w:r>
      <w:r w:rsidR="004300CB" w:rsidRPr="003F564F">
        <w:rPr>
          <w:sz w:val="22"/>
          <w:szCs w:val="22"/>
          <w:lang w:eastAsia="lt-LT"/>
        </w:rPr>
        <w:t> </w:t>
      </w:r>
      <w:r w:rsidRPr="003F564F">
        <w:rPr>
          <w:sz w:val="22"/>
          <w:szCs w:val="22"/>
          <w:lang w:eastAsia="lt-LT"/>
        </w:rPr>
        <w:t>% ir 19</w:t>
      </w:r>
      <w:r w:rsidR="004300CB" w:rsidRPr="003F564F">
        <w:rPr>
          <w:sz w:val="22"/>
          <w:szCs w:val="22"/>
          <w:lang w:eastAsia="lt-LT"/>
        </w:rPr>
        <w:t> </w:t>
      </w:r>
      <w:r w:rsidRPr="003F564F">
        <w:rPr>
          <w:sz w:val="22"/>
          <w:szCs w:val="22"/>
          <w:lang w:eastAsia="lt-LT"/>
        </w:rPr>
        <w:t>% pacientų.</w:t>
      </w:r>
    </w:p>
    <w:p w14:paraId="317DA293" w14:textId="77777777" w:rsidR="00D3679D" w:rsidRPr="003F564F" w:rsidRDefault="00D3679D" w:rsidP="0036574D">
      <w:pPr>
        <w:rPr>
          <w:sz w:val="22"/>
          <w:szCs w:val="22"/>
          <w:lang w:eastAsia="lt-LT"/>
        </w:rPr>
      </w:pPr>
    </w:p>
    <w:p w14:paraId="1F2ED8B9" w14:textId="591CDB46" w:rsidR="00D3679D" w:rsidRPr="003F564F" w:rsidRDefault="00D3679D" w:rsidP="0036574D">
      <w:pPr>
        <w:rPr>
          <w:sz w:val="22"/>
          <w:szCs w:val="22"/>
          <w:lang w:eastAsia="lt-LT"/>
        </w:rPr>
      </w:pPr>
      <w:r w:rsidRPr="003F564F">
        <w:rPr>
          <w:sz w:val="22"/>
          <w:szCs w:val="22"/>
          <w:lang w:eastAsia="lt-LT"/>
        </w:rPr>
        <w:t xml:space="preserve">Nepakankamo atsako kortikosteroidams priežastys </w:t>
      </w:r>
      <w:proofErr w:type="spellStart"/>
      <w:r w:rsidR="00B20FA5" w:rsidRPr="003F564F">
        <w:rPr>
          <w:sz w:val="22"/>
          <w:szCs w:val="22"/>
          <w:lang w:eastAsia="lt-LT"/>
        </w:rPr>
        <w:t>ruksolitinibo</w:t>
      </w:r>
      <w:proofErr w:type="spellEnd"/>
      <w:r w:rsidR="00B20FA5" w:rsidRPr="003F564F">
        <w:rPr>
          <w:sz w:val="22"/>
          <w:szCs w:val="22"/>
          <w:lang w:eastAsia="lt-LT"/>
        </w:rPr>
        <w:t xml:space="preserve"> </w:t>
      </w:r>
      <w:r w:rsidRPr="003F564F">
        <w:rPr>
          <w:sz w:val="22"/>
          <w:szCs w:val="22"/>
          <w:lang w:eastAsia="lt-LT"/>
        </w:rPr>
        <w:t>ir GPG grupėse pacientams buvo tokios: i) nebuvo pasiekiamas atsakas per 7</w:t>
      </w:r>
      <w:r w:rsidR="00B20FA5" w:rsidRPr="003F564F">
        <w:rPr>
          <w:sz w:val="22"/>
          <w:szCs w:val="22"/>
          <w:lang w:eastAsia="lt-LT"/>
        </w:rPr>
        <w:t> </w:t>
      </w:r>
      <w:r w:rsidRPr="003F564F">
        <w:rPr>
          <w:sz w:val="22"/>
          <w:szCs w:val="22"/>
          <w:lang w:eastAsia="lt-LT"/>
        </w:rPr>
        <w:t>dienas gydant kortikosteroidais (atitinkamai 46,8</w:t>
      </w:r>
      <w:r w:rsidR="00B20FA5" w:rsidRPr="003F564F">
        <w:rPr>
          <w:sz w:val="22"/>
          <w:szCs w:val="22"/>
          <w:lang w:eastAsia="lt-LT"/>
        </w:rPr>
        <w:t> </w:t>
      </w:r>
      <w:r w:rsidRPr="003F564F">
        <w:rPr>
          <w:sz w:val="22"/>
          <w:szCs w:val="22"/>
          <w:lang w:eastAsia="lt-LT"/>
        </w:rPr>
        <w:t>% ir 40,6</w:t>
      </w:r>
      <w:r w:rsidR="00B20FA5" w:rsidRPr="003F564F">
        <w:rPr>
          <w:sz w:val="22"/>
          <w:szCs w:val="22"/>
          <w:lang w:eastAsia="lt-LT"/>
        </w:rPr>
        <w:t> </w:t>
      </w:r>
      <w:r w:rsidRPr="003F564F">
        <w:rPr>
          <w:sz w:val="22"/>
          <w:szCs w:val="22"/>
          <w:lang w:eastAsia="lt-LT"/>
        </w:rPr>
        <w:t>%), ii) nebuvo įmanoma mažinti kortikosteroidų dozės ir nutraukti jų vartojimo (atitinkamai 30,5</w:t>
      </w:r>
      <w:r w:rsidR="00B20FA5" w:rsidRPr="003F564F">
        <w:rPr>
          <w:sz w:val="22"/>
          <w:szCs w:val="22"/>
          <w:lang w:eastAsia="lt-LT"/>
        </w:rPr>
        <w:t> </w:t>
      </w:r>
      <w:r w:rsidRPr="003F564F">
        <w:rPr>
          <w:sz w:val="22"/>
          <w:szCs w:val="22"/>
          <w:lang w:eastAsia="lt-LT"/>
        </w:rPr>
        <w:t>% ir 31,6</w:t>
      </w:r>
      <w:r w:rsidR="00B20FA5" w:rsidRPr="003F564F">
        <w:rPr>
          <w:sz w:val="22"/>
          <w:szCs w:val="22"/>
          <w:lang w:eastAsia="lt-LT"/>
        </w:rPr>
        <w:t> </w:t>
      </w:r>
      <w:r w:rsidRPr="003F564F">
        <w:rPr>
          <w:sz w:val="22"/>
          <w:szCs w:val="22"/>
          <w:lang w:eastAsia="lt-LT"/>
        </w:rPr>
        <w:t>%) arba iii) liga progresavo po bent 3</w:t>
      </w:r>
      <w:r w:rsidR="00B20FA5" w:rsidRPr="003F564F">
        <w:rPr>
          <w:sz w:val="22"/>
          <w:szCs w:val="22"/>
          <w:lang w:eastAsia="lt-LT"/>
        </w:rPr>
        <w:t> </w:t>
      </w:r>
      <w:r w:rsidRPr="003F564F">
        <w:rPr>
          <w:sz w:val="22"/>
          <w:szCs w:val="22"/>
          <w:lang w:eastAsia="lt-LT"/>
        </w:rPr>
        <w:t>dienų gydymo (atitinkamai 22,7</w:t>
      </w:r>
      <w:r w:rsidR="00B20FA5" w:rsidRPr="003F564F">
        <w:rPr>
          <w:sz w:val="22"/>
          <w:szCs w:val="22"/>
          <w:lang w:eastAsia="lt-LT"/>
        </w:rPr>
        <w:t> </w:t>
      </w:r>
      <w:r w:rsidRPr="003F564F">
        <w:rPr>
          <w:sz w:val="22"/>
          <w:szCs w:val="22"/>
          <w:lang w:eastAsia="lt-LT"/>
        </w:rPr>
        <w:t>% ir 27,7</w:t>
      </w:r>
      <w:r w:rsidR="00B20FA5" w:rsidRPr="003F564F">
        <w:rPr>
          <w:sz w:val="22"/>
          <w:szCs w:val="22"/>
          <w:lang w:eastAsia="lt-LT"/>
        </w:rPr>
        <w:t> </w:t>
      </w:r>
      <w:r w:rsidRPr="003F564F">
        <w:rPr>
          <w:sz w:val="22"/>
          <w:szCs w:val="22"/>
          <w:lang w:eastAsia="lt-LT"/>
        </w:rPr>
        <w:t>%).</w:t>
      </w:r>
    </w:p>
    <w:p w14:paraId="37045A3A" w14:textId="77777777" w:rsidR="00D3679D" w:rsidRPr="003F564F" w:rsidRDefault="00D3679D" w:rsidP="0036574D">
      <w:pPr>
        <w:rPr>
          <w:sz w:val="22"/>
          <w:szCs w:val="22"/>
          <w:lang w:eastAsia="lt-LT"/>
        </w:rPr>
      </w:pPr>
    </w:p>
    <w:p w14:paraId="2AEF941E" w14:textId="482F1404" w:rsidR="00D3679D" w:rsidRPr="003F564F" w:rsidRDefault="00D3679D" w:rsidP="0036574D">
      <w:pPr>
        <w:rPr>
          <w:sz w:val="22"/>
          <w:szCs w:val="22"/>
          <w:lang w:eastAsia="lt-LT"/>
        </w:rPr>
      </w:pPr>
      <w:r w:rsidRPr="003F564F">
        <w:rPr>
          <w:sz w:val="22"/>
          <w:szCs w:val="22"/>
          <w:lang w:eastAsia="lt-LT"/>
        </w:rPr>
        <w:t xml:space="preserve">Tarp visų pacientų dažniausiai ūminės </w:t>
      </w:r>
      <w:proofErr w:type="spellStart"/>
      <w:r w:rsidRPr="003F564F">
        <w:rPr>
          <w:sz w:val="22"/>
          <w:szCs w:val="22"/>
          <w:lang w:eastAsia="lt-LT"/>
        </w:rPr>
        <w:t>TpŠL</w:t>
      </w:r>
      <w:proofErr w:type="spellEnd"/>
      <w:r w:rsidRPr="003F564F">
        <w:rPr>
          <w:sz w:val="22"/>
          <w:szCs w:val="22"/>
          <w:lang w:eastAsia="lt-LT"/>
        </w:rPr>
        <w:t xml:space="preserve"> pažeisti organai buvo tokie: oda (54,0</w:t>
      </w:r>
      <w:r w:rsidR="0016599D">
        <w:rPr>
          <w:sz w:val="22"/>
          <w:szCs w:val="22"/>
          <w:lang w:eastAsia="lt-LT"/>
        </w:rPr>
        <w:t> </w:t>
      </w:r>
      <w:r w:rsidRPr="003F564F">
        <w:rPr>
          <w:sz w:val="22"/>
          <w:szCs w:val="22"/>
          <w:lang w:eastAsia="lt-LT"/>
        </w:rPr>
        <w:t>%) ir apatinė virškinimo trakto dalis (68,3</w:t>
      </w:r>
      <w:r w:rsidR="00B20FA5" w:rsidRPr="003F564F">
        <w:rPr>
          <w:sz w:val="22"/>
          <w:szCs w:val="22"/>
          <w:lang w:eastAsia="lt-LT"/>
        </w:rPr>
        <w:t> </w:t>
      </w:r>
      <w:r w:rsidRPr="003F564F">
        <w:rPr>
          <w:sz w:val="22"/>
          <w:szCs w:val="22"/>
          <w:lang w:eastAsia="lt-LT"/>
        </w:rPr>
        <w:t xml:space="preserve">%). </w:t>
      </w:r>
      <w:proofErr w:type="spellStart"/>
      <w:r w:rsidR="00B20FA5" w:rsidRPr="003F564F">
        <w:rPr>
          <w:sz w:val="22"/>
          <w:szCs w:val="22"/>
          <w:lang w:eastAsia="lt-LT"/>
        </w:rPr>
        <w:t>ruksolitinibo</w:t>
      </w:r>
      <w:proofErr w:type="spellEnd"/>
      <w:r w:rsidR="00B20FA5" w:rsidRPr="003F564F">
        <w:rPr>
          <w:sz w:val="22"/>
          <w:szCs w:val="22"/>
          <w:lang w:eastAsia="lt-LT"/>
        </w:rPr>
        <w:t xml:space="preserve"> </w:t>
      </w:r>
      <w:r w:rsidRPr="003F564F">
        <w:rPr>
          <w:sz w:val="22"/>
          <w:szCs w:val="22"/>
          <w:lang w:eastAsia="lt-LT"/>
        </w:rPr>
        <w:t xml:space="preserve">vartojusiųjų grupėje didesnei daliai pacientų ūminė </w:t>
      </w:r>
      <w:proofErr w:type="spellStart"/>
      <w:r w:rsidRPr="003F564F">
        <w:rPr>
          <w:sz w:val="22"/>
          <w:szCs w:val="22"/>
          <w:lang w:eastAsia="lt-LT"/>
        </w:rPr>
        <w:t>TpŠL</w:t>
      </w:r>
      <w:proofErr w:type="spellEnd"/>
      <w:r w:rsidRPr="003F564F">
        <w:rPr>
          <w:sz w:val="22"/>
          <w:szCs w:val="22"/>
          <w:lang w:eastAsia="lt-LT"/>
        </w:rPr>
        <w:t xml:space="preserve"> pažeidė odą (60,4</w:t>
      </w:r>
      <w:r w:rsidR="00B20FA5" w:rsidRPr="003F564F">
        <w:rPr>
          <w:sz w:val="22"/>
          <w:szCs w:val="22"/>
          <w:lang w:eastAsia="lt-LT"/>
        </w:rPr>
        <w:t> </w:t>
      </w:r>
      <w:r w:rsidRPr="003F564F">
        <w:rPr>
          <w:sz w:val="22"/>
          <w:szCs w:val="22"/>
          <w:lang w:eastAsia="lt-LT"/>
        </w:rPr>
        <w:t>%) ir kepenis (23,4</w:t>
      </w:r>
      <w:r w:rsidR="00B20FA5" w:rsidRPr="003F564F">
        <w:rPr>
          <w:sz w:val="22"/>
          <w:szCs w:val="22"/>
          <w:lang w:eastAsia="lt-LT"/>
        </w:rPr>
        <w:t> </w:t>
      </w:r>
      <w:r w:rsidRPr="003F564F">
        <w:rPr>
          <w:sz w:val="22"/>
          <w:szCs w:val="22"/>
          <w:lang w:eastAsia="lt-LT"/>
        </w:rPr>
        <w:t>%), lyginant su GPG grupės pacientais (odos pažaida: 47,7</w:t>
      </w:r>
      <w:r w:rsidR="00B20FA5" w:rsidRPr="003F564F">
        <w:rPr>
          <w:sz w:val="22"/>
          <w:szCs w:val="22"/>
          <w:lang w:eastAsia="lt-LT"/>
        </w:rPr>
        <w:t> </w:t>
      </w:r>
      <w:r w:rsidRPr="003F564F">
        <w:rPr>
          <w:sz w:val="22"/>
          <w:szCs w:val="22"/>
          <w:lang w:eastAsia="lt-LT"/>
        </w:rPr>
        <w:t>%; kepenų pažaida: 16,1</w:t>
      </w:r>
      <w:r w:rsidR="00B20FA5" w:rsidRPr="003F564F">
        <w:rPr>
          <w:sz w:val="22"/>
          <w:szCs w:val="22"/>
          <w:lang w:eastAsia="lt-LT"/>
        </w:rPr>
        <w:t> </w:t>
      </w:r>
      <w:r w:rsidRPr="003F564F">
        <w:rPr>
          <w:sz w:val="22"/>
          <w:szCs w:val="22"/>
          <w:lang w:eastAsia="lt-LT"/>
        </w:rPr>
        <w:t>%).</w:t>
      </w:r>
    </w:p>
    <w:p w14:paraId="1B35AFED" w14:textId="77777777" w:rsidR="00D3679D" w:rsidRPr="003F564F" w:rsidRDefault="00D3679D" w:rsidP="0036574D">
      <w:pPr>
        <w:rPr>
          <w:sz w:val="22"/>
          <w:szCs w:val="22"/>
          <w:lang w:eastAsia="lt-LT"/>
        </w:rPr>
      </w:pPr>
    </w:p>
    <w:p w14:paraId="040DE58C" w14:textId="68961AD0" w:rsidR="00D3679D" w:rsidRPr="003F564F" w:rsidRDefault="00D3679D" w:rsidP="0036574D">
      <w:pPr>
        <w:rPr>
          <w:sz w:val="22"/>
          <w:szCs w:val="22"/>
          <w:lang w:eastAsia="lt-LT"/>
        </w:rPr>
      </w:pPr>
      <w:r w:rsidRPr="003F564F">
        <w:rPr>
          <w:sz w:val="22"/>
          <w:szCs w:val="22"/>
          <w:lang w:eastAsia="lt-LT"/>
        </w:rPr>
        <w:t xml:space="preserve">Dažniausiai anksčiau skirti sisteminio poveikio vaistiniai preparatai ūminei </w:t>
      </w:r>
      <w:proofErr w:type="spellStart"/>
      <w:r w:rsidRPr="003F564F">
        <w:rPr>
          <w:sz w:val="22"/>
          <w:szCs w:val="22"/>
          <w:lang w:eastAsia="lt-LT"/>
        </w:rPr>
        <w:t>TpŠL</w:t>
      </w:r>
      <w:proofErr w:type="spellEnd"/>
      <w:r w:rsidRPr="003F564F">
        <w:rPr>
          <w:sz w:val="22"/>
          <w:szCs w:val="22"/>
          <w:lang w:eastAsia="lt-LT"/>
        </w:rPr>
        <w:t xml:space="preserve"> gydyti buvo kortikosteroidų ir KNI derinys (49,4</w:t>
      </w:r>
      <w:r w:rsidR="00B20FA5" w:rsidRPr="003F564F">
        <w:rPr>
          <w:sz w:val="22"/>
          <w:szCs w:val="22"/>
          <w:lang w:eastAsia="lt-LT"/>
        </w:rPr>
        <w:t> </w:t>
      </w:r>
      <w:r w:rsidRPr="003F564F">
        <w:rPr>
          <w:sz w:val="22"/>
          <w:szCs w:val="22"/>
          <w:lang w:eastAsia="lt-LT"/>
        </w:rPr>
        <w:t xml:space="preserve">% pacientų </w:t>
      </w:r>
      <w:proofErr w:type="spellStart"/>
      <w:r w:rsidR="00B20FA5" w:rsidRPr="003F564F">
        <w:rPr>
          <w:sz w:val="22"/>
          <w:szCs w:val="22"/>
          <w:lang w:eastAsia="lt-LT"/>
        </w:rPr>
        <w:t>ruksolitinibo</w:t>
      </w:r>
      <w:proofErr w:type="spellEnd"/>
      <w:r w:rsidR="00B20FA5" w:rsidRPr="003F564F">
        <w:rPr>
          <w:sz w:val="22"/>
          <w:szCs w:val="22"/>
          <w:lang w:eastAsia="lt-LT"/>
        </w:rPr>
        <w:t xml:space="preserve"> </w:t>
      </w:r>
      <w:r w:rsidRPr="003F564F">
        <w:rPr>
          <w:sz w:val="22"/>
          <w:szCs w:val="22"/>
          <w:lang w:eastAsia="lt-LT"/>
        </w:rPr>
        <w:t>grupėje ir 49,0</w:t>
      </w:r>
      <w:r w:rsidR="00B20FA5" w:rsidRPr="003F564F">
        <w:rPr>
          <w:sz w:val="22"/>
          <w:szCs w:val="22"/>
          <w:lang w:eastAsia="lt-LT"/>
        </w:rPr>
        <w:t> </w:t>
      </w:r>
      <w:r w:rsidRPr="003F564F">
        <w:rPr>
          <w:sz w:val="22"/>
          <w:szCs w:val="22"/>
          <w:lang w:eastAsia="lt-LT"/>
        </w:rPr>
        <w:t>% pacientų GPG grupėje).</w:t>
      </w:r>
    </w:p>
    <w:p w14:paraId="31A69BFA" w14:textId="77777777" w:rsidR="00D3679D" w:rsidRPr="003F564F" w:rsidRDefault="00D3679D" w:rsidP="0036574D">
      <w:pPr>
        <w:rPr>
          <w:sz w:val="22"/>
          <w:szCs w:val="22"/>
          <w:lang w:eastAsia="lt-LT"/>
        </w:rPr>
      </w:pPr>
    </w:p>
    <w:p w14:paraId="532E7F52" w14:textId="59460C2E" w:rsidR="00D3679D" w:rsidRPr="003F564F" w:rsidRDefault="00D3679D" w:rsidP="0036574D">
      <w:pPr>
        <w:rPr>
          <w:sz w:val="22"/>
          <w:szCs w:val="22"/>
          <w:lang w:eastAsia="lt-LT"/>
        </w:rPr>
      </w:pPr>
      <w:r w:rsidRPr="003F564F">
        <w:rPr>
          <w:sz w:val="22"/>
          <w:szCs w:val="22"/>
          <w:lang w:eastAsia="lt-LT"/>
        </w:rPr>
        <w:t>Pagrindinė vertinamoji baigtis buvo bendrasis atsako dažnis (BAD) 28</w:t>
      </w:r>
      <w:r w:rsidR="00B20FA5" w:rsidRPr="003F564F">
        <w:rPr>
          <w:sz w:val="22"/>
          <w:szCs w:val="22"/>
          <w:lang w:eastAsia="lt-LT"/>
        </w:rPr>
        <w:noBreakHyphen/>
      </w:r>
      <w:r w:rsidRPr="003F564F">
        <w:rPr>
          <w:sz w:val="22"/>
          <w:szCs w:val="22"/>
          <w:lang w:eastAsia="lt-LT"/>
        </w:rPr>
        <w:t xml:space="preserve">ąją dieną, apibrėžiamas kaip pacientų dalis kiekvienoje tiriamojoje grupėje, kuriems pasiektas visiškas atsakas (VA) arba dalinis atsakas (DA) be papildomo sisteminio poveikio gydymo poreikio ligos progresavimui gydyti, mišrus atsakas arba nepasiektas atsakas, vertinant tyrėjo sprendimu pagal </w:t>
      </w:r>
      <w:proofErr w:type="spellStart"/>
      <w:r w:rsidRPr="003F564F">
        <w:rPr>
          <w:i/>
          <w:iCs/>
          <w:sz w:val="22"/>
          <w:szCs w:val="22"/>
          <w:lang w:eastAsia="lt-LT"/>
        </w:rPr>
        <w:t>Harris</w:t>
      </w:r>
      <w:proofErr w:type="spellEnd"/>
      <w:r w:rsidRPr="003F564F">
        <w:rPr>
          <w:i/>
          <w:iCs/>
          <w:sz w:val="22"/>
          <w:szCs w:val="22"/>
          <w:lang w:eastAsia="lt-LT"/>
        </w:rPr>
        <w:t xml:space="preserve"> et al.</w:t>
      </w:r>
      <w:r w:rsidRPr="003F564F">
        <w:rPr>
          <w:sz w:val="22"/>
          <w:szCs w:val="22"/>
          <w:lang w:eastAsia="lt-LT"/>
        </w:rPr>
        <w:t xml:space="preserve"> (2016) kriterijus.</w:t>
      </w:r>
    </w:p>
    <w:p w14:paraId="119DD555" w14:textId="77777777" w:rsidR="00D3679D" w:rsidRPr="003F564F" w:rsidRDefault="00D3679D" w:rsidP="0036574D">
      <w:pPr>
        <w:rPr>
          <w:sz w:val="22"/>
          <w:szCs w:val="22"/>
          <w:lang w:eastAsia="lt-LT"/>
        </w:rPr>
      </w:pPr>
    </w:p>
    <w:p w14:paraId="13C5D444" w14:textId="230428BA" w:rsidR="00D3679D" w:rsidRPr="003F564F" w:rsidRDefault="00D3679D" w:rsidP="0036574D">
      <w:pPr>
        <w:rPr>
          <w:sz w:val="22"/>
          <w:szCs w:val="22"/>
          <w:lang w:eastAsia="lt-LT"/>
        </w:rPr>
      </w:pPr>
      <w:r w:rsidRPr="003F564F">
        <w:rPr>
          <w:sz w:val="22"/>
          <w:szCs w:val="22"/>
          <w:lang w:eastAsia="lt-LT"/>
        </w:rPr>
        <w:t>Svarbiausia antrinė vertinamoji baigtis buvo pacientų dalis, kuriems buvo pasiektas VA arba DA 28</w:t>
      </w:r>
      <w:r w:rsidR="00B20FA5" w:rsidRPr="003F564F">
        <w:rPr>
          <w:sz w:val="22"/>
          <w:szCs w:val="22"/>
          <w:lang w:eastAsia="lt-LT"/>
        </w:rPr>
        <w:noBreakHyphen/>
      </w:r>
      <w:r w:rsidRPr="003F564F">
        <w:rPr>
          <w:sz w:val="22"/>
          <w:szCs w:val="22"/>
          <w:lang w:eastAsia="lt-LT"/>
        </w:rPr>
        <w:t>ąją dieną ir VA arba DA išliko iki 56</w:t>
      </w:r>
      <w:r w:rsidR="00B20FA5" w:rsidRPr="003F564F">
        <w:rPr>
          <w:sz w:val="22"/>
          <w:szCs w:val="22"/>
          <w:lang w:eastAsia="lt-LT"/>
        </w:rPr>
        <w:noBreakHyphen/>
      </w:r>
      <w:r w:rsidRPr="003F564F">
        <w:rPr>
          <w:sz w:val="22"/>
          <w:szCs w:val="22"/>
          <w:lang w:eastAsia="lt-LT"/>
        </w:rPr>
        <w:t>osios dienos.</w:t>
      </w:r>
    </w:p>
    <w:p w14:paraId="0383BAF0" w14:textId="77777777" w:rsidR="00D3679D" w:rsidRPr="003F564F" w:rsidRDefault="00D3679D" w:rsidP="0036574D">
      <w:pPr>
        <w:rPr>
          <w:sz w:val="22"/>
          <w:szCs w:val="22"/>
          <w:lang w:eastAsia="lt-LT"/>
        </w:rPr>
      </w:pPr>
    </w:p>
    <w:p w14:paraId="00E6D819" w14:textId="7B3F3EAD" w:rsidR="00D3679D" w:rsidRPr="003F564F" w:rsidRDefault="00D3679D" w:rsidP="0036574D">
      <w:pPr>
        <w:rPr>
          <w:sz w:val="22"/>
          <w:szCs w:val="22"/>
          <w:lang w:eastAsia="lt-LT"/>
        </w:rPr>
      </w:pPr>
      <w:r w:rsidRPr="003F564F">
        <w:rPr>
          <w:sz w:val="22"/>
          <w:szCs w:val="22"/>
          <w:lang w:eastAsia="lt-LT"/>
        </w:rPr>
        <w:t>REACH2 tyrimo metu buvo pasiektas pagrindinis jo tikslas. BAD rodmuo 28</w:t>
      </w:r>
      <w:r w:rsidR="00B20FA5" w:rsidRPr="003F564F">
        <w:rPr>
          <w:sz w:val="22"/>
          <w:szCs w:val="22"/>
          <w:lang w:eastAsia="lt-LT"/>
        </w:rPr>
        <w:noBreakHyphen/>
      </w:r>
      <w:r w:rsidRPr="003F564F">
        <w:rPr>
          <w:sz w:val="22"/>
          <w:szCs w:val="22"/>
          <w:lang w:eastAsia="lt-LT"/>
        </w:rPr>
        <w:t xml:space="preserve">ąją gydymo dieną buvo didesnis </w:t>
      </w:r>
      <w:proofErr w:type="spellStart"/>
      <w:r w:rsidR="00B20FA5" w:rsidRPr="003F564F">
        <w:rPr>
          <w:sz w:val="22"/>
          <w:szCs w:val="22"/>
          <w:lang w:eastAsia="lt-LT"/>
        </w:rPr>
        <w:t>ruksolitinibo</w:t>
      </w:r>
      <w:proofErr w:type="spellEnd"/>
      <w:r w:rsidR="00B20FA5" w:rsidRPr="003F564F">
        <w:rPr>
          <w:sz w:val="22"/>
          <w:szCs w:val="22"/>
          <w:lang w:eastAsia="lt-LT"/>
        </w:rPr>
        <w:t xml:space="preserve"> </w:t>
      </w:r>
      <w:r w:rsidRPr="003F564F">
        <w:rPr>
          <w:sz w:val="22"/>
          <w:szCs w:val="22"/>
          <w:lang w:eastAsia="lt-LT"/>
        </w:rPr>
        <w:t>grupėje (62,3</w:t>
      </w:r>
      <w:r w:rsidR="00B20FA5" w:rsidRPr="003F564F">
        <w:rPr>
          <w:sz w:val="22"/>
          <w:szCs w:val="22"/>
          <w:lang w:eastAsia="lt-LT"/>
        </w:rPr>
        <w:t> </w:t>
      </w:r>
      <w:r w:rsidRPr="003F564F">
        <w:rPr>
          <w:sz w:val="22"/>
          <w:szCs w:val="22"/>
          <w:lang w:eastAsia="lt-LT"/>
        </w:rPr>
        <w:t>%), lyginant su GPG grupe (39,4</w:t>
      </w:r>
      <w:r w:rsidR="00B20FA5" w:rsidRPr="003F564F">
        <w:rPr>
          <w:sz w:val="22"/>
          <w:szCs w:val="22"/>
          <w:lang w:eastAsia="lt-LT"/>
        </w:rPr>
        <w:t> </w:t>
      </w:r>
      <w:r w:rsidRPr="003F564F">
        <w:rPr>
          <w:sz w:val="22"/>
          <w:szCs w:val="22"/>
          <w:lang w:eastAsia="lt-LT"/>
        </w:rPr>
        <w:t>%). Nustatytas statistiškai reikšmingas skirtumas tarp tiriamųjų grupių (</w:t>
      </w:r>
      <w:proofErr w:type="spellStart"/>
      <w:r w:rsidRPr="003F564F">
        <w:rPr>
          <w:sz w:val="22"/>
          <w:szCs w:val="22"/>
          <w:lang w:eastAsia="lt-LT"/>
        </w:rPr>
        <w:t>stratifikuoto</w:t>
      </w:r>
      <w:proofErr w:type="spellEnd"/>
      <w:r w:rsidRPr="003F564F">
        <w:rPr>
          <w:sz w:val="22"/>
          <w:szCs w:val="22"/>
          <w:lang w:eastAsia="lt-LT"/>
        </w:rPr>
        <w:t xml:space="preserve"> </w:t>
      </w:r>
      <w:proofErr w:type="spellStart"/>
      <w:r w:rsidRPr="003F564F">
        <w:rPr>
          <w:i/>
          <w:iCs/>
          <w:sz w:val="22"/>
          <w:szCs w:val="22"/>
          <w:lang w:eastAsia="lt-LT"/>
        </w:rPr>
        <w:t>Cochrane-Mantel-Haenszel</w:t>
      </w:r>
      <w:proofErr w:type="spellEnd"/>
      <w:r w:rsidRPr="003F564F">
        <w:rPr>
          <w:sz w:val="22"/>
          <w:szCs w:val="22"/>
          <w:lang w:eastAsia="lt-LT"/>
        </w:rPr>
        <w:t xml:space="preserve"> testo p</w:t>
      </w:r>
      <w:r w:rsidR="00B20FA5" w:rsidRPr="003F564F">
        <w:rPr>
          <w:sz w:val="22"/>
          <w:szCs w:val="22"/>
          <w:lang w:eastAsia="lt-LT"/>
        </w:rPr>
        <w:t> </w:t>
      </w:r>
      <w:r w:rsidRPr="003F564F">
        <w:rPr>
          <w:sz w:val="22"/>
          <w:szCs w:val="22"/>
          <w:lang w:eastAsia="lt-LT"/>
        </w:rPr>
        <w:t>&lt;</w:t>
      </w:r>
      <w:r w:rsidR="00B20FA5" w:rsidRPr="003F564F">
        <w:rPr>
          <w:sz w:val="22"/>
          <w:szCs w:val="22"/>
          <w:lang w:eastAsia="lt-LT"/>
        </w:rPr>
        <w:t> </w:t>
      </w:r>
      <w:r w:rsidRPr="003F564F">
        <w:rPr>
          <w:sz w:val="22"/>
          <w:szCs w:val="22"/>
          <w:lang w:eastAsia="lt-LT"/>
        </w:rPr>
        <w:t>0,0001, dvikryptis; šansų santykis: 2,64; 95</w:t>
      </w:r>
      <w:r w:rsidR="00B20FA5" w:rsidRPr="003F564F">
        <w:rPr>
          <w:sz w:val="22"/>
          <w:szCs w:val="22"/>
          <w:lang w:eastAsia="lt-LT"/>
        </w:rPr>
        <w:t> </w:t>
      </w:r>
      <w:r w:rsidRPr="003F564F">
        <w:rPr>
          <w:sz w:val="22"/>
          <w:szCs w:val="22"/>
          <w:lang w:eastAsia="lt-LT"/>
        </w:rPr>
        <w:t>% PI: 1,65; 4,22).</w:t>
      </w:r>
    </w:p>
    <w:p w14:paraId="2CBC363E" w14:textId="77777777" w:rsidR="00D3679D" w:rsidRPr="003F564F" w:rsidRDefault="00D3679D" w:rsidP="0036574D">
      <w:pPr>
        <w:rPr>
          <w:sz w:val="22"/>
          <w:szCs w:val="22"/>
          <w:lang w:eastAsia="lt-LT"/>
        </w:rPr>
      </w:pPr>
    </w:p>
    <w:p w14:paraId="1058546D" w14:textId="6ED3A033" w:rsidR="00D3679D" w:rsidRPr="003F564F" w:rsidRDefault="00D3679D" w:rsidP="0036574D">
      <w:pPr>
        <w:rPr>
          <w:sz w:val="22"/>
          <w:szCs w:val="22"/>
          <w:lang w:eastAsia="lt-LT"/>
        </w:rPr>
      </w:pPr>
      <w:r w:rsidRPr="003F564F">
        <w:rPr>
          <w:sz w:val="22"/>
          <w:szCs w:val="22"/>
          <w:lang w:eastAsia="lt-LT"/>
        </w:rPr>
        <w:t xml:space="preserve">Be to, </w:t>
      </w:r>
      <w:proofErr w:type="spellStart"/>
      <w:r w:rsidR="00B20FA5" w:rsidRPr="003F564F">
        <w:rPr>
          <w:sz w:val="22"/>
          <w:szCs w:val="22"/>
          <w:lang w:eastAsia="lt-LT"/>
        </w:rPr>
        <w:t>ruksolitinibo</w:t>
      </w:r>
      <w:proofErr w:type="spellEnd"/>
      <w:r w:rsidR="00B20FA5" w:rsidRPr="003F564F">
        <w:rPr>
          <w:sz w:val="22"/>
          <w:szCs w:val="22"/>
          <w:lang w:eastAsia="lt-LT"/>
        </w:rPr>
        <w:t xml:space="preserve"> </w:t>
      </w:r>
      <w:r w:rsidRPr="003F564F">
        <w:rPr>
          <w:sz w:val="22"/>
          <w:szCs w:val="22"/>
          <w:lang w:eastAsia="lt-LT"/>
        </w:rPr>
        <w:t>grupėje didesnei pacientų daliai pasiektas visiškas atsakas (34,4</w:t>
      </w:r>
      <w:r w:rsidR="00B20FA5" w:rsidRPr="003F564F">
        <w:rPr>
          <w:sz w:val="22"/>
          <w:szCs w:val="22"/>
          <w:lang w:eastAsia="lt-LT"/>
        </w:rPr>
        <w:t> </w:t>
      </w:r>
      <w:r w:rsidRPr="003F564F">
        <w:rPr>
          <w:sz w:val="22"/>
          <w:szCs w:val="22"/>
          <w:lang w:eastAsia="lt-LT"/>
        </w:rPr>
        <w:t>%), lyginant su GPG grupe (19,4</w:t>
      </w:r>
      <w:r w:rsidR="00B20FA5" w:rsidRPr="003F564F">
        <w:rPr>
          <w:sz w:val="22"/>
          <w:szCs w:val="22"/>
          <w:lang w:eastAsia="lt-LT"/>
        </w:rPr>
        <w:t> </w:t>
      </w:r>
      <w:r w:rsidRPr="003F564F">
        <w:rPr>
          <w:sz w:val="22"/>
          <w:szCs w:val="22"/>
          <w:lang w:eastAsia="lt-LT"/>
        </w:rPr>
        <w:t>%).</w:t>
      </w:r>
    </w:p>
    <w:p w14:paraId="3AD0655B" w14:textId="77777777" w:rsidR="00D3679D" w:rsidRPr="003F564F" w:rsidRDefault="00D3679D" w:rsidP="0036574D">
      <w:pPr>
        <w:rPr>
          <w:sz w:val="22"/>
          <w:szCs w:val="22"/>
          <w:lang w:eastAsia="lt-LT"/>
        </w:rPr>
      </w:pPr>
    </w:p>
    <w:p w14:paraId="7C7626F2" w14:textId="1B6E172B" w:rsidR="00D3679D" w:rsidRPr="003F564F" w:rsidRDefault="00D3679D" w:rsidP="0036574D">
      <w:pPr>
        <w:rPr>
          <w:sz w:val="22"/>
          <w:szCs w:val="22"/>
          <w:lang w:eastAsia="lt-LT"/>
        </w:rPr>
      </w:pPr>
      <w:r w:rsidRPr="003F564F">
        <w:rPr>
          <w:sz w:val="22"/>
          <w:szCs w:val="22"/>
          <w:lang w:eastAsia="lt-LT"/>
        </w:rPr>
        <w:t>28</w:t>
      </w:r>
      <w:r w:rsidR="00B20FA5" w:rsidRPr="003F564F">
        <w:rPr>
          <w:sz w:val="22"/>
          <w:szCs w:val="22"/>
          <w:lang w:eastAsia="lt-LT"/>
        </w:rPr>
        <w:noBreakHyphen/>
      </w:r>
      <w:r w:rsidRPr="003F564F">
        <w:rPr>
          <w:sz w:val="22"/>
          <w:szCs w:val="22"/>
          <w:lang w:eastAsia="lt-LT"/>
        </w:rPr>
        <w:t>ąją dieną nustatytas BAD rodmuo buvo 76</w:t>
      </w:r>
      <w:r w:rsidR="00B20FA5" w:rsidRPr="003F564F">
        <w:rPr>
          <w:sz w:val="22"/>
          <w:szCs w:val="22"/>
          <w:lang w:eastAsia="lt-LT"/>
        </w:rPr>
        <w:t> </w:t>
      </w:r>
      <w:r w:rsidRPr="003F564F">
        <w:rPr>
          <w:sz w:val="22"/>
          <w:szCs w:val="22"/>
          <w:lang w:eastAsia="lt-LT"/>
        </w:rPr>
        <w:t>% II</w:t>
      </w:r>
      <w:r w:rsidR="00B20FA5" w:rsidRPr="003F564F">
        <w:rPr>
          <w:sz w:val="22"/>
          <w:szCs w:val="22"/>
          <w:lang w:eastAsia="lt-LT"/>
        </w:rPr>
        <w:t> </w:t>
      </w:r>
      <w:r w:rsidRPr="003F564F">
        <w:rPr>
          <w:sz w:val="22"/>
          <w:szCs w:val="22"/>
          <w:lang w:eastAsia="lt-LT"/>
        </w:rPr>
        <w:t xml:space="preserve">laipsnio </w:t>
      </w:r>
      <w:proofErr w:type="spellStart"/>
      <w:r w:rsidRPr="003F564F">
        <w:rPr>
          <w:sz w:val="22"/>
          <w:szCs w:val="22"/>
          <w:lang w:eastAsia="lt-LT"/>
        </w:rPr>
        <w:t>TpŠL</w:t>
      </w:r>
      <w:proofErr w:type="spellEnd"/>
      <w:r w:rsidRPr="003F564F">
        <w:rPr>
          <w:sz w:val="22"/>
          <w:szCs w:val="22"/>
          <w:lang w:eastAsia="lt-LT"/>
        </w:rPr>
        <w:t>, 56</w:t>
      </w:r>
      <w:r w:rsidR="00B20FA5" w:rsidRPr="003F564F">
        <w:rPr>
          <w:sz w:val="22"/>
          <w:szCs w:val="22"/>
          <w:lang w:eastAsia="lt-LT"/>
        </w:rPr>
        <w:t> </w:t>
      </w:r>
      <w:r w:rsidRPr="003F564F">
        <w:rPr>
          <w:sz w:val="22"/>
          <w:szCs w:val="22"/>
          <w:lang w:eastAsia="lt-LT"/>
        </w:rPr>
        <w:t>% III</w:t>
      </w:r>
      <w:r w:rsidR="00B20FA5" w:rsidRPr="003F564F">
        <w:rPr>
          <w:sz w:val="22"/>
          <w:szCs w:val="22"/>
          <w:lang w:eastAsia="lt-LT"/>
        </w:rPr>
        <w:t> </w:t>
      </w:r>
      <w:r w:rsidRPr="003F564F">
        <w:rPr>
          <w:sz w:val="22"/>
          <w:szCs w:val="22"/>
          <w:lang w:eastAsia="lt-LT"/>
        </w:rPr>
        <w:t xml:space="preserve">laipsnio </w:t>
      </w:r>
      <w:proofErr w:type="spellStart"/>
      <w:r w:rsidRPr="003F564F">
        <w:rPr>
          <w:sz w:val="22"/>
          <w:szCs w:val="22"/>
          <w:lang w:eastAsia="lt-LT"/>
        </w:rPr>
        <w:t>TpŠL</w:t>
      </w:r>
      <w:proofErr w:type="spellEnd"/>
      <w:r w:rsidRPr="003F564F">
        <w:rPr>
          <w:sz w:val="22"/>
          <w:szCs w:val="22"/>
          <w:lang w:eastAsia="lt-LT"/>
        </w:rPr>
        <w:t xml:space="preserve"> ir 53</w:t>
      </w:r>
      <w:r w:rsidR="00B20FA5" w:rsidRPr="003F564F">
        <w:rPr>
          <w:sz w:val="22"/>
          <w:szCs w:val="22"/>
          <w:lang w:eastAsia="lt-LT"/>
        </w:rPr>
        <w:t> </w:t>
      </w:r>
      <w:r w:rsidRPr="003F564F">
        <w:rPr>
          <w:sz w:val="22"/>
          <w:szCs w:val="22"/>
          <w:lang w:eastAsia="lt-LT"/>
        </w:rPr>
        <w:t>% IV</w:t>
      </w:r>
      <w:r w:rsidR="00B20FA5" w:rsidRPr="003F564F">
        <w:rPr>
          <w:sz w:val="22"/>
          <w:szCs w:val="22"/>
          <w:lang w:eastAsia="lt-LT"/>
        </w:rPr>
        <w:t> </w:t>
      </w:r>
      <w:r w:rsidRPr="003F564F">
        <w:rPr>
          <w:sz w:val="22"/>
          <w:szCs w:val="22"/>
          <w:lang w:eastAsia="lt-LT"/>
        </w:rPr>
        <w:t xml:space="preserve">laipsnio </w:t>
      </w:r>
      <w:proofErr w:type="spellStart"/>
      <w:r w:rsidRPr="003F564F">
        <w:rPr>
          <w:sz w:val="22"/>
          <w:szCs w:val="22"/>
          <w:lang w:eastAsia="lt-LT"/>
        </w:rPr>
        <w:t>TpŠL</w:t>
      </w:r>
      <w:proofErr w:type="spellEnd"/>
      <w:r w:rsidRPr="003F564F">
        <w:rPr>
          <w:sz w:val="22"/>
          <w:szCs w:val="22"/>
          <w:lang w:eastAsia="lt-LT"/>
        </w:rPr>
        <w:t xml:space="preserve"> sirgusiems pacientams </w:t>
      </w:r>
      <w:proofErr w:type="spellStart"/>
      <w:r w:rsidR="00B20FA5" w:rsidRPr="003F564F">
        <w:rPr>
          <w:sz w:val="22"/>
          <w:szCs w:val="22"/>
          <w:lang w:eastAsia="lt-LT"/>
        </w:rPr>
        <w:t>ruksolitinibo</w:t>
      </w:r>
      <w:proofErr w:type="spellEnd"/>
      <w:r w:rsidR="00B20FA5" w:rsidRPr="003F564F">
        <w:rPr>
          <w:sz w:val="22"/>
          <w:szCs w:val="22"/>
          <w:lang w:eastAsia="lt-LT"/>
        </w:rPr>
        <w:t xml:space="preserve"> </w:t>
      </w:r>
      <w:r w:rsidRPr="003F564F">
        <w:rPr>
          <w:sz w:val="22"/>
          <w:szCs w:val="22"/>
          <w:lang w:eastAsia="lt-LT"/>
        </w:rPr>
        <w:t>grupėje bei 51</w:t>
      </w:r>
      <w:r w:rsidR="00B20FA5" w:rsidRPr="003F564F">
        <w:rPr>
          <w:sz w:val="22"/>
          <w:szCs w:val="22"/>
          <w:lang w:eastAsia="lt-LT"/>
        </w:rPr>
        <w:t> </w:t>
      </w:r>
      <w:r w:rsidRPr="003F564F">
        <w:rPr>
          <w:sz w:val="22"/>
          <w:szCs w:val="22"/>
          <w:lang w:eastAsia="lt-LT"/>
        </w:rPr>
        <w:t>% II</w:t>
      </w:r>
      <w:r w:rsidR="00B20FA5" w:rsidRPr="003F564F">
        <w:rPr>
          <w:sz w:val="22"/>
          <w:szCs w:val="22"/>
          <w:lang w:eastAsia="lt-LT"/>
        </w:rPr>
        <w:t> </w:t>
      </w:r>
      <w:r w:rsidRPr="003F564F">
        <w:rPr>
          <w:sz w:val="22"/>
          <w:szCs w:val="22"/>
          <w:lang w:eastAsia="lt-LT"/>
        </w:rPr>
        <w:t xml:space="preserve">laipsnio </w:t>
      </w:r>
      <w:proofErr w:type="spellStart"/>
      <w:r w:rsidRPr="003F564F">
        <w:rPr>
          <w:sz w:val="22"/>
          <w:szCs w:val="22"/>
          <w:lang w:eastAsia="lt-LT"/>
        </w:rPr>
        <w:t>TpŠL</w:t>
      </w:r>
      <w:proofErr w:type="spellEnd"/>
      <w:r w:rsidRPr="003F564F">
        <w:rPr>
          <w:sz w:val="22"/>
          <w:szCs w:val="22"/>
          <w:lang w:eastAsia="lt-LT"/>
        </w:rPr>
        <w:t>, 38</w:t>
      </w:r>
      <w:r w:rsidR="00B20FA5" w:rsidRPr="003F564F">
        <w:rPr>
          <w:sz w:val="22"/>
          <w:szCs w:val="22"/>
          <w:lang w:eastAsia="lt-LT"/>
        </w:rPr>
        <w:t> </w:t>
      </w:r>
      <w:r w:rsidRPr="003F564F">
        <w:rPr>
          <w:sz w:val="22"/>
          <w:szCs w:val="22"/>
          <w:lang w:eastAsia="lt-LT"/>
        </w:rPr>
        <w:t>% III</w:t>
      </w:r>
      <w:r w:rsidR="00B20FA5" w:rsidRPr="003F564F">
        <w:rPr>
          <w:sz w:val="22"/>
          <w:szCs w:val="22"/>
          <w:lang w:eastAsia="lt-LT"/>
        </w:rPr>
        <w:t> </w:t>
      </w:r>
      <w:r w:rsidRPr="003F564F">
        <w:rPr>
          <w:sz w:val="22"/>
          <w:szCs w:val="22"/>
          <w:lang w:eastAsia="lt-LT"/>
        </w:rPr>
        <w:t xml:space="preserve">laipsnio </w:t>
      </w:r>
      <w:proofErr w:type="spellStart"/>
      <w:r w:rsidRPr="003F564F">
        <w:rPr>
          <w:sz w:val="22"/>
          <w:szCs w:val="22"/>
          <w:lang w:eastAsia="lt-LT"/>
        </w:rPr>
        <w:t>TpŠL</w:t>
      </w:r>
      <w:proofErr w:type="spellEnd"/>
      <w:r w:rsidRPr="003F564F">
        <w:rPr>
          <w:sz w:val="22"/>
          <w:szCs w:val="22"/>
          <w:lang w:eastAsia="lt-LT"/>
        </w:rPr>
        <w:t xml:space="preserve"> ir 23</w:t>
      </w:r>
      <w:r w:rsidR="00B20FA5" w:rsidRPr="003F564F">
        <w:rPr>
          <w:sz w:val="22"/>
          <w:szCs w:val="22"/>
          <w:lang w:eastAsia="lt-LT"/>
        </w:rPr>
        <w:t> </w:t>
      </w:r>
      <w:r w:rsidRPr="003F564F">
        <w:rPr>
          <w:sz w:val="22"/>
          <w:szCs w:val="22"/>
          <w:lang w:eastAsia="lt-LT"/>
        </w:rPr>
        <w:t>% IV</w:t>
      </w:r>
      <w:r w:rsidR="00B20FA5" w:rsidRPr="003F564F">
        <w:rPr>
          <w:sz w:val="22"/>
          <w:szCs w:val="22"/>
          <w:lang w:eastAsia="lt-LT"/>
        </w:rPr>
        <w:t> </w:t>
      </w:r>
      <w:r w:rsidRPr="003F564F">
        <w:rPr>
          <w:sz w:val="22"/>
          <w:szCs w:val="22"/>
          <w:lang w:eastAsia="lt-LT"/>
        </w:rPr>
        <w:t xml:space="preserve">laipsnio </w:t>
      </w:r>
      <w:proofErr w:type="spellStart"/>
      <w:r w:rsidRPr="003F564F">
        <w:rPr>
          <w:sz w:val="22"/>
          <w:szCs w:val="22"/>
          <w:lang w:eastAsia="lt-LT"/>
        </w:rPr>
        <w:t>TpŠL</w:t>
      </w:r>
      <w:proofErr w:type="spellEnd"/>
      <w:r w:rsidRPr="003F564F">
        <w:rPr>
          <w:sz w:val="22"/>
          <w:szCs w:val="22"/>
          <w:lang w:eastAsia="lt-LT"/>
        </w:rPr>
        <w:t xml:space="preserve"> sirgusiems pacientams GPG grupėje.</w:t>
      </w:r>
    </w:p>
    <w:p w14:paraId="02EB35AB" w14:textId="77777777" w:rsidR="00D3679D" w:rsidRPr="003F564F" w:rsidRDefault="00D3679D" w:rsidP="0036574D">
      <w:pPr>
        <w:rPr>
          <w:sz w:val="22"/>
          <w:szCs w:val="22"/>
          <w:lang w:eastAsia="lt-LT"/>
        </w:rPr>
      </w:pPr>
    </w:p>
    <w:p w14:paraId="56F0C768" w14:textId="48620666" w:rsidR="00D3679D" w:rsidRPr="003F564F" w:rsidRDefault="00D3679D" w:rsidP="0036574D">
      <w:pPr>
        <w:rPr>
          <w:sz w:val="22"/>
          <w:szCs w:val="22"/>
          <w:lang w:eastAsia="lt-LT"/>
        </w:rPr>
      </w:pPr>
      <w:r w:rsidRPr="003F564F">
        <w:rPr>
          <w:sz w:val="22"/>
          <w:szCs w:val="22"/>
          <w:lang w:eastAsia="lt-LT"/>
        </w:rPr>
        <w:t xml:space="preserve">Tarp tų </w:t>
      </w:r>
      <w:proofErr w:type="spellStart"/>
      <w:r w:rsidR="00B20FA5" w:rsidRPr="003F564F">
        <w:rPr>
          <w:sz w:val="22"/>
          <w:szCs w:val="22"/>
          <w:lang w:eastAsia="lt-LT"/>
        </w:rPr>
        <w:t>ruksolitinibo</w:t>
      </w:r>
      <w:proofErr w:type="spellEnd"/>
      <w:r w:rsidR="00B20FA5" w:rsidRPr="003F564F">
        <w:rPr>
          <w:sz w:val="22"/>
          <w:szCs w:val="22"/>
          <w:lang w:eastAsia="lt-LT"/>
        </w:rPr>
        <w:t xml:space="preserve"> </w:t>
      </w:r>
      <w:r w:rsidRPr="003F564F">
        <w:rPr>
          <w:sz w:val="22"/>
          <w:szCs w:val="22"/>
          <w:lang w:eastAsia="lt-LT"/>
        </w:rPr>
        <w:t>ir GPG grupių pacientų, kuriems 28</w:t>
      </w:r>
      <w:r w:rsidR="00B20FA5" w:rsidRPr="003F564F">
        <w:rPr>
          <w:sz w:val="22"/>
          <w:szCs w:val="22"/>
          <w:lang w:eastAsia="lt-LT"/>
        </w:rPr>
        <w:noBreakHyphen/>
      </w:r>
      <w:r w:rsidRPr="003F564F">
        <w:rPr>
          <w:sz w:val="22"/>
          <w:szCs w:val="22"/>
          <w:lang w:eastAsia="lt-LT"/>
        </w:rPr>
        <w:t>ąją dieną nebuvo pasiektas atsakas, atitinkamai 2,6</w:t>
      </w:r>
      <w:r w:rsidR="00B20FA5" w:rsidRPr="003F564F">
        <w:rPr>
          <w:sz w:val="22"/>
          <w:szCs w:val="22"/>
          <w:lang w:eastAsia="lt-LT"/>
        </w:rPr>
        <w:t> </w:t>
      </w:r>
      <w:r w:rsidRPr="003F564F">
        <w:rPr>
          <w:sz w:val="22"/>
          <w:szCs w:val="22"/>
          <w:lang w:eastAsia="lt-LT"/>
        </w:rPr>
        <w:t>% ir 8,4</w:t>
      </w:r>
      <w:r w:rsidR="00B20FA5" w:rsidRPr="003F564F">
        <w:rPr>
          <w:sz w:val="22"/>
          <w:szCs w:val="22"/>
          <w:lang w:eastAsia="lt-LT"/>
        </w:rPr>
        <w:t> </w:t>
      </w:r>
      <w:r w:rsidRPr="003F564F">
        <w:rPr>
          <w:sz w:val="22"/>
          <w:szCs w:val="22"/>
          <w:lang w:eastAsia="lt-LT"/>
        </w:rPr>
        <w:t>% buvo nustatytas ligos progresavimas.</w:t>
      </w:r>
    </w:p>
    <w:p w14:paraId="2EF438A3" w14:textId="77777777" w:rsidR="00D3679D" w:rsidRPr="003F564F" w:rsidRDefault="00D3679D" w:rsidP="0036574D">
      <w:pPr>
        <w:rPr>
          <w:sz w:val="22"/>
          <w:szCs w:val="22"/>
          <w:lang w:eastAsia="lt-LT"/>
        </w:rPr>
      </w:pPr>
    </w:p>
    <w:p w14:paraId="6E1EBB84" w14:textId="51593606" w:rsidR="00D3679D" w:rsidRPr="003F564F" w:rsidRDefault="00D3679D" w:rsidP="0036574D">
      <w:pPr>
        <w:rPr>
          <w:sz w:val="22"/>
          <w:szCs w:val="22"/>
          <w:lang w:eastAsia="lt-LT"/>
        </w:rPr>
      </w:pPr>
      <w:r w:rsidRPr="003F564F">
        <w:rPr>
          <w:sz w:val="22"/>
          <w:szCs w:val="22"/>
          <w:lang w:eastAsia="lt-LT"/>
        </w:rPr>
        <w:t>Bendrieji tyrimo rezultatai pateikti 11</w:t>
      </w:r>
      <w:r w:rsidR="00B20FA5" w:rsidRPr="003F564F">
        <w:rPr>
          <w:sz w:val="22"/>
          <w:szCs w:val="22"/>
          <w:lang w:eastAsia="lt-LT"/>
        </w:rPr>
        <w:t> </w:t>
      </w:r>
      <w:r w:rsidRPr="003F564F">
        <w:rPr>
          <w:sz w:val="22"/>
          <w:szCs w:val="22"/>
          <w:lang w:eastAsia="lt-LT"/>
        </w:rPr>
        <w:t>lentelėje.</w:t>
      </w:r>
    </w:p>
    <w:p w14:paraId="70DD290B" w14:textId="77777777" w:rsidR="00D3679D" w:rsidRPr="003F564F" w:rsidRDefault="00D3679D" w:rsidP="0036574D">
      <w:pPr>
        <w:rPr>
          <w:sz w:val="22"/>
          <w:szCs w:val="22"/>
          <w:lang w:eastAsia="lt-LT"/>
        </w:rPr>
      </w:pPr>
    </w:p>
    <w:p w14:paraId="26182D46" w14:textId="4B8DC9D7" w:rsidR="00D3679D" w:rsidRPr="003F564F" w:rsidRDefault="00D3679D" w:rsidP="0036574D">
      <w:pPr>
        <w:rPr>
          <w:b/>
          <w:bCs/>
          <w:sz w:val="22"/>
          <w:szCs w:val="22"/>
          <w:lang w:eastAsia="lt-LT"/>
        </w:rPr>
      </w:pPr>
      <w:r w:rsidRPr="003F564F">
        <w:rPr>
          <w:b/>
          <w:bCs/>
          <w:sz w:val="22"/>
          <w:szCs w:val="22"/>
          <w:lang w:eastAsia="lt-LT"/>
        </w:rPr>
        <w:t>11</w:t>
      </w:r>
      <w:r w:rsidR="00B20FA5" w:rsidRPr="003F564F">
        <w:rPr>
          <w:b/>
          <w:bCs/>
          <w:sz w:val="22"/>
          <w:szCs w:val="22"/>
          <w:lang w:eastAsia="lt-LT"/>
        </w:rPr>
        <w:t> </w:t>
      </w:r>
      <w:r w:rsidRPr="003F564F">
        <w:rPr>
          <w:b/>
          <w:bCs/>
          <w:sz w:val="22"/>
          <w:szCs w:val="22"/>
          <w:lang w:eastAsia="lt-LT"/>
        </w:rPr>
        <w:t>lentelė</w:t>
      </w:r>
      <w:r w:rsidR="00B20FA5" w:rsidRPr="003F564F">
        <w:rPr>
          <w:b/>
          <w:bCs/>
          <w:sz w:val="22"/>
          <w:szCs w:val="22"/>
          <w:lang w:eastAsia="lt-LT"/>
        </w:rPr>
        <w:tab/>
      </w:r>
      <w:r w:rsidRPr="003F564F">
        <w:rPr>
          <w:b/>
          <w:bCs/>
          <w:sz w:val="22"/>
          <w:szCs w:val="22"/>
          <w:lang w:eastAsia="lt-LT"/>
        </w:rPr>
        <w:t>Bendrasis atsako dažnis 28</w:t>
      </w:r>
      <w:r w:rsidR="00B20FA5" w:rsidRPr="003F564F">
        <w:rPr>
          <w:b/>
          <w:bCs/>
          <w:sz w:val="22"/>
          <w:szCs w:val="22"/>
          <w:lang w:eastAsia="lt-LT"/>
        </w:rPr>
        <w:noBreakHyphen/>
      </w:r>
      <w:r w:rsidRPr="003F564F">
        <w:rPr>
          <w:b/>
          <w:bCs/>
          <w:sz w:val="22"/>
          <w:szCs w:val="22"/>
          <w:lang w:eastAsia="lt-LT"/>
        </w:rPr>
        <w:t>ąją dieną REACH2 tyrimo duomenimis</w:t>
      </w:r>
    </w:p>
    <w:p w14:paraId="6B399AE1" w14:textId="77777777" w:rsidR="00D3679D" w:rsidRPr="003F564F" w:rsidRDefault="00D3679D" w:rsidP="0036574D">
      <w:pPr>
        <w:rPr>
          <w:sz w:val="22"/>
          <w:szCs w:val="22"/>
          <w:lang w:eastAsia="lt-LT"/>
        </w:rPr>
      </w:pPr>
    </w:p>
    <w:tbl>
      <w:tblPr>
        <w:tblStyle w:val="Lentelstinklelis"/>
        <w:tblW w:w="0" w:type="auto"/>
        <w:tblLook w:val="04A0" w:firstRow="1" w:lastRow="0" w:firstColumn="1" w:lastColumn="0" w:noHBand="0" w:noVBand="1"/>
      </w:tblPr>
      <w:tblGrid>
        <w:gridCol w:w="1846"/>
        <w:gridCol w:w="1788"/>
        <w:gridCol w:w="1819"/>
        <w:gridCol w:w="1788"/>
        <w:gridCol w:w="1819"/>
      </w:tblGrid>
      <w:tr w:rsidR="00B20FA5" w:rsidRPr="003F564F" w14:paraId="00D2FF27" w14:textId="77777777" w:rsidTr="00B20FA5">
        <w:tc>
          <w:tcPr>
            <w:tcW w:w="1942" w:type="dxa"/>
          </w:tcPr>
          <w:p w14:paraId="3CC0EA93" w14:textId="77777777" w:rsidR="00B20FA5" w:rsidRPr="003F564F" w:rsidRDefault="00B20FA5" w:rsidP="00D3679D">
            <w:pPr>
              <w:jc w:val="both"/>
              <w:rPr>
                <w:sz w:val="22"/>
                <w:szCs w:val="22"/>
                <w:lang w:eastAsia="lt-LT"/>
              </w:rPr>
            </w:pPr>
          </w:p>
        </w:tc>
        <w:tc>
          <w:tcPr>
            <w:tcW w:w="3886" w:type="dxa"/>
            <w:gridSpan w:val="2"/>
          </w:tcPr>
          <w:p w14:paraId="0EF74B4F" w14:textId="0D4B125D" w:rsidR="00B20FA5" w:rsidRPr="0016599D" w:rsidRDefault="00B20FA5" w:rsidP="00B20FA5">
            <w:pPr>
              <w:jc w:val="center"/>
              <w:rPr>
                <w:b/>
                <w:bCs/>
                <w:sz w:val="22"/>
                <w:szCs w:val="22"/>
                <w:lang w:eastAsia="lt-LT"/>
              </w:rPr>
            </w:pPr>
            <w:proofErr w:type="spellStart"/>
            <w:r w:rsidRPr="0016599D">
              <w:rPr>
                <w:b/>
                <w:bCs/>
                <w:sz w:val="22"/>
                <w:szCs w:val="22"/>
                <w:lang w:eastAsia="lt-LT"/>
              </w:rPr>
              <w:t>Ruksolitinibas</w:t>
            </w:r>
            <w:proofErr w:type="spellEnd"/>
          </w:p>
          <w:p w14:paraId="5A395501" w14:textId="2C87ED0B" w:rsidR="00B20FA5" w:rsidRPr="0016599D" w:rsidRDefault="00B20FA5" w:rsidP="00B20FA5">
            <w:pPr>
              <w:jc w:val="center"/>
              <w:rPr>
                <w:b/>
                <w:bCs/>
                <w:sz w:val="22"/>
                <w:szCs w:val="22"/>
                <w:lang w:eastAsia="lt-LT"/>
              </w:rPr>
            </w:pPr>
            <w:r w:rsidRPr="0016599D">
              <w:rPr>
                <w:b/>
                <w:bCs/>
                <w:sz w:val="22"/>
                <w:szCs w:val="22"/>
                <w:lang w:eastAsia="lt-LT"/>
              </w:rPr>
              <w:t>N = 154</w:t>
            </w:r>
          </w:p>
        </w:tc>
        <w:tc>
          <w:tcPr>
            <w:tcW w:w="3886" w:type="dxa"/>
            <w:gridSpan w:val="2"/>
          </w:tcPr>
          <w:p w14:paraId="55745A7C" w14:textId="77777777" w:rsidR="00B20FA5" w:rsidRPr="0016599D" w:rsidRDefault="00B20FA5" w:rsidP="00B20FA5">
            <w:pPr>
              <w:jc w:val="center"/>
              <w:rPr>
                <w:b/>
                <w:bCs/>
                <w:sz w:val="22"/>
                <w:szCs w:val="22"/>
                <w:lang w:eastAsia="lt-LT"/>
              </w:rPr>
            </w:pPr>
            <w:r w:rsidRPr="0016599D">
              <w:rPr>
                <w:b/>
                <w:bCs/>
                <w:sz w:val="22"/>
                <w:szCs w:val="22"/>
                <w:lang w:eastAsia="lt-LT"/>
              </w:rPr>
              <w:t>GPG</w:t>
            </w:r>
          </w:p>
          <w:p w14:paraId="7566B8F8" w14:textId="343BCEEF" w:rsidR="00B20FA5" w:rsidRPr="0016599D" w:rsidRDefault="00B20FA5" w:rsidP="00B20FA5">
            <w:pPr>
              <w:jc w:val="center"/>
              <w:rPr>
                <w:b/>
                <w:bCs/>
                <w:sz w:val="22"/>
                <w:szCs w:val="22"/>
                <w:lang w:eastAsia="lt-LT"/>
              </w:rPr>
            </w:pPr>
            <w:r w:rsidRPr="0016599D">
              <w:rPr>
                <w:b/>
                <w:bCs/>
                <w:sz w:val="22"/>
                <w:szCs w:val="22"/>
                <w:lang w:eastAsia="lt-LT"/>
              </w:rPr>
              <w:t>N = 155</w:t>
            </w:r>
          </w:p>
        </w:tc>
      </w:tr>
      <w:tr w:rsidR="00D3679D" w:rsidRPr="003F564F" w14:paraId="6F560B58" w14:textId="77777777" w:rsidTr="00B20FA5">
        <w:tc>
          <w:tcPr>
            <w:tcW w:w="1942" w:type="dxa"/>
          </w:tcPr>
          <w:p w14:paraId="4F11FCB0" w14:textId="23A6BCE2" w:rsidR="00D3679D" w:rsidRPr="003F564F" w:rsidRDefault="00D3679D" w:rsidP="00B20FA5">
            <w:pPr>
              <w:jc w:val="both"/>
              <w:rPr>
                <w:sz w:val="22"/>
                <w:szCs w:val="22"/>
                <w:lang w:eastAsia="lt-LT"/>
              </w:rPr>
            </w:pPr>
          </w:p>
        </w:tc>
        <w:tc>
          <w:tcPr>
            <w:tcW w:w="1943" w:type="dxa"/>
          </w:tcPr>
          <w:p w14:paraId="0017BCCA" w14:textId="37FF49E2" w:rsidR="00D3679D" w:rsidRPr="0016599D" w:rsidRDefault="00B20FA5" w:rsidP="00B20FA5">
            <w:pPr>
              <w:jc w:val="center"/>
              <w:rPr>
                <w:b/>
                <w:bCs/>
                <w:sz w:val="22"/>
                <w:szCs w:val="22"/>
                <w:lang w:eastAsia="lt-LT"/>
              </w:rPr>
            </w:pPr>
            <w:r w:rsidRPr="0016599D">
              <w:rPr>
                <w:b/>
                <w:bCs/>
                <w:sz w:val="22"/>
                <w:szCs w:val="22"/>
                <w:lang w:eastAsia="lt-LT"/>
              </w:rPr>
              <w:t>n (%)</w:t>
            </w:r>
          </w:p>
        </w:tc>
        <w:tc>
          <w:tcPr>
            <w:tcW w:w="1943" w:type="dxa"/>
          </w:tcPr>
          <w:p w14:paraId="29B2447C" w14:textId="7FCBF82C" w:rsidR="00D3679D" w:rsidRPr="0016599D" w:rsidRDefault="00B20FA5" w:rsidP="00B20FA5">
            <w:pPr>
              <w:jc w:val="center"/>
              <w:rPr>
                <w:b/>
                <w:bCs/>
                <w:sz w:val="22"/>
                <w:szCs w:val="22"/>
                <w:lang w:eastAsia="lt-LT"/>
              </w:rPr>
            </w:pPr>
            <w:r w:rsidRPr="0016599D">
              <w:rPr>
                <w:b/>
                <w:bCs/>
                <w:sz w:val="22"/>
                <w:szCs w:val="22"/>
                <w:lang w:eastAsia="lt-LT"/>
              </w:rPr>
              <w:t>95 % PI</w:t>
            </w:r>
          </w:p>
        </w:tc>
        <w:tc>
          <w:tcPr>
            <w:tcW w:w="1943" w:type="dxa"/>
          </w:tcPr>
          <w:p w14:paraId="36FA1E3E" w14:textId="50B4D967" w:rsidR="00D3679D" w:rsidRPr="0016599D" w:rsidRDefault="00B20FA5" w:rsidP="00B20FA5">
            <w:pPr>
              <w:jc w:val="center"/>
              <w:rPr>
                <w:b/>
                <w:bCs/>
                <w:sz w:val="22"/>
                <w:szCs w:val="22"/>
                <w:lang w:eastAsia="lt-LT"/>
              </w:rPr>
            </w:pPr>
            <w:r w:rsidRPr="0016599D">
              <w:rPr>
                <w:b/>
                <w:bCs/>
                <w:sz w:val="22"/>
                <w:szCs w:val="22"/>
                <w:lang w:eastAsia="lt-LT"/>
              </w:rPr>
              <w:t>n (%)</w:t>
            </w:r>
          </w:p>
        </w:tc>
        <w:tc>
          <w:tcPr>
            <w:tcW w:w="1943" w:type="dxa"/>
          </w:tcPr>
          <w:p w14:paraId="346705CB" w14:textId="605BDA68" w:rsidR="00D3679D" w:rsidRPr="0016599D" w:rsidRDefault="00B20FA5" w:rsidP="00B20FA5">
            <w:pPr>
              <w:jc w:val="center"/>
              <w:rPr>
                <w:b/>
                <w:bCs/>
                <w:sz w:val="22"/>
                <w:szCs w:val="22"/>
                <w:lang w:eastAsia="lt-LT"/>
              </w:rPr>
            </w:pPr>
            <w:r w:rsidRPr="0016599D">
              <w:rPr>
                <w:b/>
                <w:bCs/>
                <w:sz w:val="22"/>
                <w:szCs w:val="22"/>
                <w:lang w:eastAsia="lt-LT"/>
              </w:rPr>
              <w:t>95 % PI</w:t>
            </w:r>
          </w:p>
        </w:tc>
      </w:tr>
      <w:tr w:rsidR="00D3679D" w:rsidRPr="003F564F" w14:paraId="0362AD1D" w14:textId="77777777" w:rsidTr="00B20FA5">
        <w:tc>
          <w:tcPr>
            <w:tcW w:w="1942" w:type="dxa"/>
          </w:tcPr>
          <w:p w14:paraId="399334CA" w14:textId="4FB1CC81" w:rsidR="00D3679D" w:rsidRPr="003F564F" w:rsidRDefault="00B20FA5" w:rsidP="00B20FA5">
            <w:pPr>
              <w:rPr>
                <w:sz w:val="22"/>
                <w:szCs w:val="22"/>
                <w:lang w:eastAsia="lt-LT"/>
              </w:rPr>
            </w:pPr>
            <w:r w:rsidRPr="003F564F">
              <w:rPr>
                <w:sz w:val="22"/>
                <w:szCs w:val="22"/>
                <w:lang w:eastAsia="lt-LT"/>
              </w:rPr>
              <w:t>Bendrasis atsakas</w:t>
            </w:r>
          </w:p>
        </w:tc>
        <w:tc>
          <w:tcPr>
            <w:tcW w:w="1943" w:type="dxa"/>
          </w:tcPr>
          <w:p w14:paraId="5F5CF702" w14:textId="2E1352A9" w:rsidR="00D3679D" w:rsidRPr="003F564F" w:rsidRDefault="00B20FA5" w:rsidP="00B20FA5">
            <w:pPr>
              <w:jc w:val="center"/>
              <w:rPr>
                <w:sz w:val="22"/>
                <w:szCs w:val="22"/>
                <w:lang w:eastAsia="lt-LT"/>
              </w:rPr>
            </w:pPr>
            <w:r w:rsidRPr="003F564F">
              <w:rPr>
                <w:sz w:val="22"/>
                <w:szCs w:val="22"/>
                <w:lang w:eastAsia="lt-LT"/>
              </w:rPr>
              <w:t>96 (62,3)</w:t>
            </w:r>
          </w:p>
        </w:tc>
        <w:tc>
          <w:tcPr>
            <w:tcW w:w="1943" w:type="dxa"/>
          </w:tcPr>
          <w:p w14:paraId="0C7CF3ED" w14:textId="53407842" w:rsidR="00D3679D" w:rsidRPr="003F564F" w:rsidRDefault="00B20FA5" w:rsidP="00B20FA5">
            <w:pPr>
              <w:jc w:val="center"/>
              <w:rPr>
                <w:sz w:val="22"/>
                <w:szCs w:val="22"/>
                <w:lang w:eastAsia="lt-LT"/>
              </w:rPr>
            </w:pPr>
            <w:r w:rsidRPr="003F564F">
              <w:rPr>
                <w:sz w:val="22"/>
                <w:szCs w:val="22"/>
                <w:lang w:eastAsia="lt-LT"/>
              </w:rPr>
              <w:t>54,2; 70,0</w:t>
            </w:r>
          </w:p>
        </w:tc>
        <w:tc>
          <w:tcPr>
            <w:tcW w:w="1943" w:type="dxa"/>
          </w:tcPr>
          <w:p w14:paraId="30A689AA" w14:textId="5A5335BF" w:rsidR="00D3679D" w:rsidRPr="003F564F" w:rsidRDefault="00B20FA5" w:rsidP="00B20FA5">
            <w:pPr>
              <w:jc w:val="center"/>
              <w:rPr>
                <w:sz w:val="22"/>
                <w:szCs w:val="22"/>
                <w:lang w:eastAsia="lt-LT"/>
              </w:rPr>
            </w:pPr>
            <w:r w:rsidRPr="003F564F">
              <w:rPr>
                <w:sz w:val="22"/>
                <w:szCs w:val="22"/>
                <w:lang w:eastAsia="lt-LT"/>
              </w:rPr>
              <w:t>61 (39,4)</w:t>
            </w:r>
          </w:p>
        </w:tc>
        <w:tc>
          <w:tcPr>
            <w:tcW w:w="1943" w:type="dxa"/>
          </w:tcPr>
          <w:p w14:paraId="7FFC0BEE" w14:textId="6609C9C8" w:rsidR="00D3679D" w:rsidRPr="003F564F" w:rsidRDefault="00B20FA5" w:rsidP="00B20FA5">
            <w:pPr>
              <w:jc w:val="center"/>
              <w:rPr>
                <w:sz w:val="22"/>
                <w:szCs w:val="22"/>
                <w:lang w:eastAsia="lt-LT"/>
              </w:rPr>
            </w:pPr>
            <w:r w:rsidRPr="003F564F">
              <w:rPr>
                <w:sz w:val="22"/>
                <w:szCs w:val="22"/>
                <w:lang w:eastAsia="lt-LT"/>
              </w:rPr>
              <w:t>31,6; 47,5</w:t>
            </w:r>
          </w:p>
        </w:tc>
      </w:tr>
      <w:tr w:rsidR="00B20FA5" w:rsidRPr="003F564F" w14:paraId="2DC283DC" w14:textId="77777777" w:rsidTr="00B20FA5">
        <w:tc>
          <w:tcPr>
            <w:tcW w:w="1942" w:type="dxa"/>
          </w:tcPr>
          <w:p w14:paraId="7B97EA8D" w14:textId="4BC07D96" w:rsidR="00B20FA5" w:rsidRPr="003F564F" w:rsidRDefault="00B20FA5" w:rsidP="00B20FA5">
            <w:pPr>
              <w:rPr>
                <w:sz w:val="22"/>
                <w:szCs w:val="22"/>
                <w:lang w:eastAsia="lt-LT"/>
              </w:rPr>
            </w:pPr>
            <w:r w:rsidRPr="003F564F">
              <w:rPr>
                <w:sz w:val="22"/>
                <w:szCs w:val="22"/>
                <w:lang w:eastAsia="lt-LT"/>
              </w:rPr>
              <w:t>Šansų santykis (95 % PI)</w:t>
            </w:r>
          </w:p>
        </w:tc>
        <w:tc>
          <w:tcPr>
            <w:tcW w:w="7772" w:type="dxa"/>
            <w:gridSpan w:val="4"/>
          </w:tcPr>
          <w:p w14:paraId="78D8BC73" w14:textId="235A1C13" w:rsidR="00B20FA5" w:rsidRPr="003F564F" w:rsidRDefault="00B20FA5" w:rsidP="00B20FA5">
            <w:pPr>
              <w:jc w:val="center"/>
              <w:rPr>
                <w:sz w:val="22"/>
                <w:szCs w:val="22"/>
                <w:lang w:eastAsia="lt-LT"/>
              </w:rPr>
            </w:pPr>
            <w:r w:rsidRPr="003F564F">
              <w:rPr>
                <w:sz w:val="22"/>
                <w:szCs w:val="22"/>
                <w:lang w:eastAsia="lt-LT"/>
              </w:rPr>
              <w:t>2,64 (1,65; 4,22)</w:t>
            </w:r>
          </w:p>
        </w:tc>
      </w:tr>
      <w:tr w:rsidR="00B20FA5" w:rsidRPr="003F564F" w14:paraId="6A3FF743" w14:textId="77777777" w:rsidTr="00B20FA5">
        <w:tc>
          <w:tcPr>
            <w:tcW w:w="1942" w:type="dxa"/>
          </w:tcPr>
          <w:p w14:paraId="1A4960F9" w14:textId="0E64FC78" w:rsidR="00B20FA5" w:rsidRPr="003F564F" w:rsidRDefault="00B20FA5" w:rsidP="00B20FA5">
            <w:pPr>
              <w:rPr>
                <w:sz w:val="22"/>
                <w:szCs w:val="22"/>
                <w:lang w:eastAsia="lt-LT"/>
              </w:rPr>
            </w:pPr>
            <w:r w:rsidRPr="003F564F">
              <w:rPr>
                <w:sz w:val="22"/>
                <w:szCs w:val="22"/>
                <w:lang w:eastAsia="lt-LT"/>
              </w:rPr>
              <w:t>p reikšmė (dvikryptė)</w:t>
            </w:r>
          </w:p>
        </w:tc>
        <w:tc>
          <w:tcPr>
            <w:tcW w:w="7772" w:type="dxa"/>
            <w:gridSpan w:val="4"/>
          </w:tcPr>
          <w:p w14:paraId="2FF1CC86" w14:textId="495FA880" w:rsidR="00B20FA5" w:rsidRPr="003F564F" w:rsidRDefault="00B20FA5" w:rsidP="00B20FA5">
            <w:pPr>
              <w:jc w:val="center"/>
              <w:rPr>
                <w:sz w:val="22"/>
                <w:szCs w:val="22"/>
                <w:lang w:eastAsia="lt-LT"/>
              </w:rPr>
            </w:pPr>
            <w:r w:rsidRPr="003F564F">
              <w:rPr>
                <w:sz w:val="22"/>
                <w:szCs w:val="22"/>
                <w:lang w:eastAsia="lt-LT"/>
              </w:rPr>
              <w:t>p &lt; 0,0001</w:t>
            </w:r>
          </w:p>
        </w:tc>
      </w:tr>
      <w:tr w:rsidR="00B20FA5" w:rsidRPr="003F564F" w14:paraId="77E43789" w14:textId="77777777" w:rsidTr="00B20FA5">
        <w:tc>
          <w:tcPr>
            <w:tcW w:w="1942" w:type="dxa"/>
          </w:tcPr>
          <w:p w14:paraId="32FDA33A" w14:textId="62EC6E8E" w:rsidR="00B20FA5" w:rsidRPr="003F564F" w:rsidRDefault="00B20FA5" w:rsidP="00B20FA5">
            <w:pPr>
              <w:rPr>
                <w:sz w:val="22"/>
                <w:szCs w:val="22"/>
                <w:lang w:eastAsia="lt-LT"/>
              </w:rPr>
            </w:pPr>
            <w:r w:rsidRPr="003F564F">
              <w:rPr>
                <w:sz w:val="22"/>
                <w:szCs w:val="22"/>
                <w:lang w:eastAsia="lt-LT"/>
              </w:rPr>
              <w:t>Visiškas atsakas</w:t>
            </w:r>
          </w:p>
        </w:tc>
        <w:tc>
          <w:tcPr>
            <w:tcW w:w="3886" w:type="dxa"/>
            <w:gridSpan w:val="2"/>
          </w:tcPr>
          <w:p w14:paraId="09A7D417" w14:textId="71E8114C" w:rsidR="00B20FA5" w:rsidRPr="003F564F" w:rsidRDefault="00B20FA5" w:rsidP="00B20FA5">
            <w:pPr>
              <w:jc w:val="center"/>
              <w:rPr>
                <w:sz w:val="22"/>
                <w:szCs w:val="22"/>
                <w:lang w:eastAsia="lt-LT"/>
              </w:rPr>
            </w:pPr>
            <w:r w:rsidRPr="003F564F">
              <w:rPr>
                <w:sz w:val="22"/>
                <w:szCs w:val="22"/>
                <w:lang w:eastAsia="lt-LT"/>
              </w:rPr>
              <w:t>53 (34,4)</w:t>
            </w:r>
          </w:p>
        </w:tc>
        <w:tc>
          <w:tcPr>
            <w:tcW w:w="3886" w:type="dxa"/>
            <w:gridSpan w:val="2"/>
          </w:tcPr>
          <w:p w14:paraId="7F1C332D" w14:textId="2EDAD7F6" w:rsidR="00B20FA5" w:rsidRPr="003F564F" w:rsidRDefault="00B20FA5" w:rsidP="00B20FA5">
            <w:pPr>
              <w:jc w:val="center"/>
              <w:rPr>
                <w:sz w:val="22"/>
                <w:szCs w:val="22"/>
                <w:lang w:eastAsia="lt-LT"/>
              </w:rPr>
            </w:pPr>
            <w:r w:rsidRPr="003F564F">
              <w:rPr>
                <w:sz w:val="22"/>
                <w:szCs w:val="22"/>
                <w:lang w:eastAsia="lt-LT"/>
              </w:rPr>
              <w:t>30 (19,4)</w:t>
            </w:r>
          </w:p>
        </w:tc>
      </w:tr>
      <w:tr w:rsidR="00B20FA5" w:rsidRPr="003F564F" w14:paraId="7659DD7F" w14:textId="77777777" w:rsidTr="00B20FA5">
        <w:tc>
          <w:tcPr>
            <w:tcW w:w="1942" w:type="dxa"/>
          </w:tcPr>
          <w:p w14:paraId="09337C15" w14:textId="544A3187" w:rsidR="00B20FA5" w:rsidRPr="003F564F" w:rsidRDefault="00B20FA5" w:rsidP="00B20FA5">
            <w:pPr>
              <w:rPr>
                <w:sz w:val="22"/>
                <w:szCs w:val="22"/>
                <w:lang w:eastAsia="lt-LT"/>
              </w:rPr>
            </w:pPr>
            <w:r w:rsidRPr="003F564F">
              <w:rPr>
                <w:sz w:val="22"/>
                <w:szCs w:val="22"/>
                <w:lang w:eastAsia="lt-LT"/>
              </w:rPr>
              <w:t xml:space="preserve">Dalinis atsakas </w:t>
            </w:r>
          </w:p>
        </w:tc>
        <w:tc>
          <w:tcPr>
            <w:tcW w:w="3886" w:type="dxa"/>
            <w:gridSpan w:val="2"/>
          </w:tcPr>
          <w:p w14:paraId="0A740950" w14:textId="62D57A6B" w:rsidR="00B20FA5" w:rsidRPr="003F564F" w:rsidRDefault="00B20FA5" w:rsidP="00B20FA5">
            <w:pPr>
              <w:jc w:val="center"/>
              <w:rPr>
                <w:sz w:val="22"/>
                <w:szCs w:val="22"/>
                <w:lang w:eastAsia="lt-LT"/>
              </w:rPr>
            </w:pPr>
            <w:r w:rsidRPr="003F564F">
              <w:rPr>
                <w:sz w:val="22"/>
                <w:szCs w:val="22"/>
                <w:lang w:eastAsia="lt-LT"/>
              </w:rPr>
              <w:t>43 (27,9)</w:t>
            </w:r>
          </w:p>
        </w:tc>
        <w:tc>
          <w:tcPr>
            <w:tcW w:w="3886" w:type="dxa"/>
            <w:gridSpan w:val="2"/>
          </w:tcPr>
          <w:p w14:paraId="3233553D" w14:textId="68BCD8F7" w:rsidR="00B20FA5" w:rsidRPr="003F564F" w:rsidRDefault="00B20FA5" w:rsidP="00B20FA5">
            <w:pPr>
              <w:jc w:val="center"/>
              <w:rPr>
                <w:sz w:val="22"/>
                <w:szCs w:val="22"/>
                <w:lang w:eastAsia="lt-LT"/>
              </w:rPr>
            </w:pPr>
            <w:r w:rsidRPr="003F564F">
              <w:rPr>
                <w:sz w:val="22"/>
                <w:szCs w:val="22"/>
                <w:lang w:eastAsia="lt-LT"/>
              </w:rPr>
              <w:t>31 (20,0)</w:t>
            </w:r>
          </w:p>
        </w:tc>
      </w:tr>
    </w:tbl>
    <w:p w14:paraId="15F82C3E" w14:textId="77777777" w:rsidR="00D3679D" w:rsidRPr="003F564F" w:rsidRDefault="00D3679D" w:rsidP="0036574D">
      <w:pPr>
        <w:rPr>
          <w:sz w:val="22"/>
          <w:szCs w:val="22"/>
          <w:lang w:eastAsia="lt-LT"/>
        </w:rPr>
      </w:pPr>
    </w:p>
    <w:p w14:paraId="1EBD486E" w14:textId="2025989D" w:rsidR="00D3679D" w:rsidRPr="003F564F" w:rsidRDefault="00D3679D" w:rsidP="0036574D">
      <w:pPr>
        <w:rPr>
          <w:sz w:val="22"/>
          <w:szCs w:val="22"/>
          <w:lang w:eastAsia="lt-LT"/>
        </w:rPr>
      </w:pPr>
      <w:r w:rsidRPr="003F564F">
        <w:rPr>
          <w:sz w:val="22"/>
          <w:szCs w:val="22"/>
          <w:lang w:eastAsia="lt-LT"/>
        </w:rPr>
        <w:t>Atlikus pagrindinę duomenų analizę nustatyta, kad tyrimo metu buvo pasiekta jo svarbiausioji vertinamoji baigtis. Ilgalaikis BAD rodmuo 56</w:t>
      </w:r>
      <w:r w:rsidR="00B20FA5" w:rsidRPr="003F564F">
        <w:rPr>
          <w:sz w:val="22"/>
          <w:szCs w:val="22"/>
          <w:lang w:eastAsia="lt-LT"/>
        </w:rPr>
        <w:noBreakHyphen/>
      </w:r>
      <w:r w:rsidRPr="003F564F">
        <w:rPr>
          <w:sz w:val="22"/>
          <w:szCs w:val="22"/>
          <w:lang w:eastAsia="lt-LT"/>
        </w:rPr>
        <w:t>ąją dieną buvo 39,6</w:t>
      </w:r>
      <w:r w:rsidR="00B20FA5" w:rsidRPr="003F564F">
        <w:rPr>
          <w:sz w:val="22"/>
          <w:szCs w:val="22"/>
          <w:lang w:eastAsia="lt-LT"/>
        </w:rPr>
        <w:t> </w:t>
      </w:r>
      <w:r w:rsidRPr="003F564F">
        <w:rPr>
          <w:sz w:val="22"/>
          <w:szCs w:val="22"/>
          <w:lang w:eastAsia="lt-LT"/>
        </w:rPr>
        <w:t>% (95</w:t>
      </w:r>
      <w:r w:rsidR="00B20FA5" w:rsidRPr="003F564F">
        <w:rPr>
          <w:sz w:val="22"/>
          <w:szCs w:val="22"/>
          <w:lang w:eastAsia="lt-LT"/>
        </w:rPr>
        <w:t> </w:t>
      </w:r>
      <w:r w:rsidRPr="003F564F">
        <w:rPr>
          <w:sz w:val="22"/>
          <w:szCs w:val="22"/>
          <w:lang w:eastAsia="lt-LT"/>
        </w:rPr>
        <w:t xml:space="preserve">% PI: 31,8; 47,8) </w:t>
      </w:r>
      <w:proofErr w:type="spellStart"/>
      <w:r w:rsidR="00B20FA5" w:rsidRPr="003F564F">
        <w:rPr>
          <w:sz w:val="22"/>
          <w:szCs w:val="22"/>
          <w:lang w:eastAsia="lt-LT"/>
        </w:rPr>
        <w:t>ruksolitinibo</w:t>
      </w:r>
      <w:proofErr w:type="spellEnd"/>
      <w:r w:rsidRPr="003F564F">
        <w:rPr>
          <w:sz w:val="22"/>
          <w:szCs w:val="22"/>
          <w:lang w:eastAsia="lt-LT"/>
        </w:rPr>
        <w:t xml:space="preserve"> grupėje ir 21,9</w:t>
      </w:r>
      <w:r w:rsidR="00B20FA5" w:rsidRPr="003F564F">
        <w:rPr>
          <w:sz w:val="22"/>
          <w:szCs w:val="22"/>
          <w:lang w:eastAsia="lt-LT"/>
        </w:rPr>
        <w:t> </w:t>
      </w:r>
      <w:r w:rsidRPr="003F564F">
        <w:rPr>
          <w:sz w:val="22"/>
          <w:szCs w:val="22"/>
          <w:lang w:eastAsia="lt-LT"/>
        </w:rPr>
        <w:t>% (95</w:t>
      </w:r>
      <w:r w:rsidR="00B20FA5" w:rsidRPr="003F564F">
        <w:rPr>
          <w:sz w:val="22"/>
          <w:szCs w:val="22"/>
          <w:lang w:eastAsia="lt-LT"/>
        </w:rPr>
        <w:t> </w:t>
      </w:r>
      <w:r w:rsidRPr="003F564F">
        <w:rPr>
          <w:sz w:val="22"/>
          <w:szCs w:val="22"/>
          <w:lang w:eastAsia="lt-LT"/>
        </w:rPr>
        <w:t>% PI: 15,7; 29,3) GPG grupėje. Nustatytas statistiškai reikšmingas skirtumas tarp tiriamųjų grupių (šansų santykis: 2,38; 95</w:t>
      </w:r>
      <w:r w:rsidR="00B20FA5" w:rsidRPr="003F564F">
        <w:rPr>
          <w:sz w:val="22"/>
          <w:szCs w:val="22"/>
          <w:lang w:eastAsia="lt-LT"/>
        </w:rPr>
        <w:t> </w:t>
      </w:r>
      <w:r w:rsidRPr="003F564F">
        <w:rPr>
          <w:sz w:val="22"/>
          <w:szCs w:val="22"/>
          <w:lang w:eastAsia="lt-LT"/>
        </w:rPr>
        <w:t>% PI: 1,43; 3,94; p</w:t>
      </w:r>
      <w:r w:rsidR="00B20FA5" w:rsidRPr="003F564F">
        <w:rPr>
          <w:sz w:val="22"/>
          <w:szCs w:val="22"/>
          <w:lang w:eastAsia="lt-LT"/>
        </w:rPr>
        <w:t> </w:t>
      </w:r>
      <w:r w:rsidRPr="003F564F">
        <w:rPr>
          <w:sz w:val="22"/>
          <w:szCs w:val="22"/>
          <w:lang w:eastAsia="lt-LT"/>
        </w:rPr>
        <w:t>=</w:t>
      </w:r>
      <w:r w:rsidR="00B20FA5" w:rsidRPr="003F564F">
        <w:rPr>
          <w:sz w:val="22"/>
          <w:szCs w:val="22"/>
          <w:lang w:eastAsia="lt-LT"/>
        </w:rPr>
        <w:t> </w:t>
      </w:r>
      <w:r w:rsidRPr="003F564F">
        <w:rPr>
          <w:sz w:val="22"/>
          <w:szCs w:val="22"/>
          <w:lang w:eastAsia="lt-LT"/>
        </w:rPr>
        <w:t>0,0007). Pacientų dalis, kuriems pasiektas VA, buvo 26,6</w:t>
      </w:r>
      <w:r w:rsidR="00B20FA5" w:rsidRPr="003F564F">
        <w:rPr>
          <w:sz w:val="22"/>
          <w:szCs w:val="22"/>
          <w:lang w:eastAsia="lt-LT"/>
        </w:rPr>
        <w:t> </w:t>
      </w:r>
      <w:r w:rsidRPr="003F564F">
        <w:rPr>
          <w:sz w:val="22"/>
          <w:szCs w:val="22"/>
          <w:lang w:eastAsia="lt-LT"/>
        </w:rPr>
        <w:t xml:space="preserve">% </w:t>
      </w:r>
      <w:proofErr w:type="spellStart"/>
      <w:r w:rsidR="00B20FA5" w:rsidRPr="003F564F">
        <w:rPr>
          <w:sz w:val="22"/>
          <w:szCs w:val="22"/>
          <w:lang w:eastAsia="lt-LT"/>
        </w:rPr>
        <w:t>ruksolitinibo</w:t>
      </w:r>
      <w:proofErr w:type="spellEnd"/>
      <w:r w:rsidRPr="003F564F">
        <w:rPr>
          <w:sz w:val="22"/>
          <w:szCs w:val="22"/>
          <w:lang w:eastAsia="lt-LT"/>
        </w:rPr>
        <w:t xml:space="preserve"> grupėje, lyginant su 16,1</w:t>
      </w:r>
      <w:r w:rsidR="00B20FA5" w:rsidRPr="003F564F">
        <w:rPr>
          <w:sz w:val="22"/>
          <w:szCs w:val="22"/>
          <w:lang w:eastAsia="lt-LT"/>
        </w:rPr>
        <w:t> </w:t>
      </w:r>
      <w:r w:rsidRPr="003F564F">
        <w:rPr>
          <w:sz w:val="22"/>
          <w:szCs w:val="22"/>
          <w:lang w:eastAsia="lt-LT"/>
        </w:rPr>
        <w:t>% GPG grupėje. Iš viso 49</w:t>
      </w:r>
      <w:r w:rsidR="00B20FA5" w:rsidRPr="003F564F">
        <w:rPr>
          <w:sz w:val="22"/>
          <w:szCs w:val="22"/>
          <w:lang w:eastAsia="lt-LT"/>
        </w:rPr>
        <w:t> </w:t>
      </w:r>
      <w:r w:rsidRPr="003F564F">
        <w:rPr>
          <w:sz w:val="22"/>
          <w:szCs w:val="22"/>
          <w:lang w:eastAsia="lt-LT"/>
        </w:rPr>
        <w:t>pacientai (31,6</w:t>
      </w:r>
      <w:r w:rsidR="00B20FA5" w:rsidRPr="003F564F">
        <w:rPr>
          <w:sz w:val="22"/>
          <w:szCs w:val="22"/>
          <w:lang w:eastAsia="lt-LT"/>
        </w:rPr>
        <w:t> </w:t>
      </w:r>
      <w:r w:rsidRPr="003F564F">
        <w:rPr>
          <w:sz w:val="22"/>
          <w:szCs w:val="22"/>
          <w:lang w:eastAsia="lt-LT"/>
        </w:rPr>
        <w:t xml:space="preserve">%), kurie tyrimo pradžioje atsitiktine tvarka buvo priskirti GPG grupei, buvo pervesti į </w:t>
      </w:r>
      <w:proofErr w:type="spellStart"/>
      <w:r w:rsidR="00B20FA5" w:rsidRPr="003F564F">
        <w:rPr>
          <w:sz w:val="22"/>
          <w:szCs w:val="22"/>
          <w:lang w:eastAsia="lt-LT"/>
        </w:rPr>
        <w:t>ruksolitinibo</w:t>
      </w:r>
      <w:proofErr w:type="spellEnd"/>
      <w:r w:rsidRPr="003F564F">
        <w:rPr>
          <w:sz w:val="22"/>
          <w:szCs w:val="22"/>
          <w:lang w:eastAsia="lt-LT"/>
        </w:rPr>
        <w:t xml:space="preserve"> grupę.</w:t>
      </w:r>
    </w:p>
    <w:p w14:paraId="48855B25" w14:textId="77777777" w:rsidR="00D3679D" w:rsidRPr="003F564F" w:rsidRDefault="00D3679D" w:rsidP="0036574D">
      <w:pPr>
        <w:rPr>
          <w:sz w:val="22"/>
          <w:szCs w:val="22"/>
          <w:lang w:eastAsia="lt-LT"/>
        </w:rPr>
      </w:pPr>
    </w:p>
    <w:p w14:paraId="5E90769B" w14:textId="0C237D2A" w:rsidR="00D3679D" w:rsidRPr="003F564F" w:rsidRDefault="00D3679D" w:rsidP="0036574D">
      <w:pPr>
        <w:rPr>
          <w:i/>
          <w:iCs/>
          <w:sz w:val="22"/>
          <w:szCs w:val="22"/>
          <w:lang w:eastAsia="lt-LT"/>
        </w:rPr>
      </w:pPr>
      <w:r w:rsidRPr="003F564F">
        <w:rPr>
          <w:i/>
          <w:iCs/>
          <w:sz w:val="22"/>
          <w:szCs w:val="22"/>
          <w:lang w:eastAsia="lt-LT"/>
        </w:rPr>
        <w:t xml:space="preserve">Lėtinė </w:t>
      </w:r>
      <w:proofErr w:type="spellStart"/>
      <w:r w:rsidRPr="003F564F">
        <w:rPr>
          <w:i/>
          <w:iCs/>
          <w:sz w:val="22"/>
          <w:szCs w:val="22"/>
          <w:lang w:eastAsia="lt-LT"/>
        </w:rPr>
        <w:t>transplantato</w:t>
      </w:r>
      <w:proofErr w:type="spellEnd"/>
      <w:r w:rsidRPr="003F564F">
        <w:rPr>
          <w:i/>
          <w:iCs/>
          <w:sz w:val="22"/>
          <w:szCs w:val="22"/>
          <w:lang w:eastAsia="lt-LT"/>
        </w:rPr>
        <w:t xml:space="preserve"> prieš šeimininką liga</w:t>
      </w:r>
    </w:p>
    <w:p w14:paraId="5DDED270" w14:textId="703C6A5D" w:rsidR="00D3679D" w:rsidRPr="003F564F" w:rsidRDefault="00D3679D" w:rsidP="0036574D">
      <w:pPr>
        <w:rPr>
          <w:sz w:val="22"/>
          <w:szCs w:val="22"/>
          <w:lang w:eastAsia="lt-LT"/>
        </w:rPr>
      </w:pPr>
      <w:r w:rsidRPr="003F564F">
        <w:rPr>
          <w:sz w:val="22"/>
          <w:szCs w:val="22"/>
          <w:lang w:eastAsia="lt-LT"/>
        </w:rPr>
        <w:t>REACH3 tyrimo metu 329</w:t>
      </w:r>
      <w:r w:rsidR="00B20FA5" w:rsidRPr="003F564F">
        <w:rPr>
          <w:sz w:val="22"/>
          <w:szCs w:val="22"/>
          <w:lang w:eastAsia="lt-LT"/>
        </w:rPr>
        <w:t> </w:t>
      </w:r>
      <w:r w:rsidRPr="003F564F">
        <w:rPr>
          <w:sz w:val="22"/>
          <w:szCs w:val="22"/>
          <w:lang w:eastAsia="lt-LT"/>
        </w:rPr>
        <w:t xml:space="preserve">pacientai, kuriems buvo nustatyta vidutinio sunkumo ar sunki kortikosteroidams atspari lėtinė </w:t>
      </w:r>
      <w:proofErr w:type="spellStart"/>
      <w:r w:rsidRPr="003F564F">
        <w:rPr>
          <w:sz w:val="22"/>
          <w:szCs w:val="22"/>
          <w:lang w:eastAsia="lt-LT"/>
        </w:rPr>
        <w:t>TpŠL</w:t>
      </w:r>
      <w:proofErr w:type="spellEnd"/>
      <w:r w:rsidRPr="003F564F">
        <w:rPr>
          <w:sz w:val="22"/>
          <w:szCs w:val="22"/>
          <w:lang w:eastAsia="lt-LT"/>
        </w:rPr>
        <w:t xml:space="preserve">, atsitiktine tvarka santykiu 1:1 buvo suskirstyti į grupes ir jiems buvo paskirta </w:t>
      </w:r>
      <w:proofErr w:type="spellStart"/>
      <w:r w:rsidR="00B20FA5" w:rsidRPr="003F564F">
        <w:rPr>
          <w:sz w:val="22"/>
          <w:szCs w:val="22"/>
          <w:lang w:eastAsia="lt-LT"/>
        </w:rPr>
        <w:t>ruksolitinibo</w:t>
      </w:r>
      <w:proofErr w:type="spellEnd"/>
      <w:r w:rsidR="00B20FA5" w:rsidRPr="003F564F">
        <w:rPr>
          <w:sz w:val="22"/>
          <w:szCs w:val="22"/>
          <w:lang w:eastAsia="lt-LT"/>
        </w:rPr>
        <w:t xml:space="preserve"> </w:t>
      </w:r>
      <w:r w:rsidRPr="003F564F">
        <w:rPr>
          <w:sz w:val="22"/>
          <w:szCs w:val="22"/>
          <w:lang w:eastAsia="lt-LT"/>
        </w:rPr>
        <w:t xml:space="preserve">arba GPG. Pacientai buvo </w:t>
      </w:r>
      <w:proofErr w:type="spellStart"/>
      <w:r w:rsidRPr="003F564F">
        <w:rPr>
          <w:sz w:val="22"/>
          <w:szCs w:val="22"/>
          <w:lang w:eastAsia="lt-LT"/>
        </w:rPr>
        <w:t>stratifikuojami</w:t>
      </w:r>
      <w:proofErr w:type="spellEnd"/>
      <w:r w:rsidRPr="003F564F">
        <w:rPr>
          <w:sz w:val="22"/>
          <w:szCs w:val="22"/>
          <w:lang w:eastAsia="lt-LT"/>
        </w:rPr>
        <w:t xml:space="preserve"> pagal </w:t>
      </w:r>
      <w:r w:rsidR="00D65CCF">
        <w:rPr>
          <w:sz w:val="22"/>
          <w:szCs w:val="22"/>
          <w:lang w:eastAsia="lt-LT"/>
        </w:rPr>
        <w:t>atsitiktinių imčių</w:t>
      </w:r>
      <w:r w:rsidR="00D65CCF" w:rsidRPr="003F564F">
        <w:rPr>
          <w:sz w:val="22"/>
          <w:szCs w:val="22"/>
          <w:lang w:eastAsia="lt-LT"/>
        </w:rPr>
        <w:t xml:space="preserve"> </w:t>
      </w:r>
      <w:r w:rsidRPr="003F564F">
        <w:rPr>
          <w:sz w:val="22"/>
          <w:szCs w:val="22"/>
          <w:lang w:eastAsia="lt-LT"/>
        </w:rPr>
        <w:t xml:space="preserve">metu nustatytą lėtinės </w:t>
      </w:r>
      <w:proofErr w:type="spellStart"/>
      <w:r w:rsidRPr="003F564F">
        <w:rPr>
          <w:sz w:val="22"/>
          <w:szCs w:val="22"/>
          <w:lang w:eastAsia="lt-LT"/>
        </w:rPr>
        <w:t>TpŠL</w:t>
      </w:r>
      <w:proofErr w:type="spellEnd"/>
      <w:r w:rsidRPr="003F564F">
        <w:rPr>
          <w:sz w:val="22"/>
          <w:szCs w:val="22"/>
          <w:lang w:eastAsia="lt-LT"/>
        </w:rPr>
        <w:t xml:space="preserve"> sunkumą. Atsparumas kortikosteroidams buvo nustatomas tuomet, kai pacientams po 7</w:t>
      </w:r>
      <w:r w:rsidR="00B20FA5" w:rsidRPr="003F564F">
        <w:rPr>
          <w:sz w:val="22"/>
          <w:szCs w:val="22"/>
          <w:lang w:eastAsia="lt-LT"/>
        </w:rPr>
        <w:t> </w:t>
      </w:r>
      <w:r w:rsidRPr="003F564F">
        <w:rPr>
          <w:sz w:val="22"/>
          <w:szCs w:val="22"/>
          <w:lang w:eastAsia="lt-LT"/>
        </w:rPr>
        <w:t>dienų nebuvo pasiekiamas atsakas ar liga progresavo, arba liga tęsėsi 4</w:t>
      </w:r>
      <w:r w:rsidR="00B20FA5" w:rsidRPr="003F564F">
        <w:rPr>
          <w:sz w:val="22"/>
          <w:szCs w:val="22"/>
          <w:lang w:eastAsia="lt-LT"/>
        </w:rPr>
        <w:t> </w:t>
      </w:r>
      <w:r w:rsidRPr="003F564F">
        <w:rPr>
          <w:sz w:val="22"/>
          <w:szCs w:val="22"/>
          <w:lang w:eastAsia="lt-LT"/>
        </w:rPr>
        <w:t>savaites, arba du kartus nebuvo įmanoma mažinti kortikosteroidų dozės ir nutraukti jų vartojimo.</w:t>
      </w:r>
    </w:p>
    <w:p w14:paraId="77374DD9" w14:textId="77777777" w:rsidR="00D3679D" w:rsidRPr="003F564F" w:rsidRDefault="00D3679D" w:rsidP="0036574D">
      <w:pPr>
        <w:rPr>
          <w:sz w:val="22"/>
          <w:szCs w:val="22"/>
          <w:lang w:eastAsia="lt-LT"/>
        </w:rPr>
      </w:pPr>
    </w:p>
    <w:p w14:paraId="5A136A88" w14:textId="7EB23905" w:rsidR="00D3679D" w:rsidRPr="003F564F" w:rsidRDefault="00D3679D" w:rsidP="0036574D">
      <w:pPr>
        <w:rPr>
          <w:sz w:val="22"/>
          <w:szCs w:val="22"/>
          <w:lang w:eastAsia="lt-LT"/>
        </w:rPr>
      </w:pPr>
      <w:r w:rsidRPr="003F564F">
        <w:rPr>
          <w:sz w:val="22"/>
          <w:szCs w:val="22"/>
          <w:lang w:eastAsia="lt-LT"/>
        </w:rPr>
        <w:t xml:space="preserve">GPG buvo pasirenkamas tyrėjo kiekvienam pacientui individualiai, ir kaip GPG buvo galima skirti </w:t>
      </w:r>
      <w:proofErr w:type="spellStart"/>
      <w:r w:rsidRPr="003F564F">
        <w:rPr>
          <w:sz w:val="22"/>
          <w:szCs w:val="22"/>
          <w:lang w:eastAsia="lt-LT"/>
        </w:rPr>
        <w:t>ekstrakorporinę</w:t>
      </w:r>
      <w:proofErr w:type="spellEnd"/>
      <w:r w:rsidRPr="003F564F">
        <w:rPr>
          <w:sz w:val="22"/>
          <w:szCs w:val="22"/>
          <w:lang w:eastAsia="lt-LT"/>
        </w:rPr>
        <w:t xml:space="preserve"> </w:t>
      </w:r>
      <w:proofErr w:type="spellStart"/>
      <w:r w:rsidRPr="003F564F">
        <w:rPr>
          <w:sz w:val="22"/>
          <w:szCs w:val="22"/>
          <w:lang w:eastAsia="lt-LT"/>
        </w:rPr>
        <w:t>fotoferezę</w:t>
      </w:r>
      <w:proofErr w:type="spellEnd"/>
      <w:r w:rsidRPr="003F564F">
        <w:rPr>
          <w:sz w:val="22"/>
          <w:szCs w:val="22"/>
          <w:lang w:eastAsia="lt-LT"/>
        </w:rPr>
        <w:t xml:space="preserve">, nedidelę </w:t>
      </w:r>
      <w:proofErr w:type="spellStart"/>
      <w:r w:rsidRPr="003F564F">
        <w:rPr>
          <w:sz w:val="22"/>
          <w:szCs w:val="22"/>
          <w:lang w:eastAsia="lt-LT"/>
        </w:rPr>
        <w:t>metotreksato</w:t>
      </w:r>
      <w:proofErr w:type="spellEnd"/>
      <w:r w:rsidRPr="003F564F">
        <w:rPr>
          <w:sz w:val="22"/>
          <w:szCs w:val="22"/>
          <w:lang w:eastAsia="lt-LT"/>
        </w:rPr>
        <w:t xml:space="preserve"> (MTX) dozę, </w:t>
      </w:r>
      <w:proofErr w:type="spellStart"/>
      <w:r w:rsidRPr="003F564F">
        <w:rPr>
          <w:sz w:val="22"/>
          <w:szCs w:val="22"/>
          <w:lang w:eastAsia="lt-LT"/>
        </w:rPr>
        <w:t>mikofenolato</w:t>
      </w:r>
      <w:proofErr w:type="spellEnd"/>
      <w:r w:rsidRPr="003F564F">
        <w:rPr>
          <w:sz w:val="22"/>
          <w:szCs w:val="22"/>
          <w:lang w:eastAsia="lt-LT"/>
        </w:rPr>
        <w:t xml:space="preserve"> </w:t>
      </w:r>
      <w:proofErr w:type="spellStart"/>
      <w:r w:rsidRPr="003F564F">
        <w:rPr>
          <w:sz w:val="22"/>
          <w:szCs w:val="22"/>
          <w:lang w:eastAsia="lt-LT"/>
        </w:rPr>
        <w:t>mofetilį</w:t>
      </w:r>
      <w:proofErr w:type="spellEnd"/>
      <w:r w:rsidRPr="003F564F">
        <w:rPr>
          <w:sz w:val="22"/>
          <w:szCs w:val="22"/>
          <w:lang w:eastAsia="lt-LT"/>
        </w:rPr>
        <w:t xml:space="preserve"> (MMF), </w:t>
      </w:r>
      <w:proofErr w:type="spellStart"/>
      <w:r w:rsidRPr="003F564F">
        <w:rPr>
          <w:sz w:val="22"/>
          <w:szCs w:val="22"/>
          <w:lang w:eastAsia="lt-LT"/>
        </w:rPr>
        <w:t>mTOR</w:t>
      </w:r>
      <w:proofErr w:type="spellEnd"/>
      <w:r w:rsidRPr="003F564F">
        <w:rPr>
          <w:sz w:val="22"/>
          <w:szCs w:val="22"/>
          <w:lang w:eastAsia="lt-LT"/>
        </w:rPr>
        <w:t xml:space="preserve"> inhibitorių (</w:t>
      </w:r>
      <w:proofErr w:type="spellStart"/>
      <w:r w:rsidRPr="003F564F">
        <w:rPr>
          <w:sz w:val="22"/>
          <w:szCs w:val="22"/>
          <w:lang w:eastAsia="lt-LT"/>
        </w:rPr>
        <w:t>everolimuzą</w:t>
      </w:r>
      <w:proofErr w:type="spellEnd"/>
      <w:r w:rsidRPr="003F564F">
        <w:rPr>
          <w:sz w:val="22"/>
          <w:szCs w:val="22"/>
          <w:lang w:eastAsia="lt-LT"/>
        </w:rPr>
        <w:t xml:space="preserve"> ar </w:t>
      </w:r>
      <w:proofErr w:type="spellStart"/>
      <w:r w:rsidRPr="003F564F">
        <w:rPr>
          <w:sz w:val="22"/>
          <w:szCs w:val="22"/>
          <w:lang w:eastAsia="lt-LT"/>
        </w:rPr>
        <w:t>sirolimuzą</w:t>
      </w:r>
      <w:proofErr w:type="spellEnd"/>
      <w:r w:rsidRPr="003F564F">
        <w:rPr>
          <w:sz w:val="22"/>
          <w:szCs w:val="22"/>
          <w:lang w:eastAsia="lt-LT"/>
        </w:rPr>
        <w:t xml:space="preserve">), </w:t>
      </w:r>
      <w:proofErr w:type="spellStart"/>
      <w:r w:rsidRPr="003F564F">
        <w:rPr>
          <w:sz w:val="22"/>
          <w:szCs w:val="22"/>
          <w:lang w:eastAsia="lt-LT"/>
        </w:rPr>
        <w:t>infliksimabą</w:t>
      </w:r>
      <w:proofErr w:type="spellEnd"/>
      <w:r w:rsidRPr="003F564F">
        <w:rPr>
          <w:sz w:val="22"/>
          <w:szCs w:val="22"/>
          <w:lang w:eastAsia="lt-LT"/>
        </w:rPr>
        <w:t xml:space="preserve">, </w:t>
      </w:r>
      <w:proofErr w:type="spellStart"/>
      <w:r w:rsidRPr="003F564F">
        <w:rPr>
          <w:sz w:val="22"/>
          <w:szCs w:val="22"/>
          <w:lang w:eastAsia="lt-LT"/>
        </w:rPr>
        <w:t>rituksimabą</w:t>
      </w:r>
      <w:proofErr w:type="spellEnd"/>
      <w:r w:rsidRPr="003F564F">
        <w:rPr>
          <w:sz w:val="22"/>
          <w:szCs w:val="22"/>
          <w:lang w:eastAsia="lt-LT"/>
        </w:rPr>
        <w:t xml:space="preserve">, </w:t>
      </w:r>
      <w:proofErr w:type="spellStart"/>
      <w:r w:rsidRPr="003F564F">
        <w:rPr>
          <w:sz w:val="22"/>
          <w:szCs w:val="22"/>
          <w:lang w:eastAsia="lt-LT"/>
        </w:rPr>
        <w:t>pentostatiną</w:t>
      </w:r>
      <w:proofErr w:type="spellEnd"/>
      <w:r w:rsidRPr="003F564F">
        <w:rPr>
          <w:sz w:val="22"/>
          <w:szCs w:val="22"/>
          <w:lang w:eastAsia="lt-LT"/>
        </w:rPr>
        <w:t xml:space="preserve">, </w:t>
      </w:r>
      <w:proofErr w:type="spellStart"/>
      <w:r w:rsidRPr="003F564F">
        <w:rPr>
          <w:sz w:val="22"/>
          <w:szCs w:val="22"/>
          <w:lang w:eastAsia="lt-LT"/>
        </w:rPr>
        <w:t>imatinibą</w:t>
      </w:r>
      <w:proofErr w:type="spellEnd"/>
      <w:r w:rsidRPr="003F564F">
        <w:rPr>
          <w:sz w:val="22"/>
          <w:szCs w:val="22"/>
          <w:lang w:eastAsia="lt-LT"/>
        </w:rPr>
        <w:t xml:space="preserve"> arba </w:t>
      </w:r>
      <w:proofErr w:type="spellStart"/>
      <w:r w:rsidRPr="003F564F">
        <w:rPr>
          <w:sz w:val="22"/>
          <w:szCs w:val="22"/>
          <w:lang w:eastAsia="lt-LT"/>
        </w:rPr>
        <w:t>ibrutinibą</w:t>
      </w:r>
      <w:proofErr w:type="spellEnd"/>
      <w:r w:rsidRPr="003F564F">
        <w:rPr>
          <w:sz w:val="22"/>
          <w:szCs w:val="22"/>
          <w:lang w:eastAsia="lt-LT"/>
        </w:rPr>
        <w:t>.</w:t>
      </w:r>
    </w:p>
    <w:p w14:paraId="1DED4D31" w14:textId="77777777" w:rsidR="00D3679D" w:rsidRPr="003F564F" w:rsidRDefault="00D3679D" w:rsidP="0036574D">
      <w:pPr>
        <w:rPr>
          <w:sz w:val="22"/>
          <w:szCs w:val="22"/>
          <w:lang w:eastAsia="lt-LT"/>
        </w:rPr>
      </w:pPr>
    </w:p>
    <w:p w14:paraId="61715102" w14:textId="36C1CC96" w:rsidR="00D3679D" w:rsidRPr="003F564F" w:rsidRDefault="00D3679D" w:rsidP="0036574D">
      <w:pPr>
        <w:rPr>
          <w:sz w:val="22"/>
          <w:szCs w:val="22"/>
          <w:lang w:eastAsia="lt-LT"/>
        </w:rPr>
      </w:pPr>
      <w:r w:rsidRPr="003F564F">
        <w:rPr>
          <w:sz w:val="22"/>
          <w:szCs w:val="22"/>
          <w:lang w:eastAsia="lt-LT"/>
        </w:rPr>
        <w:t xml:space="preserve">Be </w:t>
      </w:r>
      <w:proofErr w:type="spellStart"/>
      <w:r w:rsidR="00B20FA5" w:rsidRPr="003F564F">
        <w:rPr>
          <w:sz w:val="22"/>
          <w:szCs w:val="22"/>
          <w:lang w:eastAsia="lt-LT"/>
        </w:rPr>
        <w:t>ruksolitinibo</w:t>
      </w:r>
      <w:proofErr w:type="spellEnd"/>
      <w:r w:rsidR="00B20FA5" w:rsidRPr="003F564F">
        <w:rPr>
          <w:sz w:val="22"/>
          <w:szCs w:val="22"/>
          <w:lang w:eastAsia="lt-LT"/>
        </w:rPr>
        <w:t xml:space="preserve"> </w:t>
      </w:r>
      <w:r w:rsidRPr="003F564F">
        <w:rPr>
          <w:sz w:val="22"/>
          <w:szCs w:val="22"/>
          <w:lang w:eastAsia="lt-LT"/>
        </w:rPr>
        <w:t xml:space="preserve">arba GPG pacientams buvo galima atlikti įprastinę alogeninę kamieninių ląstelių transplantaciją, skirti palaikomąjį gydymą, įskaitant vaistinius preparatus infekcijoms gydyti ir kraujo komponentų transfuzijas. Buvo leidžiama tęsti gydymą kortikosteroidais ir KNI, pavyzdžiui, </w:t>
      </w:r>
      <w:proofErr w:type="spellStart"/>
      <w:r w:rsidRPr="003F564F">
        <w:rPr>
          <w:sz w:val="22"/>
          <w:szCs w:val="22"/>
          <w:lang w:eastAsia="lt-LT"/>
        </w:rPr>
        <w:t>ciklosporinu</w:t>
      </w:r>
      <w:proofErr w:type="spellEnd"/>
      <w:r w:rsidRPr="003F564F">
        <w:rPr>
          <w:sz w:val="22"/>
          <w:szCs w:val="22"/>
          <w:lang w:eastAsia="lt-LT"/>
        </w:rPr>
        <w:t xml:space="preserve"> ar </w:t>
      </w:r>
      <w:proofErr w:type="spellStart"/>
      <w:r w:rsidRPr="003F564F">
        <w:rPr>
          <w:sz w:val="22"/>
          <w:szCs w:val="22"/>
          <w:lang w:eastAsia="lt-LT"/>
        </w:rPr>
        <w:t>takrolimuzu</w:t>
      </w:r>
      <w:proofErr w:type="spellEnd"/>
      <w:r w:rsidRPr="003F564F">
        <w:rPr>
          <w:sz w:val="22"/>
          <w:szCs w:val="22"/>
          <w:lang w:eastAsia="lt-LT"/>
        </w:rPr>
        <w:t>, bei vietiniais ar įkvepiamaisiais kortikosteroidais, laikantis vietinių rekomendacijų.</w:t>
      </w:r>
    </w:p>
    <w:p w14:paraId="1430CFA9" w14:textId="77777777" w:rsidR="00D3679D" w:rsidRPr="003F564F" w:rsidRDefault="00D3679D" w:rsidP="0036574D">
      <w:pPr>
        <w:rPr>
          <w:sz w:val="22"/>
          <w:szCs w:val="22"/>
          <w:lang w:eastAsia="lt-LT"/>
        </w:rPr>
      </w:pPr>
    </w:p>
    <w:p w14:paraId="1DD1B809" w14:textId="668DBBB1" w:rsidR="00D3679D" w:rsidRPr="003F564F" w:rsidRDefault="00D3679D" w:rsidP="0036574D">
      <w:pPr>
        <w:rPr>
          <w:sz w:val="22"/>
          <w:szCs w:val="22"/>
          <w:lang w:eastAsia="lt-LT"/>
        </w:rPr>
      </w:pPr>
      <w:r w:rsidRPr="003F564F">
        <w:rPr>
          <w:sz w:val="22"/>
          <w:szCs w:val="22"/>
          <w:lang w:eastAsia="lt-LT"/>
        </w:rPr>
        <w:t xml:space="preserve">Į tyrimą galėjo būti įtraukiami pacientai, kuriems lėtinei </w:t>
      </w:r>
      <w:proofErr w:type="spellStart"/>
      <w:r w:rsidRPr="003F564F">
        <w:rPr>
          <w:sz w:val="22"/>
          <w:szCs w:val="22"/>
          <w:lang w:eastAsia="lt-LT"/>
        </w:rPr>
        <w:t>TpŠL</w:t>
      </w:r>
      <w:proofErr w:type="spellEnd"/>
      <w:r w:rsidRPr="003F564F">
        <w:rPr>
          <w:sz w:val="22"/>
          <w:szCs w:val="22"/>
          <w:lang w:eastAsia="lt-LT"/>
        </w:rPr>
        <w:t xml:space="preserve"> gydyti anksčiau buvo skirtas vienas sisteminio poveikio gydymas (kitoks nei kortikosteroidais ir [arba] KNI). Tyrimo laikotarpiu be kortikosteroidų ir KNI buvo leidžiama tęsti gydymą anksčiau paskirtu sisteminio poveikio vaistiniu </w:t>
      </w:r>
      <w:r w:rsidRPr="003F564F">
        <w:rPr>
          <w:sz w:val="22"/>
          <w:szCs w:val="22"/>
          <w:lang w:eastAsia="lt-LT"/>
        </w:rPr>
        <w:lastRenderedPageBreak/>
        <w:t xml:space="preserve">preparatu nuo lėtinės </w:t>
      </w:r>
      <w:proofErr w:type="spellStart"/>
      <w:r w:rsidRPr="003F564F">
        <w:rPr>
          <w:sz w:val="22"/>
          <w:szCs w:val="22"/>
          <w:lang w:eastAsia="lt-LT"/>
        </w:rPr>
        <w:t>TpŠL</w:t>
      </w:r>
      <w:proofErr w:type="spellEnd"/>
      <w:r w:rsidRPr="003F564F">
        <w:rPr>
          <w:sz w:val="22"/>
          <w:szCs w:val="22"/>
          <w:lang w:eastAsia="lt-LT"/>
        </w:rPr>
        <w:t xml:space="preserve"> (tik tokiu atveju, jei jis buvo skiriamas lėtinės </w:t>
      </w:r>
      <w:proofErr w:type="spellStart"/>
      <w:r w:rsidRPr="003F564F">
        <w:rPr>
          <w:sz w:val="22"/>
          <w:szCs w:val="22"/>
          <w:lang w:eastAsia="lt-LT"/>
        </w:rPr>
        <w:t>TpŠL</w:t>
      </w:r>
      <w:proofErr w:type="spellEnd"/>
      <w:r w:rsidRPr="003F564F">
        <w:rPr>
          <w:sz w:val="22"/>
          <w:szCs w:val="22"/>
          <w:lang w:eastAsia="lt-LT"/>
        </w:rPr>
        <w:t xml:space="preserve"> profilaktikai, t. y. pradėtas vartoti prieš nustatant lėtinės </w:t>
      </w:r>
      <w:proofErr w:type="spellStart"/>
      <w:r w:rsidRPr="003F564F">
        <w:rPr>
          <w:sz w:val="22"/>
          <w:szCs w:val="22"/>
          <w:lang w:eastAsia="lt-LT"/>
        </w:rPr>
        <w:t>TpŠL</w:t>
      </w:r>
      <w:proofErr w:type="spellEnd"/>
      <w:r w:rsidRPr="003F564F">
        <w:rPr>
          <w:sz w:val="22"/>
          <w:szCs w:val="22"/>
          <w:lang w:eastAsia="lt-LT"/>
        </w:rPr>
        <w:t xml:space="preserve"> diagnozę), vadovaujantis įprastine klinikine praktika.</w:t>
      </w:r>
    </w:p>
    <w:p w14:paraId="70DCD39F" w14:textId="77777777" w:rsidR="00D3679D" w:rsidRPr="003F564F" w:rsidRDefault="00D3679D" w:rsidP="0036574D">
      <w:pPr>
        <w:rPr>
          <w:sz w:val="22"/>
          <w:szCs w:val="22"/>
          <w:lang w:eastAsia="lt-LT"/>
        </w:rPr>
      </w:pPr>
    </w:p>
    <w:p w14:paraId="04310B5D" w14:textId="7812E23E" w:rsidR="00D3679D" w:rsidRPr="003F564F" w:rsidRDefault="00D3679D" w:rsidP="0036574D">
      <w:pPr>
        <w:rPr>
          <w:sz w:val="22"/>
          <w:szCs w:val="22"/>
          <w:lang w:eastAsia="lt-LT"/>
        </w:rPr>
      </w:pPr>
      <w:r w:rsidRPr="003F564F">
        <w:rPr>
          <w:sz w:val="22"/>
          <w:szCs w:val="22"/>
          <w:lang w:eastAsia="lt-LT"/>
        </w:rPr>
        <w:t>169</w:t>
      </w:r>
      <w:r w:rsidR="00B20FA5" w:rsidRPr="003F564F">
        <w:rPr>
          <w:sz w:val="22"/>
          <w:szCs w:val="22"/>
          <w:lang w:eastAsia="lt-LT"/>
        </w:rPr>
        <w:noBreakHyphen/>
      </w:r>
      <w:r w:rsidRPr="003F564F">
        <w:rPr>
          <w:sz w:val="22"/>
          <w:szCs w:val="22"/>
          <w:lang w:eastAsia="lt-LT"/>
        </w:rPr>
        <w:t xml:space="preserve">ąją dieną ar vėliau pacientams GPG galėjo būti keičiamas į gydymą </w:t>
      </w:r>
      <w:proofErr w:type="spellStart"/>
      <w:r w:rsidRPr="003F564F">
        <w:rPr>
          <w:sz w:val="22"/>
          <w:szCs w:val="22"/>
          <w:lang w:eastAsia="lt-LT"/>
        </w:rPr>
        <w:t>ruksolitinibu</w:t>
      </w:r>
      <w:proofErr w:type="spellEnd"/>
      <w:r w:rsidRPr="003F564F">
        <w:rPr>
          <w:sz w:val="22"/>
          <w:szCs w:val="22"/>
          <w:lang w:eastAsia="lt-LT"/>
        </w:rPr>
        <w:t xml:space="preserve">, nustačius ligos progresavimą, mišrų atsaką arba nepakitusį atsaką, o taip pat dėl toksinio GPG poveikio arba dėl lėtinės </w:t>
      </w:r>
      <w:proofErr w:type="spellStart"/>
      <w:r w:rsidRPr="003F564F">
        <w:rPr>
          <w:sz w:val="22"/>
          <w:szCs w:val="22"/>
          <w:lang w:eastAsia="lt-LT"/>
        </w:rPr>
        <w:t>TpŠL</w:t>
      </w:r>
      <w:proofErr w:type="spellEnd"/>
      <w:r w:rsidRPr="003F564F">
        <w:rPr>
          <w:sz w:val="22"/>
          <w:szCs w:val="22"/>
          <w:lang w:eastAsia="lt-LT"/>
        </w:rPr>
        <w:t xml:space="preserve"> paūmėjimo.</w:t>
      </w:r>
    </w:p>
    <w:p w14:paraId="0357014F" w14:textId="77777777" w:rsidR="00D3679D" w:rsidRPr="003F564F" w:rsidRDefault="00D3679D" w:rsidP="0036574D">
      <w:pPr>
        <w:rPr>
          <w:sz w:val="22"/>
          <w:szCs w:val="22"/>
          <w:lang w:eastAsia="lt-LT"/>
        </w:rPr>
      </w:pPr>
    </w:p>
    <w:p w14:paraId="62EEF39D" w14:textId="03FD3EF4" w:rsidR="00D3679D" w:rsidRPr="003F564F" w:rsidRDefault="00D3679D" w:rsidP="0036574D">
      <w:pPr>
        <w:rPr>
          <w:sz w:val="22"/>
          <w:szCs w:val="22"/>
          <w:lang w:eastAsia="lt-LT"/>
        </w:rPr>
      </w:pPr>
      <w:r w:rsidRPr="003F564F">
        <w:rPr>
          <w:sz w:val="22"/>
          <w:szCs w:val="22"/>
          <w:lang w:eastAsia="lt-LT"/>
        </w:rPr>
        <w:t xml:space="preserve">Vaistinio preparato veiksmingumas pacientams, kuriems būklė pakito iš aktyvios ūminės </w:t>
      </w:r>
      <w:proofErr w:type="spellStart"/>
      <w:r w:rsidRPr="003F564F">
        <w:rPr>
          <w:sz w:val="22"/>
          <w:szCs w:val="22"/>
          <w:lang w:eastAsia="lt-LT"/>
        </w:rPr>
        <w:t>TpŠL</w:t>
      </w:r>
      <w:proofErr w:type="spellEnd"/>
      <w:r w:rsidRPr="003F564F">
        <w:rPr>
          <w:sz w:val="22"/>
          <w:szCs w:val="22"/>
          <w:lang w:eastAsia="lt-LT"/>
        </w:rPr>
        <w:t xml:space="preserve"> į lėtinę </w:t>
      </w:r>
      <w:proofErr w:type="spellStart"/>
      <w:r w:rsidRPr="003F564F">
        <w:rPr>
          <w:sz w:val="22"/>
          <w:szCs w:val="22"/>
          <w:lang w:eastAsia="lt-LT"/>
        </w:rPr>
        <w:t>TpŠL</w:t>
      </w:r>
      <w:proofErr w:type="spellEnd"/>
      <w:r w:rsidRPr="003F564F">
        <w:rPr>
          <w:sz w:val="22"/>
          <w:szCs w:val="22"/>
          <w:lang w:eastAsia="lt-LT"/>
        </w:rPr>
        <w:t xml:space="preserve"> be kortikosteroidų ir kitokio sisteminio poveikio gydymo nutraukimo, nežinomas. Vaistinio preparato veiksmingumas ūmine ar lėtine </w:t>
      </w:r>
      <w:proofErr w:type="spellStart"/>
      <w:r w:rsidRPr="003F564F">
        <w:rPr>
          <w:sz w:val="22"/>
          <w:szCs w:val="22"/>
          <w:lang w:eastAsia="lt-LT"/>
        </w:rPr>
        <w:t>TpŠL</w:t>
      </w:r>
      <w:proofErr w:type="spellEnd"/>
      <w:r w:rsidRPr="003F564F">
        <w:rPr>
          <w:sz w:val="22"/>
          <w:szCs w:val="22"/>
          <w:lang w:eastAsia="lt-LT"/>
        </w:rPr>
        <w:t xml:space="preserve"> sergantiems pacientams po donorinių limfocitų infuzijos (DLI) bei pacientams, kurie netoleravo gydymo steroidais, nežinomas.</w:t>
      </w:r>
    </w:p>
    <w:p w14:paraId="417D8833" w14:textId="77777777" w:rsidR="0036574D" w:rsidRPr="003F564F" w:rsidRDefault="0036574D" w:rsidP="0036574D">
      <w:pPr>
        <w:rPr>
          <w:sz w:val="22"/>
          <w:szCs w:val="22"/>
          <w:lang w:eastAsia="lt-LT"/>
        </w:rPr>
      </w:pPr>
    </w:p>
    <w:p w14:paraId="0404A901" w14:textId="1E5BDA41" w:rsidR="00D3679D" w:rsidRPr="003F564F" w:rsidRDefault="00D3679D" w:rsidP="0036574D">
      <w:pPr>
        <w:rPr>
          <w:sz w:val="22"/>
          <w:szCs w:val="22"/>
          <w:lang w:eastAsia="lt-LT"/>
        </w:rPr>
      </w:pPr>
      <w:r w:rsidRPr="003F564F">
        <w:rPr>
          <w:sz w:val="22"/>
          <w:szCs w:val="22"/>
          <w:lang w:eastAsia="lt-LT"/>
        </w:rPr>
        <w:t>169</w:t>
      </w:r>
      <w:r w:rsidR="00B20FA5" w:rsidRPr="003F564F">
        <w:rPr>
          <w:sz w:val="22"/>
          <w:szCs w:val="22"/>
          <w:lang w:eastAsia="lt-LT"/>
        </w:rPr>
        <w:noBreakHyphen/>
      </w:r>
      <w:r w:rsidRPr="003F564F">
        <w:rPr>
          <w:sz w:val="22"/>
          <w:szCs w:val="22"/>
          <w:lang w:eastAsia="lt-LT"/>
        </w:rPr>
        <w:t xml:space="preserve">ąją vizito dieną buvo leidžiama pacientams mažinti </w:t>
      </w:r>
      <w:proofErr w:type="spellStart"/>
      <w:r w:rsidR="00B20FA5" w:rsidRPr="003F564F">
        <w:rPr>
          <w:sz w:val="22"/>
          <w:szCs w:val="22"/>
          <w:lang w:eastAsia="lt-LT"/>
        </w:rPr>
        <w:t>ruksolitinibo</w:t>
      </w:r>
      <w:proofErr w:type="spellEnd"/>
      <w:r w:rsidR="00B20FA5" w:rsidRPr="003F564F">
        <w:rPr>
          <w:sz w:val="22"/>
          <w:szCs w:val="22"/>
          <w:lang w:eastAsia="lt-LT"/>
        </w:rPr>
        <w:t xml:space="preserve"> </w:t>
      </w:r>
      <w:r w:rsidRPr="003F564F">
        <w:rPr>
          <w:sz w:val="22"/>
          <w:szCs w:val="22"/>
          <w:lang w:eastAsia="lt-LT"/>
        </w:rPr>
        <w:t>dozę ir jo vartojimą nutraukti.</w:t>
      </w:r>
    </w:p>
    <w:p w14:paraId="0F3AFEAD" w14:textId="77777777" w:rsidR="0036574D" w:rsidRPr="003F564F" w:rsidRDefault="0036574D" w:rsidP="0036574D">
      <w:pPr>
        <w:rPr>
          <w:sz w:val="22"/>
          <w:szCs w:val="22"/>
          <w:lang w:eastAsia="lt-LT"/>
        </w:rPr>
      </w:pPr>
    </w:p>
    <w:p w14:paraId="17191B1C" w14:textId="1C758691" w:rsidR="00D3679D" w:rsidRPr="003F564F" w:rsidRDefault="00D3679D" w:rsidP="0036574D">
      <w:pPr>
        <w:rPr>
          <w:sz w:val="22"/>
          <w:szCs w:val="22"/>
          <w:lang w:eastAsia="lt-LT"/>
        </w:rPr>
      </w:pPr>
      <w:r w:rsidRPr="003F564F">
        <w:rPr>
          <w:sz w:val="22"/>
          <w:szCs w:val="22"/>
          <w:lang w:eastAsia="lt-LT"/>
        </w:rPr>
        <w:t>Abejose tiriamosiose grupėse pradiniai demografiniai pacientų duomenys ir ligos ypatybės buvo panašūs. Pacientų amžiaus mediana buvo 49</w:t>
      </w:r>
      <w:r w:rsidR="00B20FA5" w:rsidRPr="003F564F">
        <w:rPr>
          <w:sz w:val="22"/>
          <w:szCs w:val="22"/>
          <w:lang w:eastAsia="lt-LT"/>
        </w:rPr>
        <w:t> </w:t>
      </w:r>
      <w:r w:rsidRPr="003F564F">
        <w:rPr>
          <w:sz w:val="22"/>
          <w:szCs w:val="22"/>
          <w:lang w:eastAsia="lt-LT"/>
        </w:rPr>
        <w:t>metai (svyravo nuo 12 iki 76</w:t>
      </w:r>
      <w:r w:rsidR="00B20FA5" w:rsidRPr="003F564F">
        <w:rPr>
          <w:sz w:val="22"/>
          <w:szCs w:val="22"/>
          <w:lang w:eastAsia="lt-LT"/>
        </w:rPr>
        <w:t> </w:t>
      </w:r>
      <w:r w:rsidRPr="003F564F">
        <w:rPr>
          <w:sz w:val="22"/>
          <w:szCs w:val="22"/>
          <w:lang w:eastAsia="lt-LT"/>
        </w:rPr>
        <w:t>metų). Tarp tiriamųjų asmenų buvo 3,6</w:t>
      </w:r>
      <w:r w:rsidR="00B20FA5" w:rsidRPr="003F564F">
        <w:rPr>
          <w:sz w:val="22"/>
          <w:szCs w:val="22"/>
          <w:lang w:eastAsia="lt-LT"/>
        </w:rPr>
        <w:t> </w:t>
      </w:r>
      <w:r w:rsidRPr="003F564F">
        <w:rPr>
          <w:sz w:val="22"/>
          <w:szCs w:val="22"/>
          <w:lang w:eastAsia="lt-LT"/>
        </w:rPr>
        <w:t>% paauglių, 61,1</w:t>
      </w:r>
      <w:r w:rsidR="00B20FA5" w:rsidRPr="003F564F">
        <w:rPr>
          <w:sz w:val="22"/>
          <w:szCs w:val="22"/>
          <w:lang w:eastAsia="lt-LT"/>
        </w:rPr>
        <w:t> </w:t>
      </w:r>
      <w:r w:rsidRPr="003F564F">
        <w:rPr>
          <w:sz w:val="22"/>
          <w:szCs w:val="22"/>
          <w:lang w:eastAsia="lt-LT"/>
        </w:rPr>
        <w:t>% vyriškosios lyties ir 75,4</w:t>
      </w:r>
      <w:r w:rsidR="00B20FA5" w:rsidRPr="003F564F">
        <w:rPr>
          <w:sz w:val="22"/>
          <w:szCs w:val="22"/>
          <w:lang w:eastAsia="lt-LT"/>
        </w:rPr>
        <w:t> </w:t>
      </w:r>
      <w:r w:rsidRPr="003F564F">
        <w:rPr>
          <w:sz w:val="22"/>
          <w:szCs w:val="22"/>
          <w:lang w:eastAsia="lt-LT"/>
        </w:rPr>
        <w:t>% baltaodžių pacientų. Daugeliui į tyrimą įtrauktų pacientų buvo nustatyta piktybinė gretutinė liga.</w:t>
      </w:r>
    </w:p>
    <w:p w14:paraId="37573FBB" w14:textId="77777777" w:rsidR="0036574D" w:rsidRPr="003F564F" w:rsidRDefault="0036574D" w:rsidP="0036574D">
      <w:pPr>
        <w:rPr>
          <w:sz w:val="22"/>
          <w:szCs w:val="22"/>
          <w:lang w:eastAsia="lt-LT"/>
        </w:rPr>
      </w:pPr>
    </w:p>
    <w:p w14:paraId="540B34A0" w14:textId="14A141E1" w:rsidR="00D3679D" w:rsidRPr="003F564F" w:rsidRDefault="00D3679D" w:rsidP="0036574D">
      <w:pPr>
        <w:rPr>
          <w:sz w:val="22"/>
          <w:szCs w:val="22"/>
          <w:lang w:eastAsia="lt-LT"/>
        </w:rPr>
      </w:pPr>
      <w:r w:rsidRPr="003F564F">
        <w:rPr>
          <w:sz w:val="22"/>
          <w:szCs w:val="22"/>
          <w:lang w:eastAsia="lt-LT"/>
        </w:rPr>
        <w:t xml:space="preserve">Abejose tiriamosiose grupėse kortikosteroidams atsparios lėtinės </w:t>
      </w:r>
      <w:proofErr w:type="spellStart"/>
      <w:r w:rsidRPr="003F564F">
        <w:rPr>
          <w:sz w:val="22"/>
          <w:szCs w:val="22"/>
          <w:lang w:eastAsia="lt-LT"/>
        </w:rPr>
        <w:t>TpŠL</w:t>
      </w:r>
      <w:proofErr w:type="spellEnd"/>
      <w:r w:rsidRPr="003F564F">
        <w:rPr>
          <w:sz w:val="22"/>
          <w:szCs w:val="22"/>
          <w:lang w:eastAsia="lt-LT"/>
        </w:rPr>
        <w:t xml:space="preserve"> sunkumas (diagnozės nustatymo metu) buvo panašus: 41</w:t>
      </w:r>
      <w:r w:rsidR="0016599D">
        <w:rPr>
          <w:sz w:val="22"/>
          <w:szCs w:val="22"/>
          <w:lang w:eastAsia="lt-LT"/>
        </w:rPr>
        <w:t> </w:t>
      </w:r>
      <w:r w:rsidRPr="003F564F">
        <w:rPr>
          <w:sz w:val="22"/>
          <w:szCs w:val="22"/>
          <w:lang w:eastAsia="lt-LT"/>
        </w:rPr>
        <w:t>% ir 45</w:t>
      </w:r>
      <w:r w:rsidR="0016599D">
        <w:rPr>
          <w:sz w:val="22"/>
          <w:szCs w:val="22"/>
          <w:lang w:eastAsia="lt-LT"/>
        </w:rPr>
        <w:t> </w:t>
      </w:r>
      <w:r w:rsidRPr="003F564F">
        <w:rPr>
          <w:sz w:val="22"/>
          <w:szCs w:val="22"/>
          <w:lang w:eastAsia="lt-LT"/>
        </w:rPr>
        <w:t>% pacientų nustatyta vidutinio sunkumo liga bei 59</w:t>
      </w:r>
      <w:r w:rsidR="0016599D">
        <w:rPr>
          <w:sz w:val="22"/>
          <w:szCs w:val="22"/>
          <w:lang w:eastAsia="lt-LT"/>
        </w:rPr>
        <w:t> </w:t>
      </w:r>
      <w:r w:rsidRPr="003F564F">
        <w:rPr>
          <w:sz w:val="22"/>
          <w:szCs w:val="22"/>
          <w:lang w:eastAsia="lt-LT"/>
        </w:rPr>
        <w:t>% ir 55</w:t>
      </w:r>
      <w:r w:rsidR="0016599D">
        <w:rPr>
          <w:sz w:val="22"/>
          <w:szCs w:val="22"/>
          <w:lang w:eastAsia="lt-LT"/>
        </w:rPr>
        <w:t> </w:t>
      </w:r>
      <w:r w:rsidRPr="003F564F">
        <w:rPr>
          <w:sz w:val="22"/>
          <w:szCs w:val="22"/>
          <w:lang w:eastAsia="lt-LT"/>
        </w:rPr>
        <w:t xml:space="preserve">% pacientų nustatyta sunki liga, atitinkamai </w:t>
      </w:r>
      <w:proofErr w:type="spellStart"/>
      <w:r w:rsidR="0016599D">
        <w:rPr>
          <w:sz w:val="22"/>
          <w:szCs w:val="22"/>
          <w:lang w:eastAsia="lt-LT"/>
        </w:rPr>
        <w:t>ruksolitinibo</w:t>
      </w:r>
      <w:proofErr w:type="spellEnd"/>
      <w:r w:rsidR="0016599D" w:rsidRPr="003F564F">
        <w:rPr>
          <w:sz w:val="22"/>
          <w:szCs w:val="22"/>
          <w:lang w:eastAsia="lt-LT"/>
        </w:rPr>
        <w:t xml:space="preserve"> </w:t>
      </w:r>
      <w:r w:rsidRPr="003F564F">
        <w:rPr>
          <w:sz w:val="22"/>
          <w:szCs w:val="22"/>
          <w:lang w:eastAsia="lt-LT"/>
        </w:rPr>
        <w:t>ir GPG grupėse.</w:t>
      </w:r>
    </w:p>
    <w:p w14:paraId="69490A47" w14:textId="77777777" w:rsidR="0036574D" w:rsidRPr="003F564F" w:rsidRDefault="0036574D" w:rsidP="0036574D">
      <w:pPr>
        <w:rPr>
          <w:sz w:val="22"/>
          <w:szCs w:val="22"/>
          <w:lang w:eastAsia="lt-LT"/>
        </w:rPr>
      </w:pPr>
    </w:p>
    <w:p w14:paraId="2B028F9C" w14:textId="7CF14D4F" w:rsidR="00D3679D" w:rsidRPr="003F564F" w:rsidRDefault="00D3679D" w:rsidP="0036574D">
      <w:pPr>
        <w:rPr>
          <w:sz w:val="22"/>
          <w:szCs w:val="22"/>
          <w:lang w:eastAsia="lt-LT"/>
        </w:rPr>
      </w:pPr>
      <w:r w:rsidRPr="003F564F">
        <w:rPr>
          <w:sz w:val="22"/>
          <w:szCs w:val="22"/>
          <w:lang w:eastAsia="lt-LT"/>
        </w:rPr>
        <w:t xml:space="preserve">Nepakankamo atsako kortikosteroidams priežastys </w:t>
      </w:r>
      <w:proofErr w:type="spellStart"/>
      <w:r w:rsidR="008B09E3">
        <w:rPr>
          <w:sz w:val="22"/>
          <w:szCs w:val="22"/>
          <w:lang w:eastAsia="lt-LT"/>
        </w:rPr>
        <w:t>Ruxolitinib</w:t>
      </w:r>
      <w:proofErr w:type="spellEnd"/>
      <w:r w:rsidR="008B09E3">
        <w:rPr>
          <w:sz w:val="22"/>
          <w:szCs w:val="22"/>
          <w:lang w:eastAsia="lt-LT"/>
        </w:rPr>
        <w:t xml:space="preserve"> </w:t>
      </w:r>
      <w:proofErr w:type="spellStart"/>
      <w:r w:rsidR="008B09E3">
        <w:rPr>
          <w:sz w:val="22"/>
          <w:szCs w:val="22"/>
          <w:lang w:eastAsia="lt-LT"/>
        </w:rPr>
        <w:t>Sandoz</w:t>
      </w:r>
      <w:proofErr w:type="spellEnd"/>
      <w:r w:rsidRPr="003F564F">
        <w:rPr>
          <w:sz w:val="22"/>
          <w:szCs w:val="22"/>
          <w:lang w:eastAsia="lt-LT"/>
        </w:rPr>
        <w:t xml:space="preserve"> ir GPG grupėse pacientams buvo tokios: i) nebuvo pasiekiamas atsakas arba liga progresavo po bent 7</w:t>
      </w:r>
      <w:r w:rsidR="0016599D">
        <w:rPr>
          <w:sz w:val="22"/>
          <w:szCs w:val="22"/>
          <w:lang w:eastAsia="lt-LT"/>
        </w:rPr>
        <w:t> </w:t>
      </w:r>
      <w:r w:rsidRPr="003F564F">
        <w:rPr>
          <w:sz w:val="22"/>
          <w:szCs w:val="22"/>
          <w:lang w:eastAsia="lt-LT"/>
        </w:rPr>
        <w:t>dienų gydymo kortikosteroidais, skiriant 1</w:t>
      </w:r>
      <w:r w:rsidR="0016599D">
        <w:rPr>
          <w:sz w:val="22"/>
          <w:szCs w:val="22"/>
          <w:lang w:eastAsia="lt-LT"/>
        </w:rPr>
        <w:t> </w:t>
      </w:r>
      <w:r w:rsidRPr="003F564F">
        <w:rPr>
          <w:sz w:val="22"/>
          <w:szCs w:val="22"/>
          <w:lang w:eastAsia="lt-LT"/>
        </w:rPr>
        <w:t>mg/kg per parą prednizonui ekvivalentišką dozę (atitinkamai 37,6</w:t>
      </w:r>
      <w:r w:rsidR="0016599D">
        <w:rPr>
          <w:sz w:val="22"/>
          <w:szCs w:val="22"/>
          <w:lang w:eastAsia="lt-LT"/>
        </w:rPr>
        <w:t> </w:t>
      </w:r>
      <w:r w:rsidRPr="003F564F">
        <w:rPr>
          <w:sz w:val="22"/>
          <w:szCs w:val="22"/>
          <w:lang w:eastAsia="lt-LT"/>
        </w:rPr>
        <w:t>% ir 44,5</w:t>
      </w:r>
      <w:r w:rsidR="0016599D">
        <w:rPr>
          <w:sz w:val="22"/>
          <w:szCs w:val="22"/>
          <w:lang w:eastAsia="lt-LT"/>
        </w:rPr>
        <w:t> </w:t>
      </w:r>
      <w:r w:rsidRPr="003F564F">
        <w:rPr>
          <w:sz w:val="22"/>
          <w:szCs w:val="22"/>
          <w:lang w:eastAsia="lt-LT"/>
        </w:rPr>
        <w:t>%), ii) liga tęsėsi 4</w:t>
      </w:r>
      <w:r w:rsidR="0016599D">
        <w:rPr>
          <w:sz w:val="22"/>
          <w:szCs w:val="22"/>
          <w:lang w:eastAsia="lt-LT"/>
        </w:rPr>
        <w:t> </w:t>
      </w:r>
      <w:r w:rsidRPr="003F564F">
        <w:rPr>
          <w:sz w:val="22"/>
          <w:szCs w:val="22"/>
          <w:lang w:eastAsia="lt-LT"/>
        </w:rPr>
        <w:t>savaites, skiriant 0,5</w:t>
      </w:r>
      <w:r w:rsidR="0016599D">
        <w:rPr>
          <w:sz w:val="22"/>
          <w:szCs w:val="22"/>
          <w:lang w:eastAsia="lt-LT"/>
        </w:rPr>
        <w:t> </w:t>
      </w:r>
      <w:r w:rsidRPr="003F564F">
        <w:rPr>
          <w:sz w:val="22"/>
          <w:szCs w:val="22"/>
          <w:lang w:eastAsia="lt-LT"/>
        </w:rPr>
        <w:t>mg/kg per parą dozę (atitinkamai 35,2</w:t>
      </w:r>
      <w:r w:rsidR="0016599D">
        <w:rPr>
          <w:sz w:val="22"/>
          <w:szCs w:val="22"/>
          <w:lang w:eastAsia="lt-LT"/>
        </w:rPr>
        <w:t> </w:t>
      </w:r>
      <w:r w:rsidRPr="003F564F">
        <w:rPr>
          <w:sz w:val="22"/>
          <w:szCs w:val="22"/>
          <w:lang w:eastAsia="lt-LT"/>
        </w:rPr>
        <w:t>% ir 25,6</w:t>
      </w:r>
      <w:r w:rsidR="0016599D">
        <w:rPr>
          <w:sz w:val="22"/>
          <w:szCs w:val="22"/>
          <w:lang w:eastAsia="lt-LT"/>
        </w:rPr>
        <w:t> </w:t>
      </w:r>
      <w:r w:rsidRPr="003F564F">
        <w:rPr>
          <w:sz w:val="22"/>
          <w:szCs w:val="22"/>
          <w:lang w:eastAsia="lt-LT"/>
        </w:rPr>
        <w:t>%), arba iii) pacientams nebuvo įmanoma nutraukti kortikosteroido vartojimo (atitinkamai 27,3</w:t>
      </w:r>
      <w:r w:rsidR="0016599D">
        <w:rPr>
          <w:sz w:val="22"/>
          <w:szCs w:val="22"/>
          <w:lang w:eastAsia="lt-LT"/>
        </w:rPr>
        <w:t> </w:t>
      </w:r>
      <w:r w:rsidRPr="003F564F">
        <w:rPr>
          <w:sz w:val="22"/>
          <w:szCs w:val="22"/>
          <w:lang w:eastAsia="lt-LT"/>
        </w:rPr>
        <w:t>% ir 29,9</w:t>
      </w:r>
      <w:r w:rsidR="0016599D">
        <w:rPr>
          <w:sz w:val="22"/>
          <w:szCs w:val="22"/>
          <w:lang w:eastAsia="lt-LT"/>
        </w:rPr>
        <w:t> </w:t>
      </w:r>
      <w:r w:rsidRPr="003F564F">
        <w:rPr>
          <w:sz w:val="22"/>
          <w:szCs w:val="22"/>
          <w:lang w:eastAsia="lt-LT"/>
        </w:rPr>
        <w:t>%).</w:t>
      </w:r>
    </w:p>
    <w:p w14:paraId="315C9D9F" w14:textId="6855EEF8" w:rsidR="00D3679D" w:rsidRPr="003F564F" w:rsidRDefault="00D3679D" w:rsidP="0036574D">
      <w:pPr>
        <w:rPr>
          <w:sz w:val="22"/>
          <w:szCs w:val="22"/>
          <w:lang w:eastAsia="lt-LT"/>
        </w:rPr>
      </w:pPr>
      <w:r w:rsidRPr="003F564F">
        <w:rPr>
          <w:sz w:val="22"/>
          <w:szCs w:val="22"/>
          <w:lang w:eastAsia="lt-LT"/>
        </w:rPr>
        <w:t>Tarp visų pacientų oda ir plaučiai buvo pažeisti atitinkamai 73</w:t>
      </w:r>
      <w:r w:rsidR="0016599D">
        <w:rPr>
          <w:sz w:val="22"/>
          <w:szCs w:val="22"/>
          <w:lang w:eastAsia="lt-LT"/>
        </w:rPr>
        <w:t> </w:t>
      </w:r>
      <w:r w:rsidRPr="003F564F">
        <w:rPr>
          <w:sz w:val="22"/>
          <w:szCs w:val="22"/>
          <w:lang w:eastAsia="lt-LT"/>
        </w:rPr>
        <w:t>% ir 45</w:t>
      </w:r>
      <w:r w:rsidR="0016599D">
        <w:rPr>
          <w:sz w:val="22"/>
          <w:szCs w:val="22"/>
          <w:lang w:eastAsia="lt-LT"/>
        </w:rPr>
        <w:t> </w:t>
      </w:r>
      <w:r w:rsidRPr="003F564F">
        <w:rPr>
          <w:sz w:val="22"/>
          <w:szCs w:val="22"/>
          <w:lang w:eastAsia="lt-LT"/>
        </w:rPr>
        <w:t xml:space="preserve">% pacientų </w:t>
      </w:r>
      <w:proofErr w:type="spellStart"/>
      <w:r w:rsidR="0016599D">
        <w:rPr>
          <w:sz w:val="22"/>
          <w:szCs w:val="22"/>
          <w:lang w:eastAsia="lt-LT"/>
        </w:rPr>
        <w:t>ruksolitinibo</w:t>
      </w:r>
      <w:proofErr w:type="spellEnd"/>
      <w:r w:rsidRPr="003F564F">
        <w:rPr>
          <w:sz w:val="22"/>
          <w:szCs w:val="22"/>
          <w:lang w:eastAsia="lt-LT"/>
        </w:rPr>
        <w:t xml:space="preserve"> grupėje, lyginant su 69</w:t>
      </w:r>
      <w:r w:rsidR="0016599D">
        <w:rPr>
          <w:sz w:val="22"/>
          <w:szCs w:val="22"/>
          <w:lang w:eastAsia="lt-LT"/>
        </w:rPr>
        <w:t> </w:t>
      </w:r>
      <w:r w:rsidRPr="003F564F">
        <w:rPr>
          <w:sz w:val="22"/>
          <w:szCs w:val="22"/>
          <w:lang w:eastAsia="lt-LT"/>
        </w:rPr>
        <w:t>% ir 41</w:t>
      </w:r>
      <w:r w:rsidR="0016599D">
        <w:rPr>
          <w:sz w:val="22"/>
          <w:szCs w:val="22"/>
          <w:lang w:eastAsia="lt-LT"/>
        </w:rPr>
        <w:t> </w:t>
      </w:r>
      <w:r w:rsidRPr="003F564F">
        <w:rPr>
          <w:sz w:val="22"/>
          <w:szCs w:val="22"/>
          <w:lang w:eastAsia="lt-LT"/>
        </w:rPr>
        <w:t>% pacientų GPG grupėje.</w:t>
      </w:r>
    </w:p>
    <w:p w14:paraId="0BF699AD" w14:textId="77777777" w:rsidR="0036574D" w:rsidRPr="003F564F" w:rsidRDefault="0036574D" w:rsidP="0036574D">
      <w:pPr>
        <w:rPr>
          <w:sz w:val="22"/>
          <w:szCs w:val="22"/>
          <w:lang w:eastAsia="lt-LT"/>
        </w:rPr>
      </w:pPr>
    </w:p>
    <w:p w14:paraId="551C563C" w14:textId="0D4BBC26" w:rsidR="00D3679D" w:rsidRPr="003F564F" w:rsidRDefault="00D3679D" w:rsidP="0036574D">
      <w:pPr>
        <w:rPr>
          <w:sz w:val="22"/>
          <w:szCs w:val="22"/>
          <w:lang w:eastAsia="lt-LT"/>
        </w:rPr>
      </w:pPr>
      <w:r w:rsidRPr="003F564F">
        <w:rPr>
          <w:sz w:val="22"/>
          <w:szCs w:val="22"/>
          <w:lang w:eastAsia="lt-LT"/>
        </w:rPr>
        <w:t xml:space="preserve">Dažniausiai anksčiau skirti sisteminio poveikio vaistiniai preparatai lėtinei </w:t>
      </w:r>
      <w:proofErr w:type="spellStart"/>
      <w:r w:rsidRPr="003F564F">
        <w:rPr>
          <w:sz w:val="22"/>
          <w:szCs w:val="22"/>
          <w:lang w:eastAsia="lt-LT"/>
        </w:rPr>
        <w:t>TpŠL</w:t>
      </w:r>
      <w:proofErr w:type="spellEnd"/>
      <w:r w:rsidRPr="003F564F">
        <w:rPr>
          <w:sz w:val="22"/>
          <w:szCs w:val="22"/>
          <w:lang w:eastAsia="lt-LT"/>
        </w:rPr>
        <w:t xml:space="preserve"> gydyti buvo vien kortikosteroidai (43</w:t>
      </w:r>
      <w:r w:rsidR="0016599D">
        <w:rPr>
          <w:sz w:val="22"/>
          <w:szCs w:val="22"/>
          <w:lang w:eastAsia="lt-LT"/>
        </w:rPr>
        <w:t> </w:t>
      </w:r>
      <w:r w:rsidRPr="003F564F">
        <w:rPr>
          <w:sz w:val="22"/>
          <w:szCs w:val="22"/>
          <w:lang w:eastAsia="lt-LT"/>
        </w:rPr>
        <w:t xml:space="preserve">% pacientų </w:t>
      </w:r>
      <w:proofErr w:type="spellStart"/>
      <w:r w:rsidR="0016599D">
        <w:rPr>
          <w:sz w:val="22"/>
          <w:szCs w:val="22"/>
          <w:lang w:eastAsia="lt-LT"/>
        </w:rPr>
        <w:t>ruksolitinibo</w:t>
      </w:r>
      <w:proofErr w:type="spellEnd"/>
      <w:r w:rsidR="0016599D" w:rsidRPr="003F564F">
        <w:rPr>
          <w:sz w:val="22"/>
          <w:szCs w:val="22"/>
          <w:lang w:eastAsia="lt-LT"/>
        </w:rPr>
        <w:t xml:space="preserve"> </w:t>
      </w:r>
      <w:r w:rsidRPr="003F564F">
        <w:rPr>
          <w:sz w:val="22"/>
          <w:szCs w:val="22"/>
          <w:lang w:eastAsia="lt-LT"/>
        </w:rPr>
        <w:t>grupėje ir 49</w:t>
      </w:r>
      <w:r w:rsidR="0016599D">
        <w:rPr>
          <w:sz w:val="22"/>
          <w:szCs w:val="22"/>
          <w:lang w:eastAsia="lt-LT"/>
        </w:rPr>
        <w:t> </w:t>
      </w:r>
      <w:r w:rsidRPr="003F564F">
        <w:rPr>
          <w:sz w:val="22"/>
          <w:szCs w:val="22"/>
          <w:lang w:eastAsia="lt-LT"/>
        </w:rPr>
        <w:t>% pacientų GPG grupėje) bei kortikosteroidų ir KNI derinys (41</w:t>
      </w:r>
      <w:r w:rsidR="0016599D">
        <w:rPr>
          <w:sz w:val="22"/>
          <w:szCs w:val="22"/>
          <w:lang w:eastAsia="lt-LT"/>
        </w:rPr>
        <w:t> </w:t>
      </w:r>
      <w:r w:rsidRPr="003F564F">
        <w:rPr>
          <w:sz w:val="22"/>
          <w:szCs w:val="22"/>
          <w:lang w:eastAsia="lt-LT"/>
        </w:rPr>
        <w:t xml:space="preserve">% pacientų </w:t>
      </w:r>
      <w:proofErr w:type="spellStart"/>
      <w:r w:rsidR="0016599D">
        <w:rPr>
          <w:sz w:val="22"/>
          <w:szCs w:val="22"/>
          <w:lang w:eastAsia="lt-LT"/>
        </w:rPr>
        <w:t>ruksolitinibo</w:t>
      </w:r>
      <w:proofErr w:type="spellEnd"/>
      <w:r w:rsidR="0016599D" w:rsidRPr="003F564F">
        <w:rPr>
          <w:sz w:val="22"/>
          <w:szCs w:val="22"/>
          <w:lang w:eastAsia="lt-LT"/>
        </w:rPr>
        <w:t xml:space="preserve"> </w:t>
      </w:r>
      <w:r w:rsidRPr="003F564F">
        <w:rPr>
          <w:sz w:val="22"/>
          <w:szCs w:val="22"/>
          <w:lang w:eastAsia="lt-LT"/>
        </w:rPr>
        <w:t>grupėje ir 42</w:t>
      </w:r>
      <w:r w:rsidR="0016599D">
        <w:rPr>
          <w:sz w:val="22"/>
          <w:szCs w:val="22"/>
          <w:lang w:eastAsia="lt-LT"/>
        </w:rPr>
        <w:t> </w:t>
      </w:r>
      <w:r w:rsidRPr="003F564F">
        <w:rPr>
          <w:sz w:val="22"/>
          <w:szCs w:val="22"/>
          <w:lang w:eastAsia="lt-LT"/>
        </w:rPr>
        <w:t>% pacientų GPG grupėje).</w:t>
      </w:r>
    </w:p>
    <w:p w14:paraId="516B60AE" w14:textId="77777777" w:rsidR="0036574D" w:rsidRPr="003F564F" w:rsidRDefault="0036574D" w:rsidP="0036574D">
      <w:pPr>
        <w:rPr>
          <w:sz w:val="22"/>
          <w:szCs w:val="22"/>
          <w:lang w:eastAsia="lt-LT"/>
        </w:rPr>
      </w:pPr>
    </w:p>
    <w:p w14:paraId="2CC51340" w14:textId="340AD297" w:rsidR="00D3679D" w:rsidRPr="003F564F" w:rsidRDefault="00D3679D" w:rsidP="0036574D">
      <w:pPr>
        <w:rPr>
          <w:sz w:val="22"/>
          <w:szCs w:val="22"/>
          <w:lang w:eastAsia="lt-LT"/>
        </w:rPr>
      </w:pPr>
      <w:r w:rsidRPr="003F564F">
        <w:rPr>
          <w:sz w:val="22"/>
          <w:szCs w:val="22"/>
          <w:lang w:eastAsia="lt-LT"/>
        </w:rPr>
        <w:t xml:space="preserve">Pagrindinė vertinamoji baigtis buvo BAD rodmuo 169-ąją dieną, apibrėžiamas kaip pacientų dalis kiekvienoje tiriamojoje grupėje, kuriems pasiektas VA arba DA be papildomo sisteminio poveikio gydymo poreikio ligos progresavimui gydyti, mišrus atsakas arba nepasiektas atsakas, vertinant tyrėjo sprendimu pagal Nacionalinio sveikatos instituto (angl. </w:t>
      </w:r>
      <w:proofErr w:type="spellStart"/>
      <w:r w:rsidRPr="0016599D">
        <w:rPr>
          <w:i/>
          <w:iCs/>
          <w:sz w:val="22"/>
          <w:szCs w:val="22"/>
          <w:lang w:eastAsia="lt-LT"/>
        </w:rPr>
        <w:t>National</w:t>
      </w:r>
      <w:proofErr w:type="spellEnd"/>
      <w:r w:rsidRPr="0016599D">
        <w:rPr>
          <w:i/>
          <w:iCs/>
          <w:sz w:val="22"/>
          <w:szCs w:val="22"/>
          <w:lang w:eastAsia="lt-LT"/>
        </w:rPr>
        <w:t xml:space="preserve"> </w:t>
      </w:r>
      <w:proofErr w:type="spellStart"/>
      <w:r w:rsidRPr="0016599D">
        <w:rPr>
          <w:i/>
          <w:iCs/>
          <w:sz w:val="22"/>
          <w:szCs w:val="22"/>
          <w:lang w:eastAsia="lt-LT"/>
        </w:rPr>
        <w:t>Institutes</w:t>
      </w:r>
      <w:proofErr w:type="spellEnd"/>
      <w:r w:rsidRPr="0016599D">
        <w:rPr>
          <w:i/>
          <w:iCs/>
          <w:sz w:val="22"/>
          <w:szCs w:val="22"/>
          <w:lang w:eastAsia="lt-LT"/>
        </w:rPr>
        <w:t xml:space="preserve"> </w:t>
      </w:r>
      <w:proofErr w:type="spellStart"/>
      <w:r w:rsidRPr="0016599D">
        <w:rPr>
          <w:i/>
          <w:iCs/>
          <w:sz w:val="22"/>
          <w:szCs w:val="22"/>
          <w:lang w:eastAsia="lt-LT"/>
        </w:rPr>
        <w:t>of</w:t>
      </w:r>
      <w:proofErr w:type="spellEnd"/>
      <w:r w:rsidRPr="0016599D">
        <w:rPr>
          <w:i/>
          <w:iCs/>
          <w:sz w:val="22"/>
          <w:szCs w:val="22"/>
          <w:lang w:eastAsia="lt-LT"/>
        </w:rPr>
        <w:t xml:space="preserve"> </w:t>
      </w:r>
      <w:proofErr w:type="spellStart"/>
      <w:r w:rsidRPr="0016599D">
        <w:rPr>
          <w:i/>
          <w:iCs/>
          <w:sz w:val="22"/>
          <w:szCs w:val="22"/>
          <w:lang w:eastAsia="lt-LT"/>
        </w:rPr>
        <w:t>Health</w:t>
      </w:r>
      <w:proofErr w:type="spellEnd"/>
      <w:r w:rsidRPr="003F564F">
        <w:rPr>
          <w:sz w:val="22"/>
          <w:szCs w:val="22"/>
          <w:lang w:eastAsia="lt-LT"/>
        </w:rPr>
        <w:t>; NIH) kriterijus.</w:t>
      </w:r>
    </w:p>
    <w:p w14:paraId="162CD3C1" w14:textId="77777777" w:rsidR="0036574D" w:rsidRPr="003F564F" w:rsidRDefault="0036574D" w:rsidP="0036574D">
      <w:pPr>
        <w:rPr>
          <w:sz w:val="22"/>
          <w:szCs w:val="22"/>
          <w:lang w:eastAsia="lt-LT"/>
        </w:rPr>
      </w:pPr>
    </w:p>
    <w:p w14:paraId="50201487" w14:textId="108D9962" w:rsidR="00D3679D" w:rsidRPr="003F564F" w:rsidRDefault="00D3679D" w:rsidP="0036574D">
      <w:pPr>
        <w:rPr>
          <w:sz w:val="22"/>
          <w:szCs w:val="22"/>
          <w:lang w:eastAsia="lt-LT"/>
        </w:rPr>
      </w:pPr>
      <w:r w:rsidRPr="003F564F">
        <w:rPr>
          <w:sz w:val="22"/>
          <w:szCs w:val="22"/>
          <w:lang w:eastAsia="lt-LT"/>
        </w:rPr>
        <w:t xml:space="preserve">Svarbiausia antrinė vertinamoji baigtis buvo išgyvenamumas be gydymo nesėkmės (angl. </w:t>
      </w:r>
      <w:proofErr w:type="spellStart"/>
      <w:r w:rsidRPr="0016599D">
        <w:rPr>
          <w:i/>
          <w:iCs/>
          <w:sz w:val="22"/>
          <w:szCs w:val="22"/>
          <w:lang w:eastAsia="lt-LT"/>
        </w:rPr>
        <w:t>failure</w:t>
      </w:r>
      <w:proofErr w:type="spellEnd"/>
      <w:r w:rsidRPr="0016599D">
        <w:rPr>
          <w:i/>
          <w:iCs/>
          <w:sz w:val="22"/>
          <w:szCs w:val="22"/>
          <w:lang w:eastAsia="lt-LT"/>
        </w:rPr>
        <w:t xml:space="preserve"> </w:t>
      </w:r>
      <w:proofErr w:type="spellStart"/>
      <w:r w:rsidRPr="0016599D">
        <w:rPr>
          <w:i/>
          <w:iCs/>
          <w:sz w:val="22"/>
          <w:szCs w:val="22"/>
          <w:lang w:eastAsia="lt-LT"/>
        </w:rPr>
        <w:t>free</w:t>
      </w:r>
      <w:proofErr w:type="spellEnd"/>
      <w:r w:rsidRPr="0016599D">
        <w:rPr>
          <w:i/>
          <w:iCs/>
          <w:sz w:val="22"/>
          <w:szCs w:val="22"/>
          <w:lang w:eastAsia="lt-LT"/>
        </w:rPr>
        <w:t xml:space="preserve"> </w:t>
      </w:r>
      <w:proofErr w:type="spellStart"/>
      <w:r w:rsidRPr="0016599D">
        <w:rPr>
          <w:i/>
          <w:iCs/>
          <w:sz w:val="22"/>
          <w:szCs w:val="22"/>
          <w:lang w:eastAsia="lt-LT"/>
        </w:rPr>
        <w:t>survival</w:t>
      </w:r>
      <w:proofErr w:type="spellEnd"/>
      <w:r w:rsidRPr="003F564F">
        <w:rPr>
          <w:sz w:val="22"/>
          <w:szCs w:val="22"/>
          <w:lang w:eastAsia="lt-LT"/>
        </w:rPr>
        <w:t xml:space="preserve">; FFS), t. y. sudėtinės laiko baigties iki reiškinio pasireiškimo rodmuo, kuris apima anksčiausiai pasireiškusį iš toliau nurodytų reiškinių: i) gretutinės ligos paūmėjimą ar recidyvą arba mirtį dėl gretutinės ligos, ii) mirtį ne dėl ligos paūmėjimo, arba iii) kito papildomo sisteminio poveikio gydymo nuo lėtinės </w:t>
      </w:r>
      <w:proofErr w:type="spellStart"/>
      <w:r w:rsidRPr="003F564F">
        <w:rPr>
          <w:sz w:val="22"/>
          <w:szCs w:val="22"/>
          <w:lang w:eastAsia="lt-LT"/>
        </w:rPr>
        <w:t>TpŠL</w:t>
      </w:r>
      <w:proofErr w:type="spellEnd"/>
      <w:r w:rsidRPr="003F564F">
        <w:rPr>
          <w:sz w:val="22"/>
          <w:szCs w:val="22"/>
          <w:lang w:eastAsia="lt-LT"/>
        </w:rPr>
        <w:t xml:space="preserve"> paskyrimą.</w:t>
      </w:r>
    </w:p>
    <w:p w14:paraId="171F4626" w14:textId="77777777" w:rsidR="0036574D" w:rsidRPr="003F564F" w:rsidRDefault="0036574D" w:rsidP="0036574D">
      <w:pPr>
        <w:rPr>
          <w:sz w:val="22"/>
          <w:szCs w:val="22"/>
          <w:lang w:eastAsia="lt-LT"/>
        </w:rPr>
      </w:pPr>
    </w:p>
    <w:p w14:paraId="476594E8" w14:textId="26170B3B" w:rsidR="00D3679D" w:rsidRPr="003F564F" w:rsidRDefault="00D3679D" w:rsidP="0036574D">
      <w:pPr>
        <w:rPr>
          <w:sz w:val="22"/>
          <w:szCs w:val="22"/>
          <w:lang w:eastAsia="lt-LT"/>
        </w:rPr>
      </w:pPr>
      <w:r w:rsidRPr="003F564F">
        <w:rPr>
          <w:sz w:val="22"/>
          <w:szCs w:val="22"/>
          <w:lang w:eastAsia="lt-LT"/>
        </w:rPr>
        <w:t>REACH3 tyrimo metu buvo pasiektas pagrindinis jo tikslas. Atlikus pagrindinę duomenų analizę (analizuoti iki 2020</w:t>
      </w:r>
      <w:r w:rsidR="0016599D">
        <w:rPr>
          <w:sz w:val="22"/>
          <w:szCs w:val="22"/>
          <w:lang w:eastAsia="lt-LT"/>
        </w:rPr>
        <w:t> </w:t>
      </w:r>
      <w:r w:rsidRPr="003F564F">
        <w:rPr>
          <w:sz w:val="22"/>
          <w:szCs w:val="22"/>
          <w:lang w:eastAsia="lt-LT"/>
        </w:rPr>
        <w:t>m. gegužės 8</w:t>
      </w:r>
      <w:r w:rsidR="0016599D">
        <w:rPr>
          <w:sz w:val="22"/>
          <w:szCs w:val="22"/>
          <w:lang w:eastAsia="lt-LT"/>
        </w:rPr>
        <w:t> </w:t>
      </w:r>
      <w:r w:rsidRPr="003F564F">
        <w:rPr>
          <w:sz w:val="22"/>
          <w:szCs w:val="22"/>
          <w:lang w:eastAsia="lt-LT"/>
        </w:rPr>
        <w:t>d. surinkti duomenys) nustatyta, kad BAD rodmuo 24</w:t>
      </w:r>
      <w:r w:rsidR="0016599D">
        <w:rPr>
          <w:sz w:val="22"/>
          <w:szCs w:val="22"/>
          <w:lang w:eastAsia="lt-LT"/>
        </w:rPr>
        <w:noBreakHyphen/>
      </w:r>
      <w:r w:rsidRPr="003F564F">
        <w:rPr>
          <w:sz w:val="22"/>
          <w:szCs w:val="22"/>
          <w:lang w:eastAsia="lt-LT"/>
        </w:rPr>
        <w:t xml:space="preserve">ąją savaitę buvo didesnis </w:t>
      </w:r>
      <w:proofErr w:type="spellStart"/>
      <w:r w:rsidR="0016599D">
        <w:rPr>
          <w:sz w:val="22"/>
          <w:szCs w:val="22"/>
          <w:lang w:eastAsia="lt-LT"/>
        </w:rPr>
        <w:t>ruksolitinibo</w:t>
      </w:r>
      <w:proofErr w:type="spellEnd"/>
      <w:r w:rsidR="0016599D" w:rsidRPr="003F564F">
        <w:rPr>
          <w:sz w:val="22"/>
          <w:szCs w:val="22"/>
          <w:lang w:eastAsia="lt-LT"/>
        </w:rPr>
        <w:t xml:space="preserve"> </w:t>
      </w:r>
      <w:r w:rsidRPr="003F564F">
        <w:rPr>
          <w:sz w:val="22"/>
          <w:szCs w:val="22"/>
          <w:lang w:eastAsia="lt-LT"/>
        </w:rPr>
        <w:t>grupėje (49,7</w:t>
      </w:r>
      <w:r w:rsidR="0016599D">
        <w:rPr>
          <w:sz w:val="22"/>
          <w:szCs w:val="22"/>
          <w:lang w:eastAsia="lt-LT"/>
        </w:rPr>
        <w:t> </w:t>
      </w:r>
      <w:r w:rsidRPr="003F564F">
        <w:rPr>
          <w:sz w:val="22"/>
          <w:szCs w:val="22"/>
          <w:lang w:eastAsia="lt-LT"/>
        </w:rPr>
        <w:t>%), lyginant su GPG grupe (25,6</w:t>
      </w:r>
      <w:r w:rsidR="0016599D">
        <w:rPr>
          <w:sz w:val="22"/>
          <w:szCs w:val="22"/>
          <w:lang w:eastAsia="lt-LT"/>
        </w:rPr>
        <w:t> </w:t>
      </w:r>
      <w:r w:rsidRPr="003F564F">
        <w:rPr>
          <w:sz w:val="22"/>
          <w:szCs w:val="22"/>
          <w:lang w:eastAsia="lt-LT"/>
        </w:rPr>
        <w:t>%). Nustatytas statistiškai reikšmingas skirtumas tarp tiriamųjų grupių (</w:t>
      </w:r>
      <w:proofErr w:type="spellStart"/>
      <w:r w:rsidRPr="003F564F">
        <w:rPr>
          <w:sz w:val="22"/>
          <w:szCs w:val="22"/>
          <w:lang w:eastAsia="lt-LT"/>
        </w:rPr>
        <w:t>stratifikuoto</w:t>
      </w:r>
      <w:proofErr w:type="spellEnd"/>
      <w:r w:rsidRPr="003F564F">
        <w:rPr>
          <w:sz w:val="22"/>
          <w:szCs w:val="22"/>
          <w:lang w:eastAsia="lt-LT"/>
        </w:rPr>
        <w:t xml:space="preserve"> </w:t>
      </w:r>
      <w:proofErr w:type="spellStart"/>
      <w:r w:rsidRPr="0016599D">
        <w:rPr>
          <w:i/>
          <w:iCs/>
          <w:sz w:val="22"/>
          <w:szCs w:val="22"/>
          <w:lang w:eastAsia="lt-LT"/>
        </w:rPr>
        <w:t>Cochrane-Mantel-Haenszel</w:t>
      </w:r>
      <w:proofErr w:type="spellEnd"/>
      <w:r w:rsidRPr="003F564F">
        <w:rPr>
          <w:sz w:val="22"/>
          <w:szCs w:val="22"/>
          <w:lang w:eastAsia="lt-LT"/>
        </w:rPr>
        <w:t xml:space="preserve"> testo p</w:t>
      </w:r>
      <w:r w:rsidR="0016599D">
        <w:rPr>
          <w:sz w:val="22"/>
          <w:szCs w:val="22"/>
          <w:lang w:eastAsia="lt-LT"/>
        </w:rPr>
        <w:t> </w:t>
      </w:r>
      <w:r w:rsidRPr="003F564F">
        <w:rPr>
          <w:sz w:val="22"/>
          <w:szCs w:val="22"/>
          <w:lang w:eastAsia="lt-LT"/>
        </w:rPr>
        <w:t>&lt;</w:t>
      </w:r>
      <w:r w:rsidR="0016599D">
        <w:rPr>
          <w:sz w:val="22"/>
          <w:szCs w:val="22"/>
          <w:lang w:eastAsia="lt-LT"/>
        </w:rPr>
        <w:t> </w:t>
      </w:r>
      <w:r w:rsidRPr="003F564F">
        <w:rPr>
          <w:sz w:val="22"/>
          <w:szCs w:val="22"/>
          <w:lang w:eastAsia="lt-LT"/>
        </w:rPr>
        <w:t>0,0001, dvikryptis; šansų santykis: 2,99; 95</w:t>
      </w:r>
      <w:r w:rsidR="0016599D">
        <w:rPr>
          <w:sz w:val="22"/>
          <w:szCs w:val="22"/>
          <w:lang w:eastAsia="lt-LT"/>
        </w:rPr>
        <w:t> </w:t>
      </w:r>
      <w:r w:rsidRPr="003F564F">
        <w:rPr>
          <w:sz w:val="22"/>
          <w:szCs w:val="22"/>
          <w:lang w:eastAsia="lt-LT"/>
        </w:rPr>
        <w:t>% PI: 1,86; 4,80). Tyrimo rezultatai pateikiami 12</w:t>
      </w:r>
      <w:r w:rsidR="0016599D">
        <w:rPr>
          <w:sz w:val="22"/>
          <w:szCs w:val="22"/>
          <w:lang w:eastAsia="lt-LT"/>
        </w:rPr>
        <w:t> </w:t>
      </w:r>
      <w:r w:rsidRPr="003F564F">
        <w:rPr>
          <w:sz w:val="22"/>
          <w:szCs w:val="22"/>
          <w:lang w:eastAsia="lt-LT"/>
        </w:rPr>
        <w:t>lentelėje.</w:t>
      </w:r>
    </w:p>
    <w:p w14:paraId="246D7DEA" w14:textId="77777777" w:rsidR="0036574D" w:rsidRPr="003F564F" w:rsidRDefault="0036574D" w:rsidP="0036574D">
      <w:pPr>
        <w:rPr>
          <w:sz w:val="22"/>
          <w:szCs w:val="22"/>
          <w:lang w:eastAsia="lt-LT"/>
        </w:rPr>
      </w:pPr>
    </w:p>
    <w:p w14:paraId="01B134CB" w14:textId="743C9F9B" w:rsidR="00D3679D" w:rsidRPr="003F564F" w:rsidRDefault="00D3679D" w:rsidP="0036574D">
      <w:pPr>
        <w:rPr>
          <w:sz w:val="22"/>
          <w:szCs w:val="22"/>
          <w:lang w:eastAsia="lt-LT"/>
        </w:rPr>
      </w:pPr>
      <w:r w:rsidRPr="003F564F">
        <w:rPr>
          <w:sz w:val="22"/>
          <w:szCs w:val="22"/>
          <w:lang w:eastAsia="lt-LT"/>
        </w:rPr>
        <w:t xml:space="preserve">Tarp tų </w:t>
      </w:r>
      <w:proofErr w:type="spellStart"/>
      <w:r w:rsidR="0016599D">
        <w:rPr>
          <w:sz w:val="22"/>
          <w:szCs w:val="22"/>
          <w:lang w:eastAsia="lt-LT"/>
        </w:rPr>
        <w:t>ruksolitinibo</w:t>
      </w:r>
      <w:proofErr w:type="spellEnd"/>
      <w:r w:rsidR="0016599D" w:rsidRPr="003F564F">
        <w:rPr>
          <w:sz w:val="22"/>
          <w:szCs w:val="22"/>
          <w:lang w:eastAsia="lt-LT"/>
        </w:rPr>
        <w:t xml:space="preserve"> </w:t>
      </w:r>
      <w:r w:rsidRPr="003F564F">
        <w:rPr>
          <w:sz w:val="22"/>
          <w:szCs w:val="22"/>
          <w:lang w:eastAsia="lt-LT"/>
        </w:rPr>
        <w:t>ir GPG grupių pacientų, kuriems 169</w:t>
      </w:r>
      <w:r w:rsidR="0016599D">
        <w:rPr>
          <w:sz w:val="22"/>
          <w:szCs w:val="22"/>
          <w:lang w:eastAsia="lt-LT"/>
        </w:rPr>
        <w:noBreakHyphen/>
      </w:r>
      <w:r w:rsidRPr="003F564F">
        <w:rPr>
          <w:sz w:val="22"/>
          <w:szCs w:val="22"/>
          <w:lang w:eastAsia="lt-LT"/>
        </w:rPr>
        <w:t>ąją dieną nebuvo pasiektas atsakas, atitinkamai 2,4</w:t>
      </w:r>
      <w:r w:rsidR="0016599D">
        <w:rPr>
          <w:sz w:val="22"/>
          <w:szCs w:val="22"/>
          <w:lang w:eastAsia="lt-LT"/>
        </w:rPr>
        <w:t> </w:t>
      </w:r>
      <w:r w:rsidRPr="003F564F">
        <w:rPr>
          <w:sz w:val="22"/>
          <w:szCs w:val="22"/>
          <w:lang w:eastAsia="lt-LT"/>
        </w:rPr>
        <w:t>% ir 12,8</w:t>
      </w:r>
      <w:r w:rsidR="0016599D">
        <w:rPr>
          <w:sz w:val="22"/>
          <w:szCs w:val="22"/>
          <w:lang w:eastAsia="lt-LT"/>
        </w:rPr>
        <w:t> </w:t>
      </w:r>
      <w:r w:rsidRPr="003F564F">
        <w:rPr>
          <w:sz w:val="22"/>
          <w:szCs w:val="22"/>
          <w:lang w:eastAsia="lt-LT"/>
        </w:rPr>
        <w:t>% buvo nustatytas ligos progresavimas.</w:t>
      </w:r>
    </w:p>
    <w:p w14:paraId="07DFDE7F" w14:textId="77777777" w:rsidR="0036574D" w:rsidRPr="003F564F" w:rsidRDefault="0036574D" w:rsidP="0036574D">
      <w:pPr>
        <w:rPr>
          <w:sz w:val="22"/>
          <w:szCs w:val="22"/>
          <w:lang w:eastAsia="lt-LT"/>
        </w:rPr>
      </w:pPr>
    </w:p>
    <w:p w14:paraId="52EB1E60" w14:textId="7F135F5A" w:rsidR="00D3679D" w:rsidRPr="0016599D" w:rsidRDefault="0036574D" w:rsidP="0036574D">
      <w:pPr>
        <w:rPr>
          <w:b/>
          <w:bCs/>
          <w:sz w:val="22"/>
          <w:szCs w:val="22"/>
          <w:lang w:eastAsia="lt-LT"/>
        </w:rPr>
      </w:pPr>
      <w:r w:rsidRPr="0016599D">
        <w:rPr>
          <w:b/>
          <w:bCs/>
          <w:sz w:val="22"/>
          <w:szCs w:val="22"/>
          <w:lang w:eastAsia="lt-LT"/>
        </w:rPr>
        <w:lastRenderedPageBreak/>
        <w:t>12</w:t>
      </w:r>
      <w:r w:rsidR="0016599D" w:rsidRPr="0016599D">
        <w:rPr>
          <w:b/>
          <w:bCs/>
          <w:sz w:val="22"/>
          <w:szCs w:val="22"/>
          <w:lang w:eastAsia="lt-LT"/>
        </w:rPr>
        <w:t> </w:t>
      </w:r>
      <w:r w:rsidRPr="0016599D">
        <w:rPr>
          <w:b/>
          <w:bCs/>
          <w:sz w:val="22"/>
          <w:szCs w:val="22"/>
          <w:lang w:eastAsia="lt-LT"/>
        </w:rPr>
        <w:t>lentelė Bendrasis atsako dažnis 169</w:t>
      </w:r>
      <w:r w:rsidR="0016599D" w:rsidRPr="0016599D">
        <w:rPr>
          <w:b/>
          <w:bCs/>
          <w:sz w:val="22"/>
          <w:szCs w:val="22"/>
          <w:lang w:eastAsia="lt-LT"/>
        </w:rPr>
        <w:noBreakHyphen/>
      </w:r>
      <w:r w:rsidRPr="0016599D">
        <w:rPr>
          <w:b/>
          <w:bCs/>
          <w:sz w:val="22"/>
          <w:szCs w:val="22"/>
          <w:lang w:eastAsia="lt-LT"/>
        </w:rPr>
        <w:t>ąją dieną REACH3 tyrimo duomenimis</w:t>
      </w:r>
    </w:p>
    <w:p w14:paraId="5BB609F8" w14:textId="77777777" w:rsidR="0036574D" w:rsidRPr="003F564F" w:rsidRDefault="0036574D" w:rsidP="0036574D">
      <w:pPr>
        <w:rPr>
          <w:sz w:val="22"/>
          <w:szCs w:val="22"/>
          <w:lang w:eastAsia="lt-LT"/>
        </w:rPr>
      </w:pPr>
    </w:p>
    <w:tbl>
      <w:tblPr>
        <w:tblStyle w:val="Lentelstinklelis"/>
        <w:tblW w:w="0" w:type="auto"/>
        <w:tblLook w:val="04A0" w:firstRow="1" w:lastRow="0" w:firstColumn="1" w:lastColumn="0" w:noHBand="0" w:noVBand="1"/>
      </w:tblPr>
      <w:tblGrid>
        <w:gridCol w:w="2491"/>
        <w:gridCol w:w="1594"/>
        <w:gridCol w:w="1709"/>
        <w:gridCol w:w="1471"/>
        <w:gridCol w:w="1795"/>
      </w:tblGrid>
      <w:tr w:rsidR="00A2055B" w:rsidRPr="003F564F" w14:paraId="07BBFAD2" w14:textId="77777777" w:rsidTr="00A2055B">
        <w:tc>
          <w:tcPr>
            <w:tcW w:w="2660" w:type="dxa"/>
          </w:tcPr>
          <w:p w14:paraId="1DA9E40C" w14:textId="77777777" w:rsidR="00A2055B" w:rsidRPr="003F564F" w:rsidRDefault="00A2055B" w:rsidP="00D3679D">
            <w:pPr>
              <w:jc w:val="both"/>
              <w:rPr>
                <w:sz w:val="22"/>
                <w:szCs w:val="22"/>
                <w:lang w:eastAsia="lt-LT"/>
              </w:rPr>
            </w:pPr>
          </w:p>
        </w:tc>
        <w:tc>
          <w:tcPr>
            <w:tcW w:w="3544" w:type="dxa"/>
            <w:gridSpan w:val="2"/>
          </w:tcPr>
          <w:p w14:paraId="71C6DC19" w14:textId="1DBE590C" w:rsidR="00A2055B" w:rsidRPr="00A2055B" w:rsidRDefault="00A2055B" w:rsidP="00A2055B">
            <w:pPr>
              <w:jc w:val="center"/>
              <w:rPr>
                <w:sz w:val="22"/>
                <w:szCs w:val="22"/>
                <w:lang w:eastAsia="lt-LT"/>
              </w:rPr>
            </w:pPr>
            <w:proofErr w:type="spellStart"/>
            <w:r>
              <w:rPr>
                <w:sz w:val="22"/>
                <w:szCs w:val="22"/>
                <w:lang w:eastAsia="lt-LT"/>
              </w:rPr>
              <w:t>Ruksolitinibas</w:t>
            </w:r>
            <w:proofErr w:type="spellEnd"/>
          </w:p>
          <w:p w14:paraId="69B84DC6" w14:textId="2011F435" w:rsidR="00A2055B" w:rsidRPr="003F564F" w:rsidRDefault="00A2055B" w:rsidP="00A2055B">
            <w:pPr>
              <w:jc w:val="center"/>
              <w:rPr>
                <w:sz w:val="22"/>
                <w:szCs w:val="22"/>
                <w:lang w:eastAsia="lt-LT"/>
              </w:rPr>
            </w:pPr>
            <w:r w:rsidRPr="00A2055B">
              <w:rPr>
                <w:sz w:val="22"/>
                <w:szCs w:val="22"/>
                <w:lang w:eastAsia="lt-LT"/>
              </w:rPr>
              <w:t>N</w:t>
            </w:r>
            <w:r>
              <w:rPr>
                <w:sz w:val="22"/>
                <w:szCs w:val="22"/>
                <w:lang w:eastAsia="lt-LT"/>
              </w:rPr>
              <w:t> </w:t>
            </w:r>
            <w:r w:rsidRPr="00A2055B">
              <w:rPr>
                <w:sz w:val="22"/>
                <w:szCs w:val="22"/>
                <w:lang w:eastAsia="lt-LT"/>
              </w:rPr>
              <w:t>=</w:t>
            </w:r>
            <w:r>
              <w:rPr>
                <w:sz w:val="22"/>
                <w:szCs w:val="22"/>
                <w:lang w:eastAsia="lt-LT"/>
              </w:rPr>
              <w:t> </w:t>
            </w:r>
            <w:r w:rsidRPr="00A2055B">
              <w:rPr>
                <w:sz w:val="22"/>
                <w:szCs w:val="22"/>
                <w:lang w:eastAsia="lt-LT"/>
              </w:rPr>
              <w:t>165</w:t>
            </w:r>
          </w:p>
        </w:tc>
        <w:tc>
          <w:tcPr>
            <w:tcW w:w="3510" w:type="dxa"/>
            <w:gridSpan w:val="2"/>
          </w:tcPr>
          <w:p w14:paraId="2B6A26B1" w14:textId="77777777" w:rsidR="00A2055B" w:rsidRPr="00A2055B" w:rsidRDefault="00A2055B" w:rsidP="00A2055B">
            <w:pPr>
              <w:jc w:val="center"/>
              <w:rPr>
                <w:sz w:val="22"/>
                <w:szCs w:val="22"/>
                <w:lang w:eastAsia="lt-LT"/>
              </w:rPr>
            </w:pPr>
            <w:r w:rsidRPr="00A2055B">
              <w:rPr>
                <w:sz w:val="22"/>
                <w:szCs w:val="22"/>
                <w:lang w:eastAsia="lt-LT"/>
              </w:rPr>
              <w:t>GPG</w:t>
            </w:r>
          </w:p>
          <w:p w14:paraId="5365E982" w14:textId="3D5A43AE" w:rsidR="00A2055B" w:rsidRPr="003F564F" w:rsidRDefault="00A2055B" w:rsidP="00A2055B">
            <w:pPr>
              <w:jc w:val="center"/>
              <w:rPr>
                <w:sz w:val="22"/>
                <w:szCs w:val="22"/>
                <w:lang w:eastAsia="lt-LT"/>
              </w:rPr>
            </w:pPr>
            <w:r w:rsidRPr="00A2055B">
              <w:rPr>
                <w:sz w:val="22"/>
                <w:szCs w:val="22"/>
                <w:lang w:eastAsia="lt-LT"/>
              </w:rPr>
              <w:t>N</w:t>
            </w:r>
            <w:r>
              <w:rPr>
                <w:sz w:val="22"/>
                <w:szCs w:val="22"/>
                <w:lang w:eastAsia="lt-LT"/>
              </w:rPr>
              <w:t> </w:t>
            </w:r>
            <w:r w:rsidRPr="00A2055B">
              <w:rPr>
                <w:sz w:val="22"/>
                <w:szCs w:val="22"/>
                <w:lang w:eastAsia="lt-LT"/>
              </w:rPr>
              <w:t>=</w:t>
            </w:r>
            <w:r>
              <w:rPr>
                <w:sz w:val="22"/>
                <w:szCs w:val="22"/>
                <w:lang w:eastAsia="lt-LT"/>
              </w:rPr>
              <w:t> </w:t>
            </w:r>
            <w:r w:rsidRPr="00A2055B">
              <w:rPr>
                <w:sz w:val="22"/>
                <w:szCs w:val="22"/>
                <w:lang w:eastAsia="lt-LT"/>
              </w:rPr>
              <w:t>164</w:t>
            </w:r>
          </w:p>
        </w:tc>
      </w:tr>
      <w:tr w:rsidR="0036574D" w:rsidRPr="003F564F" w14:paraId="2590A8F9" w14:textId="77777777" w:rsidTr="00A2055B">
        <w:tc>
          <w:tcPr>
            <w:tcW w:w="2660" w:type="dxa"/>
          </w:tcPr>
          <w:p w14:paraId="7BB64EF8" w14:textId="77777777" w:rsidR="0036574D" w:rsidRPr="003F564F" w:rsidRDefault="0036574D" w:rsidP="00D3679D">
            <w:pPr>
              <w:jc w:val="both"/>
              <w:rPr>
                <w:sz w:val="22"/>
                <w:szCs w:val="22"/>
                <w:lang w:eastAsia="lt-LT"/>
              </w:rPr>
            </w:pPr>
          </w:p>
        </w:tc>
        <w:tc>
          <w:tcPr>
            <w:tcW w:w="1701" w:type="dxa"/>
          </w:tcPr>
          <w:p w14:paraId="1C00822C" w14:textId="5557923E" w:rsidR="0036574D" w:rsidRPr="003F564F" w:rsidRDefault="00A2055B" w:rsidP="00A2055B">
            <w:pPr>
              <w:jc w:val="center"/>
              <w:rPr>
                <w:sz w:val="22"/>
                <w:szCs w:val="22"/>
                <w:lang w:eastAsia="lt-LT"/>
              </w:rPr>
            </w:pPr>
            <w:r w:rsidRPr="00A2055B">
              <w:rPr>
                <w:sz w:val="22"/>
                <w:szCs w:val="22"/>
                <w:lang w:eastAsia="lt-LT"/>
              </w:rPr>
              <w:t>n (%)</w:t>
            </w:r>
          </w:p>
        </w:tc>
        <w:tc>
          <w:tcPr>
            <w:tcW w:w="1843" w:type="dxa"/>
          </w:tcPr>
          <w:p w14:paraId="5A8E920C" w14:textId="0877BDC6" w:rsidR="0036574D" w:rsidRPr="003F564F" w:rsidRDefault="00A2055B" w:rsidP="00A2055B">
            <w:pPr>
              <w:jc w:val="center"/>
              <w:rPr>
                <w:sz w:val="22"/>
                <w:szCs w:val="22"/>
                <w:lang w:eastAsia="lt-LT"/>
              </w:rPr>
            </w:pPr>
            <w:r w:rsidRPr="00A2055B">
              <w:rPr>
                <w:sz w:val="22"/>
                <w:szCs w:val="22"/>
                <w:lang w:eastAsia="lt-LT"/>
              </w:rPr>
              <w:t>95</w:t>
            </w:r>
            <w:r>
              <w:rPr>
                <w:sz w:val="22"/>
                <w:szCs w:val="22"/>
                <w:lang w:eastAsia="lt-LT"/>
              </w:rPr>
              <w:t> </w:t>
            </w:r>
            <w:r w:rsidRPr="00A2055B">
              <w:rPr>
                <w:sz w:val="22"/>
                <w:szCs w:val="22"/>
                <w:lang w:eastAsia="lt-LT"/>
              </w:rPr>
              <w:t>% PI</w:t>
            </w:r>
          </w:p>
        </w:tc>
        <w:tc>
          <w:tcPr>
            <w:tcW w:w="1567" w:type="dxa"/>
          </w:tcPr>
          <w:p w14:paraId="2A85BBD0" w14:textId="7CB743CC" w:rsidR="0036574D" w:rsidRPr="003F564F" w:rsidRDefault="00A2055B" w:rsidP="00A2055B">
            <w:pPr>
              <w:jc w:val="center"/>
              <w:rPr>
                <w:sz w:val="22"/>
                <w:szCs w:val="22"/>
                <w:lang w:eastAsia="lt-LT"/>
              </w:rPr>
            </w:pPr>
            <w:r w:rsidRPr="00A2055B">
              <w:rPr>
                <w:sz w:val="22"/>
                <w:szCs w:val="22"/>
                <w:lang w:eastAsia="lt-LT"/>
              </w:rPr>
              <w:t>n (%)</w:t>
            </w:r>
          </w:p>
        </w:tc>
        <w:tc>
          <w:tcPr>
            <w:tcW w:w="1943" w:type="dxa"/>
          </w:tcPr>
          <w:p w14:paraId="6782F227" w14:textId="53582D41" w:rsidR="0036574D" w:rsidRPr="003F564F" w:rsidRDefault="00A2055B" w:rsidP="00A2055B">
            <w:pPr>
              <w:jc w:val="center"/>
              <w:rPr>
                <w:sz w:val="22"/>
                <w:szCs w:val="22"/>
                <w:lang w:eastAsia="lt-LT"/>
              </w:rPr>
            </w:pPr>
            <w:r w:rsidRPr="00A2055B">
              <w:rPr>
                <w:sz w:val="22"/>
                <w:szCs w:val="22"/>
                <w:lang w:eastAsia="lt-LT"/>
              </w:rPr>
              <w:t>95</w:t>
            </w:r>
            <w:r>
              <w:rPr>
                <w:sz w:val="22"/>
                <w:szCs w:val="22"/>
                <w:lang w:eastAsia="lt-LT"/>
              </w:rPr>
              <w:t> </w:t>
            </w:r>
            <w:r w:rsidRPr="00A2055B">
              <w:rPr>
                <w:sz w:val="22"/>
                <w:szCs w:val="22"/>
                <w:lang w:eastAsia="lt-LT"/>
              </w:rPr>
              <w:t>% PI</w:t>
            </w:r>
          </w:p>
        </w:tc>
      </w:tr>
      <w:tr w:rsidR="0036574D" w:rsidRPr="003F564F" w14:paraId="6E00C573" w14:textId="77777777" w:rsidTr="00A2055B">
        <w:tc>
          <w:tcPr>
            <w:tcW w:w="2660" w:type="dxa"/>
          </w:tcPr>
          <w:p w14:paraId="5191EE8E" w14:textId="71CC4E2D" w:rsidR="0036574D" w:rsidRPr="003F564F" w:rsidRDefault="00A2055B" w:rsidP="00A2055B">
            <w:pPr>
              <w:jc w:val="both"/>
              <w:rPr>
                <w:sz w:val="22"/>
                <w:szCs w:val="22"/>
                <w:lang w:eastAsia="lt-LT"/>
              </w:rPr>
            </w:pPr>
            <w:r w:rsidRPr="00A2055B">
              <w:rPr>
                <w:sz w:val="22"/>
                <w:szCs w:val="22"/>
                <w:lang w:eastAsia="lt-LT"/>
              </w:rPr>
              <w:t>Bendrasis atsakas</w:t>
            </w:r>
          </w:p>
        </w:tc>
        <w:tc>
          <w:tcPr>
            <w:tcW w:w="1701" w:type="dxa"/>
          </w:tcPr>
          <w:p w14:paraId="66799420" w14:textId="11022068" w:rsidR="0036574D" w:rsidRPr="003F564F" w:rsidRDefault="00A2055B" w:rsidP="00A2055B">
            <w:pPr>
              <w:jc w:val="center"/>
              <w:rPr>
                <w:sz w:val="22"/>
                <w:szCs w:val="22"/>
                <w:lang w:eastAsia="lt-LT"/>
              </w:rPr>
            </w:pPr>
            <w:r w:rsidRPr="00A2055B">
              <w:rPr>
                <w:sz w:val="22"/>
                <w:szCs w:val="22"/>
                <w:lang w:eastAsia="lt-LT"/>
              </w:rPr>
              <w:t>82 (49,7)</w:t>
            </w:r>
          </w:p>
        </w:tc>
        <w:tc>
          <w:tcPr>
            <w:tcW w:w="1843" w:type="dxa"/>
          </w:tcPr>
          <w:p w14:paraId="613487F5" w14:textId="3E341ADB" w:rsidR="0036574D" w:rsidRPr="003F564F" w:rsidRDefault="00A2055B" w:rsidP="00A2055B">
            <w:pPr>
              <w:jc w:val="center"/>
              <w:rPr>
                <w:sz w:val="22"/>
                <w:szCs w:val="22"/>
                <w:lang w:eastAsia="lt-LT"/>
              </w:rPr>
            </w:pPr>
            <w:r w:rsidRPr="00A2055B">
              <w:rPr>
                <w:sz w:val="22"/>
                <w:szCs w:val="22"/>
                <w:lang w:eastAsia="lt-LT"/>
              </w:rPr>
              <w:t>41,8; 57,6</w:t>
            </w:r>
          </w:p>
        </w:tc>
        <w:tc>
          <w:tcPr>
            <w:tcW w:w="1567" w:type="dxa"/>
          </w:tcPr>
          <w:p w14:paraId="3750B744" w14:textId="5E8E6052" w:rsidR="0036574D" w:rsidRPr="003F564F" w:rsidRDefault="00A2055B" w:rsidP="00A2055B">
            <w:pPr>
              <w:jc w:val="center"/>
              <w:rPr>
                <w:sz w:val="22"/>
                <w:szCs w:val="22"/>
                <w:lang w:eastAsia="lt-LT"/>
              </w:rPr>
            </w:pPr>
            <w:r w:rsidRPr="00A2055B">
              <w:rPr>
                <w:sz w:val="22"/>
                <w:szCs w:val="22"/>
                <w:lang w:eastAsia="lt-LT"/>
              </w:rPr>
              <w:t>42 (25,6)</w:t>
            </w:r>
          </w:p>
        </w:tc>
        <w:tc>
          <w:tcPr>
            <w:tcW w:w="1943" w:type="dxa"/>
          </w:tcPr>
          <w:p w14:paraId="2E938FCF" w14:textId="5FBB6ABE" w:rsidR="0036574D" w:rsidRPr="003F564F" w:rsidRDefault="00A2055B" w:rsidP="00A2055B">
            <w:pPr>
              <w:jc w:val="center"/>
              <w:rPr>
                <w:sz w:val="22"/>
                <w:szCs w:val="22"/>
                <w:lang w:eastAsia="lt-LT"/>
              </w:rPr>
            </w:pPr>
            <w:r w:rsidRPr="00A2055B">
              <w:rPr>
                <w:sz w:val="22"/>
                <w:szCs w:val="22"/>
                <w:lang w:eastAsia="lt-LT"/>
              </w:rPr>
              <w:t>19,1; 33,0</w:t>
            </w:r>
          </w:p>
        </w:tc>
      </w:tr>
      <w:tr w:rsidR="00A2055B" w:rsidRPr="003F564F" w14:paraId="73654002" w14:textId="77777777" w:rsidTr="00A2055B">
        <w:tc>
          <w:tcPr>
            <w:tcW w:w="2660" w:type="dxa"/>
          </w:tcPr>
          <w:p w14:paraId="2EA3B108" w14:textId="360B24C3" w:rsidR="00A2055B" w:rsidRPr="003F564F" w:rsidRDefault="00A2055B" w:rsidP="00A2055B">
            <w:pPr>
              <w:jc w:val="both"/>
              <w:rPr>
                <w:sz w:val="22"/>
                <w:szCs w:val="22"/>
                <w:lang w:eastAsia="lt-LT"/>
              </w:rPr>
            </w:pPr>
            <w:r w:rsidRPr="00A2055B">
              <w:rPr>
                <w:sz w:val="22"/>
                <w:szCs w:val="22"/>
                <w:lang w:eastAsia="lt-LT"/>
              </w:rPr>
              <w:t>Šansų santykis</w:t>
            </w:r>
            <w:r>
              <w:rPr>
                <w:sz w:val="22"/>
                <w:szCs w:val="22"/>
                <w:lang w:eastAsia="lt-LT"/>
              </w:rPr>
              <w:t xml:space="preserve"> </w:t>
            </w:r>
            <w:r w:rsidRPr="00A2055B">
              <w:rPr>
                <w:sz w:val="22"/>
                <w:szCs w:val="22"/>
                <w:lang w:eastAsia="lt-LT"/>
              </w:rPr>
              <w:t>(95</w:t>
            </w:r>
            <w:r>
              <w:rPr>
                <w:sz w:val="22"/>
                <w:szCs w:val="22"/>
                <w:lang w:eastAsia="lt-LT"/>
              </w:rPr>
              <w:t> </w:t>
            </w:r>
            <w:r w:rsidRPr="00A2055B">
              <w:rPr>
                <w:sz w:val="22"/>
                <w:szCs w:val="22"/>
                <w:lang w:eastAsia="lt-LT"/>
              </w:rPr>
              <w:t>% PI)</w:t>
            </w:r>
          </w:p>
        </w:tc>
        <w:tc>
          <w:tcPr>
            <w:tcW w:w="7054" w:type="dxa"/>
            <w:gridSpan w:val="4"/>
          </w:tcPr>
          <w:p w14:paraId="1EA67863" w14:textId="272CE80B" w:rsidR="00A2055B" w:rsidRPr="003F564F" w:rsidRDefault="00A2055B" w:rsidP="00A2055B">
            <w:pPr>
              <w:jc w:val="center"/>
              <w:rPr>
                <w:sz w:val="22"/>
                <w:szCs w:val="22"/>
                <w:lang w:eastAsia="lt-LT"/>
              </w:rPr>
            </w:pPr>
            <w:r w:rsidRPr="00A2055B">
              <w:rPr>
                <w:sz w:val="22"/>
                <w:szCs w:val="22"/>
                <w:lang w:eastAsia="lt-LT"/>
              </w:rPr>
              <w:t>2,99 (1,86; 4,80)</w:t>
            </w:r>
          </w:p>
        </w:tc>
      </w:tr>
      <w:tr w:rsidR="00A2055B" w:rsidRPr="003F564F" w14:paraId="415A8269" w14:textId="77777777" w:rsidTr="00A2055B">
        <w:tc>
          <w:tcPr>
            <w:tcW w:w="2660" w:type="dxa"/>
          </w:tcPr>
          <w:p w14:paraId="0E5588F6" w14:textId="74976018" w:rsidR="00A2055B" w:rsidRPr="003F564F" w:rsidRDefault="00A2055B" w:rsidP="00A2055B">
            <w:pPr>
              <w:jc w:val="both"/>
              <w:rPr>
                <w:sz w:val="22"/>
                <w:szCs w:val="22"/>
                <w:lang w:eastAsia="lt-LT"/>
              </w:rPr>
            </w:pPr>
            <w:r w:rsidRPr="00A2055B">
              <w:rPr>
                <w:sz w:val="22"/>
                <w:szCs w:val="22"/>
                <w:lang w:eastAsia="lt-LT"/>
              </w:rPr>
              <w:t>p reikšmė (dvikryptė)</w:t>
            </w:r>
          </w:p>
        </w:tc>
        <w:tc>
          <w:tcPr>
            <w:tcW w:w="7054" w:type="dxa"/>
            <w:gridSpan w:val="4"/>
          </w:tcPr>
          <w:p w14:paraId="4BEC3FDB" w14:textId="4ADC3B67" w:rsidR="00A2055B" w:rsidRPr="003F564F" w:rsidRDefault="00A2055B" w:rsidP="00A2055B">
            <w:pPr>
              <w:jc w:val="center"/>
              <w:rPr>
                <w:sz w:val="22"/>
                <w:szCs w:val="22"/>
                <w:lang w:eastAsia="lt-LT"/>
              </w:rPr>
            </w:pPr>
            <w:r w:rsidRPr="00A2055B">
              <w:rPr>
                <w:sz w:val="22"/>
                <w:szCs w:val="22"/>
                <w:lang w:eastAsia="lt-LT"/>
              </w:rPr>
              <w:t>p</w:t>
            </w:r>
            <w:r>
              <w:rPr>
                <w:sz w:val="22"/>
                <w:szCs w:val="22"/>
                <w:lang w:eastAsia="lt-LT"/>
              </w:rPr>
              <w:t> </w:t>
            </w:r>
            <w:r w:rsidRPr="00A2055B">
              <w:rPr>
                <w:sz w:val="22"/>
                <w:szCs w:val="22"/>
                <w:lang w:eastAsia="lt-LT"/>
              </w:rPr>
              <w:t>&lt;</w:t>
            </w:r>
            <w:r>
              <w:rPr>
                <w:sz w:val="22"/>
                <w:szCs w:val="22"/>
                <w:lang w:eastAsia="lt-LT"/>
              </w:rPr>
              <w:t> </w:t>
            </w:r>
            <w:r w:rsidRPr="00A2055B">
              <w:rPr>
                <w:sz w:val="22"/>
                <w:szCs w:val="22"/>
                <w:lang w:eastAsia="lt-LT"/>
              </w:rPr>
              <w:t>0,0001</w:t>
            </w:r>
          </w:p>
        </w:tc>
      </w:tr>
      <w:tr w:rsidR="00A2055B" w:rsidRPr="003F564F" w14:paraId="7766975C" w14:textId="77777777" w:rsidTr="00A2055B">
        <w:tc>
          <w:tcPr>
            <w:tcW w:w="2660" w:type="dxa"/>
          </w:tcPr>
          <w:p w14:paraId="4849C56B" w14:textId="6FB63C39" w:rsidR="00A2055B" w:rsidRPr="003F564F" w:rsidRDefault="00A2055B" w:rsidP="00A2055B">
            <w:pPr>
              <w:jc w:val="both"/>
              <w:rPr>
                <w:sz w:val="22"/>
                <w:szCs w:val="22"/>
                <w:lang w:eastAsia="lt-LT"/>
              </w:rPr>
            </w:pPr>
            <w:r w:rsidRPr="00A2055B">
              <w:rPr>
                <w:sz w:val="22"/>
                <w:szCs w:val="22"/>
                <w:lang w:eastAsia="lt-LT"/>
              </w:rPr>
              <w:t>Visiškas atsakas</w:t>
            </w:r>
          </w:p>
        </w:tc>
        <w:tc>
          <w:tcPr>
            <w:tcW w:w="3544" w:type="dxa"/>
            <w:gridSpan w:val="2"/>
          </w:tcPr>
          <w:p w14:paraId="72919326" w14:textId="1FAF8A4C" w:rsidR="00A2055B" w:rsidRPr="003F564F" w:rsidRDefault="00A2055B" w:rsidP="00A2055B">
            <w:pPr>
              <w:jc w:val="center"/>
              <w:rPr>
                <w:sz w:val="22"/>
                <w:szCs w:val="22"/>
                <w:lang w:eastAsia="lt-LT"/>
              </w:rPr>
            </w:pPr>
            <w:r w:rsidRPr="00A2055B">
              <w:rPr>
                <w:sz w:val="22"/>
                <w:szCs w:val="22"/>
                <w:lang w:eastAsia="lt-LT"/>
              </w:rPr>
              <w:t>11 (6,7)</w:t>
            </w:r>
          </w:p>
        </w:tc>
        <w:tc>
          <w:tcPr>
            <w:tcW w:w="3510" w:type="dxa"/>
            <w:gridSpan w:val="2"/>
          </w:tcPr>
          <w:p w14:paraId="4E2EE07A" w14:textId="02280693" w:rsidR="00A2055B" w:rsidRPr="003F564F" w:rsidRDefault="00A2055B" w:rsidP="00A2055B">
            <w:pPr>
              <w:jc w:val="center"/>
              <w:rPr>
                <w:sz w:val="22"/>
                <w:szCs w:val="22"/>
                <w:lang w:eastAsia="lt-LT"/>
              </w:rPr>
            </w:pPr>
            <w:r w:rsidRPr="00A2055B">
              <w:rPr>
                <w:sz w:val="22"/>
                <w:szCs w:val="22"/>
                <w:lang w:eastAsia="lt-LT"/>
              </w:rPr>
              <w:t>5 (3,0)</w:t>
            </w:r>
          </w:p>
        </w:tc>
      </w:tr>
      <w:tr w:rsidR="00A2055B" w:rsidRPr="003F564F" w14:paraId="00755156" w14:textId="77777777" w:rsidTr="00A2055B">
        <w:tc>
          <w:tcPr>
            <w:tcW w:w="2660" w:type="dxa"/>
          </w:tcPr>
          <w:p w14:paraId="35C9ABF8" w14:textId="458D91B4" w:rsidR="00A2055B" w:rsidRPr="003F564F" w:rsidRDefault="00A2055B" w:rsidP="00A2055B">
            <w:pPr>
              <w:jc w:val="both"/>
              <w:rPr>
                <w:sz w:val="22"/>
                <w:szCs w:val="22"/>
                <w:lang w:eastAsia="lt-LT"/>
              </w:rPr>
            </w:pPr>
            <w:r w:rsidRPr="00A2055B">
              <w:rPr>
                <w:sz w:val="22"/>
                <w:szCs w:val="22"/>
                <w:lang w:eastAsia="lt-LT"/>
              </w:rPr>
              <w:t xml:space="preserve">Dalinis atsakas </w:t>
            </w:r>
          </w:p>
        </w:tc>
        <w:tc>
          <w:tcPr>
            <w:tcW w:w="3544" w:type="dxa"/>
            <w:gridSpan w:val="2"/>
          </w:tcPr>
          <w:p w14:paraId="1A0857A8" w14:textId="32F84FC6" w:rsidR="00A2055B" w:rsidRPr="003F564F" w:rsidRDefault="00A2055B" w:rsidP="00A2055B">
            <w:pPr>
              <w:jc w:val="center"/>
              <w:rPr>
                <w:sz w:val="22"/>
                <w:szCs w:val="22"/>
                <w:lang w:eastAsia="lt-LT"/>
              </w:rPr>
            </w:pPr>
            <w:r w:rsidRPr="00A2055B">
              <w:rPr>
                <w:sz w:val="22"/>
                <w:szCs w:val="22"/>
                <w:lang w:eastAsia="lt-LT"/>
              </w:rPr>
              <w:t>71 (43,0)</w:t>
            </w:r>
          </w:p>
        </w:tc>
        <w:tc>
          <w:tcPr>
            <w:tcW w:w="3510" w:type="dxa"/>
            <w:gridSpan w:val="2"/>
          </w:tcPr>
          <w:p w14:paraId="1C0ED7B1" w14:textId="3188CDD7" w:rsidR="00A2055B" w:rsidRPr="003F564F" w:rsidRDefault="00A2055B" w:rsidP="00A2055B">
            <w:pPr>
              <w:jc w:val="center"/>
              <w:rPr>
                <w:sz w:val="22"/>
                <w:szCs w:val="22"/>
                <w:lang w:eastAsia="lt-LT"/>
              </w:rPr>
            </w:pPr>
            <w:r w:rsidRPr="00A2055B">
              <w:rPr>
                <w:sz w:val="22"/>
                <w:szCs w:val="22"/>
                <w:lang w:eastAsia="lt-LT"/>
              </w:rPr>
              <w:t>37 (22,6)</w:t>
            </w:r>
          </w:p>
        </w:tc>
      </w:tr>
    </w:tbl>
    <w:p w14:paraId="07AA5BA1" w14:textId="77777777" w:rsidR="0036574D" w:rsidRPr="003F564F" w:rsidRDefault="0036574D" w:rsidP="0036574D">
      <w:pPr>
        <w:rPr>
          <w:sz w:val="22"/>
          <w:szCs w:val="22"/>
          <w:lang w:eastAsia="lt-LT"/>
        </w:rPr>
      </w:pPr>
    </w:p>
    <w:p w14:paraId="0F9769EA" w14:textId="5F0EA745" w:rsidR="0036574D" w:rsidRPr="003F564F" w:rsidRDefault="0036574D" w:rsidP="0036574D">
      <w:pPr>
        <w:rPr>
          <w:sz w:val="22"/>
          <w:szCs w:val="22"/>
          <w:lang w:eastAsia="lt-LT"/>
        </w:rPr>
      </w:pPr>
      <w:r w:rsidRPr="003F564F">
        <w:rPr>
          <w:sz w:val="22"/>
          <w:szCs w:val="22"/>
          <w:lang w:eastAsia="lt-LT"/>
        </w:rPr>
        <w:t>Analizuojant antrinę vertinamąją baigtį, t. y. FFS rodmenį, nustatyta statistiškai reikšmingai 63</w:t>
      </w:r>
      <w:r w:rsidR="00A2055B">
        <w:rPr>
          <w:sz w:val="22"/>
          <w:szCs w:val="22"/>
          <w:lang w:eastAsia="lt-LT"/>
        </w:rPr>
        <w:t> </w:t>
      </w:r>
      <w:r w:rsidRPr="003F564F">
        <w:rPr>
          <w:sz w:val="22"/>
          <w:szCs w:val="22"/>
          <w:lang w:eastAsia="lt-LT"/>
        </w:rPr>
        <w:t xml:space="preserve">% mažesnė rizika </w:t>
      </w:r>
      <w:proofErr w:type="spellStart"/>
      <w:r w:rsidR="00A2055B">
        <w:rPr>
          <w:sz w:val="22"/>
          <w:szCs w:val="22"/>
          <w:lang w:eastAsia="lt-LT"/>
        </w:rPr>
        <w:t>ruksolitinibo</w:t>
      </w:r>
      <w:proofErr w:type="spellEnd"/>
      <w:r w:rsidR="00A2055B" w:rsidRPr="003F564F">
        <w:rPr>
          <w:sz w:val="22"/>
          <w:szCs w:val="22"/>
          <w:lang w:eastAsia="lt-LT"/>
        </w:rPr>
        <w:t xml:space="preserve"> </w:t>
      </w:r>
      <w:r w:rsidRPr="003F564F">
        <w:rPr>
          <w:sz w:val="22"/>
          <w:szCs w:val="22"/>
          <w:lang w:eastAsia="lt-LT"/>
        </w:rPr>
        <w:t>vartojusiųjų grupėje, lyginant su GPG grupe (RS: 0,370; 95</w:t>
      </w:r>
      <w:r w:rsidR="00A2055B">
        <w:rPr>
          <w:sz w:val="22"/>
          <w:szCs w:val="22"/>
          <w:lang w:eastAsia="lt-LT"/>
        </w:rPr>
        <w:t> </w:t>
      </w:r>
      <w:r w:rsidRPr="003F564F">
        <w:rPr>
          <w:sz w:val="22"/>
          <w:szCs w:val="22"/>
          <w:lang w:eastAsia="lt-LT"/>
        </w:rPr>
        <w:t>% PI: 0,268; 0,510; p</w:t>
      </w:r>
      <w:r w:rsidR="00A2055B">
        <w:rPr>
          <w:sz w:val="22"/>
          <w:szCs w:val="22"/>
          <w:lang w:eastAsia="lt-LT"/>
        </w:rPr>
        <w:t> </w:t>
      </w:r>
      <w:r w:rsidRPr="003F564F">
        <w:rPr>
          <w:sz w:val="22"/>
          <w:szCs w:val="22"/>
          <w:lang w:eastAsia="lt-LT"/>
        </w:rPr>
        <w:t>&lt;</w:t>
      </w:r>
      <w:r w:rsidR="00A2055B">
        <w:rPr>
          <w:sz w:val="22"/>
          <w:szCs w:val="22"/>
          <w:lang w:eastAsia="lt-LT"/>
        </w:rPr>
        <w:t> </w:t>
      </w:r>
      <w:r w:rsidRPr="003F564F">
        <w:rPr>
          <w:sz w:val="22"/>
          <w:szCs w:val="22"/>
          <w:lang w:eastAsia="lt-LT"/>
        </w:rPr>
        <w:t>0,0001). Po 6</w:t>
      </w:r>
      <w:r w:rsidR="00A2055B">
        <w:rPr>
          <w:sz w:val="22"/>
          <w:szCs w:val="22"/>
          <w:lang w:eastAsia="lt-LT"/>
        </w:rPr>
        <w:t> </w:t>
      </w:r>
      <w:r w:rsidRPr="003F564F">
        <w:rPr>
          <w:sz w:val="22"/>
          <w:szCs w:val="22"/>
          <w:lang w:eastAsia="lt-LT"/>
        </w:rPr>
        <w:t xml:space="preserve">mėnesių daugelis FFS reiškinių buvo įvertinti kaip „kito papildomo sisteminio poveikio gydymo nuo lėtinės </w:t>
      </w:r>
      <w:proofErr w:type="spellStart"/>
      <w:r w:rsidRPr="003F564F">
        <w:rPr>
          <w:sz w:val="22"/>
          <w:szCs w:val="22"/>
          <w:lang w:eastAsia="lt-LT"/>
        </w:rPr>
        <w:t>TpŠL</w:t>
      </w:r>
      <w:proofErr w:type="spellEnd"/>
      <w:r w:rsidRPr="003F564F">
        <w:rPr>
          <w:sz w:val="22"/>
          <w:szCs w:val="22"/>
          <w:lang w:eastAsia="lt-LT"/>
        </w:rPr>
        <w:t xml:space="preserve"> paskyrimas arba pridėjimas“ (šio reiškinio tikimybė buvo 13,4</w:t>
      </w:r>
      <w:r w:rsidR="00A2055B">
        <w:rPr>
          <w:sz w:val="22"/>
          <w:szCs w:val="22"/>
          <w:lang w:eastAsia="lt-LT"/>
        </w:rPr>
        <w:t> </w:t>
      </w:r>
      <w:r w:rsidRPr="003F564F">
        <w:rPr>
          <w:sz w:val="22"/>
          <w:szCs w:val="22"/>
          <w:lang w:eastAsia="lt-LT"/>
        </w:rPr>
        <w:t>% ir 48,5</w:t>
      </w:r>
      <w:r w:rsidR="00A2055B">
        <w:rPr>
          <w:sz w:val="22"/>
          <w:szCs w:val="22"/>
          <w:lang w:eastAsia="lt-LT"/>
        </w:rPr>
        <w:t> </w:t>
      </w:r>
      <w:r w:rsidRPr="003F564F">
        <w:rPr>
          <w:sz w:val="22"/>
          <w:szCs w:val="22"/>
          <w:lang w:eastAsia="lt-LT"/>
        </w:rPr>
        <w:t xml:space="preserve">% atitinkamai </w:t>
      </w:r>
      <w:proofErr w:type="spellStart"/>
      <w:r w:rsidR="00A2055B">
        <w:rPr>
          <w:sz w:val="22"/>
          <w:szCs w:val="22"/>
          <w:lang w:eastAsia="lt-LT"/>
        </w:rPr>
        <w:t>ruksolitinibo</w:t>
      </w:r>
      <w:proofErr w:type="spellEnd"/>
      <w:r w:rsidR="00A2055B" w:rsidRPr="003F564F">
        <w:rPr>
          <w:sz w:val="22"/>
          <w:szCs w:val="22"/>
          <w:lang w:eastAsia="lt-LT"/>
        </w:rPr>
        <w:t xml:space="preserve"> </w:t>
      </w:r>
      <w:r w:rsidRPr="003F564F">
        <w:rPr>
          <w:sz w:val="22"/>
          <w:szCs w:val="22"/>
          <w:lang w:eastAsia="lt-LT"/>
        </w:rPr>
        <w:t>ir GPG grupėse). Reiškinių „pagrindinės ligos recidyvas“ ir „mirtis ne dėl ligos paūmėjimo“ rezultatai buvo 2,46</w:t>
      </w:r>
      <w:r w:rsidR="00A2055B">
        <w:rPr>
          <w:sz w:val="22"/>
          <w:szCs w:val="22"/>
          <w:lang w:eastAsia="lt-LT"/>
        </w:rPr>
        <w:t> </w:t>
      </w:r>
      <w:r w:rsidRPr="003F564F">
        <w:rPr>
          <w:sz w:val="22"/>
          <w:szCs w:val="22"/>
          <w:lang w:eastAsia="lt-LT"/>
        </w:rPr>
        <w:t>% ir 2,57</w:t>
      </w:r>
      <w:r w:rsidR="00A2055B">
        <w:rPr>
          <w:sz w:val="22"/>
          <w:szCs w:val="22"/>
          <w:lang w:eastAsia="lt-LT"/>
        </w:rPr>
        <w:t> </w:t>
      </w:r>
      <w:r w:rsidRPr="003F564F">
        <w:rPr>
          <w:sz w:val="22"/>
          <w:szCs w:val="22"/>
          <w:lang w:eastAsia="lt-LT"/>
        </w:rPr>
        <w:t>% bei 9,19</w:t>
      </w:r>
      <w:r w:rsidR="00A2055B">
        <w:rPr>
          <w:sz w:val="22"/>
          <w:szCs w:val="22"/>
          <w:lang w:eastAsia="lt-LT"/>
        </w:rPr>
        <w:t> </w:t>
      </w:r>
      <w:r w:rsidRPr="003F564F">
        <w:rPr>
          <w:sz w:val="22"/>
          <w:szCs w:val="22"/>
          <w:lang w:eastAsia="lt-LT"/>
        </w:rPr>
        <w:t>% ir 4,46</w:t>
      </w:r>
      <w:r w:rsidR="00A2055B">
        <w:rPr>
          <w:sz w:val="22"/>
          <w:szCs w:val="22"/>
          <w:lang w:eastAsia="lt-LT"/>
        </w:rPr>
        <w:t> </w:t>
      </w:r>
      <w:r w:rsidRPr="003F564F">
        <w:rPr>
          <w:sz w:val="22"/>
          <w:szCs w:val="22"/>
          <w:lang w:eastAsia="lt-LT"/>
        </w:rPr>
        <w:t xml:space="preserve">% atitinkamai </w:t>
      </w:r>
      <w:proofErr w:type="spellStart"/>
      <w:r w:rsidR="00A2055B">
        <w:rPr>
          <w:sz w:val="22"/>
          <w:szCs w:val="22"/>
          <w:lang w:eastAsia="lt-LT"/>
        </w:rPr>
        <w:t>ruksolitinibo</w:t>
      </w:r>
      <w:proofErr w:type="spellEnd"/>
      <w:r w:rsidR="00A2055B" w:rsidRPr="003F564F">
        <w:rPr>
          <w:sz w:val="22"/>
          <w:szCs w:val="22"/>
          <w:lang w:eastAsia="lt-LT"/>
        </w:rPr>
        <w:t xml:space="preserve"> </w:t>
      </w:r>
      <w:r w:rsidRPr="003F564F">
        <w:rPr>
          <w:sz w:val="22"/>
          <w:szCs w:val="22"/>
          <w:lang w:eastAsia="lt-LT"/>
        </w:rPr>
        <w:t>ir GPG grupėse. Nebuvo nustatyta kumuliacinių dažnių skirtumų tarp tiriamųjų grupių, kai buvo analizuojamos tik mirtys ne dėl ligos paūmėjimo.</w:t>
      </w:r>
    </w:p>
    <w:p w14:paraId="0D35CE55" w14:textId="77777777" w:rsidR="0036574D" w:rsidRPr="003F564F" w:rsidRDefault="0036574D" w:rsidP="0036574D">
      <w:pPr>
        <w:rPr>
          <w:sz w:val="22"/>
          <w:szCs w:val="22"/>
          <w:lang w:eastAsia="lt-LT"/>
        </w:rPr>
      </w:pPr>
    </w:p>
    <w:p w14:paraId="3EC6FC71" w14:textId="60829909" w:rsidR="0036574D" w:rsidRPr="00A2055B" w:rsidRDefault="0036574D" w:rsidP="0036574D">
      <w:pPr>
        <w:rPr>
          <w:sz w:val="22"/>
          <w:szCs w:val="22"/>
          <w:u w:val="single"/>
          <w:lang w:eastAsia="lt-LT"/>
        </w:rPr>
      </w:pPr>
      <w:r w:rsidRPr="00A2055B">
        <w:rPr>
          <w:sz w:val="22"/>
          <w:szCs w:val="22"/>
          <w:u w:val="single"/>
          <w:lang w:eastAsia="lt-LT"/>
        </w:rPr>
        <w:t>Vaikų populiacija</w:t>
      </w:r>
    </w:p>
    <w:p w14:paraId="0383ABCA" w14:textId="77777777" w:rsidR="0036574D" w:rsidRPr="003F564F" w:rsidRDefault="0036574D" w:rsidP="0036574D">
      <w:pPr>
        <w:rPr>
          <w:sz w:val="22"/>
          <w:szCs w:val="22"/>
          <w:lang w:eastAsia="lt-LT"/>
        </w:rPr>
      </w:pPr>
    </w:p>
    <w:p w14:paraId="3280DC95" w14:textId="69A77189" w:rsidR="0036574D" w:rsidRPr="003F564F" w:rsidRDefault="0036574D" w:rsidP="0036574D">
      <w:pPr>
        <w:rPr>
          <w:sz w:val="22"/>
          <w:szCs w:val="22"/>
          <w:lang w:eastAsia="lt-LT"/>
        </w:rPr>
      </w:pPr>
      <w:r w:rsidRPr="003F564F">
        <w:rPr>
          <w:sz w:val="22"/>
          <w:szCs w:val="22"/>
          <w:lang w:eastAsia="lt-LT"/>
        </w:rPr>
        <w:t xml:space="preserve">Europos vaistų agentūra atleido nuo įpareigojimo pateikti </w:t>
      </w:r>
      <w:r w:rsidR="00177439" w:rsidRPr="00177439">
        <w:rPr>
          <w:sz w:val="22"/>
          <w:szCs w:val="22"/>
          <w:lang w:eastAsia="lt-LT"/>
        </w:rPr>
        <w:t xml:space="preserve">referencinio vaistinio preparato, kurio sudėtyje yra </w:t>
      </w:r>
      <w:r w:rsidR="00177439">
        <w:rPr>
          <w:sz w:val="22"/>
          <w:szCs w:val="22"/>
          <w:lang w:eastAsia="lt-LT"/>
        </w:rPr>
        <w:t xml:space="preserve"> </w:t>
      </w:r>
      <w:proofErr w:type="spellStart"/>
      <w:r w:rsidR="00A2055B">
        <w:rPr>
          <w:sz w:val="22"/>
          <w:szCs w:val="22"/>
          <w:lang w:eastAsia="lt-LT"/>
        </w:rPr>
        <w:t>ruksolitinibo</w:t>
      </w:r>
      <w:proofErr w:type="spellEnd"/>
      <w:r w:rsidR="00177439">
        <w:rPr>
          <w:sz w:val="22"/>
          <w:szCs w:val="22"/>
          <w:lang w:eastAsia="lt-LT"/>
        </w:rPr>
        <w:t>,</w:t>
      </w:r>
      <w:r w:rsidR="00A2055B" w:rsidRPr="003F564F">
        <w:rPr>
          <w:sz w:val="22"/>
          <w:szCs w:val="22"/>
          <w:lang w:eastAsia="lt-LT"/>
        </w:rPr>
        <w:t xml:space="preserve"> </w:t>
      </w:r>
      <w:r w:rsidRPr="003F564F">
        <w:rPr>
          <w:sz w:val="22"/>
          <w:szCs w:val="22"/>
          <w:lang w:eastAsia="lt-LT"/>
        </w:rPr>
        <w:t xml:space="preserve">tyrimų su visais MF ir TP sergančių vaikų populiacijos pogrupiais duomenis. </w:t>
      </w:r>
      <w:proofErr w:type="spellStart"/>
      <w:r w:rsidRPr="003F564F">
        <w:rPr>
          <w:sz w:val="22"/>
          <w:szCs w:val="22"/>
          <w:lang w:eastAsia="lt-LT"/>
        </w:rPr>
        <w:t>TpŠL</w:t>
      </w:r>
      <w:proofErr w:type="spellEnd"/>
      <w:r w:rsidRPr="003F564F">
        <w:rPr>
          <w:sz w:val="22"/>
          <w:szCs w:val="22"/>
          <w:lang w:eastAsia="lt-LT"/>
        </w:rPr>
        <w:t xml:space="preserve"> sergantiems vyresniems kaip 2</w:t>
      </w:r>
      <w:r w:rsidR="00A2055B">
        <w:rPr>
          <w:sz w:val="22"/>
          <w:szCs w:val="22"/>
          <w:lang w:eastAsia="lt-LT"/>
        </w:rPr>
        <w:t> </w:t>
      </w:r>
      <w:r w:rsidRPr="003F564F">
        <w:rPr>
          <w:sz w:val="22"/>
          <w:szCs w:val="22"/>
          <w:lang w:eastAsia="lt-LT"/>
        </w:rPr>
        <w:t xml:space="preserve">metų vaikams </w:t>
      </w:r>
      <w:proofErr w:type="spellStart"/>
      <w:r w:rsidR="00A2055B">
        <w:rPr>
          <w:sz w:val="22"/>
          <w:szCs w:val="22"/>
          <w:lang w:eastAsia="lt-LT"/>
        </w:rPr>
        <w:t>ruksolitinibo</w:t>
      </w:r>
      <w:proofErr w:type="spellEnd"/>
      <w:r w:rsidR="00A2055B" w:rsidRPr="003F564F">
        <w:rPr>
          <w:sz w:val="22"/>
          <w:szCs w:val="22"/>
          <w:lang w:eastAsia="lt-LT"/>
        </w:rPr>
        <w:t xml:space="preserve"> </w:t>
      </w:r>
      <w:r w:rsidRPr="003F564F">
        <w:rPr>
          <w:sz w:val="22"/>
          <w:szCs w:val="22"/>
          <w:lang w:eastAsia="lt-LT"/>
        </w:rPr>
        <w:t>saugumas ir veiksmingumas yra pagrįsti atsitiktinių imčių III</w:t>
      </w:r>
      <w:r w:rsidR="00A2055B">
        <w:rPr>
          <w:sz w:val="22"/>
          <w:szCs w:val="22"/>
          <w:lang w:eastAsia="lt-LT"/>
        </w:rPr>
        <w:t> </w:t>
      </w:r>
      <w:r w:rsidRPr="003F564F">
        <w:rPr>
          <w:sz w:val="22"/>
          <w:szCs w:val="22"/>
          <w:lang w:eastAsia="lt-LT"/>
        </w:rPr>
        <w:t>fazės tyrimų REACH2 ir REACH3 bei atvirųjų vienos šakos II</w:t>
      </w:r>
      <w:r w:rsidR="00A2055B">
        <w:rPr>
          <w:sz w:val="22"/>
          <w:szCs w:val="22"/>
          <w:lang w:eastAsia="lt-LT"/>
        </w:rPr>
        <w:t> </w:t>
      </w:r>
      <w:r w:rsidRPr="003F564F">
        <w:rPr>
          <w:sz w:val="22"/>
          <w:szCs w:val="22"/>
          <w:lang w:eastAsia="lt-LT"/>
        </w:rPr>
        <w:t>fazės tyrimų REACH4 ir REACH5 duomenimis (vartojimo vaikams informacija pateikiama 4.2</w:t>
      </w:r>
      <w:r w:rsidR="00A2055B">
        <w:rPr>
          <w:sz w:val="22"/>
          <w:szCs w:val="22"/>
          <w:lang w:eastAsia="lt-LT"/>
        </w:rPr>
        <w:t> </w:t>
      </w:r>
      <w:r w:rsidRPr="003F564F">
        <w:rPr>
          <w:sz w:val="22"/>
          <w:szCs w:val="22"/>
          <w:lang w:eastAsia="lt-LT"/>
        </w:rPr>
        <w:t xml:space="preserve">skyriuje). Vienos grupės duomenys neleidžia išskirti </w:t>
      </w:r>
      <w:proofErr w:type="spellStart"/>
      <w:r w:rsidRPr="003F564F">
        <w:rPr>
          <w:sz w:val="22"/>
          <w:szCs w:val="22"/>
          <w:lang w:eastAsia="lt-LT"/>
        </w:rPr>
        <w:t>ruksolitinibo</w:t>
      </w:r>
      <w:proofErr w:type="spellEnd"/>
      <w:r w:rsidRPr="003F564F">
        <w:rPr>
          <w:sz w:val="22"/>
          <w:szCs w:val="22"/>
          <w:lang w:eastAsia="lt-LT"/>
        </w:rPr>
        <w:t xml:space="preserve"> poveikio bendram veiksmingumui.</w:t>
      </w:r>
    </w:p>
    <w:p w14:paraId="6465C52F" w14:textId="77777777" w:rsidR="0036574D" w:rsidRPr="003F564F" w:rsidRDefault="0036574D" w:rsidP="0036574D">
      <w:pPr>
        <w:rPr>
          <w:sz w:val="22"/>
          <w:szCs w:val="22"/>
          <w:lang w:eastAsia="lt-LT"/>
        </w:rPr>
      </w:pPr>
    </w:p>
    <w:p w14:paraId="149B17A6" w14:textId="6D6204F9" w:rsidR="0036574D" w:rsidRPr="00A2055B" w:rsidRDefault="0036574D" w:rsidP="0036574D">
      <w:pPr>
        <w:rPr>
          <w:i/>
          <w:iCs/>
          <w:sz w:val="22"/>
          <w:szCs w:val="22"/>
          <w:u w:val="single"/>
          <w:lang w:eastAsia="lt-LT"/>
        </w:rPr>
      </w:pPr>
      <w:r w:rsidRPr="00A2055B">
        <w:rPr>
          <w:i/>
          <w:iCs/>
          <w:sz w:val="22"/>
          <w:szCs w:val="22"/>
          <w:u w:val="single"/>
          <w:lang w:eastAsia="lt-LT"/>
        </w:rPr>
        <w:t xml:space="preserve">Ūminė </w:t>
      </w:r>
      <w:proofErr w:type="spellStart"/>
      <w:r w:rsidRPr="00A2055B">
        <w:rPr>
          <w:i/>
          <w:iCs/>
          <w:sz w:val="22"/>
          <w:szCs w:val="22"/>
          <w:u w:val="single"/>
          <w:lang w:eastAsia="lt-LT"/>
        </w:rPr>
        <w:t>transplantato</w:t>
      </w:r>
      <w:proofErr w:type="spellEnd"/>
      <w:r w:rsidRPr="00A2055B">
        <w:rPr>
          <w:i/>
          <w:iCs/>
          <w:sz w:val="22"/>
          <w:szCs w:val="22"/>
          <w:u w:val="single"/>
          <w:lang w:eastAsia="lt-LT"/>
        </w:rPr>
        <w:t xml:space="preserve"> prieš šeimininką liga</w:t>
      </w:r>
    </w:p>
    <w:p w14:paraId="4D4F8008" w14:textId="0C85CA1F" w:rsidR="0036574D" w:rsidRPr="003F564F" w:rsidRDefault="0036574D" w:rsidP="0036574D">
      <w:pPr>
        <w:rPr>
          <w:sz w:val="22"/>
          <w:szCs w:val="22"/>
          <w:lang w:eastAsia="lt-LT"/>
        </w:rPr>
      </w:pPr>
      <w:r w:rsidRPr="003F564F">
        <w:rPr>
          <w:sz w:val="22"/>
          <w:szCs w:val="22"/>
          <w:lang w:eastAsia="lt-LT"/>
        </w:rPr>
        <w:t>REACH4 tyrimo metu 45</w:t>
      </w:r>
      <w:r w:rsidR="00A2055B">
        <w:rPr>
          <w:sz w:val="22"/>
          <w:szCs w:val="22"/>
          <w:lang w:eastAsia="lt-LT"/>
        </w:rPr>
        <w:t> </w:t>
      </w:r>
      <w:r w:rsidRPr="003F564F">
        <w:rPr>
          <w:sz w:val="22"/>
          <w:szCs w:val="22"/>
          <w:lang w:eastAsia="lt-LT"/>
        </w:rPr>
        <w:t>vaikams, kuriems buvo nustatyta II, III arba IV</w:t>
      </w:r>
      <w:r w:rsidR="00A2055B">
        <w:rPr>
          <w:sz w:val="22"/>
          <w:szCs w:val="22"/>
          <w:lang w:eastAsia="lt-LT"/>
        </w:rPr>
        <w:t> </w:t>
      </w:r>
      <w:r w:rsidRPr="003F564F">
        <w:rPr>
          <w:sz w:val="22"/>
          <w:szCs w:val="22"/>
          <w:lang w:eastAsia="lt-LT"/>
        </w:rPr>
        <w:t xml:space="preserve">laipsnių ūminė </w:t>
      </w:r>
      <w:proofErr w:type="spellStart"/>
      <w:r w:rsidRPr="003F564F">
        <w:rPr>
          <w:sz w:val="22"/>
          <w:szCs w:val="22"/>
          <w:lang w:eastAsia="lt-LT"/>
        </w:rPr>
        <w:t>TpŠL</w:t>
      </w:r>
      <w:proofErr w:type="spellEnd"/>
      <w:r w:rsidRPr="003F564F">
        <w:rPr>
          <w:sz w:val="22"/>
          <w:szCs w:val="22"/>
          <w:lang w:eastAsia="lt-LT"/>
        </w:rPr>
        <w:t xml:space="preserve">, buvo paskirtas </w:t>
      </w:r>
      <w:proofErr w:type="spellStart"/>
      <w:r w:rsidR="00A2055B">
        <w:rPr>
          <w:sz w:val="22"/>
          <w:szCs w:val="22"/>
          <w:lang w:eastAsia="lt-LT"/>
        </w:rPr>
        <w:t>ruksolitinibas</w:t>
      </w:r>
      <w:proofErr w:type="spellEnd"/>
      <w:r w:rsidR="00A2055B">
        <w:rPr>
          <w:sz w:val="22"/>
          <w:szCs w:val="22"/>
          <w:lang w:eastAsia="lt-LT"/>
        </w:rPr>
        <w:t xml:space="preserve"> </w:t>
      </w:r>
      <w:r w:rsidRPr="003F564F">
        <w:rPr>
          <w:sz w:val="22"/>
          <w:szCs w:val="22"/>
          <w:lang w:eastAsia="lt-LT"/>
        </w:rPr>
        <w:t xml:space="preserve">ir kortikosteroidai +/- KNI. Šio tyrimo tikslas buvo įvertinti </w:t>
      </w:r>
      <w:proofErr w:type="spellStart"/>
      <w:r w:rsidR="00A2055B">
        <w:rPr>
          <w:sz w:val="22"/>
          <w:szCs w:val="22"/>
          <w:lang w:eastAsia="lt-LT"/>
        </w:rPr>
        <w:t>ruksolitinibo</w:t>
      </w:r>
      <w:proofErr w:type="spellEnd"/>
      <w:r w:rsidR="00A2055B" w:rsidRPr="003F564F">
        <w:rPr>
          <w:sz w:val="22"/>
          <w:szCs w:val="22"/>
          <w:lang w:eastAsia="lt-LT"/>
        </w:rPr>
        <w:t xml:space="preserve"> </w:t>
      </w:r>
      <w:r w:rsidRPr="003F564F">
        <w:rPr>
          <w:sz w:val="22"/>
          <w:szCs w:val="22"/>
          <w:lang w:eastAsia="lt-LT"/>
        </w:rPr>
        <w:t>saugumą, veiksmingumą ir farmakokinetiką. Pacientai buvo įtraukiami į 4</w:t>
      </w:r>
      <w:r w:rsidR="00A2055B">
        <w:rPr>
          <w:sz w:val="22"/>
          <w:szCs w:val="22"/>
          <w:lang w:eastAsia="lt-LT"/>
        </w:rPr>
        <w:t> </w:t>
      </w:r>
      <w:r w:rsidRPr="003F564F">
        <w:rPr>
          <w:sz w:val="22"/>
          <w:szCs w:val="22"/>
          <w:lang w:eastAsia="lt-LT"/>
        </w:rPr>
        <w:t>grupes, atsižvelgiant į jų amžių (1</w:t>
      </w:r>
      <w:r w:rsidR="00A2055B">
        <w:rPr>
          <w:sz w:val="22"/>
          <w:szCs w:val="22"/>
          <w:lang w:eastAsia="lt-LT"/>
        </w:rPr>
        <w:noBreakHyphen/>
      </w:r>
      <w:r w:rsidRPr="003F564F">
        <w:rPr>
          <w:sz w:val="22"/>
          <w:szCs w:val="22"/>
          <w:lang w:eastAsia="lt-LT"/>
        </w:rPr>
        <w:t>oji [nuo ≥</w:t>
      </w:r>
      <w:r w:rsidR="00A2055B">
        <w:rPr>
          <w:sz w:val="22"/>
          <w:szCs w:val="22"/>
          <w:lang w:eastAsia="lt-LT"/>
        </w:rPr>
        <w:t> </w:t>
      </w:r>
      <w:r w:rsidRPr="003F564F">
        <w:rPr>
          <w:sz w:val="22"/>
          <w:szCs w:val="22"/>
          <w:lang w:eastAsia="lt-LT"/>
        </w:rPr>
        <w:t>12</w:t>
      </w:r>
      <w:r w:rsidR="00A2055B">
        <w:rPr>
          <w:sz w:val="22"/>
          <w:szCs w:val="22"/>
          <w:lang w:eastAsia="lt-LT"/>
        </w:rPr>
        <w:t> </w:t>
      </w:r>
      <w:r w:rsidRPr="003F564F">
        <w:rPr>
          <w:sz w:val="22"/>
          <w:szCs w:val="22"/>
          <w:lang w:eastAsia="lt-LT"/>
        </w:rPr>
        <w:t>metų iki &lt;</w:t>
      </w:r>
      <w:r w:rsidR="00A2055B">
        <w:rPr>
          <w:sz w:val="22"/>
          <w:szCs w:val="22"/>
          <w:lang w:eastAsia="lt-LT"/>
        </w:rPr>
        <w:t> </w:t>
      </w:r>
      <w:r w:rsidRPr="003F564F">
        <w:rPr>
          <w:sz w:val="22"/>
          <w:szCs w:val="22"/>
          <w:lang w:eastAsia="lt-LT"/>
        </w:rPr>
        <w:t>18</w:t>
      </w:r>
      <w:r w:rsidR="00A2055B">
        <w:rPr>
          <w:sz w:val="22"/>
          <w:szCs w:val="22"/>
          <w:lang w:eastAsia="lt-LT"/>
        </w:rPr>
        <w:t> </w:t>
      </w:r>
      <w:r w:rsidRPr="003F564F">
        <w:rPr>
          <w:sz w:val="22"/>
          <w:szCs w:val="22"/>
          <w:lang w:eastAsia="lt-LT"/>
        </w:rPr>
        <w:t>metų, N</w:t>
      </w:r>
      <w:r w:rsidR="00A2055B">
        <w:rPr>
          <w:sz w:val="22"/>
          <w:szCs w:val="22"/>
          <w:lang w:eastAsia="lt-LT"/>
        </w:rPr>
        <w:t> </w:t>
      </w:r>
      <w:r w:rsidRPr="003F564F">
        <w:rPr>
          <w:sz w:val="22"/>
          <w:szCs w:val="22"/>
          <w:lang w:eastAsia="lt-LT"/>
        </w:rPr>
        <w:t>=</w:t>
      </w:r>
      <w:r w:rsidR="00A2055B">
        <w:rPr>
          <w:sz w:val="22"/>
          <w:szCs w:val="22"/>
          <w:lang w:eastAsia="lt-LT"/>
        </w:rPr>
        <w:t> </w:t>
      </w:r>
      <w:r w:rsidRPr="003F564F">
        <w:rPr>
          <w:sz w:val="22"/>
          <w:szCs w:val="22"/>
          <w:lang w:eastAsia="lt-LT"/>
        </w:rPr>
        <w:t>18], 2</w:t>
      </w:r>
      <w:r w:rsidR="00A2055B">
        <w:rPr>
          <w:sz w:val="22"/>
          <w:szCs w:val="22"/>
          <w:lang w:eastAsia="lt-LT"/>
        </w:rPr>
        <w:noBreakHyphen/>
      </w:r>
      <w:r w:rsidRPr="003F564F">
        <w:rPr>
          <w:sz w:val="22"/>
          <w:szCs w:val="22"/>
          <w:lang w:eastAsia="lt-LT"/>
        </w:rPr>
        <w:t>oji [nuo ≥</w:t>
      </w:r>
      <w:r w:rsidR="00A2055B">
        <w:rPr>
          <w:sz w:val="22"/>
          <w:szCs w:val="22"/>
          <w:lang w:eastAsia="lt-LT"/>
        </w:rPr>
        <w:t> </w:t>
      </w:r>
      <w:r w:rsidRPr="003F564F">
        <w:rPr>
          <w:sz w:val="22"/>
          <w:szCs w:val="22"/>
          <w:lang w:eastAsia="lt-LT"/>
        </w:rPr>
        <w:t>6</w:t>
      </w:r>
      <w:r w:rsidR="00A2055B">
        <w:rPr>
          <w:sz w:val="22"/>
          <w:szCs w:val="22"/>
          <w:lang w:eastAsia="lt-LT"/>
        </w:rPr>
        <w:t> </w:t>
      </w:r>
      <w:r w:rsidRPr="003F564F">
        <w:rPr>
          <w:sz w:val="22"/>
          <w:szCs w:val="22"/>
          <w:lang w:eastAsia="lt-LT"/>
        </w:rPr>
        <w:t>metų iki &lt;</w:t>
      </w:r>
      <w:r w:rsidR="00A2055B">
        <w:rPr>
          <w:sz w:val="22"/>
          <w:szCs w:val="22"/>
          <w:lang w:eastAsia="lt-LT"/>
        </w:rPr>
        <w:t> </w:t>
      </w:r>
      <w:r w:rsidRPr="003F564F">
        <w:rPr>
          <w:sz w:val="22"/>
          <w:szCs w:val="22"/>
          <w:lang w:eastAsia="lt-LT"/>
        </w:rPr>
        <w:t>12</w:t>
      </w:r>
      <w:r w:rsidR="00A2055B">
        <w:rPr>
          <w:sz w:val="22"/>
          <w:szCs w:val="22"/>
          <w:lang w:eastAsia="lt-LT"/>
        </w:rPr>
        <w:t> </w:t>
      </w:r>
      <w:r w:rsidRPr="003F564F">
        <w:rPr>
          <w:sz w:val="22"/>
          <w:szCs w:val="22"/>
          <w:lang w:eastAsia="lt-LT"/>
        </w:rPr>
        <w:t>metų, N</w:t>
      </w:r>
      <w:r w:rsidR="00A2055B">
        <w:rPr>
          <w:sz w:val="22"/>
          <w:szCs w:val="22"/>
          <w:lang w:eastAsia="lt-LT"/>
        </w:rPr>
        <w:t> </w:t>
      </w:r>
      <w:r w:rsidRPr="003F564F">
        <w:rPr>
          <w:sz w:val="22"/>
          <w:szCs w:val="22"/>
          <w:lang w:eastAsia="lt-LT"/>
        </w:rPr>
        <w:t>=</w:t>
      </w:r>
      <w:r w:rsidR="00A2055B">
        <w:rPr>
          <w:sz w:val="22"/>
          <w:szCs w:val="22"/>
          <w:lang w:eastAsia="lt-LT"/>
        </w:rPr>
        <w:t> </w:t>
      </w:r>
      <w:r w:rsidRPr="003F564F">
        <w:rPr>
          <w:sz w:val="22"/>
          <w:szCs w:val="22"/>
          <w:lang w:eastAsia="lt-LT"/>
        </w:rPr>
        <w:t>12], 3</w:t>
      </w:r>
      <w:r w:rsidR="00A2055B">
        <w:rPr>
          <w:sz w:val="22"/>
          <w:szCs w:val="22"/>
          <w:lang w:eastAsia="lt-LT"/>
        </w:rPr>
        <w:noBreakHyphen/>
      </w:r>
      <w:r w:rsidRPr="003F564F">
        <w:rPr>
          <w:sz w:val="22"/>
          <w:szCs w:val="22"/>
          <w:lang w:eastAsia="lt-LT"/>
        </w:rPr>
        <w:t>ioji [nuo ≥</w:t>
      </w:r>
      <w:r w:rsidR="00A2055B">
        <w:rPr>
          <w:sz w:val="22"/>
          <w:szCs w:val="22"/>
          <w:lang w:eastAsia="lt-LT"/>
        </w:rPr>
        <w:t> </w:t>
      </w:r>
      <w:r w:rsidRPr="003F564F">
        <w:rPr>
          <w:sz w:val="22"/>
          <w:szCs w:val="22"/>
          <w:lang w:eastAsia="lt-LT"/>
        </w:rPr>
        <w:t>2</w:t>
      </w:r>
      <w:r w:rsidR="00A2055B">
        <w:rPr>
          <w:sz w:val="22"/>
          <w:szCs w:val="22"/>
          <w:lang w:eastAsia="lt-LT"/>
        </w:rPr>
        <w:t> </w:t>
      </w:r>
      <w:r w:rsidRPr="003F564F">
        <w:rPr>
          <w:sz w:val="22"/>
          <w:szCs w:val="22"/>
          <w:lang w:eastAsia="lt-LT"/>
        </w:rPr>
        <w:t>metų iki &lt;</w:t>
      </w:r>
      <w:r w:rsidR="00A2055B">
        <w:rPr>
          <w:sz w:val="22"/>
          <w:szCs w:val="22"/>
          <w:lang w:eastAsia="lt-LT"/>
        </w:rPr>
        <w:t> </w:t>
      </w:r>
      <w:r w:rsidRPr="003F564F">
        <w:rPr>
          <w:sz w:val="22"/>
          <w:szCs w:val="22"/>
          <w:lang w:eastAsia="lt-LT"/>
        </w:rPr>
        <w:t>6</w:t>
      </w:r>
      <w:r w:rsidR="00A2055B">
        <w:rPr>
          <w:sz w:val="22"/>
          <w:szCs w:val="22"/>
          <w:lang w:eastAsia="lt-LT"/>
        </w:rPr>
        <w:t> </w:t>
      </w:r>
      <w:r w:rsidRPr="003F564F">
        <w:rPr>
          <w:sz w:val="22"/>
          <w:szCs w:val="22"/>
          <w:lang w:eastAsia="lt-LT"/>
        </w:rPr>
        <w:t>metų, N</w:t>
      </w:r>
      <w:r w:rsidR="00A2055B">
        <w:rPr>
          <w:sz w:val="22"/>
          <w:szCs w:val="22"/>
          <w:lang w:eastAsia="lt-LT"/>
        </w:rPr>
        <w:t> </w:t>
      </w:r>
      <w:r w:rsidRPr="003F564F">
        <w:rPr>
          <w:sz w:val="22"/>
          <w:szCs w:val="22"/>
          <w:lang w:eastAsia="lt-LT"/>
        </w:rPr>
        <w:t>=</w:t>
      </w:r>
      <w:r w:rsidR="00A2055B">
        <w:rPr>
          <w:sz w:val="22"/>
          <w:szCs w:val="22"/>
          <w:lang w:eastAsia="lt-LT"/>
        </w:rPr>
        <w:t> </w:t>
      </w:r>
      <w:r w:rsidRPr="003F564F">
        <w:rPr>
          <w:sz w:val="22"/>
          <w:szCs w:val="22"/>
          <w:lang w:eastAsia="lt-LT"/>
        </w:rPr>
        <w:t>15] ir 4</w:t>
      </w:r>
      <w:r w:rsidR="00A2055B">
        <w:rPr>
          <w:sz w:val="22"/>
          <w:szCs w:val="22"/>
          <w:lang w:eastAsia="lt-LT"/>
        </w:rPr>
        <w:noBreakHyphen/>
      </w:r>
      <w:r w:rsidRPr="003F564F">
        <w:rPr>
          <w:sz w:val="22"/>
          <w:szCs w:val="22"/>
          <w:lang w:eastAsia="lt-LT"/>
        </w:rPr>
        <w:t>oji [nuo ≥</w:t>
      </w:r>
      <w:r w:rsidR="00A2055B">
        <w:rPr>
          <w:sz w:val="22"/>
          <w:szCs w:val="22"/>
          <w:lang w:eastAsia="lt-LT"/>
        </w:rPr>
        <w:t> </w:t>
      </w:r>
      <w:r w:rsidRPr="003F564F">
        <w:rPr>
          <w:sz w:val="22"/>
          <w:szCs w:val="22"/>
          <w:lang w:eastAsia="lt-LT"/>
        </w:rPr>
        <w:t>28</w:t>
      </w:r>
      <w:r w:rsidR="00A2055B">
        <w:rPr>
          <w:sz w:val="22"/>
          <w:szCs w:val="22"/>
          <w:lang w:eastAsia="lt-LT"/>
        </w:rPr>
        <w:t> </w:t>
      </w:r>
      <w:r w:rsidRPr="003F564F">
        <w:rPr>
          <w:sz w:val="22"/>
          <w:szCs w:val="22"/>
          <w:lang w:eastAsia="lt-LT"/>
        </w:rPr>
        <w:t>dienų iki &lt;</w:t>
      </w:r>
      <w:r w:rsidR="00A2055B">
        <w:rPr>
          <w:sz w:val="22"/>
          <w:szCs w:val="22"/>
          <w:lang w:eastAsia="lt-LT"/>
        </w:rPr>
        <w:t> </w:t>
      </w:r>
      <w:r w:rsidRPr="003F564F">
        <w:rPr>
          <w:sz w:val="22"/>
          <w:szCs w:val="22"/>
          <w:lang w:eastAsia="lt-LT"/>
        </w:rPr>
        <w:t>2</w:t>
      </w:r>
      <w:r w:rsidR="00A2055B">
        <w:rPr>
          <w:sz w:val="22"/>
          <w:szCs w:val="22"/>
          <w:lang w:eastAsia="lt-LT"/>
        </w:rPr>
        <w:t> </w:t>
      </w:r>
      <w:r w:rsidRPr="003F564F">
        <w:rPr>
          <w:sz w:val="22"/>
          <w:szCs w:val="22"/>
          <w:lang w:eastAsia="lt-LT"/>
        </w:rPr>
        <w:t>metų, N</w:t>
      </w:r>
      <w:r w:rsidR="00A2055B">
        <w:rPr>
          <w:sz w:val="22"/>
          <w:szCs w:val="22"/>
          <w:lang w:eastAsia="lt-LT"/>
        </w:rPr>
        <w:t> </w:t>
      </w:r>
      <w:r w:rsidRPr="003F564F">
        <w:rPr>
          <w:sz w:val="22"/>
          <w:szCs w:val="22"/>
          <w:lang w:eastAsia="lt-LT"/>
        </w:rPr>
        <w:t>=</w:t>
      </w:r>
      <w:r w:rsidR="00A2055B">
        <w:rPr>
          <w:sz w:val="22"/>
          <w:szCs w:val="22"/>
          <w:lang w:eastAsia="lt-LT"/>
        </w:rPr>
        <w:t> </w:t>
      </w:r>
      <w:r w:rsidRPr="003F564F">
        <w:rPr>
          <w:sz w:val="22"/>
          <w:szCs w:val="22"/>
          <w:lang w:eastAsia="lt-LT"/>
        </w:rPr>
        <w:t>0]). Tirtos vaistinio preparato dozės buvo skirtos po 10</w:t>
      </w:r>
      <w:r w:rsidR="009B465D">
        <w:rPr>
          <w:sz w:val="22"/>
          <w:szCs w:val="22"/>
          <w:lang w:eastAsia="lt-LT"/>
        </w:rPr>
        <w:t> </w:t>
      </w:r>
      <w:r w:rsidRPr="003F564F">
        <w:rPr>
          <w:sz w:val="22"/>
          <w:szCs w:val="22"/>
          <w:lang w:eastAsia="lt-LT"/>
        </w:rPr>
        <w:t>mg du kartus per parą 1</w:t>
      </w:r>
      <w:r w:rsidR="009B465D">
        <w:rPr>
          <w:sz w:val="22"/>
          <w:szCs w:val="22"/>
          <w:lang w:eastAsia="lt-LT"/>
        </w:rPr>
        <w:noBreakHyphen/>
      </w:r>
      <w:r w:rsidRPr="003F564F">
        <w:rPr>
          <w:sz w:val="22"/>
          <w:szCs w:val="22"/>
          <w:lang w:eastAsia="lt-LT"/>
        </w:rPr>
        <w:t>ajai grupei, 5</w:t>
      </w:r>
      <w:r w:rsidR="009B465D">
        <w:rPr>
          <w:sz w:val="22"/>
          <w:szCs w:val="22"/>
          <w:lang w:eastAsia="lt-LT"/>
        </w:rPr>
        <w:t> </w:t>
      </w:r>
      <w:r w:rsidRPr="003F564F">
        <w:rPr>
          <w:sz w:val="22"/>
          <w:szCs w:val="22"/>
          <w:lang w:eastAsia="lt-LT"/>
        </w:rPr>
        <w:t>mg du kartus per parą 2</w:t>
      </w:r>
      <w:r w:rsidR="009B465D">
        <w:rPr>
          <w:sz w:val="22"/>
          <w:szCs w:val="22"/>
          <w:lang w:eastAsia="lt-LT"/>
        </w:rPr>
        <w:noBreakHyphen/>
      </w:r>
      <w:r w:rsidRPr="003F564F">
        <w:rPr>
          <w:sz w:val="22"/>
          <w:szCs w:val="22"/>
          <w:lang w:eastAsia="lt-LT"/>
        </w:rPr>
        <w:t>ajai grupei ir 4</w:t>
      </w:r>
      <w:r w:rsidR="009B465D">
        <w:rPr>
          <w:sz w:val="22"/>
          <w:szCs w:val="22"/>
          <w:lang w:eastAsia="lt-LT"/>
        </w:rPr>
        <w:t> </w:t>
      </w:r>
      <w:r w:rsidRPr="003F564F">
        <w:rPr>
          <w:sz w:val="22"/>
          <w:szCs w:val="22"/>
          <w:lang w:eastAsia="lt-LT"/>
        </w:rPr>
        <w:t>mg/m</w:t>
      </w:r>
      <w:r w:rsidRPr="009B465D">
        <w:rPr>
          <w:sz w:val="22"/>
          <w:szCs w:val="22"/>
          <w:vertAlign w:val="superscript"/>
          <w:lang w:eastAsia="lt-LT"/>
        </w:rPr>
        <w:t>2</w:t>
      </w:r>
      <w:r w:rsidRPr="003F564F">
        <w:rPr>
          <w:sz w:val="22"/>
          <w:szCs w:val="22"/>
          <w:lang w:eastAsia="lt-LT"/>
        </w:rPr>
        <w:t xml:space="preserve"> du kartus per parą 3</w:t>
      </w:r>
      <w:r w:rsidR="009B465D">
        <w:rPr>
          <w:sz w:val="22"/>
          <w:szCs w:val="22"/>
          <w:lang w:eastAsia="lt-LT"/>
        </w:rPr>
        <w:noBreakHyphen/>
      </w:r>
      <w:r w:rsidRPr="003F564F">
        <w:rPr>
          <w:sz w:val="22"/>
          <w:szCs w:val="22"/>
          <w:lang w:eastAsia="lt-LT"/>
        </w:rPr>
        <w:t>ajai grupei, o pacientai buvo gydyti 24</w:t>
      </w:r>
      <w:r w:rsidR="009B465D">
        <w:rPr>
          <w:sz w:val="22"/>
          <w:szCs w:val="22"/>
          <w:lang w:eastAsia="lt-LT"/>
        </w:rPr>
        <w:t> </w:t>
      </w:r>
      <w:r w:rsidRPr="003F564F">
        <w:rPr>
          <w:sz w:val="22"/>
          <w:szCs w:val="22"/>
          <w:lang w:eastAsia="lt-LT"/>
        </w:rPr>
        <w:t>savaites arba iki gydymo nutraukimo. &lt;</w:t>
      </w:r>
      <w:r w:rsidR="009B465D">
        <w:rPr>
          <w:sz w:val="22"/>
          <w:szCs w:val="22"/>
          <w:lang w:eastAsia="lt-LT"/>
        </w:rPr>
        <w:t> </w:t>
      </w:r>
      <w:r w:rsidRPr="003F564F">
        <w:rPr>
          <w:sz w:val="22"/>
          <w:szCs w:val="22"/>
          <w:lang w:eastAsia="lt-LT"/>
        </w:rPr>
        <w:t>12</w:t>
      </w:r>
      <w:r w:rsidR="009B465D">
        <w:rPr>
          <w:sz w:val="22"/>
          <w:szCs w:val="22"/>
          <w:lang w:eastAsia="lt-LT"/>
        </w:rPr>
        <w:t> </w:t>
      </w:r>
      <w:r w:rsidRPr="003F564F">
        <w:rPr>
          <w:sz w:val="22"/>
          <w:szCs w:val="22"/>
          <w:lang w:eastAsia="lt-LT"/>
        </w:rPr>
        <w:t xml:space="preserve">metų vaikams </w:t>
      </w:r>
      <w:proofErr w:type="spellStart"/>
      <w:r w:rsidR="009B465D">
        <w:rPr>
          <w:sz w:val="22"/>
          <w:szCs w:val="22"/>
          <w:lang w:eastAsia="lt-LT"/>
        </w:rPr>
        <w:t>ruksolitinibas</w:t>
      </w:r>
      <w:proofErr w:type="spellEnd"/>
      <w:r w:rsidR="009B465D">
        <w:rPr>
          <w:sz w:val="22"/>
          <w:szCs w:val="22"/>
          <w:lang w:eastAsia="lt-LT"/>
        </w:rPr>
        <w:t xml:space="preserve"> </w:t>
      </w:r>
      <w:r w:rsidRPr="003F564F">
        <w:rPr>
          <w:sz w:val="22"/>
          <w:szCs w:val="22"/>
          <w:lang w:eastAsia="lt-LT"/>
        </w:rPr>
        <w:t>buvo skiriamas kaip 5</w:t>
      </w:r>
      <w:r w:rsidR="009B465D">
        <w:rPr>
          <w:sz w:val="22"/>
          <w:szCs w:val="22"/>
          <w:lang w:eastAsia="lt-LT"/>
        </w:rPr>
        <w:t> </w:t>
      </w:r>
      <w:r w:rsidRPr="003F564F">
        <w:rPr>
          <w:sz w:val="22"/>
          <w:szCs w:val="22"/>
          <w:lang w:eastAsia="lt-LT"/>
        </w:rPr>
        <w:t>mg tabletės arba kaip kapsulės /</w:t>
      </w:r>
      <w:r w:rsidR="00EB0B12" w:rsidRPr="003F564F">
        <w:rPr>
          <w:sz w:val="22"/>
          <w:szCs w:val="22"/>
          <w:lang w:eastAsia="lt-LT"/>
        </w:rPr>
        <w:t xml:space="preserve"> </w:t>
      </w:r>
      <w:r w:rsidRPr="003F564F">
        <w:rPr>
          <w:sz w:val="22"/>
          <w:szCs w:val="22"/>
          <w:lang w:eastAsia="lt-LT"/>
        </w:rPr>
        <w:t>geriamasis tirpalas.</w:t>
      </w:r>
    </w:p>
    <w:p w14:paraId="56F65F8A" w14:textId="77777777" w:rsidR="0036574D" w:rsidRPr="003F564F" w:rsidRDefault="0036574D" w:rsidP="0036574D">
      <w:pPr>
        <w:rPr>
          <w:sz w:val="22"/>
          <w:szCs w:val="22"/>
          <w:lang w:eastAsia="lt-LT"/>
        </w:rPr>
      </w:pPr>
    </w:p>
    <w:p w14:paraId="1BBE4776" w14:textId="64DD8DD9" w:rsidR="0036574D" w:rsidRPr="003F564F" w:rsidRDefault="0036574D" w:rsidP="0036574D">
      <w:pPr>
        <w:rPr>
          <w:sz w:val="22"/>
          <w:szCs w:val="22"/>
          <w:lang w:eastAsia="lt-LT"/>
        </w:rPr>
      </w:pPr>
      <w:r w:rsidRPr="003F564F">
        <w:rPr>
          <w:sz w:val="22"/>
          <w:szCs w:val="22"/>
          <w:lang w:eastAsia="lt-LT"/>
        </w:rPr>
        <w:t xml:space="preserve">Į tyrimą buvo įtraukiami pacientai, kuriems buvo nustatyta kortikosteroidams atspari liga arba kurie anksčiau nebuvo gydyti. Atsparumas kortikosteroidams buvo nustatomas pagal gydymo įstaigos kriterijus arba gydytojo sprendimu, jeigu gydymo įstaigoje nebuvo nustatyta šių kriterijų, o pacientams iki įtraukimo į tyrimą be kortikosteroidų galėjo būti skirtas ne daugiau kaip vienas papildomas sisteminio poveikio ūminės </w:t>
      </w:r>
      <w:proofErr w:type="spellStart"/>
      <w:r w:rsidRPr="003F564F">
        <w:rPr>
          <w:sz w:val="22"/>
          <w:szCs w:val="22"/>
          <w:lang w:eastAsia="lt-LT"/>
        </w:rPr>
        <w:t>TpŠL</w:t>
      </w:r>
      <w:proofErr w:type="spellEnd"/>
      <w:r w:rsidRPr="003F564F">
        <w:rPr>
          <w:sz w:val="22"/>
          <w:szCs w:val="22"/>
          <w:lang w:eastAsia="lt-LT"/>
        </w:rPr>
        <w:t xml:space="preserve"> gydymo būdas. Pacientai buvo laikomi anksčiau negydytais tuomet, kai jiems anksčiau nebuvo skirtas joks sisteminio poveikio ūminės </w:t>
      </w:r>
      <w:proofErr w:type="spellStart"/>
      <w:r w:rsidRPr="003F564F">
        <w:rPr>
          <w:sz w:val="22"/>
          <w:szCs w:val="22"/>
          <w:lang w:eastAsia="lt-LT"/>
        </w:rPr>
        <w:t>TpŠL</w:t>
      </w:r>
      <w:proofErr w:type="spellEnd"/>
      <w:r w:rsidRPr="003F564F">
        <w:rPr>
          <w:sz w:val="22"/>
          <w:szCs w:val="22"/>
          <w:lang w:eastAsia="lt-LT"/>
        </w:rPr>
        <w:t xml:space="preserve"> gydymo būdas (išskyrus daugiausia 72</w:t>
      </w:r>
      <w:r w:rsidR="009B465D">
        <w:rPr>
          <w:sz w:val="22"/>
          <w:szCs w:val="22"/>
          <w:lang w:eastAsia="lt-LT"/>
        </w:rPr>
        <w:t> </w:t>
      </w:r>
      <w:r w:rsidRPr="003F564F">
        <w:rPr>
          <w:sz w:val="22"/>
          <w:szCs w:val="22"/>
          <w:lang w:eastAsia="lt-LT"/>
        </w:rPr>
        <w:t xml:space="preserve">valandų trukmės ankstesnį gydymą sisteminio poveikio </w:t>
      </w:r>
      <w:proofErr w:type="spellStart"/>
      <w:r w:rsidRPr="003F564F">
        <w:rPr>
          <w:sz w:val="22"/>
          <w:szCs w:val="22"/>
          <w:lang w:eastAsia="lt-LT"/>
        </w:rPr>
        <w:t>metilprednizolonu</w:t>
      </w:r>
      <w:proofErr w:type="spellEnd"/>
      <w:r w:rsidRPr="003F564F">
        <w:rPr>
          <w:sz w:val="22"/>
          <w:szCs w:val="22"/>
          <w:lang w:eastAsia="lt-LT"/>
        </w:rPr>
        <w:t xml:space="preserve"> arba ekvivalentišku kortikosteroidu po ūminės </w:t>
      </w:r>
      <w:proofErr w:type="spellStart"/>
      <w:r w:rsidRPr="003F564F">
        <w:rPr>
          <w:sz w:val="22"/>
          <w:szCs w:val="22"/>
          <w:lang w:eastAsia="lt-LT"/>
        </w:rPr>
        <w:t>TpŠL</w:t>
      </w:r>
      <w:proofErr w:type="spellEnd"/>
      <w:r w:rsidRPr="003F564F">
        <w:rPr>
          <w:sz w:val="22"/>
          <w:szCs w:val="22"/>
          <w:lang w:eastAsia="lt-LT"/>
        </w:rPr>
        <w:t xml:space="preserve"> nustatymo). Kartu su </w:t>
      </w:r>
      <w:proofErr w:type="spellStart"/>
      <w:r w:rsidR="009B465D">
        <w:rPr>
          <w:sz w:val="22"/>
          <w:szCs w:val="22"/>
          <w:lang w:eastAsia="lt-LT"/>
        </w:rPr>
        <w:t>ruksolitinibu</w:t>
      </w:r>
      <w:proofErr w:type="spellEnd"/>
      <w:r w:rsidRPr="003F564F">
        <w:rPr>
          <w:sz w:val="22"/>
          <w:szCs w:val="22"/>
          <w:lang w:eastAsia="lt-LT"/>
        </w:rPr>
        <w:t xml:space="preserve"> pacientams buvo skiriamas gydymas sisteminio poveikio kortikosteroidu ir (arba) KNI (</w:t>
      </w:r>
      <w:proofErr w:type="spellStart"/>
      <w:r w:rsidRPr="003F564F">
        <w:rPr>
          <w:sz w:val="22"/>
          <w:szCs w:val="22"/>
          <w:lang w:eastAsia="lt-LT"/>
        </w:rPr>
        <w:t>ciklosporinu</w:t>
      </w:r>
      <w:proofErr w:type="spellEnd"/>
      <w:r w:rsidRPr="003F564F">
        <w:rPr>
          <w:sz w:val="22"/>
          <w:szCs w:val="22"/>
          <w:lang w:eastAsia="lt-LT"/>
        </w:rPr>
        <w:t xml:space="preserve"> ar </w:t>
      </w:r>
      <w:proofErr w:type="spellStart"/>
      <w:r w:rsidRPr="003F564F">
        <w:rPr>
          <w:sz w:val="22"/>
          <w:szCs w:val="22"/>
          <w:lang w:eastAsia="lt-LT"/>
        </w:rPr>
        <w:t>takrolimuzu</w:t>
      </w:r>
      <w:proofErr w:type="spellEnd"/>
      <w:r w:rsidRPr="003F564F">
        <w:rPr>
          <w:sz w:val="22"/>
          <w:szCs w:val="22"/>
          <w:lang w:eastAsia="lt-LT"/>
        </w:rPr>
        <w:t>), o taip pat buvo leidžiamas gydymas vietinio poveikio kortikosteroidais laikantis gydymo įstaigos rekomendacijų. REACH4 tyrimo metu 40</w:t>
      </w:r>
      <w:r w:rsidR="009B465D">
        <w:rPr>
          <w:sz w:val="22"/>
          <w:szCs w:val="22"/>
          <w:lang w:eastAsia="lt-LT"/>
        </w:rPr>
        <w:t> </w:t>
      </w:r>
      <w:r w:rsidRPr="003F564F">
        <w:rPr>
          <w:sz w:val="22"/>
          <w:szCs w:val="22"/>
          <w:lang w:eastAsia="lt-LT"/>
        </w:rPr>
        <w:t>pacientų (88,9</w:t>
      </w:r>
      <w:r w:rsidR="009B465D">
        <w:rPr>
          <w:sz w:val="22"/>
          <w:szCs w:val="22"/>
          <w:lang w:eastAsia="lt-LT"/>
        </w:rPr>
        <w:t> </w:t>
      </w:r>
      <w:r w:rsidRPr="003F564F">
        <w:rPr>
          <w:sz w:val="22"/>
          <w:szCs w:val="22"/>
          <w:lang w:eastAsia="lt-LT"/>
        </w:rPr>
        <w:t xml:space="preserve">%) kartu buvo skirtas gydymas KNI. Pacientams taip pat galėjo būti taikoma įprastinė alogeninė kamieninių ląstelių transplantacija, skiriamas palaikomasis gydymas, įskaitant vaistinius preparatus infekcijoms gydyti ir kraujo komponentų transfuzijas. </w:t>
      </w:r>
      <w:proofErr w:type="spellStart"/>
      <w:r w:rsidR="009B465D">
        <w:rPr>
          <w:sz w:val="22"/>
          <w:szCs w:val="22"/>
          <w:lang w:eastAsia="lt-LT"/>
        </w:rPr>
        <w:t>Ruksolitinibo</w:t>
      </w:r>
      <w:proofErr w:type="spellEnd"/>
      <w:r w:rsidR="009B465D" w:rsidRPr="003F564F">
        <w:rPr>
          <w:sz w:val="22"/>
          <w:szCs w:val="22"/>
          <w:lang w:eastAsia="lt-LT"/>
        </w:rPr>
        <w:t xml:space="preserve"> </w:t>
      </w:r>
      <w:r w:rsidRPr="003F564F">
        <w:rPr>
          <w:sz w:val="22"/>
          <w:szCs w:val="22"/>
          <w:lang w:eastAsia="lt-LT"/>
        </w:rPr>
        <w:t>skyrimas buvo nutraukiamas, jeigu 28</w:t>
      </w:r>
      <w:r w:rsidR="009B465D">
        <w:rPr>
          <w:sz w:val="22"/>
          <w:szCs w:val="22"/>
          <w:lang w:eastAsia="lt-LT"/>
        </w:rPr>
        <w:noBreakHyphen/>
      </w:r>
      <w:r w:rsidRPr="003F564F">
        <w:rPr>
          <w:sz w:val="22"/>
          <w:szCs w:val="22"/>
          <w:lang w:eastAsia="lt-LT"/>
        </w:rPr>
        <w:t xml:space="preserve">ąją dieną nebuvo nustatoma atsako į ūminės </w:t>
      </w:r>
      <w:proofErr w:type="spellStart"/>
      <w:r w:rsidRPr="003F564F">
        <w:rPr>
          <w:sz w:val="22"/>
          <w:szCs w:val="22"/>
          <w:lang w:eastAsia="lt-LT"/>
        </w:rPr>
        <w:t>TpŠL</w:t>
      </w:r>
      <w:proofErr w:type="spellEnd"/>
      <w:r w:rsidRPr="003F564F">
        <w:rPr>
          <w:sz w:val="22"/>
          <w:szCs w:val="22"/>
          <w:lang w:eastAsia="lt-LT"/>
        </w:rPr>
        <w:t xml:space="preserve"> gydymą.</w:t>
      </w:r>
    </w:p>
    <w:p w14:paraId="33525CB6" w14:textId="77777777" w:rsidR="0036574D" w:rsidRPr="003F564F" w:rsidRDefault="0036574D" w:rsidP="0036574D">
      <w:pPr>
        <w:rPr>
          <w:sz w:val="22"/>
          <w:szCs w:val="22"/>
          <w:lang w:eastAsia="lt-LT"/>
        </w:rPr>
      </w:pPr>
    </w:p>
    <w:p w14:paraId="0E71C966" w14:textId="654B17A7" w:rsidR="0036574D" w:rsidRPr="003F564F" w:rsidRDefault="0036574D" w:rsidP="0036574D">
      <w:pPr>
        <w:rPr>
          <w:sz w:val="22"/>
          <w:szCs w:val="22"/>
          <w:lang w:eastAsia="lt-LT"/>
        </w:rPr>
      </w:pPr>
      <w:r w:rsidRPr="003F564F">
        <w:rPr>
          <w:sz w:val="22"/>
          <w:szCs w:val="22"/>
          <w:lang w:eastAsia="lt-LT"/>
        </w:rPr>
        <w:t>Po 56</w:t>
      </w:r>
      <w:r w:rsidR="009B465D">
        <w:rPr>
          <w:sz w:val="22"/>
          <w:szCs w:val="22"/>
          <w:lang w:eastAsia="lt-LT"/>
        </w:rPr>
        <w:noBreakHyphen/>
      </w:r>
      <w:r w:rsidRPr="003F564F">
        <w:rPr>
          <w:sz w:val="22"/>
          <w:szCs w:val="22"/>
          <w:lang w:eastAsia="lt-LT"/>
        </w:rPr>
        <w:t xml:space="preserve">osios dienos vizito </w:t>
      </w:r>
      <w:proofErr w:type="spellStart"/>
      <w:r w:rsidR="009B465D">
        <w:rPr>
          <w:sz w:val="22"/>
          <w:szCs w:val="22"/>
          <w:lang w:eastAsia="lt-LT"/>
        </w:rPr>
        <w:t>ruksolitinibo</w:t>
      </w:r>
      <w:proofErr w:type="spellEnd"/>
      <w:r w:rsidR="009B465D" w:rsidRPr="003F564F">
        <w:rPr>
          <w:sz w:val="22"/>
          <w:szCs w:val="22"/>
          <w:lang w:eastAsia="lt-LT"/>
        </w:rPr>
        <w:t xml:space="preserve"> </w:t>
      </w:r>
      <w:r w:rsidRPr="003F564F">
        <w:rPr>
          <w:sz w:val="22"/>
          <w:szCs w:val="22"/>
          <w:lang w:eastAsia="lt-LT"/>
        </w:rPr>
        <w:t>dozę buvo leidžiama laipsniškai mažinti ir jo vartojimą nutraukti.</w:t>
      </w:r>
    </w:p>
    <w:p w14:paraId="212D75A9" w14:textId="77777777" w:rsidR="0036574D" w:rsidRPr="003F564F" w:rsidRDefault="0036574D" w:rsidP="0036574D">
      <w:pPr>
        <w:rPr>
          <w:sz w:val="22"/>
          <w:szCs w:val="22"/>
          <w:lang w:eastAsia="lt-LT"/>
        </w:rPr>
      </w:pPr>
    </w:p>
    <w:p w14:paraId="4BA7F78A" w14:textId="03909D57" w:rsidR="0036574D" w:rsidRPr="003F564F" w:rsidRDefault="0036574D" w:rsidP="0036574D">
      <w:pPr>
        <w:rPr>
          <w:sz w:val="22"/>
          <w:szCs w:val="22"/>
          <w:lang w:eastAsia="lt-LT"/>
        </w:rPr>
      </w:pPr>
      <w:r w:rsidRPr="003F564F">
        <w:rPr>
          <w:sz w:val="22"/>
          <w:szCs w:val="22"/>
          <w:lang w:eastAsia="lt-LT"/>
        </w:rPr>
        <w:t>Vyriškosios ir moteriškosios lyties pacientai sudarė atitinkamai 62,2</w:t>
      </w:r>
      <w:r w:rsidR="009B465D">
        <w:rPr>
          <w:sz w:val="22"/>
          <w:szCs w:val="22"/>
          <w:lang w:eastAsia="lt-LT"/>
        </w:rPr>
        <w:t> </w:t>
      </w:r>
      <w:r w:rsidRPr="003F564F">
        <w:rPr>
          <w:sz w:val="22"/>
          <w:szCs w:val="22"/>
          <w:lang w:eastAsia="lt-LT"/>
        </w:rPr>
        <w:t>% (n</w:t>
      </w:r>
      <w:r w:rsidR="009B465D">
        <w:rPr>
          <w:sz w:val="22"/>
          <w:szCs w:val="22"/>
          <w:lang w:eastAsia="lt-LT"/>
        </w:rPr>
        <w:t> </w:t>
      </w:r>
      <w:r w:rsidRPr="003F564F">
        <w:rPr>
          <w:sz w:val="22"/>
          <w:szCs w:val="22"/>
          <w:lang w:eastAsia="lt-LT"/>
        </w:rPr>
        <w:t>=</w:t>
      </w:r>
      <w:r w:rsidR="009B465D">
        <w:rPr>
          <w:sz w:val="22"/>
          <w:szCs w:val="22"/>
          <w:lang w:eastAsia="lt-LT"/>
        </w:rPr>
        <w:t> </w:t>
      </w:r>
      <w:r w:rsidRPr="003F564F">
        <w:rPr>
          <w:sz w:val="22"/>
          <w:szCs w:val="22"/>
          <w:lang w:eastAsia="lt-LT"/>
        </w:rPr>
        <w:t>28) ir 37,8</w:t>
      </w:r>
      <w:r w:rsidR="009B465D">
        <w:rPr>
          <w:sz w:val="22"/>
          <w:szCs w:val="22"/>
          <w:lang w:eastAsia="lt-LT"/>
        </w:rPr>
        <w:t> </w:t>
      </w:r>
      <w:r w:rsidRPr="003F564F">
        <w:rPr>
          <w:sz w:val="22"/>
          <w:szCs w:val="22"/>
          <w:lang w:eastAsia="lt-LT"/>
        </w:rPr>
        <w:t>% (n</w:t>
      </w:r>
      <w:r w:rsidR="009B465D">
        <w:rPr>
          <w:sz w:val="22"/>
          <w:szCs w:val="22"/>
          <w:lang w:eastAsia="lt-LT"/>
        </w:rPr>
        <w:t> </w:t>
      </w:r>
      <w:r w:rsidRPr="003F564F">
        <w:rPr>
          <w:sz w:val="22"/>
          <w:szCs w:val="22"/>
          <w:lang w:eastAsia="lt-LT"/>
        </w:rPr>
        <w:t>=</w:t>
      </w:r>
      <w:r w:rsidR="009B465D">
        <w:rPr>
          <w:sz w:val="22"/>
          <w:szCs w:val="22"/>
          <w:lang w:eastAsia="lt-LT"/>
        </w:rPr>
        <w:t> </w:t>
      </w:r>
      <w:r w:rsidRPr="003F564F">
        <w:rPr>
          <w:sz w:val="22"/>
          <w:szCs w:val="22"/>
          <w:lang w:eastAsia="lt-LT"/>
        </w:rPr>
        <w:t>17) visų pacientų. Iš viso 27</w:t>
      </w:r>
      <w:r w:rsidR="009B465D">
        <w:rPr>
          <w:sz w:val="22"/>
          <w:szCs w:val="22"/>
          <w:lang w:eastAsia="lt-LT"/>
        </w:rPr>
        <w:t> </w:t>
      </w:r>
      <w:r w:rsidRPr="003F564F">
        <w:rPr>
          <w:sz w:val="22"/>
          <w:szCs w:val="22"/>
          <w:lang w:eastAsia="lt-LT"/>
        </w:rPr>
        <w:t>pacientams (60,0</w:t>
      </w:r>
      <w:r w:rsidR="009B465D">
        <w:rPr>
          <w:sz w:val="22"/>
          <w:szCs w:val="22"/>
          <w:lang w:eastAsia="lt-LT"/>
        </w:rPr>
        <w:t> </w:t>
      </w:r>
      <w:r w:rsidRPr="003F564F">
        <w:rPr>
          <w:sz w:val="22"/>
          <w:szCs w:val="22"/>
          <w:lang w:eastAsia="lt-LT"/>
        </w:rPr>
        <w:t>%) buvo nustatyta piktybinė gretutinė liga, dažniausia</w:t>
      </w:r>
      <w:r w:rsidR="00EB0B12" w:rsidRPr="003F564F">
        <w:rPr>
          <w:sz w:val="22"/>
          <w:szCs w:val="22"/>
          <w:lang w:eastAsia="lt-LT"/>
        </w:rPr>
        <w:t xml:space="preserve"> </w:t>
      </w:r>
      <w:r w:rsidRPr="003F564F">
        <w:rPr>
          <w:sz w:val="22"/>
          <w:szCs w:val="22"/>
          <w:lang w:eastAsia="lt-LT"/>
        </w:rPr>
        <w:t>leukemija (26</w:t>
      </w:r>
      <w:r w:rsidR="009B465D">
        <w:rPr>
          <w:sz w:val="22"/>
          <w:szCs w:val="22"/>
          <w:lang w:eastAsia="lt-LT"/>
        </w:rPr>
        <w:t> </w:t>
      </w:r>
      <w:r w:rsidRPr="003F564F">
        <w:rPr>
          <w:sz w:val="22"/>
          <w:szCs w:val="22"/>
          <w:lang w:eastAsia="lt-LT"/>
        </w:rPr>
        <w:t>pacientams, 57,8</w:t>
      </w:r>
      <w:r w:rsidR="009B465D">
        <w:rPr>
          <w:sz w:val="22"/>
          <w:szCs w:val="22"/>
          <w:lang w:eastAsia="lt-LT"/>
        </w:rPr>
        <w:t> </w:t>
      </w:r>
      <w:r w:rsidRPr="003F564F">
        <w:rPr>
          <w:sz w:val="22"/>
          <w:szCs w:val="22"/>
          <w:lang w:eastAsia="lt-LT"/>
        </w:rPr>
        <w:t>%). Tarp 45</w:t>
      </w:r>
      <w:r w:rsidR="009B465D">
        <w:rPr>
          <w:sz w:val="22"/>
          <w:szCs w:val="22"/>
          <w:lang w:eastAsia="lt-LT"/>
        </w:rPr>
        <w:t> </w:t>
      </w:r>
      <w:r w:rsidRPr="003F564F">
        <w:rPr>
          <w:sz w:val="22"/>
          <w:szCs w:val="22"/>
          <w:lang w:eastAsia="lt-LT"/>
        </w:rPr>
        <w:t>vaikų, kurie buvo įtraukti į REACH4 tyrimą, 13</w:t>
      </w:r>
      <w:r w:rsidR="009B465D">
        <w:rPr>
          <w:sz w:val="22"/>
          <w:szCs w:val="22"/>
          <w:lang w:eastAsia="lt-LT"/>
        </w:rPr>
        <w:t> </w:t>
      </w:r>
      <w:r w:rsidRPr="003F564F">
        <w:rPr>
          <w:sz w:val="22"/>
          <w:szCs w:val="22"/>
          <w:lang w:eastAsia="lt-LT"/>
        </w:rPr>
        <w:t>pacientų</w:t>
      </w:r>
      <w:r w:rsidR="00EB0B12" w:rsidRPr="003F564F">
        <w:rPr>
          <w:sz w:val="22"/>
          <w:szCs w:val="22"/>
          <w:lang w:eastAsia="lt-LT"/>
        </w:rPr>
        <w:t xml:space="preserve"> </w:t>
      </w:r>
      <w:r w:rsidRPr="003F564F">
        <w:rPr>
          <w:sz w:val="22"/>
          <w:szCs w:val="22"/>
          <w:lang w:eastAsia="lt-LT"/>
        </w:rPr>
        <w:t>(28,9</w:t>
      </w:r>
      <w:r w:rsidR="009B465D">
        <w:rPr>
          <w:sz w:val="22"/>
          <w:szCs w:val="22"/>
          <w:lang w:eastAsia="lt-LT"/>
        </w:rPr>
        <w:t> </w:t>
      </w:r>
      <w:r w:rsidRPr="003F564F">
        <w:rPr>
          <w:sz w:val="22"/>
          <w:szCs w:val="22"/>
          <w:lang w:eastAsia="lt-LT"/>
        </w:rPr>
        <w:t xml:space="preserve">%) buvo nustatyta anksčiau negydyta ūminė </w:t>
      </w:r>
      <w:proofErr w:type="spellStart"/>
      <w:r w:rsidRPr="003F564F">
        <w:rPr>
          <w:sz w:val="22"/>
          <w:szCs w:val="22"/>
          <w:lang w:eastAsia="lt-LT"/>
        </w:rPr>
        <w:t>TpŠL</w:t>
      </w:r>
      <w:proofErr w:type="spellEnd"/>
      <w:r w:rsidRPr="003F564F">
        <w:rPr>
          <w:sz w:val="22"/>
          <w:szCs w:val="22"/>
          <w:lang w:eastAsia="lt-LT"/>
        </w:rPr>
        <w:t>, o 32</w:t>
      </w:r>
      <w:r w:rsidR="009B465D">
        <w:rPr>
          <w:sz w:val="22"/>
          <w:szCs w:val="22"/>
          <w:lang w:eastAsia="lt-LT"/>
        </w:rPr>
        <w:t> </w:t>
      </w:r>
      <w:r w:rsidRPr="003F564F">
        <w:rPr>
          <w:sz w:val="22"/>
          <w:szCs w:val="22"/>
          <w:lang w:eastAsia="lt-LT"/>
        </w:rPr>
        <w:t>pacientams (71,1</w:t>
      </w:r>
      <w:r w:rsidR="009B465D">
        <w:rPr>
          <w:sz w:val="22"/>
          <w:szCs w:val="22"/>
          <w:lang w:eastAsia="lt-LT"/>
        </w:rPr>
        <w:t> </w:t>
      </w:r>
      <w:r w:rsidRPr="003F564F">
        <w:rPr>
          <w:sz w:val="22"/>
          <w:szCs w:val="22"/>
          <w:lang w:eastAsia="lt-LT"/>
        </w:rPr>
        <w:t xml:space="preserve">%) buvo nustatyta kortikosteroidams atspari ūminė </w:t>
      </w:r>
      <w:proofErr w:type="spellStart"/>
      <w:r w:rsidRPr="003F564F">
        <w:rPr>
          <w:sz w:val="22"/>
          <w:szCs w:val="22"/>
          <w:lang w:eastAsia="lt-LT"/>
        </w:rPr>
        <w:t>TpŠL</w:t>
      </w:r>
      <w:proofErr w:type="spellEnd"/>
      <w:r w:rsidRPr="003F564F">
        <w:rPr>
          <w:sz w:val="22"/>
          <w:szCs w:val="22"/>
          <w:lang w:eastAsia="lt-LT"/>
        </w:rPr>
        <w:t>. Tyrimo pradžioje 64,4</w:t>
      </w:r>
      <w:r w:rsidR="009B465D">
        <w:rPr>
          <w:sz w:val="22"/>
          <w:szCs w:val="22"/>
          <w:lang w:eastAsia="lt-LT"/>
        </w:rPr>
        <w:t> </w:t>
      </w:r>
      <w:r w:rsidRPr="003F564F">
        <w:rPr>
          <w:sz w:val="22"/>
          <w:szCs w:val="22"/>
          <w:lang w:eastAsia="lt-LT"/>
        </w:rPr>
        <w:t>% pacientų nustatyta II</w:t>
      </w:r>
      <w:r w:rsidR="009B465D">
        <w:rPr>
          <w:sz w:val="22"/>
          <w:szCs w:val="22"/>
          <w:lang w:eastAsia="lt-LT"/>
        </w:rPr>
        <w:t> </w:t>
      </w:r>
      <w:r w:rsidRPr="003F564F">
        <w:rPr>
          <w:sz w:val="22"/>
          <w:szCs w:val="22"/>
          <w:lang w:eastAsia="lt-LT"/>
        </w:rPr>
        <w:t>laipsnio, 26,7</w:t>
      </w:r>
      <w:r w:rsidR="009B465D">
        <w:rPr>
          <w:sz w:val="22"/>
          <w:szCs w:val="22"/>
          <w:lang w:eastAsia="lt-LT"/>
        </w:rPr>
        <w:t> </w:t>
      </w:r>
      <w:r w:rsidRPr="003F564F">
        <w:rPr>
          <w:sz w:val="22"/>
          <w:szCs w:val="22"/>
          <w:lang w:eastAsia="lt-LT"/>
        </w:rPr>
        <w:t>%</w:t>
      </w:r>
      <w:r w:rsidR="00EB0B12" w:rsidRPr="003F564F">
        <w:rPr>
          <w:sz w:val="22"/>
          <w:szCs w:val="22"/>
          <w:lang w:eastAsia="lt-LT"/>
        </w:rPr>
        <w:t xml:space="preserve"> </w:t>
      </w:r>
      <w:r w:rsidRPr="003F564F">
        <w:rPr>
          <w:sz w:val="22"/>
          <w:szCs w:val="22"/>
          <w:lang w:eastAsia="lt-LT"/>
        </w:rPr>
        <w:t>pacientų – III</w:t>
      </w:r>
      <w:r w:rsidR="009B465D">
        <w:rPr>
          <w:sz w:val="22"/>
          <w:szCs w:val="22"/>
          <w:lang w:eastAsia="lt-LT"/>
        </w:rPr>
        <w:t> </w:t>
      </w:r>
      <w:r w:rsidRPr="003F564F">
        <w:rPr>
          <w:sz w:val="22"/>
          <w:szCs w:val="22"/>
          <w:lang w:eastAsia="lt-LT"/>
        </w:rPr>
        <w:t>laipsnio, o 8,9</w:t>
      </w:r>
      <w:r w:rsidR="009B465D">
        <w:rPr>
          <w:sz w:val="22"/>
          <w:szCs w:val="22"/>
          <w:lang w:eastAsia="lt-LT"/>
        </w:rPr>
        <w:t> </w:t>
      </w:r>
      <w:r w:rsidRPr="003F564F">
        <w:rPr>
          <w:sz w:val="22"/>
          <w:szCs w:val="22"/>
          <w:lang w:eastAsia="lt-LT"/>
        </w:rPr>
        <w:t>% pacientų – IV</w:t>
      </w:r>
      <w:r w:rsidR="009B465D">
        <w:rPr>
          <w:sz w:val="22"/>
          <w:szCs w:val="22"/>
          <w:lang w:eastAsia="lt-LT"/>
        </w:rPr>
        <w:t> </w:t>
      </w:r>
      <w:r w:rsidRPr="003F564F">
        <w:rPr>
          <w:sz w:val="22"/>
          <w:szCs w:val="22"/>
          <w:lang w:eastAsia="lt-LT"/>
        </w:rPr>
        <w:t xml:space="preserve">laipsnio ūminė </w:t>
      </w:r>
      <w:proofErr w:type="spellStart"/>
      <w:r w:rsidRPr="003F564F">
        <w:rPr>
          <w:sz w:val="22"/>
          <w:szCs w:val="22"/>
          <w:lang w:eastAsia="lt-LT"/>
        </w:rPr>
        <w:t>TpŠL</w:t>
      </w:r>
      <w:proofErr w:type="spellEnd"/>
      <w:r w:rsidRPr="003F564F">
        <w:rPr>
          <w:sz w:val="22"/>
          <w:szCs w:val="22"/>
          <w:lang w:eastAsia="lt-LT"/>
        </w:rPr>
        <w:t>.</w:t>
      </w:r>
    </w:p>
    <w:p w14:paraId="0721C317" w14:textId="77777777" w:rsidR="0036574D" w:rsidRPr="003F564F" w:rsidRDefault="0036574D" w:rsidP="0036574D">
      <w:pPr>
        <w:rPr>
          <w:sz w:val="22"/>
          <w:szCs w:val="22"/>
          <w:lang w:eastAsia="lt-LT"/>
        </w:rPr>
      </w:pPr>
    </w:p>
    <w:p w14:paraId="6E1EFFE6" w14:textId="2CA5751B" w:rsidR="0036574D" w:rsidRPr="003F564F" w:rsidRDefault="0036574D" w:rsidP="0036574D">
      <w:pPr>
        <w:rPr>
          <w:sz w:val="22"/>
          <w:szCs w:val="22"/>
          <w:lang w:eastAsia="lt-LT"/>
        </w:rPr>
      </w:pPr>
      <w:r w:rsidRPr="003F564F">
        <w:rPr>
          <w:sz w:val="22"/>
          <w:szCs w:val="22"/>
          <w:lang w:eastAsia="lt-LT"/>
        </w:rPr>
        <w:t>REACH4 tyrimo duomenimis, bendrasis atsako dažnis (BAD) 28</w:t>
      </w:r>
      <w:r w:rsidR="009B465D">
        <w:rPr>
          <w:sz w:val="22"/>
          <w:szCs w:val="22"/>
          <w:lang w:eastAsia="lt-LT"/>
        </w:rPr>
        <w:noBreakHyphen/>
      </w:r>
      <w:r w:rsidRPr="003F564F">
        <w:rPr>
          <w:sz w:val="22"/>
          <w:szCs w:val="22"/>
          <w:lang w:eastAsia="lt-LT"/>
        </w:rPr>
        <w:t>ąją dieną (pagrindinė veiksmingumo vertinamoji baigtis) buvo 84,4</w:t>
      </w:r>
      <w:r w:rsidR="009B465D">
        <w:rPr>
          <w:sz w:val="22"/>
          <w:szCs w:val="22"/>
          <w:lang w:eastAsia="lt-LT"/>
        </w:rPr>
        <w:t> </w:t>
      </w:r>
      <w:r w:rsidRPr="003F564F">
        <w:rPr>
          <w:sz w:val="22"/>
          <w:szCs w:val="22"/>
          <w:lang w:eastAsia="lt-LT"/>
        </w:rPr>
        <w:t>% (90</w:t>
      </w:r>
      <w:r w:rsidR="009B465D">
        <w:rPr>
          <w:sz w:val="22"/>
          <w:szCs w:val="22"/>
          <w:lang w:eastAsia="lt-LT"/>
        </w:rPr>
        <w:t> </w:t>
      </w:r>
      <w:r w:rsidRPr="003F564F">
        <w:rPr>
          <w:sz w:val="22"/>
          <w:szCs w:val="22"/>
          <w:lang w:eastAsia="lt-LT"/>
        </w:rPr>
        <w:t>% PI: 72,8; 92,5) visiems pacientams, o VA pasiektas 48,9</w:t>
      </w:r>
      <w:r w:rsidR="009B465D">
        <w:rPr>
          <w:sz w:val="22"/>
          <w:szCs w:val="22"/>
          <w:lang w:eastAsia="lt-LT"/>
        </w:rPr>
        <w:t> </w:t>
      </w:r>
      <w:r w:rsidRPr="003F564F">
        <w:rPr>
          <w:sz w:val="22"/>
          <w:szCs w:val="22"/>
          <w:lang w:eastAsia="lt-LT"/>
        </w:rPr>
        <w:t>%</w:t>
      </w:r>
      <w:r w:rsidR="00EB0B12" w:rsidRPr="003F564F">
        <w:rPr>
          <w:sz w:val="22"/>
          <w:szCs w:val="22"/>
          <w:lang w:eastAsia="lt-LT"/>
        </w:rPr>
        <w:t xml:space="preserve"> </w:t>
      </w:r>
      <w:r w:rsidRPr="003F564F">
        <w:rPr>
          <w:sz w:val="22"/>
          <w:szCs w:val="22"/>
          <w:lang w:eastAsia="lt-LT"/>
        </w:rPr>
        <w:t>pacientų ir DA pasiektas 35,6</w:t>
      </w:r>
      <w:r w:rsidR="009B465D">
        <w:rPr>
          <w:sz w:val="22"/>
          <w:szCs w:val="22"/>
          <w:lang w:eastAsia="lt-LT"/>
        </w:rPr>
        <w:t> </w:t>
      </w:r>
      <w:r w:rsidRPr="003F564F">
        <w:rPr>
          <w:sz w:val="22"/>
          <w:szCs w:val="22"/>
          <w:lang w:eastAsia="lt-LT"/>
        </w:rPr>
        <w:t>% pacientų. Vertinant atskirai pagal anksčiau skirto gydymo grupes, BAD rodmuo 28</w:t>
      </w:r>
      <w:r w:rsidR="009B465D">
        <w:rPr>
          <w:sz w:val="22"/>
          <w:szCs w:val="22"/>
          <w:lang w:eastAsia="lt-LT"/>
        </w:rPr>
        <w:noBreakHyphen/>
      </w:r>
      <w:r w:rsidRPr="003F564F">
        <w:rPr>
          <w:sz w:val="22"/>
          <w:szCs w:val="22"/>
          <w:lang w:eastAsia="lt-LT"/>
        </w:rPr>
        <w:t>ąją dieną buvo 90,6</w:t>
      </w:r>
      <w:r w:rsidR="009B465D">
        <w:rPr>
          <w:sz w:val="22"/>
          <w:szCs w:val="22"/>
          <w:lang w:eastAsia="lt-LT"/>
        </w:rPr>
        <w:t> </w:t>
      </w:r>
      <w:r w:rsidRPr="003F564F">
        <w:rPr>
          <w:sz w:val="22"/>
          <w:szCs w:val="22"/>
          <w:lang w:eastAsia="lt-LT"/>
        </w:rPr>
        <w:t>% kortikosteroidams atsparia (SR) liga sirgusiems pacientams.</w:t>
      </w:r>
    </w:p>
    <w:p w14:paraId="56A2C456" w14:textId="77777777" w:rsidR="0036574D" w:rsidRPr="003F564F" w:rsidRDefault="0036574D" w:rsidP="0036574D">
      <w:pPr>
        <w:rPr>
          <w:sz w:val="22"/>
          <w:szCs w:val="22"/>
          <w:lang w:eastAsia="lt-LT"/>
        </w:rPr>
      </w:pPr>
    </w:p>
    <w:p w14:paraId="00285FAA" w14:textId="04C832CD" w:rsidR="0036574D" w:rsidRPr="003F564F" w:rsidRDefault="0036574D" w:rsidP="0036574D">
      <w:pPr>
        <w:rPr>
          <w:sz w:val="22"/>
          <w:szCs w:val="22"/>
          <w:lang w:eastAsia="lt-LT"/>
        </w:rPr>
      </w:pPr>
      <w:r w:rsidRPr="003F564F">
        <w:rPr>
          <w:sz w:val="22"/>
          <w:szCs w:val="22"/>
          <w:lang w:eastAsia="lt-LT"/>
        </w:rPr>
        <w:t>Iki 56</w:t>
      </w:r>
      <w:r w:rsidR="009B465D">
        <w:rPr>
          <w:sz w:val="22"/>
          <w:szCs w:val="22"/>
          <w:lang w:eastAsia="lt-LT"/>
        </w:rPr>
        <w:noBreakHyphen/>
      </w:r>
      <w:r w:rsidRPr="003F564F">
        <w:rPr>
          <w:sz w:val="22"/>
          <w:szCs w:val="22"/>
          <w:lang w:eastAsia="lt-LT"/>
        </w:rPr>
        <w:t>osios dienos išliekančio BAD dažnis (svarbiausioji antrinė vertinamoji baigtis, apibrėžiama kaip</w:t>
      </w:r>
      <w:r w:rsidR="00EB0B12" w:rsidRPr="003F564F">
        <w:rPr>
          <w:sz w:val="22"/>
          <w:szCs w:val="22"/>
          <w:lang w:eastAsia="lt-LT"/>
        </w:rPr>
        <w:t xml:space="preserve"> </w:t>
      </w:r>
      <w:r w:rsidRPr="003F564F">
        <w:rPr>
          <w:sz w:val="22"/>
          <w:szCs w:val="22"/>
          <w:lang w:eastAsia="lt-LT"/>
        </w:rPr>
        <w:t>pacientų dalis, kuriems buvo pasiektas VA arba DA 28</w:t>
      </w:r>
      <w:r w:rsidR="009B465D">
        <w:rPr>
          <w:sz w:val="22"/>
          <w:szCs w:val="22"/>
          <w:lang w:eastAsia="lt-LT"/>
        </w:rPr>
        <w:noBreakHyphen/>
      </w:r>
      <w:r w:rsidRPr="003F564F">
        <w:rPr>
          <w:sz w:val="22"/>
          <w:szCs w:val="22"/>
          <w:lang w:eastAsia="lt-LT"/>
        </w:rPr>
        <w:t>ąją dieną ir VA arba DA išliko iki 56</w:t>
      </w:r>
      <w:r w:rsidR="009B465D">
        <w:rPr>
          <w:sz w:val="22"/>
          <w:szCs w:val="22"/>
          <w:lang w:eastAsia="lt-LT"/>
        </w:rPr>
        <w:noBreakHyphen/>
      </w:r>
      <w:r w:rsidRPr="003F564F">
        <w:rPr>
          <w:sz w:val="22"/>
          <w:szCs w:val="22"/>
          <w:lang w:eastAsia="lt-LT"/>
        </w:rPr>
        <w:t>osios dienos) buvo 66,7</w:t>
      </w:r>
      <w:r w:rsidR="009B465D">
        <w:rPr>
          <w:sz w:val="22"/>
          <w:szCs w:val="22"/>
          <w:lang w:eastAsia="lt-LT"/>
        </w:rPr>
        <w:t> </w:t>
      </w:r>
      <w:r w:rsidRPr="003F564F">
        <w:rPr>
          <w:sz w:val="22"/>
          <w:szCs w:val="22"/>
          <w:lang w:eastAsia="lt-LT"/>
        </w:rPr>
        <w:t>% visų REACH4 tyrime dalyvavusių pacientų tarpe ir 68,8</w:t>
      </w:r>
      <w:r w:rsidR="009B465D">
        <w:rPr>
          <w:sz w:val="22"/>
          <w:szCs w:val="22"/>
          <w:lang w:eastAsia="lt-LT"/>
        </w:rPr>
        <w:t> </w:t>
      </w:r>
      <w:r w:rsidRPr="003F564F">
        <w:rPr>
          <w:sz w:val="22"/>
          <w:szCs w:val="22"/>
          <w:lang w:eastAsia="lt-LT"/>
        </w:rPr>
        <w:t>% kortikosteroidams atsparia liga sirgusiems pacientams.</w:t>
      </w:r>
    </w:p>
    <w:p w14:paraId="23B0021C" w14:textId="77777777" w:rsidR="0036574D" w:rsidRPr="003F564F" w:rsidRDefault="0036574D" w:rsidP="0036574D">
      <w:pPr>
        <w:rPr>
          <w:sz w:val="22"/>
          <w:szCs w:val="22"/>
          <w:lang w:eastAsia="lt-LT"/>
        </w:rPr>
      </w:pPr>
    </w:p>
    <w:p w14:paraId="3DA12C9A" w14:textId="77777777" w:rsidR="0036574D" w:rsidRPr="009B465D" w:rsidRDefault="0036574D" w:rsidP="0036574D">
      <w:pPr>
        <w:rPr>
          <w:i/>
          <w:iCs/>
          <w:sz w:val="22"/>
          <w:szCs w:val="22"/>
          <w:u w:val="single"/>
          <w:lang w:eastAsia="lt-LT"/>
        </w:rPr>
      </w:pPr>
      <w:r w:rsidRPr="009B465D">
        <w:rPr>
          <w:i/>
          <w:iCs/>
          <w:sz w:val="22"/>
          <w:szCs w:val="22"/>
          <w:u w:val="single"/>
          <w:lang w:eastAsia="lt-LT"/>
        </w:rPr>
        <w:t xml:space="preserve">Lėtinė </w:t>
      </w:r>
      <w:proofErr w:type="spellStart"/>
      <w:r w:rsidRPr="009B465D">
        <w:rPr>
          <w:i/>
          <w:iCs/>
          <w:sz w:val="22"/>
          <w:szCs w:val="22"/>
          <w:u w:val="single"/>
          <w:lang w:eastAsia="lt-LT"/>
        </w:rPr>
        <w:t>transplantato</w:t>
      </w:r>
      <w:proofErr w:type="spellEnd"/>
      <w:r w:rsidRPr="009B465D">
        <w:rPr>
          <w:i/>
          <w:iCs/>
          <w:sz w:val="22"/>
          <w:szCs w:val="22"/>
          <w:u w:val="single"/>
          <w:lang w:eastAsia="lt-LT"/>
        </w:rPr>
        <w:t xml:space="preserve"> prieš šeimininką liga</w:t>
      </w:r>
    </w:p>
    <w:p w14:paraId="15C104D3" w14:textId="5F86CCF3" w:rsidR="0036574D" w:rsidRPr="003F564F" w:rsidRDefault="0036574D" w:rsidP="0036574D">
      <w:pPr>
        <w:rPr>
          <w:sz w:val="22"/>
          <w:szCs w:val="22"/>
          <w:lang w:eastAsia="lt-LT"/>
        </w:rPr>
      </w:pPr>
      <w:r w:rsidRPr="003F564F">
        <w:rPr>
          <w:sz w:val="22"/>
          <w:szCs w:val="22"/>
          <w:lang w:eastAsia="lt-LT"/>
        </w:rPr>
        <w:t>REACH5 tyrimo metu 45</w:t>
      </w:r>
      <w:r w:rsidR="002B7C37">
        <w:rPr>
          <w:sz w:val="22"/>
          <w:szCs w:val="22"/>
          <w:lang w:eastAsia="lt-LT"/>
        </w:rPr>
        <w:t> </w:t>
      </w:r>
      <w:r w:rsidRPr="003F564F">
        <w:rPr>
          <w:sz w:val="22"/>
          <w:szCs w:val="22"/>
          <w:lang w:eastAsia="lt-LT"/>
        </w:rPr>
        <w:t xml:space="preserve">vaikams, kuriems buvo nustatyta vidutinio sunkumo ar sunki lėtinė </w:t>
      </w:r>
      <w:proofErr w:type="spellStart"/>
      <w:r w:rsidRPr="003F564F">
        <w:rPr>
          <w:sz w:val="22"/>
          <w:szCs w:val="22"/>
          <w:lang w:eastAsia="lt-LT"/>
        </w:rPr>
        <w:t>TpŠL</w:t>
      </w:r>
      <w:proofErr w:type="spellEnd"/>
      <w:r w:rsidRPr="003F564F">
        <w:rPr>
          <w:sz w:val="22"/>
          <w:szCs w:val="22"/>
          <w:lang w:eastAsia="lt-LT"/>
        </w:rPr>
        <w:t>,</w:t>
      </w:r>
      <w:r w:rsidR="00EB0B12" w:rsidRPr="003F564F">
        <w:rPr>
          <w:sz w:val="22"/>
          <w:szCs w:val="22"/>
          <w:lang w:eastAsia="lt-LT"/>
        </w:rPr>
        <w:t xml:space="preserve"> </w:t>
      </w:r>
      <w:r w:rsidRPr="003F564F">
        <w:rPr>
          <w:sz w:val="22"/>
          <w:szCs w:val="22"/>
          <w:lang w:eastAsia="lt-LT"/>
        </w:rPr>
        <w:t xml:space="preserve">buvo paskirtas </w:t>
      </w:r>
      <w:proofErr w:type="spellStart"/>
      <w:r w:rsidR="002B7C37">
        <w:rPr>
          <w:sz w:val="22"/>
          <w:szCs w:val="22"/>
          <w:lang w:eastAsia="lt-LT"/>
        </w:rPr>
        <w:t>ruksolitinibas</w:t>
      </w:r>
      <w:proofErr w:type="spellEnd"/>
      <w:r w:rsidR="002B7C37">
        <w:rPr>
          <w:sz w:val="22"/>
          <w:szCs w:val="22"/>
          <w:lang w:eastAsia="lt-LT"/>
        </w:rPr>
        <w:t xml:space="preserve"> </w:t>
      </w:r>
      <w:r w:rsidRPr="003F564F">
        <w:rPr>
          <w:sz w:val="22"/>
          <w:szCs w:val="22"/>
          <w:lang w:eastAsia="lt-LT"/>
        </w:rPr>
        <w:t>ir kortikosteroidai +/-</w:t>
      </w:r>
      <w:r w:rsidR="002B7C37">
        <w:rPr>
          <w:sz w:val="22"/>
          <w:szCs w:val="22"/>
          <w:lang w:eastAsia="lt-LT"/>
        </w:rPr>
        <w:t> </w:t>
      </w:r>
      <w:r w:rsidRPr="003F564F">
        <w:rPr>
          <w:sz w:val="22"/>
          <w:szCs w:val="22"/>
          <w:lang w:eastAsia="lt-LT"/>
        </w:rPr>
        <w:t xml:space="preserve">KNI. Šio tyrimo tikslas buvo įvertinti </w:t>
      </w:r>
      <w:proofErr w:type="spellStart"/>
      <w:r w:rsidR="002B7C37">
        <w:rPr>
          <w:sz w:val="22"/>
          <w:szCs w:val="22"/>
          <w:lang w:eastAsia="lt-LT"/>
        </w:rPr>
        <w:t>ruksolitinibo</w:t>
      </w:r>
      <w:proofErr w:type="spellEnd"/>
      <w:r w:rsidR="002B7C37" w:rsidRPr="003F564F">
        <w:rPr>
          <w:sz w:val="22"/>
          <w:szCs w:val="22"/>
          <w:lang w:eastAsia="lt-LT"/>
        </w:rPr>
        <w:t xml:space="preserve"> </w:t>
      </w:r>
      <w:r w:rsidRPr="003F564F">
        <w:rPr>
          <w:sz w:val="22"/>
          <w:szCs w:val="22"/>
          <w:lang w:eastAsia="lt-LT"/>
        </w:rPr>
        <w:t>saugumą, veiksmingumą ir farmakokinetiką. Pacientai buvo įtraukiami į 4</w:t>
      </w:r>
      <w:r w:rsidR="002B7C37">
        <w:rPr>
          <w:sz w:val="22"/>
          <w:szCs w:val="22"/>
          <w:lang w:eastAsia="lt-LT"/>
        </w:rPr>
        <w:t> </w:t>
      </w:r>
      <w:r w:rsidRPr="003F564F">
        <w:rPr>
          <w:sz w:val="22"/>
          <w:szCs w:val="22"/>
          <w:lang w:eastAsia="lt-LT"/>
        </w:rPr>
        <w:t>grupes, atsižvelgiant į jų amžių (1</w:t>
      </w:r>
      <w:r w:rsidR="002B7C37">
        <w:rPr>
          <w:sz w:val="22"/>
          <w:szCs w:val="22"/>
          <w:lang w:eastAsia="lt-LT"/>
        </w:rPr>
        <w:noBreakHyphen/>
      </w:r>
      <w:r w:rsidRPr="003F564F">
        <w:rPr>
          <w:sz w:val="22"/>
          <w:szCs w:val="22"/>
          <w:lang w:eastAsia="lt-LT"/>
        </w:rPr>
        <w:t>oji [nuo ≥</w:t>
      </w:r>
      <w:r w:rsidR="002B7C37">
        <w:rPr>
          <w:sz w:val="22"/>
          <w:szCs w:val="22"/>
          <w:lang w:eastAsia="lt-LT"/>
        </w:rPr>
        <w:t> </w:t>
      </w:r>
      <w:r w:rsidRPr="003F564F">
        <w:rPr>
          <w:sz w:val="22"/>
          <w:szCs w:val="22"/>
          <w:lang w:eastAsia="lt-LT"/>
        </w:rPr>
        <w:t>12</w:t>
      </w:r>
      <w:r w:rsidR="002B7C37">
        <w:rPr>
          <w:sz w:val="22"/>
          <w:szCs w:val="22"/>
          <w:lang w:eastAsia="lt-LT"/>
        </w:rPr>
        <w:t> </w:t>
      </w:r>
      <w:r w:rsidRPr="003F564F">
        <w:rPr>
          <w:sz w:val="22"/>
          <w:szCs w:val="22"/>
          <w:lang w:eastAsia="lt-LT"/>
        </w:rPr>
        <w:t>metų iki &lt;</w:t>
      </w:r>
      <w:r w:rsidR="002B7C37">
        <w:rPr>
          <w:sz w:val="22"/>
          <w:szCs w:val="22"/>
          <w:lang w:eastAsia="lt-LT"/>
        </w:rPr>
        <w:t> </w:t>
      </w:r>
      <w:r w:rsidRPr="003F564F">
        <w:rPr>
          <w:sz w:val="22"/>
          <w:szCs w:val="22"/>
          <w:lang w:eastAsia="lt-LT"/>
        </w:rPr>
        <w:t>18</w:t>
      </w:r>
      <w:r w:rsidR="002B7C37">
        <w:rPr>
          <w:sz w:val="22"/>
          <w:szCs w:val="22"/>
          <w:lang w:eastAsia="lt-LT"/>
        </w:rPr>
        <w:t> </w:t>
      </w:r>
      <w:r w:rsidRPr="003F564F">
        <w:rPr>
          <w:sz w:val="22"/>
          <w:szCs w:val="22"/>
          <w:lang w:eastAsia="lt-LT"/>
        </w:rPr>
        <w:t>metų, N</w:t>
      </w:r>
      <w:r w:rsidR="002B7C37">
        <w:rPr>
          <w:sz w:val="22"/>
          <w:szCs w:val="22"/>
          <w:lang w:eastAsia="lt-LT"/>
        </w:rPr>
        <w:t> </w:t>
      </w:r>
      <w:r w:rsidRPr="003F564F">
        <w:rPr>
          <w:sz w:val="22"/>
          <w:szCs w:val="22"/>
          <w:lang w:eastAsia="lt-LT"/>
        </w:rPr>
        <w:t>=</w:t>
      </w:r>
      <w:r w:rsidR="002B7C37">
        <w:rPr>
          <w:sz w:val="22"/>
          <w:szCs w:val="22"/>
          <w:lang w:eastAsia="lt-LT"/>
        </w:rPr>
        <w:t> </w:t>
      </w:r>
      <w:r w:rsidRPr="003F564F">
        <w:rPr>
          <w:sz w:val="22"/>
          <w:szCs w:val="22"/>
          <w:lang w:eastAsia="lt-LT"/>
        </w:rPr>
        <w:t>22], 2</w:t>
      </w:r>
      <w:r w:rsidR="002B7C37">
        <w:rPr>
          <w:sz w:val="22"/>
          <w:szCs w:val="22"/>
          <w:lang w:eastAsia="lt-LT"/>
        </w:rPr>
        <w:noBreakHyphen/>
      </w:r>
      <w:r w:rsidRPr="003F564F">
        <w:rPr>
          <w:sz w:val="22"/>
          <w:szCs w:val="22"/>
          <w:lang w:eastAsia="lt-LT"/>
        </w:rPr>
        <w:t>oji [nuo ≥</w:t>
      </w:r>
      <w:r w:rsidR="002B7C37">
        <w:rPr>
          <w:sz w:val="22"/>
          <w:szCs w:val="22"/>
          <w:lang w:eastAsia="lt-LT"/>
        </w:rPr>
        <w:t> </w:t>
      </w:r>
      <w:r w:rsidRPr="003F564F">
        <w:rPr>
          <w:sz w:val="22"/>
          <w:szCs w:val="22"/>
          <w:lang w:eastAsia="lt-LT"/>
        </w:rPr>
        <w:t>6</w:t>
      </w:r>
      <w:r w:rsidR="002B7C37">
        <w:rPr>
          <w:sz w:val="22"/>
          <w:szCs w:val="22"/>
          <w:lang w:eastAsia="lt-LT"/>
        </w:rPr>
        <w:t> </w:t>
      </w:r>
      <w:r w:rsidRPr="003F564F">
        <w:rPr>
          <w:sz w:val="22"/>
          <w:szCs w:val="22"/>
          <w:lang w:eastAsia="lt-LT"/>
        </w:rPr>
        <w:t>metų iki &lt;</w:t>
      </w:r>
      <w:r w:rsidR="002B7C37">
        <w:rPr>
          <w:sz w:val="22"/>
          <w:szCs w:val="22"/>
          <w:lang w:eastAsia="lt-LT"/>
        </w:rPr>
        <w:t> </w:t>
      </w:r>
      <w:r w:rsidRPr="003F564F">
        <w:rPr>
          <w:sz w:val="22"/>
          <w:szCs w:val="22"/>
          <w:lang w:eastAsia="lt-LT"/>
        </w:rPr>
        <w:t>12</w:t>
      </w:r>
      <w:r w:rsidR="002B7C37">
        <w:rPr>
          <w:sz w:val="22"/>
          <w:szCs w:val="22"/>
          <w:lang w:eastAsia="lt-LT"/>
        </w:rPr>
        <w:t> </w:t>
      </w:r>
      <w:r w:rsidRPr="003F564F">
        <w:rPr>
          <w:sz w:val="22"/>
          <w:szCs w:val="22"/>
          <w:lang w:eastAsia="lt-LT"/>
        </w:rPr>
        <w:t>metų, N</w:t>
      </w:r>
      <w:r w:rsidR="002B7C37">
        <w:rPr>
          <w:sz w:val="22"/>
          <w:szCs w:val="22"/>
          <w:lang w:eastAsia="lt-LT"/>
        </w:rPr>
        <w:t> </w:t>
      </w:r>
      <w:r w:rsidRPr="003F564F">
        <w:rPr>
          <w:sz w:val="22"/>
          <w:szCs w:val="22"/>
          <w:lang w:eastAsia="lt-LT"/>
        </w:rPr>
        <w:t>=</w:t>
      </w:r>
      <w:r w:rsidR="002B7C37">
        <w:rPr>
          <w:sz w:val="22"/>
          <w:szCs w:val="22"/>
          <w:lang w:eastAsia="lt-LT"/>
        </w:rPr>
        <w:t> </w:t>
      </w:r>
      <w:r w:rsidRPr="003F564F">
        <w:rPr>
          <w:sz w:val="22"/>
          <w:szCs w:val="22"/>
          <w:lang w:eastAsia="lt-LT"/>
        </w:rPr>
        <w:t>16], 3</w:t>
      </w:r>
      <w:r w:rsidR="002B7C37">
        <w:rPr>
          <w:sz w:val="22"/>
          <w:szCs w:val="22"/>
          <w:lang w:eastAsia="lt-LT"/>
        </w:rPr>
        <w:noBreakHyphen/>
      </w:r>
      <w:r w:rsidRPr="003F564F">
        <w:rPr>
          <w:sz w:val="22"/>
          <w:szCs w:val="22"/>
          <w:lang w:eastAsia="lt-LT"/>
        </w:rPr>
        <w:t>ioji [nuo ≥</w:t>
      </w:r>
      <w:r w:rsidR="002B7C37">
        <w:rPr>
          <w:sz w:val="22"/>
          <w:szCs w:val="22"/>
          <w:lang w:eastAsia="lt-LT"/>
        </w:rPr>
        <w:t> </w:t>
      </w:r>
      <w:r w:rsidRPr="003F564F">
        <w:rPr>
          <w:sz w:val="22"/>
          <w:szCs w:val="22"/>
          <w:lang w:eastAsia="lt-LT"/>
        </w:rPr>
        <w:t>2</w:t>
      </w:r>
      <w:r w:rsidR="002B7C37">
        <w:rPr>
          <w:sz w:val="22"/>
          <w:szCs w:val="22"/>
          <w:lang w:eastAsia="lt-LT"/>
        </w:rPr>
        <w:t> </w:t>
      </w:r>
      <w:r w:rsidRPr="003F564F">
        <w:rPr>
          <w:sz w:val="22"/>
          <w:szCs w:val="22"/>
          <w:lang w:eastAsia="lt-LT"/>
        </w:rPr>
        <w:t>metų iki &lt;</w:t>
      </w:r>
      <w:r w:rsidR="002B7C37">
        <w:rPr>
          <w:sz w:val="22"/>
          <w:szCs w:val="22"/>
          <w:lang w:eastAsia="lt-LT"/>
        </w:rPr>
        <w:t> </w:t>
      </w:r>
      <w:r w:rsidRPr="003F564F">
        <w:rPr>
          <w:sz w:val="22"/>
          <w:szCs w:val="22"/>
          <w:lang w:eastAsia="lt-LT"/>
        </w:rPr>
        <w:t>6</w:t>
      </w:r>
      <w:r w:rsidR="002B7C37">
        <w:rPr>
          <w:sz w:val="22"/>
          <w:szCs w:val="22"/>
          <w:lang w:eastAsia="lt-LT"/>
        </w:rPr>
        <w:t> </w:t>
      </w:r>
      <w:r w:rsidRPr="003F564F">
        <w:rPr>
          <w:sz w:val="22"/>
          <w:szCs w:val="22"/>
          <w:lang w:eastAsia="lt-LT"/>
        </w:rPr>
        <w:t>metų, N</w:t>
      </w:r>
      <w:r w:rsidR="002B7C37">
        <w:rPr>
          <w:sz w:val="22"/>
          <w:szCs w:val="22"/>
          <w:lang w:eastAsia="lt-LT"/>
        </w:rPr>
        <w:t> </w:t>
      </w:r>
      <w:r w:rsidRPr="003F564F">
        <w:rPr>
          <w:sz w:val="22"/>
          <w:szCs w:val="22"/>
          <w:lang w:eastAsia="lt-LT"/>
        </w:rPr>
        <w:t>=</w:t>
      </w:r>
      <w:r w:rsidR="002B7C37">
        <w:rPr>
          <w:sz w:val="22"/>
          <w:szCs w:val="22"/>
          <w:lang w:eastAsia="lt-LT"/>
        </w:rPr>
        <w:t> </w:t>
      </w:r>
      <w:r w:rsidRPr="003F564F">
        <w:rPr>
          <w:sz w:val="22"/>
          <w:szCs w:val="22"/>
          <w:lang w:eastAsia="lt-LT"/>
        </w:rPr>
        <w:t>7] ir 4</w:t>
      </w:r>
      <w:r w:rsidR="002B7C37">
        <w:rPr>
          <w:sz w:val="22"/>
          <w:szCs w:val="22"/>
          <w:lang w:eastAsia="lt-LT"/>
        </w:rPr>
        <w:noBreakHyphen/>
      </w:r>
      <w:r w:rsidRPr="003F564F">
        <w:rPr>
          <w:sz w:val="22"/>
          <w:szCs w:val="22"/>
          <w:lang w:eastAsia="lt-LT"/>
        </w:rPr>
        <w:t>oji [nuo ≥</w:t>
      </w:r>
      <w:r w:rsidR="002B7C37">
        <w:rPr>
          <w:sz w:val="22"/>
          <w:szCs w:val="22"/>
          <w:lang w:eastAsia="lt-LT"/>
        </w:rPr>
        <w:t> </w:t>
      </w:r>
      <w:r w:rsidRPr="003F564F">
        <w:rPr>
          <w:sz w:val="22"/>
          <w:szCs w:val="22"/>
          <w:lang w:eastAsia="lt-LT"/>
        </w:rPr>
        <w:t>28</w:t>
      </w:r>
      <w:r w:rsidR="002B7C37">
        <w:rPr>
          <w:sz w:val="22"/>
          <w:szCs w:val="22"/>
          <w:lang w:eastAsia="lt-LT"/>
        </w:rPr>
        <w:t> </w:t>
      </w:r>
      <w:r w:rsidRPr="003F564F">
        <w:rPr>
          <w:sz w:val="22"/>
          <w:szCs w:val="22"/>
          <w:lang w:eastAsia="lt-LT"/>
        </w:rPr>
        <w:t>dienų iki &lt;</w:t>
      </w:r>
      <w:r w:rsidR="002B7C37">
        <w:rPr>
          <w:sz w:val="22"/>
          <w:szCs w:val="22"/>
          <w:lang w:eastAsia="lt-LT"/>
        </w:rPr>
        <w:t> </w:t>
      </w:r>
      <w:r w:rsidRPr="003F564F">
        <w:rPr>
          <w:sz w:val="22"/>
          <w:szCs w:val="22"/>
          <w:lang w:eastAsia="lt-LT"/>
        </w:rPr>
        <w:t>2</w:t>
      </w:r>
      <w:r w:rsidR="002B7C37">
        <w:rPr>
          <w:sz w:val="22"/>
          <w:szCs w:val="22"/>
          <w:lang w:eastAsia="lt-LT"/>
        </w:rPr>
        <w:t> </w:t>
      </w:r>
      <w:r w:rsidRPr="003F564F">
        <w:rPr>
          <w:sz w:val="22"/>
          <w:szCs w:val="22"/>
          <w:lang w:eastAsia="lt-LT"/>
        </w:rPr>
        <w:t>metų, N</w:t>
      </w:r>
      <w:r w:rsidR="002B7C37">
        <w:rPr>
          <w:sz w:val="22"/>
          <w:szCs w:val="22"/>
          <w:lang w:eastAsia="lt-LT"/>
        </w:rPr>
        <w:t> </w:t>
      </w:r>
      <w:r w:rsidRPr="003F564F">
        <w:rPr>
          <w:sz w:val="22"/>
          <w:szCs w:val="22"/>
          <w:lang w:eastAsia="lt-LT"/>
        </w:rPr>
        <w:t>=</w:t>
      </w:r>
      <w:r w:rsidR="002B7C37">
        <w:rPr>
          <w:sz w:val="22"/>
          <w:szCs w:val="22"/>
          <w:lang w:eastAsia="lt-LT"/>
        </w:rPr>
        <w:t> </w:t>
      </w:r>
      <w:r w:rsidRPr="003F564F">
        <w:rPr>
          <w:sz w:val="22"/>
          <w:szCs w:val="22"/>
          <w:lang w:eastAsia="lt-LT"/>
        </w:rPr>
        <w:t>0]). Tirtos vaistinio preparato dozės buvo skirtos po 10</w:t>
      </w:r>
      <w:r w:rsidR="002B7C37">
        <w:rPr>
          <w:sz w:val="22"/>
          <w:szCs w:val="22"/>
          <w:lang w:eastAsia="lt-LT"/>
        </w:rPr>
        <w:t> </w:t>
      </w:r>
      <w:r w:rsidRPr="003F564F">
        <w:rPr>
          <w:sz w:val="22"/>
          <w:szCs w:val="22"/>
          <w:lang w:eastAsia="lt-LT"/>
        </w:rPr>
        <w:t>mg du kartus per parą 1</w:t>
      </w:r>
      <w:r w:rsidR="002B7C37">
        <w:rPr>
          <w:sz w:val="22"/>
          <w:szCs w:val="22"/>
          <w:lang w:eastAsia="lt-LT"/>
        </w:rPr>
        <w:noBreakHyphen/>
      </w:r>
      <w:r w:rsidRPr="003F564F">
        <w:rPr>
          <w:sz w:val="22"/>
          <w:szCs w:val="22"/>
          <w:lang w:eastAsia="lt-LT"/>
        </w:rPr>
        <w:t>ajai grupei, 5</w:t>
      </w:r>
      <w:r w:rsidR="002B7C37">
        <w:rPr>
          <w:sz w:val="22"/>
          <w:szCs w:val="22"/>
          <w:lang w:eastAsia="lt-LT"/>
        </w:rPr>
        <w:t> </w:t>
      </w:r>
      <w:r w:rsidRPr="003F564F">
        <w:rPr>
          <w:sz w:val="22"/>
          <w:szCs w:val="22"/>
          <w:lang w:eastAsia="lt-LT"/>
        </w:rPr>
        <w:t>mg du kartus per parą 2</w:t>
      </w:r>
      <w:r w:rsidR="002B7C37">
        <w:rPr>
          <w:sz w:val="22"/>
          <w:szCs w:val="22"/>
          <w:lang w:eastAsia="lt-LT"/>
        </w:rPr>
        <w:noBreakHyphen/>
      </w:r>
      <w:r w:rsidRPr="003F564F">
        <w:rPr>
          <w:sz w:val="22"/>
          <w:szCs w:val="22"/>
          <w:lang w:eastAsia="lt-LT"/>
        </w:rPr>
        <w:t>ajai grupei ir 4</w:t>
      </w:r>
      <w:r w:rsidR="002B7C37">
        <w:rPr>
          <w:sz w:val="22"/>
          <w:szCs w:val="22"/>
          <w:lang w:eastAsia="lt-LT"/>
        </w:rPr>
        <w:t> </w:t>
      </w:r>
      <w:r w:rsidRPr="003F564F">
        <w:rPr>
          <w:sz w:val="22"/>
          <w:szCs w:val="22"/>
          <w:lang w:eastAsia="lt-LT"/>
        </w:rPr>
        <w:t>mg/m</w:t>
      </w:r>
      <w:r w:rsidRPr="002B7C37">
        <w:rPr>
          <w:sz w:val="22"/>
          <w:szCs w:val="22"/>
          <w:vertAlign w:val="superscript"/>
          <w:lang w:eastAsia="lt-LT"/>
        </w:rPr>
        <w:t>2</w:t>
      </w:r>
      <w:r w:rsidRPr="003F564F">
        <w:rPr>
          <w:sz w:val="22"/>
          <w:szCs w:val="22"/>
          <w:lang w:eastAsia="lt-LT"/>
        </w:rPr>
        <w:t xml:space="preserve"> du kartus per parą 3</w:t>
      </w:r>
      <w:r w:rsidR="002B7C37">
        <w:rPr>
          <w:sz w:val="22"/>
          <w:szCs w:val="22"/>
          <w:lang w:eastAsia="lt-LT"/>
        </w:rPr>
        <w:noBreakHyphen/>
      </w:r>
      <w:r w:rsidRPr="003F564F">
        <w:rPr>
          <w:sz w:val="22"/>
          <w:szCs w:val="22"/>
          <w:lang w:eastAsia="lt-LT"/>
        </w:rPr>
        <w:t>ajai grupei, o pacientai buvo gydyti 39</w:t>
      </w:r>
      <w:r w:rsidR="002B7C37">
        <w:rPr>
          <w:sz w:val="22"/>
          <w:szCs w:val="22"/>
          <w:lang w:eastAsia="lt-LT"/>
        </w:rPr>
        <w:t> </w:t>
      </w:r>
      <w:r w:rsidRPr="003F564F">
        <w:rPr>
          <w:sz w:val="22"/>
          <w:szCs w:val="22"/>
          <w:lang w:eastAsia="lt-LT"/>
        </w:rPr>
        <w:t>ciklus (156</w:t>
      </w:r>
      <w:r w:rsidR="002B7C37">
        <w:rPr>
          <w:sz w:val="22"/>
          <w:szCs w:val="22"/>
          <w:lang w:eastAsia="lt-LT"/>
        </w:rPr>
        <w:t> </w:t>
      </w:r>
      <w:r w:rsidRPr="003F564F">
        <w:rPr>
          <w:sz w:val="22"/>
          <w:szCs w:val="22"/>
          <w:lang w:eastAsia="lt-LT"/>
        </w:rPr>
        <w:t>savaites) arba iki gydymo nutraukimo. &lt;</w:t>
      </w:r>
      <w:r w:rsidR="002B7C37">
        <w:rPr>
          <w:sz w:val="22"/>
          <w:szCs w:val="22"/>
          <w:lang w:eastAsia="lt-LT"/>
        </w:rPr>
        <w:t> </w:t>
      </w:r>
      <w:r w:rsidRPr="003F564F">
        <w:rPr>
          <w:sz w:val="22"/>
          <w:szCs w:val="22"/>
          <w:lang w:eastAsia="lt-LT"/>
        </w:rPr>
        <w:t>12</w:t>
      </w:r>
      <w:r w:rsidR="002B7C37">
        <w:rPr>
          <w:sz w:val="22"/>
          <w:szCs w:val="22"/>
          <w:lang w:eastAsia="lt-LT"/>
        </w:rPr>
        <w:t> </w:t>
      </w:r>
      <w:r w:rsidRPr="003F564F">
        <w:rPr>
          <w:sz w:val="22"/>
          <w:szCs w:val="22"/>
          <w:lang w:eastAsia="lt-LT"/>
        </w:rPr>
        <w:t xml:space="preserve">metų vaikams </w:t>
      </w:r>
      <w:proofErr w:type="spellStart"/>
      <w:r w:rsidR="002B7C37">
        <w:rPr>
          <w:sz w:val="22"/>
          <w:szCs w:val="22"/>
          <w:lang w:eastAsia="lt-LT"/>
        </w:rPr>
        <w:t>ruksolitinibas</w:t>
      </w:r>
      <w:proofErr w:type="spellEnd"/>
      <w:r w:rsidRPr="003F564F">
        <w:rPr>
          <w:sz w:val="22"/>
          <w:szCs w:val="22"/>
          <w:lang w:eastAsia="lt-LT"/>
        </w:rPr>
        <w:t xml:space="preserve"> buvo skiriamas kaip 5</w:t>
      </w:r>
      <w:r w:rsidR="002B7C37">
        <w:rPr>
          <w:sz w:val="22"/>
          <w:szCs w:val="22"/>
          <w:lang w:eastAsia="lt-LT"/>
        </w:rPr>
        <w:t> </w:t>
      </w:r>
      <w:r w:rsidRPr="003F564F">
        <w:rPr>
          <w:sz w:val="22"/>
          <w:szCs w:val="22"/>
          <w:lang w:eastAsia="lt-LT"/>
        </w:rPr>
        <w:t>mg tabletės arba kaip geriamasis tirpalas.</w:t>
      </w:r>
    </w:p>
    <w:p w14:paraId="05DBB96B" w14:textId="77777777" w:rsidR="0036574D" w:rsidRPr="003F564F" w:rsidRDefault="0036574D" w:rsidP="0036574D">
      <w:pPr>
        <w:rPr>
          <w:sz w:val="22"/>
          <w:szCs w:val="22"/>
          <w:lang w:eastAsia="lt-LT"/>
        </w:rPr>
      </w:pPr>
    </w:p>
    <w:p w14:paraId="73635444" w14:textId="6B46DD64" w:rsidR="0036574D" w:rsidRPr="003F564F" w:rsidRDefault="0036574D" w:rsidP="0036574D">
      <w:pPr>
        <w:rPr>
          <w:sz w:val="22"/>
          <w:szCs w:val="22"/>
          <w:lang w:eastAsia="lt-LT"/>
        </w:rPr>
      </w:pPr>
      <w:r w:rsidRPr="003F564F">
        <w:rPr>
          <w:sz w:val="22"/>
          <w:szCs w:val="22"/>
          <w:lang w:eastAsia="lt-LT"/>
        </w:rPr>
        <w:t>Į tyrimą buvo įtraukiami pacientai, kuriems buvo nustatyta kortikosteroidams atspari liga arba kurie anksčiau nebuvo gydyti. Atsparumas kortikosteroidams buvo nustatomas pagal gydymo įstaigos kriterijus arba gydytojo sprendimu, jeigu gydymo įstaigoje nebuvo nustatyta šių kriterijų, o pacientams iki įtraukimo į tyrimą be kortikosteroidų galėjo būti skirtas papildomas sisteminio poveikio lėtinės</w:t>
      </w:r>
      <w:r w:rsidR="00EB0B12" w:rsidRPr="003F564F">
        <w:rPr>
          <w:sz w:val="22"/>
          <w:szCs w:val="22"/>
          <w:lang w:eastAsia="lt-LT"/>
        </w:rPr>
        <w:t xml:space="preserve"> </w:t>
      </w:r>
      <w:proofErr w:type="spellStart"/>
      <w:r w:rsidRPr="003F564F">
        <w:rPr>
          <w:sz w:val="22"/>
          <w:szCs w:val="22"/>
          <w:lang w:eastAsia="lt-LT"/>
        </w:rPr>
        <w:t>TpŠL</w:t>
      </w:r>
      <w:proofErr w:type="spellEnd"/>
      <w:r w:rsidRPr="003F564F">
        <w:rPr>
          <w:sz w:val="22"/>
          <w:szCs w:val="22"/>
          <w:lang w:eastAsia="lt-LT"/>
        </w:rPr>
        <w:t xml:space="preserve"> gydymo būdas. Pacientai buvo laikomi anksčiau negydytais tuomet, kai jiems anksčiau nebuvo skirtas joks sisteminio poveikio lėtinės </w:t>
      </w:r>
      <w:proofErr w:type="spellStart"/>
      <w:r w:rsidRPr="003F564F">
        <w:rPr>
          <w:sz w:val="22"/>
          <w:szCs w:val="22"/>
          <w:lang w:eastAsia="lt-LT"/>
        </w:rPr>
        <w:t>TpŠL</w:t>
      </w:r>
      <w:proofErr w:type="spellEnd"/>
      <w:r w:rsidRPr="003F564F">
        <w:rPr>
          <w:sz w:val="22"/>
          <w:szCs w:val="22"/>
          <w:lang w:eastAsia="lt-LT"/>
        </w:rPr>
        <w:t xml:space="preserve"> gydymo būdas (išskyrus daugiausia 72</w:t>
      </w:r>
      <w:r w:rsidR="002B7C37">
        <w:rPr>
          <w:sz w:val="22"/>
          <w:szCs w:val="22"/>
          <w:lang w:eastAsia="lt-LT"/>
        </w:rPr>
        <w:t> </w:t>
      </w:r>
      <w:r w:rsidRPr="003F564F">
        <w:rPr>
          <w:sz w:val="22"/>
          <w:szCs w:val="22"/>
          <w:lang w:eastAsia="lt-LT"/>
        </w:rPr>
        <w:t xml:space="preserve">valandų trukmės ankstesnį gydymą sisteminio poveikio </w:t>
      </w:r>
      <w:proofErr w:type="spellStart"/>
      <w:r w:rsidRPr="003F564F">
        <w:rPr>
          <w:sz w:val="22"/>
          <w:szCs w:val="22"/>
          <w:lang w:eastAsia="lt-LT"/>
        </w:rPr>
        <w:t>metilprednizolonu</w:t>
      </w:r>
      <w:proofErr w:type="spellEnd"/>
      <w:r w:rsidRPr="003F564F">
        <w:rPr>
          <w:sz w:val="22"/>
          <w:szCs w:val="22"/>
          <w:lang w:eastAsia="lt-LT"/>
        </w:rPr>
        <w:t xml:space="preserve"> arba ekvivalentišku kortikosteroidu po lėtinės </w:t>
      </w:r>
      <w:proofErr w:type="spellStart"/>
      <w:r w:rsidRPr="003F564F">
        <w:rPr>
          <w:sz w:val="22"/>
          <w:szCs w:val="22"/>
          <w:lang w:eastAsia="lt-LT"/>
        </w:rPr>
        <w:t>TpŠL</w:t>
      </w:r>
      <w:proofErr w:type="spellEnd"/>
      <w:r w:rsidRPr="003F564F">
        <w:rPr>
          <w:sz w:val="22"/>
          <w:szCs w:val="22"/>
          <w:lang w:eastAsia="lt-LT"/>
        </w:rPr>
        <w:t xml:space="preserve"> nustatymo). Kartu su </w:t>
      </w:r>
      <w:proofErr w:type="spellStart"/>
      <w:r w:rsidR="002B7C37">
        <w:rPr>
          <w:sz w:val="22"/>
          <w:szCs w:val="22"/>
          <w:lang w:eastAsia="lt-LT"/>
        </w:rPr>
        <w:t>ruksolitinibu</w:t>
      </w:r>
      <w:proofErr w:type="spellEnd"/>
      <w:r w:rsidRPr="003F564F">
        <w:rPr>
          <w:sz w:val="22"/>
          <w:szCs w:val="22"/>
          <w:lang w:eastAsia="lt-LT"/>
        </w:rPr>
        <w:t xml:space="preserve"> pacientams toliau buvo skiriamas gydymas sisteminio poveikio kortikosteroidu ir (arba) KNI (</w:t>
      </w:r>
      <w:proofErr w:type="spellStart"/>
      <w:r w:rsidRPr="003F564F">
        <w:rPr>
          <w:sz w:val="22"/>
          <w:szCs w:val="22"/>
          <w:lang w:eastAsia="lt-LT"/>
        </w:rPr>
        <w:t>ciklosporinu</w:t>
      </w:r>
      <w:proofErr w:type="spellEnd"/>
      <w:r w:rsidRPr="003F564F">
        <w:rPr>
          <w:sz w:val="22"/>
          <w:szCs w:val="22"/>
          <w:lang w:eastAsia="lt-LT"/>
        </w:rPr>
        <w:t xml:space="preserve"> ar </w:t>
      </w:r>
      <w:proofErr w:type="spellStart"/>
      <w:r w:rsidRPr="003F564F">
        <w:rPr>
          <w:sz w:val="22"/>
          <w:szCs w:val="22"/>
          <w:lang w:eastAsia="lt-LT"/>
        </w:rPr>
        <w:t>takrolimuzu</w:t>
      </w:r>
      <w:proofErr w:type="spellEnd"/>
      <w:r w:rsidRPr="003F564F">
        <w:rPr>
          <w:sz w:val="22"/>
          <w:szCs w:val="22"/>
          <w:lang w:eastAsia="lt-LT"/>
        </w:rPr>
        <w:t>), o taip pat buvo leidžiamas gydymas vietinio poveikio kortikosteroidais laikantis gydymo įstaigos rekomendacijų. REACH5</w:t>
      </w:r>
      <w:r w:rsidR="00EB0B12" w:rsidRPr="003F564F">
        <w:rPr>
          <w:sz w:val="22"/>
          <w:szCs w:val="22"/>
          <w:lang w:eastAsia="lt-LT"/>
        </w:rPr>
        <w:t xml:space="preserve"> </w:t>
      </w:r>
      <w:r w:rsidRPr="003F564F">
        <w:rPr>
          <w:sz w:val="22"/>
          <w:szCs w:val="22"/>
          <w:lang w:eastAsia="lt-LT"/>
        </w:rPr>
        <w:t>tyrimo metu 23</w:t>
      </w:r>
      <w:r w:rsidR="002B7C37">
        <w:rPr>
          <w:sz w:val="22"/>
          <w:szCs w:val="22"/>
          <w:lang w:eastAsia="lt-LT"/>
        </w:rPr>
        <w:t> </w:t>
      </w:r>
      <w:r w:rsidRPr="003F564F">
        <w:rPr>
          <w:sz w:val="22"/>
          <w:szCs w:val="22"/>
          <w:lang w:eastAsia="lt-LT"/>
        </w:rPr>
        <w:t>pacientams (51,1</w:t>
      </w:r>
      <w:r w:rsidR="002B7C37">
        <w:rPr>
          <w:sz w:val="22"/>
          <w:szCs w:val="22"/>
          <w:lang w:eastAsia="lt-LT"/>
        </w:rPr>
        <w:t> </w:t>
      </w:r>
      <w:r w:rsidRPr="003F564F">
        <w:rPr>
          <w:sz w:val="22"/>
          <w:szCs w:val="22"/>
          <w:lang w:eastAsia="lt-LT"/>
        </w:rPr>
        <w:t xml:space="preserve">%) kartu buvo skirtas gydymas KNI. Pacientams taip pat galėjo būti taikoma įprastinė alogeninė kamieninių ląstelių transplantacija, skiriamas palaikomasis gydymas, įskaitant vaistinius preparatus infekcijoms gydyti ir kraujo komponentų transfuzijas. </w:t>
      </w:r>
      <w:proofErr w:type="spellStart"/>
      <w:r w:rsidR="002B7C37">
        <w:rPr>
          <w:sz w:val="22"/>
          <w:szCs w:val="22"/>
          <w:lang w:eastAsia="lt-LT"/>
        </w:rPr>
        <w:t>Ruksolitinibo</w:t>
      </w:r>
      <w:proofErr w:type="spellEnd"/>
      <w:r w:rsidR="002B7C37" w:rsidRPr="003F564F">
        <w:rPr>
          <w:sz w:val="22"/>
          <w:szCs w:val="22"/>
          <w:lang w:eastAsia="lt-LT"/>
        </w:rPr>
        <w:t xml:space="preserve"> </w:t>
      </w:r>
      <w:r w:rsidRPr="003F564F">
        <w:rPr>
          <w:sz w:val="22"/>
          <w:szCs w:val="22"/>
          <w:lang w:eastAsia="lt-LT"/>
        </w:rPr>
        <w:t>skyrimas buvo nutraukiamas, jeigu 169</w:t>
      </w:r>
      <w:r w:rsidR="002B7C37">
        <w:rPr>
          <w:sz w:val="22"/>
          <w:szCs w:val="22"/>
          <w:lang w:eastAsia="lt-LT"/>
        </w:rPr>
        <w:noBreakHyphen/>
      </w:r>
      <w:r w:rsidRPr="003F564F">
        <w:rPr>
          <w:sz w:val="22"/>
          <w:szCs w:val="22"/>
          <w:lang w:eastAsia="lt-LT"/>
        </w:rPr>
        <w:t xml:space="preserve">ąją dieną nebuvo nustatoma atsako į lėtinės </w:t>
      </w:r>
      <w:proofErr w:type="spellStart"/>
      <w:r w:rsidRPr="003F564F">
        <w:rPr>
          <w:sz w:val="22"/>
          <w:szCs w:val="22"/>
          <w:lang w:eastAsia="lt-LT"/>
        </w:rPr>
        <w:t>TpŠL</w:t>
      </w:r>
      <w:proofErr w:type="spellEnd"/>
      <w:r w:rsidRPr="003F564F">
        <w:rPr>
          <w:sz w:val="22"/>
          <w:szCs w:val="22"/>
          <w:lang w:eastAsia="lt-LT"/>
        </w:rPr>
        <w:t xml:space="preserve"> gydymą.</w:t>
      </w:r>
    </w:p>
    <w:p w14:paraId="0E49EF00" w14:textId="77777777" w:rsidR="0036574D" w:rsidRPr="003F564F" w:rsidRDefault="0036574D" w:rsidP="0036574D">
      <w:pPr>
        <w:rPr>
          <w:sz w:val="22"/>
          <w:szCs w:val="22"/>
          <w:lang w:eastAsia="lt-LT"/>
        </w:rPr>
      </w:pPr>
    </w:p>
    <w:p w14:paraId="7B5015F6" w14:textId="07146265" w:rsidR="0036574D" w:rsidRPr="003F564F" w:rsidRDefault="0036574D" w:rsidP="0036574D">
      <w:pPr>
        <w:rPr>
          <w:sz w:val="22"/>
          <w:szCs w:val="22"/>
          <w:lang w:eastAsia="lt-LT"/>
        </w:rPr>
      </w:pPr>
      <w:r w:rsidRPr="003F564F">
        <w:rPr>
          <w:sz w:val="22"/>
          <w:szCs w:val="22"/>
          <w:lang w:eastAsia="lt-LT"/>
        </w:rPr>
        <w:t>Po 169</w:t>
      </w:r>
      <w:r w:rsidR="002B7C37">
        <w:rPr>
          <w:sz w:val="22"/>
          <w:szCs w:val="22"/>
          <w:lang w:eastAsia="lt-LT"/>
        </w:rPr>
        <w:noBreakHyphen/>
      </w:r>
      <w:r w:rsidRPr="003F564F">
        <w:rPr>
          <w:sz w:val="22"/>
          <w:szCs w:val="22"/>
          <w:lang w:eastAsia="lt-LT"/>
        </w:rPr>
        <w:t xml:space="preserve">osios dienos vizito buvo leidžiama pacientams laipsniškai mažinti </w:t>
      </w:r>
      <w:proofErr w:type="spellStart"/>
      <w:r w:rsidR="002B7C37">
        <w:rPr>
          <w:sz w:val="22"/>
          <w:szCs w:val="22"/>
          <w:lang w:eastAsia="lt-LT"/>
        </w:rPr>
        <w:t>ruksolitinibo</w:t>
      </w:r>
      <w:proofErr w:type="spellEnd"/>
      <w:r w:rsidR="002B7C37" w:rsidRPr="003F564F">
        <w:rPr>
          <w:sz w:val="22"/>
          <w:szCs w:val="22"/>
          <w:lang w:eastAsia="lt-LT"/>
        </w:rPr>
        <w:t xml:space="preserve"> </w:t>
      </w:r>
      <w:r w:rsidRPr="003F564F">
        <w:rPr>
          <w:sz w:val="22"/>
          <w:szCs w:val="22"/>
          <w:lang w:eastAsia="lt-LT"/>
        </w:rPr>
        <w:t>dozę ir jo vartojimą nutraukti.</w:t>
      </w:r>
    </w:p>
    <w:p w14:paraId="73238194" w14:textId="77777777" w:rsidR="0036574D" w:rsidRPr="003F564F" w:rsidRDefault="0036574D" w:rsidP="0036574D">
      <w:pPr>
        <w:rPr>
          <w:sz w:val="22"/>
          <w:szCs w:val="22"/>
          <w:lang w:eastAsia="lt-LT"/>
        </w:rPr>
      </w:pPr>
    </w:p>
    <w:p w14:paraId="2C31B059" w14:textId="417304CE" w:rsidR="0036574D" w:rsidRPr="003F564F" w:rsidRDefault="0036574D" w:rsidP="0036574D">
      <w:pPr>
        <w:rPr>
          <w:sz w:val="22"/>
          <w:szCs w:val="22"/>
          <w:lang w:eastAsia="lt-LT"/>
        </w:rPr>
      </w:pPr>
      <w:r w:rsidRPr="003F564F">
        <w:rPr>
          <w:sz w:val="22"/>
          <w:szCs w:val="22"/>
          <w:lang w:eastAsia="lt-LT"/>
        </w:rPr>
        <w:t>Vyriškosios ir moteriškosios lyties pacientai sudarė atitinkamai 64,4</w:t>
      </w:r>
      <w:r w:rsidR="002B7C37">
        <w:rPr>
          <w:sz w:val="22"/>
          <w:szCs w:val="22"/>
          <w:lang w:eastAsia="lt-LT"/>
        </w:rPr>
        <w:t> </w:t>
      </w:r>
      <w:r w:rsidRPr="003F564F">
        <w:rPr>
          <w:sz w:val="22"/>
          <w:szCs w:val="22"/>
          <w:lang w:eastAsia="lt-LT"/>
        </w:rPr>
        <w:t>% (n</w:t>
      </w:r>
      <w:r w:rsidR="002B7C37">
        <w:rPr>
          <w:sz w:val="22"/>
          <w:szCs w:val="22"/>
          <w:lang w:eastAsia="lt-LT"/>
        </w:rPr>
        <w:t> </w:t>
      </w:r>
      <w:r w:rsidRPr="003F564F">
        <w:rPr>
          <w:sz w:val="22"/>
          <w:szCs w:val="22"/>
          <w:lang w:eastAsia="lt-LT"/>
        </w:rPr>
        <w:t>=</w:t>
      </w:r>
      <w:r w:rsidR="002B7C37">
        <w:rPr>
          <w:sz w:val="22"/>
          <w:szCs w:val="22"/>
          <w:lang w:eastAsia="lt-LT"/>
        </w:rPr>
        <w:t> </w:t>
      </w:r>
      <w:r w:rsidRPr="003F564F">
        <w:rPr>
          <w:sz w:val="22"/>
          <w:szCs w:val="22"/>
          <w:lang w:eastAsia="lt-LT"/>
        </w:rPr>
        <w:t>29) ir 35,6</w:t>
      </w:r>
      <w:r w:rsidR="002B7C37">
        <w:rPr>
          <w:sz w:val="22"/>
          <w:szCs w:val="22"/>
          <w:lang w:eastAsia="lt-LT"/>
        </w:rPr>
        <w:t> </w:t>
      </w:r>
      <w:r w:rsidRPr="003F564F">
        <w:rPr>
          <w:sz w:val="22"/>
          <w:szCs w:val="22"/>
          <w:lang w:eastAsia="lt-LT"/>
        </w:rPr>
        <w:t>% (n</w:t>
      </w:r>
      <w:r w:rsidR="002B7C37">
        <w:rPr>
          <w:sz w:val="22"/>
          <w:szCs w:val="22"/>
          <w:lang w:eastAsia="lt-LT"/>
        </w:rPr>
        <w:t> </w:t>
      </w:r>
      <w:r w:rsidRPr="003F564F">
        <w:rPr>
          <w:sz w:val="22"/>
          <w:szCs w:val="22"/>
          <w:lang w:eastAsia="lt-LT"/>
        </w:rPr>
        <w:t>=</w:t>
      </w:r>
      <w:r w:rsidR="002B7C37">
        <w:rPr>
          <w:sz w:val="22"/>
          <w:szCs w:val="22"/>
          <w:lang w:eastAsia="lt-LT"/>
        </w:rPr>
        <w:t> </w:t>
      </w:r>
      <w:r w:rsidRPr="003F564F">
        <w:rPr>
          <w:sz w:val="22"/>
          <w:szCs w:val="22"/>
          <w:lang w:eastAsia="lt-LT"/>
        </w:rPr>
        <w:t>16) visų pacientų, o 30</w:t>
      </w:r>
      <w:r w:rsidR="002B7C37">
        <w:rPr>
          <w:sz w:val="22"/>
          <w:szCs w:val="22"/>
          <w:lang w:eastAsia="lt-LT"/>
        </w:rPr>
        <w:t> </w:t>
      </w:r>
      <w:r w:rsidRPr="003F564F">
        <w:rPr>
          <w:sz w:val="22"/>
          <w:szCs w:val="22"/>
          <w:lang w:eastAsia="lt-LT"/>
        </w:rPr>
        <w:t>pacientų (66,7</w:t>
      </w:r>
      <w:r w:rsidR="002B7C37">
        <w:rPr>
          <w:sz w:val="22"/>
          <w:szCs w:val="22"/>
          <w:lang w:eastAsia="lt-LT"/>
        </w:rPr>
        <w:t> </w:t>
      </w:r>
      <w:r w:rsidRPr="003F564F">
        <w:rPr>
          <w:sz w:val="22"/>
          <w:szCs w:val="22"/>
          <w:lang w:eastAsia="lt-LT"/>
        </w:rPr>
        <w:t>%) iki transplantacijos buvo nustatyta piktybinė gretutinė liga, dažniausia leukemija (27</w:t>
      </w:r>
      <w:r w:rsidR="002B7C37">
        <w:rPr>
          <w:sz w:val="22"/>
          <w:szCs w:val="22"/>
          <w:lang w:eastAsia="lt-LT"/>
        </w:rPr>
        <w:t> </w:t>
      </w:r>
      <w:r w:rsidRPr="003F564F">
        <w:rPr>
          <w:sz w:val="22"/>
          <w:szCs w:val="22"/>
          <w:lang w:eastAsia="lt-LT"/>
        </w:rPr>
        <w:t>pacientams, 60</w:t>
      </w:r>
      <w:r w:rsidR="002B7C37">
        <w:rPr>
          <w:sz w:val="22"/>
          <w:szCs w:val="22"/>
          <w:lang w:eastAsia="lt-LT"/>
        </w:rPr>
        <w:t> </w:t>
      </w:r>
      <w:r w:rsidRPr="003F564F">
        <w:rPr>
          <w:sz w:val="22"/>
          <w:szCs w:val="22"/>
          <w:lang w:eastAsia="lt-LT"/>
        </w:rPr>
        <w:t>%).</w:t>
      </w:r>
    </w:p>
    <w:p w14:paraId="0C40385C" w14:textId="77777777" w:rsidR="0036574D" w:rsidRPr="003F564F" w:rsidRDefault="0036574D" w:rsidP="0036574D">
      <w:pPr>
        <w:rPr>
          <w:sz w:val="22"/>
          <w:szCs w:val="22"/>
          <w:lang w:eastAsia="lt-LT"/>
        </w:rPr>
      </w:pPr>
    </w:p>
    <w:p w14:paraId="699A756C" w14:textId="1E7E0236" w:rsidR="0036574D" w:rsidRDefault="0036574D" w:rsidP="0036574D">
      <w:pPr>
        <w:rPr>
          <w:sz w:val="22"/>
          <w:szCs w:val="22"/>
          <w:lang w:eastAsia="lt-LT"/>
        </w:rPr>
      </w:pPr>
      <w:r w:rsidRPr="003F564F">
        <w:rPr>
          <w:sz w:val="22"/>
          <w:szCs w:val="22"/>
          <w:lang w:eastAsia="lt-LT"/>
        </w:rPr>
        <w:t>Tarp 45</w:t>
      </w:r>
      <w:r w:rsidR="002B7C37">
        <w:rPr>
          <w:sz w:val="22"/>
          <w:szCs w:val="22"/>
          <w:lang w:eastAsia="lt-LT"/>
        </w:rPr>
        <w:t> </w:t>
      </w:r>
      <w:r w:rsidRPr="003F564F">
        <w:rPr>
          <w:sz w:val="22"/>
          <w:szCs w:val="22"/>
          <w:lang w:eastAsia="lt-LT"/>
        </w:rPr>
        <w:t>vaikų, kurie buvo įtraukti į REACH5 tyrimą, 17</w:t>
      </w:r>
      <w:r w:rsidR="002B7C37">
        <w:rPr>
          <w:sz w:val="22"/>
          <w:szCs w:val="22"/>
          <w:lang w:eastAsia="lt-LT"/>
        </w:rPr>
        <w:t> </w:t>
      </w:r>
      <w:r w:rsidRPr="003F564F">
        <w:rPr>
          <w:sz w:val="22"/>
          <w:szCs w:val="22"/>
          <w:lang w:eastAsia="lt-LT"/>
        </w:rPr>
        <w:t>pacientų (37,8</w:t>
      </w:r>
      <w:r w:rsidR="002B7C37">
        <w:rPr>
          <w:sz w:val="22"/>
          <w:szCs w:val="22"/>
          <w:lang w:eastAsia="lt-LT"/>
        </w:rPr>
        <w:t> </w:t>
      </w:r>
      <w:r w:rsidRPr="003F564F">
        <w:rPr>
          <w:sz w:val="22"/>
          <w:szCs w:val="22"/>
          <w:lang w:eastAsia="lt-LT"/>
        </w:rPr>
        <w:t xml:space="preserve">%) buvo nustatyta anksčiau negydyta lėtinė </w:t>
      </w:r>
      <w:proofErr w:type="spellStart"/>
      <w:r w:rsidRPr="003F564F">
        <w:rPr>
          <w:sz w:val="22"/>
          <w:szCs w:val="22"/>
          <w:lang w:eastAsia="lt-LT"/>
        </w:rPr>
        <w:t>TpŠL</w:t>
      </w:r>
      <w:proofErr w:type="spellEnd"/>
      <w:r w:rsidRPr="003F564F">
        <w:rPr>
          <w:sz w:val="22"/>
          <w:szCs w:val="22"/>
          <w:lang w:eastAsia="lt-LT"/>
        </w:rPr>
        <w:t>, o 28</w:t>
      </w:r>
      <w:r w:rsidR="002B7C37">
        <w:rPr>
          <w:sz w:val="22"/>
          <w:szCs w:val="22"/>
          <w:lang w:eastAsia="lt-LT"/>
        </w:rPr>
        <w:t> </w:t>
      </w:r>
      <w:r w:rsidRPr="003F564F">
        <w:rPr>
          <w:sz w:val="22"/>
          <w:szCs w:val="22"/>
          <w:lang w:eastAsia="lt-LT"/>
        </w:rPr>
        <w:t>pacientams (62,2</w:t>
      </w:r>
      <w:r w:rsidR="002B7C37">
        <w:rPr>
          <w:sz w:val="22"/>
          <w:szCs w:val="22"/>
          <w:lang w:eastAsia="lt-LT"/>
        </w:rPr>
        <w:t> </w:t>
      </w:r>
      <w:r w:rsidRPr="003F564F">
        <w:rPr>
          <w:sz w:val="22"/>
          <w:szCs w:val="22"/>
          <w:lang w:eastAsia="lt-LT"/>
        </w:rPr>
        <w:t xml:space="preserve">%) buvo nustatyta kortikosteroidams atspari lėtinė </w:t>
      </w:r>
      <w:proofErr w:type="spellStart"/>
      <w:r w:rsidRPr="003F564F">
        <w:rPr>
          <w:sz w:val="22"/>
          <w:szCs w:val="22"/>
          <w:lang w:eastAsia="lt-LT"/>
        </w:rPr>
        <w:t>TpŠL</w:t>
      </w:r>
      <w:proofErr w:type="spellEnd"/>
      <w:r w:rsidRPr="003F564F">
        <w:rPr>
          <w:sz w:val="22"/>
          <w:szCs w:val="22"/>
          <w:lang w:eastAsia="lt-LT"/>
        </w:rPr>
        <w:t>.</w:t>
      </w:r>
      <w:r w:rsidR="00EB0B12" w:rsidRPr="003F564F">
        <w:rPr>
          <w:sz w:val="22"/>
          <w:szCs w:val="22"/>
          <w:lang w:eastAsia="lt-LT"/>
        </w:rPr>
        <w:t xml:space="preserve"> </w:t>
      </w:r>
      <w:r w:rsidRPr="003F564F">
        <w:rPr>
          <w:sz w:val="22"/>
          <w:szCs w:val="22"/>
          <w:lang w:eastAsia="lt-LT"/>
        </w:rPr>
        <w:lastRenderedPageBreak/>
        <w:t>62,2</w:t>
      </w:r>
      <w:r w:rsidR="002B7C37">
        <w:rPr>
          <w:sz w:val="22"/>
          <w:szCs w:val="22"/>
          <w:lang w:eastAsia="lt-LT"/>
        </w:rPr>
        <w:t> </w:t>
      </w:r>
      <w:r w:rsidRPr="003F564F">
        <w:rPr>
          <w:sz w:val="22"/>
          <w:szCs w:val="22"/>
          <w:lang w:eastAsia="lt-LT"/>
        </w:rPr>
        <w:t>% pacientų nustatyta sunki liga, o 37,8</w:t>
      </w:r>
      <w:r w:rsidR="002B7C37">
        <w:rPr>
          <w:sz w:val="22"/>
          <w:szCs w:val="22"/>
          <w:lang w:eastAsia="lt-LT"/>
        </w:rPr>
        <w:t> </w:t>
      </w:r>
      <w:r w:rsidRPr="003F564F">
        <w:rPr>
          <w:sz w:val="22"/>
          <w:szCs w:val="22"/>
          <w:lang w:eastAsia="lt-LT"/>
        </w:rPr>
        <w:t>% pacientų nustatyta vidutinio sunkumo liga. Trisdešimt</w:t>
      </w:r>
      <w:r w:rsidR="00EB0B12" w:rsidRPr="003F564F">
        <w:rPr>
          <w:sz w:val="22"/>
          <w:szCs w:val="22"/>
          <w:lang w:eastAsia="lt-LT"/>
        </w:rPr>
        <w:t xml:space="preserve"> </w:t>
      </w:r>
      <w:r w:rsidRPr="003F564F">
        <w:rPr>
          <w:sz w:val="22"/>
          <w:szCs w:val="22"/>
          <w:lang w:eastAsia="lt-LT"/>
        </w:rPr>
        <w:t>vienam pacientui (68,9</w:t>
      </w:r>
      <w:r w:rsidR="002B7C37">
        <w:rPr>
          <w:sz w:val="22"/>
          <w:szCs w:val="22"/>
          <w:lang w:eastAsia="lt-LT"/>
        </w:rPr>
        <w:t> </w:t>
      </w:r>
      <w:r w:rsidRPr="003F564F">
        <w:rPr>
          <w:sz w:val="22"/>
          <w:szCs w:val="22"/>
          <w:lang w:eastAsia="lt-LT"/>
        </w:rPr>
        <w:t>%) buvo pažeista oda, aštuoniolikai pacientų (40</w:t>
      </w:r>
      <w:r w:rsidR="002B7C37">
        <w:rPr>
          <w:sz w:val="22"/>
          <w:szCs w:val="22"/>
          <w:lang w:eastAsia="lt-LT"/>
        </w:rPr>
        <w:t> </w:t>
      </w:r>
      <w:r w:rsidRPr="003F564F">
        <w:rPr>
          <w:sz w:val="22"/>
          <w:szCs w:val="22"/>
          <w:lang w:eastAsia="lt-LT"/>
        </w:rPr>
        <w:t>%) buvo pažeista burnos ertmė, o keturiolikai pacientų (31,1</w:t>
      </w:r>
      <w:r w:rsidR="002B7C37">
        <w:rPr>
          <w:sz w:val="22"/>
          <w:szCs w:val="22"/>
          <w:lang w:eastAsia="lt-LT"/>
        </w:rPr>
        <w:t> </w:t>
      </w:r>
      <w:r w:rsidRPr="003F564F">
        <w:rPr>
          <w:sz w:val="22"/>
          <w:szCs w:val="22"/>
          <w:lang w:eastAsia="lt-LT"/>
        </w:rPr>
        <w:t>%) buvo pažeisti plaučiai.</w:t>
      </w:r>
    </w:p>
    <w:p w14:paraId="41C88CF1" w14:textId="77777777" w:rsidR="002B7C37" w:rsidRPr="003F564F" w:rsidRDefault="002B7C37" w:rsidP="0036574D">
      <w:pPr>
        <w:rPr>
          <w:sz w:val="22"/>
          <w:szCs w:val="22"/>
          <w:lang w:eastAsia="lt-LT"/>
        </w:rPr>
      </w:pPr>
    </w:p>
    <w:p w14:paraId="743FF81C" w14:textId="1A895BB7" w:rsidR="0036574D" w:rsidRPr="003F564F" w:rsidRDefault="0036574D" w:rsidP="0036574D">
      <w:pPr>
        <w:rPr>
          <w:sz w:val="22"/>
          <w:szCs w:val="22"/>
          <w:lang w:eastAsia="lt-LT"/>
        </w:rPr>
      </w:pPr>
      <w:r w:rsidRPr="003F564F">
        <w:rPr>
          <w:sz w:val="22"/>
          <w:szCs w:val="22"/>
          <w:lang w:eastAsia="lt-LT"/>
        </w:rPr>
        <w:t>REACH5 tyrimo duomenimis, BAD rodmuo 169</w:t>
      </w:r>
      <w:r w:rsidR="002B7C37">
        <w:rPr>
          <w:sz w:val="22"/>
          <w:szCs w:val="22"/>
          <w:lang w:eastAsia="lt-LT"/>
        </w:rPr>
        <w:noBreakHyphen/>
      </w:r>
      <w:r w:rsidRPr="003F564F">
        <w:rPr>
          <w:sz w:val="22"/>
          <w:szCs w:val="22"/>
          <w:lang w:eastAsia="lt-LT"/>
        </w:rPr>
        <w:t>ąją dieną (pagrindinė veiksmingumo vertinamoji baigtis) buvo 40</w:t>
      </w:r>
      <w:r w:rsidR="002B7C37">
        <w:rPr>
          <w:sz w:val="22"/>
          <w:szCs w:val="22"/>
          <w:lang w:eastAsia="lt-LT"/>
        </w:rPr>
        <w:t> </w:t>
      </w:r>
      <w:r w:rsidRPr="003F564F">
        <w:rPr>
          <w:sz w:val="22"/>
          <w:szCs w:val="22"/>
          <w:lang w:eastAsia="lt-LT"/>
        </w:rPr>
        <w:t>% (90</w:t>
      </w:r>
      <w:r w:rsidR="002B7C37">
        <w:rPr>
          <w:sz w:val="22"/>
          <w:szCs w:val="22"/>
          <w:lang w:eastAsia="lt-LT"/>
        </w:rPr>
        <w:t> </w:t>
      </w:r>
      <w:r w:rsidRPr="003F564F">
        <w:rPr>
          <w:sz w:val="22"/>
          <w:szCs w:val="22"/>
          <w:lang w:eastAsia="lt-LT"/>
        </w:rPr>
        <w:t>% PI: 27,7; 53,3) visiems tyrime dalyvavusiems vaikams ir 39,3</w:t>
      </w:r>
      <w:r w:rsidR="002B7C37">
        <w:rPr>
          <w:sz w:val="22"/>
          <w:szCs w:val="22"/>
          <w:lang w:eastAsia="lt-LT"/>
        </w:rPr>
        <w:t> </w:t>
      </w:r>
      <w:r w:rsidRPr="003F564F">
        <w:rPr>
          <w:sz w:val="22"/>
          <w:szCs w:val="22"/>
          <w:lang w:eastAsia="lt-LT"/>
        </w:rPr>
        <w:t>%</w:t>
      </w:r>
      <w:r w:rsidR="00EB0B12" w:rsidRPr="003F564F">
        <w:rPr>
          <w:sz w:val="22"/>
          <w:szCs w:val="22"/>
          <w:lang w:eastAsia="lt-LT"/>
        </w:rPr>
        <w:t xml:space="preserve"> </w:t>
      </w:r>
      <w:r w:rsidRPr="003F564F">
        <w:rPr>
          <w:sz w:val="22"/>
          <w:szCs w:val="22"/>
          <w:lang w:eastAsia="lt-LT"/>
        </w:rPr>
        <w:t>kortikosteroidams atsparia liga sirgusiems pacientams.</w:t>
      </w:r>
    </w:p>
    <w:p w14:paraId="1B1CD2D7" w14:textId="77777777" w:rsidR="0036574D" w:rsidRPr="003F564F" w:rsidRDefault="0036574D" w:rsidP="0036574D">
      <w:pPr>
        <w:rPr>
          <w:sz w:val="22"/>
          <w:szCs w:val="22"/>
          <w:lang w:eastAsia="lt-LT"/>
        </w:rPr>
      </w:pPr>
    </w:p>
    <w:p w14:paraId="37611F32" w14:textId="77777777" w:rsidR="008D3B35" w:rsidRPr="003F564F" w:rsidRDefault="00AB4978">
      <w:pPr>
        <w:keepNext/>
        <w:tabs>
          <w:tab w:val="left" w:pos="567"/>
        </w:tabs>
        <w:spacing w:line="260" w:lineRule="exact"/>
        <w:jc w:val="both"/>
        <w:outlineLvl w:val="3"/>
        <w:rPr>
          <w:b/>
          <w:bCs/>
          <w:sz w:val="22"/>
          <w:szCs w:val="28"/>
          <w:lang w:eastAsia="x-none"/>
        </w:rPr>
      </w:pPr>
      <w:r w:rsidRPr="003F564F">
        <w:rPr>
          <w:b/>
          <w:bCs/>
          <w:sz w:val="22"/>
          <w:szCs w:val="28"/>
          <w:lang w:eastAsia="x-none"/>
        </w:rPr>
        <w:t>5.2</w:t>
      </w:r>
      <w:r w:rsidRPr="003F564F">
        <w:rPr>
          <w:b/>
          <w:bCs/>
          <w:sz w:val="22"/>
          <w:szCs w:val="28"/>
          <w:lang w:eastAsia="x-none"/>
        </w:rPr>
        <w:tab/>
      </w:r>
      <w:proofErr w:type="spellStart"/>
      <w:r w:rsidRPr="003F564F">
        <w:rPr>
          <w:b/>
          <w:bCs/>
          <w:sz w:val="22"/>
          <w:szCs w:val="28"/>
          <w:lang w:eastAsia="x-none"/>
        </w:rPr>
        <w:t>Farmakokinetinės</w:t>
      </w:r>
      <w:proofErr w:type="spellEnd"/>
      <w:r w:rsidRPr="003F564F">
        <w:rPr>
          <w:b/>
          <w:bCs/>
          <w:sz w:val="22"/>
          <w:szCs w:val="28"/>
          <w:lang w:eastAsia="x-none"/>
        </w:rPr>
        <w:t xml:space="preserve"> savybės</w:t>
      </w:r>
    </w:p>
    <w:p w14:paraId="23F68520" w14:textId="77777777" w:rsidR="008D3B35" w:rsidRPr="003F564F" w:rsidRDefault="008D3B35">
      <w:pPr>
        <w:rPr>
          <w:sz w:val="22"/>
          <w:szCs w:val="24"/>
        </w:rPr>
      </w:pPr>
    </w:p>
    <w:p w14:paraId="546D9264" w14:textId="77777777" w:rsidR="00B341E8" w:rsidRPr="002B7C37" w:rsidRDefault="00B341E8" w:rsidP="00B341E8">
      <w:pPr>
        <w:tabs>
          <w:tab w:val="left" w:pos="567"/>
        </w:tabs>
        <w:rPr>
          <w:color w:val="000000"/>
          <w:sz w:val="22"/>
          <w:u w:val="single"/>
        </w:rPr>
      </w:pPr>
      <w:r w:rsidRPr="002B7C37">
        <w:rPr>
          <w:color w:val="000000"/>
          <w:sz w:val="22"/>
          <w:u w:val="single"/>
        </w:rPr>
        <w:t>Absorbcija</w:t>
      </w:r>
    </w:p>
    <w:p w14:paraId="08E9CB3C" w14:textId="77777777" w:rsidR="002B7C37" w:rsidRDefault="002B7C37" w:rsidP="00B341E8">
      <w:pPr>
        <w:tabs>
          <w:tab w:val="left" w:pos="567"/>
        </w:tabs>
        <w:rPr>
          <w:color w:val="000000"/>
          <w:sz w:val="22"/>
        </w:rPr>
      </w:pPr>
    </w:p>
    <w:p w14:paraId="2EA7828D" w14:textId="1E2191F9" w:rsidR="00B341E8" w:rsidRPr="003F564F" w:rsidRDefault="00B341E8" w:rsidP="00B341E8">
      <w:pPr>
        <w:tabs>
          <w:tab w:val="left" w:pos="567"/>
        </w:tabs>
        <w:rPr>
          <w:color w:val="000000"/>
          <w:sz w:val="22"/>
        </w:rPr>
      </w:pPr>
      <w:proofErr w:type="spellStart"/>
      <w:r w:rsidRPr="003F564F">
        <w:rPr>
          <w:color w:val="000000"/>
          <w:sz w:val="22"/>
        </w:rPr>
        <w:t>Ruksolitinibas</w:t>
      </w:r>
      <w:proofErr w:type="spellEnd"/>
      <w:r w:rsidRPr="003F564F">
        <w:rPr>
          <w:color w:val="000000"/>
          <w:sz w:val="22"/>
        </w:rPr>
        <w:t xml:space="preserve"> priskiriamas 1-osios klasės medžiagoms pagal </w:t>
      </w:r>
      <w:proofErr w:type="spellStart"/>
      <w:r w:rsidRPr="003F564F">
        <w:rPr>
          <w:color w:val="000000"/>
          <w:sz w:val="22"/>
        </w:rPr>
        <w:t>biofarmacinių</w:t>
      </w:r>
      <w:proofErr w:type="spellEnd"/>
      <w:r w:rsidRPr="003F564F">
        <w:rPr>
          <w:color w:val="000000"/>
          <w:sz w:val="22"/>
        </w:rPr>
        <w:t xml:space="preserve"> vaistinių preparatų klasifikacijos sistemą (BCS), jam būdingas didelis </w:t>
      </w:r>
      <w:proofErr w:type="spellStart"/>
      <w:r w:rsidRPr="003F564F">
        <w:rPr>
          <w:color w:val="000000"/>
          <w:sz w:val="22"/>
        </w:rPr>
        <w:t>skvarbumas</w:t>
      </w:r>
      <w:proofErr w:type="spellEnd"/>
      <w:r w:rsidRPr="003F564F">
        <w:rPr>
          <w:color w:val="000000"/>
          <w:sz w:val="22"/>
        </w:rPr>
        <w:t xml:space="preserve">, didelis tirpumas ir greitas skaidymasis. Klinikinių tyrimų metu nustatyta, kad per burną pavartojus </w:t>
      </w:r>
      <w:proofErr w:type="spellStart"/>
      <w:r w:rsidRPr="003F564F">
        <w:rPr>
          <w:color w:val="000000"/>
          <w:sz w:val="22"/>
        </w:rPr>
        <w:t>ruksolitinibo</w:t>
      </w:r>
      <w:proofErr w:type="spellEnd"/>
      <w:r w:rsidRPr="003F564F">
        <w:rPr>
          <w:color w:val="000000"/>
          <w:sz w:val="22"/>
        </w:rPr>
        <w:t>, jis greitai absorbuojamas, o didžiausia koncentracija plazmoje (</w:t>
      </w:r>
      <w:proofErr w:type="spellStart"/>
      <w:r w:rsidRPr="003F564F">
        <w:rPr>
          <w:color w:val="000000"/>
          <w:sz w:val="22"/>
        </w:rPr>
        <w:t>C</w:t>
      </w:r>
      <w:r w:rsidRPr="002B7C37">
        <w:rPr>
          <w:color w:val="000000"/>
          <w:sz w:val="22"/>
          <w:vertAlign w:val="subscript"/>
        </w:rPr>
        <w:t>max</w:t>
      </w:r>
      <w:proofErr w:type="spellEnd"/>
      <w:r w:rsidRPr="003F564F">
        <w:rPr>
          <w:color w:val="000000"/>
          <w:sz w:val="22"/>
        </w:rPr>
        <w:t>) susidaro maždaug po 1</w:t>
      </w:r>
      <w:r w:rsidR="002B7C37">
        <w:rPr>
          <w:color w:val="000000"/>
          <w:sz w:val="22"/>
        </w:rPr>
        <w:t> </w:t>
      </w:r>
      <w:r w:rsidRPr="003F564F">
        <w:rPr>
          <w:color w:val="000000"/>
          <w:sz w:val="22"/>
        </w:rPr>
        <w:t xml:space="preserve">valandos nuo dozės vartojimo. Remiantis atlikto žmogaus masės pusiausvyros tyrimo duomenimis, per burną vartojamo </w:t>
      </w:r>
      <w:proofErr w:type="spellStart"/>
      <w:r w:rsidRPr="003F564F">
        <w:rPr>
          <w:color w:val="000000"/>
          <w:sz w:val="22"/>
        </w:rPr>
        <w:t>ruksolitinibo</w:t>
      </w:r>
      <w:proofErr w:type="spellEnd"/>
      <w:r w:rsidRPr="003F564F">
        <w:rPr>
          <w:color w:val="000000"/>
          <w:sz w:val="22"/>
        </w:rPr>
        <w:t xml:space="preserve"> absorbcija yra 95</w:t>
      </w:r>
      <w:r w:rsidR="002B7C37">
        <w:rPr>
          <w:color w:val="000000"/>
          <w:sz w:val="22"/>
        </w:rPr>
        <w:t> </w:t>
      </w:r>
      <w:r w:rsidRPr="003F564F">
        <w:rPr>
          <w:color w:val="000000"/>
          <w:sz w:val="22"/>
        </w:rPr>
        <w:t xml:space="preserve">% ar didesnė (nustatant </w:t>
      </w:r>
      <w:proofErr w:type="spellStart"/>
      <w:r w:rsidRPr="003F564F">
        <w:rPr>
          <w:color w:val="000000"/>
          <w:sz w:val="22"/>
        </w:rPr>
        <w:t>ruksolitinibo</w:t>
      </w:r>
      <w:proofErr w:type="spellEnd"/>
      <w:r w:rsidRPr="003F564F">
        <w:rPr>
          <w:color w:val="000000"/>
          <w:sz w:val="22"/>
        </w:rPr>
        <w:t xml:space="preserve"> ar pirmojo prasiskverbimo pro kepenis metu susidarančių jo metabolitų koncentracijas). Skiriant vienkartinę 5</w:t>
      </w:r>
      <w:r w:rsidR="002B7C37">
        <w:rPr>
          <w:color w:val="000000"/>
          <w:sz w:val="22"/>
        </w:rPr>
        <w:noBreakHyphen/>
      </w:r>
      <w:r w:rsidRPr="003F564F">
        <w:rPr>
          <w:color w:val="000000"/>
          <w:sz w:val="22"/>
        </w:rPr>
        <w:t>200</w:t>
      </w:r>
      <w:r w:rsidR="002B7C37">
        <w:rPr>
          <w:color w:val="000000"/>
          <w:sz w:val="22"/>
        </w:rPr>
        <w:t> </w:t>
      </w:r>
      <w:r w:rsidRPr="003F564F">
        <w:rPr>
          <w:color w:val="000000"/>
          <w:sz w:val="22"/>
        </w:rPr>
        <w:t xml:space="preserve">mg dozę, vidutinės </w:t>
      </w:r>
      <w:proofErr w:type="spellStart"/>
      <w:r w:rsidRPr="003F564F">
        <w:rPr>
          <w:color w:val="000000"/>
          <w:sz w:val="22"/>
        </w:rPr>
        <w:t>ruksolitinibo</w:t>
      </w:r>
      <w:proofErr w:type="spellEnd"/>
      <w:r w:rsidRPr="003F564F">
        <w:rPr>
          <w:color w:val="000000"/>
          <w:sz w:val="22"/>
        </w:rPr>
        <w:t xml:space="preserve"> </w:t>
      </w:r>
      <w:proofErr w:type="spellStart"/>
      <w:r w:rsidRPr="003F564F">
        <w:rPr>
          <w:color w:val="000000"/>
          <w:sz w:val="22"/>
        </w:rPr>
        <w:t>C</w:t>
      </w:r>
      <w:r w:rsidRPr="002B7C37">
        <w:rPr>
          <w:color w:val="000000"/>
          <w:sz w:val="22"/>
          <w:vertAlign w:val="subscript"/>
        </w:rPr>
        <w:t>max</w:t>
      </w:r>
      <w:proofErr w:type="spellEnd"/>
      <w:r w:rsidRPr="003F564F">
        <w:rPr>
          <w:color w:val="000000"/>
          <w:sz w:val="22"/>
        </w:rPr>
        <w:t xml:space="preserve"> ir bendrosios ekspozicijos (AUC) rodiklių reikšmės proporcingai didėjo. Vartojant kartu su daug riebalų turinčiu maistu, kliniškai reikšmingų </w:t>
      </w:r>
      <w:proofErr w:type="spellStart"/>
      <w:r w:rsidRPr="003F564F">
        <w:rPr>
          <w:color w:val="000000"/>
          <w:sz w:val="22"/>
        </w:rPr>
        <w:t>ruksolitinibo</w:t>
      </w:r>
      <w:proofErr w:type="spellEnd"/>
      <w:r w:rsidRPr="003F564F">
        <w:rPr>
          <w:color w:val="000000"/>
          <w:sz w:val="22"/>
        </w:rPr>
        <w:t xml:space="preserve"> farmakokinetikos savybių pokyčių nenustatyta. Vaistinio preparato vartojant kartu su daug riebalų turinčiu maistu, vidutinis </w:t>
      </w:r>
      <w:proofErr w:type="spellStart"/>
      <w:r w:rsidRPr="003F564F">
        <w:rPr>
          <w:color w:val="000000"/>
          <w:sz w:val="22"/>
        </w:rPr>
        <w:t>C</w:t>
      </w:r>
      <w:r w:rsidRPr="002B7C37">
        <w:rPr>
          <w:color w:val="000000"/>
          <w:sz w:val="22"/>
          <w:vertAlign w:val="subscript"/>
        </w:rPr>
        <w:t>max</w:t>
      </w:r>
      <w:proofErr w:type="spellEnd"/>
      <w:r w:rsidRPr="003F564F">
        <w:rPr>
          <w:color w:val="000000"/>
          <w:sz w:val="22"/>
        </w:rPr>
        <w:t xml:space="preserve"> rodiklis nedaug sumažėjo (24</w:t>
      </w:r>
      <w:r w:rsidR="002B7C37">
        <w:rPr>
          <w:color w:val="000000"/>
          <w:sz w:val="22"/>
        </w:rPr>
        <w:t> </w:t>
      </w:r>
      <w:r w:rsidRPr="003F564F">
        <w:rPr>
          <w:color w:val="000000"/>
          <w:sz w:val="22"/>
        </w:rPr>
        <w:t>%), o vidutinis AUC rodiklis beveik nepakito (padidėjo 4</w:t>
      </w:r>
      <w:r w:rsidR="002B7C37">
        <w:rPr>
          <w:color w:val="000000"/>
          <w:sz w:val="22"/>
        </w:rPr>
        <w:t> </w:t>
      </w:r>
      <w:r w:rsidRPr="003F564F">
        <w:rPr>
          <w:color w:val="000000"/>
          <w:sz w:val="22"/>
        </w:rPr>
        <w:t>%).</w:t>
      </w:r>
    </w:p>
    <w:p w14:paraId="440B9073" w14:textId="77777777" w:rsidR="00B341E8" w:rsidRPr="003F564F" w:rsidRDefault="00B341E8" w:rsidP="00B341E8">
      <w:pPr>
        <w:tabs>
          <w:tab w:val="left" w:pos="567"/>
        </w:tabs>
        <w:rPr>
          <w:color w:val="000000"/>
          <w:sz w:val="22"/>
        </w:rPr>
      </w:pPr>
    </w:p>
    <w:p w14:paraId="411F7E69" w14:textId="4D180C95" w:rsidR="00B341E8" w:rsidRPr="002B7C37" w:rsidRDefault="00B341E8" w:rsidP="00B341E8">
      <w:pPr>
        <w:tabs>
          <w:tab w:val="left" w:pos="567"/>
        </w:tabs>
        <w:rPr>
          <w:color w:val="000000"/>
          <w:sz w:val="22"/>
          <w:u w:val="single"/>
        </w:rPr>
      </w:pPr>
      <w:r w:rsidRPr="002B7C37">
        <w:rPr>
          <w:color w:val="000000"/>
          <w:sz w:val="22"/>
          <w:u w:val="single"/>
        </w:rPr>
        <w:t>Pasiskirstymas</w:t>
      </w:r>
    </w:p>
    <w:p w14:paraId="3CCD1B26" w14:textId="77777777" w:rsidR="002B7C37" w:rsidRDefault="002B7C37" w:rsidP="00B341E8">
      <w:pPr>
        <w:tabs>
          <w:tab w:val="left" w:pos="567"/>
        </w:tabs>
        <w:rPr>
          <w:color w:val="000000"/>
          <w:sz w:val="22"/>
        </w:rPr>
      </w:pPr>
    </w:p>
    <w:p w14:paraId="44A2A1D4" w14:textId="0C26851B" w:rsidR="00B341E8" w:rsidRPr="003F564F" w:rsidRDefault="00B341E8" w:rsidP="00B341E8">
      <w:pPr>
        <w:tabs>
          <w:tab w:val="left" w:pos="567"/>
        </w:tabs>
        <w:rPr>
          <w:color w:val="000000"/>
          <w:sz w:val="22"/>
        </w:rPr>
      </w:pPr>
      <w:r w:rsidRPr="003F564F">
        <w:rPr>
          <w:color w:val="000000"/>
          <w:sz w:val="22"/>
        </w:rPr>
        <w:t xml:space="preserve">Vidutinis pasiskirstymo tūris nusistovėjus </w:t>
      </w:r>
      <w:proofErr w:type="spellStart"/>
      <w:r w:rsidRPr="003F564F">
        <w:rPr>
          <w:color w:val="000000"/>
          <w:sz w:val="22"/>
        </w:rPr>
        <w:t>pusiausvyrinei</w:t>
      </w:r>
      <w:proofErr w:type="spellEnd"/>
      <w:r w:rsidRPr="003F564F">
        <w:rPr>
          <w:color w:val="000000"/>
          <w:sz w:val="22"/>
        </w:rPr>
        <w:t xml:space="preserve"> koncentracijai yra maždaug 75</w:t>
      </w:r>
      <w:r w:rsidR="002B7C37">
        <w:rPr>
          <w:color w:val="000000"/>
          <w:sz w:val="22"/>
        </w:rPr>
        <w:t> </w:t>
      </w:r>
      <w:r w:rsidRPr="003F564F">
        <w:rPr>
          <w:color w:val="000000"/>
          <w:sz w:val="22"/>
        </w:rPr>
        <w:t>litrai MF ir TP sergančiųjų organizmuose, 67,5</w:t>
      </w:r>
      <w:r w:rsidR="002B7C37">
        <w:rPr>
          <w:color w:val="000000"/>
          <w:sz w:val="22"/>
        </w:rPr>
        <w:t> </w:t>
      </w:r>
      <w:r w:rsidRPr="003F564F">
        <w:rPr>
          <w:color w:val="000000"/>
          <w:sz w:val="22"/>
        </w:rPr>
        <w:t xml:space="preserve">litro ūmine </w:t>
      </w:r>
      <w:proofErr w:type="spellStart"/>
      <w:r w:rsidRPr="003F564F">
        <w:rPr>
          <w:color w:val="000000"/>
          <w:sz w:val="22"/>
        </w:rPr>
        <w:t>TpŠL</w:t>
      </w:r>
      <w:proofErr w:type="spellEnd"/>
      <w:r w:rsidRPr="003F564F">
        <w:rPr>
          <w:color w:val="000000"/>
          <w:sz w:val="22"/>
        </w:rPr>
        <w:t xml:space="preserve"> sergančių paauglių ir suaugusiųjų organizmuose bei 60,9</w:t>
      </w:r>
      <w:r w:rsidR="002B7C37">
        <w:rPr>
          <w:color w:val="000000"/>
          <w:sz w:val="22"/>
        </w:rPr>
        <w:t> </w:t>
      </w:r>
      <w:r w:rsidRPr="003F564F">
        <w:rPr>
          <w:color w:val="000000"/>
          <w:sz w:val="22"/>
        </w:rPr>
        <w:t xml:space="preserve">litro lėtine </w:t>
      </w:r>
      <w:proofErr w:type="spellStart"/>
      <w:r w:rsidRPr="003F564F">
        <w:rPr>
          <w:color w:val="000000"/>
          <w:sz w:val="22"/>
        </w:rPr>
        <w:t>TpŠL</w:t>
      </w:r>
      <w:proofErr w:type="spellEnd"/>
      <w:r w:rsidRPr="003F564F">
        <w:rPr>
          <w:color w:val="000000"/>
          <w:sz w:val="22"/>
        </w:rPr>
        <w:t xml:space="preserve"> sergančių paauglių ir suaugusiųjų organizmuose. Ūmine arba lėtine </w:t>
      </w:r>
      <w:proofErr w:type="spellStart"/>
      <w:r w:rsidRPr="003F564F">
        <w:rPr>
          <w:color w:val="000000"/>
          <w:sz w:val="22"/>
        </w:rPr>
        <w:t>TpŠL</w:t>
      </w:r>
      <w:proofErr w:type="spellEnd"/>
      <w:r w:rsidRPr="003F564F">
        <w:rPr>
          <w:color w:val="000000"/>
          <w:sz w:val="22"/>
        </w:rPr>
        <w:t xml:space="preserve"> sergančių vaikų, kurių kūno paviršiaus plotas (KPP) yra mažesnis kaip 1</w:t>
      </w:r>
      <w:r w:rsidR="002B7C37">
        <w:rPr>
          <w:color w:val="000000"/>
          <w:sz w:val="22"/>
        </w:rPr>
        <w:t> </w:t>
      </w:r>
      <w:r w:rsidRPr="003F564F">
        <w:rPr>
          <w:color w:val="000000"/>
          <w:sz w:val="22"/>
        </w:rPr>
        <w:t>m</w:t>
      </w:r>
      <w:r w:rsidRPr="002B7C37">
        <w:rPr>
          <w:color w:val="000000"/>
          <w:sz w:val="22"/>
          <w:vertAlign w:val="superscript"/>
        </w:rPr>
        <w:t>2</w:t>
      </w:r>
      <w:r w:rsidRPr="003F564F">
        <w:rPr>
          <w:color w:val="000000"/>
          <w:sz w:val="22"/>
        </w:rPr>
        <w:t xml:space="preserve">, organizmuose vidutinis pasiskirstymo tūris nusistovėjus </w:t>
      </w:r>
      <w:proofErr w:type="spellStart"/>
      <w:r w:rsidRPr="003F564F">
        <w:rPr>
          <w:color w:val="000000"/>
          <w:sz w:val="22"/>
        </w:rPr>
        <w:t>pusiausvyrinei</w:t>
      </w:r>
      <w:proofErr w:type="spellEnd"/>
      <w:r w:rsidRPr="003F564F">
        <w:rPr>
          <w:color w:val="000000"/>
          <w:sz w:val="22"/>
        </w:rPr>
        <w:t xml:space="preserve"> koncentracijai yra maždaug 30</w:t>
      </w:r>
      <w:r w:rsidR="002B7C37">
        <w:rPr>
          <w:color w:val="000000"/>
          <w:sz w:val="22"/>
        </w:rPr>
        <w:t> </w:t>
      </w:r>
      <w:r w:rsidRPr="003F564F">
        <w:rPr>
          <w:color w:val="000000"/>
          <w:sz w:val="22"/>
        </w:rPr>
        <w:t xml:space="preserve">litrų. Pasiekus kliniškai reikšmingas </w:t>
      </w:r>
      <w:proofErr w:type="spellStart"/>
      <w:r w:rsidRPr="003F564F">
        <w:rPr>
          <w:color w:val="000000"/>
          <w:sz w:val="22"/>
        </w:rPr>
        <w:t>ruksolitinibo</w:t>
      </w:r>
      <w:proofErr w:type="spellEnd"/>
      <w:r w:rsidRPr="003F564F">
        <w:rPr>
          <w:color w:val="000000"/>
          <w:sz w:val="22"/>
        </w:rPr>
        <w:t xml:space="preserve"> koncentracijas, maždaug 97</w:t>
      </w:r>
      <w:r w:rsidR="002B7C37">
        <w:rPr>
          <w:color w:val="000000"/>
          <w:sz w:val="22"/>
        </w:rPr>
        <w:t> </w:t>
      </w:r>
      <w:r w:rsidRPr="003F564F">
        <w:rPr>
          <w:color w:val="000000"/>
          <w:sz w:val="22"/>
        </w:rPr>
        <w:t xml:space="preserve">% vaistinio preparato susijungia su plazmos baltymais </w:t>
      </w:r>
      <w:proofErr w:type="spellStart"/>
      <w:r w:rsidRPr="002B7C37">
        <w:rPr>
          <w:i/>
          <w:iCs/>
          <w:color w:val="000000"/>
          <w:sz w:val="22"/>
        </w:rPr>
        <w:t>in</w:t>
      </w:r>
      <w:proofErr w:type="spellEnd"/>
      <w:r w:rsidRPr="002B7C37">
        <w:rPr>
          <w:i/>
          <w:iCs/>
          <w:color w:val="000000"/>
          <w:sz w:val="22"/>
        </w:rPr>
        <w:t xml:space="preserve"> </w:t>
      </w:r>
      <w:proofErr w:type="spellStart"/>
      <w:r w:rsidRPr="002B7C37">
        <w:rPr>
          <w:i/>
          <w:iCs/>
          <w:color w:val="000000"/>
          <w:sz w:val="22"/>
        </w:rPr>
        <w:t>vitro</w:t>
      </w:r>
      <w:proofErr w:type="spellEnd"/>
      <w:r w:rsidRPr="003F564F">
        <w:rPr>
          <w:color w:val="000000"/>
          <w:sz w:val="22"/>
        </w:rPr>
        <w:t xml:space="preserve"> (daugiausia jungiasi su </w:t>
      </w:r>
      <w:proofErr w:type="spellStart"/>
      <w:r w:rsidRPr="003F564F">
        <w:rPr>
          <w:color w:val="000000"/>
          <w:sz w:val="22"/>
        </w:rPr>
        <w:t>albuminu</w:t>
      </w:r>
      <w:proofErr w:type="spellEnd"/>
      <w:r w:rsidRPr="003F564F">
        <w:rPr>
          <w:color w:val="000000"/>
          <w:sz w:val="22"/>
        </w:rPr>
        <w:t xml:space="preserve">). Su žiurkėmis atlikto viso kūno </w:t>
      </w:r>
      <w:proofErr w:type="spellStart"/>
      <w:r w:rsidRPr="003F564F">
        <w:rPr>
          <w:color w:val="000000"/>
          <w:sz w:val="22"/>
        </w:rPr>
        <w:t>autoradiografijos</w:t>
      </w:r>
      <w:proofErr w:type="spellEnd"/>
      <w:r w:rsidRPr="003F564F">
        <w:rPr>
          <w:color w:val="000000"/>
          <w:sz w:val="22"/>
        </w:rPr>
        <w:t xml:space="preserve"> tyrimo duomenimis nustatyta, kad </w:t>
      </w:r>
      <w:proofErr w:type="spellStart"/>
      <w:r w:rsidRPr="003F564F">
        <w:rPr>
          <w:color w:val="000000"/>
          <w:sz w:val="22"/>
        </w:rPr>
        <w:t>ruksolitinibas</w:t>
      </w:r>
      <w:proofErr w:type="spellEnd"/>
      <w:r w:rsidRPr="003F564F">
        <w:rPr>
          <w:color w:val="000000"/>
          <w:sz w:val="22"/>
        </w:rPr>
        <w:t xml:space="preserve"> pro </w:t>
      </w:r>
      <w:proofErr w:type="spellStart"/>
      <w:r w:rsidRPr="003F564F">
        <w:rPr>
          <w:color w:val="000000"/>
          <w:sz w:val="22"/>
        </w:rPr>
        <w:t>hematoencefalinį</w:t>
      </w:r>
      <w:proofErr w:type="spellEnd"/>
      <w:r w:rsidRPr="003F564F">
        <w:rPr>
          <w:color w:val="000000"/>
          <w:sz w:val="22"/>
        </w:rPr>
        <w:t xml:space="preserve"> barjerą neprasiskverbia.</w:t>
      </w:r>
    </w:p>
    <w:p w14:paraId="2226FF2C" w14:textId="77777777" w:rsidR="00B341E8" w:rsidRPr="003F564F" w:rsidRDefault="00B341E8" w:rsidP="00B341E8">
      <w:pPr>
        <w:tabs>
          <w:tab w:val="left" w:pos="567"/>
        </w:tabs>
        <w:rPr>
          <w:color w:val="000000"/>
          <w:sz w:val="22"/>
        </w:rPr>
      </w:pPr>
    </w:p>
    <w:p w14:paraId="2E271A0F" w14:textId="19CB2A6B" w:rsidR="00B341E8" w:rsidRPr="002B7C37" w:rsidRDefault="00B341E8" w:rsidP="00B341E8">
      <w:pPr>
        <w:tabs>
          <w:tab w:val="left" w:pos="567"/>
        </w:tabs>
        <w:rPr>
          <w:color w:val="000000"/>
          <w:sz w:val="22"/>
          <w:u w:val="single"/>
        </w:rPr>
      </w:pPr>
      <w:proofErr w:type="spellStart"/>
      <w:r w:rsidRPr="002B7C37">
        <w:rPr>
          <w:color w:val="000000"/>
          <w:sz w:val="22"/>
          <w:u w:val="single"/>
        </w:rPr>
        <w:t>Biotransformacija</w:t>
      </w:r>
      <w:proofErr w:type="spellEnd"/>
    </w:p>
    <w:p w14:paraId="01353557" w14:textId="77777777" w:rsidR="002B7C37" w:rsidRDefault="002B7C37" w:rsidP="00B341E8">
      <w:pPr>
        <w:tabs>
          <w:tab w:val="left" w:pos="567"/>
        </w:tabs>
        <w:rPr>
          <w:color w:val="000000"/>
          <w:sz w:val="22"/>
        </w:rPr>
      </w:pPr>
    </w:p>
    <w:p w14:paraId="0BF5CB78" w14:textId="6F179084" w:rsidR="00B341E8" w:rsidRPr="003F564F" w:rsidRDefault="00B341E8" w:rsidP="00B341E8">
      <w:pPr>
        <w:tabs>
          <w:tab w:val="left" w:pos="567"/>
        </w:tabs>
        <w:rPr>
          <w:color w:val="000000"/>
          <w:sz w:val="22"/>
        </w:rPr>
      </w:pPr>
      <w:proofErr w:type="spellStart"/>
      <w:r w:rsidRPr="003F564F">
        <w:rPr>
          <w:color w:val="000000"/>
          <w:sz w:val="22"/>
        </w:rPr>
        <w:t>Ruksolitinibas</w:t>
      </w:r>
      <w:proofErr w:type="spellEnd"/>
      <w:r w:rsidRPr="003F564F">
        <w:rPr>
          <w:color w:val="000000"/>
          <w:sz w:val="22"/>
        </w:rPr>
        <w:t xml:space="preserve"> daugiausia </w:t>
      </w:r>
      <w:proofErr w:type="spellStart"/>
      <w:r w:rsidRPr="003F564F">
        <w:rPr>
          <w:color w:val="000000"/>
          <w:sz w:val="22"/>
        </w:rPr>
        <w:t>metabolizuojamas</w:t>
      </w:r>
      <w:proofErr w:type="spellEnd"/>
      <w:r w:rsidRPr="003F564F">
        <w:rPr>
          <w:color w:val="000000"/>
          <w:sz w:val="22"/>
        </w:rPr>
        <w:t xml:space="preserve"> CYP3A4 </w:t>
      </w:r>
      <w:proofErr w:type="spellStart"/>
      <w:r w:rsidRPr="003F564F">
        <w:rPr>
          <w:color w:val="000000"/>
          <w:sz w:val="22"/>
        </w:rPr>
        <w:t>izofermento</w:t>
      </w:r>
      <w:proofErr w:type="spellEnd"/>
      <w:r w:rsidRPr="003F564F">
        <w:rPr>
          <w:color w:val="000000"/>
          <w:sz w:val="22"/>
        </w:rPr>
        <w:t xml:space="preserve"> (&gt;</w:t>
      </w:r>
      <w:r w:rsidR="002B7C37">
        <w:rPr>
          <w:color w:val="000000"/>
          <w:sz w:val="22"/>
        </w:rPr>
        <w:t> </w:t>
      </w:r>
      <w:r w:rsidRPr="003F564F">
        <w:rPr>
          <w:color w:val="000000"/>
          <w:sz w:val="22"/>
        </w:rPr>
        <w:t>50</w:t>
      </w:r>
      <w:r w:rsidR="002B7C37">
        <w:rPr>
          <w:color w:val="000000"/>
          <w:sz w:val="22"/>
        </w:rPr>
        <w:t> </w:t>
      </w:r>
      <w:r w:rsidRPr="003F564F">
        <w:rPr>
          <w:color w:val="000000"/>
          <w:sz w:val="22"/>
        </w:rPr>
        <w:t xml:space="preserve">%), taip pat prisideda CYP2C9 </w:t>
      </w:r>
      <w:proofErr w:type="spellStart"/>
      <w:r w:rsidRPr="003F564F">
        <w:rPr>
          <w:color w:val="000000"/>
          <w:sz w:val="22"/>
        </w:rPr>
        <w:t>izofermentas</w:t>
      </w:r>
      <w:proofErr w:type="spellEnd"/>
      <w:r w:rsidRPr="003F564F">
        <w:rPr>
          <w:color w:val="000000"/>
          <w:sz w:val="22"/>
        </w:rPr>
        <w:t>. Žmogaus kraujo plazmoje daugiausia yra pirminės veikliosios medžiagos, kraujo apytakoje sudarančios 60</w:t>
      </w:r>
      <w:r w:rsidR="002B7C37">
        <w:rPr>
          <w:color w:val="000000"/>
          <w:sz w:val="22"/>
        </w:rPr>
        <w:t> </w:t>
      </w:r>
      <w:r w:rsidRPr="003F564F">
        <w:rPr>
          <w:color w:val="000000"/>
          <w:sz w:val="22"/>
        </w:rPr>
        <w:t>% viso su vaistiniu preparatu susijusios medžiagos kiekio. Kraujo plazmoje yra du svarbiausi aktyvūs metabolitai, kurių kiekis sudaro 25</w:t>
      </w:r>
      <w:r w:rsidR="002B7C37">
        <w:rPr>
          <w:color w:val="000000"/>
          <w:sz w:val="22"/>
        </w:rPr>
        <w:t> </w:t>
      </w:r>
      <w:r w:rsidRPr="003F564F">
        <w:rPr>
          <w:color w:val="000000"/>
          <w:sz w:val="22"/>
        </w:rPr>
        <w:t>% ir 11</w:t>
      </w:r>
      <w:r w:rsidR="002B7C37">
        <w:rPr>
          <w:color w:val="000000"/>
          <w:sz w:val="22"/>
        </w:rPr>
        <w:t> </w:t>
      </w:r>
      <w:r w:rsidRPr="003F564F">
        <w:rPr>
          <w:color w:val="000000"/>
          <w:sz w:val="22"/>
        </w:rPr>
        <w:t>% pirminės medžiagos AUC rodiklio. Šių metabolitų poveikis sudaro nuo pusės iki penktadalio pirminės medžiagos su JAK susijusio farmakologinio poveikio. Visų veikliųjų metabolitų poveikių suma sudaro 18</w:t>
      </w:r>
      <w:r w:rsidR="002B7C37">
        <w:rPr>
          <w:color w:val="000000"/>
          <w:sz w:val="22"/>
        </w:rPr>
        <w:t> </w:t>
      </w:r>
      <w:r w:rsidRPr="003F564F">
        <w:rPr>
          <w:color w:val="000000"/>
          <w:sz w:val="22"/>
        </w:rPr>
        <w:t xml:space="preserve">% bendrojo </w:t>
      </w:r>
      <w:proofErr w:type="spellStart"/>
      <w:r w:rsidRPr="003F564F">
        <w:rPr>
          <w:color w:val="000000"/>
          <w:sz w:val="22"/>
        </w:rPr>
        <w:t>ruksolitinibo</w:t>
      </w:r>
      <w:proofErr w:type="spellEnd"/>
      <w:r w:rsidRPr="003F564F">
        <w:rPr>
          <w:color w:val="000000"/>
          <w:sz w:val="22"/>
        </w:rPr>
        <w:t xml:space="preserve"> </w:t>
      </w:r>
      <w:proofErr w:type="spellStart"/>
      <w:r w:rsidRPr="003F564F">
        <w:rPr>
          <w:color w:val="000000"/>
          <w:sz w:val="22"/>
        </w:rPr>
        <w:t>farmakodinaminio</w:t>
      </w:r>
      <w:proofErr w:type="spellEnd"/>
      <w:r w:rsidRPr="003F564F">
        <w:rPr>
          <w:color w:val="000000"/>
          <w:sz w:val="22"/>
        </w:rPr>
        <w:t xml:space="preserve"> poveikio. </w:t>
      </w:r>
      <w:proofErr w:type="spellStart"/>
      <w:r w:rsidRPr="002B7C37">
        <w:rPr>
          <w:i/>
          <w:iCs/>
          <w:color w:val="000000"/>
          <w:sz w:val="22"/>
        </w:rPr>
        <w:t>In</w:t>
      </w:r>
      <w:proofErr w:type="spellEnd"/>
      <w:r w:rsidRPr="002B7C37">
        <w:rPr>
          <w:i/>
          <w:iCs/>
          <w:color w:val="000000"/>
          <w:sz w:val="22"/>
        </w:rPr>
        <w:t xml:space="preserve"> </w:t>
      </w:r>
      <w:proofErr w:type="spellStart"/>
      <w:r w:rsidRPr="002B7C37">
        <w:rPr>
          <w:i/>
          <w:iCs/>
          <w:color w:val="000000"/>
          <w:sz w:val="22"/>
        </w:rPr>
        <w:t>vitro</w:t>
      </w:r>
      <w:proofErr w:type="spellEnd"/>
      <w:r w:rsidRPr="003F564F">
        <w:rPr>
          <w:color w:val="000000"/>
          <w:sz w:val="22"/>
        </w:rPr>
        <w:t xml:space="preserve"> atliktų tyrimų duomenimis nustatyta, kad susidarius kliniškai reikšmingoms koncentracijoms </w:t>
      </w:r>
      <w:proofErr w:type="spellStart"/>
      <w:r w:rsidRPr="003F564F">
        <w:rPr>
          <w:color w:val="000000"/>
          <w:sz w:val="22"/>
        </w:rPr>
        <w:t>ruksolitinibas</w:t>
      </w:r>
      <w:proofErr w:type="spellEnd"/>
      <w:r w:rsidRPr="003F564F">
        <w:rPr>
          <w:color w:val="000000"/>
          <w:sz w:val="22"/>
        </w:rPr>
        <w:t xml:space="preserve"> neslopina CYP1A2, CYP2B6, CYP2C8, CYP2C9, CYP2C19, CYP2D6 ir CYP3A4 </w:t>
      </w:r>
      <w:proofErr w:type="spellStart"/>
      <w:r w:rsidRPr="003F564F">
        <w:rPr>
          <w:color w:val="000000"/>
          <w:sz w:val="22"/>
        </w:rPr>
        <w:t>izofermentų</w:t>
      </w:r>
      <w:proofErr w:type="spellEnd"/>
      <w:r w:rsidRPr="003F564F">
        <w:rPr>
          <w:color w:val="000000"/>
          <w:sz w:val="22"/>
        </w:rPr>
        <w:t xml:space="preserve">, taip pat nėra stiprus CYP1A2, CYP2B6 ir CYP3A4 </w:t>
      </w:r>
      <w:proofErr w:type="spellStart"/>
      <w:r w:rsidRPr="003F564F">
        <w:rPr>
          <w:color w:val="000000"/>
          <w:sz w:val="22"/>
        </w:rPr>
        <w:t>izofermentų</w:t>
      </w:r>
      <w:proofErr w:type="spellEnd"/>
      <w:r w:rsidRPr="003F564F">
        <w:rPr>
          <w:color w:val="000000"/>
          <w:sz w:val="22"/>
        </w:rPr>
        <w:t xml:space="preserve"> </w:t>
      </w:r>
      <w:proofErr w:type="spellStart"/>
      <w:r w:rsidRPr="003F564F">
        <w:rPr>
          <w:color w:val="000000"/>
          <w:sz w:val="22"/>
        </w:rPr>
        <w:t>induktorius</w:t>
      </w:r>
      <w:proofErr w:type="spellEnd"/>
      <w:r w:rsidRPr="003F564F">
        <w:rPr>
          <w:color w:val="000000"/>
          <w:sz w:val="22"/>
        </w:rPr>
        <w:t xml:space="preserve">. </w:t>
      </w:r>
      <w:proofErr w:type="spellStart"/>
      <w:r w:rsidRPr="002B7C37">
        <w:rPr>
          <w:i/>
          <w:iCs/>
          <w:color w:val="000000"/>
          <w:sz w:val="22"/>
        </w:rPr>
        <w:t>In</w:t>
      </w:r>
      <w:proofErr w:type="spellEnd"/>
      <w:r w:rsidRPr="002B7C37">
        <w:rPr>
          <w:i/>
          <w:iCs/>
          <w:color w:val="000000"/>
          <w:sz w:val="22"/>
        </w:rPr>
        <w:t xml:space="preserve"> </w:t>
      </w:r>
      <w:proofErr w:type="spellStart"/>
      <w:r w:rsidRPr="002B7C37">
        <w:rPr>
          <w:i/>
          <w:iCs/>
          <w:color w:val="000000"/>
          <w:sz w:val="22"/>
        </w:rPr>
        <w:t>vitro</w:t>
      </w:r>
      <w:proofErr w:type="spellEnd"/>
      <w:r w:rsidRPr="003F564F">
        <w:rPr>
          <w:color w:val="000000"/>
          <w:sz w:val="22"/>
        </w:rPr>
        <w:t xml:space="preserve"> tyrimo duomenimis nustatyta, kad </w:t>
      </w:r>
      <w:proofErr w:type="spellStart"/>
      <w:r w:rsidRPr="003F564F">
        <w:rPr>
          <w:color w:val="000000"/>
          <w:sz w:val="22"/>
        </w:rPr>
        <w:t>ruksolitinibas</w:t>
      </w:r>
      <w:proofErr w:type="spellEnd"/>
      <w:r w:rsidRPr="003F564F">
        <w:rPr>
          <w:color w:val="000000"/>
          <w:sz w:val="22"/>
        </w:rPr>
        <w:t xml:space="preserve"> gali slopinti P-</w:t>
      </w:r>
      <w:proofErr w:type="spellStart"/>
      <w:r w:rsidRPr="003F564F">
        <w:rPr>
          <w:color w:val="000000"/>
          <w:sz w:val="22"/>
        </w:rPr>
        <w:t>gp</w:t>
      </w:r>
      <w:proofErr w:type="spellEnd"/>
      <w:r w:rsidRPr="003F564F">
        <w:rPr>
          <w:color w:val="000000"/>
          <w:sz w:val="22"/>
        </w:rPr>
        <w:t xml:space="preserve"> ir BCRP.</w:t>
      </w:r>
    </w:p>
    <w:p w14:paraId="0D8DF3B5" w14:textId="77777777" w:rsidR="00B341E8" w:rsidRPr="003F564F" w:rsidRDefault="00B341E8" w:rsidP="00B341E8">
      <w:pPr>
        <w:tabs>
          <w:tab w:val="left" w:pos="567"/>
        </w:tabs>
        <w:rPr>
          <w:color w:val="000000"/>
          <w:sz w:val="22"/>
        </w:rPr>
      </w:pPr>
    </w:p>
    <w:p w14:paraId="6F8B60F4" w14:textId="6C3377F5" w:rsidR="00B341E8" w:rsidRPr="002B7C37" w:rsidRDefault="00B341E8" w:rsidP="00B341E8">
      <w:pPr>
        <w:tabs>
          <w:tab w:val="left" w:pos="567"/>
        </w:tabs>
        <w:rPr>
          <w:color w:val="000000"/>
          <w:sz w:val="22"/>
          <w:u w:val="single"/>
        </w:rPr>
      </w:pPr>
      <w:r w:rsidRPr="002B7C37">
        <w:rPr>
          <w:color w:val="000000"/>
          <w:sz w:val="22"/>
          <w:u w:val="single"/>
        </w:rPr>
        <w:t>Eliminacija</w:t>
      </w:r>
    </w:p>
    <w:p w14:paraId="6261A984" w14:textId="77777777" w:rsidR="002B7C37" w:rsidRDefault="002B7C37" w:rsidP="00B341E8">
      <w:pPr>
        <w:tabs>
          <w:tab w:val="left" w:pos="567"/>
        </w:tabs>
        <w:rPr>
          <w:color w:val="000000"/>
          <w:sz w:val="22"/>
        </w:rPr>
      </w:pPr>
    </w:p>
    <w:p w14:paraId="0A2341A7" w14:textId="2B1EE831" w:rsidR="00B341E8" w:rsidRPr="003F564F" w:rsidRDefault="00B341E8" w:rsidP="00B341E8">
      <w:pPr>
        <w:tabs>
          <w:tab w:val="left" w:pos="567"/>
        </w:tabs>
        <w:rPr>
          <w:color w:val="000000"/>
          <w:sz w:val="22"/>
        </w:rPr>
      </w:pPr>
      <w:proofErr w:type="spellStart"/>
      <w:r w:rsidRPr="003F564F">
        <w:rPr>
          <w:color w:val="000000"/>
          <w:sz w:val="22"/>
        </w:rPr>
        <w:t>Ruksolitinibo</w:t>
      </w:r>
      <w:proofErr w:type="spellEnd"/>
      <w:r w:rsidRPr="003F564F">
        <w:rPr>
          <w:color w:val="000000"/>
          <w:sz w:val="22"/>
        </w:rPr>
        <w:t xml:space="preserve"> daugiausia eliminuojama jį </w:t>
      </w:r>
      <w:proofErr w:type="spellStart"/>
      <w:r w:rsidRPr="003F564F">
        <w:rPr>
          <w:color w:val="000000"/>
          <w:sz w:val="22"/>
        </w:rPr>
        <w:t>metabolizavus</w:t>
      </w:r>
      <w:proofErr w:type="spellEnd"/>
      <w:r w:rsidRPr="003F564F">
        <w:rPr>
          <w:color w:val="000000"/>
          <w:sz w:val="22"/>
        </w:rPr>
        <w:t xml:space="preserve">. Vidutinis </w:t>
      </w:r>
      <w:proofErr w:type="spellStart"/>
      <w:r w:rsidRPr="003F564F">
        <w:rPr>
          <w:color w:val="000000"/>
          <w:sz w:val="22"/>
        </w:rPr>
        <w:t>ruksolitinibo</w:t>
      </w:r>
      <w:proofErr w:type="spellEnd"/>
      <w:r w:rsidRPr="003F564F">
        <w:rPr>
          <w:color w:val="000000"/>
          <w:sz w:val="22"/>
        </w:rPr>
        <w:t xml:space="preserve"> pusinės eliminacijos laikotarpis yra maždaug 3</w:t>
      </w:r>
      <w:r w:rsidR="002B7C37">
        <w:rPr>
          <w:color w:val="000000"/>
          <w:sz w:val="22"/>
        </w:rPr>
        <w:t> </w:t>
      </w:r>
      <w:r w:rsidRPr="003F564F">
        <w:rPr>
          <w:color w:val="000000"/>
          <w:sz w:val="22"/>
        </w:rPr>
        <w:t>valandos. Sveikiems suaugusiems tiriamiesiems asmenims per burną paskyrus vienkartinę [</w:t>
      </w:r>
      <w:r w:rsidRPr="002B7C37">
        <w:rPr>
          <w:color w:val="000000"/>
          <w:sz w:val="22"/>
          <w:vertAlign w:val="superscript"/>
        </w:rPr>
        <w:t>14</w:t>
      </w:r>
      <w:r w:rsidRPr="003F564F">
        <w:rPr>
          <w:color w:val="000000"/>
          <w:sz w:val="22"/>
        </w:rPr>
        <w:t xml:space="preserve">C] žymėtą </w:t>
      </w:r>
      <w:proofErr w:type="spellStart"/>
      <w:r w:rsidRPr="003F564F">
        <w:rPr>
          <w:color w:val="000000"/>
          <w:sz w:val="22"/>
        </w:rPr>
        <w:t>ruksolitinibo</w:t>
      </w:r>
      <w:proofErr w:type="spellEnd"/>
      <w:r w:rsidRPr="003F564F">
        <w:rPr>
          <w:color w:val="000000"/>
          <w:sz w:val="22"/>
        </w:rPr>
        <w:t xml:space="preserve"> dozę nustatyta, kad vaistinio preparato daugiausia eliminuojama jį </w:t>
      </w:r>
      <w:proofErr w:type="spellStart"/>
      <w:r w:rsidRPr="003F564F">
        <w:rPr>
          <w:color w:val="000000"/>
          <w:sz w:val="22"/>
        </w:rPr>
        <w:t>metabolizavus</w:t>
      </w:r>
      <w:proofErr w:type="spellEnd"/>
      <w:r w:rsidRPr="003F564F">
        <w:rPr>
          <w:color w:val="000000"/>
          <w:sz w:val="22"/>
        </w:rPr>
        <w:t>, o 74</w:t>
      </w:r>
      <w:r w:rsidR="002B7C37">
        <w:rPr>
          <w:color w:val="000000"/>
          <w:sz w:val="22"/>
        </w:rPr>
        <w:t> </w:t>
      </w:r>
      <w:r w:rsidRPr="003F564F">
        <w:rPr>
          <w:color w:val="000000"/>
          <w:sz w:val="22"/>
        </w:rPr>
        <w:t xml:space="preserve">% radioaktyvaus žymėto vaistinio preparato išsiskiria su šlapimu </w:t>
      </w:r>
      <w:r w:rsidRPr="003F564F">
        <w:rPr>
          <w:color w:val="000000"/>
          <w:sz w:val="22"/>
        </w:rPr>
        <w:lastRenderedPageBreak/>
        <w:t>bei 22</w:t>
      </w:r>
      <w:r w:rsidR="002B7C37">
        <w:rPr>
          <w:color w:val="000000"/>
          <w:sz w:val="22"/>
        </w:rPr>
        <w:t> </w:t>
      </w:r>
      <w:r w:rsidRPr="003F564F">
        <w:rPr>
          <w:color w:val="000000"/>
          <w:sz w:val="22"/>
        </w:rPr>
        <w:t>% - su išmatomis. Nepakitusios radioaktyvios žymėtos pradinės medžiagos išsiskiria mažiau kaip 1</w:t>
      </w:r>
      <w:r w:rsidR="002B7C37">
        <w:rPr>
          <w:color w:val="000000"/>
          <w:sz w:val="22"/>
        </w:rPr>
        <w:t> </w:t>
      </w:r>
      <w:r w:rsidRPr="003F564F">
        <w:rPr>
          <w:color w:val="000000"/>
          <w:sz w:val="22"/>
        </w:rPr>
        <w:t>%.</w:t>
      </w:r>
    </w:p>
    <w:p w14:paraId="0CB465E4" w14:textId="77777777" w:rsidR="00B341E8" w:rsidRPr="003F564F" w:rsidRDefault="00B341E8" w:rsidP="00B341E8">
      <w:pPr>
        <w:tabs>
          <w:tab w:val="left" w:pos="567"/>
        </w:tabs>
        <w:rPr>
          <w:color w:val="000000"/>
          <w:sz w:val="22"/>
        </w:rPr>
      </w:pPr>
    </w:p>
    <w:p w14:paraId="62B1BBDC" w14:textId="0917FE4E" w:rsidR="00B341E8" w:rsidRPr="002B7C37" w:rsidRDefault="00B341E8" w:rsidP="00B341E8">
      <w:pPr>
        <w:tabs>
          <w:tab w:val="left" w:pos="567"/>
        </w:tabs>
        <w:rPr>
          <w:color w:val="000000"/>
          <w:sz w:val="22"/>
          <w:u w:val="single"/>
        </w:rPr>
      </w:pPr>
      <w:r w:rsidRPr="002B7C37">
        <w:rPr>
          <w:color w:val="000000"/>
          <w:sz w:val="22"/>
          <w:u w:val="single"/>
        </w:rPr>
        <w:t>Tiesinis / netiesinis pobūdis</w:t>
      </w:r>
    </w:p>
    <w:p w14:paraId="30F7CC2C" w14:textId="77777777" w:rsidR="002B7C37" w:rsidRDefault="002B7C37" w:rsidP="00B341E8">
      <w:pPr>
        <w:tabs>
          <w:tab w:val="left" w:pos="567"/>
        </w:tabs>
        <w:rPr>
          <w:color w:val="000000"/>
          <w:sz w:val="22"/>
        </w:rPr>
      </w:pPr>
    </w:p>
    <w:p w14:paraId="03B47064" w14:textId="5BBE5CB7" w:rsidR="00B341E8" w:rsidRPr="003F564F" w:rsidRDefault="00B341E8" w:rsidP="00B341E8">
      <w:pPr>
        <w:tabs>
          <w:tab w:val="left" w:pos="567"/>
        </w:tabs>
        <w:rPr>
          <w:color w:val="000000"/>
          <w:sz w:val="22"/>
        </w:rPr>
      </w:pPr>
      <w:r w:rsidRPr="003F564F">
        <w:rPr>
          <w:color w:val="000000"/>
          <w:sz w:val="22"/>
        </w:rPr>
        <w:t>Tyrimų metu skiriant tiek vienkartinę dozę, tiek kartotines dozes, nustatytas nuo dozės priklausantis farmakokinetikos pobūdis.</w:t>
      </w:r>
    </w:p>
    <w:p w14:paraId="222F3BDB" w14:textId="77777777" w:rsidR="00B341E8" w:rsidRPr="003F564F" w:rsidRDefault="00B341E8" w:rsidP="00B341E8">
      <w:pPr>
        <w:tabs>
          <w:tab w:val="left" w:pos="567"/>
        </w:tabs>
        <w:rPr>
          <w:color w:val="000000"/>
          <w:sz w:val="22"/>
        </w:rPr>
      </w:pPr>
    </w:p>
    <w:p w14:paraId="3C486AE5" w14:textId="64A8D7B2" w:rsidR="00B341E8" w:rsidRPr="002B7C37" w:rsidRDefault="00B341E8" w:rsidP="00B341E8">
      <w:pPr>
        <w:tabs>
          <w:tab w:val="left" w:pos="567"/>
        </w:tabs>
        <w:rPr>
          <w:color w:val="000000"/>
          <w:sz w:val="22"/>
          <w:u w:val="single"/>
        </w:rPr>
      </w:pPr>
      <w:r w:rsidRPr="002B7C37">
        <w:rPr>
          <w:color w:val="000000"/>
          <w:sz w:val="22"/>
          <w:u w:val="single"/>
        </w:rPr>
        <w:t>Ypatingos p</w:t>
      </w:r>
      <w:r w:rsidR="002B7C37" w:rsidRPr="002B7C37">
        <w:rPr>
          <w:color w:val="000000"/>
          <w:sz w:val="22"/>
          <w:u w:val="single"/>
        </w:rPr>
        <w:t>opuliacijos</w:t>
      </w:r>
    </w:p>
    <w:p w14:paraId="79F29617" w14:textId="77777777" w:rsidR="00B341E8" w:rsidRPr="003F564F" w:rsidRDefault="00B341E8" w:rsidP="00B341E8">
      <w:pPr>
        <w:tabs>
          <w:tab w:val="left" w:pos="567"/>
        </w:tabs>
        <w:rPr>
          <w:color w:val="000000"/>
          <w:sz w:val="22"/>
        </w:rPr>
      </w:pPr>
    </w:p>
    <w:p w14:paraId="4139A05E" w14:textId="3CF76536" w:rsidR="00B341E8" w:rsidRPr="002B7C37" w:rsidRDefault="00B341E8" w:rsidP="00B341E8">
      <w:pPr>
        <w:tabs>
          <w:tab w:val="left" w:pos="567"/>
        </w:tabs>
        <w:rPr>
          <w:i/>
          <w:iCs/>
          <w:color w:val="000000"/>
          <w:sz w:val="22"/>
          <w:u w:val="single"/>
        </w:rPr>
      </w:pPr>
      <w:r w:rsidRPr="002B7C37">
        <w:rPr>
          <w:i/>
          <w:iCs/>
          <w:color w:val="000000"/>
          <w:sz w:val="22"/>
          <w:u w:val="single"/>
        </w:rPr>
        <w:t>Amžiaus, lyties ir rasės įtaka</w:t>
      </w:r>
    </w:p>
    <w:p w14:paraId="155868A3" w14:textId="09A50DC7" w:rsidR="00B341E8" w:rsidRPr="003F564F" w:rsidRDefault="00B341E8" w:rsidP="00B341E8">
      <w:pPr>
        <w:tabs>
          <w:tab w:val="left" w:pos="567"/>
        </w:tabs>
        <w:rPr>
          <w:color w:val="000000"/>
          <w:sz w:val="22"/>
        </w:rPr>
      </w:pPr>
      <w:r w:rsidRPr="003F564F">
        <w:rPr>
          <w:color w:val="000000"/>
          <w:sz w:val="22"/>
        </w:rPr>
        <w:t xml:space="preserve">Tyrimų su sveikais savanoriais metu nenustatyta jokių svarbių </w:t>
      </w:r>
      <w:proofErr w:type="spellStart"/>
      <w:r w:rsidRPr="003F564F">
        <w:rPr>
          <w:color w:val="000000"/>
          <w:sz w:val="22"/>
        </w:rPr>
        <w:t>ruksolitinibo</w:t>
      </w:r>
      <w:proofErr w:type="spellEnd"/>
      <w:r w:rsidRPr="003F564F">
        <w:rPr>
          <w:color w:val="000000"/>
          <w:sz w:val="22"/>
        </w:rPr>
        <w:t xml:space="preserve"> farmakokinetikos skirtumų, susijusių su tiriamųjų asmenų lytimi ir rase.</w:t>
      </w:r>
    </w:p>
    <w:p w14:paraId="0A1AB0A5" w14:textId="77777777" w:rsidR="00B341E8" w:rsidRPr="003F564F" w:rsidRDefault="00B341E8" w:rsidP="00B341E8">
      <w:pPr>
        <w:tabs>
          <w:tab w:val="left" w:pos="567"/>
        </w:tabs>
        <w:rPr>
          <w:color w:val="000000"/>
          <w:sz w:val="22"/>
        </w:rPr>
      </w:pPr>
    </w:p>
    <w:p w14:paraId="7BB2EA7C" w14:textId="776C2029" w:rsidR="00B341E8" w:rsidRPr="002B7C37" w:rsidRDefault="00B341E8" w:rsidP="00B341E8">
      <w:pPr>
        <w:tabs>
          <w:tab w:val="left" w:pos="567"/>
        </w:tabs>
        <w:rPr>
          <w:i/>
          <w:iCs/>
          <w:color w:val="000000"/>
          <w:sz w:val="22"/>
          <w:u w:val="single"/>
        </w:rPr>
      </w:pPr>
      <w:proofErr w:type="spellStart"/>
      <w:r w:rsidRPr="002B7C37">
        <w:rPr>
          <w:i/>
          <w:iCs/>
          <w:color w:val="000000"/>
          <w:sz w:val="22"/>
          <w:u w:val="single"/>
        </w:rPr>
        <w:t>Populiacinė</w:t>
      </w:r>
      <w:proofErr w:type="spellEnd"/>
      <w:r w:rsidRPr="002B7C37">
        <w:rPr>
          <w:i/>
          <w:iCs/>
          <w:color w:val="000000"/>
          <w:sz w:val="22"/>
          <w:u w:val="single"/>
        </w:rPr>
        <w:t xml:space="preserve"> farmakokinetika</w:t>
      </w:r>
    </w:p>
    <w:p w14:paraId="1FEBE7AE" w14:textId="58C95A9C" w:rsidR="00B341E8" w:rsidRPr="003F564F" w:rsidRDefault="00B341E8" w:rsidP="00B341E8">
      <w:pPr>
        <w:tabs>
          <w:tab w:val="left" w:pos="567"/>
        </w:tabs>
        <w:rPr>
          <w:color w:val="000000"/>
          <w:sz w:val="22"/>
        </w:rPr>
      </w:pPr>
      <w:r w:rsidRPr="003F564F">
        <w:rPr>
          <w:color w:val="000000"/>
          <w:sz w:val="22"/>
        </w:rPr>
        <w:t xml:space="preserve">Atlikus </w:t>
      </w:r>
      <w:proofErr w:type="spellStart"/>
      <w:r w:rsidRPr="003F564F">
        <w:rPr>
          <w:color w:val="000000"/>
          <w:sz w:val="22"/>
        </w:rPr>
        <w:t>populiacinės</w:t>
      </w:r>
      <w:proofErr w:type="spellEnd"/>
      <w:r w:rsidRPr="003F564F">
        <w:rPr>
          <w:color w:val="000000"/>
          <w:sz w:val="22"/>
        </w:rPr>
        <w:t xml:space="preserve"> farmakokinetikos analizę MF sergantiems pacientams, nenustatyta jokio ryšio tarp per burną vartojamo vaistinio preparato klirenso ir pacientų amžiaus ar rasės. Numatomas vaistinio preparato klirensas buvo 17,7</w:t>
      </w:r>
      <w:r w:rsidR="002B7C37">
        <w:rPr>
          <w:color w:val="000000"/>
          <w:sz w:val="22"/>
        </w:rPr>
        <w:t> </w:t>
      </w:r>
      <w:r w:rsidRPr="003F564F">
        <w:rPr>
          <w:color w:val="000000"/>
          <w:sz w:val="22"/>
        </w:rPr>
        <w:t>litro per valandą moterims ir 22,1</w:t>
      </w:r>
      <w:r w:rsidR="002B7C37">
        <w:rPr>
          <w:color w:val="000000"/>
          <w:sz w:val="22"/>
        </w:rPr>
        <w:t> </w:t>
      </w:r>
      <w:r w:rsidRPr="003F564F">
        <w:rPr>
          <w:color w:val="000000"/>
          <w:sz w:val="22"/>
        </w:rPr>
        <w:t>litro per valandą vyrams, nustatytas 39</w:t>
      </w:r>
      <w:r w:rsidR="002B7C37">
        <w:rPr>
          <w:color w:val="000000"/>
          <w:sz w:val="22"/>
        </w:rPr>
        <w:t> </w:t>
      </w:r>
      <w:r w:rsidRPr="003F564F">
        <w:rPr>
          <w:color w:val="000000"/>
          <w:sz w:val="22"/>
        </w:rPr>
        <w:t xml:space="preserve">% kintamumas skirtingiems MF sergantiems </w:t>
      </w:r>
      <w:r w:rsidR="00D7153B">
        <w:rPr>
          <w:color w:val="000000"/>
          <w:sz w:val="22"/>
        </w:rPr>
        <w:t>pacientams</w:t>
      </w:r>
      <w:r w:rsidRPr="003F564F">
        <w:rPr>
          <w:color w:val="000000"/>
          <w:sz w:val="22"/>
        </w:rPr>
        <w:t xml:space="preserve">. Remiantis </w:t>
      </w:r>
      <w:proofErr w:type="spellStart"/>
      <w:r w:rsidRPr="003F564F">
        <w:rPr>
          <w:color w:val="000000"/>
          <w:sz w:val="22"/>
        </w:rPr>
        <w:t>populiacinės</w:t>
      </w:r>
      <w:proofErr w:type="spellEnd"/>
      <w:r w:rsidRPr="003F564F">
        <w:rPr>
          <w:color w:val="000000"/>
          <w:sz w:val="22"/>
        </w:rPr>
        <w:t xml:space="preserve"> farmakokinetikos analizės duomenimis, TP sergantiems pacientams nustatytas vaistinio preparato klirensas buvo 12,7</w:t>
      </w:r>
      <w:r w:rsidR="002B7C37">
        <w:rPr>
          <w:color w:val="000000"/>
          <w:sz w:val="22"/>
        </w:rPr>
        <w:t> </w:t>
      </w:r>
      <w:r w:rsidRPr="003F564F">
        <w:rPr>
          <w:color w:val="000000"/>
          <w:sz w:val="22"/>
        </w:rPr>
        <w:t>litro per valandą, taip pat nustatytas 42</w:t>
      </w:r>
      <w:r w:rsidR="002B7C37">
        <w:rPr>
          <w:color w:val="000000"/>
          <w:sz w:val="22"/>
        </w:rPr>
        <w:t> </w:t>
      </w:r>
      <w:r w:rsidRPr="003F564F">
        <w:rPr>
          <w:color w:val="000000"/>
          <w:sz w:val="22"/>
        </w:rPr>
        <w:t xml:space="preserve">% kintamumas skirtingiems asmenims bei nenustatyta jokio ryšio tarp per burną vartojamo vaistinio preparato klirenso ir pacientų lyties, amžiaus ar rasės. Vaistinio preparato klirensas ūmine </w:t>
      </w:r>
      <w:proofErr w:type="spellStart"/>
      <w:r w:rsidRPr="003F564F">
        <w:rPr>
          <w:color w:val="000000"/>
          <w:sz w:val="22"/>
        </w:rPr>
        <w:t>TpŠL</w:t>
      </w:r>
      <w:proofErr w:type="spellEnd"/>
      <w:r w:rsidRPr="003F564F">
        <w:rPr>
          <w:color w:val="000000"/>
          <w:sz w:val="22"/>
        </w:rPr>
        <w:t xml:space="preserve"> sergantiems paaugliams ir suaugusiems pacientams buvo 10,4</w:t>
      </w:r>
      <w:r w:rsidR="002B7C37">
        <w:rPr>
          <w:color w:val="000000"/>
          <w:sz w:val="22"/>
        </w:rPr>
        <w:t> </w:t>
      </w:r>
      <w:r w:rsidRPr="003F564F">
        <w:rPr>
          <w:color w:val="000000"/>
          <w:sz w:val="22"/>
        </w:rPr>
        <w:t xml:space="preserve">litro per valandą, o lėtine </w:t>
      </w:r>
      <w:proofErr w:type="spellStart"/>
      <w:r w:rsidRPr="003F564F">
        <w:rPr>
          <w:color w:val="000000"/>
          <w:sz w:val="22"/>
        </w:rPr>
        <w:t>TpŠL</w:t>
      </w:r>
      <w:proofErr w:type="spellEnd"/>
      <w:r w:rsidRPr="003F564F">
        <w:rPr>
          <w:color w:val="000000"/>
          <w:sz w:val="22"/>
        </w:rPr>
        <w:t xml:space="preserve"> sergantiems paaugliams ir suaugusiems pacientams – 7,8</w:t>
      </w:r>
      <w:r w:rsidR="002B7C37">
        <w:rPr>
          <w:color w:val="000000"/>
          <w:sz w:val="22"/>
        </w:rPr>
        <w:t> </w:t>
      </w:r>
      <w:r w:rsidRPr="003F564F">
        <w:rPr>
          <w:color w:val="000000"/>
          <w:sz w:val="22"/>
        </w:rPr>
        <w:t>litro per valandą, nustatytas 49</w:t>
      </w:r>
      <w:r w:rsidR="002B7C37">
        <w:rPr>
          <w:color w:val="000000"/>
          <w:sz w:val="22"/>
        </w:rPr>
        <w:t> </w:t>
      </w:r>
      <w:r w:rsidRPr="003F564F">
        <w:rPr>
          <w:color w:val="000000"/>
          <w:sz w:val="22"/>
        </w:rPr>
        <w:t xml:space="preserve">% kintamumas skirtingiems asmenims. Ūmine arba lėtine </w:t>
      </w:r>
      <w:proofErr w:type="spellStart"/>
      <w:r w:rsidRPr="003F564F">
        <w:rPr>
          <w:color w:val="000000"/>
          <w:sz w:val="22"/>
        </w:rPr>
        <w:t>TpŠL</w:t>
      </w:r>
      <w:proofErr w:type="spellEnd"/>
      <w:r w:rsidRPr="003F564F">
        <w:rPr>
          <w:color w:val="000000"/>
          <w:sz w:val="22"/>
        </w:rPr>
        <w:t xml:space="preserve"> sergantiems vaikams, kurių KPP yra mažesnis kaip 1</w:t>
      </w:r>
      <w:r w:rsidR="002B7C37">
        <w:rPr>
          <w:color w:val="000000"/>
          <w:sz w:val="22"/>
        </w:rPr>
        <w:t> </w:t>
      </w:r>
      <w:r w:rsidRPr="003F564F">
        <w:rPr>
          <w:color w:val="000000"/>
          <w:sz w:val="22"/>
        </w:rPr>
        <w:t>m</w:t>
      </w:r>
      <w:r w:rsidRPr="002B7C37">
        <w:rPr>
          <w:color w:val="000000"/>
          <w:sz w:val="22"/>
          <w:vertAlign w:val="superscript"/>
        </w:rPr>
        <w:t>2</w:t>
      </w:r>
      <w:r w:rsidRPr="003F564F">
        <w:rPr>
          <w:color w:val="000000"/>
          <w:sz w:val="22"/>
        </w:rPr>
        <w:t>, vaistinio preparato klirensas buvo tarp 6,5 ir 7</w:t>
      </w:r>
      <w:r w:rsidR="002B7C37">
        <w:rPr>
          <w:color w:val="000000"/>
          <w:sz w:val="22"/>
        </w:rPr>
        <w:t> </w:t>
      </w:r>
      <w:r w:rsidRPr="003F564F">
        <w:rPr>
          <w:color w:val="000000"/>
          <w:sz w:val="22"/>
        </w:rPr>
        <w:t xml:space="preserve">litrų per valandą. Remiantis </w:t>
      </w:r>
      <w:proofErr w:type="spellStart"/>
      <w:r w:rsidRPr="003F564F">
        <w:rPr>
          <w:color w:val="000000"/>
          <w:sz w:val="22"/>
        </w:rPr>
        <w:t>populiacinės</w:t>
      </w:r>
      <w:proofErr w:type="spellEnd"/>
      <w:r w:rsidRPr="003F564F">
        <w:rPr>
          <w:color w:val="000000"/>
          <w:sz w:val="22"/>
        </w:rPr>
        <w:t xml:space="preserve"> farmakokinetikos analizės duomenimis, </w:t>
      </w:r>
      <w:proofErr w:type="spellStart"/>
      <w:r w:rsidRPr="003F564F">
        <w:rPr>
          <w:color w:val="000000"/>
          <w:sz w:val="22"/>
        </w:rPr>
        <w:t>TpŠL</w:t>
      </w:r>
      <w:proofErr w:type="spellEnd"/>
      <w:r w:rsidRPr="003F564F">
        <w:rPr>
          <w:color w:val="000000"/>
          <w:sz w:val="22"/>
        </w:rPr>
        <w:t xml:space="preserve"> sergantiems pacientams nebuvo nustatyta jokio ryšio tarp per burną vartojamo vaistinio preparato klirenso ir pacientų lyties, amžiaus ar rasės. Skiriant po 10</w:t>
      </w:r>
      <w:r w:rsidR="002B7C37">
        <w:rPr>
          <w:color w:val="000000"/>
          <w:sz w:val="22"/>
        </w:rPr>
        <w:t> </w:t>
      </w:r>
      <w:r w:rsidRPr="003F564F">
        <w:rPr>
          <w:color w:val="000000"/>
          <w:sz w:val="22"/>
        </w:rPr>
        <w:t xml:space="preserve">mg du kartus per parą dozę </w:t>
      </w:r>
      <w:proofErr w:type="spellStart"/>
      <w:r w:rsidRPr="003F564F">
        <w:rPr>
          <w:color w:val="000000"/>
          <w:sz w:val="22"/>
        </w:rPr>
        <w:t>TpŠL</w:t>
      </w:r>
      <w:proofErr w:type="spellEnd"/>
      <w:r w:rsidRPr="003F564F">
        <w:rPr>
          <w:color w:val="000000"/>
          <w:sz w:val="22"/>
        </w:rPr>
        <w:t xml:space="preserve"> sergantiems pacientams, kurių KPP buvo nedidelis, vaistinio preparato ekspozicija padidėjo. Tiriamiesiems asmenims, kurių KPP buvo 1</w:t>
      </w:r>
      <w:r w:rsidR="002B7C37">
        <w:rPr>
          <w:color w:val="000000"/>
          <w:sz w:val="22"/>
        </w:rPr>
        <w:t> </w:t>
      </w:r>
      <w:r w:rsidRPr="003F564F">
        <w:rPr>
          <w:color w:val="000000"/>
          <w:sz w:val="22"/>
        </w:rPr>
        <w:t>m</w:t>
      </w:r>
      <w:r w:rsidRPr="002B7C37">
        <w:rPr>
          <w:color w:val="000000"/>
          <w:sz w:val="22"/>
          <w:vertAlign w:val="superscript"/>
        </w:rPr>
        <w:t>2</w:t>
      </w:r>
      <w:r w:rsidRPr="003F564F">
        <w:rPr>
          <w:color w:val="000000"/>
          <w:sz w:val="22"/>
        </w:rPr>
        <w:t>, 1,25</w:t>
      </w:r>
      <w:r w:rsidR="002B7C37">
        <w:rPr>
          <w:color w:val="000000"/>
          <w:sz w:val="22"/>
        </w:rPr>
        <w:t> </w:t>
      </w:r>
      <w:r w:rsidRPr="003F564F">
        <w:rPr>
          <w:color w:val="000000"/>
          <w:sz w:val="22"/>
        </w:rPr>
        <w:t>m</w:t>
      </w:r>
      <w:r w:rsidRPr="002B7C37">
        <w:rPr>
          <w:color w:val="000000"/>
          <w:sz w:val="22"/>
          <w:vertAlign w:val="superscript"/>
        </w:rPr>
        <w:t>2</w:t>
      </w:r>
      <w:r w:rsidRPr="003F564F">
        <w:rPr>
          <w:color w:val="000000"/>
          <w:sz w:val="22"/>
        </w:rPr>
        <w:t xml:space="preserve"> ir 1,5</w:t>
      </w:r>
      <w:r w:rsidR="002B7C37">
        <w:rPr>
          <w:color w:val="000000"/>
          <w:sz w:val="22"/>
        </w:rPr>
        <w:t> </w:t>
      </w:r>
      <w:r w:rsidRPr="003F564F">
        <w:rPr>
          <w:color w:val="000000"/>
          <w:sz w:val="22"/>
        </w:rPr>
        <w:t>m</w:t>
      </w:r>
      <w:r w:rsidRPr="002B7C37">
        <w:rPr>
          <w:color w:val="000000"/>
          <w:sz w:val="22"/>
          <w:vertAlign w:val="superscript"/>
        </w:rPr>
        <w:t>2</w:t>
      </w:r>
      <w:r w:rsidRPr="003F564F">
        <w:rPr>
          <w:color w:val="000000"/>
          <w:sz w:val="22"/>
        </w:rPr>
        <w:t>, apskaičiuotoji vidutinė ekspozicija (AUC rodmuo) buvo atitinkamai 31</w:t>
      </w:r>
      <w:r w:rsidR="002B7C37">
        <w:rPr>
          <w:color w:val="000000"/>
          <w:sz w:val="22"/>
        </w:rPr>
        <w:t> </w:t>
      </w:r>
      <w:r w:rsidRPr="003F564F">
        <w:rPr>
          <w:color w:val="000000"/>
          <w:sz w:val="22"/>
        </w:rPr>
        <w:t>%, 22</w:t>
      </w:r>
      <w:r w:rsidR="002B7C37">
        <w:rPr>
          <w:color w:val="000000"/>
          <w:sz w:val="22"/>
        </w:rPr>
        <w:t> </w:t>
      </w:r>
      <w:r w:rsidRPr="003F564F">
        <w:rPr>
          <w:color w:val="000000"/>
          <w:sz w:val="22"/>
        </w:rPr>
        <w:t>% ir 12</w:t>
      </w:r>
      <w:r w:rsidR="002B7C37">
        <w:rPr>
          <w:color w:val="000000"/>
          <w:sz w:val="22"/>
        </w:rPr>
        <w:t> </w:t>
      </w:r>
      <w:r w:rsidRPr="003F564F">
        <w:rPr>
          <w:color w:val="000000"/>
          <w:sz w:val="22"/>
        </w:rPr>
        <w:t>% didesnė nei nustatytoji tipiškam suaugusiam pacientui (KPP 1,79</w:t>
      </w:r>
      <w:r w:rsidR="002B7C37">
        <w:rPr>
          <w:color w:val="000000"/>
          <w:sz w:val="22"/>
        </w:rPr>
        <w:t> </w:t>
      </w:r>
      <w:r w:rsidRPr="003F564F">
        <w:rPr>
          <w:color w:val="000000"/>
          <w:sz w:val="22"/>
        </w:rPr>
        <w:t>m</w:t>
      </w:r>
      <w:r w:rsidRPr="002B7C37">
        <w:rPr>
          <w:color w:val="000000"/>
          <w:sz w:val="22"/>
          <w:vertAlign w:val="superscript"/>
        </w:rPr>
        <w:t>2</w:t>
      </w:r>
      <w:r w:rsidRPr="003F564F">
        <w:rPr>
          <w:color w:val="000000"/>
          <w:sz w:val="22"/>
        </w:rPr>
        <w:t>).</w:t>
      </w:r>
    </w:p>
    <w:p w14:paraId="57F89B56" w14:textId="77777777" w:rsidR="00B341E8" w:rsidRPr="003F564F" w:rsidRDefault="00B341E8" w:rsidP="00B341E8">
      <w:pPr>
        <w:tabs>
          <w:tab w:val="left" w:pos="567"/>
        </w:tabs>
        <w:rPr>
          <w:color w:val="000000"/>
          <w:sz w:val="22"/>
        </w:rPr>
      </w:pPr>
    </w:p>
    <w:p w14:paraId="3823B429" w14:textId="5A0DA17A" w:rsidR="00B341E8" w:rsidRPr="002B7C37" w:rsidRDefault="00B341E8" w:rsidP="00B341E8">
      <w:pPr>
        <w:tabs>
          <w:tab w:val="left" w:pos="567"/>
        </w:tabs>
        <w:rPr>
          <w:i/>
          <w:iCs/>
          <w:color w:val="000000"/>
          <w:sz w:val="22"/>
          <w:u w:val="single"/>
        </w:rPr>
      </w:pPr>
      <w:r w:rsidRPr="002B7C37">
        <w:rPr>
          <w:i/>
          <w:iCs/>
          <w:color w:val="000000"/>
          <w:sz w:val="22"/>
          <w:u w:val="single"/>
        </w:rPr>
        <w:t>Vaikų populiacija</w:t>
      </w:r>
    </w:p>
    <w:p w14:paraId="7D6DA673" w14:textId="19C82CED" w:rsidR="00B341E8" w:rsidRPr="003F564F" w:rsidRDefault="005B12D8" w:rsidP="00B341E8">
      <w:pPr>
        <w:tabs>
          <w:tab w:val="left" w:pos="567"/>
        </w:tabs>
        <w:rPr>
          <w:color w:val="000000"/>
          <w:sz w:val="22"/>
        </w:rPr>
      </w:pPr>
      <w:proofErr w:type="spellStart"/>
      <w:r>
        <w:rPr>
          <w:sz w:val="22"/>
          <w:szCs w:val="22"/>
          <w:lang w:eastAsia="lt-LT"/>
        </w:rPr>
        <w:t>Ruksolitinibo</w:t>
      </w:r>
      <w:proofErr w:type="spellEnd"/>
      <w:r w:rsidRPr="003F564F">
        <w:rPr>
          <w:sz w:val="22"/>
          <w:szCs w:val="22"/>
          <w:lang w:eastAsia="lt-LT"/>
        </w:rPr>
        <w:t xml:space="preserve"> </w:t>
      </w:r>
      <w:proofErr w:type="spellStart"/>
      <w:r w:rsidR="00B341E8" w:rsidRPr="003F564F">
        <w:rPr>
          <w:color w:val="000000"/>
          <w:sz w:val="22"/>
        </w:rPr>
        <w:t>farmakokinetinės</w:t>
      </w:r>
      <w:proofErr w:type="spellEnd"/>
      <w:r w:rsidR="00B341E8" w:rsidRPr="003F564F">
        <w:rPr>
          <w:color w:val="000000"/>
          <w:sz w:val="22"/>
        </w:rPr>
        <w:t xml:space="preserve"> savybės &lt;</w:t>
      </w:r>
      <w:r>
        <w:rPr>
          <w:color w:val="000000"/>
          <w:sz w:val="22"/>
        </w:rPr>
        <w:t> </w:t>
      </w:r>
      <w:r w:rsidR="00B341E8" w:rsidRPr="003F564F">
        <w:rPr>
          <w:color w:val="000000"/>
          <w:sz w:val="22"/>
        </w:rPr>
        <w:t>18</w:t>
      </w:r>
      <w:r>
        <w:rPr>
          <w:color w:val="000000"/>
          <w:sz w:val="22"/>
        </w:rPr>
        <w:t> </w:t>
      </w:r>
      <w:r w:rsidR="00B341E8" w:rsidRPr="003F564F">
        <w:rPr>
          <w:color w:val="000000"/>
          <w:sz w:val="22"/>
        </w:rPr>
        <w:t>metų amžiaus vaikų populiacijoje MF ir TP indikacijoms neištirt</w:t>
      </w:r>
      <w:r>
        <w:rPr>
          <w:color w:val="000000"/>
          <w:sz w:val="22"/>
        </w:rPr>
        <w:t>os</w:t>
      </w:r>
      <w:r w:rsidR="00B341E8" w:rsidRPr="003F564F">
        <w:rPr>
          <w:color w:val="000000"/>
          <w:sz w:val="22"/>
        </w:rPr>
        <w:t>.</w:t>
      </w:r>
    </w:p>
    <w:p w14:paraId="3EDA5C24" w14:textId="77777777" w:rsidR="00B341E8" w:rsidRPr="003F564F" w:rsidRDefault="00B341E8" w:rsidP="00B341E8">
      <w:pPr>
        <w:tabs>
          <w:tab w:val="left" w:pos="567"/>
        </w:tabs>
        <w:rPr>
          <w:color w:val="000000"/>
          <w:sz w:val="22"/>
        </w:rPr>
      </w:pPr>
    </w:p>
    <w:p w14:paraId="4DF90D94" w14:textId="73D96226" w:rsidR="00B341E8" w:rsidRPr="003F564F" w:rsidRDefault="00B341E8" w:rsidP="00B341E8">
      <w:pPr>
        <w:tabs>
          <w:tab w:val="left" w:pos="567"/>
        </w:tabs>
        <w:rPr>
          <w:color w:val="000000"/>
          <w:sz w:val="22"/>
        </w:rPr>
      </w:pPr>
      <w:r w:rsidRPr="003F564F">
        <w:rPr>
          <w:color w:val="000000"/>
          <w:sz w:val="22"/>
        </w:rPr>
        <w:t xml:space="preserve">Kaip ir skiriant </w:t>
      </w:r>
      <w:proofErr w:type="spellStart"/>
      <w:r w:rsidRPr="003F564F">
        <w:rPr>
          <w:color w:val="000000"/>
          <w:sz w:val="22"/>
        </w:rPr>
        <w:t>TpŠL</w:t>
      </w:r>
      <w:proofErr w:type="spellEnd"/>
      <w:r w:rsidRPr="003F564F">
        <w:rPr>
          <w:color w:val="000000"/>
          <w:sz w:val="22"/>
        </w:rPr>
        <w:t xml:space="preserve"> sergantiems suaugusiems pacientams, </w:t>
      </w:r>
      <w:proofErr w:type="spellStart"/>
      <w:r w:rsidRPr="003F564F">
        <w:rPr>
          <w:color w:val="000000"/>
          <w:sz w:val="22"/>
        </w:rPr>
        <w:t>ruksolitinibo</w:t>
      </w:r>
      <w:proofErr w:type="spellEnd"/>
      <w:r w:rsidRPr="003F564F">
        <w:rPr>
          <w:color w:val="000000"/>
          <w:sz w:val="22"/>
        </w:rPr>
        <w:t xml:space="preserve"> paskyrus per burną </w:t>
      </w:r>
      <w:proofErr w:type="spellStart"/>
      <w:r w:rsidRPr="003F564F">
        <w:rPr>
          <w:color w:val="000000"/>
          <w:sz w:val="22"/>
        </w:rPr>
        <w:t>TpŠL</w:t>
      </w:r>
      <w:proofErr w:type="spellEnd"/>
      <w:r w:rsidRPr="003F564F">
        <w:rPr>
          <w:color w:val="000000"/>
          <w:sz w:val="22"/>
        </w:rPr>
        <w:t xml:space="preserve"> sergantiems vaikams jis greitai absorbuojamas. 6</w:t>
      </w:r>
      <w:r w:rsidR="005B12D8">
        <w:rPr>
          <w:color w:val="000000"/>
          <w:sz w:val="22"/>
        </w:rPr>
        <w:noBreakHyphen/>
      </w:r>
      <w:r w:rsidRPr="003F564F">
        <w:rPr>
          <w:color w:val="000000"/>
          <w:sz w:val="22"/>
        </w:rPr>
        <w:t>11</w:t>
      </w:r>
      <w:r w:rsidR="005B12D8">
        <w:rPr>
          <w:color w:val="000000"/>
          <w:sz w:val="22"/>
        </w:rPr>
        <w:t> </w:t>
      </w:r>
      <w:r w:rsidRPr="003F564F">
        <w:rPr>
          <w:color w:val="000000"/>
          <w:sz w:val="22"/>
        </w:rPr>
        <w:t>vaikams skiriant po 5</w:t>
      </w:r>
      <w:r w:rsidR="005B12D8">
        <w:rPr>
          <w:color w:val="000000"/>
          <w:sz w:val="22"/>
        </w:rPr>
        <w:t> </w:t>
      </w:r>
      <w:r w:rsidRPr="003F564F">
        <w:rPr>
          <w:color w:val="000000"/>
          <w:sz w:val="22"/>
        </w:rPr>
        <w:t xml:space="preserve">mg du kartus per parą dozes, buvo pasiekta panaši vaistinio preparato ekspozicija kaip ūmine ir lėtine </w:t>
      </w:r>
      <w:proofErr w:type="spellStart"/>
      <w:r w:rsidRPr="003F564F">
        <w:rPr>
          <w:color w:val="000000"/>
          <w:sz w:val="22"/>
        </w:rPr>
        <w:t>TpŠL</w:t>
      </w:r>
      <w:proofErr w:type="spellEnd"/>
      <w:r w:rsidRPr="003F564F">
        <w:rPr>
          <w:color w:val="000000"/>
          <w:sz w:val="22"/>
        </w:rPr>
        <w:t xml:space="preserve"> sergantiems paaugliams ir suaugusiesiems skiriant po 10</w:t>
      </w:r>
      <w:r w:rsidR="005B12D8">
        <w:rPr>
          <w:color w:val="000000"/>
          <w:sz w:val="22"/>
        </w:rPr>
        <w:t> </w:t>
      </w:r>
      <w:r w:rsidRPr="003F564F">
        <w:rPr>
          <w:color w:val="000000"/>
          <w:sz w:val="22"/>
        </w:rPr>
        <w:t>mg du kartus per parą dozę, o tai patvirtina ekspozicijos atitikmenis, kurie gauti pritaikius duomenų ekstrapoliaciją. Ekspozicijos atitikmenys rodo, kad 2</w:t>
      </w:r>
      <w:r w:rsidR="005B12D8">
        <w:rPr>
          <w:color w:val="000000"/>
          <w:sz w:val="22"/>
        </w:rPr>
        <w:noBreakHyphen/>
      </w:r>
      <w:r w:rsidRPr="003F564F">
        <w:rPr>
          <w:color w:val="000000"/>
          <w:sz w:val="22"/>
        </w:rPr>
        <w:t>5</w:t>
      </w:r>
      <w:r w:rsidR="005B12D8">
        <w:rPr>
          <w:color w:val="000000"/>
          <w:sz w:val="22"/>
        </w:rPr>
        <w:t> </w:t>
      </w:r>
      <w:r w:rsidRPr="003F564F">
        <w:rPr>
          <w:color w:val="000000"/>
          <w:sz w:val="22"/>
        </w:rPr>
        <w:t xml:space="preserve">metų ūmine ir lėtine </w:t>
      </w:r>
      <w:proofErr w:type="spellStart"/>
      <w:r w:rsidRPr="003F564F">
        <w:rPr>
          <w:color w:val="000000"/>
          <w:sz w:val="22"/>
        </w:rPr>
        <w:t>TpŠL</w:t>
      </w:r>
      <w:proofErr w:type="spellEnd"/>
      <w:r w:rsidRPr="003F564F">
        <w:rPr>
          <w:color w:val="000000"/>
          <w:sz w:val="22"/>
        </w:rPr>
        <w:t xml:space="preserve"> sergantiems vaikams vaistinio preparato dozė yra po 8</w:t>
      </w:r>
      <w:r w:rsidR="005B12D8">
        <w:rPr>
          <w:color w:val="000000"/>
          <w:sz w:val="22"/>
        </w:rPr>
        <w:t> </w:t>
      </w:r>
      <w:r w:rsidRPr="003F564F">
        <w:rPr>
          <w:color w:val="000000"/>
          <w:sz w:val="22"/>
        </w:rPr>
        <w:t>mg/m</w:t>
      </w:r>
      <w:r w:rsidRPr="005B12D8">
        <w:rPr>
          <w:color w:val="000000"/>
          <w:sz w:val="22"/>
          <w:vertAlign w:val="superscript"/>
        </w:rPr>
        <w:t>2</w:t>
      </w:r>
      <w:r w:rsidRPr="003F564F">
        <w:rPr>
          <w:color w:val="000000"/>
          <w:sz w:val="22"/>
        </w:rPr>
        <w:t xml:space="preserve"> du kartus per parą.</w:t>
      </w:r>
    </w:p>
    <w:p w14:paraId="2B00AD89" w14:textId="77777777" w:rsidR="00B341E8" w:rsidRPr="003F564F" w:rsidRDefault="00B341E8" w:rsidP="00B341E8">
      <w:pPr>
        <w:tabs>
          <w:tab w:val="left" w:pos="567"/>
        </w:tabs>
        <w:rPr>
          <w:color w:val="000000"/>
          <w:sz w:val="22"/>
        </w:rPr>
      </w:pPr>
    </w:p>
    <w:p w14:paraId="53065045" w14:textId="480C7D51" w:rsidR="00B341E8" w:rsidRPr="003F564F" w:rsidRDefault="00B341E8" w:rsidP="00B341E8">
      <w:pPr>
        <w:tabs>
          <w:tab w:val="left" w:pos="567"/>
        </w:tabs>
        <w:rPr>
          <w:color w:val="000000"/>
          <w:sz w:val="22"/>
        </w:rPr>
      </w:pPr>
      <w:proofErr w:type="spellStart"/>
      <w:r w:rsidRPr="003F564F">
        <w:rPr>
          <w:color w:val="000000"/>
          <w:sz w:val="22"/>
        </w:rPr>
        <w:t>Ruksolitinibo</w:t>
      </w:r>
      <w:proofErr w:type="spellEnd"/>
      <w:r w:rsidRPr="003F564F">
        <w:rPr>
          <w:color w:val="000000"/>
          <w:sz w:val="22"/>
        </w:rPr>
        <w:t xml:space="preserve"> poveikis ūmine ar lėtine </w:t>
      </w:r>
      <w:proofErr w:type="spellStart"/>
      <w:r w:rsidRPr="003F564F">
        <w:rPr>
          <w:color w:val="000000"/>
          <w:sz w:val="22"/>
        </w:rPr>
        <w:t>TpŠL</w:t>
      </w:r>
      <w:proofErr w:type="spellEnd"/>
      <w:r w:rsidRPr="003F564F">
        <w:rPr>
          <w:color w:val="000000"/>
          <w:sz w:val="22"/>
        </w:rPr>
        <w:t xml:space="preserve"> sergantiems jaunesniems kaip 2</w:t>
      </w:r>
      <w:r w:rsidR="005B12D8">
        <w:rPr>
          <w:color w:val="000000"/>
          <w:sz w:val="22"/>
        </w:rPr>
        <w:t> </w:t>
      </w:r>
      <w:r w:rsidRPr="003F564F">
        <w:rPr>
          <w:color w:val="000000"/>
          <w:sz w:val="22"/>
        </w:rPr>
        <w:t>metų vaikams neištirtas, todėl buvo pritaikytas duomenų modeliavimas, siekiant prognozuoti vaistinio preparato ekspoziciją šiems pacientams, atsižvelgiant į nuo amžiaus priklausomus aspektus jaunesniems pacientams bei remiantis suaugusių pacientų duomenimis.</w:t>
      </w:r>
    </w:p>
    <w:p w14:paraId="5CDA357C" w14:textId="77777777" w:rsidR="00B341E8" w:rsidRPr="003F564F" w:rsidRDefault="00B341E8" w:rsidP="00B341E8">
      <w:pPr>
        <w:tabs>
          <w:tab w:val="left" w:pos="567"/>
        </w:tabs>
        <w:rPr>
          <w:color w:val="000000"/>
          <w:sz w:val="22"/>
        </w:rPr>
      </w:pPr>
    </w:p>
    <w:p w14:paraId="74B76474" w14:textId="1AD0FFCF" w:rsidR="00B341E8" w:rsidRPr="003F564F" w:rsidRDefault="00B341E8" w:rsidP="00B341E8">
      <w:pPr>
        <w:tabs>
          <w:tab w:val="left" w:pos="567"/>
        </w:tabs>
        <w:rPr>
          <w:color w:val="000000"/>
          <w:sz w:val="22"/>
        </w:rPr>
      </w:pPr>
      <w:r w:rsidRPr="003F564F">
        <w:rPr>
          <w:color w:val="000000"/>
          <w:sz w:val="22"/>
        </w:rPr>
        <w:t xml:space="preserve">Remiantis apibendrintais </w:t>
      </w:r>
      <w:proofErr w:type="spellStart"/>
      <w:r w:rsidRPr="003F564F">
        <w:rPr>
          <w:color w:val="000000"/>
          <w:sz w:val="22"/>
        </w:rPr>
        <w:t>populiacinės</w:t>
      </w:r>
      <w:proofErr w:type="spellEnd"/>
      <w:r w:rsidRPr="003F564F">
        <w:rPr>
          <w:color w:val="000000"/>
          <w:sz w:val="22"/>
        </w:rPr>
        <w:t xml:space="preserve"> farmakokinetikos analizės duomenimis ūmine arba lėtine </w:t>
      </w:r>
      <w:proofErr w:type="spellStart"/>
      <w:r w:rsidRPr="003F564F">
        <w:rPr>
          <w:color w:val="000000"/>
          <w:sz w:val="22"/>
        </w:rPr>
        <w:t>TpŠL</w:t>
      </w:r>
      <w:proofErr w:type="spellEnd"/>
      <w:r w:rsidRPr="003F564F">
        <w:rPr>
          <w:color w:val="000000"/>
          <w:sz w:val="22"/>
        </w:rPr>
        <w:t xml:space="preserve"> sergantiems vaikams, </w:t>
      </w:r>
      <w:proofErr w:type="spellStart"/>
      <w:r w:rsidRPr="003F564F">
        <w:rPr>
          <w:color w:val="000000"/>
          <w:sz w:val="22"/>
        </w:rPr>
        <w:t>ruksolitinibo</w:t>
      </w:r>
      <w:proofErr w:type="spellEnd"/>
      <w:r w:rsidRPr="003F564F">
        <w:rPr>
          <w:color w:val="000000"/>
          <w:sz w:val="22"/>
        </w:rPr>
        <w:t xml:space="preserve"> klirensas mažėjo mažėjant KPP. Duomenis koregavus pagal KPP įtaką nustatyta, kad kiti demografiniai veiksniai, tokie kaip amžius, kūno svoris ir kūno masės indeksas, neturėjo kliniškai reikšmingos įtakos </w:t>
      </w:r>
      <w:proofErr w:type="spellStart"/>
      <w:r w:rsidRPr="003F564F">
        <w:rPr>
          <w:color w:val="000000"/>
          <w:sz w:val="22"/>
        </w:rPr>
        <w:t>ruksolitinibo</w:t>
      </w:r>
      <w:proofErr w:type="spellEnd"/>
      <w:r w:rsidRPr="003F564F">
        <w:rPr>
          <w:color w:val="000000"/>
          <w:sz w:val="22"/>
        </w:rPr>
        <w:t xml:space="preserve"> ekspozicijai.</w:t>
      </w:r>
    </w:p>
    <w:p w14:paraId="1825D1E6" w14:textId="77777777" w:rsidR="00B341E8" w:rsidRPr="003F564F" w:rsidRDefault="00B341E8" w:rsidP="00B341E8">
      <w:pPr>
        <w:tabs>
          <w:tab w:val="left" w:pos="567"/>
        </w:tabs>
        <w:rPr>
          <w:color w:val="000000"/>
          <w:sz w:val="22"/>
        </w:rPr>
      </w:pPr>
    </w:p>
    <w:p w14:paraId="651ABA55" w14:textId="77777777" w:rsidR="00B341E8" w:rsidRPr="002B7C37" w:rsidRDefault="00B341E8" w:rsidP="00B341E8">
      <w:pPr>
        <w:tabs>
          <w:tab w:val="left" w:pos="567"/>
        </w:tabs>
        <w:rPr>
          <w:i/>
          <w:iCs/>
          <w:color w:val="000000"/>
          <w:sz w:val="22"/>
          <w:u w:val="single"/>
        </w:rPr>
      </w:pPr>
      <w:r w:rsidRPr="002B7C37">
        <w:rPr>
          <w:i/>
          <w:iCs/>
          <w:color w:val="000000"/>
          <w:sz w:val="22"/>
          <w:u w:val="single"/>
        </w:rPr>
        <w:lastRenderedPageBreak/>
        <w:t>Sutrikusi inkstų funkcija</w:t>
      </w:r>
    </w:p>
    <w:p w14:paraId="3794E18D" w14:textId="52F02E52" w:rsidR="00B341E8" w:rsidRPr="003F564F" w:rsidRDefault="00B341E8" w:rsidP="00B341E8">
      <w:pPr>
        <w:tabs>
          <w:tab w:val="left" w:pos="567"/>
        </w:tabs>
        <w:rPr>
          <w:color w:val="000000"/>
          <w:sz w:val="22"/>
        </w:rPr>
      </w:pPr>
      <w:r w:rsidRPr="003F564F">
        <w:rPr>
          <w:color w:val="000000"/>
          <w:sz w:val="22"/>
        </w:rPr>
        <w:t xml:space="preserve">Inkstų funkcijos rodikliai buvo nustatomi naudojant tiek Dietos modifikavimo sergantiesiems inkstų liga skalę (angl. </w:t>
      </w:r>
      <w:proofErr w:type="spellStart"/>
      <w:r w:rsidRPr="005B12D8">
        <w:rPr>
          <w:i/>
          <w:iCs/>
          <w:color w:val="000000"/>
          <w:sz w:val="22"/>
        </w:rPr>
        <w:t>Modification</w:t>
      </w:r>
      <w:proofErr w:type="spellEnd"/>
      <w:r w:rsidRPr="005B12D8">
        <w:rPr>
          <w:i/>
          <w:iCs/>
          <w:color w:val="000000"/>
          <w:sz w:val="22"/>
        </w:rPr>
        <w:t xml:space="preserve"> </w:t>
      </w:r>
      <w:proofErr w:type="spellStart"/>
      <w:r w:rsidRPr="005B12D8">
        <w:rPr>
          <w:i/>
          <w:iCs/>
          <w:color w:val="000000"/>
          <w:sz w:val="22"/>
        </w:rPr>
        <w:t>of</w:t>
      </w:r>
      <w:proofErr w:type="spellEnd"/>
      <w:r w:rsidRPr="005B12D8">
        <w:rPr>
          <w:i/>
          <w:iCs/>
          <w:color w:val="000000"/>
          <w:sz w:val="22"/>
        </w:rPr>
        <w:t xml:space="preserve"> </w:t>
      </w:r>
      <w:proofErr w:type="spellStart"/>
      <w:r w:rsidRPr="005B12D8">
        <w:rPr>
          <w:i/>
          <w:iCs/>
          <w:color w:val="000000"/>
          <w:sz w:val="22"/>
        </w:rPr>
        <w:t>Diet</w:t>
      </w:r>
      <w:proofErr w:type="spellEnd"/>
      <w:r w:rsidRPr="005B12D8">
        <w:rPr>
          <w:i/>
          <w:iCs/>
          <w:color w:val="000000"/>
          <w:sz w:val="22"/>
        </w:rPr>
        <w:t xml:space="preserve"> </w:t>
      </w:r>
      <w:proofErr w:type="spellStart"/>
      <w:r w:rsidRPr="005B12D8">
        <w:rPr>
          <w:i/>
          <w:iCs/>
          <w:color w:val="000000"/>
          <w:sz w:val="22"/>
        </w:rPr>
        <w:t>in</w:t>
      </w:r>
      <w:proofErr w:type="spellEnd"/>
      <w:r w:rsidRPr="005B12D8">
        <w:rPr>
          <w:i/>
          <w:iCs/>
          <w:color w:val="000000"/>
          <w:sz w:val="22"/>
        </w:rPr>
        <w:t xml:space="preserve"> </w:t>
      </w:r>
      <w:proofErr w:type="spellStart"/>
      <w:r w:rsidRPr="005B12D8">
        <w:rPr>
          <w:i/>
          <w:iCs/>
          <w:color w:val="000000"/>
          <w:sz w:val="22"/>
        </w:rPr>
        <w:t>Renal</w:t>
      </w:r>
      <w:proofErr w:type="spellEnd"/>
      <w:r w:rsidRPr="005B12D8">
        <w:rPr>
          <w:i/>
          <w:iCs/>
          <w:color w:val="000000"/>
          <w:sz w:val="22"/>
        </w:rPr>
        <w:t xml:space="preserve"> </w:t>
      </w:r>
      <w:proofErr w:type="spellStart"/>
      <w:r w:rsidRPr="005B12D8">
        <w:rPr>
          <w:i/>
          <w:iCs/>
          <w:color w:val="000000"/>
          <w:sz w:val="22"/>
        </w:rPr>
        <w:t>Disease</w:t>
      </w:r>
      <w:proofErr w:type="spellEnd"/>
      <w:r w:rsidRPr="003F564F">
        <w:rPr>
          <w:color w:val="000000"/>
          <w:sz w:val="22"/>
        </w:rPr>
        <w:t xml:space="preserve"> – MDRD), tiek šlapimo kreatininą. Paskyrus vienkartinę 25</w:t>
      </w:r>
      <w:r w:rsidR="005B12D8">
        <w:rPr>
          <w:color w:val="000000"/>
          <w:sz w:val="22"/>
        </w:rPr>
        <w:t> </w:t>
      </w:r>
      <w:r w:rsidRPr="003F564F">
        <w:rPr>
          <w:color w:val="000000"/>
          <w:sz w:val="22"/>
        </w:rPr>
        <w:t xml:space="preserve">mg </w:t>
      </w:r>
      <w:proofErr w:type="spellStart"/>
      <w:r w:rsidRPr="003F564F">
        <w:rPr>
          <w:color w:val="000000"/>
          <w:sz w:val="22"/>
        </w:rPr>
        <w:t>ruksolitinibo</w:t>
      </w:r>
      <w:proofErr w:type="spellEnd"/>
      <w:r w:rsidRPr="003F564F">
        <w:rPr>
          <w:color w:val="000000"/>
          <w:sz w:val="22"/>
        </w:rPr>
        <w:t xml:space="preserve"> dozę, vaistinio preparato ekspozicija buvo panaši visiems tiriamiesiems asmenims, kuriems buvo įvairaus laipsnio inkstų funkcijos sutrikimas, ir tiems, kurių inkstų funkcija buvo normali. Tačiau </w:t>
      </w:r>
      <w:proofErr w:type="spellStart"/>
      <w:r w:rsidRPr="003F564F">
        <w:rPr>
          <w:color w:val="000000"/>
          <w:sz w:val="22"/>
        </w:rPr>
        <w:t>ruksolitinibo</w:t>
      </w:r>
      <w:proofErr w:type="spellEnd"/>
      <w:r w:rsidRPr="003F564F">
        <w:rPr>
          <w:color w:val="000000"/>
          <w:sz w:val="22"/>
        </w:rPr>
        <w:t xml:space="preserve"> metabolitų AUC rodiklių plazmoje reikšmės buvo linkusios didėti sunkėjant inkstų funkcijos sutrikimui, o šios reikšmės labiausiai padidėjo tiriamiesiems asmenims, kuriems buvo sunkus inkstų funkcijos sutrikimas. Nežinoma, ar padidėjusi metabolitų ekspozicija sukelia saugumo problemų. Pacientams, kuriems yra sunkus inkstų funkcijos sutrikimas ir galutinės stadijos inkstų liga, rekomenduojama koreguoti vaistinio preparato dozę (žr.</w:t>
      </w:r>
      <w:r w:rsidR="005B12D8">
        <w:rPr>
          <w:color w:val="000000"/>
          <w:sz w:val="22"/>
        </w:rPr>
        <w:t> </w:t>
      </w:r>
      <w:r w:rsidRPr="003F564F">
        <w:rPr>
          <w:color w:val="000000"/>
          <w:sz w:val="22"/>
        </w:rPr>
        <w:t>4.2</w:t>
      </w:r>
      <w:r w:rsidR="005B12D8">
        <w:rPr>
          <w:color w:val="000000"/>
          <w:sz w:val="22"/>
        </w:rPr>
        <w:t> </w:t>
      </w:r>
      <w:r w:rsidRPr="003F564F">
        <w:rPr>
          <w:color w:val="000000"/>
          <w:sz w:val="22"/>
        </w:rPr>
        <w:t xml:space="preserve">skyrių). Dozės skyrimas tik dializių atlikimo dienomis sumažina metabolitų ekspoziciją, tačiau mažina ir </w:t>
      </w:r>
      <w:proofErr w:type="spellStart"/>
      <w:r w:rsidRPr="003F564F">
        <w:rPr>
          <w:color w:val="000000"/>
          <w:sz w:val="22"/>
        </w:rPr>
        <w:t>farmakodinaminį</w:t>
      </w:r>
      <w:proofErr w:type="spellEnd"/>
      <w:r w:rsidRPr="003F564F">
        <w:rPr>
          <w:color w:val="000000"/>
          <w:sz w:val="22"/>
        </w:rPr>
        <w:t xml:space="preserve"> poveikį, ypatingai pasireiškiantį tomis dienomis, kai neatliekamos dializės.</w:t>
      </w:r>
    </w:p>
    <w:p w14:paraId="6EB72304" w14:textId="77777777" w:rsidR="002B7C37" w:rsidRDefault="002B7C37" w:rsidP="00B341E8">
      <w:pPr>
        <w:tabs>
          <w:tab w:val="left" w:pos="567"/>
        </w:tabs>
        <w:rPr>
          <w:color w:val="000000"/>
          <w:sz w:val="22"/>
        </w:rPr>
      </w:pPr>
    </w:p>
    <w:p w14:paraId="659DB5A9" w14:textId="3C67A1CE" w:rsidR="00B341E8" w:rsidRPr="002B7C37" w:rsidRDefault="00B341E8" w:rsidP="00B341E8">
      <w:pPr>
        <w:tabs>
          <w:tab w:val="left" w:pos="567"/>
        </w:tabs>
        <w:rPr>
          <w:i/>
          <w:iCs/>
          <w:color w:val="000000"/>
          <w:sz w:val="22"/>
          <w:u w:val="single"/>
        </w:rPr>
      </w:pPr>
      <w:r w:rsidRPr="002B7C37">
        <w:rPr>
          <w:i/>
          <w:iCs/>
          <w:color w:val="000000"/>
          <w:sz w:val="22"/>
          <w:u w:val="single"/>
        </w:rPr>
        <w:t>Sutrikusi kepenų funkcija</w:t>
      </w:r>
    </w:p>
    <w:p w14:paraId="5E2F8620" w14:textId="7FBB8ED4" w:rsidR="00B341E8" w:rsidRPr="003F564F" w:rsidRDefault="00B341E8" w:rsidP="00B341E8">
      <w:pPr>
        <w:tabs>
          <w:tab w:val="left" w:pos="567"/>
        </w:tabs>
        <w:rPr>
          <w:color w:val="000000"/>
          <w:sz w:val="22"/>
        </w:rPr>
      </w:pPr>
      <w:r w:rsidRPr="003F564F">
        <w:rPr>
          <w:color w:val="000000"/>
          <w:sz w:val="22"/>
        </w:rPr>
        <w:t>Paskyrus vienkartinę 25</w:t>
      </w:r>
      <w:r w:rsidR="005B12D8">
        <w:rPr>
          <w:color w:val="000000"/>
          <w:sz w:val="22"/>
        </w:rPr>
        <w:t> </w:t>
      </w:r>
      <w:r w:rsidRPr="003F564F">
        <w:rPr>
          <w:color w:val="000000"/>
          <w:sz w:val="22"/>
        </w:rPr>
        <w:t xml:space="preserve">mg </w:t>
      </w:r>
      <w:proofErr w:type="spellStart"/>
      <w:r w:rsidRPr="003F564F">
        <w:rPr>
          <w:color w:val="000000"/>
          <w:sz w:val="22"/>
        </w:rPr>
        <w:t>ruksolitinibo</w:t>
      </w:r>
      <w:proofErr w:type="spellEnd"/>
      <w:r w:rsidRPr="003F564F">
        <w:rPr>
          <w:color w:val="000000"/>
          <w:sz w:val="22"/>
        </w:rPr>
        <w:t xml:space="preserve"> dozę pacientams, kuriems buvo įvairaus laipsnio kepenų funkcijos sutrikimas, vidutinis </w:t>
      </w:r>
      <w:proofErr w:type="spellStart"/>
      <w:r w:rsidRPr="003F564F">
        <w:rPr>
          <w:color w:val="000000"/>
          <w:sz w:val="22"/>
        </w:rPr>
        <w:t>ruksolitinibo</w:t>
      </w:r>
      <w:proofErr w:type="spellEnd"/>
      <w:r w:rsidRPr="003F564F">
        <w:rPr>
          <w:color w:val="000000"/>
          <w:sz w:val="22"/>
        </w:rPr>
        <w:t xml:space="preserve"> AUC rodiklis tiems pacientams, kuriems buvo nesunkus, vidutinio sunkumo ar sunkus kepenų funkcijos sutrikimas, padidėjo atitinkamai 87</w:t>
      </w:r>
      <w:r w:rsidR="005B12D8">
        <w:rPr>
          <w:color w:val="000000"/>
          <w:sz w:val="22"/>
        </w:rPr>
        <w:t> </w:t>
      </w:r>
      <w:r w:rsidRPr="003F564F">
        <w:rPr>
          <w:color w:val="000000"/>
          <w:sz w:val="22"/>
        </w:rPr>
        <w:t>%, 28</w:t>
      </w:r>
      <w:r w:rsidR="005B12D8">
        <w:rPr>
          <w:color w:val="000000"/>
          <w:sz w:val="22"/>
        </w:rPr>
        <w:t> </w:t>
      </w:r>
      <w:r w:rsidRPr="003F564F">
        <w:rPr>
          <w:color w:val="000000"/>
          <w:sz w:val="22"/>
        </w:rPr>
        <w:t>% ir 65</w:t>
      </w:r>
      <w:r w:rsidR="005B12D8">
        <w:rPr>
          <w:color w:val="000000"/>
          <w:sz w:val="22"/>
        </w:rPr>
        <w:t> </w:t>
      </w:r>
      <w:r w:rsidRPr="003F564F">
        <w:rPr>
          <w:color w:val="000000"/>
          <w:sz w:val="22"/>
        </w:rPr>
        <w:t xml:space="preserve">%, lyginant su AUC rodikliu pacientams, kurių kepenų funkcija buvo normali. Nenustatyta aiškaus ryšio tarp AUC rodiklio ir kepenų funkcijos sutrikimo laipsnio pagal </w:t>
      </w:r>
      <w:proofErr w:type="spellStart"/>
      <w:r w:rsidRPr="005B12D8">
        <w:rPr>
          <w:i/>
          <w:iCs/>
          <w:color w:val="000000"/>
          <w:sz w:val="22"/>
        </w:rPr>
        <w:t>Child-Pugh</w:t>
      </w:r>
      <w:proofErr w:type="spellEnd"/>
      <w:r w:rsidRPr="003F564F">
        <w:rPr>
          <w:color w:val="000000"/>
          <w:sz w:val="22"/>
        </w:rPr>
        <w:t xml:space="preserve"> klasifikaciją. Galutinės vaistinio preparato pusinės eliminacijos laikotarpis pacientams, kuriems buvo kepenų funkcijos sutrikimas, pailgėjo lyginant su šiuo rodikliu sveikiems tiriamiesiems asmenims (nuo 4,1 iki 5,0</w:t>
      </w:r>
      <w:r w:rsidR="005B12D8">
        <w:rPr>
          <w:color w:val="000000"/>
          <w:sz w:val="22"/>
        </w:rPr>
        <w:t> </w:t>
      </w:r>
      <w:r w:rsidRPr="003F564F">
        <w:rPr>
          <w:color w:val="000000"/>
          <w:sz w:val="22"/>
        </w:rPr>
        <w:t>valandos lyginant su 2,8</w:t>
      </w:r>
      <w:r w:rsidR="005B12D8">
        <w:rPr>
          <w:color w:val="000000"/>
          <w:sz w:val="22"/>
        </w:rPr>
        <w:t> </w:t>
      </w:r>
      <w:r w:rsidRPr="003F564F">
        <w:rPr>
          <w:color w:val="000000"/>
          <w:sz w:val="22"/>
        </w:rPr>
        <w:t>valandos). MF ir TP sergantiems pacientams, kuriems yra kepenų funkcijos sutrikimas, vaistinio preparato dozę rekomenduojama mažinti maždaug 50</w:t>
      </w:r>
      <w:r w:rsidR="005B12D8">
        <w:rPr>
          <w:color w:val="000000"/>
          <w:sz w:val="22"/>
        </w:rPr>
        <w:t> </w:t>
      </w:r>
      <w:r w:rsidRPr="003F564F">
        <w:rPr>
          <w:color w:val="000000"/>
          <w:sz w:val="22"/>
        </w:rPr>
        <w:t>% (žr.</w:t>
      </w:r>
      <w:r w:rsidR="005B12D8">
        <w:rPr>
          <w:color w:val="000000"/>
          <w:sz w:val="22"/>
        </w:rPr>
        <w:t> </w:t>
      </w:r>
      <w:r w:rsidRPr="003F564F">
        <w:rPr>
          <w:color w:val="000000"/>
          <w:sz w:val="22"/>
        </w:rPr>
        <w:t>4.2</w:t>
      </w:r>
      <w:r w:rsidR="005B12D8">
        <w:rPr>
          <w:color w:val="000000"/>
          <w:sz w:val="22"/>
        </w:rPr>
        <w:t> </w:t>
      </w:r>
      <w:r w:rsidRPr="003F564F">
        <w:rPr>
          <w:color w:val="000000"/>
          <w:sz w:val="22"/>
        </w:rPr>
        <w:t>skyrių).</w:t>
      </w:r>
    </w:p>
    <w:p w14:paraId="784715A2" w14:textId="77777777" w:rsidR="00B341E8" w:rsidRPr="003F564F" w:rsidRDefault="00B341E8" w:rsidP="00B341E8">
      <w:pPr>
        <w:tabs>
          <w:tab w:val="left" w:pos="567"/>
        </w:tabs>
        <w:rPr>
          <w:color w:val="000000"/>
          <w:sz w:val="22"/>
        </w:rPr>
      </w:pPr>
    </w:p>
    <w:p w14:paraId="4AB36689" w14:textId="52D7AEB7" w:rsidR="00B341E8" w:rsidRPr="003F564F" w:rsidRDefault="00B341E8" w:rsidP="00B341E8">
      <w:pPr>
        <w:tabs>
          <w:tab w:val="left" w:pos="567"/>
        </w:tabs>
        <w:rPr>
          <w:color w:val="000000"/>
          <w:sz w:val="22"/>
        </w:rPr>
      </w:pPr>
      <w:proofErr w:type="spellStart"/>
      <w:r w:rsidRPr="003F564F">
        <w:rPr>
          <w:color w:val="000000"/>
          <w:sz w:val="22"/>
        </w:rPr>
        <w:t>TpŠL</w:t>
      </w:r>
      <w:proofErr w:type="spellEnd"/>
      <w:r w:rsidRPr="003F564F">
        <w:rPr>
          <w:color w:val="000000"/>
          <w:sz w:val="22"/>
        </w:rPr>
        <w:t xml:space="preserve"> sergantiems pacientams, kuriems yra kepenų funkcijos sutrikimas, nesusijęs su </w:t>
      </w:r>
      <w:proofErr w:type="spellStart"/>
      <w:r w:rsidRPr="003F564F">
        <w:rPr>
          <w:color w:val="000000"/>
          <w:sz w:val="22"/>
        </w:rPr>
        <w:t>TpŠL</w:t>
      </w:r>
      <w:proofErr w:type="spellEnd"/>
      <w:r w:rsidRPr="003F564F">
        <w:rPr>
          <w:color w:val="000000"/>
          <w:sz w:val="22"/>
        </w:rPr>
        <w:t xml:space="preserve">, pradinę </w:t>
      </w:r>
      <w:proofErr w:type="spellStart"/>
      <w:r w:rsidRPr="003F564F">
        <w:rPr>
          <w:color w:val="000000"/>
          <w:sz w:val="22"/>
        </w:rPr>
        <w:t>ruksolitinibo</w:t>
      </w:r>
      <w:proofErr w:type="spellEnd"/>
      <w:r w:rsidRPr="003F564F">
        <w:rPr>
          <w:color w:val="000000"/>
          <w:sz w:val="22"/>
        </w:rPr>
        <w:t xml:space="preserve"> dozę reikia sumažinti 50</w:t>
      </w:r>
      <w:r w:rsidR="005B12D8">
        <w:rPr>
          <w:color w:val="000000"/>
          <w:sz w:val="22"/>
        </w:rPr>
        <w:t> </w:t>
      </w:r>
      <w:r w:rsidRPr="003F564F">
        <w:rPr>
          <w:color w:val="000000"/>
          <w:sz w:val="22"/>
        </w:rPr>
        <w:t>%.</w:t>
      </w:r>
    </w:p>
    <w:p w14:paraId="442EE6BE" w14:textId="77777777" w:rsidR="008D3B35" w:rsidRPr="003F564F" w:rsidRDefault="008D3B35">
      <w:pPr>
        <w:keepNext/>
        <w:tabs>
          <w:tab w:val="left" w:pos="567"/>
        </w:tabs>
        <w:spacing w:line="260" w:lineRule="exact"/>
        <w:jc w:val="both"/>
        <w:outlineLvl w:val="3"/>
        <w:rPr>
          <w:sz w:val="22"/>
          <w:szCs w:val="22"/>
        </w:rPr>
      </w:pPr>
    </w:p>
    <w:p w14:paraId="5656EDD3" w14:textId="77777777" w:rsidR="008D3B35" w:rsidRPr="003F564F" w:rsidRDefault="00AB4978">
      <w:pPr>
        <w:keepNext/>
        <w:tabs>
          <w:tab w:val="left" w:pos="567"/>
        </w:tabs>
        <w:spacing w:line="260" w:lineRule="exact"/>
        <w:jc w:val="both"/>
        <w:outlineLvl w:val="3"/>
        <w:rPr>
          <w:b/>
          <w:bCs/>
          <w:sz w:val="22"/>
          <w:szCs w:val="28"/>
          <w:lang w:eastAsia="x-none"/>
        </w:rPr>
      </w:pPr>
      <w:r w:rsidRPr="003F564F">
        <w:rPr>
          <w:b/>
          <w:bCs/>
          <w:sz w:val="22"/>
          <w:szCs w:val="28"/>
          <w:lang w:eastAsia="x-none"/>
        </w:rPr>
        <w:t>5.3</w:t>
      </w:r>
      <w:r w:rsidRPr="003F564F">
        <w:rPr>
          <w:b/>
          <w:bCs/>
          <w:sz w:val="22"/>
          <w:szCs w:val="28"/>
          <w:lang w:eastAsia="x-none"/>
        </w:rPr>
        <w:tab/>
      </w:r>
      <w:proofErr w:type="spellStart"/>
      <w:r w:rsidRPr="003F564F">
        <w:rPr>
          <w:b/>
          <w:bCs/>
          <w:sz w:val="22"/>
          <w:szCs w:val="28"/>
          <w:lang w:eastAsia="x-none"/>
        </w:rPr>
        <w:t>Ikiklinikinių</w:t>
      </w:r>
      <w:proofErr w:type="spellEnd"/>
      <w:r w:rsidRPr="003F564F">
        <w:rPr>
          <w:b/>
          <w:bCs/>
          <w:sz w:val="22"/>
          <w:szCs w:val="28"/>
          <w:lang w:eastAsia="x-none"/>
        </w:rPr>
        <w:t xml:space="preserve"> saugumo tyrimų duomenys</w:t>
      </w:r>
    </w:p>
    <w:p w14:paraId="5FEE9995" w14:textId="77777777" w:rsidR="008D3B35" w:rsidRPr="003F564F" w:rsidRDefault="008D3B35">
      <w:pPr>
        <w:rPr>
          <w:sz w:val="22"/>
          <w:szCs w:val="24"/>
        </w:rPr>
      </w:pPr>
    </w:p>
    <w:p w14:paraId="22F9A975" w14:textId="1DCE375E" w:rsidR="00C13DE5" w:rsidRPr="003F564F" w:rsidRDefault="00C13DE5" w:rsidP="00C13DE5">
      <w:pPr>
        <w:rPr>
          <w:sz w:val="22"/>
          <w:szCs w:val="24"/>
        </w:rPr>
      </w:pPr>
      <w:proofErr w:type="spellStart"/>
      <w:r w:rsidRPr="003F564F">
        <w:rPr>
          <w:sz w:val="22"/>
          <w:szCs w:val="24"/>
        </w:rPr>
        <w:t>Ruksolitinibo</w:t>
      </w:r>
      <w:proofErr w:type="spellEnd"/>
      <w:r w:rsidRPr="003F564F">
        <w:rPr>
          <w:sz w:val="22"/>
          <w:szCs w:val="24"/>
        </w:rPr>
        <w:t xml:space="preserve"> poveikis buvo vertinamas atlikus farmakologinio saugumo, kartotinių dozių toksiškumo, </w:t>
      </w:r>
      <w:proofErr w:type="spellStart"/>
      <w:r w:rsidRPr="003F564F">
        <w:rPr>
          <w:sz w:val="22"/>
          <w:szCs w:val="24"/>
        </w:rPr>
        <w:t>genotoksiškumo</w:t>
      </w:r>
      <w:proofErr w:type="spellEnd"/>
      <w:r w:rsidRPr="003F564F">
        <w:rPr>
          <w:sz w:val="22"/>
          <w:szCs w:val="24"/>
        </w:rPr>
        <w:t xml:space="preserve"> ir toksinio poveikio reprodukcijai tyrimus bei galimo </w:t>
      </w:r>
      <w:proofErr w:type="spellStart"/>
      <w:r w:rsidRPr="003F564F">
        <w:rPr>
          <w:sz w:val="22"/>
          <w:szCs w:val="24"/>
        </w:rPr>
        <w:t>kance</w:t>
      </w:r>
      <w:r w:rsidR="005B12D8">
        <w:rPr>
          <w:sz w:val="22"/>
          <w:szCs w:val="24"/>
        </w:rPr>
        <w:t>rogen</w:t>
      </w:r>
      <w:r w:rsidRPr="003F564F">
        <w:rPr>
          <w:sz w:val="22"/>
          <w:szCs w:val="24"/>
        </w:rPr>
        <w:t>iškumo</w:t>
      </w:r>
      <w:proofErr w:type="spellEnd"/>
      <w:r w:rsidRPr="003F564F">
        <w:rPr>
          <w:sz w:val="22"/>
          <w:szCs w:val="24"/>
        </w:rPr>
        <w:t xml:space="preserve"> tyrimą.</w:t>
      </w:r>
    </w:p>
    <w:p w14:paraId="331FF184" w14:textId="25F7F463" w:rsidR="00C13DE5" w:rsidRPr="003F564F" w:rsidRDefault="00C13DE5" w:rsidP="00C13DE5">
      <w:pPr>
        <w:rPr>
          <w:sz w:val="22"/>
          <w:szCs w:val="24"/>
        </w:rPr>
      </w:pPr>
      <w:r w:rsidRPr="003F564F">
        <w:rPr>
          <w:sz w:val="22"/>
          <w:szCs w:val="24"/>
        </w:rPr>
        <w:t xml:space="preserve">Kartotinių dozių tyrimų duomenimis nustatyta, kad dėl farmakologinio </w:t>
      </w:r>
      <w:proofErr w:type="spellStart"/>
      <w:r w:rsidRPr="003F564F">
        <w:rPr>
          <w:sz w:val="22"/>
          <w:szCs w:val="24"/>
        </w:rPr>
        <w:t>ruksolitinibo</w:t>
      </w:r>
      <w:proofErr w:type="spellEnd"/>
      <w:r w:rsidRPr="003F564F">
        <w:rPr>
          <w:sz w:val="22"/>
          <w:szCs w:val="24"/>
        </w:rPr>
        <w:t xml:space="preserve"> poveikio pirmiausia pažeidžiami organai yra kaulų čiulpai, periferinis kraujas ir </w:t>
      </w:r>
      <w:proofErr w:type="spellStart"/>
      <w:r w:rsidRPr="003F564F">
        <w:rPr>
          <w:sz w:val="22"/>
          <w:szCs w:val="24"/>
        </w:rPr>
        <w:t>limfoidinis</w:t>
      </w:r>
      <w:proofErr w:type="spellEnd"/>
      <w:r w:rsidRPr="003F564F">
        <w:rPr>
          <w:sz w:val="22"/>
          <w:szCs w:val="24"/>
        </w:rPr>
        <w:t xml:space="preserve"> audinys. Tyrimų su šunimis metu nustatyta infekcijų pasireiškimo atvejų, kurie paprastai buvo susiję su imuninės sistemos slopinimu. </w:t>
      </w:r>
      <w:proofErr w:type="spellStart"/>
      <w:r w:rsidRPr="003F564F">
        <w:rPr>
          <w:sz w:val="22"/>
          <w:szCs w:val="24"/>
        </w:rPr>
        <w:t>Telemetrijos</w:t>
      </w:r>
      <w:proofErr w:type="spellEnd"/>
      <w:r w:rsidRPr="003F564F">
        <w:rPr>
          <w:sz w:val="22"/>
          <w:szCs w:val="24"/>
        </w:rPr>
        <w:t xml:space="preserve"> tyrimo su šunimis metu nustatytas nepageidaujamas kraujospūdžio sumažėjimas ir širdies susitraukimų dažnio padidėjimas, o poveikio žiurkių kvėpavimo sistemai tyrimo metu nustatytas nepageidaujamas minutinio iškvėpimo tūrio sumažėjimas. Tyrimų su šunimis ir žiurkėmis metu nustatyta, kad nepageidaujamo poveikio nesukeliančios vaistinio preparato koncentracijos ribos (vertinant nesusijungusio vaistinio preparato </w:t>
      </w:r>
      <w:proofErr w:type="spellStart"/>
      <w:r w:rsidRPr="003F564F">
        <w:rPr>
          <w:sz w:val="22"/>
          <w:szCs w:val="24"/>
        </w:rPr>
        <w:t>C</w:t>
      </w:r>
      <w:r w:rsidRPr="005B12D8">
        <w:rPr>
          <w:sz w:val="22"/>
          <w:szCs w:val="24"/>
          <w:vertAlign w:val="subscript"/>
        </w:rPr>
        <w:t>max</w:t>
      </w:r>
      <w:proofErr w:type="spellEnd"/>
      <w:r w:rsidRPr="003F564F">
        <w:rPr>
          <w:sz w:val="22"/>
          <w:szCs w:val="24"/>
        </w:rPr>
        <w:t xml:space="preserve"> rodiklį) yra, atitinkamai, 15,7</w:t>
      </w:r>
      <w:r w:rsidR="005B12D8">
        <w:rPr>
          <w:sz w:val="22"/>
          <w:szCs w:val="24"/>
        </w:rPr>
        <w:t> </w:t>
      </w:r>
      <w:r w:rsidRPr="003F564F">
        <w:rPr>
          <w:sz w:val="22"/>
          <w:szCs w:val="24"/>
        </w:rPr>
        <w:t>kartų ir 10,4</w:t>
      </w:r>
      <w:r w:rsidR="005B12D8">
        <w:rPr>
          <w:sz w:val="22"/>
          <w:szCs w:val="24"/>
        </w:rPr>
        <w:t> </w:t>
      </w:r>
      <w:r w:rsidRPr="003F564F">
        <w:rPr>
          <w:sz w:val="22"/>
          <w:szCs w:val="24"/>
        </w:rPr>
        <w:t>kartų didesnės nei koncentracijos, susidarančios skiriant didžiausią rekomenduojamą po 25</w:t>
      </w:r>
      <w:r w:rsidR="005B12D8">
        <w:rPr>
          <w:sz w:val="22"/>
          <w:szCs w:val="24"/>
        </w:rPr>
        <w:t> </w:t>
      </w:r>
      <w:r w:rsidRPr="003F564F">
        <w:rPr>
          <w:sz w:val="22"/>
          <w:szCs w:val="24"/>
        </w:rPr>
        <w:t xml:space="preserve">mg du kartus per parą dozę žmonėms. Tiriant </w:t>
      </w:r>
      <w:proofErr w:type="spellStart"/>
      <w:r w:rsidRPr="003F564F">
        <w:rPr>
          <w:sz w:val="22"/>
          <w:szCs w:val="24"/>
        </w:rPr>
        <w:t>neurofarmakologinį</w:t>
      </w:r>
      <w:proofErr w:type="spellEnd"/>
      <w:r w:rsidRPr="003F564F">
        <w:rPr>
          <w:sz w:val="22"/>
          <w:szCs w:val="24"/>
        </w:rPr>
        <w:t xml:space="preserve"> </w:t>
      </w:r>
      <w:proofErr w:type="spellStart"/>
      <w:r w:rsidRPr="003F564F">
        <w:rPr>
          <w:sz w:val="22"/>
          <w:szCs w:val="24"/>
        </w:rPr>
        <w:t>ruksolitinibo</w:t>
      </w:r>
      <w:proofErr w:type="spellEnd"/>
      <w:r w:rsidRPr="003F564F">
        <w:rPr>
          <w:sz w:val="22"/>
          <w:szCs w:val="24"/>
        </w:rPr>
        <w:t xml:space="preserve"> poveikį, jokio poveikio nenustatyta.</w:t>
      </w:r>
    </w:p>
    <w:p w14:paraId="7FFB5C50" w14:textId="77777777" w:rsidR="00C13DE5" w:rsidRPr="003F564F" w:rsidRDefault="00C13DE5" w:rsidP="00C13DE5">
      <w:pPr>
        <w:rPr>
          <w:sz w:val="22"/>
          <w:szCs w:val="24"/>
        </w:rPr>
      </w:pPr>
    </w:p>
    <w:p w14:paraId="5C42448D" w14:textId="5A275285" w:rsidR="00C13DE5" w:rsidRPr="003F564F" w:rsidRDefault="00C13DE5" w:rsidP="00C13DE5">
      <w:pPr>
        <w:rPr>
          <w:sz w:val="22"/>
          <w:szCs w:val="24"/>
        </w:rPr>
      </w:pPr>
      <w:r w:rsidRPr="003F564F">
        <w:rPr>
          <w:sz w:val="22"/>
          <w:szCs w:val="24"/>
        </w:rPr>
        <w:t xml:space="preserve">Su žiurkių jaunikliais atliktų tyrimų duomenimis, </w:t>
      </w:r>
      <w:proofErr w:type="spellStart"/>
      <w:r w:rsidRPr="003F564F">
        <w:rPr>
          <w:sz w:val="22"/>
          <w:szCs w:val="24"/>
        </w:rPr>
        <w:t>ruksolitinibo</w:t>
      </w:r>
      <w:proofErr w:type="spellEnd"/>
      <w:r w:rsidRPr="003F564F">
        <w:rPr>
          <w:sz w:val="22"/>
          <w:szCs w:val="24"/>
        </w:rPr>
        <w:t xml:space="preserve"> skyrimas turėjo įtakos augimui ir kaulų rodmenims. Nustatytas sulėtėjęs kaulų augimas, kai buvo skiriamos ≥</w:t>
      </w:r>
      <w:r w:rsidR="005B12D8">
        <w:rPr>
          <w:sz w:val="22"/>
          <w:szCs w:val="24"/>
        </w:rPr>
        <w:t> </w:t>
      </w:r>
      <w:r w:rsidRPr="003F564F">
        <w:rPr>
          <w:sz w:val="22"/>
          <w:szCs w:val="24"/>
        </w:rPr>
        <w:t>5</w:t>
      </w:r>
      <w:r w:rsidR="005B12D8">
        <w:rPr>
          <w:sz w:val="22"/>
          <w:szCs w:val="24"/>
        </w:rPr>
        <w:t> </w:t>
      </w:r>
      <w:r w:rsidRPr="003F564F">
        <w:rPr>
          <w:sz w:val="22"/>
          <w:szCs w:val="24"/>
        </w:rPr>
        <w:t>mg/kg per parą vaistinio preparato dozės pradedant 7</w:t>
      </w:r>
      <w:r w:rsidR="005B12D8">
        <w:rPr>
          <w:sz w:val="22"/>
          <w:szCs w:val="24"/>
        </w:rPr>
        <w:noBreakHyphen/>
      </w:r>
      <w:r w:rsidRPr="003F564F">
        <w:rPr>
          <w:sz w:val="22"/>
          <w:szCs w:val="24"/>
        </w:rPr>
        <w:t xml:space="preserve">ąja </w:t>
      </w:r>
      <w:proofErr w:type="spellStart"/>
      <w:r w:rsidRPr="003F564F">
        <w:rPr>
          <w:sz w:val="22"/>
          <w:szCs w:val="24"/>
        </w:rPr>
        <w:t>postnataline</w:t>
      </w:r>
      <w:proofErr w:type="spellEnd"/>
      <w:r w:rsidRPr="003F564F">
        <w:rPr>
          <w:sz w:val="22"/>
          <w:szCs w:val="24"/>
        </w:rPr>
        <w:t xml:space="preserve"> diena (atitinka žmogaus naujagimio amžių) ir kai buvo skiriamos ≥</w:t>
      </w:r>
      <w:r w:rsidR="005B12D8">
        <w:rPr>
          <w:sz w:val="22"/>
          <w:szCs w:val="24"/>
        </w:rPr>
        <w:t> </w:t>
      </w:r>
      <w:r w:rsidRPr="003F564F">
        <w:rPr>
          <w:sz w:val="22"/>
          <w:szCs w:val="24"/>
        </w:rPr>
        <w:t>15</w:t>
      </w:r>
      <w:r w:rsidR="005B12D8">
        <w:rPr>
          <w:sz w:val="22"/>
          <w:szCs w:val="24"/>
        </w:rPr>
        <w:t> </w:t>
      </w:r>
      <w:r w:rsidRPr="003F564F">
        <w:rPr>
          <w:sz w:val="22"/>
          <w:szCs w:val="24"/>
        </w:rPr>
        <w:t>mg/kg per parą vaistinio preparato dozės pradedant 14</w:t>
      </w:r>
      <w:r w:rsidR="005B12D8">
        <w:rPr>
          <w:sz w:val="22"/>
          <w:szCs w:val="24"/>
        </w:rPr>
        <w:noBreakHyphen/>
      </w:r>
      <w:r w:rsidRPr="003F564F">
        <w:rPr>
          <w:sz w:val="22"/>
          <w:szCs w:val="24"/>
        </w:rPr>
        <w:t>ąja ar 21</w:t>
      </w:r>
      <w:r w:rsidR="005B12D8">
        <w:rPr>
          <w:sz w:val="22"/>
          <w:szCs w:val="24"/>
        </w:rPr>
        <w:noBreakHyphen/>
      </w:r>
      <w:r w:rsidRPr="003F564F">
        <w:rPr>
          <w:sz w:val="22"/>
          <w:szCs w:val="24"/>
        </w:rPr>
        <w:t xml:space="preserve">ąja </w:t>
      </w:r>
      <w:proofErr w:type="spellStart"/>
      <w:r w:rsidRPr="003F564F">
        <w:rPr>
          <w:sz w:val="22"/>
          <w:szCs w:val="24"/>
        </w:rPr>
        <w:t>postnataline</w:t>
      </w:r>
      <w:proofErr w:type="spellEnd"/>
      <w:r w:rsidRPr="003F564F">
        <w:rPr>
          <w:sz w:val="22"/>
          <w:szCs w:val="24"/>
        </w:rPr>
        <w:t xml:space="preserve"> diena (atitinka žmogaus naujagimio ar 1</w:t>
      </w:r>
      <w:r w:rsidR="005B12D8">
        <w:rPr>
          <w:sz w:val="22"/>
          <w:szCs w:val="24"/>
        </w:rPr>
        <w:noBreakHyphen/>
      </w:r>
      <w:r w:rsidRPr="003F564F">
        <w:rPr>
          <w:sz w:val="22"/>
          <w:szCs w:val="24"/>
        </w:rPr>
        <w:t>3</w:t>
      </w:r>
      <w:r w:rsidR="005B12D8">
        <w:rPr>
          <w:sz w:val="22"/>
          <w:szCs w:val="24"/>
        </w:rPr>
        <w:t> </w:t>
      </w:r>
      <w:r w:rsidRPr="003F564F">
        <w:rPr>
          <w:sz w:val="22"/>
          <w:szCs w:val="24"/>
        </w:rPr>
        <w:t>metų amžių). Nustatyti lūžiai ir ankstyvos žiurkių jauniklių žūtys, kai buvo skiriamos ≥</w:t>
      </w:r>
      <w:r w:rsidR="005B12D8">
        <w:rPr>
          <w:sz w:val="22"/>
          <w:szCs w:val="24"/>
        </w:rPr>
        <w:t> </w:t>
      </w:r>
      <w:r w:rsidRPr="003F564F">
        <w:rPr>
          <w:sz w:val="22"/>
          <w:szCs w:val="24"/>
        </w:rPr>
        <w:t>30</w:t>
      </w:r>
      <w:r w:rsidR="005B12D8">
        <w:rPr>
          <w:sz w:val="22"/>
          <w:szCs w:val="24"/>
        </w:rPr>
        <w:t> </w:t>
      </w:r>
      <w:r w:rsidRPr="003F564F">
        <w:rPr>
          <w:sz w:val="22"/>
          <w:szCs w:val="24"/>
        </w:rPr>
        <w:t>mg/kg per parą vaistinio preparato dozės pradedant nuo 7</w:t>
      </w:r>
      <w:r w:rsidR="005B12D8">
        <w:rPr>
          <w:sz w:val="22"/>
          <w:szCs w:val="24"/>
        </w:rPr>
        <w:noBreakHyphen/>
      </w:r>
      <w:r w:rsidRPr="003F564F">
        <w:rPr>
          <w:sz w:val="22"/>
          <w:szCs w:val="24"/>
        </w:rPr>
        <w:t xml:space="preserve">osios </w:t>
      </w:r>
      <w:proofErr w:type="spellStart"/>
      <w:r w:rsidRPr="003F564F">
        <w:rPr>
          <w:sz w:val="22"/>
          <w:szCs w:val="24"/>
        </w:rPr>
        <w:t>postnatalinės</w:t>
      </w:r>
      <w:proofErr w:type="spellEnd"/>
      <w:r w:rsidRPr="003F564F">
        <w:rPr>
          <w:sz w:val="22"/>
          <w:szCs w:val="24"/>
        </w:rPr>
        <w:t xml:space="preserve"> dienos. Remiantis nesusijungusio vaistinio preparato AUC rodmeniu, vaistinio preparato ekspozicija, kai nesukeliama nepageidaujamo poveikio (angl. </w:t>
      </w:r>
      <w:proofErr w:type="spellStart"/>
      <w:r w:rsidRPr="005B12D8">
        <w:rPr>
          <w:i/>
          <w:iCs/>
          <w:sz w:val="22"/>
          <w:szCs w:val="24"/>
        </w:rPr>
        <w:t>no</w:t>
      </w:r>
      <w:proofErr w:type="spellEnd"/>
      <w:r w:rsidRPr="005B12D8">
        <w:rPr>
          <w:i/>
          <w:iCs/>
          <w:sz w:val="22"/>
          <w:szCs w:val="24"/>
        </w:rPr>
        <w:t xml:space="preserve"> </w:t>
      </w:r>
      <w:proofErr w:type="spellStart"/>
      <w:r w:rsidRPr="005B12D8">
        <w:rPr>
          <w:i/>
          <w:iCs/>
          <w:sz w:val="22"/>
          <w:szCs w:val="24"/>
        </w:rPr>
        <w:t>observed</w:t>
      </w:r>
      <w:proofErr w:type="spellEnd"/>
      <w:r w:rsidRPr="005B12D8">
        <w:rPr>
          <w:i/>
          <w:iCs/>
          <w:sz w:val="22"/>
          <w:szCs w:val="24"/>
        </w:rPr>
        <w:t xml:space="preserve"> </w:t>
      </w:r>
      <w:proofErr w:type="spellStart"/>
      <w:r w:rsidRPr="005B12D8">
        <w:rPr>
          <w:i/>
          <w:iCs/>
          <w:sz w:val="22"/>
          <w:szCs w:val="24"/>
        </w:rPr>
        <w:t>adverse</w:t>
      </w:r>
      <w:proofErr w:type="spellEnd"/>
      <w:r w:rsidRPr="005B12D8">
        <w:rPr>
          <w:i/>
          <w:iCs/>
          <w:sz w:val="22"/>
          <w:szCs w:val="24"/>
        </w:rPr>
        <w:t xml:space="preserve"> </w:t>
      </w:r>
      <w:proofErr w:type="spellStart"/>
      <w:r w:rsidRPr="005B12D8">
        <w:rPr>
          <w:i/>
          <w:iCs/>
          <w:sz w:val="22"/>
          <w:szCs w:val="24"/>
        </w:rPr>
        <w:t>effect</w:t>
      </w:r>
      <w:proofErr w:type="spellEnd"/>
      <w:r w:rsidRPr="005B12D8">
        <w:rPr>
          <w:i/>
          <w:iCs/>
          <w:sz w:val="22"/>
          <w:szCs w:val="24"/>
        </w:rPr>
        <w:t xml:space="preserve"> </w:t>
      </w:r>
      <w:proofErr w:type="spellStart"/>
      <w:r w:rsidRPr="005B12D8">
        <w:rPr>
          <w:i/>
          <w:iCs/>
          <w:sz w:val="22"/>
          <w:szCs w:val="24"/>
        </w:rPr>
        <w:t>level</w:t>
      </w:r>
      <w:proofErr w:type="spellEnd"/>
      <w:r w:rsidRPr="003F564F">
        <w:rPr>
          <w:sz w:val="22"/>
          <w:szCs w:val="24"/>
        </w:rPr>
        <w:t xml:space="preserve"> – NOAEL) žiurkių jaunikliams vaistinio preparato skiriant nuo 7</w:t>
      </w:r>
      <w:r w:rsidR="005B12D8">
        <w:rPr>
          <w:sz w:val="22"/>
          <w:szCs w:val="24"/>
        </w:rPr>
        <w:noBreakHyphen/>
      </w:r>
      <w:r w:rsidRPr="003F564F">
        <w:rPr>
          <w:sz w:val="22"/>
          <w:szCs w:val="24"/>
        </w:rPr>
        <w:t xml:space="preserve">osios </w:t>
      </w:r>
      <w:proofErr w:type="spellStart"/>
      <w:r w:rsidRPr="003F564F">
        <w:rPr>
          <w:sz w:val="22"/>
          <w:szCs w:val="24"/>
        </w:rPr>
        <w:t>postnatalinės</w:t>
      </w:r>
      <w:proofErr w:type="spellEnd"/>
      <w:r w:rsidRPr="003F564F">
        <w:rPr>
          <w:sz w:val="22"/>
          <w:szCs w:val="24"/>
        </w:rPr>
        <w:t xml:space="preserve"> dienos, buvo 0,3</w:t>
      </w:r>
      <w:r w:rsidR="005B12D8">
        <w:rPr>
          <w:sz w:val="22"/>
          <w:szCs w:val="24"/>
        </w:rPr>
        <w:t> </w:t>
      </w:r>
      <w:r w:rsidRPr="003F564F">
        <w:rPr>
          <w:sz w:val="22"/>
          <w:szCs w:val="24"/>
        </w:rPr>
        <w:t>karto, lyginant su susidarančia ekspozicija suaugusiems pacientams, vartojantiems po 25</w:t>
      </w:r>
      <w:r w:rsidR="005B12D8">
        <w:rPr>
          <w:sz w:val="22"/>
          <w:szCs w:val="24"/>
        </w:rPr>
        <w:t> </w:t>
      </w:r>
      <w:r w:rsidRPr="003F564F">
        <w:rPr>
          <w:sz w:val="22"/>
          <w:szCs w:val="24"/>
        </w:rPr>
        <w:t>mg dozę du kartus per parą, tuo tarpu sulėtėjęs kaulų augimas ir lūžiai pasireiškė esant ekspozicijai, kuri lygi atitinkamai 1,5</w:t>
      </w:r>
      <w:r w:rsidR="005B12D8">
        <w:rPr>
          <w:sz w:val="22"/>
          <w:szCs w:val="24"/>
        </w:rPr>
        <w:t> </w:t>
      </w:r>
      <w:r w:rsidRPr="003F564F">
        <w:rPr>
          <w:sz w:val="22"/>
          <w:szCs w:val="24"/>
        </w:rPr>
        <w:t>karto ir 13</w:t>
      </w:r>
      <w:r w:rsidR="005B12D8">
        <w:rPr>
          <w:sz w:val="22"/>
          <w:szCs w:val="24"/>
        </w:rPr>
        <w:t> </w:t>
      </w:r>
      <w:r w:rsidRPr="003F564F">
        <w:rPr>
          <w:sz w:val="22"/>
          <w:szCs w:val="24"/>
        </w:rPr>
        <w:t>kartų didesnei nei susidaranti ekspozicija suaugusiems pacientams, vartojantiems po 25</w:t>
      </w:r>
      <w:r w:rsidR="005B12D8">
        <w:rPr>
          <w:sz w:val="22"/>
          <w:szCs w:val="24"/>
        </w:rPr>
        <w:t> </w:t>
      </w:r>
      <w:r w:rsidRPr="003F564F">
        <w:rPr>
          <w:sz w:val="22"/>
          <w:szCs w:val="24"/>
        </w:rPr>
        <w:t xml:space="preserve">mg dozę du </w:t>
      </w:r>
      <w:r w:rsidRPr="003F564F">
        <w:rPr>
          <w:sz w:val="22"/>
          <w:szCs w:val="24"/>
        </w:rPr>
        <w:lastRenderedPageBreak/>
        <w:t xml:space="preserve">kartus per parą. Toks poveikis paprastai buvo stipresnis, kai vaistinio preparato </w:t>
      </w:r>
      <w:proofErr w:type="spellStart"/>
      <w:r w:rsidRPr="003F564F">
        <w:rPr>
          <w:sz w:val="22"/>
          <w:szCs w:val="24"/>
        </w:rPr>
        <w:t>postnataliniu</w:t>
      </w:r>
      <w:proofErr w:type="spellEnd"/>
      <w:r w:rsidR="00B341E8" w:rsidRPr="003F564F">
        <w:rPr>
          <w:sz w:val="22"/>
          <w:szCs w:val="24"/>
        </w:rPr>
        <w:t xml:space="preserve"> </w:t>
      </w:r>
      <w:r w:rsidRPr="003F564F">
        <w:rPr>
          <w:sz w:val="22"/>
          <w:szCs w:val="24"/>
        </w:rPr>
        <w:t>laikotarpiu buvo pradedama skirti anksčiau. Išskyrus nustatytą poveikį kaulų vystymuisi, kitoks</w:t>
      </w:r>
      <w:r w:rsidR="00B341E8" w:rsidRPr="003F564F">
        <w:rPr>
          <w:sz w:val="22"/>
          <w:szCs w:val="24"/>
        </w:rPr>
        <w:t xml:space="preserve"> </w:t>
      </w:r>
      <w:proofErr w:type="spellStart"/>
      <w:r w:rsidRPr="003F564F">
        <w:rPr>
          <w:sz w:val="22"/>
          <w:szCs w:val="24"/>
        </w:rPr>
        <w:t>ruksolitinibo</w:t>
      </w:r>
      <w:proofErr w:type="spellEnd"/>
      <w:r w:rsidRPr="003F564F">
        <w:rPr>
          <w:sz w:val="22"/>
          <w:szCs w:val="24"/>
        </w:rPr>
        <w:t xml:space="preserve"> poveikis žiurkių jaunikliams buvo panašus kaip ir nustatytasis suaugusioms žiurkėms.</w:t>
      </w:r>
      <w:r w:rsidR="00B341E8" w:rsidRPr="003F564F">
        <w:rPr>
          <w:sz w:val="22"/>
          <w:szCs w:val="24"/>
        </w:rPr>
        <w:t xml:space="preserve"> </w:t>
      </w:r>
      <w:r w:rsidRPr="003F564F">
        <w:rPr>
          <w:sz w:val="22"/>
          <w:szCs w:val="24"/>
        </w:rPr>
        <w:t xml:space="preserve">Žiurkių jaunikliai yra jautresni toksiniam </w:t>
      </w:r>
      <w:proofErr w:type="spellStart"/>
      <w:r w:rsidRPr="003F564F">
        <w:rPr>
          <w:sz w:val="22"/>
          <w:szCs w:val="24"/>
        </w:rPr>
        <w:t>ruksolitinibo</w:t>
      </w:r>
      <w:proofErr w:type="spellEnd"/>
      <w:r w:rsidRPr="003F564F">
        <w:rPr>
          <w:sz w:val="22"/>
          <w:szCs w:val="24"/>
        </w:rPr>
        <w:t xml:space="preserve"> poveikiui, lyginant su suaugusiomis žiurkėmis.</w:t>
      </w:r>
      <w:r w:rsidR="00B341E8" w:rsidRPr="003F564F">
        <w:rPr>
          <w:sz w:val="22"/>
          <w:szCs w:val="24"/>
        </w:rPr>
        <w:t xml:space="preserve"> </w:t>
      </w:r>
    </w:p>
    <w:p w14:paraId="7D912B1C" w14:textId="77777777" w:rsidR="00B341E8" w:rsidRPr="003F564F" w:rsidRDefault="00B341E8" w:rsidP="00C13DE5">
      <w:pPr>
        <w:rPr>
          <w:sz w:val="22"/>
          <w:szCs w:val="24"/>
        </w:rPr>
      </w:pPr>
    </w:p>
    <w:p w14:paraId="08625A9E" w14:textId="516861F6" w:rsidR="008D3B35" w:rsidRPr="003F564F" w:rsidRDefault="00C13DE5" w:rsidP="00C13DE5">
      <w:pPr>
        <w:rPr>
          <w:sz w:val="22"/>
          <w:szCs w:val="24"/>
        </w:rPr>
      </w:pPr>
      <w:r w:rsidRPr="003F564F">
        <w:rPr>
          <w:sz w:val="22"/>
          <w:szCs w:val="24"/>
        </w:rPr>
        <w:t xml:space="preserve">Su gyvūnais atliktų tyrimų duomenimis nustatyta, kad skiriant </w:t>
      </w:r>
      <w:proofErr w:type="spellStart"/>
      <w:r w:rsidRPr="003F564F">
        <w:rPr>
          <w:sz w:val="22"/>
          <w:szCs w:val="24"/>
        </w:rPr>
        <w:t>ruksolitinibo</w:t>
      </w:r>
      <w:proofErr w:type="spellEnd"/>
      <w:r w:rsidRPr="003F564F">
        <w:rPr>
          <w:sz w:val="22"/>
          <w:szCs w:val="24"/>
        </w:rPr>
        <w:t xml:space="preserve"> sumažėjo vaisių kūno</w:t>
      </w:r>
      <w:r w:rsidR="00B341E8" w:rsidRPr="003F564F">
        <w:rPr>
          <w:sz w:val="22"/>
          <w:szCs w:val="24"/>
        </w:rPr>
        <w:t xml:space="preserve"> </w:t>
      </w:r>
      <w:r w:rsidRPr="003F564F">
        <w:rPr>
          <w:sz w:val="22"/>
          <w:szCs w:val="24"/>
        </w:rPr>
        <w:t>svoris ir padažnėjo embrionų kritimų po implantacijos. Su žiurkėmis ir triušiais atliktų tyrimų metu</w:t>
      </w:r>
      <w:r w:rsidR="00B341E8" w:rsidRPr="003F564F">
        <w:rPr>
          <w:sz w:val="22"/>
          <w:szCs w:val="24"/>
        </w:rPr>
        <w:t xml:space="preserve"> </w:t>
      </w:r>
      <w:proofErr w:type="spellStart"/>
      <w:r w:rsidRPr="003F564F">
        <w:rPr>
          <w:sz w:val="22"/>
          <w:szCs w:val="24"/>
        </w:rPr>
        <w:t>teratogeninio</w:t>
      </w:r>
      <w:proofErr w:type="spellEnd"/>
      <w:r w:rsidRPr="003F564F">
        <w:rPr>
          <w:sz w:val="22"/>
          <w:szCs w:val="24"/>
        </w:rPr>
        <w:t xml:space="preserve"> poveikio nenustatyta. Tačiau pasiektos vaistinio preparato ekspozicijos ribos, palyginus</w:t>
      </w:r>
      <w:r w:rsidR="00B341E8" w:rsidRPr="003F564F">
        <w:rPr>
          <w:sz w:val="22"/>
          <w:szCs w:val="24"/>
        </w:rPr>
        <w:t xml:space="preserve"> </w:t>
      </w:r>
      <w:r w:rsidRPr="003F564F">
        <w:rPr>
          <w:sz w:val="22"/>
          <w:szCs w:val="24"/>
        </w:rPr>
        <w:t>su ekspozicija vartojant didžiausią dozę žmonėms, buvo nedidelės, todėl šių tyrimų rezultatų klinikinė</w:t>
      </w:r>
      <w:r w:rsidR="00B341E8" w:rsidRPr="003F564F">
        <w:rPr>
          <w:sz w:val="22"/>
          <w:szCs w:val="24"/>
        </w:rPr>
        <w:t xml:space="preserve"> </w:t>
      </w:r>
      <w:r w:rsidRPr="003F564F">
        <w:rPr>
          <w:sz w:val="22"/>
          <w:szCs w:val="24"/>
        </w:rPr>
        <w:t xml:space="preserve">reikšmė ribota. Vaistinio preparato poveikio vaisingumui nenustatyta. Atlikus </w:t>
      </w:r>
      <w:proofErr w:type="spellStart"/>
      <w:r w:rsidRPr="003F564F">
        <w:rPr>
          <w:sz w:val="22"/>
          <w:szCs w:val="24"/>
        </w:rPr>
        <w:t>prenatalinio</w:t>
      </w:r>
      <w:proofErr w:type="spellEnd"/>
      <w:r w:rsidRPr="003F564F">
        <w:rPr>
          <w:sz w:val="22"/>
          <w:szCs w:val="24"/>
        </w:rPr>
        <w:t xml:space="preserve"> ir</w:t>
      </w:r>
      <w:r w:rsidR="00B341E8" w:rsidRPr="003F564F">
        <w:rPr>
          <w:sz w:val="22"/>
          <w:szCs w:val="24"/>
        </w:rPr>
        <w:t xml:space="preserve"> </w:t>
      </w:r>
      <w:proofErr w:type="spellStart"/>
      <w:r w:rsidRPr="003F564F">
        <w:rPr>
          <w:sz w:val="22"/>
          <w:szCs w:val="24"/>
        </w:rPr>
        <w:t>postnatalinio</w:t>
      </w:r>
      <w:proofErr w:type="spellEnd"/>
      <w:r w:rsidRPr="003F564F">
        <w:rPr>
          <w:sz w:val="22"/>
          <w:szCs w:val="24"/>
        </w:rPr>
        <w:t xml:space="preserve"> vystymosi tyrimą nustatyta, kad nedaug pailgėjo </w:t>
      </w:r>
      <w:proofErr w:type="spellStart"/>
      <w:r w:rsidRPr="003F564F">
        <w:rPr>
          <w:sz w:val="22"/>
          <w:szCs w:val="24"/>
        </w:rPr>
        <w:t>gestacijos</w:t>
      </w:r>
      <w:proofErr w:type="spellEnd"/>
      <w:r w:rsidRPr="003F564F">
        <w:rPr>
          <w:sz w:val="22"/>
          <w:szCs w:val="24"/>
        </w:rPr>
        <w:t xml:space="preserve"> laikotarpis, sumažėjo</w:t>
      </w:r>
      <w:r w:rsidR="00B341E8" w:rsidRPr="003F564F">
        <w:rPr>
          <w:sz w:val="22"/>
          <w:szCs w:val="24"/>
        </w:rPr>
        <w:t xml:space="preserve"> </w:t>
      </w:r>
      <w:r w:rsidRPr="003F564F">
        <w:rPr>
          <w:sz w:val="22"/>
          <w:szCs w:val="24"/>
        </w:rPr>
        <w:t>implantacijos sričių kiekis ir sumažėjo atsivestų jauniklių kiekis. Jaunikliams nustatytas sumažėjęs</w:t>
      </w:r>
      <w:r w:rsidR="00B341E8" w:rsidRPr="003F564F">
        <w:rPr>
          <w:sz w:val="22"/>
          <w:szCs w:val="24"/>
        </w:rPr>
        <w:t xml:space="preserve"> </w:t>
      </w:r>
      <w:r w:rsidRPr="003F564F">
        <w:rPr>
          <w:sz w:val="22"/>
          <w:szCs w:val="24"/>
        </w:rPr>
        <w:t>pradinis kūno svoris ir pastebėtas trumpas laikotarpis, kai sumažėjo vidutinis kūno svorio prieaugis.</w:t>
      </w:r>
      <w:r w:rsidR="00B341E8" w:rsidRPr="003F564F">
        <w:rPr>
          <w:sz w:val="22"/>
          <w:szCs w:val="24"/>
        </w:rPr>
        <w:t xml:space="preserve"> </w:t>
      </w:r>
      <w:r w:rsidRPr="003F564F">
        <w:rPr>
          <w:sz w:val="22"/>
          <w:szCs w:val="24"/>
        </w:rPr>
        <w:t xml:space="preserve">Tyrimo su </w:t>
      </w:r>
      <w:proofErr w:type="spellStart"/>
      <w:r w:rsidRPr="003F564F">
        <w:rPr>
          <w:sz w:val="22"/>
          <w:szCs w:val="24"/>
        </w:rPr>
        <w:t>laktuojančiomis</w:t>
      </w:r>
      <w:proofErr w:type="spellEnd"/>
      <w:r w:rsidRPr="003F564F">
        <w:rPr>
          <w:sz w:val="22"/>
          <w:szCs w:val="24"/>
        </w:rPr>
        <w:t xml:space="preserve"> žiurkėmis metu nustatyta, kad </w:t>
      </w:r>
      <w:proofErr w:type="spellStart"/>
      <w:r w:rsidRPr="003F564F">
        <w:rPr>
          <w:sz w:val="22"/>
          <w:szCs w:val="24"/>
        </w:rPr>
        <w:t>ruksolitinibo</w:t>
      </w:r>
      <w:proofErr w:type="spellEnd"/>
      <w:r w:rsidRPr="003F564F">
        <w:rPr>
          <w:sz w:val="22"/>
          <w:szCs w:val="24"/>
        </w:rPr>
        <w:t xml:space="preserve"> ir (arba) jo metabolitų</w:t>
      </w:r>
      <w:r w:rsidR="00B341E8" w:rsidRPr="003F564F">
        <w:rPr>
          <w:sz w:val="22"/>
          <w:szCs w:val="24"/>
        </w:rPr>
        <w:t xml:space="preserve"> </w:t>
      </w:r>
      <w:r w:rsidRPr="003F564F">
        <w:rPr>
          <w:sz w:val="22"/>
          <w:szCs w:val="24"/>
        </w:rPr>
        <w:t>išsiskiria su žiurkių pienu, o jų koncentracija piene buvo 13</w:t>
      </w:r>
      <w:r w:rsidR="005B12D8">
        <w:rPr>
          <w:sz w:val="22"/>
          <w:szCs w:val="24"/>
        </w:rPr>
        <w:t> </w:t>
      </w:r>
      <w:r w:rsidRPr="003F564F">
        <w:rPr>
          <w:sz w:val="22"/>
          <w:szCs w:val="24"/>
        </w:rPr>
        <w:t>kartų didesnė nei koncentracija patelių</w:t>
      </w:r>
      <w:r w:rsidR="00B341E8" w:rsidRPr="003F564F">
        <w:rPr>
          <w:sz w:val="22"/>
          <w:szCs w:val="24"/>
        </w:rPr>
        <w:t xml:space="preserve"> </w:t>
      </w:r>
      <w:r w:rsidRPr="003F564F">
        <w:rPr>
          <w:sz w:val="22"/>
          <w:szCs w:val="24"/>
        </w:rPr>
        <w:t xml:space="preserve">plazmoje. Nenustatyta mutageninio ar </w:t>
      </w:r>
      <w:proofErr w:type="spellStart"/>
      <w:r w:rsidRPr="003F564F">
        <w:rPr>
          <w:sz w:val="22"/>
          <w:szCs w:val="24"/>
        </w:rPr>
        <w:t>klastogeninio</w:t>
      </w:r>
      <w:proofErr w:type="spellEnd"/>
      <w:r w:rsidRPr="003F564F">
        <w:rPr>
          <w:sz w:val="22"/>
          <w:szCs w:val="24"/>
        </w:rPr>
        <w:t xml:space="preserve"> </w:t>
      </w:r>
      <w:proofErr w:type="spellStart"/>
      <w:r w:rsidRPr="003F564F">
        <w:rPr>
          <w:sz w:val="22"/>
          <w:szCs w:val="24"/>
        </w:rPr>
        <w:t>ruksolitinibo</w:t>
      </w:r>
      <w:proofErr w:type="spellEnd"/>
      <w:r w:rsidRPr="003F564F">
        <w:rPr>
          <w:sz w:val="22"/>
          <w:szCs w:val="24"/>
        </w:rPr>
        <w:t xml:space="preserve"> poveikio. Atlikus Tg.rasH2</w:t>
      </w:r>
      <w:r w:rsidR="00B341E8" w:rsidRPr="003F564F">
        <w:rPr>
          <w:sz w:val="22"/>
          <w:szCs w:val="24"/>
        </w:rPr>
        <w:t xml:space="preserve"> </w:t>
      </w:r>
      <w:r w:rsidRPr="003F564F">
        <w:rPr>
          <w:sz w:val="22"/>
          <w:szCs w:val="24"/>
        </w:rPr>
        <w:t xml:space="preserve">transgeninių pelių modelio tyrimą, kancerogeninio </w:t>
      </w:r>
      <w:proofErr w:type="spellStart"/>
      <w:r w:rsidRPr="003F564F">
        <w:rPr>
          <w:sz w:val="22"/>
          <w:szCs w:val="24"/>
        </w:rPr>
        <w:t>ruksolitinibo</w:t>
      </w:r>
      <w:proofErr w:type="spellEnd"/>
      <w:r w:rsidRPr="003F564F">
        <w:rPr>
          <w:sz w:val="22"/>
          <w:szCs w:val="24"/>
        </w:rPr>
        <w:t xml:space="preserve"> poveikio nenustatyta.</w:t>
      </w:r>
    </w:p>
    <w:p w14:paraId="114694A0" w14:textId="77777777" w:rsidR="00C13DE5" w:rsidRPr="003F564F" w:rsidRDefault="00C13DE5" w:rsidP="00C13DE5">
      <w:pPr>
        <w:rPr>
          <w:sz w:val="22"/>
          <w:szCs w:val="24"/>
        </w:rPr>
      </w:pPr>
    </w:p>
    <w:p w14:paraId="403B1306" w14:textId="77777777" w:rsidR="008D3B35" w:rsidRPr="003F564F" w:rsidRDefault="008D3B35">
      <w:pPr>
        <w:rPr>
          <w:sz w:val="22"/>
          <w:szCs w:val="24"/>
        </w:rPr>
      </w:pPr>
    </w:p>
    <w:p w14:paraId="3555ACCA" w14:textId="77777777" w:rsidR="008D3B35" w:rsidRPr="003F564F" w:rsidRDefault="00AB4978">
      <w:pPr>
        <w:keepNext/>
        <w:keepLines/>
        <w:tabs>
          <w:tab w:val="left" w:pos="567"/>
        </w:tabs>
        <w:outlineLvl w:val="2"/>
        <w:rPr>
          <w:b/>
          <w:bCs/>
          <w:sz w:val="22"/>
          <w:szCs w:val="26"/>
          <w:lang w:eastAsia="x-none"/>
        </w:rPr>
      </w:pPr>
      <w:r w:rsidRPr="003F564F">
        <w:rPr>
          <w:b/>
          <w:bCs/>
          <w:sz w:val="22"/>
          <w:szCs w:val="26"/>
          <w:lang w:eastAsia="x-none"/>
        </w:rPr>
        <w:t>6.</w:t>
      </w:r>
      <w:r w:rsidRPr="003F564F">
        <w:rPr>
          <w:b/>
          <w:bCs/>
          <w:sz w:val="22"/>
          <w:szCs w:val="26"/>
          <w:lang w:eastAsia="x-none"/>
        </w:rPr>
        <w:tab/>
        <w:t>FARMACINĖ INFORMACIJA</w:t>
      </w:r>
    </w:p>
    <w:p w14:paraId="32D29288" w14:textId="77777777" w:rsidR="008D3B35" w:rsidRPr="003F564F" w:rsidRDefault="008D3B35">
      <w:pPr>
        <w:rPr>
          <w:sz w:val="22"/>
          <w:szCs w:val="24"/>
        </w:rPr>
      </w:pPr>
    </w:p>
    <w:p w14:paraId="534C3A61" w14:textId="77777777" w:rsidR="008D3B35" w:rsidRPr="003F564F" w:rsidRDefault="00AB4978">
      <w:pPr>
        <w:keepNext/>
        <w:tabs>
          <w:tab w:val="left" w:pos="567"/>
        </w:tabs>
        <w:spacing w:line="260" w:lineRule="exact"/>
        <w:jc w:val="both"/>
        <w:outlineLvl w:val="3"/>
        <w:rPr>
          <w:b/>
          <w:bCs/>
          <w:sz w:val="22"/>
          <w:szCs w:val="28"/>
          <w:lang w:eastAsia="x-none"/>
        </w:rPr>
      </w:pPr>
      <w:r w:rsidRPr="003F564F">
        <w:rPr>
          <w:b/>
          <w:bCs/>
          <w:sz w:val="22"/>
          <w:szCs w:val="28"/>
          <w:lang w:eastAsia="x-none"/>
        </w:rPr>
        <w:t>6.1</w:t>
      </w:r>
      <w:r w:rsidRPr="003F564F">
        <w:rPr>
          <w:b/>
          <w:bCs/>
          <w:sz w:val="22"/>
          <w:szCs w:val="28"/>
          <w:lang w:eastAsia="x-none"/>
        </w:rPr>
        <w:tab/>
        <w:t>Pagalbinių medžiagų sąrašas</w:t>
      </w:r>
    </w:p>
    <w:p w14:paraId="2E688650" w14:textId="77777777" w:rsidR="008D3B35" w:rsidRPr="003F564F" w:rsidRDefault="008D3B35">
      <w:pPr>
        <w:rPr>
          <w:sz w:val="22"/>
          <w:szCs w:val="24"/>
        </w:rPr>
      </w:pPr>
    </w:p>
    <w:p w14:paraId="600C1E9D" w14:textId="654F2C76" w:rsidR="00C13DE5" w:rsidRPr="003F564F" w:rsidRDefault="00C13DE5" w:rsidP="00C13DE5">
      <w:pPr>
        <w:rPr>
          <w:sz w:val="22"/>
          <w:szCs w:val="24"/>
        </w:rPr>
      </w:pPr>
      <w:r w:rsidRPr="003F564F">
        <w:rPr>
          <w:sz w:val="22"/>
          <w:szCs w:val="24"/>
        </w:rPr>
        <w:t xml:space="preserve">Laktozė </w:t>
      </w:r>
      <w:proofErr w:type="spellStart"/>
      <w:r w:rsidRPr="003F564F">
        <w:rPr>
          <w:sz w:val="22"/>
          <w:szCs w:val="24"/>
        </w:rPr>
        <w:t>monohidratas</w:t>
      </w:r>
      <w:proofErr w:type="spellEnd"/>
    </w:p>
    <w:p w14:paraId="4BFF62F9" w14:textId="042C9373" w:rsidR="00C13DE5" w:rsidRPr="003F564F" w:rsidRDefault="00C13DE5" w:rsidP="00C13DE5">
      <w:pPr>
        <w:rPr>
          <w:sz w:val="22"/>
          <w:szCs w:val="24"/>
        </w:rPr>
      </w:pPr>
      <w:proofErr w:type="spellStart"/>
      <w:r w:rsidRPr="003F564F">
        <w:rPr>
          <w:sz w:val="22"/>
          <w:szCs w:val="24"/>
        </w:rPr>
        <w:t>Mikrokristalinė</w:t>
      </w:r>
      <w:proofErr w:type="spellEnd"/>
      <w:r w:rsidRPr="003F564F">
        <w:rPr>
          <w:sz w:val="22"/>
          <w:szCs w:val="24"/>
        </w:rPr>
        <w:t xml:space="preserve"> celiuliozė (PH</w:t>
      </w:r>
      <w:r w:rsidR="005B12D8">
        <w:rPr>
          <w:sz w:val="22"/>
          <w:szCs w:val="24"/>
        </w:rPr>
        <w:t> </w:t>
      </w:r>
      <w:r w:rsidRPr="003F564F">
        <w:rPr>
          <w:sz w:val="22"/>
          <w:szCs w:val="24"/>
        </w:rPr>
        <w:t>101) (E460)</w:t>
      </w:r>
    </w:p>
    <w:p w14:paraId="1F84C08D" w14:textId="57BDE451" w:rsidR="00C13DE5" w:rsidRPr="003F564F" w:rsidRDefault="00C13DE5" w:rsidP="00C13DE5">
      <w:pPr>
        <w:rPr>
          <w:sz w:val="22"/>
          <w:szCs w:val="24"/>
        </w:rPr>
      </w:pPr>
      <w:proofErr w:type="spellStart"/>
      <w:r w:rsidRPr="003F564F">
        <w:rPr>
          <w:sz w:val="22"/>
          <w:szCs w:val="24"/>
        </w:rPr>
        <w:t>Povidonas</w:t>
      </w:r>
      <w:proofErr w:type="spellEnd"/>
      <w:r w:rsidRPr="003F564F">
        <w:rPr>
          <w:sz w:val="22"/>
          <w:szCs w:val="24"/>
        </w:rPr>
        <w:t xml:space="preserve"> (K29/32)</w:t>
      </w:r>
    </w:p>
    <w:p w14:paraId="42DBAFBF" w14:textId="290D02B8" w:rsidR="00C13DE5" w:rsidRPr="003F564F" w:rsidRDefault="00C13DE5" w:rsidP="00C13DE5">
      <w:pPr>
        <w:rPr>
          <w:sz w:val="22"/>
          <w:szCs w:val="24"/>
        </w:rPr>
      </w:pPr>
      <w:proofErr w:type="spellStart"/>
      <w:r w:rsidRPr="003F564F">
        <w:rPr>
          <w:sz w:val="22"/>
          <w:szCs w:val="24"/>
        </w:rPr>
        <w:t>Hidroksipropilceliuliozė</w:t>
      </w:r>
      <w:proofErr w:type="spellEnd"/>
      <w:r w:rsidRPr="003F564F">
        <w:rPr>
          <w:sz w:val="22"/>
          <w:szCs w:val="24"/>
        </w:rPr>
        <w:t xml:space="preserve"> (E463)</w:t>
      </w:r>
    </w:p>
    <w:p w14:paraId="00F21A04" w14:textId="141D5A85" w:rsidR="00C13DE5" w:rsidRPr="003F564F" w:rsidRDefault="005B12D8" w:rsidP="005B12D8">
      <w:pPr>
        <w:rPr>
          <w:sz w:val="22"/>
          <w:szCs w:val="24"/>
        </w:rPr>
      </w:pPr>
      <w:proofErr w:type="spellStart"/>
      <w:r w:rsidRPr="005B12D8">
        <w:rPr>
          <w:sz w:val="22"/>
          <w:szCs w:val="24"/>
        </w:rPr>
        <w:t>Karboksimetilkrakmolo</w:t>
      </w:r>
      <w:proofErr w:type="spellEnd"/>
      <w:r w:rsidRPr="005B12D8">
        <w:rPr>
          <w:sz w:val="22"/>
          <w:szCs w:val="24"/>
        </w:rPr>
        <w:t xml:space="preserve"> A natrio druska</w:t>
      </w:r>
    </w:p>
    <w:p w14:paraId="317D8007" w14:textId="3D21641E" w:rsidR="00177439" w:rsidRPr="003F564F" w:rsidRDefault="00177439" w:rsidP="00177439">
      <w:pPr>
        <w:rPr>
          <w:sz w:val="22"/>
          <w:szCs w:val="24"/>
        </w:rPr>
      </w:pPr>
      <w:proofErr w:type="spellStart"/>
      <w:r w:rsidRPr="003F564F">
        <w:rPr>
          <w:sz w:val="22"/>
          <w:szCs w:val="24"/>
        </w:rPr>
        <w:t>Mikrokristalinė</w:t>
      </w:r>
      <w:proofErr w:type="spellEnd"/>
      <w:r w:rsidRPr="003F564F">
        <w:rPr>
          <w:sz w:val="22"/>
          <w:szCs w:val="24"/>
        </w:rPr>
        <w:t xml:space="preserve"> celiuliozė (PH</w:t>
      </w:r>
      <w:r>
        <w:rPr>
          <w:sz w:val="22"/>
          <w:szCs w:val="24"/>
        </w:rPr>
        <w:t> </w:t>
      </w:r>
      <w:r w:rsidRPr="003F564F">
        <w:rPr>
          <w:sz w:val="22"/>
          <w:szCs w:val="24"/>
        </w:rPr>
        <w:t>10</w:t>
      </w:r>
      <w:r>
        <w:rPr>
          <w:sz w:val="22"/>
          <w:szCs w:val="24"/>
        </w:rPr>
        <w:t>2</w:t>
      </w:r>
      <w:r w:rsidRPr="003F564F">
        <w:rPr>
          <w:sz w:val="22"/>
          <w:szCs w:val="24"/>
        </w:rPr>
        <w:t>) (E460)</w:t>
      </w:r>
    </w:p>
    <w:p w14:paraId="62DCC6F2" w14:textId="7882BA00" w:rsidR="00C13DE5" w:rsidRPr="003F564F" w:rsidRDefault="00C13DE5" w:rsidP="00C13DE5">
      <w:pPr>
        <w:rPr>
          <w:sz w:val="22"/>
          <w:szCs w:val="24"/>
        </w:rPr>
      </w:pPr>
      <w:r w:rsidRPr="003F564F">
        <w:rPr>
          <w:sz w:val="22"/>
          <w:szCs w:val="24"/>
        </w:rPr>
        <w:t>Bevandenis koloidinis silicio dioksidas</w:t>
      </w:r>
    </w:p>
    <w:p w14:paraId="226E3829" w14:textId="339CEC2D" w:rsidR="00C13DE5" w:rsidRPr="003F564F" w:rsidRDefault="00C13DE5" w:rsidP="00C13DE5">
      <w:pPr>
        <w:rPr>
          <w:sz w:val="22"/>
          <w:szCs w:val="24"/>
        </w:rPr>
      </w:pPr>
      <w:r w:rsidRPr="003F564F">
        <w:rPr>
          <w:sz w:val="22"/>
          <w:szCs w:val="24"/>
        </w:rPr>
        <w:t xml:space="preserve">Magnio </w:t>
      </w:r>
      <w:proofErr w:type="spellStart"/>
      <w:r w:rsidRPr="003F564F">
        <w:rPr>
          <w:sz w:val="22"/>
          <w:szCs w:val="24"/>
        </w:rPr>
        <w:t>stearatas</w:t>
      </w:r>
      <w:proofErr w:type="spellEnd"/>
    </w:p>
    <w:p w14:paraId="3577606E" w14:textId="77777777" w:rsidR="008D3B35" w:rsidRPr="003F564F" w:rsidRDefault="008D3B35">
      <w:pPr>
        <w:rPr>
          <w:sz w:val="22"/>
          <w:szCs w:val="24"/>
        </w:rPr>
      </w:pPr>
    </w:p>
    <w:p w14:paraId="3FBB33B4" w14:textId="77777777" w:rsidR="008D3B35" w:rsidRPr="003F564F" w:rsidRDefault="00AB4978">
      <w:pPr>
        <w:keepNext/>
        <w:tabs>
          <w:tab w:val="left" w:pos="567"/>
        </w:tabs>
        <w:spacing w:line="260" w:lineRule="exact"/>
        <w:jc w:val="both"/>
        <w:outlineLvl w:val="3"/>
        <w:rPr>
          <w:b/>
          <w:bCs/>
          <w:sz w:val="22"/>
          <w:szCs w:val="28"/>
          <w:lang w:eastAsia="x-none"/>
        </w:rPr>
      </w:pPr>
      <w:r w:rsidRPr="003F564F">
        <w:rPr>
          <w:b/>
          <w:bCs/>
          <w:sz w:val="22"/>
          <w:szCs w:val="28"/>
          <w:lang w:eastAsia="x-none"/>
        </w:rPr>
        <w:t>6.2</w:t>
      </w:r>
      <w:r w:rsidRPr="003F564F">
        <w:rPr>
          <w:b/>
          <w:bCs/>
          <w:sz w:val="22"/>
          <w:szCs w:val="28"/>
          <w:lang w:eastAsia="x-none"/>
        </w:rPr>
        <w:tab/>
        <w:t>Nesuderinamumas</w:t>
      </w:r>
    </w:p>
    <w:p w14:paraId="0BBB4EC5" w14:textId="77777777" w:rsidR="008D3B35" w:rsidRPr="003F564F" w:rsidRDefault="008D3B35">
      <w:pPr>
        <w:rPr>
          <w:sz w:val="22"/>
          <w:szCs w:val="24"/>
        </w:rPr>
      </w:pPr>
    </w:p>
    <w:p w14:paraId="2BC98EE5" w14:textId="4C467C61" w:rsidR="008D3B35" w:rsidRPr="003F564F" w:rsidRDefault="00AB4978">
      <w:pPr>
        <w:rPr>
          <w:sz w:val="22"/>
          <w:szCs w:val="24"/>
        </w:rPr>
      </w:pPr>
      <w:r w:rsidRPr="003F564F">
        <w:rPr>
          <w:sz w:val="22"/>
          <w:szCs w:val="24"/>
        </w:rPr>
        <w:t>Duomenys nebūtini.</w:t>
      </w:r>
    </w:p>
    <w:p w14:paraId="4DF55A44" w14:textId="77777777" w:rsidR="008D3B35" w:rsidRPr="003F564F" w:rsidRDefault="008D3B35">
      <w:pPr>
        <w:rPr>
          <w:sz w:val="22"/>
          <w:szCs w:val="24"/>
        </w:rPr>
      </w:pPr>
    </w:p>
    <w:p w14:paraId="5894C036" w14:textId="77777777" w:rsidR="008D3B35" w:rsidRPr="003F564F" w:rsidRDefault="00AB4978">
      <w:pPr>
        <w:keepNext/>
        <w:tabs>
          <w:tab w:val="left" w:pos="567"/>
        </w:tabs>
        <w:spacing w:line="260" w:lineRule="exact"/>
        <w:jc w:val="both"/>
        <w:outlineLvl w:val="3"/>
        <w:rPr>
          <w:b/>
          <w:bCs/>
          <w:sz w:val="22"/>
          <w:szCs w:val="28"/>
          <w:lang w:eastAsia="x-none"/>
        </w:rPr>
      </w:pPr>
      <w:r w:rsidRPr="003F564F">
        <w:rPr>
          <w:b/>
          <w:bCs/>
          <w:sz w:val="22"/>
          <w:szCs w:val="28"/>
          <w:lang w:eastAsia="x-none"/>
        </w:rPr>
        <w:t>6.3</w:t>
      </w:r>
      <w:r w:rsidRPr="003F564F">
        <w:rPr>
          <w:b/>
          <w:bCs/>
          <w:sz w:val="22"/>
          <w:szCs w:val="28"/>
          <w:lang w:eastAsia="x-none"/>
        </w:rPr>
        <w:tab/>
        <w:t>Tinkamumo laikas</w:t>
      </w:r>
    </w:p>
    <w:p w14:paraId="5D9ECBD4" w14:textId="77777777" w:rsidR="008D3B35" w:rsidRPr="003F564F" w:rsidRDefault="008D3B35">
      <w:pPr>
        <w:rPr>
          <w:sz w:val="22"/>
          <w:szCs w:val="24"/>
        </w:rPr>
      </w:pPr>
    </w:p>
    <w:p w14:paraId="2FFE79A8" w14:textId="49391FA8" w:rsidR="008D3B35" w:rsidRPr="003F564F" w:rsidRDefault="00AB4978">
      <w:pPr>
        <w:rPr>
          <w:sz w:val="22"/>
          <w:szCs w:val="24"/>
        </w:rPr>
      </w:pPr>
      <w:r w:rsidRPr="003F564F">
        <w:rPr>
          <w:sz w:val="22"/>
          <w:szCs w:val="24"/>
        </w:rPr>
        <w:t>2</w:t>
      </w:r>
      <w:r w:rsidR="005B12D8">
        <w:rPr>
          <w:sz w:val="22"/>
          <w:szCs w:val="24"/>
        </w:rPr>
        <w:t> </w:t>
      </w:r>
      <w:r w:rsidRPr="003F564F">
        <w:rPr>
          <w:sz w:val="22"/>
          <w:szCs w:val="24"/>
        </w:rPr>
        <w:t>metai</w:t>
      </w:r>
    </w:p>
    <w:p w14:paraId="508DDC40" w14:textId="77777777" w:rsidR="008D3B35" w:rsidRPr="003F564F" w:rsidRDefault="008D3B35">
      <w:pPr>
        <w:rPr>
          <w:sz w:val="22"/>
          <w:szCs w:val="24"/>
        </w:rPr>
      </w:pPr>
    </w:p>
    <w:p w14:paraId="6D476242" w14:textId="77777777" w:rsidR="008D3B35" w:rsidRPr="003F564F" w:rsidRDefault="00AB4978">
      <w:pPr>
        <w:keepNext/>
        <w:tabs>
          <w:tab w:val="left" w:pos="567"/>
        </w:tabs>
        <w:spacing w:line="260" w:lineRule="exact"/>
        <w:jc w:val="both"/>
        <w:outlineLvl w:val="3"/>
        <w:rPr>
          <w:b/>
          <w:bCs/>
          <w:sz w:val="22"/>
          <w:szCs w:val="28"/>
          <w:lang w:eastAsia="x-none"/>
        </w:rPr>
      </w:pPr>
      <w:r w:rsidRPr="003F564F">
        <w:rPr>
          <w:b/>
          <w:bCs/>
          <w:sz w:val="22"/>
          <w:szCs w:val="28"/>
          <w:lang w:eastAsia="x-none"/>
        </w:rPr>
        <w:t>6.4</w:t>
      </w:r>
      <w:r w:rsidRPr="003F564F">
        <w:rPr>
          <w:b/>
          <w:bCs/>
          <w:sz w:val="22"/>
          <w:szCs w:val="28"/>
          <w:lang w:eastAsia="x-none"/>
        </w:rPr>
        <w:tab/>
        <w:t>Specialios laikymo sąlygos</w:t>
      </w:r>
    </w:p>
    <w:p w14:paraId="6691641A" w14:textId="77777777" w:rsidR="008D3B35" w:rsidRPr="003F564F" w:rsidRDefault="008D3B35">
      <w:pPr>
        <w:rPr>
          <w:sz w:val="22"/>
          <w:szCs w:val="24"/>
        </w:rPr>
      </w:pPr>
    </w:p>
    <w:p w14:paraId="72BA2976" w14:textId="43C350AB" w:rsidR="008D3B35" w:rsidRPr="003F564F" w:rsidRDefault="005B12D8">
      <w:pPr>
        <w:rPr>
          <w:color w:val="0D0D0D"/>
          <w:sz w:val="22"/>
          <w:szCs w:val="24"/>
        </w:rPr>
      </w:pPr>
      <w:r w:rsidRPr="005B12D8">
        <w:rPr>
          <w:color w:val="0D0D0D"/>
          <w:sz w:val="22"/>
          <w:szCs w:val="24"/>
        </w:rPr>
        <w:t>Šiam vaistiniam preparatui specialių laikymo sąlygų nereikia.</w:t>
      </w:r>
    </w:p>
    <w:p w14:paraId="6AD582E9" w14:textId="77777777" w:rsidR="008D3B35" w:rsidRPr="003F564F" w:rsidRDefault="008D3B35">
      <w:pPr>
        <w:rPr>
          <w:sz w:val="22"/>
          <w:szCs w:val="24"/>
        </w:rPr>
      </w:pPr>
    </w:p>
    <w:p w14:paraId="1C0C05FB" w14:textId="448B740A" w:rsidR="008D3B35" w:rsidRPr="003F564F" w:rsidRDefault="00AB4978">
      <w:pPr>
        <w:keepNext/>
        <w:tabs>
          <w:tab w:val="left" w:pos="567"/>
        </w:tabs>
        <w:spacing w:line="260" w:lineRule="exact"/>
        <w:jc w:val="both"/>
        <w:outlineLvl w:val="3"/>
        <w:rPr>
          <w:b/>
          <w:bCs/>
          <w:sz w:val="22"/>
          <w:szCs w:val="28"/>
          <w:lang w:eastAsia="x-none"/>
        </w:rPr>
      </w:pPr>
      <w:r w:rsidRPr="003F564F">
        <w:rPr>
          <w:b/>
          <w:bCs/>
          <w:sz w:val="22"/>
          <w:szCs w:val="28"/>
          <w:lang w:eastAsia="x-none"/>
        </w:rPr>
        <w:t>6.5</w:t>
      </w:r>
      <w:r w:rsidRPr="003F564F">
        <w:rPr>
          <w:b/>
          <w:bCs/>
          <w:sz w:val="22"/>
          <w:szCs w:val="28"/>
          <w:lang w:eastAsia="x-none"/>
        </w:rPr>
        <w:tab/>
      </w:r>
      <w:proofErr w:type="spellStart"/>
      <w:r w:rsidRPr="003F564F">
        <w:rPr>
          <w:b/>
          <w:bCs/>
          <w:sz w:val="22"/>
          <w:szCs w:val="28"/>
          <w:lang w:eastAsia="x-none"/>
        </w:rPr>
        <w:t>Talpyklės</w:t>
      </w:r>
      <w:proofErr w:type="spellEnd"/>
      <w:r w:rsidRPr="003F564F">
        <w:rPr>
          <w:b/>
          <w:bCs/>
          <w:sz w:val="22"/>
          <w:szCs w:val="28"/>
          <w:lang w:eastAsia="x-none"/>
        </w:rPr>
        <w:t xml:space="preserve"> pobūdis ir jos turinys</w:t>
      </w:r>
    </w:p>
    <w:p w14:paraId="144E1FDD" w14:textId="77777777" w:rsidR="008D3B35" w:rsidRPr="003F564F" w:rsidRDefault="008D3B35">
      <w:pPr>
        <w:rPr>
          <w:sz w:val="22"/>
          <w:szCs w:val="24"/>
        </w:rPr>
      </w:pPr>
    </w:p>
    <w:p w14:paraId="01D42A49" w14:textId="4210C8AF" w:rsidR="00177439" w:rsidRDefault="00177439" w:rsidP="005B12D8">
      <w:pPr>
        <w:rPr>
          <w:sz w:val="22"/>
          <w:szCs w:val="24"/>
        </w:rPr>
      </w:pPr>
      <w:proofErr w:type="spellStart"/>
      <w:r w:rsidRPr="00177439">
        <w:rPr>
          <w:sz w:val="22"/>
          <w:szCs w:val="24"/>
        </w:rPr>
        <w:t>Alu</w:t>
      </w:r>
      <w:proofErr w:type="spellEnd"/>
      <w:r w:rsidRPr="00177439">
        <w:rPr>
          <w:sz w:val="22"/>
          <w:szCs w:val="24"/>
        </w:rPr>
        <w:t xml:space="preserve">/PVC/PE/PVDC </w:t>
      </w:r>
      <w:r w:rsidR="005B12D8" w:rsidRPr="005B12D8">
        <w:rPr>
          <w:sz w:val="22"/>
          <w:szCs w:val="24"/>
        </w:rPr>
        <w:t xml:space="preserve">lizdinės plokštelės, kuriose yra 14, 28, 56, 60, 140 </w:t>
      </w:r>
      <w:r w:rsidR="005B12D8">
        <w:rPr>
          <w:sz w:val="22"/>
          <w:szCs w:val="24"/>
        </w:rPr>
        <w:t>arba</w:t>
      </w:r>
      <w:r w:rsidR="005B12D8" w:rsidRPr="005B12D8">
        <w:rPr>
          <w:sz w:val="22"/>
          <w:szCs w:val="24"/>
        </w:rPr>
        <w:t xml:space="preserve"> 168 tablet</w:t>
      </w:r>
      <w:r w:rsidR="005B12D8">
        <w:rPr>
          <w:sz w:val="22"/>
          <w:szCs w:val="24"/>
        </w:rPr>
        <w:t>ė</w:t>
      </w:r>
      <w:r w:rsidR="005B12D8" w:rsidRPr="005B12D8">
        <w:rPr>
          <w:sz w:val="22"/>
          <w:szCs w:val="24"/>
        </w:rPr>
        <w:t>s</w:t>
      </w:r>
      <w:r w:rsidR="005B12D8">
        <w:rPr>
          <w:sz w:val="22"/>
          <w:szCs w:val="24"/>
        </w:rPr>
        <w:t>,</w:t>
      </w:r>
      <w:r w:rsidR="005B12D8" w:rsidRPr="005B12D8">
        <w:rPr>
          <w:sz w:val="22"/>
          <w:szCs w:val="24"/>
        </w:rPr>
        <w:t xml:space="preserve"> </w:t>
      </w:r>
      <w:r w:rsidR="005B12D8">
        <w:rPr>
          <w:sz w:val="22"/>
          <w:szCs w:val="24"/>
        </w:rPr>
        <w:t>arba</w:t>
      </w:r>
      <w:r w:rsidR="005B12D8" w:rsidRPr="005B12D8">
        <w:rPr>
          <w:sz w:val="22"/>
          <w:szCs w:val="24"/>
        </w:rPr>
        <w:t xml:space="preserve"> </w:t>
      </w:r>
      <w:proofErr w:type="spellStart"/>
      <w:r w:rsidR="00E55A54" w:rsidRPr="00322A97">
        <w:rPr>
          <w:szCs w:val="22"/>
        </w:rPr>
        <w:t>Alu</w:t>
      </w:r>
      <w:proofErr w:type="spellEnd"/>
      <w:r w:rsidR="00E55A54" w:rsidRPr="00322A97">
        <w:rPr>
          <w:szCs w:val="22"/>
        </w:rPr>
        <w:t>/PVC/PE/PVDC</w:t>
      </w:r>
      <w:r w:rsidR="00E55A54">
        <w:rPr>
          <w:szCs w:val="22"/>
        </w:rPr>
        <w:t xml:space="preserve"> </w:t>
      </w:r>
      <w:r w:rsidR="005243E0">
        <w:rPr>
          <w:sz w:val="22"/>
          <w:szCs w:val="24"/>
        </w:rPr>
        <w:t xml:space="preserve">perforuotos </w:t>
      </w:r>
      <w:proofErr w:type="spellStart"/>
      <w:r w:rsidR="005243E0">
        <w:rPr>
          <w:sz w:val="22"/>
          <w:szCs w:val="24"/>
        </w:rPr>
        <w:t>dalomosios</w:t>
      </w:r>
      <w:proofErr w:type="spellEnd"/>
      <w:r w:rsidR="005243E0">
        <w:rPr>
          <w:sz w:val="22"/>
          <w:szCs w:val="24"/>
        </w:rPr>
        <w:t xml:space="preserve"> </w:t>
      </w:r>
      <w:r w:rsidR="005243E0" w:rsidRPr="005B12D8">
        <w:rPr>
          <w:sz w:val="22"/>
          <w:szCs w:val="24"/>
        </w:rPr>
        <w:t xml:space="preserve">lizdinės plokštelės, kuriose yra </w:t>
      </w:r>
      <w:r w:rsidR="005B12D8" w:rsidRPr="005B12D8">
        <w:rPr>
          <w:sz w:val="22"/>
          <w:szCs w:val="24"/>
        </w:rPr>
        <w:t>14</w:t>
      </w:r>
      <w:r w:rsidR="005243E0">
        <w:rPr>
          <w:sz w:val="22"/>
          <w:szCs w:val="24"/>
        </w:rPr>
        <w:t> </w:t>
      </w:r>
      <w:r w:rsidR="005B12D8" w:rsidRPr="005B12D8">
        <w:rPr>
          <w:sz w:val="22"/>
          <w:szCs w:val="24"/>
        </w:rPr>
        <w:t>x</w:t>
      </w:r>
      <w:r w:rsidR="005243E0">
        <w:rPr>
          <w:sz w:val="22"/>
          <w:szCs w:val="24"/>
        </w:rPr>
        <w:t> </w:t>
      </w:r>
      <w:r w:rsidR="005B12D8" w:rsidRPr="005B12D8">
        <w:rPr>
          <w:sz w:val="22"/>
          <w:szCs w:val="24"/>
        </w:rPr>
        <w:t>1, 28</w:t>
      </w:r>
      <w:r w:rsidR="005243E0">
        <w:rPr>
          <w:sz w:val="22"/>
          <w:szCs w:val="24"/>
        </w:rPr>
        <w:t> </w:t>
      </w:r>
      <w:r w:rsidR="005B12D8" w:rsidRPr="005B12D8">
        <w:rPr>
          <w:sz w:val="22"/>
          <w:szCs w:val="24"/>
        </w:rPr>
        <w:t>x</w:t>
      </w:r>
      <w:r w:rsidR="005243E0">
        <w:rPr>
          <w:sz w:val="22"/>
          <w:szCs w:val="24"/>
        </w:rPr>
        <w:t> </w:t>
      </w:r>
      <w:r w:rsidR="005B12D8" w:rsidRPr="005B12D8">
        <w:rPr>
          <w:sz w:val="22"/>
          <w:szCs w:val="24"/>
        </w:rPr>
        <w:t>1, 56</w:t>
      </w:r>
      <w:r w:rsidR="005243E0">
        <w:rPr>
          <w:sz w:val="22"/>
          <w:szCs w:val="24"/>
        </w:rPr>
        <w:t> </w:t>
      </w:r>
      <w:r w:rsidR="005B12D8" w:rsidRPr="005B12D8">
        <w:rPr>
          <w:sz w:val="22"/>
          <w:szCs w:val="24"/>
        </w:rPr>
        <w:t>x</w:t>
      </w:r>
      <w:r w:rsidR="005243E0">
        <w:rPr>
          <w:sz w:val="22"/>
          <w:szCs w:val="24"/>
        </w:rPr>
        <w:t> </w:t>
      </w:r>
      <w:r w:rsidR="005B12D8" w:rsidRPr="005B12D8">
        <w:rPr>
          <w:sz w:val="22"/>
          <w:szCs w:val="24"/>
        </w:rPr>
        <w:t>1, 60</w:t>
      </w:r>
      <w:r w:rsidR="005243E0">
        <w:rPr>
          <w:sz w:val="22"/>
          <w:szCs w:val="24"/>
        </w:rPr>
        <w:t> </w:t>
      </w:r>
      <w:r w:rsidR="005B12D8" w:rsidRPr="005B12D8">
        <w:rPr>
          <w:sz w:val="22"/>
          <w:szCs w:val="24"/>
        </w:rPr>
        <w:t>x</w:t>
      </w:r>
      <w:r w:rsidR="005243E0">
        <w:rPr>
          <w:sz w:val="22"/>
          <w:szCs w:val="24"/>
        </w:rPr>
        <w:t> </w:t>
      </w:r>
      <w:r w:rsidR="005B12D8" w:rsidRPr="005B12D8">
        <w:rPr>
          <w:sz w:val="22"/>
          <w:szCs w:val="24"/>
        </w:rPr>
        <w:t>1, 140</w:t>
      </w:r>
      <w:r w:rsidR="005243E0">
        <w:rPr>
          <w:sz w:val="22"/>
          <w:szCs w:val="24"/>
        </w:rPr>
        <w:t> </w:t>
      </w:r>
      <w:r w:rsidR="005B12D8" w:rsidRPr="005B12D8">
        <w:rPr>
          <w:sz w:val="22"/>
          <w:szCs w:val="24"/>
        </w:rPr>
        <w:t>x</w:t>
      </w:r>
      <w:r w:rsidR="005243E0">
        <w:rPr>
          <w:sz w:val="22"/>
          <w:szCs w:val="24"/>
        </w:rPr>
        <w:t> </w:t>
      </w:r>
      <w:r w:rsidR="005B12D8" w:rsidRPr="005B12D8">
        <w:rPr>
          <w:sz w:val="22"/>
          <w:szCs w:val="24"/>
        </w:rPr>
        <w:t xml:space="preserve">1 </w:t>
      </w:r>
      <w:r w:rsidR="005243E0">
        <w:rPr>
          <w:sz w:val="22"/>
          <w:szCs w:val="24"/>
        </w:rPr>
        <w:t>arba</w:t>
      </w:r>
      <w:r w:rsidR="005B12D8" w:rsidRPr="005B12D8">
        <w:rPr>
          <w:sz w:val="22"/>
          <w:szCs w:val="24"/>
        </w:rPr>
        <w:t xml:space="preserve"> 168</w:t>
      </w:r>
      <w:r w:rsidR="005243E0">
        <w:rPr>
          <w:sz w:val="22"/>
          <w:szCs w:val="24"/>
        </w:rPr>
        <w:t> </w:t>
      </w:r>
      <w:r w:rsidR="005B12D8" w:rsidRPr="005B12D8">
        <w:rPr>
          <w:sz w:val="22"/>
          <w:szCs w:val="24"/>
        </w:rPr>
        <w:t>x</w:t>
      </w:r>
      <w:r w:rsidR="005243E0">
        <w:rPr>
          <w:sz w:val="22"/>
          <w:szCs w:val="24"/>
        </w:rPr>
        <w:t> </w:t>
      </w:r>
      <w:r w:rsidR="005B12D8" w:rsidRPr="005B12D8">
        <w:rPr>
          <w:sz w:val="22"/>
          <w:szCs w:val="24"/>
        </w:rPr>
        <w:t>1 tablet</w:t>
      </w:r>
      <w:r w:rsidR="005243E0">
        <w:rPr>
          <w:sz w:val="22"/>
          <w:szCs w:val="24"/>
        </w:rPr>
        <w:t>ė</w:t>
      </w:r>
      <w:r w:rsidR="005B12D8" w:rsidRPr="005B12D8">
        <w:rPr>
          <w:sz w:val="22"/>
          <w:szCs w:val="24"/>
        </w:rPr>
        <w:t xml:space="preserve">s, </w:t>
      </w:r>
      <w:r w:rsidR="005243E0">
        <w:rPr>
          <w:sz w:val="22"/>
          <w:szCs w:val="24"/>
        </w:rPr>
        <w:t xml:space="preserve">arba </w:t>
      </w:r>
    </w:p>
    <w:p w14:paraId="5C0CBAD5" w14:textId="77777777" w:rsidR="00177439" w:rsidRDefault="00177439" w:rsidP="005B12D8">
      <w:pPr>
        <w:rPr>
          <w:sz w:val="22"/>
          <w:szCs w:val="24"/>
        </w:rPr>
      </w:pPr>
    </w:p>
    <w:p w14:paraId="7F369F52" w14:textId="3D1B8407" w:rsidR="005B12D8" w:rsidRDefault="00E55A54" w:rsidP="005B12D8">
      <w:pPr>
        <w:rPr>
          <w:sz w:val="22"/>
          <w:szCs w:val="24"/>
        </w:rPr>
      </w:pPr>
      <w:proofErr w:type="spellStart"/>
      <w:r w:rsidRPr="00322A97">
        <w:rPr>
          <w:szCs w:val="22"/>
        </w:rPr>
        <w:t>Alu</w:t>
      </w:r>
      <w:proofErr w:type="spellEnd"/>
      <w:r w:rsidRPr="00322A97">
        <w:rPr>
          <w:szCs w:val="22"/>
        </w:rPr>
        <w:t>/PVC/PE/PVDC</w:t>
      </w:r>
      <w:r>
        <w:rPr>
          <w:szCs w:val="22"/>
        </w:rPr>
        <w:t xml:space="preserve"> </w:t>
      </w:r>
      <w:r w:rsidR="005243E0">
        <w:rPr>
          <w:sz w:val="22"/>
          <w:szCs w:val="24"/>
        </w:rPr>
        <w:t xml:space="preserve">kalendorinės lizdinės </w:t>
      </w:r>
      <w:r w:rsidR="005243E0" w:rsidRPr="005B12D8">
        <w:rPr>
          <w:sz w:val="22"/>
          <w:szCs w:val="24"/>
        </w:rPr>
        <w:t>plokštelės, kuriose yra</w:t>
      </w:r>
      <w:r w:rsidR="005B12D8" w:rsidRPr="005B12D8">
        <w:rPr>
          <w:sz w:val="22"/>
          <w:szCs w:val="24"/>
        </w:rPr>
        <w:t xml:space="preserve"> 14, 28, 56, 60, 140</w:t>
      </w:r>
      <w:r w:rsidR="005243E0">
        <w:rPr>
          <w:sz w:val="22"/>
          <w:szCs w:val="24"/>
        </w:rPr>
        <w:t xml:space="preserve"> arba</w:t>
      </w:r>
      <w:r w:rsidR="005B12D8" w:rsidRPr="005B12D8">
        <w:rPr>
          <w:sz w:val="22"/>
          <w:szCs w:val="24"/>
        </w:rPr>
        <w:t xml:space="preserve"> 168 tablet</w:t>
      </w:r>
      <w:r w:rsidR="005243E0">
        <w:rPr>
          <w:sz w:val="22"/>
          <w:szCs w:val="24"/>
        </w:rPr>
        <w:t>ė</w:t>
      </w:r>
      <w:r w:rsidR="005B12D8" w:rsidRPr="005B12D8">
        <w:rPr>
          <w:sz w:val="22"/>
          <w:szCs w:val="24"/>
        </w:rPr>
        <w:t xml:space="preserve"> </w:t>
      </w:r>
      <w:r w:rsidR="005243E0">
        <w:rPr>
          <w:sz w:val="22"/>
          <w:szCs w:val="24"/>
        </w:rPr>
        <w:t xml:space="preserve">arba </w:t>
      </w:r>
      <w:proofErr w:type="spellStart"/>
      <w:r w:rsidRPr="00322A97">
        <w:rPr>
          <w:szCs w:val="22"/>
        </w:rPr>
        <w:t>Alu</w:t>
      </w:r>
      <w:proofErr w:type="spellEnd"/>
      <w:r w:rsidRPr="00322A97">
        <w:rPr>
          <w:szCs w:val="22"/>
        </w:rPr>
        <w:t>/PVC/PE/PVDC</w:t>
      </w:r>
      <w:r>
        <w:rPr>
          <w:szCs w:val="22"/>
        </w:rPr>
        <w:t xml:space="preserve"> </w:t>
      </w:r>
      <w:r w:rsidR="005243E0">
        <w:rPr>
          <w:sz w:val="22"/>
          <w:szCs w:val="24"/>
        </w:rPr>
        <w:t xml:space="preserve">kalendorinės perforuotos </w:t>
      </w:r>
      <w:proofErr w:type="spellStart"/>
      <w:r w:rsidR="005243E0">
        <w:rPr>
          <w:sz w:val="22"/>
          <w:szCs w:val="24"/>
        </w:rPr>
        <w:t>dalomosios</w:t>
      </w:r>
      <w:proofErr w:type="spellEnd"/>
      <w:r w:rsidR="005243E0">
        <w:rPr>
          <w:sz w:val="22"/>
          <w:szCs w:val="24"/>
        </w:rPr>
        <w:t xml:space="preserve"> </w:t>
      </w:r>
      <w:r w:rsidR="005243E0" w:rsidRPr="005B12D8">
        <w:rPr>
          <w:sz w:val="22"/>
          <w:szCs w:val="24"/>
        </w:rPr>
        <w:t xml:space="preserve">lizdinės plokštelės, kuriose yra </w:t>
      </w:r>
      <w:r w:rsidR="005B12D8" w:rsidRPr="005B12D8">
        <w:rPr>
          <w:sz w:val="22"/>
          <w:szCs w:val="24"/>
        </w:rPr>
        <w:t>14</w:t>
      </w:r>
      <w:r w:rsidR="005243E0">
        <w:rPr>
          <w:sz w:val="22"/>
          <w:szCs w:val="24"/>
        </w:rPr>
        <w:t> </w:t>
      </w:r>
      <w:r w:rsidR="005B12D8" w:rsidRPr="005B12D8">
        <w:rPr>
          <w:sz w:val="22"/>
          <w:szCs w:val="24"/>
        </w:rPr>
        <w:t>x</w:t>
      </w:r>
      <w:r w:rsidR="005243E0">
        <w:rPr>
          <w:sz w:val="22"/>
          <w:szCs w:val="24"/>
        </w:rPr>
        <w:t> </w:t>
      </w:r>
      <w:r w:rsidR="005B12D8" w:rsidRPr="005B12D8">
        <w:rPr>
          <w:sz w:val="22"/>
          <w:szCs w:val="24"/>
        </w:rPr>
        <w:t>1, 28</w:t>
      </w:r>
      <w:r w:rsidR="005243E0">
        <w:rPr>
          <w:sz w:val="22"/>
          <w:szCs w:val="24"/>
        </w:rPr>
        <w:t> </w:t>
      </w:r>
      <w:r w:rsidR="005B12D8" w:rsidRPr="005B12D8">
        <w:rPr>
          <w:sz w:val="22"/>
          <w:szCs w:val="24"/>
        </w:rPr>
        <w:t>x</w:t>
      </w:r>
      <w:r w:rsidR="005243E0">
        <w:rPr>
          <w:sz w:val="22"/>
          <w:szCs w:val="24"/>
        </w:rPr>
        <w:t> </w:t>
      </w:r>
      <w:r w:rsidR="005B12D8" w:rsidRPr="005B12D8">
        <w:rPr>
          <w:sz w:val="22"/>
          <w:szCs w:val="24"/>
        </w:rPr>
        <w:t>1, 56</w:t>
      </w:r>
      <w:r w:rsidR="005243E0">
        <w:rPr>
          <w:sz w:val="22"/>
          <w:szCs w:val="24"/>
        </w:rPr>
        <w:t> </w:t>
      </w:r>
      <w:r w:rsidR="005B12D8" w:rsidRPr="005B12D8">
        <w:rPr>
          <w:sz w:val="22"/>
          <w:szCs w:val="24"/>
        </w:rPr>
        <w:t>x</w:t>
      </w:r>
      <w:r w:rsidR="005243E0">
        <w:rPr>
          <w:sz w:val="22"/>
          <w:szCs w:val="24"/>
        </w:rPr>
        <w:t> </w:t>
      </w:r>
      <w:r w:rsidR="005B12D8" w:rsidRPr="005B12D8">
        <w:rPr>
          <w:sz w:val="22"/>
          <w:szCs w:val="24"/>
        </w:rPr>
        <w:t>1, 60</w:t>
      </w:r>
      <w:r w:rsidR="005243E0">
        <w:rPr>
          <w:sz w:val="22"/>
          <w:szCs w:val="24"/>
        </w:rPr>
        <w:t> </w:t>
      </w:r>
      <w:r w:rsidR="005B12D8" w:rsidRPr="005B12D8">
        <w:rPr>
          <w:sz w:val="22"/>
          <w:szCs w:val="24"/>
        </w:rPr>
        <w:t>x</w:t>
      </w:r>
      <w:r w:rsidR="005243E0">
        <w:rPr>
          <w:sz w:val="22"/>
          <w:szCs w:val="24"/>
        </w:rPr>
        <w:t> </w:t>
      </w:r>
      <w:r w:rsidR="005B12D8" w:rsidRPr="005B12D8">
        <w:rPr>
          <w:sz w:val="22"/>
          <w:szCs w:val="24"/>
        </w:rPr>
        <w:t>1,</w:t>
      </w:r>
      <w:r w:rsidR="005243E0">
        <w:rPr>
          <w:sz w:val="22"/>
          <w:szCs w:val="24"/>
        </w:rPr>
        <w:t xml:space="preserve"> </w:t>
      </w:r>
      <w:r w:rsidR="005B12D8" w:rsidRPr="005B12D8">
        <w:rPr>
          <w:sz w:val="22"/>
          <w:szCs w:val="24"/>
        </w:rPr>
        <w:t>140</w:t>
      </w:r>
      <w:r w:rsidR="005243E0">
        <w:rPr>
          <w:sz w:val="22"/>
          <w:szCs w:val="24"/>
        </w:rPr>
        <w:t> </w:t>
      </w:r>
      <w:r w:rsidR="005B12D8" w:rsidRPr="005B12D8">
        <w:rPr>
          <w:sz w:val="22"/>
          <w:szCs w:val="24"/>
        </w:rPr>
        <w:t>x</w:t>
      </w:r>
      <w:r w:rsidR="005243E0">
        <w:rPr>
          <w:sz w:val="22"/>
          <w:szCs w:val="24"/>
        </w:rPr>
        <w:t> </w:t>
      </w:r>
      <w:r w:rsidR="005B12D8" w:rsidRPr="005B12D8">
        <w:rPr>
          <w:sz w:val="22"/>
          <w:szCs w:val="24"/>
        </w:rPr>
        <w:t xml:space="preserve">1 </w:t>
      </w:r>
      <w:r w:rsidR="005243E0">
        <w:rPr>
          <w:sz w:val="22"/>
          <w:szCs w:val="24"/>
        </w:rPr>
        <w:t>arba</w:t>
      </w:r>
      <w:r w:rsidR="005B12D8" w:rsidRPr="005B12D8">
        <w:rPr>
          <w:sz w:val="22"/>
          <w:szCs w:val="24"/>
        </w:rPr>
        <w:t xml:space="preserve"> 168</w:t>
      </w:r>
      <w:r w:rsidR="005243E0">
        <w:rPr>
          <w:sz w:val="22"/>
          <w:szCs w:val="24"/>
        </w:rPr>
        <w:t> </w:t>
      </w:r>
      <w:r w:rsidR="005B12D8" w:rsidRPr="005B12D8">
        <w:rPr>
          <w:sz w:val="22"/>
          <w:szCs w:val="24"/>
        </w:rPr>
        <w:t>x</w:t>
      </w:r>
      <w:r w:rsidR="005243E0">
        <w:rPr>
          <w:sz w:val="22"/>
          <w:szCs w:val="24"/>
        </w:rPr>
        <w:t> </w:t>
      </w:r>
      <w:r w:rsidR="005B12D8" w:rsidRPr="005B12D8">
        <w:rPr>
          <w:sz w:val="22"/>
          <w:szCs w:val="24"/>
        </w:rPr>
        <w:t>1 tablet</w:t>
      </w:r>
      <w:r w:rsidR="005243E0">
        <w:rPr>
          <w:sz w:val="22"/>
          <w:szCs w:val="24"/>
        </w:rPr>
        <w:t>ė</w:t>
      </w:r>
      <w:r w:rsidR="005B12D8" w:rsidRPr="005B12D8">
        <w:rPr>
          <w:sz w:val="22"/>
          <w:szCs w:val="24"/>
        </w:rPr>
        <w:t>s.</w:t>
      </w:r>
    </w:p>
    <w:p w14:paraId="0AE8992A" w14:textId="3711FE25" w:rsidR="005B12D8" w:rsidRDefault="005B12D8" w:rsidP="005B12D8">
      <w:pPr>
        <w:rPr>
          <w:sz w:val="22"/>
          <w:szCs w:val="24"/>
        </w:rPr>
      </w:pPr>
    </w:p>
    <w:p w14:paraId="1429252C" w14:textId="6D8B0FC3" w:rsidR="008D3B35" w:rsidRPr="003F564F" w:rsidRDefault="00AB4978" w:rsidP="005B12D8">
      <w:pPr>
        <w:rPr>
          <w:sz w:val="22"/>
          <w:szCs w:val="24"/>
        </w:rPr>
      </w:pPr>
      <w:r w:rsidRPr="003F564F">
        <w:rPr>
          <w:sz w:val="22"/>
          <w:szCs w:val="24"/>
        </w:rPr>
        <w:t>Gali būti tiekiamos ne visų dydžių pakuotės.</w:t>
      </w:r>
    </w:p>
    <w:p w14:paraId="0983D231" w14:textId="77777777" w:rsidR="008D3B35" w:rsidRPr="003F564F" w:rsidRDefault="008D3B35">
      <w:pPr>
        <w:rPr>
          <w:sz w:val="22"/>
          <w:szCs w:val="24"/>
        </w:rPr>
      </w:pPr>
    </w:p>
    <w:p w14:paraId="21236709" w14:textId="2994C1B6" w:rsidR="008D3B35" w:rsidRPr="003F564F" w:rsidRDefault="00AB4978">
      <w:pPr>
        <w:keepNext/>
        <w:tabs>
          <w:tab w:val="left" w:pos="567"/>
        </w:tabs>
        <w:spacing w:line="260" w:lineRule="exact"/>
        <w:jc w:val="both"/>
        <w:outlineLvl w:val="3"/>
        <w:rPr>
          <w:b/>
          <w:bCs/>
          <w:sz w:val="22"/>
          <w:szCs w:val="28"/>
          <w:lang w:eastAsia="x-none"/>
        </w:rPr>
      </w:pPr>
      <w:r w:rsidRPr="003F564F">
        <w:rPr>
          <w:b/>
          <w:bCs/>
          <w:sz w:val="22"/>
          <w:szCs w:val="28"/>
          <w:lang w:eastAsia="x-none"/>
        </w:rPr>
        <w:lastRenderedPageBreak/>
        <w:t>6.6</w:t>
      </w:r>
      <w:r w:rsidRPr="003F564F">
        <w:rPr>
          <w:b/>
          <w:bCs/>
          <w:sz w:val="22"/>
          <w:szCs w:val="28"/>
          <w:lang w:eastAsia="x-none"/>
        </w:rPr>
        <w:tab/>
        <w:t>Specialūs reikalavimai atliekoms tvarkyti</w:t>
      </w:r>
    </w:p>
    <w:p w14:paraId="663497D0" w14:textId="77777777" w:rsidR="008D3B35" w:rsidRPr="003F564F" w:rsidRDefault="008D3B35">
      <w:pPr>
        <w:rPr>
          <w:sz w:val="22"/>
          <w:szCs w:val="24"/>
        </w:rPr>
      </w:pPr>
    </w:p>
    <w:p w14:paraId="71A8F0DC" w14:textId="4AD81D30" w:rsidR="008D3B35" w:rsidRPr="003F564F" w:rsidRDefault="00AB4978">
      <w:pPr>
        <w:rPr>
          <w:sz w:val="22"/>
          <w:szCs w:val="24"/>
        </w:rPr>
      </w:pPr>
      <w:r w:rsidRPr="003F564F">
        <w:rPr>
          <w:sz w:val="22"/>
          <w:szCs w:val="24"/>
        </w:rPr>
        <w:t>Nesuvartotą vaistinį preparatą ar atliekas reikia tvarkyti laikantis vietinių reikalavimų.</w:t>
      </w:r>
    </w:p>
    <w:p w14:paraId="792D0BE0" w14:textId="77777777" w:rsidR="008D3B35" w:rsidRPr="003F564F" w:rsidRDefault="008D3B35">
      <w:pPr>
        <w:rPr>
          <w:sz w:val="22"/>
          <w:szCs w:val="24"/>
        </w:rPr>
      </w:pPr>
    </w:p>
    <w:p w14:paraId="502D8197" w14:textId="77777777" w:rsidR="008D3B35" w:rsidRPr="003F564F" w:rsidRDefault="008D3B35">
      <w:pPr>
        <w:rPr>
          <w:sz w:val="22"/>
          <w:szCs w:val="24"/>
        </w:rPr>
      </w:pPr>
    </w:p>
    <w:p w14:paraId="7CD16960" w14:textId="77777777" w:rsidR="008D3B35" w:rsidRPr="003F564F" w:rsidRDefault="00AB4978">
      <w:pPr>
        <w:keepNext/>
        <w:keepLines/>
        <w:tabs>
          <w:tab w:val="left" w:pos="567"/>
        </w:tabs>
        <w:outlineLvl w:val="2"/>
        <w:rPr>
          <w:b/>
          <w:bCs/>
          <w:sz w:val="22"/>
          <w:szCs w:val="26"/>
          <w:lang w:eastAsia="x-none"/>
        </w:rPr>
      </w:pPr>
      <w:r w:rsidRPr="003F564F">
        <w:rPr>
          <w:b/>
          <w:bCs/>
          <w:sz w:val="22"/>
          <w:szCs w:val="26"/>
          <w:lang w:eastAsia="x-none"/>
        </w:rPr>
        <w:t>7.</w:t>
      </w:r>
      <w:r w:rsidRPr="003F564F">
        <w:rPr>
          <w:b/>
          <w:bCs/>
          <w:sz w:val="22"/>
          <w:szCs w:val="26"/>
          <w:lang w:eastAsia="x-none"/>
        </w:rPr>
        <w:tab/>
        <w:t>REGISTRUOTOJAS</w:t>
      </w:r>
    </w:p>
    <w:p w14:paraId="08C47AD2" w14:textId="77777777" w:rsidR="008D3B35" w:rsidRPr="003F564F" w:rsidRDefault="008D3B35">
      <w:pPr>
        <w:rPr>
          <w:sz w:val="22"/>
          <w:szCs w:val="24"/>
        </w:rPr>
      </w:pPr>
    </w:p>
    <w:p w14:paraId="646C3ED9" w14:textId="77777777" w:rsidR="005243E0" w:rsidRPr="005243E0" w:rsidRDefault="005243E0" w:rsidP="005243E0">
      <w:pPr>
        <w:rPr>
          <w:sz w:val="22"/>
          <w:szCs w:val="24"/>
        </w:rPr>
      </w:pPr>
      <w:proofErr w:type="spellStart"/>
      <w:r w:rsidRPr="005243E0">
        <w:rPr>
          <w:sz w:val="22"/>
          <w:szCs w:val="24"/>
        </w:rPr>
        <w:t>Sandoz</w:t>
      </w:r>
      <w:proofErr w:type="spellEnd"/>
      <w:r w:rsidRPr="005243E0">
        <w:rPr>
          <w:sz w:val="22"/>
          <w:szCs w:val="24"/>
        </w:rPr>
        <w:t xml:space="preserve"> </w:t>
      </w:r>
      <w:proofErr w:type="spellStart"/>
      <w:r w:rsidRPr="005243E0">
        <w:rPr>
          <w:sz w:val="22"/>
          <w:szCs w:val="24"/>
        </w:rPr>
        <w:t>d.d</w:t>
      </w:r>
      <w:proofErr w:type="spellEnd"/>
      <w:r w:rsidRPr="005243E0">
        <w:rPr>
          <w:sz w:val="22"/>
          <w:szCs w:val="24"/>
        </w:rPr>
        <w:t>.</w:t>
      </w:r>
    </w:p>
    <w:p w14:paraId="27B40544" w14:textId="77777777" w:rsidR="005243E0" w:rsidRPr="005243E0" w:rsidRDefault="005243E0" w:rsidP="005243E0">
      <w:pPr>
        <w:rPr>
          <w:sz w:val="22"/>
          <w:szCs w:val="24"/>
        </w:rPr>
      </w:pPr>
      <w:proofErr w:type="spellStart"/>
      <w:r w:rsidRPr="005243E0">
        <w:rPr>
          <w:sz w:val="22"/>
          <w:szCs w:val="24"/>
        </w:rPr>
        <w:t>Verovškova</w:t>
      </w:r>
      <w:proofErr w:type="spellEnd"/>
      <w:r w:rsidRPr="005243E0">
        <w:rPr>
          <w:sz w:val="22"/>
          <w:szCs w:val="24"/>
        </w:rPr>
        <w:t xml:space="preserve"> 57</w:t>
      </w:r>
    </w:p>
    <w:p w14:paraId="403AD3E6" w14:textId="77777777" w:rsidR="005243E0" w:rsidRPr="005243E0" w:rsidRDefault="005243E0" w:rsidP="005243E0">
      <w:pPr>
        <w:rPr>
          <w:sz w:val="22"/>
          <w:szCs w:val="24"/>
        </w:rPr>
      </w:pPr>
      <w:r w:rsidRPr="005243E0">
        <w:rPr>
          <w:sz w:val="22"/>
          <w:szCs w:val="24"/>
        </w:rPr>
        <w:t xml:space="preserve">SI-1000 </w:t>
      </w:r>
      <w:proofErr w:type="spellStart"/>
      <w:r w:rsidRPr="005243E0">
        <w:rPr>
          <w:sz w:val="22"/>
          <w:szCs w:val="24"/>
        </w:rPr>
        <w:t>Ljubljana</w:t>
      </w:r>
      <w:proofErr w:type="spellEnd"/>
      <w:r w:rsidRPr="005243E0">
        <w:rPr>
          <w:sz w:val="22"/>
          <w:szCs w:val="24"/>
        </w:rPr>
        <w:t xml:space="preserve"> </w:t>
      </w:r>
    </w:p>
    <w:p w14:paraId="3BF1BF79" w14:textId="2BE0025C" w:rsidR="008D3B35" w:rsidRDefault="005243E0" w:rsidP="005243E0">
      <w:pPr>
        <w:rPr>
          <w:sz w:val="22"/>
          <w:szCs w:val="24"/>
        </w:rPr>
      </w:pPr>
      <w:r w:rsidRPr="005243E0">
        <w:rPr>
          <w:sz w:val="22"/>
          <w:szCs w:val="24"/>
        </w:rPr>
        <w:t>Slovėnija</w:t>
      </w:r>
    </w:p>
    <w:p w14:paraId="3A0128A2" w14:textId="77777777" w:rsidR="005243E0" w:rsidRPr="003F564F" w:rsidRDefault="005243E0" w:rsidP="005243E0">
      <w:pPr>
        <w:rPr>
          <w:sz w:val="22"/>
          <w:szCs w:val="24"/>
        </w:rPr>
      </w:pPr>
    </w:p>
    <w:p w14:paraId="444B46F8" w14:textId="77777777" w:rsidR="008D3B35" w:rsidRPr="003F564F" w:rsidRDefault="008D3B35">
      <w:pPr>
        <w:rPr>
          <w:sz w:val="22"/>
          <w:szCs w:val="24"/>
        </w:rPr>
      </w:pPr>
    </w:p>
    <w:p w14:paraId="16EE72E9" w14:textId="77777777" w:rsidR="008D3B35" w:rsidRPr="003F564F" w:rsidRDefault="00AB4978">
      <w:pPr>
        <w:keepNext/>
        <w:keepLines/>
        <w:tabs>
          <w:tab w:val="left" w:pos="567"/>
        </w:tabs>
        <w:outlineLvl w:val="2"/>
        <w:rPr>
          <w:b/>
          <w:bCs/>
          <w:sz w:val="22"/>
          <w:szCs w:val="26"/>
          <w:lang w:eastAsia="x-none"/>
        </w:rPr>
      </w:pPr>
      <w:r w:rsidRPr="003F564F">
        <w:rPr>
          <w:b/>
          <w:bCs/>
          <w:sz w:val="22"/>
          <w:szCs w:val="26"/>
          <w:lang w:eastAsia="x-none"/>
        </w:rPr>
        <w:t>8.</w:t>
      </w:r>
      <w:r w:rsidRPr="003F564F">
        <w:rPr>
          <w:b/>
          <w:bCs/>
          <w:sz w:val="22"/>
          <w:szCs w:val="26"/>
          <w:lang w:eastAsia="x-none"/>
        </w:rPr>
        <w:tab/>
        <w:t xml:space="preserve">REGISTRACIJOS </w:t>
      </w:r>
      <w:r w:rsidRPr="003F564F">
        <w:rPr>
          <w:b/>
          <w:bCs/>
          <w:sz w:val="22"/>
          <w:szCs w:val="22"/>
          <w:lang w:eastAsia="x-none"/>
        </w:rPr>
        <w:t>PAŽYMĖJIMO</w:t>
      </w:r>
      <w:r w:rsidRPr="003F564F">
        <w:rPr>
          <w:b/>
          <w:bCs/>
          <w:sz w:val="22"/>
          <w:szCs w:val="26"/>
          <w:lang w:eastAsia="x-none"/>
        </w:rPr>
        <w:t xml:space="preserve"> NUMERIS (-IAI) </w:t>
      </w:r>
    </w:p>
    <w:p w14:paraId="54BB0DD0" w14:textId="77777777" w:rsidR="008D3B35" w:rsidRDefault="008D3B35">
      <w:pPr>
        <w:rPr>
          <w:sz w:val="22"/>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821B6" w14:paraId="3B3C94AB" w14:textId="77777777" w:rsidTr="009821B6">
        <w:tc>
          <w:tcPr>
            <w:tcW w:w="4530" w:type="dxa"/>
          </w:tcPr>
          <w:p w14:paraId="1F5F1574" w14:textId="77777777" w:rsidR="009821B6" w:rsidRPr="009821B6" w:rsidRDefault="009821B6">
            <w:pPr>
              <w:rPr>
                <w:sz w:val="22"/>
                <w:szCs w:val="24"/>
                <w:u w:val="single"/>
              </w:rPr>
            </w:pPr>
            <w:r w:rsidRPr="009821B6">
              <w:rPr>
                <w:sz w:val="22"/>
                <w:szCs w:val="24"/>
                <w:u w:val="single"/>
              </w:rPr>
              <w:t>5 mg</w:t>
            </w:r>
          </w:p>
          <w:p w14:paraId="2A5FD0F9" w14:textId="77777777" w:rsidR="009821B6" w:rsidRPr="009821B6" w:rsidRDefault="009821B6" w:rsidP="009821B6">
            <w:pPr>
              <w:rPr>
                <w:sz w:val="22"/>
                <w:szCs w:val="24"/>
              </w:rPr>
            </w:pPr>
            <w:r w:rsidRPr="009821B6">
              <w:rPr>
                <w:sz w:val="22"/>
                <w:szCs w:val="24"/>
              </w:rPr>
              <w:t>Lizdinė plokštelė:</w:t>
            </w:r>
          </w:p>
          <w:p w14:paraId="38E0B19B" w14:textId="77777777" w:rsidR="009821B6" w:rsidRPr="009821B6" w:rsidRDefault="009821B6" w:rsidP="009821B6">
            <w:pPr>
              <w:rPr>
                <w:sz w:val="22"/>
                <w:szCs w:val="24"/>
              </w:rPr>
            </w:pPr>
            <w:r w:rsidRPr="009821B6">
              <w:rPr>
                <w:sz w:val="22"/>
                <w:szCs w:val="24"/>
              </w:rPr>
              <w:t>LT/1/26/6049/001 – N14</w:t>
            </w:r>
          </w:p>
          <w:p w14:paraId="1F0A5649" w14:textId="77777777" w:rsidR="009821B6" w:rsidRPr="009821B6" w:rsidRDefault="009821B6" w:rsidP="009821B6">
            <w:pPr>
              <w:rPr>
                <w:sz w:val="22"/>
                <w:szCs w:val="24"/>
              </w:rPr>
            </w:pPr>
            <w:r w:rsidRPr="009821B6">
              <w:rPr>
                <w:sz w:val="22"/>
                <w:szCs w:val="24"/>
              </w:rPr>
              <w:t>LT/1/26/6049/002 – N28</w:t>
            </w:r>
          </w:p>
          <w:p w14:paraId="6A9CF33A" w14:textId="77777777" w:rsidR="009821B6" w:rsidRPr="009821B6" w:rsidRDefault="009821B6" w:rsidP="009821B6">
            <w:pPr>
              <w:rPr>
                <w:sz w:val="22"/>
                <w:szCs w:val="24"/>
              </w:rPr>
            </w:pPr>
            <w:r w:rsidRPr="009821B6">
              <w:rPr>
                <w:sz w:val="22"/>
                <w:szCs w:val="24"/>
              </w:rPr>
              <w:t>LT/1/26/6049/003 – N56</w:t>
            </w:r>
          </w:p>
          <w:p w14:paraId="222BE791" w14:textId="77777777" w:rsidR="009821B6" w:rsidRPr="009821B6" w:rsidRDefault="009821B6" w:rsidP="009821B6">
            <w:pPr>
              <w:rPr>
                <w:sz w:val="22"/>
                <w:szCs w:val="24"/>
              </w:rPr>
            </w:pPr>
            <w:r w:rsidRPr="009821B6">
              <w:rPr>
                <w:sz w:val="22"/>
                <w:szCs w:val="24"/>
              </w:rPr>
              <w:t>LT/1/26/6049/004 – N60</w:t>
            </w:r>
          </w:p>
          <w:p w14:paraId="095F63F2" w14:textId="77777777" w:rsidR="009821B6" w:rsidRPr="009821B6" w:rsidRDefault="009821B6" w:rsidP="009821B6">
            <w:pPr>
              <w:rPr>
                <w:sz w:val="22"/>
                <w:szCs w:val="24"/>
              </w:rPr>
            </w:pPr>
            <w:r w:rsidRPr="009821B6">
              <w:rPr>
                <w:sz w:val="22"/>
                <w:szCs w:val="24"/>
              </w:rPr>
              <w:t>LT/1/26/6049/005 – N140</w:t>
            </w:r>
          </w:p>
          <w:p w14:paraId="2B89EC38" w14:textId="77777777" w:rsidR="009821B6" w:rsidRPr="009821B6" w:rsidRDefault="009821B6" w:rsidP="009821B6">
            <w:pPr>
              <w:rPr>
                <w:sz w:val="22"/>
                <w:szCs w:val="24"/>
              </w:rPr>
            </w:pPr>
            <w:r w:rsidRPr="009821B6">
              <w:rPr>
                <w:sz w:val="22"/>
                <w:szCs w:val="24"/>
              </w:rPr>
              <w:t>LT/1/26/6049/006 – N168</w:t>
            </w:r>
          </w:p>
          <w:p w14:paraId="6537E7C0" w14:textId="77777777" w:rsidR="009821B6" w:rsidRPr="009821B6" w:rsidRDefault="009821B6" w:rsidP="009821B6">
            <w:pPr>
              <w:rPr>
                <w:sz w:val="22"/>
                <w:szCs w:val="24"/>
              </w:rPr>
            </w:pPr>
            <w:proofErr w:type="spellStart"/>
            <w:r w:rsidRPr="009821B6">
              <w:rPr>
                <w:sz w:val="22"/>
                <w:szCs w:val="24"/>
              </w:rPr>
              <w:t>Dalomoji</w:t>
            </w:r>
            <w:proofErr w:type="spellEnd"/>
            <w:r w:rsidRPr="009821B6">
              <w:rPr>
                <w:sz w:val="22"/>
                <w:szCs w:val="24"/>
              </w:rPr>
              <w:t xml:space="preserve"> lizdinė plokštelė:</w:t>
            </w:r>
          </w:p>
          <w:p w14:paraId="2CC28E90" w14:textId="77777777" w:rsidR="009821B6" w:rsidRPr="009821B6" w:rsidRDefault="009821B6" w:rsidP="009821B6">
            <w:pPr>
              <w:rPr>
                <w:sz w:val="22"/>
                <w:szCs w:val="24"/>
              </w:rPr>
            </w:pPr>
            <w:r w:rsidRPr="009821B6">
              <w:rPr>
                <w:sz w:val="22"/>
                <w:szCs w:val="24"/>
              </w:rPr>
              <w:t>LT/1/26/6049/007 – N14x1</w:t>
            </w:r>
          </w:p>
          <w:p w14:paraId="3EE3EDAC" w14:textId="77777777" w:rsidR="009821B6" w:rsidRPr="009821B6" w:rsidRDefault="009821B6" w:rsidP="009821B6">
            <w:pPr>
              <w:rPr>
                <w:sz w:val="22"/>
                <w:szCs w:val="24"/>
              </w:rPr>
            </w:pPr>
            <w:r w:rsidRPr="009821B6">
              <w:rPr>
                <w:sz w:val="22"/>
                <w:szCs w:val="24"/>
              </w:rPr>
              <w:t>LT/1/26/6049/008 – N28x1</w:t>
            </w:r>
          </w:p>
          <w:p w14:paraId="4921C4A3" w14:textId="77777777" w:rsidR="009821B6" w:rsidRPr="009821B6" w:rsidRDefault="009821B6" w:rsidP="009821B6">
            <w:pPr>
              <w:rPr>
                <w:sz w:val="22"/>
                <w:szCs w:val="24"/>
              </w:rPr>
            </w:pPr>
            <w:r w:rsidRPr="009821B6">
              <w:rPr>
                <w:sz w:val="22"/>
                <w:szCs w:val="24"/>
              </w:rPr>
              <w:t>LT/1/26/6049/009 – N56x1</w:t>
            </w:r>
          </w:p>
          <w:p w14:paraId="2F81834C" w14:textId="77777777" w:rsidR="009821B6" w:rsidRPr="009821B6" w:rsidRDefault="009821B6" w:rsidP="009821B6">
            <w:pPr>
              <w:rPr>
                <w:sz w:val="22"/>
                <w:szCs w:val="24"/>
              </w:rPr>
            </w:pPr>
            <w:r w:rsidRPr="009821B6">
              <w:rPr>
                <w:sz w:val="22"/>
                <w:szCs w:val="24"/>
              </w:rPr>
              <w:t>LT/1/26/6049/010 – N60x1</w:t>
            </w:r>
          </w:p>
          <w:p w14:paraId="1696CB89" w14:textId="77777777" w:rsidR="009821B6" w:rsidRPr="009821B6" w:rsidRDefault="009821B6" w:rsidP="009821B6">
            <w:pPr>
              <w:rPr>
                <w:sz w:val="22"/>
                <w:szCs w:val="24"/>
              </w:rPr>
            </w:pPr>
            <w:r w:rsidRPr="009821B6">
              <w:rPr>
                <w:sz w:val="22"/>
                <w:szCs w:val="24"/>
              </w:rPr>
              <w:t>LT/1/26/6049/011 – N140x1</w:t>
            </w:r>
          </w:p>
          <w:p w14:paraId="320B00D7" w14:textId="77777777" w:rsidR="009821B6" w:rsidRPr="009821B6" w:rsidRDefault="009821B6" w:rsidP="009821B6">
            <w:pPr>
              <w:rPr>
                <w:sz w:val="22"/>
                <w:szCs w:val="24"/>
              </w:rPr>
            </w:pPr>
            <w:r w:rsidRPr="009821B6">
              <w:rPr>
                <w:sz w:val="22"/>
                <w:szCs w:val="24"/>
              </w:rPr>
              <w:t>LT/1/26/6049/012 – N168x1</w:t>
            </w:r>
          </w:p>
          <w:p w14:paraId="6B2C092D" w14:textId="77777777" w:rsidR="009821B6" w:rsidRPr="009821B6" w:rsidRDefault="009821B6" w:rsidP="009821B6">
            <w:pPr>
              <w:rPr>
                <w:sz w:val="22"/>
                <w:szCs w:val="24"/>
              </w:rPr>
            </w:pPr>
            <w:r w:rsidRPr="009821B6">
              <w:rPr>
                <w:sz w:val="22"/>
                <w:szCs w:val="24"/>
              </w:rPr>
              <w:t>Kalendorinė lizdinė plokštelė:</w:t>
            </w:r>
          </w:p>
          <w:p w14:paraId="1368F1B8" w14:textId="77777777" w:rsidR="009821B6" w:rsidRPr="009821B6" w:rsidRDefault="009821B6" w:rsidP="009821B6">
            <w:pPr>
              <w:rPr>
                <w:sz w:val="22"/>
                <w:szCs w:val="24"/>
              </w:rPr>
            </w:pPr>
            <w:r w:rsidRPr="009821B6">
              <w:rPr>
                <w:sz w:val="22"/>
                <w:szCs w:val="24"/>
              </w:rPr>
              <w:t>LT/1/26/6049/013 – N14</w:t>
            </w:r>
          </w:p>
          <w:p w14:paraId="3C0DE8C0" w14:textId="77777777" w:rsidR="009821B6" w:rsidRPr="009821B6" w:rsidRDefault="009821B6" w:rsidP="009821B6">
            <w:pPr>
              <w:rPr>
                <w:sz w:val="22"/>
                <w:szCs w:val="24"/>
              </w:rPr>
            </w:pPr>
            <w:r w:rsidRPr="009821B6">
              <w:rPr>
                <w:sz w:val="22"/>
                <w:szCs w:val="24"/>
              </w:rPr>
              <w:t>LT/1/26/6049/014 – N28</w:t>
            </w:r>
          </w:p>
          <w:p w14:paraId="7CA6DD78" w14:textId="77777777" w:rsidR="009821B6" w:rsidRPr="009821B6" w:rsidRDefault="009821B6" w:rsidP="009821B6">
            <w:pPr>
              <w:rPr>
                <w:sz w:val="22"/>
                <w:szCs w:val="24"/>
              </w:rPr>
            </w:pPr>
            <w:r w:rsidRPr="009821B6">
              <w:rPr>
                <w:sz w:val="22"/>
                <w:szCs w:val="24"/>
              </w:rPr>
              <w:t>LT/1/26/6049/015 – N56</w:t>
            </w:r>
          </w:p>
          <w:p w14:paraId="288B4EFD" w14:textId="77777777" w:rsidR="009821B6" w:rsidRPr="009821B6" w:rsidRDefault="009821B6" w:rsidP="009821B6">
            <w:pPr>
              <w:rPr>
                <w:sz w:val="22"/>
                <w:szCs w:val="24"/>
              </w:rPr>
            </w:pPr>
            <w:r w:rsidRPr="009821B6">
              <w:rPr>
                <w:sz w:val="22"/>
                <w:szCs w:val="24"/>
              </w:rPr>
              <w:t>LT/1/26/6049/016 – N60</w:t>
            </w:r>
          </w:p>
          <w:p w14:paraId="03620646" w14:textId="77777777" w:rsidR="009821B6" w:rsidRPr="009821B6" w:rsidRDefault="009821B6" w:rsidP="009821B6">
            <w:pPr>
              <w:rPr>
                <w:sz w:val="22"/>
                <w:szCs w:val="24"/>
              </w:rPr>
            </w:pPr>
            <w:r w:rsidRPr="009821B6">
              <w:rPr>
                <w:sz w:val="22"/>
                <w:szCs w:val="24"/>
              </w:rPr>
              <w:t>LT/1/26/6049/017 – N140</w:t>
            </w:r>
          </w:p>
          <w:p w14:paraId="62974E0B" w14:textId="77777777" w:rsidR="009821B6" w:rsidRPr="009821B6" w:rsidRDefault="009821B6" w:rsidP="009821B6">
            <w:pPr>
              <w:rPr>
                <w:sz w:val="22"/>
                <w:szCs w:val="24"/>
              </w:rPr>
            </w:pPr>
            <w:r w:rsidRPr="009821B6">
              <w:rPr>
                <w:sz w:val="22"/>
                <w:szCs w:val="24"/>
              </w:rPr>
              <w:t>LT/1/26/6049/018 – N168</w:t>
            </w:r>
          </w:p>
          <w:p w14:paraId="6199F90D" w14:textId="77777777" w:rsidR="009821B6" w:rsidRPr="009821B6" w:rsidRDefault="009821B6" w:rsidP="009821B6">
            <w:pPr>
              <w:rPr>
                <w:sz w:val="22"/>
                <w:szCs w:val="24"/>
              </w:rPr>
            </w:pPr>
            <w:r w:rsidRPr="009821B6">
              <w:rPr>
                <w:sz w:val="22"/>
                <w:szCs w:val="24"/>
              </w:rPr>
              <w:t xml:space="preserve">Kalendorinė </w:t>
            </w:r>
            <w:proofErr w:type="spellStart"/>
            <w:r w:rsidRPr="009821B6">
              <w:rPr>
                <w:sz w:val="22"/>
                <w:szCs w:val="24"/>
              </w:rPr>
              <w:t>dalomoji</w:t>
            </w:r>
            <w:proofErr w:type="spellEnd"/>
            <w:r w:rsidRPr="009821B6">
              <w:rPr>
                <w:sz w:val="22"/>
                <w:szCs w:val="24"/>
              </w:rPr>
              <w:t xml:space="preserve"> lizdinė plokštelė:</w:t>
            </w:r>
          </w:p>
          <w:p w14:paraId="6AF447A1" w14:textId="77777777" w:rsidR="009821B6" w:rsidRPr="009821B6" w:rsidRDefault="009821B6" w:rsidP="009821B6">
            <w:pPr>
              <w:rPr>
                <w:sz w:val="22"/>
                <w:szCs w:val="24"/>
              </w:rPr>
            </w:pPr>
            <w:r w:rsidRPr="009821B6">
              <w:rPr>
                <w:sz w:val="22"/>
                <w:szCs w:val="24"/>
              </w:rPr>
              <w:t>LT/1/26/6049/019 – N14x1</w:t>
            </w:r>
          </w:p>
          <w:p w14:paraId="386CD882" w14:textId="77777777" w:rsidR="009821B6" w:rsidRPr="009821B6" w:rsidRDefault="009821B6" w:rsidP="009821B6">
            <w:pPr>
              <w:rPr>
                <w:sz w:val="22"/>
                <w:szCs w:val="24"/>
              </w:rPr>
            </w:pPr>
            <w:r w:rsidRPr="009821B6">
              <w:rPr>
                <w:sz w:val="22"/>
                <w:szCs w:val="24"/>
              </w:rPr>
              <w:t>LT/1/26/6049/020 – N28x1</w:t>
            </w:r>
          </w:p>
          <w:p w14:paraId="42BAD828" w14:textId="77777777" w:rsidR="009821B6" w:rsidRPr="009821B6" w:rsidRDefault="009821B6" w:rsidP="009821B6">
            <w:pPr>
              <w:rPr>
                <w:sz w:val="22"/>
                <w:szCs w:val="24"/>
              </w:rPr>
            </w:pPr>
            <w:r w:rsidRPr="009821B6">
              <w:rPr>
                <w:sz w:val="22"/>
                <w:szCs w:val="24"/>
              </w:rPr>
              <w:t>LT/1/26/6049/021 – N56x1</w:t>
            </w:r>
          </w:p>
          <w:p w14:paraId="150343B6" w14:textId="77777777" w:rsidR="009821B6" w:rsidRPr="009821B6" w:rsidRDefault="009821B6" w:rsidP="009821B6">
            <w:pPr>
              <w:rPr>
                <w:sz w:val="22"/>
                <w:szCs w:val="24"/>
              </w:rPr>
            </w:pPr>
            <w:r w:rsidRPr="009821B6">
              <w:rPr>
                <w:sz w:val="22"/>
                <w:szCs w:val="24"/>
              </w:rPr>
              <w:t>LT/1/26/6049/022 – N60x1</w:t>
            </w:r>
          </w:p>
          <w:p w14:paraId="3949540A" w14:textId="77777777" w:rsidR="009821B6" w:rsidRPr="009821B6" w:rsidRDefault="009821B6" w:rsidP="009821B6">
            <w:pPr>
              <w:rPr>
                <w:sz w:val="22"/>
                <w:szCs w:val="24"/>
              </w:rPr>
            </w:pPr>
            <w:r w:rsidRPr="009821B6">
              <w:rPr>
                <w:sz w:val="22"/>
                <w:szCs w:val="24"/>
              </w:rPr>
              <w:t>LT/1/26/6049/023 – N140x1</w:t>
            </w:r>
          </w:p>
          <w:p w14:paraId="7DF94E20" w14:textId="4D29E2F1" w:rsidR="009821B6" w:rsidRDefault="009821B6" w:rsidP="009821B6">
            <w:pPr>
              <w:spacing w:after="120"/>
              <w:rPr>
                <w:sz w:val="22"/>
                <w:szCs w:val="24"/>
              </w:rPr>
            </w:pPr>
            <w:r w:rsidRPr="009821B6">
              <w:rPr>
                <w:sz w:val="22"/>
                <w:szCs w:val="24"/>
              </w:rPr>
              <w:t>LT/1/26/6049/024 – N168x1</w:t>
            </w:r>
          </w:p>
        </w:tc>
        <w:tc>
          <w:tcPr>
            <w:tcW w:w="4530" w:type="dxa"/>
          </w:tcPr>
          <w:p w14:paraId="2F1E9EE3" w14:textId="77777777" w:rsidR="009821B6" w:rsidRPr="009821B6" w:rsidRDefault="009821B6">
            <w:pPr>
              <w:rPr>
                <w:sz w:val="22"/>
                <w:szCs w:val="24"/>
                <w:u w:val="single"/>
              </w:rPr>
            </w:pPr>
            <w:r w:rsidRPr="009821B6">
              <w:rPr>
                <w:sz w:val="22"/>
                <w:szCs w:val="24"/>
                <w:u w:val="single"/>
              </w:rPr>
              <w:t>10 mg</w:t>
            </w:r>
          </w:p>
          <w:p w14:paraId="7B47462C" w14:textId="77777777" w:rsidR="009821B6" w:rsidRPr="009821B6" w:rsidRDefault="009821B6" w:rsidP="009821B6">
            <w:pPr>
              <w:rPr>
                <w:sz w:val="22"/>
                <w:szCs w:val="24"/>
              </w:rPr>
            </w:pPr>
            <w:r w:rsidRPr="009821B6">
              <w:rPr>
                <w:sz w:val="22"/>
                <w:szCs w:val="24"/>
              </w:rPr>
              <w:t>Lizdinė plokštelė:</w:t>
            </w:r>
          </w:p>
          <w:p w14:paraId="785C0D27" w14:textId="77777777" w:rsidR="009821B6" w:rsidRPr="009821B6" w:rsidRDefault="009821B6" w:rsidP="009821B6">
            <w:pPr>
              <w:rPr>
                <w:sz w:val="22"/>
                <w:szCs w:val="24"/>
              </w:rPr>
            </w:pPr>
            <w:r w:rsidRPr="009821B6">
              <w:rPr>
                <w:sz w:val="22"/>
                <w:szCs w:val="24"/>
              </w:rPr>
              <w:t>LT/1/26/6050/001 – N14</w:t>
            </w:r>
          </w:p>
          <w:p w14:paraId="7E718514" w14:textId="77777777" w:rsidR="009821B6" w:rsidRPr="009821B6" w:rsidRDefault="009821B6" w:rsidP="009821B6">
            <w:pPr>
              <w:rPr>
                <w:sz w:val="22"/>
                <w:szCs w:val="24"/>
              </w:rPr>
            </w:pPr>
            <w:r w:rsidRPr="009821B6">
              <w:rPr>
                <w:sz w:val="22"/>
                <w:szCs w:val="24"/>
              </w:rPr>
              <w:t>LT/1/26/6050/002 – N28</w:t>
            </w:r>
          </w:p>
          <w:p w14:paraId="640B5077" w14:textId="77777777" w:rsidR="009821B6" w:rsidRPr="009821B6" w:rsidRDefault="009821B6" w:rsidP="009821B6">
            <w:pPr>
              <w:rPr>
                <w:sz w:val="22"/>
                <w:szCs w:val="24"/>
              </w:rPr>
            </w:pPr>
            <w:r w:rsidRPr="009821B6">
              <w:rPr>
                <w:sz w:val="22"/>
                <w:szCs w:val="24"/>
              </w:rPr>
              <w:t>LT/1/26/6050/003 – N56</w:t>
            </w:r>
          </w:p>
          <w:p w14:paraId="211ADD58" w14:textId="77777777" w:rsidR="009821B6" w:rsidRPr="009821B6" w:rsidRDefault="009821B6" w:rsidP="009821B6">
            <w:pPr>
              <w:rPr>
                <w:sz w:val="22"/>
                <w:szCs w:val="24"/>
              </w:rPr>
            </w:pPr>
            <w:r w:rsidRPr="009821B6">
              <w:rPr>
                <w:sz w:val="22"/>
                <w:szCs w:val="24"/>
              </w:rPr>
              <w:t>LT/1/26/6050/004 – N60</w:t>
            </w:r>
          </w:p>
          <w:p w14:paraId="1EAA32F7" w14:textId="77777777" w:rsidR="009821B6" w:rsidRPr="009821B6" w:rsidRDefault="009821B6" w:rsidP="009821B6">
            <w:pPr>
              <w:rPr>
                <w:sz w:val="22"/>
                <w:szCs w:val="24"/>
              </w:rPr>
            </w:pPr>
            <w:r w:rsidRPr="009821B6">
              <w:rPr>
                <w:sz w:val="22"/>
                <w:szCs w:val="24"/>
              </w:rPr>
              <w:t>LT/1/26/6050/005 – N140</w:t>
            </w:r>
          </w:p>
          <w:p w14:paraId="0271F7D7" w14:textId="77777777" w:rsidR="009821B6" w:rsidRPr="009821B6" w:rsidRDefault="009821B6" w:rsidP="009821B6">
            <w:pPr>
              <w:rPr>
                <w:sz w:val="22"/>
                <w:szCs w:val="24"/>
              </w:rPr>
            </w:pPr>
            <w:r w:rsidRPr="009821B6">
              <w:rPr>
                <w:sz w:val="22"/>
                <w:szCs w:val="24"/>
              </w:rPr>
              <w:t>LT/1/26/6050/006 – N168</w:t>
            </w:r>
          </w:p>
          <w:p w14:paraId="693D98DE" w14:textId="77777777" w:rsidR="009821B6" w:rsidRPr="009821B6" w:rsidRDefault="009821B6" w:rsidP="009821B6">
            <w:pPr>
              <w:rPr>
                <w:sz w:val="22"/>
                <w:szCs w:val="24"/>
              </w:rPr>
            </w:pPr>
            <w:proofErr w:type="spellStart"/>
            <w:r w:rsidRPr="009821B6">
              <w:rPr>
                <w:sz w:val="22"/>
                <w:szCs w:val="24"/>
              </w:rPr>
              <w:t>Dalomoji</w:t>
            </w:r>
            <w:proofErr w:type="spellEnd"/>
            <w:r w:rsidRPr="009821B6">
              <w:rPr>
                <w:sz w:val="22"/>
                <w:szCs w:val="24"/>
              </w:rPr>
              <w:t xml:space="preserve"> lizdinė plokštelė:</w:t>
            </w:r>
          </w:p>
          <w:p w14:paraId="7B1E6B77" w14:textId="77777777" w:rsidR="009821B6" w:rsidRPr="009821B6" w:rsidRDefault="009821B6" w:rsidP="009821B6">
            <w:pPr>
              <w:rPr>
                <w:sz w:val="22"/>
                <w:szCs w:val="24"/>
              </w:rPr>
            </w:pPr>
            <w:r w:rsidRPr="009821B6">
              <w:rPr>
                <w:sz w:val="22"/>
                <w:szCs w:val="24"/>
              </w:rPr>
              <w:t>LT/1/26/6050/007 – N14x1</w:t>
            </w:r>
          </w:p>
          <w:p w14:paraId="590DBDDF" w14:textId="77777777" w:rsidR="009821B6" w:rsidRPr="009821B6" w:rsidRDefault="009821B6" w:rsidP="009821B6">
            <w:pPr>
              <w:rPr>
                <w:sz w:val="22"/>
                <w:szCs w:val="24"/>
              </w:rPr>
            </w:pPr>
            <w:r w:rsidRPr="009821B6">
              <w:rPr>
                <w:sz w:val="22"/>
                <w:szCs w:val="24"/>
              </w:rPr>
              <w:t>LT/1/26/6050/008 – N28x1</w:t>
            </w:r>
          </w:p>
          <w:p w14:paraId="7F3A07C6" w14:textId="77777777" w:rsidR="009821B6" w:rsidRPr="009821B6" w:rsidRDefault="009821B6" w:rsidP="009821B6">
            <w:pPr>
              <w:rPr>
                <w:sz w:val="22"/>
                <w:szCs w:val="24"/>
              </w:rPr>
            </w:pPr>
            <w:r w:rsidRPr="009821B6">
              <w:rPr>
                <w:sz w:val="22"/>
                <w:szCs w:val="24"/>
              </w:rPr>
              <w:t>LT/1/26/6050/009 – N56x1</w:t>
            </w:r>
          </w:p>
          <w:p w14:paraId="7049291E" w14:textId="77777777" w:rsidR="009821B6" w:rsidRPr="009821B6" w:rsidRDefault="009821B6" w:rsidP="009821B6">
            <w:pPr>
              <w:rPr>
                <w:sz w:val="22"/>
                <w:szCs w:val="24"/>
              </w:rPr>
            </w:pPr>
            <w:r w:rsidRPr="009821B6">
              <w:rPr>
                <w:sz w:val="22"/>
                <w:szCs w:val="24"/>
              </w:rPr>
              <w:t>LT/1/26/6050/010 – N60x1</w:t>
            </w:r>
          </w:p>
          <w:p w14:paraId="41BB5D35" w14:textId="77777777" w:rsidR="009821B6" w:rsidRPr="009821B6" w:rsidRDefault="009821B6" w:rsidP="009821B6">
            <w:pPr>
              <w:rPr>
                <w:sz w:val="22"/>
                <w:szCs w:val="24"/>
              </w:rPr>
            </w:pPr>
            <w:r w:rsidRPr="009821B6">
              <w:rPr>
                <w:sz w:val="22"/>
                <w:szCs w:val="24"/>
              </w:rPr>
              <w:t>LT/1/26/6050/011 – N140x1</w:t>
            </w:r>
          </w:p>
          <w:p w14:paraId="4BF39717" w14:textId="77777777" w:rsidR="009821B6" w:rsidRPr="009821B6" w:rsidRDefault="009821B6" w:rsidP="009821B6">
            <w:pPr>
              <w:rPr>
                <w:sz w:val="22"/>
                <w:szCs w:val="24"/>
              </w:rPr>
            </w:pPr>
            <w:r w:rsidRPr="009821B6">
              <w:rPr>
                <w:sz w:val="22"/>
                <w:szCs w:val="24"/>
              </w:rPr>
              <w:t>LT/1/26/6050/012 – N168x1</w:t>
            </w:r>
          </w:p>
          <w:p w14:paraId="5AF82937" w14:textId="77777777" w:rsidR="009821B6" w:rsidRPr="009821B6" w:rsidRDefault="009821B6" w:rsidP="009821B6">
            <w:pPr>
              <w:rPr>
                <w:sz w:val="22"/>
                <w:szCs w:val="24"/>
              </w:rPr>
            </w:pPr>
            <w:r w:rsidRPr="009821B6">
              <w:rPr>
                <w:sz w:val="22"/>
                <w:szCs w:val="24"/>
              </w:rPr>
              <w:t>Kalendorinė lizdinė plokštelė:</w:t>
            </w:r>
          </w:p>
          <w:p w14:paraId="7D521757" w14:textId="77777777" w:rsidR="009821B6" w:rsidRPr="009821B6" w:rsidRDefault="009821B6" w:rsidP="009821B6">
            <w:pPr>
              <w:rPr>
                <w:sz w:val="22"/>
                <w:szCs w:val="24"/>
              </w:rPr>
            </w:pPr>
            <w:r w:rsidRPr="009821B6">
              <w:rPr>
                <w:sz w:val="22"/>
                <w:szCs w:val="24"/>
              </w:rPr>
              <w:t>LT/1/26/6050/013 – N14</w:t>
            </w:r>
          </w:p>
          <w:p w14:paraId="5156682E" w14:textId="77777777" w:rsidR="009821B6" w:rsidRPr="009821B6" w:rsidRDefault="009821B6" w:rsidP="009821B6">
            <w:pPr>
              <w:rPr>
                <w:sz w:val="22"/>
                <w:szCs w:val="24"/>
              </w:rPr>
            </w:pPr>
            <w:r w:rsidRPr="009821B6">
              <w:rPr>
                <w:sz w:val="22"/>
                <w:szCs w:val="24"/>
              </w:rPr>
              <w:t>LT/1/26/6050/014 – N28</w:t>
            </w:r>
          </w:p>
          <w:p w14:paraId="7AE7850C" w14:textId="77777777" w:rsidR="009821B6" w:rsidRPr="009821B6" w:rsidRDefault="009821B6" w:rsidP="009821B6">
            <w:pPr>
              <w:rPr>
                <w:sz w:val="22"/>
                <w:szCs w:val="24"/>
              </w:rPr>
            </w:pPr>
            <w:r w:rsidRPr="009821B6">
              <w:rPr>
                <w:sz w:val="22"/>
                <w:szCs w:val="24"/>
              </w:rPr>
              <w:t>LT/1/26/6050/015 – N56</w:t>
            </w:r>
          </w:p>
          <w:p w14:paraId="1EE8237C" w14:textId="77777777" w:rsidR="009821B6" w:rsidRPr="009821B6" w:rsidRDefault="009821B6" w:rsidP="009821B6">
            <w:pPr>
              <w:rPr>
                <w:sz w:val="22"/>
                <w:szCs w:val="24"/>
              </w:rPr>
            </w:pPr>
            <w:r w:rsidRPr="009821B6">
              <w:rPr>
                <w:sz w:val="22"/>
                <w:szCs w:val="24"/>
              </w:rPr>
              <w:t>LT/1/26/6050/016 – N60</w:t>
            </w:r>
          </w:p>
          <w:p w14:paraId="4AA604EB" w14:textId="77777777" w:rsidR="009821B6" w:rsidRPr="009821B6" w:rsidRDefault="009821B6" w:rsidP="009821B6">
            <w:pPr>
              <w:rPr>
                <w:sz w:val="22"/>
                <w:szCs w:val="24"/>
              </w:rPr>
            </w:pPr>
            <w:r w:rsidRPr="009821B6">
              <w:rPr>
                <w:sz w:val="22"/>
                <w:szCs w:val="24"/>
              </w:rPr>
              <w:t>LT/1/26/6050/017 – N140</w:t>
            </w:r>
          </w:p>
          <w:p w14:paraId="5E17800A" w14:textId="77777777" w:rsidR="009821B6" w:rsidRPr="009821B6" w:rsidRDefault="009821B6" w:rsidP="009821B6">
            <w:pPr>
              <w:rPr>
                <w:sz w:val="22"/>
                <w:szCs w:val="24"/>
              </w:rPr>
            </w:pPr>
            <w:r w:rsidRPr="009821B6">
              <w:rPr>
                <w:sz w:val="22"/>
                <w:szCs w:val="24"/>
              </w:rPr>
              <w:t>LT/1/26/6050/018 – N168</w:t>
            </w:r>
          </w:p>
          <w:p w14:paraId="4697E336" w14:textId="77777777" w:rsidR="009821B6" w:rsidRPr="009821B6" w:rsidRDefault="009821B6" w:rsidP="009821B6">
            <w:pPr>
              <w:rPr>
                <w:sz w:val="22"/>
                <w:szCs w:val="24"/>
              </w:rPr>
            </w:pPr>
            <w:r w:rsidRPr="009821B6">
              <w:rPr>
                <w:sz w:val="22"/>
                <w:szCs w:val="24"/>
              </w:rPr>
              <w:t xml:space="preserve">Kalendorinė </w:t>
            </w:r>
            <w:proofErr w:type="spellStart"/>
            <w:r w:rsidRPr="009821B6">
              <w:rPr>
                <w:sz w:val="22"/>
                <w:szCs w:val="24"/>
              </w:rPr>
              <w:t>dalomoji</w:t>
            </w:r>
            <w:proofErr w:type="spellEnd"/>
            <w:r w:rsidRPr="009821B6">
              <w:rPr>
                <w:sz w:val="22"/>
                <w:szCs w:val="24"/>
              </w:rPr>
              <w:t xml:space="preserve"> lizdinė plokštelė:</w:t>
            </w:r>
          </w:p>
          <w:p w14:paraId="4BF477D1" w14:textId="77777777" w:rsidR="009821B6" w:rsidRPr="009821B6" w:rsidRDefault="009821B6" w:rsidP="009821B6">
            <w:pPr>
              <w:rPr>
                <w:sz w:val="22"/>
                <w:szCs w:val="24"/>
              </w:rPr>
            </w:pPr>
            <w:r w:rsidRPr="009821B6">
              <w:rPr>
                <w:sz w:val="22"/>
                <w:szCs w:val="24"/>
              </w:rPr>
              <w:t>LT/1/26/6050/019 – N14x1</w:t>
            </w:r>
          </w:p>
          <w:p w14:paraId="7CA567A9" w14:textId="77777777" w:rsidR="009821B6" w:rsidRPr="009821B6" w:rsidRDefault="009821B6" w:rsidP="009821B6">
            <w:pPr>
              <w:rPr>
                <w:sz w:val="22"/>
                <w:szCs w:val="24"/>
              </w:rPr>
            </w:pPr>
            <w:r w:rsidRPr="009821B6">
              <w:rPr>
                <w:sz w:val="22"/>
                <w:szCs w:val="24"/>
              </w:rPr>
              <w:t>LT/1/26/6050/020 – N28x1</w:t>
            </w:r>
          </w:p>
          <w:p w14:paraId="7086BD52" w14:textId="77777777" w:rsidR="009821B6" w:rsidRPr="009821B6" w:rsidRDefault="009821B6" w:rsidP="009821B6">
            <w:pPr>
              <w:rPr>
                <w:sz w:val="22"/>
                <w:szCs w:val="24"/>
              </w:rPr>
            </w:pPr>
            <w:r w:rsidRPr="009821B6">
              <w:rPr>
                <w:sz w:val="22"/>
                <w:szCs w:val="24"/>
              </w:rPr>
              <w:t>LT/1/26/6050/021 – N56x1</w:t>
            </w:r>
          </w:p>
          <w:p w14:paraId="7C19E799" w14:textId="77777777" w:rsidR="009821B6" w:rsidRPr="009821B6" w:rsidRDefault="009821B6" w:rsidP="009821B6">
            <w:pPr>
              <w:rPr>
                <w:sz w:val="22"/>
                <w:szCs w:val="24"/>
              </w:rPr>
            </w:pPr>
            <w:r w:rsidRPr="009821B6">
              <w:rPr>
                <w:sz w:val="22"/>
                <w:szCs w:val="24"/>
              </w:rPr>
              <w:t>LT/1/26/6050/022 – N60x1</w:t>
            </w:r>
          </w:p>
          <w:p w14:paraId="08D6DFAE" w14:textId="77777777" w:rsidR="009821B6" w:rsidRPr="009821B6" w:rsidRDefault="009821B6" w:rsidP="009821B6">
            <w:pPr>
              <w:rPr>
                <w:sz w:val="22"/>
                <w:szCs w:val="24"/>
              </w:rPr>
            </w:pPr>
            <w:r w:rsidRPr="009821B6">
              <w:rPr>
                <w:sz w:val="22"/>
                <w:szCs w:val="24"/>
              </w:rPr>
              <w:t>LT/1/26/6050/023 – N140x1</w:t>
            </w:r>
          </w:p>
          <w:p w14:paraId="60370EB8" w14:textId="364FDCDF" w:rsidR="009821B6" w:rsidRDefault="009821B6" w:rsidP="009821B6">
            <w:pPr>
              <w:rPr>
                <w:sz w:val="22"/>
                <w:szCs w:val="24"/>
              </w:rPr>
            </w:pPr>
            <w:r w:rsidRPr="009821B6">
              <w:rPr>
                <w:sz w:val="22"/>
                <w:szCs w:val="24"/>
              </w:rPr>
              <w:t>LT/1/26/6050/024 – N168x1</w:t>
            </w:r>
          </w:p>
        </w:tc>
      </w:tr>
      <w:tr w:rsidR="009821B6" w14:paraId="463CB1AF" w14:textId="77777777" w:rsidTr="009821B6">
        <w:tc>
          <w:tcPr>
            <w:tcW w:w="4530" w:type="dxa"/>
          </w:tcPr>
          <w:p w14:paraId="70C8B2DC" w14:textId="77777777" w:rsidR="009821B6" w:rsidRPr="009821B6" w:rsidRDefault="009821B6">
            <w:pPr>
              <w:rPr>
                <w:sz w:val="22"/>
                <w:szCs w:val="24"/>
                <w:u w:val="single"/>
              </w:rPr>
            </w:pPr>
            <w:r w:rsidRPr="009821B6">
              <w:rPr>
                <w:sz w:val="22"/>
                <w:szCs w:val="24"/>
                <w:u w:val="single"/>
              </w:rPr>
              <w:t>15 mg</w:t>
            </w:r>
          </w:p>
          <w:p w14:paraId="0E9EB14F" w14:textId="77777777" w:rsidR="009821B6" w:rsidRPr="009821B6" w:rsidRDefault="009821B6" w:rsidP="009821B6">
            <w:pPr>
              <w:rPr>
                <w:sz w:val="22"/>
                <w:szCs w:val="24"/>
              </w:rPr>
            </w:pPr>
            <w:r w:rsidRPr="009821B6">
              <w:rPr>
                <w:sz w:val="22"/>
                <w:szCs w:val="24"/>
              </w:rPr>
              <w:t>Lizdinė plokštelė:</w:t>
            </w:r>
          </w:p>
          <w:p w14:paraId="7904D9B8" w14:textId="77777777" w:rsidR="009821B6" w:rsidRPr="009821B6" w:rsidRDefault="009821B6" w:rsidP="009821B6">
            <w:pPr>
              <w:rPr>
                <w:sz w:val="22"/>
                <w:szCs w:val="24"/>
              </w:rPr>
            </w:pPr>
            <w:r w:rsidRPr="009821B6">
              <w:rPr>
                <w:sz w:val="22"/>
                <w:szCs w:val="24"/>
              </w:rPr>
              <w:t>LT/1/26/6051/001 – N14</w:t>
            </w:r>
          </w:p>
          <w:p w14:paraId="4A21669F" w14:textId="77777777" w:rsidR="009821B6" w:rsidRPr="009821B6" w:rsidRDefault="009821B6" w:rsidP="009821B6">
            <w:pPr>
              <w:rPr>
                <w:sz w:val="22"/>
                <w:szCs w:val="24"/>
              </w:rPr>
            </w:pPr>
            <w:r w:rsidRPr="009821B6">
              <w:rPr>
                <w:sz w:val="22"/>
                <w:szCs w:val="24"/>
              </w:rPr>
              <w:t>LT/1/26/6051/002 – N28</w:t>
            </w:r>
          </w:p>
          <w:p w14:paraId="7E6AC87C" w14:textId="77777777" w:rsidR="009821B6" w:rsidRPr="009821B6" w:rsidRDefault="009821B6" w:rsidP="009821B6">
            <w:pPr>
              <w:rPr>
                <w:sz w:val="22"/>
                <w:szCs w:val="24"/>
              </w:rPr>
            </w:pPr>
            <w:r w:rsidRPr="009821B6">
              <w:rPr>
                <w:sz w:val="22"/>
                <w:szCs w:val="24"/>
              </w:rPr>
              <w:t>LT/1/26/6051/003 – N56</w:t>
            </w:r>
          </w:p>
          <w:p w14:paraId="619A3E5F" w14:textId="77777777" w:rsidR="009821B6" w:rsidRPr="009821B6" w:rsidRDefault="009821B6" w:rsidP="009821B6">
            <w:pPr>
              <w:rPr>
                <w:sz w:val="22"/>
                <w:szCs w:val="24"/>
              </w:rPr>
            </w:pPr>
            <w:r w:rsidRPr="009821B6">
              <w:rPr>
                <w:sz w:val="22"/>
                <w:szCs w:val="24"/>
              </w:rPr>
              <w:t>LT/1/26/6051/004 – N60</w:t>
            </w:r>
          </w:p>
          <w:p w14:paraId="7557B021" w14:textId="77777777" w:rsidR="009821B6" w:rsidRPr="009821B6" w:rsidRDefault="009821B6" w:rsidP="009821B6">
            <w:pPr>
              <w:rPr>
                <w:sz w:val="22"/>
                <w:szCs w:val="24"/>
              </w:rPr>
            </w:pPr>
            <w:r w:rsidRPr="009821B6">
              <w:rPr>
                <w:sz w:val="22"/>
                <w:szCs w:val="24"/>
              </w:rPr>
              <w:t>LT/1/26/6051/005 – N140</w:t>
            </w:r>
          </w:p>
          <w:p w14:paraId="400CD83A" w14:textId="77777777" w:rsidR="009821B6" w:rsidRPr="009821B6" w:rsidRDefault="009821B6" w:rsidP="009821B6">
            <w:pPr>
              <w:rPr>
                <w:sz w:val="22"/>
                <w:szCs w:val="24"/>
              </w:rPr>
            </w:pPr>
            <w:r w:rsidRPr="009821B6">
              <w:rPr>
                <w:sz w:val="22"/>
                <w:szCs w:val="24"/>
              </w:rPr>
              <w:t>LT/1/26/6051/006 – N168</w:t>
            </w:r>
          </w:p>
          <w:p w14:paraId="47CFF4D3" w14:textId="77777777" w:rsidR="009821B6" w:rsidRPr="009821B6" w:rsidRDefault="009821B6" w:rsidP="009821B6">
            <w:pPr>
              <w:rPr>
                <w:sz w:val="22"/>
                <w:szCs w:val="24"/>
              </w:rPr>
            </w:pPr>
            <w:proofErr w:type="spellStart"/>
            <w:r w:rsidRPr="009821B6">
              <w:rPr>
                <w:sz w:val="22"/>
                <w:szCs w:val="24"/>
              </w:rPr>
              <w:t>Dalomoji</w:t>
            </w:r>
            <w:proofErr w:type="spellEnd"/>
            <w:r w:rsidRPr="009821B6">
              <w:rPr>
                <w:sz w:val="22"/>
                <w:szCs w:val="24"/>
              </w:rPr>
              <w:t xml:space="preserve"> lizdinė plokštelė:</w:t>
            </w:r>
          </w:p>
          <w:p w14:paraId="0FF00EA2" w14:textId="77777777" w:rsidR="009821B6" w:rsidRPr="009821B6" w:rsidRDefault="009821B6" w:rsidP="009821B6">
            <w:pPr>
              <w:rPr>
                <w:sz w:val="22"/>
                <w:szCs w:val="24"/>
              </w:rPr>
            </w:pPr>
            <w:r w:rsidRPr="009821B6">
              <w:rPr>
                <w:sz w:val="22"/>
                <w:szCs w:val="24"/>
              </w:rPr>
              <w:t>LT/1/26/6051/007 – N14x1</w:t>
            </w:r>
          </w:p>
          <w:p w14:paraId="076E1760" w14:textId="77777777" w:rsidR="009821B6" w:rsidRPr="009821B6" w:rsidRDefault="009821B6" w:rsidP="009821B6">
            <w:pPr>
              <w:rPr>
                <w:sz w:val="22"/>
                <w:szCs w:val="24"/>
              </w:rPr>
            </w:pPr>
            <w:r w:rsidRPr="009821B6">
              <w:rPr>
                <w:sz w:val="22"/>
                <w:szCs w:val="24"/>
              </w:rPr>
              <w:t>LT/1/26/6051/008 – N28x1</w:t>
            </w:r>
          </w:p>
          <w:p w14:paraId="25836C08" w14:textId="77777777" w:rsidR="009821B6" w:rsidRPr="009821B6" w:rsidRDefault="009821B6" w:rsidP="009821B6">
            <w:pPr>
              <w:rPr>
                <w:sz w:val="22"/>
                <w:szCs w:val="24"/>
              </w:rPr>
            </w:pPr>
            <w:r w:rsidRPr="009821B6">
              <w:rPr>
                <w:sz w:val="22"/>
                <w:szCs w:val="24"/>
              </w:rPr>
              <w:t>LT/1/26/6051/009 – N56x1</w:t>
            </w:r>
          </w:p>
          <w:p w14:paraId="3DD4448D" w14:textId="77777777" w:rsidR="009821B6" w:rsidRPr="009821B6" w:rsidRDefault="009821B6" w:rsidP="009821B6">
            <w:pPr>
              <w:rPr>
                <w:sz w:val="22"/>
                <w:szCs w:val="24"/>
              </w:rPr>
            </w:pPr>
            <w:r w:rsidRPr="009821B6">
              <w:rPr>
                <w:sz w:val="22"/>
                <w:szCs w:val="24"/>
              </w:rPr>
              <w:lastRenderedPageBreak/>
              <w:t>LT/1/26/6051/010 – N60x1</w:t>
            </w:r>
          </w:p>
          <w:p w14:paraId="1356A04E" w14:textId="77777777" w:rsidR="009821B6" w:rsidRPr="009821B6" w:rsidRDefault="009821B6" w:rsidP="009821B6">
            <w:pPr>
              <w:rPr>
                <w:sz w:val="22"/>
                <w:szCs w:val="24"/>
              </w:rPr>
            </w:pPr>
            <w:r w:rsidRPr="009821B6">
              <w:rPr>
                <w:sz w:val="22"/>
                <w:szCs w:val="24"/>
              </w:rPr>
              <w:t>LT/1/26/6051/011 – N140x1</w:t>
            </w:r>
          </w:p>
          <w:p w14:paraId="7D5083F5" w14:textId="77777777" w:rsidR="009821B6" w:rsidRPr="009821B6" w:rsidRDefault="009821B6" w:rsidP="009821B6">
            <w:pPr>
              <w:rPr>
                <w:sz w:val="22"/>
                <w:szCs w:val="24"/>
              </w:rPr>
            </w:pPr>
            <w:r w:rsidRPr="009821B6">
              <w:rPr>
                <w:sz w:val="22"/>
                <w:szCs w:val="24"/>
              </w:rPr>
              <w:t>LT/1/26/6051/012 – N168x1</w:t>
            </w:r>
          </w:p>
          <w:p w14:paraId="14E353FB" w14:textId="77777777" w:rsidR="009821B6" w:rsidRPr="009821B6" w:rsidRDefault="009821B6" w:rsidP="009821B6">
            <w:pPr>
              <w:rPr>
                <w:sz w:val="22"/>
                <w:szCs w:val="24"/>
              </w:rPr>
            </w:pPr>
            <w:r w:rsidRPr="009821B6">
              <w:rPr>
                <w:sz w:val="22"/>
                <w:szCs w:val="24"/>
              </w:rPr>
              <w:t>Kalendorinė lizdinė plokštelė:</w:t>
            </w:r>
          </w:p>
          <w:p w14:paraId="70196EF7" w14:textId="77777777" w:rsidR="009821B6" w:rsidRPr="009821B6" w:rsidRDefault="009821B6" w:rsidP="009821B6">
            <w:pPr>
              <w:rPr>
                <w:sz w:val="22"/>
                <w:szCs w:val="24"/>
              </w:rPr>
            </w:pPr>
            <w:r w:rsidRPr="009821B6">
              <w:rPr>
                <w:sz w:val="22"/>
                <w:szCs w:val="24"/>
              </w:rPr>
              <w:t>LT/1/26/6051/013 – N14</w:t>
            </w:r>
          </w:p>
          <w:p w14:paraId="1AC2EF12" w14:textId="77777777" w:rsidR="009821B6" w:rsidRPr="009821B6" w:rsidRDefault="009821B6" w:rsidP="009821B6">
            <w:pPr>
              <w:rPr>
                <w:sz w:val="22"/>
                <w:szCs w:val="24"/>
              </w:rPr>
            </w:pPr>
            <w:r w:rsidRPr="009821B6">
              <w:rPr>
                <w:sz w:val="22"/>
                <w:szCs w:val="24"/>
              </w:rPr>
              <w:t>LT/1/26/6051/014 – N28</w:t>
            </w:r>
          </w:p>
          <w:p w14:paraId="435A4A66" w14:textId="77777777" w:rsidR="009821B6" w:rsidRPr="009821B6" w:rsidRDefault="009821B6" w:rsidP="009821B6">
            <w:pPr>
              <w:rPr>
                <w:sz w:val="22"/>
                <w:szCs w:val="24"/>
              </w:rPr>
            </w:pPr>
            <w:r w:rsidRPr="009821B6">
              <w:rPr>
                <w:sz w:val="22"/>
                <w:szCs w:val="24"/>
              </w:rPr>
              <w:t>LT/1/26/6051/015 – N56</w:t>
            </w:r>
          </w:p>
          <w:p w14:paraId="79E5021E" w14:textId="77777777" w:rsidR="009821B6" w:rsidRPr="009821B6" w:rsidRDefault="009821B6" w:rsidP="009821B6">
            <w:pPr>
              <w:rPr>
                <w:sz w:val="22"/>
                <w:szCs w:val="24"/>
              </w:rPr>
            </w:pPr>
            <w:r w:rsidRPr="009821B6">
              <w:rPr>
                <w:sz w:val="22"/>
                <w:szCs w:val="24"/>
              </w:rPr>
              <w:t>LT/1/26/6051/016 – N60</w:t>
            </w:r>
          </w:p>
          <w:p w14:paraId="618F3BA6" w14:textId="77777777" w:rsidR="009821B6" w:rsidRPr="009821B6" w:rsidRDefault="009821B6" w:rsidP="009821B6">
            <w:pPr>
              <w:rPr>
                <w:sz w:val="22"/>
                <w:szCs w:val="24"/>
              </w:rPr>
            </w:pPr>
            <w:r w:rsidRPr="009821B6">
              <w:rPr>
                <w:sz w:val="22"/>
                <w:szCs w:val="24"/>
              </w:rPr>
              <w:t>LT/1/26/6051/017 – N140</w:t>
            </w:r>
          </w:p>
          <w:p w14:paraId="4EF027CB" w14:textId="77777777" w:rsidR="009821B6" w:rsidRPr="009821B6" w:rsidRDefault="009821B6" w:rsidP="009821B6">
            <w:pPr>
              <w:rPr>
                <w:sz w:val="22"/>
                <w:szCs w:val="24"/>
              </w:rPr>
            </w:pPr>
            <w:r w:rsidRPr="009821B6">
              <w:rPr>
                <w:sz w:val="22"/>
                <w:szCs w:val="24"/>
              </w:rPr>
              <w:t>LT/1/26/6051/018 – N168</w:t>
            </w:r>
          </w:p>
          <w:p w14:paraId="6E338470" w14:textId="77777777" w:rsidR="009821B6" w:rsidRPr="009821B6" w:rsidRDefault="009821B6" w:rsidP="009821B6">
            <w:pPr>
              <w:rPr>
                <w:sz w:val="22"/>
                <w:szCs w:val="24"/>
              </w:rPr>
            </w:pPr>
            <w:r w:rsidRPr="009821B6">
              <w:rPr>
                <w:sz w:val="22"/>
                <w:szCs w:val="24"/>
              </w:rPr>
              <w:t xml:space="preserve">Kalendorinė </w:t>
            </w:r>
            <w:proofErr w:type="spellStart"/>
            <w:r w:rsidRPr="009821B6">
              <w:rPr>
                <w:sz w:val="22"/>
                <w:szCs w:val="24"/>
              </w:rPr>
              <w:t>dalomoji</w:t>
            </w:r>
            <w:proofErr w:type="spellEnd"/>
            <w:r w:rsidRPr="009821B6">
              <w:rPr>
                <w:sz w:val="22"/>
                <w:szCs w:val="24"/>
              </w:rPr>
              <w:t xml:space="preserve"> lizdinė plokštelė:</w:t>
            </w:r>
          </w:p>
          <w:p w14:paraId="496CB9E4" w14:textId="77777777" w:rsidR="009821B6" w:rsidRPr="009821B6" w:rsidRDefault="009821B6" w:rsidP="009821B6">
            <w:pPr>
              <w:rPr>
                <w:sz w:val="22"/>
                <w:szCs w:val="24"/>
              </w:rPr>
            </w:pPr>
            <w:r w:rsidRPr="009821B6">
              <w:rPr>
                <w:sz w:val="22"/>
                <w:szCs w:val="24"/>
              </w:rPr>
              <w:t>LT/1/26/6051/019 – N14x1</w:t>
            </w:r>
          </w:p>
          <w:p w14:paraId="6B244DBF" w14:textId="77777777" w:rsidR="009821B6" w:rsidRPr="009821B6" w:rsidRDefault="009821B6" w:rsidP="009821B6">
            <w:pPr>
              <w:rPr>
                <w:sz w:val="22"/>
                <w:szCs w:val="24"/>
              </w:rPr>
            </w:pPr>
            <w:r w:rsidRPr="009821B6">
              <w:rPr>
                <w:sz w:val="22"/>
                <w:szCs w:val="24"/>
              </w:rPr>
              <w:t>LT/1/26/6051/020 – N28x1</w:t>
            </w:r>
          </w:p>
          <w:p w14:paraId="6AC78422" w14:textId="77777777" w:rsidR="009821B6" w:rsidRPr="009821B6" w:rsidRDefault="009821B6" w:rsidP="009821B6">
            <w:pPr>
              <w:rPr>
                <w:sz w:val="22"/>
                <w:szCs w:val="24"/>
              </w:rPr>
            </w:pPr>
            <w:r w:rsidRPr="009821B6">
              <w:rPr>
                <w:sz w:val="22"/>
                <w:szCs w:val="24"/>
              </w:rPr>
              <w:t>LT/1/26/6051/021 – N56x1</w:t>
            </w:r>
          </w:p>
          <w:p w14:paraId="0324EDFD" w14:textId="77777777" w:rsidR="009821B6" w:rsidRPr="009821B6" w:rsidRDefault="009821B6" w:rsidP="009821B6">
            <w:pPr>
              <w:rPr>
                <w:sz w:val="22"/>
                <w:szCs w:val="24"/>
              </w:rPr>
            </w:pPr>
            <w:r w:rsidRPr="009821B6">
              <w:rPr>
                <w:sz w:val="22"/>
                <w:szCs w:val="24"/>
              </w:rPr>
              <w:t>LT/1/26/6051/022 – N60x1</w:t>
            </w:r>
          </w:p>
          <w:p w14:paraId="3ACAAA19" w14:textId="77777777" w:rsidR="009821B6" w:rsidRPr="009821B6" w:rsidRDefault="009821B6" w:rsidP="009821B6">
            <w:pPr>
              <w:rPr>
                <w:sz w:val="22"/>
                <w:szCs w:val="24"/>
              </w:rPr>
            </w:pPr>
            <w:r w:rsidRPr="009821B6">
              <w:rPr>
                <w:sz w:val="22"/>
                <w:szCs w:val="24"/>
              </w:rPr>
              <w:t>LT/1/26/6051/023 – N140x1</w:t>
            </w:r>
          </w:p>
          <w:p w14:paraId="1E202636" w14:textId="0BEC5ADA" w:rsidR="009821B6" w:rsidRDefault="009821B6" w:rsidP="009821B6">
            <w:pPr>
              <w:rPr>
                <w:sz w:val="22"/>
                <w:szCs w:val="24"/>
              </w:rPr>
            </w:pPr>
            <w:r w:rsidRPr="009821B6">
              <w:rPr>
                <w:sz w:val="22"/>
                <w:szCs w:val="24"/>
              </w:rPr>
              <w:t>LT/1/26/6051/024 – N168x1</w:t>
            </w:r>
          </w:p>
        </w:tc>
        <w:tc>
          <w:tcPr>
            <w:tcW w:w="4530" w:type="dxa"/>
          </w:tcPr>
          <w:p w14:paraId="33B77AF9" w14:textId="77777777" w:rsidR="009821B6" w:rsidRPr="009821B6" w:rsidRDefault="009821B6">
            <w:pPr>
              <w:rPr>
                <w:sz w:val="22"/>
                <w:szCs w:val="24"/>
                <w:u w:val="single"/>
              </w:rPr>
            </w:pPr>
            <w:r w:rsidRPr="009821B6">
              <w:rPr>
                <w:sz w:val="22"/>
                <w:szCs w:val="24"/>
                <w:u w:val="single"/>
              </w:rPr>
              <w:lastRenderedPageBreak/>
              <w:t>20 mg</w:t>
            </w:r>
          </w:p>
          <w:p w14:paraId="383D39A6" w14:textId="77777777" w:rsidR="009821B6" w:rsidRPr="009821B6" w:rsidRDefault="009821B6" w:rsidP="009821B6">
            <w:pPr>
              <w:rPr>
                <w:sz w:val="22"/>
                <w:szCs w:val="24"/>
              </w:rPr>
            </w:pPr>
            <w:r w:rsidRPr="009821B6">
              <w:rPr>
                <w:sz w:val="22"/>
                <w:szCs w:val="24"/>
              </w:rPr>
              <w:t>Lizdinė plokštelė:</w:t>
            </w:r>
          </w:p>
          <w:p w14:paraId="1FD978D0" w14:textId="77777777" w:rsidR="009821B6" w:rsidRPr="009821B6" w:rsidRDefault="009821B6" w:rsidP="009821B6">
            <w:pPr>
              <w:rPr>
                <w:sz w:val="22"/>
                <w:szCs w:val="24"/>
              </w:rPr>
            </w:pPr>
            <w:r w:rsidRPr="009821B6">
              <w:rPr>
                <w:sz w:val="22"/>
                <w:szCs w:val="24"/>
              </w:rPr>
              <w:t>LT/1/26/6052/001 – N14</w:t>
            </w:r>
          </w:p>
          <w:p w14:paraId="74FC7F6D" w14:textId="77777777" w:rsidR="009821B6" w:rsidRPr="009821B6" w:rsidRDefault="009821B6" w:rsidP="009821B6">
            <w:pPr>
              <w:rPr>
                <w:sz w:val="22"/>
                <w:szCs w:val="24"/>
              </w:rPr>
            </w:pPr>
            <w:r w:rsidRPr="009821B6">
              <w:rPr>
                <w:sz w:val="22"/>
                <w:szCs w:val="24"/>
              </w:rPr>
              <w:t>LT/1/26/6052/002 – N28</w:t>
            </w:r>
          </w:p>
          <w:p w14:paraId="15B17DD3" w14:textId="77777777" w:rsidR="009821B6" w:rsidRPr="009821B6" w:rsidRDefault="009821B6" w:rsidP="009821B6">
            <w:pPr>
              <w:rPr>
                <w:sz w:val="22"/>
                <w:szCs w:val="24"/>
              </w:rPr>
            </w:pPr>
            <w:r w:rsidRPr="009821B6">
              <w:rPr>
                <w:sz w:val="22"/>
                <w:szCs w:val="24"/>
              </w:rPr>
              <w:t>LT/1/26/6052/003 – N56</w:t>
            </w:r>
          </w:p>
          <w:p w14:paraId="5534B9A1" w14:textId="77777777" w:rsidR="009821B6" w:rsidRPr="009821B6" w:rsidRDefault="009821B6" w:rsidP="009821B6">
            <w:pPr>
              <w:rPr>
                <w:sz w:val="22"/>
                <w:szCs w:val="24"/>
              </w:rPr>
            </w:pPr>
            <w:r w:rsidRPr="009821B6">
              <w:rPr>
                <w:sz w:val="22"/>
                <w:szCs w:val="24"/>
              </w:rPr>
              <w:t>LT/1/26/6052/004 – N60</w:t>
            </w:r>
          </w:p>
          <w:p w14:paraId="62C2353F" w14:textId="77777777" w:rsidR="009821B6" w:rsidRPr="009821B6" w:rsidRDefault="009821B6" w:rsidP="009821B6">
            <w:pPr>
              <w:rPr>
                <w:sz w:val="22"/>
                <w:szCs w:val="24"/>
              </w:rPr>
            </w:pPr>
            <w:r w:rsidRPr="009821B6">
              <w:rPr>
                <w:sz w:val="22"/>
                <w:szCs w:val="24"/>
              </w:rPr>
              <w:t>LT/1/26/6052/005 – N140</w:t>
            </w:r>
          </w:p>
          <w:p w14:paraId="4F8190F8" w14:textId="77777777" w:rsidR="009821B6" w:rsidRPr="009821B6" w:rsidRDefault="009821B6" w:rsidP="009821B6">
            <w:pPr>
              <w:rPr>
                <w:sz w:val="22"/>
                <w:szCs w:val="24"/>
              </w:rPr>
            </w:pPr>
            <w:r w:rsidRPr="009821B6">
              <w:rPr>
                <w:sz w:val="22"/>
                <w:szCs w:val="24"/>
              </w:rPr>
              <w:t>LT/1/26/6052/006 – N168</w:t>
            </w:r>
          </w:p>
          <w:p w14:paraId="38A36731" w14:textId="77777777" w:rsidR="009821B6" w:rsidRPr="009821B6" w:rsidRDefault="009821B6" w:rsidP="009821B6">
            <w:pPr>
              <w:rPr>
                <w:sz w:val="22"/>
                <w:szCs w:val="24"/>
              </w:rPr>
            </w:pPr>
            <w:proofErr w:type="spellStart"/>
            <w:r w:rsidRPr="009821B6">
              <w:rPr>
                <w:sz w:val="22"/>
                <w:szCs w:val="24"/>
              </w:rPr>
              <w:t>Dalomoji</w:t>
            </w:r>
            <w:proofErr w:type="spellEnd"/>
            <w:r w:rsidRPr="009821B6">
              <w:rPr>
                <w:sz w:val="22"/>
                <w:szCs w:val="24"/>
              </w:rPr>
              <w:t xml:space="preserve"> lizdinė plokštelė:</w:t>
            </w:r>
          </w:p>
          <w:p w14:paraId="6FBA8842" w14:textId="77777777" w:rsidR="009821B6" w:rsidRPr="009821B6" w:rsidRDefault="009821B6" w:rsidP="009821B6">
            <w:pPr>
              <w:rPr>
                <w:sz w:val="22"/>
                <w:szCs w:val="24"/>
              </w:rPr>
            </w:pPr>
            <w:r w:rsidRPr="009821B6">
              <w:rPr>
                <w:sz w:val="22"/>
                <w:szCs w:val="24"/>
              </w:rPr>
              <w:t>LT/1/26/6052/007 – N14x1</w:t>
            </w:r>
          </w:p>
          <w:p w14:paraId="620A346D" w14:textId="77777777" w:rsidR="009821B6" w:rsidRPr="009821B6" w:rsidRDefault="009821B6" w:rsidP="009821B6">
            <w:pPr>
              <w:rPr>
                <w:sz w:val="22"/>
                <w:szCs w:val="24"/>
              </w:rPr>
            </w:pPr>
            <w:r w:rsidRPr="009821B6">
              <w:rPr>
                <w:sz w:val="22"/>
                <w:szCs w:val="24"/>
              </w:rPr>
              <w:t>LT/1/26/6052/008 – N28x1</w:t>
            </w:r>
          </w:p>
          <w:p w14:paraId="3C8A1B88" w14:textId="77777777" w:rsidR="009821B6" w:rsidRPr="009821B6" w:rsidRDefault="009821B6" w:rsidP="009821B6">
            <w:pPr>
              <w:rPr>
                <w:sz w:val="22"/>
                <w:szCs w:val="24"/>
              </w:rPr>
            </w:pPr>
            <w:r w:rsidRPr="009821B6">
              <w:rPr>
                <w:sz w:val="22"/>
                <w:szCs w:val="24"/>
              </w:rPr>
              <w:t>LT/1/26/6052/009 – N56x1</w:t>
            </w:r>
          </w:p>
          <w:p w14:paraId="194EF365" w14:textId="77777777" w:rsidR="009821B6" w:rsidRPr="009821B6" w:rsidRDefault="009821B6" w:rsidP="009821B6">
            <w:pPr>
              <w:rPr>
                <w:sz w:val="22"/>
                <w:szCs w:val="24"/>
              </w:rPr>
            </w:pPr>
            <w:r w:rsidRPr="009821B6">
              <w:rPr>
                <w:sz w:val="22"/>
                <w:szCs w:val="24"/>
              </w:rPr>
              <w:lastRenderedPageBreak/>
              <w:t>LT/1/26/6052/010 – N60x1</w:t>
            </w:r>
          </w:p>
          <w:p w14:paraId="04DC2C02" w14:textId="77777777" w:rsidR="009821B6" w:rsidRPr="009821B6" w:rsidRDefault="009821B6" w:rsidP="009821B6">
            <w:pPr>
              <w:rPr>
                <w:sz w:val="22"/>
                <w:szCs w:val="24"/>
              </w:rPr>
            </w:pPr>
            <w:r w:rsidRPr="009821B6">
              <w:rPr>
                <w:sz w:val="22"/>
                <w:szCs w:val="24"/>
              </w:rPr>
              <w:t>LT/1/26/6052/011 – N140x1</w:t>
            </w:r>
          </w:p>
          <w:p w14:paraId="0D90F2B1" w14:textId="77777777" w:rsidR="009821B6" w:rsidRPr="009821B6" w:rsidRDefault="009821B6" w:rsidP="009821B6">
            <w:pPr>
              <w:rPr>
                <w:sz w:val="22"/>
                <w:szCs w:val="24"/>
              </w:rPr>
            </w:pPr>
            <w:r w:rsidRPr="009821B6">
              <w:rPr>
                <w:sz w:val="22"/>
                <w:szCs w:val="24"/>
              </w:rPr>
              <w:t>LT/1/26/6052/012 – N168x1</w:t>
            </w:r>
          </w:p>
          <w:p w14:paraId="0CBB18FE" w14:textId="77777777" w:rsidR="009821B6" w:rsidRPr="009821B6" w:rsidRDefault="009821B6" w:rsidP="009821B6">
            <w:pPr>
              <w:rPr>
                <w:sz w:val="22"/>
                <w:szCs w:val="24"/>
              </w:rPr>
            </w:pPr>
            <w:r w:rsidRPr="009821B6">
              <w:rPr>
                <w:sz w:val="22"/>
                <w:szCs w:val="24"/>
              </w:rPr>
              <w:t>Kalendorinė lizdinė plokštelė:</w:t>
            </w:r>
          </w:p>
          <w:p w14:paraId="00BA6D98" w14:textId="77777777" w:rsidR="009821B6" w:rsidRPr="009821B6" w:rsidRDefault="009821B6" w:rsidP="009821B6">
            <w:pPr>
              <w:rPr>
                <w:sz w:val="22"/>
                <w:szCs w:val="24"/>
              </w:rPr>
            </w:pPr>
            <w:r w:rsidRPr="009821B6">
              <w:rPr>
                <w:sz w:val="22"/>
                <w:szCs w:val="24"/>
              </w:rPr>
              <w:t>LT/1/26/6052/013 – N14</w:t>
            </w:r>
          </w:p>
          <w:p w14:paraId="0B0AFEDE" w14:textId="77777777" w:rsidR="009821B6" w:rsidRPr="009821B6" w:rsidRDefault="009821B6" w:rsidP="009821B6">
            <w:pPr>
              <w:rPr>
                <w:sz w:val="22"/>
                <w:szCs w:val="24"/>
              </w:rPr>
            </w:pPr>
            <w:r w:rsidRPr="009821B6">
              <w:rPr>
                <w:sz w:val="22"/>
                <w:szCs w:val="24"/>
              </w:rPr>
              <w:t>LT/1/26/6052/014 – N28</w:t>
            </w:r>
          </w:p>
          <w:p w14:paraId="3FE0494A" w14:textId="77777777" w:rsidR="009821B6" w:rsidRPr="009821B6" w:rsidRDefault="009821B6" w:rsidP="009821B6">
            <w:pPr>
              <w:rPr>
                <w:sz w:val="22"/>
                <w:szCs w:val="24"/>
              </w:rPr>
            </w:pPr>
            <w:r w:rsidRPr="009821B6">
              <w:rPr>
                <w:sz w:val="22"/>
                <w:szCs w:val="24"/>
              </w:rPr>
              <w:t>LT/1/26/6052/015 – N56</w:t>
            </w:r>
          </w:p>
          <w:p w14:paraId="1A687B88" w14:textId="77777777" w:rsidR="009821B6" w:rsidRPr="009821B6" w:rsidRDefault="009821B6" w:rsidP="009821B6">
            <w:pPr>
              <w:rPr>
                <w:sz w:val="22"/>
                <w:szCs w:val="24"/>
              </w:rPr>
            </w:pPr>
            <w:r w:rsidRPr="009821B6">
              <w:rPr>
                <w:sz w:val="22"/>
                <w:szCs w:val="24"/>
              </w:rPr>
              <w:t>LT/1/26/6052/016 – N60</w:t>
            </w:r>
          </w:p>
          <w:p w14:paraId="3557D1E5" w14:textId="77777777" w:rsidR="009821B6" w:rsidRPr="009821B6" w:rsidRDefault="009821B6" w:rsidP="009821B6">
            <w:pPr>
              <w:rPr>
                <w:sz w:val="22"/>
                <w:szCs w:val="24"/>
              </w:rPr>
            </w:pPr>
            <w:r w:rsidRPr="009821B6">
              <w:rPr>
                <w:sz w:val="22"/>
                <w:szCs w:val="24"/>
              </w:rPr>
              <w:t>LT/1/26/6052/017 – N140</w:t>
            </w:r>
          </w:p>
          <w:p w14:paraId="051C0E98" w14:textId="77777777" w:rsidR="009821B6" w:rsidRPr="009821B6" w:rsidRDefault="009821B6" w:rsidP="009821B6">
            <w:pPr>
              <w:rPr>
                <w:sz w:val="22"/>
                <w:szCs w:val="24"/>
              </w:rPr>
            </w:pPr>
            <w:r w:rsidRPr="009821B6">
              <w:rPr>
                <w:sz w:val="22"/>
                <w:szCs w:val="24"/>
              </w:rPr>
              <w:t>LT/1/26/6052/018 – N168</w:t>
            </w:r>
          </w:p>
          <w:p w14:paraId="20688CE0" w14:textId="77777777" w:rsidR="009821B6" w:rsidRPr="009821B6" w:rsidRDefault="009821B6" w:rsidP="009821B6">
            <w:pPr>
              <w:rPr>
                <w:sz w:val="22"/>
                <w:szCs w:val="24"/>
              </w:rPr>
            </w:pPr>
            <w:r w:rsidRPr="009821B6">
              <w:rPr>
                <w:sz w:val="22"/>
                <w:szCs w:val="24"/>
              </w:rPr>
              <w:t xml:space="preserve">Kalendorinė </w:t>
            </w:r>
            <w:proofErr w:type="spellStart"/>
            <w:r w:rsidRPr="009821B6">
              <w:rPr>
                <w:sz w:val="22"/>
                <w:szCs w:val="24"/>
              </w:rPr>
              <w:t>dalomoji</w:t>
            </w:r>
            <w:proofErr w:type="spellEnd"/>
            <w:r w:rsidRPr="009821B6">
              <w:rPr>
                <w:sz w:val="22"/>
                <w:szCs w:val="24"/>
              </w:rPr>
              <w:t xml:space="preserve"> lizdinė plokštelė:</w:t>
            </w:r>
          </w:p>
          <w:p w14:paraId="65F134EE" w14:textId="77777777" w:rsidR="009821B6" w:rsidRPr="009821B6" w:rsidRDefault="009821B6" w:rsidP="009821B6">
            <w:pPr>
              <w:rPr>
                <w:sz w:val="22"/>
                <w:szCs w:val="24"/>
              </w:rPr>
            </w:pPr>
            <w:r w:rsidRPr="009821B6">
              <w:rPr>
                <w:sz w:val="22"/>
                <w:szCs w:val="24"/>
              </w:rPr>
              <w:t>LT/1/26/6052/019 – N14x1</w:t>
            </w:r>
          </w:p>
          <w:p w14:paraId="71887A35" w14:textId="77777777" w:rsidR="009821B6" w:rsidRPr="009821B6" w:rsidRDefault="009821B6" w:rsidP="009821B6">
            <w:pPr>
              <w:rPr>
                <w:sz w:val="22"/>
                <w:szCs w:val="24"/>
              </w:rPr>
            </w:pPr>
            <w:r w:rsidRPr="009821B6">
              <w:rPr>
                <w:sz w:val="22"/>
                <w:szCs w:val="24"/>
              </w:rPr>
              <w:t>LT/1/26/6052/020 – N28x1</w:t>
            </w:r>
          </w:p>
          <w:p w14:paraId="1BC524BD" w14:textId="77777777" w:rsidR="009821B6" w:rsidRPr="009821B6" w:rsidRDefault="009821B6" w:rsidP="009821B6">
            <w:pPr>
              <w:rPr>
                <w:sz w:val="22"/>
                <w:szCs w:val="24"/>
              </w:rPr>
            </w:pPr>
            <w:r w:rsidRPr="009821B6">
              <w:rPr>
                <w:sz w:val="22"/>
                <w:szCs w:val="24"/>
              </w:rPr>
              <w:t>LT/1/26/6052/021 – N56x1</w:t>
            </w:r>
          </w:p>
          <w:p w14:paraId="751F2645" w14:textId="77777777" w:rsidR="009821B6" w:rsidRPr="009821B6" w:rsidRDefault="009821B6" w:rsidP="009821B6">
            <w:pPr>
              <w:rPr>
                <w:sz w:val="22"/>
                <w:szCs w:val="24"/>
              </w:rPr>
            </w:pPr>
            <w:r w:rsidRPr="009821B6">
              <w:rPr>
                <w:sz w:val="22"/>
                <w:szCs w:val="24"/>
              </w:rPr>
              <w:t>LT/1/26/6052/022 – N60x1</w:t>
            </w:r>
          </w:p>
          <w:p w14:paraId="470C2D70" w14:textId="77777777" w:rsidR="009821B6" w:rsidRPr="009821B6" w:rsidRDefault="009821B6" w:rsidP="009821B6">
            <w:pPr>
              <w:rPr>
                <w:sz w:val="22"/>
                <w:szCs w:val="24"/>
              </w:rPr>
            </w:pPr>
            <w:r w:rsidRPr="009821B6">
              <w:rPr>
                <w:sz w:val="22"/>
                <w:szCs w:val="24"/>
              </w:rPr>
              <w:t>LT/1/26/6052/023 – N140x1</w:t>
            </w:r>
          </w:p>
          <w:p w14:paraId="5266A109" w14:textId="3937EBA4" w:rsidR="009821B6" w:rsidRDefault="009821B6" w:rsidP="009821B6">
            <w:pPr>
              <w:rPr>
                <w:sz w:val="22"/>
                <w:szCs w:val="24"/>
              </w:rPr>
            </w:pPr>
            <w:r w:rsidRPr="009821B6">
              <w:rPr>
                <w:sz w:val="22"/>
                <w:szCs w:val="24"/>
              </w:rPr>
              <w:t>LT/1/26/6052/024 – N168x1</w:t>
            </w:r>
          </w:p>
        </w:tc>
      </w:tr>
    </w:tbl>
    <w:p w14:paraId="173E3A31" w14:textId="77777777" w:rsidR="009821B6" w:rsidRPr="003F564F" w:rsidRDefault="009821B6">
      <w:pPr>
        <w:rPr>
          <w:sz w:val="22"/>
          <w:szCs w:val="24"/>
        </w:rPr>
      </w:pPr>
    </w:p>
    <w:p w14:paraId="270DD51B" w14:textId="77777777" w:rsidR="008D3B35" w:rsidRPr="003F564F" w:rsidRDefault="008D3B35">
      <w:pPr>
        <w:rPr>
          <w:sz w:val="22"/>
          <w:szCs w:val="24"/>
        </w:rPr>
      </w:pPr>
    </w:p>
    <w:p w14:paraId="58B53FE7" w14:textId="77777777" w:rsidR="008D3B35" w:rsidRPr="003F564F" w:rsidRDefault="00AB4978">
      <w:pPr>
        <w:keepNext/>
        <w:keepLines/>
        <w:tabs>
          <w:tab w:val="left" w:pos="567"/>
        </w:tabs>
        <w:outlineLvl w:val="2"/>
        <w:rPr>
          <w:b/>
          <w:bCs/>
          <w:sz w:val="22"/>
          <w:szCs w:val="26"/>
          <w:lang w:eastAsia="x-none"/>
        </w:rPr>
      </w:pPr>
      <w:r w:rsidRPr="003F564F">
        <w:rPr>
          <w:b/>
          <w:bCs/>
          <w:sz w:val="22"/>
          <w:szCs w:val="26"/>
          <w:lang w:eastAsia="x-none"/>
        </w:rPr>
        <w:t>9.</w:t>
      </w:r>
      <w:r w:rsidRPr="003F564F">
        <w:rPr>
          <w:b/>
          <w:bCs/>
          <w:sz w:val="22"/>
          <w:szCs w:val="26"/>
          <w:lang w:eastAsia="x-none"/>
        </w:rPr>
        <w:tab/>
        <w:t>REGISTRAVIMO / PERREGISTRAVIMO DATA</w:t>
      </w:r>
    </w:p>
    <w:p w14:paraId="3C616B9E" w14:textId="77777777" w:rsidR="008D3B35" w:rsidRPr="003F564F" w:rsidRDefault="008D3B35">
      <w:pPr>
        <w:rPr>
          <w:sz w:val="22"/>
          <w:szCs w:val="24"/>
        </w:rPr>
      </w:pPr>
    </w:p>
    <w:p w14:paraId="006A590E" w14:textId="41CD0677" w:rsidR="008D3B35" w:rsidRPr="003F564F" w:rsidRDefault="00AB4978">
      <w:pPr>
        <w:rPr>
          <w:sz w:val="22"/>
          <w:szCs w:val="24"/>
        </w:rPr>
      </w:pPr>
      <w:r w:rsidRPr="003F564F">
        <w:rPr>
          <w:sz w:val="22"/>
          <w:szCs w:val="24"/>
        </w:rPr>
        <w:t xml:space="preserve">Registravimo data </w:t>
      </w:r>
      <w:r w:rsidR="009821B6">
        <w:rPr>
          <w:sz w:val="22"/>
          <w:szCs w:val="24"/>
        </w:rPr>
        <w:t>2026 m. birželio 4 d.</w:t>
      </w:r>
    </w:p>
    <w:p w14:paraId="5EF40F03" w14:textId="77777777" w:rsidR="008D3B35" w:rsidRPr="003F564F" w:rsidRDefault="008D3B35">
      <w:pPr>
        <w:rPr>
          <w:sz w:val="22"/>
        </w:rPr>
      </w:pPr>
    </w:p>
    <w:p w14:paraId="53F0CA9B" w14:textId="77777777" w:rsidR="008D3B35" w:rsidRPr="003F564F" w:rsidRDefault="008D3B35">
      <w:pPr>
        <w:tabs>
          <w:tab w:val="left" w:pos="567"/>
        </w:tabs>
        <w:rPr>
          <w:sz w:val="22"/>
        </w:rPr>
      </w:pPr>
    </w:p>
    <w:p w14:paraId="57997CAA" w14:textId="77777777" w:rsidR="008D3B35" w:rsidRPr="003F564F" w:rsidRDefault="00AB4978">
      <w:pPr>
        <w:keepNext/>
        <w:keepLines/>
        <w:tabs>
          <w:tab w:val="left" w:pos="567"/>
        </w:tabs>
        <w:outlineLvl w:val="2"/>
        <w:rPr>
          <w:b/>
          <w:bCs/>
          <w:sz w:val="22"/>
          <w:szCs w:val="26"/>
          <w:lang w:eastAsia="x-none"/>
        </w:rPr>
      </w:pPr>
      <w:r w:rsidRPr="003F564F">
        <w:rPr>
          <w:b/>
          <w:bCs/>
          <w:sz w:val="22"/>
          <w:szCs w:val="26"/>
          <w:lang w:eastAsia="x-none"/>
        </w:rPr>
        <w:t>10.</w:t>
      </w:r>
      <w:r w:rsidRPr="003F564F">
        <w:rPr>
          <w:b/>
          <w:bCs/>
          <w:sz w:val="22"/>
          <w:szCs w:val="26"/>
          <w:lang w:eastAsia="x-none"/>
        </w:rPr>
        <w:tab/>
        <w:t>TEKSTO PERŽIŪROS DATA</w:t>
      </w:r>
    </w:p>
    <w:p w14:paraId="3650763A" w14:textId="77777777" w:rsidR="008D3B35" w:rsidRPr="003F564F" w:rsidRDefault="008D3B35">
      <w:pPr>
        <w:rPr>
          <w:sz w:val="22"/>
          <w:szCs w:val="24"/>
        </w:rPr>
      </w:pPr>
    </w:p>
    <w:p w14:paraId="47D45B33" w14:textId="5265D0E1" w:rsidR="008D3B35" w:rsidRPr="003F564F" w:rsidRDefault="009821B6">
      <w:pPr>
        <w:rPr>
          <w:sz w:val="22"/>
          <w:szCs w:val="24"/>
        </w:rPr>
      </w:pPr>
      <w:r>
        <w:rPr>
          <w:sz w:val="22"/>
          <w:szCs w:val="24"/>
        </w:rPr>
        <w:t>2026 m. birželio 4 d.</w:t>
      </w:r>
    </w:p>
    <w:p w14:paraId="38BB7BFC" w14:textId="77777777" w:rsidR="008D3B35" w:rsidRPr="003F564F" w:rsidRDefault="008D3B35">
      <w:pPr>
        <w:rPr>
          <w:sz w:val="22"/>
          <w:szCs w:val="24"/>
        </w:rPr>
      </w:pPr>
    </w:p>
    <w:p w14:paraId="0B903ED4" w14:textId="77777777" w:rsidR="008D3B35" w:rsidRPr="003F564F" w:rsidRDefault="008D3B35">
      <w:pPr>
        <w:rPr>
          <w:sz w:val="22"/>
          <w:szCs w:val="24"/>
        </w:rPr>
      </w:pPr>
    </w:p>
    <w:p w14:paraId="4754272B" w14:textId="77777777" w:rsidR="008D3B35" w:rsidRPr="003F564F" w:rsidRDefault="00AB4978">
      <w:pPr>
        <w:tabs>
          <w:tab w:val="center" w:pos="4819"/>
          <w:tab w:val="right" w:pos="9638"/>
        </w:tabs>
      </w:pPr>
      <w:r w:rsidRPr="003F564F">
        <w:rPr>
          <w:sz w:val="22"/>
          <w:szCs w:val="22"/>
          <w:lang w:eastAsia="lt-LT"/>
        </w:rPr>
        <w:t xml:space="preserve">Išsami informacija apie šį vaistinį preparatą pateikiama Valstybinės vaistų kontrolės tarnybos prie Lietuvos Respublikos sveikatos apsaugos ministerijos tinklalapyje </w:t>
      </w:r>
      <w:r w:rsidRPr="003F564F">
        <w:rPr>
          <w:color w:val="0000EE"/>
          <w:sz w:val="22"/>
          <w:szCs w:val="22"/>
          <w:u w:val="single"/>
          <w:lang w:eastAsia="lt-LT"/>
        </w:rPr>
        <w:t>https://vvkt.lrv.lt/lt/.</w:t>
      </w:r>
    </w:p>
    <w:p w14:paraId="5719B91F" w14:textId="77777777" w:rsidR="008D3B35" w:rsidRPr="003F564F" w:rsidRDefault="008D3B35"/>
    <w:p w14:paraId="10DFD151" w14:textId="77777777" w:rsidR="008D3B35" w:rsidRPr="003F564F" w:rsidRDefault="008D3B35">
      <w:pPr>
        <w:tabs>
          <w:tab w:val="left" w:pos="4962"/>
        </w:tabs>
        <w:ind w:left="4962"/>
        <w:sectPr w:rsidR="008D3B35" w:rsidRPr="003F564F" w:rsidSect="00396893">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pgNumType w:start="1" w:chapStyle="1"/>
          <w:cols w:space="1296"/>
          <w:titlePg/>
          <w:docGrid w:linePitch="360"/>
        </w:sectPr>
      </w:pPr>
    </w:p>
    <w:p w14:paraId="092650E2" w14:textId="77777777" w:rsidR="008D3B35" w:rsidRPr="003F564F" w:rsidRDefault="008D3B35">
      <w:pPr>
        <w:tabs>
          <w:tab w:val="left" w:pos="5954"/>
          <w:tab w:val="left" w:pos="6237"/>
          <w:tab w:val="left" w:pos="6663"/>
          <w:tab w:val="left" w:pos="6946"/>
        </w:tabs>
        <w:jc w:val="center"/>
        <w:rPr>
          <w:rFonts w:ascii="Courier New" w:eastAsia="SimSun" w:hAnsi="Courier New"/>
          <w:color w:val="000000"/>
        </w:rPr>
      </w:pPr>
    </w:p>
    <w:p w14:paraId="1DF9AFBE" w14:textId="77777777" w:rsidR="008D3B35" w:rsidRPr="003F564F" w:rsidRDefault="008D3B35">
      <w:pPr>
        <w:tabs>
          <w:tab w:val="left" w:pos="567"/>
        </w:tabs>
        <w:spacing w:line="260" w:lineRule="exact"/>
        <w:rPr>
          <w:sz w:val="22"/>
          <w:szCs w:val="24"/>
        </w:rPr>
      </w:pPr>
    </w:p>
    <w:p w14:paraId="0ED7C400" w14:textId="77777777" w:rsidR="008D3B35" w:rsidRPr="003F564F" w:rsidRDefault="008D3B35">
      <w:pPr>
        <w:tabs>
          <w:tab w:val="left" w:pos="567"/>
        </w:tabs>
        <w:spacing w:line="260" w:lineRule="exact"/>
        <w:rPr>
          <w:sz w:val="22"/>
          <w:szCs w:val="24"/>
        </w:rPr>
      </w:pPr>
    </w:p>
    <w:p w14:paraId="0686DB6B" w14:textId="77777777" w:rsidR="008D3B35" w:rsidRPr="003F564F" w:rsidRDefault="008D3B35">
      <w:pPr>
        <w:tabs>
          <w:tab w:val="left" w:pos="567"/>
        </w:tabs>
        <w:spacing w:line="260" w:lineRule="exact"/>
        <w:rPr>
          <w:sz w:val="22"/>
          <w:szCs w:val="24"/>
        </w:rPr>
      </w:pPr>
    </w:p>
    <w:p w14:paraId="7E9C39CF" w14:textId="77777777" w:rsidR="008D3B35" w:rsidRPr="003F564F" w:rsidRDefault="008D3B35">
      <w:pPr>
        <w:tabs>
          <w:tab w:val="left" w:pos="567"/>
        </w:tabs>
        <w:spacing w:line="260" w:lineRule="exact"/>
        <w:rPr>
          <w:sz w:val="22"/>
          <w:szCs w:val="24"/>
        </w:rPr>
      </w:pPr>
    </w:p>
    <w:p w14:paraId="4A62C544" w14:textId="77777777" w:rsidR="008D3B35" w:rsidRPr="003F564F" w:rsidRDefault="008D3B35">
      <w:pPr>
        <w:tabs>
          <w:tab w:val="left" w:pos="567"/>
        </w:tabs>
        <w:spacing w:line="260" w:lineRule="exact"/>
        <w:rPr>
          <w:sz w:val="22"/>
          <w:szCs w:val="24"/>
        </w:rPr>
      </w:pPr>
    </w:p>
    <w:p w14:paraId="4A36A056" w14:textId="77777777" w:rsidR="008D3B35" w:rsidRPr="003F564F" w:rsidRDefault="008D3B35">
      <w:pPr>
        <w:tabs>
          <w:tab w:val="left" w:pos="567"/>
        </w:tabs>
        <w:spacing w:line="260" w:lineRule="exact"/>
        <w:rPr>
          <w:sz w:val="22"/>
          <w:szCs w:val="24"/>
        </w:rPr>
      </w:pPr>
    </w:p>
    <w:p w14:paraId="2CB1ECE5" w14:textId="77777777" w:rsidR="008D3B35" w:rsidRPr="003F564F" w:rsidRDefault="008D3B35">
      <w:pPr>
        <w:tabs>
          <w:tab w:val="left" w:pos="567"/>
        </w:tabs>
        <w:spacing w:line="260" w:lineRule="exact"/>
        <w:rPr>
          <w:sz w:val="22"/>
          <w:szCs w:val="24"/>
        </w:rPr>
      </w:pPr>
    </w:p>
    <w:p w14:paraId="40D9C503" w14:textId="77777777" w:rsidR="008D3B35" w:rsidRPr="003F564F" w:rsidRDefault="008D3B35">
      <w:pPr>
        <w:tabs>
          <w:tab w:val="left" w:pos="567"/>
        </w:tabs>
        <w:spacing w:line="260" w:lineRule="exact"/>
        <w:rPr>
          <w:sz w:val="22"/>
          <w:szCs w:val="24"/>
        </w:rPr>
      </w:pPr>
    </w:p>
    <w:p w14:paraId="7D67EA4A" w14:textId="77777777" w:rsidR="008D3B35" w:rsidRPr="003F564F" w:rsidRDefault="008D3B35">
      <w:pPr>
        <w:tabs>
          <w:tab w:val="left" w:pos="567"/>
        </w:tabs>
        <w:spacing w:line="260" w:lineRule="exact"/>
        <w:rPr>
          <w:sz w:val="22"/>
          <w:szCs w:val="24"/>
        </w:rPr>
      </w:pPr>
    </w:p>
    <w:p w14:paraId="16940FCC" w14:textId="77777777" w:rsidR="008D3B35" w:rsidRPr="003F564F" w:rsidRDefault="008D3B35">
      <w:pPr>
        <w:tabs>
          <w:tab w:val="left" w:pos="567"/>
        </w:tabs>
        <w:spacing w:line="260" w:lineRule="exact"/>
        <w:rPr>
          <w:sz w:val="22"/>
          <w:szCs w:val="24"/>
        </w:rPr>
      </w:pPr>
    </w:p>
    <w:p w14:paraId="492EC2C6" w14:textId="77777777" w:rsidR="008D3B35" w:rsidRPr="003F564F" w:rsidRDefault="008D3B35">
      <w:pPr>
        <w:tabs>
          <w:tab w:val="left" w:pos="567"/>
        </w:tabs>
        <w:spacing w:line="260" w:lineRule="exact"/>
        <w:rPr>
          <w:sz w:val="22"/>
          <w:szCs w:val="24"/>
        </w:rPr>
      </w:pPr>
    </w:p>
    <w:p w14:paraId="21F31294" w14:textId="77777777" w:rsidR="008D3B35" w:rsidRPr="003F564F" w:rsidRDefault="008D3B35">
      <w:pPr>
        <w:tabs>
          <w:tab w:val="left" w:pos="567"/>
        </w:tabs>
        <w:spacing w:line="260" w:lineRule="exact"/>
        <w:rPr>
          <w:sz w:val="22"/>
          <w:szCs w:val="24"/>
        </w:rPr>
      </w:pPr>
    </w:p>
    <w:p w14:paraId="051C79C8" w14:textId="77777777" w:rsidR="008D3B35" w:rsidRPr="003F564F" w:rsidRDefault="008D3B35">
      <w:pPr>
        <w:tabs>
          <w:tab w:val="left" w:pos="567"/>
        </w:tabs>
        <w:spacing w:line="260" w:lineRule="exact"/>
        <w:rPr>
          <w:sz w:val="22"/>
          <w:szCs w:val="24"/>
        </w:rPr>
      </w:pPr>
    </w:p>
    <w:p w14:paraId="3078A21B" w14:textId="77777777" w:rsidR="008D3B35" w:rsidRPr="003F564F" w:rsidRDefault="00AB4978">
      <w:pPr>
        <w:tabs>
          <w:tab w:val="left" w:pos="567"/>
        </w:tabs>
        <w:spacing w:line="260" w:lineRule="exact"/>
        <w:jc w:val="center"/>
        <w:rPr>
          <w:b/>
          <w:sz w:val="22"/>
        </w:rPr>
      </w:pPr>
      <w:r w:rsidRPr="003F564F">
        <w:rPr>
          <w:b/>
          <w:sz w:val="22"/>
        </w:rPr>
        <w:t>II PRIEDAS</w:t>
      </w:r>
    </w:p>
    <w:p w14:paraId="1EEFC558" w14:textId="77777777" w:rsidR="008D3B35" w:rsidRPr="003F564F" w:rsidRDefault="008D3B35">
      <w:pPr>
        <w:tabs>
          <w:tab w:val="left" w:pos="567"/>
        </w:tabs>
        <w:spacing w:line="260" w:lineRule="exact"/>
        <w:ind w:left="1701" w:right="1416" w:hanging="567"/>
        <w:rPr>
          <w:sz w:val="22"/>
        </w:rPr>
      </w:pPr>
    </w:p>
    <w:p w14:paraId="6F728B25" w14:textId="77777777" w:rsidR="008D3B35" w:rsidRPr="003F564F" w:rsidRDefault="00AB4978">
      <w:pPr>
        <w:tabs>
          <w:tab w:val="left" w:pos="567"/>
        </w:tabs>
        <w:spacing w:line="260" w:lineRule="exact"/>
        <w:jc w:val="center"/>
        <w:rPr>
          <w:i/>
          <w:sz w:val="22"/>
        </w:rPr>
      </w:pPr>
      <w:r w:rsidRPr="003F564F">
        <w:rPr>
          <w:b/>
          <w:sz w:val="22"/>
        </w:rPr>
        <w:t>REGISTRACIJOS SĄLYGOS</w:t>
      </w:r>
    </w:p>
    <w:p w14:paraId="185103E7" w14:textId="77777777" w:rsidR="008D3B35" w:rsidRPr="003F564F" w:rsidRDefault="008D3B35">
      <w:pPr>
        <w:tabs>
          <w:tab w:val="left" w:pos="567"/>
        </w:tabs>
        <w:spacing w:line="260" w:lineRule="exact"/>
        <w:rPr>
          <w:sz w:val="22"/>
        </w:rPr>
      </w:pPr>
    </w:p>
    <w:p w14:paraId="770F7953" w14:textId="3D1D3CD7" w:rsidR="008D3B35" w:rsidRPr="003F564F" w:rsidRDefault="00AB4978">
      <w:pPr>
        <w:tabs>
          <w:tab w:val="left" w:pos="1701"/>
        </w:tabs>
        <w:spacing w:line="260" w:lineRule="exact"/>
        <w:ind w:left="1701" w:right="567" w:hanging="567"/>
        <w:rPr>
          <w:b/>
          <w:sz w:val="22"/>
          <w:szCs w:val="24"/>
        </w:rPr>
      </w:pPr>
      <w:r w:rsidRPr="003F564F">
        <w:rPr>
          <w:b/>
          <w:sz w:val="22"/>
          <w:szCs w:val="24"/>
        </w:rPr>
        <w:t>A.</w:t>
      </w:r>
      <w:r w:rsidRPr="003F564F">
        <w:rPr>
          <w:b/>
          <w:sz w:val="22"/>
          <w:szCs w:val="24"/>
        </w:rPr>
        <w:tab/>
        <w:t>GAMINTOJAS (-AI), ATSAKINGAS (-I) UŽ SERIJŲ IŠLEIDIMĄ</w:t>
      </w:r>
    </w:p>
    <w:p w14:paraId="27AE5F23" w14:textId="77777777" w:rsidR="008D3B35" w:rsidRPr="003F564F" w:rsidRDefault="008D3B35">
      <w:pPr>
        <w:tabs>
          <w:tab w:val="left" w:pos="1701"/>
        </w:tabs>
        <w:spacing w:line="260" w:lineRule="exact"/>
        <w:ind w:left="567" w:right="567" w:hanging="567"/>
        <w:rPr>
          <w:sz w:val="22"/>
          <w:szCs w:val="24"/>
        </w:rPr>
      </w:pPr>
    </w:p>
    <w:p w14:paraId="67849076" w14:textId="77777777" w:rsidR="008D3B35" w:rsidRPr="003F564F" w:rsidRDefault="00AB4978">
      <w:pPr>
        <w:tabs>
          <w:tab w:val="left" w:pos="1701"/>
        </w:tabs>
        <w:spacing w:line="260" w:lineRule="exact"/>
        <w:ind w:left="1701" w:right="567" w:hanging="567"/>
        <w:rPr>
          <w:b/>
          <w:sz w:val="22"/>
        </w:rPr>
      </w:pPr>
      <w:r w:rsidRPr="003F564F">
        <w:rPr>
          <w:b/>
          <w:sz w:val="22"/>
        </w:rPr>
        <w:t>B.</w:t>
      </w:r>
      <w:r w:rsidRPr="003F564F">
        <w:rPr>
          <w:b/>
          <w:sz w:val="22"/>
        </w:rPr>
        <w:tab/>
        <w:t>TIEKIMO IR VARTOJIMO SĄLYGOS AR APRIBOJIMAI</w:t>
      </w:r>
    </w:p>
    <w:p w14:paraId="52083354" w14:textId="77777777" w:rsidR="008D3B35" w:rsidRPr="003F564F" w:rsidRDefault="008D3B35">
      <w:pPr>
        <w:tabs>
          <w:tab w:val="left" w:pos="567"/>
        </w:tabs>
        <w:spacing w:line="260" w:lineRule="exact"/>
        <w:ind w:left="1701" w:right="1558" w:hanging="850"/>
        <w:rPr>
          <w:b/>
          <w:sz w:val="22"/>
        </w:rPr>
      </w:pPr>
    </w:p>
    <w:p w14:paraId="1FA5F5DC" w14:textId="77777777" w:rsidR="008D3B35" w:rsidRPr="003F564F" w:rsidRDefault="008D3B35">
      <w:pPr>
        <w:tabs>
          <w:tab w:val="left" w:pos="567"/>
        </w:tabs>
        <w:spacing w:line="260" w:lineRule="exact"/>
        <w:ind w:left="567" w:hanging="567"/>
        <w:rPr>
          <w:sz w:val="22"/>
        </w:rPr>
      </w:pPr>
    </w:p>
    <w:p w14:paraId="3CD5B251" w14:textId="77777777" w:rsidR="008D3B35" w:rsidRPr="003F564F" w:rsidRDefault="008D3B35">
      <w:pPr>
        <w:tabs>
          <w:tab w:val="left" w:pos="567"/>
        </w:tabs>
        <w:spacing w:line="260" w:lineRule="exact"/>
        <w:ind w:right="-1"/>
        <w:rPr>
          <w:sz w:val="22"/>
        </w:rPr>
      </w:pPr>
    </w:p>
    <w:p w14:paraId="6D26AC82" w14:textId="4AD5FE1E" w:rsidR="008D3B35" w:rsidRPr="003F564F" w:rsidRDefault="00AB4978">
      <w:pPr>
        <w:tabs>
          <w:tab w:val="left" w:pos="567"/>
        </w:tabs>
        <w:spacing w:line="260" w:lineRule="exact"/>
        <w:ind w:left="567" w:hanging="567"/>
        <w:rPr>
          <w:b/>
          <w:sz w:val="22"/>
          <w:szCs w:val="24"/>
        </w:rPr>
      </w:pPr>
      <w:r w:rsidRPr="003F564F">
        <w:rPr>
          <w:sz w:val="22"/>
        </w:rPr>
        <w:br w:type="page"/>
      </w:r>
      <w:r w:rsidRPr="003F564F">
        <w:rPr>
          <w:b/>
          <w:sz w:val="22"/>
        </w:rPr>
        <w:lastRenderedPageBreak/>
        <w:t>A.</w:t>
      </w:r>
      <w:r w:rsidRPr="003F564F">
        <w:rPr>
          <w:b/>
          <w:sz w:val="22"/>
          <w:szCs w:val="24"/>
        </w:rPr>
        <w:tab/>
      </w:r>
      <w:r w:rsidRPr="003F564F">
        <w:rPr>
          <w:b/>
          <w:sz w:val="22"/>
        </w:rPr>
        <w:t>GAMINTOJAS (-AI), ATSAKINGAS (-I) UŽ SERIJŲ IŠLEIDIMĄ</w:t>
      </w:r>
    </w:p>
    <w:p w14:paraId="7FB4E452" w14:textId="77777777" w:rsidR="008D3B35" w:rsidRPr="003F564F" w:rsidRDefault="008D3B35">
      <w:pPr>
        <w:tabs>
          <w:tab w:val="left" w:pos="567"/>
        </w:tabs>
        <w:spacing w:line="260" w:lineRule="exact"/>
        <w:rPr>
          <w:sz w:val="22"/>
          <w:szCs w:val="24"/>
        </w:rPr>
      </w:pPr>
    </w:p>
    <w:p w14:paraId="7DCD78E6" w14:textId="77777777" w:rsidR="008D3B35" w:rsidRPr="003F564F" w:rsidRDefault="00AB4978">
      <w:pPr>
        <w:tabs>
          <w:tab w:val="left" w:pos="567"/>
        </w:tabs>
        <w:jc w:val="both"/>
        <w:rPr>
          <w:sz w:val="22"/>
          <w:szCs w:val="24"/>
        </w:rPr>
      </w:pPr>
      <w:r w:rsidRPr="003F564F">
        <w:rPr>
          <w:sz w:val="22"/>
          <w:szCs w:val="24"/>
          <w:u w:val="single"/>
        </w:rPr>
        <w:t>Gamintojo (-ų), atsakingo (-ų) už serijų išleidimą, pavadinimas (-ai) ir adresas (-ai)</w:t>
      </w:r>
    </w:p>
    <w:p w14:paraId="4EA401F8" w14:textId="77777777" w:rsidR="008D3B35" w:rsidRPr="003F564F" w:rsidRDefault="008D3B35">
      <w:pPr>
        <w:tabs>
          <w:tab w:val="left" w:pos="567"/>
        </w:tabs>
        <w:spacing w:line="260" w:lineRule="exact"/>
        <w:rPr>
          <w:sz w:val="22"/>
          <w:szCs w:val="24"/>
        </w:rPr>
      </w:pPr>
    </w:p>
    <w:p w14:paraId="4F188C38" w14:textId="77777777" w:rsidR="00942319" w:rsidRPr="00942319" w:rsidRDefault="00942319" w:rsidP="00942319">
      <w:pPr>
        <w:tabs>
          <w:tab w:val="left" w:pos="567"/>
        </w:tabs>
        <w:spacing w:line="260" w:lineRule="exact"/>
        <w:rPr>
          <w:sz w:val="22"/>
          <w:szCs w:val="24"/>
        </w:rPr>
      </w:pPr>
      <w:proofErr w:type="spellStart"/>
      <w:r w:rsidRPr="00942319">
        <w:rPr>
          <w:sz w:val="22"/>
          <w:szCs w:val="24"/>
        </w:rPr>
        <w:t>Coripharma</w:t>
      </w:r>
      <w:proofErr w:type="spellEnd"/>
      <w:r w:rsidRPr="00942319">
        <w:rPr>
          <w:sz w:val="22"/>
          <w:szCs w:val="24"/>
        </w:rPr>
        <w:t xml:space="preserve"> </w:t>
      </w:r>
      <w:proofErr w:type="spellStart"/>
      <w:r w:rsidRPr="00942319">
        <w:rPr>
          <w:sz w:val="22"/>
          <w:szCs w:val="24"/>
        </w:rPr>
        <w:t>ehf</w:t>
      </w:r>
      <w:proofErr w:type="spellEnd"/>
      <w:r w:rsidRPr="00942319">
        <w:rPr>
          <w:sz w:val="22"/>
          <w:szCs w:val="24"/>
        </w:rPr>
        <w:t>.</w:t>
      </w:r>
    </w:p>
    <w:p w14:paraId="7BC82006" w14:textId="77777777" w:rsidR="00942319" w:rsidRPr="00942319" w:rsidRDefault="00942319" w:rsidP="00942319">
      <w:pPr>
        <w:tabs>
          <w:tab w:val="left" w:pos="567"/>
        </w:tabs>
        <w:spacing w:line="260" w:lineRule="exact"/>
        <w:rPr>
          <w:sz w:val="22"/>
          <w:szCs w:val="24"/>
        </w:rPr>
      </w:pPr>
      <w:proofErr w:type="spellStart"/>
      <w:r w:rsidRPr="00942319">
        <w:rPr>
          <w:sz w:val="22"/>
          <w:szCs w:val="24"/>
        </w:rPr>
        <w:t>Reykjavikurvegur</w:t>
      </w:r>
      <w:proofErr w:type="spellEnd"/>
      <w:r w:rsidRPr="00942319">
        <w:rPr>
          <w:sz w:val="22"/>
          <w:szCs w:val="24"/>
        </w:rPr>
        <w:t xml:space="preserve"> 78 – 80</w:t>
      </w:r>
    </w:p>
    <w:p w14:paraId="478184A9" w14:textId="77777777" w:rsidR="00942319" w:rsidRPr="00942319" w:rsidRDefault="00942319" w:rsidP="00942319">
      <w:pPr>
        <w:tabs>
          <w:tab w:val="left" w:pos="567"/>
        </w:tabs>
        <w:spacing w:line="260" w:lineRule="exact"/>
        <w:rPr>
          <w:sz w:val="22"/>
          <w:szCs w:val="24"/>
        </w:rPr>
      </w:pPr>
      <w:r w:rsidRPr="00942319">
        <w:rPr>
          <w:sz w:val="22"/>
          <w:szCs w:val="24"/>
        </w:rPr>
        <w:t xml:space="preserve">IS-220 </w:t>
      </w:r>
      <w:proofErr w:type="spellStart"/>
      <w:r w:rsidRPr="00942319">
        <w:rPr>
          <w:sz w:val="22"/>
          <w:szCs w:val="24"/>
        </w:rPr>
        <w:t>Hafnarfjordur</w:t>
      </w:r>
      <w:proofErr w:type="spellEnd"/>
    </w:p>
    <w:p w14:paraId="4ECB123F" w14:textId="77777777" w:rsidR="00942319" w:rsidRPr="00942319" w:rsidRDefault="00942319" w:rsidP="00942319">
      <w:pPr>
        <w:tabs>
          <w:tab w:val="left" w:pos="567"/>
        </w:tabs>
        <w:spacing w:line="260" w:lineRule="exact"/>
        <w:rPr>
          <w:sz w:val="22"/>
          <w:szCs w:val="24"/>
        </w:rPr>
      </w:pPr>
      <w:r w:rsidRPr="00942319">
        <w:rPr>
          <w:sz w:val="22"/>
          <w:szCs w:val="24"/>
        </w:rPr>
        <w:t>Islandija</w:t>
      </w:r>
    </w:p>
    <w:p w14:paraId="5F87E655" w14:textId="77777777" w:rsidR="00942319" w:rsidRDefault="00942319" w:rsidP="00942319">
      <w:pPr>
        <w:tabs>
          <w:tab w:val="left" w:pos="567"/>
        </w:tabs>
        <w:spacing w:line="260" w:lineRule="exact"/>
        <w:rPr>
          <w:sz w:val="22"/>
          <w:szCs w:val="24"/>
        </w:rPr>
      </w:pPr>
    </w:p>
    <w:p w14:paraId="4126F27C" w14:textId="032A2510" w:rsidR="00942319" w:rsidRDefault="00942319" w:rsidP="00942319">
      <w:pPr>
        <w:tabs>
          <w:tab w:val="left" w:pos="567"/>
        </w:tabs>
        <w:spacing w:line="260" w:lineRule="exact"/>
        <w:rPr>
          <w:sz w:val="22"/>
          <w:szCs w:val="24"/>
        </w:rPr>
      </w:pPr>
      <w:r>
        <w:rPr>
          <w:sz w:val="22"/>
          <w:szCs w:val="24"/>
        </w:rPr>
        <w:t>arba</w:t>
      </w:r>
    </w:p>
    <w:p w14:paraId="3AD8CDA5" w14:textId="77777777" w:rsidR="00942319" w:rsidRPr="00942319" w:rsidRDefault="00942319" w:rsidP="00942319">
      <w:pPr>
        <w:tabs>
          <w:tab w:val="left" w:pos="567"/>
        </w:tabs>
        <w:spacing w:line="260" w:lineRule="exact"/>
        <w:rPr>
          <w:sz w:val="22"/>
          <w:szCs w:val="24"/>
        </w:rPr>
      </w:pPr>
    </w:p>
    <w:p w14:paraId="7B9C36D9" w14:textId="77777777" w:rsidR="00942319" w:rsidRPr="00942319" w:rsidRDefault="00942319" w:rsidP="00942319">
      <w:pPr>
        <w:tabs>
          <w:tab w:val="left" w:pos="567"/>
        </w:tabs>
        <w:spacing w:line="260" w:lineRule="exact"/>
        <w:rPr>
          <w:sz w:val="22"/>
          <w:szCs w:val="24"/>
        </w:rPr>
      </w:pPr>
      <w:proofErr w:type="spellStart"/>
      <w:r w:rsidRPr="00942319">
        <w:rPr>
          <w:sz w:val="22"/>
          <w:szCs w:val="24"/>
        </w:rPr>
        <w:t>Lek</w:t>
      </w:r>
      <w:proofErr w:type="spellEnd"/>
      <w:r w:rsidRPr="00942319">
        <w:rPr>
          <w:sz w:val="22"/>
          <w:szCs w:val="24"/>
        </w:rPr>
        <w:t xml:space="preserve"> </w:t>
      </w:r>
      <w:proofErr w:type="spellStart"/>
      <w:r w:rsidRPr="00942319">
        <w:rPr>
          <w:sz w:val="22"/>
          <w:szCs w:val="24"/>
        </w:rPr>
        <w:t>Pharmaceuticals</w:t>
      </w:r>
      <w:proofErr w:type="spellEnd"/>
      <w:r w:rsidRPr="00942319">
        <w:rPr>
          <w:sz w:val="22"/>
          <w:szCs w:val="24"/>
        </w:rPr>
        <w:t xml:space="preserve"> </w:t>
      </w:r>
      <w:proofErr w:type="spellStart"/>
      <w:r w:rsidRPr="00942319">
        <w:rPr>
          <w:sz w:val="22"/>
          <w:szCs w:val="24"/>
        </w:rPr>
        <w:t>d.d</w:t>
      </w:r>
      <w:proofErr w:type="spellEnd"/>
      <w:r w:rsidRPr="00942319">
        <w:rPr>
          <w:sz w:val="22"/>
          <w:szCs w:val="24"/>
        </w:rPr>
        <w:t>.</w:t>
      </w:r>
    </w:p>
    <w:p w14:paraId="32F11938" w14:textId="77777777" w:rsidR="00942319" w:rsidRPr="00942319" w:rsidRDefault="00942319" w:rsidP="00942319">
      <w:pPr>
        <w:tabs>
          <w:tab w:val="left" w:pos="567"/>
        </w:tabs>
        <w:spacing w:line="260" w:lineRule="exact"/>
        <w:rPr>
          <w:sz w:val="22"/>
          <w:szCs w:val="24"/>
        </w:rPr>
      </w:pPr>
      <w:proofErr w:type="spellStart"/>
      <w:r w:rsidRPr="00942319">
        <w:rPr>
          <w:sz w:val="22"/>
          <w:szCs w:val="24"/>
        </w:rPr>
        <w:t>Verovškova</w:t>
      </w:r>
      <w:proofErr w:type="spellEnd"/>
      <w:r w:rsidRPr="00942319">
        <w:rPr>
          <w:sz w:val="22"/>
          <w:szCs w:val="24"/>
        </w:rPr>
        <w:t xml:space="preserve"> </w:t>
      </w:r>
      <w:proofErr w:type="spellStart"/>
      <w:r w:rsidRPr="00942319">
        <w:rPr>
          <w:sz w:val="22"/>
          <w:szCs w:val="24"/>
        </w:rPr>
        <w:t>ulica</w:t>
      </w:r>
      <w:proofErr w:type="spellEnd"/>
      <w:r w:rsidRPr="00942319">
        <w:rPr>
          <w:sz w:val="22"/>
          <w:szCs w:val="24"/>
        </w:rPr>
        <w:t xml:space="preserve"> 57</w:t>
      </w:r>
    </w:p>
    <w:p w14:paraId="666152E2" w14:textId="77777777" w:rsidR="00942319" w:rsidRPr="00942319" w:rsidRDefault="00942319" w:rsidP="00942319">
      <w:pPr>
        <w:tabs>
          <w:tab w:val="left" w:pos="567"/>
        </w:tabs>
        <w:spacing w:line="260" w:lineRule="exact"/>
        <w:rPr>
          <w:sz w:val="22"/>
          <w:szCs w:val="24"/>
        </w:rPr>
      </w:pPr>
      <w:r w:rsidRPr="00942319">
        <w:rPr>
          <w:sz w:val="22"/>
          <w:szCs w:val="24"/>
        </w:rPr>
        <w:t xml:space="preserve">1526 </w:t>
      </w:r>
      <w:proofErr w:type="spellStart"/>
      <w:r w:rsidRPr="00942319">
        <w:rPr>
          <w:sz w:val="22"/>
          <w:szCs w:val="24"/>
        </w:rPr>
        <w:t>Ljubljana</w:t>
      </w:r>
      <w:proofErr w:type="spellEnd"/>
    </w:p>
    <w:p w14:paraId="7D6BEA2E" w14:textId="3EB58444" w:rsidR="008D3B35" w:rsidRDefault="00942319" w:rsidP="00942319">
      <w:pPr>
        <w:tabs>
          <w:tab w:val="left" w:pos="567"/>
        </w:tabs>
        <w:spacing w:line="260" w:lineRule="exact"/>
        <w:rPr>
          <w:sz w:val="22"/>
          <w:szCs w:val="24"/>
        </w:rPr>
      </w:pPr>
      <w:r w:rsidRPr="00942319">
        <w:rPr>
          <w:sz w:val="22"/>
          <w:szCs w:val="24"/>
        </w:rPr>
        <w:t>Slovėnija</w:t>
      </w:r>
    </w:p>
    <w:p w14:paraId="159C52B6" w14:textId="77777777" w:rsidR="00942319" w:rsidRPr="003F564F" w:rsidRDefault="00942319" w:rsidP="00942319">
      <w:pPr>
        <w:tabs>
          <w:tab w:val="left" w:pos="567"/>
        </w:tabs>
        <w:spacing w:line="260" w:lineRule="exact"/>
        <w:rPr>
          <w:sz w:val="22"/>
          <w:szCs w:val="24"/>
        </w:rPr>
      </w:pPr>
    </w:p>
    <w:p w14:paraId="3003DEF9" w14:textId="75E56FE3" w:rsidR="008D3B35" w:rsidRPr="003F564F" w:rsidRDefault="00AB4978">
      <w:pPr>
        <w:tabs>
          <w:tab w:val="left" w:pos="567"/>
        </w:tabs>
        <w:jc w:val="both"/>
        <w:rPr>
          <w:sz w:val="22"/>
          <w:szCs w:val="24"/>
        </w:rPr>
      </w:pPr>
      <w:r w:rsidRPr="003F564F">
        <w:rPr>
          <w:sz w:val="22"/>
          <w:szCs w:val="24"/>
        </w:rPr>
        <w:t>Su pakuote pateikiamame lapelyje nurodomas gamintojo, atsakingo už konkrečios serijos išleidimą, pavadinimas ir adresas.</w:t>
      </w:r>
    </w:p>
    <w:p w14:paraId="1F8DBE77" w14:textId="77777777" w:rsidR="008D3B35" w:rsidRPr="003F564F" w:rsidRDefault="008D3B35">
      <w:pPr>
        <w:tabs>
          <w:tab w:val="left" w:pos="567"/>
        </w:tabs>
        <w:spacing w:line="260" w:lineRule="exact"/>
        <w:rPr>
          <w:sz w:val="22"/>
          <w:szCs w:val="24"/>
        </w:rPr>
      </w:pPr>
    </w:p>
    <w:p w14:paraId="1BD0A410" w14:textId="77777777" w:rsidR="008D3B35" w:rsidRPr="003F564F" w:rsidRDefault="008D3B35">
      <w:pPr>
        <w:tabs>
          <w:tab w:val="left" w:pos="567"/>
        </w:tabs>
        <w:spacing w:line="260" w:lineRule="exact"/>
        <w:rPr>
          <w:sz w:val="22"/>
          <w:szCs w:val="24"/>
        </w:rPr>
      </w:pPr>
    </w:p>
    <w:p w14:paraId="2E32C292" w14:textId="77777777" w:rsidR="008D3B35" w:rsidRPr="003F564F" w:rsidRDefault="00AB4978">
      <w:pPr>
        <w:tabs>
          <w:tab w:val="left" w:pos="567"/>
        </w:tabs>
        <w:ind w:left="567" w:hanging="567"/>
        <w:rPr>
          <w:sz w:val="22"/>
          <w:szCs w:val="24"/>
        </w:rPr>
      </w:pPr>
      <w:r w:rsidRPr="003F564F">
        <w:rPr>
          <w:b/>
          <w:sz w:val="22"/>
          <w:szCs w:val="24"/>
        </w:rPr>
        <w:t>B.</w:t>
      </w:r>
      <w:r w:rsidRPr="003F564F">
        <w:rPr>
          <w:b/>
          <w:sz w:val="22"/>
          <w:szCs w:val="24"/>
        </w:rPr>
        <w:tab/>
        <w:t>TIEKIMO IR VARTOJIMO SĄLYGOS AR APRIBOJIMAI</w:t>
      </w:r>
    </w:p>
    <w:p w14:paraId="6C5F1CD3" w14:textId="77777777" w:rsidR="008D3B35" w:rsidRPr="003F564F" w:rsidRDefault="008D3B35">
      <w:pPr>
        <w:tabs>
          <w:tab w:val="left" w:pos="567"/>
        </w:tabs>
        <w:spacing w:line="260" w:lineRule="exact"/>
        <w:rPr>
          <w:sz w:val="22"/>
          <w:szCs w:val="24"/>
        </w:rPr>
      </w:pPr>
    </w:p>
    <w:p w14:paraId="727D6C89" w14:textId="7EABFB23" w:rsidR="00942319" w:rsidRDefault="00942319" w:rsidP="00C13DE5">
      <w:pPr>
        <w:tabs>
          <w:tab w:val="left" w:pos="567"/>
        </w:tabs>
        <w:spacing w:line="260" w:lineRule="exact"/>
        <w:rPr>
          <w:sz w:val="22"/>
          <w:szCs w:val="24"/>
        </w:rPr>
      </w:pPr>
      <w:r w:rsidRPr="00942319">
        <w:rPr>
          <w:sz w:val="22"/>
          <w:szCs w:val="24"/>
        </w:rPr>
        <w:t>Receptinis vaistinis preparatas.</w:t>
      </w:r>
    </w:p>
    <w:p w14:paraId="52B051E5" w14:textId="77777777" w:rsidR="008D3B35" w:rsidRPr="003F564F" w:rsidRDefault="008D3B35">
      <w:pPr>
        <w:rPr>
          <w:sz w:val="18"/>
          <w:szCs w:val="24"/>
          <w:lang w:eastAsia="lt-LT"/>
        </w:rPr>
      </w:pPr>
    </w:p>
    <w:p w14:paraId="1035CE88" w14:textId="77777777" w:rsidR="008D3B35" w:rsidRPr="003F564F" w:rsidRDefault="008D3B35">
      <w:pPr>
        <w:tabs>
          <w:tab w:val="left" w:pos="567"/>
        </w:tabs>
        <w:spacing w:line="260" w:lineRule="exact"/>
      </w:pPr>
    </w:p>
    <w:p w14:paraId="7B40DF7D" w14:textId="77777777" w:rsidR="008D3B35" w:rsidRPr="003F564F" w:rsidRDefault="008D3B35">
      <w:pPr>
        <w:tabs>
          <w:tab w:val="left" w:pos="4962"/>
        </w:tabs>
        <w:ind w:firstLine="4962"/>
        <w:sectPr w:rsidR="008D3B35" w:rsidRPr="003F564F" w:rsidSect="00396893">
          <w:pgSz w:w="11906" w:h="16838" w:code="9"/>
          <w:pgMar w:top="1134" w:right="1418" w:bottom="1134" w:left="1418" w:header="737" w:footer="737" w:gutter="0"/>
          <w:pgNumType w:start="1" w:chapStyle="1"/>
          <w:cols w:space="1296"/>
          <w:titlePg/>
          <w:docGrid w:linePitch="360"/>
        </w:sectPr>
      </w:pPr>
    </w:p>
    <w:p w14:paraId="17B71C23" w14:textId="77777777" w:rsidR="008D3B35" w:rsidRPr="003F564F" w:rsidRDefault="008D3B35">
      <w:pPr>
        <w:tabs>
          <w:tab w:val="left" w:pos="4962"/>
        </w:tabs>
        <w:rPr>
          <w:rFonts w:ascii="Courier New" w:eastAsia="SimSun" w:hAnsi="Courier New"/>
          <w:sz w:val="22"/>
          <w:szCs w:val="22"/>
        </w:rPr>
      </w:pPr>
    </w:p>
    <w:p w14:paraId="66BF24DB" w14:textId="77777777" w:rsidR="008D3B35" w:rsidRPr="003F564F" w:rsidRDefault="008D3B35">
      <w:pPr>
        <w:tabs>
          <w:tab w:val="left" w:pos="567"/>
        </w:tabs>
        <w:spacing w:line="260" w:lineRule="exact"/>
        <w:rPr>
          <w:sz w:val="22"/>
        </w:rPr>
      </w:pPr>
    </w:p>
    <w:p w14:paraId="4DF5E3F6" w14:textId="77777777" w:rsidR="008D3B35" w:rsidRPr="003F564F" w:rsidRDefault="008D3B35">
      <w:pPr>
        <w:tabs>
          <w:tab w:val="left" w:pos="567"/>
        </w:tabs>
        <w:spacing w:line="260" w:lineRule="exact"/>
        <w:rPr>
          <w:sz w:val="22"/>
        </w:rPr>
      </w:pPr>
    </w:p>
    <w:p w14:paraId="6D373E9D" w14:textId="77777777" w:rsidR="008D3B35" w:rsidRPr="003F564F" w:rsidRDefault="008D3B35">
      <w:pPr>
        <w:tabs>
          <w:tab w:val="left" w:pos="567"/>
        </w:tabs>
        <w:spacing w:line="260" w:lineRule="exact"/>
        <w:rPr>
          <w:sz w:val="22"/>
        </w:rPr>
      </w:pPr>
    </w:p>
    <w:p w14:paraId="7B69FC9A" w14:textId="77777777" w:rsidR="008D3B35" w:rsidRPr="003F564F" w:rsidRDefault="008D3B35">
      <w:pPr>
        <w:tabs>
          <w:tab w:val="left" w:pos="567"/>
        </w:tabs>
        <w:spacing w:line="260" w:lineRule="exact"/>
        <w:rPr>
          <w:sz w:val="22"/>
        </w:rPr>
      </w:pPr>
    </w:p>
    <w:p w14:paraId="2C0C8B9E" w14:textId="77777777" w:rsidR="008D3B35" w:rsidRPr="003F564F" w:rsidRDefault="008D3B35">
      <w:pPr>
        <w:tabs>
          <w:tab w:val="left" w:pos="567"/>
        </w:tabs>
        <w:spacing w:line="260" w:lineRule="exact"/>
        <w:rPr>
          <w:sz w:val="22"/>
        </w:rPr>
      </w:pPr>
    </w:p>
    <w:p w14:paraId="785506FC" w14:textId="77777777" w:rsidR="008D3B35" w:rsidRPr="003F564F" w:rsidRDefault="008D3B35">
      <w:pPr>
        <w:tabs>
          <w:tab w:val="left" w:pos="567"/>
        </w:tabs>
        <w:spacing w:line="260" w:lineRule="exact"/>
        <w:rPr>
          <w:sz w:val="22"/>
        </w:rPr>
      </w:pPr>
    </w:p>
    <w:p w14:paraId="70F9E289" w14:textId="77777777" w:rsidR="008D3B35" w:rsidRPr="003F564F" w:rsidRDefault="008D3B35">
      <w:pPr>
        <w:tabs>
          <w:tab w:val="left" w:pos="567"/>
        </w:tabs>
        <w:spacing w:line="260" w:lineRule="exact"/>
        <w:rPr>
          <w:sz w:val="22"/>
        </w:rPr>
      </w:pPr>
    </w:p>
    <w:p w14:paraId="3D749EAD" w14:textId="77777777" w:rsidR="008D3B35" w:rsidRPr="003F564F" w:rsidRDefault="008D3B35">
      <w:pPr>
        <w:tabs>
          <w:tab w:val="left" w:pos="567"/>
        </w:tabs>
        <w:spacing w:line="260" w:lineRule="exact"/>
        <w:rPr>
          <w:sz w:val="22"/>
        </w:rPr>
      </w:pPr>
    </w:p>
    <w:p w14:paraId="3DF824E5" w14:textId="77777777" w:rsidR="008D3B35" w:rsidRPr="003F564F" w:rsidRDefault="008D3B35">
      <w:pPr>
        <w:tabs>
          <w:tab w:val="left" w:pos="567"/>
        </w:tabs>
        <w:spacing w:line="260" w:lineRule="exact"/>
        <w:rPr>
          <w:sz w:val="22"/>
        </w:rPr>
      </w:pPr>
    </w:p>
    <w:p w14:paraId="73AC3B0E" w14:textId="77777777" w:rsidR="008D3B35" w:rsidRPr="003F564F" w:rsidRDefault="008D3B35">
      <w:pPr>
        <w:tabs>
          <w:tab w:val="left" w:pos="567"/>
        </w:tabs>
        <w:spacing w:line="260" w:lineRule="exact"/>
        <w:rPr>
          <w:sz w:val="22"/>
        </w:rPr>
      </w:pPr>
    </w:p>
    <w:p w14:paraId="31628E6F" w14:textId="77777777" w:rsidR="008D3B35" w:rsidRPr="003F564F" w:rsidRDefault="008D3B35">
      <w:pPr>
        <w:tabs>
          <w:tab w:val="left" w:pos="567"/>
        </w:tabs>
        <w:spacing w:line="260" w:lineRule="exact"/>
        <w:rPr>
          <w:sz w:val="22"/>
        </w:rPr>
      </w:pPr>
    </w:p>
    <w:p w14:paraId="2CFF0607" w14:textId="77777777" w:rsidR="008D3B35" w:rsidRPr="003F564F" w:rsidRDefault="008D3B35">
      <w:pPr>
        <w:tabs>
          <w:tab w:val="left" w:pos="567"/>
        </w:tabs>
        <w:spacing w:line="260" w:lineRule="exact"/>
        <w:rPr>
          <w:sz w:val="22"/>
        </w:rPr>
      </w:pPr>
    </w:p>
    <w:p w14:paraId="4E96FBE1" w14:textId="77777777" w:rsidR="008D3B35" w:rsidRPr="003F564F" w:rsidRDefault="008D3B35">
      <w:pPr>
        <w:tabs>
          <w:tab w:val="left" w:pos="567"/>
        </w:tabs>
        <w:spacing w:line="260" w:lineRule="exact"/>
        <w:rPr>
          <w:sz w:val="22"/>
        </w:rPr>
      </w:pPr>
    </w:p>
    <w:p w14:paraId="1149CF91" w14:textId="77777777" w:rsidR="008D3B35" w:rsidRPr="003F564F" w:rsidRDefault="008D3B35">
      <w:pPr>
        <w:tabs>
          <w:tab w:val="left" w:pos="567"/>
        </w:tabs>
        <w:spacing w:line="260" w:lineRule="exact"/>
        <w:rPr>
          <w:sz w:val="22"/>
        </w:rPr>
      </w:pPr>
    </w:p>
    <w:p w14:paraId="57ACA592" w14:textId="77777777" w:rsidR="008D3B35" w:rsidRPr="003F564F" w:rsidRDefault="008D3B35">
      <w:pPr>
        <w:tabs>
          <w:tab w:val="left" w:pos="567"/>
        </w:tabs>
        <w:spacing w:line="260" w:lineRule="exact"/>
        <w:rPr>
          <w:sz w:val="22"/>
        </w:rPr>
      </w:pPr>
    </w:p>
    <w:p w14:paraId="1558BF36" w14:textId="77777777" w:rsidR="008D3B35" w:rsidRPr="003F564F" w:rsidRDefault="008D3B35">
      <w:pPr>
        <w:tabs>
          <w:tab w:val="left" w:pos="567"/>
        </w:tabs>
        <w:spacing w:line="260" w:lineRule="exact"/>
        <w:rPr>
          <w:sz w:val="22"/>
        </w:rPr>
      </w:pPr>
    </w:p>
    <w:p w14:paraId="08AC470C" w14:textId="77777777" w:rsidR="008D3B35" w:rsidRPr="003F564F" w:rsidRDefault="008D3B35">
      <w:pPr>
        <w:tabs>
          <w:tab w:val="left" w:pos="567"/>
        </w:tabs>
        <w:spacing w:line="260" w:lineRule="exact"/>
        <w:rPr>
          <w:b/>
          <w:sz w:val="22"/>
        </w:rPr>
      </w:pPr>
    </w:p>
    <w:p w14:paraId="542E5553" w14:textId="77777777" w:rsidR="008D3B35" w:rsidRPr="003F564F" w:rsidRDefault="008D3B35">
      <w:pPr>
        <w:tabs>
          <w:tab w:val="left" w:pos="567"/>
        </w:tabs>
        <w:spacing w:line="260" w:lineRule="exact"/>
        <w:rPr>
          <w:b/>
          <w:sz w:val="22"/>
        </w:rPr>
      </w:pPr>
    </w:p>
    <w:p w14:paraId="108C3350" w14:textId="77777777" w:rsidR="008D3B35" w:rsidRPr="003F564F" w:rsidRDefault="008D3B35">
      <w:pPr>
        <w:tabs>
          <w:tab w:val="left" w:pos="567"/>
        </w:tabs>
        <w:spacing w:line="260" w:lineRule="exact"/>
        <w:rPr>
          <w:b/>
          <w:sz w:val="22"/>
        </w:rPr>
      </w:pPr>
    </w:p>
    <w:p w14:paraId="6D993596" w14:textId="77777777" w:rsidR="008D3B35" w:rsidRPr="003F564F" w:rsidRDefault="008D3B35">
      <w:pPr>
        <w:tabs>
          <w:tab w:val="left" w:pos="567"/>
        </w:tabs>
        <w:spacing w:line="260" w:lineRule="exact"/>
        <w:rPr>
          <w:b/>
          <w:sz w:val="22"/>
        </w:rPr>
      </w:pPr>
    </w:p>
    <w:p w14:paraId="29A9BE2B" w14:textId="77777777" w:rsidR="008D3B35" w:rsidRPr="003F564F" w:rsidRDefault="008D3B35">
      <w:pPr>
        <w:tabs>
          <w:tab w:val="left" w:pos="567"/>
        </w:tabs>
        <w:spacing w:line="260" w:lineRule="exact"/>
        <w:rPr>
          <w:b/>
          <w:sz w:val="22"/>
        </w:rPr>
      </w:pPr>
    </w:p>
    <w:p w14:paraId="6FF14911" w14:textId="77777777" w:rsidR="008D3B35" w:rsidRPr="003F564F" w:rsidRDefault="008D3B35">
      <w:pPr>
        <w:tabs>
          <w:tab w:val="left" w:pos="567"/>
        </w:tabs>
        <w:spacing w:line="260" w:lineRule="exact"/>
        <w:rPr>
          <w:b/>
          <w:sz w:val="22"/>
        </w:rPr>
      </w:pPr>
    </w:p>
    <w:p w14:paraId="168CFC07" w14:textId="77777777" w:rsidR="008D3B35" w:rsidRPr="003F564F" w:rsidRDefault="00AB4978">
      <w:pPr>
        <w:keepNext/>
        <w:tabs>
          <w:tab w:val="left" w:pos="567"/>
        </w:tabs>
        <w:jc w:val="center"/>
        <w:outlineLvl w:val="1"/>
        <w:rPr>
          <w:b/>
          <w:sz w:val="22"/>
          <w:szCs w:val="24"/>
          <w:lang w:eastAsia="x-none"/>
        </w:rPr>
      </w:pPr>
      <w:r w:rsidRPr="003F564F">
        <w:rPr>
          <w:b/>
          <w:bCs/>
          <w:iCs/>
          <w:sz w:val="22"/>
          <w:szCs w:val="28"/>
          <w:lang w:eastAsia="x-none"/>
        </w:rPr>
        <w:t>III PRIEDAS</w:t>
      </w:r>
    </w:p>
    <w:p w14:paraId="39AD4CEB" w14:textId="77777777" w:rsidR="008D3B35" w:rsidRPr="003F564F" w:rsidRDefault="008D3B35">
      <w:pPr>
        <w:tabs>
          <w:tab w:val="left" w:pos="567"/>
        </w:tabs>
        <w:spacing w:line="260" w:lineRule="exact"/>
        <w:rPr>
          <w:sz w:val="22"/>
          <w:szCs w:val="24"/>
        </w:rPr>
      </w:pPr>
    </w:p>
    <w:p w14:paraId="486CABF0" w14:textId="77777777" w:rsidR="008D3B35" w:rsidRPr="003F564F" w:rsidRDefault="00AB4978">
      <w:pPr>
        <w:keepNext/>
        <w:tabs>
          <w:tab w:val="left" w:pos="567"/>
        </w:tabs>
        <w:jc w:val="center"/>
        <w:outlineLvl w:val="1"/>
        <w:rPr>
          <w:b/>
          <w:sz w:val="22"/>
          <w:szCs w:val="24"/>
          <w:lang w:eastAsia="x-none"/>
        </w:rPr>
      </w:pPr>
      <w:r w:rsidRPr="003F564F">
        <w:rPr>
          <w:b/>
          <w:bCs/>
          <w:iCs/>
          <w:sz w:val="22"/>
          <w:szCs w:val="28"/>
          <w:lang w:eastAsia="x-none"/>
        </w:rPr>
        <w:t>ŽENKLINIMAS IR PAKUOTĖS LAPELIS</w:t>
      </w:r>
    </w:p>
    <w:p w14:paraId="0C0CE47E" w14:textId="77777777" w:rsidR="008D3B35" w:rsidRPr="003F564F" w:rsidRDefault="00AB4978">
      <w:pPr>
        <w:tabs>
          <w:tab w:val="left" w:pos="567"/>
        </w:tabs>
        <w:spacing w:line="260" w:lineRule="exact"/>
        <w:rPr>
          <w:sz w:val="22"/>
          <w:szCs w:val="24"/>
        </w:rPr>
      </w:pPr>
      <w:r w:rsidRPr="003F564F">
        <w:rPr>
          <w:sz w:val="22"/>
          <w:szCs w:val="24"/>
        </w:rPr>
        <w:br w:type="page"/>
      </w:r>
    </w:p>
    <w:p w14:paraId="65A66221" w14:textId="77777777" w:rsidR="008D3B35" w:rsidRPr="003F564F" w:rsidRDefault="008D3B35">
      <w:pPr>
        <w:tabs>
          <w:tab w:val="left" w:pos="567"/>
        </w:tabs>
        <w:spacing w:line="260" w:lineRule="exact"/>
        <w:rPr>
          <w:sz w:val="22"/>
          <w:szCs w:val="24"/>
        </w:rPr>
      </w:pPr>
    </w:p>
    <w:p w14:paraId="3B0F7A35" w14:textId="77777777" w:rsidR="008D3B35" w:rsidRPr="003F564F" w:rsidRDefault="008D3B35">
      <w:pPr>
        <w:tabs>
          <w:tab w:val="left" w:pos="567"/>
        </w:tabs>
        <w:spacing w:line="260" w:lineRule="exact"/>
        <w:rPr>
          <w:sz w:val="22"/>
          <w:szCs w:val="24"/>
        </w:rPr>
      </w:pPr>
    </w:p>
    <w:p w14:paraId="5BD02482" w14:textId="77777777" w:rsidR="008D3B35" w:rsidRPr="003F564F" w:rsidRDefault="008D3B35">
      <w:pPr>
        <w:tabs>
          <w:tab w:val="left" w:pos="567"/>
        </w:tabs>
        <w:spacing w:line="260" w:lineRule="exact"/>
        <w:rPr>
          <w:sz w:val="22"/>
          <w:szCs w:val="24"/>
        </w:rPr>
      </w:pPr>
    </w:p>
    <w:p w14:paraId="5B158696" w14:textId="77777777" w:rsidR="008D3B35" w:rsidRPr="003F564F" w:rsidRDefault="008D3B35">
      <w:pPr>
        <w:tabs>
          <w:tab w:val="left" w:pos="567"/>
        </w:tabs>
        <w:spacing w:line="260" w:lineRule="exact"/>
        <w:rPr>
          <w:sz w:val="22"/>
          <w:szCs w:val="24"/>
        </w:rPr>
      </w:pPr>
    </w:p>
    <w:p w14:paraId="63D90FE4" w14:textId="77777777" w:rsidR="008D3B35" w:rsidRPr="003F564F" w:rsidRDefault="008D3B35">
      <w:pPr>
        <w:tabs>
          <w:tab w:val="left" w:pos="567"/>
        </w:tabs>
        <w:spacing w:line="260" w:lineRule="exact"/>
        <w:rPr>
          <w:sz w:val="22"/>
          <w:szCs w:val="24"/>
        </w:rPr>
      </w:pPr>
    </w:p>
    <w:p w14:paraId="19439125" w14:textId="77777777" w:rsidR="008D3B35" w:rsidRPr="003F564F" w:rsidRDefault="008D3B35">
      <w:pPr>
        <w:tabs>
          <w:tab w:val="left" w:pos="567"/>
        </w:tabs>
        <w:spacing w:line="260" w:lineRule="exact"/>
        <w:rPr>
          <w:sz w:val="22"/>
          <w:szCs w:val="24"/>
        </w:rPr>
      </w:pPr>
    </w:p>
    <w:p w14:paraId="502400D2" w14:textId="77777777" w:rsidR="008D3B35" w:rsidRPr="003F564F" w:rsidRDefault="008D3B35">
      <w:pPr>
        <w:tabs>
          <w:tab w:val="left" w:pos="567"/>
        </w:tabs>
        <w:spacing w:line="260" w:lineRule="exact"/>
        <w:rPr>
          <w:sz w:val="22"/>
          <w:szCs w:val="24"/>
        </w:rPr>
      </w:pPr>
    </w:p>
    <w:p w14:paraId="104063F7" w14:textId="77777777" w:rsidR="008D3B35" w:rsidRPr="003F564F" w:rsidRDefault="008D3B35">
      <w:pPr>
        <w:tabs>
          <w:tab w:val="left" w:pos="567"/>
        </w:tabs>
        <w:spacing w:line="260" w:lineRule="exact"/>
        <w:rPr>
          <w:sz w:val="22"/>
          <w:szCs w:val="24"/>
        </w:rPr>
      </w:pPr>
    </w:p>
    <w:p w14:paraId="1147AEE2" w14:textId="77777777" w:rsidR="008D3B35" w:rsidRPr="003F564F" w:rsidRDefault="008D3B35">
      <w:pPr>
        <w:tabs>
          <w:tab w:val="left" w:pos="567"/>
        </w:tabs>
        <w:spacing w:line="260" w:lineRule="exact"/>
        <w:rPr>
          <w:sz w:val="22"/>
          <w:szCs w:val="24"/>
        </w:rPr>
      </w:pPr>
    </w:p>
    <w:p w14:paraId="060CD7C4" w14:textId="77777777" w:rsidR="008D3B35" w:rsidRPr="003F564F" w:rsidRDefault="008D3B35">
      <w:pPr>
        <w:tabs>
          <w:tab w:val="left" w:pos="567"/>
        </w:tabs>
        <w:spacing w:line="260" w:lineRule="exact"/>
        <w:rPr>
          <w:sz w:val="22"/>
          <w:szCs w:val="24"/>
        </w:rPr>
      </w:pPr>
    </w:p>
    <w:p w14:paraId="35BE2E81" w14:textId="77777777" w:rsidR="008D3B35" w:rsidRPr="003F564F" w:rsidRDefault="008D3B35">
      <w:pPr>
        <w:tabs>
          <w:tab w:val="left" w:pos="567"/>
        </w:tabs>
        <w:spacing w:line="260" w:lineRule="exact"/>
        <w:rPr>
          <w:sz w:val="22"/>
          <w:szCs w:val="24"/>
        </w:rPr>
      </w:pPr>
    </w:p>
    <w:p w14:paraId="5C0ADC75" w14:textId="77777777" w:rsidR="008D3B35" w:rsidRPr="003F564F" w:rsidRDefault="008D3B35">
      <w:pPr>
        <w:tabs>
          <w:tab w:val="left" w:pos="567"/>
        </w:tabs>
        <w:spacing w:line="260" w:lineRule="exact"/>
        <w:rPr>
          <w:sz w:val="22"/>
          <w:szCs w:val="24"/>
        </w:rPr>
      </w:pPr>
    </w:p>
    <w:p w14:paraId="27B86D4A" w14:textId="77777777" w:rsidR="008D3B35" w:rsidRPr="003F564F" w:rsidRDefault="008D3B35">
      <w:pPr>
        <w:tabs>
          <w:tab w:val="left" w:pos="567"/>
        </w:tabs>
        <w:spacing w:line="260" w:lineRule="exact"/>
        <w:rPr>
          <w:sz w:val="22"/>
          <w:szCs w:val="24"/>
        </w:rPr>
      </w:pPr>
    </w:p>
    <w:p w14:paraId="6945823A" w14:textId="77777777" w:rsidR="008D3B35" w:rsidRPr="003F564F" w:rsidRDefault="008D3B35">
      <w:pPr>
        <w:tabs>
          <w:tab w:val="left" w:pos="567"/>
        </w:tabs>
        <w:spacing w:line="260" w:lineRule="exact"/>
        <w:rPr>
          <w:sz w:val="22"/>
          <w:szCs w:val="24"/>
        </w:rPr>
      </w:pPr>
    </w:p>
    <w:p w14:paraId="2AA1DCD0" w14:textId="77777777" w:rsidR="008D3B35" w:rsidRPr="003F564F" w:rsidRDefault="008D3B35">
      <w:pPr>
        <w:tabs>
          <w:tab w:val="left" w:pos="567"/>
        </w:tabs>
        <w:spacing w:line="260" w:lineRule="exact"/>
        <w:rPr>
          <w:sz w:val="22"/>
          <w:szCs w:val="24"/>
        </w:rPr>
      </w:pPr>
    </w:p>
    <w:p w14:paraId="1EA0E710" w14:textId="77777777" w:rsidR="008D3B35" w:rsidRPr="003F564F" w:rsidRDefault="008D3B35">
      <w:pPr>
        <w:tabs>
          <w:tab w:val="left" w:pos="567"/>
        </w:tabs>
        <w:spacing w:line="260" w:lineRule="exact"/>
        <w:rPr>
          <w:sz w:val="22"/>
          <w:szCs w:val="24"/>
        </w:rPr>
      </w:pPr>
    </w:p>
    <w:p w14:paraId="1DCD1FF0" w14:textId="77777777" w:rsidR="008D3B35" w:rsidRPr="003F564F" w:rsidRDefault="008D3B35">
      <w:pPr>
        <w:tabs>
          <w:tab w:val="left" w:pos="567"/>
        </w:tabs>
        <w:spacing w:line="260" w:lineRule="exact"/>
        <w:rPr>
          <w:sz w:val="22"/>
          <w:szCs w:val="24"/>
        </w:rPr>
      </w:pPr>
    </w:p>
    <w:p w14:paraId="614F0CD5" w14:textId="77777777" w:rsidR="008D3B35" w:rsidRPr="003F564F" w:rsidRDefault="008D3B35">
      <w:pPr>
        <w:tabs>
          <w:tab w:val="left" w:pos="567"/>
        </w:tabs>
        <w:spacing w:line="260" w:lineRule="exact"/>
        <w:rPr>
          <w:sz w:val="22"/>
          <w:szCs w:val="24"/>
        </w:rPr>
      </w:pPr>
    </w:p>
    <w:p w14:paraId="30AC2EA2" w14:textId="77777777" w:rsidR="008D3B35" w:rsidRPr="003F564F" w:rsidRDefault="008D3B35">
      <w:pPr>
        <w:tabs>
          <w:tab w:val="left" w:pos="567"/>
        </w:tabs>
        <w:spacing w:line="260" w:lineRule="exact"/>
        <w:rPr>
          <w:sz w:val="22"/>
          <w:szCs w:val="24"/>
        </w:rPr>
      </w:pPr>
    </w:p>
    <w:p w14:paraId="5885BBDD" w14:textId="77777777" w:rsidR="008D3B35" w:rsidRPr="003F564F" w:rsidRDefault="008D3B35">
      <w:pPr>
        <w:tabs>
          <w:tab w:val="left" w:pos="567"/>
        </w:tabs>
        <w:spacing w:line="260" w:lineRule="exact"/>
        <w:rPr>
          <w:sz w:val="22"/>
          <w:szCs w:val="24"/>
        </w:rPr>
      </w:pPr>
    </w:p>
    <w:p w14:paraId="1D850446" w14:textId="77777777" w:rsidR="008D3B35" w:rsidRPr="003F564F" w:rsidRDefault="008D3B35">
      <w:pPr>
        <w:tabs>
          <w:tab w:val="left" w:pos="567"/>
        </w:tabs>
        <w:spacing w:line="260" w:lineRule="exact"/>
        <w:rPr>
          <w:sz w:val="22"/>
          <w:szCs w:val="24"/>
        </w:rPr>
      </w:pPr>
    </w:p>
    <w:p w14:paraId="1301B5FE" w14:textId="77777777" w:rsidR="008D3B35" w:rsidRPr="003F564F" w:rsidRDefault="008D3B35">
      <w:pPr>
        <w:tabs>
          <w:tab w:val="left" w:pos="567"/>
        </w:tabs>
        <w:spacing w:line="260" w:lineRule="exact"/>
        <w:rPr>
          <w:sz w:val="22"/>
          <w:szCs w:val="24"/>
        </w:rPr>
      </w:pPr>
    </w:p>
    <w:p w14:paraId="43AF8C78" w14:textId="77777777" w:rsidR="008D3B35" w:rsidRPr="003F564F" w:rsidRDefault="00AB4978">
      <w:pPr>
        <w:keepNext/>
        <w:tabs>
          <w:tab w:val="left" w:pos="567"/>
        </w:tabs>
        <w:jc w:val="center"/>
        <w:outlineLvl w:val="1"/>
        <w:rPr>
          <w:b/>
          <w:sz w:val="22"/>
          <w:szCs w:val="24"/>
          <w:lang w:eastAsia="x-none"/>
        </w:rPr>
      </w:pPr>
      <w:r w:rsidRPr="003F564F">
        <w:rPr>
          <w:b/>
          <w:bCs/>
          <w:iCs/>
          <w:sz w:val="22"/>
          <w:szCs w:val="28"/>
          <w:lang w:eastAsia="x-none"/>
        </w:rPr>
        <w:t>A. ŽENKLINIMAS</w:t>
      </w:r>
    </w:p>
    <w:p w14:paraId="40AC9E1A" w14:textId="77777777" w:rsidR="008D3B35" w:rsidRPr="003F564F" w:rsidRDefault="00AB4978">
      <w:pPr>
        <w:tabs>
          <w:tab w:val="left" w:pos="567"/>
        </w:tabs>
        <w:spacing w:line="260" w:lineRule="exact"/>
        <w:rPr>
          <w:sz w:val="22"/>
          <w:szCs w:val="24"/>
        </w:rPr>
      </w:pPr>
      <w:r w:rsidRPr="003F564F">
        <w:rPr>
          <w:sz w:val="22"/>
          <w:szCs w:val="24"/>
        </w:rPr>
        <w:br w:type="page"/>
      </w:r>
    </w:p>
    <w:p w14:paraId="393A225D" w14:textId="33D1FB0D" w:rsidR="008D3B35" w:rsidRPr="003F564F"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sidRPr="003F564F">
        <w:rPr>
          <w:b/>
          <w:sz w:val="22"/>
          <w:szCs w:val="24"/>
        </w:rPr>
        <w:lastRenderedPageBreak/>
        <w:t>INFORMACIJA ANT IR VIDINĖS PAKUOTĖS</w:t>
      </w:r>
    </w:p>
    <w:p w14:paraId="0645183D" w14:textId="77777777" w:rsidR="008D3B35" w:rsidRPr="003F564F" w:rsidRDefault="008D3B35">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p>
    <w:p w14:paraId="23BF9675" w14:textId="1A61BD79" w:rsidR="008D3B35" w:rsidRPr="003F564F" w:rsidRDefault="00C13DE5">
      <w:pPr>
        <w:pBdr>
          <w:top w:val="single" w:sz="4" w:space="1" w:color="auto"/>
          <w:left w:val="single" w:sz="4" w:space="4" w:color="auto"/>
          <w:bottom w:val="single" w:sz="4" w:space="1" w:color="auto"/>
          <w:right w:val="single" w:sz="4" w:space="4" w:color="auto"/>
        </w:pBdr>
        <w:tabs>
          <w:tab w:val="left" w:pos="567"/>
        </w:tabs>
        <w:rPr>
          <w:b/>
          <w:sz w:val="22"/>
          <w:szCs w:val="24"/>
        </w:rPr>
      </w:pPr>
      <w:r w:rsidRPr="003F564F">
        <w:rPr>
          <w:b/>
          <w:sz w:val="22"/>
          <w:szCs w:val="24"/>
        </w:rPr>
        <w:t>KARTONO DĖŽUTĖ</w:t>
      </w:r>
    </w:p>
    <w:p w14:paraId="07FBC61F" w14:textId="77777777" w:rsidR="008D3B35" w:rsidRPr="003F564F" w:rsidRDefault="008D3B35" w:rsidP="00F729C1">
      <w:pPr>
        <w:tabs>
          <w:tab w:val="left" w:pos="567"/>
        </w:tabs>
        <w:rPr>
          <w:sz w:val="22"/>
          <w:szCs w:val="24"/>
        </w:rPr>
      </w:pPr>
    </w:p>
    <w:p w14:paraId="60EC4EE7" w14:textId="77777777" w:rsidR="008D3B35" w:rsidRPr="003F564F" w:rsidRDefault="008D3B35" w:rsidP="00F729C1">
      <w:pPr>
        <w:tabs>
          <w:tab w:val="left" w:pos="567"/>
        </w:tabs>
        <w:rPr>
          <w:sz w:val="22"/>
          <w:szCs w:val="24"/>
        </w:rPr>
      </w:pPr>
    </w:p>
    <w:p w14:paraId="649BE43C" w14:textId="77777777" w:rsidR="008D3B35" w:rsidRPr="003F564F" w:rsidRDefault="00AB4978" w:rsidP="00F729C1">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3F564F">
        <w:rPr>
          <w:b/>
          <w:sz w:val="22"/>
          <w:szCs w:val="24"/>
        </w:rPr>
        <w:t>1.</w:t>
      </w:r>
      <w:r w:rsidRPr="003F564F">
        <w:rPr>
          <w:b/>
          <w:sz w:val="22"/>
          <w:szCs w:val="24"/>
        </w:rPr>
        <w:tab/>
      </w:r>
      <w:r w:rsidRPr="003F564F">
        <w:rPr>
          <w:b/>
          <w:caps/>
          <w:sz w:val="22"/>
          <w:szCs w:val="24"/>
        </w:rPr>
        <w:t>VAISTINIO</w:t>
      </w:r>
      <w:r w:rsidRPr="003F564F">
        <w:rPr>
          <w:b/>
          <w:sz w:val="22"/>
          <w:szCs w:val="24"/>
        </w:rPr>
        <w:t xml:space="preserve"> PREPARATO PAVADINIMAS</w:t>
      </w:r>
    </w:p>
    <w:p w14:paraId="4B8FB65A" w14:textId="77777777" w:rsidR="008D3B35" w:rsidRPr="003F564F" w:rsidRDefault="008D3B35" w:rsidP="00F729C1">
      <w:pPr>
        <w:tabs>
          <w:tab w:val="left" w:pos="567"/>
        </w:tabs>
        <w:rPr>
          <w:sz w:val="22"/>
          <w:szCs w:val="24"/>
        </w:rPr>
      </w:pPr>
    </w:p>
    <w:p w14:paraId="7748AAA7" w14:textId="54CC0826" w:rsidR="007D624A" w:rsidRPr="003F564F" w:rsidRDefault="008B09E3" w:rsidP="00F729C1">
      <w:pPr>
        <w:tabs>
          <w:tab w:val="left" w:pos="567"/>
        </w:tabs>
        <w:rPr>
          <w:sz w:val="22"/>
          <w:szCs w:val="24"/>
        </w:rPr>
      </w:pPr>
      <w:proofErr w:type="spellStart"/>
      <w:r>
        <w:rPr>
          <w:sz w:val="22"/>
          <w:szCs w:val="24"/>
        </w:rPr>
        <w:t>Ruxolitinib</w:t>
      </w:r>
      <w:proofErr w:type="spellEnd"/>
      <w:r>
        <w:rPr>
          <w:sz w:val="22"/>
          <w:szCs w:val="24"/>
        </w:rPr>
        <w:t xml:space="preserve"> </w:t>
      </w:r>
      <w:proofErr w:type="spellStart"/>
      <w:r>
        <w:rPr>
          <w:sz w:val="22"/>
          <w:szCs w:val="24"/>
        </w:rPr>
        <w:t>Sandoz</w:t>
      </w:r>
      <w:proofErr w:type="spellEnd"/>
      <w:r w:rsidR="007D624A" w:rsidRPr="003F564F">
        <w:rPr>
          <w:sz w:val="22"/>
          <w:szCs w:val="24"/>
        </w:rPr>
        <w:t xml:space="preserve"> 5</w:t>
      </w:r>
      <w:r w:rsidR="005243E0">
        <w:rPr>
          <w:sz w:val="22"/>
          <w:szCs w:val="24"/>
        </w:rPr>
        <w:t> </w:t>
      </w:r>
      <w:r w:rsidR="007D624A" w:rsidRPr="003F564F">
        <w:rPr>
          <w:sz w:val="22"/>
          <w:szCs w:val="24"/>
        </w:rPr>
        <w:t>mg tabletės</w:t>
      </w:r>
    </w:p>
    <w:p w14:paraId="63A3EDFE" w14:textId="631C4A64" w:rsidR="007D624A" w:rsidRPr="00685239" w:rsidRDefault="008B09E3" w:rsidP="00F729C1">
      <w:pPr>
        <w:tabs>
          <w:tab w:val="left" w:pos="567"/>
        </w:tabs>
        <w:rPr>
          <w:sz w:val="22"/>
          <w:szCs w:val="24"/>
          <w:highlight w:val="lightGray"/>
        </w:rPr>
      </w:pPr>
      <w:proofErr w:type="spellStart"/>
      <w:r>
        <w:rPr>
          <w:sz w:val="22"/>
          <w:szCs w:val="24"/>
          <w:highlight w:val="lightGray"/>
        </w:rPr>
        <w:t>Ruxolitinib</w:t>
      </w:r>
      <w:proofErr w:type="spellEnd"/>
      <w:r>
        <w:rPr>
          <w:sz w:val="22"/>
          <w:szCs w:val="24"/>
          <w:highlight w:val="lightGray"/>
        </w:rPr>
        <w:t xml:space="preserve"> </w:t>
      </w:r>
      <w:proofErr w:type="spellStart"/>
      <w:r>
        <w:rPr>
          <w:sz w:val="22"/>
          <w:szCs w:val="24"/>
          <w:highlight w:val="lightGray"/>
        </w:rPr>
        <w:t>Sandoz</w:t>
      </w:r>
      <w:proofErr w:type="spellEnd"/>
      <w:r w:rsidR="007D624A" w:rsidRPr="00685239">
        <w:rPr>
          <w:sz w:val="22"/>
          <w:szCs w:val="24"/>
          <w:highlight w:val="lightGray"/>
        </w:rPr>
        <w:t xml:space="preserve"> 10</w:t>
      </w:r>
      <w:r w:rsidR="005243E0" w:rsidRPr="00685239">
        <w:rPr>
          <w:sz w:val="22"/>
          <w:szCs w:val="24"/>
          <w:highlight w:val="lightGray"/>
        </w:rPr>
        <w:t> </w:t>
      </w:r>
      <w:r w:rsidR="007D624A" w:rsidRPr="00685239">
        <w:rPr>
          <w:sz w:val="22"/>
          <w:szCs w:val="24"/>
          <w:highlight w:val="lightGray"/>
        </w:rPr>
        <w:t>mg tabletės</w:t>
      </w:r>
    </w:p>
    <w:p w14:paraId="22EE0DD4" w14:textId="0321D4E3" w:rsidR="007D624A" w:rsidRPr="00685239" w:rsidRDefault="008B09E3" w:rsidP="00F729C1">
      <w:pPr>
        <w:tabs>
          <w:tab w:val="left" w:pos="567"/>
        </w:tabs>
        <w:rPr>
          <w:sz w:val="22"/>
          <w:szCs w:val="24"/>
          <w:highlight w:val="lightGray"/>
        </w:rPr>
      </w:pPr>
      <w:proofErr w:type="spellStart"/>
      <w:r>
        <w:rPr>
          <w:sz w:val="22"/>
          <w:szCs w:val="24"/>
          <w:highlight w:val="lightGray"/>
        </w:rPr>
        <w:t>Ruxolitinib</w:t>
      </w:r>
      <w:proofErr w:type="spellEnd"/>
      <w:r>
        <w:rPr>
          <w:sz w:val="22"/>
          <w:szCs w:val="24"/>
          <w:highlight w:val="lightGray"/>
        </w:rPr>
        <w:t xml:space="preserve"> </w:t>
      </w:r>
      <w:proofErr w:type="spellStart"/>
      <w:r>
        <w:rPr>
          <w:sz w:val="22"/>
          <w:szCs w:val="24"/>
          <w:highlight w:val="lightGray"/>
        </w:rPr>
        <w:t>Sandoz</w:t>
      </w:r>
      <w:proofErr w:type="spellEnd"/>
      <w:r w:rsidR="007D624A" w:rsidRPr="00685239">
        <w:rPr>
          <w:sz w:val="22"/>
          <w:szCs w:val="24"/>
          <w:highlight w:val="lightGray"/>
        </w:rPr>
        <w:t xml:space="preserve"> 15</w:t>
      </w:r>
      <w:r w:rsidR="005243E0" w:rsidRPr="00685239">
        <w:rPr>
          <w:sz w:val="22"/>
          <w:szCs w:val="24"/>
          <w:highlight w:val="lightGray"/>
        </w:rPr>
        <w:t> </w:t>
      </w:r>
      <w:r w:rsidR="007D624A" w:rsidRPr="00685239">
        <w:rPr>
          <w:sz w:val="22"/>
          <w:szCs w:val="24"/>
          <w:highlight w:val="lightGray"/>
        </w:rPr>
        <w:t>mg tabletės</w:t>
      </w:r>
    </w:p>
    <w:p w14:paraId="21954EB7" w14:textId="05E278AB" w:rsidR="007D624A" w:rsidRPr="003F564F" w:rsidRDefault="008B09E3" w:rsidP="00F729C1">
      <w:pPr>
        <w:tabs>
          <w:tab w:val="left" w:pos="567"/>
        </w:tabs>
        <w:rPr>
          <w:sz w:val="22"/>
          <w:szCs w:val="24"/>
        </w:rPr>
      </w:pPr>
      <w:proofErr w:type="spellStart"/>
      <w:r>
        <w:rPr>
          <w:sz w:val="22"/>
          <w:szCs w:val="24"/>
          <w:highlight w:val="lightGray"/>
        </w:rPr>
        <w:t>Ruxolitinib</w:t>
      </w:r>
      <w:proofErr w:type="spellEnd"/>
      <w:r>
        <w:rPr>
          <w:sz w:val="22"/>
          <w:szCs w:val="24"/>
          <w:highlight w:val="lightGray"/>
        </w:rPr>
        <w:t xml:space="preserve"> </w:t>
      </w:r>
      <w:proofErr w:type="spellStart"/>
      <w:r>
        <w:rPr>
          <w:sz w:val="22"/>
          <w:szCs w:val="24"/>
          <w:highlight w:val="lightGray"/>
        </w:rPr>
        <w:t>Sandoz</w:t>
      </w:r>
      <w:proofErr w:type="spellEnd"/>
      <w:r w:rsidR="007D624A" w:rsidRPr="00685239">
        <w:rPr>
          <w:sz w:val="22"/>
          <w:szCs w:val="24"/>
          <w:highlight w:val="lightGray"/>
        </w:rPr>
        <w:t xml:space="preserve"> 20</w:t>
      </w:r>
      <w:r w:rsidR="005243E0" w:rsidRPr="00685239">
        <w:rPr>
          <w:sz w:val="22"/>
          <w:szCs w:val="24"/>
          <w:highlight w:val="lightGray"/>
        </w:rPr>
        <w:t> </w:t>
      </w:r>
      <w:r w:rsidR="007D624A" w:rsidRPr="00685239">
        <w:rPr>
          <w:sz w:val="22"/>
          <w:szCs w:val="24"/>
          <w:highlight w:val="lightGray"/>
        </w:rPr>
        <w:t>mg tabletės</w:t>
      </w:r>
    </w:p>
    <w:p w14:paraId="010CBAC9" w14:textId="40D4DCE7" w:rsidR="008D3B35" w:rsidRPr="005243E0" w:rsidRDefault="007D624A" w:rsidP="00F729C1">
      <w:pPr>
        <w:tabs>
          <w:tab w:val="left" w:pos="567"/>
        </w:tabs>
        <w:rPr>
          <w:i/>
          <w:iCs/>
          <w:sz w:val="22"/>
          <w:szCs w:val="24"/>
        </w:rPr>
      </w:pPr>
      <w:proofErr w:type="spellStart"/>
      <w:r w:rsidRPr="005243E0">
        <w:rPr>
          <w:i/>
          <w:iCs/>
          <w:sz w:val="22"/>
          <w:szCs w:val="24"/>
        </w:rPr>
        <w:t>ruxolitinibum</w:t>
      </w:r>
      <w:proofErr w:type="spellEnd"/>
    </w:p>
    <w:p w14:paraId="4723F3CA" w14:textId="77777777" w:rsidR="007D624A" w:rsidRPr="003F564F" w:rsidRDefault="007D624A" w:rsidP="00F729C1">
      <w:pPr>
        <w:tabs>
          <w:tab w:val="left" w:pos="567"/>
        </w:tabs>
        <w:rPr>
          <w:sz w:val="22"/>
          <w:szCs w:val="24"/>
        </w:rPr>
      </w:pPr>
    </w:p>
    <w:p w14:paraId="60665189" w14:textId="77777777" w:rsidR="008D3B35" w:rsidRPr="003F564F" w:rsidRDefault="008D3B35" w:rsidP="00F729C1">
      <w:pPr>
        <w:tabs>
          <w:tab w:val="left" w:pos="567"/>
        </w:tabs>
        <w:rPr>
          <w:sz w:val="22"/>
          <w:szCs w:val="24"/>
        </w:rPr>
      </w:pPr>
    </w:p>
    <w:p w14:paraId="5052EE87" w14:textId="77777777" w:rsidR="008D3B35" w:rsidRPr="003F564F" w:rsidRDefault="00AB4978" w:rsidP="00F729C1">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sidRPr="003F564F">
        <w:rPr>
          <w:b/>
          <w:sz w:val="22"/>
          <w:szCs w:val="24"/>
        </w:rPr>
        <w:t>2.</w:t>
      </w:r>
      <w:r w:rsidRPr="003F564F">
        <w:rPr>
          <w:b/>
          <w:sz w:val="22"/>
          <w:szCs w:val="24"/>
        </w:rPr>
        <w:tab/>
        <w:t>VEIKLIOJI (-IOS) MEDŽIAGA (-OS) IR JOS (-Ų) KIEKIS (-IAI)</w:t>
      </w:r>
    </w:p>
    <w:p w14:paraId="18959CB8" w14:textId="77777777" w:rsidR="008D3B35" w:rsidRPr="003F564F" w:rsidRDefault="008D3B35" w:rsidP="00F729C1">
      <w:pPr>
        <w:tabs>
          <w:tab w:val="left" w:pos="567"/>
        </w:tabs>
        <w:rPr>
          <w:sz w:val="22"/>
          <w:szCs w:val="24"/>
        </w:rPr>
      </w:pPr>
    </w:p>
    <w:p w14:paraId="3EA9F2FF" w14:textId="75D37C2F" w:rsidR="008D3B35" w:rsidRPr="003F564F" w:rsidRDefault="007D624A" w:rsidP="00F729C1">
      <w:pPr>
        <w:tabs>
          <w:tab w:val="left" w:pos="567"/>
        </w:tabs>
        <w:rPr>
          <w:sz w:val="22"/>
          <w:szCs w:val="24"/>
        </w:rPr>
      </w:pPr>
      <w:r w:rsidRPr="003F564F">
        <w:rPr>
          <w:sz w:val="22"/>
          <w:szCs w:val="24"/>
        </w:rPr>
        <w:t>Kiekvienoje tabletėje yra 5</w:t>
      </w:r>
      <w:r w:rsidR="005243E0">
        <w:rPr>
          <w:sz w:val="22"/>
          <w:szCs w:val="24"/>
        </w:rPr>
        <w:t> </w:t>
      </w:r>
      <w:r w:rsidRPr="003F564F">
        <w:rPr>
          <w:sz w:val="22"/>
          <w:szCs w:val="24"/>
        </w:rPr>
        <w:t xml:space="preserve">mg </w:t>
      </w:r>
      <w:proofErr w:type="spellStart"/>
      <w:r w:rsidRPr="003F564F">
        <w:rPr>
          <w:sz w:val="22"/>
          <w:szCs w:val="24"/>
        </w:rPr>
        <w:t>ruksolitinibo</w:t>
      </w:r>
      <w:proofErr w:type="spellEnd"/>
      <w:r w:rsidRPr="003F564F">
        <w:rPr>
          <w:sz w:val="22"/>
          <w:szCs w:val="24"/>
        </w:rPr>
        <w:t xml:space="preserve"> (</w:t>
      </w:r>
      <w:r w:rsidR="005243E0" w:rsidRPr="003F564F">
        <w:rPr>
          <w:sz w:val="22"/>
          <w:szCs w:val="24"/>
        </w:rPr>
        <w:t>hidrochlorido pavidalu</w:t>
      </w:r>
      <w:r w:rsidRPr="003F564F">
        <w:rPr>
          <w:sz w:val="22"/>
          <w:szCs w:val="24"/>
        </w:rPr>
        <w:t>).</w:t>
      </w:r>
    </w:p>
    <w:p w14:paraId="47F8FC31" w14:textId="136EDDFE" w:rsidR="007D624A" w:rsidRPr="00685239" w:rsidRDefault="007D624A" w:rsidP="00F729C1">
      <w:pPr>
        <w:tabs>
          <w:tab w:val="left" w:pos="567"/>
        </w:tabs>
        <w:rPr>
          <w:sz w:val="22"/>
          <w:szCs w:val="24"/>
          <w:highlight w:val="lightGray"/>
        </w:rPr>
      </w:pPr>
      <w:r w:rsidRPr="00685239">
        <w:rPr>
          <w:sz w:val="22"/>
          <w:szCs w:val="24"/>
          <w:highlight w:val="lightGray"/>
        </w:rPr>
        <w:t>Kiekvienoje tabletėje yra 10</w:t>
      </w:r>
      <w:r w:rsidR="005243E0" w:rsidRPr="00685239">
        <w:rPr>
          <w:sz w:val="22"/>
          <w:szCs w:val="24"/>
          <w:highlight w:val="lightGray"/>
        </w:rPr>
        <w:t> </w:t>
      </w:r>
      <w:r w:rsidRPr="00685239">
        <w:rPr>
          <w:sz w:val="22"/>
          <w:szCs w:val="24"/>
          <w:highlight w:val="lightGray"/>
        </w:rPr>
        <w:t xml:space="preserve">mg </w:t>
      </w:r>
      <w:proofErr w:type="spellStart"/>
      <w:r w:rsidRPr="00685239">
        <w:rPr>
          <w:sz w:val="22"/>
          <w:szCs w:val="24"/>
          <w:highlight w:val="lightGray"/>
        </w:rPr>
        <w:t>ruksolitinibo</w:t>
      </w:r>
      <w:proofErr w:type="spellEnd"/>
      <w:r w:rsidRPr="00685239">
        <w:rPr>
          <w:sz w:val="22"/>
          <w:szCs w:val="24"/>
          <w:highlight w:val="lightGray"/>
        </w:rPr>
        <w:t xml:space="preserve"> (</w:t>
      </w:r>
      <w:r w:rsidR="005243E0" w:rsidRPr="00685239">
        <w:rPr>
          <w:sz w:val="22"/>
          <w:szCs w:val="24"/>
          <w:highlight w:val="lightGray"/>
        </w:rPr>
        <w:t>hidrochlorido pavidalu</w:t>
      </w:r>
      <w:r w:rsidRPr="00685239">
        <w:rPr>
          <w:sz w:val="22"/>
          <w:szCs w:val="24"/>
          <w:highlight w:val="lightGray"/>
        </w:rPr>
        <w:t>).</w:t>
      </w:r>
    </w:p>
    <w:p w14:paraId="093AEA78" w14:textId="05B7FCCB" w:rsidR="007D624A" w:rsidRPr="00685239" w:rsidRDefault="007D624A" w:rsidP="00F729C1">
      <w:pPr>
        <w:tabs>
          <w:tab w:val="left" w:pos="567"/>
        </w:tabs>
        <w:rPr>
          <w:sz w:val="22"/>
          <w:szCs w:val="24"/>
          <w:highlight w:val="lightGray"/>
        </w:rPr>
      </w:pPr>
      <w:r w:rsidRPr="00685239">
        <w:rPr>
          <w:sz w:val="22"/>
          <w:szCs w:val="24"/>
          <w:highlight w:val="lightGray"/>
        </w:rPr>
        <w:t>Kiekvienoje tabletėje yra 15</w:t>
      </w:r>
      <w:r w:rsidR="005243E0" w:rsidRPr="00685239">
        <w:rPr>
          <w:sz w:val="22"/>
          <w:szCs w:val="24"/>
          <w:highlight w:val="lightGray"/>
        </w:rPr>
        <w:t> </w:t>
      </w:r>
      <w:r w:rsidRPr="00685239">
        <w:rPr>
          <w:sz w:val="22"/>
          <w:szCs w:val="24"/>
          <w:highlight w:val="lightGray"/>
        </w:rPr>
        <w:t xml:space="preserve">mg </w:t>
      </w:r>
      <w:proofErr w:type="spellStart"/>
      <w:r w:rsidRPr="00685239">
        <w:rPr>
          <w:sz w:val="22"/>
          <w:szCs w:val="24"/>
          <w:highlight w:val="lightGray"/>
        </w:rPr>
        <w:t>ruksolitinibo</w:t>
      </w:r>
      <w:proofErr w:type="spellEnd"/>
      <w:r w:rsidRPr="00685239">
        <w:rPr>
          <w:sz w:val="22"/>
          <w:szCs w:val="24"/>
          <w:highlight w:val="lightGray"/>
        </w:rPr>
        <w:t xml:space="preserve"> (</w:t>
      </w:r>
      <w:r w:rsidR="005243E0" w:rsidRPr="00685239">
        <w:rPr>
          <w:sz w:val="22"/>
          <w:szCs w:val="24"/>
          <w:highlight w:val="lightGray"/>
        </w:rPr>
        <w:t>hidrochlorido pavidalu</w:t>
      </w:r>
      <w:r w:rsidRPr="00685239">
        <w:rPr>
          <w:sz w:val="22"/>
          <w:szCs w:val="24"/>
          <w:highlight w:val="lightGray"/>
        </w:rPr>
        <w:t>).</w:t>
      </w:r>
    </w:p>
    <w:p w14:paraId="47038881" w14:textId="37F14ED6" w:rsidR="007D624A" w:rsidRPr="003F564F" w:rsidRDefault="007D624A" w:rsidP="00F729C1">
      <w:pPr>
        <w:tabs>
          <w:tab w:val="left" w:pos="567"/>
        </w:tabs>
        <w:rPr>
          <w:sz w:val="22"/>
          <w:szCs w:val="24"/>
        </w:rPr>
      </w:pPr>
      <w:r w:rsidRPr="00685239">
        <w:rPr>
          <w:sz w:val="22"/>
          <w:szCs w:val="24"/>
          <w:highlight w:val="lightGray"/>
        </w:rPr>
        <w:t>Kiekvienoje tabletėje yra 20</w:t>
      </w:r>
      <w:r w:rsidR="005243E0" w:rsidRPr="00685239">
        <w:rPr>
          <w:sz w:val="22"/>
          <w:szCs w:val="24"/>
          <w:highlight w:val="lightGray"/>
        </w:rPr>
        <w:t> </w:t>
      </w:r>
      <w:r w:rsidRPr="00685239">
        <w:rPr>
          <w:sz w:val="22"/>
          <w:szCs w:val="24"/>
          <w:highlight w:val="lightGray"/>
        </w:rPr>
        <w:t xml:space="preserve">mg </w:t>
      </w:r>
      <w:proofErr w:type="spellStart"/>
      <w:r w:rsidRPr="00685239">
        <w:rPr>
          <w:sz w:val="22"/>
          <w:szCs w:val="24"/>
          <w:highlight w:val="lightGray"/>
        </w:rPr>
        <w:t>ruksolitinibo</w:t>
      </w:r>
      <w:proofErr w:type="spellEnd"/>
      <w:r w:rsidRPr="00685239">
        <w:rPr>
          <w:sz w:val="22"/>
          <w:szCs w:val="24"/>
          <w:highlight w:val="lightGray"/>
        </w:rPr>
        <w:t xml:space="preserve"> (</w:t>
      </w:r>
      <w:r w:rsidR="005243E0" w:rsidRPr="00685239">
        <w:rPr>
          <w:sz w:val="22"/>
          <w:szCs w:val="24"/>
          <w:highlight w:val="lightGray"/>
        </w:rPr>
        <w:t>hidrochlorido pavidalu</w:t>
      </w:r>
      <w:r w:rsidRPr="00685239">
        <w:rPr>
          <w:sz w:val="22"/>
          <w:szCs w:val="24"/>
          <w:highlight w:val="lightGray"/>
        </w:rPr>
        <w:t>).</w:t>
      </w:r>
    </w:p>
    <w:p w14:paraId="59235658" w14:textId="77777777" w:rsidR="007D624A" w:rsidRPr="003F564F" w:rsidRDefault="007D624A" w:rsidP="00F729C1">
      <w:pPr>
        <w:tabs>
          <w:tab w:val="left" w:pos="567"/>
        </w:tabs>
        <w:rPr>
          <w:sz w:val="22"/>
          <w:szCs w:val="24"/>
        </w:rPr>
      </w:pPr>
    </w:p>
    <w:p w14:paraId="10AC76A5" w14:textId="77777777" w:rsidR="007D624A" w:rsidRPr="003F564F" w:rsidRDefault="007D624A" w:rsidP="00F729C1">
      <w:pPr>
        <w:tabs>
          <w:tab w:val="left" w:pos="567"/>
        </w:tabs>
        <w:rPr>
          <w:sz w:val="22"/>
          <w:szCs w:val="24"/>
        </w:rPr>
      </w:pPr>
    </w:p>
    <w:p w14:paraId="18DBE44D" w14:textId="77777777" w:rsidR="008D3B35" w:rsidRPr="003F564F" w:rsidRDefault="00AB4978" w:rsidP="00F729C1">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3F564F">
        <w:rPr>
          <w:b/>
          <w:sz w:val="22"/>
          <w:szCs w:val="24"/>
        </w:rPr>
        <w:t>3.</w:t>
      </w:r>
      <w:r w:rsidRPr="003F564F">
        <w:rPr>
          <w:b/>
          <w:sz w:val="22"/>
          <w:szCs w:val="24"/>
        </w:rPr>
        <w:tab/>
        <w:t>PAGALBINIŲ MEDŽIAGŲ SĄRAŠAS</w:t>
      </w:r>
    </w:p>
    <w:p w14:paraId="46D21246" w14:textId="77777777" w:rsidR="008D3B35" w:rsidRPr="003F564F" w:rsidRDefault="008D3B35" w:rsidP="00F729C1">
      <w:pPr>
        <w:tabs>
          <w:tab w:val="left" w:pos="567"/>
        </w:tabs>
        <w:rPr>
          <w:sz w:val="22"/>
          <w:szCs w:val="24"/>
        </w:rPr>
      </w:pPr>
    </w:p>
    <w:p w14:paraId="0413D908" w14:textId="3939A14F" w:rsidR="008D3B35" w:rsidRPr="003F564F" w:rsidRDefault="007D624A" w:rsidP="00F729C1">
      <w:pPr>
        <w:tabs>
          <w:tab w:val="left" w:pos="567"/>
        </w:tabs>
        <w:rPr>
          <w:sz w:val="22"/>
          <w:szCs w:val="24"/>
        </w:rPr>
      </w:pPr>
      <w:r w:rsidRPr="003F564F">
        <w:rPr>
          <w:sz w:val="22"/>
          <w:szCs w:val="24"/>
        </w:rPr>
        <w:t>Sudėtyje yra laktozės.</w:t>
      </w:r>
    </w:p>
    <w:p w14:paraId="369515F6" w14:textId="77777777" w:rsidR="007D624A" w:rsidRPr="003F564F" w:rsidRDefault="007D624A" w:rsidP="00F729C1">
      <w:pPr>
        <w:tabs>
          <w:tab w:val="left" w:pos="567"/>
        </w:tabs>
        <w:rPr>
          <w:sz w:val="22"/>
          <w:szCs w:val="24"/>
        </w:rPr>
      </w:pPr>
    </w:p>
    <w:p w14:paraId="71B4D3C1" w14:textId="77777777" w:rsidR="007D624A" w:rsidRPr="003F564F" w:rsidRDefault="007D624A" w:rsidP="00F729C1">
      <w:pPr>
        <w:tabs>
          <w:tab w:val="left" w:pos="567"/>
        </w:tabs>
        <w:rPr>
          <w:sz w:val="22"/>
          <w:szCs w:val="24"/>
        </w:rPr>
      </w:pPr>
    </w:p>
    <w:p w14:paraId="0879B3F8" w14:textId="77777777" w:rsidR="008D3B35" w:rsidRPr="003F564F" w:rsidRDefault="00AB4978" w:rsidP="00F729C1">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3F564F">
        <w:rPr>
          <w:b/>
          <w:sz w:val="22"/>
          <w:szCs w:val="24"/>
        </w:rPr>
        <w:t>4.</w:t>
      </w:r>
      <w:r w:rsidRPr="003F564F">
        <w:rPr>
          <w:b/>
          <w:sz w:val="22"/>
          <w:szCs w:val="24"/>
        </w:rPr>
        <w:tab/>
        <w:t>FARMACINĖ FORMA IR KIEKIS PAKUOTĖJE</w:t>
      </w:r>
    </w:p>
    <w:p w14:paraId="3FF9DD14" w14:textId="77777777" w:rsidR="008D3B35" w:rsidRPr="003F564F" w:rsidRDefault="008D3B35" w:rsidP="00F729C1">
      <w:pPr>
        <w:tabs>
          <w:tab w:val="left" w:pos="567"/>
        </w:tabs>
        <w:rPr>
          <w:sz w:val="22"/>
          <w:szCs w:val="24"/>
        </w:rPr>
      </w:pPr>
    </w:p>
    <w:p w14:paraId="62A139DD" w14:textId="63A4E4DF" w:rsidR="007D624A" w:rsidRPr="003F564F" w:rsidRDefault="007D624A" w:rsidP="00F729C1">
      <w:pPr>
        <w:tabs>
          <w:tab w:val="left" w:pos="567"/>
        </w:tabs>
        <w:rPr>
          <w:sz w:val="22"/>
          <w:szCs w:val="24"/>
        </w:rPr>
      </w:pPr>
      <w:r w:rsidRPr="00942319">
        <w:rPr>
          <w:sz w:val="22"/>
          <w:szCs w:val="24"/>
          <w:highlight w:val="lightGray"/>
        </w:rPr>
        <w:t>Tabletė</w:t>
      </w:r>
    </w:p>
    <w:p w14:paraId="59BD3249" w14:textId="77777777" w:rsidR="00942319" w:rsidRDefault="00942319" w:rsidP="00F729C1">
      <w:pPr>
        <w:tabs>
          <w:tab w:val="left" w:pos="567"/>
        </w:tabs>
        <w:rPr>
          <w:sz w:val="22"/>
          <w:szCs w:val="24"/>
        </w:rPr>
      </w:pPr>
    </w:p>
    <w:p w14:paraId="4F1100E7" w14:textId="17129F8D" w:rsidR="005243E0" w:rsidRPr="005243E0" w:rsidRDefault="00942319" w:rsidP="00F729C1">
      <w:pPr>
        <w:tabs>
          <w:tab w:val="left" w:pos="567"/>
        </w:tabs>
        <w:rPr>
          <w:sz w:val="22"/>
          <w:szCs w:val="24"/>
        </w:rPr>
      </w:pPr>
      <w:r>
        <w:rPr>
          <w:sz w:val="22"/>
          <w:szCs w:val="24"/>
        </w:rPr>
        <w:t>1</w:t>
      </w:r>
      <w:r w:rsidR="005243E0" w:rsidRPr="005243E0">
        <w:rPr>
          <w:sz w:val="22"/>
          <w:szCs w:val="24"/>
        </w:rPr>
        <w:t>4 table</w:t>
      </w:r>
      <w:r w:rsidR="005243E0">
        <w:rPr>
          <w:sz w:val="22"/>
          <w:szCs w:val="24"/>
        </w:rPr>
        <w:t>čių</w:t>
      </w:r>
    </w:p>
    <w:p w14:paraId="5A5C828C" w14:textId="29BF9FA6" w:rsidR="005243E0" w:rsidRPr="00685239" w:rsidRDefault="005243E0" w:rsidP="00F729C1">
      <w:pPr>
        <w:tabs>
          <w:tab w:val="left" w:pos="567"/>
        </w:tabs>
        <w:rPr>
          <w:sz w:val="22"/>
          <w:szCs w:val="24"/>
          <w:highlight w:val="lightGray"/>
        </w:rPr>
      </w:pPr>
      <w:r w:rsidRPr="00685239">
        <w:rPr>
          <w:sz w:val="22"/>
          <w:szCs w:val="24"/>
          <w:highlight w:val="lightGray"/>
        </w:rPr>
        <w:t>14 x 1 tablečių</w:t>
      </w:r>
    </w:p>
    <w:p w14:paraId="2A090C87" w14:textId="2FF49586" w:rsidR="005243E0" w:rsidRPr="00685239" w:rsidRDefault="005243E0" w:rsidP="00F729C1">
      <w:pPr>
        <w:tabs>
          <w:tab w:val="left" w:pos="567"/>
        </w:tabs>
        <w:rPr>
          <w:sz w:val="22"/>
          <w:szCs w:val="24"/>
          <w:highlight w:val="lightGray"/>
        </w:rPr>
      </w:pPr>
      <w:r w:rsidRPr="00685239">
        <w:rPr>
          <w:sz w:val="22"/>
          <w:szCs w:val="24"/>
          <w:highlight w:val="lightGray"/>
        </w:rPr>
        <w:t>28 tabletės</w:t>
      </w:r>
    </w:p>
    <w:p w14:paraId="3CBD3B44" w14:textId="63B352C3" w:rsidR="005243E0" w:rsidRPr="00685239" w:rsidRDefault="005243E0" w:rsidP="00F729C1">
      <w:pPr>
        <w:tabs>
          <w:tab w:val="left" w:pos="567"/>
        </w:tabs>
        <w:rPr>
          <w:sz w:val="22"/>
          <w:szCs w:val="24"/>
          <w:highlight w:val="lightGray"/>
        </w:rPr>
      </w:pPr>
      <w:r w:rsidRPr="00685239">
        <w:rPr>
          <w:sz w:val="22"/>
          <w:szCs w:val="24"/>
          <w:highlight w:val="lightGray"/>
        </w:rPr>
        <w:t>28</w:t>
      </w:r>
      <w:r w:rsidR="00685239" w:rsidRPr="00685239">
        <w:rPr>
          <w:sz w:val="22"/>
          <w:szCs w:val="24"/>
          <w:highlight w:val="lightGray"/>
        </w:rPr>
        <w:t> </w:t>
      </w:r>
      <w:r w:rsidRPr="00685239">
        <w:rPr>
          <w:sz w:val="22"/>
          <w:szCs w:val="24"/>
          <w:highlight w:val="lightGray"/>
        </w:rPr>
        <w:t>x</w:t>
      </w:r>
      <w:r w:rsidR="00685239" w:rsidRPr="00685239">
        <w:rPr>
          <w:sz w:val="22"/>
          <w:szCs w:val="24"/>
          <w:highlight w:val="lightGray"/>
        </w:rPr>
        <w:t> </w:t>
      </w:r>
      <w:r w:rsidRPr="00685239">
        <w:rPr>
          <w:sz w:val="22"/>
          <w:szCs w:val="24"/>
          <w:highlight w:val="lightGray"/>
        </w:rPr>
        <w:t xml:space="preserve">1 </w:t>
      </w:r>
      <w:r w:rsidR="00685239" w:rsidRPr="00685239">
        <w:rPr>
          <w:sz w:val="22"/>
          <w:szCs w:val="24"/>
          <w:highlight w:val="lightGray"/>
        </w:rPr>
        <w:t>tabletės</w:t>
      </w:r>
    </w:p>
    <w:p w14:paraId="38325E73" w14:textId="44CA451F" w:rsidR="005243E0" w:rsidRPr="00685239" w:rsidRDefault="005243E0" w:rsidP="00F729C1">
      <w:pPr>
        <w:tabs>
          <w:tab w:val="left" w:pos="567"/>
        </w:tabs>
        <w:rPr>
          <w:sz w:val="22"/>
          <w:szCs w:val="24"/>
          <w:highlight w:val="lightGray"/>
        </w:rPr>
      </w:pPr>
      <w:r w:rsidRPr="00685239">
        <w:rPr>
          <w:sz w:val="22"/>
          <w:szCs w:val="24"/>
          <w:highlight w:val="lightGray"/>
        </w:rPr>
        <w:t>56 tabletės</w:t>
      </w:r>
    </w:p>
    <w:p w14:paraId="7F5E3F96" w14:textId="14818D94" w:rsidR="005243E0" w:rsidRPr="00685239" w:rsidRDefault="005243E0" w:rsidP="00F729C1">
      <w:pPr>
        <w:tabs>
          <w:tab w:val="left" w:pos="567"/>
        </w:tabs>
        <w:rPr>
          <w:sz w:val="22"/>
          <w:szCs w:val="24"/>
          <w:highlight w:val="lightGray"/>
        </w:rPr>
      </w:pPr>
      <w:r w:rsidRPr="00685239">
        <w:rPr>
          <w:sz w:val="22"/>
          <w:szCs w:val="24"/>
          <w:highlight w:val="lightGray"/>
        </w:rPr>
        <w:t>56</w:t>
      </w:r>
      <w:r w:rsidR="00685239" w:rsidRPr="00685239">
        <w:rPr>
          <w:sz w:val="22"/>
          <w:szCs w:val="24"/>
          <w:highlight w:val="lightGray"/>
        </w:rPr>
        <w:t> </w:t>
      </w:r>
      <w:r w:rsidRPr="00685239">
        <w:rPr>
          <w:sz w:val="22"/>
          <w:szCs w:val="24"/>
          <w:highlight w:val="lightGray"/>
        </w:rPr>
        <w:t>x</w:t>
      </w:r>
      <w:r w:rsidR="00685239" w:rsidRPr="00685239">
        <w:rPr>
          <w:sz w:val="22"/>
          <w:szCs w:val="24"/>
          <w:highlight w:val="lightGray"/>
        </w:rPr>
        <w:t> </w:t>
      </w:r>
      <w:r w:rsidRPr="00685239">
        <w:rPr>
          <w:sz w:val="22"/>
          <w:szCs w:val="24"/>
          <w:highlight w:val="lightGray"/>
        </w:rPr>
        <w:t xml:space="preserve">1 </w:t>
      </w:r>
      <w:r w:rsidR="00685239" w:rsidRPr="00685239">
        <w:rPr>
          <w:sz w:val="22"/>
          <w:szCs w:val="24"/>
          <w:highlight w:val="lightGray"/>
        </w:rPr>
        <w:t>tabletės</w:t>
      </w:r>
    </w:p>
    <w:p w14:paraId="5DBA4737" w14:textId="285E57C5" w:rsidR="005243E0" w:rsidRPr="00685239" w:rsidRDefault="005243E0" w:rsidP="00F729C1">
      <w:pPr>
        <w:tabs>
          <w:tab w:val="left" w:pos="567"/>
        </w:tabs>
        <w:rPr>
          <w:sz w:val="22"/>
          <w:szCs w:val="24"/>
          <w:highlight w:val="lightGray"/>
        </w:rPr>
      </w:pPr>
      <w:r w:rsidRPr="00685239">
        <w:rPr>
          <w:sz w:val="22"/>
          <w:szCs w:val="24"/>
          <w:highlight w:val="lightGray"/>
        </w:rPr>
        <w:t>60 tablečių</w:t>
      </w:r>
    </w:p>
    <w:p w14:paraId="4E4AEE35" w14:textId="0AC7B3C1" w:rsidR="005243E0" w:rsidRPr="00685239" w:rsidRDefault="005243E0" w:rsidP="00F729C1">
      <w:pPr>
        <w:tabs>
          <w:tab w:val="left" w:pos="567"/>
        </w:tabs>
        <w:rPr>
          <w:sz w:val="22"/>
          <w:szCs w:val="24"/>
          <w:highlight w:val="lightGray"/>
        </w:rPr>
      </w:pPr>
      <w:r w:rsidRPr="00685239">
        <w:rPr>
          <w:sz w:val="22"/>
          <w:szCs w:val="24"/>
          <w:highlight w:val="lightGray"/>
        </w:rPr>
        <w:t>60</w:t>
      </w:r>
      <w:r w:rsidR="00685239" w:rsidRPr="00685239">
        <w:rPr>
          <w:sz w:val="22"/>
          <w:szCs w:val="24"/>
          <w:highlight w:val="lightGray"/>
        </w:rPr>
        <w:t> </w:t>
      </w:r>
      <w:r w:rsidRPr="00685239">
        <w:rPr>
          <w:sz w:val="22"/>
          <w:szCs w:val="24"/>
          <w:highlight w:val="lightGray"/>
        </w:rPr>
        <w:t>x</w:t>
      </w:r>
      <w:r w:rsidR="00685239" w:rsidRPr="00685239">
        <w:rPr>
          <w:sz w:val="22"/>
          <w:szCs w:val="24"/>
          <w:highlight w:val="lightGray"/>
        </w:rPr>
        <w:t> </w:t>
      </w:r>
      <w:r w:rsidRPr="00685239">
        <w:rPr>
          <w:sz w:val="22"/>
          <w:szCs w:val="24"/>
          <w:highlight w:val="lightGray"/>
        </w:rPr>
        <w:t xml:space="preserve">1 </w:t>
      </w:r>
      <w:r w:rsidR="00685239" w:rsidRPr="00685239">
        <w:rPr>
          <w:sz w:val="22"/>
          <w:szCs w:val="24"/>
          <w:highlight w:val="lightGray"/>
        </w:rPr>
        <w:t>tablečių</w:t>
      </w:r>
    </w:p>
    <w:p w14:paraId="2BA1504E" w14:textId="0514C774" w:rsidR="005243E0" w:rsidRPr="00685239" w:rsidRDefault="005243E0" w:rsidP="00F729C1">
      <w:pPr>
        <w:tabs>
          <w:tab w:val="left" w:pos="567"/>
        </w:tabs>
        <w:rPr>
          <w:sz w:val="22"/>
          <w:szCs w:val="24"/>
          <w:highlight w:val="lightGray"/>
        </w:rPr>
      </w:pPr>
      <w:r w:rsidRPr="00685239">
        <w:rPr>
          <w:sz w:val="22"/>
          <w:szCs w:val="24"/>
          <w:highlight w:val="lightGray"/>
        </w:rPr>
        <w:t>140 tablečių</w:t>
      </w:r>
    </w:p>
    <w:p w14:paraId="66928D23" w14:textId="4E922059" w:rsidR="005243E0" w:rsidRPr="00685239" w:rsidRDefault="005243E0" w:rsidP="00F729C1">
      <w:pPr>
        <w:tabs>
          <w:tab w:val="left" w:pos="567"/>
        </w:tabs>
        <w:rPr>
          <w:sz w:val="22"/>
          <w:szCs w:val="24"/>
          <w:highlight w:val="lightGray"/>
        </w:rPr>
      </w:pPr>
      <w:r w:rsidRPr="00685239">
        <w:rPr>
          <w:sz w:val="22"/>
          <w:szCs w:val="24"/>
          <w:highlight w:val="lightGray"/>
        </w:rPr>
        <w:t>140</w:t>
      </w:r>
      <w:r w:rsidR="00685239" w:rsidRPr="00685239">
        <w:rPr>
          <w:sz w:val="22"/>
          <w:szCs w:val="24"/>
          <w:highlight w:val="lightGray"/>
        </w:rPr>
        <w:t> </w:t>
      </w:r>
      <w:r w:rsidRPr="00685239">
        <w:rPr>
          <w:sz w:val="22"/>
          <w:szCs w:val="24"/>
          <w:highlight w:val="lightGray"/>
        </w:rPr>
        <w:t>x</w:t>
      </w:r>
      <w:r w:rsidR="00685239" w:rsidRPr="00685239">
        <w:rPr>
          <w:sz w:val="22"/>
          <w:szCs w:val="24"/>
          <w:highlight w:val="lightGray"/>
        </w:rPr>
        <w:t> </w:t>
      </w:r>
      <w:r w:rsidRPr="00685239">
        <w:rPr>
          <w:sz w:val="22"/>
          <w:szCs w:val="24"/>
          <w:highlight w:val="lightGray"/>
        </w:rPr>
        <w:t xml:space="preserve">1 </w:t>
      </w:r>
      <w:r w:rsidR="00685239" w:rsidRPr="00685239">
        <w:rPr>
          <w:sz w:val="22"/>
          <w:szCs w:val="24"/>
          <w:highlight w:val="lightGray"/>
        </w:rPr>
        <w:t>tablečių</w:t>
      </w:r>
    </w:p>
    <w:p w14:paraId="1F3D5886" w14:textId="5C5D433C" w:rsidR="005243E0" w:rsidRPr="00685239" w:rsidRDefault="005243E0" w:rsidP="00F729C1">
      <w:pPr>
        <w:tabs>
          <w:tab w:val="left" w:pos="567"/>
        </w:tabs>
        <w:rPr>
          <w:sz w:val="22"/>
          <w:szCs w:val="24"/>
          <w:highlight w:val="lightGray"/>
        </w:rPr>
      </w:pPr>
      <w:r w:rsidRPr="00685239">
        <w:rPr>
          <w:sz w:val="22"/>
          <w:szCs w:val="24"/>
          <w:highlight w:val="lightGray"/>
        </w:rPr>
        <w:t>168 tabletės</w:t>
      </w:r>
    </w:p>
    <w:p w14:paraId="49C2DC73" w14:textId="47F28697" w:rsidR="007D624A" w:rsidRDefault="005243E0" w:rsidP="00F729C1">
      <w:pPr>
        <w:tabs>
          <w:tab w:val="left" w:pos="567"/>
        </w:tabs>
        <w:rPr>
          <w:sz w:val="22"/>
          <w:szCs w:val="24"/>
        </w:rPr>
      </w:pPr>
      <w:r w:rsidRPr="00685239">
        <w:rPr>
          <w:sz w:val="22"/>
          <w:szCs w:val="24"/>
          <w:highlight w:val="lightGray"/>
        </w:rPr>
        <w:t>168</w:t>
      </w:r>
      <w:r w:rsidR="00685239" w:rsidRPr="00685239">
        <w:rPr>
          <w:sz w:val="22"/>
          <w:szCs w:val="24"/>
          <w:highlight w:val="lightGray"/>
        </w:rPr>
        <w:t> </w:t>
      </w:r>
      <w:r w:rsidRPr="00685239">
        <w:rPr>
          <w:sz w:val="22"/>
          <w:szCs w:val="24"/>
          <w:highlight w:val="lightGray"/>
        </w:rPr>
        <w:t>x</w:t>
      </w:r>
      <w:r w:rsidR="00685239" w:rsidRPr="00685239">
        <w:rPr>
          <w:sz w:val="22"/>
          <w:szCs w:val="24"/>
          <w:highlight w:val="lightGray"/>
        </w:rPr>
        <w:t> </w:t>
      </w:r>
      <w:r w:rsidRPr="00685239">
        <w:rPr>
          <w:sz w:val="22"/>
          <w:szCs w:val="24"/>
          <w:highlight w:val="lightGray"/>
        </w:rPr>
        <w:t xml:space="preserve">1 </w:t>
      </w:r>
      <w:r w:rsidR="00685239" w:rsidRPr="00685239">
        <w:rPr>
          <w:sz w:val="22"/>
          <w:szCs w:val="24"/>
          <w:highlight w:val="lightGray"/>
        </w:rPr>
        <w:t>tabletės</w:t>
      </w:r>
    </w:p>
    <w:p w14:paraId="6CD9E63A" w14:textId="77777777" w:rsidR="005243E0" w:rsidRPr="003F564F" w:rsidRDefault="005243E0" w:rsidP="00F729C1">
      <w:pPr>
        <w:tabs>
          <w:tab w:val="left" w:pos="567"/>
        </w:tabs>
        <w:rPr>
          <w:sz w:val="22"/>
          <w:szCs w:val="24"/>
        </w:rPr>
      </w:pPr>
    </w:p>
    <w:p w14:paraId="5974FB38" w14:textId="77777777" w:rsidR="007D624A" w:rsidRPr="003F564F" w:rsidRDefault="007D624A" w:rsidP="00F729C1">
      <w:pPr>
        <w:tabs>
          <w:tab w:val="left" w:pos="567"/>
        </w:tabs>
        <w:rPr>
          <w:sz w:val="22"/>
          <w:szCs w:val="24"/>
        </w:rPr>
      </w:pPr>
    </w:p>
    <w:p w14:paraId="5E357070" w14:textId="77777777" w:rsidR="008D3B35" w:rsidRPr="003F564F" w:rsidRDefault="00AB4978" w:rsidP="00F729C1">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3F564F">
        <w:rPr>
          <w:b/>
          <w:sz w:val="22"/>
          <w:szCs w:val="24"/>
        </w:rPr>
        <w:t>5.</w:t>
      </w:r>
      <w:r w:rsidRPr="003F564F">
        <w:rPr>
          <w:b/>
          <w:sz w:val="22"/>
          <w:szCs w:val="24"/>
        </w:rPr>
        <w:tab/>
        <w:t>VARTOJIMO METODAS IR BŪDAS (-AI)</w:t>
      </w:r>
    </w:p>
    <w:p w14:paraId="43276E40" w14:textId="77777777" w:rsidR="008D3B35" w:rsidRPr="003F564F" w:rsidRDefault="008D3B35" w:rsidP="00F729C1">
      <w:pPr>
        <w:tabs>
          <w:tab w:val="left" w:pos="567"/>
        </w:tabs>
        <w:rPr>
          <w:sz w:val="22"/>
          <w:szCs w:val="24"/>
        </w:rPr>
      </w:pPr>
    </w:p>
    <w:p w14:paraId="5EB39B1A" w14:textId="77777777" w:rsidR="007D624A" w:rsidRPr="003F564F" w:rsidRDefault="007D624A" w:rsidP="00F729C1">
      <w:pPr>
        <w:tabs>
          <w:tab w:val="left" w:pos="567"/>
        </w:tabs>
        <w:rPr>
          <w:sz w:val="22"/>
          <w:szCs w:val="24"/>
        </w:rPr>
      </w:pPr>
      <w:r w:rsidRPr="003F564F">
        <w:rPr>
          <w:sz w:val="22"/>
          <w:szCs w:val="24"/>
        </w:rPr>
        <w:t>Vartoti per burną.</w:t>
      </w:r>
    </w:p>
    <w:p w14:paraId="5ABD66DD" w14:textId="66DD9BEC" w:rsidR="008D3B35" w:rsidRPr="003F564F" w:rsidRDefault="00AB4978" w:rsidP="00F729C1">
      <w:pPr>
        <w:tabs>
          <w:tab w:val="left" w:pos="567"/>
        </w:tabs>
        <w:rPr>
          <w:sz w:val="22"/>
          <w:szCs w:val="24"/>
        </w:rPr>
      </w:pPr>
      <w:r w:rsidRPr="003F564F">
        <w:rPr>
          <w:sz w:val="22"/>
          <w:szCs w:val="24"/>
        </w:rPr>
        <w:t>Prieš vartojimą perskaitykite pakuotės lapelį.</w:t>
      </w:r>
    </w:p>
    <w:p w14:paraId="2F200F6B" w14:textId="77777777" w:rsidR="008D3B35" w:rsidRPr="003F564F" w:rsidRDefault="008D3B35" w:rsidP="00F729C1">
      <w:pPr>
        <w:tabs>
          <w:tab w:val="left" w:pos="567"/>
        </w:tabs>
        <w:rPr>
          <w:sz w:val="22"/>
          <w:szCs w:val="24"/>
        </w:rPr>
      </w:pPr>
    </w:p>
    <w:p w14:paraId="7BFC3B42" w14:textId="77777777" w:rsidR="008D3B35" w:rsidRPr="003F564F" w:rsidRDefault="008D3B35" w:rsidP="00F729C1">
      <w:pPr>
        <w:tabs>
          <w:tab w:val="left" w:pos="567"/>
        </w:tabs>
        <w:rPr>
          <w:sz w:val="22"/>
          <w:szCs w:val="24"/>
        </w:rPr>
      </w:pPr>
    </w:p>
    <w:p w14:paraId="167A4672" w14:textId="77777777" w:rsidR="008D3B35" w:rsidRPr="003F564F" w:rsidRDefault="00AB4978" w:rsidP="00F729C1">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3F564F">
        <w:rPr>
          <w:b/>
          <w:sz w:val="22"/>
          <w:szCs w:val="24"/>
        </w:rPr>
        <w:t>6.</w:t>
      </w:r>
      <w:r w:rsidRPr="003F564F">
        <w:rPr>
          <w:b/>
          <w:sz w:val="22"/>
          <w:szCs w:val="24"/>
        </w:rPr>
        <w:tab/>
        <w:t>SPECIALUS ĮSPĖJIMAS, KAD VAISTINĮ PREPARATĄ BŪTINA LAIKYTI VAIKAMS NEPASTEBIMOJE IR  NEPASIEKIAMOJE VIETOJE</w:t>
      </w:r>
    </w:p>
    <w:p w14:paraId="6BED3371" w14:textId="77777777" w:rsidR="008D3B35" w:rsidRPr="003F564F" w:rsidRDefault="008D3B35" w:rsidP="00F729C1">
      <w:pPr>
        <w:tabs>
          <w:tab w:val="left" w:pos="567"/>
        </w:tabs>
        <w:rPr>
          <w:sz w:val="22"/>
          <w:szCs w:val="24"/>
        </w:rPr>
      </w:pPr>
    </w:p>
    <w:p w14:paraId="05DB6074" w14:textId="77777777" w:rsidR="008D3B35" w:rsidRPr="003F564F" w:rsidRDefault="00AB4978" w:rsidP="00F729C1">
      <w:pPr>
        <w:tabs>
          <w:tab w:val="left" w:pos="567"/>
        </w:tabs>
        <w:rPr>
          <w:sz w:val="22"/>
          <w:szCs w:val="24"/>
        </w:rPr>
      </w:pPr>
      <w:r w:rsidRPr="003F564F">
        <w:rPr>
          <w:sz w:val="22"/>
          <w:szCs w:val="24"/>
        </w:rPr>
        <w:t>Laikyti vaikams nepastebimoje ir nepasiekiamoje vietoje.</w:t>
      </w:r>
    </w:p>
    <w:p w14:paraId="4C0FF2EB" w14:textId="77777777" w:rsidR="008D3B35" w:rsidRPr="003F564F" w:rsidRDefault="008D3B35" w:rsidP="00F729C1">
      <w:pPr>
        <w:tabs>
          <w:tab w:val="left" w:pos="567"/>
        </w:tabs>
        <w:rPr>
          <w:sz w:val="22"/>
          <w:szCs w:val="24"/>
        </w:rPr>
      </w:pPr>
    </w:p>
    <w:p w14:paraId="1AE704BB" w14:textId="77777777" w:rsidR="008D3B35" w:rsidRPr="003F564F" w:rsidRDefault="008D3B35" w:rsidP="00F729C1">
      <w:pPr>
        <w:tabs>
          <w:tab w:val="left" w:pos="567"/>
        </w:tabs>
        <w:rPr>
          <w:sz w:val="22"/>
          <w:szCs w:val="24"/>
        </w:rPr>
      </w:pPr>
    </w:p>
    <w:p w14:paraId="2BAD27DE" w14:textId="77777777" w:rsidR="008D3B35" w:rsidRPr="003F564F" w:rsidRDefault="00AB4978" w:rsidP="00F729C1">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3F564F">
        <w:rPr>
          <w:b/>
          <w:sz w:val="22"/>
          <w:szCs w:val="24"/>
        </w:rPr>
        <w:t>7.</w:t>
      </w:r>
      <w:r w:rsidRPr="003F564F">
        <w:rPr>
          <w:b/>
          <w:sz w:val="22"/>
          <w:szCs w:val="24"/>
        </w:rPr>
        <w:tab/>
        <w:t>KITAS (-I) SPECIALUS (-ŪS) ĮSPĖJIMAS (-AI) (JEI REIKIA)</w:t>
      </w:r>
    </w:p>
    <w:p w14:paraId="2CDF3063" w14:textId="77777777" w:rsidR="008D3B35" w:rsidRPr="003F564F" w:rsidRDefault="008D3B35" w:rsidP="00F729C1">
      <w:pPr>
        <w:tabs>
          <w:tab w:val="left" w:pos="567"/>
        </w:tabs>
        <w:rPr>
          <w:sz w:val="22"/>
          <w:szCs w:val="24"/>
        </w:rPr>
      </w:pPr>
    </w:p>
    <w:p w14:paraId="09501D69" w14:textId="77777777" w:rsidR="008D3B35" w:rsidRPr="003F564F" w:rsidRDefault="008D3B35" w:rsidP="00F729C1">
      <w:pPr>
        <w:tabs>
          <w:tab w:val="left" w:pos="567"/>
        </w:tabs>
        <w:rPr>
          <w:sz w:val="22"/>
          <w:szCs w:val="24"/>
        </w:rPr>
      </w:pPr>
    </w:p>
    <w:p w14:paraId="6184F7A5" w14:textId="77777777" w:rsidR="008D3B35" w:rsidRPr="003F564F" w:rsidRDefault="00AB4978" w:rsidP="00F729C1">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3F564F">
        <w:rPr>
          <w:b/>
          <w:sz w:val="22"/>
          <w:szCs w:val="24"/>
        </w:rPr>
        <w:t>8.</w:t>
      </w:r>
      <w:r w:rsidRPr="003F564F">
        <w:rPr>
          <w:b/>
          <w:sz w:val="22"/>
          <w:szCs w:val="24"/>
        </w:rPr>
        <w:tab/>
        <w:t>TINKAMUMO LAIKAS</w:t>
      </w:r>
    </w:p>
    <w:p w14:paraId="451D5F1D" w14:textId="77777777" w:rsidR="008D3B35" w:rsidRPr="003F564F" w:rsidRDefault="008D3B35" w:rsidP="00F729C1">
      <w:pPr>
        <w:tabs>
          <w:tab w:val="left" w:pos="567"/>
        </w:tabs>
        <w:rPr>
          <w:sz w:val="22"/>
          <w:szCs w:val="24"/>
        </w:rPr>
      </w:pPr>
    </w:p>
    <w:p w14:paraId="542F3C12" w14:textId="407F9AEC" w:rsidR="008D3B35" w:rsidRPr="003F564F" w:rsidRDefault="00AB4978" w:rsidP="00F729C1">
      <w:pPr>
        <w:tabs>
          <w:tab w:val="left" w:pos="567"/>
        </w:tabs>
        <w:rPr>
          <w:sz w:val="22"/>
        </w:rPr>
      </w:pPr>
      <w:r w:rsidRPr="003F564F">
        <w:rPr>
          <w:sz w:val="22"/>
        </w:rPr>
        <w:t>EXP</w:t>
      </w:r>
      <w:r w:rsidR="00942319">
        <w:rPr>
          <w:sz w:val="22"/>
        </w:rPr>
        <w:t xml:space="preserve"> </w:t>
      </w:r>
      <w:r w:rsidR="00685239" w:rsidRPr="00685239">
        <w:rPr>
          <w:sz w:val="22"/>
        </w:rPr>
        <w:t>{mm/MMMM }</w:t>
      </w:r>
    </w:p>
    <w:p w14:paraId="332051B6" w14:textId="77777777" w:rsidR="008D3B35" w:rsidRPr="003F564F" w:rsidRDefault="008D3B35" w:rsidP="00F729C1">
      <w:pPr>
        <w:tabs>
          <w:tab w:val="left" w:pos="567"/>
        </w:tabs>
        <w:rPr>
          <w:sz w:val="22"/>
          <w:szCs w:val="24"/>
        </w:rPr>
      </w:pPr>
    </w:p>
    <w:p w14:paraId="79EB7E6B" w14:textId="77777777" w:rsidR="008D3B35" w:rsidRPr="003F564F" w:rsidRDefault="008D3B35" w:rsidP="00F729C1">
      <w:pPr>
        <w:tabs>
          <w:tab w:val="left" w:pos="567"/>
        </w:tabs>
        <w:rPr>
          <w:sz w:val="22"/>
          <w:szCs w:val="24"/>
        </w:rPr>
      </w:pPr>
    </w:p>
    <w:p w14:paraId="5A5DBDC4" w14:textId="77777777" w:rsidR="008D3B35" w:rsidRPr="003F564F" w:rsidRDefault="00AB4978" w:rsidP="00F729C1">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3F564F">
        <w:rPr>
          <w:b/>
          <w:sz w:val="22"/>
          <w:szCs w:val="24"/>
        </w:rPr>
        <w:t>9.</w:t>
      </w:r>
      <w:r w:rsidRPr="003F564F">
        <w:rPr>
          <w:b/>
          <w:sz w:val="22"/>
          <w:szCs w:val="24"/>
        </w:rPr>
        <w:tab/>
        <w:t>SPECIALIOS LAIKYMO SĄLYGOS</w:t>
      </w:r>
    </w:p>
    <w:p w14:paraId="5945DB72" w14:textId="77777777" w:rsidR="008D3B35" w:rsidRPr="003F564F" w:rsidRDefault="008D3B35" w:rsidP="00F729C1">
      <w:pPr>
        <w:tabs>
          <w:tab w:val="left" w:pos="567"/>
        </w:tabs>
        <w:rPr>
          <w:sz w:val="22"/>
          <w:szCs w:val="24"/>
        </w:rPr>
      </w:pPr>
    </w:p>
    <w:p w14:paraId="1D384DA7" w14:textId="77777777" w:rsidR="007D624A" w:rsidRPr="003F564F" w:rsidRDefault="007D624A" w:rsidP="00F729C1">
      <w:pPr>
        <w:tabs>
          <w:tab w:val="left" w:pos="567"/>
        </w:tabs>
        <w:rPr>
          <w:sz w:val="22"/>
          <w:szCs w:val="24"/>
        </w:rPr>
      </w:pPr>
    </w:p>
    <w:p w14:paraId="7A95C021" w14:textId="77777777" w:rsidR="008D3B35" w:rsidRPr="003F564F" w:rsidRDefault="00AB4978" w:rsidP="00F729C1">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sidRPr="003F564F">
        <w:rPr>
          <w:b/>
          <w:sz w:val="22"/>
          <w:szCs w:val="24"/>
        </w:rPr>
        <w:t>10.</w:t>
      </w:r>
      <w:r w:rsidRPr="003F564F">
        <w:rPr>
          <w:b/>
          <w:sz w:val="22"/>
          <w:szCs w:val="24"/>
        </w:rPr>
        <w:tab/>
        <w:t>SPECIALIOS ATSARGUMO PRIEMONĖS DĖL NESUVARTOTO VAISTINIO PREPARATO AR JO ATLIEKŲ TVARKYMO (JEI REIKIA)</w:t>
      </w:r>
    </w:p>
    <w:p w14:paraId="5DF8ABF8" w14:textId="77777777" w:rsidR="008D3B35" w:rsidRPr="003F564F" w:rsidRDefault="008D3B35" w:rsidP="00F729C1">
      <w:pPr>
        <w:tabs>
          <w:tab w:val="left" w:pos="567"/>
        </w:tabs>
        <w:rPr>
          <w:sz w:val="22"/>
          <w:szCs w:val="24"/>
        </w:rPr>
      </w:pPr>
    </w:p>
    <w:p w14:paraId="27EA3E35" w14:textId="77777777" w:rsidR="008D3B35" w:rsidRPr="003F564F" w:rsidRDefault="008D3B35" w:rsidP="00F729C1">
      <w:pPr>
        <w:tabs>
          <w:tab w:val="left" w:pos="567"/>
        </w:tabs>
        <w:rPr>
          <w:sz w:val="22"/>
          <w:szCs w:val="24"/>
        </w:rPr>
      </w:pPr>
    </w:p>
    <w:p w14:paraId="60614D6B" w14:textId="77777777" w:rsidR="008D3B35" w:rsidRPr="003F564F" w:rsidRDefault="00AB4978" w:rsidP="00F729C1">
      <w:pPr>
        <w:pBdr>
          <w:top w:val="single" w:sz="4" w:space="1" w:color="auto"/>
          <w:left w:val="single" w:sz="4" w:space="4" w:color="auto"/>
          <w:bottom w:val="single" w:sz="4" w:space="1" w:color="auto"/>
          <w:right w:val="single" w:sz="4" w:space="4" w:color="auto"/>
        </w:pBdr>
        <w:tabs>
          <w:tab w:val="left" w:pos="567"/>
        </w:tabs>
        <w:rPr>
          <w:b/>
          <w:sz w:val="22"/>
          <w:szCs w:val="24"/>
        </w:rPr>
      </w:pPr>
      <w:r w:rsidRPr="003F564F">
        <w:rPr>
          <w:b/>
          <w:sz w:val="22"/>
          <w:szCs w:val="24"/>
        </w:rPr>
        <w:t>11.</w:t>
      </w:r>
      <w:r w:rsidRPr="003F564F">
        <w:rPr>
          <w:b/>
          <w:sz w:val="22"/>
          <w:szCs w:val="24"/>
        </w:rPr>
        <w:tab/>
      </w:r>
      <w:r w:rsidRPr="003F564F">
        <w:rPr>
          <w:b/>
          <w:caps/>
          <w:sz w:val="22"/>
          <w:szCs w:val="24"/>
        </w:rPr>
        <w:t xml:space="preserve"> REGISTRUOTOJO PAVADINIMAS IR ADRESAS</w:t>
      </w:r>
    </w:p>
    <w:p w14:paraId="0FE3FDBB" w14:textId="77777777" w:rsidR="008D3B35" w:rsidRPr="003F564F" w:rsidRDefault="008D3B35" w:rsidP="00F729C1">
      <w:pPr>
        <w:tabs>
          <w:tab w:val="left" w:pos="567"/>
        </w:tabs>
        <w:rPr>
          <w:sz w:val="22"/>
          <w:szCs w:val="24"/>
        </w:rPr>
      </w:pPr>
    </w:p>
    <w:p w14:paraId="62907ACC" w14:textId="77777777" w:rsidR="00685239" w:rsidRPr="005243E0" w:rsidRDefault="00685239" w:rsidP="00F729C1">
      <w:pPr>
        <w:rPr>
          <w:sz w:val="22"/>
          <w:szCs w:val="24"/>
        </w:rPr>
      </w:pPr>
      <w:proofErr w:type="spellStart"/>
      <w:r w:rsidRPr="005243E0">
        <w:rPr>
          <w:sz w:val="22"/>
          <w:szCs w:val="24"/>
        </w:rPr>
        <w:t>Sandoz</w:t>
      </w:r>
      <w:proofErr w:type="spellEnd"/>
      <w:r w:rsidRPr="005243E0">
        <w:rPr>
          <w:sz w:val="22"/>
          <w:szCs w:val="24"/>
        </w:rPr>
        <w:t xml:space="preserve"> </w:t>
      </w:r>
      <w:proofErr w:type="spellStart"/>
      <w:r w:rsidRPr="005243E0">
        <w:rPr>
          <w:sz w:val="22"/>
          <w:szCs w:val="24"/>
        </w:rPr>
        <w:t>d.d</w:t>
      </w:r>
      <w:proofErr w:type="spellEnd"/>
      <w:r w:rsidRPr="005243E0">
        <w:rPr>
          <w:sz w:val="22"/>
          <w:szCs w:val="24"/>
        </w:rPr>
        <w:t>.</w:t>
      </w:r>
    </w:p>
    <w:p w14:paraId="5BC3D998" w14:textId="77777777" w:rsidR="00685239" w:rsidRPr="005243E0" w:rsidRDefault="00685239" w:rsidP="00F729C1">
      <w:pPr>
        <w:rPr>
          <w:sz w:val="22"/>
          <w:szCs w:val="24"/>
        </w:rPr>
      </w:pPr>
      <w:proofErr w:type="spellStart"/>
      <w:r w:rsidRPr="005243E0">
        <w:rPr>
          <w:sz w:val="22"/>
          <w:szCs w:val="24"/>
        </w:rPr>
        <w:t>Verovškova</w:t>
      </w:r>
      <w:proofErr w:type="spellEnd"/>
      <w:r w:rsidRPr="005243E0">
        <w:rPr>
          <w:sz w:val="22"/>
          <w:szCs w:val="24"/>
        </w:rPr>
        <w:t xml:space="preserve"> 57</w:t>
      </w:r>
    </w:p>
    <w:p w14:paraId="037F953B" w14:textId="77777777" w:rsidR="00685239" w:rsidRPr="005243E0" w:rsidRDefault="00685239" w:rsidP="00F729C1">
      <w:pPr>
        <w:rPr>
          <w:sz w:val="22"/>
          <w:szCs w:val="24"/>
        </w:rPr>
      </w:pPr>
      <w:r w:rsidRPr="005243E0">
        <w:rPr>
          <w:sz w:val="22"/>
          <w:szCs w:val="24"/>
        </w:rPr>
        <w:t xml:space="preserve">SI-1000 </w:t>
      </w:r>
      <w:proofErr w:type="spellStart"/>
      <w:r w:rsidRPr="005243E0">
        <w:rPr>
          <w:sz w:val="22"/>
          <w:szCs w:val="24"/>
        </w:rPr>
        <w:t>Ljubljana</w:t>
      </w:r>
      <w:proofErr w:type="spellEnd"/>
      <w:r w:rsidRPr="005243E0">
        <w:rPr>
          <w:sz w:val="22"/>
          <w:szCs w:val="24"/>
        </w:rPr>
        <w:t xml:space="preserve"> </w:t>
      </w:r>
    </w:p>
    <w:p w14:paraId="508CB952" w14:textId="77777777" w:rsidR="00685239" w:rsidRDefault="00685239" w:rsidP="00F729C1">
      <w:pPr>
        <w:rPr>
          <w:sz w:val="22"/>
          <w:szCs w:val="24"/>
        </w:rPr>
      </w:pPr>
      <w:r w:rsidRPr="005243E0">
        <w:rPr>
          <w:sz w:val="22"/>
          <w:szCs w:val="24"/>
        </w:rPr>
        <w:t>Slovėnija</w:t>
      </w:r>
    </w:p>
    <w:p w14:paraId="59B6AC05" w14:textId="77777777" w:rsidR="008D3B35" w:rsidRPr="003F564F" w:rsidRDefault="008D3B35" w:rsidP="00F729C1">
      <w:pPr>
        <w:tabs>
          <w:tab w:val="left" w:pos="567"/>
        </w:tabs>
        <w:rPr>
          <w:sz w:val="22"/>
          <w:szCs w:val="24"/>
        </w:rPr>
      </w:pPr>
    </w:p>
    <w:p w14:paraId="4FF22324" w14:textId="77777777" w:rsidR="008D3B35" w:rsidRPr="003F564F" w:rsidRDefault="008D3B35" w:rsidP="00F729C1">
      <w:pPr>
        <w:tabs>
          <w:tab w:val="left" w:pos="567"/>
        </w:tabs>
        <w:rPr>
          <w:sz w:val="22"/>
          <w:szCs w:val="24"/>
        </w:rPr>
      </w:pPr>
    </w:p>
    <w:p w14:paraId="173B086D" w14:textId="77777777" w:rsidR="008D3B35" w:rsidRPr="003F564F" w:rsidRDefault="00AB4978" w:rsidP="00F729C1">
      <w:pPr>
        <w:pBdr>
          <w:top w:val="single" w:sz="4" w:space="1" w:color="auto"/>
          <w:left w:val="single" w:sz="4" w:space="4" w:color="auto"/>
          <w:bottom w:val="single" w:sz="4" w:space="1" w:color="auto"/>
          <w:right w:val="single" w:sz="4" w:space="4" w:color="auto"/>
        </w:pBdr>
        <w:tabs>
          <w:tab w:val="left" w:pos="567"/>
        </w:tabs>
        <w:rPr>
          <w:sz w:val="22"/>
          <w:szCs w:val="24"/>
        </w:rPr>
      </w:pPr>
      <w:r w:rsidRPr="003F564F">
        <w:rPr>
          <w:b/>
          <w:sz w:val="22"/>
          <w:szCs w:val="24"/>
        </w:rPr>
        <w:t>12.</w:t>
      </w:r>
      <w:r w:rsidRPr="003F564F">
        <w:rPr>
          <w:b/>
          <w:sz w:val="22"/>
          <w:szCs w:val="24"/>
        </w:rPr>
        <w:tab/>
        <w:t xml:space="preserve">REGISTRACIJOS PAŽYMĖJIMO NUMERIS (-IAI) </w:t>
      </w:r>
    </w:p>
    <w:p w14:paraId="4EBF0A19" w14:textId="77777777" w:rsidR="008D3B35" w:rsidRPr="003F564F" w:rsidRDefault="008D3B35" w:rsidP="00F729C1">
      <w:pPr>
        <w:tabs>
          <w:tab w:val="left" w:pos="567"/>
        </w:tabs>
        <w:rPr>
          <w:sz w:val="22"/>
          <w:szCs w:val="24"/>
        </w:rPr>
      </w:pPr>
    </w:p>
    <w:p w14:paraId="11F34C62" w14:textId="27805C9D" w:rsidR="008D3B35" w:rsidRDefault="001A5798" w:rsidP="00F729C1">
      <w:pPr>
        <w:tabs>
          <w:tab w:val="left" w:pos="567"/>
        </w:tabs>
        <w:rPr>
          <w:sz w:val="22"/>
        </w:rPr>
      </w:pPr>
      <w:r>
        <w:rPr>
          <w:sz w:val="22"/>
        </w:rPr>
        <w:t>&lt;5 mg&gt;</w:t>
      </w:r>
    </w:p>
    <w:p w14:paraId="0CE41168" w14:textId="77777777" w:rsidR="001A5798" w:rsidRPr="00F729C1" w:rsidRDefault="001A5798" w:rsidP="00F729C1">
      <w:pPr>
        <w:tabs>
          <w:tab w:val="left" w:pos="567"/>
        </w:tabs>
        <w:rPr>
          <w:sz w:val="22"/>
          <w:highlight w:val="lightGray"/>
        </w:rPr>
      </w:pPr>
      <w:r w:rsidRPr="001A5798">
        <w:rPr>
          <w:sz w:val="22"/>
        </w:rPr>
        <w:t xml:space="preserve">LT/1/26/6049/001 </w:t>
      </w:r>
      <w:r w:rsidRPr="00F729C1">
        <w:rPr>
          <w:sz w:val="22"/>
          <w:highlight w:val="lightGray"/>
        </w:rPr>
        <w:t>– N14</w:t>
      </w:r>
    </w:p>
    <w:p w14:paraId="579088E2" w14:textId="77777777" w:rsidR="001A5798" w:rsidRPr="00F729C1" w:rsidRDefault="001A5798" w:rsidP="00F729C1">
      <w:pPr>
        <w:tabs>
          <w:tab w:val="left" w:pos="567"/>
        </w:tabs>
        <w:rPr>
          <w:sz w:val="22"/>
          <w:highlight w:val="lightGray"/>
        </w:rPr>
      </w:pPr>
      <w:r w:rsidRPr="00F729C1">
        <w:rPr>
          <w:sz w:val="22"/>
          <w:highlight w:val="lightGray"/>
        </w:rPr>
        <w:t>LT/1/26/6049/013 – N14 (kalendorinė)</w:t>
      </w:r>
    </w:p>
    <w:p w14:paraId="0830977F" w14:textId="77777777" w:rsidR="001A5798" w:rsidRPr="00F729C1" w:rsidRDefault="001A5798" w:rsidP="00F729C1">
      <w:pPr>
        <w:tabs>
          <w:tab w:val="left" w:pos="567"/>
        </w:tabs>
        <w:rPr>
          <w:sz w:val="22"/>
          <w:highlight w:val="lightGray"/>
        </w:rPr>
      </w:pPr>
      <w:r w:rsidRPr="00F729C1">
        <w:rPr>
          <w:sz w:val="22"/>
          <w:highlight w:val="lightGray"/>
        </w:rPr>
        <w:t>LT/1/26/6049/007 – N14x1</w:t>
      </w:r>
    </w:p>
    <w:p w14:paraId="2DAD6761" w14:textId="77777777" w:rsidR="001A5798" w:rsidRPr="00F729C1" w:rsidRDefault="001A5798" w:rsidP="00F729C1">
      <w:pPr>
        <w:tabs>
          <w:tab w:val="left" w:pos="567"/>
        </w:tabs>
        <w:rPr>
          <w:sz w:val="22"/>
          <w:highlight w:val="lightGray"/>
        </w:rPr>
      </w:pPr>
      <w:r w:rsidRPr="00F729C1">
        <w:rPr>
          <w:sz w:val="22"/>
          <w:highlight w:val="lightGray"/>
        </w:rPr>
        <w:t>LT/1/26/6049/019 – N14x1 (kalendorinė)</w:t>
      </w:r>
    </w:p>
    <w:p w14:paraId="247C7B6E" w14:textId="77777777" w:rsidR="001A5798" w:rsidRPr="00F729C1" w:rsidRDefault="001A5798" w:rsidP="00F729C1">
      <w:pPr>
        <w:tabs>
          <w:tab w:val="left" w:pos="567"/>
        </w:tabs>
        <w:rPr>
          <w:sz w:val="22"/>
          <w:highlight w:val="lightGray"/>
        </w:rPr>
      </w:pPr>
      <w:r w:rsidRPr="00F729C1">
        <w:rPr>
          <w:sz w:val="22"/>
          <w:highlight w:val="lightGray"/>
        </w:rPr>
        <w:t>LT/1/26/6049/002 – N28</w:t>
      </w:r>
    </w:p>
    <w:p w14:paraId="250E24B9" w14:textId="77777777" w:rsidR="001A5798" w:rsidRPr="00F729C1" w:rsidRDefault="001A5798" w:rsidP="00F729C1">
      <w:pPr>
        <w:tabs>
          <w:tab w:val="left" w:pos="567"/>
        </w:tabs>
        <w:rPr>
          <w:sz w:val="22"/>
          <w:highlight w:val="lightGray"/>
        </w:rPr>
      </w:pPr>
      <w:r w:rsidRPr="00F729C1">
        <w:rPr>
          <w:sz w:val="22"/>
          <w:highlight w:val="lightGray"/>
        </w:rPr>
        <w:t>LT/1/26/6049/014 – N28 (kalendorinė)</w:t>
      </w:r>
    </w:p>
    <w:p w14:paraId="5DD994F0" w14:textId="77777777" w:rsidR="001A5798" w:rsidRPr="00F729C1" w:rsidRDefault="001A5798" w:rsidP="00F729C1">
      <w:pPr>
        <w:tabs>
          <w:tab w:val="left" w:pos="567"/>
        </w:tabs>
        <w:rPr>
          <w:sz w:val="22"/>
          <w:highlight w:val="lightGray"/>
        </w:rPr>
      </w:pPr>
      <w:r w:rsidRPr="00F729C1">
        <w:rPr>
          <w:sz w:val="22"/>
          <w:highlight w:val="lightGray"/>
        </w:rPr>
        <w:t>LT/1/26/6049/008 – N28x1</w:t>
      </w:r>
    </w:p>
    <w:p w14:paraId="1B037E6C" w14:textId="77777777" w:rsidR="001A5798" w:rsidRPr="00F729C1" w:rsidRDefault="001A5798" w:rsidP="00F729C1">
      <w:pPr>
        <w:tabs>
          <w:tab w:val="left" w:pos="567"/>
        </w:tabs>
        <w:rPr>
          <w:sz w:val="22"/>
          <w:highlight w:val="lightGray"/>
        </w:rPr>
      </w:pPr>
      <w:r w:rsidRPr="00F729C1">
        <w:rPr>
          <w:sz w:val="22"/>
          <w:highlight w:val="lightGray"/>
        </w:rPr>
        <w:t>LT/1/26/6049/020 – N28x1 (kalendorinė)</w:t>
      </w:r>
    </w:p>
    <w:p w14:paraId="5697EAB9" w14:textId="77777777" w:rsidR="001A5798" w:rsidRPr="00F729C1" w:rsidRDefault="001A5798" w:rsidP="00F729C1">
      <w:pPr>
        <w:tabs>
          <w:tab w:val="left" w:pos="567"/>
        </w:tabs>
        <w:rPr>
          <w:sz w:val="22"/>
          <w:highlight w:val="lightGray"/>
        </w:rPr>
      </w:pPr>
      <w:r w:rsidRPr="00F729C1">
        <w:rPr>
          <w:sz w:val="22"/>
          <w:highlight w:val="lightGray"/>
        </w:rPr>
        <w:t>LT/1/26/6049/003 – N56</w:t>
      </w:r>
    </w:p>
    <w:p w14:paraId="5914B97F" w14:textId="77777777" w:rsidR="001A5798" w:rsidRPr="00F729C1" w:rsidRDefault="001A5798" w:rsidP="00F729C1">
      <w:pPr>
        <w:tabs>
          <w:tab w:val="left" w:pos="567"/>
        </w:tabs>
        <w:rPr>
          <w:sz w:val="22"/>
          <w:highlight w:val="lightGray"/>
        </w:rPr>
      </w:pPr>
      <w:r w:rsidRPr="00F729C1">
        <w:rPr>
          <w:sz w:val="22"/>
          <w:highlight w:val="lightGray"/>
        </w:rPr>
        <w:t>LT/1/26/6049/015 – N56 (kalendorinė)</w:t>
      </w:r>
    </w:p>
    <w:p w14:paraId="0DF86172" w14:textId="77777777" w:rsidR="001A5798" w:rsidRPr="00F729C1" w:rsidRDefault="001A5798" w:rsidP="00F729C1">
      <w:pPr>
        <w:tabs>
          <w:tab w:val="left" w:pos="567"/>
        </w:tabs>
        <w:rPr>
          <w:sz w:val="22"/>
          <w:highlight w:val="lightGray"/>
        </w:rPr>
      </w:pPr>
      <w:r w:rsidRPr="00F729C1">
        <w:rPr>
          <w:sz w:val="22"/>
          <w:highlight w:val="lightGray"/>
        </w:rPr>
        <w:t>LT/1/26/6049/009 – N56x1</w:t>
      </w:r>
    </w:p>
    <w:p w14:paraId="569004F1" w14:textId="77777777" w:rsidR="001A5798" w:rsidRPr="00F729C1" w:rsidRDefault="001A5798" w:rsidP="00F729C1">
      <w:pPr>
        <w:tabs>
          <w:tab w:val="left" w:pos="567"/>
        </w:tabs>
        <w:rPr>
          <w:sz w:val="22"/>
          <w:highlight w:val="lightGray"/>
        </w:rPr>
      </w:pPr>
      <w:r w:rsidRPr="00F729C1">
        <w:rPr>
          <w:sz w:val="22"/>
          <w:highlight w:val="lightGray"/>
        </w:rPr>
        <w:t>LT/1/26/6049/021 – N56x1 (kalendorinė)</w:t>
      </w:r>
    </w:p>
    <w:p w14:paraId="1D14AB27" w14:textId="77777777" w:rsidR="001A5798" w:rsidRPr="00F729C1" w:rsidRDefault="001A5798" w:rsidP="00F729C1">
      <w:pPr>
        <w:tabs>
          <w:tab w:val="left" w:pos="567"/>
        </w:tabs>
        <w:rPr>
          <w:sz w:val="22"/>
          <w:highlight w:val="lightGray"/>
        </w:rPr>
      </w:pPr>
      <w:r w:rsidRPr="00F729C1">
        <w:rPr>
          <w:sz w:val="22"/>
          <w:highlight w:val="lightGray"/>
        </w:rPr>
        <w:t>LT/1/26/6049/004 – N60</w:t>
      </w:r>
    </w:p>
    <w:p w14:paraId="1AF4CBA6" w14:textId="77777777" w:rsidR="001A5798" w:rsidRPr="00F729C1" w:rsidRDefault="001A5798" w:rsidP="00F729C1">
      <w:pPr>
        <w:tabs>
          <w:tab w:val="left" w:pos="567"/>
        </w:tabs>
        <w:rPr>
          <w:sz w:val="22"/>
          <w:highlight w:val="lightGray"/>
        </w:rPr>
      </w:pPr>
      <w:r w:rsidRPr="00F729C1">
        <w:rPr>
          <w:sz w:val="22"/>
          <w:highlight w:val="lightGray"/>
        </w:rPr>
        <w:t>LT/1/26/6049/016 – N60 (kalendorinė)</w:t>
      </w:r>
    </w:p>
    <w:p w14:paraId="726737C1" w14:textId="77777777" w:rsidR="001A5798" w:rsidRPr="00F729C1" w:rsidRDefault="001A5798" w:rsidP="00F729C1">
      <w:pPr>
        <w:tabs>
          <w:tab w:val="left" w:pos="567"/>
        </w:tabs>
        <w:rPr>
          <w:sz w:val="22"/>
          <w:highlight w:val="lightGray"/>
        </w:rPr>
      </w:pPr>
      <w:r w:rsidRPr="00F729C1">
        <w:rPr>
          <w:sz w:val="22"/>
          <w:highlight w:val="lightGray"/>
        </w:rPr>
        <w:t>LT/1/26/6049/010 – N60x1</w:t>
      </w:r>
    </w:p>
    <w:p w14:paraId="767FB742" w14:textId="45B042D3" w:rsidR="001A5798" w:rsidRPr="00F729C1" w:rsidRDefault="001A5798" w:rsidP="00F729C1">
      <w:pPr>
        <w:tabs>
          <w:tab w:val="left" w:pos="567"/>
        </w:tabs>
        <w:rPr>
          <w:sz w:val="22"/>
          <w:highlight w:val="lightGray"/>
        </w:rPr>
      </w:pPr>
      <w:r w:rsidRPr="00F729C1">
        <w:rPr>
          <w:sz w:val="22"/>
          <w:highlight w:val="lightGray"/>
        </w:rPr>
        <w:t>LT/1/26/6049/022 – N60x1 (kalendorinė)</w:t>
      </w:r>
    </w:p>
    <w:p w14:paraId="3CF6B8E1" w14:textId="77777777" w:rsidR="001A5798" w:rsidRPr="00F729C1" w:rsidRDefault="001A5798" w:rsidP="00F729C1">
      <w:pPr>
        <w:tabs>
          <w:tab w:val="left" w:pos="567"/>
        </w:tabs>
        <w:rPr>
          <w:sz w:val="22"/>
          <w:highlight w:val="lightGray"/>
        </w:rPr>
      </w:pPr>
      <w:r w:rsidRPr="00F729C1">
        <w:rPr>
          <w:sz w:val="22"/>
          <w:highlight w:val="lightGray"/>
        </w:rPr>
        <w:t>LT/1/26/6049/005 – N140</w:t>
      </w:r>
    </w:p>
    <w:p w14:paraId="6F6FDCDF" w14:textId="77777777" w:rsidR="001A5798" w:rsidRPr="00F729C1" w:rsidRDefault="001A5798" w:rsidP="00F729C1">
      <w:pPr>
        <w:tabs>
          <w:tab w:val="left" w:pos="567"/>
        </w:tabs>
        <w:rPr>
          <w:sz w:val="22"/>
          <w:highlight w:val="lightGray"/>
        </w:rPr>
      </w:pPr>
      <w:r w:rsidRPr="00F729C1">
        <w:rPr>
          <w:sz w:val="22"/>
          <w:highlight w:val="lightGray"/>
        </w:rPr>
        <w:t>LT/1/26/6049/017 – N140 (kalendorinė)</w:t>
      </w:r>
    </w:p>
    <w:p w14:paraId="25921CD2" w14:textId="77777777" w:rsidR="001A5798" w:rsidRPr="00F729C1" w:rsidRDefault="001A5798" w:rsidP="00F729C1">
      <w:pPr>
        <w:tabs>
          <w:tab w:val="left" w:pos="567"/>
        </w:tabs>
        <w:rPr>
          <w:sz w:val="22"/>
          <w:highlight w:val="lightGray"/>
        </w:rPr>
      </w:pPr>
      <w:r w:rsidRPr="00F729C1">
        <w:rPr>
          <w:sz w:val="22"/>
          <w:highlight w:val="lightGray"/>
        </w:rPr>
        <w:t>LT/1/26/6049/011 – N140x1</w:t>
      </w:r>
    </w:p>
    <w:p w14:paraId="7A717E7E" w14:textId="6F0E93BE" w:rsidR="001A5798" w:rsidRPr="00F729C1" w:rsidRDefault="001A5798" w:rsidP="00F729C1">
      <w:pPr>
        <w:tabs>
          <w:tab w:val="left" w:pos="567"/>
        </w:tabs>
        <w:rPr>
          <w:sz w:val="22"/>
          <w:highlight w:val="lightGray"/>
        </w:rPr>
      </w:pPr>
      <w:r w:rsidRPr="00F729C1">
        <w:rPr>
          <w:sz w:val="22"/>
          <w:highlight w:val="lightGray"/>
        </w:rPr>
        <w:t>LT/1/26/6049/023 – N140x1 (kalendorinė</w:t>
      </w:r>
      <w:r w:rsidRPr="00F729C1">
        <w:rPr>
          <w:sz w:val="22"/>
          <w:highlight w:val="lightGray"/>
        </w:rPr>
        <w:t xml:space="preserve">) </w:t>
      </w:r>
    </w:p>
    <w:p w14:paraId="601F750A" w14:textId="3FBE167D" w:rsidR="001A5798" w:rsidRPr="00F729C1" w:rsidRDefault="001A5798" w:rsidP="00F729C1">
      <w:pPr>
        <w:tabs>
          <w:tab w:val="left" w:pos="567"/>
        </w:tabs>
        <w:rPr>
          <w:sz w:val="22"/>
          <w:highlight w:val="lightGray"/>
        </w:rPr>
      </w:pPr>
      <w:r w:rsidRPr="00F729C1">
        <w:rPr>
          <w:sz w:val="22"/>
          <w:highlight w:val="lightGray"/>
        </w:rPr>
        <w:t>LT/1/26/6049/006 – N168</w:t>
      </w:r>
    </w:p>
    <w:p w14:paraId="73DFE196" w14:textId="77777777" w:rsidR="001A5798" w:rsidRPr="00F729C1" w:rsidRDefault="001A5798" w:rsidP="00F729C1">
      <w:pPr>
        <w:tabs>
          <w:tab w:val="left" w:pos="567"/>
        </w:tabs>
        <w:rPr>
          <w:sz w:val="22"/>
          <w:highlight w:val="lightGray"/>
        </w:rPr>
      </w:pPr>
      <w:r w:rsidRPr="00F729C1">
        <w:rPr>
          <w:sz w:val="22"/>
          <w:highlight w:val="lightGray"/>
        </w:rPr>
        <w:t>LT/1/26/6049/018 – N168 (kalendorinė)</w:t>
      </w:r>
    </w:p>
    <w:p w14:paraId="4876DBC8" w14:textId="77777777" w:rsidR="001A5798" w:rsidRPr="00F729C1" w:rsidRDefault="001A5798" w:rsidP="00F729C1">
      <w:pPr>
        <w:tabs>
          <w:tab w:val="left" w:pos="567"/>
        </w:tabs>
        <w:rPr>
          <w:sz w:val="22"/>
          <w:highlight w:val="lightGray"/>
        </w:rPr>
      </w:pPr>
      <w:r w:rsidRPr="00F729C1">
        <w:rPr>
          <w:sz w:val="22"/>
          <w:highlight w:val="lightGray"/>
        </w:rPr>
        <w:t>LT/1/26/6049/012 – N168x1</w:t>
      </w:r>
    </w:p>
    <w:p w14:paraId="75A78D33" w14:textId="37E0C9F3" w:rsidR="001A5798" w:rsidRDefault="001A5798" w:rsidP="00F729C1">
      <w:pPr>
        <w:tabs>
          <w:tab w:val="left" w:pos="567"/>
        </w:tabs>
        <w:rPr>
          <w:sz w:val="22"/>
        </w:rPr>
      </w:pPr>
      <w:r w:rsidRPr="00F729C1">
        <w:rPr>
          <w:sz w:val="22"/>
          <w:highlight w:val="lightGray"/>
        </w:rPr>
        <w:t>LT/1/26/6049/024 – N168x1 (kalendorinė)</w:t>
      </w:r>
    </w:p>
    <w:p w14:paraId="3B68E841" w14:textId="77777777" w:rsidR="001A5798" w:rsidRDefault="001A5798" w:rsidP="00F729C1">
      <w:pPr>
        <w:tabs>
          <w:tab w:val="left" w:pos="567"/>
        </w:tabs>
        <w:rPr>
          <w:sz w:val="22"/>
        </w:rPr>
      </w:pPr>
    </w:p>
    <w:p w14:paraId="4AE03C52" w14:textId="2DD7EB6B" w:rsidR="001A5798" w:rsidRPr="003560F6" w:rsidRDefault="00C759F5" w:rsidP="00F729C1">
      <w:pPr>
        <w:tabs>
          <w:tab w:val="left" w:pos="567"/>
        </w:tabs>
        <w:rPr>
          <w:sz w:val="22"/>
          <w:highlight w:val="lightGray"/>
        </w:rPr>
      </w:pPr>
      <w:r w:rsidRPr="003560F6">
        <w:rPr>
          <w:sz w:val="22"/>
          <w:highlight w:val="lightGray"/>
        </w:rPr>
        <w:t>&lt;</w:t>
      </w:r>
      <w:r w:rsidR="001A5798" w:rsidRPr="003560F6">
        <w:rPr>
          <w:sz w:val="22"/>
          <w:highlight w:val="lightGray"/>
        </w:rPr>
        <w:t>10</w:t>
      </w:r>
      <w:r w:rsidR="001A5798" w:rsidRPr="003560F6">
        <w:rPr>
          <w:sz w:val="22"/>
          <w:highlight w:val="lightGray"/>
        </w:rPr>
        <w:t xml:space="preserve"> mg</w:t>
      </w:r>
      <w:r w:rsidRPr="003560F6">
        <w:rPr>
          <w:sz w:val="22"/>
          <w:highlight w:val="lightGray"/>
        </w:rPr>
        <w:t>&gt;</w:t>
      </w:r>
    </w:p>
    <w:p w14:paraId="68765775" w14:textId="77777777" w:rsidR="00C759F5" w:rsidRPr="003560F6" w:rsidRDefault="00C759F5" w:rsidP="00C759F5">
      <w:pPr>
        <w:tabs>
          <w:tab w:val="left" w:pos="567"/>
        </w:tabs>
        <w:rPr>
          <w:sz w:val="22"/>
          <w:highlight w:val="lightGray"/>
        </w:rPr>
      </w:pPr>
      <w:r w:rsidRPr="003560F6">
        <w:rPr>
          <w:sz w:val="22"/>
          <w:highlight w:val="lightGray"/>
        </w:rPr>
        <w:t>LT/1/26/6050/001 – N14</w:t>
      </w:r>
    </w:p>
    <w:p w14:paraId="737A58FF" w14:textId="77777777" w:rsidR="00C759F5" w:rsidRPr="003560F6" w:rsidRDefault="00C759F5" w:rsidP="00C759F5">
      <w:pPr>
        <w:tabs>
          <w:tab w:val="left" w:pos="567"/>
        </w:tabs>
        <w:rPr>
          <w:sz w:val="22"/>
          <w:highlight w:val="lightGray"/>
        </w:rPr>
      </w:pPr>
      <w:r w:rsidRPr="003560F6">
        <w:rPr>
          <w:sz w:val="22"/>
          <w:highlight w:val="lightGray"/>
        </w:rPr>
        <w:lastRenderedPageBreak/>
        <w:t>LT/1/26/6050/013 – N14 (kalendorinė)</w:t>
      </w:r>
    </w:p>
    <w:p w14:paraId="399A5A1F" w14:textId="77777777" w:rsidR="00C759F5" w:rsidRPr="003560F6" w:rsidRDefault="00C759F5" w:rsidP="00C759F5">
      <w:pPr>
        <w:tabs>
          <w:tab w:val="left" w:pos="567"/>
        </w:tabs>
        <w:rPr>
          <w:sz w:val="22"/>
          <w:highlight w:val="lightGray"/>
        </w:rPr>
      </w:pPr>
      <w:r w:rsidRPr="003560F6">
        <w:rPr>
          <w:sz w:val="22"/>
          <w:highlight w:val="lightGray"/>
        </w:rPr>
        <w:t>LT/1/26/6050/007 – N14x1</w:t>
      </w:r>
    </w:p>
    <w:p w14:paraId="399E5B13" w14:textId="77777777" w:rsidR="00C759F5" w:rsidRPr="003560F6" w:rsidRDefault="00C759F5" w:rsidP="00C759F5">
      <w:pPr>
        <w:tabs>
          <w:tab w:val="left" w:pos="567"/>
        </w:tabs>
        <w:rPr>
          <w:sz w:val="22"/>
          <w:highlight w:val="lightGray"/>
        </w:rPr>
      </w:pPr>
      <w:r w:rsidRPr="003560F6">
        <w:rPr>
          <w:sz w:val="22"/>
          <w:highlight w:val="lightGray"/>
        </w:rPr>
        <w:t>LT/1/26/6050/019 – N14x1 (kalendorinė)</w:t>
      </w:r>
    </w:p>
    <w:p w14:paraId="1F06109A" w14:textId="77777777" w:rsidR="00C759F5" w:rsidRPr="003560F6" w:rsidRDefault="00C759F5" w:rsidP="00C759F5">
      <w:pPr>
        <w:tabs>
          <w:tab w:val="left" w:pos="567"/>
        </w:tabs>
        <w:rPr>
          <w:sz w:val="22"/>
          <w:highlight w:val="lightGray"/>
        </w:rPr>
      </w:pPr>
      <w:r w:rsidRPr="003560F6">
        <w:rPr>
          <w:sz w:val="22"/>
          <w:highlight w:val="lightGray"/>
        </w:rPr>
        <w:t>LT/1/26/6050/002 – N28</w:t>
      </w:r>
    </w:p>
    <w:p w14:paraId="7BE714CB" w14:textId="77777777" w:rsidR="00C759F5" w:rsidRPr="003560F6" w:rsidRDefault="00C759F5" w:rsidP="00C759F5">
      <w:pPr>
        <w:tabs>
          <w:tab w:val="left" w:pos="567"/>
        </w:tabs>
        <w:rPr>
          <w:sz w:val="22"/>
          <w:highlight w:val="lightGray"/>
        </w:rPr>
      </w:pPr>
      <w:r w:rsidRPr="003560F6">
        <w:rPr>
          <w:sz w:val="22"/>
          <w:highlight w:val="lightGray"/>
        </w:rPr>
        <w:t>LT/1/26/6050/014 – N28 (kalendorinė)</w:t>
      </w:r>
    </w:p>
    <w:p w14:paraId="44520FCD" w14:textId="77777777" w:rsidR="00C759F5" w:rsidRPr="003560F6" w:rsidRDefault="00C759F5" w:rsidP="00C759F5">
      <w:pPr>
        <w:tabs>
          <w:tab w:val="left" w:pos="567"/>
        </w:tabs>
        <w:rPr>
          <w:sz w:val="22"/>
          <w:highlight w:val="lightGray"/>
        </w:rPr>
      </w:pPr>
      <w:r w:rsidRPr="003560F6">
        <w:rPr>
          <w:sz w:val="22"/>
          <w:highlight w:val="lightGray"/>
        </w:rPr>
        <w:t>LT/1/26/6050/008 – N28x1</w:t>
      </w:r>
    </w:p>
    <w:p w14:paraId="1CDE8455" w14:textId="77777777" w:rsidR="00C759F5" w:rsidRPr="003560F6" w:rsidRDefault="00C759F5" w:rsidP="00C759F5">
      <w:pPr>
        <w:tabs>
          <w:tab w:val="left" w:pos="567"/>
        </w:tabs>
        <w:rPr>
          <w:sz w:val="22"/>
          <w:highlight w:val="lightGray"/>
        </w:rPr>
      </w:pPr>
      <w:r w:rsidRPr="003560F6">
        <w:rPr>
          <w:sz w:val="22"/>
          <w:highlight w:val="lightGray"/>
        </w:rPr>
        <w:t>LT/1/26/6050/020 – N28x1 (kalendorinė)</w:t>
      </w:r>
    </w:p>
    <w:p w14:paraId="46B7A967" w14:textId="77777777" w:rsidR="00C759F5" w:rsidRPr="003560F6" w:rsidRDefault="00C759F5" w:rsidP="00C759F5">
      <w:pPr>
        <w:tabs>
          <w:tab w:val="left" w:pos="567"/>
        </w:tabs>
        <w:rPr>
          <w:sz w:val="22"/>
          <w:highlight w:val="lightGray"/>
        </w:rPr>
      </w:pPr>
      <w:r w:rsidRPr="003560F6">
        <w:rPr>
          <w:sz w:val="22"/>
          <w:highlight w:val="lightGray"/>
        </w:rPr>
        <w:t>LT/1/26/6050/003 – N56</w:t>
      </w:r>
    </w:p>
    <w:p w14:paraId="52169AB9" w14:textId="77777777" w:rsidR="00C759F5" w:rsidRPr="003560F6" w:rsidRDefault="00C759F5" w:rsidP="00C759F5">
      <w:pPr>
        <w:tabs>
          <w:tab w:val="left" w:pos="567"/>
        </w:tabs>
        <w:rPr>
          <w:sz w:val="22"/>
          <w:highlight w:val="lightGray"/>
        </w:rPr>
      </w:pPr>
      <w:r w:rsidRPr="003560F6">
        <w:rPr>
          <w:sz w:val="22"/>
          <w:highlight w:val="lightGray"/>
        </w:rPr>
        <w:t>LT/1/26/6050/015 – N56 (kalendorinė)</w:t>
      </w:r>
    </w:p>
    <w:p w14:paraId="4895BE30" w14:textId="77777777" w:rsidR="00C759F5" w:rsidRPr="003560F6" w:rsidRDefault="00C759F5" w:rsidP="00C759F5">
      <w:pPr>
        <w:tabs>
          <w:tab w:val="left" w:pos="567"/>
        </w:tabs>
        <w:rPr>
          <w:sz w:val="22"/>
          <w:highlight w:val="lightGray"/>
        </w:rPr>
      </w:pPr>
      <w:r w:rsidRPr="003560F6">
        <w:rPr>
          <w:sz w:val="22"/>
          <w:highlight w:val="lightGray"/>
        </w:rPr>
        <w:t>LT/1/26/6050/009 – N56x1</w:t>
      </w:r>
    </w:p>
    <w:p w14:paraId="2B20694F" w14:textId="77777777" w:rsidR="00C759F5" w:rsidRPr="003560F6" w:rsidRDefault="00C759F5" w:rsidP="00C759F5">
      <w:pPr>
        <w:tabs>
          <w:tab w:val="left" w:pos="567"/>
        </w:tabs>
        <w:rPr>
          <w:sz w:val="22"/>
          <w:highlight w:val="lightGray"/>
        </w:rPr>
      </w:pPr>
      <w:r w:rsidRPr="003560F6">
        <w:rPr>
          <w:sz w:val="22"/>
          <w:highlight w:val="lightGray"/>
        </w:rPr>
        <w:t xml:space="preserve">LT/1/26/6050/021 – N56x1 (kalendorinė) </w:t>
      </w:r>
    </w:p>
    <w:p w14:paraId="0EEABCDF" w14:textId="77777777" w:rsidR="00C759F5" w:rsidRPr="003560F6" w:rsidRDefault="00C759F5" w:rsidP="00C759F5">
      <w:pPr>
        <w:tabs>
          <w:tab w:val="left" w:pos="567"/>
        </w:tabs>
        <w:rPr>
          <w:sz w:val="22"/>
          <w:highlight w:val="lightGray"/>
        </w:rPr>
      </w:pPr>
      <w:r w:rsidRPr="003560F6">
        <w:rPr>
          <w:sz w:val="22"/>
          <w:highlight w:val="lightGray"/>
        </w:rPr>
        <w:t>LT/1/26/6050/004 – N60</w:t>
      </w:r>
    </w:p>
    <w:p w14:paraId="52ACF07D" w14:textId="77777777" w:rsidR="00C759F5" w:rsidRPr="003560F6" w:rsidRDefault="00C759F5" w:rsidP="00C759F5">
      <w:pPr>
        <w:tabs>
          <w:tab w:val="left" w:pos="567"/>
        </w:tabs>
        <w:rPr>
          <w:sz w:val="22"/>
          <w:highlight w:val="lightGray"/>
        </w:rPr>
      </w:pPr>
      <w:r w:rsidRPr="003560F6">
        <w:rPr>
          <w:sz w:val="22"/>
          <w:highlight w:val="lightGray"/>
        </w:rPr>
        <w:t>LT/1/26/6050/016 – N60 (kalendorinė)</w:t>
      </w:r>
    </w:p>
    <w:p w14:paraId="0860F60B" w14:textId="77777777" w:rsidR="00C759F5" w:rsidRPr="003560F6" w:rsidRDefault="00C759F5" w:rsidP="00C759F5">
      <w:pPr>
        <w:tabs>
          <w:tab w:val="left" w:pos="567"/>
        </w:tabs>
        <w:rPr>
          <w:sz w:val="22"/>
          <w:highlight w:val="lightGray"/>
        </w:rPr>
      </w:pPr>
      <w:r w:rsidRPr="003560F6">
        <w:rPr>
          <w:sz w:val="22"/>
          <w:highlight w:val="lightGray"/>
        </w:rPr>
        <w:t>LT/1/26/6050/010 – N60x1</w:t>
      </w:r>
    </w:p>
    <w:p w14:paraId="035EF7C6" w14:textId="77777777" w:rsidR="00C759F5" w:rsidRPr="003560F6" w:rsidRDefault="00C759F5" w:rsidP="00C759F5">
      <w:pPr>
        <w:tabs>
          <w:tab w:val="left" w:pos="567"/>
        </w:tabs>
        <w:rPr>
          <w:sz w:val="22"/>
          <w:highlight w:val="lightGray"/>
        </w:rPr>
      </w:pPr>
      <w:r w:rsidRPr="003560F6">
        <w:rPr>
          <w:sz w:val="22"/>
          <w:highlight w:val="lightGray"/>
        </w:rPr>
        <w:t>LT/1/26/6050/022 – N60x1 (kalendorinė)</w:t>
      </w:r>
    </w:p>
    <w:p w14:paraId="5E5C726E" w14:textId="77777777" w:rsidR="00C759F5" w:rsidRPr="003560F6" w:rsidRDefault="00C759F5" w:rsidP="00C759F5">
      <w:pPr>
        <w:tabs>
          <w:tab w:val="left" w:pos="567"/>
        </w:tabs>
        <w:rPr>
          <w:sz w:val="22"/>
          <w:highlight w:val="lightGray"/>
        </w:rPr>
      </w:pPr>
      <w:r w:rsidRPr="003560F6">
        <w:rPr>
          <w:sz w:val="22"/>
          <w:highlight w:val="lightGray"/>
        </w:rPr>
        <w:t>LT/1/26/6050/005 – N140</w:t>
      </w:r>
    </w:p>
    <w:p w14:paraId="69877093" w14:textId="77777777" w:rsidR="00C759F5" w:rsidRPr="003560F6" w:rsidRDefault="00C759F5" w:rsidP="00C759F5">
      <w:pPr>
        <w:tabs>
          <w:tab w:val="left" w:pos="567"/>
        </w:tabs>
        <w:rPr>
          <w:sz w:val="22"/>
          <w:highlight w:val="lightGray"/>
        </w:rPr>
      </w:pPr>
      <w:r w:rsidRPr="003560F6">
        <w:rPr>
          <w:sz w:val="22"/>
          <w:highlight w:val="lightGray"/>
        </w:rPr>
        <w:t>LT/1/26/6050/017 – N140 (kalendorinė)</w:t>
      </w:r>
    </w:p>
    <w:p w14:paraId="322B251E" w14:textId="77777777" w:rsidR="00C759F5" w:rsidRPr="003560F6" w:rsidRDefault="00C759F5" w:rsidP="00C759F5">
      <w:pPr>
        <w:tabs>
          <w:tab w:val="left" w:pos="567"/>
        </w:tabs>
        <w:rPr>
          <w:sz w:val="22"/>
          <w:highlight w:val="lightGray"/>
        </w:rPr>
      </w:pPr>
      <w:r w:rsidRPr="003560F6">
        <w:rPr>
          <w:sz w:val="22"/>
          <w:highlight w:val="lightGray"/>
        </w:rPr>
        <w:t>LT/1/26/6050/011 – N140x1</w:t>
      </w:r>
    </w:p>
    <w:p w14:paraId="4DA058F5" w14:textId="77777777" w:rsidR="00C759F5" w:rsidRPr="003560F6" w:rsidRDefault="00C759F5" w:rsidP="00C759F5">
      <w:pPr>
        <w:tabs>
          <w:tab w:val="left" w:pos="567"/>
        </w:tabs>
        <w:rPr>
          <w:sz w:val="22"/>
          <w:highlight w:val="lightGray"/>
        </w:rPr>
      </w:pPr>
      <w:r w:rsidRPr="003560F6">
        <w:rPr>
          <w:sz w:val="22"/>
          <w:highlight w:val="lightGray"/>
        </w:rPr>
        <w:t>LT/1/26/6050/023 – N140x1 (kalendorinė)</w:t>
      </w:r>
    </w:p>
    <w:p w14:paraId="1B9EC160" w14:textId="77777777" w:rsidR="00C759F5" w:rsidRPr="003560F6" w:rsidRDefault="00C759F5" w:rsidP="00C759F5">
      <w:pPr>
        <w:tabs>
          <w:tab w:val="left" w:pos="567"/>
        </w:tabs>
        <w:rPr>
          <w:sz w:val="22"/>
          <w:highlight w:val="lightGray"/>
        </w:rPr>
      </w:pPr>
      <w:r w:rsidRPr="003560F6">
        <w:rPr>
          <w:sz w:val="22"/>
          <w:highlight w:val="lightGray"/>
        </w:rPr>
        <w:t>LT/1/26/6050/006 – N168</w:t>
      </w:r>
    </w:p>
    <w:p w14:paraId="2F64E84B" w14:textId="77777777" w:rsidR="00C759F5" w:rsidRPr="003560F6" w:rsidRDefault="00C759F5" w:rsidP="00C759F5">
      <w:pPr>
        <w:tabs>
          <w:tab w:val="left" w:pos="567"/>
        </w:tabs>
        <w:rPr>
          <w:sz w:val="22"/>
          <w:highlight w:val="lightGray"/>
        </w:rPr>
      </w:pPr>
      <w:r w:rsidRPr="003560F6">
        <w:rPr>
          <w:sz w:val="22"/>
          <w:highlight w:val="lightGray"/>
        </w:rPr>
        <w:t>LT/1/26/6050/018 – N168 (kalendorinė)</w:t>
      </w:r>
    </w:p>
    <w:p w14:paraId="08238CB9" w14:textId="77777777" w:rsidR="00C759F5" w:rsidRPr="003560F6" w:rsidRDefault="00C759F5" w:rsidP="00C759F5">
      <w:pPr>
        <w:tabs>
          <w:tab w:val="left" w:pos="567"/>
        </w:tabs>
        <w:rPr>
          <w:sz w:val="22"/>
          <w:highlight w:val="lightGray"/>
        </w:rPr>
      </w:pPr>
      <w:r w:rsidRPr="003560F6">
        <w:rPr>
          <w:sz w:val="22"/>
          <w:highlight w:val="lightGray"/>
        </w:rPr>
        <w:t>LT/1/26/6050/012 – N168x1</w:t>
      </w:r>
    </w:p>
    <w:p w14:paraId="03308C07" w14:textId="77777777" w:rsidR="00C759F5" w:rsidRPr="003560F6" w:rsidRDefault="00C759F5" w:rsidP="00C759F5">
      <w:pPr>
        <w:tabs>
          <w:tab w:val="left" w:pos="567"/>
        </w:tabs>
        <w:rPr>
          <w:sz w:val="22"/>
          <w:highlight w:val="lightGray"/>
        </w:rPr>
      </w:pPr>
      <w:r w:rsidRPr="003560F6">
        <w:rPr>
          <w:sz w:val="22"/>
          <w:highlight w:val="lightGray"/>
        </w:rPr>
        <w:t>LT/1/26/6050/024 – N168x1 (kalendorinė)</w:t>
      </w:r>
    </w:p>
    <w:p w14:paraId="76AA4E5F" w14:textId="77777777" w:rsidR="001A5798" w:rsidRPr="003560F6" w:rsidRDefault="001A5798" w:rsidP="00F729C1">
      <w:pPr>
        <w:tabs>
          <w:tab w:val="left" w:pos="567"/>
        </w:tabs>
        <w:rPr>
          <w:sz w:val="22"/>
          <w:highlight w:val="lightGray"/>
        </w:rPr>
      </w:pPr>
    </w:p>
    <w:p w14:paraId="50E765BA" w14:textId="5B0C8447" w:rsidR="001A5798" w:rsidRPr="003560F6" w:rsidRDefault="00825362" w:rsidP="00F729C1">
      <w:pPr>
        <w:tabs>
          <w:tab w:val="left" w:pos="567"/>
        </w:tabs>
        <w:rPr>
          <w:sz w:val="22"/>
          <w:highlight w:val="lightGray"/>
        </w:rPr>
      </w:pPr>
      <w:r w:rsidRPr="003560F6">
        <w:rPr>
          <w:sz w:val="22"/>
          <w:highlight w:val="lightGray"/>
        </w:rPr>
        <w:t>&lt;</w:t>
      </w:r>
      <w:r w:rsidR="001A5798" w:rsidRPr="003560F6">
        <w:rPr>
          <w:sz w:val="22"/>
          <w:highlight w:val="lightGray"/>
        </w:rPr>
        <w:t>1</w:t>
      </w:r>
      <w:r w:rsidR="001A5798" w:rsidRPr="003560F6">
        <w:rPr>
          <w:sz w:val="22"/>
          <w:highlight w:val="lightGray"/>
        </w:rPr>
        <w:t>5 mg</w:t>
      </w:r>
      <w:r w:rsidRPr="003560F6">
        <w:rPr>
          <w:sz w:val="22"/>
          <w:highlight w:val="lightGray"/>
        </w:rPr>
        <w:t>&gt;</w:t>
      </w:r>
    </w:p>
    <w:p w14:paraId="5CEB7974" w14:textId="77777777" w:rsidR="00825362" w:rsidRPr="003560F6" w:rsidRDefault="00825362" w:rsidP="00825362">
      <w:pPr>
        <w:tabs>
          <w:tab w:val="left" w:pos="567"/>
        </w:tabs>
        <w:rPr>
          <w:sz w:val="22"/>
          <w:highlight w:val="lightGray"/>
        </w:rPr>
      </w:pPr>
      <w:r w:rsidRPr="003560F6">
        <w:rPr>
          <w:sz w:val="22"/>
          <w:highlight w:val="lightGray"/>
        </w:rPr>
        <w:t>LT/1/26/6051/001 – N14</w:t>
      </w:r>
    </w:p>
    <w:p w14:paraId="1E9BA3D4" w14:textId="77777777" w:rsidR="003560F6" w:rsidRPr="003560F6" w:rsidRDefault="003560F6" w:rsidP="003560F6">
      <w:pPr>
        <w:tabs>
          <w:tab w:val="left" w:pos="567"/>
        </w:tabs>
        <w:rPr>
          <w:sz w:val="22"/>
          <w:highlight w:val="lightGray"/>
        </w:rPr>
      </w:pPr>
      <w:r w:rsidRPr="003560F6">
        <w:rPr>
          <w:sz w:val="22"/>
          <w:highlight w:val="lightGray"/>
        </w:rPr>
        <w:t>LT/1/26/6051/013 – N14 (kalendorinė)</w:t>
      </w:r>
    </w:p>
    <w:p w14:paraId="68CD295E" w14:textId="77777777" w:rsidR="003560F6" w:rsidRPr="003560F6" w:rsidRDefault="003560F6" w:rsidP="003560F6">
      <w:pPr>
        <w:tabs>
          <w:tab w:val="left" w:pos="567"/>
        </w:tabs>
        <w:rPr>
          <w:sz w:val="22"/>
          <w:highlight w:val="lightGray"/>
        </w:rPr>
      </w:pPr>
      <w:r w:rsidRPr="003560F6">
        <w:rPr>
          <w:sz w:val="22"/>
          <w:highlight w:val="lightGray"/>
        </w:rPr>
        <w:t>LT/1/26/6051/007 – N14x1</w:t>
      </w:r>
    </w:p>
    <w:p w14:paraId="7EC12E81" w14:textId="77777777" w:rsidR="003560F6" w:rsidRPr="003560F6" w:rsidRDefault="003560F6" w:rsidP="003560F6">
      <w:pPr>
        <w:tabs>
          <w:tab w:val="left" w:pos="567"/>
        </w:tabs>
        <w:rPr>
          <w:sz w:val="22"/>
          <w:highlight w:val="lightGray"/>
        </w:rPr>
      </w:pPr>
      <w:r w:rsidRPr="003560F6">
        <w:rPr>
          <w:sz w:val="22"/>
          <w:highlight w:val="lightGray"/>
        </w:rPr>
        <w:t>LT/1/26/6051/019 – N14x1 (kalendorinė)</w:t>
      </w:r>
    </w:p>
    <w:p w14:paraId="509F357A" w14:textId="77777777" w:rsidR="00825362" w:rsidRPr="003560F6" w:rsidRDefault="00825362" w:rsidP="00825362">
      <w:pPr>
        <w:tabs>
          <w:tab w:val="left" w:pos="567"/>
        </w:tabs>
        <w:rPr>
          <w:sz w:val="22"/>
          <w:highlight w:val="lightGray"/>
        </w:rPr>
      </w:pPr>
      <w:r w:rsidRPr="003560F6">
        <w:rPr>
          <w:sz w:val="22"/>
          <w:highlight w:val="lightGray"/>
        </w:rPr>
        <w:t>LT/1/26/6051/002 – N28</w:t>
      </w:r>
    </w:p>
    <w:p w14:paraId="1F52E334" w14:textId="77777777" w:rsidR="003560F6" w:rsidRPr="003560F6" w:rsidRDefault="003560F6" w:rsidP="003560F6">
      <w:pPr>
        <w:tabs>
          <w:tab w:val="left" w:pos="567"/>
        </w:tabs>
        <w:rPr>
          <w:sz w:val="22"/>
          <w:highlight w:val="lightGray"/>
        </w:rPr>
      </w:pPr>
      <w:r w:rsidRPr="003560F6">
        <w:rPr>
          <w:sz w:val="22"/>
          <w:highlight w:val="lightGray"/>
        </w:rPr>
        <w:t>LT/1/26/6051/014 – N28 (kalendorinė)</w:t>
      </w:r>
    </w:p>
    <w:p w14:paraId="456D293F" w14:textId="77777777" w:rsidR="003560F6" w:rsidRPr="003560F6" w:rsidRDefault="003560F6" w:rsidP="003560F6">
      <w:pPr>
        <w:tabs>
          <w:tab w:val="left" w:pos="567"/>
        </w:tabs>
        <w:rPr>
          <w:sz w:val="22"/>
          <w:highlight w:val="lightGray"/>
        </w:rPr>
      </w:pPr>
      <w:r w:rsidRPr="003560F6">
        <w:rPr>
          <w:sz w:val="22"/>
          <w:highlight w:val="lightGray"/>
        </w:rPr>
        <w:t>LT/1/26/6051/008 – N28x1</w:t>
      </w:r>
    </w:p>
    <w:p w14:paraId="0AA4BBAE" w14:textId="77777777" w:rsidR="003560F6" w:rsidRPr="003560F6" w:rsidRDefault="003560F6" w:rsidP="003560F6">
      <w:pPr>
        <w:tabs>
          <w:tab w:val="left" w:pos="567"/>
        </w:tabs>
        <w:rPr>
          <w:sz w:val="22"/>
          <w:highlight w:val="lightGray"/>
        </w:rPr>
      </w:pPr>
      <w:r w:rsidRPr="003560F6">
        <w:rPr>
          <w:sz w:val="22"/>
          <w:highlight w:val="lightGray"/>
        </w:rPr>
        <w:t>LT/1/26/6051/020 – N28x1 (kalendorinė)</w:t>
      </w:r>
    </w:p>
    <w:p w14:paraId="06D3571A" w14:textId="77777777" w:rsidR="00825362" w:rsidRPr="003560F6" w:rsidRDefault="00825362" w:rsidP="00825362">
      <w:pPr>
        <w:tabs>
          <w:tab w:val="left" w:pos="567"/>
        </w:tabs>
        <w:rPr>
          <w:sz w:val="22"/>
          <w:highlight w:val="lightGray"/>
        </w:rPr>
      </w:pPr>
      <w:r w:rsidRPr="003560F6">
        <w:rPr>
          <w:sz w:val="22"/>
          <w:highlight w:val="lightGray"/>
        </w:rPr>
        <w:t>LT/1/26/6051/003 – N56</w:t>
      </w:r>
    </w:p>
    <w:p w14:paraId="3FBBE037" w14:textId="77777777" w:rsidR="003560F6" w:rsidRPr="003560F6" w:rsidRDefault="003560F6" w:rsidP="003560F6">
      <w:pPr>
        <w:tabs>
          <w:tab w:val="left" w:pos="567"/>
        </w:tabs>
        <w:rPr>
          <w:sz w:val="22"/>
          <w:highlight w:val="lightGray"/>
        </w:rPr>
      </w:pPr>
      <w:r w:rsidRPr="003560F6">
        <w:rPr>
          <w:sz w:val="22"/>
          <w:highlight w:val="lightGray"/>
        </w:rPr>
        <w:t>LT/1/26/6051/015 – N56 (kalendorinė)</w:t>
      </w:r>
    </w:p>
    <w:p w14:paraId="4D923CA4" w14:textId="77777777" w:rsidR="003560F6" w:rsidRPr="003560F6" w:rsidRDefault="003560F6" w:rsidP="003560F6">
      <w:pPr>
        <w:tabs>
          <w:tab w:val="left" w:pos="567"/>
        </w:tabs>
        <w:rPr>
          <w:sz w:val="22"/>
          <w:highlight w:val="lightGray"/>
        </w:rPr>
      </w:pPr>
      <w:r w:rsidRPr="003560F6">
        <w:rPr>
          <w:sz w:val="22"/>
          <w:highlight w:val="lightGray"/>
        </w:rPr>
        <w:t>LT/1/26/6051/009 – N56x1</w:t>
      </w:r>
    </w:p>
    <w:p w14:paraId="5D5621B6" w14:textId="77777777" w:rsidR="003560F6" w:rsidRPr="003560F6" w:rsidRDefault="003560F6" w:rsidP="003560F6">
      <w:pPr>
        <w:tabs>
          <w:tab w:val="left" w:pos="567"/>
        </w:tabs>
        <w:rPr>
          <w:sz w:val="22"/>
          <w:highlight w:val="lightGray"/>
        </w:rPr>
      </w:pPr>
      <w:r w:rsidRPr="003560F6">
        <w:rPr>
          <w:sz w:val="22"/>
          <w:highlight w:val="lightGray"/>
        </w:rPr>
        <w:t>LT/1/26/6051/021 – N56x1 (kalendorinė)</w:t>
      </w:r>
    </w:p>
    <w:p w14:paraId="74C12263" w14:textId="77777777" w:rsidR="00825362" w:rsidRPr="003560F6" w:rsidRDefault="00825362" w:rsidP="00825362">
      <w:pPr>
        <w:tabs>
          <w:tab w:val="left" w:pos="567"/>
        </w:tabs>
        <w:rPr>
          <w:sz w:val="22"/>
          <w:highlight w:val="lightGray"/>
        </w:rPr>
      </w:pPr>
      <w:r w:rsidRPr="003560F6">
        <w:rPr>
          <w:sz w:val="22"/>
          <w:highlight w:val="lightGray"/>
        </w:rPr>
        <w:t>LT/1/26/6051/004 – N60</w:t>
      </w:r>
    </w:p>
    <w:p w14:paraId="56593BA7" w14:textId="77777777" w:rsidR="003560F6" w:rsidRPr="003560F6" w:rsidRDefault="003560F6" w:rsidP="003560F6">
      <w:pPr>
        <w:tabs>
          <w:tab w:val="left" w:pos="567"/>
        </w:tabs>
        <w:rPr>
          <w:sz w:val="22"/>
          <w:highlight w:val="lightGray"/>
        </w:rPr>
      </w:pPr>
      <w:r w:rsidRPr="003560F6">
        <w:rPr>
          <w:sz w:val="22"/>
          <w:highlight w:val="lightGray"/>
        </w:rPr>
        <w:t>LT/1/26/6051/016 – N60 (kalendorinė)</w:t>
      </w:r>
    </w:p>
    <w:p w14:paraId="46F50D88" w14:textId="77777777" w:rsidR="003560F6" w:rsidRPr="003560F6" w:rsidRDefault="003560F6" w:rsidP="003560F6">
      <w:pPr>
        <w:tabs>
          <w:tab w:val="left" w:pos="567"/>
        </w:tabs>
        <w:rPr>
          <w:sz w:val="22"/>
          <w:highlight w:val="lightGray"/>
        </w:rPr>
      </w:pPr>
      <w:r w:rsidRPr="003560F6">
        <w:rPr>
          <w:sz w:val="22"/>
          <w:highlight w:val="lightGray"/>
        </w:rPr>
        <w:t>LT/1/26/6051/010 – N60x1</w:t>
      </w:r>
    </w:p>
    <w:p w14:paraId="27DE67DC" w14:textId="77777777" w:rsidR="003560F6" w:rsidRPr="003560F6" w:rsidRDefault="003560F6" w:rsidP="003560F6">
      <w:pPr>
        <w:tabs>
          <w:tab w:val="left" w:pos="567"/>
        </w:tabs>
        <w:rPr>
          <w:sz w:val="22"/>
          <w:highlight w:val="lightGray"/>
        </w:rPr>
      </w:pPr>
      <w:r w:rsidRPr="003560F6">
        <w:rPr>
          <w:sz w:val="22"/>
          <w:highlight w:val="lightGray"/>
        </w:rPr>
        <w:t>LT/1/26/6051/022 – N60x1 (kalendorinė)</w:t>
      </w:r>
    </w:p>
    <w:p w14:paraId="305114AB" w14:textId="77777777" w:rsidR="00825362" w:rsidRPr="003560F6" w:rsidRDefault="00825362" w:rsidP="00825362">
      <w:pPr>
        <w:tabs>
          <w:tab w:val="left" w:pos="567"/>
        </w:tabs>
        <w:rPr>
          <w:sz w:val="22"/>
          <w:highlight w:val="lightGray"/>
        </w:rPr>
      </w:pPr>
      <w:r w:rsidRPr="003560F6">
        <w:rPr>
          <w:sz w:val="22"/>
          <w:highlight w:val="lightGray"/>
        </w:rPr>
        <w:t>LT/1/26/6051/005 – N140</w:t>
      </w:r>
    </w:p>
    <w:p w14:paraId="719E4373" w14:textId="77777777" w:rsidR="003560F6" w:rsidRPr="003560F6" w:rsidRDefault="003560F6" w:rsidP="003560F6">
      <w:pPr>
        <w:tabs>
          <w:tab w:val="left" w:pos="567"/>
        </w:tabs>
        <w:rPr>
          <w:sz w:val="22"/>
          <w:highlight w:val="lightGray"/>
        </w:rPr>
      </w:pPr>
      <w:r w:rsidRPr="003560F6">
        <w:rPr>
          <w:sz w:val="22"/>
          <w:highlight w:val="lightGray"/>
        </w:rPr>
        <w:t>LT/1/26/6051/017 – N140 (kalendorinė)</w:t>
      </w:r>
    </w:p>
    <w:p w14:paraId="5A843041" w14:textId="77777777" w:rsidR="003560F6" w:rsidRPr="003560F6" w:rsidRDefault="003560F6" w:rsidP="003560F6">
      <w:pPr>
        <w:tabs>
          <w:tab w:val="left" w:pos="567"/>
        </w:tabs>
        <w:rPr>
          <w:sz w:val="22"/>
          <w:highlight w:val="lightGray"/>
        </w:rPr>
      </w:pPr>
      <w:r w:rsidRPr="003560F6">
        <w:rPr>
          <w:sz w:val="22"/>
          <w:highlight w:val="lightGray"/>
        </w:rPr>
        <w:t>LT/1/26/6051/011 – N140x1</w:t>
      </w:r>
    </w:p>
    <w:p w14:paraId="0AFA27D5" w14:textId="77777777" w:rsidR="003560F6" w:rsidRPr="003560F6" w:rsidRDefault="003560F6" w:rsidP="003560F6">
      <w:pPr>
        <w:tabs>
          <w:tab w:val="left" w:pos="567"/>
        </w:tabs>
        <w:rPr>
          <w:sz w:val="22"/>
          <w:highlight w:val="lightGray"/>
        </w:rPr>
      </w:pPr>
      <w:r w:rsidRPr="003560F6">
        <w:rPr>
          <w:sz w:val="22"/>
          <w:highlight w:val="lightGray"/>
        </w:rPr>
        <w:t>LT/1/26/6051/023 – N140x1 (kalendorinė)</w:t>
      </w:r>
    </w:p>
    <w:p w14:paraId="3192C2C2" w14:textId="77777777" w:rsidR="00825362" w:rsidRPr="003560F6" w:rsidRDefault="00825362" w:rsidP="00825362">
      <w:pPr>
        <w:tabs>
          <w:tab w:val="left" w:pos="567"/>
        </w:tabs>
        <w:rPr>
          <w:sz w:val="22"/>
          <w:highlight w:val="lightGray"/>
        </w:rPr>
      </w:pPr>
      <w:r w:rsidRPr="003560F6">
        <w:rPr>
          <w:sz w:val="22"/>
          <w:highlight w:val="lightGray"/>
        </w:rPr>
        <w:t>LT/1/26/6051/006 – N168</w:t>
      </w:r>
    </w:p>
    <w:p w14:paraId="59D9064D" w14:textId="77777777" w:rsidR="003560F6" w:rsidRPr="003560F6" w:rsidRDefault="003560F6" w:rsidP="003560F6">
      <w:pPr>
        <w:tabs>
          <w:tab w:val="left" w:pos="567"/>
        </w:tabs>
        <w:rPr>
          <w:sz w:val="22"/>
          <w:highlight w:val="lightGray"/>
        </w:rPr>
      </w:pPr>
      <w:r w:rsidRPr="003560F6">
        <w:rPr>
          <w:sz w:val="22"/>
          <w:highlight w:val="lightGray"/>
        </w:rPr>
        <w:t>LT/1/26/6051/018 – N168 (kalendorinė)</w:t>
      </w:r>
    </w:p>
    <w:p w14:paraId="70EC5A79" w14:textId="77777777" w:rsidR="003560F6" w:rsidRPr="003560F6" w:rsidRDefault="003560F6" w:rsidP="003560F6">
      <w:pPr>
        <w:tabs>
          <w:tab w:val="left" w:pos="567"/>
        </w:tabs>
        <w:rPr>
          <w:sz w:val="22"/>
          <w:highlight w:val="lightGray"/>
        </w:rPr>
      </w:pPr>
      <w:r w:rsidRPr="003560F6">
        <w:rPr>
          <w:sz w:val="22"/>
          <w:highlight w:val="lightGray"/>
        </w:rPr>
        <w:t>LT/1/26/6051/012 – N168x1</w:t>
      </w:r>
    </w:p>
    <w:p w14:paraId="0A229018" w14:textId="77777777" w:rsidR="003560F6" w:rsidRPr="003560F6" w:rsidRDefault="003560F6" w:rsidP="003560F6">
      <w:pPr>
        <w:tabs>
          <w:tab w:val="left" w:pos="567"/>
        </w:tabs>
        <w:rPr>
          <w:sz w:val="22"/>
          <w:highlight w:val="lightGray"/>
        </w:rPr>
      </w:pPr>
      <w:r w:rsidRPr="003560F6">
        <w:rPr>
          <w:sz w:val="22"/>
          <w:highlight w:val="lightGray"/>
        </w:rPr>
        <w:t>LT/1/26/6051/024 – N168x1 (kalendorinė)</w:t>
      </w:r>
    </w:p>
    <w:p w14:paraId="2D2E1065" w14:textId="77777777" w:rsidR="001A5798" w:rsidRPr="003560F6" w:rsidRDefault="001A5798" w:rsidP="00F729C1">
      <w:pPr>
        <w:tabs>
          <w:tab w:val="left" w:pos="567"/>
        </w:tabs>
        <w:rPr>
          <w:sz w:val="22"/>
          <w:highlight w:val="lightGray"/>
        </w:rPr>
      </w:pPr>
    </w:p>
    <w:p w14:paraId="1C45BC24" w14:textId="77777777" w:rsidR="003560F6" w:rsidRPr="003560F6" w:rsidRDefault="003560F6" w:rsidP="00C759F5">
      <w:pPr>
        <w:tabs>
          <w:tab w:val="left" w:pos="567"/>
        </w:tabs>
        <w:rPr>
          <w:sz w:val="22"/>
          <w:highlight w:val="lightGray"/>
        </w:rPr>
      </w:pPr>
      <w:r w:rsidRPr="003560F6">
        <w:rPr>
          <w:sz w:val="22"/>
          <w:highlight w:val="lightGray"/>
        </w:rPr>
        <w:t>&lt;</w:t>
      </w:r>
      <w:r w:rsidR="001A5798" w:rsidRPr="003560F6">
        <w:rPr>
          <w:sz w:val="22"/>
          <w:highlight w:val="lightGray"/>
        </w:rPr>
        <w:t>20</w:t>
      </w:r>
      <w:r w:rsidR="001A5798" w:rsidRPr="003560F6">
        <w:rPr>
          <w:sz w:val="22"/>
          <w:highlight w:val="lightGray"/>
        </w:rPr>
        <w:t xml:space="preserve"> mg</w:t>
      </w:r>
      <w:r w:rsidRPr="003560F6">
        <w:rPr>
          <w:sz w:val="22"/>
          <w:highlight w:val="lightGray"/>
        </w:rPr>
        <w:t>&gt;</w:t>
      </w:r>
    </w:p>
    <w:p w14:paraId="1D4E4E61" w14:textId="77777777" w:rsidR="003560F6" w:rsidRPr="00F035F2" w:rsidRDefault="003560F6" w:rsidP="00565850">
      <w:pPr>
        <w:tabs>
          <w:tab w:val="left" w:pos="567"/>
        </w:tabs>
        <w:rPr>
          <w:rFonts w:eastAsia="Calibri"/>
          <w:sz w:val="22"/>
          <w:szCs w:val="22"/>
          <w:highlight w:val="lightGray"/>
        </w:rPr>
      </w:pPr>
      <w:r w:rsidRPr="00F035F2">
        <w:rPr>
          <w:rFonts w:eastAsia="Calibri"/>
          <w:sz w:val="22"/>
          <w:szCs w:val="22"/>
          <w:highlight w:val="lightGray"/>
        </w:rPr>
        <w:t>LT/1/26/</w:t>
      </w:r>
      <w:r w:rsidRPr="00F035F2">
        <w:rPr>
          <w:sz w:val="22"/>
          <w:szCs w:val="22"/>
          <w:highlight w:val="lightGray"/>
        </w:rPr>
        <w:t>6052</w:t>
      </w:r>
      <w:r w:rsidRPr="00F035F2">
        <w:rPr>
          <w:rFonts w:eastAsia="Calibri"/>
          <w:sz w:val="22"/>
          <w:szCs w:val="22"/>
          <w:highlight w:val="lightGray"/>
        </w:rPr>
        <w:t>/001 – N14</w:t>
      </w:r>
    </w:p>
    <w:p w14:paraId="511D7C54" w14:textId="77777777" w:rsidR="003560F6" w:rsidRPr="00565850" w:rsidRDefault="003560F6" w:rsidP="00565850">
      <w:pPr>
        <w:tabs>
          <w:tab w:val="left" w:pos="567"/>
        </w:tabs>
        <w:rPr>
          <w:sz w:val="22"/>
          <w:highlight w:val="lightGray"/>
        </w:rPr>
      </w:pPr>
      <w:r w:rsidRPr="00565850">
        <w:rPr>
          <w:sz w:val="22"/>
          <w:highlight w:val="lightGray"/>
        </w:rPr>
        <w:t>LT/1/26/6052/013 – N14</w:t>
      </w:r>
      <w:r w:rsidRPr="003560F6">
        <w:rPr>
          <w:sz w:val="22"/>
          <w:highlight w:val="lightGray"/>
        </w:rPr>
        <w:t xml:space="preserve"> (kalendorinė)</w:t>
      </w:r>
    </w:p>
    <w:p w14:paraId="6F44A22D" w14:textId="77777777" w:rsidR="003560F6" w:rsidRPr="00565850" w:rsidRDefault="003560F6" w:rsidP="00565850">
      <w:pPr>
        <w:tabs>
          <w:tab w:val="left" w:pos="567"/>
        </w:tabs>
        <w:rPr>
          <w:sz w:val="22"/>
          <w:highlight w:val="lightGray"/>
        </w:rPr>
      </w:pPr>
      <w:r w:rsidRPr="00565850">
        <w:rPr>
          <w:sz w:val="22"/>
          <w:highlight w:val="lightGray"/>
        </w:rPr>
        <w:t>LT/1/26/6052/007 – N14x1</w:t>
      </w:r>
    </w:p>
    <w:p w14:paraId="426C8C29" w14:textId="77777777" w:rsidR="003560F6" w:rsidRPr="00565850" w:rsidRDefault="003560F6" w:rsidP="00565850">
      <w:pPr>
        <w:tabs>
          <w:tab w:val="left" w:pos="567"/>
        </w:tabs>
        <w:rPr>
          <w:sz w:val="22"/>
          <w:highlight w:val="lightGray"/>
        </w:rPr>
      </w:pPr>
      <w:r w:rsidRPr="00565850">
        <w:rPr>
          <w:sz w:val="22"/>
          <w:highlight w:val="lightGray"/>
        </w:rPr>
        <w:t>LT/1/26/6052/019 – N14x1</w:t>
      </w:r>
      <w:r w:rsidRPr="003560F6">
        <w:rPr>
          <w:sz w:val="22"/>
          <w:highlight w:val="lightGray"/>
        </w:rPr>
        <w:t xml:space="preserve"> (kalendorinė)</w:t>
      </w:r>
    </w:p>
    <w:p w14:paraId="6021A106" w14:textId="77777777" w:rsidR="003560F6" w:rsidRPr="00565850" w:rsidRDefault="003560F6" w:rsidP="00565850">
      <w:pPr>
        <w:tabs>
          <w:tab w:val="left" w:pos="567"/>
        </w:tabs>
        <w:rPr>
          <w:sz w:val="22"/>
          <w:highlight w:val="lightGray"/>
        </w:rPr>
      </w:pPr>
      <w:r w:rsidRPr="00565850">
        <w:rPr>
          <w:sz w:val="22"/>
          <w:highlight w:val="lightGray"/>
        </w:rPr>
        <w:t>LT/1/26/6052/002 – N28</w:t>
      </w:r>
    </w:p>
    <w:p w14:paraId="5F493F93" w14:textId="77777777" w:rsidR="003560F6" w:rsidRPr="00565850" w:rsidRDefault="003560F6" w:rsidP="00565850">
      <w:pPr>
        <w:tabs>
          <w:tab w:val="left" w:pos="567"/>
        </w:tabs>
        <w:rPr>
          <w:sz w:val="22"/>
          <w:highlight w:val="lightGray"/>
        </w:rPr>
      </w:pPr>
      <w:r w:rsidRPr="00565850">
        <w:rPr>
          <w:sz w:val="22"/>
          <w:highlight w:val="lightGray"/>
        </w:rPr>
        <w:lastRenderedPageBreak/>
        <w:t>LT/1/26/6052/014 – N28</w:t>
      </w:r>
      <w:r w:rsidRPr="003560F6">
        <w:rPr>
          <w:sz w:val="22"/>
          <w:highlight w:val="lightGray"/>
        </w:rPr>
        <w:t xml:space="preserve"> (kalendorinė)</w:t>
      </w:r>
    </w:p>
    <w:p w14:paraId="5EF211DF" w14:textId="77777777" w:rsidR="003560F6" w:rsidRPr="00565850" w:rsidRDefault="003560F6" w:rsidP="00565850">
      <w:pPr>
        <w:tabs>
          <w:tab w:val="left" w:pos="567"/>
        </w:tabs>
        <w:rPr>
          <w:sz w:val="22"/>
          <w:highlight w:val="lightGray"/>
        </w:rPr>
      </w:pPr>
      <w:r w:rsidRPr="00565850">
        <w:rPr>
          <w:sz w:val="22"/>
          <w:highlight w:val="lightGray"/>
        </w:rPr>
        <w:t>LT/1/26/6052/008 – N28x1</w:t>
      </w:r>
    </w:p>
    <w:p w14:paraId="0D0542B8" w14:textId="77777777" w:rsidR="003560F6" w:rsidRPr="00565850" w:rsidRDefault="003560F6" w:rsidP="00565850">
      <w:pPr>
        <w:tabs>
          <w:tab w:val="left" w:pos="567"/>
        </w:tabs>
        <w:rPr>
          <w:sz w:val="22"/>
          <w:highlight w:val="lightGray"/>
        </w:rPr>
      </w:pPr>
      <w:r w:rsidRPr="00565850">
        <w:rPr>
          <w:sz w:val="22"/>
          <w:highlight w:val="lightGray"/>
        </w:rPr>
        <w:t>LT/1/26/6052/020 – N28x1</w:t>
      </w:r>
      <w:r w:rsidRPr="003560F6">
        <w:rPr>
          <w:sz w:val="22"/>
          <w:highlight w:val="lightGray"/>
        </w:rPr>
        <w:t xml:space="preserve"> (kalendorinė)</w:t>
      </w:r>
    </w:p>
    <w:p w14:paraId="052B4F74" w14:textId="77777777" w:rsidR="003560F6" w:rsidRPr="00565850" w:rsidRDefault="003560F6" w:rsidP="00565850">
      <w:pPr>
        <w:tabs>
          <w:tab w:val="left" w:pos="567"/>
        </w:tabs>
        <w:rPr>
          <w:sz w:val="22"/>
          <w:highlight w:val="lightGray"/>
        </w:rPr>
      </w:pPr>
      <w:r w:rsidRPr="00565850">
        <w:rPr>
          <w:sz w:val="22"/>
          <w:highlight w:val="lightGray"/>
        </w:rPr>
        <w:t>LT/1/26/6052/003 – N56</w:t>
      </w:r>
    </w:p>
    <w:p w14:paraId="06ED3F1A" w14:textId="77777777" w:rsidR="003560F6" w:rsidRPr="00565850" w:rsidRDefault="003560F6" w:rsidP="00565850">
      <w:pPr>
        <w:tabs>
          <w:tab w:val="left" w:pos="567"/>
        </w:tabs>
        <w:rPr>
          <w:sz w:val="22"/>
          <w:highlight w:val="lightGray"/>
        </w:rPr>
      </w:pPr>
      <w:r w:rsidRPr="00565850">
        <w:rPr>
          <w:sz w:val="22"/>
          <w:highlight w:val="lightGray"/>
        </w:rPr>
        <w:t>LT/1/26/6052/015 – N56</w:t>
      </w:r>
      <w:r w:rsidRPr="003560F6">
        <w:rPr>
          <w:sz w:val="22"/>
          <w:highlight w:val="lightGray"/>
        </w:rPr>
        <w:t xml:space="preserve"> (kalendorinė)</w:t>
      </w:r>
    </w:p>
    <w:p w14:paraId="63071700" w14:textId="77777777" w:rsidR="003560F6" w:rsidRPr="00565850" w:rsidRDefault="003560F6" w:rsidP="00565850">
      <w:pPr>
        <w:tabs>
          <w:tab w:val="left" w:pos="567"/>
        </w:tabs>
        <w:rPr>
          <w:sz w:val="22"/>
          <w:highlight w:val="lightGray"/>
        </w:rPr>
      </w:pPr>
      <w:r w:rsidRPr="00565850">
        <w:rPr>
          <w:sz w:val="22"/>
          <w:highlight w:val="lightGray"/>
        </w:rPr>
        <w:t>LT/1/26/6052/009 – N56x1</w:t>
      </w:r>
    </w:p>
    <w:p w14:paraId="61F2A209" w14:textId="77777777" w:rsidR="003560F6" w:rsidRPr="00565850" w:rsidRDefault="003560F6" w:rsidP="00565850">
      <w:pPr>
        <w:tabs>
          <w:tab w:val="left" w:pos="567"/>
        </w:tabs>
        <w:rPr>
          <w:sz w:val="22"/>
          <w:highlight w:val="lightGray"/>
        </w:rPr>
      </w:pPr>
      <w:r w:rsidRPr="00565850">
        <w:rPr>
          <w:sz w:val="22"/>
          <w:highlight w:val="lightGray"/>
        </w:rPr>
        <w:t>LT/1/26/6052/021 – N56x1</w:t>
      </w:r>
      <w:r w:rsidRPr="003560F6">
        <w:rPr>
          <w:sz w:val="22"/>
          <w:highlight w:val="lightGray"/>
        </w:rPr>
        <w:t xml:space="preserve"> (kalendorinė)</w:t>
      </w:r>
    </w:p>
    <w:p w14:paraId="6993DAAC" w14:textId="77777777" w:rsidR="003560F6" w:rsidRPr="00565850" w:rsidRDefault="003560F6" w:rsidP="00565850">
      <w:pPr>
        <w:tabs>
          <w:tab w:val="left" w:pos="567"/>
        </w:tabs>
        <w:rPr>
          <w:sz w:val="22"/>
          <w:highlight w:val="lightGray"/>
        </w:rPr>
      </w:pPr>
      <w:r w:rsidRPr="00565850">
        <w:rPr>
          <w:sz w:val="22"/>
          <w:highlight w:val="lightGray"/>
        </w:rPr>
        <w:t>LT/1/26/6052/004 – N60</w:t>
      </w:r>
    </w:p>
    <w:p w14:paraId="6716CE8E" w14:textId="77777777" w:rsidR="003560F6" w:rsidRPr="00565850" w:rsidRDefault="003560F6" w:rsidP="00565850">
      <w:pPr>
        <w:tabs>
          <w:tab w:val="left" w:pos="567"/>
        </w:tabs>
        <w:rPr>
          <w:sz w:val="22"/>
          <w:highlight w:val="lightGray"/>
        </w:rPr>
      </w:pPr>
      <w:r w:rsidRPr="00565850">
        <w:rPr>
          <w:sz w:val="22"/>
          <w:highlight w:val="lightGray"/>
        </w:rPr>
        <w:t>LT/1/26/6052/016 – N60</w:t>
      </w:r>
      <w:r w:rsidRPr="003560F6">
        <w:rPr>
          <w:sz w:val="22"/>
          <w:highlight w:val="lightGray"/>
        </w:rPr>
        <w:t xml:space="preserve"> (kalendorinė)</w:t>
      </w:r>
    </w:p>
    <w:p w14:paraId="64C9D31C" w14:textId="77777777" w:rsidR="003560F6" w:rsidRPr="00565850" w:rsidRDefault="003560F6" w:rsidP="00565850">
      <w:pPr>
        <w:tabs>
          <w:tab w:val="left" w:pos="567"/>
        </w:tabs>
        <w:rPr>
          <w:sz w:val="22"/>
          <w:highlight w:val="lightGray"/>
        </w:rPr>
      </w:pPr>
      <w:r w:rsidRPr="00565850">
        <w:rPr>
          <w:sz w:val="22"/>
          <w:highlight w:val="lightGray"/>
        </w:rPr>
        <w:t>LT/1/26/6052/010 – N60x1</w:t>
      </w:r>
    </w:p>
    <w:p w14:paraId="3261C27A" w14:textId="77777777" w:rsidR="003560F6" w:rsidRPr="00565850" w:rsidRDefault="003560F6" w:rsidP="00565850">
      <w:pPr>
        <w:tabs>
          <w:tab w:val="left" w:pos="567"/>
        </w:tabs>
        <w:rPr>
          <w:sz w:val="22"/>
          <w:highlight w:val="lightGray"/>
        </w:rPr>
      </w:pPr>
      <w:r w:rsidRPr="00565850">
        <w:rPr>
          <w:sz w:val="22"/>
          <w:highlight w:val="lightGray"/>
        </w:rPr>
        <w:t>LT/1/26/6052/022 – N60x1</w:t>
      </w:r>
      <w:r w:rsidRPr="003560F6">
        <w:rPr>
          <w:sz w:val="22"/>
          <w:highlight w:val="lightGray"/>
        </w:rPr>
        <w:t xml:space="preserve"> (kalendorinė)</w:t>
      </w:r>
    </w:p>
    <w:p w14:paraId="6838E7E7" w14:textId="77777777" w:rsidR="003560F6" w:rsidRPr="00565850" w:rsidRDefault="003560F6" w:rsidP="00565850">
      <w:pPr>
        <w:tabs>
          <w:tab w:val="left" w:pos="567"/>
        </w:tabs>
        <w:rPr>
          <w:sz w:val="22"/>
          <w:highlight w:val="lightGray"/>
        </w:rPr>
      </w:pPr>
      <w:r w:rsidRPr="00565850">
        <w:rPr>
          <w:sz w:val="22"/>
          <w:highlight w:val="lightGray"/>
        </w:rPr>
        <w:t>LT/1/26/6052/005 – N140</w:t>
      </w:r>
    </w:p>
    <w:p w14:paraId="5ECA5C48" w14:textId="77777777" w:rsidR="003560F6" w:rsidRPr="00565850" w:rsidRDefault="003560F6" w:rsidP="00565850">
      <w:pPr>
        <w:tabs>
          <w:tab w:val="left" w:pos="567"/>
        </w:tabs>
        <w:rPr>
          <w:sz w:val="22"/>
          <w:highlight w:val="lightGray"/>
        </w:rPr>
      </w:pPr>
      <w:r w:rsidRPr="00565850">
        <w:rPr>
          <w:sz w:val="22"/>
          <w:highlight w:val="lightGray"/>
        </w:rPr>
        <w:t>LT/1/26/6052/017 – N140</w:t>
      </w:r>
      <w:r w:rsidRPr="003560F6">
        <w:rPr>
          <w:sz w:val="22"/>
          <w:highlight w:val="lightGray"/>
        </w:rPr>
        <w:t xml:space="preserve"> (kalendorinė)</w:t>
      </w:r>
    </w:p>
    <w:p w14:paraId="1B1AF4ED" w14:textId="77777777" w:rsidR="003560F6" w:rsidRPr="00565850" w:rsidRDefault="003560F6" w:rsidP="00565850">
      <w:pPr>
        <w:tabs>
          <w:tab w:val="left" w:pos="567"/>
        </w:tabs>
        <w:rPr>
          <w:sz w:val="22"/>
          <w:highlight w:val="lightGray"/>
        </w:rPr>
      </w:pPr>
      <w:r w:rsidRPr="00565850">
        <w:rPr>
          <w:sz w:val="22"/>
          <w:highlight w:val="lightGray"/>
        </w:rPr>
        <w:t>LT/1/26/6052/011 – N140x1</w:t>
      </w:r>
    </w:p>
    <w:p w14:paraId="053965A9" w14:textId="77777777" w:rsidR="003560F6" w:rsidRPr="00565850" w:rsidRDefault="003560F6" w:rsidP="00565850">
      <w:pPr>
        <w:tabs>
          <w:tab w:val="left" w:pos="567"/>
        </w:tabs>
        <w:rPr>
          <w:sz w:val="22"/>
          <w:highlight w:val="lightGray"/>
        </w:rPr>
      </w:pPr>
      <w:r w:rsidRPr="00565850">
        <w:rPr>
          <w:sz w:val="22"/>
          <w:highlight w:val="lightGray"/>
        </w:rPr>
        <w:t>LT/1/26/6052/023 – N140x1</w:t>
      </w:r>
      <w:r w:rsidRPr="003560F6">
        <w:rPr>
          <w:sz w:val="22"/>
          <w:highlight w:val="lightGray"/>
        </w:rPr>
        <w:t xml:space="preserve"> (kalendorinė)</w:t>
      </w:r>
    </w:p>
    <w:p w14:paraId="6A256693" w14:textId="77777777" w:rsidR="003560F6" w:rsidRPr="00565850" w:rsidRDefault="003560F6" w:rsidP="00565850">
      <w:pPr>
        <w:tabs>
          <w:tab w:val="left" w:pos="567"/>
        </w:tabs>
        <w:rPr>
          <w:sz w:val="22"/>
          <w:highlight w:val="lightGray"/>
        </w:rPr>
      </w:pPr>
      <w:r w:rsidRPr="00565850">
        <w:rPr>
          <w:sz w:val="22"/>
          <w:highlight w:val="lightGray"/>
        </w:rPr>
        <w:t>LT/1/26/6052/006 – N168</w:t>
      </w:r>
    </w:p>
    <w:p w14:paraId="0AE709CF" w14:textId="77777777" w:rsidR="003560F6" w:rsidRPr="00565850" w:rsidRDefault="003560F6" w:rsidP="00565850">
      <w:pPr>
        <w:tabs>
          <w:tab w:val="left" w:pos="567"/>
        </w:tabs>
        <w:rPr>
          <w:sz w:val="22"/>
          <w:highlight w:val="lightGray"/>
        </w:rPr>
      </w:pPr>
      <w:r w:rsidRPr="00565850">
        <w:rPr>
          <w:sz w:val="22"/>
          <w:highlight w:val="lightGray"/>
        </w:rPr>
        <w:t>LT/1/26/6052/018 – N168</w:t>
      </w:r>
      <w:r w:rsidRPr="003560F6">
        <w:rPr>
          <w:sz w:val="22"/>
          <w:highlight w:val="lightGray"/>
        </w:rPr>
        <w:t xml:space="preserve"> (kalendorinė)</w:t>
      </w:r>
    </w:p>
    <w:p w14:paraId="6076AEC0" w14:textId="77777777" w:rsidR="003560F6" w:rsidRPr="00565850" w:rsidRDefault="003560F6" w:rsidP="00565850">
      <w:pPr>
        <w:tabs>
          <w:tab w:val="left" w:pos="567"/>
        </w:tabs>
        <w:rPr>
          <w:sz w:val="22"/>
          <w:highlight w:val="lightGray"/>
        </w:rPr>
      </w:pPr>
      <w:r w:rsidRPr="00565850">
        <w:rPr>
          <w:sz w:val="22"/>
          <w:highlight w:val="lightGray"/>
        </w:rPr>
        <w:t>LT/1/26/6052/012 – N168x1</w:t>
      </w:r>
    </w:p>
    <w:p w14:paraId="1301B8D7" w14:textId="77777777" w:rsidR="003560F6" w:rsidRPr="00565850" w:rsidRDefault="003560F6" w:rsidP="00565850">
      <w:pPr>
        <w:tabs>
          <w:tab w:val="left" w:pos="567"/>
        </w:tabs>
        <w:rPr>
          <w:sz w:val="22"/>
          <w:highlight w:val="lightGray"/>
        </w:rPr>
      </w:pPr>
      <w:r w:rsidRPr="00565850">
        <w:rPr>
          <w:sz w:val="22"/>
          <w:highlight w:val="lightGray"/>
        </w:rPr>
        <w:t>LT/1/26/6052/024 – N168x1</w:t>
      </w:r>
      <w:r w:rsidRPr="003560F6">
        <w:rPr>
          <w:sz w:val="22"/>
          <w:highlight w:val="lightGray"/>
        </w:rPr>
        <w:t xml:space="preserve"> (kalendorinė)</w:t>
      </w:r>
    </w:p>
    <w:p w14:paraId="3DC60346" w14:textId="77777777" w:rsidR="008D3B35" w:rsidRPr="00565850" w:rsidRDefault="008D3B35" w:rsidP="00F729C1">
      <w:pPr>
        <w:tabs>
          <w:tab w:val="left" w:pos="567"/>
        </w:tabs>
        <w:rPr>
          <w:sz w:val="22"/>
          <w:highlight w:val="lightGray"/>
        </w:rPr>
      </w:pPr>
    </w:p>
    <w:p w14:paraId="70786CB1" w14:textId="77777777" w:rsidR="008D3B35" w:rsidRPr="003F564F" w:rsidRDefault="008D3B35" w:rsidP="00F729C1">
      <w:pPr>
        <w:tabs>
          <w:tab w:val="left" w:pos="567"/>
        </w:tabs>
        <w:rPr>
          <w:sz w:val="22"/>
          <w:szCs w:val="24"/>
        </w:rPr>
      </w:pPr>
    </w:p>
    <w:p w14:paraId="56EEC174" w14:textId="77777777" w:rsidR="008D3B35" w:rsidRPr="003F564F" w:rsidRDefault="00AB4978" w:rsidP="00F729C1">
      <w:pPr>
        <w:pBdr>
          <w:top w:val="single" w:sz="4" w:space="1" w:color="auto"/>
          <w:left w:val="single" w:sz="4" w:space="4" w:color="auto"/>
          <w:bottom w:val="single" w:sz="4" w:space="1" w:color="auto"/>
          <w:right w:val="single" w:sz="4" w:space="4" w:color="auto"/>
        </w:pBdr>
        <w:tabs>
          <w:tab w:val="left" w:pos="567"/>
        </w:tabs>
        <w:rPr>
          <w:sz w:val="22"/>
          <w:szCs w:val="24"/>
        </w:rPr>
      </w:pPr>
      <w:r w:rsidRPr="003F564F">
        <w:rPr>
          <w:b/>
          <w:sz w:val="22"/>
          <w:szCs w:val="24"/>
        </w:rPr>
        <w:t>13.</w:t>
      </w:r>
      <w:r w:rsidRPr="003F564F">
        <w:rPr>
          <w:b/>
          <w:sz w:val="22"/>
          <w:szCs w:val="24"/>
        </w:rPr>
        <w:tab/>
        <w:t xml:space="preserve">SERIJOS NUMERIS </w:t>
      </w:r>
    </w:p>
    <w:p w14:paraId="2080626C" w14:textId="77777777" w:rsidR="008D3B35" w:rsidRPr="003F564F" w:rsidRDefault="008D3B35" w:rsidP="00F729C1">
      <w:pPr>
        <w:tabs>
          <w:tab w:val="left" w:pos="567"/>
        </w:tabs>
        <w:rPr>
          <w:sz w:val="22"/>
        </w:rPr>
      </w:pPr>
    </w:p>
    <w:p w14:paraId="2D38D72C" w14:textId="78D2E399" w:rsidR="008D3B35" w:rsidRPr="003F564F" w:rsidRDefault="00AB4978" w:rsidP="00F729C1">
      <w:pPr>
        <w:tabs>
          <w:tab w:val="left" w:pos="567"/>
        </w:tabs>
        <w:rPr>
          <w:sz w:val="22"/>
        </w:rPr>
      </w:pPr>
      <w:r w:rsidRPr="003F564F">
        <w:rPr>
          <w:sz w:val="22"/>
        </w:rPr>
        <w:t>Lot</w:t>
      </w:r>
    </w:p>
    <w:p w14:paraId="78A38A1F" w14:textId="77777777" w:rsidR="008D3B35" w:rsidRPr="003F564F" w:rsidRDefault="008D3B35" w:rsidP="00F729C1">
      <w:pPr>
        <w:tabs>
          <w:tab w:val="left" w:pos="567"/>
        </w:tabs>
        <w:rPr>
          <w:sz w:val="22"/>
          <w:szCs w:val="24"/>
        </w:rPr>
      </w:pPr>
    </w:p>
    <w:p w14:paraId="34F6D0FB" w14:textId="77777777" w:rsidR="008D3B35" w:rsidRPr="003F564F" w:rsidRDefault="008D3B35" w:rsidP="00F729C1">
      <w:pPr>
        <w:tabs>
          <w:tab w:val="left" w:pos="567"/>
        </w:tabs>
        <w:rPr>
          <w:sz w:val="22"/>
          <w:szCs w:val="24"/>
        </w:rPr>
      </w:pPr>
    </w:p>
    <w:p w14:paraId="7BBC01A0" w14:textId="77777777" w:rsidR="008D3B35" w:rsidRPr="003F564F" w:rsidRDefault="00AB4978" w:rsidP="00F729C1">
      <w:pPr>
        <w:pBdr>
          <w:top w:val="single" w:sz="4" w:space="1" w:color="auto"/>
          <w:left w:val="single" w:sz="4" w:space="4" w:color="auto"/>
          <w:bottom w:val="single" w:sz="4" w:space="1" w:color="auto"/>
          <w:right w:val="single" w:sz="4" w:space="4" w:color="auto"/>
        </w:pBdr>
        <w:tabs>
          <w:tab w:val="left" w:pos="567"/>
        </w:tabs>
        <w:rPr>
          <w:sz w:val="22"/>
          <w:szCs w:val="24"/>
        </w:rPr>
      </w:pPr>
      <w:r w:rsidRPr="003F564F">
        <w:rPr>
          <w:b/>
          <w:sz w:val="22"/>
          <w:szCs w:val="24"/>
        </w:rPr>
        <w:t>14.</w:t>
      </w:r>
      <w:r w:rsidRPr="003F564F">
        <w:rPr>
          <w:b/>
          <w:sz w:val="22"/>
          <w:szCs w:val="24"/>
        </w:rPr>
        <w:tab/>
        <w:t>PARDAVIMO (IŠDAVIMO) TVARKA</w:t>
      </w:r>
    </w:p>
    <w:p w14:paraId="76974C29" w14:textId="77777777" w:rsidR="008D3B35" w:rsidRPr="003F564F" w:rsidRDefault="008D3B35" w:rsidP="00F729C1">
      <w:pPr>
        <w:tabs>
          <w:tab w:val="left" w:pos="567"/>
        </w:tabs>
        <w:rPr>
          <w:sz w:val="22"/>
          <w:szCs w:val="24"/>
        </w:rPr>
      </w:pPr>
    </w:p>
    <w:p w14:paraId="2551B69C" w14:textId="7032C103" w:rsidR="008D3B35" w:rsidRPr="003F564F" w:rsidRDefault="00AB4978" w:rsidP="00F729C1">
      <w:pPr>
        <w:tabs>
          <w:tab w:val="left" w:pos="567"/>
        </w:tabs>
        <w:rPr>
          <w:sz w:val="22"/>
          <w:szCs w:val="24"/>
        </w:rPr>
      </w:pPr>
      <w:r w:rsidRPr="003F564F">
        <w:rPr>
          <w:sz w:val="22"/>
        </w:rPr>
        <w:t>Receptinis vaistas</w:t>
      </w:r>
    </w:p>
    <w:p w14:paraId="3EBC95AE" w14:textId="77777777" w:rsidR="008D3B35" w:rsidRPr="003F564F" w:rsidRDefault="008D3B35" w:rsidP="00F729C1">
      <w:pPr>
        <w:tabs>
          <w:tab w:val="left" w:pos="567"/>
        </w:tabs>
        <w:rPr>
          <w:sz w:val="22"/>
          <w:szCs w:val="24"/>
        </w:rPr>
      </w:pPr>
    </w:p>
    <w:p w14:paraId="63C71697" w14:textId="77777777" w:rsidR="008D3B35" w:rsidRPr="003F564F" w:rsidRDefault="008D3B35" w:rsidP="00F729C1">
      <w:pPr>
        <w:tabs>
          <w:tab w:val="left" w:pos="567"/>
        </w:tabs>
        <w:rPr>
          <w:sz w:val="22"/>
          <w:szCs w:val="24"/>
        </w:rPr>
      </w:pPr>
    </w:p>
    <w:p w14:paraId="67BA8BA6" w14:textId="77777777" w:rsidR="008D3B35" w:rsidRPr="003F564F" w:rsidRDefault="00AB4978" w:rsidP="00F729C1">
      <w:pPr>
        <w:pBdr>
          <w:top w:val="single" w:sz="4" w:space="2" w:color="auto"/>
          <w:left w:val="single" w:sz="4" w:space="4" w:color="auto"/>
          <w:bottom w:val="single" w:sz="4" w:space="1" w:color="auto"/>
          <w:right w:val="single" w:sz="4" w:space="4" w:color="auto"/>
        </w:pBdr>
        <w:tabs>
          <w:tab w:val="left" w:pos="567"/>
        </w:tabs>
        <w:rPr>
          <w:sz w:val="22"/>
          <w:szCs w:val="24"/>
        </w:rPr>
      </w:pPr>
      <w:r w:rsidRPr="003F564F">
        <w:rPr>
          <w:b/>
          <w:sz w:val="22"/>
          <w:szCs w:val="24"/>
        </w:rPr>
        <w:t>15.</w:t>
      </w:r>
      <w:r w:rsidRPr="003F564F">
        <w:rPr>
          <w:b/>
          <w:sz w:val="22"/>
          <w:szCs w:val="24"/>
        </w:rPr>
        <w:tab/>
        <w:t>VARTOJIMO INSTRUKCIJA</w:t>
      </w:r>
    </w:p>
    <w:p w14:paraId="7A8C559D" w14:textId="77777777" w:rsidR="008D3B35" w:rsidRPr="003F564F" w:rsidRDefault="008D3B35" w:rsidP="00F729C1">
      <w:pPr>
        <w:tabs>
          <w:tab w:val="left" w:pos="567"/>
        </w:tabs>
        <w:rPr>
          <w:sz w:val="22"/>
          <w:szCs w:val="24"/>
        </w:rPr>
      </w:pPr>
    </w:p>
    <w:p w14:paraId="74BD60F7" w14:textId="77777777" w:rsidR="008D3B35" w:rsidRPr="003F564F" w:rsidRDefault="008D3B35" w:rsidP="00F729C1">
      <w:pPr>
        <w:tabs>
          <w:tab w:val="left" w:pos="567"/>
        </w:tabs>
        <w:rPr>
          <w:sz w:val="22"/>
          <w:szCs w:val="24"/>
        </w:rPr>
      </w:pPr>
    </w:p>
    <w:p w14:paraId="203DEA87" w14:textId="77777777" w:rsidR="008D3B35" w:rsidRPr="003F564F" w:rsidRDefault="00AB4978" w:rsidP="00F729C1">
      <w:pPr>
        <w:pBdr>
          <w:top w:val="single" w:sz="4" w:space="1" w:color="auto"/>
          <w:left w:val="single" w:sz="4" w:space="4" w:color="auto"/>
          <w:bottom w:val="single" w:sz="4" w:space="0" w:color="auto"/>
          <w:right w:val="single" w:sz="4" w:space="4" w:color="auto"/>
        </w:pBdr>
        <w:tabs>
          <w:tab w:val="left" w:pos="567"/>
        </w:tabs>
        <w:rPr>
          <w:color w:val="008000"/>
          <w:sz w:val="22"/>
          <w:szCs w:val="24"/>
        </w:rPr>
      </w:pPr>
      <w:r w:rsidRPr="003F564F">
        <w:rPr>
          <w:b/>
          <w:sz w:val="22"/>
          <w:szCs w:val="24"/>
        </w:rPr>
        <w:t>16.</w:t>
      </w:r>
      <w:r w:rsidRPr="003F564F">
        <w:rPr>
          <w:b/>
          <w:sz w:val="22"/>
          <w:szCs w:val="24"/>
        </w:rPr>
        <w:tab/>
        <w:t>INFORMACIJA BRAILIO RAŠTU</w:t>
      </w:r>
    </w:p>
    <w:p w14:paraId="025B0E32" w14:textId="77777777" w:rsidR="008D3B35" w:rsidRPr="003F564F" w:rsidRDefault="008D3B35" w:rsidP="00F729C1">
      <w:pPr>
        <w:tabs>
          <w:tab w:val="left" w:pos="567"/>
        </w:tabs>
        <w:rPr>
          <w:sz w:val="22"/>
          <w:szCs w:val="24"/>
        </w:rPr>
      </w:pPr>
    </w:p>
    <w:p w14:paraId="73F46300" w14:textId="019C2054" w:rsidR="008D3B35" w:rsidRPr="003F564F" w:rsidRDefault="008B09E3" w:rsidP="00F729C1">
      <w:pPr>
        <w:tabs>
          <w:tab w:val="left" w:pos="567"/>
        </w:tabs>
        <w:rPr>
          <w:sz w:val="22"/>
          <w:szCs w:val="24"/>
        </w:rPr>
      </w:pPr>
      <w:proofErr w:type="spellStart"/>
      <w:r>
        <w:rPr>
          <w:sz w:val="22"/>
          <w:szCs w:val="24"/>
        </w:rPr>
        <w:t>Ruxolitinib</w:t>
      </w:r>
      <w:proofErr w:type="spellEnd"/>
      <w:r>
        <w:rPr>
          <w:sz w:val="22"/>
          <w:szCs w:val="24"/>
        </w:rPr>
        <w:t xml:space="preserve"> </w:t>
      </w:r>
      <w:proofErr w:type="spellStart"/>
      <w:r>
        <w:rPr>
          <w:sz w:val="22"/>
          <w:szCs w:val="24"/>
        </w:rPr>
        <w:t>Sandoz</w:t>
      </w:r>
      <w:proofErr w:type="spellEnd"/>
      <w:r w:rsidR="007D624A" w:rsidRPr="003F564F">
        <w:rPr>
          <w:sz w:val="22"/>
          <w:szCs w:val="24"/>
        </w:rPr>
        <w:t xml:space="preserve"> 5</w:t>
      </w:r>
      <w:r w:rsidR="00685239">
        <w:rPr>
          <w:sz w:val="22"/>
          <w:szCs w:val="24"/>
        </w:rPr>
        <w:t> </w:t>
      </w:r>
      <w:r w:rsidR="007D624A" w:rsidRPr="003F564F">
        <w:rPr>
          <w:sz w:val="22"/>
          <w:szCs w:val="24"/>
        </w:rPr>
        <w:t>mg</w:t>
      </w:r>
    </w:p>
    <w:p w14:paraId="449783D0" w14:textId="19BE5A59" w:rsidR="007D624A" w:rsidRPr="00685239" w:rsidRDefault="008B09E3" w:rsidP="00F729C1">
      <w:pPr>
        <w:tabs>
          <w:tab w:val="left" w:pos="567"/>
        </w:tabs>
        <w:rPr>
          <w:sz w:val="22"/>
          <w:szCs w:val="24"/>
          <w:highlight w:val="lightGray"/>
        </w:rPr>
      </w:pPr>
      <w:proofErr w:type="spellStart"/>
      <w:r>
        <w:rPr>
          <w:sz w:val="22"/>
          <w:szCs w:val="24"/>
          <w:highlight w:val="lightGray"/>
        </w:rPr>
        <w:t>Ruxolitinib</w:t>
      </w:r>
      <w:proofErr w:type="spellEnd"/>
      <w:r>
        <w:rPr>
          <w:sz w:val="22"/>
          <w:szCs w:val="24"/>
          <w:highlight w:val="lightGray"/>
        </w:rPr>
        <w:t xml:space="preserve"> </w:t>
      </w:r>
      <w:proofErr w:type="spellStart"/>
      <w:r>
        <w:rPr>
          <w:sz w:val="22"/>
          <w:szCs w:val="24"/>
          <w:highlight w:val="lightGray"/>
        </w:rPr>
        <w:t>Sandoz</w:t>
      </w:r>
      <w:proofErr w:type="spellEnd"/>
      <w:r w:rsidR="007D624A" w:rsidRPr="00685239">
        <w:rPr>
          <w:sz w:val="22"/>
          <w:szCs w:val="24"/>
          <w:highlight w:val="lightGray"/>
        </w:rPr>
        <w:t xml:space="preserve"> 10</w:t>
      </w:r>
      <w:r w:rsidR="00685239" w:rsidRPr="00685239">
        <w:rPr>
          <w:sz w:val="22"/>
          <w:szCs w:val="24"/>
          <w:highlight w:val="lightGray"/>
        </w:rPr>
        <w:t> </w:t>
      </w:r>
      <w:r w:rsidR="007D624A" w:rsidRPr="00685239">
        <w:rPr>
          <w:sz w:val="22"/>
          <w:szCs w:val="24"/>
          <w:highlight w:val="lightGray"/>
        </w:rPr>
        <w:t>mg</w:t>
      </w:r>
    </w:p>
    <w:p w14:paraId="03A89630" w14:textId="382B0B5C" w:rsidR="007D624A" w:rsidRPr="00685239" w:rsidRDefault="008B09E3" w:rsidP="00F729C1">
      <w:pPr>
        <w:tabs>
          <w:tab w:val="left" w:pos="567"/>
        </w:tabs>
        <w:rPr>
          <w:sz w:val="22"/>
          <w:szCs w:val="24"/>
          <w:highlight w:val="lightGray"/>
        </w:rPr>
      </w:pPr>
      <w:proofErr w:type="spellStart"/>
      <w:r>
        <w:rPr>
          <w:sz w:val="22"/>
          <w:szCs w:val="24"/>
          <w:highlight w:val="lightGray"/>
        </w:rPr>
        <w:t>Ruxolitinib</w:t>
      </w:r>
      <w:proofErr w:type="spellEnd"/>
      <w:r>
        <w:rPr>
          <w:sz w:val="22"/>
          <w:szCs w:val="24"/>
          <w:highlight w:val="lightGray"/>
        </w:rPr>
        <w:t xml:space="preserve"> </w:t>
      </w:r>
      <w:proofErr w:type="spellStart"/>
      <w:r>
        <w:rPr>
          <w:sz w:val="22"/>
          <w:szCs w:val="24"/>
          <w:highlight w:val="lightGray"/>
        </w:rPr>
        <w:t>Sandoz</w:t>
      </w:r>
      <w:proofErr w:type="spellEnd"/>
      <w:r w:rsidR="007D624A" w:rsidRPr="00685239">
        <w:rPr>
          <w:sz w:val="22"/>
          <w:szCs w:val="24"/>
          <w:highlight w:val="lightGray"/>
        </w:rPr>
        <w:t xml:space="preserve"> 15</w:t>
      </w:r>
      <w:r w:rsidR="00685239" w:rsidRPr="00685239">
        <w:rPr>
          <w:sz w:val="22"/>
          <w:szCs w:val="24"/>
          <w:highlight w:val="lightGray"/>
        </w:rPr>
        <w:t> </w:t>
      </w:r>
      <w:r w:rsidR="007D624A" w:rsidRPr="00685239">
        <w:rPr>
          <w:sz w:val="22"/>
          <w:szCs w:val="24"/>
          <w:highlight w:val="lightGray"/>
        </w:rPr>
        <w:t>mg</w:t>
      </w:r>
    </w:p>
    <w:p w14:paraId="759657D2" w14:textId="7DAFD835" w:rsidR="007D624A" w:rsidRPr="003F564F" w:rsidRDefault="008B09E3" w:rsidP="00F729C1">
      <w:pPr>
        <w:tabs>
          <w:tab w:val="left" w:pos="567"/>
        </w:tabs>
        <w:rPr>
          <w:sz w:val="22"/>
          <w:szCs w:val="24"/>
        </w:rPr>
      </w:pPr>
      <w:proofErr w:type="spellStart"/>
      <w:r>
        <w:rPr>
          <w:sz w:val="22"/>
          <w:szCs w:val="24"/>
          <w:highlight w:val="lightGray"/>
        </w:rPr>
        <w:t>Ruxolitinib</w:t>
      </w:r>
      <w:proofErr w:type="spellEnd"/>
      <w:r>
        <w:rPr>
          <w:sz w:val="22"/>
          <w:szCs w:val="24"/>
          <w:highlight w:val="lightGray"/>
        </w:rPr>
        <w:t xml:space="preserve"> </w:t>
      </w:r>
      <w:proofErr w:type="spellStart"/>
      <w:r>
        <w:rPr>
          <w:sz w:val="22"/>
          <w:szCs w:val="24"/>
          <w:highlight w:val="lightGray"/>
        </w:rPr>
        <w:t>Sandoz</w:t>
      </w:r>
      <w:proofErr w:type="spellEnd"/>
      <w:r w:rsidR="007D624A" w:rsidRPr="00685239">
        <w:rPr>
          <w:sz w:val="22"/>
          <w:szCs w:val="24"/>
          <w:highlight w:val="lightGray"/>
        </w:rPr>
        <w:t xml:space="preserve"> 20</w:t>
      </w:r>
      <w:r w:rsidR="00685239" w:rsidRPr="00685239">
        <w:rPr>
          <w:sz w:val="22"/>
          <w:szCs w:val="24"/>
          <w:highlight w:val="lightGray"/>
        </w:rPr>
        <w:t> </w:t>
      </w:r>
      <w:r w:rsidR="007D624A" w:rsidRPr="00685239">
        <w:rPr>
          <w:sz w:val="22"/>
          <w:szCs w:val="24"/>
          <w:highlight w:val="lightGray"/>
        </w:rPr>
        <w:t>mg</w:t>
      </w:r>
    </w:p>
    <w:p w14:paraId="733929B4" w14:textId="77777777" w:rsidR="007D624A" w:rsidRPr="003F564F" w:rsidRDefault="007D624A" w:rsidP="00F729C1">
      <w:pPr>
        <w:tabs>
          <w:tab w:val="left" w:pos="567"/>
        </w:tabs>
        <w:rPr>
          <w:sz w:val="22"/>
          <w:szCs w:val="24"/>
        </w:rPr>
      </w:pPr>
    </w:p>
    <w:p w14:paraId="0186FD80" w14:textId="77777777" w:rsidR="008D3B35" w:rsidRPr="003F564F" w:rsidRDefault="008D3B35" w:rsidP="00F729C1">
      <w:pPr>
        <w:tabs>
          <w:tab w:val="left" w:pos="567"/>
        </w:tabs>
        <w:rPr>
          <w:sz w:val="22"/>
          <w:szCs w:val="22"/>
          <w:shd w:val="clear" w:color="auto" w:fill="CCCCCC"/>
        </w:rPr>
      </w:pPr>
    </w:p>
    <w:p w14:paraId="32B7CCC6" w14:textId="77777777" w:rsidR="008D3B35" w:rsidRPr="003F564F" w:rsidRDefault="00AB4978" w:rsidP="00F729C1">
      <w:pPr>
        <w:keepNext/>
        <w:pBdr>
          <w:top w:val="single" w:sz="4" w:space="1" w:color="auto"/>
          <w:left w:val="single" w:sz="4" w:space="4" w:color="auto"/>
          <w:bottom w:val="single" w:sz="4" w:space="1" w:color="auto"/>
          <w:right w:val="single" w:sz="4" w:space="4" w:color="auto"/>
        </w:pBdr>
        <w:tabs>
          <w:tab w:val="left" w:pos="0"/>
          <w:tab w:val="left" w:pos="567"/>
        </w:tabs>
        <w:rPr>
          <w:i/>
          <w:sz w:val="22"/>
          <w:szCs w:val="24"/>
        </w:rPr>
      </w:pPr>
      <w:r w:rsidRPr="003F564F">
        <w:rPr>
          <w:b/>
          <w:sz w:val="22"/>
        </w:rPr>
        <w:t>17.</w:t>
      </w:r>
      <w:r w:rsidRPr="003F564F">
        <w:rPr>
          <w:b/>
          <w:sz w:val="22"/>
        </w:rPr>
        <w:tab/>
        <w:t>UNIKALUS IDENTIFIKATORIUS – 2D BRŪKŠNINIS KODAS</w:t>
      </w:r>
    </w:p>
    <w:p w14:paraId="5037A764" w14:textId="77777777" w:rsidR="008D3B35" w:rsidRPr="003F564F" w:rsidRDefault="008D3B35" w:rsidP="00F729C1">
      <w:pPr>
        <w:tabs>
          <w:tab w:val="left" w:pos="567"/>
        </w:tabs>
        <w:rPr>
          <w:sz w:val="22"/>
        </w:rPr>
      </w:pPr>
    </w:p>
    <w:p w14:paraId="021D760B" w14:textId="00C108F7" w:rsidR="008D3B35" w:rsidRPr="003F564F" w:rsidRDefault="00AB4978" w:rsidP="00F729C1">
      <w:pPr>
        <w:tabs>
          <w:tab w:val="left" w:pos="567"/>
        </w:tabs>
        <w:rPr>
          <w:sz w:val="22"/>
          <w:szCs w:val="22"/>
          <w:shd w:val="clear" w:color="auto" w:fill="CCCCCC"/>
        </w:rPr>
      </w:pPr>
      <w:r w:rsidRPr="003F564F">
        <w:rPr>
          <w:sz w:val="22"/>
          <w:highlight w:val="lightGray"/>
        </w:rPr>
        <w:t>2D brūkšninis kodas su nurodytu unikaliu identifikatoriumi.</w:t>
      </w:r>
    </w:p>
    <w:p w14:paraId="3F464389" w14:textId="77777777" w:rsidR="008D3B35" w:rsidRPr="003F564F" w:rsidRDefault="008D3B35" w:rsidP="00F729C1">
      <w:pPr>
        <w:tabs>
          <w:tab w:val="left" w:pos="567"/>
        </w:tabs>
        <w:rPr>
          <w:sz w:val="22"/>
          <w:szCs w:val="22"/>
          <w:shd w:val="clear" w:color="auto" w:fill="CCCCCC"/>
        </w:rPr>
      </w:pPr>
    </w:p>
    <w:p w14:paraId="690EC1E7" w14:textId="77777777" w:rsidR="008D3B35" w:rsidRPr="003F564F" w:rsidRDefault="008D3B35" w:rsidP="00F729C1">
      <w:pPr>
        <w:tabs>
          <w:tab w:val="left" w:pos="567"/>
        </w:tabs>
        <w:rPr>
          <w:sz w:val="22"/>
        </w:rPr>
      </w:pPr>
    </w:p>
    <w:p w14:paraId="7631B652" w14:textId="77777777" w:rsidR="008D3B35" w:rsidRPr="003F564F" w:rsidRDefault="00AB4978" w:rsidP="00F729C1">
      <w:pPr>
        <w:keepNext/>
        <w:pBdr>
          <w:top w:val="single" w:sz="4" w:space="1" w:color="auto"/>
          <w:left w:val="single" w:sz="4" w:space="4" w:color="auto"/>
          <w:bottom w:val="single" w:sz="4" w:space="1" w:color="auto"/>
          <w:right w:val="single" w:sz="4" w:space="4" w:color="auto"/>
        </w:pBdr>
        <w:tabs>
          <w:tab w:val="left" w:pos="0"/>
          <w:tab w:val="left" w:pos="567"/>
        </w:tabs>
        <w:rPr>
          <w:i/>
          <w:sz w:val="22"/>
        </w:rPr>
      </w:pPr>
      <w:r w:rsidRPr="003F564F">
        <w:rPr>
          <w:b/>
          <w:sz w:val="22"/>
        </w:rPr>
        <w:t>18.</w:t>
      </w:r>
      <w:r w:rsidRPr="003F564F">
        <w:rPr>
          <w:b/>
          <w:sz w:val="22"/>
        </w:rPr>
        <w:tab/>
        <w:t>UNIKALUS IDENTIFIKATORIUS – ŽMONĖMS SUPRANTAMI DUOMENYS</w:t>
      </w:r>
    </w:p>
    <w:p w14:paraId="6C2C6E35" w14:textId="77777777" w:rsidR="008D3B35" w:rsidRPr="003F564F" w:rsidRDefault="008D3B35" w:rsidP="00F729C1">
      <w:pPr>
        <w:tabs>
          <w:tab w:val="left" w:pos="567"/>
        </w:tabs>
        <w:rPr>
          <w:sz w:val="22"/>
        </w:rPr>
      </w:pPr>
    </w:p>
    <w:p w14:paraId="7F8CE25C" w14:textId="3098E3AC" w:rsidR="008D3B35" w:rsidRPr="003F564F" w:rsidRDefault="00AB4978" w:rsidP="00F729C1">
      <w:pPr>
        <w:tabs>
          <w:tab w:val="left" w:pos="567"/>
        </w:tabs>
        <w:rPr>
          <w:color w:val="008000"/>
          <w:sz w:val="22"/>
          <w:szCs w:val="22"/>
        </w:rPr>
      </w:pPr>
      <w:r w:rsidRPr="003F564F">
        <w:rPr>
          <w:sz w:val="22"/>
        </w:rPr>
        <w:t>PC {numeris}</w:t>
      </w:r>
    </w:p>
    <w:p w14:paraId="5AD4CE0B" w14:textId="63749489" w:rsidR="008D3B35" w:rsidRPr="003F564F" w:rsidRDefault="00AB4978" w:rsidP="00F729C1">
      <w:pPr>
        <w:tabs>
          <w:tab w:val="left" w:pos="567"/>
        </w:tabs>
        <w:rPr>
          <w:sz w:val="22"/>
          <w:szCs w:val="22"/>
        </w:rPr>
      </w:pPr>
      <w:r w:rsidRPr="003F564F">
        <w:rPr>
          <w:sz w:val="22"/>
        </w:rPr>
        <w:t>SN {numeris}</w:t>
      </w:r>
    </w:p>
    <w:p w14:paraId="4376DD38" w14:textId="0F8A8E11" w:rsidR="008D3B35" w:rsidRPr="003F564F" w:rsidRDefault="00AB4978" w:rsidP="00F729C1">
      <w:pPr>
        <w:tabs>
          <w:tab w:val="left" w:pos="567"/>
        </w:tabs>
        <w:rPr>
          <w:vanish/>
          <w:sz w:val="22"/>
          <w:szCs w:val="22"/>
        </w:rPr>
      </w:pPr>
      <w:r w:rsidRPr="003F564F">
        <w:rPr>
          <w:sz w:val="22"/>
          <w:highlight w:val="lightGray"/>
        </w:rPr>
        <w:t>NN {numeris}</w:t>
      </w:r>
    </w:p>
    <w:p w14:paraId="42118A41" w14:textId="77777777" w:rsidR="008D3B35" w:rsidRPr="003F564F" w:rsidRDefault="008D3B35" w:rsidP="00F729C1">
      <w:pPr>
        <w:tabs>
          <w:tab w:val="left" w:pos="567"/>
        </w:tabs>
        <w:rPr>
          <w:vanish/>
          <w:sz w:val="22"/>
          <w:szCs w:val="22"/>
        </w:rPr>
      </w:pPr>
    </w:p>
    <w:p w14:paraId="35F1C272" w14:textId="77777777" w:rsidR="008D3B35" w:rsidRPr="003F564F" w:rsidRDefault="008D3B35" w:rsidP="00F729C1">
      <w:pPr>
        <w:tabs>
          <w:tab w:val="left" w:pos="567"/>
        </w:tabs>
        <w:rPr>
          <w:sz w:val="22"/>
          <w:szCs w:val="24"/>
        </w:rPr>
      </w:pPr>
    </w:p>
    <w:p w14:paraId="16BD594C" w14:textId="77777777" w:rsidR="008D3B35" w:rsidRPr="003F564F" w:rsidRDefault="00AB4978" w:rsidP="00F729C1">
      <w:pPr>
        <w:tabs>
          <w:tab w:val="left" w:pos="567"/>
        </w:tabs>
        <w:rPr>
          <w:sz w:val="22"/>
          <w:szCs w:val="24"/>
        </w:rPr>
      </w:pPr>
      <w:r w:rsidRPr="003F564F">
        <w:rPr>
          <w:sz w:val="22"/>
          <w:szCs w:val="24"/>
        </w:rPr>
        <w:br w:type="page"/>
      </w:r>
    </w:p>
    <w:p w14:paraId="79176FD4" w14:textId="77777777" w:rsidR="008D3B35" w:rsidRPr="003F564F" w:rsidRDefault="00AB4978" w:rsidP="00F729C1">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sidRPr="003F564F">
        <w:rPr>
          <w:b/>
          <w:sz w:val="22"/>
          <w:szCs w:val="24"/>
        </w:rPr>
        <w:lastRenderedPageBreak/>
        <w:t>MINIMALI INFORMACIJA ANT LIZDINIŲ PLOKŠTELIŲ ARBA DVISLUOKSNIŲ JUOSTELIŲ</w:t>
      </w:r>
    </w:p>
    <w:p w14:paraId="132A1333" w14:textId="77777777" w:rsidR="008D3B35" w:rsidRPr="003F564F" w:rsidRDefault="008D3B35" w:rsidP="00F729C1">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p>
    <w:p w14:paraId="502F56AE" w14:textId="4B5D5919" w:rsidR="008D3B35" w:rsidRPr="003F564F" w:rsidRDefault="007D624A" w:rsidP="00F729C1">
      <w:pPr>
        <w:pBdr>
          <w:top w:val="single" w:sz="4" w:space="1" w:color="auto"/>
          <w:left w:val="single" w:sz="4" w:space="4" w:color="auto"/>
          <w:bottom w:val="single" w:sz="4" w:space="1" w:color="auto"/>
          <w:right w:val="single" w:sz="4" w:space="4" w:color="auto"/>
        </w:pBdr>
        <w:tabs>
          <w:tab w:val="left" w:pos="567"/>
        </w:tabs>
        <w:ind w:left="567" w:hanging="567"/>
        <w:rPr>
          <w:b/>
          <w:sz w:val="22"/>
        </w:rPr>
      </w:pPr>
      <w:r w:rsidRPr="003F564F">
        <w:rPr>
          <w:b/>
          <w:sz w:val="22"/>
        </w:rPr>
        <w:t>LIZDINĖ PLOKŠTELĖ</w:t>
      </w:r>
      <w:r w:rsidR="00AB4978" w:rsidRPr="003F564F">
        <w:rPr>
          <w:b/>
          <w:sz w:val="22"/>
        </w:rPr>
        <w:t xml:space="preserve"> </w:t>
      </w:r>
      <w:r w:rsidR="00685239">
        <w:rPr>
          <w:b/>
          <w:sz w:val="22"/>
        </w:rPr>
        <w:t>(kalendorinė)</w:t>
      </w:r>
    </w:p>
    <w:p w14:paraId="431D322B" w14:textId="77777777" w:rsidR="008D3B35" w:rsidRPr="003F564F" w:rsidRDefault="008D3B35" w:rsidP="00F729C1">
      <w:pPr>
        <w:tabs>
          <w:tab w:val="left" w:pos="567"/>
        </w:tabs>
        <w:rPr>
          <w:sz w:val="22"/>
        </w:rPr>
      </w:pPr>
    </w:p>
    <w:p w14:paraId="521A771C" w14:textId="77777777" w:rsidR="008D3B35" w:rsidRPr="003F564F" w:rsidRDefault="008D3B35" w:rsidP="00F729C1">
      <w:pPr>
        <w:tabs>
          <w:tab w:val="left" w:pos="567"/>
        </w:tabs>
        <w:rPr>
          <w:sz w:val="22"/>
          <w:szCs w:val="24"/>
        </w:rPr>
      </w:pPr>
    </w:p>
    <w:p w14:paraId="5C583EB1" w14:textId="77777777" w:rsidR="008D3B35" w:rsidRPr="003F564F" w:rsidRDefault="00AB4978" w:rsidP="00F729C1">
      <w:pPr>
        <w:pBdr>
          <w:top w:val="single" w:sz="4" w:space="1" w:color="auto"/>
          <w:left w:val="single" w:sz="4" w:space="4" w:color="auto"/>
          <w:bottom w:val="single" w:sz="4" w:space="1" w:color="auto"/>
          <w:right w:val="single" w:sz="4" w:space="4" w:color="auto"/>
        </w:pBdr>
        <w:tabs>
          <w:tab w:val="left" w:pos="567"/>
        </w:tabs>
        <w:rPr>
          <w:b/>
          <w:sz w:val="22"/>
          <w:szCs w:val="24"/>
        </w:rPr>
      </w:pPr>
      <w:r w:rsidRPr="003F564F">
        <w:rPr>
          <w:b/>
          <w:sz w:val="22"/>
          <w:szCs w:val="24"/>
        </w:rPr>
        <w:t>1.</w:t>
      </w:r>
      <w:r w:rsidRPr="003F564F">
        <w:rPr>
          <w:b/>
          <w:sz w:val="22"/>
          <w:szCs w:val="24"/>
        </w:rPr>
        <w:tab/>
      </w:r>
      <w:r w:rsidRPr="003F564F">
        <w:rPr>
          <w:b/>
          <w:caps/>
          <w:sz w:val="22"/>
          <w:szCs w:val="24"/>
        </w:rPr>
        <w:t>VAISTINIO</w:t>
      </w:r>
      <w:r w:rsidRPr="003F564F">
        <w:rPr>
          <w:b/>
          <w:sz w:val="22"/>
          <w:szCs w:val="24"/>
        </w:rPr>
        <w:t xml:space="preserve"> PREPARATO PAVADINIMAS</w:t>
      </w:r>
    </w:p>
    <w:p w14:paraId="4069FE1E" w14:textId="77777777" w:rsidR="008D3B35" w:rsidRPr="003F564F" w:rsidRDefault="008D3B35" w:rsidP="00F729C1">
      <w:pPr>
        <w:tabs>
          <w:tab w:val="left" w:pos="567"/>
        </w:tabs>
        <w:rPr>
          <w:sz w:val="22"/>
          <w:szCs w:val="24"/>
        </w:rPr>
      </w:pPr>
    </w:p>
    <w:p w14:paraId="142ED778" w14:textId="35F76B76" w:rsidR="007D624A" w:rsidRPr="003F564F" w:rsidRDefault="008B09E3" w:rsidP="00F729C1">
      <w:pPr>
        <w:tabs>
          <w:tab w:val="left" w:pos="567"/>
        </w:tabs>
        <w:rPr>
          <w:sz w:val="22"/>
          <w:szCs w:val="24"/>
        </w:rPr>
      </w:pPr>
      <w:proofErr w:type="spellStart"/>
      <w:r>
        <w:rPr>
          <w:sz w:val="22"/>
          <w:szCs w:val="24"/>
        </w:rPr>
        <w:t>Ruxolitinib</w:t>
      </w:r>
      <w:proofErr w:type="spellEnd"/>
      <w:r>
        <w:rPr>
          <w:sz w:val="22"/>
          <w:szCs w:val="24"/>
        </w:rPr>
        <w:t xml:space="preserve"> </w:t>
      </w:r>
      <w:proofErr w:type="spellStart"/>
      <w:r>
        <w:rPr>
          <w:sz w:val="22"/>
          <w:szCs w:val="24"/>
        </w:rPr>
        <w:t>Sandoz</w:t>
      </w:r>
      <w:proofErr w:type="spellEnd"/>
      <w:r w:rsidR="007D624A" w:rsidRPr="003F564F">
        <w:rPr>
          <w:sz w:val="22"/>
          <w:szCs w:val="24"/>
        </w:rPr>
        <w:t xml:space="preserve"> 5</w:t>
      </w:r>
      <w:r w:rsidR="00685239">
        <w:rPr>
          <w:sz w:val="22"/>
          <w:szCs w:val="24"/>
        </w:rPr>
        <w:t> </w:t>
      </w:r>
      <w:r w:rsidR="007D624A" w:rsidRPr="003F564F">
        <w:rPr>
          <w:sz w:val="22"/>
          <w:szCs w:val="24"/>
        </w:rPr>
        <w:t>mg tabletės</w:t>
      </w:r>
    </w:p>
    <w:p w14:paraId="640CE232" w14:textId="5CCDEF9F" w:rsidR="007D624A" w:rsidRPr="00685239" w:rsidRDefault="008B09E3" w:rsidP="00F729C1">
      <w:pPr>
        <w:tabs>
          <w:tab w:val="left" w:pos="567"/>
        </w:tabs>
        <w:rPr>
          <w:sz w:val="22"/>
          <w:szCs w:val="24"/>
          <w:highlight w:val="lightGray"/>
        </w:rPr>
      </w:pPr>
      <w:proofErr w:type="spellStart"/>
      <w:r>
        <w:rPr>
          <w:sz w:val="22"/>
          <w:szCs w:val="24"/>
          <w:highlight w:val="lightGray"/>
        </w:rPr>
        <w:t>Ruxolitinib</w:t>
      </w:r>
      <w:proofErr w:type="spellEnd"/>
      <w:r>
        <w:rPr>
          <w:sz w:val="22"/>
          <w:szCs w:val="24"/>
          <w:highlight w:val="lightGray"/>
        </w:rPr>
        <w:t xml:space="preserve"> </w:t>
      </w:r>
      <w:proofErr w:type="spellStart"/>
      <w:r>
        <w:rPr>
          <w:sz w:val="22"/>
          <w:szCs w:val="24"/>
          <w:highlight w:val="lightGray"/>
        </w:rPr>
        <w:t>Sandoz</w:t>
      </w:r>
      <w:proofErr w:type="spellEnd"/>
      <w:r w:rsidR="007D624A" w:rsidRPr="00685239">
        <w:rPr>
          <w:sz w:val="22"/>
          <w:szCs w:val="24"/>
          <w:highlight w:val="lightGray"/>
        </w:rPr>
        <w:t xml:space="preserve"> 10</w:t>
      </w:r>
      <w:r w:rsidR="00685239" w:rsidRPr="00685239">
        <w:rPr>
          <w:sz w:val="22"/>
          <w:szCs w:val="24"/>
          <w:highlight w:val="lightGray"/>
        </w:rPr>
        <w:t> </w:t>
      </w:r>
      <w:r w:rsidR="007D624A" w:rsidRPr="00685239">
        <w:rPr>
          <w:sz w:val="22"/>
          <w:szCs w:val="24"/>
          <w:highlight w:val="lightGray"/>
        </w:rPr>
        <w:t>mg tabletės</w:t>
      </w:r>
    </w:p>
    <w:p w14:paraId="5D4E7C91" w14:textId="23538E15" w:rsidR="007D624A" w:rsidRPr="00685239" w:rsidRDefault="008B09E3" w:rsidP="00F729C1">
      <w:pPr>
        <w:tabs>
          <w:tab w:val="left" w:pos="567"/>
        </w:tabs>
        <w:rPr>
          <w:sz w:val="22"/>
          <w:szCs w:val="24"/>
          <w:highlight w:val="lightGray"/>
        </w:rPr>
      </w:pPr>
      <w:proofErr w:type="spellStart"/>
      <w:r>
        <w:rPr>
          <w:sz w:val="22"/>
          <w:szCs w:val="24"/>
          <w:highlight w:val="lightGray"/>
        </w:rPr>
        <w:t>Ruxolitinib</w:t>
      </w:r>
      <w:proofErr w:type="spellEnd"/>
      <w:r>
        <w:rPr>
          <w:sz w:val="22"/>
          <w:szCs w:val="24"/>
          <w:highlight w:val="lightGray"/>
        </w:rPr>
        <w:t xml:space="preserve"> </w:t>
      </w:r>
      <w:proofErr w:type="spellStart"/>
      <w:r>
        <w:rPr>
          <w:sz w:val="22"/>
          <w:szCs w:val="24"/>
          <w:highlight w:val="lightGray"/>
        </w:rPr>
        <w:t>Sandoz</w:t>
      </w:r>
      <w:proofErr w:type="spellEnd"/>
      <w:r w:rsidR="007D624A" w:rsidRPr="00685239">
        <w:rPr>
          <w:sz w:val="22"/>
          <w:szCs w:val="24"/>
          <w:highlight w:val="lightGray"/>
        </w:rPr>
        <w:t xml:space="preserve"> 15</w:t>
      </w:r>
      <w:r w:rsidR="00685239" w:rsidRPr="00685239">
        <w:rPr>
          <w:sz w:val="22"/>
          <w:szCs w:val="24"/>
          <w:highlight w:val="lightGray"/>
        </w:rPr>
        <w:t> </w:t>
      </w:r>
      <w:r w:rsidR="007D624A" w:rsidRPr="00685239">
        <w:rPr>
          <w:sz w:val="22"/>
          <w:szCs w:val="24"/>
          <w:highlight w:val="lightGray"/>
        </w:rPr>
        <w:t>mg tabletės</w:t>
      </w:r>
    </w:p>
    <w:p w14:paraId="270DAFCD" w14:textId="2AFD1383" w:rsidR="007D624A" w:rsidRPr="003F564F" w:rsidRDefault="008B09E3" w:rsidP="00F729C1">
      <w:pPr>
        <w:tabs>
          <w:tab w:val="left" w:pos="567"/>
        </w:tabs>
        <w:rPr>
          <w:sz w:val="22"/>
          <w:szCs w:val="24"/>
        </w:rPr>
      </w:pPr>
      <w:proofErr w:type="spellStart"/>
      <w:r>
        <w:rPr>
          <w:sz w:val="22"/>
          <w:szCs w:val="24"/>
          <w:highlight w:val="lightGray"/>
        </w:rPr>
        <w:t>Ruxolitinib</w:t>
      </w:r>
      <w:proofErr w:type="spellEnd"/>
      <w:r>
        <w:rPr>
          <w:sz w:val="22"/>
          <w:szCs w:val="24"/>
          <w:highlight w:val="lightGray"/>
        </w:rPr>
        <w:t xml:space="preserve"> </w:t>
      </w:r>
      <w:proofErr w:type="spellStart"/>
      <w:r>
        <w:rPr>
          <w:sz w:val="22"/>
          <w:szCs w:val="24"/>
          <w:highlight w:val="lightGray"/>
        </w:rPr>
        <w:t>Sandoz</w:t>
      </w:r>
      <w:proofErr w:type="spellEnd"/>
      <w:r w:rsidR="007D624A" w:rsidRPr="00685239">
        <w:rPr>
          <w:sz w:val="22"/>
          <w:szCs w:val="24"/>
          <w:highlight w:val="lightGray"/>
        </w:rPr>
        <w:t xml:space="preserve"> 20</w:t>
      </w:r>
      <w:r w:rsidR="00685239" w:rsidRPr="00685239">
        <w:rPr>
          <w:sz w:val="22"/>
          <w:szCs w:val="24"/>
          <w:highlight w:val="lightGray"/>
        </w:rPr>
        <w:t> </w:t>
      </w:r>
      <w:r w:rsidR="007D624A" w:rsidRPr="00685239">
        <w:rPr>
          <w:sz w:val="22"/>
          <w:szCs w:val="24"/>
          <w:highlight w:val="lightGray"/>
        </w:rPr>
        <w:t>mg tabletės</w:t>
      </w:r>
    </w:p>
    <w:p w14:paraId="531B1B30" w14:textId="0AF88CE1" w:rsidR="008D3B35" w:rsidRPr="00685239" w:rsidRDefault="007D624A" w:rsidP="00F729C1">
      <w:pPr>
        <w:tabs>
          <w:tab w:val="left" w:pos="567"/>
        </w:tabs>
        <w:rPr>
          <w:i/>
          <w:iCs/>
          <w:sz w:val="22"/>
          <w:szCs w:val="24"/>
        </w:rPr>
      </w:pPr>
      <w:proofErr w:type="spellStart"/>
      <w:r w:rsidRPr="00685239">
        <w:rPr>
          <w:i/>
          <w:iCs/>
          <w:sz w:val="22"/>
          <w:szCs w:val="24"/>
        </w:rPr>
        <w:t>ruxolitinibum</w:t>
      </w:r>
      <w:proofErr w:type="spellEnd"/>
    </w:p>
    <w:p w14:paraId="5C74678B" w14:textId="77777777" w:rsidR="007D624A" w:rsidRPr="003F564F" w:rsidRDefault="007D624A" w:rsidP="00F729C1">
      <w:pPr>
        <w:tabs>
          <w:tab w:val="left" w:pos="567"/>
        </w:tabs>
        <w:rPr>
          <w:sz w:val="22"/>
          <w:szCs w:val="24"/>
        </w:rPr>
      </w:pPr>
    </w:p>
    <w:p w14:paraId="51EEE42B" w14:textId="77777777" w:rsidR="008D3B35" w:rsidRPr="003F564F" w:rsidRDefault="008D3B35" w:rsidP="00F729C1">
      <w:pPr>
        <w:tabs>
          <w:tab w:val="left" w:pos="567"/>
        </w:tabs>
        <w:rPr>
          <w:sz w:val="22"/>
          <w:szCs w:val="24"/>
        </w:rPr>
      </w:pPr>
    </w:p>
    <w:p w14:paraId="54B41665" w14:textId="77777777" w:rsidR="008D3B35" w:rsidRPr="003F564F" w:rsidRDefault="00AB4978" w:rsidP="00F729C1">
      <w:pPr>
        <w:pBdr>
          <w:top w:val="single" w:sz="4" w:space="1" w:color="auto"/>
          <w:left w:val="single" w:sz="4" w:space="4" w:color="auto"/>
          <w:bottom w:val="single" w:sz="4" w:space="1" w:color="auto"/>
          <w:right w:val="single" w:sz="4" w:space="4" w:color="auto"/>
        </w:pBdr>
        <w:tabs>
          <w:tab w:val="left" w:pos="567"/>
        </w:tabs>
        <w:rPr>
          <w:b/>
          <w:sz w:val="22"/>
          <w:szCs w:val="24"/>
        </w:rPr>
      </w:pPr>
      <w:r w:rsidRPr="003F564F">
        <w:rPr>
          <w:b/>
          <w:sz w:val="22"/>
          <w:szCs w:val="24"/>
        </w:rPr>
        <w:t>2.</w:t>
      </w:r>
      <w:r w:rsidRPr="003F564F">
        <w:rPr>
          <w:b/>
          <w:sz w:val="22"/>
          <w:szCs w:val="24"/>
        </w:rPr>
        <w:tab/>
      </w:r>
      <w:r w:rsidRPr="003F564F">
        <w:rPr>
          <w:b/>
          <w:caps/>
          <w:sz w:val="22"/>
          <w:szCs w:val="24"/>
        </w:rPr>
        <w:t>REGISTRUOTOJO pavadinimas</w:t>
      </w:r>
    </w:p>
    <w:p w14:paraId="1BCBF331" w14:textId="77777777" w:rsidR="008D3B35" w:rsidRPr="003F564F" w:rsidRDefault="008D3B35" w:rsidP="00F729C1">
      <w:pPr>
        <w:tabs>
          <w:tab w:val="left" w:pos="567"/>
        </w:tabs>
        <w:rPr>
          <w:sz w:val="22"/>
          <w:szCs w:val="24"/>
        </w:rPr>
      </w:pPr>
    </w:p>
    <w:p w14:paraId="552E2EE9" w14:textId="77777777" w:rsidR="00685239" w:rsidRPr="00961120" w:rsidRDefault="00685239" w:rsidP="00F729C1">
      <w:r w:rsidRPr="00961120">
        <w:t>SANDOZ</w:t>
      </w:r>
    </w:p>
    <w:p w14:paraId="1D76205F" w14:textId="77777777" w:rsidR="008D3B35" w:rsidRPr="003F564F" w:rsidRDefault="008D3B35" w:rsidP="00F729C1">
      <w:pPr>
        <w:tabs>
          <w:tab w:val="left" w:pos="567"/>
        </w:tabs>
        <w:rPr>
          <w:sz w:val="22"/>
          <w:szCs w:val="24"/>
        </w:rPr>
      </w:pPr>
    </w:p>
    <w:p w14:paraId="57C4AC76" w14:textId="77777777" w:rsidR="008D3B35" w:rsidRPr="003F564F" w:rsidRDefault="008D3B35" w:rsidP="00F729C1">
      <w:pPr>
        <w:tabs>
          <w:tab w:val="left" w:pos="567"/>
        </w:tabs>
        <w:rPr>
          <w:sz w:val="22"/>
          <w:szCs w:val="24"/>
        </w:rPr>
      </w:pPr>
    </w:p>
    <w:p w14:paraId="2F18FD71" w14:textId="77777777" w:rsidR="008D3B35" w:rsidRPr="003F564F" w:rsidRDefault="00AB4978" w:rsidP="00F729C1">
      <w:pPr>
        <w:pBdr>
          <w:top w:val="single" w:sz="4" w:space="1" w:color="auto"/>
          <w:left w:val="single" w:sz="4" w:space="4" w:color="auto"/>
          <w:bottom w:val="single" w:sz="4" w:space="2" w:color="auto"/>
          <w:right w:val="single" w:sz="4" w:space="4" w:color="auto"/>
        </w:pBdr>
        <w:tabs>
          <w:tab w:val="left" w:pos="567"/>
        </w:tabs>
        <w:rPr>
          <w:b/>
          <w:sz w:val="22"/>
          <w:szCs w:val="24"/>
        </w:rPr>
      </w:pPr>
      <w:r w:rsidRPr="003F564F">
        <w:rPr>
          <w:b/>
          <w:sz w:val="22"/>
          <w:szCs w:val="24"/>
        </w:rPr>
        <w:t>3.</w:t>
      </w:r>
      <w:r w:rsidRPr="003F564F">
        <w:rPr>
          <w:b/>
          <w:sz w:val="22"/>
          <w:szCs w:val="24"/>
        </w:rPr>
        <w:tab/>
        <w:t>TINKAMUMO LAIKAS</w:t>
      </w:r>
    </w:p>
    <w:p w14:paraId="6CBF91F8" w14:textId="77777777" w:rsidR="008D3B35" w:rsidRPr="003F564F" w:rsidRDefault="008D3B35" w:rsidP="00F729C1">
      <w:pPr>
        <w:tabs>
          <w:tab w:val="left" w:pos="567"/>
        </w:tabs>
        <w:rPr>
          <w:sz w:val="22"/>
          <w:szCs w:val="24"/>
        </w:rPr>
      </w:pPr>
    </w:p>
    <w:p w14:paraId="6A9C5777" w14:textId="71BF8CC2" w:rsidR="008D3B35" w:rsidRPr="003F564F" w:rsidRDefault="00685239" w:rsidP="00F729C1">
      <w:pPr>
        <w:tabs>
          <w:tab w:val="left" w:pos="567"/>
        </w:tabs>
        <w:rPr>
          <w:sz w:val="22"/>
        </w:rPr>
      </w:pPr>
      <w:r w:rsidRPr="00685239">
        <w:rPr>
          <w:sz w:val="22"/>
          <w:highlight w:val="lightGray"/>
        </w:rPr>
        <w:t>EXP</w:t>
      </w:r>
      <w:r w:rsidRPr="00685239">
        <w:rPr>
          <w:sz w:val="22"/>
        </w:rPr>
        <w:t xml:space="preserve"> {mm/MMMM }</w:t>
      </w:r>
    </w:p>
    <w:p w14:paraId="0AD45EAE" w14:textId="77777777" w:rsidR="008D3B35" w:rsidRDefault="008D3B35" w:rsidP="00F729C1">
      <w:pPr>
        <w:tabs>
          <w:tab w:val="left" w:pos="567"/>
        </w:tabs>
        <w:rPr>
          <w:sz w:val="22"/>
        </w:rPr>
      </w:pPr>
    </w:p>
    <w:p w14:paraId="61D4694F" w14:textId="77777777" w:rsidR="00685239" w:rsidRPr="003F564F" w:rsidRDefault="00685239" w:rsidP="00F729C1">
      <w:pPr>
        <w:tabs>
          <w:tab w:val="left" w:pos="567"/>
        </w:tabs>
        <w:rPr>
          <w:sz w:val="22"/>
        </w:rPr>
      </w:pPr>
    </w:p>
    <w:p w14:paraId="1040E2A6" w14:textId="77777777" w:rsidR="008D3B35" w:rsidRPr="003F564F" w:rsidRDefault="00AB4978" w:rsidP="00F729C1">
      <w:pPr>
        <w:suppressLineNumbers/>
        <w:pBdr>
          <w:top w:val="single" w:sz="4" w:space="1" w:color="auto"/>
          <w:left w:val="single" w:sz="4" w:space="4" w:color="auto"/>
          <w:bottom w:val="single" w:sz="4" w:space="1" w:color="auto"/>
          <w:right w:val="single" w:sz="4" w:space="4" w:color="auto"/>
        </w:pBdr>
        <w:tabs>
          <w:tab w:val="left" w:pos="567"/>
        </w:tabs>
        <w:rPr>
          <w:b/>
          <w:sz w:val="22"/>
          <w:szCs w:val="24"/>
        </w:rPr>
      </w:pPr>
      <w:r w:rsidRPr="003F564F">
        <w:rPr>
          <w:b/>
          <w:sz w:val="22"/>
          <w:szCs w:val="24"/>
        </w:rPr>
        <w:t>4.</w:t>
      </w:r>
      <w:r w:rsidRPr="003F564F">
        <w:rPr>
          <w:b/>
          <w:sz w:val="22"/>
          <w:szCs w:val="24"/>
        </w:rPr>
        <w:tab/>
        <w:t>SERIJOS NUMERIS</w:t>
      </w:r>
    </w:p>
    <w:p w14:paraId="2443BEF1" w14:textId="77777777" w:rsidR="008D3B35" w:rsidRPr="003F564F" w:rsidRDefault="008D3B35" w:rsidP="00F729C1">
      <w:pPr>
        <w:tabs>
          <w:tab w:val="left" w:pos="567"/>
        </w:tabs>
        <w:rPr>
          <w:sz w:val="22"/>
        </w:rPr>
      </w:pPr>
    </w:p>
    <w:p w14:paraId="5600E5B6" w14:textId="1CD1A83B" w:rsidR="008D3B35" w:rsidRPr="003F564F" w:rsidRDefault="00AB4978" w:rsidP="00F729C1">
      <w:pPr>
        <w:tabs>
          <w:tab w:val="left" w:pos="567"/>
        </w:tabs>
        <w:rPr>
          <w:b/>
          <w:sz w:val="22"/>
        </w:rPr>
      </w:pPr>
      <w:r w:rsidRPr="00685239">
        <w:rPr>
          <w:sz w:val="22"/>
          <w:highlight w:val="lightGray"/>
        </w:rPr>
        <w:t>Lot</w:t>
      </w:r>
    </w:p>
    <w:p w14:paraId="7B795FDD" w14:textId="77777777" w:rsidR="008D3B35" w:rsidRPr="003F564F" w:rsidRDefault="008D3B35" w:rsidP="00F729C1">
      <w:pPr>
        <w:tabs>
          <w:tab w:val="left" w:pos="567"/>
        </w:tabs>
        <w:rPr>
          <w:sz w:val="22"/>
          <w:szCs w:val="24"/>
        </w:rPr>
      </w:pPr>
    </w:p>
    <w:p w14:paraId="7A5F9EF0" w14:textId="77777777" w:rsidR="008D3B35" w:rsidRPr="003F564F" w:rsidRDefault="008D3B35" w:rsidP="00F729C1">
      <w:pPr>
        <w:tabs>
          <w:tab w:val="left" w:pos="567"/>
        </w:tabs>
        <w:rPr>
          <w:sz w:val="22"/>
          <w:szCs w:val="24"/>
        </w:rPr>
      </w:pPr>
    </w:p>
    <w:p w14:paraId="41614E8E" w14:textId="77777777" w:rsidR="008D3B35" w:rsidRPr="003F564F" w:rsidRDefault="00AB4978" w:rsidP="00F729C1">
      <w:pPr>
        <w:pBdr>
          <w:top w:val="single" w:sz="4" w:space="1" w:color="auto"/>
          <w:left w:val="single" w:sz="4" w:space="4" w:color="auto"/>
          <w:bottom w:val="single" w:sz="4" w:space="1" w:color="auto"/>
          <w:right w:val="single" w:sz="4" w:space="4" w:color="auto"/>
        </w:pBdr>
        <w:tabs>
          <w:tab w:val="left" w:pos="567"/>
        </w:tabs>
        <w:rPr>
          <w:b/>
          <w:sz w:val="22"/>
          <w:szCs w:val="24"/>
        </w:rPr>
      </w:pPr>
      <w:r w:rsidRPr="003F564F">
        <w:rPr>
          <w:b/>
          <w:sz w:val="22"/>
          <w:szCs w:val="24"/>
        </w:rPr>
        <w:t>5.</w:t>
      </w:r>
      <w:r w:rsidRPr="003F564F">
        <w:rPr>
          <w:b/>
          <w:sz w:val="22"/>
          <w:szCs w:val="24"/>
        </w:rPr>
        <w:tab/>
        <w:t>KITA</w:t>
      </w:r>
    </w:p>
    <w:p w14:paraId="4D0F70AE" w14:textId="77777777" w:rsidR="008D3B35" w:rsidRPr="003F564F" w:rsidRDefault="008D3B35" w:rsidP="00F729C1">
      <w:pPr>
        <w:tabs>
          <w:tab w:val="left" w:pos="567"/>
        </w:tabs>
        <w:rPr>
          <w:sz w:val="22"/>
          <w:szCs w:val="24"/>
        </w:rPr>
      </w:pPr>
    </w:p>
    <w:p w14:paraId="3B57E0AE" w14:textId="79E10F35" w:rsidR="00685239" w:rsidRDefault="00685239" w:rsidP="00F729C1">
      <w:pPr>
        <w:tabs>
          <w:tab w:val="left" w:pos="567"/>
        </w:tabs>
        <w:rPr>
          <w:sz w:val="22"/>
          <w:szCs w:val="24"/>
        </w:rPr>
      </w:pPr>
      <w:r>
        <w:rPr>
          <w:sz w:val="22"/>
          <w:szCs w:val="24"/>
        </w:rPr>
        <w:t>P.</w:t>
      </w:r>
    </w:p>
    <w:p w14:paraId="4AF370F7" w14:textId="77777777" w:rsidR="00685239" w:rsidRDefault="00685239" w:rsidP="00F729C1">
      <w:pPr>
        <w:tabs>
          <w:tab w:val="left" w:pos="567"/>
        </w:tabs>
        <w:rPr>
          <w:sz w:val="22"/>
          <w:szCs w:val="24"/>
        </w:rPr>
      </w:pPr>
      <w:r>
        <w:rPr>
          <w:sz w:val="22"/>
          <w:szCs w:val="24"/>
        </w:rPr>
        <w:t>A.</w:t>
      </w:r>
    </w:p>
    <w:p w14:paraId="2438D2F5" w14:textId="77777777" w:rsidR="00685239" w:rsidRDefault="00685239" w:rsidP="00F729C1">
      <w:pPr>
        <w:tabs>
          <w:tab w:val="left" w:pos="567"/>
        </w:tabs>
        <w:rPr>
          <w:sz w:val="22"/>
          <w:szCs w:val="24"/>
        </w:rPr>
      </w:pPr>
      <w:r>
        <w:rPr>
          <w:sz w:val="22"/>
          <w:szCs w:val="24"/>
        </w:rPr>
        <w:t>T.</w:t>
      </w:r>
    </w:p>
    <w:p w14:paraId="02AAE6FC" w14:textId="77777777" w:rsidR="00685239" w:rsidRDefault="00685239" w:rsidP="00F729C1">
      <w:pPr>
        <w:tabs>
          <w:tab w:val="left" w:pos="567"/>
        </w:tabs>
        <w:rPr>
          <w:sz w:val="22"/>
          <w:szCs w:val="24"/>
        </w:rPr>
      </w:pPr>
      <w:r>
        <w:rPr>
          <w:sz w:val="22"/>
          <w:szCs w:val="24"/>
        </w:rPr>
        <w:t>K.</w:t>
      </w:r>
    </w:p>
    <w:p w14:paraId="47A683BE" w14:textId="17FCF19E" w:rsidR="00685239" w:rsidRDefault="00685239" w:rsidP="00F729C1">
      <w:pPr>
        <w:tabs>
          <w:tab w:val="left" w:pos="567"/>
        </w:tabs>
        <w:rPr>
          <w:sz w:val="22"/>
          <w:szCs w:val="24"/>
        </w:rPr>
      </w:pPr>
      <w:proofErr w:type="spellStart"/>
      <w:r>
        <w:rPr>
          <w:sz w:val="22"/>
          <w:szCs w:val="24"/>
        </w:rPr>
        <w:t>Pn</w:t>
      </w:r>
      <w:proofErr w:type="spellEnd"/>
      <w:r>
        <w:rPr>
          <w:sz w:val="22"/>
          <w:szCs w:val="24"/>
        </w:rPr>
        <w:t>.</w:t>
      </w:r>
    </w:p>
    <w:p w14:paraId="35CA2D9E" w14:textId="77777777" w:rsidR="00685239" w:rsidRDefault="00685239" w:rsidP="00F729C1">
      <w:pPr>
        <w:tabs>
          <w:tab w:val="left" w:pos="567"/>
        </w:tabs>
        <w:rPr>
          <w:sz w:val="22"/>
          <w:szCs w:val="24"/>
        </w:rPr>
      </w:pPr>
      <w:r>
        <w:rPr>
          <w:sz w:val="22"/>
          <w:szCs w:val="24"/>
        </w:rPr>
        <w:t>Š.</w:t>
      </w:r>
    </w:p>
    <w:p w14:paraId="33723E61" w14:textId="77777777" w:rsidR="00685239" w:rsidRDefault="00685239" w:rsidP="00F729C1">
      <w:pPr>
        <w:tabs>
          <w:tab w:val="left" w:pos="567"/>
        </w:tabs>
        <w:rPr>
          <w:sz w:val="22"/>
          <w:szCs w:val="24"/>
        </w:rPr>
      </w:pPr>
      <w:r>
        <w:rPr>
          <w:sz w:val="22"/>
          <w:szCs w:val="24"/>
        </w:rPr>
        <w:t>S.</w:t>
      </w:r>
    </w:p>
    <w:p w14:paraId="5532977B" w14:textId="77777777" w:rsidR="007D624A" w:rsidRPr="003F564F" w:rsidRDefault="007D624A" w:rsidP="00F729C1">
      <w:pPr>
        <w:tabs>
          <w:tab w:val="left" w:pos="567"/>
        </w:tabs>
        <w:rPr>
          <w:sz w:val="22"/>
          <w:szCs w:val="24"/>
        </w:rPr>
      </w:pPr>
    </w:p>
    <w:p w14:paraId="3D8FBC77" w14:textId="061EFFE5" w:rsidR="007D624A" w:rsidRPr="003F564F" w:rsidRDefault="007D624A" w:rsidP="00F729C1">
      <w:pPr>
        <w:tabs>
          <w:tab w:val="left" w:pos="567"/>
        </w:tabs>
        <w:rPr>
          <w:sz w:val="22"/>
          <w:szCs w:val="24"/>
        </w:rPr>
      </w:pPr>
      <w:r w:rsidRPr="003F564F">
        <w:rPr>
          <w:sz w:val="22"/>
          <w:szCs w:val="24"/>
        </w:rPr>
        <w:t xml:space="preserve">☼ </w:t>
      </w:r>
      <w:r w:rsidRPr="00942319">
        <w:rPr>
          <w:sz w:val="22"/>
          <w:szCs w:val="24"/>
          <w:highlight w:val="lightGray"/>
        </w:rPr>
        <w:t>&lt;saulės simbolis&gt;</w:t>
      </w:r>
    </w:p>
    <w:p w14:paraId="6462ADE8" w14:textId="0035CC29" w:rsidR="008D3B35" w:rsidRPr="003F564F" w:rsidRDefault="007D624A" w:rsidP="00F729C1">
      <w:pPr>
        <w:tabs>
          <w:tab w:val="left" w:pos="567"/>
        </w:tabs>
        <w:rPr>
          <w:sz w:val="22"/>
          <w:szCs w:val="24"/>
        </w:rPr>
      </w:pPr>
      <w:r w:rsidRPr="003F564F">
        <w:rPr>
          <w:rFonts w:ascii="Segoe UI Symbol" w:hAnsi="Segoe UI Symbol" w:cs="Segoe UI Symbol"/>
          <w:sz w:val="22"/>
          <w:szCs w:val="24"/>
        </w:rPr>
        <w:t>☾</w:t>
      </w:r>
      <w:r w:rsidRPr="003F564F">
        <w:rPr>
          <w:sz w:val="22"/>
          <w:szCs w:val="24"/>
        </w:rPr>
        <w:t xml:space="preserve"> </w:t>
      </w:r>
      <w:r w:rsidRPr="00942319">
        <w:rPr>
          <w:sz w:val="22"/>
          <w:szCs w:val="24"/>
          <w:highlight w:val="lightGray"/>
        </w:rPr>
        <w:t>&lt;mėnulio simbolis&gt;</w:t>
      </w:r>
    </w:p>
    <w:p w14:paraId="0FFEC82E" w14:textId="77777777" w:rsidR="00C13DE5" w:rsidRPr="003F564F" w:rsidRDefault="00AB4978" w:rsidP="00F729C1">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sidRPr="003F564F">
        <w:rPr>
          <w:b/>
          <w:sz w:val="22"/>
          <w:szCs w:val="24"/>
        </w:rPr>
        <w:br w:type="page"/>
      </w:r>
      <w:r w:rsidR="00C13DE5" w:rsidRPr="003F564F">
        <w:rPr>
          <w:b/>
          <w:sz w:val="22"/>
          <w:szCs w:val="24"/>
        </w:rPr>
        <w:lastRenderedPageBreak/>
        <w:t>MINIMALI INFORMACIJA ANT LIZDINIŲ PLOKŠTELIŲ ARBA DVISLUOKSNIŲ JUOSTELIŲ</w:t>
      </w:r>
    </w:p>
    <w:p w14:paraId="3C523B04" w14:textId="77777777" w:rsidR="00C13DE5" w:rsidRPr="003F564F" w:rsidRDefault="00C13DE5" w:rsidP="00C13DE5">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p>
    <w:p w14:paraId="39AEEC09" w14:textId="78F5D935" w:rsidR="00C13DE5" w:rsidRPr="003F564F" w:rsidRDefault="007D624A" w:rsidP="00C13DE5">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rPr>
      </w:pPr>
      <w:r w:rsidRPr="003F564F">
        <w:rPr>
          <w:b/>
          <w:sz w:val="22"/>
        </w:rPr>
        <w:t>LIZDINĖ PLOKŠTELĖ</w:t>
      </w:r>
    </w:p>
    <w:p w14:paraId="06A1D81C" w14:textId="77777777" w:rsidR="00C13DE5" w:rsidRPr="003F564F" w:rsidRDefault="00C13DE5" w:rsidP="00C13DE5">
      <w:pPr>
        <w:tabs>
          <w:tab w:val="left" w:pos="567"/>
        </w:tabs>
        <w:spacing w:line="260" w:lineRule="exact"/>
        <w:rPr>
          <w:sz w:val="22"/>
        </w:rPr>
      </w:pPr>
    </w:p>
    <w:p w14:paraId="09EC5E8D" w14:textId="77777777" w:rsidR="00C13DE5" w:rsidRPr="003F564F" w:rsidRDefault="00C13DE5" w:rsidP="00C13DE5">
      <w:pPr>
        <w:tabs>
          <w:tab w:val="left" w:pos="567"/>
        </w:tabs>
        <w:spacing w:line="260" w:lineRule="exact"/>
        <w:rPr>
          <w:sz w:val="22"/>
          <w:szCs w:val="24"/>
        </w:rPr>
      </w:pPr>
    </w:p>
    <w:p w14:paraId="4BF3F96D" w14:textId="77777777" w:rsidR="00C13DE5" w:rsidRPr="003F564F" w:rsidRDefault="00C13DE5" w:rsidP="00C13DE5">
      <w:pPr>
        <w:pBdr>
          <w:top w:val="single" w:sz="4" w:space="1" w:color="auto"/>
          <w:left w:val="single" w:sz="4" w:space="4" w:color="auto"/>
          <w:bottom w:val="single" w:sz="4" w:space="1" w:color="auto"/>
          <w:right w:val="single" w:sz="4" w:space="4" w:color="auto"/>
        </w:pBdr>
        <w:tabs>
          <w:tab w:val="left" w:pos="567"/>
        </w:tabs>
        <w:rPr>
          <w:b/>
          <w:sz w:val="22"/>
          <w:szCs w:val="24"/>
        </w:rPr>
      </w:pPr>
      <w:r w:rsidRPr="003F564F">
        <w:rPr>
          <w:b/>
          <w:sz w:val="22"/>
          <w:szCs w:val="24"/>
        </w:rPr>
        <w:t>1.</w:t>
      </w:r>
      <w:r w:rsidRPr="003F564F">
        <w:rPr>
          <w:b/>
          <w:sz w:val="22"/>
          <w:szCs w:val="24"/>
        </w:rPr>
        <w:tab/>
      </w:r>
      <w:r w:rsidRPr="003F564F">
        <w:rPr>
          <w:b/>
          <w:caps/>
          <w:sz w:val="22"/>
          <w:szCs w:val="24"/>
        </w:rPr>
        <w:t>VAISTINIO</w:t>
      </w:r>
      <w:r w:rsidRPr="003F564F">
        <w:rPr>
          <w:b/>
          <w:sz w:val="22"/>
          <w:szCs w:val="24"/>
        </w:rPr>
        <w:t xml:space="preserve"> PREPARATO PAVADINIMAS</w:t>
      </w:r>
    </w:p>
    <w:p w14:paraId="69B498E5" w14:textId="77777777" w:rsidR="00C13DE5" w:rsidRPr="003F564F" w:rsidRDefault="00C13DE5" w:rsidP="00C13DE5">
      <w:pPr>
        <w:tabs>
          <w:tab w:val="left" w:pos="567"/>
        </w:tabs>
        <w:spacing w:line="260" w:lineRule="exact"/>
        <w:rPr>
          <w:sz w:val="22"/>
          <w:szCs w:val="24"/>
        </w:rPr>
      </w:pPr>
    </w:p>
    <w:p w14:paraId="1E5AB629" w14:textId="0C79AC8D" w:rsidR="00685239" w:rsidRPr="003F564F" w:rsidRDefault="008B09E3" w:rsidP="00685239">
      <w:pPr>
        <w:tabs>
          <w:tab w:val="left" w:pos="567"/>
        </w:tabs>
        <w:spacing w:line="260" w:lineRule="exact"/>
        <w:rPr>
          <w:sz w:val="22"/>
          <w:szCs w:val="24"/>
        </w:rPr>
      </w:pPr>
      <w:proofErr w:type="spellStart"/>
      <w:r>
        <w:rPr>
          <w:sz w:val="22"/>
          <w:szCs w:val="24"/>
        </w:rPr>
        <w:t>Ruxolitinib</w:t>
      </w:r>
      <w:proofErr w:type="spellEnd"/>
      <w:r>
        <w:rPr>
          <w:sz w:val="22"/>
          <w:szCs w:val="24"/>
        </w:rPr>
        <w:t xml:space="preserve"> </w:t>
      </w:r>
      <w:proofErr w:type="spellStart"/>
      <w:r>
        <w:rPr>
          <w:sz w:val="22"/>
          <w:szCs w:val="24"/>
        </w:rPr>
        <w:t>Sandoz</w:t>
      </w:r>
      <w:proofErr w:type="spellEnd"/>
      <w:r w:rsidR="00685239" w:rsidRPr="003F564F">
        <w:rPr>
          <w:sz w:val="22"/>
          <w:szCs w:val="24"/>
        </w:rPr>
        <w:t xml:space="preserve"> 5</w:t>
      </w:r>
      <w:r w:rsidR="00685239">
        <w:rPr>
          <w:sz w:val="22"/>
          <w:szCs w:val="24"/>
        </w:rPr>
        <w:t> </w:t>
      </w:r>
      <w:r w:rsidR="00685239" w:rsidRPr="003F564F">
        <w:rPr>
          <w:sz w:val="22"/>
          <w:szCs w:val="24"/>
        </w:rPr>
        <w:t>mg tabletės</w:t>
      </w:r>
    </w:p>
    <w:p w14:paraId="190B0030" w14:textId="6FD5300A" w:rsidR="00685239" w:rsidRPr="00685239" w:rsidRDefault="008B09E3" w:rsidP="00685239">
      <w:pPr>
        <w:tabs>
          <w:tab w:val="left" w:pos="567"/>
        </w:tabs>
        <w:spacing w:line="260" w:lineRule="exact"/>
        <w:rPr>
          <w:sz w:val="22"/>
          <w:szCs w:val="24"/>
          <w:highlight w:val="lightGray"/>
        </w:rPr>
      </w:pPr>
      <w:proofErr w:type="spellStart"/>
      <w:r>
        <w:rPr>
          <w:sz w:val="22"/>
          <w:szCs w:val="24"/>
          <w:highlight w:val="lightGray"/>
        </w:rPr>
        <w:t>Ruxolitinib</w:t>
      </w:r>
      <w:proofErr w:type="spellEnd"/>
      <w:r>
        <w:rPr>
          <w:sz w:val="22"/>
          <w:szCs w:val="24"/>
          <w:highlight w:val="lightGray"/>
        </w:rPr>
        <w:t xml:space="preserve"> </w:t>
      </w:r>
      <w:proofErr w:type="spellStart"/>
      <w:r>
        <w:rPr>
          <w:sz w:val="22"/>
          <w:szCs w:val="24"/>
          <w:highlight w:val="lightGray"/>
        </w:rPr>
        <w:t>Sandoz</w:t>
      </w:r>
      <w:proofErr w:type="spellEnd"/>
      <w:r w:rsidR="00685239" w:rsidRPr="00685239">
        <w:rPr>
          <w:sz w:val="22"/>
          <w:szCs w:val="24"/>
          <w:highlight w:val="lightGray"/>
        </w:rPr>
        <w:t xml:space="preserve"> 10 mg tabletės</w:t>
      </w:r>
    </w:p>
    <w:p w14:paraId="5612FB3E" w14:textId="19CFEE79" w:rsidR="00685239" w:rsidRPr="00685239" w:rsidRDefault="008B09E3" w:rsidP="00685239">
      <w:pPr>
        <w:tabs>
          <w:tab w:val="left" w:pos="567"/>
        </w:tabs>
        <w:spacing w:line="260" w:lineRule="exact"/>
        <w:rPr>
          <w:sz w:val="22"/>
          <w:szCs w:val="24"/>
          <w:highlight w:val="lightGray"/>
        </w:rPr>
      </w:pPr>
      <w:proofErr w:type="spellStart"/>
      <w:r>
        <w:rPr>
          <w:sz w:val="22"/>
          <w:szCs w:val="24"/>
          <w:highlight w:val="lightGray"/>
        </w:rPr>
        <w:t>Ruxolitinib</w:t>
      </w:r>
      <w:proofErr w:type="spellEnd"/>
      <w:r>
        <w:rPr>
          <w:sz w:val="22"/>
          <w:szCs w:val="24"/>
          <w:highlight w:val="lightGray"/>
        </w:rPr>
        <w:t xml:space="preserve"> </w:t>
      </w:r>
      <w:proofErr w:type="spellStart"/>
      <w:r>
        <w:rPr>
          <w:sz w:val="22"/>
          <w:szCs w:val="24"/>
          <w:highlight w:val="lightGray"/>
        </w:rPr>
        <w:t>Sandoz</w:t>
      </w:r>
      <w:proofErr w:type="spellEnd"/>
      <w:r w:rsidR="00685239" w:rsidRPr="00685239">
        <w:rPr>
          <w:sz w:val="22"/>
          <w:szCs w:val="24"/>
          <w:highlight w:val="lightGray"/>
        </w:rPr>
        <w:t xml:space="preserve"> 15 mg tabletės</w:t>
      </w:r>
    </w:p>
    <w:p w14:paraId="313D5024" w14:textId="64D4F13D" w:rsidR="00685239" w:rsidRPr="003F564F" w:rsidRDefault="008B09E3" w:rsidP="00685239">
      <w:pPr>
        <w:tabs>
          <w:tab w:val="left" w:pos="567"/>
        </w:tabs>
        <w:spacing w:line="260" w:lineRule="exact"/>
        <w:rPr>
          <w:sz w:val="22"/>
          <w:szCs w:val="24"/>
        </w:rPr>
      </w:pPr>
      <w:proofErr w:type="spellStart"/>
      <w:r>
        <w:rPr>
          <w:sz w:val="22"/>
          <w:szCs w:val="24"/>
          <w:highlight w:val="lightGray"/>
        </w:rPr>
        <w:t>Ruxolitinib</w:t>
      </w:r>
      <w:proofErr w:type="spellEnd"/>
      <w:r>
        <w:rPr>
          <w:sz w:val="22"/>
          <w:szCs w:val="24"/>
          <w:highlight w:val="lightGray"/>
        </w:rPr>
        <w:t xml:space="preserve"> </w:t>
      </w:r>
      <w:proofErr w:type="spellStart"/>
      <w:r>
        <w:rPr>
          <w:sz w:val="22"/>
          <w:szCs w:val="24"/>
          <w:highlight w:val="lightGray"/>
        </w:rPr>
        <w:t>Sandoz</w:t>
      </w:r>
      <w:proofErr w:type="spellEnd"/>
      <w:r w:rsidR="00685239" w:rsidRPr="00685239">
        <w:rPr>
          <w:sz w:val="22"/>
          <w:szCs w:val="24"/>
          <w:highlight w:val="lightGray"/>
        </w:rPr>
        <w:t xml:space="preserve"> 20 mg tabletės</w:t>
      </w:r>
    </w:p>
    <w:p w14:paraId="18384E05" w14:textId="77777777" w:rsidR="00685239" w:rsidRPr="00685239" w:rsidRDefault="00685239" w:rsidP="00685239">
      <w:pPr>
        <w:tabs>
          <w:tab w:val="left" w:pos="567"/>
        </w:tabs>
        <w:spacing w:line="260" w:lineRule="exact"/>
        <w:rPr>
          <w:i/>
          <w:iCs/>
          <w:sz w:val="22"/>
          <w:szCs w:val="24"/>
        </w:rPr>
      </w:pPr>
      <w:proofErr w:type="spellStart"/>
      <w:r w:rsidRPr="00685239">
        <w:rPr>
          <w:i/>
          <w:iCs/>
          <w:sz w:val="22"/>
          <w:szCs w:val="24"/>
        </w:rPr>
        <w:t>ruxolitinibum</w:t>
      </w:r>
      <w:proofErr w:type="spellEnd"/>
    </w:p>
    <w:p w14:paraId="64360F4F" w14:textId="77777777" w:rsidR="00C13DE5" w:rsidRPr="003F564F" w:rsidRDefault="00C13DE5" w:rsidP="00C13DE5">
      <w:pPr>
        <w:tabs>
          <w:tab w:val="left" w:pos="567"/>
        </w:tabs>
        <w:spacing w:line="260" w:lineRule="exact"/>
        <w:rPr>
          <w:sz w:val="22"/>
          <w:szCs w:val="24"/>
        </w:rPr>
      </w:pPr>
    </w:p>
    <w:p w14:paraId="1D18A468" w14:textId="77777777" w:rsidR="007D624A" w:rsidRPr="003F564F" w:rsidRDefault="007D624A" w:rsidP="00C13DE5">
      <w:pPr>
        <w:tabs>
          <w:tab w:val="left" w:pos="567"/>
        </w:tabs>
        <w:spacing w:line="260" w:lineRule="exact"/>
        <w:rPr>
          <w:sz w:val="22"/>
          <w:szCs w:val="24"/>
        </w:rPr>
      </w:pPr>
    </w:p>
    <w:p w14:paraId="08F6311B" w14:textId="77777777" w:rsidR="00C13DE5" w:rsidRPr="003F564F" w:rsidRDefault="00C13DE5" w:rsidP="00C13DE5">
      <w:pPr>
        <w:pBdr>
          <w:top w:val="single" w:sz="4" w:space="1" w:color="auto"/>
          <w:left w:val="single" w:sz="4" w:space="4" w:color="auto"/>
          <w:bottom w:val="single" w:sz="4" w:space="1" w:color="auto"/>
          <w:right w:val="single" w:sz="4" w:space="4" w:color="auto"/>
        </w:pBdr>
        <w:tabs>
          <w:tab w:val="left" w:pos="567"/>
        </w:tabs>
        <w:rPr>
          <w:b/>
          <w:sz w:val="22"/>
          <w:szCs w:val="24"/>
        </w:rPr>
      </w:pPr>
      <w:r w:rsidRPr="003F564F">
        <w:rPr>
          <w:b/>
          <w:sz w:val="22"/>
          <w:szCs w:val="24"/>
        </w:rPr>
        <w:t>2.</w:t>
      </w:r>
      <w:r w:rsidRPr="003F564F">
        <w:rPr>
          <w:b/>
          <w:sz w:val="22"/>
          <w:szCs w:val="24"/>
        </w:rPr>
        <w:tab/>
      </w:r>
      <w:r w:rsidRPr="003F564F">
        <w:rPr>
          <w:b/>
          <w:caps/>
          <w:sz w:val="22"/>
          <w:szCs w:val="24"/>
        </w:rPr>
        <w:t>REGISTRUOTOJO pavadinimas</w:t>
      </w:r>
    </w:p>
    <w:p w14:paraId="67C67F65" w14:textId="77777777" w:rsidR="00C13DE5" w:rsidRPr="003F564F" w:rsidRDefault="00C13DE5" w:rsidP="00C13DE5">
      <w:pPr>
        <w:tabs>
          <w:tab w:val="left" w:pos="567"/>
        </w:tabs>
        <w:spacing w:line="260" w:lineRule="exact"/>
        <w:rPr>
          <w:sz w:val="22"/>
          <w:szCs w:val="24"/>
        </w:rPr>
      </w:pPr>
    </w:p>
    <w:p w14:paraId="39560BB3" w14:textId="77777777" w:rsidR="00685239" w:rsidRPr="00961120" w:rsidRDefault="00685239" w:rsidP="00685239">
      <w:r w:rsidRPr="00961120">
        <w:t>SANDOZ</w:t>
      </w:r>
    </w:p>
    <w:p w14:paraId="667271FF" w14:textId="77777777" w:rsidR="00C13DE5" w:rsidRPr="003F564F" w:rsidRDefault="00C13DE5" w:rsidP="00C13DE5">
      <w:pPr>
        <w:tabs>
          <w:tab w:val="left" w:pos="567"/>
        </w:tabs>
        <w:spacing w:line="260" w:lineRule="exact"/>
        <w:rPr>
          <w:sz w:val="22"/>
          <w:szCs w:val="24"/>
        </w:rPr>
      </w:pPr>
    </w:p>
    <w:p w14:paraId="4F8C1E26" w14:textId="77777777" w:rsidR="00C13DE5" w:rsidRPr="003F564F" w:rsidRDefault="00C13DE5" w:rsidP="00C13DE5">
      <w:pPr>
        <w:tabs>
          <w:tab w:val="left" w:pos="567"/>
        </w:tabs>
        <w:spacing w:line="260" w:lineRule="exact"/>
        <w:rPr>
          <w:sz w:val="22"/>
          <w:szCs w:val="24"/>
        </w:rPr>
      </w:pPr>
    </w:p>
    <w:p w14:paraId="4D6D81D4" w14:textId="77777777" w:rsidR="00C13DE5" w:rsidRPr="003F564F" w:rsidRDefault="00C13DE5" w:rsidP="00C13DE5">
      <w:pPr>
        <w:pBdr>
          <w:top w:val="single" w:sz="4" w:space="1" w:color="auto"/>
          <w:left w:val="single" w:sz="4" w:space="4" w:color="auto"/>
          <w:bottom w:val="single" w:sz="4" w:space="2" w:color="auto"/>
          <w:right w:val="single" w:sz="4" w:space="4" w:color="auto"/>
        </w:pBdr>
        <w:tabs>
          <w:tab w:val="left" w:pos="567"/>
        </w:tabs>
        <w:rPr>
          <w:b/>
          <w:sz w:val="22"/>
          <w:szCs w:val="24"/>
        </w:rPr>
      </w:pPr>
      <w:r w:rsidRPr="003F564F">
        <w:rPr>
          <w:b/>
          <w:sz w:val="22"/>
          <w:szCs w:val="24"/>
        </w:rPr>
        <w:t>3.</w:t>
      </w:r>
      <w:r w:rsidRPr="003F564F">
        <w:rPr>
          <w:b/>
          <w:sz w:val="22"/>
          <w:szCs w:val="24"/>
        </w:rPr>
        <w:tab/>
        <w:t>TINKAMUMO LAIKAS</w:t>
      </w:r>
    </w:p>
    <w:p w14:paraId="7D1A7CAD" w14:textId="77777777" w:rsidR="00C13DE5" w:rsidRPr="003F564F" w:rsidRDefault="00C13DE5" w:rsidP="00C13DE5">
      <w:pPr>
        <w:tabs>
          <w:tab w:val="left" w:pos="567"/>
        </w:tabs>
        <w:spacing w:line="260" w:lineRule="exact"/>
        <w:rPr>
          <w:sz w:val="22"/>
          <w:szCs w:val="24"/>
        </w:rPr>
      </w:pPr>
    </w:p>
    <w:p w14:paraId="19633121" w14:textId="77777777" w:rsidR="00685239" w:rsidRPr="003F564F" w:rsidRDefault="00685239" w:rsidP="00685239">
      <w:pPr>
        <w:tabs>
          <w:tab w:val="left" w:pos="567"/>
        </w:tabs>
        <w:spacing w:line="260" w:lineRule="exact"/>
        <w:rPr>
          <w:sz w:val="22"/>
        </w:rPr>
      </w:pPr>
      <w:r w:rsidRPr="00685239">
        <w:rPr>
          <w:sz w:val="22"/>
          <w:highlight w:val="lightGray"/>
        </w:rPr>
        <w:t>EXP</w:t>
      </w:r>
      <w:r w:rsidRPr="00685239">
        <w:rPr>
          <w:sz w:val="22"/>
        </w:rPr>
        <w:t xml:space="preserve"> {mm/MMMM }</w:t>
      </w:r>
    </w:p>
    <w:p w14:paraId="097C07B3" w14:textId="77777777" w:rsidR="00C13DE5" w:rsidRPr="003F564F" w:rsidRDefault="00C13DE5" w:rsidP="00C13DE5">
      <w:pPr>
        <w:tabs>
          <w:tab w:val="left" w:pos="567"/>
        </w:tabs>
        <w:spacing w:line="260" w:lineRule="exact"/>
        <w:rPr>
          <w:sz w:val="22"/>
        </w:rPr>
      </w:pPr>
    </w:p>
    <w:p w14:paraId="7640110D" w14:textId="77777777" w:rsidR="00C13DE5" w:rsidRPr="003F564F" w:rsidRDefault="00C13DE5" w:rsidP="00C13DE5">
      <w:pPr>
        <w:tabs>
          <w:tab w:val="left" w:pos="567"/>
        </w:tabs>
        <w:spacing w:line="260" w:lineRule="exact"/>
        <w:rPr>
          <w:sz w:val="22"/>
        </w:rPr>
      </w:pPr>
    </w:p>
    <w:p w14:paraId="12DB1450" w14:textId="77777777" w:rsidR="00C13DE5" w:rsidRPr="003F564F" w:rsidRDefault="00C13DE5" w:rsidP="00C13DE5">
      <w:pPr>
        <w:suppressLineNumbers/>
        <w:pBdr>
          <w:top w:val="single" w:sz="4" w:space="1" w:color="auto"/>
          <w:left w:val="single" w:sz="4" w:space="4" w:color="auto"/>
          <w:bottom w:val="single" w:sz="4" w:space="1" w:color="auto"/>
          <w:right w:val="single" w:sz="4" w:space="4" w:color="auto"/>
        </w:pBdr>
        <w:tabs>
          <w:tab w:val="left" w:pos="567"/>
        </w:tabs>
        <w:rPr>
          <w:b/>
          <w:sz w:val="22"/>
          <w:szCs w:val="24"/>
        </w:rPr>
      </w:pPr>
      <w:r w:rsidRPr="003F564F">
        <w:rPr>
          <w:b/>
          <w:sz w:val="22"/>
          <w:szCs w:val="24"/>
        </w:rPr>
        <w:t>4.</w:t>
      </w:r>
      <w:r w:rsidRPr="003F564F">
        <w:rPr>
          <w:b/>
          <w:sz w:val="22"/>
          <w:szCs w:val="24"/>
        </w:rPr>
        <w:tab/>
        <w:t>SERIJOS NUMERIS</w:t>
      </w:r>
    </w:p>
    <w:p w14:paraId="79A70CD0" w14:textId="77777777" w:rsidR="00C13DE5" w:rsidRPr="003F564F" w:rsidRDefault="00C13DE5" w:rsidP="00C13DE5">
      <w:pPr>
        <w:tabs>
          <w:tab w:val="left" w:pos="567"/>
        </w:tabs>
        <w:spacing w:line="260" w:lineRule="exact"/>
        <w:rPr>
          <w:sz w:val="22"/>
        </w:rPr>
      </w:pPr>
    </w:p>
    <w:p w14:paraId="488FAB57" w14:textId="77777777" w:rsidR="00685239" w:rsidRPr="003F564F" w:rsidRDefault="00685239" w:rsidP="00685239">
      <w:pPr>
        <w:tabs>
          <w:tab w:val="left" w:pos="567"/>
        </w:tabs>
        <w:rPr>
          <w:b/>
          <w:sz w:val="22"/>
        </w:rPr>
      </w:pPr>
      <w:r w:rsidRPr="00685239">
        <w:rPr>
          <w:sz w:val="22"/>
          <w:highlight w:val="lightGray"/>
        </w:rPr>
        <w:t>Lot</w:t>
      </w:r>
    </w:p>
    <w:p w14:paraId="528873F3" w14:textId="77777777" w:rsidR="00C13DE5" w:rsidRPr="003F564F" w:rsidRDefault="00C13DE5" w:rsidP="00C13DE5">
      <w:pPr>
        <w:tabs>
          <w:tab w:val="left" w:pos="567"/>
        </w:tabs>
        <w:spacing w:line="260" w:lineRule="exact"/>
        <w:rPr>
          <w:sz w:val="22"/>
          <w:szCs w:val="24"/>
        </w:rPr>
      </w:pPr>
    </w:p>
    <w:p w14:paraId="57D513BB" w14:textId="77777777" w:rsidR="00C13DE5" w:rsidRPr="003F564F" w:rsidRDefault="00C13DE5" w:rsidP="00C13DE5">
      <w:pPr>
        <w:tabs>
          <w:tab w:val="left" w:pos="567"/>
        </w:tabs>
        <w:spacing w:line="260" w:lineRule="exact"/>
        <w:rPr>
          <w:sz w:val="22"/>
          <w:szCs w:val="24"/>
        </w:rPr>
      </w:pPr>
    </w:p>
    <w:p w14:paraId="2462E0B3" w14:textId="77777777" w:rsidR="00C13DE5" w:rsidRPr="003F564F" w:rsidRDefault="00C13DE5" w:rsidP="00C13DE5">
      <w:pPr>
        <w:pBdr>
          <w:top w:val="single" w:sz="4" w:space="1" w:color="auto"/>
          <w:left w:val="single" w:sz="4" w:space="4" w:color="auto"/>
          <w:bottom w:val="single" w:sz="4" w:space="1" w:color="auto"/>
          <w:right w:val="single" w:sz="4" w:space="4" w:color="auto"/>
        </w:pBdr>
        <w:tabs>
          <w:tab w:val="left" w:pos="567"/>
        </w:tabs>
        <w:rPr>
          <w:b/>
          <w:sz w:val="22"/>
          <w:szCs w:val="24"/>
        </w:rPr>
      </w:pPr>
      <w:r w:rsidRPr="003F564F">
        <w:rPr>
          <w:b/>
          <w:sz w:val="22"/>
          <w:szCs w:val="24"/>
        </w:rPr>
        <w:t>5.</w:t>
      </w:r>
      <w:r w:rsidRPr="003F564F">
        <w:rPr>
          <w:b/>
          <w:sz w:val="22"/>
          <w:szCs w:val="24"/>
        </w:rPr>
        <w:tab/>
        <w:t>KITA</w:t>
      </w:r>
    </w:p>
    <w:p w14:paraId="0052FEDC" w14:textId="77777777" w:rsidR="00C13DE5" w:rsidRPr="003F564F" w:rsidRDefault="00C13DE5" w:rsidP="00C13DE5">
      <w:pPr>
        <w:tabs>
          <w:tab w:val="left" w:pos="567"/>
        </w:tabs>
        <w:spacing w:line="260" w:lineRule="exact"/>
        <w:rPr>
          <w:sz w:val="22"/>
          <w:szCs w:val="24"/>
        </w:rPr>
      </w:pPr>
    </w:p>
    <w:p w14:paraId="6EF39A33" w14:textId="0B07EA82" w:rsidR="008D3B35" w:rsidRPr="003F564F" w:rsidRDefault="00AB4978" w:rsidP="00C13DE5">
      <w:pPr>
        <w:pBdr>
          <w:top w:val="single" w:sz="4" w:space="1" w:color="auto"/>
          <w:left w:val="single" w:sz="4" w:space="4" w:color="auto"/>
          <w:bottom w:val="single" w:sz="4" w:space="1" w:color="auto"/>
          <w:right w:val="single" w:sz="4" w:space="4" w:color="auto"/>
        </w:pBdr>
        <w:tabs>
          <w:tab w:val="left" w:pos="567"/>
        </w:tabs>
        <w:rPr>
          <w:sz w:val="22"/>
        </w:rPr>
      </w:pPr>
      <w:r w:rsidRPr="003F564F">
        <w:rPr>
          <w:sz w:val="22"/>
        </w:rPr>
        <w:br w:type="page"/>
      </w:r>
    </w:p>
    <w:p w14:paraId="126F96BC" w14:textId="77777777" w:rsidR="008D3B35" w:rsidRPr="003F564F" w:rsidRDefault="008D3B35">
      <w:pPr>
        <w:tabs>
          <w:tab w:val="left" w:pos="567"/>
        </w:tabs>
        <w:spacing w:line="260" w:lineRule="exact"/>
        <w:rPr>
          <w:sz w:val="22"/>
        </w:rPr>
      </w:pPr>
    </w:p>
    <w:p w14:paraId="5DF655AE" w14:textId="77777777" w:rsidR="008D3B35" w:rsidRPr="003F564F" w:rsidRDefault="008D3B35">
      <w:pPr>
        <w:tabs>
          <w:tab w:val="left" w:pos="567"/>
        </w:tabs>
        <w:spacing w:line="260" w:lineRule="exact"/>
        <w:rPr>
          <w:sz w:val="22"/>
        </w:rPr>
      </w:pPr>
    </w:p>
    <w:p w14:paraId="4E41D491" w14:textId="77777777" w:rsidR="008D3B35" w:rsidRPr="003F564F" w:rsidRDefault="008D3B35">
      <w:pPr>
        <w:tabs>
          <w:tab w:val="left" w:pos="567"/>
        </w:tabs>
        <w:spacing w:line="260" w:lineRule="exact"/>
        <w:rPr>
          <w:sz w:val="22"/>
        </w:rPr>
      </w:pPr>
    </w:p>
    <w:p w14:paraId="4E84AF25" w14:textId="77777777" w:rsidR="008D3B35" w:rsidRPr="003F564F" w:rsidRDefault="008D3B35">
      <w:pPr>
        <w:tabs>
          <w:tab w:val="left" w:pos="567"/>
        </w:tabs>
        <w:spacing w:line="260" w:lineRule="exact"/>
        <w:rPr>
          <w:sz w:val="22"/>
        </w:rPr>
      </w:pPr>
    </w:p>
    <w:p w14:paraId="533FEA91" w14:textId="77777777" w:rsidR="008D3B35" w:rsidRPr="003F564F" w:rsidRDefault="008D3B35">
      <w:pPr>
        <w:tabs>
          <w:tab w:val="left" w:pos="567"/>
        </w:tabs>
        <w:spacing w:line="260" w:lineRule="exact"/>
        <w:rPr>
          <w:sz w:val="22"/>
        </w:rPr>
      </w:pPr>
    </w:p>
    <w:p w14:paraId="5616AB7E" w14:textId="77777777" w:rsidR="008D3B35" w:rsidRPr="003F564F" w:rsidRDefault="008D3B35">
      <w:pPr>
        <w:tabs>
          <w:tab w:val="left" w:pos="567"/>
        </w:tabs>
        <w:spacing w:line="260" w:lineRule="exact"/>
        <w:rPr>
          <w:sz w:val="22"/>
        </w:rPr>
      </w:pPr>
    </w:p>
    <w:p w14:paraId="3EBDF36A" w14:textId="77777777" w:rsidR="008D3B35" w:rsidRPr="003F564F" w:rsidRDefault="008D3B35">
      <w:pPr>
        <w:tabs>
          <w:tab w:val="left" w:pos="567"/>
        </w:tabs>
        <w:spacing w:line="260" w:lineRule="exact"/>
        <w:rPr>
          <w:sz w:val="22"/>
        </w:rPr>
      </w:pPr>
    </w:p>
    <w:p w14:paraId="182FFFE7" w14:textId="77777777" w:rsidR="008D3B35" w:rsidRPr="003F564F" w:rsidRDefault="008D3B35">
      <w:pPr>
        <w:tabs>
          <w:tab w:val="left" w:pos="567"/>
        </w:tabs>
        <w:spacing w:line="260" w:lineRule="exact"/>
        <w:rPr>
          <w:sz w:val="22"/>
        </w:rPr>
      </w:pPr>
    </w:p>
    <w:p w14:paraId="047904F5" w14:textId="77777777" w:rsidR="008D3B35" w:rsidRPr="003F564F" w:rsidRDefault="008D3B35">
      <w:pPr>
        <w:tabs>
          <w:tab w:val="left" w:pos="567"/>
        </w:tabs>
        <w:spacing w:line="260" w:lineRule="exact"/>
        <w:rPr>
          <w:sz w:val="22"/>
        </w:rPr>
      </w:pPr>
    </w:p>
    <w:p w14:paraId="31BFDBC9" w14:textId="77777777" w:rsidR="008D3B35" w:rsidRPr="003F564F" w:rsidRDefault="008D3B35">
      <w:pPr>
        <w:tabs>
          <w:tab w:val="left" w:pos="567"/>
        </w:tabs>
        <w:spacing w:line="260" w:lineRule="exact"/>
        <w:rPr>
          <w:sz w:val="22"/>
        </w:rPr>
      </w:pPr>
    </w:p>
    <w:p w14:paraId="285F6B03" w14:textId="77777777" w:rsidR="008D3B35" w:rsidRPr="003F564F" w:rsidRDefault="008D3B35">
      <w:pPr>
        <w:tabs>
          <w:tab w:val="left" w:pos="567"/>
        </w:tabs>
        <w:spacing w:line="260" w:lineRule="exact"/>
        <w:rPr>
          <w:sz w:val="22"/>
        </w:rPr>
      </w:pPr>
    </w:p>
    <w:p w14:paraId="6F992662" w14:textId="77777777" w:rsidR="008D3B35" w:rsidRPr="003F564F" w:rsidRDefault="008D3B35">
      <w:pPr>
        <w:tabs>
          <w:tab w:val="left" w:pos="567"/>
        </w:tabs>
        <w:spacing w:line="260" w:lineRule="exact"/>
        <w:rPr>
          <w:sz w:val="22"/>
        </w:rPr>
      </w:pPr>
    </w:p>
    <w:p w14:paraId="616264B4" w14:textId="77777777" w:rsidR="008D3B35" w:rsidRPr="003F564F" w:rsidRDefault="008D3B35">
      <w:pPr>
        <w:tabs>
          <w:tab w:val="left" w:pos="567"/>
        </w:tabs>
        <w:spacing w:line="260" w:lineRule="exact"/>
        <w:rPr>
          <w:sz w:val="22"/>
        </w:rPr>
      </w:pPr>
    </w:p>
    <w:p w14:paraId="16BE24D6" w14:textId="77777777" w:rsidR="008D3B35" w:rsidRPr="003F564F" w:rsidRDefault="008D3B35">
      <w:pPr>
        <w:tabs>
          <w:tab w:val="left" w:pos="567"/>
        </w:tabs>
        <w:spacing w:line="260" w:lineRule="exact"/>
        <w:rPr>
          <w:sz w:val="22"/>
        </w:rPr>
      </w:pPr>
    </w:p>
    <w:p w14:paraId="1797D83F" w14:textId="77777777" w:rsidR="008D3B35" w:rsidRPr="003F564F" w:rsidRDefault="008D3B35">
      <w:pPr>
        <w:tabs>
          <w:tab w:val="left" w:pos="567"/>
        </w:tabs>
        <w:spacing w:line="260" w:lineRule="exact"/>
        <w:rPr>
          <w:sz w:val="22"/>
        </w:rPr>
      </w:pPr>
    </w:p>
    <w:p w14:paraId="374FACB3" w14:textId="77777777" w:rsidR="008D3B35" w:rsidRPr="003F564F" w:rsidRDefault="008D3B35">
      <w:pPr>
        <w:tabs>
          <w:tab w:val="left" w:pos="567"/>
        </w:tabs>
        <w:spacing w:line="260" w:lineRule="exact"/>
        <w:rPr>
          <w:sz w:val="22"/>
        </w:rPr>
      </w:pPr>
    </w:p>
    <w:p w14:paraId="06A11145" w14:textId="77777777" w:rsidR="008D3B35" w:rsidRPr="003F564F" w:rsidRDefault="008D3B35">
      <w:pPr>
        <w:tabs>
          <w:tab w:val="left" w:pos="567"/>
        </w:tabs>
        <w:spacing w:line="260" w:lineRule="exact"/>
        <w:rPr>
          <w:sz w:val="22"/>
        </w:rPr>
      </w:pPr>
    </w:p>
    <w:p w14:paraId="6C20270E" w14:textId="77777777" w:rsidR="008D3B35" w:rsidRPr="003F564F" w:rsidRDefault="008D3B35">
      <w:pPr>
        <w:tabs>
          <w:tab w:val="left" w:pos="567"/>
        </w:tabs>
        <w:spacing w:line="260" w:lineRule="exact"/>
        <w:rPr>
          <w:sz w:val="22"/>
        </w:rPr>
      </w:pPr>
    </w:p>
    <w:p w14:paraId="28873D9F" w14:textId="77777777" w:rsidR="008D3B35" w:rsidRPr="003F564F" w:rsidRDefault="008D3B35">
      <w:pPr>
        <w:tabs>
          <w:tab w:val="left" w:pos="567"/>
        </w:tabs>
        <w:spacing w:line="260" w:lineRule="exact"/>
        <w:rPr>
          <w:sz w:val="22"/>
        </w:rPr>
      </w:pPr>
    </w:p>
    <w:p w14:paraId="6753C836" w14:textId="77777777" w:rsidR="008D3B35" w:rsidRPr="003F564F" w:rsidRDefault="008D3B35">
      <w:pPr>
        <w:tabs>
          <w:tab w:val="left" w:pos="567"/>
        </w:tabs>
        <w:spacing w:line="260" w:lineRule="exact"/>
        <w:rPr>
          <w:sz w:val="22"/>
        </w:rPr>
      </w:pPr>
    </w:p>
    <w:p w14:paraId="1434BC73" w14:textId="77777777" w:rsidR="008D3B35" w:rsidRPr="003F564F" w:rsidRDefault="008D3B35">
      <w:pPr>
        <w:tabs>
          <w:tab w:val="left" w:pos="567"/>
        </w:tabs>
        <w:spacing w:line="260" w:lineRule="exact"/>
        <w:rPr>
          <w:sz w:val="22"/>
        </w:rPr>
      </w:pPr>
    </w:p>
    <w:p w14:paraId="462E52C8" w14:textId="77777777" w:rsidR="008D3B35" w:rsidRPr="003F564F" w:rsidRDefault="008D3B35">
      <w:pPr>
        <w:tabs>
          <w:tab w:val="left" w:pos="567"/>
        </w:tabs>
        <w:spacing w:line="260" w:lineRule="exact"/>
        <w:rPr>
          <w:sz w:val="22"/>
        </w:rPr>
      </w:pPr>
    </w:p>
    <w:p w14:paraId="7A2A95AC" w14:textId="77777777" w:rsidR="008D3B35" w:rsidRPr="003F564F" w:rsidRDefault="00AB4978">
      <w:pPr>
        <w:tabs>
          <w:tab w:val="left" w:pos="567"/>
        </w:tabs>
        <w:spacing w:line="260" w:lineRule="exact"/>
        <w:jc w:val="center"/>
        <w:rPr>
          <w:b/>
          <w:sz w:val="22"/>
        </w:rPr>
      </w:pPr>
      <w:r w:rsidRPr="003F564F">
        <w:rPr>
          <w:b/>
          <w:sz w:val="22"/>
        </w:rPr>
        <w:t>B. PAKUOTĖS LAPELIS</w:t>
      </w:r>
    </w:p>
    <w:p w14:paraId="4EBCF194" w14:textId="784B68C2" w:rsidR="008D3B35" w:rsidRPr="003F564F" w:rsidRDefault="00AB4978">
      <w:pPr>
        <w:keepNext/>
        <w:tabs>
          <w:tab w:val="left" w:pos="567"/>
        </w:tabs>
        <w:jc w:val="center"/>
        <w:outlineLvl w:val="1"/>
        <w:rPr>
          <w:b/>
          <w:sz w:val="22"/>
          <w:szCs w:val="24"/>
          <w:lang w:eastAsia="x-none"/>
        </w:rPr>
      </w:pPr>
      <w:r w:rsidRPr="003F564F">
        <w:rPr>
          <w:b/>
          <w:bCs/>
          <w:iCs/>
          <w:sz w:val="22"/>
          <w:szCs w:val="28"/>
          <w:lang w:eastAsia="x-none"/>
        </w:rPr>
        <w:br w:type="page"/>
      </w:r>
      <w:r w:rsidRPr="003F564F">
        <w:rPr>
          <w:b/>
          <w:bCs/>
          <w:iCs/>
          <w:sz w:val="22"/>
          <w:szCs w:val="28"/>
          <w:lang w:eastAsia="x-none"/>
        </w:rPr>
        <w:lastRenderedPageBreak/>
        <w:t>Pakuotės lapelis:</w:t>
      </w:r>
      <w:r w:rsidRPr="003F564F">
        <w:rPr>
          <w:b/>
          <w:sz w:val="22"/>
          <w:szCs w:val="24"/>
          <w:lang w:eastAsia="x-none"/>
        </w:rPr>
        <w:t xml:space="preserve"> </w:t>
      </w:r>
      <w:r w:rsidRPr="003F564F">
        <w:rPr>
          <w:b/>
          <w:bCs/>
          <w:iCs/>
          <w:sz w:val="22"/>
          <w:szCs w:val="28"/>
          <w:lang w:eastAsia="x-none"/>
        </w:rPr>
        <w:t>informacija pacientui</w:t>
      </w:r>
    </w:p>
    <w:p w14:paraId="418C8B9D" w14:textId="77777777" w:rsidR="008D3B35" w:rsidRPr="003F564F" w:rsidRDefault="008D3B35">
      <w:pPr>
        <w:numPr>
          <w:ilvl w:val="12"/>
          <w:numId w:val="0"/>
        </w:numPr>
        <w:jc w:val="center"/>
        <w:rPr>
          <w:sz w:val="22"/>
          <w:szCs w:val="24"/>
        </w:rPr>
      </w:pPr>
    </w:p>
    <w:p w14:paraId="190F37EE" w14:textId="6B5431B0" w:rsidR="00B341E8" w:rsidRPr="003F564F" w:rsidRDefault="008B09E3" w:rsidP="00B341E8">
      <w:pPr>
        <w:tabs>
          <w:tab w:val="left" w:pos="567"/>
        </w:tabs>
        <w:spacing w:line="260" w:lineRule="exact"/>
        <w:jc w:val="center"/>
        <w:rPr>
          <w:b/>
          <w:sz w:val="22"/>
          <w:szCs w:val="24"/>
        </w:rPr>
      </w:pPr>
      <w:proofErr w:type="spellStart"/>
      <w:r>
        <w:rPr>
          <w:b/>
          <w:sz w:val="22"/>
          <w:szCs w:val="24"/>
        </w:rPr>
        <w:t>Ruxolitinib</w:t>
      </w:r>
      <w:proofErr w:type="spellEnd"/>
      <w:r>
        <w:rPr>
          <w:b/>
          <w:sz w:val="22"/>
          <w:szCs w:val="24"/>
        </w:rPr>
        <w:t xml:space="preserve"> </w:t>
      </w:r>
      <w:proofErr w:type="spellStart"/>
      <w:r>
        <w:rPr>
          <w:b/>
          <w:sz w:val="22"/>
          <w:szCs w:val="24"/>
        </w:rPr>
        <w:t>Sandoz</w:t>
      </w:r>
      <w:proofErr w:type="spellEnd"/>
      <w:r w:rsidR="00B341E8" w:rsidRPr="003F564F">
        <w:rPr>
          <w:b/>
          <w:sz w:val="22"/>
          <w:szCs w:val="24"/>
        </w:rPr>
        <w:t xml:space="preserve"> 5</w:t>
      </w:r>
      <w:r w:rsidR="00685239">
        <w:rPr>
          <w:b/>
          <w:sz w:val="22"/>
          <w:szCs w:val="24"/>
        </w:rPr>
        <w:t> </w:t>
      </w:r>
      <w:r w:rsidR="00B341E8" w:rsidRPr="003F564F">
        <w:rPr>
          <w:b/>
          <w:sz w:val="22"/>
          <w:szCs w:val="24"/>
        </w:rPr>
        <w:t>mg tabletės</w:t>
      </w:r>
    </w:p>
    <w:p w14:paraId="77E160BA" w14:textId="4B078559" w:rsidR="00B341E8" w:rsidRPr="003F564F" w:rsidRDefault="008B09E3" w:rsidP="00B341E8">
      <w:pPr>
        <w:tabs>
          <w:tab w:val="left" w:pos="567"/>
        </w:tabs>
        <w:spacing w:line="260" w:lineRule="exact"/>
        <w:jc w:val="center"/>
        <w:rPr>
          <w:b/>
          <w:sz w:val="22"/>
          <w:szCs w:val="24"/>
        </w:rPr>
      </w:pPr>
      <w:proofErr w:type="spellStart"/>
      <w:r>
        <w:rPr>
          <w:b/>
          <w:sz w:val="22"/>
          <w:szCs w:val="24"/>
        </w:rPr>
        <w:t>Ruxolitinib</w:t>
      </w:r>
      <w:proofErr w:type="spellEnd"/>
      <w:r>
        <w:rPr>
          <w:b/>
          <w:sz w:val="22"/>
          <w:szCs w:val="24"/>
        </w:rPr>
        <w:t xml:space="preserve"> </w:t>
      </w:r>
      <w:proofErr w:type="spellStart"/>
      <w:r>
        <w:rPr>
          <w:b/>
          <w:sz w:val="22"/>
          <w:szCs w:val="24"/>
        </w:rPr>
        <w:t>Sandoz</w:t>
      </w:r>
      <w:proofErr w:type="spellEnd"/>
      <w:r w:rsidR="00B341E8" w:rsidRPr="003F564F">
        <w:rPr>
          <w:b/>
          <w:sz w:val="22"/>
          <w:szCs w:val="24"/>
        </w:rPr>
        <w:t xml:space="preserve"> 10</w:t>
      </w:r>
      <w:r w:rsidR="00685239">
        <w:rPr>
          <w:b/>
          <w:sz w:val="22"/>
          <w:szCs w:val="24"/>
        </w:rPr>
        <w:t> </w:t>
      </w:r>
      <w:r w:rsidR="00B341E8" w:rsidRPr="003F564F">
        <w:rPr>
          <w:b/>
          <w:sz w:val="22"/>
          <w:szCs w:val="24"/>
        </w:rPr>
        <w:t>mg tabletės</w:t>
      </w:r>
    </w:p>
    <w:p w14:paraId="1C48B369" w14:textId="0764EB72" w:rsidR="00B341E8" w:rsidRPr="003F564F" w:rsidRDefault="008B09E3" w:rsidP="00B341E8">
      <w:pPr>
        <w:tabs>
          <w:tab w:val="left" w:pos="567"/>
        </w:tabs>
        <w:spacing w:line="260" w:lineRule="exact"/>
        <w:jc w:val="center"/>
        <w:rPr>
          <w:b/>
          <w:sz w:val="22"/>
          <w:szCs w:val="24"/>
        </w:rPr>
      </w:pPr>
      <w:proofErr w:type="spellStart"/>
      <w:r>
        <w:rPr>
          <w:b/>
          <w:sz w:val="22"/>
          <w:szCs w:val="24"/>
        </w:rPr>
        <w:t>Ruxolitinib</w:t>
      </w:r>
      <w:proofErr w:type="spellEnd"/>
      <w:r>
        <w:rPr>
          <w:b/>
          <w:sz w:val="22"/>
          <w:szCs w:val="24"/>
        </w:rPr>
        <w:t xml:space="preserve"> </w:t>
      </w:r>
      <w:proofErr w:type="spellStart"/>
      <w:r>
        <w:rPr>
          <w:b/>
          <w:sz w:val="22"/>
          <w:szCs w:val="24"/>
        </w:rPr>
        <w:t>Sandoz</w:t>
      </w:r>
      <w:proofErr w:type="spellEnd"/>
      <w:r w:rsidR="00B341E8" w:rsidRPr="003F564F">
        <w:rPr>
          <w:b/>
          <w:sz w:val="22"/>
          <w:szCs w:val="24"/>
        </w:rPr>
        <w:t xml:space="preserve"> 15</w:t>
      </w:r>
      <w:r w:rsidR="00685239">
        <w:rPr>
          <w:b/>
          <w:sz w:val="22"/>
          <w:szCs w:val="24"/>
        </w:rPr>
        <w:t> </w:t>
      </w:r>
      <w:r w:rsidR="00B341E8" w:rsidRPr="003F564F">
        <w:rPr>
          <w:b/>
          <w:sz w:val="22"/>
          <w:szCs w:val="24"/>
        </w:rPr>
        <w:t>mg tabletės</w:t>
      </w:r>
    </w:p>
    <w:p w14:paraId="47D4DF80" w14:textId="053869D5" w:rsidR="008D3B35" w:rsidRPr="003F564F" w:rsidRDefault="008B09E3" w:rsidP="00B341E8">
      <w:pPr>
        <w:tabs>
          <w:tab w:val="left" w:pos="567"/>
        </w:tabs>
        <w:spacing w:line="260" w:lineRule="exact"/>
        <w:jc w:val="center"/>
        <w:rPr>
          <w:b/>
          <w:sz w:val="22"/>
          <w:szCs w:val="24"/>
        </w:rPr>
      </w:pPr>
      <w:proofErr w:type="spellStart"/>
      <w:r>
        <w:rPr>
          <w:b/>
          <w:sz w:val="22"/>
          <w:szCs w:val="24"/>
        </w:rPr>
        <w:t>Ruxolitinib</w:t>
      </w:r>
      <w:proofErr w:type="spellEnd"/>
      <w:r>
        <w:rPr>
          <w:b/>
          <w:sz w:val="22"/>
          <w:szCs w:val="24"/>
        </w:rPr>
        <w:t xml:space="preserve"> </w:t>
      </w:r>
      <w:proofErr w:type="spellStart"/>
      <w:r>
        <w:rPr>
          <w:b/>
          <w:sz w:val="22"/>
          <w:szCs w:val="24"/>
        </w:rPr>
        <w:t>Sandoz</w:t>
      </w:r>
      <w:proofErr w:type="spellEnd"/>
      <w:r w:rsidR="00B341E8" w:rsidRPr="003F564F">
        <w:rPr>
          <w:b/>
          <w:sz w:val="22"/>
          <w:szCs w:val="24"/>
        </w:rPr>
        <w:t xml:space="preserve"> 20</w:t>
      </w:r>
      <w:r w:rsidR="00685239">
        <w:rPr>
          <w:b/>
          <w:sz w:val="22"/>
          <w:szCs w:val="24"/>
        </w:rPr>
        <w:t> </w:t>
      </w:r>
      <w:r w:rsidR="00B341E8" w:rsidRPr="003F564F">
        <w:rPr>
          <w:b/>
          <w:sz w:val="22"/>
          <w:szCs w:val="24"/>
        </w:rPr>
        <w:t>mg tabletės</w:t>
      </w:r>
    </w:p>
    <w:p w14:paraId="4C8F06B1" w14:textId="67663DFE" w:rsidR="008D3B35" w:rsidRPr="003F564F" w:rsidRDefault="00B341E8">
      <w:pPr>
        <w:numPr>
          <w:ilvl w:val="12"/>
          <w:numId w:val="0"/>
        </w:numPr>
        <w:jc w:val="center"/>
        <w:rPr>
          <w:sz w:val="22"/>
          <w:szCs w:val="24"/>
        </w:rPr>
      </w:pPr>
      <w:proofErr w:type="spellStart"/>
      <w:r w:rsidRPr="003F564F">
        <w:rPr>
          <w:sz w:val="22"/>
          <w:szCs w:val="24"/>
        </w:rPr>
        <w:t>ruksolitinibas</w:t>
      </w:r>
      <w:proofErr w:type="spellEnd"/>
      <w:r w:rsidRPr="003F564F">
        <w:rPr>
          <w:sz w:val="22"/>
          <w:szCs w:val="24"/>
        </w:rPr>
        <w:t xml:space="preserve"> (</w:t>
      </w:r>
      <w:proofErr w:type="spellStart"/>
      <w:r w:rsidRPr="003F564F">
        <w:rPr>
          <w:i/>
          <w:iCs/>
          <w:sz w:val="22"/>
          <w:szCs w:val="24"/>
        </w:rPr>
        <w:t>ruxolitinibum</w:t>
      </w:r>
      <w:proofErr w:type="spellEnd"/>
      <w:r w:rsidRPr="003F564F">
        <w:rPr>
          <w:sz w:val="22"/>
          <w:szCs w:val="24"/>
        </w:rPr>
        <w:t>)</w:t>
      </w:r>
    </w:p>
    <w:p w14:paraId="2600A24C" w14:textId="77777777" w:rsidR="008D3B35" w:rsidRPr="003F564F" w:rsidRDefault="008D3B35">
      <w:pPr>
        <w:rPr>
          <w:color w:val="008000"/>
          <w:sz w:val="22"/>
          <w:szCs w:val="24"/>
        </w:rPr>
      </w:pPr>
    </w:p>
    <w:p w14:paraId="360DFFBB" w14:textId="77777777" w:rsidR="008D3B35" w:rsidRPr="003F564F" w:rsidRDefault="008D3B35">
      <w:pPr>
        <w:rPr>
          <w:color w:val="008000"/>
          <w:sz w:val="22"/>
          <w:szCs w:val="24"/>
        </w:rPr>
      </w:pPr>
    </w:p>
    <w:p w14:paraId="521868D9" w14:textId="49BC33A0" w:rsidR="008D3B35" w:rsidRPr="003F564F" w:rsidRDefault="00AB4978" w:rsidP="00685239">
      <w:pPr>
        <w:suppressAutoHyphens/>
        <w:rPr>
          <w:sz w:val="22"/>
          <w:szCs w:val="24"/>
        </w:rPr>
      </w:pPr>
      <w:r w:rsidRPr="003F564F">
        <w:rPr>
          <w:b/>
          <w:sz w:val="22"/>
          <w:szCs w:val="24"/>
        </w:rPr>
        <w:t>Atidžiai perskaitykite visą šį lapelį, prieš pradėdami vartoti vaistą, nes jame pateikiama Jums svarbi informacija.</w:t>
      </w:r>
    </w:p>
    <w:p w14:paraId="0D7B2FD1" w14:textId="137C5EAE" w:rsidR="008D3B35" w:rsidRPr="00685239" w:rsidRDefault="00AB4978" w:rsidP="00685239">
      <w:pPr>
        <w:pStyle w:val="Sraopastraipa"/>
        <w:numPr>
          <w:ilvl w:val="0"/>
          <w:numId w:val="3"/>
        </w:numPr>
        <w:spacing w:line="260" w:lineRule="exact"/>
        <w:ind w:left="567" w:right="-2" w:hanging="567"/>
        <w:rPr>
          <w:sz w:val="22"/>
          <w:szCs w:val="24"/>
        </w:rPr>
      </w:pPr>
      <w:r w:rsidRPr="00685239">
        <w:rPr>
          <w:sz w:val="22"/>
          <w:szCs w:val="24"/>
        </w:rPr>
        <w:t xml:space="preserve">Neišmeskite šio lapelio, nes vėl gali prireikti jį perskaityti. </w:t>
      </w:r>
    </w:p>
    <w:p w14:paraId="49E61661" w14:textId="6F1CFB52" w:rsidR="008D3B35" w:rsidRPr="00685239" w:rsidRDefault="00AB4978" w:rsidP="00685239">
      <w:pPr>
        <w:pStyle w:val="Sraopastraipa"/>
        <w:numPr>
          <w:ilvl w:val="0"/>
          <w:numId w:val="3"/>
        </w:numPr>
        <w:spacing w:line="260" w:lineRule="exact"/>
        <w:ind w:left="567" w:right="-2" w:hanging="567"/>
        <w:rPr>
          <w:sz w:val="22"/>
          <w:szCs w:val="24"/>
        </w:rPr>
      </w:pPr>
      <w:r w:rsidRPr="00685239">
        <w:rPr>
          <w:sz w:val="22"/>
          <w:szCs w:val="24"/>
        </w:rPr>
        <w:t>Jeigu kiltų daugiau klausimų, kreipkitės į gydytoją arba vaistininką.</w:t>
      </w:r>
    </w:p>
    <w:p w14:paraId="1AF55C96" w14:textId="2BD67784" w:rsidR="008D3B35" w:rsidRPr="00685239" w:rsidRDefault="00AB4978" w:rsidP="00685239">
      <w:pPr>
        <w:pStyle w:val="Sraopastraipa"/>
        <w:numPr>
          <w:ilvl w:val="0"/>
          <w:numId w:val="3"/>
        </w:numPr>
        <w:ind w:left="567" w:right="-2" w:hanging="567"/>
        <w:rPr>
          <w:sz w:val="22"/>
          <w:szCs w:val="24"/>
        </w:rPr>
      </w:pPr>
      <w:r w:rsidRPr="00685239">
        <w:rPr>
          <w:sz w:val="22"/>
          <w:szCs w:val="24"/>
        </w:rPr>
        <w:t>Šis vaistas skirtas tik Jums, todėl kitiems žmonėms jo duoti negalima. Vaistas gali jiems pakenkti (net tiems, kurių ligos požymiai yra tokie patys kaip Jūsų).</w:t>
      </w:r>
    </w:p>
    <w:p w14:paraId="51ED95B2" w14:textId="53F125FC" w:rsidR="008D3B35" w:rsidRPr="00685239" w:rsidRDefault="00AB4978" w:rsidP="00685239">
      <w:pPr>
        <w:pStyle w:val="Sraopastraipa"/>
        <w:numPr>
          <w:ilvl w:val="0"/>
          <w:numId w:val="3"/>
        </w:numPr>
        <w:spacing w:line="260" w:lineRule="exact"/>
        <w:ind w:left="567" w:hanging="567"/>
        <w:rPr>
          <w:sz w:val="22"/>
          <w:szCs w:val="24"/>
        </w:rPr>
      </w:pPr>
      <w:r w:rsidRPr="00685239">
        <w:rPr>
          <w:sz w:val="22"/>
          <w:szCs w:val="24"/>
        </w:rPr>
        <w:t>Jeigu pasireiškė šalutinis poveikis (net jeigu jis šiame lapelyje nenurodytas), kreipkitės į gydytoją arba vaistininką. Žr.</w:t>
      </w:r>
      <w:r w:rsidR="00685239" w:rsidRPr="00685239">
        <w:rPr>
          <w:sz w:val="22"/>
          <w:szCs w:val="24"/>
        </w:rPr>
        <w:t> </w:t>
      </w:r>
      <w:r w:rsidRPr="00685239">
        <w:rPr>
          <w:sz w:val="22"/>
          <w:szCs w:val="24"/>
        </w:rPr>
        <w:t>4</w:t>
      </w:r>
      <w:r w:rsidR="00685239" w:rsidRPr="00685239">
        <w:rPr>
          <w:sz w:val="22"/>
          <w:szCs w:val="24"/>
        </w:rPr>
        <w:t> </w:t>
      </w:r>
      <w:r w:rsidRPr="00685239">
        <w:rPr>
          <w:sz w:val="22"/>
          <w:szCs w:val="24"/>
        </w:rPr>
        <w:t>skyrių.</w:t>
      </w:r>
    </w:p>
    <w:p w14:paraId="1EA1B4DE" w14:textId="4743FDFF" w:rsidR="007D624A" w:rsidRPr="00685239" w:rsidRDefault="007D624A" w:rsidP="00685239">
      <w:pPr>
        <w:pStyle w:val="Sraopastraipa"/>
        <w:numPr>
          <w:ilvl w:val="0"/>
          <w:numId w:val="3"/>
        </w:numPr>
        <w:spacing w:line="260" w:lineRule="exact"/>
        <w:ind w:left="567" w:hanging="567"/>
        <w:rPr>
          <w:sz w:val="22"/>
          <w:szCs w:val="24"/>
        </w:rPr>
      </w:pPr>
      <w:r w:rsidRPr="00685239">
        <w:rPr>
          <w:sz w:val="22"/>
          <w:szCs w:val="24"/>
        </w:rPr>
        <w:t>Šiame pakuotės lapelyje pateikta informacija skirta Jums arba Jūsų vaikui, tačiau pakuotės lapelyje bus tiesiog parašyta „Jūs“.</w:t>
      </w:r>
    </w:p>
    <w:p w14:paraId="2294B824" w14:textId="77777777" w:rsidR="008D3B35" w:rsidRPr="003F564F" w:rsidRDefault="008D3B35">
      <w:pPr>
        <w:ind w:right="-2"/>
        <w:rPr>
          <w:sz w:val="22"/>
          <w:szCs w:val="24"/>
        </w:rPr>
      </w:pPr>
    </w:p>
    <w:p w14:paraId="16481B8B" w14:textId="77777777" w:rsidR="008D3B35" w:rsidRPr="003F564F" w:rsidRDefault="00AB4978">
      <w:pPr>
        <w:keepNext/>
        <w:tabs>
          <w:tab w:val="left" w:pos="567"/>
        </w:tabs>
        <w:spacing w:line="260" w:lineRule="exact"/>
        <w:jc w:val="both"/>
        <w:outlineLvl w:val="3"/>
        <w:rPr>
          <w:b/>
          <w:bCs/>
          <w:sz w:val="22"/>
          <w:szCs w:val="28"/>
          <w:lang w:eastAsia="x-none"/>
        </w:rPr>
      </w:pPr>
      <w:r w:rsidRPr="003F564F">
        <w:rPr>
          <w:b/>
          <w:bCs/>
          <w:sz w:val="22"/>
          <w:szCs w:val="28"/>
          <w:lang w:eastAsia="x-none"/>
        </w:rPr>
        <w:t>Apie ką rašoma šiame lapelyje?</w:t>
      </w:r>
    </w:p>
    <w:p w14:paraId="67557218" w14:textId="77777777" w:rsidR="008D3B35" w:rsidRPr="003F564F" w:rsidRDefault="008D3B35">
      <w:pPr>
        <w:numPr>
          <w:ilvl w:val="12"/>
          <w:numId w:val="0"/>
        </w:numPr>
        <w:ind w:left="284" w:right="-2"/>
        <w:rPr>
          <w:sz w:val="22"/>
          <w:szCs w:val="24"/>
        </w:rPr>
      </w:pPr>
    </w:p>
    <w:p w14:paraId="5406F150" w14:textId="2F337F68" w:rsidR="008D3B35" w:rsidRPr="003F564F" w:rsidRDefault="00AB4978">
      <w:pPr>
        <w:numPr>
          <w:ilvl w:val="12"/>
          <w:numId w:val="0"/>
        </w:numPr>
        <w:tabs>
          <w:tab w:val="left" w:pos="709"/>
        </w:tabs>
        <w:ind w:right="-2"/>
        <w:rPr>
          <w:sz w:val="22"/>
          <w:szCs w:val="24"/>
        </w:rPr>
      </w:pPr>
      <w:r w:rsidRPr="003F564F">
        <w:rPr>
          <w:sz w:val="22"/>
          <w:szCs w:val="24"/>
        </w:rPr>
        <w:t>1.</w:t>
      </w:r>
      <w:r w:rsidRPr="003F564F">
        <w:rPr>
          <w:sz w:val="22"/>
          <w:szCs w:val="24"/>
        </w:rPr>
        <w:tab/>
      </w:r>
      <w:r w:rsidRPr="003F564F">
        <w:rPr>
          <w:sz w:val="22"/>
        </w:rPr>
        <w:t xml:space="preserve">Kas yra </w:t>
      </w:r>
      <w:proofErr w:type="spellStart"/>
      <w:r w:rsidR="008B09E3">
        <w:rPr>
          <w:sz w:val="22"/>
        </w:rPr>
        <w:t>Ruxolitinib</w:t>
      </w:r>
      <w:proofErr w:type="spellEnd"/>
      <w:r w:rsidR="008B09E3">
        <w:rPr>
          <w:sz w:val="22"/>
        </w:rPr>
        <w:t xml:space="preserve"> </w:t>
      </w:r>
      <w:proofErr w:type="spellStart"/>
      <w:r w:rsidR="008B09E3">
        <w:rPr>
          <w:sz w:val="22"/>
        </w:rPr>
        <w:t>Sandoz</w:t>
      </w:r>
      <w:proofErr w:type="spellEnd"/>
      <w:r w:rsidRPr="003F564F">
        <w:rPr>
          <w:sz w:val="22"/>
        </w:rPr>
        <w:t xml:space="preserve"> ir kam jis vartojamas</w:t>
      </w:r>
    </w:p>
    <w:p w14:paraId="296467CD" w14:textId="7E089EC3" w:rsidR="008D3B35" w:rsidRPr="003F564F" w:rsidRDefault="00AB4978">
      <w:pPr>
        <w:numPr>
          <w:ilvl w:val="12"/>
          <w:numId w:val="0"/>
        </w:numPr>
        <w:tabs>
          <w:tab w:val="left" w:pos="709"/>
        </w:tabs>
        <w:ind w:right="-2"/>
        <w:rPr>
          <w:sz w:val="22"/>
          <w:szCs w:val="24"/>
        </w:rPr>
      </w:pPr>
      <w:r w:rsidRPr="003F564F">
        <w:rPr>
          <w:sz w:val="22"/>
          <w:szCs w:val="24"/>
        </w:rPr>
        <w:t>2.</w:t>
      </w:r>
      <w:r w:rsidRPr="003F564F">
        <w:rPr>
          <w:sz w:val="22"/>
          <w:szCs w:val="24"/>
        </w:rPr>
        <w:tab/>
        <w:t xml:space="preserve">Kas žinotina prieš vartojant </w:t>
      </w:r>
      <w:proofErr w:type="spellStart"/>
      <w:r w:rsidR="008B09E3">
        <w:rPr>
          <w:sz w:val="22"/>
          <w:szCs w:val="24"/>
        </w:rPr>
        <w:t>Ruxolitinib</w:t>
      </w:r>
      <w:proofErr w:type="spellEnd"/>
      <w:r w:rsidR="008B09E3">
        <w:rPr>
          <w:sz w:val="22"/>
          <w:szCs w:val="24"/>
        </w:rPr>
        <w:t xml:space="preserve"> </w:t>
      </w:r>
      <w:proofErr w:type="spellStart"/>
      <w:r w:rsidR="008B09E3">
        <w:rPr>
          <w:sz w:val="22"/>
          <w:szCs w:val="24"/>
        </w:rPr>
        <w:t>Sandoz</w:t>
      </w:r>
      <w:proofErr w:type="spellEnd"/>
    </w:p>
    <w:p w14:paraId="0BEEDFDE" w14:textId="7305A691" w:rsidR="008D3B35" w:rsidRPr="003F564F" w:rsidRDefault="00AB4978">
      <w:pPr>
        <w:numPr>
          <w:ilvl w:val="12"/>
          <w:numId w:val="0"/>
        </w:numPr>
        <w:tabs>
          <w:tab w:val="left" w:pos="709"/>
        </w:tabs>
        <w:ind w:right="-2"/>
        <w:rPr>
          <w:sz w:val="22"/>
          <w:szCs w:val="24"/>
        </w:rPr>
      </w:pPr>
      <w:r w:rsidRPr="003F564F">
        <w:rPr>
          <w:sz w:val="22"/>
          <w:szCs w:val="24"/>
        </w:rPr>
        <w:t>3.</w:t>
      </w:r>
      <w:r w:rsidRPr="003F564F">
        <w:rPr>
          <w:sz w:val="22"/>
          <w:szCs w:val="24"/>
        </w:rPr>
        <w:tab/>
        <w:t xml:space="preserve">Kaip vartoti </w:t>
      </w:r>
      <w:proofErr w:type="spellStart"/>
      <w:r w:rsidR="008B09E3">
        <w:rPr>
          <w:sz w:val="22"/>
          <w:szCs w:val="24"/>
        </w:rPr>
        <w:t>Ruxolitinib</w:t>
      </w:r>
      <w:proofErr w:type="spellEnd"/>
      <w:r w:rsidR="008B09E3">
        <w:rPr>
          <w:sz w:val="22"/>
          <w:szCs w:val="24"/>
        </w:rPr>
        <w:t xml:space="preserve"> </w:t>
      </w:r>
      <w:proofErr w:type="spellStart"/>
      <w:r w:rsidR="008B09E3">
        <w:rPr>
          <w:sz w:val="22"/>
          <w:szCs w:val="24"/>
        </w:rPr>
        <w:t>Sandoz</w:t>
      </w:r>
      <w:proofErr w:type="spellEnd"/>
    </w:p>
    <w:p w14:paraId="660F0A8F" w14:textId="5B4D1BA5" w:rsidR="008D3B35" w:rsidRPr="003F564F" w:rsidRDefault="00AB4978">
      <w:pPr>
        <w:numPr>
          <w:ilvl w:val="12"/>
          <w:numId w:val="0"/>
        </w:numPr>
        <w:tabs>
          <w:tab w:val="left" w:pos="709"/>
        </w:tabs>
        <w:ind w:right="-2"/>
        <w:rPr>
          <w:sz w:val="22"/>
          <w:szCs w:val="24"/>
        </w:rPr>
      </w:pPr>
      <w:r w:rsidRPr="003F564F">
        <w:rPr>
          <w:sz w:val="22"/>
          <w:szCs w:val="24"/>
        </w:rPr>
        <w:t>4.</w:t>
      </w:r>
      <w:r w:rsidRPr="003F564F">
        <w:rPr>
          <w:sz w:val="22"/>
          <w:szCs w:val="24"/>
        </w:rPr>
        <w:tab/>
      </w:r>
      <w:r w:rsidRPr="003F564F">
        <w:rPr>
          <w:sz w:val="22"/>
        </w:rPr>
        <w:t>Galimas šalutinis poveikis</w:t>
      </w:r>
    </w:p>
    <w:p w14:paraId="6A14F1A7" w14:textId="7004387C" w:rsidR="008D3B35" w:rsidRPr="003F564F" w:rsidRDefault="00AB4978">
      <w:pPr>
        <w:numPr>
          <w:ilvl w:val="12"/>
          <w:numId w:val="0"/>
        </w:numPr>
        <w:tabs>
          <w:tab w:val="left" w:pos="709"/>
        </w:tabs>
        <w:ind w:right="-2"/>
        <w:rPr>
          <w:sz w:val="22"/>
          <w:szCs w:val="24"/>
        </w:rPr>
      </w:pPr>
      <w:r w:rsidRPr="003F564F">
        <w:rPr>
          <w:sz w:val="22"/>
          <w:szCs w:val="24"/>
        </w:rPr>
        <w:t>5.</w:t>
      </w:r>
      <w:r w:rsidRPr="003F564F">
        <w:rPr>
          <w:sz w:val="22"/>
          <w:szCs w:val="24"/>
        </w:rPr>
        <w:tab/>
      </w:r>
      <w:r w:rsidRPr="003F564F">
        <w:rPr>
          <w:sz w:val="22"/>
        </w:rPr>
        <w:t xml:space="preserve">Kaip laikyti </w:t>
      </w:r>
      <w:proofErr w:type="spellStart"/>
      <w:r w:rsidR="008B09E3">
        <w:rPr>
          <w:sz w:val="22"/>
        </w:rPr>
        <w:t>Ruxolitinib</w:t>
      </w:r>
      <w:proofErr w:type="spellEnd"/>
      <w:r w:rsidR="008B09E3">
        <w:rPr>
          <w:sz w:val="22"/>
        </w:rPr>
        <w:t xml:space="preserve"> </w:t>
      </w:r>
      <w:proofErr w:type="spellStart"/>
      <w:r w:rsidR="008B09E3">
        <w:rPr>
          <w:sz w:val="22"/>
        </w:rPr>
        <w:t>Sandoz</w:t>
      </w:r>
      <w:proofErr w:type="spellEnd"/>
    </w:p>
    <w:p w14:paraId="40878E7A" w14:textId="77777777" w:rsidR="008D3B35" w:rsidRPr="003F564F" w:rsidRDefault="00AB4978">
      <w:pPr>
        <w:numPr>
          <w:ilvl w:val="12"/>
          <w:numId w:val="0"/>
        </w:numPr>
        <w:tabs>
          <w:tab w:val="left" w:pos="709"/>
        </w:tabs>
        <w:ind w:right="-2"/>
        <w:rPr>
          <w:sz w:val="22"/>
          <w:szCs w:val="24"/>
        </w:rPr>
      </w:pPr>
      <w:r w:rsidRPr="003F564F">
        <w:rPr>
          <w:sz w:val="22"/>
          <w:szCs w:val="24"/>
        </w:rPr>
        <w:t>6.</w:t>
      </w:r>
      <w:r w:rsidRPr="003F564F">
        <w:rPr>
          <w:sz w:val="22"/>
          <w:szCs w:val="24"/>
        </w:rPr>
        <w:tab/>
        <w:t>Pakuotės turinys ir kita informacija</w:t>
      </w:r>
    </w:p>
    <w:p w14:paraId="2B71ACFF" w14:textId="77777777" w:rsidR="008D3B35" w:rsidRPr="003F564F" w:rsidRDefault="008D3B35">
      <w:pPr>
        <w:numPr>
          <w:ilvl w:val="12"/>
          <w:numId w:val="0"/>
        </w:numPr>
        <w:ind w:right="-2"/>
        <w:rPr>
          <w:sz w:val="22"/>
          <w:szCs w:val="24"/>
        </w:rPr>
      </w:pPr>
    </w:p>
    <w:p w14:paraId="430681D6" w14:textId="77777777" w:rsidR="008D3B35" w:rsidRPr="003F564F" w:rsidRDefault="008D3B35">
      <w:pPr>
        <w:numPr>
          <w:ilvl w:val="12"/>
          <w:numId w:val="0"/>
        </w:numPr>
        <w:ind w:right="-2"/>
        <w:rPr>
          <w:sz w:val="22"/>
          <w:szCs w:val="24"/>
        </w:rPr>
      </w:pPr>
    </w:p>
    <w:p w14:paraId="6BAFC85B" w14:textId="7C86B6E4" w:rsidR="008D3B35" w:rsidRPr="003F564F" w:rsidRDefault="00AB4978">
      <w:pPr>
        <w:keepNext/>
        <w:tabs>
          <w:tab w:val="left" w:pos="567"/>
        </w:tabs>
        <w:spacing w:line="260" w:lineRule="exact"/>
        <w:jc w:val="both"/>
        <w:outlineLvl w:val="3"/>
        <w:rPr>
          <w:b/>
          <w:bCs/>
          <w:sz w:val="22"/>
          <w:szCs w:val="28"/>
          <w:lang w:eastAsia="x-none"/>
        </w:rPr>
      </w:pPr>
      <w:r w:rsidRPr="003F564F">
        <w:rPr>
          <w:b/>
          <w:bCs/>
          <w:sz w:val="22"/>
          <w:szCs w:val="28"/>
          <w:lang w:eastAsia="x-none"/>
        </w:rPr>
        <w:t>1.</w:t>
      </w:r>
      <w:r w:rsidRPr="003F564F">
        <w:rPr>
          <w:b/>
          <w:bCs/>
          <w:sz w:val="22"/>
          <w:szCs w:val="28"/>
          <w:lang w:eastAsia="x-none"/>
        </w:rPr>
        <w:tab/>
        <w:t xml:space="preserve">Kas yra </w:t>
      </w:r>
      <w:proofErr w:type="spellStart"/>
      <w:r w:rsidR="008B09E3">
        <w:rPr>
          <w:b/>
          <w:bCs/>
          <w:sz w:val="22"/>
          <w:szCs w:val="28"/>
          <w:lang w:eastAsia="x-none"/>
        </w:rPr>
        <w:t>Ruxolitinib</w:t>
      </w:r>
      <w:proofErr w:type="spellEnd"/>
      <w:r w:rsidR="008B09E3">
        <w:rPr>
          <w:b/>
          <w:bCs/>
          <w:sz w:val="22"/>
          <w:szCs w:val="28"/>
          <w:lang w:eastAsia="x-none"/>
        </w:rPr>
        <w:t xml:space="preserve"> </w:t>
      </w:r>
      <w:proofErr w:type="spellStart"/>
      <w:r w:rsidR="008B09E3">
        <w:rPr>
          <w:b/>
          <w:bCs/>
          <w:sz w:val="22"/>
          <w:szCs w:val="28"/>
          <w:lang w:eastAsia="x-none"/>
        </w:rPr>
        <w:t>Sandoz</w:t>
      </w:r>
      <w:proofErr w:type="spellEnd"/>
      <w:r w:rsidRPr="003F564F">
        <w:rPr>
          <w:b/>
          <w:bCs/>
          <w:sz w:val="22"/>
          <w:szCs w:val="28"/>
          <w:lang w:eastAsia="x-none"/>
        </w:rPr>
        <w:t xml:space="preserve"> ir kam jis vartojamas</w:t>
      </w:r>
    </w:p>
    <w:p w14:paraId="51A62E30" w14:textId="77777777" w:rsidR="008D3B35" w:rsidRPr="003F564F" w:rsidRDefault="008D3B35">
      <w:pPr>
        <w:numPr>
          <w:ilvl w:val="12"/>
          <w:numId w:val="0"/>
        </w:numPr>
        <w:ind w:right="-2"/>
        <w:rPr>
          <w:sz w:val="22"/>
          <w:szCs w:val="24"/>
        </w:rPr>
      </w:pPr>
    </w:p>
    <w:p w14:paraId="134CBCEE" w14:textId="7DB020EE" w:rsidR="00B341E8" w:rsidRPr="003F564F" w:rsidRDefault="008B09E3" w:rsidP="00B341E8">
      <w:pPr>
        <w:numPr>
          <w:ilvl w:val="12"/>
          <w:numId w:val="0"/>
        </w:numPr>
        <w:ind w:right="-2"/>
        <w:rPr>
          <w:sz w:val="22"/>
        </w:rPr>
      </w:pPr>
      <w:proofErr w:type="spellStart"/>
      <w:r>
        <w:rPr>
          <w:sz w:val="22"/>
        </w:rPr>
        <w:t>Ruxolitinib</w:t>
      </w:r>
      <w:proofErr w:type="spellEnd"/>
      <w:r>
        <w:rPr>
          <w:sz w:val="22"/>
        </w:rPr>
        <w:t xml:space="preserve"> </w:t>
      </w:r>
      <w:proofErr w:type="spellStart"/>
      <w:r>
        <w:rPr>
          <w:sz w:val="22"/>
        </w:rPr>
        <w:t>Sandoz</w:t>
      </w:r>
      <w:proofErr w:type="spellEnd"/>
      <w:r w:rsidR="00B341E8" w:rsidRPr="003F564F">
        <w:rPr>
          <w:sz w:val="22"/>
        </w:rPr>
        <w:t xml:space="preserve"> sudėtyje yra veikliosios medžiagos </w:t>
      </w:r>
      <w:proofErr w:type="spellStart"/>
      <w:r w:rsidR="00B341E8" w:rsidRPr="003F564F">
        <w:rPr>
          <w:sz w:val="22"/>
        </w:rPr>
        <w:t>ruksolitinibo</w:t>
      </w:r>
      <w:proofErr w:type="spellEnd"/>
      <w:r w:rsidR="00B341E8" w:rsidRPr="003F564F">
        <w:rPr>
          <w:sz w:val="22"/>
        </w:rPr>
        <w:t>.</w:t>
      </w:r>
    </w:p>
    <w:p w14:paraId="54F046D6" w14:textId="77777777" w:rsidR="00B341E8" w:rsidRPr="003F564F" w:rsidRDefault="00B341E8" w:rsidP="00B341E8">
      <w:pPr>
        <w:numPr>
          <w:ilvl w:val="12"/>
          <w:numId w:val="0"/>
        </w:numPr>
        <w:ind w:right="-2"/>
        <w:rPr>
          <w:sz w:val="22"/>
        </w:rPr>
      </w:pPr>
    </w:p>
    <w:p w14:paraId="3E56AE6F" w14:textId="4921EE4C" w:rsidR="00B341E8" w:rsidRPr="003F564F" w:rsidRDefault="008B09E3" w:rsidP="00B341E8">
      <w:pPr>
        <w:numPr>
          <w:ilvl w:val="12"/>
          <w:numId w:val="0"/>
        </w:numPr>
        <w:ind w:right="-2"/>
        <w:rPr>
          <w:sz w:val="22"/>
        </w:rPr>
      </w:pPr>
      <w:proofErr w:type="spellStart"/>
      <w:r>
        <w:rPr>
          <w:sz w:val="22"/>
        </w:rPr>
        <w:t>Ruxolitinib</w:t>
      </w:r>
      <w:proofErr w:type="spellEnd"/>
      <w:r>
        <w:rPr>
          <w:sz w:val="22"/>
        </w:rPr>
        <w:t xml:space="preserve"> </w:t>
      </w:r>
      <w:proofErr w:type="spellStart"/>
      <w:r>
        <w:rPr>
          <w:sz w:val="22"/>
        </w:rPr>
        <w:t>Sandoz</w:t>
      </w:r>
      <w:proofErr w:type="spellEnd"/>
      <w:r w:rsidR="00B341E8" w:rsidRPr="003F564F">
        <w:rPr>
          <w:sz w:val="22"/>
        </w:rPr>
        <w:t xml:space="preserve"> skiriamas gydyti suaugusiems pacientams, kurie serga </w:t>
      </w:r>
      <w:proofErr w:type="spellStart"/>
      <w:r w:rsidR="00B341E8" w:rsidRPr="003F564F">
        <w:rPr>
          <w:sz w:val="22"/>
        </w:rPr>
        <w:t>mielofibroze</w:t>
      </w:r>
      <w:proofErr w:type="spellEnd"/>
      <w:r w:rsidR="00B341E8" w:rsidRPr="003F564F">
        <w:rPr>
          <w:sz w:val="22"/>
        </w:rPr>
        <w:t xml:space="preserve"> (reta kraujo vėžio forma) ir kuriems padidėjusi blužnis ar yra su šia liga susijusių simptomų.</w:t>
      </w:r>
    </w:p>
    <w:p w14:paraId="75074B26" w14:textId="77777777" w:rsidR="00B341E8" w:rsidRPr="003F564F" w:rsidRDefault="00B341E8" w:rsidP="00B341E8">
      <w:pPr>
        <w:numPr>
          <w:ilvl w:val="12"/>
          <w:numId w:val="0"/>
        </w:numPr>
        <w:ind w:right="-2"/>
        <w:rPr>
          <w:sz w:val="22"/>
        </w:rPr>
      </w:pPr>
    </w:p>
    <w:p w14:paraId="170C4591" w14:textId="195F1168" w:rsidR="00B341E8" w:rsidRPr="003F564F" w:rsidRDefault="008B09E3" w:rsidP="00B341E8">
      <w:pPr>
        <w:numPr>
          <w:ilvl w:val="12"/>
          <w:numId w:val="0"/>
        </w:numPr>
        <w:ind w:right="-2"/>
        <w:rPr>
          <w:sz w:val="22"/>
        </w:rPr>
      </w:pPr>
      <w:proofErr w:type="spellStart"/>
      <w:r>
        <w:rPr>
          <w:sz w:val="22"/>
        </w:rPr>
        <w:t>Ruxolitinib</w:t>
      </w:r>
      <w:proofErr w:type="spellEnd"/>
      <w:r>
        <w:rPr>
          <w:sz w:val="22"/>
        </w:rPr>
        <w:t xml:space="preserve"> </w:t>
      </w:r>
      <w:proofErr w:type="spellStart"/>
      <w:r>
        <w:rPr>
          <w:sz w:val="22"/>
        </w:rPr>
        <w:t>Sandoz</w:t>
      </w:r>
      <w:proofErr w:type="spellEnd"/>
      <w:r w:rsidR="00B341E8" w:rsidRPr="003F564F">
        <w:rPr>
          <w:sz w:val="22"/>
        </w:rPr>
        <w:t xml:space="preserve"> taip pat vartojamas gydyti tikrąja </w:t>
      </w:r>
      <w:proofErr w:type="spellStart"/>
      <w:r w:rsidR="00B341E8" w:rsidRPr="003F564F">
        <w:rPr>
          <w:sz w:val="22"/>
        </w:rPr>
        <w:t>policitemija</w:t>
      </w:r>
      <w:proofErr w:type="spellEnd"/>
      <w:r w:rsidR="00B341E8" w:rsidRPr="003F564F">
        <w:rPr>
          <w:sz w:val="22"/>
        </w:rPr>
        <w:t xml:space="preserve"> sergančius suaugusius pacientus, kuriems pasireiškia atsparumas </w:t>
      </w:r>
      <w:proofErr w:type="spellStart"/>
      <w:r w:rsidR="00B341E8" w:rsidRPr="003F564F">
        <w:rPr>
          <w:sz w:val="22"/>
        </w:rPr>
        <w:t>hidroksikarbamidui</w:t>
      </w:r>
      <w:proofErr w:type="spellEnd"/>
      <w:r w:rsidR="00B341E8" w:rsidRPr="003F564F">
        <w:rPr>
          <w:sz w:val="22"/>
        </w:rPr>
        <w:t xml:space="preserve"> ar kurie netoleruoja šio vaisto.</w:t>
      </w:r>
    </w:p>
    <w:p w14:paraId="6E72C38E" w14:textId="77777777" w:rsidR="00B341E8" w:rsidRPr="003F564F" w:rsidRDefault="00B341E8" w:rsidP="00B341E8">
      <w:pPr>
        <w:numPr>
          <w:ilvl w:val="12"/>
          <w:numId w:val="0"/>
        </w:numPr>
        <w:ind w:right="-2"/>
        <w:rPr>
          <w:sz w:val="22"/>
        </w:rPr>
      </w:pPr>
    </w:p>
    <w:p w14:paraId="4CD58299" w14:textId="70AF7BCB" w:rsidR="00B341E8" w:rsidRPr="003F564F" w:rsidRDefault="008B09E3" w:rsidP="00B341E8">
      <w:pPr>
        <w:numPr>
          <w:ilvl w:val="12"/>
          <w:numId w:val="0"/>
        </w:numPr>
        <w:ind w:right="-2"/>
        <w:rPr>
          <w:sz w:val="22"/>
        </w:rPr>
      </w:pPr>
      <w:proofErr w:type="spellStart"/>
      <w:r>
        <w:rPr>
          <w:sz w:val="22"/>
        </w:rPr>
        <w:t>Ruxolitinib</w:t>
      </w:r>
      <w:proofErr w:type="spellEnd"/>
      <w:r>
        <w:rPr>
          <w:sz w:val="22"/>
        </w:rPr>
        <w:t xml:space="preserve"> </w:t>
      </w:r>
      <w:proofErr w:type="spellStart"/>
      <w:r>
        <w:rPr>
          <w:sz w:val="22"/>
        </w:rPr>
        <w:t>Sandoz</w:t>
      </w:r>
      <w:proofErr w:type="spellEnd"/>
      <w:r w:rsidR="00B341E8" w:rsidRPr="003F564F">
        <w:rPr>
          <w:sz w:val="22"/>
        </w:rPr>
        <w:t xml:space="preserve"> taip pat vartojamas gydymui:</w:t>
      </w:r>
    </w:p>
    <w:p w14:paraId="3A153477" w14:textId="78FEB78A" w:rsidR="00B341E8" w:rsidRPr="004A3318" w:rsidRDefault="00B341E8" w:rsidP="004A3318">
      <w:pPr>
        <w:pStyle w:val="Sraopastraipa"/>
        <w:numPr>
          <w:ilvl w:val="0"/>
          <w:numId w:val="5"/>
        </w:numPr>
        <w:ind w:left="567" w:right="-2" w:hanging="567"/>
        <w:rPr>
          <w:sz w:val="22"/>
        </w:rPr>
      </w:pPr>
      <w:r w:rsidRPr="004A3318">
        <w:rPr>
          <w:sz w:val="22"/>
        </w:rPr>
        <w:t>28</w:t>
      </w:r>
      <w:r w:rsidR="004A3318">
        <w:rPr>
          <w:sz w:val="22"/>
        </w:rPr>
        <w:t> </w:t>
      </w:r>
      <w:r w:rsidRPr="004A3318">
        <w:rPr>
          <w:sz w:val="22"/>
        </w:rPr>
        <w:t xml:space="preserve">dienų ir vyresnių vaikų bei suaugusių pacientų, kuriems nustatyta ūminė </w:t>
      </w:r>
      <w:proofErr w:type="spellStart"/>
      <w:r w:rsidRPr="004A3318">
        <w:rPr>
          <w:sz w:val="22"/>
        </w:rPr>
        <w:t>transplantato</w:t>
      </w:r>
      <w:proofErr w:type="spellEnd"/>
      <w:r w:rsidRPr="004A3318">
        <w:rPr>
          <w:sz w:val="22"/>
        </w:rPr>
        <w:t xml:space="preserve"> prieš šeimininką liga (</w:t>
      </w:r>
      <w:proofErr w:type="spellStart"/>
      <w:r w:rsidRPr="004A3318">
        <w:rPr>
          <w:sz w:val="22"/>
        </w:rPr>
        <w:t>TpŠL</w:t>
      </w:r>
      <w:proofErr w:type="spellEnd"/>
      <w:r w:rsidRPr="004A3318">
        <w:rPr>
          <w:sz w:val="22"/>
        </w:rPr>
        <w:t>);</w:t>
      </w:r>
    </w:p>
    <w:p w14:paraId="5A8A98B0" w14:textId="0D17506C" w:rsidR="00B341E8" w:rsidRPr="004A3318" w:rsidRDefault="00B341E8" w:rsidP="004A3318">
      <w:pPr>
        <w:pStyle w:val="Sraopastraipa"/>
        <w:numPr>
          <w:ilvl w:val="0"/>
          <w:numId w:val="5"/>
        </w:numPr>
        <w:ind w:left="567" w:right="-2" w:hanging="567"/>
        <w:rPr>
          <w:sz w:val="22"/>
        </w:rPr>
      </w:pPr>
      <w:r w:rsidRPr="004A3318">
        <w:rPr>
          <w:sz w:val="22"/>
        </w:rPr>
        <w:t>6</w:t>
      </w:r>
      <w:r w:rsidR="004A3318">
        <w:rPr>
          <w:sz w:val="22"/>
        </w:rPr>
        <w:t> </w:t>
      </w:r>
      <w:r w:rsidRPr="004A3318">
        <w:rPr>
          <w:sz w:val="22"/>
        </w:rPr>
        <w:t xml:space="preserve">mėnesių ir vyresnių vaikų bei suaugusių pacientų, kuriems nustatyta lėtinė </w:t>
      </w:r>
      <w:proofErr w:type="spellStart"/>
      <w:r w:rsidRPr="004A3318">
        <w:rPr>
          <w:sz w:val="22"/>
        </w:rPr>
        <w:t>TpŠL</w:t>
      </w:r>
      <w:proofErr w:type="spellEnd"/>
      <w:r w:rsidRPr="004A3318">
        <w:rPr>
          <w:sz w:val="22"/>
        </w:rPr>
        <w:t>.</w:t>
      </w:r>
    </w:p>
    <w:p w14:paraId="5901B711" w14:textId="11410CA2" w:rsidR="00B341E8" w:rsidRPr="003F564F" w:rsidRDefault="00B341E8" w:rsidP="00B341E8">
      <w:pPr>
        <w:numPr>
          <w:ilvl w:val="12"/>
          <w:numId w:val="0"/>
        </w:numPr>
        <w:ind w:right="-2"/>
        <w:rPr>
          <w:sz w:val="22"/>
        </w:rPr>
      </w:pPr>
      <w:r w:rsidRPr="003F564F">
        <w:rPr>
          <w:sz w:val="22"/>
        </w:rPr>
        <w:t xml:space="preserve">Yra dvi </w:t>
      </w:r>
      <w:proofErr w:type="spellStart"/>
      <w:r w:rsidRPr="003F564F">
        <w:rPr>
          <w:sz w:val="22"/>
        </w:rPr>
        <w:t>TpŠL</w:t>
      </w:r>
      <w:proofErr w:type="spellEnd"/>
      <w:r w:rsidRPr="003F564F">
        <w:rPr>
          <w:sz w:val="22"/>
        </w:rPr>
        <w:t xml:space="preserve"> formos: ankstyvoji forma, vadinama ūmine </w:t>
      </w:r>
      <w:proofErr w:type="spellStart"/>
      <w:r w:rsidRPr="003F564F">
        <w:rPr>
          <w:sz w:val="22"/>
        </w:rPr>
        <w:t>TpŠL</w:t>
      </w:r>
      <w:proofErr w:type="spellEnd"/>
      <w:r w:rsidRPr="003F564F">
        <w:rPr>
          <w:sz w:val="22"/>
        </w:rPr>
        <w:t xml:space="preserve">, kuri paprastai pasireiškia netrukus po atliktos transplantacijos ir kuri gali pažeisti odą, kepenis bei virškinimo traktą, ir kita forma, vadinama lėtine </w:t>
      </w:r>
      <w:proofErr w:type="spellStart"/>
      <w:r w:rsidRPr="003F564F">
        <w:rPr>
          <w:sz w:val="22"/>
        </w:rPr>
        <w:t>TpŠL</w:t>
      </w:r>
      <w:proofErr w:type="spellEnd"/>
      <w:r w:rsidRPr="003F564F">
        <w:rPr>
          <w:sz w:val="22"/>
        </w:rPr>
        <w:t xml:space="preserve">, kuri pasireiškia vėliau, paprastai po kelių savaičių ar mėnesių po transplantacijos. Lėtinė </w:t>
      </w:r>
      <w:proofErr w:type="spellStart"/>
      <w:r w:rsidRPr="003F564F">
        <w:rPr>
          <w:sz w:val="22"/>
        </w:rPr>
        <w:t>TpŠL</w:t>
      </w:r>
      <w:proofErr w:type="spellEnd"/>
      <w:r w:rsidRPr="003F564F">
        <w:rPr>
          <w:sz w:val="22"/>
        </w:rPr>
        <w:t xml:space="preserve"> gali pažeisti bet kurį organą.</w:t>
      </w:r>
    </w:p>
    <w:p w14:paraId="7935BFFD" w14:textId="77777777" w:rsidR="00B341E8" w:rsidRPr="003F564F" w:rsidRDefault="00B341E8" w:rsidP="00B341E8">
      <w:pPr>
        <w:numPr>
          <w:ilvl w:val="12"/>
          <w:numId w:val="0"/>
        </w:numPr>
        <w:ind w:right="-2"/>
        <w:rPr>
          <w:sz w:val="22"/>
        </w:rPr>
      </w:pPr>
    </w:p>
    <w:p w14:paraId="31D8EEA7" w14:textId="370B3E10" w:rsidR="00B341E8" w:rsidRPr="004A3318" w:rsidRDefault="00B341E8" w:rsidP="00B341E8">
      <w:pPr>
        <w:numPr>
          <w:ilvl w:val="12"/>
          <w:numId w:val="0"/>
        </w:numPr>
        <w:ind w:right="-2"/>
        <w:rPr>
          <w:b/>
          <w:bCs/>
          <w:sz w:val="22"/>
        </w:rPr>
      </w:pPr>
      <w:r w:rsidRPr="004A3318">
        <w:rPr>
          <w:b/>
          <w:bCs/>
          <w:sz w:val="22"/>
        </w:rPr>
        <w:t xml:space="preserve">Kaip </w:t>
      </w:r>
      <w:proofErr w:type="spellStart"/>
      <w:r w:rsidR="008B09E3">
        <w:rPr>
          <w:b/>
          <w:bCs/>
          <w:sz w:val="22"/>
        </w:rPr>
        <w:t>Ruxolitinib</w:t>
      </w:r>
      <w:proofErr w:type="spellEnd"/>
      <w:r w:rsidR="008B09E3">
        <w:rPr>
          <w:b/>
          <w:bCs/>
          <w:sz w:val="22"/>
        </w:rPr>
        <w:t xml:space="preserve"> </w:t>
      </w:r>
      <w:proofErr w:type="spellStart"/>
      <w:r w:rsidR="008B09E3">
        <w:rPr>
          <w:b/>
          <w:bCs/>
          <w:sz w:val="22"/>
        </w:rPr>
        <w:t>Sandoz</w:t>
      </w:r>
      <w:proofErr w:type="spellEnd"/>
      <w:r w:rsidRPr="004A3318">
        <w:rPr>
          <w:b/>
          <w:bCs/>
          <w:sz w:val="22"/>
        </w:rPr>
        <w:t xml:space="preserve"> veikia</w:t>
      </w:r>
    </w:p>
    <w:p w14:paraId="0A3D7DC7" w14:textId="5BA39806" w:rsidR="008D3B35" w:rsidRPr="003F564F" w:rsidRDefault="00B341E8" w:rsidP="00B341E8">
      <w:pPr>
        <w:numPr>
          <w:ilvl w:val="12"/>
          <w:numId w:val="0"/>
        </w:numPr>
        <w:ind w:right="-2"/>
        <w:rPr>
          <w:sz w:val="22"/>
        </w:rPr>
      </w:pPr>
      <w:r w:rsidRPr="003F564F">
        <w:rPr>
          <w:sz w:val="22"/>
        </w:rPr>
        <w:t xml:space="preserve">Vienas iš </w:t>
      </w:r>
      <w:proofErr w:type="spellStart"/>
      <w:r w:rsidRPr="003F564F">
        <w:rPr>
          <w:sz w:val="22"/>
        </w:rPr>
        <w:t>mielofibrozei</w:t>
      </w:r>
      <w:proofErr w:type="spellEnd"/>
      <w:r w:rsidRPr="003F564F">
        <w:rPr>
          <w:sz w:val="22"/>
        </w:rPr>
        <w:t xml:space="preserve"> būdingų požymių yra blužnies padidėjimas. </w:t>
      </w:r>
      <w:proofErr w:type="spellStart"/>
      <w:r w:rsidRPr="003F564F">
        <w:rPr>
          <w:sz w:val="22"/>
        </w:rPr>
        <w:t>Mielofibrozė</w:t>
      </w:r>
      <w:proofErr w:type="spellEnd"/>
      <w:r w:rsidRPr="003F564F">
        <w:rPr>
          <w:sz w:val="22"/>
        </w:rPr>
        <w:t xml:space="preserve"> yra kaulų čiulpų sutrikimas, kurio metu čiulpus pakeičia jungiamasis audinys. Pakitę kaulų čiulpai daugiau nebegali pakankamai pagaminti normalių kraujo ląstelių, dėl to labai padidėja blužnis. </w:t>
      </w:r>
      <w:r w:rsidR="004A3318">
        <w:rPr>
          <w:sz w:val="22"/>
        </w:rPr>
        <w:t>Šis vaistas</w:t>
      </w:r>
      <w:r w:rsidRPr="003F564F">
        <w:rPr>
          <w:sz w:val="22"/>
        </w:rPr>
        <w:t xml:space="preserve"> blokuoja tam tikrų fermentų (vadinamų Janus </w:t>
      </w:r>
      <w:proofErr w:type="spellStart"/>
      <w:r w:rsidRPr="003F564F">
        <w:rPr>
          <w:sz w:val="22"/>
        </w:rPr>
        <w:t>kinazėmis</w:t>
      </w:r>
      <w:proofErr w:type="spellEnd"/>
      <w:r w:rsidRPr="003F564F">
        <w:rPr>
          <w:sz w:val="22"/>
        </w:rPr>
        <w:t xml:space="preserve">) poveikį, todėl gali sumažinti </w:t>
      </w:r>
      <w:proofErr w:type="spellStart"/>
      <w:r w:rsidRPr="003F564F">
        <w:rPr>
          <w:sz w:val="22"/>
        </w:rPr>
        <w:t>mielofibroze</w:t>
      </w:r>
      <w:proofErr w:type="spellEnd"/>
      <w:r w:rsidRPr="003F564F">
        <w:rPr>
          <w:sz w:val="22"/>
        </w:rPr>
        <w:t xml:space="preserve"> sergančių pacientų blužnies dydį ir palengvinti šios ligos simptomus, pavyzdžiui, karščiavimą, prakaitavimą </w:t>
      </w:r>
      <w:r w:rsidRPr="003F564F">
        <w:rPr>
          <w:sz w:val="22"/>
        </w:rPr>
        <w:lastRenderedPageBreak/>
        <w:t xml:space="preserve">naktimis, kaulų skausmą ir kūno svorio sumažėjimą. </w:t>
      </w:r>
      <w:r w:rsidR="004A3318">
        <w:rPr>
          <w:sz w:val="22"/>
        </w:rPr>
        <w:t>Šis vaistas</w:t>
      </w:r>
      <w:r w:rsidR="004A3318" w:rsidRPr="003F564F">
        <w:rPr>
          <w:sz w:val="22"/>
        </w:rPr>
        <w:t xml:space="preserve"> </w:t>
      </w:r>
      <w:r w:rsidRPr="003F564F">
        <w:rPr>
          <w:sz w:val="22"/>
        </w:rPr>
        <w:t>gali padėti sumažinti pavojų pasireikšti sunkiems kraujo sutrikimams ir kraujagyslių komplikacijoms.</w:t>
      </w:r>
    </w:p>
    <w:p w14:paraId="66EF32EE" w14:textId="77777777" w:rsidR="00B341E8" w:rsidRPr="003F564F" w:rsidRDefault="00B341E8" w:rsidP="00B341E8">
      <w:pPr>
        <w:numPr>
          <w:ilvl w:val="12"/>
          <w:numId w:val="0"/>
        </w:numPr>
        <w:ind w:right="-2"/>
        <w:rPr>
          <w:sz w:val="22"/>
          <w:szCs w:val="24"/>
        </w:rPr>
      </w:pPr>
    </w:p>
    <w:p w14:paraId="4C840C2F" w14:textId="2728F14E" w:rsidR="00B341E8" w:rsidRPr="003F564F" w:rsidRDefault="00B341E8" w:rsidP="00B341E8">
      <w:pPr>
        <w:numPr>
          <w:ilvl w:val="12"/>
          <w:numId w:val="0"/>
        </w:numPr>
        <w:ind w:right="-2"/>
        <w:rPr>
          <w:sz w:val="22"/>
          <w:szCs w:val="24"/>
        </w:rPr>
      </w:pPr>
      <w:r w:rsidRPr="003F564F">
        <w:rPr>
          <w:sz w:val="22"/>
          <w:szCs w:val="24"/>
        </w:rPr>
        <w:t xml:space="preserve">Tikroji </w:t>
      </w:r>
      <w:proofErr w:type="spellStart"/>
      <w:r w:rsidRPr="003F564F">
        <w:rPr>
          <w:sz w:val="22"/>
          <w:szCs w:val="24"/>
        </w:rPr>
        <w:t>policitemija</w:t>
      </w:r>
      <w:proofErr w:type="spellEnd"/>
      <w:r w:rsidRPr="003F564F">
        <w:rPr>
          <w:sz w:val="22"/>
          <w:szCs w:val="24"/>
        </w:rPr>
        <w:t xml:space="preserve"> yra kaulų čiulpų funkcijos sutrikimas, kai čiulpuose gaminama per daug raudonųjų kraujo ląstelių. Dėl didesnio raudonųjų kraujo ląstelių skaičiaus kraujas tampa tirštesniu. </w:t>
      </w:r>
      <w:r w:rsidR="004A3318">
        <w:rPr>
          <w:sz w:val="22"/>
        </w:rPr>
        <w:t>Šis vaistas</w:t>
      </w:r>
      <w:r w:rsidR="004A3318" w:rsidRPr="003F564F">
        <w:rPr>
          <w:sz w:val="22"/>
        </w:rPr>
        <w:t xml:space="preserve"> </w:t>
      </w:r>
      <w:r w:rsidRPr="003F564F">
        <w:rPr>
          <w:sz w:val="22"/>
          <w:szCs w:val="24"/>
        </w:rPr>
        <w:t xml:space="preserve">selektyviai blokuoja fermentus, vadinamus Janus </w:t>
      </w:r>
      <w:proofErr w:type="spellStart"/>
      <w:r w:rsidRPr="003F564F">
        <w:rPr>
          <w:sz w:val="22"/>
          <w:szCs w:val="24"/>
        </w:rPr>
        <w:t>kinazėmis</w:t>
      </w:r>
      <w:proofErr w:type="spellEnd"/>
      <w:r w:rsidRPr="003F564F">
        <w:rPr>
          <w:sz w:val="22"/>
          <w:szCs w:val="24"/>
        </w:rPr>
        <w:t xml:space="preserve"> (angl. </w:t>
      </w:r>
      <w:r w:rsidRPr="004A3318">
        <w:rPr>
          <w:i/>
          <w:iCs/>
          <w:sz w:val="22"/>
          <w:szCs w:val="24"/>
        </w:rPr>
        <w:t xml:space="preserve">Janus </w:t>
      </w:r>
      <w:proofErr w:type="spellStart"/>
      <w:r w:rsidRPr="004A3318">
        <w:rPr>
          <w:i/>
          <w:iCs/>
          <w:sz w:val="22"/>
          <w:szCs w:val="24"/>
        </w:rPr>
        <w:t>Associated</w:t>
      </w:r>
      <w:proofErr w:type="spellEnd"/>
      <w:r w:rsidRPr="004A3318">
        <w:rPr>
          <w:i/>
          <w:iCs/>
          <w:sz w:val="22"/>
          <w:szCs w:val="24"/>
        </w:rPr>
        <w:t xml:space="preserve"> </w:t>
      </w:r>
      <w:proofErr w:type="spellStart"/>
      <w:r w:rsidRPr="004A3318">
        <w:rPr>
          <w:i/>
          <w:iCs/>
          <w:sz w:val="22"/>
          <w:szCs w:val="24"/>
        </w:rPr>
        <w:t>Kinases</w:t>
      </w:r>
      <w:proofErr w:type="spellEnd"/>
      <w:r w:rsidRPr="003F564F">
        <w:rPr>
          <w:sz w:val="22"/>
          <w:szCs w:val="24"/>
        </w:rPr>
        <w:t xml:space="preserve">; JAK1 ir JAK2), todėl gali palengvinti tikrąja </w:t>
      </w:r>
      <w:proofErr w:type="spellStart"/>
      <w:r w:rsidRPr="003F564F">
        <w:rPr>
          <w:sz w:val="22"/>
          <w:szCs w:val="24"/>
        </w:rPr>
        <w:t>policitemija</w:t>
      </w:r>
      <w:proofErr w:type="spellEnd"/>
      <w:r w:rsidRPr="003F564F">
        <w:rPr>
          <w:sz w:val="22"/>
          <w:szCs w:val="24"/>
        </w:rPr>
        <w:t xml:space="preserve"> sergančių pacientų patiriamus ligos simptomus, sumažinti jų blužnies dydį ir gaminamų raudonųjų kraujo ląstelių tūrį bei tokiu būdu gali sumažinti sunkių kraujo ar kraujagyslių komplikacijų pasireiškimo riziką.</w:t>
      </w:r>
    </w:p>
    <w:p w14:paraId="6B1C02B2" w14:textId="77777777" w:rsidR="00B341E8" w:rsidRPr="003F564F" w:rsidRDefault="00B341E8" w:rsidP="00B341E8">
      <w:pPr>
        <w:numPr>
          <w:ilvl w:val="12"/>
          <w:numId w:val="0"/>
        </w:numPr>
        <w:ind w:right="-2"/>
        <w:rPr>
          <w:sz w:val="22"/>
          <w:szCs w:val="24"/>
        </w:rPr>
      </w:pPr>
    </w:p>
    <w:p w14:paraId="28618D3A" w14:textId="30EF823A" w:rsidR="00B341E8" w:rsidRPr="003F564F" w:rsidRDefault="00B341E8" w:rsidP="00B341E8">
      <w:pPr>
        <w:numPr>
          <w:ilvl w:val="12"/>
          <w:numId w:val="0"/>
        </w:numPr>
        <w:ind w:right="-2"/>
        <w:rPr>
          <w:sz w:val="22"/>
          <w:szCs w:val="24"/>
        </w:rPr>
      </w:pPr>
      <w:proofErr w:type="spellStart"/>
      <w:r w:rsidRPr="003F564F">
        <w:rPr>
          <w:sz w:val="22"/>
          <w:szCs w:val="24"/>
        </w:rPr>
        <w:t>Transplantato</w:t>
      </w:r>
      <w:proofErr w:type="spellEnd"/>
      <w:r w:rsidRPr="003F564F">
        <w:rPr>
          <w:sz w:val="22"/>
          <w:szCs w:val="24"/>
        </w:rPr>
        <w:t xml:space="preserve"> prieš šeimininką liga yra komplikacija, kuri pasireiškia po transplantacijos, kai donoro audinių (pvz., kaulų čiulpų) specifinės ląstelės (T</w:t>
      </w:r>
      <w:r w:rsidR="004A3318">
        <w:rPr>
          <w:sz w:val="22"/>
          <w:szCs w:val="24"/>
        </w:rPr>
        <w:t> </w:t>
      </w:r>
      <w:r w:rsidRPr="003F564F">
        <w:rPr>
          <w:sz w:val="22"/>
          <w:szCs w:val="24"/>
        </w:rPr>
        <w:t xml:space="preserve">ląstelės) neatpažįsta šeimininko ląstelių ar organų ir juos atakuoja. </w:t>
      </w:r>
      <w:r w:rsidR="004A3318">
        <w:rPr>
          <w:sz w:val="22"/>
        </w:rPr>
        <w:t>Šis vaistas</w:t>
      </w:r>
      <w:r w:rsidR="004A3318" w:rsidRPr="003F564F">
        <w:rPr>
          <w:sz w:val="22"/>
        </w:rPr>
        <w:t xml:space="preserve"> </w:t>
      </w:r>
      <w:r w:rsidRPr="003F564F">
        <w:rPr>
          <w:sz w:val="22"/>
          <w:szCs w:val="24"/>
        </w:rPr>
        <w:t xml:space="preserve">selektyviai blokuoja fermentus, vadinamus Janus </w:t>
      </w:r>
      <w:proofErr w:type="spellStart"/>
      <w:r w:rsidRPr="003F564F">
        <w:rPr>
          <w:sz w:val="22"/>
          <w:szCs w:val="24"/>
        </w:rPr>
        <w:t>kinazėmis</w:t>
      </w:r>
      <w:proofErr w:type="spellEnd"/>
      <w:r w:rsidRPr="003F564F">
        <w:rPr>
          <w:sz w:val="22"/>
          <w:szCs w:val="24"/>
        </w:rPr>
        <w:t xml:space="preserve"> (JAK1 ir JAK2), todėl mažina ūminės ir lėtinės </w:t>
      </w:r>
      <w:proofErr w:type="spellStart"/>
      <w:r w:rsidRPr="003F564F">
        <w:rPr>
          <w:sz w:val="22"/>
          <w:szCs w:val="24"/>
        </w:rPr>
        <w:t>transplantato</w:t>
      </w:r>
      <w:proofErr w:type="spellEnd"/>
      <w:r w:rsidRPr="003F564F">
        <w:rPr>
          <w:sz w:val="22"/>
          <w:szCs w:val="24"/>
        </w:rPr>
        <w:t xml:space="preserve"> prieš šeimininką ligos formų sukeliamus požymius ir simptomus bei tokiu būdu palengvina ligą ir gerina persodintų ląstelių išgyvenamumą.</w:t>
      </w:r>
    </w:p>
    <w:p w14:paraId="208E9040" w14:textId="77777777" w:rsidR="00B341E8" w:rsidRPr="003F564F" w:rsidRDefault="00B341E8" w:rsidP="00B341E8">
      <w:pPr>
        <w:numPr>
          <w:ilvl w:val="12"/>
          <w:numId w:val="0"/>
        </w:numPr>
        <w:ind w:right="-2"/>
        <w:rPr>
          <w:sz w:val="22"/>
          <w:szCs w:val="24"/>
        </w:rPr>
      </w:pPr>
    </w:p>
    <w:p w14:paraId="2BDA77F8" w14:textId="76B52B17" w:rsidR="00B341E8" w:rsidRPr="003F564F" w:rsidRDefault="00B341E8" w:rsidP="00B341E8">
      <w:pPr>
        <w:numPr>
          <w:ilvl w:val="12"/>
          <w:numId w:val="0"/>
        </w:numPr>
        <w:ind w:right="-2"/>
        <w:rPr>
          <w:sz w:val="22"/>
          <w:szCs w:val="24"/>
        </w:rPr>
      </w:pPr>
      <w:r w:rsidRPr="003F564F">
        <w:rPr>
          <w:sz w:val="22"/>
          <w:szCs w:val="24"/>
        </w:rPr>
        <w:t xml:space="preserve">Jeigu turite bet kokių klausimų apie tai, kaip </w:t>
      </w:r>
      <w:proofErr w:type="spellStart"/>
      <w:r w:rsidR="008B09E3">
        <w:rPr>
          <w:sz w:val="22"/>
          <w:szCs w:val="24"/>
        </w:rPr>
        <w:t>Ruxolitinib</w:t>
      </w:r>
      <w:proofErr w:type="spellEnd"/>
      <w:r w:rsidR="008B09E3">
        <w:rPr>
          <w:sz w:val="22"/>
          <w:szCs w:val="24"/>
        </w:rPr>
        <w:t xml:space="preserve"> </w:t>
      </w:r>
      <w:proofErr w:type="spellStart"/>
      <w:r w:rsidR="008B09E3">
        <w:rPr>
          <w:sz w:val="22"/>
          <w:szCs w:val="24"/>
        </w:rPr>
        <w:t>Sandoz</w:t>
      </w:r>
      <w:proofErr w:type="spellEnd"/>
      <w:r w:rsidRPr="003F564F">
        <w:rPr>
          <w:sz w:val="22"/>
          <w:szCs w:val="24"/>
        </w:rPr>
        <w:t xml:space="preserve"> veikia ar kodėl šis vaistas buvo Jums paskirtas, kreipkitės į savo gydytoją.</w:t>
      </w:r>
    </w:p>
    <w:p w14:paraId="740EE746" w14:textId="77777777" w:rsidR="008D3B35" w:rsidRDefault="008D3B35">
      <w:pPr>
        <w:numPr>
          <w:ilvl w:val="12"/>
          <w:numId w:val="0"/>
        </w:numPr>
        <w:ind w:right="-2"/>
        <w:rPr>
          <w:sz w:val="22"/>
          <w:szCs w:val="24"/>
        </w:rPr>
      </w:pPr>
    </w:p>
    <w:p w14:paraId="6CD4D32C" w14:textId="77777777" w:rsidR="004A3318" w:rsidRPr="003F564F" w:rsidRDefault="004A3318">
      <w:pPr>
        <w:numPr>
          <w:ilvl w:val="12"/>
          <w:numId w:val="0"/>
        </w:numPr>
        <w:ind w:right="-2"/>
        <w:rPr>
          <w:sz w:val="22"/>
          <w:szCs w:val="24"/>
        </w:rPr>
      </w:pPr>
    </w:p>
    <w:p w14:paraId="7ACB5A2B" w14:textId="6B2ACAF0" w:rsidR="008D3B35" w:rsidRPr="003F564F" w:rsidRDefault="00AB4978">
      <w:pPr>
        <w:keepNext/>
        <w:tabs>
          <w:tab w:val="left" w:pos="567"/>
        </w:tabs>
        <w:spacing w:line="260" w:lineRule="exact"/>
        <w:jc w:val="both"/>
        <w:outlineLvl w:val="3"/>
        <w:rPr>
          <w:b/>
          <w:bCs/>
          <w:sz w:val="22"/>
          <w:szCs w:val="28"/>
          <w:lang w:eastAsia="x-none"/>
        </w:rPr>
      </w:pPr>
      <w:r w:rsidRPr="003F564F">
        <w:rPr>
          <w:b/>
          <w:bCs/>
          <w:sz w:val="22"/>
          <w:szCs w:val="28"/>
          <w:lang w:eastAsia="x-none"/>
        </w:rPr>
        <w:t>2.</w:t>
      </w:r>
      <w:r w:rsidRPr="003F564F">
        <w:rPr>
          <w:b/>
          <w:bCs/>
          <w:sz w:val="22"/>
          <w:szCs w:val="28"/>
          <w:lang w:eastAsia="x-none"/>
        </w:rPr>
        <w:tab/>
        <w:t xml:space="preserve">Kas žinotina prieš vartojant </w:t>
      </w:r>
      <w:proofErr w:type="spellStart"/>
      <w:r w:rsidR="008B09E3">
        <w:rPr>
          <w:b/>
          <w:bCs/>
          <w:sz w:val="22"/>
          <w:szCs w:val="28"/>
          <w:lang w:eastAsia="x-none"/>
        </w:rPr>
        <w:t>Ruxolitinib</w:t>
      </w:r>
      <w:proofErr w:type="spellEnd"/>
      <w:r w:rsidR="008B09E3">
        <w:rPr>
          <w:b/>
          <w:bCs/>
          <w:sz w:val="22"/>
          <w:szCs w:val="28"/>
          <w:lang w:eastAsia="x-none"/>
        </w:rPr>
        <w:t xml:space="preserve"> </w:t>
      </w:r>
      <w:proofErr w:type="spellStart"/>
      <w:r w:rsidR="008B09E3">
        <w:rPr>
          <w:b/>
          <w:bCs/>
          <w:sz w:val="22"/>
          <w:szCs w:val="28"/>
          <w:lang w:eastAsia="x-none"/>
        </w:rPr>
        <w:t>Sandoz</w:t>
      </w:r>
      <w:proofErr w:type="spellEnd"/>
    </w:p>
    <w:p w14:paraId="664F19A2" w14:textId="77777777" w:rsidR="008D3B35" w:rsidRPr="003F564F" w:rsidRDefault="008D3B35">
      <w:pPr>
        <w:numPr>
          <w:ilvl w:val="12"/>
          <w:numId w:val="0"/>
        </w:numPr>
        <w:ind w:right="-2"/>
        <w:rPr>
          <w:sz w:val="22"/>
          <w:szCs w:val="24"/>
        </w:rPr>
      </w:pPr>
    </w:p>
    <w:p w14:paraId="039738FE" w14:textId="2FF15E2E" w:rsidR="008D3B35" w:rsidRPr="003F564F" w:rsidRDefault="008B09E3">
      <w:pPr>
        <w:keepNext/>
        <w:tabs>
          <w:tab w:val="left" w:pos="567"/>
        </w:tabs>
        <w:spacing w:line="260" w:lineRule="exact"/>
        <w:jc w:val="both"/>
        <w:outlineLvl w:val="3"/>
        <w:rPr>
          <w:b/>
          <w:bCs/>
          <w:sz w:val="22"/>
          <w:szCs w:val="22"/>
          <w:lang w:eastAsia="x-none"/>
        </w:rPr>
      </w:pPr>
      <w:proofErr w:type="spellStart"/>
      <w:r>
        <w:rPr>
          <w:b/>
          <w:bCs/>
          <w:sz w:val="22"/>
          <w:szCs w:val="22"/>
          <w:lang w:eastAsia="x-none"/>
        </w:rPr>
        <w:t>Ruxolitinib</w:t>
      </w:r>
      <w:proofErr w:type="spellEnd"/>
      <w:r>
        <w:rPr>
          <w:b/>
          <w:bCs/>
          <w:sz w:val="22"/>
          <w:szCs w:val="22"/>
          <w:lang w:eastAsia="x-none"/>
        </w:rPr>
        <w:t xml:space="preserve"> </w:t>
      </w:r>
      <w:proofErr w:type="spellStart"/>
      <w:r>
        <w:rPr>
          <w:b/>
          <w:bCs/>
          <w:sz w:val="22"/>
          <w:szCs w:val="22"/>
          <w:lang w:eastAsia="x-none"/>
        </w:rPr>
        <w:t>Sandoz</w:t>
      </w:r>
      <w:proofErr w:type="spellEnd"/>
      <w:r w:rsidR="00AB4978" w:rsidRPr="003F564F">
        <w:rPr>
          <w:b/>
          <w:bCs/>
          <w:sz w:val="22"/>
          <w:szCs w:val="22"/>
          <w:lang w:eastAsia="x-none"/>
        </w:rPr>
        <w:t xml:space="preserve"> vartoti draudžiama:</w:t>
      </w:r>
    </w:p>
    <w:p w14:paraId="5B721348" w14:textId="16C4A7F5" w:rsidR="008D3B35" w:rsidRPr="004A3318" w:rsidRDefault="00AB4978" w:rsidP="004A3318">
      <w:pPr>
        <w:pStyle w:val="Sraopastraipa"/>
        <w:numPr>
          <w:ilvl w:val="0"/>
          <w:numId w:val="6"/>
        </w:numPr>
        <w:ind w:left="567" w:hanging="567"/>
        <w:rPr>
          <w:sz w:val="22"/>
          <w:szCs w:val="24"/>
        </w:rPr>
      </w:pPr>
      <w:r w:rsidRPr="004A3318">
        <w:rPr>
          <w:sz w:val="22"/>
          <w:szCs w:val="24"/>
        </w:rPr>
        <w:t xml:space="preserve">jeigu yra alergija </w:t>
      </w:r>
      <w:proofErr w:type="spellStart"/>
      <w:r w:rsidR="004A3318" w:rsidRPr="004A3318">
        <w:rPr>
          <w:sz w:val="22"/>
          <w:szCs w:val="24"/>
        </w:rPr>
        <w:t>ruksolitinibui</w:t>
      </w:r>
      <w:proofErr w:type="spellEnd"/>
      <w:r w:rsidR="004A3318" w:rsidRPr="004A3318">
        <w:rPr>
          <w:sz w:val="22"/>
          <w:szCs w:val="24"/>
        </w:rPr>
        <w:t xml:space="preserve"> </w:t>
      </w:r>
      <w:r w:rsidRPr="004A3318">
        <w:rPr>
          <w:sz w:val="22"/>
          <w:szCs w:val="24"/>
        </w:rPr>
        <w:t>arba bet kuriai pagalbinei šio vaisto medžiagai (jos išvardytos 6</w:t>
      </w:r>
      <w:r w:rsidR="004A3318" w:rsidRPr="004A3318">
        <w:rPr>
          <w:sz w:val="22"/>
          <w:szCs w:val="24"/>
        </w:rPr>
        <w:t> </w:t>
      </w:r>
      <w:r w:rsidRPr="004A3318">
        <w:rPr>
          <w:sz w:val="22"/>
          <w:szCs w:val="24"/>
        </w:rPr>
        <w:t>skyriuje)</w:t>
      </w:r>
      <w:r w:rsidR="004A3318" w:rsidRPr="004A3318">
        <w:rPr>
          <w:sz w:val="22"/>
          <w:szCs w:val="24"/>
        </w:rPr>
        <w:t>;</w:t>
      </w:r>
    </w:p>
    <w:p w14:paraId="78E9EA97" w14:textId="54E6A076" w:rsidR="00B341E8" w:rsidRPr="004A3318" w:rsidRDefault="00B341E8" w:rsidP="004A3318">
      <w:pPr>
        <w:pStyle w:val="Sraopastraipa"/>
        <w:numPr>
          <w:ilvl w:val="0"/>
          <w:numId w:val="6"/>
        </w:numPr>
        <w:ind w:left="567" w:hanging="567"/>
        <w:rPr>
          <w:sz w:val="22"/>
          <w:szCs w:val="24"/>
        </w:rPr>
      </w:pPr>
      <w:r w:rsidRPr="004A3318">
        <w:rPr>
          <w:sz w:val="22"/>
          <w:szCs w:val="24"/>
        </w:rPr>
        <w:t>jeigu esate nėščia arba žindote kūdikį (žr.</w:t>
      </w:r>
      <w:r w:rsidR="004A3318">
        <w:rPr>
          <w:sz w:val="22"/>
          <w:szCs w:val="24"/>
        </w:rPr>
        <w:t> </w:t>
      </w:r>
      <w:r w:rsidRPr="004A3318">
        <w:rPr>
          <w:sz w:val="22"/>
          <w:szCs w:val="24"/>
        </w:rPr>
        <w:t>2</w:t>
      </w:r>
      <w:r w:rsidR="004A3318">
        <w:rPr>
          <w:sz w:val="22"/>
          <w:szCs w:val="24"/>
        </w:rPr>
        <w:t> </w:t>
      </w:r>
      <w:r w:rsidRPr="004A3318">
        <w:rPr>
          <w:sz w:val="22"/>
          <w:szCs w:val="24"/>
        </w:rPr>
        <w:t>skyrių „Nėštumas, žindymo laikotarpis ir kontracepcija“).</w:t>
      </w:r>
    </w:p>
    <w:p w14:paraId="425A9509" w14:textId="77777777" w:rsidR="008D3B35" w:rsidRPr="003F564F" w:rsidRDefault="008D3B35">
      <w:pPr>
        <w:numPr>
          <w:ilvl w:val="12"/>
          <w:numId w:val="0"/>
        </w:numPr>
        <w:ind w:right="-2"/>
        <w:rPr>
          <w:sz w:val="22"/>
          <w:szCs w:val="24"/>
        </w:rPr>
      </w:pPr>
    </w:p>
    <w:p w14:paraId="281458FB" w14:textId="77777777" w:rsidR="008D3B35" w:rsidRPr="003F564F" w:rsidRDefault="00AB4978">
      <w:pPr>
        <w:keepNext/>
        <w:tabs>
          <w:tab w:val="left" w:pos="567"/>
        </w:tabs>
        <w:spacing w:line="260" w:lineRule="exact"/>
        <w:jc w:val="both"/>
        <w:outlineLvl w:val="3"/>
        <w:rPr>
          <w:b/>
          <w:bCs/>
          <w:sz w:val="22"/>
          <w:szCs w:val="28"/>
          <w:lang w:eastAsia="x-none"/>
        </w:rPr>
      </w:pPr>
      <w:r w:rsidRPr="003F564F">
        <w:rPr>
          <w:b/>
          <w:bCs/>
          <w:sz w:val="22"/>
          <w:szCs w:val="28"/>
          <w:lang w:eastAsia="x-none"/>
        </w:rPr>
        <w:t xml:space="preserve">Įspėjimai ir atsargumo priemonės </w:t>
      </w:r>
    </w:p>
    <w:p w14:paraId="2FA65F70" w14:textId="574873F5" w:rsidR="008D3B35" w:rsidRPr="003F564F" w:rsidRDefault="00AB4978">
      <w:pPr>
        <w:numPr>
          <w:ilvl w:val="12"/>
          <w:numId w:val="0"/>
        </w:numPr>
        <w:ind w:right="-2"/>
        <w:rPr>
          <w:sz w:val="22"/>
          <w:szCs w:val="24"/>
        </w:rPr>
      </w:pPr>
      <w:r w:rsidRPr="003F564F">
        <w:rPr>
          <w:sz w:val="22"/>
          <w:szCs w:val="24"/>
        </w:rPr>
        <w:t xml:space="preserve">Pasitarkite su gydytoju arba vaistininku, prieš pradėdami vartoti </w:t>
      </w:r>
      <w:proofErr w:type="spellStart"/>
      <w:r w:rsidR="008B09E3">
        <w:rPr>
          <w:sz w:val="22"/>
          <w:szCs w:val="24"/>
        </w:rPr>
        <w:t>Ruxolitinib</w:t>
      </w:r>
      <w:proofErr w:type="spellEnd"/>
      <w:r w:rsidR="008B09E3">
        <w:rPr>
          <w:sz w:val="22"/>
          <w:szCs w:val="24"/>
        </w:rPr>
        <w:t xml:space="preserve"> </w:t>
      </w:r>
      <w:proofErr w:type="spellStart"/>
      <w:r w:rsidR="008B09E3">
        <w:rPr>
          <w:sz w:val="22"/>
          <w:szCs w:val="24"/>
        </w:rPr>
        <w:t>Sandoz</w:t>
      </w:r>
      <w:proofErr w:type="spellEnd"/>
      <w:r w:rsidR="004A3318">
        <w:rPr>
          <w:sz w:val="22"/>
          <w:szCs w:val="24"/>
        </w:rPr>
        <w:t>, jeigu:</w:t>
      </w:r>
    </w:p>
    <w:p w14:paraId="75D96A12" w14:textId="286935E0" w:rsidR="00B341E8" w:rsidRPr="004A3318" w:rsidRDefault="00B341E8" w:rsidP="004A3318">
      <w:pPr>
        <w:pStyle w:val="Sraopastraipa"/>
        <w:numPr>
          <w:ilvl w:val="0"/>
          <w:numId w:val="7"/>
        </w:numPr>
        <w:ind w:left="567" w:right="-2" w:hanging="567"/>
        <w:rPr>
          <w:sz w:val="22"/>
          <w:szCs w:val="24"/>
        </w:rPr>
      </w:pPr>
      <w:r w:rsidRPr="004A3318">
        <w:rPr>
          <w:sz w:val="22"/>
          <w:szCs w:val="24"/>
        </w:rPr>
        <w:t xml:space="preserve">sergate bet kuria infekcija. Prieš pradedant vartoti </w:t>
      </w:r>
      <w:proofErr w:type="spellStart"/>
      <w:r w:rsidR="008B09E3">
        <w:rPr>
          <w:sz w:val="22"/>
          <w:szCs w:val="24"/>
        </w:rPr>
        <w:t>Ruxolitinib</w:t>
      </w:r>
      <w:proofErr w:type="spellEnd"/>
      <w:r w:rsidR="008B09E3">
        <w:rPr>
          <w:sz w:val="22"/>
          <w:szCs w:val="24"/>
        </w:rPr>
        <w:t xml:space="preserve"> </w:t>
      </w:r>
      <w:proofErr w:type="spellStart"/>
      <w:r w:rsidR="008B09E3">
        <w:rPr>
          <w:sz w:val="22"/>
          <w:szCs w:val="24"/>
        </w:rPr>
        <w:t>Sandoz</w:t>
      </w:r>
      <w:proofErr w:type="spellEnd"/>
      <w:r w:rsidRPr="004A3318">
        <w:rPr>
          <w:sz w:val="22"/>
          <w:szCs w:val="24"/>
        </w:rPr>
        <w:t xml:space="preserve"> gali reikėti išgydyti infekciją;</w:t>
      </w:r>
    </w:p>
    <w:p w14:paraId="57B1B334" w14:textId="472F3959" w:rsidR="00B341E8" w:rsidRPr="004A3318" w:rsidRDefault="00B341E8" w:rsidP="004A3318">
      <w:pPr>
        <w:pStyle w:val="Sraopastraipa"/>
        <w:numPr>
          <w:ilvl w:val="0"/>
          <w:numId w:val="7"/>
        </w:numPr>
        <w:ind w:left="567" w:right="-2" w:hanging="567"/>
        <w:rPr>
          <w:sz w:val="22"/>
          <w:szCs w:val="24"/>
        </w:rPr>
      </w:pPr>
      <w:r w:rsidRPr="004A3318">
        <w:rPr>
          <w:sz w:val="22"/>
          <w:szCs w:val="24"/>
        </w:rPr>
        <w:t>kada nors anksčiau sirgote tuberkulioze arba jeigu artimai bendravote su kuo nors, kuris serga ar sirgo tuberkulioze. Gydytojas gali atlikti tyrimus, kad nustatytų, ar Jūs sergate tuberkulioze ar kitomis infekcijomis;</w:t>
      </w:r>
    </w:p>
    <w:p w14:paraId="5734B71E" w14:textId="00190625" w:rsidR="00B341E8" w:rsidRPr="004A3318" w:rsidRDefault="00B341E8" w:rsidP="004A3318">
      <w:pPr>
        <w:pStyle w:val="Sraopastraipa"/>
        <w:numPr>
          <w:ilvl w:val="0"/>
          <w:numId w:val="7"/>
        </w:numPr>
        <w:ind w:left="567" w:right="-2" w:hanging="567"/>
        <w:rPr>
          <w:sz w:val="22"/>
          <w:szCs w:val="24"/>
        </w:rPr>
      </w:pPr>
      <w:r w:rsidRPr="004A3318">
        <w:rPr>
          <w:sz w:val="22"/>
          <w:szCs w:val="24"/>
        </w:rPr>
        <w:t>kada nors anksčiau sirgote hepatito B viruso infekcija;</w:t>
      </w:r>
    </w:p>
    <w:p w14:paraId="724C5113" w14:textId="5002B1FD" w:rsidR="00B341E8" w:rsidRPr="004A3318" w:rsidRDefault="00B341E8" w:rsidP="004A3318">
      <w:pPr>
        <w:pStyle w:val="Sraopastraipa"/>
        <w:numPr>
          <w:ilvl w:val="0"/>
          <w:numId w:val="7"/>
        </w:numPr>
        <w:ind w:left="567" w:right="-2" w:hanging="567"/>
        <w:rPr>
          <w:sz w:val="22"/>
          <w:szCs w:val="24"/>
        </w:rPr>
      </w:pPr>
      <w:r w:rsidRPr="004A3318">
        <w:rPr>
          <w:sz w:val="22"/>
          <w:szCs w:val="24"/>
        </w:rPr>
        <w:t xml:space="preserve">Jums yra inkstų sutrikimų arba Jums yra ar anksčiau buvo kokių nors kepenų sutrikimų, nes gydytojui gali reikėti paskirti kitokią </w:t>
      </w:r>
      <w:proofErr w:type="spellStart"/>
      <w:r w:rsidR="008B09E3">
        <w:rPr>
          <w:sz w:val="22"/>
          <w:szCs w:val="24"/>
        </w:rPr>
        <w:t>Ruxolitinib</w:t>
      </w:r>
      <w:proofErr w:type="spellEnd"/>
      <w:r w:rsidR="008B09E3">
        <w:rPr>
          <w:sz w:val="22"/>
          <w:szCs w:val="24"/>
        </w:rPr>
        <w:t xml:space="preserve"> </w:t>
      </w:r>
      <w:proofErr w:type="spellStart"/>
      <w:r w:rsidR="008B09E3">
        <w:rPr>
          <w:sz w:val="22"/>
          <w:szCs w:val="24"/>
        </w:rPr>
        <w:t>Sandoz</w:t>
      </w:r>
      <w:proofErr w:type="spellEnd"/>
      <w:r w:rsidRPr="004A3318">
        <w:rPr>
          <w:sz w:val="22"/>
          <w:szCs w:val="24"/>
        </w:rPr>
        <w:t xml:space="preserve"> dozę;</w:t>
      </w:r>
    </w:p>
    <w:p w14:paraId="74CF4D12" w14:textId="6235D9AB" w:rsidR="00B341E8" w:rsidRPr="004A3318" w:rsidRDefault="00B341E8" w:rsidP="004A3318">
      <w:pPr>
        <w:pStyle w:val="Sraopastraipa"/>
        <w:numPr>
          <w:ilvl w:val="0"/>
          <w:numId w:val="7"/>
        </w:numPr>
        <w:ind w:left="567" w:right="-2" w:hanging="567"/>
        <w:rPr>
          <w:sz w:val="22"/>
          <w:szCs w:val="24"/>
        </w:rPr>
      </w:pPr>
      <w:r w:rsidRPr="004A3318">
        <w:rPr>
          <w:sz w:val="22"/>
          <w:szCs w:val="24"/>
        </w:rPr>
        <w:t>kada nors anksčiau sirgote vėžiu, ypač odos vėžiu;</w:t>
      </w:r>
    </w:p>
    <w:p w14:paraId="4FCC9F74" w14:textId="04B5B9FE" w:rsidR="00B341E8" w:rsidRPr="004A3318" w:rsidRDefault="00B341E8" w:rsidP="004A3318">
      <w:pPr>
        <w:pStyle w:val="Sraopastraipa"/>
        <w:numPr>
          <w:ilvl w:val="0"/>
          <w:numId w:val="7"/>
        </w:numPr>
        <w:ind w:left="567" w:right="-2" w:hanging="567"/>
        <w:rPr>
          <w:sz w:val="22"/>
          <w:szCs w:val="24"/>
        </w:rPr>
      </w:pPr>
      <w:r w:rsidRPr="004A3318">
        <w:rPr>
          <w:sz w:val="22"/>
          <w:szCs w:val="24"/>
        </w:rPr>
        <w:t>Jums yra ar anksčiau buvo širdies sutrikimų;</w:t>
      </w:r>
    </w:p>
    <w:p w14:paraId="4BFBB4DB" w14:textId="6528B374" w:rsidR="00B341E8" w:rsidRPr="004A3318" w:rsidRDefault="00B341E8" w:rsidP="004A3318">
      <w:pPr>
        <w:pStyle w:val="Sraopastraipa"/>
        <w:numPr>
          <w:ilvl w:val="0"/>
          <w:numId w:val="7"/>
        </w:numPr>
        <w:ind w:left="567" w:right="-2" w:hanging="567"/>
        <w:rPr>
          <w:sz w:val="22"/>
          <w:szCs w:val="24"/>
        </w:rPr>
      </w:pPr>
      <w:r w:rsidRPr="004A3318">
        <w:rPr>
          <w:sz w:val="22"/>
          <w:szCs w:val="24"/>
        </w:rPr>
        <w:t>Jūs esate 65</w:t>
      </w:r>
      <w:r w:rsidR="004A3318">
        <w:rPr>
          <w:sz w:val="22"/>
          <w:szCs w:val="24"/>
        </w:rPr>
        <w:t> </w:t>
      </w:r>
      <w:r w:rsidRPr="004A3318">
        <w:rPr>
          <w:sz w:val="22"/>
          <w:szCs w:val="24"/>
        </w:rPr>
        <w:t>metų ar vyresnis. 65</w:t>
      </w:r>
      <w:r w:rsidR="004A3318">
        <w:rPr>
          <w:sz w:val="22"/>
          <w:szCs w:val="24"/>
        </w:rPr>
        <w:t> </w:t>
      </w:r>
      <w:r w:rsidRPr="004A3318">
        <w:rPr>
          <w:sz w:val="22"/>
          <w:szCs w:val="24"/>
        </w:rPr>
        <w:t>metų ir vyresniems pacientams gali padidėti širdies sutrikimų, įskaitant širdies priepuolį ir kai kurių rūšių vėžį, rizika;</w:t>
      </w:r>
    </w:p>
    <w:p w14:paraId="1CA825C1" w14:textId="480AF1C6" w:rsidR="008D3B35" w:rsidRPr="004A3318" w:rsidRDefault="00B341E8" w:rsidP="004A3318">
      <w:pPr>
        <w:pStyle w:val="Sraopastraipa"/>
        <w:numPr>
          <w:ilvl w:val="0"/>
          <w:numId w:val="7"/>
        </w:numPr>
        <w:ind w:left="567" w:right="-2" w:hanging="567"/>
        <w:rPr>
          <w:sz w:val="22"/>
          <w:szCs w:val="24"/>
        </w:rPr>
      </w:pPr>
      <w:r w:rsidRPr="004A3318">
        <w:rPr>
          <w:sz w:val="22"/>
          <w:szCs w:val="24"/>
        </w:rPr>
        <w:t>Jūs rūkote arba rūkėte praeityje.</w:t>
      </w:r>
    </w:p>
    <w:p w14:paraId="06C54A67" w14:textId="77777777" w:rsidR="00B341E8" w:rsidRPr="003F564F" w:rsidRDefault="00B341E8" w:rsidP="00B341E8">
      <w:pPr>
        <w:numPr>
          <w:ilvl w:val="12"/>
          <w:numId w:val="0"/>
        </w:numPr>
        <w:ind w:right="-2"/>
        <w:rPr>
          <w:sz w:val="22"/>
          <w:szCs w:val="24"/>
        </w:rPr>
      </w:pPr>
    </w:p>
    <w:p w14:paraId="3AD947D5" w14:textId="64C936BD" w:rsidR="00B341E8" w:rsidRPr="003F564F" w:rsidRDefault="00B341E8" w:rsidP="00B341E8">
      <w:pPr>
        <w:numPr>
          <w:ilvl w:val="12"/>
          <w:numId w:val="0"/>
        </w:numPr>
        <w:ind w:right="-2"/>
        <w:rPr>
          <w:sz w:val="22"/>
          <w:szCs w:val="24"/>
        </w:rPr>
      </w:pPr>
      <w:r w:rsidRPr="003F564F">
        <w:rPr>
          <w:sz w:val="22"/>
          <w:szCs w:val="24"/>
        </w:rPr>
        <w:t xml:space="preserve">Pasitarkite su gydytoju arba vaistininku </w:t>
      </w:r>
      <w:proofErr w:type="spellStart"/>
      <w:r w:rsidR="008B09E3">
        <w:rPr>
          <w:sz w:val="22"/>
          <w:szCs w:val="24"/>
        </w:rPr>
        <w:t>Ruxolitinib</w:t>
      </w:r>
      <w:proofErr w:type="spellEnd"/>
      <w:r w:rsidR="008B09E3">
        <w:rPr>
          <w:sz w:val="22"/>
          <w:szCs w:val="24"/>
        </w:rPr>
        <w:t xml:space="preserve"> </w:t>
      </w:r>
      <w:proofErr w:type="spellStart"/>
      <w:r w:rsidR="008B09E3">
        <w:rPr>
          <w:sz w:val="22"/>
          <w:szCs w:val="24"/>
        </w:rPr>
        <w:t>Sandoz</w:t>
      </w:r>
      <w:proofErr w:type="spellEnd"/>
      <w:r w:rsidRPr="003F564F">
        <w:rPr>
          <w:sz w:val="22"/>
          <w:szCs w:val="24"/>
        </w:rPr>
        <w:t xml:space="preserve"> vartojimo metu, jeigu:</w:t>
      </w:r>
    </w:p>
    <w:p w14:paraId="3CA58EF2" w14:textId="097151FF" w:rsidR="00B341E8" w:rsidRPr="004A3318" w:rsidRDefault="00B341E8" w:rsidP="004A3318">
      <w:pPr>
        <w:pStyle w:val="Sraopastraipa"/>
        <w:numPr>
          <w:ilvl w:val="0"/>
          <w:numId w:val="8"/>
        </w:numPr>
        <w:ind w:left="567" w:right="-2" w:hanging="567"/>
        <w:rPr>
          <w:sz w:val="22"/>
          <w:szCs w:val="24"/>
        </w:rPr>
      </w:pPr>
      <w:r w:rsidRPr="004A3318">
        <w:rPr>
          <w:sz w:val="22"/>
          <w:szCs w:val="24"/>
        </w:rPr>
        <w:t xml:space="preserve">Jums pasireikštų karščiavimas, </w:t>
      </w:r>
      <w:proofErr w:type="spellStart"/>
      <w:r w:rsidRPr="004A3318">
        <w:rPr>
          <w:sz w:val="22"/>
          <w:szCs w:val="24"/>
        </w:rPr>
        <w:t>šaltkrėtis</w:t>
      </w:r>
      <w:proofErr w:type="spellEnd"/>
      <w:r w:rsidRPr="004A3318">
        <w:rPr>
          <w:sz w:val="22"/>
          <w:szCs w:val="24"/>
        </w:rPr>
        <w:t xml:space="preserve"> ar kitokių infekcijos simptomų;</w:t>
      </w:r>
    </w:p>
    <w:p w14:paraId="242B7940" w14:textId="1157AF0C" w:rsidR="00B341E8" w:rsidRPr="004A3318" w:rsidRDefault="00B341E8" w:rsidP="004A3318">
      <w:pPr>
        <w:pStyle w:val="Sraopastraipa"/>
        <w:numPr>
          <w:ilvl w:val="0"/>
          <w:numId w:val="8"/>
        </w:numPr>
        <w:ind w:left="567" w:right="-2" w:hanging="567"/>
        <w:rPr>
          <w:sz w:val="22"/>
          <w:szCs w:val="24"/>
        </w:rPr>
      </w:pPr>
      <w:r w:rsidRPr="004A3318">
        <w:rPr>
          <w:sz w:val="22"/>
          <w:szCs w:val="24"/>
        </w:rPr>
        <w:t>Jums pasireikštų nuolatinis kosulys ir skrepliuose atsirastų kraujo priemaišų, pasireikštų karščiavimas, prakaitavimas naktimis ir svorio mažėjimas (tai gali būti tuberkuliozės požymiai);</w:t>
      </w:r>
    </w:p>
    <w:p w14:paraId="11267528" w14:textId="126D8834" w:rsidR="00B341E8" w:rsidRPr="004A3318" w:rsidRDefault="00B341E8" w:rsidP="004A3318">
      <w:pPr>
        <w:pStyle w:val="Sraopastraipa"/>
        <w:numPr>
          <w:ilvl w:val="0"/>
          <w:numId w:val="8"/>
        </w:numPr>
        <w:ind w:left="567" w:right="-2" w:hanging="567"/>
        <w:rPr>
          <w:sz w:val="22"/>
          <w:szCs w:val="24"/>
        </w:rPr>
      </w:pPr>
      <w:r w:rsidRPr="004A3318">
        <w:rPr>
          <w:sz w:val="22"/>
          <w:szCs w:val="24"/>
        </w:rPr>
        <w:t xml:space="preserve">Jums yra bet kurių iš toliau išvardytų simptomų arba Jūsų artimieji pastebi, kad Jums pasireiškė šių simptomų: sumišimas ar sunkumas mąstyti, sutrikusi pusiausvyra ar apsunkinta eisena, </w:t>
      </w:r>
      <w:proofErr w:type="spellStart"/>
      <w:r w:rsidRPr="004A3318">
        <w:rPr>
          <w:sz w:val="22"/>
          <w:szCs w:val="24"/>
        </w:rPr>
        <w:t>nevikrumas</w:t>
      </w:r>
      <w:proofErr w:type="spellEnd"/>
      <w:r w:rsidRPr="004A3318">
        <w:rPr>
          <w:sz w:val="22"/>
          <w:szCs w:val="24"/>
        </w:rPr>
        <w:t>, apsunkintas kalbėjimas, susilpnėjusi jėga ar vienos kūno pusės raumenų silpnumas, neryškus matymas ir (arba) apakimas. Tai gali būti sunkios galvos smegenų infekcijos požymiai, ir Jūsų gydytojas gali paskirti papildomų tyrimų bei stebėti Jūsų būklę;</w:t>
      </w:r>
    </w:p>
    <w:p w14:paraId="0B694BD0" w14:textId="649F74C1" w:rsidR="00B341E8" w:rsidRPr="004A3318" w:rsidRDefault="00B341E8" w:rsidP="004A3318">
      <w:pPr>
        <w:pStyle w:val="Sraopastraipa"/>
        <w:numPr>
          <w:ilvl w:val="0"/>
          <w:numId w:val="8"/>
        </w:numPr>
        <w:ind w:left="567" w:right="-2" w:hanging="567"/>
        <w:rPr>
          <w:sz w:val="22"/>
          <w:szCs w:val="24"/>
        </w:rPr>
      </w:pPr>
      <w:r w:rsidRPr="004A3318">
        <w:rPr>
          <w:sz w:val="22"/>
          <w:szCs w:val="24"/>
        </w:rPr>
        <w:t>Jums atsirastų skausmingas odos išbėrimas su pūslėmis (tai yra juostinės pūslelinės požymiai);</w:t>
      </w:r>
    </w:p>
    <w:p w14:paraId="2711758D" w14:textId="0BC5DFD4" w:rsidR="00B341E8" w:rsidRPr="004A3318" w:rsidRDefault="00B341E8" w:rsidP="004A3318">
      <w:pPr>
        <w:pStyle w:val="Sraopastraipa"/>
        <w:numPr>
          <w:ilvl w:val="0"/>
          <w:numId w:val="8"/>
        </w:numPr>
        <w:ind w:left="567" w:right="-2" w:hanging="567"/>
        <w:rPr>
          <w:sz w:val="22"/>
          <w:szCs w:val="24"/>
        </w:rPr>
      </w:pPr>
      <w:r w:rsidRPr="004A3318">
        <w:rPr>
          <w:sz w:val="22"/>
          <w:szCs w:val="24"/>
        </w:rPr>
        <w:t>Jums yra kokių nors odos pokyčių; dėl to Jūsų būklę gali reikėti toliau stebėti, nes buvo pastebėta tam tikro tipo odos vėžio (ne melanomos tipo) pasireiškimo atvejų;</w:t>
      </w:r>
    </w:p>
    <w:p w14:paraId="4112E94C" w14:textId="6AA35DB9" w:rsidR="00B341E8" w:rsidRPr="004A3318" w:rsidRDefault="00B341E8" w:rsidP="004A3318">
      <w:pPr>
        <w:pStyle w:val="Sraopastraipa"/>
        <w:numPr>
          <w:ilvl w:val="0"/>
          <w:numId w:val="8"/>
        </w:numPr>
        <w:ind w:left="567" w:right="-2" w:hanging="567"/>
        <w:rPr>
          <w:sz w:val="22"/>
          <w:szCs w:val="24"/>
        </w:rPr>
      </w:pPr>
      <w:r w:rsidRPr="004A3318">
        <w:rPr>
          <w:sz w:val="22"/>
          <w:szCs w:val="24"/>
        </w:rPr>
        <w:lastRenderedPageBreak/>
        <w:t>staiga atsiranda dusulys ar pasunkėjęs kvėpavimas, krūtinės skausmas arba viršutinės nugaros dalies skausmas, kojos ar rankos patinimas, kojų skausmas ar jautrumas, kojos ar rankos paraudimas arba spalvos pakitimas, nes tai gali būti kraujo krešulių venose požymiai.</w:t>
      </w:r>
    </w:p>
    <w:p w14:paraId="5BDBE707" w14:textId="77777777" w:rsidR="00B341E8" w:rsidRPr="003F564F" w:rsidRDefault="00B341E8" w:rsidP="00B341E8">
      <w:pPr>
        <w:numPr>
          <w:ilvl w:val="12"/>
          <w:numId w:val="0"/>
        </w:numPr>
        <w:ind w:right="-2"/>
        <w:rPr>
          <w:sz w:val="22"/>
          <w:szCs w:val="24"/>
        </w:rPr>
      </w:pPr>
    </w:p>
    <w:p w14:paraId="79BD1D53" w14:textId="00FA718F" w:rsidR="008D3B35" w:rsidRPr="003F564F" w:rsidRDefault="00AB4978">
      <w:pPr>
        <w:keepNext/>
        <w:tabs>
          <w:tab w:val="left" w:pos="567"/>
        </w:tabs>
        <w:spacing w:line="260" w:lineRule="exact"/>
        <w:jc w:val="both"/>
        <w:outlineLvl w:val="3"/>
        <w:rPr>
          <w:b/>
          <w:bCs/>
          <w:sz w:val="22"/>
          <w:szCs w:val="28"/>
          <w:lang w:eastAsia="x-none"/>
        </w:rPr>
      </w:pPr>
      <w:r w:rsidRPr="003F564F">
        <w:rPr>
          <w:b/>
          <w:bCs/>
          <w:sz w:val="22"/>
          <w:szCs w:val="28"/>
          <w:lang w:eastAsia="x-none"/>
        </w:rPr>
        <w:t>Vaikams ir paaugliams</w:t>
      </w:r>
    </w:p>
    <w:p w14:paraId="37E7C7D3" w14:textId="7D318308" w:rsidR="00B341E8" w:rsidRPr="003F564F" w:rsidRDefault="00B341E8" w:rsidP="00B341E8">
      <w:pPr>
        <w:numPr>
          <w:ilvl w:val="12"/>
          <w:numId w:val="0"/>
        </w:numPr>
        <w:rPr>
          <w:bCs/>
          <w:sz w:val="22"/>
          <w:szCs w:val="24"/>
        </w:rPr>
      </w:pPr>
      <w:r w:rsidRPr="003F564F">
        <w:rPr>
          <w:bCs/>
          <w:sz w:val="22"/>
          <w:szCs w:val="24"/>
        </w:rPr>
        <w:t>Vaikams ar paaugliams, jaunesniems nei 18</w:t>
      </w:r>
      <w:r w:rsidR="004A3318">
        <w:rPr>
          <w:bCs/>
          <w:sz w:val="22"/>
          <w:szCs w:val="24"/>
        </w:rPr>
        <w:t> </w:t>
      </w:r>
      <w:r w:rsidRPr="003F564F">
        <w:rPr>
          <w:bCs/>
          <w:sz w:val="22"/>
          <w:szCs w:val="24"/>
        </w:rPr>
        <w:t xml:space="preserve">metų ir sergantiems </w:t>
      </w:r>
      <w:proofErr w:type="spellStart"/>
      <w:r w:rsidRPr="003F564F">
        <w:rPr>
          <w:bCs/>
          <w:sz w:val="22"/>
          <w:szCs w:val="24"/>
        </w:rPr>
        <w:t>mielofibroze</w:t>
      </w:r>
      <w:proofErr w:type="spellEnd"/>
      <w:r w:rsidRPr="003F564F">
        <w:rPr>
          <w:bCs/>
          <w:sz w:val="22"/>
          <w:szCs w:val="24"/>
        </w:rPr>
        <w:t xml:space="preserve"> ar tikrąja </w:t>
      </w:r>
      <w:proofErr w:type="spellStart"/>
      <w:r w:rsidRPr="003F564F">
        <w:rPr>
          <w:bCs/>
          <w:sz w:val="22"/>
          <w:szCs w:val="24"/>
        </w:rPr>
        <w:t>policitemija</w:t>
      </w:r>
      <w:proofErr w:type="spellEnd"/>
      <w:r w:rsidRPr="003F564F">
        <w:rPr>
          <w:bCs/>
          <w:sz w:val="22"/>
          <w:szCs w:val="24"/>
        </w:rPr>
        <w:t>, šio vaisto vartoti negalima, kadangi jo vartojimas neištirtas šioje amžiaus grupėje.</w:t>
      </w:r>
    </w:p>
    <w:p w14:paraId="034EACD8" w14:textId="77777777" w:rsidR="00B341E8" w:rsidRPr="003F564F" w:rsidRDefault="00B341E8" w:rsidP="00B341E8">
      <w:pPr>
        <w:numPr>
          <w:ilvl w:val="12"/>
          <w:numId w:val="0"/>
        </w:numPr>
        <w:rPr>
          <w:bCs/>
          <w:sz w:val="22"/>
          <w:szCs w:val="24"/>
        </w:rPr>
      </w:pPr>
    </w:p>
    <w:p w14:paraId="671AEC8A" w14:textId="0F36F983" w:rsidR="008D3B35" w:rsidRPr="003F564F" w:rsidRDefault="00B341E8" w:rsidP="00B341E8">
      <w:pPr>
        <w:numPr>
          <w:ilvl w:val="12"/>
          <w:numId w:val="0"/>
        </w:numPr>
        <w:rPr>
          <w:bCs/>
          <w:sz w:val="22"/>
          <w:szCs w:val="24"/>
        </w:rPr>
      </w:pPr>
      <w:proofErr w:type="spellStart"/>
      <w:r w:rsidRPr="003F564F">
        <w:rPr>
          <w:bCs/>
          <w:sz w:val="22"/>
          <w:szCs w:val="24"/>
        </w:rPr>
        <w:t>Transplantato</w:t>
      </w:r>
      <w:proofErr w:type="spellEnd"/>
      <w:r w:rsidRPr="003F564F">
        <w:rPr>
          <w:bCs/>
          <w:sz w:val="22"/>
          <w:szCs w:val="24"/>
        </w:rPr>
        <w:t xml:space="preserve"> prieš šeimininką ligai gydyti, </w:t>
      </w:r>
      <w:proofErr w:type="spellStart"/>
      <w:r w:rsidR="008B09E3">
        <w:rPr>
          <w:bCs/>
          <w:sz w:val="22"/>
          <w:szCs w:val="24"/>
        </w:rPr>
        <w:t>Ruxolitinib</w:t>
      </w:r>
      <w:proofErr w:type="spellEnd"/>
      <w:r w:rsidR="008B09E3">
        <w:rPr>
          <w:bCs/>
          <w:sz w:val="22"/>
          <w:szCs w:val="24"/>
        </w:rPr>
        <w:t xml:space="preserve"> </w:t>
      </w:r>
      <w:proofErr w:type="spellStart"/>
      <w:r w:rsidR="008B09E3">
        <w:rPr>
          <w:bCs/>
          <w:sz w:val="22"/>
          <w:szCs w:val="24"/>
        </w:rPr>
        <w:t>Sandoz</w:t>
      </w:r>
      <w:proofErr w:type="spellEnd"/>
      <w:r w:rsidRPr="003F564F">
        <w:rPr>
          <w:bCs/>
          <w:sz w:val="22"/>
          <w:szCs w:val="24"/>
        </w:rPr>
        <w:t xml:space="preserve"> gali būti skiriamas 28</w:t>
      </w:r>
      <w:r w:rsidR="004A3318">
        <w:rPr>
          <w:bCs/>
          <w:sz w:val="22"/>
          <w:szCs w:val="24"/>
        </w:rPr>
        <w:t> </w:t>
      </w:r>
      <w:r w:rsidRPr="003F564F">
        <w:rPr>
          <w:bCs/>
          <w:sz w:val="22"/>
          <w:szCs w:val="24"/>
        </w:rPr>
        <w:t>dienų ir vyresniems pacientams.</w:t>
      </w:r>
    </w:p>
    <w:p w14:paraId="32748EDE" w14:textId="77777777" w:rsidR="00B341E8" w:rsidRPr="003F564F" w:rsidRDefault="00B341E8" w:rsidP="00B341E8">
      <w:pPr>
        <w:numPr>
          <w:ilvl w:val="12"/>
          <w:numId w:val="0"/>
        </w:numPr>
        <w:rPr>
          <w:bCs/>
          <w:sz w:val="22"/>
          <w:szCs w:val="24"/>
        </w:rPr>
      </w:pPr>
    </w:p>
    <w:p w14:paraId="0EF15FD9" w14:textId="10372DB0" w:rsidR="008D3B35" w:rsidRPr="003F564F" w:rsidRDefault="00AB4978">
      <w:pPr>
        <w:keepNext/>
        <w:tabs>
          <w:tab w:val="left" w:pos="567"/>
        </w:tabs>
        <w:spacing w:line="260" w:lineRule="exact"/>
        <w:jc w:val="both"/>
        <w:outlineLvl w:val="3"/>
        <w:rPr>
          <w:b/>
          <w:bCs/>
          <w:sz w:val="22"/>
          <w:szCs w:val="28"/>
          <w:lang w:eastAsia="x-none"/>
        </w:rPr>
      </w:pPr>
      <w:r w:rsidRPr="003F564F">
        <w:rPr>
          <w:b/>
          <w:bCs/>
          <w:sz w:val="22"/>
          <w:szCs w:val="28"/>
          <w:lang w:eastAsia="x-none"/>
        </w:rPr>
        <w:t xml:space="preserve">Kiti vaistai ir </w:t>
      </w:r>
      <w:proofErr w:type="spellStart"/>
      <w:r w:rsidR="008B09E3">
        <w:rPr>
          <w:b/>
          <w:bCs/>
          <w:sz w:val="22"/>
          <w:szCs w:val="28"/>
          <w:lang w:eastAsia="x-none"/>
        </w:rPr>
        <w:t>Ruxolitinib</w:t>
      </w:r>
      <w:proofErr w:type="spellEnd"/>
      <w:r w:rsidR="008B09E3">
        <w:rPr>
          <w:b/>
          <w:bCs/>
          <w:sz w:val="22"/>
          <w:szCs w:val="28"/>
          <w:lang w:eastAsia="x-none"/>
        </w:rPr>
        <w:t xml:space="preserve"> </w:t>
      </w:r>
      <w:proofErr w:type="spellStart"/>
      <w:r w:rsidR="008B09E3">
        <w:rPr>
          <w:b/>
          <w:bCs/>
          <w:sz w:val="22"/>
          <w:szCs w:val="28"/>
          <w:lang w:eastAsia="x-none"/>
        </w:rPr>
        <w:t>Sandoz</w:t>
      </w:r>
      <w:proofErr w:type="spellEnd"/>
    </w:p>
    <w:p w14:paraId="0166100E" w14:textId="1C418BC2" w:rsidR="00B341E8" w:rsidRPr="003F564F" w:rsidRDefault="00B341E8" w:rsidP="00B341E8">
      <w:pPr>
        <w:numPr>
          <w:ilvl w:val="12"/>
          <w:numId w:val="0"/>
        </w:numPr>
        <w:ind w:right="-2"/>
        <w:rPr>
          <w:sz w:val="22"/>
          <w:szCs w:val="24"/>
        </w:rPr>
      </w:pPr>
      <w:r w:rsidRPr="003F564F">
        <w:rPr>
          <w:sz w:val="22"/>
          <w:szCs w:val="24"/>
        </w:rPr>
        <w:t xml:space="preserve">Jeigu vartojate ar neseniai vartojote kitų vaistų arba dėl to nesate tikri, apie tai pasakykite gydytojui arba vaistininkui. Kol vartojate </w:t>
      </w:r>
      <w:proofErr w:type="spellStart"/>
      <w:r w:rsidR="008B09E3">
        <w:rPr>
          <w:sz w:val="22"/>
          <w:szCs w:val="24"/>
        </w:rPr>
        <w:t>Ruxolitinib</w:t>
      </w:r>
      <w:proofErr w:type="spellEnd"/>
      <w:r w:rsidR="008B09E3">
        <w:rPr>
          <w:sz w:val="22"/>
          <w:szCs w:val="24"/>
        </w:rPr>
        <w:t xml:space="preserve"> </w:t>
      </w:r>
      <w:proofErr w:type="spellStart"/>
      <w:r w:rsidR="008B09E3">
        <w:rPr>
          <w:sz w:val="22"/>
          <w:szCs w:val="24"/>
        </w:rPr>
        <w:t>Sandoz</w:t>
      </w:r>
      <w:proofErr w:type="spellEnd"/>
      <w:r w:rsidRPr="003F564F">
        <w:rPr>
          <w:sz w:val="22"/>
          <w:szCs w:val="24"/>
        </w:rPr>
        <w:t xml:space="preserve">, niekada nepradėkite vartoti naujo vaisto, prieš tai nepasitarę su </w:t>
      </w:r>
      <w:proofErr w:type="spellStart"/>
      <w:r w:rsidR="008B09E3">
        <w:rPr>
          <w:sz w:val="22"/>
          <w:szCs w:val="24"/>
        </w:rPr>
        <w:t>Ruxolitinib</w:t>
      </w:r>
      <w:proofErr w:type="spellEnd"/>
      <w:r w:rsidR="008B09E3">
        <w:rPr>
          <w:sz w:val="22"/>
          <w:szCs w:val="24"/>
        </w:rPr>
        <w:t xml:space="preserve"> </w:t>
      </w:r>
      <w:proofErr w:type="spellStart"/>
      <w:r w:rsidR="008B09E3">
        <w:rPr>
          <w:sz w:val="22"/>
          <w:szCs w:val="24"/>
        </w:rPr>
        <w:t>Sandoz</w:t>
      </w:r>
      <w:proofErr w:type="spellEnd"/>
      <w:r w:rsidRPr="003F564F">
        <w:rPr>
          <w:sz w:val="22"/>
          <w:szCs w:val="24"/>
        </w:rPr>
        <w:t xml:space="preserve"> paskyrusiu gydytoju. Tai apima receptinius vaistus, nereceptinius vaistus ir vaistažoles arba alternatyvius vaistus.</w:t>
      </w:r>
    </w:p>
    <w:p w14:paraId="069CB5F4" w14:textId="77777777" w:rsidR="00B341E8" w:rsidRPr="003F564F" w:rsidRDefault="00B341E8" w:rsidP="00B341E8">
      <w:pPr>
        <w:numPr>
          <w:ilvl w:val="12"/>
          <w:numId w:val="0"/>
        </w:numPr>
        <w:ind w:right="-2"/>
        <w:rPr>
          <w:sz w:val="22"/>
          <w:szCs w:val="24"/>
        </w:rPr>
      </w:pPr>
    </w:p>
    <w:p w14:paraId="065DF63C" w14:textId="747798E5" w:rsidR="00B341E8" w:rsidRPr="003F564F" w:rsidRDefault="00B341E8" w:rsidP="00B341E8">
      <w:pPr>
        <w:numPr>
          <w:ilvl w:val="12"/>
          <w:numId w:val="0"/>
        </w:numPr>
        <w:ind w:right="-2"/>
        <w:rPr>
          <w:sz w:val="22"/>
          <w:szCs w:val="24"/>
        </w:rPr>
      </w:pPr>
      <w:r w:rsidRPr="003F564F">
        <w:rPr>
          <w:sz w:val="22"/>
          <w:szCs w:val="24"/>
        </w:rPr>
        <w:t xml:space="preserve">Ypatingai svarbu gydytojui pasakyti apie vartojamus vaistus, kurių sudėtyje yra bet kurių toliau išvardytų veikliųjų medžiagų, kadangi gydytojui gali reikėti pakeisti vartojamą </w:t>
      </w:r>
      <w:proofErr w:type="spellStart"/>
      <w:r w:rsidR="008B09E3">
        <w:rPr>
          <w:sz w:val="22"/>
          <w:szCs w:val="24"/>
        </w:rPr>
        <w:t>Ruxolitinib</w:t>
      </w:r>
      <w:proofErr w:type="spellEnd"/>
      <w:r w:rsidR="008B09E3">
        <w:rPr>
          <w:sz w:val="22"/>
          <w:szCs w:val="24"/>
        </w:rPr>
        <w:t xml:space="preserve"> </w:t>
      </w:r>
      <w:proofErr w:type="spellStart"/>
      <w:r w:rsidR="008B09E3">
        <w:rPr>
          <w:sz w:val="22"/>
          <w:szCs w:val="24"/>
        </w:rPr>
        <w:t>Sandoz</w:t>
      </w:r>
      <w:proofErr w:type="spellEnd"/>
      <w:r w:rsidRPr="003F564F">
        <w:rPr>
          <w:sz w:val="22"/>
          <w:szCs w:val="24"/>
        </w:rPr>
        <w:t xml:space="preserve"> dozę:</w:t>
      </w:r>
    </w:p>
    <w:p w14:paraId="5DBC02E8" w14:textId="57C7B53D" w:rsidR="00B341E8" w:rsidRPr="004A3318" w:rsidRDefault="00B341E8" w:rsidP="004A3318">
      <w:pPr>
        <w:pStyle w:val="Sraopastraipa"/>
        <w:numPr>
          <w:ilvl w:val="0"/>
          <w:numId w:val="9"/>
        </w:numPr>
        <w:ind w:left="567" w:right="-2" w:hanging="567"/>
        <w:rPr>
          <w:sz w:val="22"/>
          <w:szCs w:val="24"/>
        </w:rPr>
      </w:pPr>
      <w:r w:rsidRPr="004A3318">
        <w:rPr>
          <w:sz w:val="22"/>
          <w:szCs w:val="24"/>
        </w:rPr>
        <w:t>Kai kurie infekcijoms gydyti vartojami vaistai:</w:t>
      </w:r>
    </w:p>
    <w:p w14:paraId="759AF8DF" w14:textId="7CB5841F" w:rsidR="00B341E8" w:rsidRPr="004A3318" w:rsidRDefault="00B341E8" w:rsidP="004A3318">
      <w:pPr>
        <w:pStyle w:val="Sraopastraipa"/>
        <w:numPr>
          <w:ilvl w:val="0"/>
          <w:numId w:val="9"/>
        </w:numPr>
        <w:ind w:left="1134" w:right="-2" w:hanging="567"/>
        <w:rPr>
          <w:sz w:val="22"/>
          <w:szCs w:val="24"/>
        </w:rPr>
      </w:pPr>
      <w:r w:rsidRPr="004A3318">
        <w:rPr>
          <w:sz w:val="22"/>
          <w:szCs w:val="24"/>
        </w:rPr>
        <w:t>grybelių sukeltoms ligoms gydyti vartojamus vaist</w:t>
      </w:r>
      <w:r w:rsidR="004A3318">
        <w:rPr>
          <w:sz w:val="22"/>
          <w:szCs w:val="24"/>
        </w:rPr>
        <w:t>ai</w:t>
      </w:r>
      <w:r w:rsidRPr="004A3318">
        <w:rPr>
          <w:sz w:val="22"/>
          <w:szCs w:val="24"/>
        </w:rPr>
        <w:t xml:space="preserve"> (pavyzdžiui, </w:t>
      </w:r>
      <w:proofErr w:type="spellStart"/>
      <w:r w:rsidRPr="004A3318">
        <w:rPr>
          <w:sz w:val="22"/>
          <w:szCs w:val="24"/>
        </w:rPr>
        <w:t>ketokonazol</w:t>
      </w:r>
      <w:r w:rsidR="004A3318">
        <w:rPr>
          <w:sz w:val="22"/>
          <w:szCs w:val="24"/>
        </w:rPr>
        <w:t>as</w:t>
      </w:r>
      <w:proofErr w:type="spellEnd"/>
      <w:r w:rsidRPr="004A3318">
        <w:rPr>
          <w:sz w:val="22"/>
          <w:szCs w:val="24"/>
        </w:rPr>
        <w:t xml:space="preserve">, </w:t>
      </w:r>
      <w:proofErr w:type="spellStart"/>
      <w:r w:rsidRPr="004A3318">
        <w:rPr>
          <w:sz w:val="22"/>
          <w:szCs w:val="24"/>
        </w:rPr>
        <w:t>itrakonazol</w:t>
      </w:r>
      <w:r w:rsidR="004A3318">
        <w:rPr>
          <w:sz w:val="22"/>
          <w:szCs w:val="24"/>
        </w:rPr>
        <w:t>as</w:t>
      </w:r>
      <w:proofErr w:type="spellEnd"/>
      <w:r w:rsidRPr="004A3318">
        <w:rPr>
          <w:sz w:val="22"/>
          <w:szCs w:val="24"/>
        </w:rPr>
        <w:t xml:space="preserve">, </w:t>
      </w:r>
      <w:proofErr w:type="spellStart"/>
      <w:r w:rsidRPr="004A3318">
        <w:rPr>
          <w:sz w:val="22"/>
          <w:szCs w:val="24"/>
        </w:rPr>
        <w:t>pozakonazol</w:t>
      </w:r>
      <w:r w:rsidR="004A3318">
        <w:rPr>
          <w:sz w:val="22"/>
          <w:szCs w:val="24"/>
        </w:rPr>
        <w:t>as</w:t>
      </w:r>
      <w:proofErr w:type="spellEnd"/>
      <w:r w:rsidRPr="004A3318">
        <w:rPr>
          <w:sz w:val="22"/>
          <w:szCs w:val="24"/>
        </w:rPr>
        <w:t xml:space="preserve">, </w:t>
      </w:r>
      <w:proofErr w:type="spellStart"/>
      <w:r w:rsidRPr="004A3318">
        <w:rPr>
          <w:sz w:val="22"/>
          <w:szCs w:val="24"/>
        </w:rPr>
        <w:t>flukonazol</w:t>
      </w:r>
      <w:r w:rsidR="004A3318">
        <w:rPr>
          <w:sz w:val="22"/>
          <w:szCs w:val="24"/>
        </w:rPr>
        <w:t>as</w:t>
      </w:r>
      <w:proofErr w:type="spellEnd"/>
      <w:r w:rsidRPr="004A3318">
        <w:rPr>
          <w:sz w:val="22"/>
          <w:szCs w:val="24"/>
        </w:rPr>
        <w:t xml:space="preserve"> ir </w:t>
      </w:r>
      <w:proofErr w:type="spellStart"/>
      <w:r w:rsidRPr="004A3318">
        <w:rPr>
          <w:sz w:val="22"/>
          <w:szCs w:val="24"/>
        </w:rPr>
        <w:t>vorikonazol</w:t>
      </w:r>
      <w:r w:rsidR="004A3318">
        <w:rPr>
          <w:sz w:val="22"/>
          <w:szCs w:val="24"/>
        </w:rPr>
        <w:t>as</w:t>
      </w:r>
      <w:proofErr w:type="spellEnd"/>
      <w:r w:rsidRPr="004A3318">
        <w:rPr>
          <w:sz w:val="22"/>
          <w:szCs w:val="24"/>
        </w:rPr>
        <w:t>);</w:t>
      </w:r>
    </w:p>
    <w:p w14:paraId="2717210A" w14:textId="00EFB19F" w:rsidR="00B341E8" w:rsidRPr="004A3318" w:rsidRDefault="00B341E8" w:rsidP="004A3318">
      <w:pPr>
        <w:pStyle w:val="Sraopastraipa"/>
        <w:numPr>
          <w:ilvl w:val="0"/>
          <w:numId w:val="9"/>
        </w:numPr>
        <w:ind w:left="1134" w:right="-2" w:hanging="567"/>
        <w:rPr>
          <w:sz w:val="22"/>
          <w:szCs w:val="24"/>
        </w:rPr>
      </w:pPr>
      <w:r w:rsidRPr="004A3318">
        <w:rPr>
          <w:sz w:val="22"/>
          <w:szCs w:val="24"/>
        </w:rPr>
        <w:t>bakterijų sukeltoms infekcijoms gydyti vartojam</w:t>
      </w:r>
      <w:r w:rsidR="004A3318">
        <w:rPr>
          <w:sz w:val="22"/>
          <w:szCs w:val="24"/>
        </w:rPr>
        <w:t>i</w:t>
      </w:r>
      <w:r w:rsidRPr="004A3318">
        <w:rPr>
          <w:sz w:val="22"/>
          <w:szCs w:val="24"/>
        </w:rPr>
        <w:t xml:space="preserve"> antibiotik</w:t>
      </w:r>
      <w:r w:rsidR="004A3318">
        <w:rPr>
          <w:sz w:val="22"/>
          <w:szCs w:val="24"/>
        </w:rPr>
        <w:t>ai</w:t>
      </w:r>
      <w:r w:rsidRPr="004A3318">
        <w:rPr>
          <w:sz w:val="22"/>
          <w:szCs w:val="24"/>
        </w:rPr>
        <w:t xml:space="preserve"> (pavyzdžiui, </w:t>
      </w:r>
      <w:proofErr w:type="spellStart"/>
      <w:r w:rsidRPr="004A3318">
        <w:rPr>
          <w:sz w:val="22"/>
          <w:szCs w:val="24"/>
        </w:rPr>
        <w:t>klaritromicin</w:t>
      </w:r>
      <w:r w:rsidR="004A3318">
        <w:rPr>
          <w:sz w:val="22"/>
          <w:szCs w:val="24"/>
        </w:rPr>
        <w:t>as</w:t>
      </w:r>
      <w:proofErr w:type="spellEnd"/>
      <w:r w:rsidRPr="004A3318">
        <w:rPr>
          <w:sz w:val="22"/>
          <w:szCs w:val="24"/>
        </w:rPr>
        <w:t xml:space="preserve">, </w:t>
      </w:r>
      <w:proofErr w:type="spellStart"/>
      <w:r w:rsidRPr="004A3318">
        <w:rPr>
          <w:sz w:val="22"/>
          <w:szCs w:val="24"/>
        </w:rPr>
        <w:t>telitromicin</w:t>
      </w:r>
      <w:r w:rsidR="004A3318">
        <w:rPr>
          <w:sz w:val="22"/>
          <w:szCs w:val="24"/>
        </w:rPr>
        <w:t>as</w:t>
      </w:r>
      <w:proofErr w:type="spellEnd"/>
      <w:r w:rsidRPr="004A3318">
        <w:rPr>
          <w:sz w:val="22"/>
          <w:szCs w:val="24"/>
        </w:rPr>
        <w:t xml:space="preserve">, </w:t>
      </w:r>
      <w:proofErr w:type="spellStart"/>
      <w:r w:rsidRPr="004A3318">
        <w:rPr>
          <w:sz w:val="22"/>
          <w:szCs w:val="24"/>
        </w:rPr>
        <w:t>ciprofloksacin</w:t>
      </w:r>
      <w:r w:rsidR="004A3318">
        <w:rPr>
          <w:sz w:val="22"/>
          <w:szCs w:val="24"/>
        </w:rPr>
        <w:t>as</w:t>
      </w:r>
      <w:proofErr w:type="spellEnd"/>
      <w:r w:rsidRPr="004A3318">
        <w:rPr>
          <w:sz w:val="22"/>
          <w:szCs w:val="24"/>
        </w:rPr>
        <w:t xml:space="preserve"> ar </w:t>
      </w:r>
      <w:proofErr w:type="spellStart"/>
      <w:r w:rsidRPr="004A3318">
        <w:rPr>
          <w:sz w:val="22"/>
          <w:szCs w:val="24"/>
        </w:rPr>
        <w:t>eritromicin</w:t>
      </w:r>
      <w:r w:rsidR="004A3318">
        <w:rPr>
          <w:sz w:val="22"/>
          <w:szCs w:val="24"/>
        </w:rPr>
        <w:t>as</w:t>
      </w:r>
      <w:proofErr w:type="spellEnd"/>
      <w:r w:rsidRPr="004A3318">
        <w:rPr>
          <w:sz w:val="22"/>
          <w:szCs w:val="24"/>
        </w:rPr>
        <w:t>);</w:t>
      </w:r>
    </w:p>
    <w:p w14:paraId="0E45E40B" w14:textId="264F2020" w:rsidR="00B341E8" w:rsidRPr="004A3318" w:rsidRDefault="00B341E8" w:rsidP="004A3318">
      <w:pPr>
        <w:pStyle w:val="Sraopastraipa"/>
        <w:numPr>
          <w:ilvl w:val="0"/>
          <w:numId w:val="9"/>
        </w:numPr>
        <w:ind w:left="1134" w:right="-2" w:hanging="567"/>
        <w:rPr>
          <w:sz w:val="22"/>
          <w:szCs w:val="24"/>
        </w:rPr>
      </w:pPr>
      <w:r w:rsidRPr="004A3318">
        <w:rPr>
          <w:sz w:val="22"/>
          <w:szCs w:val="24"/>
        </w:rPr>
        <w:t>virusų sukeltoms infekcijoms, įskaitant ŽIV sukeltą infekciją ar AIDS, gydyti vartojam</w:t>
      </w:r>
      <w:r w:rsidR="0069418C">
        <w:rPr>
          <w:sz w:val="22"/>
          <w:szCs w:val="24"/>
        </w:rPr>
        <w:t>i</w:t>
      </w:r>
      <w:r w:rsidRPr="004A3318">
        <w:rPr>
          <w:sz w:val="22"/>
          <w:szCs w:val="24"/>
        </w:rPr>
        <w:t xml:space="preserve"> vaist</w:t>
      </w:r>
      <w:r w:rsidR="0069418C">
        <w:rPr>
          <w:sz w:val="22"/>
          <w:szCs w:val="24"/>
        </w:rPr>
        <w:t>ai</w:t>
      </w:r>
      <w:r w:rsidRPr="004A3318">
        <w:rPr>
          <w:sz w:val="22"/>
          <w:szCs w:val="24"/>
        </w:rPr>
        <w:t xml:space="preserve"> (pavyzdžiui, </w:t>
      </w:r>
      <w:proofErr w:type="spellStart"/>
      <w:r w:rsidRPr="004A3318">
        <w:rPr>
          <w:sz w:val="22"/>
          <w:szCs w:val="24"/>
        </w:rPr>
        <w:t>amprenavir</w:t>
      </w:r>
      <w:r w:rsidR="0069418C">
        <w:rPr>
          <w:sz w:val="22"/>
          <w:szCs w:val="24"/>
        </w:rPr>
        <w:t>as</w:t>
      </w:r>
      <w:proofErr w:type="spellEnd"/>
      <w:r w:rsidRPr="004A3318">
        <w:rPr>
          <w:sz w:val="22"/>
          <w:szCs w:val="24"/>
        </w:rPr>
        <w:t xml:space="preserve">, </w:t>
      </w:r>
      <w:proofErr w:type="spellStart"/>
      <w:r w:rsidRPr="004A3318">
        <w:rPr>
          <w:sz w:val="22"/>
          <w:szCs w:val="24"/>
        </w:rPr>
        <w:t>atazanavir</w:t>
      </w:r>
      <w:r w:rsidR="0069418C">
        <w:rPr>
          <w:sz w:val="22"/>
          <w:szCs w:val="24"/>
        </w:rPr>
        <w:t>as</w:t>
      </w:r>
      <w:proofErr w:type="spellEnd"/>
      <w:r w:rsidRPr="004A3318">
        <w:rPr>
          <w:sz w:val="22"/>
          <w:szCs w:val="24"/>
        </w:rPr>
        <w:t xml:space="preserve">, </w:t>
      </w:r>
      <w:proofErr w:type="spellStart"/>
      <w:r w:rsidRPr="004A3318">
        <w:rPr>
          <w:sz w:val="22"/>
          <w:szCs w:val="24"/>
        </w:rPr>
        <w:t>indinavir</w:t>
      </w:r>
      <w:r w:rsidR="0069418C">
        <w:rPr>
          <w:sz w:val="22"/>
          <w:szCs w:val="24"/>
        </w:rPr>
        <w:t>as</w:t>
      </w:r>
      <w:proofErr w:type="spellEnd"/>
      <w:r w:rsidRPr="004A3318">
        <w:rPr>
          <w:sz w:val="22"/>
          <w:szCs w:val="24"/>
        </w:rPr>
        <w:t>, lopinavir</w:t>
      </w:r>
      <w:r w:rsidR="0069418C">
        <w:rPr>
          <w:sz w:val="22"/>
          <w:szCs w:val="24"/>
        </w:rPr>
        <w:t>as</w:t>
      </w:r>
      <w:r w:rsidRPr="004A3318">
        <w:rPr>
          <w:sz w:val="22"/>
          <w:szCs w:val="24"/>
        </w:rPr>
        <w:t>/ritonavir</w:t>
      </w:r>
      <w:r w:rsidR="0069418C">
        <w:rPr>
          <w:sz w:val="22"/>
          <w:szCs w:val="24"/>
        </w:rPr>
        <w:t>as</w:t>
      </w:r>
      <w:r w:rsidRPr="004A3318">
        <w:rPr>
          <w:sz w:val="22"/>
          <w:szCs w:val="24"/>
        </w:rPr>
        <w:t xml:space="preserve">, </w:t>
      </w:r>
      <w:proofErr w:type="spellStart"/>
      <w:r w:rsidRPr="004A3318">
        <w:rPr>
          <w:sz w:val="22"/>
          <w:szCs w:val="24"/>
        </w:rPr>
        <w:t>nelfinavir</w:t>
      </w:r>
      <w:r w:rsidR="0069418C">
        <w:rPr>
          <w:sz w:val="22"/>
          <w:szCs w:val="24"/>
        </w:rPr>
        <w:t>as</w:t>
      </w:r>
      <w:proofErr w:type="spellEnd"/>
      <w:r w:rsidRPr="004A3318">
        <w:rPr>
          <w:sz w:val="22"/>
          <w:szCs w:val="24"/>
        </w:rPr>
        <w:t>, ritonavir</w:t>
      </w:r>
      <w:r w:rsidR="0069418C">
        <w:rPr>
          <w:sz w:val="22"/>
          <w:szCs w:val="24"/>
        </w:rPr>
        <w:t>as</w:t>
      </w:r>
      <w:r w:rsidRPr="004A3318">
        <w:rPr>
          <w:sz w:val="22"/>
          <w:szCs w:val="24"/>
        </w:rPr>
        <w:t xml:space="preserve">, </w:t>
      </w:r>
      <w:proofErr w:type="spellStart"/>
      <w:r w:rsidRPr="004A3318">
        <w:rPr>
          <w:sz w:val="22"/>
          <w:szCs w:val="24"/>
        </w:rPr>
        <w:t>sakvinavir</w:t>
      </w:r>
      <w:r w:rsidR="0069418C">
        <w:rPr>
          <w:sz w:val="22"/>
          <w:szCs w:val="24"/>
        </w:rPr>
        <w:t>as</w:t>
      </w:r>
      <w:proofErr w:type="spellEnd"/>
      <w:r w:rsidRPr="004A3318">
        <w:rPr>
          <w:sz w:val="22"/>
          <w:szCs w:val="24"/>
        </w:rPr>
        <w:t>);</w:t>
      </w:r>
    </w:p>
    <w:p w14:paraId="2A4A2A2D" w14:textId="6637FABA" w:rsidR="00B341E8" w:rsidRPr="004A3318" w:rsidRDefault="00B341E8" w:rsidP="004A3318">
      <w:pPr>
        <w:pStyle w:val="Sraopastraipa"/>
        <w:numPr>
          <w:ilvl w:val="0"/>
          <w:numId w:val="9"/>
        </w:numPr>
        <w:ind w:left="1134" w:right="-2" w:hanging="567"/>
        <w:rPr>
          <w:sz w:val="22"/>
          <w:szCs w:val="24"/>
        </w:rPr>
      </w:pPr>
      <w:r w:rsidRPr="004A3318">
        <w:rPr>
          <w:sz w:val="22"/>
          <w:szCs w:val="24"/>
        </w:rPr>
        <w:t>hepatitui C gydyti vartojam</w:t>
      </w:r>
      <w:r w:rsidR="0069418C">
        <w:rPr>
          <w:sz w:val="22"/>
          <w:szCs w:val="24"/>
        </w:rPr>
        <w:t>i</w:t>
      </w:r>
      <w:r w:rsidRPr="004A3318">
        <w:rPr>
          <w:sz w:val="22"/>
          <w:szCs w:val="24"/>
        </w:rPr>
        <w:t xml:space="preserve"> vaist</w:t>
      </w:r>
      <w:r w:rsidR="0069418C">
        <w:rPr>
          <w:sz w:val="22"/>
          <w:szCs w:val="24"/>
        </w:rPr>
        <w:t>ai</w:t>
      </w:r>
      <w:r w:rsidRPr="004A3318">
        <w:rPr>
          <w:sz w:val="22"/>
          <w:szCs w:val="24"/>
        </w:rPr>
        <w:t xml:space="preserve"> (</w:t>
      </w:r>
      <w:proofErr w:type="spellStart"/>
      <w:r w:rsidRPr="004A3318">
        <w:rPr>
          <w:sz w:val="22"/>
          <w:szCs w:val="24"/>
        </w:rPr>
        <w:t>boceprevir</w:t>
      </w:r>
      <w:r w:rsidR="0069418C">
        <w:rPr>
          <w:sz w:val="22"/>
          <w:szCs w:val="24"/>
        </w:rPr>
        <w:t>as</w:t>
      </w:r>
      <w:proofErr w:type="spellEnd"/>
      <w:r w:rsidRPr="004A3318">
        <w:rPr>
          <w:sz w:val="22"/>
          <w:szCs w:val="24"/>
        </w:rPr>
        <w:t xml:space="preserve">, </w:t>
      </w:r>
      <w:proofErr w:type="spellStart"/>
      <w:r w:rsidRPr="004A3318">
        <w:rPr>
          <w:sz w:val="22"/>
          <w:szCs w:val="24"/>
        </w:rPr>
        <w:t>telaprevir</w:t>
      </w:r>
      <w:r w:rsidR="0069418C">
        <w:rPr>
          <w:sz w:val="22"/>
          <w:szCs w:val="24"/>
        </w:rPr>
        <w:t>as</w:t>
      </w:r>
      <w:proofErr w:type="spellEnd"/>
      <w:r w:rsidRPr="004A3318">
        <w:rPr>
          <w:sz w:val="22"/>
          <w:szCs w:val="24"/>
        </w:rPr>
        <w:t>).</w:t>
      </w:r>
    </w:p>
    <w:p w14:paraId="7A40D251" w14:textId="287C94D5" w:rsidR="00B341E8" w:rsidRPr="004A3318" w:rsidRDefault="00B341E8" w:rsidP="004A3318">
      <w:pPr>
        <w:pStyle w:val="Sraopastraipa"/>
        <w:numPr>
          <w:ilvl w:val="0"/>
          <w:numId w:val="9"/>
        </w:numPr>
        <w:ind w:left="567" w:right="-2" w:hanging="567"/>
        <w:rPr>
          <w:sz w:val="22"/>
          <w:szCs w:val="24"/>
        </w:rPr>
      </w:pPr>
      <w:r w:rsidRPr="004A3318">
        <w:rPr>
          <w:sz w:val="22"/>
          <w:szCs w:val="24"/>
        </w:rPr>
        <w:t>Depresijai gydyti vartojamas vaistas (</w:t>
      </w:r>
      <w:proofErr w:type="spellStart"/>
      <w:r w:rsidRPr="004A3318">
        <w:rPr>
          <w:sz w:val="22"/>
          <w:szCs w:val="24"/>
        </w:rPr>
        <w:t>nefazodonas</w:t>
      </w:r>
      <w:proofErr w:type="spellEnd"/>
      <w:r w:rsidRPr="004A3318">
        <w:rPr>
          <w:sz w:val="22"/>
          <w:szCs w:val="24"/>
        </w:rPr>
        <w:t>).</w:t>
      </w:r>
    </w:p>
    <w:p w14:paraId="32C3DE1E" w14:textId="09ADF26E" w:rsidR="00B341E8" w:rsidRPr="004A3318" w:rsidRDefault="00B341E8" w:rsidP="004A3318">
      <w:pPr>
        <w:pStyle w:val="Sraopastraipa"/>
        <w:numPr>
          <w:ilvl w:val="0"/>
          <w:numId w:val="9"/>
        </w:numPr>
        <w:ind w:left="567" w:right="-2" w:hanging="567"/>
        <w:rPr>
          <w:sz w:val="22"/>
          <w:szCs w:val="24"/>
        </w:rPr>
      </w:pPr>
      <w:r w:rsidRPr="004A3318">
        <w:rPr>
          <w:sz w:val="22"/>
          <w:szCs w:val="24"/>
        </w:rPr>
        <w:t>Aukštam kraujospūdžiui (hipertenzijai) ir spaudimui, sunkumui ar skausmui krūtinėje (lėtinei krūtinės anginai) gydyti vartojami vaistai (</w:t>
      </w:r>
      <w:proofErr w:type="spellStart"/>
      <w:r w:rsidRPr="004A3318">
        <w:rPr>
          <w:sz w:val="22"/>
          <w:szCs w:val="24"/>
        </w:rPr>
        <w:t>mibefradilis</w:t>
      </w:r>
      <w:proofErr w:type="spellEnd"/>
      <w:r w:rsidRPr="004A3318">
        <w:rPr>
          <w:sz w:val="22"/>
          <w:szCs w:val="24"/>
        </w:rPr>
        <w:t xml:space="preserve"> ar </w:t>
      </w:r>
      <w:proofErr w:type="spellStart"/>
      <w:r w:rsidRPr="004A3318">
        <w:rPr>
          <w:sz w:val="22"/>
          <w:szCs w:val="24"/>
        </w:rPr>
        <w:t>diltiazemas</w:t>
      </w:r>
      <w:proofErr w:type="spellEnd"/>
      <w:r w:rsidRPr="004A3318">
        <w:rPr>
          <w:sz w:val="22"/>
          <w:szCs w:val="24"/>
        </w:rPr>
        <w:t>).</w:t>
      </w:r>
    </w:p>
    <w:p w14:paraId="1F2CF91F" w14:textId="4C3B6330" w:rsidR="00B341E8" w:rsidRPr="004A3318" w:rsidRDefault="00B341E8" w:rsidP="004A3318">
      <w:pPr>
        <w:pStyle w:val="Sraopastraipa"/>
        <w:numPr>
          <w:ilvl w:val="0"/>
          <w:numId w:val="9"/>
        </w:numPr>
        <w:ind w:left="567" w:right="-2" w:hanging="567"/>
        <w:rPr>
          <w:sz w:val="22"/>
          <w:szCs w:val="24"/>
        </w:rPr>
      </w:pPr>
      <w:r w:rsidRPr="004A3318">
        <w:rPr>
          <w:sz w:val="22"/>
          <w:szCs w:val="24"/>
        </w:rPr>
        <w:t>Rėmeniui gydyti vartojamas vaistas (</w:t>
      </w:r>
      <w:proofErr w:type="spellStart"/>
      <w:r w:rsidRPr="004A3318">
        <w:rPr>
          <w:sz w:val="22"/>
          <w:szCs w:val="24"/>
        </w:rPr>
        <w:t>cimetidinas</w:t>
      </w:r>
      <w:proofErr w:type="spellEnd"/>
      <w:r w:rsidRPr="004A3318">
        <w:rPr>
          <w:sz w:val="22"/>
          <w:szCs w:val="24"/>
        </w:rPr>
        <w:t>).</w:t>
      </w:r>
    </w:p>
    <w:p w14:paraId="1B5DD409" w14:textId="406E6F69" w:rsidR="00B341E8" w:rsidRPr="004A3318" w:rsidRDefault="00B341E8" w:rsidP="004A3318">
      <w:pPr>
        <w:pStyle w:val="Sraopastraipa"/>
        <w:numPr>
          <w:ilvl w:val="0"/>
          <w:numId w:val="9"/>
        </w:numPr>
        <w:ind w:left="567" w:right="-2" w:hanging="567"/>
        <w:rPr>
          <w:sz w:val="22"/>
          <w:szCs w:val="24"/>
        </w:rPr>
      </w:pPr>
      <w:r w:rsidRPr="004A3318">
        <w:rPr>
          <w:sz w:val="22"/>
          <w:szCs w:val="24"/>
        </w:rPr>
        <w:t>Širdies ligai gydyti vartojamas vaistas (</w:t>
      </w:r>
      <w:proofErr w:type="spellStart"/>
      <w:r w:rsidRPr="004A3318">
        <w:rPr>
          <w:sz w:val="22"/>
          <w:szCs w:val="24"/>
        </w:rPr>
        <w:t>avasimibas</w:t>
      </w:r>
      <w:proofErr w:type="spellEnd"/>
      <w:r w:rsidRPr="004A3318">
        <w:rPr>
          <w:sz w:val="22"/>
          <w:szCs w:val="24"/>
        </w:rPr>
        <w:t>).</w:t>
      </w:r>
    </w:p>
    <w:p w14:paraId="737D5E15" w14:textId="5A181FAB" w:rsidR="00B341E8" w:rsidRPr="004A3318" w:rsidRDefault="00B341E8" w:rsidP="004A3318">
      <w:pPr>
        <w:pStyle w:val="Sraopastraipa"/>
        <w:numPr>
          <w:ilvl w:val="0"/>
          <w:numId w:val="9"/>
        </w:numPr>
        <w:ind w:left="567" w:right="-2" w:hanging="567"/>
        <w:rPr>
          <w:sz w:val="22"/>
          <w:szCs w:val="24"/>
        </w:rPr>
      </w:pPr>
      <w:r w:rsidRPr="004A3318">
        <w:rPr>
          <w:sz w:val="22"/>
          <w:szCs w:val="24"/>
        </w:rPr>
        <w:t>Vaistai, vartojami traukuliams ar priepuoliams slopinti (</w:t>
      </w:r>
      <w:proofErr w:type="spellStart"/>
      <w:r w:rsidRPr="004A3318">
        <w:rPr>
          <w:sz w:val="22"/>
          <w:szCs w:val="24"/>
        </w:rPr>
        <w:t>fenitoinas</w:t>
      </w:r>
      <w:proofErr w:type="spellEnd"/>
      <w:r w:rsidRPr="004A3318">
        <w:rPr>
          <w:sz w:val="22"/>
          <w:szCs w:val="24"/>
        </w:rPr>
        <w:t xml:space="preserve">, </w:t>
      </w:r>
      <w:proofErr w:type="spellStart"/>
      <w:r w:rsidRPr="004A3318">
        <w:rPr>
          <w:sz w:val="22"/>
          <w:szCs w:val="24"/>
        </w:rPr>
        <w:t>karbamazepinas</w:t>
      </w:r>
      <w:proofErr w:type="spellEnd"/>
      <w:r w:rsidRPr="004A3318">
        <w:rPr>
          <w:sz w:val="22"/>
          <w:szCs w:val="24"/>
        </w:rPr>
        <w:t xml:space="preserve">, </w:t>
      </w:r>
      <w:proofErr w:type="spellStart"/>
      <w:r w:rsidRPr="004A3318">
        <w:rPr>
          <w:sz w:val="22"/>
          <w:szCs w:val="24"/>
        </w:rPr>
        <w:t>fenobarbitalis</w:t>
      </w:r>
      <w:proofErr w:type="spellEnd"/>
      <w:r w:rsidRPr="004A3318">
        <w:rPr>
          <w:sz w:val="22"/>
          <w:szCs w:val="24"/>
        </w:rPr>
        <w:t xml:space="preserve"> ir kiti vaistai nuo epilepsijos).</w:t>
      </w:r>
    </w:p>
    <w:p w14:paraId="2B8F3967" w14:textId="70D21655" w:rsidR="00B341E8" w:rsidRPr="004A3318" w:rsidRDefault="00B341E8" w:rsidP="004A3318">
      <w:pPr>
        <w:pStyle w:val="Sraopastraipa"/>
        <w:numPr>
          <w:ilvl w:val="0"/>
          <w:numId w:val="9"/>
        </w:numPr>
        <w:ind w:left="567" w:right="-2" w:hanging="567"/>
        <w:rPr>
          <w:sz w:val="22"/>
          <w:szCs w:val="24"/>
        </w:rPr>
      </w:pPr>
      <w:r w:rsidRPr="004A3318">
        <w:rPr>
          <w:sz w:val="22"/>
          <w:szCs w:val="24"/>
        </w:rPr>
        <w:t>Tuberkuliozei gydyti vartojami vaistai (</w:t>
      </w:r>
      <w:proofErr w:type="spellStart"/>
      <w:r w:rsidRPr="004A3318">
        <w:rPr>
          <w:sz w:val="22"/>
          <w:szCs w:val="24"/>
        </w:rPr>
        <w:t>rifabutinas</w:t>
      </w:r>
      <w:proofErr w:type="spellEnd"/>
      <w:r w:rsidRPr="004A3318">
        <w:rPr>
          <w:sz w:val="22"/>
          <w:szCs w:val="24"/>
        </w:rPr>
        <w:t xml:space="preserve"> ar </w:t>
      </w:r>
      <w:proofErr w:type="spellStart"/>
      <w:r w:rsidRPr="004A3318">
        <w:rPr>
          <w:sz w:val="22"/>
          <w:szCs w:val="24"/>
        </w:rPr>
        <w:t>rifampicinas</w:t>
      </w:r>
      <w:proofErr w:type="spellEnd"/>
      <w:r w:rsidRPr="004A3318">
        <w:rPr>
          <w:sz w:val="22"/>
          <w:szCs w:val="24"/>
        </w:rPr>
        <w:t>).</w:t>
      </w:r>
    </w:p>
    <w:p w14:paraId="0089FDAC" w14:textId="3CC9601F" w:rsidR="00B341E8" w:rsidRPr="004A3318" w:rsidRDefault="00B341E8" w:rsidP="004A3318">
      <w:pPr>
        <w:pStyle w:val="Sraopastraipa"/>
        <w:numPr>
          <w:ilvl w:val="0"/>
          <w:numId w:val="9"/>
        </w:numPr>
        <w:ind w:left="567" w:right="-2" w:hanging="567"/>
        <w:rPr>
          <w:sz w:val="22"/>
          <w:szCs w:val="24"/>
        </w:rPr>
      </w:pPr>
      <w:r w:rsidRPr="004A3318">
        <w:rPr>
          <w:sz w:val="22"/>
          <w:szCs w:val="24"/>
        </w:rPr>
        <w:t>Depresijai gydyti vartojami augaliniai vaistai (Jonažolės (</w:t>
      </w:r>
      <w:proofErr w:type="spellStart"/>
      <w:r w:rsidRPr="0069418C">
        <w:rPr>
          <w:i/>
          <w:iCs/>
          <w:sz w:val="22"/>
          <w:szCs w:val="24"/>
        </w:rPr>
        <w:t>Hypericum</w:t>
      </w:r>
      <w:proofErr w:type="spellEnd"/>
      <w:r w:rsidRPr="0069418C">
        <w:rPr>
          <w:i/>
          <w:iCs/>
          <w:sz w:val="22"/>
          <w:szCs w:val="24"/>
        </w:rPr>
        <w:t xml:space="preserve"> </w:t>
      </w:r>
      <w:proofErr w:type="spellStart"/>
      <w:r w:rsidRPr="0069418C">
        <w:rPr>
          <w:i/>
          <w:iCs/>
          <w:sz w:val="22"/>
          <w:szCs w:val="24"/>
        </w:rPr>
        <w:t>perforatum</w:t>
      </w:r>
      <w:proofErr w:type="spellEnd"/>
      <w:r w:rsidRPr="004A3318">
        <w:rPr>
          <w:sz w:val="22"/>
          <w:szCs w:val="24"/>
        </w:rPr>
        <w:t>) preparatai).</w:t>
      </w:r>
    </w:p>
    <w:p w14:paraId="028A9FB5" w14:textId="2404DD3A" w:rsidR="008D3B35" w:rsidRPr="003F564F" w:rsidRDefault="00B341E8" w:rsidP="00B341E8">
      <w:pPr>
        <w:numPr>
          <w:ilvl w:val="12"/>
          <w:numId w:val="0"/>
        </w:numPr>
        <w:ind w:right="-2"/>
        <w:rPr>
          <w:sz w:val="22"/>
          <w:szCs w:val="24"/>
        </w:rPr>
      </w:pPr>
      <w:r w:rsidRPr="003F564F">
        <w:rPr>
          <w:sz w:val="22"/>
          <w:szCs w:val="24"/>
        </w:rPr>
        <w:t xml:space="preserve">Pasitarkite su gydytoju, jei nesate tikri ar </w:t>
      </w:r>
      <w:r w:rsidR="0069418C" w:rsidRPr="003F564F">
        <w:rPr>
          <w:sz w:val="22"/>
          <w:szCs w:val="24"/>
        </w:rPr>
        <w:t>aukščiau</w:t>
      </w:r>
      <w:r w:rsidRPr="003F564F">
        <w:rPr>
          <w:sz w:val="22"/>
          <w:szCs w:val="24"/>
        </w:rPr>
        <w:t xml:space="preserve"> išvardyti punktai Jums tinka.</w:t>
      </w:r>
    </w:p>
    <w:p w14:paraId="00D82196" w14:textId="77777777" w:rsidR="00B341E8" w:rsidRPr="003F564F" w:rsidRDefault="00B341E8" w:rsidP="00B341E8">
      <w:pPr>
        <w:numPr>
          <w:ilvl w:val="12"/>
          <w:numId w:val="0"/>
        </w:numPr>
        <w:ind w:right="-2"/>
        <w:rPr>
          <w:sz w:val="22"/>
          <w:szCs w:val="24"/>
        </w:rPr>
      </w:pPr>
    </w:p>
    <w:p w14:paraId="017A0EBA" w14:textId="4BDAD84E" w:rsidR="008D3B35" w:rsidRPr="003F564F" w:rsidRDefault="00AB4978">
      <w:pPr>
        <w:keepNext/>
        <w:tabs>
          <w:tab w:val="left" w:pos="567"/>
        </w:tabs>
        <w:spacing w:line="260" w:lineRule="exact"/>
        <w:jc w:val="both"/>
        <w:outlineLvl w:val="3"/>
        <w:rPr>
          <w:b/>
          <w:bCs/>
          <w:sz w:val="22"/>
          <w:szCs w:val="28"/>
          <w:lang w:eastAsia="x-none"/>
        </w:rPr>
      </w:pPr>
      <w:r w:rsidRPr="003F564F">
        <w:rPr>
          <w:b/>
          <w:bCs/>
          <w:sz w:val="22"/>
          <w:szCs w:val="28"/>
          <w:lang w:eastAsia="x-none"/>
        </w:rPr>
        <w:t>Nėštumas</w:t>
      </w:r>
      <w:r w:rsidR="0069418C">
        <w:rPr>
          <w:b/>
          <w:bCs/>
          <w:sz w:val="22"/>
          <w:szCs w:val="28"/>
          <w:lang w:eastAsia="x-none"/>
        </w:rPr>
        <w:t>,</w:t>
      </w:r>
      <w:r w:rsidRPr="003F564F">
        <w:rPr>
          <w:b/>
          <w:bCs/>
          <w:sz w:val="22"/>
          <w:szCs w:val="28"/>
          <w:lang w:eastAsia="x-none"/>
        </w:rPr>
        <w:t xml:space="preserve"> žindymo laikotarpis ir </w:t>
      </w:r>
      <w:r w:rsidR="0069418C" w:rsidRPr="0013032B">
        <w:rPr>
          <w:b/>
          <w:bCs/>
          <w:sz w:val="22"/>
          <w:szCs w:val="28"/>
          <w:lang w:eastAsia="x-none"/>
        </w:rPr>
        <w:t>kontracepcija</w:t>
      </w:r>
    </w:p>
    <w:p w14:paraId="46E2FA2E" w14:textId="51A3A6AE" w:rsidR="00B341E8" w:rsidRPr="0013032B" w:rsidRDefault="00B341E8" w:rsidP="00B341E8">
      <w:pPr>
        <w:numPr>
          <w:ilvl w:val="12"/>
          <w:numId w:val="0"/>
        </w:numPr>
        <w:rPr>
          <w:i/>
          <w:iCs/>
          <w:sz w:val="22"/>
          <w:szCs w:val="24"/>
        </w:rPr>
      </w:pPr>
      <w:r w:rsidRPr="0013032B">
        <w:rPr>
          <w:i/>
          <w:iCs/>
          <w:sz w:val="22"/>
          <w:szCs w:val="24"/>
        </w:rPr>
        <w:t>Nėštumas</w:t>
      </w:r>
    </w:p>
    <w:p w14:paraId="223E6C65" w14:textId="07D044C5" w:rsidR="00B341E8" w:rsidRPr="0013032B" w:rsidRDefault="00B341E8" w:rsidP="0013032B">
      <w:pPr>
        <w:pStyle w:val="Sraopastraipa"/>
        <w:numPr>
          <w:ilvl w:val="0"/>
          <w:numId w:val="10"/>
        </w:numPr>
        <w:ind w:left="567" w:hanging="567"/>
        <w:rPr>
          <w:sz w:val="22"/>
          <w:szCs w:val="24"/>
        </w:rPr>
      </w:pPr>
      <w:r w:rsidRPr="0013032B">
        <w:rPr>
          <w:sz w:val="22"/>
          <w:szCs w:val="24"/>
        </w:rPr>
        <w:t>Jeigu esate nėščia, manote, kad galbūt esate nėščia arba planuojate pastoti, tai prieš vartodama šį vaistą pasitarkite su gydytoju arba vaistininku.</w:t>
      </w:r>
    </w:p>
    <w:p w14:paraId="4FD11D8E" w14:textId="30DF2AA9" w:rsidR="00B341E8" w:rsidRPr="0013032B" w:rsidRDefault="008B09E3" w:rsidP="0013032B">
      <w:pPr>
        <w:pStyle w:val="Sraopastraipa"/>
        <w:numPr>
          <w:ilvl w:val="0"/>
          <w:numId w:val="10"/>
        </w:numPr>
        <w:ind w:left="567" w:hanging="567"/>
        <w:rPr>
          <w:sz w:val="22"/>
          <w:szCs w:val="24"/>
        </w:rPr>
      </w:pPr>
      <w:proofErr w:type="spellStart"/>
      <w:r>
        <w:rPr>
          <w:sz w:val="22"/>
          <w:szCs w:val="24"/>
        </w:rPr>
        <w:t>Ruxolitinib</w:t>
      </w:r>
      <w:proofErr w:type="spellEnd"/>
      <w:r>
        <w:rPr>
          <w:sz w:val="22"/>
          <w:szCs w:val="24"/>
        </w:rPr>
        <w:t xml:space="preserve"> </w:t>
      </w:r>
      <w:proofErr w:type="spellStart"/>
      <w:r>
        <w:rPr>
          <w:sz w:val="22"/>
          <w:szCs w:val="24"/>
        </w:rPr>
        <w:t>Sandoz</w:t>
      </w:r>
      <w:proofErr w:type="spellEnd"/>
      <w:r w:rsidR="00B341E8" w:rsidRPr="0013032B">
        <w:rPr>
          <w:sz w:val="22"/>
          <w:szCs w:val="24"/>
        </w:rPr>
        <w:t xml:space="preserve"> </w:t>
      </w:r>
      <w:r w:rsidR="0013032B">
        <w:rPr>
          <w:sz w:val="22"/>
          <w:szCs w:val="24"/>
        </w:rPr>
        <w:t>draudžiama</w:t>
      </w:r>
      <w:r w:rsidR="00B341E8" w:rsidRPr="0013032B">
        <w:rPr>
          <w:sz w:val="22"/>
          <w:szCs w:val="24"/>
        </w:rPr>
        <w:t xml:space="preserve"> vartoti nėštumo metu (žr.</w:t>
      </w:r>
      <w:r w:rsidR="0013032B">
        <w:rPr>
          <w:sz w:val="22"/>
          <w:szCs w:val="24"/>
        </w:rPr>
        <w:t> </w:t>
      </w:r>
      <w:r w:rsidR="00B341E8" w:rsidRPr="0013032B">
        <w:rPr>
          <w:sz w:val="22"/>
          <w:szCs w:val="24"/>
        </w:rPr>
        <w:t>2</w:t>
      </w:r>
      <w:r w:rsidR="0013032B">
        <w:rPr>
          <w:sz w:val="22"/>
          <w:szCs w:val="24"/>
        </w:rPr>
        <w:t> </w:t>
      </w:r>
      <w:r w:rsidR="00B341E8" w:rsidRPr="0013032B">
        <w:rPr>
          <w:sz w:val="22"/>
          <w:szCs w:val="24"/>
        </w:rPr>
        <w:t>skyrių „</w:t>
      </w:r>
      <w:proofErr w:type="spellStart"/>
      <w:r>
        <w:rPr>
          <w:sz w:val="22"/>
          <w:szCs w:val="24"/>
        </w:rPr>
        <w:t>Ruxolitinib</w:t>
      </w:r>
      <w:proofErr w:type="spellEnd"/>
      <w:r>
        <w:rPr>
          <w:sz w:val="22"/>
          <w:szCs w:val="24"/>
        </w:rPr>
        <w:t xml:space="preserve"> </w:t>
      </w:r>
      <w:proofErr w:type="spellStart"/>
      <w:r>
        <w:rPr>
          <w:sz w:val="22"/>
          <w:szCs w:val="24"/>
        </w:rPr>
        <w:t>Sandoz</w:t>
      </w:r>
      <w:proofErr w:type="spellEnd"/>
      <w:r w:rsidR="00B341E8" w:rsidRPr="0013032B">
        <w:rPr>
          <w:sz w:val="22"/>
          <w:szCs w:val="24"/>
        </w:rPr>
        <w:t xml:space="preserve"> vartoti draudžiama“).</w:t>
      </w:r>
    </w:p>
    <w:p w14:paraId="14DF532D" w14:textId="77777777" w:rsidR="00B341E8" w:rsidRPr="003F564F" w:rsidRDefault="00B341E8" w:rsidP="00B341E8">
      <w:pPr>
        <w:numPr>
          <w:ilvl w:val="12"/>
          <w:numId w:val="0"/>
        </w:numPr>
        <w:rPr>
          <w:sz w:val="22"/>
          <w:szCs w:val="24"/>
        </w:rPr>
      </w:pPr>
    </w:p>
    <w:p w14:paraId="2467B9A3" w14:textId="621D30A0" w:rsidR="00B341E8" w:rsidRPr="0013032B" w:rsidRDefault="00B341E8" w:rsidP="00B341E8">
      <w:pPr>
        <w:numPr>
          <w:ilvl w:val="12"/>
          <w:numId w:val="0"/>
        </w:numPr>
        <w:rPr>
          <w:i/>
          <w:iCs/>
          <w:sz w:val="22"/>
          <w:szCs w:val="24"/>
        </w:rPr>
      </w:pPr>
      <w:r w:rsidRPr="0013032B">
        <w:rPr>
          <w:i/>
          <w:iCs/>
          <w:sz w:val="22"/>
          <w:szCs w:val="24"/>
        </w:rPr>
        <w:t>Žindymo laikotarpis</w:t>
      </w:r>
    </w:p>
    <w:p w14:paraId="2E34CD43" w14:textId="1296B669" w:rsidR="00B341E8" w:rsidRPr="0013032B" w:rsidRDefault="008B09E3" w:rsidP="0013032B">
      <w:pPr>
        <w:pStyle w:val="Sraopastraipa"/>
        <w:numPr>
          <w:ilvl w:val="0"/>
          <w:numId w:val="10"/>
        </w:numPr>
        <w:ind w:left="567" w:hanging="567"/>
        <w:rPr>
          <w:sz w:val="22"/>
          <w:szCs w:val="24"/>
        </w:rPr>
      </w:pPr>
      <w:proofErr w:type="spellStart"/>
      <w:r>
        <w:rPr>
          <w:sz w:val="22"/>
          <w:szCs w:val="24"/>
        </w:rPr>
        <w:t>Ruxolitinib</w:t>
      </w:r>
      <w:proofErr w:type="spellEnd"/>
      <w:r>
        <w:rPr>
          <w:sz w:val="22"/>
          <w:szCs w:val="24"/>
        </w:rPr>
        <w:t xml:space="preserve"> </w:t>
      </w:r>
      <w:proofErr w:type="spellStart"/>
      <w:r>
        <w:rPr>
          <w:sz w:val="22"/>
          <w:szCs w:val="24"/>
        </w:rPr>
        <w:t>Sandoz</w:t>
      </w:r>
      <w:proofErr w:type="spellEnd"/>
      <w:r w:rsidR="00B341E8" w:rsidRPr="0013032B">
        <w:rPr>
          <w:sz w:val="22"/>
          <w:szCs w:val="24"/>
        </w:rPr>
        <w:t xml:space="preserve"> vartojimo metu negalima žindyti kūdikio (žr.</w:t>
      </w:r>
      <w:r w:rsidR="0013032B">
        <w:rPr>
          <w:sz w:val="22"/>
          <w:szCs w:val="24"/>
        </w:rPr>
        <w:t> </w:t>
      </w:r>
      <w:r w:rsidR="00B341E8" w:rsidRPr="0013032B">
        <w:rPr>
          <w:sz w:val="22"/>
          <w:szCs w:val="24"/>
        </w:rPr>
        <w:t>2</w:t>
      </w:r>
      <w:r w:rsidR="0013032B">
        <w:rPr>
          <w:sz w:val="22"/>
          <w:szCs w:val="24"/>
        </w:rPr>
        <w:t> </w:t>
      </w:r>
      <w:r w:rsidR="00B341E8" w:rsidRPr="0013032B">
        <w:rPr>
          <w:sz w:val="22"/>
          <w:szCs w:val="24"/>
        </w:rPr>
        <w:t>skyrių „</w:t>
      </w:r>
      <w:proofErr w:type="spellStart"/>
      <w:r>
        <w:rPr>
          <w:sz w:val="22"/>
          <w:szCs w:val="24"/>
        </w:rPr>
        <w:t>Ruxolitinib</w:t>
      </w:r>
      <w:proofErr w:type="spellEnd"/>
      <w:r>
        <w:rPr>
          <w:sz w:val="22"/>
          <w:szCs w:val="24"/>
        </w:rPr>
        <w:t xml:space="preserve"> </w:t>
      </w:r>
      <w:proofErr w:type="spellStart"/>
      <w:r>
        <w:rPr>
          <w:sz w:val="22"/>
          <w:szCs w:val="24"/>
        </w:rPr>
        <w:t>Sandoz</w:t>
      </w:r>
      <w:proofErr w:type="spellEnd"/>
      <w:r w:rsidR="00B341E8" w:rsidRPr="0013032B">
        <w:rPr>
          <w:sz w:val="22"/>
          <w:szCs w:val="24"/>
        </w:rPr>
        <w:t xml:space="preserve"> vartoti draudžiama“).</w:t>
      </w:r>
      <w:r w:rsidR="0013032B" w:rsidRPr="0013032B">
        <w:rPr>
          <w:sz w:val="22"/>
          <w:szCs w:val="24"/>
        </w:rPr>
        <w:t xml:space="preserve"> </w:t>
      </w:r>
      <w:r w:rsidR="00B341E8" w:rsidRPr="0013032B">
        <w:rPr>
          <w:sz w:val="22"/>
          <w:szCs w:val="24"/>
        </w:rPr>
        <w:t>Klauskite gydytojo patarimo.</w:t>
      </w:r>
    </w:p>
    <w:p w14:paraId="086D3C9E" w14:textId="77777777" w:rsidR="00B341E8" w:rsidRPr="003F564F" w:rsidRDefault="00B341E8" w:rsidP="00B341E8">
      <w:pPr>
        <w:numPr>
          <w:ilvl w:val="12"/>
          <w:numId w:val="0"/>
        </w:numPr>
        <w:rPr>
          <w:sz w:val="22"/>
          <w:szCs w:val="24"/>
        </w:rPr>
      </w:pPr>
    </w:p>
    <w:p w14:paraId="3AB350E4" w14:textId="5686B226" w:rsidR="00B341E8" w:rsidRPr="0013032B" w:rsidRDefault="00B341E8" w:rsidP="00B341E8">
      <w:pPr>
        <w:numPr>
          <w:ilvl w:val="12"/>
          <w:numId w:val="0"/>
        </w:numPr>
        <w:rPr>
          <w:i/>
          <w:iCs/>
          <w:sz w:val="22"/>
          <w:szCs w:val="24"/>
        </w:rPr>
      </w:pPr>
      <w:r w:rsidRPr="0013032B">
        <w:rPr>
          <w:i/>
          <w:iCs/>
          <w:sz w:val="22"/>
          <w:szCs w:val="24"/>
        </w:rPr>
        <w:t>Kontracepcija</w:t>
      </w:r>
    </w:p>
    <w:p w14:paraId="74809C3E" w14:textId="001F25E7" w:rsidR="00B341E8" w:rsidRPr="0013032B" w:rsidRDefault="00B341E8" w:rsidP="0013032B">
      <w:pPr>
        <w:pStyle w:val="Sraopastraipa"/>
        <w:numPr>
          <w:ilvl w:val="0"/>
          <w:numId w:val="10"/>
        </w:numPr>
        <w:ind w:left="567" w:hanging="567"/>
        <w:rPr>
          <w:sz w:val="22"/>
          <w:szCs w:val="24"/>
        </w:rPr>
      </w:pPr>
      <w:r w:rsidRPr="0013032B">
        <w:rPr>
          <w:sz w:val="22"/>
          <w:szCs w:val="24"/>
        </w:rPr>
        <w:t xml:space="preserve">Galinčioms pastoti moterims, kurios nenaudoja kontracepcijos priemonių, </w:t>
      </w:r>
      <w:proofErr w:type="spellStart"/>
      <w:r w:rsidR="008B09E3">
        <w:rPr>
          <w:sz w:val="22"/>
          <w:szCs w:val="24"/>
        </w:rPr>
        <w:t>Ruxolitinib</w:t>
      </w:r>
      <w:proofErr w:type="spellEnd"/>
      <w:r w:rsidR="008B09E3">
        <w:rPr>
          <w:sz w:val="22"/>
          <w:szCs w:val="24"/>
        </w:rPr>
        <w:t xml:space="preserve"> </w:t>
      </w:r>
      <w:proofErr w:type="spellStart"/>
      <w:r w:rsidR="008B09E3">
        <w:rPr>
          <w:sz w:val="22"/>
          <w:szCs w:val="24"/>
        </w:rPr>
        <w:t>Sandoz</w:t>
      </w:r>
      <w:proofErr w:type="spellEnd"/>
      <w:r w:rsidRPr="0013032B">
        <w:rPr>
          <w:sz w:val="22"/>
          <w:szCs w:val="24"/>
        </w:rPr>
        <w:t xml:space="preserve"> vartoti nerekomenduojama. Pasitarkite su gydytoju apie tai, kokių tinkamų kontracepcijos priemonių reikėtų vartoti gydymosi </w:t>
      </w:r>
      <w:proofErr w:type="spellStart"/>
      <w:r w:rsidR="008B09E3">
        <w:rPr>
          <w:sz w:val="22"/>
          <w:szCs w:val="24"/>
        </w:rPr>
        <w:t>Ruxolitinib</w:t>
      </w:r>
      <w:proofErr w:type="spellEnd"/>
      <w:r w:rsidR="008B09E3">
        <w:rPr>
          <w:sz w:val="22"/>
          <w:szCs w:val="24"/>
        </w:rPr>
        <w:t xml:space="preserve"> </w:t>
      </w:r>
      <w:proofErr w:type="spellStart"/>
      <w:r w:rsidR="008B09E3">
        <w:rPr>
          <w:sz w:val="22"/>
          <w:szCs w:val="24"/>
        </w:rPr>
        <w:t>Sandoz</w:t>
      </w:r>
      <w:proofErr w:type="spellEnd"/>
      <w:r w:rsidRPr="0013032B">
        <w:rPr>
          <w:sz w:val="22"/>
          <w:szCs w:val="24"/>
        </w:rPr>
        <w:t xml:space="preserve"> metu.</w:t>
      </w:r>
    </w:p>
    <w:p w14:paraId="366CDBA9" w14:textId="344820A8" w:rsidR="008D3B35" w:rsidRPr="0013032B" w:rsidRDefault="00B341E8" w:rsidP="0013032B">
      <w:pPr>
        <w:pStyle w:val="Sraopastraipa"/>
        <w:numPr>
          <w:ilvl w:val="0"/>
          <w:numId w:val="10"/>
        </w:numPr>
        <w:ind w:left="567" w:hanging="567"/>
        <w:rPr>
          <w:sz w:val="22"/>
          <w:szCs w:val="24"/>
        </w:rPr>
      </w:pPr>
      <w:r w:rsidRPr="0013032B">
        <w:rPr>
          <w:sz w:val="22"/>
          <w:szCs w:val="24"/>
        </w:rPr>
        <w:t xml:space="preserve">Pasitarkite su gydytoju, jeigu pastojote </w:t>
      </w:r>
      <w:proofErr w:type="spellStart"/>
      <w:r w:rsidR="008B09E3">
        <w:rPr>
          <w:sz w:val="22"/>
          <w:szCs w:val="24"/>
        </w:rPr>
        <w:t>Ruxolitinib</w:t>
      </w:r>
      <w:proofErr w:type="spellEnd"/>
      <w:r w:rsidR="008B09E3">
        <w:rPr>
          <w:sz w:val="22"/>
          <w:szCs w:val="24"/>
        </w:rPr>
        <w:t xml:space="preserve"> </w:t>
      </w:r>
      <w:proofErr w:type="spellStart"/>
      <w:r w:rsidR="008B09E3">
        <w:rPr>
          <w:sz w:val="22"/>
          <w:szCs w:val="24"/>
        </w:rPr>
        <w:t>Sandoz</w:t>
      </w:r>
      <w:proofErr w:type="spellEnd"/>
      <w:r w:rsidRPr="0013032B">
        <w:rPr>
          <w:sz w:val="22"/>
          <w:szCs w:val="24"/>
        </w:rPr>
        <w:t xml:space="preserve"> vartojimo metu.</w:t>
      </w:r>
    </w:p>
    <w:p w14:paraId="5AAA4847" w14:textId="77777777" w:rsidR="00B341E8" w:rsidRPr="003F564F" w:rsidRDefault="00B341E8" w:rsidP="00B341E8">
      <w:pPr>
        <w:numPr>
          <w:ilvl w:val="12"/>
          <w:numId w:val="0"/>
        </w:numPr>
        <w:rPr>
          <w:sz w:val="22"/>
          <w:szCs w:val="24"/>
        </w:rPr>
      </w:pPr>
    </w:p>
    <w:p w14:paraId="0933C288" w14:textId="77777777" w:rsidR="008D3B35" w:rsidRPr="003F564F" w:rsidRDefault="00AB4978">
      <w:pPr>
        <w:keepNext/>
        <w:tabs>
          <w:tab w:val="left" w:pos="567"/>
        </w:tabs>
        <w:spacing w:line="260" w:lineRule="exact"/>
        <w:jc w:val="both"/>
        <w:outlineLvl w:val="3"/>
        <w:rPr>
          <w:b/>
          <w:bCs/>
          <w:sz w:val="22"/>
          <w:szCs w:val="28"/>
          <w:lang w:eastAsia="x-none"/>
        </w:rPr>
      </w:pPr>
      <w:r w:rsidRPr="003F564F">
        <w:rPr>
          <w:b/>
          <w:bCs/>
          <w:sz w:val="22"/>
          <w:szCs w:val="28"/>
          <w:lang w:eastAsia="x-none"/>
        </w:rPr>
        <w:t>Vairavimas ir mechanizmų valdymas</w:t>
      </w:r>
    </w:p>
    <w:p w14:paraId="21BA909C" w14:textId="392B1900" w:rsidR="008D3B35" w:rsidRPr="003F564F" w:rsidRDefault="00B341E8">
      <w:pPr>
        <w:numPr>
          <w:ilvl w:val="12"/>
          <w:numId w:val="0"/>
        </w:numPr>
        <w:ind w:right="-2"/>
        <w:rPr>
          <w:sz w:val="22"/>
          <w:szCs w:val="24"/>
        </w:rPr>
      </w:pPr>
      <w:r w:rsidRPr="003F564F">
        <w:rPr>
          <w:sz w:val="22"/>
          <w:szCs w:val="24"/>
        </w:rPr>
        <w:t xml:space="preserve">Jeigu pavartoję </w:t>
      </w:r>
      <w:r w:rsidR="0013032B">
        <w:rPr>
          <w:sz w:val="22"/>
          <w:szCs w:val="24"/>
        </w:rPr>
        <w:t>šio vaisto</w:t>
      </w:r>
      <w:r w:rsidRPr="003F564F">
        <w:rPr>
          <w:sz w:val="22"/>
          <w:szCs w:val="24"/>
        </w:rPr>
        <w:t xml:space="preserve"> jaučiate galvos svaigimą, nevairuokite ir nevaldykite mechanizmų.</w:t>
      </w:r>
    </w:p>
    <w:p w14:paraId="6C610522" w14:textId="77777777" w:rsidR="00B341E8" w:rsidRPr="003F564F" w:rsidRDefault="00B341E8">
      <w:pPr>
        <w:numPr>
          <w:ilvl w:val="12"/>
          <w:numId w:val="0"/>
        </w:numPr>
        <w:ind w:right="-2"/>
        <w:rPr>
          <w:sz w:val="22"/>
          <w:szCs w:val="24"/>
        </w:rPr>
      </w:pPr>
    </w:p>
    <w:p w14:paraId="0D4A62CD" w14:textId="49010C3C" w:rsidR="008D3B35" w:rsidRPr="003F564F" w:rsidRDefault="008B09E3">
      <w:pPr>
        <w:keepNext/>
        <w:tabs>
          <w:tab w:val="left" w:pos="567"/>
        </w:tabs>
        <w:spacing w:line="260" w:lineRule="exact"/>
        <w:jc w:val="both"/>
        <w:outlineLvl w:val="3"/>
        <w:rPr>
          <w:b/>
          <w:bCs/>
          <w:sz w:val="22"/>
          <w:szCs w:val="28"/>
          <w:lang w:eastAsia="x-none"/>
        </w:rPr>
      </w:pPr>
      <w:proofErr w:type="spellStart"/>
      <w:r>
        <w:rPr>
          <w:b/>
          <w:bCs/>
          <w:sz w:val="22"/>
          <w:szCs w:val="28"/>
          <w:lang w:eastAsia="x-none"/>
        </w:rPr>
        <w:t>Ruxolitinib</w:t>
      </w:r>
      <w:proofErr w:type="spellEnd"/>
      <w:r>
        <w:rPr>
          <w:b/>
          <w:bCs/>
          <w:sz w:val="22"/>
          <w:szCs w:val="28"/>
          <w:lang w:eastAsia="x-none"/>
        </w:rPr>
        <w:t xml:space="preserve"> </w:t>
      </w:r>
      <w:proofErr w:type="spellStart"/>
      <w:r>
        <w:rPr>
          <w:b/>
          <w:bCs/>
          <w:sz w:val="22"/>
          <w:szCs w:val="28"/>
          <w:lang w:eastAsia="x-none"/>
        </w:rPr>
        <w:t>Sandoz</w:t>
      </w:r>
      <w:proofErr w:type="spellEnd"/>
      <w:r w:rsidR="00B341E8" w:rsidRPr="003F564F">
        <w:rPr>
          <w:b/>
          <w:bCs/>
          <w:sz w:val="22"/>
          <w:szCs w:val="28"/>
          <w:lang w:eastAsia="x-none"/>
        </w:rPr>
        <w:t xml:space="preserve"> </w:t>
      </w:r>
      <w:r w:rsidR="00AB4978" w:rsidRPr="003F564F">
        <w:rPr>
          <w:b/>
          <w:bCs/>
          <w:sz w:val="22"/>
          <w:szCs w:val="28"/>
          <w:lang w:eastAsia="x-none"/>
        </w:rPr>
        <w:t xml:space="preserve">sudėtyje yra </w:t>
      </w:r>
      <w:r w:rsidR="00B341E8" w:rsidRPr="003F564F">
        <w:rPr>
          <w:b/>
          <w:bCs/>
          <w:color w:val="000000"/>
          <w:sz w:val="22"/>
          <w:szCs w:val="28"/>
          <w:lang w:eastAsia="x-none"/>
        </w:rPr>
        <w:t>laktozės ir natrio</w:t>
      </w:r>
    </w:p>
    <w:p w14:paraId="640AE9BB" w14:textId="4BA357BD" w:rsidR="00B341E8" w:rsidRPr="003F564F" w:rsidRDefault="0013032B" w:rsidP="00B341E8">
      <w:pPr>
        <w:numPr>
          <w:ilvl w:val="12"/>
          <w:numId w:val="0"/>
        </w:numPr>
        <w:ind w:right="-2"/>
        <w:rPr>
          <w:sz w:val="22"/>
          <w:szCs w:val="24"/>
        </w:rPr>
      </w:pPr>
      <w:r>
        <w:rPr>
          <w:sz w:val="22"/>
          <w:szCs w:val="24"/>
        </w:rPr>
        <w:t>Šio vaisto</w:t>
      </w:r>
      <w:r w:rsidR="00B341E8" w:rsidRPr="003F564F">
        <w:rPr>
          <w:sz w:val="22"/>
          <w:szCs w:val="24"/>
        </w:rPr>
        <w:t xml:space="preserve"> sudėtyje yra laktozės (pieno cukraus). Jeigu gydytojas Jums yra sakęs, kad netoleruojate kokių nors angliavandenių, kreipkitės į jį prieš pradėdami vartoti šį vaistą.</w:t>
      </w:r>
    </w:p>
    <w:p w14:paraId="29C6DBF6" w14:textId="77777777" w:rsidR="00B341E8" w:rsidRPr="003F564F" w:rsidRDefault="00B341E8" w:rsidP="00B341E8">
      <w:pPr>
        <w:numPr>
          <w:ilvl w:val="12"/>
          <w:numId w:val="0"/>
        </w:numPr>
        <w:ind w:right="-2"/>
        <w:rPr>
          <w:sz w:val="22"/>
          <w:szCs w:val="24"/>
        </w:rPr>
      </w:pPr>
    </w:p>
    <w:p w14:paraId="79BD19CD" w14:textId="61AE2E26" w:rsidR="008D3B35" w:rsidRPr="003F564F" w:rsidRDefault="00B341E8" w:rsidP="00B341E8">
      <w:pPr>
        <w:numPr>
          <w:ilvl w:val="12"/>
          <w:numId w:val="0"/>
        </w:numPr>
        <w:ind w:right="-2"/>
        <w:rPr>
          <w:sz w:val="22"/>
          <w:szCs w:val="24"/>
        </w:rPr>
      </w:pPr>
      <w:r w:rsidRPr="003F564F">
        <w:rPr>
          <w:sz w:val="22"/>
          <w:szCs w:val="24"/>
        </w:rPr>
        <w:t>Šio vaisto tabletėje yra mažiau kaip 1</w:t>
      </w:r>
      <w:r w:rsidR="0013032B">
        <w:rPr>
          <w:sz w:val="22"/>
          <w:szCs w:val="24"/>
        </w:rPr>
        <w:t> </w:t>
      </w:r>
      <w:proofErr w:type="spellStart"/>
      <w:r w:rsidRPr="003F564F">
        <w:rPr>
          <w:sz w:val="22"/>
          <w:szCs w:val="24"/>
        </w:rPr>
        <w:t>mmol</w:t>
      </w:r>
      <w:proofErr w:type="spellEnd"/>
      <w:r w:rsidRPr="003F564F">
        <w:rPr>
          <w:sz w:val="22"/>
          <w:szCs w:val="24"/>
        </w:rPr>
        <w:t xml:space="preserve"> (23</w:t>
      </w:r>
      <w:r w:rsidR="0013032B">
        <w:rPr>
          <w:sz w:val="22"/>
          <w:szCs w:val="24"/>
        </w:rPr>
        <w:t> </w:t>
      </w:r>
      <w:r w:rsidRPr="003F564F">
        <w:rPr>
          <w:sz w:val="22"/>
          <w:szCs w:val="24"/>
        </w:rPr>
        <w:t>mg) natrio, t. y. jis beveik neturi reikšmės.</w:t>
      </w:r>
    </w:p>
    <w:p w14:paraId="60C44710" w14:textId="77777777" w:rsidR="00B341E8" w:rsidRPr="003F564F" w:rsidRDefault="00B341E8" w:rsidP="00B341E8">
      <w:pPr>
        <w:numPr>
          <w:ilvl w:val="12"/>
          <w:numId w:val="0"/>
        </w:numPr>
        <w:ind w:right="-2"/>
        <w:rPr>
          <w:sz w:val="22"/>
          <w:szCs w:val="24"/>
        </w:rPr>
      </w:pPr>
    </w:p>
    <w:p w14:paraId="6693CAAD" w14:textId="77777777" w:rsidR="008D3B35" w:rsidRPr="003F564F" w:rsidRDefault="008D3B35">
      <w:pPr>
        <w:numPr>
          <w:ilvl w:val="12"/>
          <w:numId w:val="0"/>
        </w:numPr>
        <w:ind w:right="-2"/>
        <w:rPr>
          <w:sz w:val="22"/>
          <w:szCs w:val="24"/>
        </w:rPr>
      </w:pPr>
    </w:p>
    <w:p w14:paraId="4ED33CC4" w14:textId="3D44F386" w:rsidR="008D3B35" w:rsidRPr="003F564F" w:rsidRDefault="00AB4978">
      <w:pPr>
        <w:keepNext/>
        <w:keepLines/>
        <w:tabs>
          <w:tab w:val="left" w:pos="567"/>
        </w:tabs>
        <w:outlineLvl w:val="2"/>
        <w:rPr>
          <w:b/>
          <w:bCs/>
          <w:sz w:val="22"/>
          <w:szCs w:val="26"/>
          <w:lang w:eastAsia="x-none"/>
        </w:rPr>
      </w:pPr>
      <w:r w:rsidRPr="003F564F">
        <w:rPr>
          <w:b/>
          <w:bCs/>
          <w:sz w:val="22"/>
          <w:szCs w:val="26"/>
          <w:lang w:eastAsia="x-none"/>
        </w:rPr>
        <w:t>3.</w:t>
      </w:r>
      <w:r w:rsidRPr="003F564F">
        <w:rPr>
          <w:b/>
          <w:bCs/>
          <w:sz w:val="22"/>
          <w:szCs w:val="26"/>
          <w:lang w:eastAsia="x-none"/>
        </w:rPr>
        <w:tab/>
        <w:t xml:space="preserve">Kaip vartoti </w:t>
      </w:r>
      <w:proofErr w:type="spellStart"/>
      <w:r w:rsidR="008B09E3">
        <w:rPr>
          <w:b/>
          <w:bCs/>
          <w:sz w:val="22"/>
          <w:szCs w:val="26"/>
          <w:lang w:eastAsia="x-none"/>
        </w:rPr>
        <w:t>Ruxolitinib</w:t>
      </w:r>
      <w:proofErr w:type="spellEnd"/>
      <w:r w:rsidR="008B09E3">
        <w:rPr>
          <w:b/>
          <w:bCs/>
          <w:sz w:val="22"/>
          <w:szCs w:val="26"/>
          <w:lang w:eastAsia="x-none"/>
        </w:rPr>
        <w:t xml:space="preserve"> </w:t>
      </w:r>
      <w:proofErr w:type="spellStart"/>
      <w:r w:rsidR="008B09E3">
        <w:rPr>
          <w:b/>
          <w:bCs/>
          <w:sz w:val="22"/>
          <w:szCs w:val="26"/>
          <w:lang w:eastAsia="x-none"/>
        </w:rPr>
        <w:t>Sandoz</w:t>
      </w:r>
      <w:proofErr w:type="spellEnd"/>
    </w:p>
    <w:p w14:paraId="18CF16F4" w14:textId="77777777" w:rsidR="008D3B35" w:rsidRPr="003F564F" w:rsidRDefault="008D3B35">
      <w:pPr>
        <w:numPr>
          <w:ilvl w:val="12"/>
          <w:numId w:val="0"/>
        </w:numPr>
        <w:ind w:right="-2"/>
        <w:rPr>
          <w:sz w:val="22"/>
          <w:szCs w:val="24"/>
        </w:rPr>
      </w:pPr>
    </w:p>
    <w:p w14:paraId="5BB049C2" w14:textId="2D162DCB" w:rsidR="008D3B35" w:rsidRPr="003F564F" w:rsidRDefault="00AB4978">
      <w:pPr>
        <w:ind w:right="-2"/>
        <w:rPr>
          <w:sz w:val="22"/>
        </w:rPr>
      </w:pPr>
      <w:r w:rsidRPr="003F564F">
        <w:rPr>
          <w:sz w:val="22"/>
        </w:rPr>
        <w:t>Visada vartokite šį vaistą tiksliai, kaip nurodė gydytojas arba vaistininkas. Jeigu abejojate, kreipkitės į  gydytoją arba vaistininką.</w:t>
      </w:r>
    </w:p>
    <w:p w14:paraId="150A7D62" w14:textId="77777777" w:rsidR="008D3B35" w:rsidRPr="003F564F" w:rsidRDefault="008D3B35">
      <w:pPr>
        <w:numPr>
          <w:ilvl w:val="12"/>
          <w:numId w:val="0"/>
        </w:numPr>
        <w:ind w:right="-2"/>
        <w:rPr>
          <w:sz w:val="22"/>
          <w:szCs w:val="24"/>
        </w:rPr>
      </w:pPr>
    </w:p>
    <w:p w14:paraId="2A907500" w14:textId="4E4D939F" w:rsidR="00B341E8" w:rsidRPr="003F564F" w:rsidRDefault="00B341E8" w:rsidP="00B341E8">
      <w:pPr>
        <w:numPr>
          <w:ilvl w:val="12"/>
          <w:numId w:val="0"/>
        </w:numPr>
        <w:ind w:right="-2"/>
        <w:rPr>
          <w:sz w:val="22"/>
          <w:szCs w:val="24"/>
        </w:rPr>
      </w:pPr>
      <w:r w:rsidRPr="003F564F">
        <w:rPr>
          <w:sz w:val="22"/>
          <w:szCs w:val="24"/>
        </w:rPr>
        <w:t xml:space="preserve">Prieš Jums pradedant vartoti </w:t>
      </w:r>
      <w:proofErr w:type="spellStart"/>
      <w:r w:rsidR="008B09E3">
        <w:rPr>
          <w:sz w:val="22"/>
          <w:szCs w:val="24"/>
        </w:rPr>
        <w:t>Ruxolitinib</w:t>
      </w:r>
      <w:proofErr w:type="spellEnd"/>
      <w:r w:rsidR="008B09E3">
        <w:rPr>
          <w:sz w:val="22"/>
          <w:szCs w:val="24"/>
        </w:rPr>
        <w:t xml:space="preserve"> </w:t>
      </w:r>
      <w:proofErr w:type="spellStart"/>
      <w:r w:rsidR="008B09E3">
        <w:rPr>
          <w:sz w:val="22"/>
          <w:szCs w:val="24"/>
        </w:rPr>
        <w:t>Sandoz</w:t>
      </w:r>
      <w:proofErr w:type="spellEnd"/>
      <w:r w:rsidRPr="003F564F">
        <w:rPr>
          <w:sz w:val="22"/>
          <w:szCs w:val="24"/>
        </w:rPr>
        <w:t xml:space="preserve"> ir gydymo metu, gydytojas atliks Jūsų kraujo tyrimus, kad</w:t>
      </w:r>
      <w:r w:rsidR="009404C3" w:rsidRPr="003F564F">
        <w:rPr>
          <w:sz w:val="22"/>
          <w:szCs w:val="24"/>
        </w:rPr>
        <w:t xml:space="preserve"> </w:t>
      </w:r>
      <w:r w:rsidRPr="003F564F">
        <w:rPr>
          <w:sz w:val="22"/>
          <w:szCs w:val="24"/>
        </w:rPr>
        <w:t>nustatytų tinkamiausią dozę, kad įvertintų, kaip Jūs reaguojate į skiriamą gydymą ir ar pasireiškia</w:t>
      </w:r>
      <w:r w:rsidR="009404C3" w:rsidRPr="003F564F">
        <w:rPr>
          <w:sz w:val="22"/>
          <w:szCs w:val="24"/>
        </w:rPr>
        <w:t xml:space="preserve"> </w:t>
      </w:r>
      <w:r w:rsidRPr="003F564F">
        <w:rPr>
          <w:sz w:val="22"/>
          <w:szCs w:val="24"/>
        </w:rPr>
        <w:t>nepageidaujamas poveikis. Gydytojui gali prireikti koreguoti vaisto dozę ar nutraukti gydymą. Prieš</w:t>
      </w:r>
      <w:r w:rsidR="009404C3" w:rsidRPr="003F564F">
        <w:rPr>
          <w:sz w:val="22"/>
          <w:szCs w:val="24"/>
        </w:rPr>
        <w:t xml:space="preserve"> </w:t>
      </w:r>
      <w:r w:rsidRPr="003F564F">
        <w:rPr>
          <w:sz w:val="22"/>
          <w:szCs w:val="24"/>
        </w:rPr>
        <w:t xml:space="preserve">pradedant gydymą ir gydymo </w:t>
      </w:r>
      <w:proofErr w:type="spellStart"/>
      <w:r w:rsidR="008B09E3">
        <w:rPr>
          <w:sz w:val="22"/>
          <w:szCs w:val="24"/>
        </w:rPr>
        <w:t>Ruxolitinib</w:t>
      </w:r>
      <w:proofErr w:type="spellEnd"/>
      <w:r w:rsidR="008B09E3">
        <w:rPr>
          <w:sz w:val="22"/>
          <w:szCs w:val="24"/>
        </w:rPr>
        <w:t xml:space="preserve"> </w:t>
      </w:r>
      <w:proofErr w:type="spellStart"/>
      <w:r w:rsidR="008B09E3">
        <w:rPr>
          <w:sz w:val="22"/>
          <w:szCs w:val="24"/>
        </w:rPr>
        <w:t>Sandoz</w:t>
      </w:r>
      <w:proofErr w:type="spellEnd"/>
      <w:r w:rsidRPr="003F564F">
        <w:rPr>
          <w:sz w:val="22"/>
          <w:szCs w:val="24"/>
        </w:rPr>
        <w:t xml:space="preserve"> metu, gydytojas atidžiai patikrins, ar Jums yra kokių nors</w:t>
      </w:r>
      <w:r w:rsidR="009404C3" w:rsidRPr="003F564F">
        <w:rPr>
          <w:sz w:val="22"/>
          <w:szCs w:val="24"/>
        </w:rPr>
        <w:t xml:space="preserve"> </w:t>
      </w:r>
      <w:r w:rsidRPr="003F564F">
        <w:rPr>
          <w:sz w:val="22"/>
          <w:szCs w:val="24"/>
        </w:rPr>
        <w:t>infekcijos požymių arba simptomų.</w:t>
      </w:r>
    </w:p>
    <w:p w14:paraId="6DC91623" w14:textId="77777777" w:rsidR="00B341E8" w:rsidRPr="003F564F" w:rsidRDefault="00B341E8" w:rsidP="00B341E8">
      <w:pPr>
        <w:numPr>
          <w:ilvl w:val="12"/>
          <w:numId w:val="0"/>
        </w:numPr>
        <w:ind w:right="-2"/>
        <w:rPr>
          <w:sz w:val="22"/>
          <w:szCs w:val="24"/>
        </w:rPr>
      </w:pPr>
    </w:p>
    <w:p w14:paraId="02E53C0C" w14:textId="5BEEA8A8" w:rsidR="00B341E8" w:rsidRPr="0013032B" w:rsidRDefault="00B341E8" w:rsidP="00B341E8">
      <w:pPr>
        <w:numPr>
          <w:ilvl w:val="12"/>
          <w:numId w:val="0"/>
        </w:numPr>
        <w:ind w:right="-2"/>
        <w:rPr>
          <w:b/>
          <w:bCs/>
          <w:sz w:val="22"/>
          <w:szCs w:val="24"/>
        </w:rPr>
      </w:pPr>
      <w:proofErr w:type="spellStart"/>
      <w:r w:rsidRPr="0013032B">
        <w:rPr>
          <w:b/>
          <w:bCs/>
          <w:sz w:val="22"/>
          <w:szCs w:val="24"/>
        </w:rPr>
        <w:t>Mielofibrozė</w:t>
      </w:r>
      <w:proofErr w:type="spellEnd"/>
    </w:p>
    <w:p w14:paraId="5E56999F" w14:textId="42645F77" w:rsidR="00B341E8" w:rsidRPr="0013032B" w:rsidRDefault="00B341E8" w:rsidP="0013032B">
      <w:pPr>
        <w:pStyle w:val="Sraopastraipa"/>
        <w:numPr>
          <w:ilvl w:val="0"/>
          <w:numId w:val="11"/>
        </w:numPr>
        <w:ind w:left="567" w:right="-2" w:hanging="567"/>
        <w:rPr>
          <w:sz w:val="22"/>
          <w:szCs w:val="24"/>
        </w:rPr>
      </w:pPr>
      <w:r w:rsidRPr="0013032B">
        <w:rPr>
          <w:sz w:val="22"/>
          <w:szCs w:val="24"/>
        </w:rPr>
        <w:t>Suaugusiesiems: rekomenduojama pradinė dozė yra nuo 5</w:t>
      </w:r>
      <w:r w:rsidR="0013032B">
        <w:rPr>
          <w:sz w:val="22"/>
          <w:szCs w:val="24"/>
        </w:rPr>
        <w:t> </w:t>
      </w:r>
      <w:r w:rsidRPr="0013032B">
        <w:rPr>
          <w:sz w:val="22"/>
          <w:szCs w:val="24"/>
        </w:rPr>
        <w:t>mg iki 20</w:t>
      </w:r>
      <w:r w:rsidR="0013032B">
        <w:rPr>
          <w:sz w:val="22"/>
          <w:szCs w:val="24"/>
        </w:rPr>
        <w:t> </w:t>
      </w:r>
      <w:r w:rsidRPr="0013032B">
        <w:rPr>
          <w:sz w:val="22"/>
          <w:szCs w:val="24"/>
        </w:rPr>
        <w:t>mg du kartus per</w:t>
      </w:r>
      <w:r w:rsidR="009404C3" w:rsidRPr="0013032B">
        <w:rPr>
          <w:sz w:val="22"/>
          <w:szCs w:val="24"/>
        </w:rPr>
        <w:t xml:space="preserve"> </w:t>
      </w:r>
      <w:r w:rsidRPr="0013032B">
        <w:rPr>
          <w:sz w:val="22"/>
          <w:szCs w:val="24"/>
        </w:rPr>
        <w:t>parą. Didžiausia dozė yra po 25</w:t>
      </w:r>
      <w:r w:rsidR="0013032B">
        <w:rPr>
          <w:sz w:val="22"/>
          <w:szCs w:val="24"/>
        </w:rPr>
        <w:t> </w:t>
      </w:r>
      <w:r w:rsidRPr="0013032B">
        <w:rPr>
          <w:sz w:val="22"/>
          <w:szCs w:val="24"/>
        </w:rPr>
        <w:t>mg du kartus per parą.</w:t>
      </w:r>
    </w:p>
    <w:p w14:paraId="3F0F0E6A" w14:textId="77777777" w:rsidR="0013032B" w:rsidRDefault="0013032B" w:rsidP="00B341E8">
      <w:pPr>
        <w:numPr>
          <w:ilvl w:val="12"/>
          <w:numId w:val="0"/>
        </w:numPr>
        <w:ind w:right="-2"/>
        <w:rPr>
          <w:sz w:val="22"/>
          <w:szCs w:val="24"/>
        </w:rPr>
      </w:pPr>
    </w:p>
    <w:p w14:paraId="3B504D77" w14:textId="46E7A0C2" w:rsidR="00B341E8" w:rsidRPr="0013032B" w:rsidRDefault="00B341E8" w:rsidP="00B341E8">
      <w:pPr>
        <w:numPr>
          <w:ilvl w:val="12"/>
          <w:numId w:val="0"/>
        </w:numPr>
        <w:ind w:right="-2"/>
        <w:rPr>
          <w:b/>
          <w:bCs/>
          <w:sz w:val="22"/>
          <w:szCs w:val="24"/>
        </w:rPr>
      </w:pPr>
      <w:r w:rsidRPr="0013032B">
        <w:rPr>
          <w:b/>
          <w:bCs/>
          <w:sz w:val="22"/>
          <w:szCs w:val="24"/>
        </w:rPr>
        <w:t xml:space="preserve">Tikroji </w:t>
      </w:r>
      <w:proofErr w:type="spellStart"/>
      <w:r w:rsidRPr="0013032B">
        <w:rPr>
          <w:b/>
          <w:bCs/>
          <w:sz w:val="22"/>
          <w:szCs w:val="24"/>
        </w:rPr>
        <w:t>policitemija</w:t>
      </w:r>
      <w:proofErr w:type="spellEnd"/>
    </w:p>
    <w:p w14:paraId="51CC83EF" w14:textId="03B4F1AB" w:rsidR="00B341E8" w:rsidRPr="0013032B" w:rsidRDefault="00B341E8" w:rsidP="006F3088">
      <w:pPr>
        <w:pStyle w:val="Sraopastraipa"/>
        <w:numPr>
          <w:ilvl w:val="0"/>
          <w:numId w:val="11"/>
        </w:numPr>
        <w:ind w:left="567" w:right="-2" w:hanging="567"/>
        <w:rPr>
          <w:sz w:val="22"/>
          <w:szCs w:val="24"/>
        </w:rPr>
      </w:pPr>
      <w:r w:rsidRPr="0013032B">
        <w:rPr>
          <w:sz w:val="22"/>
          <w:szCs w:val="24"/>
        </w:rPr>
        <w:t>Suaugusiesiems: rekomenduojama pradinė dozė yra po 10</w:t>
      </w:r>
      <w:r w:rsidR="0013032B" w:rsidRPr="0013032B">
        <w:rPr>
          <w:sz w:val="22"/>
          <w:szCs w:val="24"/>
        </w:rPr>
        <w:t> </w:t>
      </w:r>
      <w:r w:rsidRPr="0013032B">
        <w:rPr>
          <w:sz w:val="22"/>
          <w:szCs w:val="24"/>
        </w:rPr>
        <w:t>mg du kartus per parą.</w:t>
      </w:r>
      <w:r w:rsidR="0013032B" w:rsidRPr="0013032B">
        <w:rPr>
          <w:sz w:val="22"/>
          <w:szCs w:val="24"/>
        </w:rPr>
        <w:t xml:space="preserve"> </w:t>
      </w:r>
      <w:r w:rsidRPr="0013032B">
        <w:rPr>
          <w:sz w:val="22"/>
          <w:szCs w:val="24"/>
        </w:rPr>
        <w:t>Didžiausia dozė yra po 25</w:t>
      </w:r>
      <w:r w:rsidR="0013032B">
        <w:rPr>
          <w:sz w:val="22"/>
          <w:szCs w:val="24"/>
        </w:rPr>
        <w:t> </w:t>
      </w:r>
      <w:r w:rsidRPr="0013032B">
        <w:rPr>
          <w:sz w:val="22"/>
          <w:szCs w:val="24"/>
        </w:rPr>
        <w:t>mg du kartus per parą.</w:t>
      </w:r>
    </w:p>
    <w:p w14:paraId="34BAFC6F" w14:textId="77777777" w:rsidR="00B341E8" w:rsidRPr="003F564F" w:rsidRDefault="00B341E8" w:rsidP="00B341E8">
      <w:pPr>
        <w:numPr>
          <w:ilvl w:val="12"/>
          <w:numId w:val="0"/>
        </w:numPr>
        <w:ind w:right="-2"/>
        <w:rPr>
          <w:sz w:val="22"/>
          <w:szCs w:val="24"/>
        </w:rPr>
      </w:pPr>
    </w:p>
    <w:p w14:paraId="2DEE4603" w14:textId="56632623" w:rsidR="00B341E8" w:rsidRPr="0013032B" w:rsidRDefault="00B341E8" w:rsidP="00B341E8">
      <w:pPr>
        <w:numPr>
          <w:ilvl w:val="12"/>
          <w:numId w:val="0"/>
        </w:numPr>
        <w:ind w:right="-2"/>
        <w:rPr>
          <w:b/>
          <w:bCs/>
          <w:sz w:val="22"/>
          <w:szCs w:val="24"/>
        </w:rPr>
      </w:pPr>
      <w:r w:rsidRPr="0013032B">
        <w:rPr>
          <w:b/>
          <w:bCs/>
          <w:sz w:val="22"/>
          <w:szCs w:val="24"/>
        </w:rPr>
        <w:t xml:space="preserve">Ūminė ir lėtinė </w:t>
      </w:r>
      <w:proofErr w:type="spellStart"/>
      <w:r w:rsidRPr="0013032B">
        <w:rPr>
          <w:b/>
          <w:bCs/>
          <w:sz w:val="22"/>
          <w:szCs w:val="24"/>
        </w:rPr>
        <w:t>transplantato</w:t>
      </w:r>
      <w:proofErr w:type="spellEnd"/>
      <w:r w:rsidRPr="0013032B">
        <w:rPr>
          <w:b/>
          <w:bCs/>
          <w:sz w:val="22"/>
          <w:szCs w:val="24"/>
        </w:rPr>
        <w:t xml:space="preserve"> prieš šeimininką liga</w:t>
      </w:r>
    </w:p>
    <w:p w14:paraId="182A9B03" w14:textId="5ABF1F6B" w:rsidR="00B341E8" w:rsidRPr="0013032B" w:rsidRDefault="00B341E8" w:rsidP="0013032B">
      <w:pPr>
        <w:pStyle w:val="Sraopastraipa"/>
        <w:numPr>
          <w:ilvl w:val="0"/>
          <w:numId w:val="11"/>
        </w:numPr>
        <w:ind w:left="567" w:right="-2" w:hanging="567"/>
        <w:rPr>
          <w:sz w:val="22"/>
          <w:szCs w:val="24"/>
        </w:rPr>
      </w:pPr>
      <w:r w:rsidRPr="0013032B">
        <w:rPr>
          <w:sz w:val="22"/>
          <w:szCs w:val="24"/>
        </w:rPr>
        <w:t>Vaikams nuo 6 iki 12</w:t>
      </w:r>
      <w:r w:rsidR="0013032B">
        <w:rPr>
          <w:sz w:val="22"/>
          <w:szCs w:val="24"/>
        </w:rPr>
        <w:t> </w:t>
      </w:r>
      <w:r w:rsidRPr="0013032B">
        <w:rPr>
          <w:sz w:val="22"/>
          <w:szCs w:val="24"/>
        </w:rPr>
        <w:t>metų amžiaus: rekomenduojama pradinė dozė yra 5</w:t>
      </w:r>
      <w:r w:rsidR="0013032B">
        <w:rPr>
          <w:sz w:val="22"/>
          <w:szCs w:val="24"/>
        </w:rPr>
        <w:t> </w:t>
      </w:r>
      <w:r w:rsidRPr="0013032B">
        <w:rPr>
          <w:sz w:val="22"/>
          <w:szCs w:val="24"/>
        </w:rPr>
        <w:t>mg du kartus</w:t>
      </w:r>
      <w:r w:rsidR="009404C3" w:rsidRPr="0013032B">
        <w:rPr>
          <w:sz w:val="22"/>
          <w:szCs w:val="24"/>
        </w:rPr>
        <w:t xml:space="preserve"> </w:t>
      </w:r>
      <w:r w:rsidRPr="0013032B">
        <w:rPr>
          <w:sz w:val="22"/>
          <w:szCs w:val="24"/>
        </w:rPr>
        <w:t>per parą.</w:t>
      </w:r>
    </w:p>
    <w:p w14:paraId="76F41BE3" w14:textId="53BEB168" w:rsidR="00B341E8" w:rsidRPr="0013032B" w:rsidRDefault="00B341E8" w:rsidP="0013032B">
      <w:pPr>
        <w:pStyle w:val="Sraopastraipa"/>
        <w:numPr>
          <w:ilvl w:val="0"/>
          <w:numId w:val="11"/>
        </w:numPr>
        <w:ind w:left="567" w:right="-2" w:hanging="567"/>
        <w:rPr>
          <w:sz w:val="22"/>
          <w:szCs w:val="24"/>
        </w:rPr>
      </w:pPr>
      <w:r w:rsidRPr="0013032B">
        <w:rPr>
          <w:sz w:val="22"/>
          <w:szCs w:val="24"/>
        </w:rPr>
        <w:t>12</w:t>
      </w:r>
      <w:r w:rsidR="0013032B">
        <w:rPr>
          <w:sz w:val="22"/>
          <w:szCs w:val="24"/>
        </w:rPr>
        <w:t> </w:t>
      </w:r>
      <w:r w:rsidRPr="0013032B">
        <w:rPr>
          <w:sz w:val="22"/>
          <w:szCs w:val="24"/>
        </w:rPr>
        <w:t>metų ir vyresniems vaikams bei suaugusiesiems: rekomenduojama pradinė dozė yra</w:t>
      </w:r>
      <w:r w:rsidR="009404C3" w:rsidRPr="0013032B">
        <w:rPr>
          <w:sz w:val="22"/>
          <w:szCs w:val="24"/>
        </w:rPr>
        <w:t xml:space="preserve"> </w:t>
      </w:r>
      <w:r w:rsidRPr="0013032B">
        <w:rPr>
          <w:sz w:val="22"/>
          <w:szCs w:val="24"/>
        </w:rPr>
        <w:t>10</w:t>
      </w:r>
      <w:r w:rsidR="0013032B">
        <w:rPr>
          <w:sz w:val="22"/>
          <w:szCs w:val="24"/>
        </w:rPr>
        <w:t> </w:t>
      </w:r>
      <w:r w:rsidRPr="0013032B">
        <w:rPr>
          <w:sz w:val="22"/>
          <w:szCs w:val="24"/>
        </w:rPr>
        <w:t>mg du kartus per parą.</w:t>
      </w:r>
    </w:p>
    <w:p w14:paraId="35771ACE" w14:textId="7EFD63A8" w:rsidR="00B341E8" w:rsidRPr="003F564F" w:rsidRDefault="00B341E8" w:rsidP="00B341E8">
      <w:pPr>
        <w:numPr>
          <w:ilvl w:val="12"/>
          <w:numId w:val="0"/>
        </w:numPr>
        <w:ind w:right="-2"/>
        <w:rPr>
          <w:sz w:val="22"/>
          <w:szCs w:val="24"/>
        </w:rPr>
      </w:pPr>
      <w:r w:rsidRPr="003F564F">
        <w:rPr>
          <w:sz w:val="22"/>
          <w:szCs w:val="24"/>
        </w:rPr>
        <w:t>Jeigu sunku nuryti visą tabletę, jaunesniems kaip 6</w:t>
      </w:r>
      <w:r w:rsidR="0013032B">
        <w:rPr>
          <w:sz w:val="22"/>
          <w:szCs w:val="24"/>
        </w:rPr>
        <w:t> </w:t>
      </w:r>
      <w:r w:rsidRPr="003F564F">
        <w:rPr>
          <w:sz w:val="22"/>
          <w:szCs w:val="24"/>
        </w:rPr>
        <w:t xml:space="preserve">metų vaikams </w:t>
      </w:r>
      <w:r w:rsidR="0013032B">
        <w:rPr>
          <w:sz w:val="22"/>
          <w:szCs w:val="24"/>
        </w:rPr>
        <w:t xml:space="preserve">vaistas </w:t>
      </w:r>
      <w:r w:rsidRPr="003F564F">
        <w:rPr>
          <w:sz w:val="22"/>
          <w:szCs w:val="24"/>
        </w:rPr>
        <w:t>gali</w:t>
      </w:r>
      <w:r w:rsidR="0013032B">
        <w:rPr>
          <w:sz w:val="22"/>
          <w:szCs w:val="24"/>
        </w:rPr>
        <w:t xml:space="preserve"> būti tiekiamas </w:t>
      </w:r>
      <w:r w:rsidR="00E55A54">
        <w:rPr>
          <w:sz w:val="22"/>
          <w:szCs w:val="24"/>
        </w:rPr>
        <w:t xml:space="preserve">kito registruotojo </w:t>
      </w:r>
      <w:r w:rsidR="0013032B">
        <w:rPr>
          <w:sz w:val="22"/>
          <w:szCs w:val="24"/>
        </w:rPr>
        <w:t>kitomis</w:t>
      </w:r>
      <w:r w:rsidR="00E55A54">
        <w:rPr>
          <w:sz w:val="22"/>
          <w:szCs w:val="24"/>
        </w:rPr>
        <w:t>, tinkamesnėmis</w:t>
      </w:r>
      <w:r w:rsidR="0013032B">
        <w:rPr>
          <w:sz w:val="22"/>
          <w:szCs w:val="24"/>
        </w:rPr>
        <w:t xml:space="preserve"> formomis</w:t>
      </w:r>
      <w:r w:rsidRPr="003F564F">
        <w:rPr>
          <w:sz w:val="22"/>
          <w:szCs w:val="24"/>
        </w:rPr>
        <w:t>.</w:t>
      </w:r>
    </w:p>
    <w:p w14:paraId="0ADAF382" w14:textId="77777777" w:rsidR="009404C3" w:rsidRPr="003F564F" w:rsidRDefault="009404C3" w:rsidP="00B341E8">
      <w:pPr>
        <w:numPr>
          <w:ilvl w:val="12"/>
          <w:numId w:val="0"/>
        </w:numPr>
        <w:ind w:right="-2"/>
        <w:rPr>
          <w:sz w:val="22"/>
          <w:szCs w:val="24"/>
        </w:rPr>
      </w:pPr>
    </w:p>
    <w:p w14:paraId="354C33E4" w14:textId="5740A1DB" w:rsidR="00B341E8" w:rsidRPr="003F564F" w:rsidRDefault="008B09E3" w:rsidP="00B341E8">
      <w:pPr>
        <w:numPr>
          <w:ilvl w:val="12"/>
          <w:numId w:val="0"/>
        </w:numPr>
        <w:ind w:right="-2"/>
        <w:rPr>
          <w:sz w:val="22"/>
          <w:szCs w:val="24"/>
        </w:rPr>
      </w:pPr>
      <w:proofErr w:type="spellStart"/>
      <w:r>
        <w:rPr>
          <w:sz w:val="22"/>
          <w:szCs w:val="24"/>
        </w:rPr>
        <w:t>Ruxolitinib</w:t>
      </w:r>
      <w:proofErr w:type="spellEnd"/>
      <w:r>
        <w:rPr>
          <w:sz w:val="22"/>
          <w:szCs w:val="24"/>
        </w:rPr>
        <w:t xml:space="preserve"> </w:t>
      </w:r>
      <w:proofErr w:type="spellStart"/>
      <w:r>
        <w:rPr>
          <w:sz w:val="22"/>
          <w:szCs w:val="24"/>
        </w:rPr>
        <w:t>Sandoz</w:t>
      </w:r>
      <w:proofErr w:type="spellEnd"/>
      <w:r w:rsidR="00B341E8" w:rsidRPr="003F564F">
        <w:rPr>
          <w:sz w:val="22"/>
          <w:szCs w:val="24"/>
        </w:rPr>
        <w:t xml:space="preserve"> vartokite kasdien tuo pačiu metu, valgio metu ar nevalgius.</w:t>
      </w:r>
    </w:p>
    <w:p w14:paraId="347AF1E2" w14:textId="77777777" w:rsidR="009404C3" w:rsidRPr="003F564F" w:rsidRDefault="009404C3" w:rsidP="00B341E8">
      <w:pPr>
        <w:numPr>
          <w:ilvl w:val="12"/>
          <w:numId w:val="0"/>
        </w:numPr>
        <w:ind w:right="-2"/>
        <w:rPr>
          <w:sz w:val="22"/>
          <w:szCs w:val="24"/>
        </w:rPr>
      </w:pPr>
    </w:p>
    <w:p w14:paraId="476F909D" w14:textId="1CCFBEC7" w:rsidR="00B341E8" w:rsidRPr="003F564F" w:rsidRDefault="00B341E8" w:rsidP="00B341E8">
      <w:pPr>
        <w:numPr>
          <w:ilvl w:val="12"/>
          <w:numId w:val="0"/>
        </w:numPr>
        <w:ind w:right="-2"/>
        <w:rPr>
          <w:sz w:val="22"/>
          <w:szCs w:val="24"/>
        </w:rPr>
      </w:pPr>
      <w:r w:rsidRPr="003F564F">
        <w:rPr>
          <w:sz w:val="22"/>
          <w:szCs w:val="24"/>
        </w:rPr>
        <w:t xml:space="preserve">Gydytojas visada Jums pasakys, kiek tiksliai </w:t>
      </w:r>
      <w:proofErr w:type="spellStart"/>
      <w:r w:rsidR="008B09E3">
        <w:rPr>
          <w:sz w:val="22"/>
          <w:szCs w:val="24"/>
        </w:rPr>
        <w:t>Ruxolitinib</w:t>
      </w:r>
      <w:proofErr w:type="spellEnd"/>
      <w:r w:rsidR="008B09E3">
        <w:rPr>
          <w:sz w:val="22"/>
          <w:szCs w:val="24"/>
        </w:rPr>
        <w:t xml:space="preserve"> </w:t>
      </w:r>
      <w:proofErr w:type="spellStart"/>
      <w:r w:rsidR="008B09E3">
        <w:rPr>
          <w:sz w:val="22"/>
          <w:szCs w:val="24"/>
        </w:rPr>
        <w:t>Sandoz</w:t>
      </w:r>
      <w:proofErr w:type="spellEnd"/>
      <w:r w:rsidRPr="003F564F">
        <w:rPr>
          <w:sz w:val="22"/>
          <w:szCs w:val="24"/>
        </w:rPr>
        <w:t xml:space="preserve"> tablečių vartoti.</w:t>
      </w:r>
    </w:p>
    <w:p w14:paraId="30C20EFE" w14:textId="77777777" w:rsidR="009404C3" w:rsidRPr="003F564F" w:rsidRDefault="009404C3" w:rsidP="00B341E8">
      <w:pPr>
        <w:numPr>
          <w:ilvl w:val="12"/>
          <w:numId w:val="0"/>
        </w:numPr>
        <w:ind w:right="-2"/>
        <w:rPr>
          <w:sz w:val="22"/>
          <w:szCs w:val="24"/>
        </w:rPr>
      </w:pPr>
    </w:p>
    <w:p w14:paraId="0B67EADF" w14:textId="0A74CDF7" w:rsidR="008D3B35" w:rsidRPr="003F564F" w:rsidRDefault="008B09E3" w:rsidP="00B341E8">
      <w:pPr>
        <w:numPr>
          <w:ilvl w:val="12"/>
          <w:numId w:val="0"/>
        </w:numPr>
        <w:ind w:right="-2"/>
        <w:rPr>
          <w:sz w:val="22"/>
          <w:szCs w:val="24"/>
        </w:rPr>
      </w:pPr>
      <w:proofErr w:type="spellStart"/>
      <w:r>
        <w:rPr>
          <w:sz w:val="22"/>
          <w:szCs w:val="24"/>
        </w:rPr>
        <w:t>Ruxolitinib</w:t>
      </w:r>
      <w:proofErr w:type="spellEnd"/>
      <w:r>
        <w:rPr>
          <w:sz w:val="22"/>
          <w:szCs w:val="24"/>
        </w:rPr>
        <w:t xml:space="preserve"> </w:t>
      </w:r>
      <w:proofErr w:type="spellStart"/>
      <w:r>
        <w:rPr>
          <w:sz w:val="22"/>
          <w:szCs w:val="24"/>
        </w:rPr>
        <w:t>Sandoz</w:t>
      </w:r>
      <w:proofErr w:type="spellEnd"/>
      <w:r w:rsidR="00B341E8" w:rsidRPr="003F564F">
        <w:rPr>
          <w:sz w:val="22"/>
          <w:szCs w:val="24"/>
        </w:rPr>
        <w:t xml:space="preserve"> reikia vartoti tiek laiko, kiek gydytojas nurodo tai daryti.</w:t>
      </w:r>
    </w:p>
    <w:p w14:paraId="18F659C5" w14:textId="77777777" w:rsidR="008D3B35" w:rsidRPr="003F564F" w:rsidRDefault="008D3B35">
      <w:pPr>
        <w:numPr>
          <w:ilvl w:val="12"/>
          <w:numId w:val="0"/>
        </w:numPr>
        <w:ind w:right="-2"/>
        <w:rPr>
          <w:sz w:val="22"/>
          <w:szCs w:val="24"/>
        </w:rPr>
      </w:pPr>
    </w:p>
    <w:p w14:paraId="3DDEA220" w14:textId="4202EB6D" w:rsidR="008D3B35" w:rsidRPr="003F564F" w:rsidRDefault="00AB4978">
      <w:pPr>
        <w:keepNext/>
        <w:tabs>
          <w:tab w:val="left" w:pos="567"/>
        </w:tabs>
        <w:spacing w:line="260" w:lineRule="exact"/>
        <w:jc w:val="both"/>
        <w:outlineLvl w:val="3"/>
        <w:rPr>
          <w:b/>
          <w:bCs/>
          <w:sz w:val="22"/>
          <w:szCs w:val="22"/>
          <w:lang w:eastAsia="x-none"/>
        </w:rPr>
      </w:pPr>
      <w:r w:rsidRPr="003F564F">
        <w:rPr>
          <w:b/>
          <w:bCs/>
          <w:sz w:val="22"/>
          <w:szCs w:val="22"/>
          <w:lang w:eastAsia="x-none"/>
        </w:rPr>
        <w:t xml:space="preserve">Ką daryti pavartojus per didelę </w:t>
      </w:r>
      <w:proofErr w:type="spellStart"/>
      <w:r w:rsidR="008B09E3">
        <w:rPr>
          <w:b/>
          <w:bCs/>
          <w:sz w:val="22"/>
          <w:szCs w:val="26"/>
          <w:lang w:eastAsia="x-none"/>
        </w:rPr>
        <w:t>Ruxolitinib</w:t>
      </w:r>
      <w:proofErr w:type="spellEnd"/>
      <w:r w:rsidR="008B09E3">
        <w:rPr>
          <w:b/>
          <w:bCs/>
          <w:sz w:val="22"/>
          <w:szCs w:val="26"/>
          <w:lang w:eastAsia="x-none"/>
        </w:rPr>
        <w:t xml:space="preserve"> </w:t>
      </w:r>
      <w:proofErr w:type="spellStart"/>
      <w:r w:rsidR="008B09E3">
        <w:rPr>
          <w:b/>
          <w:bCs/>
          <w:sz w:val="22"/>
          <w:szCs w:val="26"/>
          <w:lang w:eastAsia="x-none"/>
        </w:rPr>
        <w:t>Sandoz</w:t>
      </w:r>
      <w:proofErr w:type="spellEnd"/>
      <w:r w:rsidRPr="003F564F">
        <w:rPr>
          <w:b/>
          <w:bCs/>
          <w:sz w:val="22"/>
          <w:szCs w:val="22"/>
          <w:lang w:eastAsia="x-none"/>
        </w:rPr>
        <w:t xml:space="preserve"> dozę</w:t>
      </w:r>
    </w:p>
    <w:p w14:paraId="20FE6B03" w14:textId="1916C066" w:rsidR="008D3B35" w:rsidRPr="003F564F" w:rsidRDefault="009404C3" w:rsidP="009404C3">
      <w:pPr>
        <w:numPr>
          <w:ilvl w:val="12"/>
          <w:numId w:val="0"/>
        </w:numPr>
        <w:ind w:right="-2"/>
        <w:rPr>
          <w:sz w:val="22"/>
          <w:szCs w:val="24"/>
        </w:rPr>
      </w:pPr>
      <w:r w:rsidRPr="003F564F">
        <w:rPr>
          <w:sz w:val="22"/>
          <w:szCs w:val="24"/>
        </w:rPr>
        <w:t xml:space="preserve">Jeigu atsitiktinai pavartojote didesnę </w:t>
      </w:r>
      <w:proofErr w:type="spellStart"/>
      <w:r w:rsidR="008B09E3">
        <w:rPr>
          <w:sz w:val="22"/>
          <w:szCs w:val="24"/>
        </w:rPr>
        <w:t>Ruxolitinib</w:t>
      </w:r>
      <w:proofErr w:type="spellEnd"/>
      <w:r w:rsidR="008B09E3">
        <w:rPr>
          <w:sz w:val="22"/>
          <w:szCs w:val="24"/>
        </w:rPr>
        <w:t xml:space="preserve"> </w:t>
      </w:r>
      <w:proofErr w:type="spellStart"/>
      <w:r w:rsidR="008B09E3">
        <w:rPr>
          <w:sz w:val="22"/>
          <w:szCs w:val="24"/>
        </w:rPr>
        <w:t>Sandoz</w:t>
      </w:r>
      <w:proofErr w:type="spellEnd"/>
      <w:r w:rsidRPr="003F564F">
        <w:rPr>
          <w:sz w:val="22"/>
          <w:szCs w:val="24"/>
        </w:rPr>
        <w:t xml:space="preserve"> dozę nei paskyrė gydytojas, nedelsdami kreipkitės į gydytoją arba vaistininką.</w:t>
      </w:r>
    </w:p>
    <w:p w14:paraId="205B9391" w14:textId="77777777" w:rsidR="009404C3" w:rsidRPr="003F564F" w:rsidRDefault="009404C3" w:rsidP="009404C3">
      <w:pPr>
        <w:numPr>
          <w:ilvl w:val="12"/>
          <w:numId w:val="0"/>
        </w:numPr>
        <w:ind w:right="-2"/>
        <w:rPr>
          <w:sz w:val="22"/>
          <w:szCs w:val="24"/>
        </w:rPr>
      </w:pPr>
    </w:p>
    <w:p w14:paraId="5B5C0D35" w14:textId="5C16AAA5" w:rsidR="008D3B35" w:rsidRPr="003F564F" w:rsidRDefault="00AB4978">
      <w:pPr>
        <w:keepNext/>
        <w:tabs>
          <w:tab w:val="left" w:pos="567"/>
        </w:tabs>
        <w:spacing w:line="260" w:lineRule="exact"/>
        <w:jc w:val="both"/>
        <w:outlineLvl w:val="3"/>
        <w:rPr>
          <w:b/>
          <w:bCs/>
          <w:sz w:val="22"/>
          <w:szCs w:val="28"/>
          <w:lang w:eastAsia="x-none"/>
        </w:rPr>
      </w:pPr>
      <w:r w:rsidRPr="003F564F">
        <w:rPr>
          <w:b/>
          <w:bCs/>
          <w:sz w:val="22"/>
          <w:szCs w:val="28"/>
          <w:lang w:eastAsia="x-none"/>
        </w:rPr>
        <w:t xml:space="preserve">Pamiršus pavartoti </w:t>
      </w:r>
      <w:proofErr w:type="spellStart"/>
      <w:r w:rsidR="008B09E3">
        <w:rPr>
          <w:b/>
          <w:bCs/>
          <w:sz w:val="22"/>
          <w:szCs w:val="28"/>
          <w:lang w:eastAsia="x-none"/>
        </w:rPr>
        <w:t>Ruxolitinib</w:t>
      </w:r>
      <w:proofErr w:type="spellEnd"/>
      <w:r w:rsidR="008B09E3">
        <w:rPr>
          <w:b/>
          <w:bCs/>
          <w:sz w:val="22"/>
          <w:szCs w:val="28"/>
          <w:lang w:eastAsia="x-none"/>
        </w:rPr>
        <w:t xml:space="preserve"> </w:t>
      </w:r>
      <w:proofErr w:type="spellStart"/>
      <w:r w:rsidR="008B09E3">
        <w:rPr>
          <w:b/>
          <w:bCs/>
          <w:sz w:val="22"/>
          <w:szCs w:val="28"/>
          <w:lang w:eastAsia="x-none"/>
        </w:rPr>
        <w:t>Sandoz</w:t>
      </w:r>
      <w:proofErr w:type="spellEnd"/>
    </w:p>
    <w:p w14:paraId="6D6E2991" w14:textId="6B07AA4B" w:rsidR="008D3B35" w:rsidRPr="003F564F" w:rsidRDefault="009404C3" w:rsidP="009404C3">
      <w:pPr>
        <w:numPr>
          <w:ilvl w:val="12"/>
          <w:numId w:val="0"/>
        </w:numPr>
        <w:ind w:right="-2"/>
        <w:rPr>
          <w:sz w:val="22"/>
          <w:szCs w:val="24"/>
        </w:rPr>
      </w:pPr>
      <w:r w:rsidRPr="003F564F">
        <w:rPr>
          <w:sz w:val="22"/>
          <w:szCs w:val="24"/>
        </w:rPr>
        <w:t xml:space="preserve">Jeigu pamiršote pavartoti </w:t>
      </w:r>
      <w:proofErr w:type="spellStart"/>
      <w:r w:rsidR="008B09E3">
        <w:rPr>
          <w:sz w:val="22"/>
          <w:szCs w:val="24"/>
        </w:rPr>
        <w:t>Ruxolitinib</w:t>
      </w:r>
      <w:proofErr w:type="spellEnd"/>
      <w:r w:rsidR="008B09E3">
        <w:rPr>
          <w:sz w:val="22"/>
          <w:szCs w:val="24"/>
        </w:rPr>
        <w:t xml:space="preserve"> </w:t>
      </w:r>
      <w:proofErr w:type="spellStart"/>
      <w:r w:rsidR="008B09E3">
        <w:rPr>
          <w:sz w:val="22"/>
          <w:szCs w:val="24"/>
        </w:rPr>
        <w:t>Sandoz</w:t>
      </w:r>
      <w:proofErr w:type="spellEnd"/>
      <w:r w:rsidRPr="003F564F">
        <w:rPr>
          <w:sz w:val="22"/>
          <w:szCs w:val="24"/>
        </w:rPr>
        <w:t>, tiesiog gerkite kitą dozę įprastu laiku. Negalima vartoti dvigubos dozės norint kompensuoti praleistą dozę.</w:t>
      </w:r>
    </w:p>
    <w:p w14:paraId="2169B09F" w14:textId="77777777" w:rsidR="009404C3" w:rsidRPr="003F564F" w:rsidRDefault="009404C3" w:rsidP="009404C3">
      <w:pPr>
        <w:numPr>
          <w:ilvl w:val="12"/>
          <w:numId w:val="0"/>
        </w:numPr>
        <w:ind w:right="-2"/>
        <w:rPr>
          <w:sz w:val="22"/>
          <w:szCs w:val="24"/>
        </w:rPr>
      </w:pPr>
    </w:p>
    <w:p w14:paraId="736AE0A8" w14:textId="05B2B358" w:rsidR="008D3B35" w:rsidRPr="003F564F" w:rsidRDefault="00AB4978">
      <w:pPr>
        <w:numPr>
          <w:ilvl w:val="12"/>
          <w:numId w:val="0"/>
        </w:numPr>
        <w:ind w:right="-29"/>
        <w:rPr>
          <w:sz w:val="22"/>
          <w:szCs w:val="24"/>
        </w:rPr>
      </w:pPr>
      <w:r w:rsidRPr="003F564F">
        <w:rPr>
          <w:sz w:val="22"/>
          <w:szCs w:val="24"/>
        </w:rPr>
        <w:t>Jeigu kiltų daugiau klausimų dėl šio vaisto vartojimo, kreipkitės į gydytoją arba vaistininką.</w:t>
      </w:r>
    </w:p>
    <w:p w14:paraId="66398A76" w14:textId="77777777" w:rsidR="008D3B35" w:rsidRPr="003F564F" w:rsidRDefault="008D3B35">
      <w:pPr>
        <w:numPr>
          <w:ilvl w:val="12"/>
          <w:numId w:val="0"/>
        </w:numPr>
        <w:rPr>
          <w:sz w:val="22"/>
          <w:szCs w:val="24"/>
        </w:rPr>
      </w:pPr>
    </w:p>
    <w:p w14:paraId="4881AD67" w14:textId="77777777" w:rsidR="008D3B35" w:rsidRPr="003F564F" w:rsidRDefault="008D3B35">
      <w:pPr>
        <w:numPr>
          <w:ilvl w:val="12"/>
          <w:numId w:val="0"/>
        </w:numPr>
        <w:rPr>
          <w:sz w:val="22"/>
          <w:szCs w:val="24"/>
        </w:rPr>
      </w:pPr>
    </w:p>
    <w:p w14:paraId="31E62EC5" w14:textId="77777777" w:rsidR="008D3B35" w:rsidRPr="003F564F" w:rsidRDefault="00AB4978">
      <w:pPr>
        <w:keepNext/>
        <w:keepLines/>
        <w:tabs>
          <w:tab w:val="left" w:pos="567"/>
        </w:tabs>
        <w:outlineLvl w:val="2"/>
        <w:rPr>
          <w:b/>
          <w:bCs/>
          <w:sz w:val="22"/>
          <w:szCs w:val="26"/>
          <w:lang w:eastAsia="x-none"/>
        </w:rPr>
      </w:pPr>
      <w:r w:rsidRPr="003F564F">
        <w:rPr>
          <w:b/>
          <w:bCs/>
          <w:sz w:val="22"/>
          <w:szCs w:val="26"/>
          <w:lang w:eastAsia="x-none"/>
        </w:rPr>
        <w:lastRenderedPageBreak/>
        <w:t>4.</w:t>
      </w:r>
      <w:r w:rsidRPr="003F564F">
        <w:rPr>
          <w:b/>
          <w:bCs/>
          <w:sz w:val="22"/>
          <w:szCs w:val="26"/>
          <w:lang w:eastAsia="x-none"/>
        </w:rPr>
        <w:tab/>
        <w:t>Galimas šalutinis poveikis</w:t>
      </w:r>
    </w:p>
    <w:p w14:paraId="669D1A0D" w14:textId="77777777" w:rsidR="008D3B35" w:rsidRPr="003F564F" w:rsidRDefault="008D3B35">
      <w:pPr>
        <w:numPr>
          <w:ilvl w:val="12"/>
          <w:numId w:val="0"/>
        </w:numPr>
        <w:rPr>
          <w:sz w:val="22"/>
          <w:szCs w:val="24"/>
        </w:rPr>
      </w:pPr>
    </w:p>
    <w:p w14:paraId="33FD4070" w14:textId="77777777" w:rsidR="008D3B35" w:rsidRPr="003F564F" w:rsidRDefault="00AB4978">
      <w:pPr>
        <w:jc w:val="both"/>
        <w:rPr>
          <w:sz w:val="22"/>
          <w:szCs w:val="22"/>
          <w:lang w:eastAsia="lt-LT"/>
        </w:rPr>
      </w:pPr>
      <w:r w:rsidRPr="003F564F">
        <w:rPr>
          <w:sz w:val="22"/>
          <w:szCs w:val="22"/>
          <w:lang w:eastAsia="lt-LT"/>
        </w:rPr>
        <w:t>Šis vaistas, kaip ir visi kiti, gali sukelti šalutinį poveikį, nors jis pasireiškia ne visiems žmonėms.</w:t>
      </w:r>
    </w:p>
    <w:p w14:paraId="60D3C072" w14:textId="77777777" w:rsidR="009404C3" w:rsidRPr="003F564F" w:rsidRDefault="009404C3" w:rsidP="009404C3">
      <w:pPr>
        <w:jc w:val="both"/>
        <w:rPr>
          <w:sz w:val="22"/>
          <w:szCs w:val="22"/>
          <w:lang w:eastAsia="lt-LT"/>
        </w:rPr>
      </w:pPr>
    </w:p>
    <w:p w14:paraId="1BEFA797" w14:textId="0E8469F3" w:rsidR="009404C3" w:rsidRPr="003F564F" w:rsidRDefault="009404C3" w:rsidP="009404C3">
      <w:pPr>
        <w:jc w:val="both"/>
        <w:rPr>
          <w:sz w:val="22"/>
          <w:szCs w:val="22"/>
          <w:lang w:eastAsia="lt-LT"/>
        </w:rPr>
      </w:pPr>
      <w:r w:rsidRPr="003F564F">
        <w:rPr>
          <w:sz w:val="22"/>
          <w:szCs w:val="22"/>
          <w:lang w:eastAsia="lt-LT"/>
        </w:rPr>
        <w:t xml:space="preserve">Daugelis </w:t>
      </w:r>
      <w:proofErr w:type="spellStart"/>
      <w:r w:rsidR="008B09E3">
        <w:rPr>
          <w:sz w:val="22"/>
          <w:szCs w:val="22"/>
          <w:lang w:eastAsia="lt-LT"/>
        </w:rPr>
        <w:t>Ruxolitinib</w:t>
      </w:r>
      <w:proofErr w:type="spellEnd"/>
      <w:r w:rsidR="008B09E3">
        <w:rPr>
          <w:sz w:val="22"/>
          <w:szCs w:val="22"/>
          <w:lang w:eastAsia="lt-LT"/>
        </w:rPr>
        <w:t xml:space="preserve"> </w:t>
      </w:r>
      <w:proofErr w:type="spellStart"/>
      <w:r w:rsidR="008B09E3">
        <w:rPr>
          <w:sz w:val="22"/>
          <w:szCs w:val="22"/>
          <w:lang w:eastAsia="lt-LT"/>
        </w:rPr>
        <w:t>Sandoz</w:t>
      </w:r>
      <w:proofErr w:type="spellEnd"/>
      <w:r w:rsidRPr="003F564F">
        <w:rPr>
          <w:sz w:val="22"/>
          <w:szCs w:val="22"/>
          <w:lang w:eastAsia="lt-LT"/>
        </w:rPr>
        <w:t xml:space="preserve"> sukeliamų šalutinių reiškinių yra nesunkūs ar vidutinio sunkumo, jie paprastai išnyksta per kelias dienas ar kelias savaites nutraukus vaisto vartojimą.</w:t>
      </w:r>
    </w:p>
    <w:p w14:paraId="397D3E86" w14:textId="77777777" w:rsidR="009404C3" w:rsidRPr="003F564F" w:rsidRDefault="009404C3" w:rsidP="009404C3">
      <w:pPr>
        <w:jc w:val="both"/>
        <w:rPr>
          <w:sz w:val="22"/>
          <w:szCs w:val="22"/>
          <w:lang w:eastAsia="lt-LT"/>
        </w:rPr>
      </w:pPr>
    </w:p>
    <w:p w14:paraId="53FD0B3E" w14:textId="2D97F420" w:rsidR="009404C3" w:rsidRPr="006C4504" w:rsidRDefault="009404C3" w:rsidP="009404C3">
      <w:pPr>
        <w:jc w:val="both"/>
        <w:rPr>
          <w:b/>
          <w:bCs/>
          <w:sz w:val="22"/>
          <w:szCs w:val="22"/>
          <w:lang w:eastAsia="lt-LT"/>
        </w:rPr>
      </w:pPr>
      <w:proofErr w:type="spellStart"/>
      <w:r w:rsidRPr="006C4504">
        <w:rPr>
          <w:b/>
          <w:bCs/>
          <w:sz w:val="22"/>
          <w:szCs w:val="22"/>
          <w:lang w:eastAsia="lt-LT"/>
        </w:rPr>
        <w:t>Mielofibrozė</w:t>
      </w:r>
      <w:proofErr w:type="spellEnd"/>
      <w:r w:rsidRPr="006C4504">
        <w:rPr>
          <w:b/>
          <w:bCs/>
          <w:sz w:val="22"/>
          <w:szCs w:val="22"/>
          <w:lang w:eastAsia="lt-LT"/>
        </w:rPr>
        <w:t xml:space="preserve"> ir tikroji </w:t>
      </w:r>
      <w:proofErr w:type="spellStart"/>
      <w:r w:rsidRPr="006C4504">
        <w:rPr>
          <w:b/>
          <w:bCs/>
          <w:sz w:val="22"/>
          <w:szCs w:val="22"/>
          <w:lang w:eastAsia="lt-LT"/>
        </w:rPr>
        <w:t>policitemija</w:t>
      </w:r>
      <w:proofErr w:type="spellEnd"/>
    </w:p>
    <w:p w14:paraId="23B9A575" w14:textId="77777777" w:rsidR="006C4504" w:rsidRDefault="006C4504" w:rsidP="009404C3">
      <w:pPr>
        <w:jc w:val="both"/>
        <w:rPr>
          <w:b/>
          <w:bCs/>
          <w:sz w:val="22"/>
          <w:szCs w:val="22"/>
          <w:lang w:eastAsia="lt-LT"/>
        </w:rPr>
      </w:pPr>
    </w:p>
    <w:p w14:paraId="2DA53CFD" w14:textId="2ABCB006" w:rsidR="009404C3" w:rsidRPr="006C4504" w:rsidRDefault="009404C3" w:rsidP="009404C3">
      <w:pPr>
        <w:jc w:val="both"/>
        <w:rPr>
          <w:b/>
          <w:bCs/>
          <w:sz w:val="22"/>
          <w:szCs w:val="22"/>
          <w:lang w:eastAsia="lt-LT"/>
        </w:rPr>
      </w:pPr>
      <w:r w:rsidRPr="006C4504">
        <w:rPr>
          <w:b/>
          <w:bCs/>
          <w:sz w:val="22"/>
          <w:szCs w:val="22"/>
          <w:lang w:eastAsia="lt-LT"/>
        </w:rPr>
        <w:t xml:space="preserve">Kai kurie šalutiniai </w:t>
      </w:r>
      <w:r w:rsidR="006C4504" w:rsidRPr="006C4504">
        <w:rPr>
          <w:b/>
          <w:bCs/>
          <w:sz w:val="22"/>
          <w:szCs w:val="22"/>
          <w:lang w:eastAsia="lt-LT"/>
        </w:rPr>
        <w:t>poveikiai</w:t>
      </w:r>
      <w:r w:rsidRPr="006C4504">
        <w:rPr>
          <w:b/>
          <w:bCs/>
          <w:sz w:val="22"/>
          <w:szCs w:val="22"/>
          <w:lang w:eastAsia="lt-LT"/>
        </w:rPr>
        <w:t xml:space="preserve"> gali būti sunkūs</w:t>
      </w:r>
    </w:p>
    <w:p w14:paraId="1D0D7081" w14:textId="4D612F0A" w:rsidR="009404C3" w:rsidRPr="006C4504" w:rsidRDefault="009404C3" w:rsidP="009404C3">
      <w:pPr>
        <w:jc w:val="both"/>
        <w:rPr>
          <w:b/>
          <w:bCs/>
          <w:sz w:val="22"/>
          <w:szCs w:val="22"/>
          <w:lang w:eastAsia="lt-LT"/>
        </w:rPr>
      </w:pPr>
      <w:r w:rsidRPr="006C4504">
        <w:rPr>
          <w:b/>
          <w:bCs/>
          <w:sz w:val="22"/>
          <w:szCs w:val="22"/>
          <w:lang w:eastAsia="lt-LT"/>
        </w:rPr>
        <w:t>Nevartokite kitos dozės ir nedelsdami kreipkitės medicininės pagalbos, jeigu Jums pasireiškia toliau išvardytų sunkių šalutinių reiškinių</w:t>
      </w:r>
      <w:r w:rsidR="006C4504" w:rsidRPr="006C4504">
        <w:rPr>
          <w:b/>
          <w:bCs/>
          <w:sz w:val="22"/>
          <w:szCs w:val="22"/>
          <w:lang w:eastAsia="lt-LT"/>
        </w:rPr>
        <w:t>:</w:t>
      </w:r>
    </w:p>
    <w:p w14:paraId="2557EF6E" w14:textId="77777777" w:rsidR="006C4504" w:rsidRPr="003F564F" w:rsidRDefault="006C4504" w:rsidP="009404C3">
      <w:pPr>
        <w:jc w:val="both"/>
        <w:rPr>
          <w:sz w:val="22"/>
          <w:szCs w:val="22"/>
          <w:lang w:eastAsia="lt-LT"/>
        </w:rPr>
      </w:pPr>
    </w:p>
    <w:p w14:paraId="27A1B9C4" w14:textId="53AA0111" w:rsidR="009404C3" w:rsidRPr="003F564F" w:rsidRDefault="006C4504" w:rsidP="009404C3">
      <w:pPr>
        <w:jc w:val="both"/>
        <w:rPr>
          <w:sz w:val="22"/>
          <w:szCs w:val="22"/>
          <w:lang w:eastAsia="lt-LT"/>
        </w:rPr>
      </w:pPr>
      <w:r w:rsidRPr="006C4504">
        <w:rPr>
          <w:sz w:val="22"/>
          <w:szCs w:val="22"/>
          <w:lang w:eastAsia="lt-LT"/>
        </w:rPr>
        <w:t xml:space="preserve">Labai dažni šalutinio poveikio reiškiniai </w:t>
      </w:r>
      <w:r w:rsidR="009404C3" w:rsidRPr="003F564F">
        <w:rPr>
          <w:sz w:val="22"/>
          <w:szCs w:val="22"/>
          <w:lang w:eastAsia="lt-LT"/>
        </w:rPr>
        <w:t>(gali pasireikšti ne rečiau kaip 1 iš 10 asmenų):</w:t>
      </w:r>
    </w:p>
    <w:p w14:paraId="4409601B" w14:textId="4E6EC75E" w:rsidR="009404C3" w:rsidRPr="006C4504" w:rsidRDefault="009404C3" w:rsidP="006C4504">
      <w:pPr>
        <w:pStyle w:val="Sraopastraipa"/>
        <w:numPr>
          <w:ilvl w:val="0"/>
          <w:numId w:val="12"/>
        </w:numPr>
        <w:ind w:left="567" w:hanging="567"/>
        <w:jc w:val="both"/>
        <w:rPr>
          <w:sz w:val="22"/>
          <w:szCs w:val="22"/>
          <w:lang w:eastAsia="lt-LT"/>
        </w:rPr>
      </w:pPr>
      <w:r w:rsidRPr="006C4504">
        <w:rPr>
          <w:sz w:val="22"/>
          <w:szCs w:val="22"/>
          <w:lang w:eastAsia="lt-LT"/>
        </w:rPr>
        <w:t>bet kokie kraujavimo iš skrandžio ar žarnyno požymiai, pavyzdžiui, juodos išmatos ar išmatos su krauju, arba vėmimas krauju;</w:t>
      </w:r>
    </w:p>
    <w:p w14:paraId="169EF112" w14:textId="22650487" w:rsidR="009404C3" w:rsidRPr="006C4504" w:rsidRDefault="009404C3" w:rsidP="006C4504">
      <w:pPr>
        <w:pStyle w:val="Sraopastraipa"/>
        <w:numPr>
          <w:ilvl w:val="0"/>
          <w:numId w:val="12"/>
        </w:numPr>
        <w:ind w:left="567" w:hanging="567"/>
        <w:jc w:val="both"/>
        <w:rPr>
          <w:sz w:val="22"/>
          <w:szCs w:val="22"/>
          <w:lang w:eastAsia="lt-LT"/>
        </w:rPr>
      </w:pPr>
      <w:r w:rsidRPr="006C4504">
        <w:rPr>
          <w:sz w:val="22"/>
          <w:szCs w:val="22"/>
          <w:lang w:eastAsia="lt-LT"/>
        </w:rPr>
        <w:t>netikėtai susidarančios mėlynės ir (arba) pasireiškiantis kraujavimas, neįprastas nuovargis, dusulys fizinio krūvio metu ar ramybėje, neįprastai blyški oda arba dažnos infekcijos – galimi kraujo sutrikimo simptomai;</w:t>
      </w:r>
    </w:p>
    <w:p w14:paraId="23452955" w14:textId="5532BAEA" w:rsidR="009404C3" w:rsidRPr="006C4504" w:rsidRDefault="009404C3" w:rsidP="006C4504">
      <w:pPr>
        <w:pStyle w:val="Sraopastraipa"/>
        <w:numPr>
          <w:ilvl w:val="0"/>
          <w:numId w:val="12"/>
        </w:numPr>
        <w:ind w:left="567" w:hanging="567"/>
        <w:jc w:val="both"/>
        <w:rPr>
          <w:sz w:val="22"/>
          <w:szCs w:val="22"/>
          <w:lang w:eastAsia="lt-LT"/>
        </w:rPr>
      </w:pPr>
      <w:r w:rsidRPr="006C4504">
        <w:rPr>
          <w:sz w:val="22"/>
          <w:szCs w:val="22"/>
          <w:lang w:eastAsia="lt-LT"/>
        </w:rPr>
        <w:t>skausmingas odos išbėrimas su pūslėmis – galimi juostinės pūslelinės (</w:t>
      </w:r>
      <w:proofErr w:type="spellStart"/>
      <w:r w:rsidRPr="006C4504">
        <w:rPr>
          <w:i/>
          <w:iCs/>
          <w:sz w:val="22"/>
          <w:szCs w:val="22"/>
          <w:lang w:eastAsia="lt-LT"/>
        </w:rPr>
        <w:t>herpes</w:t>
      </w:r>
      <w:proofErr w:type="spellEnd"/>
      <w:r w:rsidRPr="006C4504">
        <w:rPr>
          <w:i/>
          <w:iCs/>
          <w:sz w:val="22"/>
          <w:szCs w:val="22"/>
          <w:lang w:eastAsia="lt-LT"/>
        </w:rPr>
        <w:t xml:space="preserve"> </w:t>
      </w:r>
      <w:proofErr w:type="spellStart"/>
      <w:r w:rsidRPr="006C4504">
        <w:rPr>
          <w:i/>
          <w:iCs/>
          <w:sz w:val="22"/>
          <w:szCs w:val="22"/>
          <w:lang w:eastAsia="lt-LT"/>
        </w:rPr>
        <w:t>zoster</w:t>
      </w:r>
      <w:proofErr w:type="spellEnd"/>
      <w:r w:rsidRPr="006C4504">
        <w:rPr>
          <w:sz w:val="22"/>
          <w:szCs w:val="22"/>
          <w:lang w:eastAsia="lt-LT"/>
        </w:rPr>
        <w:t>) simptomai;</w:t>
      </w:r>
    </w:p>
    <w:p w14:paraId="2F4F6F95" w14:textId="2A28B03A" w:rsidR="009404C3" w:rsidRPr="006C4504" w:rsidRDefault="009404C3" w:rsidP="006C4504">
      <w:pPr>
        <w:pStyle w:val="Sraopastraipa"/>
        <w:numPr>
          <w:ilvl w:val="0"/>
          <w:numId w:val="12"/>
        </w:numPr>
        <w:ind w:left="567" w:hanging="567"/>
        <w:jc w:val="both"/>
        <w:rPr>
          <w:sz w:val="22"/>
          <w:szCs w:val="22"/>
          <w:lang w:eastAsia="lt-LT"/>
        </w:rPr>
      </w:pPr>
      <w:r w:rsidRPr="006C4504">
        <w:rPr>
          <w:sz w:val="22"/>
          <w:szCs w:val="22"/>
          <w:lang w:eastAsia="lt-LT"/>
        </w:rPr>
        <w:t xml:space="preserve">karščiavimas, </w:t>
      </w:r>
      <w:proofErr w:type="spellStart"/>
      <w:r w:rsidRPr="006C4504">
        <w:rPr>
          <w:sz w:val="22"/>
          <w:szCs w:val="22"/>
          <w:lang w:eastAsia="lt-LT"/>
        </w:rPr>
        <w:t>šaltkrėtis</w:t>
      </w:r>
      <w:proofErr w:type="spellEnd"/>
      <w:r w:rsidRPr="006C4504">
        <w:rPr>
          <w:sz w:val="22"/>
          <w:szCs w:val="22"/>
          <w:lang w:eastAsia="lt-LT"/>
        </w:rPr>
        <w:t xml:space="preserve"> ar kitokie infekcijos simptomai;</w:t>
      </w:r>
    </w:p>
    <w:p w14:paraId="474C860E" w14:textId="4150FEC0" w:rsidR="009404C3" w:rsidRPr="006C4504" w:rsidRDefault="009404C3" w:rsidP="006C4504">
      <w:pPr>
        <w:pStyle w:val="Sraopastraipa"/>
        <w:numPr>
          <w:ilvl w:val="0"/>
          <w:numId w:val="12"/>
        </w:numPr>
        <w:ind w:left="567" w:hanging="567"/>
        <w:jc w:val="both"/>
        <w:rPr>
          <w:sz w:val="22"/>
          <w:szCs w:val="22"/>
          <w:lang w:eastAsia="lt-LT"/>
        </w:rPr>
      </w:pPr>
      <w:r w:rsidRPr="006C4504">
        <w:rPr>
          <w:sz w:val="22"/>
          <w:szCs w:val="22"/>
          <w:lang w:eastAsia="lt-LT"/>
        </w:rPr>
        <w:t>sumažėjęs raudonųjų kraujo ląstelių skaičius (mažakraujystė), sumažėjęs baltųjų kraujo ląstelių skaičius (</w:t>
      </w:r>
      <w:proofErr w:type="spellStart"/>
      <w:r w:rsidRPr="006C4504">
        <w:rPr>
          <w:sz w:val="22"/>
          <w:szCs w:val="22"/>
          <w:lang w:eastAsia="lt-LT"/>
        </w:rPr>
        <w:t>neutropenija</w:t>
      </w:r>
      <w:proofErr w:type="spellEnd"/>
      <w:r w:rsidRPr="006C4504">
        <w:rPr>
          <w:sz w:val="22"/>
          <w:szCs w:val="22"/>
          <w:lang w:eastAsia="lt-LT"/>
        </w:rPr>
        <w:t>) arba sumažėjęs trombocitų skaičius (</w:t>
      </w:r>
      <w:proofErr w:type="spellStart"/>
      <w:r w:rsidRPr="006C4504">
        <w:rPr>
          <w:sz w:val="22"/>
          <w:szCs w:val="22"/>
          <w:lang w:eastAsia="lt-LT"/>
        </w:rPr>
        <w:t>trombocitopenija</w:t>
      </w:r>
      <w:proofErr w:type="spellEnd"/>
      <w:r w:rsidRPr="006C4504">
        <w:rPr>
          <w:sz w:val="22"/>
          <w:szCs w:val="22"/>
          <w:lang w:eastAsia="lt-LT"/>
        </w:rPr>
        <w:t>).</w:t>
      </w:r>
    </w:p>
    <w:p w14:paraId="5B17C2FB" w14:textId="77777777" w:rsidR="009404C3" w:rsidRPr="003F564F" w:rsidRDefault="009404C3" w:rsidP="009404C3">
      <w:pPr>
        <w:jc w:val="both"/>
        <w:rPr>
          <w:sz w:val="22"/>
          <w:szCs w:val="22"/>
          <w:lang w:eastAsia="lt-LT"/>
        </w:rPr>
      </w:pPr>
    </w:p>
    <w:p w14:paraId="5DBFA558" w14:textId="749B0167" w:rsidR="009404C3" w:rsidRPr="003F564F" w:rsidRDefault="006C4504" w:rsidP="009404C3">
      <w:pPr>
        <w:jc w:val="both"/>
        <w:rPr>
          <w:sz w:val="22"/>
          <w:szCs w:val="22"/>
          <w:lang w:eastAsia="lt-LT"/>
        </w:rPr>
      </w:pPr>
      <w:r w:rsidRPr="006C4504">
        <w:rPr>
          <w:sz w:val="22"/>
          <w:szCs w:val="22"/>
          <w:lang w:eastAsia="lt-LT"/>
        </w:rPr>
        <w:t xml:space="preserve">Dažni šalutinio poveikio reiškiniai </w:t>
      </w:r>
      <w:r w:rsidR="009404C3" w:rsidRPr="003F564F">
        <w:rPr>
          <w:sz w:val="22"/>
          <w:szCs w:val="22"/>
          <w:lang w:eastAsia="lt-LT"/>
        </w:rPr>
        <w:t>(gali pasireikšti rečiau kaip 1 iš 10 asmenų):</w:t>
      </w:r>
    </w:p>
    <w:p w14:paraId="07264782" w14:textId="566BE5B3" w:rsidR="009404C3" w:rsidRPr="006C4504" w:rsidRDefault="009404C3" w:rsidP="006C4504">
      <w:pPr>
        <w:pStyle w:val="Sraopastraipa"/>
        <w:numPr>
          <w:ilvl w:val="0"/>
          <w:numId w:val="12"/>
        </w:numPr>
        <w:ind w:left="567" w:hanging="567"/>
        <w:jc w:val="both"/>
        <w:rPr>
          <w:sz w:val="22"/>
          <w:szCs w:val="22"/>
          <w:lang w:eastAsia="lt-LT"/>
        </w:rPr>
      </w:pPr>
      <w:r w:rsidRPr="006C4504">
        <w:rPr>
          <w:sz w:val="22"/>
          <w:szCs w:val="22"/>
          <w:lang w:eastAsia="lt-LT"/>
        </w:rPr>
        <w:t>bet kokie kraujavimo galvos smegenyse požymiai, pavyzdžiui, staiga pablogėjusi sąmonė, nuolatinis galvos skausmas, tirpimo, dilgčiojimo pojūtis, galūnių silpnumas ar paralyžius.</w:t>
      </w:r>
    </w:p>
    <w:p w14:paraId="017F2B3F" w14:textId="77777777" w:rsidR="009404C3" w:rsidRPr="003F564F" w:rsidRDefault="009404C3" w:rsidP="009404C3">
      <w:pPr>
        <w:jc w:val="both"/>
        <w:rPr>
          <w:sz w:val="22"/>
          <w:szCs w:val="22"/>
          <w:lang w:eastAsia="lt-LT"/>
        </w:rPr>
      </w:pPr>
    </w:p>
    <w:p w14:paraId="62920431" w14:textId="77777777" w:rsidR="009404C3" w:rsidRPr="006C4504" w:rsidRDefault="009404C3" w:rsidP="009404C3">
      <w:pPr>
        <w:jc w:val="both"/>
        <w:rPr>
          <w:b/>
          <w:bCs/>
          <w:sz w:val="22"/>
          <w:szCs w:val="22"/>
          <w:lang w:eastAsia="lt-LT"/>
        </w:rPr>
      </w:pPr>
      <w:r w:rsidRPr="006C4504">
        <w:rPr>
          <w:b/>
          <w:bCs/>
          <w:sz w:val="22"/>
          <w:szCs w:val="22"/>
          <w:lang w:eastAsia="lt-LT"/>
        </w:rPr>
        <w:t>Kitas šalutinis poveikis</w:t>
      </w:r>
    </w:p>
    <w:p w14:paraId="159DC8C1" w14:textId="60BC50F5" w:rsidR="008D3B35" w:rsidRPr="003F564F" w:rsidRDefault="009404C3" w:rsidP="009404C3">
      <w:pPr>
        <w:jc w:val="both"/>
        <w:rPr>
          <w:sz w:val="22"/>
          <w:szCs w:val="22"/>
          <w:lang w:eastAsia="lt-LT"/>
        </w:rPr>
      </w:pPr>
      <w:r w:rsidRPr="003F564F">
        <w:rPr>
          <w:sz w:val="22"/>
          <w:szCs w:val="22"/>
          <w:lang w:eastAsia="lt-LT"/>
        </w:rPr>
        <w:t>Kitas galimas šalutinis poveikis nurodytas toliau. Pasakykite gydytojui arba vaistininkui, jei Jums pasireiškė šie šalutiniai poveikiai.</w:t>
      </w:r>
    </w:p>
    <w:p w14:paraId="656E5E4F" w14:textId="77777777" w:rsidR="009404C3" w:rsidRPr="003F564F" w:rsidRDefault="009404C3" w:rsidP="009404C3">
      <w:pPr>
        <w:jc w:val="both"/>
        <w:rPr>
          <w:sz w:val="22"/>
          <w:szCs w:val="22"/>
          <w:lang w:eastAsia="lt-LT"/>
        </w:rPr>
      </w:pPr>
    </w:p>
    <w:p w14:paraId="612B5334" w14:textId="7991D070" w:rsidR="008D3B35" w:rsidRPr="006C4504" w:rsidRDefault="00AB4978">
      <w:pPr>
        <w:jc w:val="both"/>
        <w:rPr>
          <w:sz w:val="22"/>
          <w:szCs w:val="22"/>
          <w:lang w:eastAsia="lt-LT"/>
        </w:rPr>
      </w:pPr>
      <w:r w:rsidRPr="006C4504">
        <w:rPr>
          <w:sz w:val="22"/>
          <w:szCs w:val="22"/>
          <w:lang w:eastAsia="lt-LT"/>
        </w:rPr>
        <w:t>Labai dažni šalutinio poveikio reiškiniai (gali pasireikšti ne rečiau kaip 1 iš 10 asmenų):</w:t>
      </w:r>
    </w:p>
    <w:p w14:paraId="02080ED9" w14:textId="3EEC1E2C" w:rsidR="009404C3" w:rsidRPr="006C4504" w:rsidRDefault="009404C3" w:rsidP="006C4504">
      <w:pPr>
        <w:pStyle w:val="Sraopastraipa"/>
        <w:numPr>
          <w:ilvl w:val="0"/>
          <w:numId w:val="12"/>
        </w:numPr>
        <w:ind w:left="567" w:hanging="567"/>
        <w:jc w:val="both"/>
        <w:rPr>
          <w:sz w:val="22"/>
          <w:szCs w:val="22"/>
          <w:lang w:eastAsia="lt-LT"/>
        </w:rPr>
      </w:pPr>
      <w:r w:rsidRPr="006C4504">
        <w:rPr>
          <w:sz w:val="22"/>
          <w:szCs w:val="22"/>
          <w:lang w:eastAsia="lt-LT"/>
        </w:rPr>
        <w:t>padidėjusi cholesterolio koncentracija ar riebalų koncentracija kraujyje (</w:t>
      </w:r>
      <w:proofErr w:type="spellStart"/>
      <w:r w:rsidRPr="006C4504">
        <w:rPr>
          <w:sz w:val="22"/>
          <w:szCs w:val="22"/>
          <w:lang w:eastAsia="lt-LT"/>
        </w:rPr>
        <w:t>hipertrigliceridemija</w:t>
      </w:r>
      <w:proofErr w:type="spellEnd"/>
      <w:r w:rsidRPr="006C4504">
        <w:rPr>
          <w:sz w:val="22"/>
          <w:szCs w:val="22"/>
          <w:lang w:eastAsia="lt-LT"/>
        </w:rPr>
        <w:t>);</w:t>
      </w:r>
    </w:p>
    <w:p w14:paraId="0A2E3EA7" w14:textId="40191678" w:rsidR="009404C3" w:rsidRPr="006C4504" w:rsidRDefault="009404C3" w:rsidP="006C4504">
      <w:pPr>
        <w:pStyle w:val="Sraopastraipa"/>
        <w:numPr>
          <w:ilvl w:val="0"/>
          <w:numId w:val="12"/>
        </w:numPr>
        <w:ind w:left="567" w:hanging="567"/>
        <w:jc w:val="both"/>
        <w:rPr>
          <w:sz w:val="22"/>
          <w:szCs w:val="22"/>
          <w:lang w:eastAsia="lt-LT"/>
        </w:rPr>
      </w:pPr>
      <w:r w:rsidRPr="006C4504">
        <w:rPr>
          <w:sz w:val="22"/>
          <w:szCs w:val="22"/>
          <w:lang w:eastAsia="lt-LT"/>
        </w:rPr>
        <w:t>pakitę kepenų funkcijos tyrimo rodikliai;</w:t>
      </w:r>
    </w:p>
    <w:p w14:paraId="2B263967" w14:textId="47ED212B" w:rsidR="009404C3" w:rsidRPr="006C4504" w:rsidRDefault="00E60E75" w:rsidP="006C4504">
      <w:pPr>
        <w:pStyle w:val="Sraopastraipa"/>
        <w:numPr>
          <w:ilvl w:val="0"/>
          <w:numId w:val="12"/>
        </w:numPr>
        <w:ind w:left="567" w:hanging="567"/>
        <w:jc w:val="both"/>
        <w:rPr>
          <w:sz w:val="22"/>
          <w:szCs w:val="22"/>
          <w:lang w:eastAsia="lt-LT"/>
        </w:rPr>
      </w:pPr>
      <w:r>
        <w:rPr>
          <w:sz w:val="22"/>
          <w:szCs w:val="22"/>
          <w:lang w:eastAsia="lt-LT"/>
        </w:rPr>
        <w:t>svaigulys</w:t>
      </w:r>
      <w:r w:rsidR="009404C3" w:rsidRPr="006C4504">
        <w:rPr>
          <w:sz w:val="22"/>
          <w:szCs w:val="22"/>
          <w:lang w:eastAsia="lt-LT"/>
        </w:rPr>
        <w:t>;</w:t>
      </w:r>
    </w:p>
    <w:p w14:paraId="7474FFBE" w14:textId="5F9A2B51" w:rsidR="009404C3" w:rsidRPr="006C4504" w:rsidRDefault="009404C3" w:rsidP="006C4504">
      <w:pPr>
        <w:pStyle w:val="Sraopastraipa"/>
        <w:numPr>
          <w:ilvl w:val="0"/>
          <w:numId w:val="12"/>
        </w:numPr>
        <w:ind w:left="567" w:hanging="567"/>
        <w:jc w:val="both"/>
        <w:rPr>
          <w:sz w:val="22"/>
          <w:szCs w:val="22"/>
          <w:lang w:eastAsia="lt-LT"/>
        </w:rPr>
      </w:pPr>
      <w:r w:rsidRPr="006C4504">
        <w:rPr>
          <w:sz w:val="22"/>
          <w:szCs w:val="22"/>
          <w:lang w:eastAsia="lt-LT"/>
        </w:rPr>
        <w:t>galvos skausmas;</w:t>
      </w:r>
    </w:p>
    <w:p w14:paraId="47841D16" w14:textId="64A8FAEB" w:rsidR="009404C3" w:rsidRPr="006C4504" w:rsidRDefault="009404C3" w:rsidP="006C4504">
      <w:pPr>
        <w:pStyle w:val="Sraopastraipa"/>
        <w:numPr>
          <w:ilvl w:val="0"/>
          <w:numId w:val="12"/>
        </w:numPr>
        <w:ind w:left="567" w:hanging="567"/>
        <w:jc w:val="both"/>
        <w:rPr>
          <w:sz w:val="22"/>
          <w:szCs w:val="22"/>
          <w:lang w:eastAsia="lt-LT"/>
        </w:rPr>
      </w:pPr>
      <w:r w:rsidRPr="006C4504">
        <w:rPr>
          <w:sz w:val="22"/>
          <w:szCs w:val="22"/>
          <w:lang w:eastAsia="lt-LT"/>
        </w:rPr>
        <w:t>šlapimo takų infekcija;</w:t>
      </w:r>
    </w:p>
    <w:p w14:paraId="325CBD5E" w14:textId="42E7C2D6" w:rsidR="009404C3" w:rsidRPr="006C4504" w:rsidRDefault="009404C3" w:rsidP="006C4504">
      <w:pPr>
        <w:pStyle w:val="Sraopastraipa"/>
        <w:numPr>
          <w:ilvl w:val="0"/>
          <w:numId w:val="12"/>
        </w:numPr>
        <w:ind w:left="567" w:hanging="567"/>
        <w:jc w:val="both"/>
        <w:rPr>
          <w:sz w:val="22"/>
          <w:szCs w:val="22"/>
          <w:lang w:eastAsia="lt-LT"/>
        </w:rPr>
      </w:pPr>
      <w:r w:rsidRPr="006C4504">
        <w:rPr>
          <w:sz w:val="22"/>
          <w:szCs w:val="22"/>
          <w:lang w:eastAsia="lt-LT"/>
        </w:rPr>
        <w:t>padidėjęs kūno svoris;</w:t>
      </w:r>
    </w:p>
    <w:p w14:paraId="78F451E6" w14:textId="149EE841" w:rsidR="009404C3" w:rsidRPr="006C4504" w:rsidRDefault="009404C3" w:rsidP="006C4504">
      <w:pPr>
        <w:pStyle w:val="Sraopastraipa"/>
        <w:numPr>
          <w:ilvl w:val="0"/>
          <w:numId w:val="12"/>
        </w:numPr>
        <w:ind w:left="567" w:hanging="567"/>
        <w:jc w:val="both"/>
        <w:rPr>
          <w:sz w:val="22"/>
          <w:szCs w:val="22"/>
          <w:lang w:eastAsia="lt-LT"/>
        </w:rPr>
      </w:pPr>
      <w:r w:rsidRPr="006C4504">
        <w:rPr>
          <w:sz w:val="22"/>
          <w:szCs w:val="22"/>
          <w:lang w:eastAsia="lt-LT"/>
        </w:rPr>
        <w:t>karščiavimas, kosulys, sunkus ar skausmingas kvėpavimas, švokštimas, krūtinės skausmas kvėpuojant – galimi plaučių uždegimo simptomai;</w:t>
      </w:r>
    </w:p>
    <w:p w14:paraId="4B59F354" w14:textId="6F1E4682" w:rsidR="009404C3" w:rsidRPr="006C4504" w:rsidRDefault="009404C3" w:rsidP="006C4504">
      <w:pPr>
        <w:pStyle w:val="Sraopastraipa"/>
        <w:numPr>
          <w:ilvl w:val="0"/>
          <w:numId w:val="12"/>
        </w:numPr>
        <w:ind w:left="567" w:hanging="567"/>
        <w:jc w:val="both"/>
        <w:rPr>
          <w:sz w:val="22"/>
          <w:szCs w:val="22"/>
          <w:lang w:eastAsia="lt-LT"/>
        </w:rPr>
      </w:pPr>
      <w:r w:rsidRPr="006C4504">
        <w:rPr>
          <w:sz w:val="22"/>
          <w:szCs w:val="22"/>
          <w:lang w:eastAsia="lt-LT"/>
        </w:rPr>
        <w:t xml:space="preserve">padidėjęs kraujospūdis (hipertenzija), dėl kurio taip pat gali pasireikšti </w:t>
      </w:r>
      <w:r w:rsidR="0076189D">
        <w:rPr>
          <w:sz w:val="22"/>
          <w:szCs w:val="22"/>
          <w:lang w:eastAsia="lt-LT"/>
        </w:rPr>
        <w:t>svaigulys</w:t>
      </w:r>
      <w:r w:rsidRPr="006C4504">
        <w:rPr>
          <w:sz w:val="22"/>
          <w:szCs w:val="22"/>
          <w:lang w:eastAsia="lt-LT"/>
        </w:rPr>
        <w:t xml:space="preserve"> ir galvos skausmas;</w:t>
      </w:r>
    </w:p>
    <w:p w14:paraId="54D8AFC9" w14:textId="6A4FD161" w:rsidR="009404C3" w:rsidRPr="006C4504" w:rsidRDefault="009404C3" w:rsidP="006C4504">
      <w:pPr>
        <w:pStyle w:val="Sraopastraipa"/>
        <w:numPr>
          <w:ilvl w:val="0"/>
          <w:numId w:val="12"/>
        </w:numPr>
        <w:ind w:left="567" w:hanging="567"/>
        <w:jc w:val="both"/>
        <w:rPr>
          <w:sz w:val="22"/>
          <w:szCs w:val="22"/>
          <w:lang w:eastAsia="lt-LT"/>
        </w:rPr>
      </w:pPr>
      <w:r w:rsidRPr="006C4504">
        <w:rPr>
          <w:sz w:val="22"/>
          <w:szCs w:val="22"/>
          <w:lang w:eastAsia="lt-LT"/>
        </w:rPr>
        <w:t>vidurių užkietėjimas;</w:t>
      </w:r>
    </w:p>
    <w:p w14:paraId="02CDEE5C" w14:textId="59BBA398" w:rsidR="009404C3" w:rsidRPr="006C4504" w:rsidRDefault="009404C3" w:rsidP="006C4504">
      <w:pPr>
        <w:pStyle w:val="Sraopastraipa"/>
        <w:numPr>
          <w:ilvl w:val="0"/>
          <w:numId w:val="12"/>
        </w:numPr>
        <w:ind w:left="567" w:hanging="567"/>
        <w:jc w:val="both"/>
        <w:rPr>
          <w:sz w:val="22"/>
          <w:szCs w:val="22"/>
          <w:lang w:eastAsia="lt-LT"/>
        </w:rPr>
      </w:pPr>
      <w:r w:rsidRPr="006C4504">
        <w:rPr>
          <w:sz w:val="22"/>
          <w:szCs w:val="22"/>
          <w:lang w:eastAsia="lt-LT"/>
        </w:rPr>
        <w:t>padidėjęs lipazės aktyvumas kraujyje.</w:t>
      </w:r>
    </w:p>
    <w:p w14:paraId="32CF99E2" w14:textId="77777777" w:rsidR="009404C3" w:rsidRPr="003F564F" w:rsidRDefault="009404C3">
      <w:pPr>
        <w:jc w:val="both"/>
        <w:rPr>
          <w:sz w:val="22"/>
          <w:szCs w:val="22"/>
          <w:lang w:eastAsia="lt-LT"/>
        </w:rPr>
      </w:pPr>
    </w:p>
    <w:p w14:paraId="5623C97B" w14:textId="2B0D70F5" w:rsidR="008D3B35" w:rsidRPr="006C4504" w:rsidRDefault="00AB4978">
      <w:pPr>
        <w:jc w:val="both"/>
        <w:rPr>
          <w:sz w:val="22"/>
          <w:szCs w:val="22"/>
          <w:lang w:eastAsia="lt-LT"/>
        </w:rPr>
      </w:pPr>
      <w:r w:rsidRPr="006C4504">
        <w:rPr>
          <w:sz w:val="22"/>
          <w:szCs w:val="22"/>
          <w:lang w:eastAsia="lt-LT"/>
        </w:rPr>
        <w:t>Dažni šalutinio poveikio reiškiniai (gali pasireikšti rečiau kaip 1 iš 10 asmenų):</w:t>
      </w:r>
    </w:p>
    <w:p w14:paraId="790CC3FD" w14:textId="7558B354" w:rsidR="009404C3" w:rsidRPr="006C4504" w:rsidRDefault="009404C3" w:rsidP="006C4504">
      <w:pPr>
        <w:pStyle w:val="Sraopastraipa"/>
        <w:numPr>
          <w:ilvl w:val="0"/>
          <w:numId w:val="12"/>
        </w:numPr>
        <w:ind w:left="567" w:hanging="567"/>
        <w:jc w:val="both"/>
        <w:rPr>
          <w:sz w:val="22"/>
          <w:szCs w:val="22"/>
          <w:lang w:eastAsia="lt-LT"/>
        </w:rPr>
      </w:pPr>
      <w:r w:rsidRPr="006C4504">
        <w:rPr>
          <w:sz w:val="22"/>
          <w:szCs w:val="22"/>
          <w:lang w:eastAsia="lt-LT"/>
        </w:rPr>
        <w:t>sumažėjęs visų trijų kraujo ląstelių skaičius (</w:t>
      </w:r>
      <w:proofErr w:type="spellStart"/>
      <w:r w:rsidRPr="006C4504">
        <w:rPr>
          <w:sz w:val="22"/>
          <w:szCs w:val="22"/>
          <w:lang w:eastAsia="lt-LT"/>
        </w:rPr>
        <w:t>pancitopenija</w:t>
      </w:r>
      <w:proofErr w:type="spellEnd"/>
      <w:r w:rsidRPr="006C4504">
        <w:rPr>
          <w:sz w:val="22"/>
          <w:szCs w:val="22"/>
          <w:lang w:eastAsia="lt-LT"/>
        </w:rPr>
        <w:t>): raudonųjų kraujo ląstelių, baltųjų kraujo ląstelių ir kraujo plokštelių (trombocitų);</w:t>
      </w:r>
    </w:p>
    <w:p w14:paraId="37988A22" w14:textId="2DD12D92" w:rsidR="009404C3" w:rsidRPr="006C4504" w:rsidRDefault="009404C3" w:rsidP="006C4504">
      <w:pPr>
        <w:pStyle w:val="Sraopastraipa"/>
        <w:numPr>
          <w:ilvl w:val="0"/>
          <w:numId w:val="12"/>
        </w:numPr>
        <w:ind w:left="567" w:hanging="567"/>
        <w:jc w:val="both"/>
        <w:rPr>
          <w:sz w:val="22"/>
          <w:szCs w:val="22"/>
          <w:lang w:eastAsia="lt-LT"/>
        </w:rPr>
      </w:pPr>
      <w:r w:rsidRPr="006C4504">
        <w:rPr>
          <w:sz w:val="22"/>
          <w:szCs w:val="22"/>
          <w:lang w:eastAsia="lt-LT"/>
        </w:rPr>
        <w:t>dujų susikaupimas žarnyne (pilvo pūtimas).</w:t>
      </w:r>
    </w:p>
    <w:p w14:paraId="533A23D8" w14:textId="77777777" w:rsidR="009404C3" w:rsidRPr="003F564F" w:rsidRDefault="009404C3">
      <w:pPr>
        <w:jc w:val="both"/>
        <w:rPr>
          <w:sz w:val="22"/>
          <w:szCs w:val="22"/>
          <w:lang w:eastAsia="lt-LT"/>
        </w:rPr>
      </w:pPr>
    </w:p>
    <w:p w14:paraId="35F55A7C" w14:textId="5DE27F0D" w:rsidR="008D3B35" w:rsidRPr="006C4504" w:rsidRDefault="00AB4978">
      <w:pPr>
        <w:jc w:val="both"/>
        <w:rPr>
          <w:sz w:val="22"/>
          <w:szCs w:val="22"/>
          <w:lang w:eastAsia="lt-LT"/>
        </w:rPr>
      </w:pPr>
      <w:r w:rsidRPr="006C4504">
        <w:rPr>
          <w:sz w:val="22"/>
          <w:szCs w:val="22"/>
          <w:lang w:eastAsia="lt-LT"/>
        </w:rPr>
        <w:t>Nedažni šalutinio poveikio reiškiniai (gali pasireikšti rečiau kaip 1 iš 100 asmenų):</w:t>
      </w:r>
    </w:p>
    <w:p w14:paraId="6FC36F62" w14:textId="7FFE06F5" w:rsidR="009404C3" w:rsidRPr="006C4504" w:rsidRDefault="009404C3" w:rsidP="006C4504">
      <w:pPr>
        <w:pStyle w:val="Sraopastraipa"/>
        <w:numPr>
          <w:ilvl w:val="0"/>
          <w:numId w:val="12"/>
        </w:numPr>
        <w:ind w:left="567" w:hanging="567"/>
        <w:jc w:val="both"/>
        <w:rPr>
          <w:sz w:val="22"/>
          <w:szCs w:val="22"/>
          <w:lang w:eastAsia="lt-LT"/>
        </w:rPr>
      </w:pPr>
      <w:r w:rsidRPr="006C4504">
        <w:rPr>
          <w:sz w:val="22"/>
          <w:szCs w:val="22"/>
          <w:lang w:eastAsia="lt-LT"/>
        </w:rPr>
        <w:t>tuberkuliozė;</w:t>
      </w:r>
    </w:p>
    <w:p w14:paraId="159F955A" w14:textId="0CD8AE07" w:rsidR="009404C3" w:rsidRPr="006C4504" w:rsidRDefault="009404C3" w:rsidP="006C4504">
      <w:pPr>
        <w:pStyle w:val="Sraopastraipa"/>
        <w:numPr>
          <w:ilvl w:val="0"/>
          <w:numId w:val="12"/>
        </w:numPr>
        <w:ind w:left="567" w:hanging="567"/>
        <w:jc w:val="both"/>
        <w:rPr>
          <w:sz w:val="22"/>
          <w:szCs w:val="22"/>
          <w:lang w:eastAsia="lt-LT"/>
        </w:rPr>
      </w:pPr>
      <w:r w:rsidRPr="006C4504">
        <w:rPr>
          <w:sz w:val="22"/>
          <w:szCs w:val="22"/>
          <w:lang w:eastAsia="lt-LT"/>
        </w:rPr>
        <w:t>pasikartojanti hepatito B infekcija (kuri gali sukelti odos ir akių pageltimą, patamsėjusį (rudos spalvos) šlapimą, dešinės pusės pilvo skausmą, karščiavimą ir pykinimą ar vėmimą).</w:t>
      </w:r>
    </w:p>
    <w:p w14:paraId="5E3B0DEE" w14:textId="77777777" w:rsidR="008D3B35" w:rsidRPr="003F564F" w:rsidRDefault="008D3B35">
      <w:pPr>
        <w:jc w:val="both"/>
        <w:rPr>
          <w:sz w:val="22"/>
          <w:szCs w:val="22"/>
          <w:lang w:eastAsia="lt-LT"/>
        </w:rPr>
      </w:pPr>
    </w:p>
    <w:p w14:paraId="7DC9559A" w14:textId="77777777" w:rsidR="009404C3" w:rsidRPr="006C4504" w:rsidRDefault="009404C3" w:rsidP="009404C3">
      <w:pPr>
        <w:jc w:val="both"/>
        <w:rPr>
          <w:b/>
          <w:bCs/>
          <w:sz w:val="22"/>
          <w:szCs w:val="22"/>
          <w:lang w:eastAsia="lt-LT"/>
        </w:rPr>
      </w:pPr>
      <w:proofErr w:type="spellStart"/>
      <w:r w:rsidRPr="006C4504">
        <w:rPr>
          <w:b/>
          <w:bCs/>
          <w:sz w:val="22"/>
          <w:szCs w:val="22"/>
          <w:lang w:eastAsia="lt-LT"/>
        </w:rPr>
        <w:lastRenderedPageBreak/>
        <w:t>Transplantato</w:t>
      </w:r>
      <w:proofErr w:type="spellEnd"/>
      <w:r w:rsidRPr="006C4504">
        <w:rPr>
          <w:b/>
          <w:bCs/>
          <w:sz w:val="22"/>
          <w:szCs w:val="22"/>
          <w:lang w:eastAsia="lt-LT"/>
        </w:rPr>
        <w:t xml:space="preserve"> prieš šeimininką liga (</w:t>
      </w:r>
      <w:proofErr w:type="spellStart"/>
      <w:r w:rsidRPr="006C4504">
        <w:rPr>
          <w:b/>
          <w:bCs/>
          <w:sz w:val="22"/>
          <w:szCs w:val="22"/>
          <w:lang w:eastAsia="lt-LT"/>
        </w:rPr>
        <w:t>TpŠL</w:t>
      </w:r>
      <w:proofErr w:type="spellEnd"/>
      <w:r w:rsidRPr="006C4504">
        <w:rPr>
          <w:b/>
          <w:bCs/>
          <w:sz w:val="22"/>
          <w:szCs w:val="22"/>
          <w:lang w:eastAsia="lt-LT"/>
        </w:rPr>
        <w:t>)</w:t>
      </w:r>
    </w:p>
    <w:p w14:paraId="1633CFD3" w14:textId="77777777" w:rsidR="009404C3" w:rsidRPr="003F564F" w:rsidRDefault="009404C3" w:rsidP="009404C3">
      <w:pPr>
        <w:jc w:val="both"/>
        <w:rPr>
          <w:sz w:val="22"/>
          <w:szCs w:val="22"/>
          <w:lang w:eastAsia="lt-LT"/>
        </w:rPr>
      </w:pPr>
    </w:p>
    <w:p w14:paraId="2FE5EB69" w14:textId="371E085E" w:rsidR="009404C3" w:rsidRPr="006C4504" w:rsidRDefault="009404C3" w:rsidP="009404C3">
      <w:pPr>
        <w:jc w:val="both"/>
        <w:rPr>
          <w:b/>
          <w:bCs/>
          <w:sz w:val="22"/>
          <w:szCs w:val="22"/>
          <w:lang w:eastAsia="lt-LT"/>
        </w:rPr>
      </w:pPr>
      <w:r w:rsidRPr="006C4504">
        <w:rPr>
          <w:b/>
          <w:bCs/>
          <w:sz w:val="22"/>
          <w:szCs w:val="22"/>
          <w:lang w:eastAsia="lt-LT"/>
        </w:rPr>
        <w:t>Kai kurie šalutiniai reiškiniai gali būti sunkūs</w:t>
      </w:r>
    </w:p>
    <w:p w14:paraId="5CFA2FCB" w14:textId="60FBDF1E" w:rsidR="009404C3" w:rsidRPr="006C4504" w:rsidRDefault="009404C3" w:rsidP="009404C3">
      <w:pPr>
        <w:jc w:val="both"/>
        <w:rPr>
          <w:b/>
          <w:bCs/>
          <w:sz w:val="22"/>
          <w:szCs w:val="22"/>
          <w:lang w:eastAsia="lt-LT"/>
        </w:rPr>
      </w:pPr>
      <w:r w:rsidRPr="006C4504">
        <w:rPr>
          <w:b/>
          <w:bCs/>
          <w:sz w:val="22"/>
          <w:szCs w:val="22"/>
          <w:lang w:eastAsia="lt-LT"/>
        </w:rPr>
        <w:t>Nevartokite kitos dozės ir nedelsdami kreipkitės medicininės pagalbos, jeigu Jums pasireiškia toliau išvardytų sunkių šalutinių poveikių.</w:t>
      </w:r>
    </w:p>
    <w:p w14:paraId="29861F38" w14:textId="77777777" w:rsidR="006C4504" w:rsidRPr="003F564F" w:rsidRDefault="006C4504" w:rsidP="009404C3">
      <w:pPr>
        <w:jc w:val="both"/>
        <w:rPr>
          <w:sz w:val="22"/>
          <w:szCs w:val="22"/>
          <w:lang w:eastAsia="lt-LT"/>
        </w:rPr>
      </w:pPr>
    </w:p>
    <w:p w14:paraId="050864E1" w14:textId="2C2472F5" w:rsidR="009404C3" w:rsidRPr="003F564F" w:rsidRDefault="006C4504" w:rsidP="009404C3">
      <w:pPr>
        <w:jc w:val="both"/>
        <w:rPr>
          <w:sz w:val="22"/>
          <w:szCs w:val="22"/>
          <w:lang w:eastAsia="lt-LT"/>
        </w:rPr>
      </w:pPr>
      <w:r w:rsidRPr="006C4504">
        <w:rPr>
          <w:sz w:val="22"/>
          <w:szCs w:val="22"/>
          <w:lang w:eastAsia="lt-LT"/>
        </w:rPr>
        <w:t xml:space="preserve">Labai dažni šalutinio poveikio reiškiniai </w:t>
      </w:r>
      <w:r w:rsidR="009404C3" w:rsidRPr="003F564F">
        <w:rPr>
          <w:sz w:val="22"/>
          <w:szCs w:val="22"/>
          <w:lang w:eastAsia="lt-LT"/>
        </w:rPr>
        <w:t>(gali pasireikšti ne rečiau kaip 1 iš 10 asmenų):</w:t>
      </w:r>
    </w:p>
    <w:p w14:paraId="2E12AEF5" w14:textId="20E23842" w:rsidR="009404C3" w:rsidRPr="006C4504" w:rsidRDefault="009404C3" w:rsidP="006C4504">
      <w:pPr>
        <w:pStyle w:val="Sraopastraipa"/>
        <w:numPr>
          <w:ilvl w:val="0"/>
          <w:numId w:val="12"/>
        </w:numPr>
        <w:ind w:left="567" w:hanging="567"/>
        <w:jc w:val="both"/>
        <w:rPr>
          <w:sz w:val="22"/>
          <w:szCs w:val="22"/>
          <w:lang w:eastAsia="lt-LT"/>
        </w:rPr>
      </w:pPr>
      <w:r w:rsidRPr="006C4504">
        <w:rPr>
          <w:sz w:val="22"/>
          <w:szCs w:val="22"/>
          <w:lang w:eastAsia="lt-LT"/>
        </w:rPr>
        <w:t>su karščiavimu susijusių infekcijų požymiai:</w:t>
      </w:r>
    </w:p>
    <w:p w14:paraId="1D1187C9" w14:textId="3E1CF840" w:rsidR="009404C3" w:rsidRPr="006C4504" w:rsidRDefault="009404C3" w:rsidP="006C4504">
      <w:pPr>
        <w:pStyle w:val="Sraopastraipa"/>
        <w:numPr>
          <w:ilvl w:val="0"/>
          <w:numId w:val="12"/>
        </w:numPr>
        <w:ind w:left="1134" w:hanging="567"/>
        <w:jc w:val="both"/>
        <w:rPr>
          <w:sz w:val="22"/>
          <w:szCs w:val="22"/>
          <w:lang w:eastAsia="lt-LT"/>
        </w:rPr>
      </w:pPr>
      <w:r w:rsidRPr="006C4504">
        <w:rPr>
          <w:sz w:val="22"/>
          <w:szCs w:val="22"/>
          <w:lang w:eastAsia="lt-LT"/>
        </w:rPr>
        <w:t>raumenų skausmas, odos paraudimas ir (arba) pasunkėjęs kvėpavimas (</w:t>
      </w:r>
      <w:proofErr w:type="spellStart"/>
      <w:r w:rsidRPr="006C4504">
        <w:rPr>
          <w:sz w:val="22"/>
          <w:szCs w:val="22"/>
          <w:lang w:eastAsia="lt-LT"/>
        </w:rPr>
        <w:t>citomegaloviruso</w:t>
      </w:r>
      <w:proofErr w:type="spellEnd"/>
      <w:r w:rsidRPr="006C4504">
        <w:rPr>
          <w:sz w:val="22"/>
          <w:szCs w:val="22"/>
          <w:lang w:eastAsia="lt-LT"/>
        </w:rPr>
        <w:t xml:space="preserve"> infekcija);</w:t>
      </w:r>
    </w:p>
    <w:p w14:paraId="4492F3AD" w14:textId="12900909" w:rsidR="009404C3" w:rsidRPr="006C4504" w:rsidRDefault="009404C3" w:rsidP="006C4504">
      <w:pPr>
        <w:pStyle w:val="Sraopastraipa"/>
        <w:numPr>
          <w:ilvl w:val="0"/>
          <w:numId w:val="12"/>
        </w:numPr>
        <w:ind w:left="1134" w:hanging="567"/>
        <w:jc w:val="both"/>
        <w:rPr>
          <w:sz w:val="22"/>
          <w:szCs w:val="22"/>
          <w:lang w:eastAsia="lt-LT"/>
        </w:rPr>
      </w:pPr>
      <w:r w:rsidRPr="006C4504">
        <w:rPr>
          <w:sz w:val="22"/>
          <w:szCs w:val="22"/>
          <w:lang w:eastAsia="lt-LT"/>
        </w:rPr>
        <w:t>skausmas šlapinantis (šlapimo takų infekcija);</w:t>
      </w:r>
    </w:p>
    <w:p w14:paraId="58D6A839" w14:textId="15E300B9" w:rsidR="009404C3" w:rsidRPr="006C4504" w:rsidRDefault="009404C3" w:rsidP="006C4504">
      <w:pPr>
        <w:pStyle w:val="Sraopastraipa"/>
        <w:numPr>
          <w:ilvl w:val="0"/>
          <w:numId w:val="12"/>
        </w:numPr>
        <w:ind w:left="1134" w:hanging="567"/>
        <w:jc w:val="both"/>
        <w:rPr>
          <w:sz w:val="22"/>
          <w:szCs w:val="22"/>
          <w:lang w:eastAsia="lt-LT"/>
        </w:rPr>
      </w:pPr>
      <w:r w:rsidRPr="006C4504">
        <w:rPr>
          <w:sz w:val="22"/>
          <w:szCs w:val="22"/>
          <w:lang w:eastAsia="lt-LT"/>
        </w:rPr>
        <w:t>pagreitėjęs pulsas, sumišimas ir greitas kvėpavimas (sepsio, kuris yra būklė, susijusi su infekcija ir išplitusiu uždegimu)</w:t>
      </w:r>
      <w:r w:rsidR="006C4504">
        <w:rPr>
          <w:sz w:val="22"/>
          <w:szCs w:val="22"/>
          <w:lang w:eastAsia="lt-LT"/>
        </w:rPr>
        <w:t>;</w:t>
      </w:r>
    </w:p>
    <w:p w14:paraId="34B2419B" w14:textId="67529BE9" w:rsidR="009404C3" w:rsidRPr="006C4504" w:rsidRDefault="009404C3" w:rsidP="006C4504">
      <w:pPr>
        <w:pStyle w:val="Sraopastraipa"/>
        <w:numPr>
          <w:ilvl w:val="0"/>
          <w:numId w:val="12"/>
        </w:numPr>
        <w:ind w:left="567" w:hanging="567"/>
        <w:jc w:val="both"/>
        <w:rPr>
          <w:sz w:val="22"/>
          <w:szCs w:val="22"/>
          <w:lang w:eastAsia="lt-LT"/>
        </w:rPr>
      </w:pPr>
      <w:r w:rsidRPr="006C4504">
        <w:rPr>
          <w:sz w:val="22"/>
          <w:szCs w:val="22"/>
          <w:lang w:eastAsia="lt-LT"/>
        </w:rPr>
        <w:t xml:space="preserve">dažnos infekcijos, karščiavimas, </w:t>
      </w:r>
      <w:proofErr w:type="spellStart"/>
      <w:r w:rsidRPr="006C4504">
        <w:rPr>
          <w:sz w:val="22"/>
          <w:szCs w:val="22"/>
          <w:lang w:eastAsia="lt-LT"/>
        </w:rPr>
        <w:t>šaltkrėtis</w:t>
      </w:r>
      <w:proofErr w:type="spellEnd"/>
      <w:r w:rsidRPr="006C4504">
        <w:rPr>
          <w:sz w:val="22"/>
          <w:szCs w:val="22"/>
          <w:lang w:eastAsia="lt-LT"/>
        </w:rPr>
        <w:t>, gerklės skausmas ar opų susidarymas burnos gleivinėje;</w:t>
      </w:r>
    </w:p>
    <w:p w14:paraId="491B075E" w14:textId="0AC6E6FB" w:rsidR="009404C3" w:rsidRPr="006C4504" w:rsidRDefault="009404C3" w:rsidP="006C4504">
      <w:pPr>
        <w:pStyle w:val="Sraopastraipa"/>
        <w:numPr>
          <w:ilvl w:val="0"/>
          <w:numId w:val="12"/>
        </w:numPr>
        <w:ind w:left="567" w:hanging="567"/>
        <w:jc w:val="both"/>
        <w:rPr>
          <w:sz w:val="22"/>
          <w:szCs w:val="22"/>
          <w:lang w:eastAsia="lt-LT"/>
        </w:rPr>
      </w:pPr>
      <w:r w:rsidRPr="006C4504">
        <w:rPr>
          <w:sz w:val="22"/>
          <w:szCs w:val="22"/>
          <w:lang w:eastAsia="lt-LT"/>
        </w:rPr>
        <w:t xml:space="preserve">savaiminis kraujavimas ar kraujosruvų susidarymas (galimi </w:t>
      </w:r>
      <w:proofErr w:type="spellStart"/>
      <w:r w:rsidRPr="006C4504">
        <w:rPr>
          <w:sz w:val="22"/>
          <w:szCs w:val="22"/>
          <w:lang w:eastAsia="lt-LT"/>
        </w:rPr>
        <w:t>trombocitopenijos</w:t>
      </w:r>
      <w:proofErr w:type="spellEnd"/>
      <w:r w:rsidRPr="006C4504">
        <w:rPr>
          <w:sz w:val="22"/>
          <w:szCs w:val="22"/>
          <w:lang w:eastAsia="lt-LT"/>
        </w:rPr>
        <w:t>, sukeltos sumažėjusio trombocitų skaičiaus, simptomai).</w:t>
      </w:r>
    </w:p>
    <w:p w14:paraId="2DC6D570" w14:textId="77777777" w:rsidR="009404C3" w:rsidRPr="003F564F" w:rsidRDefault="009404C3" w:rsidP="009404C3">
      <w:pPr>
        <w:jc w:val="both"/>
        <w:rPr>
          <w:sz w:val="22"/>
          <w:szCs w:val="22"/>
          <w:lang w:eastAsia="lt-LT"/>
        </w:rPr>
      </w:pPr>
    </w:p>
    <w:p w14:paraId="2CF67B10" w14:textId="5CB884AD" w:rsidR="009404C3" w:rsidRPr="006C4504" w:rsidRDefault="009404C3" w:rsidP="009404C3">
      <w:pPr>
        <w:jc w:val="both"/>
        <w:rPr>
          <w:b/>
          <w:bCs/>
          <w:sz w:val="22"/>
          <w:szCs w:val="22"/>
          <w:lang w:eastAsia="lt-LT"/>
        </w:rPr>
      </w:pPr>
      <w:r w:rsidRPr="006C4504">
        <w:rPr>
          <w:b/>
          <w:bCs/>
          <w:sz w:val="22"/>
          <w:szCs w:val="22"/>
          <w:lang w:eastAsia="lt-LT"/>
        </w:rPr>
        <w:t>Kitas šalutinis poveikis</w:t>
      </w:r>
    </w:p>
    <w:p w14:paraId="06DBED75" w14:textId="73E91E12" w:rsidR="009404C3" w:rsidRPr="003F564F" w:rsidRDefault="006C4504" w:rsidP="009404C3">
      <w:pPr>
        <w:jc w:val="both"/>
        <w:rPr>
          <w:sz w:val="22"/>
          <w:szCs w:val="22"/>
          <w:lang w:eastAsia="lt-LT"/>
        </w:rPr>
      </w:pPr>
      <w:r w:rsidRPr="006C4504">
        <w:rPr>
          <w:sz w:val="22"/>
          <w:szCs w:val="22"/>
          <w:lang w:eastAsia="lt-LT"/>
        </w:rPr>
        <w:t xml:space="preserve">Labai dažni šalutinio poveikio reiškiniai </w:t>
      </w:r>
      <w:r w:rsidR="009404C3" w:rsidRPr="003F564F">
        <w:rPr>
          <w:sz w:val="22"/>
          <w:szCs w:val="22"/>
          <w:lang w:eastAsia="lt-LT"/>
        </w:rPr>
        <w:t>(gali pasireikšti ne rečiau kaip 1 iš 10 asmenų):</w:t>
      </w:r>
    </w:p>
    <w:p w14:paraId="3E315069" w14:textId="023CB242" w:rsidR="009404C3" w:rsidRPr="006C4504" w:rsidRDefault="009404C3" w:rsidP="006C4504">
      <w:pPr>
        <w:pStyle w:val="Sraopastraipa"/>
        <w:numPr>
          <w:ilvl w:val="0"/>
          <w:numId w:val="12"/>
        </w:numPr>
        <w:ind w:left="567" w:hanging="567"/>
        <w:jc w:val="both"/>
        <w:rPr>
          <w:sz w:val="22"/>
          <w:szCs w:val="22"/>
          <w:lang w:eastAsia="lt-LT"/>
        </w:rPr>
      </w:pPr>
      <w:r w:rsidRPr="006C4504">
        <w:rPr>
          <w:sz w:val="22"/>
          <w:szCs w:val="22"/>
          <w:lang w:eastAsia="lt-LT"/>
        </w:rPr>
        <w:t>galvos skausmas;</w:t>
      </w:r>
    </w:p>
    <w:p w14:paraId="04E69AC0" w14:textId="10DFC5D6" w:rsidR="009404C3" w:rsidRPr="006C4504" w:rsidRDefault="009404C3" w:rsidP="006C4504">
      <w:pPr>
        <w:pStyle w:val="Sraopastraipa"/>
        <w:numPr>
          <w:ilvl w:val="0"/>
          <w:numId w:val="12"/>
        </w:numPr>
        <w:ind w:left="567" w:hanging="567"/>
        <w:jc w:val="both"/>
        <w:rPr>
          <w:sz w:val="22"/>
          <w:szCs w:val="22"/>
          <w:lang w:eastAsia="lt-LT"/>
        </w:rPr>
      </w:pPr>
      <w:r w:rsidRPr="006C4504">
        <w:rPr>
          <w:sz w:val="22"/>
          <w:szCs w:val="22"/>
          <w:lang w:eastAsia="lt-LT"/>
        </w:rPr>
        <w:t>padidėjęs kraujospūdis (hipertenzija);</w:t>
      </w:r>
    </w:p>
    <w:p w14:paraId="1DCB599F" w14:textId="627A297C" w:rsidR="009404C3" w:rsidRPr="006C4504" w:rsidRDefault="009404C3" w:rsidP="006C4504">
      <w:pPr>
        <w:pStyle w:val="Sraopastraipa"/>
        <w:numPr>
          <w:ilvl w:val="0"/>
          <w:numId w:val="12"/>
        </w:numPr>
        <w:ind w:left="567" w:hanging="567"/>
        <w:jc w:val="both"/>
        <w:rPr>
          <w:sz w:val="22"/>
          <w:szCs w:val="22"/>
          <w:lang w:eastAsia="lt-LT"/>
        </w:rPr>
      </w:pPr>
      <w:r w:rsidRPr="006C4504">
        <w:rPr>
          <w:sz w:val="22"/>
          <w:szCs w:val="22"/>
          <w:lang w:eastAsia="lt-LT"/>
        </w:rPr>
        <w:t>pakitę kraujo tyrimų rodmenys, įskaitant:</w:t>
      </w:r>
    </w:p>
    <w:p w14:paraId="1D39E023" w14:textId="662BFC99" w:rsidR="009404C3" w:rsidRPr="006C4504" w:rsidRDefault="009404C3" w:rsidP="006C4504">
      <w:pPr>
        <w:pStyle w:val="Sraopastraipa"/>
        <w:numPr>
          <w:ilvl w:val="0"/>
          <w:numId w:val="12"/>
        </w:numPr>
        <w:ind w:left="1134" w:hanging="567"/>
        <w:jc w:val="both"/>
        <w:rPr>
          <w:sz w:val="22"/>
          <w:szCs w:val="22"/>
          <w:lang w:eastAsia="lt-LT"/>
        </w:rPr>
      </w:pPr>
      <w:r w:rsidRPr="006C4504">
        <w:rPr>
          <w:sz w:val="22"/>
          <w:szCs w:val="22"/>
          <w:lang w:eastAsia="lt-LT"/>
        </w:rPr>
        <w:t xml:space="preserve">padidėjusį lipazės ir (arba) </w:t>
      </w:r>
      <w:proofErr w:type="spellStart"/>
      <w:r w:rsidRPr="006C4504">
        <w:rPr>
          <w:sz w:val="22"/>
          <w:szCs w:val="22"/>
          <w:lang w:eastAsia="lt-LT"/>
        </w:rPr>
        <w:t>amilazės</w:t>
      </w:r>
      <w:proofErr w:type="spellEnd"/>
      <w:r w:rsidRPr="006C4504">
        <w:rPr>
          <w:sz w:val="22"/>
          <w:szCs w:val="22"/>
          <w:lang w:eastAsia="lt-LT"/>
        </w:rPr>
        <w:t xml:space="preserve"> aktyvumą;</w:t>
      </w:r>
    </w:p>
    <w:p w14:paraId="50585B1B" w14:textId="1A81A8C2" w:rsidR="009404C3" w:rsidRPr="006C4504" w:rsidRDefault="009404C3" w:rsidP="006C4504">
      <w:pPr>
        <w:pStyle w:val="Sraopastraipa"/>
        <w:numPr>
          <w:ilvl w:val="0"/>
          <w:numId w:val="12"/>
        </w:numPr>
        <w:ind w:left="1134" w:hanging="567"/>
        <w:jc w:val="both"/>
        <w:rPr>
          <w:sz w:val="22"/>
          <w:szCs w:val="22"/>
          <w:lang w:eastAsia="lt-LT"/>
        </w:rPr>
      </w:pPr>
      <w:r w:rsidRPr="006C4504">
        <w:rPr>
          <w:sz w:val="22"/>
          <w:szCs w:val="22"/>
          <w:lang w:eastAsia="lt-LT"/>
        </w:rPr>
        <w:t>padidėjusią cholesterolio koncentraciją;</w:t>
      </w:r>
    </w:p>
    <w:p w14:paraId="68AC0415" w14:textId="6D01192C" w:rsidR="009404C3" w:rsidRPr="006C4504" w:rsidRDefault="009404C3" w:rsidP="006C4504">
      <w:pPr>
        <w:pStyle w:val="Sraopastraipa"/>
        <w:numPr>
          <w:ilvl w:val="0"/>
          <w:numId w:val="12"/>
        </w:numPr>
        <w:ind w:left="1134" w:hanging="567"/>
        <w:jc w:val="both"/>
        <w:rPr>
          <w:sz w:val="22"/>
          <w:szCs w:val="22"/>
          <w:lang w:eastAsia="lt-LT"/>
        </w:rPr>
      </w:pPr>
      <w:r w:rsidRPr="006C4504">
        <w:rPr>
          <w:sz w:val="22"/>
          <w:szCs w:val="22"/>
          <w:lang w:eastAsia="lt-LT"/>
        </w:rPr>
        <w:t>pakitę kepenų funkcijos tyrimų rodmenys;</w:t>
      </w:r>
    </w:p>
    <w:p w14:paraId="7AF966AF" w14:textId="75112806" w:rsidR="009404C3" w:rsidRPr="006C4504" w:rsidRDefault="009404C3" w:rsidP="006C4504">
      <w:pPr>
        <w:pStyle w:val="Sraopastraipa"/>
        <w:numPr>
          <w:ilvl w:val="0"/>
          <w:numId w:val="12"/>
        </w:numPr>
        <w:ind w:left="1134" w:hanging="567"/>
        <w:jc w:val="both"/>
        <w:rPr>
          <w:sz w:val="22"/>
          <w:szCs w:val="22"/>
          <w:lang w:eastAsia="lt-LT"/>
        </w:rPr>
      </w:pPr>
      <w:r w:rsidRPr="006C4504">
        <w:rPr>
          <w:sz w:val="22"/>
          <w:szCs w:val="22"/>
          <w:lang w:eastAsia="lt-LT"/>
        </w:rPr>
        <w:t xml:space="preserve">padidėjęs raumenų fermento aktyvumas (padidėjęs </w:t>
      </w:r>
      <w:proofErr w:type="spellStart"/>
      <w:r w:rsidRPr="006C4504">
        <w:rPr>
          <w:sz w:val="22"/>
          <w:szCs w:val="22"/>
          <w:lang w:eastAsia="lt-LT"/>
        </w:rPr>
        <w:t>kreatino</w:t>
      </w:r>
      <w:proofErr w:type="spellEnd"/>
      <w:r w:rsidRPr="006C4504">
        <w:rPr>
          <w:sz w:val="22"/>
          <w:szCs w:val="22"/>
          <w:lang w:eastAsia="lt-LT"/>
        </w:rPr>
        <w:t xml:space="preserve"> </w:t>
      </w:r>
      <w:proofErr w:type="spellStart"/>
      <w:r w:rsidRPr="006C4504">
        <w:rPr>
          <w:sz w:val="22"/>
          <w:szCs w:val="22"/>
          <w:lang w:eastAsia="lt-LT"/>
        </w:rPr>
        <w:t>fosfokinazės</w:t>
      </w:r>
      <w:proofErr w:type="spellEnd"/>
      <w:r w:rsidRPr="006C4504">
        <w:rPr>
          <w:sz w:val="22"/>
          <w:szCs w:val="22"/>
          <w:lang w:eastAsia="lt-LT"/>
        </w:rPr>
        <w:t xml:space="preserve"> aktyvumas kraujyje);</w:t>
      </w:r>
    </w:p>
    <w:p w14:paraId="4CE53C9D" w14:textId="1DB146C4" w:rsidR="009404C3" w:rsidRPr="006C4504" w:rsidRDefault="009404C3" w:rsidP="006C4504">
      <w:pPr>
        <w:pStyle w:val="Sraopastraipa"/>
        <w:numPr>
          <w:ilvl w:val="0"/>
          <w:numId w:val="12"/>
        </w:numPr>
        <w:ind w:left="1134" w:hanging="567"/>
        <w:jc w:val="both"/>
        <w:rPr>
          <w:sz w:val="22"/>
          <w:szCs w:val="22"/>
          <w:lang w:eastAsia="lt-LT"/>
        </w:rPr>
      </w:pPr>
      <w:r w:rsidRPr="006C4504">
        <w:rPr>
          <w:sz w:val="22"/>
          <w:szCs w:val="22"/>
          <w:lang w:eastAsia="lt-LT"/>
        </w:rPr>
        <w:t>padidėjęs kreatinino kiekis, fermento, kuris gali rodyti, kad sutrikusi Jūsų inkstų funkcija;</w:t>
      </w:r>
    </w:p>
    <w:p w14:paraId="3D5AF127" w14:textId="6DAAAC3A" w:rsidR="009404C3" w:rsidRPr="006C4504" w:rsidRDefault="009404C3" w:rsidP="006C4504">
      <w:pPr>
        <w:pStyle w:val="Sraopastraipa"/>
        <w:numPr>
          <w:ilvl w:val="0"/>
          <w:numId w:val="12"/>
        </w:numPr>
        <w:ind w:left="1134" w:hanging="567"/>
        <w:jc w:val="both"/>
        <w:rPr>
          <w:sz w:val="22"/>
          <w:szCs w:val="22"/>
          <w:lang w:eastAsia="lt-LT"/>
        </w:rPr>
      </w:pPr>
      <w:r w:rsidRPr="006C4504">
        <w:rPr>
          <w:sz w:val="22"/>
          <w:szCs w:val="22"/>
          <w:lang w:eastAsia="lt-LT"/>
        </w:rPr>
        <w:t>sumažėję visų trijų kraujo ląstelių tipų – raudonųjų kraujo ląstelių, baltųjų kraujo ląstelių ir trombocitų – skaičiai kraujyje (</w:t>
      </w:r>
      <w:proofErr w:type="spellStart"/>
      <w:r w:rsidRPr="006C4504">
        <w:rPr>
          <w:sz w:val="22"/>
          <w:szCs w:val="22"/>
          <w:lang w:eastAsia="lt-LT"/>
        </w:rPr>
        <w:t>pancitopenija</w:t>
      </w:r>
      <w:proofErr w:type="spellEnd"/>
      <w:r w:rsidRPr="006C4504">
        <w:rPr>
          <w:sz w:val="22"/>
          <w:szCs w:val="22"/>
          <w:lang w:eastAsia="lt-LT"/>
        </w:rPr>
        <w:t>);</w:t>
      </w:r>
    </w:p>
    <w:p w14:paraId="64E2400E" w14:textId="7EF7984E" w:rsidR="009404C3" w:rsidRPr="006C4504" w:rsidRDefault="009404C3" w:rsidP="006C4504">
      <w:pPr>
        <w:pStyle w:val="Sraopastraipa"/>
        <w:numPr>
          <w:ilvl w:val="0"/>
          <w:numId w:val="12"/>
        </w:numPr>
        <w:ind w:left="567" w:hanging="567"/>
        <w:jc w:val="both"/>
        <w:rPr>
          <w:sz w:val="22"/>
          <w:szCs w:val="22"/>
          <w:lang w:eastAsia="lt-LT"/>
        </w:rPr>
      </w:pPr>
      <w:r w:rsidRPr="006C4504">
        <w:rPr>
          <w:sz w:val="22"/>
          <w:szCs w:val="22"/>
          <w:lang w:eastAsia="lt-LT"/>
        </w:rPr>
        <w:t>šleikštulys (pykinimas);</w:t>
      </w:r>
    </w:p>
    <w:p w14:paraId="285449EA" w14:textId="34578DE9" w:rsidR="009404C3" w:rsidRPr="006C4504" w:rsidRDefault="009404C3" w:rsidP="006C4504">
      <w:pPr>
        <w:pStyle w:val="Sraopastraipa"/>
        <w:numPr>
          <w:ilvl w:val="0"/>
          <w:numId w:val="12"/>
        </w:numPr>
        <w:ind w:left="567" w:hanging="567"/>
        <w:jc w:val="both"/>
        <w:rPr>
          <w:sz w:val="22"/>
          <w:szCs w:val="22"/>
          <w:lang w:eastAsia="lt-LT"/>
        </w:rPr>
      </w:pPr>
      <w:r w:rsidRPr="006C4504">
        <w:rPr>
          <w:sz w:val="22"/>
          <w:szCs w:val="22"/>
          <w:lang w:eastAsia="lt-LT"/>
        </w:rPr>
        <w:t>nuovargis, greitas nuvargimas, blyški oda – galimi mažakraujystės, sukeltos sumažėjusio raudonųjų kraujo ląstelių skaičiaus, simptomai;</w:t>
      </w:r>
    </w:p>
    <w:p w14:paraId="0032BC08" w14:textId="77777777" w:rsidR="009404C3" w:rsidRPr="003F564F" w:rsidRDefault="009404C3" w:rsidP="009404C3">
      <w:pPr>
        <w:jc w:val="both"/>
        <w:rPr>
          <w:sz w:val="22"/>
          <w:szCs w:val="22"/>
          <w:lang w:eastAsia="lt-LT"/>
        </w:rPr>
      </w:pPr>
    </w:p>
    <w:p w14:paraId="44A4697A" w14:textId="399AC513" w:rsidR="009404C3" w:rsidRPr="003F564F" w:rsidRDefault="006C4504" w:rsidP="009404C3">
      <w:pPr>
        <w:jc w:val="both"/>
        <w:rPr>
          <w:sz w:val="22"/>
          <w:szCs w:val="22"/>
          <w:lang w:eastAsia="lt-LT"/>
        </w:rPr>
      </w:pPr>
      <w:r w:rsidRPr="006C4504">
        <w:rPr>
          <w:sz w:val="22"/>
          <w:szCs w:val="22"/>
          <w:lang w:eastAsia="lt-LT"/>
        </w:rPr>
        <w:t xml:space="preserve">Dažni šalutinio poveikio reiškiniai </w:t>
      </w:r>
      <w:r w:rsidR="009404C3" w:rsidRPr="003F564F">
        <w:rPr>
          <w:sz w:val="22"/>
          <w:szCs w:val="22"/>
          <w:lang w:eastAsia="lt-LT"/>
        </w:rPr>
        <w:t>(gali pasireikšti rečiau kaip 1 iš 10 asmenų):</w:t>
      </w:r>
    </w:p>
    <w:p w14:paraId="6849519A" w14:textId="7B6D9083" w:rsidR="009404C3" w:rsidRPr="006C4504" w:rsidRDefault="009404C3" w:rsidP="006C4504">
      <w:pPr>
        <w:pStyle w:val="Sraopastraipa"/>
        <w:numPr>
          <w:ilvl w:val="0"/>
          <w:numId w:val="12"/>
        </w:numPr>
        <w:ind w:left="567" w:hanging="567"/>
        <w:jc w:val="both"/>
        <w:rPr>
          <w:sz w:val="22"/>
          <w:szCs w:val="22"/>
          <w:lang w:eastAsia="lt-LT"/>
        </w:rPr>
      </w:pPr>
      <w:r w:rsidRPr="006C4504">
        <w:rPr>
          <w:sz w:val="22"/>
          <w:szCs w:val="22"/>
          <w:lang w:eastAsia="lt-LT"/>
        </w:rPr>
        <w:t>karščiavimas, raumenų skausmas, skausmingas ar pasunkėjęs šlapinimasis, neryškus matymas, kosulys, peršalimas ir (arba) pasunkėjęs kvėpavimas – galimi BK viruso sukeltos infekcijos simptomai;</w:t>
      </w:r>
    </w:p>
    <w:p w14:paraId="5FCC6B7E" w14:textId="091CC447" w:rsidR="009404C3" w:rsidRPr="006C4504" w:rsidRDefault="009404C3" w:rsidP="006C4504">
      <w:pPr>
        <w:pStyle w:val="Sraopastraipa"/>
        <w:numPr>
          <w:ilvl w:val="0"/>
          <w:numId w:val="12"/>
        </w:numPr>
        <w:ind w:left="567" w:hanging="567"/>
        <w:jc w:val="both"/>
        <w:rPr>
          <w:sz w:val="22"/>
          <w:szCs w:val="22"/>
          <w:lang w:eastAsia="lt-LT"/>
        </w:rPr>
      </w:pPr>
      <w:r w:rsidRPr="006C4504">
        <w:rPr>
          <w:sz w:val="22"/>
          <w:szCs w:val="22"/>
          <w:lang w:eastAsia="lt-LT"/>
        </w:rPr>
        <w:t>padidėjęs kūno svoris;</w:t>
      </w:r>
    </w:p>
    <w:p w14:paraId="1A9258E0" w14:textId="44DA224B" w:rsidR="008D3B35" w:rsidRPr="006C4504" w:rsidRDefault="009404C3" w:rsidP="006C4504">
      <w:pPr>
        <w:pStyle w:val="Sraopastraipa"/>
        <w:numPr>
          <w:ilvl w:val="0"/>
          <w:numId w:val="12"/>
        </w:numPr>
        <w:ind w:left="567" w:hanging="567"/>
        <w:jc w:val="both"/>
        <w:rPr>
          <w:sz w:val="22"/>
          <w:szCs w:val="22"/>
          <w:lang w:eastAsia="lt-LT"/>
        </w:rPr>
      </w:pPr>
      <w:r w:rsidRPr="006C4504">
        <w:rPr>
          <w:sz w:val="22"/>
          <w:szCs w:val="22"/>
          <w:lang w:eastAsia="lt-LT"/>
        </w:rPr>
        <w:t>vidurių užkietėjimas.</w:t>
      </w:r>
    </w:p>
    <w:p w14:paraId="7B3CE6BD" w14:textId="77777777" w:rsidR="009404C3" w:rsidRPr="003F564F" w:rsidRDefault="009404C3" w:rsidP="009404C3">
      <w:pPr>
        <w:jc w:val="both"/>
        <w:rPr>
          <w:sz w:val="22"/>
          <w:szCs w:val="22"/>
          <w:lang w:eastAsia="lt-LT"/>
        </w:rPr>
      </w:pPr>
    </w:p>
    <w:p w14:paraId="7B16E0CB" w14:textId="77777777" w:rsidR="008D3B35" w:rsidRPr="003F564F" w:rsidRDefault="00AB4978">
      <w:pPr>
        <w:jc w:val="both"/>
        <w:rPr>
          <w:sz w:val="22"/>
          <w:szCs w:val="22"/>
          <w:lang w:eastAsia="lt-LT"/>
        </w:rPr>
      </w:pPr>
      <w:r w:rsidRPr="003F564F">
        <w:rPr>
          <w:b/>
          <w:bCs/>
          <w:sz w:val="22"/>
          <w:szCs w:val="22"/>
          <w:lang w:eastAsia="lt-LT"/>
        </w:rPr>
        <w:t>Pranešimas apie šalutinį poveikį</w:t>
      </w:r>
    </w:p>
    <w:p w14:paraId="37BACD4C" w14:textId="02772B63" w:rsidR="008D3B35" w:rsidRPr="003F564F" w:rsidRDefault="00AB4978">
      <w:pPr>
        <w:tabs>
          <w:tab w:val="left" w:pos="567"/>
        </w:tabs>
        <w:spacing w:line="260" w:lineRule="exact"/>
        <w:ind w:right="-1"/>
        <w:rPr>
          <w:sz w:val="22"/>
        </w:rPr>
      </w:pPr>
      <w:r w:rsidRPr="003F564F">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3F564F">
        <w:rPr>
          <w:color w:val="0000EE"/>
          <w:sz w:val="22"/>
          <w:szCs w:val="22"/>
          <w:u w:val="single"/>
          <w:lang w:eastAsia="lt-LT"/>
        </w:rPr>
        <w:t>https://vvkt.lrv.lt/lt/</w:t>
      </w:r>
      <w:r w:rsidRPr="003F564F">
        <w:rPr>
          <w:sz w:val="22"/>
          <w:szCs w:val="22"/>
          <w:lang w:eastAsia="lt-LT"/>
        </w:rPr>
        <w:t xml:space="preserve"> nurodytais būdais arba paskambinti nemokamu telefonu </w:t>
      </w:r>
      <w:r w:rsidR="006C4504">
        <w:rPr>
          <w:sz w:val="22"/>
          <w:szCs w:val="22"/>
          <w:lang w:eastAsia="lt-LT"/>
        </w:rPr>
        <w:t>+370</w:t>
      </w:r>
      <w:r w:rsidRPr="003F564F">
        <w:rPr>
          <w:sz w:val="22"/>
          <w:szCs w:val="22"/>
          <w:lang w:eastAsia="lt-LT"/>
        </w:rPr>
        <w:t xml:space="preserve"> 800 73 568. Pranešdami apie šalutinį poveikį galite mums padėti gauti daugiau informacijos apie šio vaisto saugumą</w:t>
      </w:r>
      <w:r w:rsidRPr="003F564F">
        <w:rPr>
          <w:sz w:val="22"/>
        </w:rPr>
        <w:t>.</w:t>
      </w:r>
    </w:p>
    <w:p w14:paraId="1462B8B3" w14:textId="77777777" w:rsidR="008D3B35" w:rsidRPr="003F564F" w:rsidRDefault="008D3B35">
      <w:pPr>
        <w:tabs>
          <w:tab w:val="left" w:pos="567"/>
        </w:tabs>
        <w:spacing w:line="260" w:lineRule="exact"/>
        <w:ind w:right="-449"/>
        <w:rPr>
          <w:sz w:val="22"/>
          <w:szCs w:val="24"/>
        </w:rPr>
      </w:pPr>
    </w:p>
    <w:p w14:paraId="2A546792" w14:textId="77777777" w:rsidR="008D3B35" w:rsidRPr="003F564F" w:rsidRDefault="008D3B35">
      <w:pPr>
        <w:tabs>
          <w:tab w:val="left" w:pos="567"/>
        </w:tabs>
        <w:spacing w:line="260" w:lineRule="exact"/>
        <w:ind w:right="-449"/>
        <w:rPr>
          <w:sz w:val="22"/>
          <w:szCs w:val="24"/>
        </w:rPr>
      </w:pPr>
    </w:p>
    <w:p w14:paraId="03161CE4" w14:textId="440460B5" w:rsidR="008D3B35" w:rsidRPr="003F564F" w:rsidRDefault="00AB4978">
      <w:pPr>
        <w:keepNext/>
        <w:keepLines/>
        <w:tabs>
          <w:tab w:val="left" w:pos="567"/>
        </w:tabs>
        <w:outlineLvl w:val="2"/>
        <w:rPr>
          <w:b/>
          <w:bCs/>
          <w:sz w:val="22"/>
          <w:szCs w:val="26"/>
          <w:lang w:eastAsia="x-none"/>
        </w:rPr>
      </w:pPr>
      <w:r w:rsidRPr="003F564F">
        <w:rPr>
          <w:b/>
          <w:bCs/>
          <w:sz w:val="22"/>
          <w:szCs w:val="26"/>
          <w:lang w:eastAsia="x-none"/>
        </w:rPr>
        <w:t>5.</w:t>
      </w:r>
      <w:r w:rsidRPr="003F564F">
        <w:rPr>
          <w:b/>
          <w:bCs/>
          <w:sz w:val="22"/>
          <w:szCs w:val="26"/>
          <w:lang w:eastAsia="x-none"/>
        </w:rPr>
        <w:tab/>
        <w:t xml:space="preserve">Kaip laikyti </w:t>
      </w:r>
      <w:proofErr w:type="spellStart"/>
      <w:r w:rsidR="008B09E3">
        <w:rPr>
          <w:b/>
          <w:bCs/>
          <w:sz w:val="22"/>
          <w:szCs w:val="26"/>
          <w:lang w:eastAsia="x-none"/>
        </w:rPr>
        <w:t>Ruxolitinib</w:t>
      </w:r>
      <w:proofErr w:type="spellEnd"/>
      <w:r w:rsidR="008B09E3">
        <w:rPr>
          <w:b/>
          <w:bCs/>
          <w:sz w:val="22"/>
          <w:szCs w:val="26"/>
          <w:lang w:eastAsia="x-none"/>
        </w:rPr>
        <w:t xml:space="preserve"> </w:t>
      </w:r>
      <w:proofErr w:type="spellStart"/>
      <w:r w:rsidR="008B09E3">
        <w:rPr>
          <w:b/>
          <w:bCs/>
          <w:sz w:val="22"/>
          <w:szCs w:val="26"/>
          <w:lang w:eastAsia="x-none"/>
        </w:rPr>
        <w:t>Sandoz</w:t>
      </w:r>
      <w:proofErr w:type="spellEnd"/>
    </w:p>
    <w:p w14:paraId="025F09EF" w14:textId="77777777" w:rsidR="008D3B35" w:rsidRPr="003F564F" w:rsidRDefault="008D3B35">
      <w:pPr>
        <w:numPr>
          <w:ilvl w:val="12"/>
          <w:numId w:val="0"/>
        </w:numPr>
        <w:ind w:right="-2"/>
        <w:rPr>
          <w:sz w:val="22"/>
          <w:szCs w:val="24"/>
        </w:rPr>
      </w:pPr>
    </w:p>
    <w:p w14:paraId="130CC4A9" w14:textId="77777777" w:rsidR="008D3B35" w:rsidRPr="003F564F" w:rsidRDefault="00AB4978">
      <w:pPr>
        <w:numPr>
          <w:ilvl w:val="12"/>
          <w:numId w:val="0"/>
        </w:numPr>
        <w:ind w:right="-2"/>
        <w:rPr>
          <w:sz w:val="22"/>
          <w:szCs w:val="24"/>
        </w:rPr>
      </w:pPr>
      <w:r w:rsidRPr="003F564F">
        <w:rPr>
          <w:sz w:val="22"/>
          <w:szCs w:val="24"/>
        </w:rPr>
        <w:t>Šį vaistą laikykite vaikams nepastebimoje ir nepasiekiamoje vietoje.</w:t>
      </w:r>
    </w:p>
    <w:p w14:paraId="6BE13FA9" w14:textId="77777777" w:rsidR="008D3B35" w:rsidRPr="003F564F" w:rsidRDefault="008D3B35">
      <w:pPr>
        <w:numPr>
          <w:ilvl w:val="12"/>
          <w:numId w:val="0"/>
        </w:numPr>
        <w:ind w:right="-2"/>
        <w:rPr>
          <w:sz w:val="22"/>
          <w:szCs w:val="24"/>
        </w:rPr>
      </w:pPr>
    </w:p>
    <w:p w14:paraId="3B54186C" w14:textId="07FDEDB2" w:rsidR="008D3B35" w:rsidRPr="003F564F" w:rsidRDefault="00AB4978">
      <w:pPr>
        <w:numPr>
          <w:ilvl w:val="12"/>
          <w:numId w:val="0"/>
        </w:numPr>
        <w:ind w:right="-2"/>
        <w:rPr>
          <w:sz w:val="22"/>
          <w:szCs w:val="24"/>
        </w:rPr>
      </w:pPr>
      <w:r w:rsidRPr="003F564F">
        <w:rPr>
          <w:sz w:val="22"/>
          <w:szCs w:val="24"/>
        </w:rPr>
        <w:t>Ant dėžutės</w:t>
      </w:r>
      <w:r w:rsidR="006C4504">
        <w:rPr>
          <w:sz w:val="22"/>
          <w:szCs w:val="24"/>
        </w:rPr>
        <w:t xml:space="preserve"> ir lizdinės plokštelės</w:t>
      </w:r>
      <w:r w:rsidRPr="003F564F">
        <w:rPr>
          <w:sz w:val="22"/>
          <w:szCs w:val="24"/>
        </w:rPr>
        <w:t xml:space="preserve"> po </w:t>
      </w:r>
      <w:r w:rsidR="006C4504">
        <w:rPr>
          <w:sz w:val="22"/>
          <w:szCs w:val="24"/>
        </w:rPr>
        <w:t>„EXP“</w:t>
      </w:r>
      <w:r w:rsidRPr="003F564F">
        <w:rPr>
          <w:sz w:val="22"/>
          <w:szCs w:val="24"/>
        </w:rPr>
        <w:t xml:space="preserve"> nurodytam tinkamumo laikui pasibaigus, šio vaisto vartoti negalima. Vaistas tinkamas vartoti iki paskutinės nurodyto mėnesio dienos.</w:t>
      </w:r>
    </w:p>
    <w:p w14:paraId="2439A966" w14:textId="77777777" w:rsidR="008D3B35" w:rsidRPr="003F564F" w:rsidRDefault="008D3B35">
      <w:pPr>
        <w:numPr>
          <w:ilvl w:val="12"/>
          <w:numId w:val="0"/>
        </w:numPr>
        <w:ind w:right="-2"/>
        <w:rPr>
          <w:sz w:val="22"/>
          <w:szCs w:val="24"/>
        </w:rPr>
      </w:pPr>
    </w:p>
    <w:p w14:paraId="13E821F8" w14:textId="78FFCB38" w:rsidR="006C4504" w:rsidRDefault="006C4504">
      <w:pPr>
        <w:numPr>
          <w:ilvl w:val="12"/>
          <w:numId w:val="0"/>
        </w:numPr>
        <w:ind w:right="-2"/>
        <w:rPr>
          <w:sz w:val="22"/>
          <w:szCs w:val="24"/>
        </w:rPr>
      </w:pPr>
      <w:r w:rsidRPr="006C4504">
        <w:rPr>
          <w:sz w:val="22"/>
          <w:szCs w:val="24"/>
        </w:rPr>
        <w:t>Šiam vaist</w:t>
      </w:r>
      <w:r>
        <w:rPr>
          <w:sz w:val="22"/>
          <w:szCs w:val="24"/>
        </w:rPr>
        <w:t>ui</w:t>
      </w:r>
      <w:r w:rsidRPr="006C4504">
        <w:rPr>
          <w:sz w:val="22"/>
          <w:szCs w:val="24"/>
        </w:rPr>
        <w:t xml:space="preserve"> specialių laikymo sąlygų nereikia.</w:t>
      </w:r>
    </w:p>
    <w:p w14:paraId="06E8BF78" w14:textId="77777777" w:rsidR="006C4504" w:rsidRDefault="006C4504">
      <w:pPr>
        <w:numPr>
          <w:ilvl w:val="12"/>
          <w:numId w:val="0"/>
        </w:numPr>
        <w:ind w:right="-2"/>
        <w:rPr>
          <w:sz w:val="22"/>
          <w:szCs w:val="24"/>
        </w:rPr>
      </w:pPr>
    </w:p>
    <w:p w14:paraId="1E9AD8E6" w14:textId="24E130C7" w:rsidR="008D3B35" w:rsidRPr="003F564F" w:rsidRDefault="00AB4978">
      <w:pPr>
        <w:numPr>
          <w:ilvl w:val="12"/>
          <w:numId w:val="0"/>
        </w:numPr>
        <w:ind w:right="-2"/>
        <w:rPr>
          <w:i/>
          <w:sz w:val="22"/>
        </w:rPr>
      </w:pPr>
      <w:r w:rsidRPr="003F564F">
        <w:rPr>
          <w:sz w:val="22"/>
          <w:szCs w:val="24"/>
        </w:rPr>
        <w:t>Vaistų negalima išmesti į kanalizaciją arba su buitinėmis atliekomis. Kaip išmesti nereikalingus vaistus, klauskite vaistininko. Šios priemonės padės apsaugoti aplinką.</w:t>
      </w:r>
    </w:p>
    <w:p w14:paraId="4E787E8B" w14:textId="77777777" w:rsidR="009404C3" w:rsidRDefault="009404C3" w:rsidP="009404C3">
      <w:pPr>
        <w:numPr>
          <w:ilvl w:val="12"/>
          <w:numId w:val="0"/>
        </w:numPr>
        <w:ind w:right="-2"/>
        <w:rPr>
          <w:sz w:val="22"/>
          <w:szCs w:val="24"/>
        </w:rPr>
      </w:pPr>
    </w:p>
    <w:p w14:paraId="4F0C5311" w14:textId="77777777" w:rsidR="006C4504" w:rsidRPr="003F564F" w:rsidRDefault="006C4504" w:rsidP="009404C3">
      <w:pPr>
        <w:numPr>
          <w:ilvl w:val="12"/>
          <w:numId w:val="0"/>
        </w:numPr>
        <w:ind w:right="-2"/>
        <w:rPr>
          <w:sz w:val="22"/>
          <w:szCs w:val="24"/>
        </w:rPr>
      </w:pPr>
    </w:p>
    <w:p w14:paraId="2798224B" w14:textId="77777777" w:rsidR="008D3B35" w:rsidRPr="003F564F" w:rsidRDefault="00AB4978">
      <w:pPr>
        <w:keepNext/>
        <w:keepLines/>
        <w:tabs>
          <w:tab w:val="left" w:pos="567"/>
        </w:tabs>
        <w:outlineLvl w:val="2"/>
        <w:rPr>
          <w:b/>
          <w:bCs/>
          <w:sz w:val="22"/>
          <w:szCs w:val="26"/>
          <w:lang w:eastAsia="x-none"/>
        </w:rPr>
      </w:pPr>
      <w:r w:rsidRPr="003F564F">
        <w:rPr>
          <w:b/>
          <w:bCs/>
          <w:sz w:val="22"/>
          <w:szCs w:val="26"/>
          <w:lang w:eastAsia="x-none"/>
        </w:rPr>
        <w:t>6.</w:t>
      </w:r>
      <w:r w:rsidRPr="003F564F">
        <w:rPr>
          <w:bCs/>
          <w:sz w:val="22"/>
          <w:szCs w:val="26"/>
          <w:lang w:eastAsia="x-none"/>
        </w:rPr>
        <w:tab/>
      </w:r>
      <w:r w:rsidRPr="003F564F">
        <w:rPr>
          <w:b/>
          <w:bCs/>
          <w:sz w:val="22"/>
          <w:szCs w:val="26"/>
          <w:lang w:eastAsia="x-none"/>
        </w:rPr>
        <w:t>Pakuotės turinys ir kita informacija</w:t>
      </w:r>
    </w:p>
    <w:p w14:paraId="12686D45" w14:textId="77777777" w:rsidR="008D3B35" w:rsidRPr="003F564F" w:rsidRDefault="008D3B35">
      <w:pPr>
        <w:numPr>
          <w:ilvl w:val="12"/>
          <w:numId w:val="0"/>
        </w:numPr>
        <w:rPr>
          <w:sz w:val="22"/>
          <w:szCs w:val="24"/>
        </w:rPr>
      </w:pPr>
    </w:p>
    <w:p w14:paraId="4B349FA5" w14:textId="2C3BB361" w:rsidR="008D3B35" w:rsidRPr="003F564F" w:rsidRDefault="008B09E3">
      <w:pPr>
        <w:jc w:val="both"/>
        <w:rPr>
          <w:b/>
          <w:bCs/>
          <w:sz w:val="22"/>
          <w:szCs w:val="22"/>
          <w:lang w:eastAsia="lt-LT"/>
        </w:rPr>
      </w:pPr>
      <w:proofErr w:type="spellStart"/>
      <w:r>
        <w:rPr>
          <w:b/>
          <w:bCs/>
          <w:sz w:val="22"/>
          <w:szCs w:val="22"/>
          <w:lang w:eastAsia="lt-LT"/>
        </w:rPr>
        <w:t>Ruxolitinib</w:t>
      </w:r>
      <w:proofErr w:type="spellEnd"/>
      <w:r>
        <w:rPr>
          <w:b/>
          <w:bCs/>
          <w:sz w:val="22"/>
          <w:szCs w:val="22"/>
          <w:lang w:eastAsia="lt-LT"/>
        </w:rPr>
        <w:t xml:space="preserve"> </w:t>
      </w:r>
      <w:proofErr w:type="spellStart"/>
      <w:r>
        <w:rPr>
          <w:b/>
          <w:bCs/>
          <w:sz w:val="22"/>
          <w:szCs w:val="22"/>
          <w:lang w:eastAsia="lt-LT"/>
        </w:rPr>
        <w:t>Sandoz</w:t>
      </w:r>
      <w:proofErr w:type="spellEnd"/>
      <w:r w:rsidR="00AB4978" w:rsidRPr="003F564F">
        <w:rPr>
          <w:b/>
          <w:bCs/>
          <w:sz w:val="22"/>
          <w:szCs w:val="22"/>
          <w:lang w:eastAsia="lt-LT"/>
        </w:rPr>
        <w:t xml:space="preserve"> sudėtis</w:t>
      </w:r>
    </w:p>
    <w:p w14:paraId="7E1BEAB2" w14:textId="2885FC01" w:rsidR="009404C3" w:rsidRPr="008B09E3" w:rsidRDefault="009404C3" w:rsidP="008B09E3">
      <w:pPr>
        <w:pStyle w:val="Sraopastraipa"/>
        <w:numPr>
          <w:ilvl w:val="0"/>
          <w:numId w:val="12"/>
        </w:numPr>
        <w:ind w:left="567" w:hanging="567"/>
        <w:jc w:val="both"/>
        <w:rPr>
          <w:sz w:val="22"/>
          <w:szCs w:val="22"/>
          <w:lang w:eastAsia="lt-LT"/>
        </w:rPr>
      </w:pPr>
      <w:r w:rsidRPr="008B09E3">
        <w:rPr>
          <w:sz w:val="22"/>
          <w:szCs w:val="22"/>
          <w:lang w:eastAsia="lt-LT"/>
        </w:rPr>
        <w:t xml:space="preserve">Veiklioji medžiaga yra </w:t>
      </w:r>
      <w:proofErr w:type="spellStart"/>
      <w:r w:rsidRPr="008B09E3">
        <w:rPr>
          <w:sz w:val="22"/>
          <w:szCs w:val="22"/>
          <w:lang w:eastAsia="lt-LT"/>
        </w:rPr>
        <w:t>ruksolitinibas</w:t>
      </w:r>
      <w:proofErr w:type="spellEnd"/>
      <w:r w:rsidRPr="008B09E3">
        <w:rPr>
          <w:sz w:val="22"/>
          <w:szCs w:val="22"/>
          <w:lang w:eastAsia="lt-LT"/>
        </w:rPr>
        <w:t>.</w:t>
      </w:r>
    </w:p>
    <w:p w14:paraId="10079ACA" w14:textId="08042785" w:rsidR="009404C3" w:rsidRPr="008B09E3" w:rsidRDefault="009404C3" w:rsidP="008B09E3">
      <w:pPr>
        <w:pStyle w:val="Sraopastraipa"/>
        <w:numPr>
          <w:ilvl w:val="0"/>
          <w:numId w:val="12"/>
        </w:numPr>
        <w:ind w:left="567" w:hanging="567"/>
        <w:jc w:val="both"/>
        <w:rPr>
          <w:sz w:val="22"/>
          <w:szCs w:val="22"/>
          <w:lang w:eastAsia="lt-LT"/>
        </w:rPr>
      </w:pPr>
      <w:r w:rsidRPr="008B09E3">
        <w:rPr>
          <w:sz w:val="22"/>
          <w:szCs w:val="22"/>
          <w:lang w:eastAsia="lt-LT"/>
        </w:rPr>
        <w:t xml:space="preserve">Kiekvienoje </w:t>
      </w:r>
      <w:r w:rsidR="006C4504" w:rsidRPr="008B09E3">
        <w:rPr>
          <w:sz w:val="22"/>
          <w:szCs w:val="22"/>
          <w:lang w:eastAsia="lt-LT"/>
        </w:rPr>
        <w:t xml:space="preserve">tabletėje yra </w:t>
      </w:r>
      <w:r w:rsidRPr="008B09E3">
        <w:rPr>
          <w:sz w:val="22"/>
          <w:szCs w:val="22"/>
          <w:lang w:eastAsia="lt-LT"/>
        </w:rPr>
        <w:t>5</w:t>
      </w:r>
      <w:r w:rsidR="006C4504" w:rsidRPr="008B09E3">
        <w:rPr>
          <w:sz w:val="22"/>
          <w:szCs w:val="22"/>
          <w:lang w:eastAsia="lt-LT"/>
        </w:rPr>
        <w:t> </w:t>
      </w:r>
      <w:r w:rsidRPr="008B09E3">
        <w:rPr>
          <w:sz w:val="22"/>
          <w:szCs w:val="22"/>
          <w:lang w:eastAsia="lt-LT"/>
        </w:rPr>
        <w:t>mg</w:t>
      </w:r>
      <w:r w:rsidR="006C4504" w:rsidRPr="008B09E3">
        <w:rPr>
          <w:sz w:val="22"/>
          <w:szCs w:val="22"/>
          <w:lang w:eastAsia="lt-LT"/>
        </w:rPr>
        <w:t>, 10 mg, 15 mg arba 20 mg</w:t>
      </w:r>
      <w:r w:rsidRPr="008B09E3">
        <w:rPr>
          <w:sz w:val="22"/>
          <w:szCs w:val="22"/>
          <w:lang w:eastAsia="lt-LT"/>
        </w:rPr>
        <w:t xml:space="preserve"> </w:t>
      </w:r>
      <w:proofErr w:type="spellStart"/>
      <w:r w:rsidRPr="008B09E3">
        <w:rPr>
          <w:sz w:val="22"/>
          <w:szCs w:val="22"/>
          <w:lang w:eastAsia="lt-LT"/>
        </w:rPr>
        <w:t>ruksolitinibo</w:t>
      </w:r>
      <w:proofErr w:type="spellEnd"/>
      <w:r w:rsidRPr="008B09E3">
        <w:rPr>
          <w:sz w:val="22"/>
          <w:szCs w:val="22"/>
          <w:lang w:eastAsia="lt-LT"/>
        </w:rPr>
        <w:t>.</w:t>
      </w:r>
    </w:p>
    <w:p w14:paraId="114052E8" w14:textId="15E2B0B6" w:rsidR="008B09E3" w:rsidRPr="008B09E3" w:rsidRDefault="009404C3" w:rsidP="008B09E3">
      <w:pPr>
        <w:pStyle w:val="Sraopastraipa"/>
        <w:numPr>
          <w:ilvl w:val="0"/>
          <w:numId w:val="12"/>
        </w:numPr>
        <w:ind w:left="567" w:hanging="567"/>
        <w:jc w:val="both"/>
        <w:rPr>
          <w:sz w:val="22"/>
          <w:szCs w:val="22"/>
          <w:lang w:eastAsia="lt-LT"/>
        </w:rPr>
      </w:pPr>
      <w:r w:rsidRPr="008B09E3">
        <w:rPr>
          <w:sz w:val="22"/>
          <w:szCs w:val="22"/>
          <w:lang w:eastAsia="lt-LT"/>
        </w:rPr>
        <w:t xml:space="preserve">Pagalbinės medžiagos yra: </w:t>
      </w:r>
      <w:r w:rsidR="008B09E3" w:rsidRPr="008B09E3">
        <w:rPr>
          <w:sz w:val="22"/>
          <w:szCs w:val="22"/>
          <w:lang w:eastAsia="lt-LT"/>
        </w:rPr>
        <w:t xml:space="preserve">laktozė </w:t>
      </w:r>
      <w:proofErr w:type="spellStart"/>
      <w:r w:rsidR="008B09E3" w:rsidRPr="008B09E3">
        <w:rPr>
          <w:sz w:val="22"/>
          <w:szCs w:val="22"/>
          <w:lang w:eastAsia="lt-LT"/>
        </w:rPr>
        <w:t>monohidratas</w:t>
      </w:r>
      <w:proofErr w:type="spellEnd"/>
      <w:r w:rsidR="008B09E3" w:rsidRPr="008B09E3">
        <w:rPr>
          <w:sz w:val="22"/>
          <w:szCs w:val="22"/>
          <w:lang w:eastAsia="lt-LT"/>
        </w:rPr>
        <w:t xml:space="preserve">, </w:t>
      </w:r>
      <w:proofErr w:type="spellStart"/>
      <w:r w:rsidR="008B09E3" w:rsidRPr="008B09E3">
        <w:rPr>
          <w:sz w:val="22"/>
          <w:szCs w:val="22"/>
          <w:lang w:eastAsia="lt-LT"/>
        </w:rPr>
        <w:t>mikrokristalinė</w:t>
      </w:r>
      <w:proofErr w:type="spellEnd"/>
      <w:r w:rsidR="008B09E3" w:rsidRPr="008B09E3">
        <w:rPr>
          <w:sz w:val="22"/>
          <w:szCs w:val="22"/>
          <w:lang w:eastAsia="lt-LT"/>
        </w:rPr>
        <w:t xml:space="preserve"> celiuliozė (PH 101)</w:t>
      </w:r>
      <w:r w:rsidR="00E55A54">
        <w:rPr>
          <w:sz w:val="22"/>
          <w:szCs w:val="22"/>
          <w:lang w:eastAsia="lt-LT"/>
        </w:rPr>
        <w:t xml:space="preserve"> (E460)</w:t>
      </w:r>
      <w:r w:rsidR="008B09E3" w:rsidRPr="008B09E3">
        <w:rPr>
          <w:sz w:val="22"/>
          <w:szCs w:val="22"/>
          <w:lang w:eastAsia="lt-LT"/>
        </w:rPr>
        <w:t xml:space="preserve">, </w:t>
      </w:r>
      <w:proofErr w:type="spellStart"/>
      <w:r w:rsidR="008B09E3" w:rsidRPr="008B09E3">
        <w:rPr>
          <w:sz w:val="22"/>
          <w:szCs w:val="22"/>
          <w:lang w:eastAsia="lt-LT"/>
        </w:rPr>
        <w:t>povidonas</w:t>
      </w:r>
      <w:proofErr w:type="spellEnd"/>
      <w:r w:rsidR="008B09E3" w:rsidRPr="008B09E3">
        <w:rPr>
          <w:sz w:val="22"/>
          <w:szCs w:val="22"/>
          <w:lang w:eastAsia="lt-LT"/>
        </w:rPr>
        <w:t xml:space="preserve"> (K29/32), </w:t>
      </w:r>
      <w:proofErr w:type="spellStart"/>
      <w:r w:rsidR="008B09E3" w:rsidRPr="008B09E3">
        <w:rPr>
          <w:sz w:val="22"/>
          <w:szCs w:val="22"/>
          <w:lang w:eastAsia="lt-LT"/>
        </w:rPr>
        <w:t>hidroksipropilceliuliozė</w:t>
      </w:r>
      <w:proofErr w:type="spellEnd"/>
      <w:r w:rsidR="00E55A54">
        <w:rPr>
          <w:sz w:val="22"/>
          <w:szCs w:val="22"/>
          <w:lang w:eastAsia="lt-LT"/>
        </w:rPr>
        <w:t xml:space="preserve"> (E463)</w:t>
      </w:r>
      <w:r w:rsidR="008B09E3" w:rsidRPr="008B09E3">
        <w:rPr>
          <w:sz w:val="22"/>
          <w:szCs w:val="22"/>
          <w:lang w:eastAsia="lt-LT"/>
        </w:rPr>
        <w:t xml:space="preserve">, </w:t>
      </w:r>
      <w:proofErr w:type="spellStart"/>
      <w:r w:rsidR="008B09E3" w:rsidRPr="008B09E3">
        <w:rPr>
          <w:sz w:val="22"/>
          <w:szCs w:val="22"/>
          <w:lang w:eastAsia="lt-LT"/>
        </w:rPr>
        <w:t>karboksimetilkrakmolo</w:t>
      </w:r>
      <w:proofErr w:type="spellEnd"/>
      <w:r w:rsidR="008B09E3" w:rsidRPr="008B09E3">
        <w:rPr>
          <w:sz w:val="22"/>
          <w:szCs w:val="22"/>
          <w:lang w:eastAsia="lt-LT"/>
        </w:rPr>
        <w:t xml:space="preserve"> A natrio druska, </w:t>
      </w:r>
      <w:proofErr w:type="spellStart"/>
      <w:r w:rsidR="00E55A54" w:rsidRPr="008B09E3">
        <w:rPr>
          <w:sz w:val="22"/>
          <w:szCs w:val="22"/>
          <w:lang w:eastAsia="lt-LT"/>
        </w:rPr>
        <w:t>mikrokristalinė</w:t>
      </w:r>
      <w:proofErr w:type="spellEnd"/>
      <w:r w:rsidR="00E55A54" w:rsidRPr="008B09E3">
        <w:rPr>
          <w:sz w:val="22"/>
          <w:szCs w:val="22"/>
          <w:lang w:eastAsia="lt-LT"/>
        </w:rPr>
        <w:t xml:space="preserve"> celiuliozė (PH 10</w:t>
      </w:r>
      <w:r w:rsidR="00E55A54">
        <w:rPr>
          <w:sz w:val="22"/>
          <w:szCs w:val="22"/>
          <w:lang w:eastAsia="lt-LT"/>
        </w:rPr>
        <w:t>2</w:t>
      </w:r>
      <w:r w:rsidR="00E55A54" w:rsidRPr="008B09E3">
        <w:rPr>
          <w:sz w:val="22"/>
          <w:szCs w:val="22"/>
          <w:lang w:eastAsia="lt-LT"/>
        </w:rPr>
        <w:t>)</w:t>
      </w:r>
      <w:r w:rsidR="00E55A54">
        <w:rPr>
          <w:sz w:val="22"/>
          <w:szCs w:val="22"/>
          <w:lang w:eastAsia="lt-LT"/>
        </w:rPr>
        <w:t xml:space="preserve"> (E460)</w:t>
      </w:r>
      <w:r w:rsidR="00E55A54" w:rsidRPr="008B09E3">
        <w:rPr>
          <w:sz w:val="22"/>
          <w:szCs w:val="22"/>
          <w:lang w:eastAsia="lt-LT"/>
        </w:rPr>
        <w:t xml:space="preserve">, </w:t>
      </w:r>
      <w:r w:rsidR="008B09E3" w:rsidRPr="008B09E3">
        <w:rPr>
          <w:sz w:val="22"/>
          <w:szCs w:val="22"/>
          <w:lang w:eastAsia="lt-LT"/>
        </w:rPr>
        <w:t xml:space="preserve">bevandenis koloidinis silicio dioksidas ir magnio </w:t>
      </w:r>
      <w:proofErr w:type="spellStart"/>
      <w:r w:rsidR="008B09E3" w:rsidRPr="008B09E3">
        <w:rPr>
          <w:sz w:val="22"/>
          <w:szCs w:val="22"/>
          <w:lang w:eastAsia="lt-LT"/>
        </w:rPr>
        <w:t>stearatas</w:t>
      </w:r>
      <w:proofErr w:type="spellEnd"/>
      <w:r w:rsidR="008B09E3" w:rsidRPr="008B09E3">
        <w:rPr>
          <w:sz w:val="22"/>
          <w:szCs w:val="22"/>
          <w:lang w:eastAsia="lt-LT"/>
        </w:rPr>
        <w:t>.</w:t>
      </w:r>
    </w:p>
    <w:p w14:paraId="3F7B05DC" w14:textId="77777777" w:rsidR="008B09E3" w:rsidRDefault="008B09E3" w:rsidP="008B09E3">
      <w:pPr>
        <w:jc w:val="both"/>
        <w:rPr>
          <w:sz w:val="22"/>
          <w:szCs w:val="22"/>
          <w:lang w:eastAsia="lt-LT"/>
        </w:rPr>
      </w:pPr>
    </w:p>
    <w:p w14:paraId="1A4F00FE" w14:textId="5F8D5501" w:rsidR="008D3B35" w:rsidRPr="003F564F" w:rsidRDefault="008B09E3">
      <w:pPr>
        <w:jc w:val="both"/>
        <w:rPr>
          <w:b/>
          <w:bCs/>
          <w:sz w:val="22"/>
          <w:szCs w:val="22"/>
          <w:lang w:eastAsia="lt-LT"/>
        </w:rPr>
      </w:pPr>
      <w:proofErr w:type="spellStart"/>
      <w:r>
        <w:rPr>
          <w:b/>
          <w:bCs/>
          <w:sz w:val="22"/>
          <w:szCs w:val="22"/>
          <w:lang w:eastAsia="lt-LT"/>
        </w:rPr>
        <w:t>Ruxolitinib</w:t>
      </w:r>
      <w:proofErr w:type="spellEnd"/>
      <w:r>
        <w:rPr>
          <w:b/>
          <w:bCs/>
          <w:sz w:val="22"/>
          <w:szCs w:val="22"/>
          <w:lang w:eastAsia="lt-LT"/>
        </w:rPr>
        <w:t xml:space="preserve"> </w:t>
      </w:r>
      <w:proofErr w:type="spellStart"/>
      <w:r>
        <w:rPr>
          <w:b/>
          <w:bCs/>
          <w:sz w:val="22"/>
          <w:szCs w:val="22"/>
          <w:lang w:eastAsia="lt-LT"/>
        </w:rPr>
        <w:t>Sandoz</w:t>
      </w:r>
      <w:proofErr w:type="spellEnd"/>
      <w:r w:rsidR="00AB4978" w:rsidRPr="003F564F">
        <w:rPr>
          <w:b/>
          <w:bCs/>
          <w:sz w:val="22"/>
          <w:szCs w:val="22"/>
          <w:lang w:eastAsia="lt-LT"/>
        </w:rPr>
        <w:t xml:space="preserve"> išvaizda ir kiekis pakuotėje</w:t>
      </w:r>
    </w:p>
    <w:p w14:paraId="1FFF5CEC" w14:textId="45A97E74" w:rsidR="008B09E3" w:rsidRPr="008B09E3" w:rsidRDefault="00E55A54" w:rsidP="008B09E3">
      <w:pPr>
        <w:jc w:val="both"/>
        <w:rPr>
          <w:sz w:val="22"/>
          <w:szCs w:val="22"/>
          <w:lang w:eastAsia="lt-LT"/>
        </w:rPr>
      </w:pPr>
      <w:proofErr w:type="spellStart"/>
      <w:r>
        <w:rPr>
          <w:sz w:val="22"/>
          <w:szCs w:val="22"/>
          <w:lang w:eastAsia="lt-LT"/>
        </w:rPr>
        <w:t>Ruxolitinib</w:t>
      </w:r>
      <w:proofErr w:type="spellEnd"/>
      <w:r>
        <w:rPr>
          <w:sz w:val="22"/>
          <w:szCs w:val="22"/>
          <w:lang w:eastAsia="lt-LT"/>
        </w:rPr>
        <w:t xml:space="preserve"> </w:t>
      </w:r>
      <w:proofErr w:type="spellStart"/>
      <w:r>
        <w:rPr>
          <w:sz w:val="22"/>
          <w:szCs w:val="22"/>
          <w:lang w:eastAsia="lt-LT"/>
        </w:rPr>
        <w:t>Sandoz</w:t>
      </w:r>
      <w:proofErr w:type="spellEnd"/>
      <w:r>
        <w:rPr>
          <w:sz w:val="22"/>
          <w:szCs w:val="22"/>
          <w:lang w:eastAsia="lt-LT"/>
        </w:rPr>
        <w:t xml:space="preserve"> </w:t>
      </w:r>
      <w:r w:rsidR="008B09E3" w:rsidRPr="008B09E3">
        <w:rPr>
          <w:sz w:val="22"/>
          <w:szCs w:val="22"/>
          <w:lang w:eastAsia="lt-LT"/>
        </w:rPr>
        <w:t>5</w:t>
      </w:r>
      <w:r w:rsidR="008B09E3">
        <w:rPr>
          <w:sz w:val="22"/>
          <w:szCs w:val="22"/>
          <w:lang w:eastAsia="lt-LT"/>
        </w:rPr>
        <w:t> </w:t>
      </w:r>
      <w:r w:rsidR="008B09E3" w:rsidRPr="008B09E3">
        <w:rPr>
          <w:sz w:val="22"/>
          <w:szCs w:val="22"/>
          <w:lang w:eastAsia="lt-LT"/>
        </w:rPr>
        <w:t>mg tabletės</w:t>
      </w:r>
      <w:r w:rsidR="008B09E3">
        <w:rPr>
          <w:sz w:val="22"/>
          <w:szCs w:val="22"/>
          <w:lang w:eastAsia="lt-LT"/>
        </w:rPr>
        <w:t xml:space="preserve"> yra b</w:t>
      </w:r>
      <w:r w:rsidR="008B09E3" w:rsidRPr="008B09E3">
        <w:rPr>
          <w:sz w:val="22"/>
          <w:szCs w:val="22"/>
          <w:lang w:eastAsia="lt-LT"/>
        </w:rPr>
        <w:t>altos arba beveik baltos, apvalios, abipus išgaubtos, kurių vienoje pusėje įspausta „C24“.</w:t>
      </w:r>
    </w:p>
    <w:p w14:paraId="5A4CF901" w14:textId="12650B46" w:rsidR="008B09E3" w:rsidRPr="008B09E3" w:rsidRDefault="00E55A54" w:rsidP="008B09E3">
      <w:pPr>
        <w:jc w:val="both"/>
        <w:rPr>
          <w:sz w:val="22"/>
          <w:szCs w:val="22"/>
          <w:lang w:eastAsia="lt-LT"/>
        </w:rPr>
      </w:pPr>
      <w:proofErr w:type="spellStart"/>
      <w:r>
        <w:rPr>
          <w:sz w:val="22"/>
          <w:szCs w:val="22"/>
          <w:lang w:eastAsia="lt-LT"/>
        </w:rPr>
        <w:t>Ruxolitinib</w:t>
      </w:r>
      <w:proofErr w:type="spellEnd"/>
      <w:r>
        <w:rPr>
          <w:sz w:val="22"/>
          <w:szCs w:val="22"/>
          <w:lang w:eastAsia="lt-LT"/>
        </w:rPr>
        <w:t xml:space="preserve"> </w:t>
      </w:r>
      <w:proofErr w:type="spellStart"/>
      <w:r>
        <w:rPr>
          <w:sz w:val="22"/>
          <w:szCs w:val="22"/>
          <w:lang w:eastAsia="lt-LT"/>
        </w:rPr>
        <w:t>Sandoz</w:t>
      </w:r>
      <w:proofErr w:type="spellEnd"/>
      <w:r>
        <w:rPr>
          <w:sz w:val="22"/>
          <w:szCs w:val="22"/>
          <w:lang w:eastAsia="lt-LT"/>
        </w:rPr>
        <w:t xml:space="preserve"> </w:t>
      </w:r>
      <w:r w:rsidR="008B09E3" w:rsidRPr="008B09E3">
        <w:rPr>
          <w:sz w:val="22"/>
          <w:szCs w:val="22"/>
          <w:lang w:eastAsia="lt-LT"/>
        </w:rPr>
        <w:t>10</w:t>
      </w:r>
      <w:r w:rsidR="008B09E3">
        <w:rPr>
          <w:sz w:val="22"/>
          <w:szCs w:val="22"/>
          <w:lang w:eastAsia="lt-LT"/>
        </w:rPr>
        <w:t> </w:t>
      </w:r>
      <w:r w:rsidR="008B09E3" w:rsidRPr="008B09E3">
        <w:rPr>
          <w:sz w:val="22"/>
          <w:szCs w:val="22"/>
          <w:lang w:eastAsia="lt-LT"/>
        </w:rPr>
        <w:t>mg tabletės</w:t>
      </w:r>
      <w:r w:rsidR="008B09E3">
        <w:rPr>
          <w:sz w:val="22"/>
          <w:szCs w:val="22"/>
          <w:lang w:eastAsia="lt-LT"/>
        </w:rPr>
        <w:t xml:space="preserve"> yra b</w:t>
      </w:r>
      <w:r w:rsidR="008B09E3" w:rsidRPr="008B09E3">
        <w:rPr>
          <w:sz w:val="22"/>
          <w:szCs w:val="22"/>
          <w:lang w:eastAsia="lt-LT"/>
        </w:rPr>
        <w:t>altos arba beveik baltos, apvalios, abipus išgaubtos, kurių vienoje pusėje įspausta „C25“.</w:t>
      </w:r>
    </w:p>
    <w:p w14:paraId="288A2528" w14:textId="496E3BD2" w:rsidR="008B09E3" w:rsidRPr="008B09E3" w:rsidRDefault="00E55A54" w:rsidP="008B09E3">
      <w:pPr>
        <w:jc w:val="both"/>
        <w:rPr>
          <w:sz w:val="22"/>
          <w:szCs w:val="22"/>
          <w:lang w:eastAsia="lt-LT"/>
        </w:rPr>
      </w:pPr>
      <w:proofErr w:type="spellStart"/>
      <w:r>
        <w:rPr>
          <w:sz w:val="22"/>
          <w:szCs w:val="22"/>
          <w:lang w:eastAsia="lt-LT"/>
        </w:rPr>
        <w:t>Ruxolitinib</w:t>
      </w:r>
      <w:proofErr w:type="spellEnd"/>
      <w:r>
        <w:rPr>
          <w:sz w:val="22"/>
          <w:szCs w:val="22"/>
          <w:lang w:eastAsia="lt-LT"/>
        </w:rPr>
        <w:t xml:space="preserve"> </w:t>
      </w:r>
      <w:proofErr w:type="spellStart"/>
      <w:r>
        <w:rPr>
          <w:sz w:val="22"/>
          <w:szCs w:val="22"/>
          <w:lang w:eastAsia="lt-LT"/>
        </w:rPr>
        <w:t>Sandoz</w:t>
      </w:r>
      <w:proofErr w:type="spellEnd"/>
      <w:r>
        <w:rPr>
          <w:sz w:val="22"/>
          <w:szCs w:val="22"/>
          <w:lang w:eastAsia="lt-LT"/>
        </w:rPr>
        <w:t xml:space="preserve"> </w:t>
      </w:r>
      <w:r w:rsidR="008B09E3" w:rsidRPr="008B09E3">
        <w:rPr>
          <w:sz w:val="22"/>
          <w:szCs w:val="22"/>
          <w:lang w:eastAsia="lt-LT"/>
        </w:rPr>
        <w:t>15</w:t>
      </w:r>
      <w:r w:rsidR="008B09E3">
        <w:rPr>
          <w:sz w:val="22"/>
          <w:szCs w:val="22"/>
          <w:lang w:eastAsia="lt-LT"/>
        </w:rPr>
        <w:t> </w:t>
      </w:r>
      <w:r w:rsidR="008B09E3" w:rsidRPr="008B09E3">
        <w:rPr>
          <w:sz w:val="22"/>
          <w:szCs w:val="22"/>
          <w:lang w:eastAsia="lt-LT"/>
        </w:rPr>
        <w:t>mg tabletės</w:t>
      </w:r>
      <w:r w:rsidR="008B09E3">
        <w:rPr>
          <w:sz w:val="22"/>
          <w:szCs w:val="22"/>
          <w:lang w:eastAsia="lt-LT"/>
        </w:rPr>
        <w:t xml:space="preserve"> yra b</w:t>
      </w:r>
      <w:r w:rsidR="008B09E3" w:rsidRPr="008B09E3">
        <w:rPr>
          <w:sz w:val="22"/>
          <w:szCs w:val="22"/>
          <w:lang w:eastAsia="lt-LT"/>
        </w:rPr>
        <w:t>altos arba beveik baltos, ovalios, abipus išgaubtos, kurių vienoje pusėje įspausta „C26“.</w:t>
      </w:r>
    </w:p>
    <w:p w14:paraId="40093F03" w14:textId="24F9B464" w:rsidR="008B09E3" w:rsidRDefault="00E55A54" w:rsidP="008B09E3">
      <w:pPr>
        <w:jc w:val="both"/>
        <w:rPr>
          <w:sz w:val="22"/>
          <w:szCs w:val="22"/>
          <w:lang w:eastAsia="lt-LT"/>
        </w:rPr>
      </w:pPr>
      <w:proofErr w:type="spellStart"/>
      <w:r>
        <w:rPr>
          <w:sz w:val="22"/>
          <w:szCs w:val="22"/>
          <w:lang w:eastAsia="lt-LT"/>
        </w:rPr>
        <w:t>Ruxolitinib</w:t>
      </w:r>
      <w:proofErr w:type="spellEnd"/>
      <w:r>
        <w:rPr>
          <w:sz w:val="22"/>
          <w:szCs w:val="22"/>
          <w:lang w:eastAsia="lt-LT"/>
        </w:rPr>
        <w:t xml:space="preserve"> </w:t>
      </w:r>
      <w:proofErr w:type="spellStart"/>
      <w:r>
        <w:rPr>
          <w:sz w:val="22"/>
          <w:szCs w:val="22"/>
          <w:lang w:eastAsia="lt-LT"/>
        </w:rPr>
        <w:t>Sandoz</w:t>
      </w:r>
      <w:proofErr w:type="spellEnd"/>
      <w:r>
        <w:rPr>
          <w:sz w:val="22"/>
          <w:szCs w:val="22"/>
          <w:lang w:eastAsia="lt-LT"/>
        </w:rPr>
        <w:t xml:space="preserve"> </w:t>
      </w:r>
      <w:r w:rsidR="008B09E3" w:rsidRPr="008B09E3">
        <w:rPr>
          <w:sz w:val="22"/>
          <w:szCs w:val="22"/>
          <w:lang w:eastAsia="lt-LT"/>
        </w:rPr>
        <w:t>20</w:t>
      </w:r>
      <w:r w:rsidR="008B09E3">
        <w:rPr>
          <w:sz w:val="22"/>
          <w:szCs w:val="22"/>
          <w:lang w:eastAsia="lt-LT"/>
        </w:rPr>
        <w:t> </w:t>
      </w:r>
      <w:r w:rsidR="008B09E3" w:rsidRPr="008B09E3">
        <w:rPr>
          <w:sz w:val="22"/>
          <w:szCs w:val="22"/>
          <w:lang w:eastAsia="lt-LT"/>
        </w:rPr>
        <w:t>mg tabletės</w:t>
      </w:r>
      <w:r w:rsidR="008B09E3">
        <w:rPr>
          <w:sz w:val="22"/>
          <w:szCs w:val="22"/>
          <w:lang w:eastAsia="lt-LT"/>
        </w:rPr>
        <w:t xml:space="preserve"> yra b</w:t>
      </w:r>
      <w:r w:rsidR="008B09E3" w:rsidRPr="008B09E3">
        <w:rPr>
          <w:sz w:val="22"/>
          <w:szCs w:val="22"/>
          <w:lang w:eastAsia="lt-LT"/>
        </w:rPr>
        <w:t>altos arba beveik baltos, kapsulės formos, abipus išgaubtos, kurių vienoje pusėje įspausta „C27“.</w:t>
      </w:r>
    </w:p>
    <w:p w14:paraId="05A21D29" w14:textId="77777777" w:rsidR="008B09E3" w:rsidRDefault="008B09E3" w:rsidP="009404C3">
      <w:pPr>
        <w:jc w:val="both"/>
        <w:rPr>
          <w:sz w:val="22"/>
          <w:szCs w:val="22"/>
          <w:lang w:eastAsia="lt-LT"/>
        </w:rPr>
      </w:pPr>
    </w:p>
    <w:p w14:paraId="77F055D1" w14:textId="0DB0BD61" w:rsidR="008B09E3" w:rsidRDefault="008B09E3" w:rsidP="008B09E3">
      <w:pPr>
        <w:jc w:val="both"/>
        <w:rPr>
          <w:sz w:val="22"/>
          <w:szCs w:val="22"/>
          <w:lang w:eastAsia="lt-LT"/>
        </w:rPr>
      </w:pPr>
      <w:proofErr w:type="spellStart"/>
      <w:r>
        <w:rPr>
          <w:sz w:val="22"/>
          <w:szCs w:val="22"/>
          <w:lang w:eastAsia="lt-LT"/>
        </w:rPr>
        <w:t>Ruxolitinib</w:t>
      </w:r>
      <w:proofErr w:type="spellEnd"/>
      <w:r>
        <w:rPr>
          <w:sz w:val="22"/>
          <w:szCs w:val="22"/>
          <w:lang w:eastAsia="lt-LT"/>
        </w:rPr>
        <w:t xml:space="preserve"> </w:t>
      </w:r>
      <w:proofErr w:type="spellStart"/>
      <w:r>
        <w:rPr>
          <w:sz w:val="22"/>
          <w:szCs w:val="22"/>
          <w:lang w:eastAsia="lt-LT"/>
        </w:rPr>
        <w:t>Sandoz</w:t>
      </w:r>
      <w:proofErr w:type="spellEnd"/>
      <w:r>
        <w:rPr>
          <w:sz w:val="22"/>
          <w:szCs w:val="22"/>
          <w:lang w:eastAsia="lt-LT"/>
        </w:rPr>
        <w:t xml:space="preserve"> </w:t>
      </w:r>
      <w:r w:rsidRPr="008B09E3">
        <w:rPr>
          <w:sz w:val="22"/>
          <w:szCs w:val="22"/>
          <w:lang w:eastAsia="lt-LT"/>
        </w:rPr>
        <w:t>tablet</w:t>
      </w:r>
      <w:r>
        <w:rPr>
          <w:sz w:val="22"/>
          <w:szCs w:val="22"/>
          <w:lang w:eastAsia="lt-LT"/>
        </w:rPr>
        <w:t xml:space="preserve">ės </w:t>
      </w:r>
      <w:r w:rsidRPr="008B09E3">
        <w:rPr>
          <w:sz w:val="22"/>
          <w:szCs w:val="22"/>
          <w:lang w:eastAsia="lt-LT"/>
        </w:rPr>
        <w:t>tiekiamos lizdinės</w:t>
      </w:r>
      <w:r>
        <w:rPr>
          <w:sz w:val="22"/>
          <w:szCs w:val="22"/>
          <w:lang w:eastAsia="lt-LT"/>
        </w:rPr>
        <w:t>e</w:t>
      </w:r>
      <w:r w:rsidRPr="008B09E3">
        <w:rPr>
          <w:sz w:val="22"/>
          <w:szCs w:val="22"/>
          <w:lang w:eastAsia="lt-LT"/>
        </w:rPr>
        <w:t xml:space="preserve"> plokštelės</w:t>
      </w:r>
      <w:r>
        <w:rPr>
          <w:sz w:val="22"/>
          <w:szCs w:val="22"/>
          <w:lang w:eastAsia="lt-LT"/>
        </w:rPr>
        <w:t>e</w:t>
      </w:r>
      <w:r w:rsidRPr="008B09E3">
        <w:rPr>
          <w:sz w:val="22"/>
          <w:szCs w:val="22"/>
          <w:lang w:eastAsia="lt-LT"/>
        </w:rPr>
        <w:t>, kuriose yra</w:t>
      </w:r>
      <w:r>
        <w:rPr>
          <w:sz w:val="22"/>
          <w:szCs w:val="22"/>
          <w:lang w:eastAsia="lt-LT"/>
        </w:rPr>
        <w:t xml:space="preserve"> </w:t>
      </w:r>
      <w:r w:rsidRPr="008B09E3">
        <w:rPr>
          <w:sz w:val="22"/>
          <w:szCs w:val="22"/>
          <w:lang w:eastAsia="lt-LT"/>
        </w:rPr>
        <w:t xml:space="preserve">14, 28, 56, 60, 140, </w:t>
      </w:r>
      <w:r>
        <w:rPr>
          <w:sz w:val="22"/>
          <w:szCs w:val="22"/>
          <w:lang w:eastAsia="lt-LT"/>
        </w:rPr>
        <w:t>a</w:t>
      </w:r>
      <w:r w:rsidRPr="008B09E3">
        <w:rPr>
          <w:sz w:val="22"/>
          <w:szCs w:val="22"/>
          <w:lang w:eastAsia="lt-LT"/>
        </w:rPr>
        <w:t>r</w:t>
      </w:r>
      <w:r>
        <w:rPr>
          <w:sz w:val="22"/>
          <w:szCs w:val="22"/>
          <w:lang w:eastAsia="lt-LT"/>
        </w:rPr>
        <w:t>ba</w:t>
      </w:r>
      <w:r w:rsidRPr="008B09E3">
        <w:rPr>
          <w:sz w:val="22"/>
          <w:szCs w:val="22"/>
          <w:lang w:eastAsia="lt-LT"/>
        </w:rPr>
        <w:t xml:space="preserve"> 168 tablet</w:t>
      </w:r>
      <w:r>
        <w:rPr>
          <w:sz w:val="22"/>
          <w:szCs w:val="22"/>
          <w:lang w:eastAsia="lt-LT"/>
        </w:rPr>
        <w:t>ė</w:t>
      </w:r>
      <w:r w:rsidRPr="008B09E3">
        <w:rPr>
          <w:sz w:val="22"/>
          <w:szCs w:val="22"/>
          <w:lang w:eastAsia="lt-LT"/>
        </w:rPr>
        <w:t>s</w:t>
      </w:r>
      <w:r w:rsidR="00434C7A" w:rsidRPr="00434C7A">
        <w:t xml:space="preserve"> </w:t>
      </w:r>
      <w:r w:rsidR="00434C7A" w:rsidRPr="00434C7A">
        <w:rPr>
          <w:sz w:val="22"/>
          <w:szCs w:val="22"/>
          <w:lang w:eastAsia="lt-LT"/>
        </w:rPr>
        <w:t>arba perforuotos</w:t>
      </w:r>
      <w:r w:rsidR="00434C7A">
        <w:rPr>
          <w:sz w:val="22"/>
          <w:szCs w:val="22"/>
          <w:lang w:eastAsia="lt-LT"/>
        </w:rPr>
        <w:t>e</w:t>
      </w:r>
      <w:r w:rsidR="00434C7A" w:rsidRPr="00434C7A">
        <w:rPr>
          <w:sz w:val="22"/>
          <w:szCs w:val="22"/>
          <w:lang w:eastAsia="lt-LT"/>
        </w:rPr>
        <w:t xml:space="preserve"> </w:t>
      </w:r>
      <w:proofErr w:type="spellStart"/>
      <w:r w:rsidR="00434C7A" w:rsidRPr="00434C7A">
        <w:rPr>
          <w:sz w:val="22"/>
          <w:szCs w:val="22"/>
          <w:lang w:eastAsia="lt-LT"/>
        </w:rPr>
        <w:t>dalomosios</w:t>
      </w:r>
      <w:r w:rsidR="00434C7A">
        <w:rPr>
          <w:sz w:val="22"/>
          <w:szCs w:val="22"/>
          <w:lang w:eastAsia="lt-LT"/>
        </w:rPr>
        <w:t>e</w:t>
      </w:r>
      <w:proofErr w:type="spellEnd"/>
      <w:r w:rsidR="00434C7A" w:rsidRPr="00434C7A">
        <w:rPr>
          <w:sz w:val="22"/>
          <w:szCs w:val="22"/>
          <w:lang w:eastAsia="lt-LT"/>
        </w:rPr>
        <w:t xml:space="preserve"> lizdinėse plokštelėse, kuriose yra 14 x 1, 28 x 1, 56 x 1, 60 x 1, 140 x 1, arba 168 x 1 tabletės.</w:t>
      </w:r>
    </w:p>
    <w:p w14:paraId="0FD49877" w14:textId="77777777" w:rsidR="008B09E3" w:rsidRDefault="008B09E3" w:rsidP="009404C3">
      <w:pPr>
        <w:jc w:val="both"/>
        <w:rPr>
          <w:sz w:val="22"/>
          <w:szCs w:val="22"/>
          <w:lang w:eastAsia="lt-LT"/>
        </w:rPr>
      </w:pPr>
    </w:p>
    <w:p w14:paraId="63E5D98D" w14:textId="34A1F150" w:rsidR="008D3B35" w:rsidRPr="003F564F" w:rsidRDefault="009404C3" w:rsidP="009404C3">
      <w:pPr>
        <w:jc w:val="both"/>
        <w:rPr>
          <w:sz w:val="22"/>
          <w:szCs w:val="22"/>
          <w:lang w:eastAsia="lt-LT"/>
        </w:rPr>
      </w:pPr>
      <w:r w:rsidRPr="003F564F">
        <w:rPr>
          <w:sz w:val="22"/>
          <w:szCs w:val="22"/>
          <w:lang w:eastAsia="lt-LT"/>
        </w:rPr>
        <w:t>Gali būti tiekiamos ne visų dydžių pakuotės.</w:t>
      </w:r>
    </w:p>
    <w:p w14:paraId="214EACB1" w14:textId="77777777" w:rsidR="009404C3" w:rsidRPr="003F564F" w:rsidRDefault="009404C3" w:rsidP="009404C3">
      <w:pPr>
        <w:jc w:val="both"/>
        <w:rPr>
          <w:sz w:val="22"/>
          <w:szCs w:val="22"/>
          <w:lang w:eastAsia="lt-LT"/>
        </w:rPr>
      </w:pPr>
    </w:p>
    <w:p w14:paraId="03D7E8CB" w14:textId="77777777" w:rsidR="008D3B35" w:rsidRPr="003F564F" w:rsidRDefault="00AB4978">
      <w:pPr>
        <w:jc w:val="both"/>
        <w:rPr>
          <w:b/>
          <w:bCs/>
          <w:sz w:val="22"/>
          <w:szCs w:val="22"/>
          <w:lang w:eastAsia="lt-LT"/>
        </w:rPr>
      </w:pPr>
      <w:r w:rsidRPr="003F564F">
        <w:rPr>
          <w:b/>
          <w:bCs/>
          <w:sz w:val="22"/>
          <w:szCs w:val="22"/>
          <w:lang w:eastAsia="lt-LT"/>
        </w:rPr>
        <w:t>Registruotojas ir gamintojas</w:t>
      </w:r>
    </w:p>
    <w:p w14:paraId="445FFDF5" w14:textId="77777777" w:rsidR="00942319" w:rsidRDefault="00942319">
      <w:pPr>
        <w:jc w:val="both"/>
        <w:rPr>
          <w:b/>
          <w:bCs/>
          <w:sz w:val="22"/>
          <w:szCs w:val="22"/>
          <w:lang w:eastAsia="lt-LT"/>
        </w:rPr>
      </w:pPr>
    </w:p>
    <w:p w14:paraId="0D0A5CCF" w14:textId="03573A30" w:rsidR="008D3B35" w:rsidRPr="00942319" w:rsidRDefault="00942319">
      <w:pPr>
        <w:jc w:val="both"/>
        <w:rPr>
          <w:b/>
          <w:bCs/>
          <w:sz w:val="22"/>
          <w:szCs w:val="22"/>
          <w:lang w:eastAsia="lt-LT"/>
        </w:rPr>
      </w:pPr>
      <w:r w:rsidRPr="00942319">
        <w:rPr>
          <w:b/>
          <w:bCs/>
          <w:sz w:val="22"/>
          <w:szCs w:val="22"/>
          <w:lang w:eastAsia="lt-LT"/>
        </w:rPr>
        <w:t>Registruotojas</w:t>
      </w:r>
    </w:p>
    <w:p w14:paraId="04984C75" w14:textId="77777777" w:rsidR="008B09E3" w:rsidRPr="008B09E3" w:rsidRDefault="008B09E3" w:rsidP="008B09E3">
      <w:pPr>
        <w:jc w:val="both"/>
        <w:rPr>
          <w:sz w:val="22"/>
          <w:szCs w:val="22"/>
          <w:lang w:eastAsia="lt-LT"/>
        </w:rPr>
      </w:pPr>
      <w:proofErr w:type="spellStart"/>
      <w:r w:rsidRPr="008B09E3">
        <w:rPr>
          <w:sz w:val="22"/>
          <w:szCs w:val="22"/>
          <w:lang w:eastAsia="lt-LT"/>
        </w:rPr>
        <w:t>Sandoz</w:t>
      </w:r>
      <w:proofErr w:type="spellEnd"/>
      <w:r w:rsidRPr="008B09E3">
        <w:rPr>
          <w:sz w:val="22"/>
          <w:szCs w:val="22"/>
          <w:lang w:eastAsia="lt-LT"/>
        </w:rPr>
        <w:t xml:space="preserve"> </w:t>
      </w:r>
      <w:proofErr w:type="spellStart"/>
      <w:r w:rsidRPr="008B09E3">
        <w:rPr>
          <w:sz w:val="22"/>
          <w:szCs w:val="22"/>
          <w:lang w:eastAsia="lt-LT"/>
        </w:rPr>
        <w:t>d.d</w:t>
      </w:r>
      <w:proofErr w:type="spellEnd"/>
      <w:r w:rsidRPr="008B09E3">
        <w:rPr>
          <w:sz w:val="22"/>
          <w:szCs w:val="22"/>
          <w:lang w:eastAsia="lt-LT"/>
        </w:rPr>
        <w:t>.</w:t>
      </w:r>
    </w:p>
    <w:p w14:paraId="61B9DC66" w14:textId="77777777" w:rsidR="008B09E3" w:rsidRPr="008B09E3" w:rsidRDefault="008B09E3" w:rsidP="008B09E3">
      <w:pPr>
        <w:jc w:val="both"/>
        <w:rPr>
          <w:sz w:val="22"/>
          <w:szCs w:val="22"/>
          <w:lang w:eastAsia="lt-LT"/>
        </w:rPr>
      </w:pPr>
      <w:proofErr w:type="spellStart"/>
      <w:r w:rsidRPr="008B09E3">
        <w:rPr>
          <w:sz w:val="22"/>
          <w:szCs w:val="22"/>
          <w:lang w:eastAsia="lt-LT"/>
        </w:rPr>
        <w:t>Verovškova</w:t>
      </w:r>
      <w:proofErr w:type="spellEnd"/>
      <w:r w:rsidRPr="008B09E3">
        <w:rPr>
          <w:sz w:val="22"/>
          <w:szCs w:val="22"/>
          <w:lang w:eastAsia="lt-LT"/>
        </w:rPr>
        <w:t xml:space="preserve"> 57</w:t>
      </w:r>
    </w:p>
    <w:p w14:paraId="3249223A" w14:textId="77777777" w:rsidR="008B09E3" w:rsidRPr="008B09E3" w:rsidRDefault="008B09E3" w:rsidP="008B09E3">
      <w:pPr>
        <w:jc w:val="both"/>
        <w:rPr>
          <w:sz w:val="22"/>
          <w:szCs w:val="22"/>
          <w:lang w:eastAsia="lt-LT"/>
        </w:rPr>
      </w:pPr>
      <w:r w:rsidRPr="008B09E3">
        <w:rPr>
          <w:sz w:val="22"/>
          <w:szCs w:val="22"/>
          <w:lang w:eastAsia="lt-LT"/>
        </w:rPr>
        <w:t xml:space="preserve">SI-1000 </w:t>
      </w:r>
      <w:proofErr w:type="spellStart"/>
      <w:r w:rsidRPr="008B09E3">
        <w:rPr>
          <w:sz w:val="22"/>
          <w:szCs w:val="22"/>
          <w:lang w:eastAsia="lt-LT"/>
        </w:rPr>
        <w:t>Ljubljana</w:t>
      </w:r>
      <w:proofErr w:type="spellEnd"/>
      <w:r w:rsidRPr="008B09E3">
        <w:rPr>
          <w:sz w:val="22"/>
          <w:szCs w:val="22"/>
          <w:lang w:eastAsia="lt-LT"/>
        </w:rPr>
        <w:t xml:space="preserve"> </w:t>
      </w:r>
    </w:p>
    <w:p w14:paraId="66031847" w14:textId="3AB2D77F" w:rsidR="008D3B35" w:rsidRDefault="008B09E3" w:rsidP="008B09E3">
      <w:pPr>
        <w:jc w:val="both"/>
        <w:rPr>
          <w:sz w:val="22"/>
          <w:szCs w:val="22"/>
          <w:lang w:eastAsia="lt-LT"/>
        </w:rPr>
      </w:pPr>
      <w:r w:rsidRPr="008B09E3">
        <w:rPr>
          <w:sz w:val="22"/>
          <w:szCs w:val="22"/>
          <w:lang w:eastAsia="lt-LT"/>
        </w:rPr>
        <w:t>Slovėnija</w:t>
      </w:r>
    </w:p>
    <w:p w14:paraId="5833435D" w14:textId="77777777" w:rsidR="00942319" w:rsidRDefault="00942319" w:rsidP="00942319">
      <w:pPr>
        <w:jc w:val="both"/>
        <w:rPr>
          <w:sz w:val="22"/>
          <w:szCs w:val="22"/>
          <w:lang w:eastAsia="lt-LT"/>
        </w:rPr>
      </w:pPr>
    </w:p>
    <w:p w14:paraId="23E871BB" w14:textId="77777777" w:rsidR="00942319" w:rsidRPr="00942319" w:rsidRDefault="00942319" w:rsidP="00942319">
      <w:pPr>
        <w:jc w:val="both"/>
        <w:rPr>
          <w:b/>
          <w:bCs/>
          <w:sz w:val="22"/>
          <w:szCs w:val="22"/>
          <w:lang w:eastAsia="lt-LT"/>
        </w:rPr>
      </w:pPr>
      <w:r w:rsidRPr="00942319">
        <w:rPr>
          <w:b/>
          <w:bCs/>
          <w:sz w:val="22"/>
          <w:szCs w:val="22"/>
          <w:lang w:eastAsia="lt-LT"/>
        </w:rPr>
        <w:t>Gamintojas</w:t>
      </w:r>
    </w:p>
    <w:p w14:paraId="29D21E77" w14:textId="530FE59C" w:rsidR="00942319" w:rsidRPr="00942319" w:rsidRDefault="00942319" w:rsidP="00942319">
      <w:pPr>
        <w:jc w:val="both"/>
        <w:rPr>
          <w:sz w:val="22"/>
          <w:szCs w:val="22"/>
          <w:lang w:eastAsia="lt-LT"/>
        </w:rPr>
      </w:pPr>
      <w:proofErr w:type="spellStart"/>
      <w:r w:rsidRPr="00942319">
        <w:rPr>
          <w:sz w:val="22"/>
          <w:szCs w:val="22"/>
          <w:lang w:eastAsia="lt-LT"/>
        </w:rPr>
        <w:t>Coripharma</w:t>
      </w:r>
      <w:proofErr w:type="spellEnd"/>
      <w:r w:rsidRPr="00942319">
        <w:rPr>
          <w:sz w:val="22"/>
          <w:szCs w:val="22"/>
          <w:lang w:eastAsia="lt-LT"/>
        </w:rPr>
        <w:t xml:space="preserve"> </w:t>
      </w:r>
      <w:proofErr w:type="spellStart"/>
      <w:r w:rsidRPr="00942319">
        <w:rPr>
          <w:sz w:val="22"/>
          <w:szCs w:val="22"/>
          <w:lang w:eastAsia="lt-LT"/>
        </w:rPr>
        <w:t>ehf</w:t>
      </w:r>
      <w:proofErr w:type="spellEnd"/>
      <w:r w:rsidRPr="00942319">
        <w:rPr>
          <w:sz w:val="22"/>
          <w:szCs w:val="22"/>
          <w:lang w:eastAsia="lt-LT"/>
        </w:rPr>
        <w:t>.</w:t>
      </w:r>
    </w:p>
    <w:p w14:paraId="145B9D47" w14:textId="77777777" w:rsidR="00942319" w:rsidRDefault="00942319" w:rsidP="00942319">
      <w:pPr>
        <w:jc w:val="both"/>
        <w:rPr>
          <w:sz w:val="22"/>
          <w:szCs w:val="22"/>
          <w:lang w:eastAsia="lt-LT"/>
        </w:rPr>
      </w:pPr>
      <w:proofErr w:type="spellStart"/>
      <w:r w:rsidRPr="00942319">
        <w:rPr>
          <w:sz w:val="22"/>
          <w:szCs w:val="22"/>
          <w:lang w:eastAsia="lt-LT"/>
        </w:rPr>
        <w:t>Reykjavikurvegur</w:t>
      </w:r>
      <w:proofErr w:type="spellEnd"/>
      <w:r w:rsidRPr="00942319">
        <w:rPr>
          <w:sz w:val="22"/>
          <w:szCs w:val="22"/>
          <w:lang w:eastAsia="lt-LT"/>
        </w:rPr>
        <w:t xml:space="preserve"> 78 – 80</w:t>
      </w:r>
    </w:p>
    <w:p w14:paraId="7CE78362" w14:textId="706CADFC" w:rsidR="00942319" w:rsidRPr="00942319" w:rsidRDefault="00942319" w:rsidP="00942319">
      <w:pPr>
        <w:jc w:val="both"/>
        <w:rPr>
          <w:sz w:val="22"/>
          <w:szCs w:val="22"/>
          <w:lang w:eastAsia="lt-LT"/>
        </w:rPr>
      </w:pPr>
      <w:r w:rsidRPr="00942319">
        <w:rPr>
          <w:sz w:val="22"/>
          <w:szCs w:val="22"/>
          <w:lang w:eastAsia="lt-LT"/>
        </w:rPr>
        <w:t xml:space="preserve">IS-220 </w:t>
      </w:r>
      <w:proofErr w:type="spellStart"/>
      <w:r w:rsidRPr="00942319">
        <w:rPr>
          <w:sz w:val="22"/>
          <w:szCs w:val="22"/>
          <w:lang w:eastAsia="lt-LT"/>
        </w:rPr>
        <w:t>Hafnarfjordur</w:t>
      </w:r>
      <w:proofErr w:type="spellEnd"/>
    </w:p>
    <w:p w14:paraId="58A843BB" w14:textId="3BEB214C" w:rsidR="00942319" w:rsidRPr="00942319" w:rsidRDefault="00942319" w:rsidP="00942319">
      <w:pPr>
        <w:jc w:val="both"/>
        <w:rPr>
          <w:sz w:val="22"/>
          <w:szCs w:val="22"/>
          <w:lang w:eastAsia="lt-LT"/>
        </w:rPr>
      </w:pPr>
      <w:r w:rsidRPr="00942319">
        <w:rPr>
          <w:sz w:val="22"/>
          <w:szCs w:val="22"/>
          <w:lang w:eastAsia="lt-LT"/>
        </w:rPr>
        <w:t>I</w:t>
      </w:r>
      <w:r>
        <w:rPr>
          <w:sz w:val="22"/>
          <w:szCs w:val="22"/>
          <w:lang w:eastAsia="lt-LT"/>
        </w:rPr>
        <w:t>slandija</w:t>
      </w:r>
    </w:p>
    <w:p w14:paraId="4A3B43F6" w14:textId="77777777" w:rsidR="00942319" w:rsidRPr="00942319" w:rsidRDefault="00942319" w:rsidP="00942319">
      <w:pPr>
        <w:jc w:val="both"/>
        <w:rPr>
          <w:sz w:val="22"/>
          <w:szCs w:val="22"/>
          <w:lang w:eastAsia="lt-LT"/>
        </w:rPr>
      </w:pPr>
    </w:p>
    <w:p w14:paraId="5EAB04D7" w14:textId="77777777" w:rsidR="00942319" w:rsidRPr="00942319" w:rsidRDefault="00942319" w:rsidP="00942319">
      <w:pPr>
        <w:jc w:val="both"/>
        <w:rPr>
          <w:sz w:val="22"/>
          <w:szCs w:val="22"/>
          <w:lang w:eastAsia="lt-LT"/>
        </w:rPr>
      </w:pPr>
      <w:proofErr w:type="spellStart"/>
      <w:r w:rsidRPr="00942319">
        <w:rPr>
          <w:sz w:val="22"/>
          <w:szCs w:val="22"/>
          <w:lang w:eastAsia="lt-LT"/>
        </w:rPr>
        <w:t>Lek</w:t>
      </w:r>
      <w:proofErr w:type="spellEnd"/>
      <w:r w:rsidRPr="00942319">
        <w:rPr>
          <w:sz w:val="22"/>
          <w:szCs w:val="22"/>
          <w:lang w:eastAsia="lt-LT"/>
        </w:rPr>
        <w:t xml:space="preserve"> </w:t>
      </w:r>
      <w:proofErr w:type="spellStart"/>
      <w:r w:rsidRPr="00942319">
        <w:rPr>
          <w:sz w:val="22"/>
          <w:szCs w:val="22"/>
          <w:lang w:eastAsia="lt-LT"/>
        </w:rPr>
        <w:t>Pharmaceuticals</w:t>
      </w:r>
      <w:proofErr w:type="spellEnd"/>
      <w:r w:rsidRPr="00942319">
        <w:rPr>
          <w:sz w:val="22"/>
          <w:szCs w:val="22"/>
          <w:lang w:eastAsia="lt-LT"/>
        </w:rPr>
        <w:t xml:space="preserve"> </w:t>
      </w:r>
      <w:proofErr w:type="spellStart"/>
      <w:r w:rsidRPr="00942319">
        <w:rPr>
          <w:sz w:val="22"/>
          <w:szCs w:val="22"/>
          <w:lang w:eastAsia="lt-LT"/>
        </w:rPr>
        <w:t>d.d</w:t>
      </w:r>
      <w:proofErr w:type="spellEnd"/>
      <w:r w:rsidRPr="00942319">
        <w:rPr>
          <w:sz w:val="22"/>
          <w:szCs w:val="22"/>
          <w:lang w:eastAsia="lt-LT"/>
        </w:rPr>
        <w:t>.</w:t>
      </w:r>
    </w:p>
    <w:p w14:paraId="5143DE0C" w14:textId="36635658" w:rsidR="00942319" w:rsidRDefault="00942319" w:rsidP="00942319">
      <w:pPr>
        <w:jc w:val="both"/>
        <w:rPr>
          <w:sz w:val="22"/>
          <w:szCs w:val="22"/>
          <w:lang w:eastAsia="lt-LT"/>
        </w:rPr>
      </w:pPr>
      <w:proofErr w:type="spellStart"/>
      <w:r w:rsidRPr="00942319">
        <w:rPr>
          <w:sz w:val="22"/>
          <w:szCs w:val="22"/>
          <w:lang w:eastAsia="lt-LT"/>
        </w:rPr>
        <w:t>Vero</w:t>
      </w:r>
      <w:r>
        <w:rPr>
          <w:sz w:val="22"/>
          <w:szCs w:val="22"/>
          <w:lang w:eastAsia="lt-LT"/>
        </w:rPr>
        <w:t>vš</w:t>
      </w:r>
      <w:r w:rsidRPr="00942319">
        <w:rPr>
          <w:sz w:val="22"/>
          <w:szCs w:val="22"/>
          <w:lang w:eastAsia="lt-LT"/>
        </w:rPr>
        <w:t>kova</w:t>
      </w:r>
      <w:proofErr w:type="spellEnd"/>
      <w:r w:rsidRPr="00942319">
        <w:rPr>
          <w:sz w:val="22"/>
          <w:szCs w:val="22"/>
          <w:lang w:eastAsia="lt-LT"/>
        </w:rPr>
        <w:t xml:space="preserve"> </w:t>
      </w:r>
      <w:proofErr w:type="spellStart"/>
      <w:r>
        <w:rPr>
          <w:sz w:val="22"/>
          <w:szCs w:val="22"/>
          <w:lang w:eastAsia="lt-LT"/>
        </w:rPr>
        <w:t>u</w:t>
      </w:r>
      <w:r w:rsidRPr="00942319">
        <w:rPr>
          <w:sz w:val="22"/>
          <w:szCs w:val="22"/>
          <w:lang w:eastAsia="lt-LT"/>
        </w:rPr>
        <w:t>lica</w:t>
      </w:r>
      <w:proofErr w:type="spellEnd"/>
      <w:r w:rsidRPr="00942319">
        <w:rPr>
          <w:sz w:val="22"/>
          <w:szCs w:val="22"/>
          <w:lang w:eastAsia="lt-LT"/>
        </w:rPr>
        <w:t xml:space="preserve"> 57</w:t>
      </w:r>
    </w:p>
    <w:p w14:paraId="61E58917" w14:textId="1BF439B9" w:rsidR="00942319" w:rsidRPr="00942319" w:rsidRDefault="00942319" w:rsidP="00942319">
      <w:pPr>
        <w:jc w:val="both"/>
        <w:rPr>
          <w:sz w:val="22"/>
          <w:szCs w:val="22"/>
          <w:lang w:eastAsia="lt-LT"/>
        </w:rPr>
      </w:pPr>
      <w:r w:rsidRPr="00942319">
        <w:rPr>
          <w:sz w:val="22"/>
          <w:szCs w:val="22"/>
          <w:lang w:eastAsia="lt-LT"/>
        </w:rPr>
        <w:t xml:space="preserve">1526 </w:t>
      </w:r>
      <w:proofErr w:type="spellStart"/>
      <w:r w:rsidRPr="00942319">
        <w:rPr>
          <w:sz w:val="22"/>
          <w:szCs w:val="22"/>
          <w:lang w:eastAsia="lt-LT"/>
        </w:rPr>
        <w:t>Ljubljana</w:t>
      </w:r>
      <w:proofErr w:type="spellEnd"/>
    </w:p>
    <w:p w14:paraId="3AE54263" w14:textId="4F377908" w:rsidR="008B09E3" w:rsidRDefault="00942319" w:rsidP="00942319">
      <w:pPr>
        <w:jc w:val="both"/>
        <w:rPr>
          <w:sz w:val="22"/>
          <w:szCs w:val="22"/>
          <w:lang w:eastAsia="lt-LT"/>
        </w:rPr>
      </w:pPr>
      <w:r w:rsidRPr="00942319">
        <w:rPr>
          <w:sz w:val="22"/>
          <w:szCs w:val="22"/>
          <w:lang w:eastAsia="lt-LT"/>
        </w:rPr>
        <w:t>S</w:t>
      </w:r>
      <w:r>
        <w:rPr>
          <w:sz w:val="22"/>
          <w:szCs w:val="22"/>
          <w:lang w:eastAsia="lt-LT"/>
        </w:rPr>
        <w:t>lovėnija</w:t>
      </w:r>
    </w:p>
    <w:p w14:paraId="633E5CC4" w14:textId="77777777" w:rsidR="00942319" w:rsidRPr="003F564F" w:rsidRDefault="00942319" w:rsidP="00942319">
      <w:pPr>
        <w:jc w:val="both"/>
        <w:rPr>
          <w:sz w:val="22"/>
          <w:szCs w:val="22"/>
          <w:lang w:eastAsia="lt-LT"/>
        </w:rPr>
      </w:pPr>
    </w:p>
    <w:p w14:paraId="1FC75388" w14:textId="54156465" w:rsidR="008D3B35" w:rsidRPr="003F564F" w:rsidRDefault="00AB4978">
      <w:pPr>
        <w:jc w:val="both"/>
        <w:rPr>
          <w:sz w:val="22"/>
          <w:szCs w:val="22"/>
          <w:lang w:eastAsia="lt-LT"/>
        </w:rPr>
      </w:pPr>
      <w:r w:rsidRPr="003F564F">
        <w:rPr>
          <w:sz w:val="22"/>
          <w:szCs w:val="22"/>
          <w:lang w:eastAsia="lt-LT"/>
        </w:rPr>
        <w:t>Jeigu apie šį vaistą norite sužinoti daugiau, kreipkitės į vietinį registruotojo atstovą:</w:t>
      </w:r>
    </w:p>
    <w:p w14:paraId="3CDC45EC" w14:textId="77777777" w:rsidR="008D3B35" w:rsidRPr="003F564F" w:rsidRDefault="008D3B35">
      <w:pPr>
        <w:jc w:val="both"/>
        <w:rPr>
          <w:sz w:val="22"/>
          <w:szCs w:val="22"/>
          <w:lang w:eastAsia="lt-LT"/>
        </w:rPr>
      </w:pPr>
    </w:p>
    <w:p w14:paraId="55BB7BCD" w14:textId="77777777" w:rsidR="008B09E3" w:rsidRPr="008B09E3" w:rsidRDefault="008B09E3" w:rsidP="008B09E3">
      <w:pPr>
        <w:jc w:val="both"/>
        <w:rPr>
          <w:sz w:val="22"/>
          <w:szCs w:val="22"/>
          <w:lang w:eastAsia="lt-LT"/>
        </w:rPr>
      </w:pPr>
      <w:proofErr w:type="spellStart"/>
      <w:r w:rsidRPr="008B09E3">
        <w:rPr>
          <w:sz w:val="22"/>
          <w:szCs w:val="22"/>
          <w:lang w:eastAsia="lt-LT"/>
        </w:rPr>
        <w:t>Sandoz</w:t>
      </w:r>
      <w:proofErr w:type="spellEnd"/>
      <w:r w:rsidRPr="008B09E3">
        <w:rPr>
          <w:sz w:val="22"/>
          <w:szCs w:val="22"/>
          <w:lang w:eastAsia="lt-LT"/>
        </w:rPr>
        <w:t xml:space="preserve"> </w:t>
      </w:r>
      <w:proofErr w:type="spellStart"/>
      <w:r w:rsidRPr="008B09E3">
        <w:rPr>
          <w:sz w:val="22"/>
          <w:szCs w:val="22"/>
          <w:lang w:eastAsia="lt-LT"/>
        </w:rPr>
        <w:t>Pharmaceuticals</w:t>
      </w:r>
      <w:proofErr w:type="spellEnd"/>
      <w:r w:rsidRPr="008B09E3">
        <w:rPr>
          <w:sz w:val="22"/>
          <w:szCs w:val="22"/>
          <w:lang w:eastAsia="lt-LT"/>
        </w:rPr>
        <w:t xml:space="preserve"> </w:t>
      </w:r>
      <w:proofErr w:type="spellStart"/>
      <w:r w:rsidRPr="008B09E3">
        <w:rPr>
          <w:sz w:val="22"/>
          <w:szCs w:val="22"/>
          <w:lang w:eastAsia="lt-LT"/>
        </w:rPr>
        <w:t>d.d</w:t>
      </w:r>
      <w:proofErr w:type="spellEnd"/>
      <w:r w:rsidRPr="008B09E3">
        <w:rPr>
          <w:sz w:val="22"/>
          <w:szCs w:val="22"/>
          <w:lang w:eastAsia="lt-LT"/>
        </w:rPr>
        <w:t>. filialas</w:t>
      </w:r>
    </w:p>
    <w:p w14:paraId="6C5C62B1" w14:textId="14894224" w:rsidR="008D3B35" w:rsidRDefault="008B09E3" w:rsidP="008B09E3">
      <w:pPr>
        <w:jc w:val="both"/>
        <w:rPr>
          <w:sz w:val="22"/>
          <w:szCs w:val="22"/>
          <w:lang w:eastAsia="lt-LT"/>
        </w:rPr>
      </w:pPr>
      <w:r w:rsidRPr="008B09E3">
        <w:rPr>
          <w:sz w:val="22"/>
          <w:szCs w:val="22"/>
          <w:lang w:eastAsia="lt-LT"/>
        </w:rPr>
        <w:t>Tel. +370 5 2636037</w:t>
      </w:r>
    </w:p>
    <w:p w14:paraId="55F9E9C8" w14:textId="77777777" w:rsidR="008B09E3" w:rsidRPr="003F564F" w:rsidRDefault="008B09E3" w:rsidP="008B09E3">
      <w:pPr>
        <w:jc w:val="both"/>
        <w:rPr>
          <w:sz w:val="22"/>
          <w:szCs w:val="22"/>
          <w:lang w:eastAsia="lt-LT"/>
        </w:rPr>
      </w:pPr>
    </w:p>
    <w:p w14:paraId="2F431604" w14:textId="62E0160A" w:rsidR="008D3B35" w:rsidRPr="003F564F" w:rsidRDefault="00AB4978">
      <w:pPr>
        <w:jc w:val="both"/>
        <w:rPr>
          <w:b/>
          <w:bCs/>
          <w:sz w:val="22"/>
          <w:szCs w:val="22"/>
          <w:lang w:eastAsia="lt-LT"/>
        </w:rPr>
      </w:pPr>
      <w:r w:rsidRPr="003F564F">
        <w:rPr>
          <w:b/>
          <w:bCs/>
          <w:sz w:val="22"/>
          <w:szCs w:val="22"/>
          <w:lang w:eastAsia="lt-LT"/>
        </w:rPr>
        <w:t>Šis vaistas Europos ekonominės erdvės valstybėse narėse registruotas tokiais pavadinimais:</w:t>
      </w:r>
    </w:p>
    <w:p w14:paraId="283FEDF2" w14:textId="77777777" w:rsidR="00955758" w:rsidRDefault="00955758" w:rsidP="00AE334B">
      <w:pPr>
        <w:jc w:val="both"/>
        <w:rPr>
          <w:sz w:val="22"/>
          <w:szCs w:val="22"/>
          <w:lang w:eastAsia="lt-LT"/>
        </w:rPr>
      </w:pPr>
    </w:p>
    <w:p w14:paraId="7C34A8F5" w14:textId="0998068C" w:rsidR="00942319" w:rsidRDefault="00434C7A" w:rsidP="00AE334B">
      <w:pPr>
        <w:jc w:val="both"/>
        <w:rPr>
          <w:sz w:val="22"/>
          <w:szCs w:val="22"/>
          <w:lang w:eastAsia="lt-LT"/>
        </w:rPr>
      </w:pPr>
      <w:r>
        <w:rPr>
          <w:sz w:val="22"/>
          <w:szCs w:val="22"/>
          <w:lang w:eastAsia="lt-LT"/>
        </w:rPr>
        <w:t xml:space="preserve">Islandija, </w:t>
      </w:r>
      <w:r w:rsidRPr="00434C7A">
        <w:rPr>
          <w:sz w:val="22"/>
          <w:szCs w:val="22"/>
          <w:lang w:eastAsia="lt-LT"/>
        </w:rPr>
        <w:t>Belgi</w:t>
      </w:r>
      <w:r>
        <w:rPr>
          <w:sz w:val="22"/>
          <w:szCs w:val="22"/>
          <w:lang w:eastAsia="lt-LT"/>
        </w:rPr>
        <w:t xml:space="preserve">ja, </w:t>
      </w:r>
      <w:r w:rsidRPr="00434C7A">
        <w:rPr>
          <w:sz w:val="22"/>
          <w:szCs w:val="22"/>
          <w:lang w:eastAsia="lt-LT"/>
        </w:rPr>
        <w:t>Bulgari</w:t>
      </w:r>
      <w:r>
        <w:rPr>
          <w:sz w:val="22"/>
          <w:szCs w:val="22"/>
          <w:lang w:eastAsia="lt-LT"/>
        </w:rPr>
        <w:t>j</w:t>
      </w:r>
      <w:r w:rsidRPr="00434C7A">
        <w:rPr>
          <w:sz w:val="22"/>
          <w:szCs w:val="22"/>
          <w:lang w:eastAsia="lt-LT"/>
        </w:rPr>
        <w:t>a</w:t>
      </w:r>
      <w:r>
        <w:rPr>
          <w:sz w:val="22"/>
          <w:szCs w:val="22"/>
          <w:lang w:eastAsia="lt-LT"/>
        </w:rPr>
        <w:t>, Č</w:t>
      </w:r>
      <w:r w:rsidRPr="00434C7A">
        <w:rPr>
          <w:sz w:val="22"/>
          <w:szCs w:val="22"/>
          <w:lang w:eastAsia="lt-LT"/>
        </w:rPr>
        <w:t>e</w:t>
      </w:r>
      <w:r>
        <w:rPr>
          <w:sz w:val="22"/>
          <w:szCs w:val="22"/>
          <w:lang w:eastAsia="lt-LT"/>
        </w:rPr>
        <w:t>k</w:t>
      </w:r>
      <w:r w:rsidRPr="00434C7A">
        <w:rPr>
          <w:sz w:val="22"/>
          <w:szCs w:val="22"/>
          <w:lang w:eastAsia="lt-LT"/>
        </w:rPr>
        <w:t>i</w:t>
      </w:r>
      <w:r>
        <w:rPr>
          <w:sz w:val="22"/>
          <w:szCs w:val="22"/>
          <w:lang w:eastAsia="lt-LT"/>
        </w:rPr>
        <w:t>j</w:t>
      </w:r>
      <w:r w:rsidRPr="00434C7A">
        <w:rPr>
          <w:sz w:val="22"/>
          <w:szCs w:val="22"/>
          <w:lang w:eastAsia="lt-LT"/>
        </w:rPr>
        <w:t>a</w:t>
      </w:r>
      <w:r>
        <w:rPr>
          <w:sz w:val="22"/>
          <w:szCs w:val="22"/>
          <w:lang w:eastAsia="lt-LT"/>
        </w:rPr>
        <w:t xml:space="preserve">, </w:t>
      </w:r>
      <w:r w:rsidRPr="00434C7A">
        <w:rPr>
          <w:sz w:val="22"/>
          <w:szCs w:val="22"/>
          <w:lang w:eastAsia="lt-LT"/>
        </w:rPr>
        <w:t>D</w:t>
      </w:r>
      <w:r>
        <w:rPr>
          <w:sz w:val="22"/>
          <w:szCs w:val="22"/>
          <w:lang w:eastAsia="lt-LT"/>
        </w:rPr>
        <w:t>anija,</w:t>
      </w:r>
    </w:p>
    <w:p w14:paraId="4929A05D" w14:textId="77777777" w:rsidR="00942319" w:rsidRDefault="00434C7A" w:rsidP="00AE334B">
      <w:pPr>
        <w:jc w:val="both"/>
        <w:rPr>
          <w:sz w:val="22"/>
          <w:szCs w:val="22"/>
          <w:lang w:eastAsia="lt-LT"/>
        </w:rPr>
      </w:pPr>
      <w:r w:rsidRPr="00434C7A">
        <w:rPr>
          <w:sz w:val="22"/>
          <w:szCs w:val="22"/>
          <w:lang w:eastAsia="lt-LT"/>
        </w:rPr>
        <w:t>Est</w:t>
      </w:r>
      <w:r>
        <w:rPr>
          <w:sz w:val="22"/>
          <w:szCs w:val="22"/>
          <w:lang w:eastAsia="lt-LT"/>
        </w:rPr>
        <w:t xml:space="preserve">ija, Suomija, Vengrija, </w:t>
      </w:r>
      <w:r w:rsidRPr="00434C7A">
        <w:rPr>
          <w:sz w:val="22"/>
          <w:szCs w:val="22"/>
          <w:lang w:eastAsia="lt-LT"/>
        </w:rPr>
        <w:t>Latvi</w:t>
      </w:r>
      <w:r>
        <w:rPr>
          <w:sz w:val="22"/>
          <w:szCs w:val="22"/>
          <w:lang w:eastAsia="lt-LT"/>
        </w:rPr>
        <w:t>j</w:t>
      </w:r>
      <w:r w:rsidRPr="00434C7A">
        <w:rPr>
          <w:sz w:val="22"/>
          <w:szCs w:val="22"/>
          <w:lang w:eastAsia="lt-LT"/>
        </w:rPr>
        <w:t>a</w:t>
      </w:r>
      <w:r>
        <w:rPr>
          <w:sz w:val="22"/>
          <w:szCs w:val="22"/>
          <w:lang w:eastAsia="lt-LT"/>
        </w:rPr>
        <w:t>, Lietuva,</w:t>
      </w:r>
    </w:p>
    <w:p w14:paraId="7998BB66" w14:textId="77777777" w:rsidR="00942319" w:rsidRDefault="00434C7A" w:rsidP="00AE334B">
      <w:pPr>
        <w:jc w:val="both"/>
        <w:rPr>
          <w:sz w:val="22"/>
          <w:szCs w:val="22"/>
          <w:lang w:eastAsia="lt-LT"/>
        </w:rPr>
      </w:pPr>
      <w:r w:rsidRPr="00434C7A">
        <w:rPr>
          <w:sz w:val="22"/>
          <w:szCs w:val="22"/>
          <w:lang w:eastAsia="lt-LT"/>
        </w:rPr>
        <w:t>Malta</w:t>
      </w:r>
      <w:r>
        <w:rPr>
          <w:sz w:val="22"/>
          <w:szCs w:val="22"/>
          <w:lang w:eastAsia="lt-LT"/>
        </w:rPr>
        <w:t xml:space="preserve">, Nyderlandai, Norvegija, Lenkija, </w:t>
      </w:r>
    </w:p>
    <w:p w14:paraId="45FCE734" w14:textId="13DA96C7" w:rsidR="00434C7A" w:rsidRDefault="00434C7A" w:rsidP="00AE334B">
      <w:pPr>
        <w:jc w:val="both"/>
        <w:rPr>
          <w:sz w:val="22"/>
          <w:szCs w:val="22"/>
          <w:lang w:eastAsia="lt-LT"/>
        </w:rPr>
      </w:pPr>
      <w:r>
        <w:rPr>
          <w:sz w:val="22"/>
          <w:szCs w:val="22"/>
          <w:lang w:eastAsia="lt-LT"/>
        </w:rPr>
        <w:t xml:space="preserve">Rumunija, </w:t>
      </w:r>
      <w:r w:rsidRPr="00434C7A">
        <w:rPr>
          <w:sz w:val="22"/>
          <w:szCs w:val="22"/>
          <w:lang w:eastAsia="lt-LT"/>
        </w:rPr>
        <w:t>Slovaki</w:t>
      </w:r>
      <w:r>
        <w:rPr>
          <w:sz w:val="22"/>
          <w:szCs w:val="22"/>
          <w:lang w:eastAsia="lt-LT"/>
        </w:rPr>
        <w:t>j</w:t>
      </w:r>
      <w:r w:rsidRPr="00434C7A">
        <w:rPr>
          <w:sz w:val="22"/>
          <w:szCs w:val="22"/>
          <w:lang w:eastAsia="lt-LT"/>
        </w:rPr>
        <w:t>a</w:t>
      </w:r>
      <w:r>
        <w:rPr>
          <w:sz w:val="22"/>
          <w:szCs w:val="22"/>
          <w:lang w:eastAsia="lt-LT"/>
        </w:rPr>
        <w:t>, Ispanija, Švedija</w:t>
      </w:r>
      <w:r w:rsidR="00942319">
        <w:rPr>
          <w:sz w:val="22"/>
          <w:szCs w:val="22"/>
          <w:lang w:eastAsia="lt-LT"/>
        </w:rPr>
        <w:tab/>
      </w:r>
      <w:proofErr w:type="spellStart"/>
      <w:r w:rsidRPr="00434C7A">
        <w:rPr>
          <w:sz w:val="22"/>
          <w:szCs w:val="22"/>
          <w:lang w:eastAsia="lt-LT"/>
        </w:rPr>
        <w:t>Ruxolitinib</w:t>
      </w:r>
      <w:proofErr w:type="spellEnd"/>
      <w:r w:rsidRPr="00434C7A">
        <w:rPr>
          <w:sz w:val="22"/>
          <w:szCs w:val="22"/>
          <w:lang w:eastAsia="lt-LT"/>
        </w:rPr>
        <w:t xml:space="preserve"> </w:t>
      </w:r>
      <w:proofErr w:type="spellStart"/>
      <w:r w:rsidRPr="00434C7A">
        <w:rPr>
          <w:sz w:val="22"/>
          <w:szCs w:val="22"/>
          <w:lang w:eastAsia="lt-LT"/>
        </w:rPr>
        <w:t>Sandoz</w:t>
      </w:r>
      <w:proofErr w:type="spellEnd"/>
    </w:p>
    <w:p w14:paraId="468C1479" w14:textId="43D703FE" w:rsidR="00434C7A" w:rsidRPr="00434C7A" w:rsidRDefault="00434C7A" w:rsidP="00434C7A">
      <w:pPr>
        <w:jc w:val="both"/>
        <w:rPr>
          <w:sz w:val="22"/>
          <w:szCs w:val="22"/>
          <w:lang w:eastAsia="lt-LT"/>
        </w:rPr>
      </w:pPr>
      <w:r w:rsidRPr="00434C7A">
        <w:rPr>
          <w:sz w:val="22"/>
          <w:szCs w:val="22"/>
          <w:lang w:eastAsia="lt-LT"/>
        </w:rPr>
        <w:t>Austri</w:t>
      </w:r>
      <w:r>
        <w:rPr>
          <w:sz w:val="22"/>
          <w:szCs w:val="22"/>
          <w:lang w:eastAsia="lt-LT"/>
        </w:rPr>
        <w:t>j</w:t>
      </w:r>
      <w:r w:rsidRPr="00434C7A">
        <w:rPr>
          <w:sz w:val="22"/>
          <w:szCs w:val="22"/>
          <w:lang w:eastAsia="lt-LT"/>
        </w:rPr>
        <w:t>a</w:t>
      </w:r>
      <w:r w:rsidRPr="00434C7A">
        <w:rPr>
          <w:sz w:val="22"/>
          <w:szCs w:val="22"/>
          <w:lang w:eastAsia="lt-LT"/>
        </w:rPr>
        <w:tab/>
      </w:r>
      <w:r>
        <w:rPr>
          <w:sz w:val="22"/>
          <w:szCs w:val="22"/>
          <w:lang w:eastAsia="lt-LT"/>
        </w:rPr>
        <w:tab/>
      </w:r>
      <w:r w:rsidR="00942319">
        <w:rPr>
          <w:sz w:val="22"/>
          <w:szCs w:val="22"/>
          <w:lang w:eastAsia="lt-LT"/>
        </w:rPr>
        <w:tab/>
      </w:r>
      <w:proofErr w:type="spellStart"/>
      <w:r w:rsidRPr="00434C7A">
        <w:rPr>
          <w:sz w:val="22"/>
          <w:szCs w:val="22"/>
          <w:lang w:eastAsia="lt-LT"/>
        </w:rPr>
        <w:t>Ruxolitinib</w:t>
      </w:r>
      <w:proofErr w:type="spellEnd"/>
      <w:r w:rsidRPr="00434C7A">
        <w:rPr>
          <w:sz w:val="22"/>
          <w:szCs w:val="22"/>
          <w:lang w:eastAsia="lt-LT"/>
        </w:rPr>
        <w:t xml:space="preserve"> 1A Pharma</w:t>
      </w:r>
    </w:p>
    <w:p w14:paraId="5F79AD65" w14:textId="2AC10DDA" w:rsidR="00434C7A" w:rsidRPr="00434C7A" w:rsidRDefault="00434C7A" w:rsidP="00434C7A">
      <w:pPr>
        <w:jc w:val="both"/>
        <w:rPr>
          <w:sz w:val="22"/>
          <w:szCs w:val="22"/>
          <w:lang w:eastAsia="lt-LT"/>
        </w:rPr>
      </w:pPr>
      <w:r>
        <w:rPr>
          <w:sz w:val="22"/>
          <w:szCs w:val="22"/>
          <w:lang w:eastAsia="lt-LT"/>
        </w:rPr>
        <w:t>K</w:t>
      </w:r>
      <w:r w:rsidRPr="00434C7A">
        <w:rPr>
          <w:sz w:val="22"/>
          <w:szCs w:val="22"/>
          <w:lang w:eastAsia="lt-LT"/>
        </w:rPr>
        <w:t>roati</w:t>
      </w:r>
      <w:r>
        <w:rPr>
          <w:sz w:val="22"/>
          <w:szCs w:val="22"/>
          <w:lang w:eastAsia="lt-LT"/>
        </w:rPr>
        <w:t>j</w:t>
      </w:r>
      <w:r w:rsidRPr="00434C7A">
        <w:rPr>
          <w:sz w:val="22"/>
          <w:szCs w:val="22"/>
          <w:lang w:eastAsia="lt-LT"/>
        </w:rPr>
        <w:t>a</w:t>
      </w:r>
      <w:r>
        <w:rPr>
          <w:sz w:val="22"/>
          <w:szCs w:val="22"/>
          <w:lang w:eastAsia="lt-LT"/>
        </w:rPr>
        <w:t>, Slovėnija</w:t>
      </w:r>
      <w:r w:rsidRPr="00434C7A">
        <w:rPr>
          <w:sz w:val="22"/>
          <w:szCs w:val="22"/>
          <w:lang w:eastAsia="lt-LT"/>
        </w:rPr>
        <w:tab/>
      </w:r>
      <w:r w:rsidR="00942319">
        <w:rPr>
          <w:sz w:val="22"/>
          <w:szCs w:val="22"/>
          <w:lang w:eastAsia="lt-LT"/>
        </w:rPr>
        <w:tab/>
      </w:r>
      <w:proofErr w:type="spellStart"/>
      <w:r w:rsidRPr="00434C7A">
        <w:rPr>
          <w:sz w:val="22"/>
          <w:szCs w:val="22"/>
          <w:lang w:eastAsia="lt-LT"/>
        </w:rPr>
        <w:t>Ruksolitinib</w:t>
      </w:r>
      <w:proofErr w:type="spellEnd"/>
      <w:r w:rsidRPr="00434C7A">
        <w:rPr>
          <w:sz w:val="22"/>
          <w:szCs w:val="22"/>
          <w:lang w:eastAsia="lt-LT"/>
        </w:rPr>
        <w:t xml:space="preserve"> </w:t>
      </w:r>
      <w:proofErr w:type="spellStart"/>
      <w:r w:rsidRPr="00434C7A">
        <w:rPr>
          <w:sz w:val="22"/>
          <w:szCs w:val="22"/>
          <w:lang w:eastAsia="lt-LT"/>
        </w:rPr>
        <w:t>Sandoz</w:t>
      </w:r>
      <w:proofErr w:type="spellEnd"/>
    </w:p>
    <w:p w14:paraId="59FDD5C1" w14:textId="4B3D3139" w:rsidR="00434C7A" w:rsidRPr="00434C7A" w:rsidRDefault="00434C7A" w:rsidP="00434C7A">
      <w:pPr>
        <w:jc w:val="both"/>
        <w:rPr>
          <w:sz w:val="22"/>
          <w:szCs w:val="22"/>
          <w:lang w:eastAsia="lt-LT"/>
        </w:rPr>
      </w:pPr>
      <w:r>
        <w:rPr>
          <w:sz w:val="22"/>
          <w:szCs w:val="22"/>
          <w:lang w:eastAsia="lt-LT"/>
        </w:rPr>
        <w:t>Ki</w:t>
      </w:r>
      <w:r w:rsidRPr="00434C7A">
        <w:rPr>
          <w:sz w:val="22"/>
          <w:szCs w:val="22"/>
          <w:lang w:eastAsia="lt-LT"/>
        </w:rPr>
        <w:t>pr</w:t>
      </w:r>
      <w:r>
        <w:rPr>
          <w:sz w:val="22"/>
          <w:szCs w:val="22"/>
          <w:lang w:eastAsia="lt-LT"/>
        </w:rPr>
        <w:t>a</w:t>
      </w:r>
      <w:r w:rsidRPr="00434C7A">
        <w:rPr>
          <w:sz w:val="22"/>
          <w:szCs w:val="22"/>
          <w:lang w:eastAsia="lt-LT"/>
        </w:rPr>
        <w:t>s</w:t>
      </w:r>
      <w:r>
        <w:rPr>
          <w:sz w:val="22"/>
          <w:szCs w:val="22"/>
          <w:lang w:eastAsia="lt-LT"/>
        </w:rPr>
        <w:t>, Graikija</w:t>
      </w:r>
      <w:r w:rsidRPr="00434C7A">
        <w:rPr>
          <w:sz w:val="22"/>
          <w:szCs w:val="22"/>
          <w:lang w:eastAsia="lt-LT"/>
        </w:rPr>
        <w:tab/>
      </w:r>
      <w:r w:rsidR="00942319">
        <w:rPr>
          <w:sz w:val="22"/>
          <w:szCs w:val="22"/>
          <w:lang w:eastAsia="lt-LT"/>
        </w:rPr>
        <w:tab/>
      </w:r>
      <w:proofErr w:type="spellStart"/>
      <w:r w:rsidRPr="00434C7A">
        <w:rPr>
          <w:sz w:val="22"/>
          <w:szCs w:val="22"/>
          <w:lang w:eastAsia="lt-LT"/>
        </w:rPr>
        <w:t>Ruxolitinib</w:t>
      </w:r>
      <w:proofErr w:type="spellEnd"/>
      <w:r w:rsidRPr="00434C7A">
        <w:rPr>
          <w:sz w:val="22"/>
          <w:szCs w:val="22"/>
          <w:lang w:eastAsia="lt-LT"/>
        </w:rPr>
        <w:t>/</w:t>
      </w:r>
      <w:proofErr w:type="spellStart"/>
      <w:r w:rsidRPr="00434C7A">
        <w:rPr>
          <w:sz w:val="22"/>
          <w:szCs w:val="22"/>
          <w:lang w:eastAsia="lt-LT"/>
        </w:rPr>
        <w:t>Sandoz</w:t>
      </w:r>
      <w:proofErr w:type="spellEnd"/>
    </w:p>
    <w:p w14:paraId="19CD4CA2" w14:textId="0596270F" w:rsidR="00434C7A" w:rsidRPr="00434C7A" w:rsidRDefault="00434C7A" w:rsidP="00434C7A">
      <w:pPr>
        <w:jc w:val="both"/>
        <w:rPr>
          <w:sz w:val="22"/>
          <w:szCs w:val="22"/>
          <w:lang w:eastAsia="lt-LT"/>
        </w:rPr>
      </w:pPr>
      <w:r>
        <w:rPr>
          <w:sz w:val="22"/>
          <w:szCs w:val="22"/>
          <w:lang w:eastAsia="lt-LT"/>
        </w:rPr>
        <w:t>Prancūzija</w:t>
      </w:r>
      <w:r w:rsidRPr="00434C7A">
        <w:rPr>
          <w:sz w:val="22"/>
          <w:szCs w:val="22"/>
          <w:lang w:eastAsia="lt-LT"/>
        </w:rPr>
        <w:tab/>
      </w:r>
      <w:r>
        <w:rPr>
          <w:sz w:val="22"/>
          <w:szCs w:val="22"/>
          <w:lang w:eastAsia="lt-LT"/>
        </w:rPr>
        <w:tab/>
      </w:r>
      <w:r w:rsidR="00942319">
        <w:rPr>
          <w:sz w:val="22"/>
          <w:szCs w:val="22"/>
          <w:lang w:eastAsia="lt-LT"/>
        </w:rPr>
        <w:tab/>
      </w:r>
      <w:r w:rsidRPr="00434C7A">
        <w:rPr>
          <w:sz w:val="22"/>
          <w:szCs w:val="22"/>
          <w:lang w:eastAsia="lt-LT"/>
        </w:rPr>
        <w:t>RUXOLITINIB SANDOZ</w:t>
      </w:r>
    </w:p>
    <w:p w14:paraId="7401A2FD" w14:textId="75E5E205" w:rsidR="00434C7A" w:rsidRPr="00434C7A" w:rsidRDefault="00434C7A" w:rsidP="00FD0124">
      <w:pPr>
        <w:ind w:left="3885" w:hanging="3885"/>
        <w:jc w:val="both"/>
        <w:rPr>
          <w:sz w:val="22"/>
          <w:szCs w:val="22"/>
          <w:lang w:eastAsia="lt-LT"/>
        </w:rPr>
      </w:pPr>
      <w:r>
        <w:rPr>
          <w:sz w:val="22"/>
          <w:szCs w:val="22"/>
          <w:lang w:eastAsia="lt-LT"/>
        </w:rPr>
        <w:t>Vokietija</w:t>
      </w:r>
      <w:r w:rsidRPr="00434C7A">
        <w:rPr>
          <w:sz w:val="22"/>
          <w:szCs w:val="22"/>
          <w:lang w:eastAsia="lt-LT"/>
        </w:rPr>
        <w:tab/>
      </w:r>
      <w:r>
        <w:rPr>
          <w:sz w:val="22"/>
          <w:szCs w:val="22"/>
          <w:lang w:eastAsia="lt-LT"/>
        </w:rPr>
        <w:tab/>
      </w:r>
      <w:proofErr w:type="spellStart"/>
      <w:r w:rsidRPr="00434C7A">
        <w:rPr>
          <w:sz w:val="22"/>
          <w:szCs w:val="22"/>
          <w:lang w:eastAsia="lt-LT"/>
        </w:rPr>
        <w:t>Ruxolitinib</w:t>
      </w:r>
      <w:proofErr w:type="spellEnd"/>
      <w:r w:rsidRPr="00434C7A">
        <w:rPr>
          <w:sz w:val="22"/>
          <w:szCs w:val="22"/>
          <w:lang w:eastAsia="lt-LT"/>
        </w:rPr>
        <w:t xml:space="preserve"> - 1 A Pharma 5 mg/10 mg/15 mg/20 mg </w:t>
      </w:r>
      <w:proofErr w:type="spellStart"/>
      <w:r w:rsidRPr="00434C7A">
        <w:rPr>
          <w:sz w:val="22"/>
          <w:szCs w:val="22"/>
          <w:lang w:eastAsia="lt-LT"/>
        </w:rPr>
        <w:t>Tabletten</w:t>
      </w:r>
      <w:proofErr w:type="spellEnd"/>
    </w:p>
    <w:p w14:paraId="1ABA79C3" w14:textId="0047E71B" w:rsidR="00434C7A" w:rsidRPr="00434C7A" w:rsidRDefault="00434C7A" w:rsidP="00434C7A">
      <w:pPr>
        <w:jc w:val="both"/>
        <w:rPr>
          <w:sz w:val="22"/>
          <w:szCs w:val="22"/>
          <w:lang w:eastAsia="lt-LT"/>
        </w:rPr>
      </w:pPr>
      <w:r>
        <w:rPr>
          <w:sz w:val="22"/>
          <w:szCs w:val="22"/>
          <w:lang w:eastAsia="lt-LT"/>
        </w:rPr>
        <w:t>Airija</w:t>
      </w:r>
      <w:r w:rsidRPr="00434C7A">
        <w:rPr>
          <w:sz w:val="22"/>
          <w:szCs w:val="22"/>
          <w:lang w:eastAsia="lt-LT"/>
        </w:rPr>
        <w:tab/>
      </w:r>
      <w:r>
        <w:rPr>
          <w:sz w:val="22"/>
          <w:szCs w:val="22"/>
          <w:lang w:eastAsia="lt-LT"/>
        </w:rPr>
        <w:tab/>
      </w:r>
      <w:r w:rsidR="00942319">
        <w:rPr>
          <w:sz w:val="22"/>
          <w:szCs w:val="22"/>
          <w:lang w:eastAsia="lt-LT"/>
        </w:rPr>
        <w:tab/>
      </w:r>
      <w:proofErr w:type="spellStart"/>
      <w:r w:rsidRPr="00434C7A">
        <w:rPr>
          <w:sz w:val="22"/>
          <w:szCs w:val="22"/>
          <w:lang w:eastAsia="lt-LT"/>
        </w:rPr>
        <w:t>Ruxolitinib</w:t>
      </w:r>
      <w:proofErr w:type="spellEnd"/>
      <w:r w:rsidRPr="00434C7A">
        <w:rPr>
          <w:sz w:val="22"/>
          <w:szCs w:val="22"/>
          <w:lang w:eastAsia="lt-LT"/>
        </w:rPr>
        <w:t xml:space="preserve"> </w:t>
      </w:r>
      <w:proofErr w:type="spellStart"/>
      <w:r w:rsidRPr="00434C7A">
        <w:rPr>
          <w:sz w:val="22"/>
          <w:szCs w:val="22"/>
          <w:lang w:eastAsia="lt-LT"/>
        </w:rPr>
        <w:t>Rowex</w:t>
      </w:r>
      <w:proofErr w:type="spellEnd"/>
    </w:p>
    <w:p w14:paraId="2810BF96" w14:textId="77777777" w:rsidR="00434C7A" w:rsidRPr="003F564F" w:rsidRDefault="00434C7A" w:rsidP="00434C7A">
      <w:pPr>
        <w:jc w:val="both"/>
        <w:rPr>
          <w:sz w:val="22"/>
          <w:szCs w:val="22"/>
          <w:lang w:eastAsia="lt-LT"/>
        </w:rPr>
      </w:pPr>
    </w:p>
    <w:p w14:paraId="2E867799" w14:textId="0270C7C9" w:rsidR="008D3B35" w:rsidRPr="003F564F" w:rsidRDefault="00AB4978">
      <w:pPr>
        <w:jc w:val="both"/>
        <w:rPr>
          <w:b/>
          <w:bCs/>
          <w:sz w:val="22"/>
          <w:szCs w:val="22"/>
          <w:lang w:eastAsia="lt-LT"/>
        </w:rPr>
      </w:pPr>
      <w:r w:rsidRPr="003F564F">
        <w:rPr>
          <w:b/>
          <w:bCs/>
          <w:sz w:val="22"/>
          <w:szCs w:val="22"/>
          <w:lang w:eastAsia="lt-LT"/>
        </w:rPr>
        <w:t xml:space="preserve">Šis pakuotės lapelis paskutinį kartą peržiūrėtas </w:t>
      </w:r>
      <w:r w:rsidR="00AF3655">
        <w:rPr>
          <w:b/>
          <w:bCs/>
          <w:sz w:val="22"/>
          <w:szCs w:val="22"/>
          <w:lang w:eastAsia="lt-LT"/>
        </w:rPr>
        <w:t>2026-06-04.</w:t>
      </w:r>
    </w:p>
    <w:p w14:paraId="77A6E71B" w14:textId="77777777" w:rsidR="008D3B35" w:rsidRPr="003F564F" w:rsidRDefault="008D3B35">
      <w:pPr>
        <w:jc w:val="both"/>
        <w:rPr>
          <w:sz w:val="22"/>
          <w:szCs w:val="22"/>
          <w:lang w:eastAsia="lt-LT"/>
        </w:rPr>
      </w:pPr>
    </w:p>
    <w:p w14:paraId="599C7BAA" w14:textId="77777777" w:rsidR="008D3B35" w:rsidRPr="003F564F" w:rsidRDefault="00AB4978">
      <w:pPr>
        <w:jc w:val="both"/>
        <w:rPr>
          <w:sz w:val="22"/>
          <w:szCs w:val="22"/>
          <w:lang w:eastAsia="lt-LT"/>
        </w:rPr>
      </w:pPr>
      <w:r w:rsidRPr="003F564F">
        <w:rPr>
          <w:sz w:val="22"/>
          <w:szCs w:val="22"/>
          <w:lang w:eastAsia="lt-LT"/>
        </w:rPr>
        <w:t xml:space="preserve">Išsami informacija apie šį vaistą pateikiama Valstybinės vaistų kontrolės tarnybos prie Lietuvos Respublikos sveikatos apsaugos ministerijos tinklalapyje </w:t>
      </w:r>
      <w:r w:rsidRPr="003F564F">
        <w:rPr>
          <w:color w:val="0000EE"/>
          <w:sz w:val="22"/>
          <w:szCs w:val="22"/>
          <w:u w:val="single"/>
          <w:lang w:eastAsia="lt-LT"/>
        </w:rPr>
        <w:t>https://vvkt.lrv.lt/lt/</w:t>
      </w:r>
      <w:r w:rsidRPr="003F564F">
        <w:rPr>
          <w:sz w:val="22"/>
          <w:szCs w:val="22"/>
          <w:lang w:eastAsia="lt-LT"/>
        </w:rPr>
        <w:t>.</w:t>
      </w:r>
    </w:p>
    <w:sectPr w:rsidR="008D3B35" w:rsidRPr="003F564F" w:rsidSect="00396893">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A1A7B" w14:textId="77777777" w:rsidR="00C7458A" w:rsidRDefault="00C7458A">
      <w:r>
        <w:separator/>
      </w:r>
    </w:p>
  </w:endnote>
  <w:endnote w:type="continuationSeparator" w:id="0">
    <w:p w14:paraId="620FE93C" w14:textId="77777777" w:rsidR="00C7458A" w:rsidRDefault="00C74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668D" w14:textId="77777777" w:rsidR="008D3B35" w:rsidRDefault="008D3B35">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D8CB" w14:textId="77777777" w:rsidR="008D3B35" w:rsidRDefault="008D3B35">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3AFE" w14:textId="77777777" w:rsidR="008D3B35" w:rsidRDefault="008D3B35">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C892E" w14:textId="77777777" w:rsidR="00C7458A" w:rsidRDefault="00C7458A">
      <w:r>
        <w:separator/>
      </w:r>
    </w:p>
  </w:footnote>
  <w:footnote w:type="continuationSeparator" w:id="0">
    <w:p w14:paraId="0AE09845" w14:textId="77777777" w:rsidR="00C7458A" w:rsidRDefault="00C74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C98D" w14:textId="77777777" w:rsidR="008D3B35" w:rsidRDefault="008D3B35">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0AF0" w14:textId="77777777" w:rsidR="008D3B35" w:rsidRDefault="00AB4978">
    <w:pPr>
      <w:pStyle w:val="Antrats"/>
      <w:jc w:val="center"/>
    </w:pPr>
    <w:r>
      <w:fldChar w:fldCharType="begin"/>
    </w:r>
    <w:r>
      <w:instrText>PAGE   \* MERGEFORMAT</w:instrText>
    </w:r>
    <w:r>
      <w:fldChar w:fldCharType="separate"/>
    </w:r>
    <w:r>
      <w:t>1</w:t>
    </w:r>
    <w:r>
      <w:t>1</w:t>
    </w:r>
    <w:r>
      <w:fldChar w:fldCharType="end"/>
    </w:r>
  </w:p>
  <w:p w14:paraId="675988D4" w14:textId="77777777" w:rsidR="008D3B35" w:rsidRDefault="008D3B35">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60E1" w14:textId="77777777" w:rsidR="008D3B35" w:rsidRDefault="008D3B3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03719"/>
    <w:multiLevelType w:val="hybridMultilevel"/>
    <w:tmpl w:val="FC201F7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F58C8"/>
    <w:multiLevelType w:val="hybridMultilevel"/>
    <w:tmpl w:val="6FD2516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146DA"/>
    <w:multiLevelType w:val="hybridMultilevel"/>
    <w:tmpl w:val="C55282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E606C7"/>
    <w:multiLevelType w:val="hybridMultilevel"/>
    <w:tmpl w:val="3F1C995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2551A1"/>
    <w:multiLevelType w:val="hybridMultilevel"/>
    <w:tmpl w:val="82B6F6C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584CA6"/>
    <w:multiLevelType w:val="hybridMultilevel"/>
    <w:tmpl w:val="DF1279BC"/>
    <w:lvl w:ilvl="0" w:tplc="176855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71309A"/>
    <w:multiLevelType w:val="hybridMultilevel"/>
    <w:tmpl w:val="8DEACE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E913DB"/>
    <w:multiLevelType w:val="hybridMultilevel"/>
    <w:tmpl w:val="F72A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4A4F48"/>
    <w:multiLevelType w:val="hybridMultilevel"/>
    <w:tmpl w:val="9338610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5568A4"/>
    <w:multiLevelType w:val="hybridMultilevel"/>
    <w:tmpl w:val="72EA0C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8A1108"/>
    <w:multiLevelType w:val="hybridMultilevel"/>
    <w:tmpl w:val="F8A44F9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C019A2"/>
    <w:multiLevelType w:val="hybridMultilevel"/>
    <w:tmpl w:val="11E6F47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D118A8"/>
    <w:multiLevelType w:val="hybridMultilevel"/>
    <w:tmpl w:val="2A542E3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AE6E9F"/>
    <w:multiLevelType w:val="hybridMultilevel"/>
    <w:tmpl w:val="480E9D8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C3106C"/>
    <w:multiLevelType w:val="hybridMultilevel"/>
    <w:tmpl w:val="59A44FA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3152FB"/>
    <w:multiLevelType w:val="hybridMultilevel"/>
    <w:tmpl w:val="18FE3352"/>
    <w:lvl w:ilvl="0" w:tplc="7682C49C">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6509226">
    <w:abstractNumId w:val="7"/>
  </w:num>
  <w:num w:numId="2" w16cid:durableId="1474366077">
    <w:abstractNumId w:val="5"/>
  </w:num>
  <w:num w:numId="3" w16cid:durableId="107165510">
    <w:abstractNumId w:val="2"/>
  </w:num>
  <w:num w:numId="4" w16cid:durableId="966005371">
    <w:abstractNumId w:val="15"/>
  </w:num>
  <w:num w:numId="5" w16cid:durableId="440730339">
    <w:abstractNumId w:val="11"/>
  </w:num>
  <w:num w:numId="6" w16cid:durableId="1437406845">
    <w:abstractNumId w:val="13"/>
  </w:num>
  <w:num w:numId="7" w16cid:durableId="1259869751">
    <w:abstractNumId w:val="9"/>
  </w:num>
  <w:num w:numId="8" w16cid:durableId="245304882">
    <w:abstractNumId w:val="4"/>
  </w:num>
  <w:num w:numId="9" w16cid:durableId="1701860144">
    <w:abstractNumId w:val="0"/>
  </w:num>
  <w:num w:numId="10" w16cid:durableId="1619793898">
    <w:abstractNumId w:val="3"/>
  </w:num>
  <w:num w:numId="11" w16cid:durableId="856692607">
    <w:abstractNumId w:val="1"/>
  </w:num>
  <w:num w:numId="12" w16cid:durableId="158883888">
    <w:abstractNumId w:val="10"/>
  </w:num>
  <w:num w:numId="13" w16cid:durableId="1965961131">
    <w:abstractNumId w:val="14"/>
  </w:num>
  <w:num w:numId="14" w16cid:durableId="2000111466">
    <w:abstractNumId w:val="12"/>
  </w:num>
  <w:num w:numId="15" w16cid:durableId="390277377">
    <w:abstractNumId w:val="8"/>
  </w:num>
  <w:num w:numId="16" w16cid:durableId="1459254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E2"/>
    <w:rsid w:val="00004A1B"/>
    <w:rsid w:val="0001379C"/>
    <w:rsid w:val="000207EB"/>
    <w:rsid w:val="0002237D"/>
    <w:rsid w:val="00030836"/>
    <w:rsid w:val="000319AF"/>
    <w:rsid w:val="0005352D"/>
    <w:rsid w:val="000754EE"/>
    <w:rsid w:val="000A0762"/>
    <w:rsid w:val="000A1C95"/>
    <w:rsid w:val="000A668B"/>
    <w:rsid w:val="000A6D36"/>
    <w:rsid w:val="000F65E8"/>
    <w:rsid w:val="001205C9"/>
    <w:rsid w:val="0013032B"/>
    <w:rsid w:val="0016599D"/>
    <w:rsid w:val="00171318"/>
    <w:rsid w:val="00177439"/>
    <w:rsid w:val="00192E08"/>
    <w:rsid w:val="001953B9"/>
    <w:rsid w:val="001A5798"/>
    <w:rsid w:val="001A7435"/>
    <w:rsid w:val="001B543E"/>
    <w:rsid w:val="001C33D9"/>
    <w:rsid w:val="001C6357"/>
    <w:rsid w:val="001E7EAE"/>
    <w:rsid w:val="00277651"/>
    <w:rsid w:val="002919C4"/>
    <w:rsid w:val="002B7C37"/>
    <w:rsid w:val="002C5D90"/>
    <w:rsid w:val="003134AB"/>
    <w:rsid w:val="003226B0"/>
    <w:rsid w:val="00341469"/>
    <w:rsid w:val="003560F6"/>
    <w:rsid w:val="0036574D"/>
    <w:rsid w:val="00396893"/>
    <w:rsid w:val="003A24D5"/>
    <w:rsid w:val="003A7A66"/>
    <w:rsid w:val="003F564F"/>
    <w:rsid w:val="004129CA"/>
    <w:rsid w:val="004300CB"/>
    <w:rsid w:val="00434C7A"/>
    <w:rsid w:val="00470F00"/>
    <w:rsid w:val="00485DDA"/>
    <w:rsid w:val="00495153"/>
    <w:rsid w:val="004A3318"/>
    <w:rsid w:val="004A76F0"/>
    <w:rsid w:val="004C17E6"/>
    <w:rsid w:val="00503214"/>
    <w:rsid w:val="005243E0"/>
    <w:rsid w:val="00540BF3"/>
    <w:rsid w:val="00541EA5"/>
    <w:rsid w:val="00557F79"/>
    <w:rsid w:val="00565850"/>
    <w:rsid w:val="005842C8"/>
    <w:rsid w:val="00584CAA"/>
    <w:rsid w:val="00585B83"/>
    <w:rsid w:val="005A1B32"/>
    <w:rsid w:val="005B07E9"/>
    <w:rsid w:val="005B12D8"/>
    <w:rsid w:val="006016EC"/>
    <w:rsid w:val="0060614D"/>
    <w:rsid w:val="00617191"/>
    <w:rsid w:val="00627CC3"/>
    <w:rsid w:val="00645BAB"/>
    <w:rsid w:val="00670502"/>
    <w:rsid w:val="0068144D"/>
    <w:rsid w:val="00685239"/>
    <w:rsid w:val="00687D42"/>
    <w:rsid w:val="00687E7B"/>
    <w:rsid w:val="00693B0E"/>
    <w:rsid w:val="0069418C"/>
    <w:rsid w:val="006B5C20"/>
    <w:rsid w:val="006C4504"/>
    <w:rsid w:val="006D7F62"/>
    <w:rsid w:val="00723EC6"/>
    <w:rsid w:val="007608FD"/>
    <w:rsid w:val="0076189D"/>
    <w:rsid w:val="00781CD5"/>
    <w:rsid w:val="007C58E1"/>
    <w:rsid w:val="007D46E7"/>
    <w:rsid w:val="007D4F9C"/>
    <w:rsid w:val="007D624A"/>
    <w:rsid w:val="007F1B46"/>
    <w:rsid w:val="007F370C"/>
    <w:rsid w:val="007F4F4E"/>
    <w:rsid w:val="00801086"/>
    <w:rsid w:val="00825362"/>
    <w:rsid w:val="00827C86"/>
    <w:rsid w:val="008528AF"/>
    <w:rsid w:val="00885556"/>
    <w:rsid w:val="00895A07"/>
    <w:rsid w:val="008A5277"/>
    <w:rsid w:val="008B09E3"/>
    <w:rsid w:val="008B32DB"/>
    <w:rsid w:val="008C1163"/>
    <w:rsid w:val="008D3B35"/>
    <w:rsid w:val="009215E1"/>
    <w:rsid w:val="009404C3"/>
    <w:rsid w:val="00942319"/>
    <w:rsid w:val="00955758"/>
    <w:rsid w:val="0097239B"/>
    <w:rsid w:val="00975E02"/>
    <w:rsid w:val="00981691"/>
    <w:rsid w:val="009821B6"/>
    <w:rsid w:val="009955AC"/>
    <w:rsid w:val="009A58E8"/>
    <w:rsid w:val="009A5E14"/>
    <w:rsid w:val="009B3E27"/>
    <w:rsid w:val="009B465D"/>
    <w:rsid w:val="009B4CAC"/>
    <w:rsid w:val="009C0D48"/>
    <w:rsid w:val="009C2007"/>
    <w:rsid w:val="009C4DB0"/>
    <w:rsid w:val="009F34A7"/>
    <w:rsid w:val="00A02838"/>
    <w:rsid w:val="00A2055B"/>
    <w:rsid w:val="00A3510D"/>
    <w:rsid w:val="00A359B4"/>
    <w:rsid w:val="00A619FD"/>
    <w:rsid w:val="00AB4978"/>
    <w:rsid w:val="00AB54EC"/>
    <w:rsid w:val="00AB6E63"/>
    <w:rsid w:val="00AC42EF"/>
    <w:rsid w:val="00AE334B"/>
    <w:rsid w:val="00AE55FF"/>
    <w:rsid w:val="00AF2F30"/>
    <w:rsid w:val="00AF3655"/>
    <w:rsid w:val="00B06E20"/>
    <w:rsid w:val="00B20FA5"/>
    <w:rsid w:val="00B2118D"/>
    <w:rsid w:val="00B336AA"/>
    <w:rsid w:val="00B341E8"/>
    <w:rsid w:val="00B540B3"/>
    <w:rsid w:val="00B8232E"/>
    <w:rsid w:val="00B9511C"/>
    <w:rsid w:val="00BA64D9"/>
    <w:rsid w:val="00BA6CF2"/>
    <w:rsid w:val="00BD77B3"/>
    <w:rsid w:val="00BE3EF3"/>
    <w:rsid w:val="00BE4573"/>
    <w:rsid w:val="00BE69AA"/>
    <w:rsid w:val="00BF2C86"/>
    <w:rsid w:val="00C03635"/>
    <w:rsid w:val="00C13DE5"/>
    <w:rsid w:val="00C5395D"/>
    <w:rsid w:val="00C7458A"/>
    <w:rsid w:val="00C759F5"/>
    <w:rsid w:val="00CC405D"/>
    <w:rsid w:val="00CF2DB8"/>
    <w:rsid w:val="00CF4969"/>
    <w:rsid w:val="00D13D4E"/>
    <w:rsid w:val="00D23FE2"/>
    <w:rsid w:val="00D24EDF"/>
    <w:rsid w:val="00D27594"/>
    <w:rsid w:val="00D3679D"/>
    <w:rsid w:val="00D65CCF"/>
    <w:rsid w:val="00D7153B"/>
    <w:rsid w:val="00DA535D"/>
    <w:rsid w:val="00DB543A"/>
    <w:rsid w:val="00DC02AB"/>
    <w:rsid w:val="00E05FA0"/>
    <w:rsid w:val="00E2373B"/>
    <w:rsid w:val="00E30169"/>
    <w:rsid w:val="00E401E2"/>
    <w:rsid w:val="00E55A54"/>
    <w:rsid w:val="00E60E75"/>
    <w:rsid w:val="00E616BF"/>
    <w:rsid w:val="00E87F25"/>
    <w:rsid w:val="00EB0B12"/>
    <w:rsid w:val="00EB2736"/>
    <w:rsid w:val="00F035F2"/>
    <w:rsid w:val="00F135B7"/>
    <w:rsid w:val="00F17BE0"/>
    <w:rsid w:val="00F647BB"/>
    <w:rsid w:val="00F729C1"/>
    <w:rsid w:val="00F82306"/>
    <w:rsid w:val="00FA6DDC"/>
    <w:rsid w:val="00FB2B67"/>
    <w:rsid w:val="00FC169D"/>
    <w:rsid w:val="00FD01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table" w:styleId="Lentelstinklelis">
    <w:name w:val="Table Grid"/>
    <w:basedOn w:val="prastojilentel"/>
    <w:rsid w:val="000A0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4300CB"/>
    <w:pPr>
      <w:ind w:left="720"/>
      <w:contextualSpacing/>
    </w:pPr>
  </w:style>
  <w:style w:type="character" w:styleId="Komentaronuoroda">
    <w:name w:val="annotation reference"/>
    <w:basedOn w:val="Numatytasispastraiposriftas"/>
    <w:semiHidden/>
    <w:unhideWhenUsed/>
    <w:rsid w:val="007C58E1"/>
    <w:rPr>
      <w:sz w:val="16"/>
      <w:szCs w:val="16"/>
    </w:rPr>
  </w:style>
  <w:style w:type="paragraph" w:styleId="Komentarotekstas">
    <w:name w:val="annotation text"/>
    <w:basedOn w:val="prastasis"/>
    <w:link w:val="KomentarotekstasDiagrama"/>
    <w:unhideWhenUsed/>
    <w:rsid w:val="007C58E1"/>
    <w:rPr>
      <w:sz w:val="20"/>
    </w:rPr>
  </w:style>
  <w:style w:type="character" w:customStyle="1" w:styleId="KomentarotekstasDiagrama">
    <w:name w:val="Komentaro tekstas Diagrama"/>
    <w:basedOn w:val="Numatytasispastraiposriftas"/>
    <w:link w:val="Komentarotekstas"/>
    <w:rsid w:val="007C58E1"/>
    <w:rPr>
      <w:sz w:val="20"/>
    </w:rPr>
  </w:style>
  <w:style w:type="paragraph" w:styleId="Komentarotema">
    <w:name w:val="annotation subject"/>
    <w:basedOn w:val="Komentarotekstas"/>
    <w:next w:val="Komentarotekstas"/>
    <w:link w:val="KomentarotemaDiagrama"/>
    <w:semiHidden/>
    <w:unhideWhenUsed/>
    <w:rsid w:val="007C58E1"/>
    <w:rPr>
      <w:b/>
      <w:bCs/>
    </w:rPr>
  </w:style>
  <w:style w:type="character" w:customStyle="1" w:styleId="KomentarotemaDiagrama">
    <w:name w:val="Komentaro tema Diagrama"/>
    <w:basedOn w:val="KomentarotekstasDiagrama"/>
    <w:link w:val="Komentarotema"/>
    <w:semiHidden/>
    <w:rsid w:val="007C58E1"/>
    <w:rPr>
      <w:b/>
      <w:bCs/>
      <w:sz w:val="20"/>
    </w:rPr>
  </w:style>
  <w:style w:type="character" w:styleId="Hipersaitas">
    <w:name w:val="Hyperlink"/>
    <w:basedOn w:val="Numatytasispastraiposriftas"/>
    <w:unhideWhenUsed/>
    <w:rsid w:val="000A6D36"/>
    <w:rPr>
      <w:color w:val="0563C1" w:themeColor="hyperlink"/>
      <w:u w:val="single"/>
    </w:rPr>
  </w:style>
  <w:style w:type="character" w:styleId="Neapdorotaspaminjimas">
    <w:name w:val="Unresolved Mention"/>
    <w:basedOn w:val="Numatytasispastraiposriftas"/>
    <w:uiPriority w:val="99"/>
    <w:semiHidden/>
    <w:unhideWhenUsed/>
    <w:rsid w:val="000A6D36"/>
    <w:rPr>
      <w:color w:val="605E5C"/>
      <w:shd w:val="clear" w:color="auto" w:fill="E1DFDD"/>
    </w:rPr>
  </w:style>
  <w:style w:type="paragraph" w:styleId="Pataisymai">
    <w:name w:val="Revision"/>
    <w:hidden/>
    <w:semiHidden/>
    <w:rsid w:val="00171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61</Pages>
  <Words>102315</Words>
  <Characters>58320</Characters>
  <Application>Microsoft Office Word</Application>
  <DocSecurity>0</DocSecurity>
  <Lines>486</Lines>
  <Paragraphs>320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160315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Povilaitienė</dc:creator>
  <cp:lastModifiedBy>Birutė Valkauskaitė</cp:lastModifiedBy>
  <cp:revision>8</cp:revision>
  <cp:lastPrinted>2015-07-02T05:18:00Z</cp:lastPrinted>
  <dcterms:created xsi:type="dcterms:W3CDTF">2026-06-04T07:25:00Z</dcterms:created>
  <dcterms:modified xsi:type="dcterms:W3CDTF">2026-06-04T07:44:00Z</dcterms:modified>
</cp:coreProperties>
</file>