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2FB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9BE990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000C28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833CF5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6A556A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FF9302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5B96E4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5C8B4B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FCACF2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279640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6004E1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4C1B75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6A3EB7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98CD9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B88549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822C16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863943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F39FA8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E4D63E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9FFC5E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45909E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6DE106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7FC992E" w14:textId="38F42B9E" w:rsidR="00A35A18" w:rsidRPr="00633873" w:rsidRDefault="00A35A18" w:rsidP="001A130C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napToGrid w:val="0"/>
          <w:szCs w:val="24"/>
        </w:rPr>
      </w:pPr>
    </w:p>
    <w:p w14:paraId="008D1DA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0B856E1" w14:textId="77777777" w:rsidR="00A35A18" w:rsidRPr="00633873" w:rsidRDefault="00A35A18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  <w:r w:rsidRPr="00633873">
        <w:rPr>
          <w:rFonts w:ascii="Times New Roman" w:eastAsia="Times New Roman" w:hAnsi="Times New Roman" w:cs="Times New Roman"/>
          <w:b/>
          <w:caps/>
          <w:szCs w:val="24"/>
        </w:rPr>
        <w:t>ŽENKLINIMAS IR PAKUOTĖS LAPELIS</w:t>
      </w:r>
    </w:p>
    <w:p w14:paraId="7AE9D83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7817CF0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46E29D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148F9E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A7B4A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C9A10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D32DB2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30EA37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3A1D17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1ED95C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297BB1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1F0A23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78B06E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B954C6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9A0B58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560D90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72CB5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1EFB4B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3F5218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E142FB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776E96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E3F1A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EBB3F9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083FB57" w14:textId="77777777" w:rsidR="00E31330" w:rsidRPr="00633873" w:rsidRDefault="00E31330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</w:p>
    <w:p w14:paraId="124E3750" w14:textId="77777777" w:rsidR="00A35A18" w:rsidRPr="00633873" w:rsidRDefault="00A35A18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  <w:r w:rsidRPr="00633873">
        <w:rPr>
          <w:rFonts w:ascii="Times New Roman" w:eastAsia="Times New Roman" w:hAnsi="Times New Roman" w:cs="Times New Roman"/>
          <w:b/>
          <w:caps/>
          <w:szCs w:val="24"/>
        </w:rPr>
        <w:t>A. ŽENKLINIMAS</w:t>
      </w:r>
    </w:p>
    <w:p w14:paraId="5DACB18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4523947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lastRenderedPageBreak/>
        <w:t>INFORMACIJA ANT IŠORINĖS PAKUOTĖS</w:t>
      </w:r>
    </w:p>
    <w:p w14:paraId="0103357C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73277584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KARTONO DĖŽUTĖ</w:t>
      </w:r>
    </w:p>
    <w:p w14:paraId="4BD42DE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5F10FE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BFB810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b/>
          <w:caps/>
          <w:snapToGrid w:val="0"/>
          <w:szCs w:val="24"/>
        </w:rPr>
        <w:t>VAISTINIO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PREPARATO PAVADINIMAS</w:t>
      </w:r>
    </w:p>
    <w:p w14:paraId="6A91FCA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D957577" w14:textId="6061A5A7" w:rsidR="00A35A18" w:rsidRPr="00633873" w:rsidRDefault="001A130C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Ambrisentano</w:t>
      </w:r>
      <w:proofErr w:type="spellEnd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Generis</w:t>
      </w:r>
      <w:proofErr w:type="spellEnd"/>
      <w:r w:rsidR="00A35A18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5 mg plėvele dengtos tabletės</w:t>
      </w:r>
    </w:p>
    <w:p w14:paraId="69C85349" w14:textId="76A6ADFF" w:rsidR="00A35A18" w:rsidRPr="00633873" w:rsidRDefault="001A130C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0"/>
        </w:rPr>
        <w:t>Ambrisentano</w:t>
      </w:r>
      <w:proofErr w:type="spellEnd"/>
      <w:r w:rsidRPr="00BD5B90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0"/>
        </w:rPr>
        <w:t>Generis</w:t>
      </w:r>
      <w:proofErr w:type="spellEnd"/>
      <w:r w:rsidR="00A35A18" w:rsidRPr="00BD5B90">
        <w:rPr>
          <w:rFonts w:ascii="Times New Roman" w:eastAsia="Times New Roman" w:hAnsi="Times New Roman" w:cs="Times New Roman"/>
          <w:snapToGrid w:val="0"/>
          <w:szCs w:val="20"/>
        </w:rPr>
        <w:t xml:space="preserve"> 10 mg plėvele dengtos tabletės</w:t>
      </w:r>
    </w:p>
    <w:p w14:paraId="5E472EBB" w14:textId="77777777" w:rsidR="008A31A4" w:rsidRDefault="008A31A4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52FF781" w14:textId="736E13E2" w:rsidR="00A35A18" w:rsidRPr="00633873" w:rsidRDefault="00EA4620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mbrisentan</w:t>
      </w:r>
      <w:r w:rsidR="008A31A4">
        <w:rPr>
          <w:rFonts w:ascii="Times New Roman" w:eastAsia="Times New Roman" w:hAnsi="Times New Roman" w:cs="Times New Roman"/>
          <w:snapToGrid w:val="0"/>
          <w:szCs w:val="24"/>
        </w:rPr>
        <w:t>as</w:t>
      </w:r>
      <w:proofErr w:type="spellEnd"/>
    </w:p>
    <w:p w14:paraId="5C36DD7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FDBE52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1F2830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VEIKLIOJI (-IOS) MEDŽIAGA (-OS) IR JOS (-Ų) KIEKIS (-IAI)</w:t>
      </w:r>
    </w:p>
    <w:p w14:paraId="7F995B1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947659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Kiekvienoje tabletėje yra 5 mg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ambrisentano</w:t>
      </w:r>
      <w:proofErr w:type="spellEnd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  <w:r w:rsidRPr="00BD5B90">
        <w:rPr>
          <w:rFonts w:ascii="Times New Roman" w:eastAsia="Times New Roman" w:hAnsi="Times New Roman" w:cs="Times New Roman"/>
          <w:snapToGrid w:val="0"/>
          <w:szCs w:val="20"/>
        </w:rPr>
        <w:t xml:space="preserve">Kiekvienoje tabletėje yra 10 mg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0"/>
        </w:rPr>
        <w:t>ambrisentano</w:t>
      </w:r>
      <w:proofErr w:type="spellEnd"/>
      <w:r w:rsidRPr="00BD5B90">
        <w:rPr>
          <w:rFonts w:ascii="Times New Roman" w:eastAsia="Times New Roman" w:hAnsi="Times New Roman" w:cs="Times New Roman"/>
          <w:snapToGrid w:val="0"/>
          <w:szCs w:val="20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0310C6D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5A90B6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PAGALBINIŲ MEDŽIAGŲ SĄRAŠAS</w:t>
      </w:r>
    </w:p>
    <w:p w14:paraId="312784C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41E8C28" w14:textId="77777777" w:rsidR="00EA4620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Sudėtyje yra laktozės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>monohidrato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sojų </w:t>
      </w:r>
      <w:proofErr w:type="spellStart"/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>lecitino</w:t>
      </w:r>
      <w:proofErr w:type="spellEnd"/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(E322) ir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Alura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raudonojo AC (E129)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32F3B2A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Daugiau informacijos pateikiama pakuotės lapelyje.</w:t>
      </w:r>
    </w:p>
    <w:p w14:paraId="4A19552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8E4CAF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C4BC4CC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FARMACINĖ FORMA IR KIEKIS PAKUOTĖJE</w:t>
      </w:r>
    </w:p>
    <w:p w14:paraId="51C96FC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7D1B21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570F2A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Plėvele dengta tabletė</w:t>
      </w:r>
    </w:p>
    <w:p w14:paraId="5735BA37" w14:textId="77777777" w:rsidR="007D042A" w:rsidRPr="00633873" w:rsidRDefault="007D042A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4AEC0F7" w14:textId="77777777" w:rsidR="00EA4620" w:rsidRPr="00633873" w:rsidRDefault="00EA4620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D55CA0">
        <w:rPr>
          <w:rFonts w:ascii="Times New Roman" w:eastAsia="Times New Roman" w:hAnsi="Times New Roman" w:cs="Times New Roman"/>
          <w:snapToGrid w:val="0"/>
          <w:szCs w:val="20"/>
        </w:rPr>
        <w:t>30 plėvele dengtų tablečių</w:t>
      </w:r>
    </w:p>
    <w:p w14:paraId="160BEBF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267F03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877627E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METODAS IR BŪDAS (-AI)</w:t>
      </w:r>
    </w:p>
    <w:p w14:paraId="270A66E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51B3BD5" w14:textId="77777777" w:rsidR="00EA4620" w:rsidRPr="00633873" w:rsidRDefault="00EA4620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Vartoti per burną.</w:t>
      </w:r>
    </w:p>
    <w:p w14:paraId="10D33AE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Prieš vartojimą perskaitykite pakuotės lapelį.</w:t>
      </w:r>
    </w:p>
    <w:p w14:paraId="1286EE8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D78B51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AC8E2BD" w14:textId="03C5D5F2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SPECIALUS ĮSPĖJIMAS, KAD VAISTINĮ PREPARATĄ BŪTINA LAIKYTI VAIKAMS NEPASTEBIMOJE IR NEPASIEKIAMOJE VIETOJE</w:t>
      </w:r>
    </w:p>
    <w:p w14:paraId="07AF584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CD9AF8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Laikyti vaikams nepastebimoje ir nepasiekiamoje vietoje.</w:t>
      </w:r>
    </w:p>
    <w:p w14:paraId="762F6F7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4D3DC4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EB77F78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7.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KITAS (-I) SPECIALUS (-ŪS) ĮSPĖJIMAS (-AI) (JEI REIKIA)</w:t>
      </w:r>
    </w:p>
    <w:p w14:paraId="00A1DDF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CCDD9A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238B9F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8.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TINKAMUMO LAIKAS</w:t>
      </w:r>
    </w:p>
    <w:p w14:paraId="4EB041A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AD39D46" w14:textId="6FAC8330" w:rsidR="00A35A18" w:rsidRPr="00633873" w:rsidRDefault="00A35A18" w:rsidP="000570FC">
      <w:pPr>
        <w:tabs>
          <w:tab w:val="left" w:pos="567"/>
          <w:tab w:val="left" w:pos="2835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EXP</w:t>
      </w:r>
      <w:r w:rsidR="007D042A">
        <w:rPr>
          <w:rFonts w:ascii="Times New Roman" w:eastAsia="Times New Roman" w:hAnsi="Times New Roman" w:cs="Times New Roman"/>
          <w:snapToGrid w:val="0"/>
          <w:szCs w:val="20"/>
        </w:rPr>
        <w:t>:</w:t>
      </w:r>
      <w:r w:rsidR="002A4C21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="002A4C21" w:rsidRPr="00D55CA0">
        <w:rPr>
          <w:rFonts w:ascii="Times New Roman" w:hAnsi="Times New Roman" w:cs="Times New Roman"/>
          <w:highlight w:val="lightGray"/>
        </w:rPr>
        <w:t>{mm/MMMM}</w:t>
      </w:r>
    </w:p>
    <w:p w14:paraId="03457F1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C28739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6E7151D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9.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LAIKYMO SĄLYGOS</w:t>
      </w:r>
    </w:p>
    <w:p w14:paraId="7A21DF4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EAFBCF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6F1E543" w14:textId="77777777" w:rsidR="00A35A18" w:rsidRPr="00633873" w:rsidRDefault="00A35A18" w:rsidP="00D5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10.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ATSARGUMO PRIEMONĖS DĖL NESUVARTOTO VAISTINIO PREPARATO AR JO ATLIEKŲ TVARKYMO (JEI REIKIA)</w:t>
      </w:r>
    </w:p>
    <w:p w14:paraId="38F533C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1CF22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272C740" w14:textId="4103D8DF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11.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="003122E6" w:rsidRPr="003122E6">
        <w:rPr>
          <w:rFonts w:ascii="Times New Roman" w:eastAsia="Times New Roman" w:hAnsi="Times New Roman" w:cs="Times New Roman"/>
          <w:b/>
          <w:caps/>
          <w:snapToGrid w:val="0"/>
          <w:szCs w:val="24"/>
        </w:rPr>
        <w:t>LYGIAGRETUS IMPORTUOTOJAS</w:t>
      </w:r>
    </w:p>
    <w:p w14:paraId="3852D21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1F6C803" w14:textId="77777777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MB „Metapharm“</w:t>
      </w:r>
    </w:p>
    <w:p w14:paraId="1363D769" w14:textId="4BA3CAF0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Minties g. 2</w:t>
      </w:r>
    </w:p>
    <w:p w14:paraId="784B9316" w14:textId="65AD308D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Kalvelių k.</w:t>
      </w:r>
    </w:p>
    <w:p w14:paraId="065698D3" w14:textId="07A321FB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LT-13213, Vilniaus r.</w:t>
      </w:r>
    </w:p>
    <w:p w14:paraId="798C4A80" w14:textId="0C28EED6" w:rsidR="00BE28E1" w:rsidRPr="00633873" w:rsidRDefault="00BE28E1" w:rsidP="00BE28E1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D55CA0">
        <w:rPr>
          <w:rFonts w:ascii="Times New Roman" w:hAnsi="Times New Roman" w:cs="Times New Roman"/>
        </w:rPr>
        <w:t>Lietuva</w:t>
      </w:r>
    </w:p>
    <w:p w14:paraId="12E806D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A5A0BD6" w14:textId="77777777" w:rsidR="00942891" w:rsidRPr="00633873" w:rsidRDefault="00942891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B850C60" w14:textId="7D6F003A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12.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="004C34D2" w:rsidRPr="004C34D2">
        <w:rPr>
          <w:rFonts w:ascii="Times New Roman" w:eastAsia="Times New Roman" w:hAnsi="Times New Roman" w:cs="Times New Roman"/>
          <w:b/>
          <w:snapToGrid w:val="0"/>
          <w:szCs w:val="24"/>
        </w:rPr>
        <w:t>LYGIAGRETAUS IMPORTO LEIDIMO NUMERIS (-IAI)</w:t>
      </w:r>
    </w:p>
    <w:p w14:paraId="5A388D7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B2CE729" w14:textId="26689CD2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5</w:t>
      </w:r>
      <w:r w:rsidR="00062A49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 </w:t>
      </w: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mg</w:t>
      </w:r>
    </w:p>
    <w:p w14:paraId="5C91D4CC" w14:textId="57B9595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LT/</w:t>
      </w:r>
      <w:r w:rsidR="007D042A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L</w:t>
      </w:r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/</w:t>
      </w:r>
      <w:r w:rsidR="00011793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25/2756/001</w:t>
      </w:r>
    </w:p>
    <w:p w14:paraId="6E9A899C" w14:textId="7777777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D79B5A7" w14:textId="5FDB0AF3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10</w:t>
      </w:r>
      <w:r w:rsidR="00062A49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 </w:t>
      </w: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mg</w:t>
      </w:r>
    </w:p>
    <w:p w14:paraId="1F1C8361" w14:textId="4A9BECD2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BD5B90">
        <w:rPr>
          <w:rFonts w:ascii="Times New Roman" w:eastAsia="Times New Roman" w:hAnsi="Times New Roman" w:cs="Times New Roman"/>
          <w:snapToGrid w:val="0"/>
          <w:szCs w:val="24"/>
        </w:rPr>
        <w:t>LT/</w:t>
      </w:r>
      <w:r w:rsidR="007D042A" w:rsidRPr="00BD5B90">
        <w:rPr>
          <w:rFonts w:ascii="Times New Roman" w:eastAsia="Times New Roman" w:hAnsi="Times New Roman" w:cs="Times New Roman"/>
          <w:snapToGrid w:val="0"/>
          <w:szCs w:val="24"/>
        </w:rPr>
        <w:t>L</w:t>
      </w:r>
      <w:r w:rsidRPr="00BD5B90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011793" w:rsidRPr="00BD5B90">
        <w:rPr>
          <w:rFonts w:ascii="Times New Roman" w:eastAsia="Times New Roman" w:hAnsi="Times New Roman" w:cs="Times New Roman"/>
          <w:snapToGrid w:val="0"/>
          <w:szCs w:val="24"/>
        </w:rPr>
        <w:t>25/2757/001</w:t>
      </w:r>
    </w:p>
    <w:p w14:paraId="3B867938" w14:textId="30E53C83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54F439B" w14:textId="7777777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B4A83F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13.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 xml:space="preserve">SERIJOS NUMERIS </w:t>
      </w:r>
    </w:p>
    <w:p w14:paraId="54B530C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61C6BC0" w14:textId="3248FC08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Lot</w:t>
      </w:r>
      <w:r w:rsidR="007D042A">
        <w:rPr>
          <w:rFonts w:ascii="Times New Roman" w:eastAsia="Times New Roman" w:hAnsi="Times New Roman" w:cs="Times New Roman"/>
          <w:snapToGrid w:val="0"/>
          <w:szCs w:val="20"/>
        </w:rPr>
        <w:t xml:space="preserve">: </w:t>
      </w:r>
      <w:r w:rsidR="007D042A" w:rsidRPr="00D55CA0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{</w:t>
      </w:r>
      <w:r w:rsidR="00062A49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numeris</w:t>
      </w:r>
      <w:r w:rsidR="007D042A" w:rsidRPr="00D55CA0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}</w:t>
      </w:r>
    </w:p>
    <w:p w14:paraId="4B5E867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4590AF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705DAF3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14.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PARDAVIMO (IŠDAVIMO) TVARKA</w:t>
      </w:r>
    </w:p>
    <w:p w14:paraId="66AD91D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BC0BEB9" w14:textId="133E6C5C" w:rsidR="00A35A18" w:rsidRDefault="004C34D2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Receptinis vaistas.</w:t>
      </w:r>
    </w:p>
    <w:p w14:paraId="0117F760" w14:textId="77777777" w:rsidR="004C34D2" w:rsidRDefault="004C34D2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70E6386" w14:textId="77777777" w:rsidR="001F0D3E" w:rsidRPr="00633873" w:rsidRDefault="001F0D3E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C617BFA" w14:textId="77777777" w:rsidR="00A35A18" w:rsidRPr="00633873" w:rsidRDefault="00A35A18" w:rsidP="00A35A1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15.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INSTRUKCIJA</w:t>
      </w:r>
    </w:p>
    <w:p w14:paraId="62DDE53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5AF15B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8E10A2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16.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INFORMACIJA BRAILIO RAŠTU</w:t>
      </w:r>
    </w:p>
    <w:p w14:paraId="4C4FAA5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7460D6B" w14:textId="0D8F949B" w:rsidR="00A35A18" w:rsidRPr="00633873" w:rsidRDefault="007D042A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</w:t>
      </w:r>
      <w:r w:rsidR="001A130C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mbrisentano</w:t>
      </w:r>
      <w:proofErr w:type="spellEnd"/>
      <w:r w:rsidR="001A130C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g</w:t>
      </w:r>
      <w:r w:rsidR="001A130C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eneris</w:t>
      </w:r>
      <w:proofErr w:type="spellEnd"/>
      <w:r w:rsidR="00A35A18" w:rsidRPr="00BD5B9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5 mg</w:t>
      </w:r>
    </w:p>
    <w:p w14:paraId="457D7E7D" w14:textId="4EA43613" w:rsidR="00A35A18" w:rsidRPr="00633873" w:rsidRDefault="007D042A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0"/>
        </w:rPr>
        <w:t>a</w:t>
      </w:r>
      <w:r w:rsidR="001A130C" w:rsidRPr="00BD5B90">
        <w:rPr>
          <w:rFonts w:ascii="Times New Roman" w:eastAsia="Times New Roman" w:hAnsi="Times New Roman" w:cs="Times New Roman"/>
          <w:snapToGrid w:val="0"/>
          <w:szCs w:val="20"/>
        </w:rPr>
        <w:t>mbrisentano</w:t>
      </w:r>
      <w:proofErr w:type="spellEnd"/>
      <w:r w:rsidR="001A130C" w:rsidRPr="00BD5B90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Pr="00BD5B90">
        <w:rPr>
          <w:rFonts w:ascii="Times New Roman" w:eastAsia="Times New Roman" w:hAnsi="Times New Roman" w:cs="Times New Roman"/>
          <w:snapToGrid w:val="0"/>
          <w:szCs w:val="20"/>
        </w:rPr>
        <w:t>g</w:t>
      </w:r>
      <w:r w:rsidR="001A130C" w:rsidRPr="00BD5B90">
        <w:rPr>
          <w:rFonts w:ascii="Times New Roman" w:eastAsia="Times New Roman" w:hAnsi="Times New Roman" w:cs="Times New Roman"/>
          <w:snapToGrid w:val="0"/>
          <w:szCs w:val="20"/>
        </w:rPr>
        <w:t>eneris</w:t>
      </w:r>
      <w:proofErr w:type="spellEnd"/>
      <w:r w:rsidR="00A35A18" w:rsidRPr="00BD5B90">
        <w:rPr>
          <w:rFonts w:ascii="Times New Roman" w:eastAsia="Times New Roman" w:hAnsi="Times New Roman" w:cs="Times New Roman"/>
          <w:snapToGrid w:val="0"/>
          <w:szCs w:val="20"/>
        </w:rPr>
        <w:t xml:space="preserve"> 10 mg</w:t>
      </w:r>
    </w:p>
    <w:p w14:paraId="7A6A593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CEDDB6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hd w:val="clear" w:color="auto" w:fill="CCCCCC"/>
        </w:rPr>
      </w:pPr>
    </w:p>
    <w:p w14:paraId="2C074727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17.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ab/>
        <w:t>UNIKALUS IDENTIFIKATORIUS – 2D BRŪKŠNINIS KODAS</w:t>
      </w:r>
    </w:p>
    <w:p w14:paraId="2E416E3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F2F40E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2D brūkšninis kodas su nurodytu unikaliu identifikatoriumi.</w:t>
      </w:r>
    </w:p>
    <w:p w14:paraId="72D8B0F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</w:p>
    <w:p w14:paraId="7E0A84B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4916FB6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18.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ab/>
        <w:t>UNIKALUS IDENTIFIKATORIUS – ŽMONĖMS SUPRANTAMI DUOMENYS</w:t>
      </w:r>
    </w:p>
    <w:p w14:paraId="0A778B3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72548DA" w14:textId="43538CCB" w:rsidR="00A35A18" w:rsidRPr="00B8596A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B8596A">
        <w:rPr>
          <w:rFonts w:ascii="Times New Roman" w:eastAsia="Times New Roman" w:hAnsi="Times New Roman" w:cs="Times New Roman"/>
          <w:snapToGrid w:val="0"/>
          <w:szCs w:val="24"/>
        </w:rPr>
        <w:t xml:space="preserve">PC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5C6894AE" w14:textId="0CBB534B" w:rsidR="00A35A18" w:rsidRPr="00B8596A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B8596A">
        <w:rPr>
          <w:rFonts w:ascii="Times New Roman" w:eastAsia="Times New Roman" w:hAnsi="Times New Roman" w:cs="Times New Roman"/>
          <w:snapToGrid w:val="0"/>
          <w:szCs w:val="24"/>
        </w:rPr>
        <w:t xml:space="preserve">SN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331CCDF9" w14:textId="43E0EC72" w:rsidR="002077EA" w:rsidRDefault="00A35A18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NN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506036D0" w14:textId="77777777" w:rsidR="00FE3385" w:rsidRDefault="00FE3385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5B193CFB" w14:textId="5E32EB8B" w:rsidR="0012551A" w:rsidRPr="00E61474" w:rsidRDefault="00E61474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noProof/>
          <w:snapToGrid w:val="0"/>
          <w:vanish/>
        </w:rPr>
      </w:pPr>
      <w:r w:rsidRPr="00E61474">
        <w:rPr>
          <w:rFonts w:ascii="Times New Roman" w:eastAsia="Times New Roman" w:hAnsi="Times New Roman" w:cs="Times New Roman"/>
          <w:b/>
          <w:bCs/>
          <w:noProof/>
          <w:snapToGrid w:val="0"/>
        </w:rPr>
        <w:t>---------------------------------------------------------------------------------------------------------------------------</w:t>
      </w:r>
    </w:p>
    <w:p w14:paraId="6DD2D04E" w14:textId="77777777" w:rsidR="00E61474" w:rsidRDefault="00E61474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075CCBAB" w14:textId="10CAE770" w:rsidR="00E61474" w:rsidRPr="00E61474" w:rsidRDefault="00E61474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b/>
          <w:bCs/>
          <w:lang w:val="en-US" w:bidi="lt-LT"/>
        </w:rPr>
      </w:pPr>
      <w:proofErr w:type="spellStart"/>
      <w:r w:rsidRPr="00E61474">
        <w:rPr>
          <w:rFonts w:ascii="Times New Roman" w:hAnsi="Times New Roman" w:cs="Times New Roman"/>
          <w:b/>
          <w:bCs/>
          <w:lang w:val="en-US" w:bidi="lt-LT"/>
        </w:rPr>
        <w:lastRenderedPageBreak/>
        <w:t>Gamintojas</w:t>
      </w:r>
      <w:proofErr w:type="spellEnd"/>
      <w:r w:rsidRPr="00E61474">
        <w:rPr>
          <w:rFonts w:ascii="Times New Roman" w:hAnsi="Times New Roman" w:cs="Times New Roman"/>
          <w:b/>
          <w:bCs/>
          <w:lang w:val="en-US" w:bidi="lt-LT"/>
        </w:rPr>
        <w:t>:</w:t>
      </w:r>
    </w:p>
    <w:p w14:paraId="39592B46" w14:textId="4454E187" w:rsidR="00983383" w:rsidRDefault="00983383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APL Swift Services (Malta) Ltd</w:t>
      </w:r>
      <w:r>
        <w:rPr>
          <w:rFonts w:ascii="Times New Roman" w:hAnsi="Times New Roman" w:cs="Times New Roman"/>
          <w:lang w:val="en-US" w:bidi="lt-LT"/>
        </w:rPr>
        <w:t>.</w:t>
      </w:r>
    </w:p>
    <w:p w14:paraId="1FF0289E" w14:textId="72CA1FB8" w:rsidR="00983383" w:rsidRPr="00983383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HF26, Hal Far Industrial Estate, Hal Far</w:t>
      </w:r>
    </w:p>
    <w:p w14:paraId="5B52FEFA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BBG 3000 Birzebbugia</w:t>
      </w:r>
    </w:p>
    <w:p w14:paraId="5AF29E97" w14:textId="1A0CA4E6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Malta</w:t>
      </w:r>
    </w:p>
    <w:p w14:paraId="2C54BA04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7C6D869C" w14:textId="4F80A21F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arba</w:t>
      </w:r>
    </w:p>
    <w:p w14:paraId="2E38A870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205CEFB4" w14:textId="36C9B65B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2864A1A9" w14:textId="4F2FD00D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</w:t>
      </w:r>
      <w:r w:rsidR="00C33B87" w:rsidRPr="001474BD">
        <w:rPr>
          <w:rFonts w:ascii="Times New Roman" w:hAnsi="Times New Roman" w:cs="Times New Roman"/>
          <w:lang w:val="es-ES" w:bidi="lt-LT"/>
        </w:rPr>
        <w:t>ã</w:t>
      </w:r>
      <w:r w:rsidRPr="001474BD">
        <w:rPr>
          <w:rFonts w:ascii="Times New Roman" w:hAnsi="Times New Roman" w:cs="Times New Roman"/>
          <w:lang w:val="es-ES" w:bidi="lt-LT"/>
        </w:rPr>
        <w:t>o de Deus, 19</w:t>
      </w:r>
    </w:p>
    <w:p w14:paraId="379A9EFF" w14:textId="77777777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2BF4E7EF" w14:textId="626A4F06" w:rsidR="00983383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</w:t>
      </w:r>
      <w:r w:rsidR="00C33B87" w:rsidRPr="001474BD">
        <w:rPr>
          <w:rFonts w:ascii="Times New Roman" w:hAnsi="Times New Roman" w:cs="Times New Roman"/>
          <w:lang w:val="es-ES" w:bidi="lt-LT"/>
        </w:rPr>
        <w:t>ija</w:t>
      </w:r>
    </w:p>
    <w:p w14:paraId="2C50958F" w14:textId="77777777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01E1D9E3" w14:textId="08BA4519" w:rsid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proofErr w:type="spellStart"/>
      <w:r>
        <w:rPr>
          <w:rFonts w:ascii="Times New Roman" w:hAnsi="Times New Roman" w:cs="Times New Roman"/>
          <w:lang w:val="en-US" w:bidi="lt-LT"/>
        </w:rPr>
        <w:t>arba</w:t>
      </w:r>
      <w:proofErr w:type="spellEnd"/>
    </w:p>
    <w:p w14:paraId="56E3ADA3" w14:textId="77777777" w:rsid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1D9EC9CD" w14:textId="77777777" w:rsidR="008615F1" w:rsidRP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 xml:space="preserve">Arrow </w:t>
      </w:r>
      <w:proofErr w:type="spellStart"/>
      <w:r w:rsidRPr="008615F1">
        <w:rPr>
          <w:rFonts w:ascii="Times New Roman" w:hAnsi="Times New Roman" w:cs="Times New Roman"/>
          <w:lang w:val="en-US" w:bidi="lt-LT"/>
        </w:rPr>
        <w:t>Generiques</w:t>
      </w:r>
      <w:proofErr w:type="spellEnd"/>
    </w:p>
    <w:p w14:paraId="6FB0895F" w14:textId="77777777" w:rsidR="008615F1" w:rsidRP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26 Avenue Tony Garnier</w:t>
      </w:r>
    </w:p>
    <w:p w14:paraId="629301CA" w14:textId="6B5CD473" w:rsidR="008615F1" w:rsidRPr="00D55CA0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pl-PL" w:bidi="lt-LT"/>
        </w:rPr>
      </w:pPr>
      <w:r w:rsidRPr="00D55CA0">
        <w:rPr>
          <w:rFonts w:ascii="Times New Roman" w:hAnsi="Times New Roman" w:cs="Times New Roman"/>
          <w:lang w:val="pl-PL" w:bidi="lt-LT"/>
        </w:rPr>
        <w:t>69007 Lyon</w:t>
      </w:r>
    </w:p>
    <w:p w14:paraId="14FFB082" w14:textId="784D6673" w:rsidR="008615F1" w:rsidRPr="00662C8B" w:rsidRDefault="00F17566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proofErr w:type="spellStart"/>
      <w:r w:rsidRPr="00D55CA0">
        <w:rPr>
          <w:rFonts w:ascii="Times New Roman" w:hAnsi="Times New Roman" w:cs="Times New Roman"/>
          <w:lang w:val="pl-PL" w:bidi="lt-LT"/>
        </w:rPr>
        <w:t>Prancūzija</w:t>
      </w:r>
      <w:proofErr w:type="spellEnd"/>
    </w:p>
    <w:p w14:paraId="7BEFFCE4" w14:textId="77777777" w:rsidR="0012551A" w:rsidRDefault="0012551A" w:rsidP="002B2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2BD4AD57" w14:textId="48110146" w:rsidR="006A2800" w:rsidRPr="002B25F1" w:rsidRDefault="006A2800" w:rsidP="002B2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lang w:bidi="lt-LT"/>
        </w:rPr>
        <w:t>Perpakavo</w:t>
      </w:r>
      <w:r w:rsidR="001C6DFF">
        <w:rPr>
          <w:rFonts w:ascii="Times New Roman" w:hAnsi="Times New Roman" w:cs="Times New Roman"/>
          <w:lang w:bidi="lt-LT"/>
        </w:rPr>
        <w:t xml:space="preserve"> UAB „</w:t>
      </w:r>
      <w:proofErr w:type="spellStart"/>
      <w:r w:rsidR="001C6DFF">
        <w:rPr>
          <w:rFonts w:ascii="Times New Roman" w:hAnsi="Times New Roman" w:cs="Times New Roman"/>
          <w:lang w:bidi="lt-LT"/>
        </w:rPr>
        <w:t>Norfachema</w:t>
      </w:r>
      <w:proofErr w:type="spellEnd"/>
      <w:r w:rsidR="001C6DFF">
        <w:rPr>
          <w:rFonts w:ascii="Times New Roman" w:hAnsi="Times New Roman" w:cs="Times New Roman"/>
          <w:lang w:bidi="lt-LT"/>
        </w:rPr>
        <w:t>“</w:t>
      </w:r>
    </w:p>
    <w:p w14:paraId="10C23A9E" w14:textId="77777777" w:rsidR="006A2800" w:rsidRPr="006A2800" w:rsidRDefault="006A2800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highlight w:val="lightGray"/>
        </w:rPr>
      </w:pPr>
    </w:p>
    <w:p w14:paraId="23E575DE" w14:textId="1E774E00" w:rsidR="008E5F06" w:rsidRDefault="006A2800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6A2800">
        <w:rPr>
          <w:rFonts w:ascii="Times New Roman" w:hAnsi="Times New Roman" w:cs="Times New Roman"/>
          <w:highlight w:val="lightGray"/>
          <w:lang w:bidi="lt-LT"/>
        </w:rPr>
        <w:t>Perpakavimo serija:</w:t>
      </w:r>
    </w:p>
    <w:p w14:paraId="101C57FD" w14:textId="77777777" w:rsidR="006A2800" w:rsidRDefault="006A2800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12C9F387" w14:textId="0B37C0BF" w:rsidR="008E5F06" w:rsidRPr="00D55CA0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u w:val="single"/>
          <w:lang w:bidi="lt-LT"/>
        </w:rPr>
      </w:pPr>
      <w:proofErr w:type="spellStart"/>
      <w:r w:rsidRPr="00D55CA0">
        <w:rPr>
          <w:rFonts w:ascii="Times New Roman" w:hAnsi="Times New Roman" w:cs="Times New Roman"/>
          <w:highlight w:val="lightGray"/>
          <w:u w:val="single"/>
          <w:lang w:bidi="lt-LT"/>
        </w:rPr>
        <w:t>Ambrisentano</w:t>
      </w:r>
      <w:proofErr w:type="spellEnd"/>
      <w:r w:rsidRPr="00D55CA0">
        <w:rPr>
          <w:rFonts w:ascii="Times New Roman" w:hAnsi="Times New Roman" w:cs="Times New Roman"/>
          <w:highlight w:val="lightGray"/>
          <w:u w:val="single"/>
          <w:lang w:bidi="lt-LT"/>
        </w:rPr>
        <w:t xml:space="preserve"> </w:t>
      </w:r>
      <w:proofErr w:type="spellStart"/>
      <w:r w:rsidRPr="00D55CA0">
        <w:rPr>
          <w:rFonts w:ascii="Times New Roman" w:hAnsi="Times New Roman" w:cs="Times New Roman"/>
          <w:highlight w:val="lightGray"/>
          <w:u w:val="single"/>
          <w:lang w:bidi="lt-LT"/>
        </w:rPr>
        <w:t>Generis</w:t>
      </w:r>
      <w:proofErr w:type="spellEnd"/>
      <w:r w:rsidRPr="00D55CA0">
        <w:rPr>
          <w:rFonts w:ascii="Times New Roman" w:hAnsi="Times New Roman" w:cs="Times New Roman"/>
          <w:highlight w:val="lightGray"/>
          <w:u w:val="single"/>
          <w:lang w:bidi="lt-LT"/>
        </w:rPr>
        <w:t xml:space="preserve"> </w:t>
      </w: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5 mg plėvele dengtos tabletės</w:t>
      </w:r>
    </w:p>
    <w:p w14:paraId="15A6A5F3" w14:textId="3E8E1FAD" w:rsidR="000546D6" w:rsidRPr="00D866A1" w:rsidRDefault="000546D6" w:rsidP="000546D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BD5B90">
        <w:rPr>
          <w:rFonts w:ascii="Times New Roman" w:hAnsi="Times New Roman" w:cs="Times New Roman"/>
          <w:i/>
          <w:iCs/>
          <w:highlight w:val="lightGray"/>
        </w:rPr>
        <w:t xml:space="preserve">Lygiagrečiai importuojamas vaistas skiriasi nuo referencinio vaisto išvaizda: lygiagrečiai importuojamas vaistas yra maždaug </w:t>
      </w:r>
      <w:r w:rsidR="00EC3D15" w:rsidRPr="00BD5B90">
        <w:rPr>
          <w:rFonts w:ascii="Times New Roman" w:hAnsi="Times New Roman" w:cs="Times New Roman"/>
          <w:i/>
          <w:iCs/>
          <w:highlight w:val="lightGray"/>
        </w:rPr>
        <w:t>6,9 </w:t>
      </w:r>
      <w:r w:rsidRPr="00BD5B90">
        <w:rPr>
          <w:rFonts w:ascii="Times New Roman" w:hAnsi="Times New Roman" w:cs="Times New Roman"/>
          <w:i/>
          <w:iCs/>
          <w:highlight w:val="lightGray"/>
        </w:rPr>
        <w:t>mm</w:t>
      </w:r>
      <w:r w:rsidR="003D1D97" w:rsidRPr="00BD5B90">
        <w:rPr>
          <w:rFonts w:ascii="Times New Roman" w:hAnsi="Times New Roman" w:cs="Times New Roman"/>
          <w:i/>
          <w:iCs/>
          <w:highlight w:val="lightGray"/>
        </w:rPr>
        <w:t xml:space="preserve"> dydžio</w:t>
      </w:r>
      <w:r w:rsidRPr="00BD5B90">
        <w:rPr>
          <w:rFonts w:ascii="Times New Roman" w:hAnsi="Times New Roman" w:cs="Times New Roman"/>
          <w:i/>
          <w:iCs/>
          <w:highlight w:val="lightGray"/>
        </w:rPr>
        <w:t>, vienoje pusėje įspausta „AS“, kitoje – „5“, referencinis –</w:t>
      </w:r>
      <w:r w:rsidR="00A50752" w:rsidRPr="00BD5B90">
        <w:rPr>
          <w:rFonts w:ascii="Times New Roman" w:hAnsi="Times New Roman" w:cs="Times New Roman"/>
          <w:i/>
          <w:iCs/>
          <w:highlight w:val="lightGray"/>
        </w:rPr>
        <w:t xml:space="preserve"> </w:t>
      </w:r>
      <w:r w:rsidRPr="00BD5B90">
        <w:rPr>
          <w:rFonts w:ascii="Times New Roman" w:hAnsi="Times New Roman" w:cs="Times New Roman"/>
          <w:i/>
          <w:iCs/>
          <w:highlight w:val="lightGray"/>
        </w:rPr>
        <w:t xml:space="preserve">maždaug 5,9 mm dydžio, </w:t>
      </w:r>
      <w:r w:rsidRPr="00BD5B90">
        <w:rPr>
          <w:rFonts w:ascii="Times New Roman" w:eastAsia="Times New Roman" w:hAnsi="Times New Roman" w:cs="Times New Roman"/>
          <w:i/>
          <w:iCs/>
          <w:snapToGrid w:val="0"/>
          <w:szCs w:val="24"/>
          <w:highlight w:val="lightGray"/>
        </w:rPr>
        <w:t>vienoje pusėje įspausta „5“, kita pusė lygi</w:t>
      </w:r>
      <w:r w:rsidRPr="00BD5B90">
        <w:rPr>
          <w:rFonts w:ascii="Times New Roman" w:hAnsi="Times New Roman" w:cs="Times New Roman"/>
          <w:i/>
          <w:iCs/>
          <w:highlight w:val="lightGray"/>
        </w:rPr>
        <w:t xml:space="preserve">; laikymo sąlygomis: lygiagrečiai importuojamam vaistui specialių laikymo sąlygų nereikia, referencinį vaistą laikyti </w:t>
      </w:r>
      <w:r w:rsidRPr="00BD5B90">
        <w:rPr>
          <w:rFonts w:ascii="Times New Roman" w:eastAsia="Times New Roman" w:hAnsi="Times New Roman" w:cs="Times New Roman"/>
          <w:i/>
          <w:iCs/>
          <w:snapToGrid w:val="0"/>
          <w:szCs w:val="24"/>
          <w:highlight w:val="lightGray"/>
        </w:rPr>
        <w:t>gamintojo pakuotėje</w:t>
      </w:r>
      <w:r w:rsidRPr="00BD5B90">
        <w:rPr>
          <w:rFonts w:ascii="Times New Roman" w:hAnsi="Times New Roman" w:cs="Times New Roman"/>
          <w:i/>
          <w:iCs/>
          <w:highlight w:val="lightGray"/>
        </w:rPr>
        <w:t>.</w:t>
      </w:r>
    </w:p>
    <w:p w14:paraId="01200C68" w14:textId="77777777" w:rsidR="008E5F06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70E1660D" w14:textId="1DB7C481" w:rsidR="008E5F06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proofErr w:type="spellStart"/>
      <w:r w:rsidRPr="00B03073">
        <w:rPr>
          <w:rFonts w:ascii="Times New Roman" w:hAnsi="Times New Roman" w:cs="Times New Roman"/>
          <w:highlight w:val="lightGray"/>
          <w:u w:val="single"/>
          <w:lang w:bidi="lt-LT"/>
        </w:rPr>
        <w:t>Ambrisentano</w:t>
      </w:r>
      <w:proofErr w:type="spellEnd"/>
      <w:r w:rsidRPr="00B03073">
        <w:rPr>
          <w:rFonts w:ascii="Times New Roman" w:hAnsi="Times New Roman" w:cs="Times New Roman"/>
          <w:highlight w:val="lightGray"/>
          <w:u w:val="single"/>
          <w:lang w:bidi="lt-LT"/>
        </w:rPr>
        <w:t xml:space="preserve"> </w:t>
      </w:r>
      <w:proofErr w:type="spellStart"/>
      <w:r w:rsidRPr="00B03073">
        <w:rPr>
          <w:rFonts w:ascii="Times New Roman" w:hAnsi="Times New Roman" w:cs="Times New Roman"/>
          <w:highlight w:val="lightGray"/>
          <w:u w:val="single"/>
          <w:lang w:bidi="lt-LT"/>
        </w:rPr>
        <w:t>Generis</w:t>
      </w:r>
      <w:proofErr w:type="spellEnd"/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49010A6F" w14:textId="777C1F82" w:rsidR="008E5F06" w:rsidRPr="00D866A1" w:rsidRDefault="008E5F06" w:rsidP="008E5F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BD5B90">
        <w:rPr>
          <w:rFonts w:ascii="Times New Roman" w:hAnsi="Times New Roman" w:cs="Times New Roman"/>
          <w:i/>
          <w:iCs/>
        </w:rPr>
        <w:t xml:space="preserve">Lygiagrečiai importuojamas vaistas skiriasi nuo referencinio vaisto </w:t>
      </w:r>
      <w:r w:rsidR="00B03073" w:rsidRPr="00BD5B90">
        <w:rPr>
          <w:rFonts w:ascii="Times New Roman" w:hAnsi="Times New Roman" w:cs="Times New Roman"/>
          <w:i/>
          <w:iCs/>
        </w:rPr>
        <w:t>išvaizda:</w:t>
      </w:r>
      <w:r w:rsidR="001F6C7E" w:rsidRPr="00BD5B90">
        <w:rPr>
          <w:rFonts w:ascii="Times New Roman" w:hAnsi="Times New Roman" w:cs="Times New Roman"/>
          <w:i/>
          <w:iCs/>
        </w:rPr>
        <w:t xml:space="preserve"> lygiagrečiai importuojamas vaistas yra</w:t>
      </w:r>
      <w:r w:rsidR="000A1D5C" w:rsidRPr="00BD5B90">
        <w:rPr>
          <w:rFonts w:ascii="Times New Roman" w:hAnsi="Times New Roman" w:cs="Times New Roman"/>
          <w:i/>
          <w:iCs/>
        </w:rPr>
        <w:t xml:space="preserve"> </w:t>
      </w:r>
      <w:r w:rsidR="000546D6" w:rsidRPr="00BD5B90">
        <w:rPr>
          <w:rFonts w:ascii="Times New Roman" w:hAnsi="Times New Roman" w:cs="Times New Roman"/>
          <w:i/>
          <w:iCs/>
        </w:rPr>
        <w:t xml:space="preserve">ryškiai rožinės spalvos, </w:t>
      </w:r>
      <w:r w:rsidR="000A1D5C" w:rsidRPr="00BD5B90">
        <w:rPr>
          <w:rFonts w:ascii="Times New Roman" w:hAnsi="Times New Roman" w:cs="Times New Roman"/>
          <w:i/>
          <w:iCs/>
        </w:rPr>
        <w:t>maždaug 9,8</w:t>
      </w:r>
      <w:r w:rsidR="00EC3D15" w:rsidRPr="00BD5B90">
        <w:rPr>
          <w:rFonts w:ascii="Times New Roman" w:hAnsi="Times New Roman" w:cs="Times New Roman"/>
          <w:i/>
          <w:iCs/>
        </w:rPr>
        <w:t> </w:t>
      </w:r>
      <w:r w:rsidR="000A1D5C" w:rsidRPr="00BD5B90">
        <w:rPr>
          <w:rFonts w:ascii="Times New Roman" w:hAnsi="Times New Roman" w:cs="Times New Roman"/>
          <w:i/>
          <w:iCs/>
        </w:rPr>
        <w:t>x</w:t>
      </w:r>
      <w:r w:rsidR="00EC3D15" w:rsidRPr="00BD5B90">
        <w:rPr>
          <w:rFonts w:ascii="Times New Roman" w:hAnsi="Times New Roman" w:cs="Times New Roman"/>
          <w:i/>
          <w:iCs/>
        </w:rPr>
        <w:t> </w:t>
      </w:r>
      <w:r w:rsidR="000A1D5C" w:rsidRPr="00BD5B90">
        <w:rPr>
          <w:rFonts w:ascii="Times New Roman" w:hAnsi="Times New Roman" w:cs="Times New Roman"/>
          <w:i/>
          <w:iCs/>
        </w:rPr>
        <w:t>4,9</w:t>
      </w:r>
      <w:r w:rsidR="007072D2" w:rsidRPr="00BD5B90">
        <w:rPr>
          <w:rFonts w:ascii="Times New Roman" w:hAnsi="Times New Roman" w:cs="Times New Roman"/>
          <w:i/>
          <w:iCs/>
        </w:rPr>
        <w:t> </w:t>
      </w:r>
      <w:r w:rsidR="000A1D5C" w:rsidRPr="00BD5B90">
        <w:rPr>
          <w:rFonts w:ascii="Times New Roman" w:hAnsi="Times New Roman" w:cs="Times New Roman"/>
          <w:i/>
          <w:iCs/>
        </w:rPr>
        <w:t>mm</w:t>
      </w:r>
      <w:r w:rsidR="003D1D97" w:rsidRPr="00BD5B90">
        <w:rPr>
          <w:rFonts w:ascii="Times New Roman" w:hAnsi="Times New Roman" w:cs="Times New Roman"/>
          <w:i/>
          <w:iCs/>
        </w:rPr>
        <w:t xml:space="preserve"> dydžio</w:t>
      </w:r>
      <w:r w:rsidR="000A1D5C" w:rsidRPr="00BD5B90">
        <w:rPr>
          <w:rFonts w:ascii="Times New Roman" w:hAnsi="Times New Roman" w:cs="Times New Roman"/>
          <w:i/>
          <w:iCs/>
        </w:rPr>
        <w:t>, vienoje pusėje įspausta „AS“, kitoje – „10“,</w:t>
      </w:r>
      <w:r w:rsidR="0048333C" w:rsidRPr="00BD5B90">
        <w:rPr>
          <w:rFonts w:ascii="Times New Roman" w:hAnsi="Times New Roman" w:cs="Times New Roman"/>
          <w:i/>
          <w:iCs/>
        </w:rPr>
        <w:t xml:space="preserve"> referencinis –</w:t>
      </w:r>
      <w:r w:rsidR="0064618E" w:rsidRPr="00BD5B90">
        <w:rPr>
          <w:rFonts w:ascii="Times New Roman" w:hAnsi="Times New Roman" w:cs="Times New Roman"/>
          <w:i/>
          <w:iCs/>
        </w:rPr>
        <w:t xml:space="preserve"> </w:t>
      </w:r>
      <w:r w:rsidR="000546D6" w:rsidRPr="00BD5B90">
        <w:rPr>
          <w:rFonts w:ascii="Times New Roman" w:hAnsi="Times New Roman" w:cs="Times New Roman"/>
          <w:i/>
          <w:iCs/>
        </w:rPr>
        <w:t xml:space="preserve">rožinės spalvos, </w:t>
      </w:r>
      <w:r w:rsidR="000A1D5C" w:rsidRPr="00BD5B90">
        <w:rPr>
          <w:rFonts w:ascii="Times New Roman" w:hAnsi="Times New Roman" w:cs="Times New Roman"/>
          <w:i/>
          <w:iCs/>
        </w:rPr>
        <w:t xml:space="preserve">maždaug </w:t>
      </w:r>
      <w:r w:rsidR="0048333C" w:rsidRPr="00BD5B90">
        <w:rPr>
          <w:rFonts w:ascii="Times New Roman" w:hAnsi="Times New Roman" w:cs="Times New Roman"/>
          <w:i/>
          <w:iCs/>
        </w:rPr>
        <w:t>11,1</w:t>
      </w:r>
      <w:r w:rsidR="001F6C7E" w:rsidRPr="00BD5B90">
        <w:rPr>
          <w:rFonts w:ascii="Times New Roman" w:hAnsi="Times New Roman" w:cs="Times New Roman"/>
          <w:i/>
          <w:iCs/>
        </w:rPr>
        <w:t> </w:t>
      </w:r>
      <w:r w:rsidR="0048333C" w:rsidRPr="00BD5B90">
        <w:rPr>
          <w:rFonts w:ascii="Times New Roman" w:hAnsi="Times New Roman" w:cs="Times New Roman"/>
          <w:i/>
          <w:iCs/>
        </w:rPr>
        <w:t>x</w:t>
      </w:r>
      <w:r w:rsidR="00EC3D15" w:rsidRPr="00BD5B90">
        <w:rPr>
          <w:rFonts w:ascii="Times New Roman" w:hAnsi="Times New Roman" w:cs="Times New Roman"/>
          <w:i/>
          <w:iCs/>
        </w:rPr>
        <w:t> </w:t>
      </w:r>
      <w:r w:rsidR="001F6C7E" w:rsidRPr="00BD5B90">
        <w:rPr>
          <w:rFonts w:ascii="Times New Roman" w:hAnsi="Times New Roman" w:cs="Times New Roman"/>
          <w:i/>
          <w:iCs/>
        </w:rPr>
        <w:t xml:space="preserve">5,6 mm dydžio, </w:t>
      </w:r>
      <w:r w:rsidR="0048333C" w:rsidRPr="00BD5B90">
        <w:rPr>
          <w:rFonts w:ascii="Times New Roman" w:eastAsia="Times New Roman" w:hAnsi="Times New Roman" w:cs="Times New Roman"/>
          <w:i/>
          <w:iCs/>
          <w:snapToGrid w:val="0"/>
          <w:szCs w:val="24"/>
        </w:rPr>
        <w:t>vienoje pusėje įspausta „10“, kita pusė lygi</w:t>
      </w:r>
      <w:r w:rsidR="0064618E" w:rsidRPr="00BD5B90">
        <w:rPr>
          <w:rFonts w:ascii="Times New Roman" w:hAnsi="Times New Roman" w:cs="Times New Roman"/>
          <w:i/>
          <w:iCs/>
        </w:rPr>
        <w:t>;</w:t>
      </w:r>
      <w:r w:rsidRPr="00BD5B90">
        <w:rPr>
          <w:rFonts w:ascii="Times New Roman" w:hAnsi="Times New Roman" w:cs="Times New Roman"/>
          <w:i/>
          <w:iCs/>
        </w:rPr>
        <w:t xml:space="preserve"> laikymo sąlygomis: lygiagrečiai importuojam</w:t>
      </w:r>
      <w:r w:rsidR="00131817" w:rsidRPr="00BD5B90">
        <w:rPr>
          <w:rFonts w:ascii="Times New Roman" w:hAnsi="Times New Roman" w:cs="Times New Roman"/>
          <w:i/>
          <w:iCs/>
        </w:rPr>
        <w:t>am</w:t>
      </w:r>
      <w:r w:rsidRPr="00BD5B90">
        <w:rPr>
          <w:rFonts w:ascii="Times New Roman" w:hAnsi="Times New Roman" w:cs="Times New Roman"/>
          <w:i/>
          <w:iCs/>
        </w:rPr>
        <w:t xml:space="preserve"> vaist</w:t>
      </w:r>
      <w:r w:rsidR="00131817" w:rsidRPr="00BD5B90">
        <w:rPr>
          <w:rFonts w:ascii="Times New Roman" w:hAnsi="Times New Roman" w:cs="Times New Roman"/>
          <w:i/>
          <w:iCs/>
        </w:rPr>
        <w:t>ui specialių laikymo sąlygų nereikia,</w:t>
      </w:r>
      <w:r w:rsidR="00131817" w:rsidRPr="00BD5B90" w:rsidDel="00131817">
        <w:rPr>
          <w:rFonts w:ascii="Times New Roman" w:hAnsi="Times New Roman" w:cs="Times New Roman"/>
          <w:i/>
          <w:iCs/>
        </w:rPr>
        <w:t xml:space="preserve"> </w:t>
      </w:r>
      <w:r w:rsidRPr="00BD5B90">
        <w:rPr>
          <w:rFonts w:ascii="Times New Roman" w:hAnsi="Times New Roman" w:cs="Times New Roman"/>
          <w:i/>
          <w:iCs/>
        </w:rPr>
        <w:t>referencin</w:t>
      </w:r>
      <w:r w:rsidR="00131817" w:rsidRPr="00BD5B90">
        <w:rPr>
          <w:rFonts w:ascii="Times New Roman" w:hAnsi="Times New Roman" w:cs="Times New Roman"/>
          <w:i/>
          <w:iCs/>
        </w:rPr>
        <w:t xml:space="preserve">į vaistą laikyti </w:t>
      </w:r>
      <w:r w:rsidR="009441C6" w:rsidRPr="00BD5B90">
        <w:rPr>
          <w:rFonts w:ascii="Times New Roman" w:eastAsia="Times New Roman" w:hAnsi="Times New Roman" w:cs="Times New Roman"/>
          <w:i/>
          <w:iCs/>
          <w:snapToGrid w:val="0"/>
          <w:szCs w:val="24"/>
        </w:rPr>
        <w:t>gamintojo pakuotėje</w:t>
      </w:r>
      <w:r w:rsidRPr="00BD5B90">
        <w:rPr>
          <w:rFonts w:ascii="Times New Roman" w:hAnsi="Times New Roman" w:cs="Times New Roman"/>
          <w:i/>
          <w:iCs/>
        </w:rPr>
        <w:t>.</w:t>
      </w:r>
    </w:p>
    <w:p w14:paraId="123A9CED" w14:textId="77777777" w:rsidR="002077EA" w:rsidRPr="00633873" w:rsidRDefault="002077EA">
      <w:pPr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0C1B488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DB9251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2D11EA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B92B09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58D26E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319958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78A255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9C6AD5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5F54B7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E5D9C3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83E4DA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9360D0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99FC8E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1EBE2B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16596A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150FDB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B219A0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320301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4E1483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19BE40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487EB6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D5DFE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A00C250" w14:textId="77777777" w:rsidR="00E31330" w:rsidRPr="00633873" w:rsidRDefault="00E31330" w:rsidP="00A35A18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A2B542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B. PAKUOTĖS LAPELIS</w:t>
      </w:r>
    </w:p>
    <w:p w14:paraId="7B471A07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i/>
          <w:snapToGrid w:val="0"/>
          <w:szCs w:val="20"/>
        </w:rPr>
        <w:br w:type="page"/>
      </w:r>
      <w:r w:rsidRPr="00633873">
        <w:rPr>
          <w:rFonts w:ascii="Times New Roman" w:eastAsia="Times New Roman" w:hAnsi="Times New Roman" w:cs="Times New Roman"/>
          <w:b/>
        </w:rPr>
        <w:lastRenderedPageBreak/>
        <w:t xml:space="preserve">Pakuotės lapelis: informacija </w:t>
      </w:r>
      <w:r w:rsidR="0095060B" w:rsidRPr="00633873">
        <w:rPr>
          <w:rFonts w:ascii="Times New Roman" w:eastAsia="Times New Roman" w:hAnsi="Times New Roman" w:cs="Times New Roman"/>
          <w:b/>
        </w:rPr>
        <w:t>pacientui</w:t>
      </w:r>
    </w:p>
    <w:p w14:paraId="71BE668A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070C0D5" w14:textId="3228EF4F" w:rsidR="00A35A18" w:rsidRPr="00633873" w:rsidRDefault="001A130C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</w:rPr>
        <w:t xml:space="preserve"> 5 mg plėvele dengtos tabletės</w:t>
      </w:r>
    </w:p>
    <w:p w14:paraId="70A2793A" w14:textId="0640B44B" w:rsidR="00A35A18" w:rsidRPr="00633873" w:rsidRDefault="001A130C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highlight w:val="lightGray"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  <w:highlight w:val="lightGra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lightGray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highlight w:val="lightGray"/>
        </w:rPr>
        <w:t xml:space="preserve"> 10 mg plėvele dengtos tabletės</w:t>
      </w:r>
    </w:p>
    <w:p w14:paraId="24119BB6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528F4F7C" w14:textId="77777777" w:rsidR="00A35A18" w:rsidRPr="00633873" w:rsidRDefault="0095060B" w:rsidP="00A35A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bCs/>
          <w:snapToGrid w:val="0"/>
          <w:szCs w:val="24"/>
        </w:rPr>
        <w:t>a</w:t>
      </w:r>
      <w:r w:rsidR="00A35A18" w:rsidRPr="00633873">
        <w:rPr>
          <w:rFonts w:ascii="Times New Roman" w:eastAsia="Times New Roman" w:hAnsi="Times New Roman" w:cs="Times New Roman"/>
          <w:bCs/>
          <w:snapToGrid w:val="0"/>
          <w:szCs w:val="24"/>
        </w:rPr>
        <w:t>mbrisentanas</w:t>
      </w:r>
      <w:proofErr w:type="spellEnd"/>
    </w:p>
    <w:p w14:paraId="5EE934FE" w14:textId="77777777" w:rsidR="00A35A18" w:rsidRPr="00633873" w:rsidRDefault="00A35A18" w:rsidP="00A35A18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  <w:szCs w:val="24"/>
        </w:rPr>
      </w:pPr>
    </w:p>
    <w:p w14:paraId="33A2D229" w14:textId="77777777" w:rsidR="00A35A18" w:rsidRPr="00633873" w:rsidRDefault="00A35A18" w:rsidP="00A35A18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vaistą, nes jame pateikiama Jums svarbi informacija.</w:t>
      </w:r>
    </w:p>
    <w:p w14:paraId="0865393A" w14:textId="77777777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Neišmeskite šio lapelio, nes vėl gali prireikti jį perskaityti. </w:t>
      </w:r>
    </w:p>
    <w:p w14:paraId="2E5120BE" w14:textId="616862C5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kiltų daugiau klausimų, kreipkitės į gydytoją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 xml:space="preserve"> arba slaugytoją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7961D51D" w14:textId="77777777" w:rsidR="00A35A18" w:rsidRPr="00633873" w:rsidRDefault="00A35A18" w:rsidP="00A35A1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-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>Šis vaistas skirtas tik Jums, todėl kitiems žmonėms jo duoti negalima. Vaistas gali jiems pakenkti (net tiems, kurių ligos požymiai yra tokie patys kaip Jūsų).</w:t>
      </w:r>
    </w:p>
    <w:p w14:paraId="3939AD4D" w14:textId="7B516727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 xml:space="preserve"> arba slaugytoj</w:t>
      </w:r>
      <w:r w:rsidR="00781DC8">
        <w:rPr>
          <w:rFonts w:ascii="Times New Roman" w:eastAsia="Times New Roman" w:hAnsi="Times New Roman" w:cs="Times New Roman"/>
          <w:snapToGrid w:val="0"/>
          <w:szCs w:val="24"/>
        </w:rPr>
        <w:t>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 Žr. 4</w:t>
      </w:r>
      <w:r w:rsidR="002D3ECE" w:rsidRPr="00633873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ų.</w:t>
      </w:r>
    </w:p>
    <w:p w14:paraId="74BA2EDF" w14:textId="77777777" w:rsidR="00A35A18" w:rsidRPr="00633873" w:rsidRDefault="00A35A18" w:rsidP="00A35A18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5A5214A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Apie ką rašoma šiame lapelyje?</w:t>
      </w:r>
    </w:p>
    <w:p w14:paraId="4AFAEC86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1750A5F3" w14:textId="7EED683A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1.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0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0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0BFB29E1" w14:textId="3102BD74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2.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Kas žinotina prieš vartojant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</w:p>
    <w:p w14:paraId="3D8264F8" w14:textId="733DDE45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3.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Kaip vartoti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</w:p>
    <w:p w14:paraId="4E685BD4" w14:textId="77777777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4.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1497B6C6" w14:textId="32966198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5.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0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0"/>
        </w:rPr>
        <w:t>Generis</w:t>
      </w:r>
      <w:proofErr w:type="spellEnd"/>
    </w:p>
    <w:p w14:paraId="1B4B8CD8" w14:textId="77777777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6.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>Pakuotės turinys ir kita informacija</w:t>
      </w:r>
    </w:p>
    <w:p w14:paraId="3C66F5D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4F1010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CC07867" w14:textId="596B471A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1.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3ED7D69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9514502" w14:textId="46F3840C" w:rsidR="00A35A18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sudėtyje yra veikliosios medžiagos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. Jis priklauso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antihipertenziniais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vaistais (vartojami </w:t>
      </w:r>
      <w:r w:rsidR="007D05F8" w:rsidRPr="00633873">
        <w:rPr>
          <w:rFonts w:ascii="Times New Roman" w:eastAsia="Times New Roman" w:hAnsi="Times New Roman" w:cs="Times New Roman"/>
          <w:snapToGrid w:val="0"/>
          <w:szCs w:val="24"/>
        </w:rPr>
        <w:t>padidėjusiam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kraujospūdži</w:t>
      </w:r>
      <w:r w:rsidR="007D05F8" w:rsidRPr="00633873">
        <w:rPr>
          <w:rFonts w:ascii="Times New Roman" w:eastAsia="Times New Roman" w:hAnsi="Times New Roman" w:cs="Times New Roman"/>
          <w:snapToGrid w:val="0"/>
          <w:szCs w:val="24"/>
        </w:rPr>
        <w:t>ui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gydyti) vadinamų vaistų grupei.</w:t>
      </w:r>
    </w:p>
    <w:p w14:paraId="4F92B3B4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DD16738" w14:textId="63C48D9E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 vartojamas suaugusiesiems,</w:t>
      </w:r>
      <w:r w:rsidR="00904BE7">
        <w:rPr>
          <w:rFonts w:ascii="Times New Roman" w:eastAsia="Times New Roman" w:hAnsi="Times New Roman" w:cs="Times New Roman"/>
          <w:snapToGrid w:val="0"/>
          <w:szCs w:val="24"/>
        </w:rPr>
        <w:t xml:space="preserve"> paaugliams ir vyresniems kaip 8 metų vaikams,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sergantiems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plautine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hipertenzija (PH), gydyti. </w:t>
      </w:r>
      <w:r w:rsidR="008B75B3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Sergant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PH būna padidėjęs kraujospūdis kraujagyslėse (plaučių arterijose), kuriomis kraujas teka iš širdies į plaučius. </w:t>
      </w:r>
      <w:r w:rsidR="008B75B3" w:rsidRPr="00633873">
        <w:rPr>
          <w:rFonts w:ascii="Times New Roman" w:eastAsia="Times New Roman" w:hAnsi="Times New Roman" w:cs="Times New Roman"/>
          <w:snapToGrid w:val="0"/>
          <w:szCs w:val="24"/>
        </w:rPr>
        <w:t>PH sergantiems ž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monėms šios arterijos susiaurėja, todėl širdžiai darosi sunkiau jomis </w:t>
      </w:r>
      <w:r w:rsidR="005F06C0" w:rsidRPr="00633873">
        <w:rPr>
          <w:rFonts w:ascii="Times New Roman" w:eastAsia="Times New Roman" w:hAnsi="Times New Roman" w:cs="Times New Roman"/>
          <w:snapToGrid w:val="0"/>
          <w:szCs w:val="24"/>
        </w:rPr>
        <w:t>stumti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kraują. Dėl to atsiranda nuovargis, svaigulys ir dusulys.</w:t>
      </w:r>
    </w:p>
    <w:p w14:paraId="2571B52C" w14:textId="77777777" w:rsidR="00A35A18" w:rsidRPr="00633873" w:rsidRDefault="00A35A18" w:rsidP="005F06C0">
      <w:pPr>
        <w:numPr>
          <w:ilvl w:val="12"/>
          <w:numId w:val="0"/>
        </w:numPr>
        <w:tabs>
          <w:tab w:val="left" w:pos="780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402D0F" w14:textId="15276E69" w:rsidR="00A35A18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praplečia plaučių arterijas, todėl širdžiai darosi lengviau jomis </w:t>
      </w:r>
      <w:r w:rsidR="005F06C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stumti 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kraują. Tai sumažina kraujospūdį ir palengvina simptomus.</w:t>
      </w:r>
    </w:p>
    <w:p w14:paraId="6A3123EE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70D4448" w14:textId="77F30CDC" w:rsidR="00A35A18" w:rsidRPr="00633873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taip pat galima vartoti kartu su kitais vaistais, kuriais gydoma PH.</w:t>
      </w:r>
    </w:p>
    <w:p w14:paraId="130161F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717F21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CAFEA8C" w14:textId="5F7E9EC9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2.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Generis</w:t>
      </w:r>
      <w:proofErr w:type="spellEnd"/>
    </w:p>
    <w:p w14:paraId="73C5D68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7C4A2F6" w14:textId="31C98E2C" w:rsidR="00A35A18" w:rsidRPr="00633873" w:rsidRDefault="001A130C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vartoti </w:t>
      </w:r>
      <w:r w:rsidR="00904BE7">
        <w:rPr>
          <w:rFonts w:ascii="Times New Roman" w:eastAsia="Times New Roman" w:hAnsi="Times New Roman" w:cs="Times New Roman"/>
          <w:b/>
          <w:bCs/>
        </w:rPr>
        <w:t>draudžiama</w:t>
      </w:r>
      <w:r w:rsidR="00A35A18" w:rsidRPr="00633873">
        <w:rPr>
          <w:rFonts w:ascii="Times New Roman" w:eastAsia="Times New Roman" w:hAnsi="Times New Roman" w:cs="Times New Roman"/>
          <w:b/>
          <w:bCs/>
        </w:rPr>
        <w:t>:</w:t>
      </w:r>
    </w:p>
    <w:p w14:paraId="1DAC72A3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yra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alergija </w:t>
      </w:r>
      <w:proofErr w:type="spellStart"/>
      <w:r w:rsidRPr="009F7541">
        <w:rPr>
          <w:rFonts w:ascii="Times New Roman" w:eastAsia="Times New Roman" w:hAnsi="Times New Roman" w:cs="Times New Roman"/>
          <w:snapToGrid w:val="0"/>
          <w:szCs w:val="24"/>
        </w:rPr>
        <w:t>ambrisentanui</w:t>
      </w:r>
      <w:proofErr w:type="spellEnd"/>
      <w:r w:rsidRPr="009F7541">
        <w:rPr>
          <w:rFonts w:ascii="Times New Roman" w:eastAsia="Times New Roman" w:hAnsi="Times New Roman" w:cs="Times New Roman"/>
          <w:snapToGrid w:val="0"/>
          <w:szCs w:val="24"/>
        </w:rPr>
        <w:t>, žemės riešutams, sojai arba bet kuriai pagalbinei šio vaisto medžiagai (jos išvardytos 6</w:t>
      </w:r>
      <w:r w:rsidR="002D3ECE" w:rsidRPr="009F7541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uje);</w:t>
      </w:r>
    </w:p>
    <w:p w14:paraId="7BB6A4B0" w14:textId="3791A0F1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>jeigu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esate nėščia, planuojate pastoti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arba galite pastoti, nes nenaudojate </w:t>
      </w:r>
      <w:r w:rsidR="007D05F8" w:rsidRPr="009F7541">
        <w:rPr>
          <w:rFonts w:ascii="Times New Roman" w:eastAsia="Times New Roman" w:hAnsi="Times New Roman" w:cs="Times New Roman"/>
          <w:snapToGrid w:val="0"/>
          <w:szCs w:val="24"/>
        </w:rPr>
        <w:t>veiksmingų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 priemonių apsisaugoti nuo nėštumo (kontracepcijos). Žr. informaciją poskyryje „Nėštumas“;</w:t>
      </w:r>
    </w:p>
    <w:p w14:paraId="28D8ED19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maitinate krūtimi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. Žr. informaciją poskyryje „Žindymo laikotarpis“;</w:t>
      </w:r>
    </w:p>
    <w:p w14:paraId="250CA6FC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sergate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kepenų liga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. Pasitarkite su gydytoju, kuris nuspręs, ar šis vaistas </w:t>
      </w:r>
      <w:r w:rsidR="00F61F20"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Jums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tinka;</w:t>
      </w:r>
    </w:p>
    <w:p w14:paraId="716ECF49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dėl neaiškių priežasčių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randėja plaučiai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yra idiopatinė plaučių fibrozė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4313172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E6B57AE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070F905F" w14:textId="1C600068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Pasitarkite su gydytoju, prieš pradėdami vartoti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yra:</w:t>
      </w:r>
    </w:p>
    <w:p w14:paraId="7B223E09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sutrikusi kepenų veikla;</w:t>
      </w:r>
    </w:p>
    <w:p w14:paraId="6BB2E1F1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lastRenderedPageBreak/>
        <w:t>mažakraujystė (sumažėjęs raudonųjų kraujo ląstelių kiekis);</w:t>
      </w:r>
    </w:p>
    <w:p w14:paraId="4892D25C" w14:textId="68D81CB5" w:rsidR="00A35A18" w:rsidRPr="00633873" w:rsidRDefault="007D05F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rankų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kulkšnių arba pėdų patinimas dėl skysčių susikaupimo (</w:t>
      </w:r>
      <w:r w:rsidR="00A35A18"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periferinė edema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439CFE58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plaučių liga, kuria sergant užsikemša plaučių venos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 xml:space="preserve">plaučių venų </w:t>
      </w:r>
      <w:proofErr w:type="spellStart"/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okliuzinė</w:t>
      </w:r>
      <w:proofErr w:type="spellEnd"/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 xml:space="preserve"> liga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78D6578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1E89C8D" w14:textId="5333855E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Arial" w:eastAsia="Times New Roman" w:hAnsi="Arial" w:cs="Arial"/>
          <w:snapToGrid w:val="0"/>
          <w:color w:val="545454"/>
          <w:sz w:val="21"/>
          <w:szCs w:val="21"/>
          <w:shd w:val="clear" w:color="auto" w:fill="FFFFFF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Jūsų gydytojas nuspręs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ar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Jums tinka.</w:t>
      </w:r>
    </w:p>
    <w:p w14:paraId="63CAA43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00AA765" w14:textId="77777777" w:rsidR="00A35A18" w:rsidRPr="009F7541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Jums reikės reguliariai tirti kraują</w:t>
      </w:r>
    </w:p>
    <w:p w14:paraId="63C4D097" w14:textId="098D4D6F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Gydytojas tirs Jūsų kraują prieš pradedant gydymą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gydymo metu, kad nustatytų:</w:t>
      </w:r>
    </w:p>
    <w:p w14:paraId="10831749" w14:textId="77777777" w:rsidR="00A35A18" w:rsidRPr="00633873" w:rsidRDefault="00A35A18" w:rsidP="009F7541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nėra mažakraujystės;</w:t>
      </w:r>
    </w:p>
    <w:p w14:paraId="10210A9D" w14:textId="77777777" w:rsidR="00A35A18" w:rsidRPr="00633873" w:rsidRDefault="00A35A18" w:rsidP="009F7541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kepenų veikla yra tinkama.</w:t>
      </w:r>
    </w:p>
    <w:p w14:paraId="5EA0DA4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BE22324" w14:textId="1327EC9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Svarbu, kad Jums reguliariai būtų atliekami kraujo tyrimai visu gydymo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laikotarpiu.</w:t>
      </w:r>
    </w:p>
    <w:p w14:paraId="0D6AFE0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C9F7C13" w14:textId="77777777" w:rsidR="00A35A18" w:rsidRPr="009F7541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Galimi kepenų veiklos sutrikimo požymiai yra:</w:t>
      </w:r>
    </w:p>
    <w:p w14:paraId="6D67CD93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apetito netekimas;</w:t>
      </w:r>
    </w:p>
    <w:p w14:paraId="42467717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šleikštulys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pykinimas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24537C68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vėmimas;</w:t>
      </w:r>
    </w:p>
    <w:p w14:paraId="31D86D76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aukšta temperatūra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karščiavimas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56EC0CE0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skrandžio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pilvo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 skausmas;</w:t>
      </w:r>
    </w:p>
    <w:p w14:paraId="38B6D261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ir akių baltymų pageltimas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gelta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58B1A762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tamsios spalvos šlapimas;</w:t>
      </w:r>
    </w:p>
    <w:p w14:paraId="326F33C4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niežėjimas.</w:t>
      </w:r>
    </w:p>
    <w:p w14:paraId="6F21C5E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B16D94" w14:textId="45D23FD1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pastebėsite bet kurį iš išvardytų požymių</w:t>
      </w:r>
    </w:p>
    <w:p w14:paraId="1AC5B7F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nedelsdami pasakykite gydytojui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E3003B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30B0356" w14:textId="7E44B8F3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Vaikams</w:t>
      </w:r>
    </w:p>
    <w:p w14:paraId="588B9FC8" w14:textId="545FB566" w:rsidR="00A35A18" w:rsidRPr="00633873" w:rsidRDefault="00904BE7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Šio vaisto negalima skirti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jaunesniems kaip 8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metų </w:t>
      </w:r>
      <w:r w:rsidR="005B1DF9">
        <w:rPr>
          <w:rFonts w:ascii="Times New Roman" w:eastAsia="Times New Roman" w:hAnsi="Times New Roman" w:cs="Times New Roman"/>
          <w:snapToGrid w:val="0"/>
          <w:szCs w:val="24"/>
        </w:rPr>
        <w:t>vaikams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nes vaisto saugumas ir veiksmingumas šios amžiaus grupės pacientams nežinomi.</w:t>
      </w:r>
    </w:p>
    <w:p w14:paraId="7F7D959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0FDFF1AF" w14:textId="2677DA24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="001A130C">
        <w:rPr>
          <w:rFonts w:ascii="Times New Roman" w:eastAsia="Times New Roman" w:hAnsi="Times New Roman" w:cs="Times New Roman"/>
          <w:b/>
          <w:bCs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</w:rPr>
        <w:t>Generis</w:t>
      </w:r>
      <w:proofErr w:type="spellEnd"/>
    </w:p>
    <w:p w14:paraId="1D4792EE" w14:textId="776161FB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ar neseniai vartojote kitų vaistų arba dėl to nesate tikri, apie tai </w:t>
      </w:r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DF8DEEB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DDC6B75" w14:textId="5EF85BA3" w:rsidR="00A35A18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J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eigu Jūs pradėsite vartoti </w:t>
      </w:r>
      <w:proofErr w:type="spellStart"/>
      <w:r w:rsidR="00A35A1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ciklosporin</w:t>
      </w:r>
      <w:r w:rsidR="005F194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o</w:t>
      </w:r>
      <w:proofErr w:type="spellEnd"/>
      <w:r w:rsidR="00A35A1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(vaist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vartojam</w:t>
      </w:r>
      <w:r w:rsidR="00A70716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po organų persodinimo arba žvynelinei gydyti)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, Jūsų gydytojas gali pakoreguoti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dozę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C134DC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B9BC92C" w14:textId="527A3B7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</w:t>
      </w:r>
      <w:proofErr w:type="spellStart"/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rifampicin</w:t>
      </w:r>
      <w:r w:rsidR="005F194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(antibiotik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kuriuo gydomos sunkios infekcinės ligos), gydytojas stebės Jūsų būklę pradėjus gydymą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2817CD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C9E43F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kitų vaistų PH gydyti (pvz.,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iloprost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epoprostenol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io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sildenafil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io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), Jūsų gydytojui gali tekti Jus stebėti.</w:t>
      </w:r>
    </w:p>
    <w:p w14:paraId="7EA2B6C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34B75F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vartojate bet kurį iš nurodytų vaistų.</w:t>
      </w:r>
    </w:p>
    <w:p w14:paraId="40F8837B" w14:textId="301F4A76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B785BB9" w14:textId="682AA8D1" w:rsidR="0006197D" w:rsidRPr="00570F2A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4"/>
        </w:rPr>
        <w:t>Nėštumas, žindymo laikotarpis ir vaisingumas</w:t>
      </w:r>
    </w:p>
    <w:p w14:paraId="2D9CDE18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8D8D2DD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Nėštumas</w:t>
      </w:r>
    </w:p>
    <w:p w14:paraId="511E1F35" w14:textId="5F0AFEA1" w:rsidR="00A35A18" w:rsidRPr="00633873" w:rsidRDefault="001A130C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pakenkti negimusiam kūdikiui, jei apvaisinimas įvyko prieš gydymą, gydymo metu ar netrukus po gydymo.</w:t>
      </w:r>
    </w:p>
    <w:p w14:paraId="0BA0139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71B56F4" w14:textId="34332388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yra galimybė pastoti, naudokite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veiksmingas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priemones apsisaugoti nuo nėštumo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(kontracepciją), kol vartojate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</w:t>
      </w:r>
      <w:r w:rsidR="00F01AA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apie tai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EE387B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9DB20DF" w14:textId="3F9A648A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Nevartokite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, jei</w:t>
      </w:r>
      <w:r w:rsidR="004E7ED3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esate nėščia ar planuojate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7688E23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C5BB564" w14:textId="7A599B66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pastojote ar manote, kad galėjote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tuo metu, kai vartojote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nedelsdama kreipkitės į savo gydytoją.</w:t>
      </w:r>
    </w:p>
    <w:p w14:paraId="654AB3F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DE5ECB4" w14:textId="03A6B19B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Jums yra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gali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mybė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pastoti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, gydytojas Jūsų paprašys atlikti nėštumo testą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prieš pradedant vartoti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šio vaisto vartojimo laikotarpiu.</w:t>
      </w:r>
    </w:p>
    <w:p w14:paraId="78B6B2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3EB7F59" w14:textId="6B46DE34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Žindym</w:t>
      </w:r>
      <w:r w:rsidR="0006197D">
        <w:rPr>
          <w:rFonts w:ascii="Times New Roman" w:eastAsia="Times New Roman" w:hAnsi="Times New Roman" w:cs="Times New Roman"/>
          <w:b/>
          <w:bCs/>
          <w:snapToGrid w:val="0"/>
          <w:szCs w:val="24"/>
        </w:rPr>
        <w:t>o laikotarpis</w:t>
      </w:r>
    </w:p>
    <w:p w14:paraId="4C812384" w14:textId="4C35C8B2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Nežinoma, ar </w:t>
      </w:r>
      <w:r w:rsidR="005B1DF9">
        <w:rPr>
          <w:rFonts w:ascii="Times New Roman" w:eastAsia="Times New Roman" w:hAnsi="Times New Roman" w:cs="Times New Roman"/>
          <w:snapToGrid w:val="0"/>
          <w:szCs w:val="24"/>
        </w:rPr>
        <w:t xml:space="preserve">veiklioji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5B1DF9">
        <w:rPr>
          <w:rFonts w:ascii="Times New Roman" w:eastAsia="Times New Roman" w:hAnsi="Times New Roman" w:cs="Times New Roman"/>
          <w:snapToGrid w:val="0"/>
          <w:szCs w:val="24"/>
        </w:rPr>
        <w:t xml:space="preserve"> medžiaga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išsiskiria į motinos pieną.</w:t>
      </w:r>
    </w:p>
    <w:p w14:paraId="113C62E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4AB43F5" w14:textId="1B896249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Nežindykite, kol vartojate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apie tai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495AFA8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248DAF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Vaisingumas</w:t>
      </w:r>
    </w:p>
    <w:p w14:paraId="00040C3F" w14:textId="203E8549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</w:t>
      </w:r>
      <w:r w:rsidR="00211A9F">
        <w:rPr>
          <w:rFonts w:ascii="Times New Roman" w:eastAsia="Times New Roman" w:hAnsi="Times New Roman" w:cs="Times New Roman"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esate vyras ir vartojate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gali būti, kad šis vaistas sumažins Jūsų spermatozoidų kiekį. Jei</w:t>
      </w:r>
      <w:r w:rsidR="00211A9F">
        <w:rPr>
          <w:rFonts w:ascii="Times New Roman" w:eastAsia="Times New Roman" w:hAnsi="Times New Roman" w:cs="Times New Roman"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kiltų kokių nors klausimų arba abejonių dėl tokio poveikio, klauskite gydytojo.</w:t>
      </w:r>
    </w:p>
    <w:p w14:paraId="3656854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044F8ED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610E598A" w14:textId="293FD7F1" w:rsidR="00A35A18" w:rsidRPr="00633873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sukelti šalutinį poveikį, pvz., kraujospūdžio sumažėjimą, svaigulį, nuovargį (žr. 4</w:t>
      </w:r>
      <w:r w:rsidR="002D3ECE" w:rsidRPr="00633873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ų), kuris gali paveikti Jūsų gebėjimą vairuoti ar valdyti mechanizmus. Be to, Jūsų sveikatos būklės simptomai gali trukdyti Jums vairuoti arba valdyti mechanizmus.</w:t>
      </w:r>
    </w:p>
    <w:p w14:paraId="7E8DDAD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31291C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Nevairuokite ir nevaldykite mechanizmų, jei jaučiatės blogai.</w:t>
      </w:r>
    </w:p>
    <w:p w14:paraId="1A6E4C9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47D0E88" w14:textId="2B696A99" w:rsidR="00A35A18" w:rsidRPr="00633873" w:rsidRDefault="001A130C" w:rsidP="00212F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sudėtyje yra laktozės</w:t>
      </w:r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12F88" w:rsidRPr="00633873">
        <w:rPr>
          <w:rFonts w:ascii="Times New Roman" w:eastAsia="Times New Roman" w:hAnsi="Times New Roman" w:cs="Times New Roman"/>
          <w:b/>
          <w:bCs/>
        </w:rPr>
        <w:t>monohidrato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, </w:t>
      </w:r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sojų </w:t>
      </w:r>
      <w:proofErr w:type="spellStart"/>
      <w:r w:rsidR="00A35A18" w:rsidRPr="00633873">
        <w:rPr>
          <w:rFonts w:ascii="Times New Roman" w:eastAsia="Times New Roman" w:hAnsi="Times New Roman" w:cs="Times New Roman"/>
          <w:b/>
          <w:bCs/>
        </w:rPr>
        <w:t>lecitino</w:t>
      </w:r>
      <w:proofErr w:type="spellEnd"/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 ir</w:t>
      </w:r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35A18" w:rsidRPr="00633873">
        <w:rPr>
          <w:rFonts w:ascii="Times New Roman" w:eastAsia="Times New Roman" w:hAnsi="Times New Roman" w:cs="Times New Roman"/>
          <w:b/>
          <w:bCs/>
        </w:rPr>
        <w:t>Alura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raudonojo AC (E129)</w:t>
      </w:r>
    </w:p>
    <w:p w14:paraId="1CA32A6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gydytojas Jums yra sakęs, kad netoleruojate kokių nors angliavandenių, kreipkitės į jį prieš pradėdami vartoti šį vaistą.</w:t>
      </w:r>
    </w:p>
    <w:p w14:paraId="3A9FB28D" w14:textId="77777777" w:rsidR="00212F88" w:rsidRPr="00633873" w:rsidRDefault="00212F88" w:rsidP="00212F8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Šio vaisto 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vienoje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tabletėje yra mažiau kaip 1 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mmol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(23 mg) natrio, t. y. jis beveik neturi reikšmės.</w:t>
      </w:r>
    </w:p>
    <w:p w14:paraId="1B9196FA" w14:textId="77777777" w:rsidR="00A35A18" w:rsidRPr="00633873" w:rsidRDefault="00212F8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Šio vaisto sudėtyje yra sojų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>lecitino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>. Jei esate alergiškas (alergiška) žemės riešutams arba sojai, Jums šio vaisto vartoti negalima.</w:t>
      </w:r>
    </w:p>
    <w:p w14:paraId="3B59C0CC" w14:textId="77777777" w:rsidR="00A35A18" w:rsidRPr="00633873" w:rsidRDefault="00212F8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Šio vaisto 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>sudėtyje yra dažiklio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, vadinamo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>Alura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raudon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uoju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AC (E129), kuris gali sukelti alerginių reakcijų.</w:t>
      </w:r>
    </w:p>
    <w:p w14:paraId="7D4632F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1F0EC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7875765" w14:textId="4135E950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3.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Generis</w:t>
      </w:r>
      <w:proofErr w:type="spellEnd"/>
    </w:p>
    <w:p w14:paraId="6E30626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13C09C5" w14:textId="4600E0A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Visada vartokite šį vaistą tiksliai</w:t>
      </w:r>
      <w:r w:rsidR="00B502FD">
        <w:rPr>
          <w:rFonts w:ascii="Times New Roman" w:eastAsia="Times New Roman" w:hAnsi="Times New Roman" w:cs="Times New Roman"/>
          <w:b/>
          <w:bCs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kaip nurodė gydytojas arba vaistininkas.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Jeigu abejojate, kreipkitės į gydytoją arba vaistininką.</w:t>
      </w:r>
    </w:p>
    <w:p w14:paraId="074FAA4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43315E" w14:textId="7B678212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Kiek </w:t>
      </w:r>
      <w:r w:rsidR="00657777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vartoti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Generis</w:t>
      </w:r>
      <w:proofErr w:type="spellEnd"/>
    </w:p>
    <w:p w14:paraId="25C0F205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</w:p>
    <w:p w14:paraId="4C7B8127" w14:textId="62424960" w:rsidR="005B1DF9" w:rsidRPr="009F7541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Suaugusiesiems</w:t>
      </w:r>
    </w:p>
    <w:p w14:paraId="2AC9AE01" w14:textId="0ED625D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Įprastinė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dozė yra viena 5 mg tabletė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kartą per parą. Gydytojas gali nuspręsti padidinti dozę iki 10 mg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(dviejų 5 mg tablečių arba vienos 10 mg tabletės) vieną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kartą per parą.</w:t>
      </w:r>
    </w:p>
    <w:p w14:paraId="1625217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980FE63" w14:textId="57448489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ciklosporiną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A, negalite gerti daugiau kaip vieną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5 mg tabletę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vieną kartą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per parą.</w:t>
      </w:r>
    </w:p>
    <w:p w14:paraId="54ABEBFD" w14:textId="284BAB2B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A23F1F3" w14:textId="49667A55" w:rsidR="005B1DF9" w:rsidRDefault="005B1DF9" w:rsidP="009F7541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Paaugliams ir vaikams nuo 8 iki 18 metų amžiaus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1DF9" w:rsidRPr="005B1DF9" w14:paraId="0F517D3B" w14:textId="77777777" w:rsidTr="009F7541">
        <w:trPr>
          <w:trHeight w:val="369"/>
        </w:trPr>
        <w:tc>
          <w:tcPr>
            <w:tcW w:w="9060" w:type="dxa"/>
            <w:gridSpan w:val="2"/>
            <w:vAlign w:val="center"/>
          </w:tcPr>
          <w:p w14:paraId="3DFF89AD" w14:textId="7A9D6F75" w:rsidR="005B1DF9" w:rsidRPr="009F7541" w:rsidRDefault="005B1DF9" w:rsidP="005B1DF9">
            <w:pPr>
              <w:numPr>
                <w:ilvl w:val="12"/>
                <w:numId w:val="0"/>
              </w:numPr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2"/>
                <w:szCs w:val="22"/>
                <w:lang w:val="it-IT"/>
              </w:rPr>
            </w:pPr>
            <w:r w:rsidRPr="00C85BE7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 xml:space="preserve">Įprastinė pradinė </w:t>
            </w:r>
            <w:r w:rsidR="001A130C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>Ambrisentano Generis</w:t>
            </w:r>
            <w:r w:rsidRPr="00C85BE7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 xml:space="preserve"> dozė</w:t>
            </w:r>
          </w:p>
        </w:tc>
      </w:tr>
      <w:tr w:rsidR="005B1DF9" w:rsidRPr="005B1DF9" w14:paraId="3D6DFEE7" w14:textId="77777777" w:rsidTr="009F7541">
        <w:trPr>
          <w:trHeight w:val="274"/>
        </w:trPr>
        <w:tc>
          <w:tcPr>
            <w:tcW w:w="4530" w:type="dxa"/>
            <w:vAlign w:val="center"/>
          </w:tcPr>
          <w:p w14:paraId="443DE992" w14:textId="4977AF95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Kūno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svoris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35 kg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ar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didesnis</w:t>
            </w:r>
            <w:proofErr w:type="spellEnd"/>
          </w:p>
        </w:tc>
        <w:tc>
          <w:tcPr>
            <w:tcW w:w="4530" w:type="dxa"/>
            <w:vAlign w:val="center"/>
          </w:tcPr>
          <w:p w14:paraId="1636552B" w14:textId="1026D45D" w:rsidR="005B1DF9" w:rsidRPr="009F7541" w:rsidRDefault="005B1DF9" w:rsidP="005B1DF9">
            <w:pPr>
              <w:pStyle w:val="Default"/>
              <w:rPr>
                <w:sz w:val="22"/>
                <w:szCs w:val="22"/>
              </w:rPr>
            </w:pPr>
            <w:r w:rsidRPr="005B1DF9">
              <w:rPr>
                <w:sz w:val="22"/>
                <w:szCs w:val="22"/>
              </w:rPr>
              <w:t>Viena 5 mg</w:t>
            </w:r>
            <w:r w:rsidRPr="005B1D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1DF9">
              <w:rPr>
                <w:sz w:val="22"/>
                <w:szCs w:val="22"/>
              </w:rPr>
              <w:t>tabletė</w:t>
            </w:r>
            <w:proofErr w:type="spellEnd"/>
            <w:r w:rsidRPr="005B1DF9">
              <w:rPr>
                <w:sz w:val="22"/>
                <w:szCs w:val="22"/>
              </w:rPr>
              <w:t xml:space="preserve">, </w:t>
            </w:r>
            <w:proofErr w:type="spellStart"/>
            <w:r w:rsidRPr="005B1DF9">
              <w:rPr>
                <w:sz w:val="22"/>
                <w:szCs w:val="22"/>
              </w:rPr>
              <w:t>vieną</w:t>
            </w:r>
            <w:proofErr w:type="spellEnd"/>
            <w:r w:rsidRPr="005B1DF9">
              <w:rPr>
                <w:sz w:val="22"/>
                <w:szCs w:val="22"/>
              </w:rPr>
              <w:t xml:space="preserve"> </w:t>
            </w:r>
            <w:proofErr w:type="spellStart"/>
            <w:r w:rsidRPr="005B1DF9">
              <w:rPr>
                <w:sz w:val="22"/>
                <w:szCs w:val="22"/>
              </w:rPr>
              <w:t>kartą</w:t>
            </w:r>
            <w:proofErr w:type="spellEnd"/>
            <w:r w:rsidRPr="005B1DF9">
              <w:rPr>
                <w:sz w:val="22"/>
                <w:szCs w:val="22"/>
              </w:rPr>
              <w:t xml:space="preserve"> per </w:t>
            </w:r>
            <w:proofErr w:type="spellStart"/>
            <w:r w:rsidRPr="005B1DF9">
              <w:rPr>
                <w:sz w:val="22"/>
                <w:szCs w:val="22"/>
              </w:rPr>
              <w:t>parą</w:t>
            </w:r>
            <w:proofErr w:type="spellEnd"/>
            <w:r w:rsidRPr="005B1DF9">
              <w:rPr>
                <w:sz w:val="22"/>
                <w:szCs w:val="22"/>
              </w:rPr>
              <w:t xml:space="preserve"> </w:t>
            </w:r>
          </w:p>
        </w:tc>
      </w:tr>
      <w:tr w:rsidR="005B1DF9" w:rsidRPr="005B1DF9" w14:paraId="7413CE9F" w14:textId="77777777" w:rsidTr="009F7541">
        <w:trPr>
          <w:trHeight w:val="575"/>
        </w:trPr>
        <w:tc>
          <w:tcPr>
            <w:tcW w:w="4530" w:type="dxa"/>
            <w:vAlign w:val="center"/>
          </w:tcPr>
          <w:p w14:paraId="3FD8CB2B" w14:textId="64702485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Kūno svoris ne mažesnis kaip 20 kg ir mažesnis kaip 35 kg</w:t>
            </w:r>
          </w:p>
        </w:tc>
        <w:tc>
          <w:tcPr>
            <w:tcW w:w="4530" w:type="dxa"/>
            <w:vAlign w:val="center"/>
          </w:tcPr>
          <w:p w14:paraId="7AF715FF" w14:textId="221731A0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Viena 2,5</w:t>
            </w:r>
            <w:r w:rsidR="000F77C3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*</w:t>
            </w: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 mg tabletė, vieną kartą per parą</w:t>
            </w:r>
          </w:p>
        </w:tc>
      </w:tr>
    </w:tbl>
    <w:p w14:paraId="143B025B" w14:textId="2E853F8B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8E37337" w14:textId="02F061D2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>Gydytojas gali nuspręsti Jūsų dozę padidinti. Svarbu, kad vaikas reguliariai lankytųsi pas gydytoją, nes jam tampant vyresniu ir didėjant kūno svoriui reikia koreguoti dozę.</w:t>
      </w:r>
    </w:p>
    <w:p w14:paraId="5AE555F5" w14:textId="6757D77E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FF2E1B4" w14:textId="4BD9A4B6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Jei kartu vartojama </w:t>
      </w:r>
      <w:proofErr w:type="spellStart"/>
      <w:r w:rsidRPr="005B1DF9">
        <w:rPr>
          <w:rFonts w:ascii="Times New Roman" w:eastAsia="Times New Roman" w:hAnsi="Times New Roman" w:cs="Times New Roman"/>
          <w:snapToGrid w:val="0"/>
          <w:szCs w:val="24"/>
        </w:rPr>
        <w:t>ciklosporino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A, vaikams ir paaugliams galima vartoti ne didesnę kaip 2,5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mažesnis kaip 50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>kg) arba ne didesnę kaip 5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5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kg ar didesnis).</w:t>
      </w:r>
    </w:p>
    <w:p w14:paraId="0D01D87E" w14:textId="77777777" w:rsidR="0006197D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2131270" w14:textId="7790BD78" w:rsidR="005B1DF9" w:rsidRDefault="000F77C3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* Jei</w:t>
      </w:r>
      <w:r w:rsidR="00B71F64">
        <w:rPr>
          <w:rFonts w:ascii="Times New Roman" w:eastAsia="Times New Roman" w:hAnsi="Times New Roman" w:cs="Times New Roman"/>
          <w:snapToGrid w:val="0"/>
          <w:szCs w:val="24"/>
        </w:rPr>
        <w:t>gu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reikalinga 2,5 mg dozė, turi būti vartojamas kitas rinkoje esantis </w:t>
      </w:r>
      <w:r w:rsidR="008E05A5">
        <w:rPr>
          <w:rFonts w:ascii="Times New Roman" w:eastAsia="Times New Roman" w:hAnsi="Times New Roman" w:cs="Times New Roman"/>
          <w:snapToGrid w:val="0"/>
          <w:szCs w:val="24"/>
        </w:rPr>
        <w:t>vais</w:t>
      </w:r>
      <w:r>
        <w:rPr>
          <w:rFonts w:ascii="Times New Roman" w:eastAsia="Times New Roman" w:hAnsi="Times New Roman" w:cs="Times New Roman"/>
          <w:snapToGrid w:val="0"/>
          <w:szCs w:val="24"/>
        </w:rPr>
        <w:t>tas.</w:t>
      </w:r>
    </w:p>
    <w:p w14:paraId="1117F8DF" w14:textId="77777777" w:rsidR="000F77C3" w:rsidRPr="005B1DF9" w:rsidRDefault="000F77C3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2892273" w14:textId="4D07416D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Kaip vartoti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Generis</w:t>
      </w:r>
      <w:proofErr w:type="spellEnd"/>
    </w:p>
    <w:p w14:paraId="41FB71F0" w14:textId="1F100E79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Geriausia tabletę išgerti kasdien tuo pačiu metu. Prarykite tabletę visą (tabletės negalima dalyti, smulkinti ar kramtyti) ir užsigerkite stikline vandens.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galima vartoti ir valgant, ir nevalgius.</w:t>
      </w:r>
    </w:p>
    <w:p w14:paraId="664EEE0F" w14:textId="77777777" w:rsidR="0001518C" w:rsidRPr="00633873" w:rsidRDefault="0001518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0FA889" w14:textId="0D0497A6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</w:t>
      </w:r>
    </w:p>
    <w:p w14:paraId="5CC18FF8" w14:textId="615C7038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atsitiktinai išgėrėte per daug tablečių, yra didesnė tikimybė, kad pasireikš šalutinis poveikis, pvz., galvos skausmas, paraudimas, svaigulys, pykinimas </w:t>
      </w:r>
      <w:r w:rsidR="0001518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(šleikštulys)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arba kraujospūdžio sumažėjimas, 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dėl kurio </w:t>
      </w:r>
      <w:r w:rsidR="0001518C" w:rsidRPr="00633873">
        <w:rPr>
          <w:rFonts w:ascii="Times New Roman" w:eastAsia="Times New Roman" w:hAnsi="Times New Roman" w:cs="Times New Roman"/>
          <w:snapToGrid w:val="0"/>
          <w:szCs w:val="24"/>
        </w:rPr>
        <w:t>gali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pasireikšti galvos sukimasis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8BD153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8E34C3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Kreipkitės patarimo į gydytoją arba vaistininką, jeigu išgėrėte daugiau tablečių nei buvo paskirta.</w:t>
      </w:r>
    </w:p>
    <w:p w14:paraId="22F0FD5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2345830" w14:textId="5000C89B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</w:p>
    <w:p w14:paraId="7D27F1E4" w14:textId="6DA1988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Pamiršus išgerti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dozę, tiesiog išgerkite tabletę, kai tik atsiminsite, o toliau vaistą vartokite įprastai.</w:t>
      </w:r>
    </w:p>
    <w:p w14:paraId="0077AA7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D39424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Negalima vartoti dvigubos dozės norint kompensuoti praleistą dozę.</w:t>
      </w:r>
    </w:p>
    <w:p w14:paraId="14E6D4B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67A3E56" w14:textId="7A24773C" w:rsidR="00A35A18" w:rsidRPr="00633873" w:rsidRDefault="002D1D4C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Nustojus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vartoti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</w:p>
    <w:p w14:paraId="4AB65BFF" w14:textId="50B36CC0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Gydymas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reikalingas tam, kad galėtumėte nuolat kontroliuoti PH.</w:t>
      </w:r>
    </w:p>
    <w:p w14:paraId="50F4135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E96B1F1" w14:textId="0EAE9F13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→ Nenustokite vartoti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, </w:t>
      </w:r>
      <w:r w:rsidR="001D31E3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nebent Jums tai nurodė gydytojas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.</w:t>
      </w:r>
    </w:p>
    <w:p w14:paraId="3635536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6CC682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Jeigu kiltų daugiau klausimų dėl šio vaisto vartojimo, kreipkitės į gydytoją arba vaistininką.</w:t>
      </w:r>
    </w:p>
    <w:p w14:paraId="5AC3CD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4B05A1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C7DA224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4.</w:t>
      </w:r>
      <w:r w:rsidRPr="00633873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1AC1FAE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EC214E8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vaistas, kaip ir visi kiti, gali sukelti šalutinį poveikį, nors jis pasireiškia ne visiems žmonėms.</w:t>
      </w:r>
    </w:p>
    <w:p w14:paraId="16A8BE3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</w:p>
    <w:p w14:paraId="49BFD896" w14:textId="572811F5" w:rsidR="00A35A18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Sunk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</w:p>
    <w:p w14:paraId="1BDB5B8F" w14:textId="5C70BD6E" w:rsidR="000F77C3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Pasakykite savo gydytojui, jei pasireikš bet kuris toliau paminėtas poveikis.</w:t>
      </w:r>
    </w:p>
    <w:p w14:paraId="6C201B32" w14:textId="77777777" w:rsidR="000F77C3" w:rsidRPr="000F77C3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5FE4CD1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Alerginės reakcijos</w:t>
      </w:r>
    </w:p>
    <w:p w14:paraId="679C6941" w14:textId="5C194D5B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B375D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EB0D8F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 Galite pastebėti išbėrimą, niežėjimą ir patinimą (paprastai veido, lūpų, liežuvio ar gerklės), kuris gali apsunkinti kvėpavimą ar rijimą.</w:t>
      </w:r>
    </w:p>
    <w:p w14:paraId="767EDF8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C51C349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Patinimas (edema), ypač kulkšnių ir pėdų</w:t>
      </w:r>
    </w:p>
    <w:p w14:paraId="67BDBCEE" w14:textId="51B9716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5E5ECA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EB0D8F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</w:p>
    <w:p w14:paraId="7505E893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EB841BD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Širdies nepakankamumas</w:t>
      </w:r>
    </w:p>
    <w:p w14:paraId="7DBEF70D" w14:textId="524051FC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Jis pasireiškia tada, kai širdis nepajėgia išstumti pakankamai kraujo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="00E71C1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E71C1A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 kaip 1 iš 10</w:t>
      </w:r>
      <w:r w:rsidR="00BD049E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E71C1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dusulys, labai 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didelis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nuovargis bei kulkšnių ir 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pėdų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patinimas. </w:t>
      </w:r>
    </w:p>
    <w:p w14:paraId="2218B69E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9229FD8" w14:textId="4A56665D" w:rsidR="00A35A18" w:rsidRPr="00E71C1A" w:rsidRDefault="00E71C1A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Sumažėjęs 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raudonųjų kraujo ląstelių kieki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(</w:t>
      </w:r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mažakraujystė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305AF025" w14:textId="08961B06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5E5ECA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3C6C78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Kartais prireikia kraujo perpylimo.</w:t>
      </w:r>
      <w:r w:rsidR="00E71C1A"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Galimi simptomai: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nuovargis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ir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silpnumas, dusulys ir bloga bendroji savijauta.</w:t>
      </w:r>
    </w:p>
    <w:p w14:paraId="2BBB8AA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54C28F31" w14:textId="6F7A5E7C" w:rsidR="00A35A18" w:rsidRPr="00633873" w:rsidRDefault="00E71C1A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M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ažas kraujospūdis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hipotenzija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46FC2DEE" w14:textId="293A9F55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B375D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3C6C78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 svaigulys.</w:t>
      </w:r>
    </w:p>
    <w:p w14:paraId="537AE936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D51B015" w14:textId="065B6DF2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→ Nedelsdami praneškite gydytojui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, jei</w:t>
      </w:r>
      <w:r w:rsidR="00D63E44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0F77C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Jums (ar Jūsų vaikui)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pasireiškė toks poveikis, ypač jeigu jis </w:t>
      </w:r>
      <w:r w:rsidR="001D31E3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atsirado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staiga po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Generis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1D31E3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pavartojimo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</w:p>
    <w:p w14:paraId="31DCEBF3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03548659" w14:textId="40BF3854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Svarbu reguliariai atlikti kraujo tyrimus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, kad būtų galima stebėti, ar nepasireiškia mažakraujystė ir ar tinkamai veikia Jūsų kepenys.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Būtinai perskaitykite informaciją, esančią 2</w:t>
      </w:r>
      <w:r w:rsidR="002D3ECE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skyri</w:t>
      </w:r>
      <w:r w:rsidR="000B375D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uje poskyriuose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„Jums reikės reguliariai tirti kraują“ ir „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Galimi kepenų veiklos sutrikimo požymiai yra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“.</w:t>
      </w:r>
    </w:p>
    <w:p w14:paraId="5CB2B93B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4F78EF6A" w14:textId="58A0A66A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Kit</w:t>
      </w:r>
      <w:r w:rsid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šalutinis poveikis</w:t>
      </w:r>
    </w:p>
    <w:p w14:paraId="6D85A453" w14:textId="7C958812" w:rsidR="00A35A18" w:rsidRPr="009F7541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Labai dažn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 reiškiniai</w:t>
      </w:r>
      <w:r w:rsidR="007D387C" w:rsidRPr="009F7541">
        <w:rPr>
          <w:rFonts w:ascii="Times New Roman" w:hAnsi="Times New Roman" w:cs="Times New Roman"/>
          <w:b/>
          <w:bCs/>
        </w:rPr>
        <w:t xml:space="preserve"> (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F9533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:</w:t>
      </w:r>
    </w:p>
    <w:p w14:paraId="3AFDF6CB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galvos skausmas;</w:t>
      </w:r>
    </w:p>
    <w:p w14:paraId="3BF1A04A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svaigulys;</w:t>
      </w:r>
    </w:p>
    <w:p w14:paraId="3F9F08DB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palpitacijos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(dažno ar nereguliaraus širdies plakimo pojūtis);</w:t>
      </w:r>
    </w:p>
    <w:p w14:paraId="53238875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dusulio pasunkėjimas netrukus po to, kai pradedama vartoti </w:t>
      </w:r>
      <w:proofErr w:type="spellStart"/>
      <w:r w:rsidR="007D387C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mbrisentan</w:t>
      </w:r>
      <w:r w:rsidR="007D387C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;</w:t>
      </w:r>
    </w:p>
    <w:p w14:paraId="1536D49C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 arba nosies užsikimšimas, prienosinių ančių paburkimas ar skausmas;</w:t>
      </w:r>
    </w:p>
    <w:p w14:paraId="738731EC" w14:textId="05EE8BAA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pykinimas;</w:t>
      </w:r>
    </w:p>
    <w:p w14:paraId="24930EFE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viduriavimas;</w:t>
      </w:r>
    </w:p>
    <w:p w14:paraId="38B2DB40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nuovargio jutimas.</w:t>
      </w:r>
    </w:p>
    <w:p w14:paraId="4091E9D6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8C48A70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(kitu vaistu nuo PH)</w:t>
      </w:r>
    </w:p>
    <w:p w14:paraId="66FFC067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Papildomai (nei paminėta aukščiau) gali pasireikšti:</w:t>
      </w:r>
    </w:p>
    <w:p w14:paraId="7C8527D3" w14:textId="77777777" w:rsidR="00A35A18" w:rsidRPr="00633873" w:rsidRDefault="000B375D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veido ir kaklo </w:t>
      </w:r>
      <w:r w:rsidR="00A35A18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paraudimas (paraudusi oda);</w:t>
      </w:r>
    </w:p>
    <w:p w14:paraId="1B55C5E3" w14:textId="77777777" w:rsidR="00A35A18" w:rsidRPr="00633873" w:rsidRDefault="00A35A18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44954F3C" w14:textId="6239C27E" w:rsidR="00A35A18" w:rsidRPr="00633873" w:rsidRDefault="00A35A18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</w:t>
      </w:r>
      <w:r w:rsidR="00F9533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/</w:t>
      </w:r>
      <w:r w:rsidR="00F9533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diskomfortas.</w:t>
      </w:r>
    </w:p>
    <w:p w14:paraId="2F0D8C5C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5CE7DEA" w14:textId="0F920C5C" w:rsidR="007D387C" w:rsidRPr="009F7541" w:rsidRDefault="00A35A18" w:rsidP="007D38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Dažn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reiškiniai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(gali pasireikšti </w:t>
      </w:r>
      <w:r w:rsidR="000B375D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F9533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):</w:t>
      </w:r>
    </w:p>
    <w:p w14:paraId="4DC14157" w14:textId="19B5A706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neryškus mat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ymas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arba kiti regėjimo sutrikimai;</w:t>
      </w:r>
    </w:p>
    <w:p w14:paraId="09F47D7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apalpimas;</w:t>
      </w:r>
    </w:p>
    <w:p w14:paraId="037D6C4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nenormalūs kepenų veiklą rodančių kraujo tyrimų rezultatai;</w:t>
      </w:r>
    </w:p>
    <w:p w14:paraId="7DAF04C0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(sloga)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;</w:t>
      </w:r>
    </w:p>
    <w:p w14:paraId="3E5645B7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vidurių užkietėjimas;</w:t>
      </w:r>
    </w:p>
    <w:p w14:paraId="0EBD630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skrandžio (pilvo) skausmas;</w:t>
      </w:r>
    </w:p>
    <w:p w14:paraId="128C224A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 arba diskomfortas;</w:t>
      </w:r>
    </w:p>
    <w:p w14:paraId="250C2D34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paraudimas (paraudusi oda);</w:t>
      </w:r>
    </w:p>
    <w:p w14:paraId="5F2EDFD5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244DD435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silpnumo pojūtis;</w:t>
      </w:r>
    </w:p>
    <w:p w14:paraId="58D2C952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kraujavimas iš nosies;</w:t>
      </w:r>
    </w:p>
    <w:p w14:paraId="2982475A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išbėrimas.</w:t>
      </w:r>
    </w:p>
    <w:p w14:paraId="05F8052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16E9E775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</w:p>
    <w:p w14:paraId="266141E1" w14:textId="10897AD3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Papildomai (nei paminėta aukščiau 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(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išskyrus nenormalius kepenų veiklą rodančių kraujo tyrimų rezultatus) gali pasireikšti:</w:t>
      </w:r>
    </w:p>
    <w:p w14:paraId="7C292E6D" w14:textId="3D5AF52D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spengimas ausyse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ūžesys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52E6F5B2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016C8F4D" w14:textId="70F0D599" w:rsidR="009757E0" w:rsidRPr="009F7541" w:rsidRDefault="00A35A18" w:rsidP="009757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Nedažn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 reiškiniai</w:t>
      </w:r>
      <w:r w:rsidR="009757E0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(gali pasireikšti </w:t>
      </w:r>
      <w:r w:rsidR="000B375D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5E5ECA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100</w:t>
      </w:r>
      <w:r w:rsidR="007F71E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):</w:t>
      </w:r>
    </w:p>
    <w:p w14:paraId="3CC22416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pažeidimas;</w:t>
      </w:r>
    </w:p>
    <w:p w14:paraId="7EEF32C9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uždegimas, kurį sukelia pačio organizmo gynybinės sistemos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autoimuninis hepatitas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397C49AC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02320AD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lastRenderedPageBreak/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</w:p>
    <w:p w14:paraId="0EA97AD9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staigus apkurtimas.</w:t>
      </w:r>
    </w:p>
    <w:p w14:paraId="16DA7CD3" w14:textId="228C6D70" w:rsidR="00A35A18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0FBCA930" w14:textId="77777777" w:rsidR="005E5ECA" w:rsidRPr="009F7541" w:rsidRDefault="005E5ECA" w:rsidP="005E5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b/>
          <w:bCs/>
          <w:color w:val="000000"/>
        </w:rPr>
        <w:t xml:space="preserve">Šalutinis poveikis, kuris gali pasireikšti vaikams ir paaugliams </w:t>
      </w:r>
    </w:p>
    <w:p w14:paraId="004F2055" w14:textId="0CCCB71D" w:rsidR="005E5ECA" w:rsidRDefault="005E5ECA" w:rsidP="005E5EC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color w:val="000000"/>
        </w:rPr>
        <w:t>Tikėtina, kad šalutinis poveikis bus panašus į išvardytą suaugusiesiems.</w:t>
      </w:r>
    </w:p>
    <w:p w14:paraId="24998FC8" w14:textId="77777777" w:rsidR="005E5ECA" w:rsidRPr="00633873" w:rsidRDefault="005E5ECA" w:rsidP="005E5E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6F361A6" w14:textId="77777777" w:rsidR="00A35A18" w:rsidRPr="00633873" w:rsidRDefault="00A35A18" w:rsidP="009F754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51F60395" w14:textId="7C9F996F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 w:rsidR="00484ABB">
        <w:rPr>
          <w:rFonts w:ascii="Times New Roman" w:eastAsia="Times New Roman" w:hAnsi="Times New Roman" w:cs="Times New Roman"/>
          <w:snapToGrid w:val="0"/>
          <w:szCs w:val="20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vaistininkui</w:t>
      </w:r>
      <w:r w:rsidR="00484ABB">
        <w:rPr>
          <w:rFonts w:ascii="Times New Roman" w:eastAsia="Times New Roman" w:hAnsi="Times New Roman" w:cs="Times New Roman"/>
          <w:snapToGrid w:val="0"/>
          <w:szCs w:val="20"/>
        </w:rPr>
        <w:t xml:space="preserve"> arba </w:t>
      </w:r>
      <w:r w:rsidR="00484ABB" w:rsidRPr="0065133F">
        <w:rPr>
          <w:rFonts w:ascii="Times New Roman" w:eastAsia="Times New Roman" w:hAnsi="Times New Roman" w:cs="Times New Roman"/>
          <w:snapToGrid w:val="0"/>
        </w:rPr>
        <w:t>slaugytojui</w:t>
      </w:r>
      <w:r w:rsidRPr="0065133F">
        <w:rPr>
          <w:rFonts w:ascii="Times New Roman" w:eastAsia="Times New Roman" w:hAnsi="Times New Roman" w:cs="Times New Roman"/>
          <w:snapToGrid w:val="0"/>
        </w:rPr>
        <w:t xml:space="preserve">. </w:t>
      </w:r>
      <w:r w:rsidR="00B72E72" w:rsidRPr="00B72E72">
        <w:rPr>
          <w:rFonts w:ascii="Times New Roman" w:eastAsia="Times New Roman" w:hAnsi="Times New Roman" w:cs="Times New Roman"/>
          <w:color w:val="00000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saugumą.</w:t>
      </w:r>
    </w:p>
    <w:p w14:paraId="65F442A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66AD93C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2C0AF8FC" w14:textId="3090746C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5.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Ambrisentano</w:t>
      </w:r>
      <w:proofErr w:type="spellEnd"/>
      <w:r w:rsidR="001A130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A130C">
        <w:rPr>
          <w:rFonts w:ascii="Times New Roman" w:eastAsia="Times New Roman" w:hAnsi="Times New Roman" w:cs="Times New Roman"/>
          <w:b/>
        </w:rPr>
        <w:t>Generis</w:t>
      </w:r>
      <w:proofErr w:type="spellEnd"/>
    </w:p>
    <w:p w14:paraId="3BFE9E2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20650BB" w14:textId="77777777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Šį vaistą laikykite vaikams nepastebimoje ir nepasiekiamoje vietoje.</w:t>
      </w:r>
    </w:p>
    <w:p w14:paraId="52872772" w14:textId="77777777" w:rsidR="005F2428" w:rsidRDefault="005F242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62C1729" w14:textId="32F6CA75" w:rsidR="005F2428" w:rsidRPr="00633873" w:rsidRDefault="005F2428" w:rsidP="005F242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>Ši</w:t>
      </w:r>
      <w:r w:rsidR="00C91137">
        <w:rPr>
          <w:rFonts w:ascii="Times New Roman" w:eastAsia="Times New Roman" w:hAnsi="Times New Roman" w:cs="Times New Roman"/>
          <w:snapToGrid w:val="0"/>
          <w:color w:val="0D0D0D"/>
          <w:szCs w:val="24"/>
        </w:rPr>
        <w:t>am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vaist</w:t>
      </w:r>
      <w:r w:rsidR="00C91137">
        <w:rPr>
          <w:rFonts w:ascii="Times New Roman" w:eastAsia="Times New Roman" w:hAnsi="Times New Roman" w:cs="Times New Roman"/>
          <w:snapToGrid w:val="0"/>
          <w:color w:val="0D0D0D"/>
          <w:szCs w:val="24"/>
        </w:rPr>
        <w:t>ui specialių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laikym</w:t>
      </w:r>
      <w:r w:rsidR="00232C63">
        <w:rPr>
          <w:rFonts w:ascii="Times New Roman" w:eastAsia="Times New Roman" w:hAnsi="Times New Roman" w:cs="Times New Roman"/>
          <w:snapToGrid w:val="0"/>
          <w:color w:val="0D0D0D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sąlygų nereik</w:t>
      </w:r>
      <w:r>
        <w:rPr>
          <w:rFonts w:ascii="Times New Roman" w:eastAsia="Times New Roman" w:hAnsi="Times New Roman" w:cs="Times New Roman"/>
          <w:snapToGrid w:val="0"/>
          <w:color w:val="0D0D0D"/>
          <w:szCs w:val="24"/>
        </w:rPr>
        <w:t>ia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>.</w:t>
      </w:r>
    </w:p>
    <w:p w14:paraId="3753D48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60BFFA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Ant dėžutės ir lizdinės plokštelės po „EXP“ nurodytam tinkamumo laikui pasibaigus, šio vaisto vartoti negalima. Vaistas tinkamas vartoti iki paskutinės nurodyto mėnesio dienos.</w:t>
      </w:r>
    </w:p>
    <w:p w14:paraId="3DE2E18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3F33B4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14:paraId="653706C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B0D2D7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396B24F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6.</w:t>
      </w:r>
      <w:r w:rsidRPr="00633873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1743466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0AEFF499" w14:textId="101FA5B0" w:rsidR="00A35A18" w:rsidRPr="00633873" w:rsidRDefault="001A130C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</w:t>
      </w:r>
    </w:p>
    <w:p w14:paraId="328740A3" w14:textId="77777777" w:rsidR="003124B1" w:rsidRPr="00633873" w:rsidRDefault="00A35A18" w:rsidP="00A35A1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Veiklioji medžiaga yra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ambrisentanas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9C789C1" w14:textId="2923FF18" w:rsidR="003124B1" w:rsidRPr="00096B81" w:rsidRDefault="001A130C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Generis</w:t>
      </w:r>
      <w:proofErr w:type="spellEnd"/>
      <w:r w:rsidR="003124B1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5 mg plėvele dengtos tabletės</w:t>
      </w:r>
    </w:p>
    <w:p w14:paraId="46FC711A" w14:textId="77777777" w:rsidR="003124B1" w:rsidRPr="00633873" w:rsidRDefault="003124B1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Kiekvienoje tabletėje yra 5 mg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5D8BD0EE" w14:textId="64FE115C" w:rsidR="003124B1" w:rsidRPr="00096B81" w:rsidRDefault="001A130C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>Generis</w:t>
      </w:r>
      <w:proofErr w:type="spellEnd"/>
      <w:r w:rsidR="003124B1"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10 mg plėvele dengtos tabletės</w:t>
      </w:r>
    </w:p>
    <w:p w14:paraId="57DB162C" w14:textId="77777777" w:rsidR="003124B1" w:rsidRPr="00633873" w:rsidRDefault="003124B1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096B81">
        <w:rPr>
          <w:rFonts w:ascii="Times New Roman" w:eastAsia="Times New Roman" w:hAnsi="Times New Roman" w:cs="Times New Roman"/>
          <w:snapToGrid w:val="0"/>
          <w:szCs w:val="24"/>
        </w:rPr>
        <w:t xml:space="preserve">Kiekvienoje tabletėje yra 10 mg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0AEE7C6A" w14:textId="77777777" w:rsidR="003124B1" w:rsidRPr="00633873" w:rsidRDefault="00A35A18" w:rsidP="00A35A1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Pagalbinės medžiagos</w:t>
      </w:r>
    </w:p>
    <w:p w14:paraId="7A27AD98" w14:textId="01ECE7DE" w:rsidR="003124B1" w:rsidRPr="00633873" w:rsidRDefault="003124B1" w:rsidP="003124B1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Tabletės branduolys: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252286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laktozė </w:t>
      </w:r>
      <w:proofErr w:type="spellStart"/>
      <w:r w:rsidR="00252286" w:rsidRPr="00633873">
        <w:rPr>
          <w:rFonts w:ascii="Times New Roman" w:eastAsia="Times New Roman" w:hAnsi="Times New Roman" w:cs="Times New Roman"/>
          <w:snapToGrid w:val="0"/>
          <w:szCs w:val="24"/>
        </w:rPr>
        <w:t>monohidratas</w:t>
      </w:r>
      <w:proofErr w:type="spellEnd"/>
      <w:r w:rsidR="00252286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="00252286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mikrokristalinė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celiuliozė (E460),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kroskarmeliozės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natrio druska (E468), magnio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stearatas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(E572)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F3B9E2C" w14:textId="4651BDE5" w:rsidR="00A35A18" w:rsidRPr="00633873" w:rsidRDefault="003124B1" w:rsidP="003124B1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Tabletės plėvelė: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polivinilo alkoholis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(E1203)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A22864" w:rsidRPr="00633873">
        <w:rPr>
          <w:rFonts w:ascii="Times New Roman" w:eastAsia="Times New Roman" w:hAnsi="Times New Roman" w:cs="Times New Roman"/>
          <w:snapToGrid w:val="0"/>
          <w:szCs w:val="24"/>
        </w:rPr>
        <w:t>talkas (E553b)</w:t>
      </w:r>
      <w:r w:rsidR="00A22864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titano dioksidas (E171),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makrogolis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 3350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lecitinas</w:t>
      </w:r>
      <w:proofErr w:type="spellEnd"/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(sojų) (E322)</w:t>
      </w:r>
      <w:r w:rsidR="00CE2E89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="00CE2E89" w:rsidRPr="00633873">
        <w:rPr>
          <w:rFonts w:ascii="Times New Roman" w:eastAsia="Times New Roman" w:hAnsi="Times New Roman" w:cs="Times New Roman"/>
          <w:snapToGrid w:val="0"/>
          <w:szCs w:val="24"/>
        </w:rPr>
        <w:t>Alura</w:t>
      </w:r>
      <w:proofErr w:type="spellEnd"/>
      <w:r w:rsidR="00CE2E89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raudonasis AC (E129)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D2FE4D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16BB4D3" w14:textId="0D548810" w:rsidR="00A35A18" w:rsidRPr="00633873" w:rsidRDefault="001A130C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Generis</w:t>
      </w:r>
      <w:proofErr w:type="spellEnd"/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1C04C1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80CE00" w14:textId="7EF496B7" w:rsidR="007F3B55" w:rsidRPr="00096B81" w:rsidRDefault="001A130C" w:rsidP="009F7541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Generis</w:t>
      </w:r>
      <w:proofErr w:type="spellEnd"/>
      <w:r w:rsidR="007F3B55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5 mg plėvele dengtos tabletės</w:t>
      </w:r>
    </w:p>
    <w:p w14:paraId="516BD4AA" w14:textId="2221FEB5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Šviesiai rausva, kvadratinė,</w:t>
      </w:r>
      <w:r w:rsidR="001634F7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maždaug </w:t>
      </w:r>
      <w:r w:rsidR="001D2A91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6,9 mm,</w:t>
      </w:r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 išgaubta plėvele dengta tabletė, vienoje pusėje įspausta „</w:t>
      </w:r>
      <w:r w:rsidR="001D2A91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AS</w:t>
      </w:r>
      <w:r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“, kit</w:t>
      </w:r>
      <w:r w:rsidR="001D2A91" w:rsidRPr="00096B8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oje – „5“.</w:t>
      </w:r>
    </w:p>
    <w:p w14:paraId="30CA6D54" w14:textId="77777777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D0F4BF" w14:textId="0D352C0A" w:rsidR="007F3B55" w:rsidRPr="00096B81" w:rsidRDefault="001A130C" w:rsidP="009F7541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Ambrisentano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>Generis</w:t>
      </w:r>
      <w:proofErr w:type="spellEnd"/>
      <w:r w:rsidR="007F3B55" w:rsidRPr="00096B81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10 mg plėvele dengtos tabletės</w:t>
      </w:r>
    </w:p>
    <w:p w14:paraId="4B4A3D4B" w14:textId="63084937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096B81">
        <w:rPr>
          <w:rFonts w:ascii="Times New Roman" w:eastAsia="Times New Roman" w:hAnsi="Times New Roman" w:cs="Times New Roman"/>
          <w:snapToGrid w:val="0"/>
          <w:szCs w:val="24"/>
        </w:rPr>
        <w:t>R</w:t>
      </w:r>
      <w:r w:rsidR="00084FFE" w:rsidRPr="00096B81">
        <w:rPr>
          <w:rFonts w:ascii="Times New Roman" w:eastAsia="Times New Roman" w:hAnsi="Times New Roman" w:cs="Times New Roman"/>
          <w:snapToGrid w:val="0"/>
          <w:szCs w:val="24"/>
        </w:rPr>
        <w:t>yškiai r</w:t>
      </w:r>
      <w:r w:rsidRPr="00096B81">
        <w:rPr>
          <w:rFonts w:ascii="Times New Roman" w:eastAsia="Times New Roman" w:hAnsi="Times New Roman" w:cs="Times New Roman"/>
          <w:snapToGrid w:val="0"/>
          <w:szCs w:val="24"/>
        </w:rPr>
        <w:t xml:space="preserve">ožinė, </w:t>
      </w:r>
      <w:r w:rsidR="00971B82" w:rsidRPr="00096B81">
        <w:rPr>
          <w:rFonts w:ascii="Times New Roman" w:eastAsia="Times New Roman" w:hAnsi="Times New Roman" w:cs="Times New Roman"/>
          <w:snapToGrid w:val="0"/>
          <w:szCs w:val="24"/>
        </w:rPr>
        <w:t>ovali</w:t>
      </w:r>
      <w:r w:rsidRPr="00096B81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541395" w:rsidRPr="00096B81">
        <w:rPr>
          <w:rFonts w:ascii="Times New Roman" w:eastAsia="Times New Roman" w:hAnsi="Times New Roman" w:cs="Times New Roman"/>
          <w:snapToGrid w:val="0"/>
          <w:szCs w:val="24"/>
        </w:rPr>
        <w:t>maždaug 9,8</w:t>
      </w:r>
      <w:r w:rsidR="00516A0C" w:rsidRPr="00096B81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="00541395" w:rsidRPr="00096B81">
        <w:rPr>
          <w:rFonts w:ascii="Times New Roman" w:eastAsia="Times New Roman" w:hAnsi="Times New Roman" w:cs="Times New Roman"/>
          <w:snapToGrid w:val="0"/>
          <w:szCs w:val="24"/>
        </w:rPr>
        <w:t>x</w:t>
      </w:r>
      <w:r w:rsidR="00516A0C" w:rsidRPr="00096B81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="00541395" w:rsidRPr="00096B81">
        <w:rPr>
          <w:rFonts w:ascii="Times New Roman" w:eastAsia="Times New Roman" w:hAnsi="Times New Roman" w:cs="Times New Roman"/>
          <w:snapToGrid w:val="0"/>
          <w:szCs w:val="24"/>
        </w:rPr>
        <w:t xml:space="preserve">4,9 mm, </w:t>
      </w:r>
      <w:r w:rsidRPr="00096B81">
        <w:rPr>
          <w:rFonts w:ascii="Times New Roman" w:eastAsia="Times New Roman" w:hAnsi="Times New Roman" w:cs="Times New Roman"/>
          <w:snapToGrid w:val="0"/>
          <w:szCs w:val="24"/>
        </w:rPr>
        <w:t>abipus išgaubta plėvele dengta tabletė, vienoje pusėje įspausta „</w:t>
      </w:r>
      <w:r w:rsidR="00D51DF1" w:rsidRPr="00096B81">
        <w:rPr>
          <w:rFonts w:ascii="Times New Roman" w:eastAsia="Times New Roman" w:hAnsi="Times New Roman" w:cs="Times New Roman"/>
          <w:snapToGrid w:val="0"/>
          <w:szCs w:val="24"/>
        </w:rPr>
        <w:t>AS</w:t>
      </w:r>
      <w:r w:rsidRPr="00096B81">
        <w:rPr>
          <w:rFonts w:ascii="Times New Roman" w:eastAsia="Times New Roman" w:hAnsi="Times New Roman" w:cs="Times New Roman"/>
          <w:snapToGrid w:val="0"/>
          <w:szCs w:val="24"/>
        </w:rPr>
        <w:t>“, kit</w:t>
      </w:r>
      <w:r w:rsidR="00D51DF1" w:rsidRPr="00096B81">
        <w:rPr>
          <w:rFonts w:ascii="Times New Roman" w:eastAsia="Times New Roman" w:hAnsi="Times New Roman" w:cs="Times New Roman"/>
          <w:snapToGrid w:val="0"/>
          <w:szCs w:val="24"/>
        </w:rPr>
        <w:t>oje – „10“</w:t>
      </w:r>
      <w:r w:rsidR="00541395" w:rsidRPr="00096B81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7A1E546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8985A9D" w14:textId="6B71E144" w:rsidR="007F3B55" w:rsidRPr="00633873" w:rsidRDefault="001A130C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Generis</w:t>
      </w:r>
      <w:proofErr w:type="spellEnd"/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tiekiamas supakuotas baltose </w:t>
      </w:r>
      <w:r w:rsidR="00A6738F">
        <w:rPr>
          <w:rFonts w:ascii="Times New Roman" w:eastAsia="Times New Roman" w:hAnsi="Times New Roman" w:cs="Times New Roman"/>
          <w:snapToGrid w:val="0"/>
          <w:szCs w:val="24"/>
        </w:rPr>
        <w:t xml:space="preserve">nepermatomose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PVC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PVDC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F1554D">
        <w:rPr>
          <w:rFonts w:ascii="Times New Roman" w:eastAsia="Times New Roman" w:hAnsi="Times New Roman" w:cs="Times New Roman"/>
          <w:snapToGrid w:val="0"/>
          <w:szCs w:val="24"/>
        </w:rPr>
        <w:t>poliesterio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F1554D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aliuminio lizdinės</w:t>
      </w:r>
      <w:r w:rsidR="00A6738F">
        <w:rPr>
          <w:rFonts w:ascii="Times New Roman" w:eastAsia="Times New Roman" w:hAnsi="Times New Roman" w:cs="Times New Roman"/>
          <w:snapToGrid w:val="0"/>
          <w:szCs w:val="24"/>
        </w:rPr>
        <w:t>e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plokštelėse.</w:t>
      </w:r>
    </w:p>
    <w:p w14:paraId="07D93498" w14:textId="77777777" w:rsidR="007F3B55" w:rsidRPr="00633873" w:rsidRDefault="007F3B55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2C372ED" w14:textId="3D63E148" w:rsidR="007F3B55" w:rsidRPr="00633873" w:rsidRDefault="007F3B55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lastRenderedPageBreak/>
        <w:t xml:space="preserve">Pakuotės dydis: kartono dėžutėje yra </w:t>
      </w:r>
      <w:r w:rsidRPr="00D55CA0">
        <w:rPr>
          <w:rFonts w:ascii="Times New Roman" w:eastAsia="Times New Roman" w:hAnsi="Times New Roman" w:cs="Times New Roman"/>
          <w:snapToGrid w:val="0"/>
          <w:szCs w:val="24"/>
        </w:rPr>
        <w:t>30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plėvele dengtų tablečių</w:t>
      </w:r>
      <w:r w:rsidR="00562FE4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52BBBD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D161A7" w14:textId="11431E11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Registruotojas ir gamintojas</w:t>
      </w:r>
      <w:r w:rsidR="004E5E0E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eksportuojančioje valstybėje</w:t>
      </w:r>
    </w:p>
    <w:p w14:paraId="409BE888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8349155" w14:textId="77777777" w:rsidR="00A35A18" w:rsidRPr="00633873" w:rsidRDefault="00A35A18" w:rsidP="00A35A18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Registruotojas</w:t>
      </w:r>
    </w:p>
    <w:p w14:paraId="0C40F9B9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33B8F5EA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João de Deus, 19</w:t>
      </w:r>
    </w:p>
    <w:p w14:paraId="59BEE554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0B70A0C2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Portugalija</w:t>
      </w:r>
    </w:p>
    <w:p w14:paraId="1A8F3D84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437B84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Gamintojas</w:t>
      </w:r>
    </w:p>
    <w:p w14:paraId="78ED227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APL Swift Services (Malta) Ltd.</w:t>
      </w:r>
    </w:p>
    <w:p w14:paraId="3C514B1D" w14:textId="6937FFA6" w:rsidR="004E5E0E" w:rsidRPr="00983383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HF26, Hal Far Industrial Estate, Hal Far</w:t>
      </w:r>
    </w:p>
    <w:p w14:paraId="15BB7460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BBG 3000 Birzebbugia</w:t>
      </w:r>
    </w:p>
    <w:p w14:paraId="536C3C5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Malta</w:t>
      </w:r>
    </w:p>
    <w:p w14:paraId="7A54FCD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2975FA96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arba</w:t>
      </w:r>
    </w:p>
    <w:p w14:paraId="2E1B24D6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6260DF23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395D20CD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João de Deus, 19</w:t>
      </w:r>
    </w:p>
    <w:p w14:paraId="44C01F34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1979F9B7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Portugalija</w:t>
      </w:r>
    </w:p>
    <w:p w14:paraId="776DA390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4428D375" w14:textId="77777777" w:rsidR="004E5E0E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proofErr w:type="spellStart"/>
      <w:r>
        <w:rPr>
          <w:rFonts w:ascii="Times New Roman" w:hAnsi="Times New Roman" w:cs="Times New Roman"/>
          <w:lang w:val="en-US" w:bidi="lt-LT"/>
        </w:rPr>
        <w:t>arba</w:t>
      </w:r>
      <w:proofErr w:type="spellEnd"/>
    </w:p>
    <w:p w14:paraId="6D450AFD" w14:textId="77777777" w:rsidR="004E5E0E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0CC383CD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 xml:space="preserve">Arrow </w:t>
      </w:r>
      <w:proofErr w:type="spellStart"/>
      <w:r w:rsidRPr="008615F1">
        <w:rPr>
          <w:rFonts w:ascii="Times New Roman" w:hAnsi="Times New Roman" w:cs="Times New Roman"/>
          <w:lang w:val="en-US" w:bidi="lt-LT"/>
        </w:rPr>
        <w:t>Generiques</w:t>
      </w:r>
      <w:proofErr w:type="spellEnd"/>
    </w:p>
    <w:p w14:paraId="43A3F490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26 Avenue Tony Garnier</w:t>
      </w:r>
    </w:p>
    <w:p w14:paraId="03EA0EC9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69007 Lyon</w:t>
      </w:r>
    </w:p>
    <w:p w14:paraId="4545D9A9" w14:textId="77777777" w:rsidR="004E5E0E" w:rsidRPr="00662C8B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proofErr w:type="spellStart"/>
      <w:r>
        <w:rPr>
          <w:rFonts w:ascii="Times New Roman" w:hAnsi="Times New Roman" w:cs="Times New Roman"/>
          <w:lang w:val="en-US" w:bidi="lt-LT"/>
        </w:rPr>
        <w:t>Prancūzija</w:t>
      </w:r>
      <w:proofErr w:type="spellEnd"/>
    </w:p>
    <w:p w14:paraId="031763C5" w14:textId="77777777" w:rsidR="00DF02F7" w:rsidRPr="00DF02F7" w:rsidRDefault="00DF02F7" w:rsidP="00B73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u w:val="single"/>
        </w:rPr>
      </w:pPr>
    </w:p>
    <w:p w14:paraId="023F4CB4" w14:textId="77777777" w:rsidR="00DF02F7" w:rsidRPr="00D55CA0" w:rsidRDefault="00DF02F7" w:rsidP="00DF02F7">
      <w:pPr>
        <w:pStyle w:val="BTEMEASMCA"/>
        <w:rPr>
          <w:b/>
          <w:bCs/>
          <w:sz w:val="22"/>
          <w:szCs w:val="22"/>
        </w:rPr>
      </w:pPr>
      <w:r w:rsidRPr="00D55CA0">
        <w:rPr>
          <w:b/>
          <w:bCs/>
          <w:sz w:val="22"/>
          <w:szCs w:val="22"/>
        </w:rPr>
        <w:t>Lygiagretus importuotojas</w:t>
      </w:r>
    </w:p>
    <w:p w14:paraId="516E5095" w14:textId="4382DEAE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MB „Metapharm“</w:t>
      </w:r>
    </w:p>
    <w:p w14:paraId="2F8BAA9C" w14:textId="0AC408CB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Minties g. 2</w:t>
      </w:r>
    </w:p>
    <w:p w14:paraId="1C1CF2D9" w14:textId="1D920055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Kalvelių k.</w:t>
      </w:r>
    </w:p>
    <w:p w14:paraId="1D9D2FF2" w14:textId="3C0A3FB0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LT-13213, Vilniaus r.</w:t>
      </w:r>
    </w:p>
    <w:p w14:paraId="40965860" w14:textId="261EDE8D" w:rsidR="00293A57" w:rsidRPr="00D55CA0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Lietuva</w:t>
      </w:r>
    </w:p>
    <w:p w14:paraId="3E96C161" w14:textId="77777777" w:rsidR="00DF02F7" w:rsidRPr="00D55CA0" w:rsidRDefault="00DF02F7" w:rsidP="00DF02F7">
      <w:pPr>
        <w:pStyle w:val="BTEMEASMCA"/>
        <w:rPr>
          <w:sz w:val="22"/>
          <w:szCs w:val="22"/>
        </w:rPr>
      </w:pPr>
    </w:p>
    <w:p w14:paraId="38858C24" w14:textId="77777777" w:rsidR="00DF02F7" w:rsidRPr="00D55CA0" w:rsidRDefault="00DF02F7" w:rsidP="00DF02F7">
      <w:pPr>
        <w:pStyle w:val="BTEMEASMCA"/>
        <w:rPr>
          <w:b/>
          <w:bCs/>
          <w:sz w:val="22"/>
          <w:szCs w:val="22"/>
        </w:rPr>
      </w:pPr>
      <w:r w:rsidRPr="00D55CA0">
        <w:rPr>
          <w:b/>
          <w:bCs/>
          <w:sz w:val="22"/>
          <w:szCs w:val="22"/>
        </w:rPr>
        <w:t>Perpakavo</w:t>
      </w:r>
    </w:p>
    <w:p w14:paraId="765E1C1D" w14:textId="66A0BD6E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UAB „Norfachema“</w:t>
      </w:r>
    </w:p>
    <w:p w14:paraId="136978FA" w14:textId="02B5C08D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Vytauto g. 6</w:t>
      </w:r>
    </w:p>
    <w:p w14:paraId="5052CCC9" w14:textId="3D678172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LT-19156, Jonava</w:t>
      </w:r>
    </w:p>
    <w:p w14:paraId="13871D2E" w14:textId="77777777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Lietuva</w:t>
      </w:r>
    </w:p>
    <w:p w14:paraId="63210324" w14:textId="77777777" w:rsidR="007F3B55" w:rsidRPr="00633873" w:rsidRDefault="007F3B55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1038513" w14:textId="0BCD18CC" w:rsidR="002077EA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paskutinį kartą peržiūrėtas</w:t>
      </w:r>
      <w:r w:rsidR="00562FE4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</w:t>
      </w:r>
      <w:r w:rsidR="00C52BD9">
        <w:rPr>
          <w:rFonts w:ascii="Times New Roman" w:eastAsia="Times New Roman" w:hAnsi="Times New Roman" w:cs="Times New Roman"/>
          <w:b/>
          <w:snapToGrid w:val="0"/>
          <w:szCs w:val="20"/>
        </w:rPr>
        <w:t>2025-08-07</w:t>
      </w:r>
    </w:p>
    <w:p w14:paraId="1851DC99" w14:textId="77777777" w:rsidR="00A35A18" w:rsidRPr="00633873" w:rsidRDefault="00A35A18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E29C92F" w14:textId="07D6EFF2" w:rsidR="000F0112" w:rsidRDefault="00A35A18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="00484ABB" w:rsidRPr="00484ABB">
        <w:rPr>
          <w:rFonts w:ascii="Times New Roman" w:eastAsia="Times New Roman" w:hAnsi="Times New Roman" w:cs="Times New Roman"/>
          <w:i/>
          <w:szCs w:val="24"/>
        </w:rPr>
        <w:t xml:space="preserve"> </w:t>
      </w:r>
      <w:hyperlink r:id="rId11" w:history="1">
        <w:r w:rsidR="000F0112" w:rsidRPr="00AF4849">
          <w:rPr>
            <w:rStyle w:val="Hipersaitas"/>
            <w:rFonts w:ascii="Times New Roman" w:eastAsia="SimSun" w:hAnsi="Times New Roman" w:cs="Times New Roman"/>
            <w:szCs w:val="20"/>
          </w:rPr>
          <w:t>https://vvkt.lrv.lt/lt/</w:t>
        </w:r>
      </w:hyperlink>
      <w:r w:rsidRPr="00633873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53B93493" w14:textId="77777777" w:rsidR="000F0112" w:rsidRDefault="000F0112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E5946CA" w14:textId="77777777" w:rsidR="0019438D" w:rsidRPr="00633873" w:rsidRDefault="0019438D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33C83FB" w14:textId="77777777" w:rsidR="0019438D" w:rsidRPr="00096B81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highlight w:val="lightGray"/>
          <w:u w:val="single"/>
          <w:lang w:bidi="lt-LT"/>
        </w:rPr>
      </w:pPr>
      <w:proofErr w:type="spellStart"/>
      <w:r w:rsidRPr="00096B81">
        <w:rPr>
          <w:rFonts w:ascii="Times New Roman" w:hAnsi="Times New Roman" w:cs="Times New Roman"/>
          <w:highlight w:val="lightGray"/>
          <w:u w:val="single"/>
          <w:lang w:bidi="lt-LT"/>
        </w:rPr>
        <w:t>Ambrisentano</w:t>
      </w:r>
      <w:proofErr w:type="spellEnd"/>
      <w:r w:rsidRPr="00096B81">
        <w:rPr>
          <w:rFonts w:ascii="Times New Roman" w:hAnsi="Times New Roman" w:cs="Times New Roman"/>
          <w:highlight w:val="lightGray"/>
          <w:u w:val="single"/>
          <w:lang w:bidi="lt-LT"/>
        </w:rPr>
        <w:t xml:space="preserve"> </w:t>
      </w:r>
      <w:proofErr w:type="spellStart"/>
      <w:r w:rsidRPr="00096B81">
        <w:rPr>
          <w:rFonts w:ascii="Times New Roman" w:hAnsi="Times New Roman" w:cs="Times New Roman"/>
          <w:highlight w:val="lightGray"/>
          <w:u w:val="single"/>
          <w:lang w:bidi="lt-LT"/>
        </w:rPr>
        <w:t>Generis</w:t>
      </w:r>
      <w:proofErr w:type="spellEnd"/>
      <w:r w:rsidRPr="00096B81">
        <w:rPr>
          <w:rFonts w:ascii="Times New Roman" w:hAnsi="Times New Roman" w:cs="Times New Roman"/>
          <w:highlight w:val="lightGray"/>
          <w:u w:val="single"/>
          <w:lang w:bidi="lt-LT"/>
        </w:rPr>
        <w:t xml:space="preserve"> </w:t>
      </w:r>
      <w:r w:rsidRPr="00096B81">
        <w:rPr>
          <w:rFonts w:ascii="Times New Roman" w:eastAsia="Times New Roman" w:hAnsi="Times New Roman" w:cs="Times New Roman"/>
          <w:snapToGrid w:val="0"/>
          <w:highlight w:val="lightGray"/>
          <w:u w:val="single"/>
        </w:rPr>
        <w:t>5 mg plėvele dengtos tabletės</w:t>
      </w:r>
    </w:p>
    <w:p w14:paraId="23A0178A" w14:textId="7FE53526" w:rsidR="0019438D" w:rsidRPr="0019438D" w:rsidRDefault="0019438D" w:rsidP="001943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96B81">
        <w:rPr>
          <w:rFonts w:ascii="Times New Roman" w:hAnsi="Times New Roman" w:cs="Times New Roman"/>
          <w:i/>
          <w:iCs/>
          <w:highlight w:val="lightGray"/>
        </w:rPr>
        <w:t xml:space="preserve">Lygiagrečiai importuojamas vaistas skiriasi nuo referencinio vaisto išvaizda: lygiagrečiai importuojamas vaistas yra maždaug 6,9 mm dydžio, vienoje pusėje įspausta „AS“, kitoje – „5“, referencinis – maždaug 5,9 mm dydžio, </w:t>
      </w:r>
      <w:r w:rsidRPr="00096B81">
        <w:rPr>
          <w:rFonts w:ascii="Times New Roman" w:eastAsia="Times New Roman" w:hAnsi="Times New Roman" w:cs="Times New Roman"/>
          <w:i/>
          <w:iCs/>
          <w:snapToGrid w:val="0"/>
          <w:highlight w:val="lightGray"/>
        </w:rPr>
        <w:t>vienoje pusėje įspausta „5“, kita pusė lygi</w:t>
      </w:r>
      <w:r w:rsidRPr="00096B81">
        <w:rPr>
          <w:rFonts w:ascii="Times New Roman" w:hAnsi="Times New Roman" w:cs="Times New Roman"/>
          <w:i/>
          <w:iCs/>
          <w:highlight w:val="lightGray"/>
        </w:rPr>
        <w:t xml:space="preserve">; laikymo sąlygomis: lygiagrečiai importuojamam vaistui specialių laikymo sąlygų nereikia, referencinį vaistą laikyti </w:t>
      </w:r>
      <w:r w:rsidRPr="00096B81">
        <w:rPr>
          <w:rFonts w:ascii="Times New Roman" w:eastAsia="Times New Roman" w:hAnsi="Times New Roman" w:cs="Times New Roman"/>
          <w:i/>
          <w:iCs/>
          <w:snapToGrid w:val="0"/>
          <w:highlight w:val="lightGray"/>
        </w:rPr>
        <w:t>gamintojo pakuotėje</w:t>
      </w:r>
      <w:r w:rsidR="00FB2090" w:rsidRPr="00096B81">
        <w:rPr>
          <w:rFonts w:ascii="Times New Roman" w:hAnsi="Times New Roman" w:cs="Times New Roman"/>
          <w:i/>
          <w:iCs/>
          <w:highlight w:val="lightGray"/>
        </w:rPr>
        <w:t>.</w:t>
      </w:r>
    </w:p>
    <w:p w14:paraId="4FB3DD6D" w14:textId="77777777" w:rsidR="0019438D" w:rsidRPr="0019438D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424285B3" w14:textId="77777777" w:rsidR="0019438D" w:rsidRPr="00096B81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proofErr w:type="spellStart"/>
      <w:r w:rsidRPr="00096B81">
        <w:rPr>
          <w:rFonts w:ascii="Times New Roman" w:hAnsi="Times New Roman" w:cs="Times New Roman"/>
          <w:u w:val="single"/>
          <w:lang w:bidi="lt-LT"/>
        </w:rPr>
        <w:lastRenderedPageBreak/>
        <w:t>Ambrisentano</w:t>
      </w:r>
      <w:proofErr w:type="spellEnd"/>
      <w:r w:rsidRPr="00096B81">
        <w:rPr>
          <w:rFonts w:ascii="Times New Roman" w:hAnsi="Times New Roman" w:cs="Times New Roman"/>
          <w:u w:val="single"/>
          <w:lang w:bidi="lt-LT"/>
        </w:rPr>
        <w:t xml:space="preserve"> </w:t>
      </w:r>
      <w:proofErr w:type="spellStart"/>
      <w:r w:rsidRPr="00096B81">
        <w:rPr>
          <w:rFonts w:ascii="Times New Roman" w:hAnsi="Times New Roman" w:cs="Times New Roman"/>
          <w:u w:val="single"/>
          <w:lang w:bidi="lt-LT"/>
        </w:rPr>
        <w:t>Generis</w:t>
      </w:r>
      <w:proofErr w:type="spellEnd"/>
      <w:r w:rsidRPr="00096B81">
        <w:rPr>
          <w:rFonts w:ascii="Times New Roman" w:eastAsia="Times New Roman" w:hAnsi="Times New Roman" w:cs="Times New Roman"/>
          <w:snapToGrid w:val="0"/>
          <w:u w:val="single"/>
        </w:rPr>
        <w:t xml:space="preserve"> 10 mg plėvele dengtos tabletės</w:t>
      </w:r>
    </w:p>
    <w:p w14:paraId="0D0FFB79" w14:textId="2D658439" w:rsidR="0019438D" w:rsidRPr="0019438D" w:rsidRDefault="0019438D" w:rsidP="001943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96B81">
        <w:rPr>
          <w:rFonts w:ascii="Times New Roman" w:hAnsi="Times New Roman" w:cs="Times New Roman"/>
          <w:i/>
          <w:iCs/>
        </w:rPr>
        <w:t xml:space="preserve">Lygiagrečiai importuojamas vaistas skiriasi nuo referencinio vaisto išvaizda: lygiagrečiai importuojamas vaistas yra ryškiai rožinės spalvos, maždaug 9,8 x 4,9 mm dydžio, vienoje pusėje įspausta „AS“, kitoje – „10“, referencinis – rožinės spalvos, maždaug 11,1 x 5,6 mm dydžio, </w:t>
      </w:r>
      <w:r w:rsidRPr="00096B81">
        <w:rPr>
          <w:rFonts w:ascii="Times New Roman" w:eastAsia="Times New Roman" w:hAnsi="Times New Roman" w:cs="Times New Roman"/>
          <w:i/>
          <w:iCs/>
          <w:snapToGrid w:val="0"/>
        </w:rPr>
        <w:t>vienoje pusėje įspausta „10“, kita pusė lygi</w:t>
      </w:r>
      <w:r w:rsidRPr="00096B81">
        <w:rPr>
          <w:rFonts w:ascii="Times New Roman" w:hAnsi="Times New Roman" w:cs="Times New Roman"/>
          <w:i/>
          <w:iCs/>
        </w:rPr>
        <w:t>; laikymo sąlygomis: lygiagrečiai importuojamam vaistui specialių laikymo sąlygų nereikia,</w:t>
      </w:r>
      <w:r w:rsidRPr="00096B81" w:rsidDel="00131817">
        <w:rPr>
          <w:rFonts w:ascii="Times New Roman" w:hAnsi="Times New Roman" w:cs="Times New Roman"/>
          <w:i/>
          <w:iCs/>
        </w:rPr>
        <w:t xml:space="preserve"> </w:t>
      </w:r>
      <w:r w:rsidRPr="00096B81">
        <w:rPr>
          <w:rFonts w:ascii="Times New Roman" w:hAnsi="Times New Roman" w:cs="Times New Roman"/>
          <w:i/>
          <w:iCs/>
        </w:rPr>
        <w:t xml:space="preserve">referencinį vaistą laikyti </w:t>
      </w:r>
      <w:r w:rsidRPr="00096B81">
        <w:rPr>
          <w:rFonts w:ascii="Times New Roman" w:eastAsia="Times New Roman" w:hAnsi="Times New Roman" w:cs="Times New Roman"/>
          <w:i/>
          <w:iCs/>
          <w:snapToGrid w:val="0"/>
        </w:rPr>
        <w:t>gamintojo pakuotėje</w:t>
      </w:r>
      <w:r w:rsidR="00FB2090" w:rsidRPr="00096B81">
        <w:rPr>
          <w:rFonts w:ascii="Times New Roman" w:hAnsi="Times New Roman" w:cs="Times New Roman"/>
          <w:i/>
          <w:iCs/>
        </w:rPr>
        <w:t>.</w:t>
      </w:r>
    </w:p>
    <w:p w14:paraId="65E42315" w14:textId="77777777" w:rsidR="0019438D" w:rsidRPr="00633873" w:rsidRDefault="0019438D" w:rsidP="00F10EA0"/>
    <w:sectPr w:rsidR="0019438D" w:rsidRPr="00633873" w:rsidSect="009F7541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49A9" w14:textId="77777777" w:rsidR="00752565" w:rsidRDefault="00752565" w:rsidP="00904BE7">
      <w:pPr>
        <w:spacing w:after="0" w:line="240" w:lineRule="auto"/>
      </w:pPr>
      <w:r>
        <w:separator/>
      </w:r>
    </w:p>
  </w:endnote>
  <w:endnote w:type="continuationSeparator" w:id="0">
    <w:p w14:paraId="5A417CA1" w14:textId="77777777" w:rsidR="00752565" w:rsidRDefault="00752565" w:rsidP="009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7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6B883" w14:textId="1C6C9035" w:rsidR="00C85BE7" w:rsidRDefault="00C85BE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5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A0E8AEB" w14:textId="77777777" w:rsidR="00C85BE7" w:rsidRDefault="00C85B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4204" w14:textId="77777777" w:rsidR="00752565" w:rsidRDefault="00752565" w:rsidP="00904BE7">
      <w:pPr>
        <w:spacing w:after="0" w:line="240" w:lineRule="auto"/>
      </w:pPr>
      <w:r>
        <w:separator/>
      </w:r>
    </w:p>
  </w:footnote>
  <w:footnote w:type="continuationSeparator" w:id="0">
    <w:p w14:paraId="70CA85B7" w14:textId="77777777" w:rsidR="00752565" w:rsidRDefault="00752565" w:rsidP="009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80D1" w14:textId="3A61AE29" w:rsidR="00C85BE7" w:rsidRDefault="00C85B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6092" w14:textId="62964854" w:rsidR="00C85BE7" w:rsidRDefault="00C85B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85775"/>
    <w:multiLevelType w:val="hybridMultilevel"/>
    <w:tmpl w:val="BC3E154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129B"/>
    <w:multiLevelType w:val="hybridMultilevel"/>
    <w:tmpl w:val="FCC26B6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6CAB"/>
    <w:multiLevelType w:val="hybridMultilevel"/>
    <w:tmpl w:val="D0E2144C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292D"/>
    <w:multiLevelType w:val="hybridMultilevel"/>
    <w:tmpl w:val="9C423FE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AA4"/>
    <w:multiLevelType w:val="hybridMultilevel"/>
    <w:tmpl w:val="74D6CE9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C60"/>
    <w:multiLevelType w:val="hybridMultilevel"/>
    <w:tmpl w:val="49AA8A4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245B"/>
    <w:multiLevelType w:val="hybridMultilevel"/>
    <w:tmpl w:val="CA8602FE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813"/>
    <w:multiLevelType w:val="hybridMultilevel"/>
    <w:tmpl w:val="EF60C792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18C"/>
    <w:multiLevelType w:val="hybridMultilevel"/>
    <w:tmpl w:val="25CA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4D49"/>
    <w:multiLevelType w:val="hybridMultilevel"/>
    <w:tmpl w:val="42B6B2EE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4543"/>
    <w:multiLevelType w:val="hybridMultilevel"/>
    <w:tmpl w:val="B122D12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2895"/>
    <w:multiLevelType w:val="hybridMultilevel"/>
    <w:tmpl w:val="52420B0A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5FD4"/>
    <w:multiLevelType w:val="hybridMultilevel"/>
    <w:tmpl w:val="23FA94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02A2"/>
    <w:multiLevelType w:val="hybridMultilevel"/>
    <w:tmpl w:val="427C1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F550E"/>
    <w:multiLevelType w:val="hybridMultilevel"/>
    <w:tmpl w:val="7352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455B4"/>
    <w:multiLevelType w:val="hybridMultilevel"/>
    <w:tmpl w:val="6B82F27E"/>
    <w:lvl w:ilvl="0" w:tplc="53DA659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586225C"/>
    <w:multiLevelType w:val="hybridMultilevel"/>
    <w:tmpl w:val="CE5E9BC0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4174D"/>
    <w:multiLevelType w:val="hybridMultilevel"/>
    <w:tmpl w:val="31DC4F4C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50DAF"/>
    <w:multiLevelType w:val="hybridMultilevel"/>
    <w:tmpl w:val="23A854D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50429">
    <w:abstractNumId w:val="2"/>
  </w:num>
  <w:num w:numId="2" w16cid:durableId="2010014237">
    <w:abstractNumId w:val="20"/>
  </w:num>
  <w:num w:numId="3" w16cid:durableId="144743012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32848665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5739231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388795126">
    <w:abstractNumId w:val="16"/>
  </w:num>
  <w:num w:numId="7" w16cid:durableId="692650773">
    <w:abstractNumId w:val="18"/>
  </w:num>
  <w:num w:numId="8" w16cid:durableId="1261254815">
    <w:abstractNumId w:val="17"/>
  </w:num>
  <w:num w:numId="9" w16cid:durableId="1032879360">
    <w:abstractNumId w:val="19"/>
  </w:num>
  <w:num w:numId="10" w16cid:durableId="2067291053">
    <w:abstractNumId w:val="15"/>
  </w:num>
  <w:num w:numId="11" w16cid:durableId="185680350">
    <w:abstractNumId w:val="21"/>
  </w:num>
  <w:num w:numId="12" w16cid:durableId="1050419057">
    <w:abstractNumId w:val="8"/>
  </w:num>
  <w:num w:numId="13" w16cid:durableId="985011599">
    <w:abstractNumId w:val="4"/>
  </w:num>
  <w:num w:numId="14" w16cid:durableId="763837697">
    <w:abstractNumId w:val="5"/>
  </w:num>
  <w:num w:numId="15" w16cid:durableId="1424377159">
    <w:abstractNumId w:val="10"/>
  </w:num>
  <w:num w:numId="16" w16cid:durableId="1488478005">
    <w:abstractNumId w:val="14"/>
  </w:num>
  <w:num w:numId="17" w16cid:durableId="1335107044">
    <w:abstractNumId w:val="7"/>
  </w:num>
  <w:num w:numId="18" w16cid:durableId="1707174762">
    <w:abstractNumId w:val="13"/>
  </w:num>
  <w:num w:numId="19" w16cid:durableId="1410276876">
    <w:abstractNumId w:val="1"/>
  </w:num>
  <w:num w:numId="20" w16cid:durableId="438185599">
    <w:abstractNumId w:val="12"/>
  </w:num>
  <w:num w:numId="21" w16cid:durableId="938754169">
    <w:abstractNumId w:val="3"/>
  </w:num>
  <w:num w:numId="22" w16cid:durableId="2105298156">
    <w:abstractNumId w:val="11"/>
  </w:num>
  <w:num w:numId="23" w16cid:durableId="1738362299">
    <w:abstractNumId w:val="6"/>
  </w:num>
  <w:num w:numId="24" w16cid:durableId="2050177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D9"/>
    <w:rsid w:val="00011793"/>
    <w:rsid w:val="0001518C"/>
    <w:rsid w:val="00015791"/>
    <w:rsid w:val="000210C2"/>
    <w:rsid w:val="00022653"/>
    <w:rsid w:val="00023EB0"/>
    <w:rsid w:val="000249D1"/>
    <w:rsid w:val="000546D6"/>
    <w:rsid w:val="000570FC"/>
    <w:rsid w:val="00057907"/>
    <w:rsid w:val="0006197D"/>
    <w:rsid w:val="00062A49"/>
    <w:rsid w:val="00077AF4"/>
    <w:rsid w:val="00080FFD"/>
    <w:rsid w:val="000824C5"/>
    <w:rsid w:val="00084FFE"/>
    <w:rsid w:val="000920FB"/>
    <w:rsid w:val="00096B81"/>
    <w:rsid w:val="000A1D5C"/>
    <w:rsid w:val="000A46F1"/>
    <w:rsid w:val="000B375D"/>
    <w:rsid w:val="000C63E5"/>
    <w:rsid w:val="000D194A"/>
    <w:rsid w:val="000E04F1"/>
    <w:rsid w:val="000F0112"/>
    <w:rsid w:val="000F77C3"/>
    <w:rsid w:val="00100868"/>
    <w:rsid w:val="0010255F"/>
    <w:rsid w:val="0010512E"/>
    <w:rsid w:val="0012551A"/>
    <w:rsid w:val="00131817"/>
    <w:rsid w:val="00136A40"/>
    <w:rsid w:val="001474BD"/>
    <w:rsid w:val="00153FEB"/>
    <w:rsid w:val="001553D8"/>
    <w:rsid w:val="001634F7"/>
    <w:rsid w:val="00170B42"/>
    <w:rsid w:val="0017479E"/>
    <w:rsid w:val="0019438D"/>
    <w:rsid w:val="001A130C"/>
    <w:rsid w:val="001A5517"/>
    <w:rsid w:val="001C22A0"/>
    <w:rsid w:val="001C6DFF"/>
    <w:rsid w:val="001D2A91"/>
    <w:rsid w:val="001D31E3"/>
    <w:rsid w:val="001D7C95"/>
    <w:rsid w:val="001E7EFF"/>
    <w:rsid w:val="001F0D3E"/>
    <w:rsid w:val="001F6C7E"/>
    <w:rsid w:val="002077EA"/>
    <w:rsid w:val="00211A9F"/>
    <w:rsid w:val="00212782"/>
    <w:rsid w:val="00212F88"/>
    <w:rsid w:val="002210FF"/>
    <w:rsid w:val="002322D0"/>
    <w:rsid w:val="00232C63"/>
    <w:rsid w:val="00244F5D"/>
    <w:rsid w:val="00252286"/>
    <w:rsid w:val="00280539"/>
    <w:rsid w:val="00293A57"/>
    <w:rsid w:val="00296756"/>
    <w:rsid w:val="002A4C21"/>
    <w:rsid w:val="002B10DB"/>
    <w:rsid w:val="002B22BE"/>
    <w:rsid w:val="002B25F1"/>
    <w:rsid w:val="002C6317"/>
    <w:rsid w:val="002D1D4C"/>
    <w:rsid w:val="002D3ECE"/>
    <w:rsid w:val="002D597B"/>
    <w:rsid w:val="002F3998"/>
    <w:rsid w:val="002F738D"/>
    <w:rsid w:val="00307721"/>
    <w:rsid w:val="003122E6"/>
    <w:rsid w:val="003124B1"/>
    <w:rsid w:val="0031351D"/>
    <w:rsid w:val="00314749"/>
    <w:rsid w:val="003229C0"/>
    <w:rsid w:val="00324F37"/>
    <w:rsid w:val="003551E4"/>
    <w:rsid w:val="003725E0"/>
    <w:rsid w:val="00376F51"/>
    <w:rsid w:val="00381C67"/>
    <w:rsid w:val="00384699"/>
    <w:rsid w:val="00385307"/>
    <w:rsid w:val="00385ED6"/>
    <w:rsid w:val="003C6BC5"/>
    <w:rsid w:val="003C6C78"/>
    <w:rsid w:val="003D1D97"/>
    <w:rsid w:val="003D2556"/>
    <w:rsid w:val="003D466B"/>
    <w:rsid w:val="003E79F3"/>
    <w:rsid w:val="004060D6"/>
    <w:rsid w:val="0041201B"/>
    <w:rsid w:val="00435467"/>
    <w:rsid w:val="00436FE9"/>
    <w:rsid w:val="00441AF1"/>
    <w:rsid w:val="0045177F"/>
    <w:rsid w:val="004527CE"/>
    <w:rsid w:val="00470E35"/>
    <w:rsid w:val="004737D3"/>
    <w:rsid w:val="0048333C"/>
    <w:rsid w:val="00484ABB"/>
    <w:rsid w:val="004B529C"/>
    <w:rsid w:val="004C34D2"/>
    <w:rsid w:val="004C51E4"/>
    <w:rsid w:val="004E5E0E"/>
    <w:rsid w:val="004E7ED3"/>
    <w:rsid w:val="004F6B54"/>
    <w:rsid w:val="00516A0C"/>
    <w:rsid w:val="00541395"/>
    <w:rsid w:val="00542D92"/>
    <w:rsid w:val="00562FE4"/>
    <w:rsid w:val="00570F2A"/>
    <w:rsid w:val="0057568C"/>
    <w:rsid w:val="00577297"/>
    <w:rsid w:val="005B1DF9"/>
    <w:rsid w:val="005C0515"/>
    <w:rsid w:val="005D6707"/>
    <w:rsid w:val="005E5ECA"/>
    <w:rsid w:val="005F06C0"/>
    <w:rsid w:val="005F1948"/>
    <w:rsid w:val="005F2428"/>
    <w:rsid w:val="005F6B3D"/>
    <w:rsid w:val="00601915"/>
    <w:rsid w:val="00605A29"/>
    <w:rsid w:val="00620B5C"/>
    <w:rsid w:val="00633873"/>
    <w:rsid w:val="00634190"/>
    <w:rsid w:val="00644EA5"/>
    <w:rsid w:val="0064618E"/>
    <w:rsid w:val="0065133F"/>
    <w:rsid w:val="00655297"/>
    <w:rsid w:val="00657777"/>
    <w:rsid w:val="006619FB"/>
    <w:rsid w:val="00662C8B"/>
    <w:rsid w:val="00670963"/>
    <w:rsid w:val="00676768"/>
    <w:rsid w:val="00683000"/>
    <w:rsid w:val="00693759"/>
    <w:rsid w:val="006A2800"/>
    <w:rsid w:val="007072D2"/>
    <w:rsid w:val="00720D3F"/>
    <w:rsid w:val="00752565"/>
    <w:rsid w:val="00772ADA"/>
    <w:rsid w:val="00781DC8"/>
    <w:rsid w:val="0078516E"/>
    <w:rsid w:val="0079750E"/>
    <w:rsid w:val="007A08E9"/>
    <w:rsid w:val="007B4308"/>
    <w:rsid w:val="007B6403"/>
    <w:rsid w:val="007D042A"/>
    <w:rsid w:val="007D05F8"/>
    <w:rsid w:val="007D0772"/>
    <w:rsid w:val="007D387C"/>
    <w:rsid w:val="007E2561"/>
    <w:rsid w:val="007F3B55"/>
    <w:rsid w:val="007F71E1"/>
    <w:rsid w:val="008038AE"/>
    <w:rsid w:val="008115C5"/>
    <w:rsid w:val="00813E19"/>
    <w:rsid w:val="008150FE"/>
    <w:rsid w:val="0081522D"/>
    <w:rsid w:val="00857C35"/>
    <w:rsid w:val="008615F1"/>
    <w:rsid w:val="0087318B"/>
    <w:rsid w:val="00884D5D"/>
    <w:rsid w:val="00891F10"/>
    <w:rsid w:val="008A31A4"/>
    <w:rsid w:val="008A78F7"/>
    <w:rsid w:val="008B6BB5"/>
    <w:rsid w:val="008B75B3"/>
    <w:rsid w:val="008E05A5"/>
    <w:rsid w:val="008E0F7A"/>
    <w:rsid w:val="008E3214"/>
    <w:rsid w:val="008E5F06"/>
    <w:rsid w:val="00904BE7"/>
    <w:rsid w:val="00926E55"/>
    <w:rsid w:val="00927155"/>
    <w:rsid w:val="00927661"/>
    <w:rsid w:val="009316DE"/>
    <w:rsid w:val="00942891"/>
    <w:rsid w:val="009441C6"/>
    <w:rsid w:val="00947A83"/>
    <w:rsid w:val="0095060B"/>
    <w:rsid w:val="00971B82"/>
    <w:rsid w:val="009757E0"/>
    <w:rsid w:val="00983383"/>
    <w:rsid w:val="009D0D0B"/>
    <w:rsid w:val="009D19E7"/>
    <w:rsid w:val="009D3410"/>
    <w:rsid w:val="009E1D4F"/>
    <w:rsid w:val="009F7541"/>
    <w:rsid w:val="00A22864"/>
    <w:rsid w:val="00A35A18"/>
    <w:rsid w:val="00A50752"/>
    <w:rsid w:val="00A605A5"/>
    <w:rsid w:val="00A6738F"/>
    <w:rsid w:val="00A70716"/>
    <w:rsid w:val="00A73BFB"/>
    <w:rsid w:val="00A77150"/>
    <w:rsid w:val="00A82894"/>
    <w:rsid w:val="00AA02E9"/>
    <w:rsid w:val="00AC6347"/>
    <w:rsid w:val="00AD1174"/>
    <w:rsid w:val="00AD3D79"/>
    <w:rsid w:val="00AE6396"/>
    <w:rsid w:val="00AF4D8A"/>
    <w:rsid w:val="00B03073"/>
    <w:rsid w:val="00B04F3A"/>
    <w:rsid w:val="00B0798F"/>
    <w:rsid w:val="00B179F8"/>
    <w:rsid w:val="00B31824"/>
    <w:rsid w:val="00B43D6A"/>
    <w:rsid w:val="00B502FD"/>
    <w:rsid w:val="00B53A9F"/>
    <w:rsid w:val="00B70E51"/>
    <w:rsid w:val="00B71F64"/>
    <w:rsid w:val="00B72E72"/>
    <w:rsid w:val="00B736F6"/>
    <w:rsid w:val="00B8318F"/>
    <w:rsid w:val="00B8596A"/>
    <w:rsid w:val="00B868D8"/>
    <w:rsid w:val="00BA2DE8"/>
    <w:rsid w:val="00BC2435"/>
    <w:rsid w:val="00BC43A8"/>
    <w:rsid w:val="00BD049E"/>
    <w:rsid w:val="00BD0F78"/>
    <w:rsid w:val="00BD264C"/>
    <w:rsid w:val="00BD5B90"/>
    <w:rsid w:val="00BE28E1"/>
    <w:rsid w:val="00BE38AE"/>
    <w:rsid w:val="00BF180B"/>
    <w:rsid w:val="00C33B87"/>
    <w:rsid w:val="00C50C1A"/>
    <w:rsid w:val="00C52BD9"/>
    <w:rsid w:val="00C61A88"/>
    <w:rsid w:val="00C67EE3"/>
    <w:rsid w:val="00C8160F"/>
    <w:rsid w:val="00C85BE7"/>
    <w:rsid w:val="00C863B3"/>
    <w:rsid w:val="00C91137"/>
    <w:rsid w:val="00CB35D9"/>
    <w:rsid w:val="00CC3766"/>
    <w:rsid w:val="00CE2E89"/>
    <w:rsid w:val="00CF1A2A"/>
    <w:rsid w:val="00CF2289"/>
    <w:rsid w:val="00D2472D"/>
    <w:rsid w:val="00D331C6"/>
    <w:rsid w:val="00D35BFB"/>
    <w:rsid w:val="00D413D6"/>
    <w:rsid w:val="00D51DF1"/>
    <w:rsid w:val="00D55CA0"/>
    <w:rsid w:val="00D574D0"/>
    <w:rsid w:val="00D62047"/>
    <w:rsid w:val="00D63E44"/>
    <w:rsid w:val="00D806F4"/>
    <w:rsid w:val="00D8128A"/>
    <w:rsid w:val="00D933F0"/>
    <w:rsid w:val="00D956B6"/>
    <w:rsid w:val="00DB4572"/>
    <w:rsid w:val="00DE2FEF"/>
    <w:rsid w:val="00DF02F7"/>
    <w:rsid w:val="00E11E47"/>
    <w:rsid w:val="00E160F9"/>
    <w:rsid w:val="00E22B0F"/>
    <w:rsid w:val="00E2378A"/>
    <w:rsid w:val="00E23933"/>
    <w:rsid w:val="00E31330"/>
    <w:rsid w:val="00E32473"/>
    <w:rsid w:val="00E332E0"/>
    <w:rsid w:val="00E44451"/>
    <w:rsid w:val="00E55815"/>
    <w:rsid w:val="00E61474"/>
    <w:rsid w:val="00E62DAA"/>
    <w:rsid w:val="00E71C1A"/>
    <w:rsid w:val="00E861CA"/>
    <w:rsid w:val="00EA4620"/>
    <w:rsid w:val="00EB0D8F"/>
    <w:rsid w:val="00EC3D15"/>
    <w:rsid w:val="00EF1036"/>
    <w:rsid w:val="00F01AA0"/>
    <w:rsid w:val="00F10EA0"/>
    <w:rsid w:val="00F1554D"/>
    <w:rsid w:val="00F17566"/>
    <w:rsid w:val="00F3270C"/>
    <w:rsid w:val="00F42BF0"/>
    <w:rsid w:val="00F50AFE"/>
    <w:rsid w:val="00F61F20"/>
    <w:rsid w:val="00F64FA9"/>
    <w:rsid w:val="00F95333"/>
    <w:rsid w:val="00FB12C9"/>
    <w:rsid w:val="00FB2090"/>
    <w:rsid w:val="00FB52E1"/>
    <w:rsid w:val="00FB5D03"/>
    <w:rsid w:val="00FB6E15"/>
    <w:rsid w:val="00FC0099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0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38D"/>
  </w:style>
  <w:style w:type="paragraph" w:styleId="Antrat1">
    <w:name w:val="heading 1"/>
    <w:basedOn w:val="prastasis"/>
    <w:next w:val="prastasis"/>
    <w:link w:val="Antrat1Diagrama"/>
    <w:uiPriority w:val="99"/>
    <w:qFormat/>
    <w:rsid w:val="00A35A1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35A18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35A18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A35A1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A35A1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A35A18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35A18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A35A1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35A18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A35A18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A35A18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A35A1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A35A1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A35A18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A35A18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A35A18"/>
  </w:style>
  <w:style w:type="paragraph" w:styleId="Porat">
    <w:name w:val="footer"/>
    <w:basedOn w:val="prastasis"/>
    <w:link w:val="PoratDiagrama"/>
    <w:uiPriority w:val="99"/>
    <w:rsid w:val="00A35A18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5A18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A35A18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A35A18"/>
    <w:rPr>
      <w:rFonts w:cs="Times New Roman"/>
    </w:rPr>
  </w:style>
  <w:style w:type="character" w:styleId="Hipersaitas">
    <w:name w:val="Hyperlink"/>
    <w:uiPriority w:val="99"/>
    <w:rsid w:val="00A35A18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A35A18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A35A18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A35A18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A35A1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35A18"/>
    <w:rPr>
      <w:color w:val="0000FF"/>
    </w:rPr>
  </w:style>
  <w:style w:type="character" w:customStyle="1" w:styleId="tw4winPopup">
    <w:name w:val="tw4winPopup"/>
    <w:uiPriority w:val="99"/>
    <w:rsid w:val="00A35A1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35A1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35A1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35A1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35A18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A35A18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35A18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A35A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35A1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35A18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A35A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A35A18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A35A1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A35A18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A35A18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A35A18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5A18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A35A18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A35A18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A35A18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35A18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A35A1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35A18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35A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35A18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A35A18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35A18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A35A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35A18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A35A18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A35A18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A35A18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A35A18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35A18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A35A18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35A18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A35A18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A35A18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A35A18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A35A18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A35A18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A35A18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A35A18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35A18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A35A1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A35A18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35A18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A35A18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A35A18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A35A18"/>
    <w:pPr>
      <w:spacing w:after="0" w:line="240" w:lineRule="auto"/>
    </w:pPr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locked/>
    <w:rsid w:val="00A35A18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A35A18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39"/>
    <w:rsid w:val="00A35A18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DLABELHEADING">
    <w:name w:val="QRD LABELHEADING"/>
    <w:basedOn w:val="prastasis"/>
    <w:qFormat/>
    <w:rsid w:val="00A35A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SimSun" w:hAnsi="Times New Roman" w:cs="Times New Roman"/>
      <w:b/>
      <w:bCs/>
      <w:lang w:eastAsia="en-GB"/>
    </w:rPr>
  </w:style>
  <w:style w:type="character" w:customStyle="1" w:styleId="KomentarotekstasDiagrama1">
    <w:name w:val="Komentaro tekstas Diagrama1"/>
    <w:uiPriority w:val="99"/>
    <w:semiHidden/>
    <w:rsid w:val="00A35A18"/>
    <w:rPr>
      <w:lang w:eastAsia="en-GB"/>
    </w:rPr>
  </w:style>
  <w:style w:type="character" w:customStyle="1" w:styleId="resultoftext">
    <w:name w:val="resultoftext"/>
    <w:rsid w:val="00A35A18"/>
  </w:style>
  <w:style w:type="paragraph" w:styleId="Sraopastraipa">
    <w:name w:val="List Paragraph"/>
    <w:basedOn w:val="prastasis"/>
    <w:uiPriority w:val="34"/>
    <w:qFormat/>
    <w:rsid w:val="002D3ECE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4B529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53A9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AE6147-8E95-40AC-AB1D-ADD0A7313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22880-8367-4E97-B3A9-1A17FAA6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2FA7B-74A0-4136-8579-1CF9F102A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2834D7-0085-48AB-AA50-8BC963EA1371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12686</Words>
  <Characters>7232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2025-07-30T13:54:00Z</dcterms:created>
  <dcterms:modified xsi:type="dcterms:W3CDTF">2025-08-20T08:31:00Z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2021-12-03T20:07:14Z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3bb78f33-7710-4a62-847f-0b5fc4968a74</vt:lpwstr>
  </property>
  <property fmtid="{D5CDD505-2E9C-101B-9397-08002B2CF9AE}" pid="8" name="MSIP_Label_c63a0701-319b-41bf-8431-58956e491e60_ContentBits">
    <vt:lpwstr>0</vt:lpwstr>
  </property>
  <property fmtid="{D5CDD505-2E9C-101B-9397-08002B2CF9AE}" pid="9" name="ContentTypeId">
    <vt:lpwstr>0x01010050324D25C55556468575EE48CC328619</vt:lpwstr>
  </property>
  <property fmtid="{D5CDD505-2E9C-101B-9397-08002B2CF9AE}" pid="10" name="MediaServiceImageTags">
    <vt:lpwstr/>
  </property>
</Properties>
</file>