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514245" w:rsidRDefault="00E0107B" w:rsidP="00E0107B">
      <w:pPr>
        <w:tabs>
          <w:tab w:val="left" w:pos="567"/>
        </w:tabs>
        <w:spacing w:after="0" w:line="240" w:lineRule="auto"/>
        <w:outlineLvl w:val="0"/>
        <w:rPr>
          <w:rFonts w:ascii="Times New Roman" w:eastAsia="Times New Roman" w:hAnsi="Times New Roman"/>
          <w:b/>
          <w:snapToGrid w:val="0"/>
          <w:lang w:val="lt-LT" w:eastAsia="en-US" w:bidi="ar-SA"/>
        </w:rPr>
      </w:pPr>
    </w:p>
    <w:p w14:paraId="10CDA687" w14:textId="77777777" w:rsidR="00E0107B" w:rsidRPr="00514245" w:rsidRDefault="00E0107B" w:rsidP="00E0107B">
      <w:pPr>
        <w:tabs>
          <w:tab w:val="left" w:pos="567"/>
        </w:tabs>
        <w:spacing w:after="0" w:line="240" w:lineRule="auto"/>
        <w:outlineLvl w:val="0"/>
        <w:rPr>
          <w:rFonts w:ascii="Times New Roman" w:eastAsia="Times New Roman" w:hAnsi="Times New Roman"/>
          <w:b/>
          <w:snapToGrid w:val="0"/>
          <w:lang w:val="lt-LT" w:eastAsia="en-US" w:bidi="ar-SA"/>
        </w:rPr>
      </w:pPr>
    </w:p>
    <w:p w14:paraId="3C7A51CD" w14:textId="77777777" w:rsidR="00E0107B" w:rsidRPr="00514245" w:rsidRDefault="00E0107B" w:rsidP="00E0107B">
      <w:pPr>
        <w:tabs>
          <w:tab w:val="left" w:pos="567"/>
        </w:tabs>
        <w:spacing w:after="0" w:line="240" w:lineRule="auto"/>
        <w:outlineLvl w:val="0"/>
        <w:rPr>
          <w:rFonts w:ascii="Times New Roman" w:eastAsia="Times New Roman" w:hAnsi="Times New Roman"/>
          <w:b/>
          <w:snapToGrid w:val="0"/>
          <w:lang w:val="lt-LT" w:eastAsia="en-US" w:bidi="ar-SA"/>
        </w:rPr>
      </w:pPr>
    </w:p>
    <w:p w14:paraId="3BA0E743" w14:textId="77777777" w:rsidR="00E0107B" w:rsidRPr="00514245" w:rsidRDefault="00E0107B" w:rsidP="00E0107B">
      <w:pPr>
        <w:tabs>
          <w:tab w:val="left" w:pos="567"/>
        </w:tabs>
        <w:spacing w:after="0" w:line="240" w:lineRule="auto"/>
        <w:outlineLvl w:val="0"/>
        <w:rPr>
          <w:rFonts w:ascii="Times New Roman" w:eastAsia="Times New Roman" w:hAnsi="Times New Roman"/>
          <w:b/>
          <w:snapToGrid w:val="0"/>
          <w:lang w:val="lt-LT" w:eastAsia="en-US" w:bidi="ar-SA"/>
        </w:rPr>
      </w:pPr>
    </w:p>
    <w:p w14:paraId="26D4BB40"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4A204BC8"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54082713"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57CFE190"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5D0D2D19"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5D88057A"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4646FAA7"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2C0AB0A3"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31271A22"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442257AD"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748A7311"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7E6D509A"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42BA26D8"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7A7112E4"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5EEEC0A5"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086151B0"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188774F4"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1F9E67F8" w14:textId="77777777" w:rsidR="00E0107B" w:rsidRPr="00514245" w:rsidRDefault="00E0107B" w:rsidP="00E0107B">
      <w:pPr>
        <w:tabs>
          <w:tab w:val="left" w:pos="-1440"/>
          <w:tab w:val="left" w:pos="-720"/>
          <w:tab w:val="left" w:pos="567"/>
        </w:tabs>
        <w:spacing w:after="0" w:line="240" w:lineRule="auto"/>
        <w:rPr>
          <w:rFonts w:ascii="Times New Roman" w:eastAsia="Times New Roman" w:hAnsi="Times New Roman"/>
          <w:b/>
          <w:snapToGrid w:val="0"/>
          <w:lang w:val="lt-LT" w:eastAsia="en-US" w:bidi="ar-SA"/>
        </w:rPr>
      </w:pPr>
    </w:p>
    <w:p w14:paraId="1B0758D5" w14:textId="77777777" w:rsidR="00E0107B" w:rsidRPr="00514245"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val="lt-LT" w:bidi="ar-SA"/>
        </w:rPr>
      </w:pPr>
    </w:p>
    <w:p w14:paraId="03E79EA7" w14:textId="77777777" w:rsidR="00E0107B" w:rsidRPr="00514245" w:rsidRDefault="00E0107B" w:rsidP="00E0107B">
      <w:pPr>
        <w:keepNext/>
        <w:tabs>
          <w:tab w:val="left" w:pos="567"/>
        </w:tabs>
        <w:spacing w:after="0" w:line="240" w:lineRule="auto"/>
        <w:jc w:val="center"/>
        <w:outlineLvl w:val="1"/>
        <w:rPr>
          <w:rFonts w:ascii="Times New Roman" w:eastAsia="Times New Roman" w:hAnsi="Times New Roman"/>
          <w:b/>
          <w:snapToGrid w:val="0"/>
          <w:lang w:val="lt-LT" w:bidi="ar-SA"/>
        </w:rPr>
      </w:pPr>
      <w:r w:rsidRPr="00514245">
        <w:rPr>
          <w:rFonts w:ascii="Times New Roman" w:eastAsia="Times New Roman" w:hAnsi="Times New Roman"/>
          <w:b/>
          <w:bCs/>
          <w:iCs/>
          <w:snapToGrid w:val="0"/>
          <w:lang w:val="lt-LT" w:bidi="ar-SA"/>
        </w:rPr>
        <w:t>I PRIEDAS</w:t>
      </w:r>
    </w:p>
    <w:p w14:paraId="67BE13C7" w14:textId="77777777" w:rsidR="00E0107B" w:rsidRPr="00514245" w:rsidRDefault="00E0107B" w:rsidP="00E0107B">
      <w:pPr>
        <w:tabs>
          <w:tab w:val="left" w:pos="567"/>
        </w:tabs>
        <w:spacing w:after="0" w:line="240" w:lineRule="auto"/>
        <w:rPr>
          <w:rFonts w:ascii="Times New Roman" w:eastAsia="Times New Roman" w:hAnsi="Times New Roman"/>
          <w:snapToGrid w:val="0"/>
          <w:lang w:val="lt-LT" w:eastAsia="en-US" w:bidi="ar-SA"/>
        </w:rPr>
      </w:pPr>
    </w:p>
    <w:p w14:paraId="0209B275" w14:textId="77777777" w:rsidR="00E0107B" w:rsidRPr="00514245"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PREPARATO CHARAKTERISTIKŲ SANTRAUKA</w:t>
      </w:r>
    </w:p>
    <w:p w14:paraId="490FDAF7" w14:textId="77777777" w:rsidR="00E0107B" w:rsidRPr="00514245" w:rsidRDefault="00E0107B" w:rsidP="00E0107B">
      <w:pPr>
        <w:widowControl w:val="0"/>
        <w:autoSpaceDE w:val="0"/>
        <w:autoSpaceDN w:val="0"/>
        <w:adjustRightInd w:val="0"/>
        <w:spacing w:after="0" w:line="240" w:lineRule="auto"/>
        <w:rPr>
          <w:rFonts w:ascii="Times New Roman" w:hAnsi="Times New Roman"/>
          <w:b/>
          <w:spacing w:val="-1"/>
          <w:lang w:val="lt-LT"/>
        </w:rPr>
      </w:pPr>
      <w:r w:rsidRPr="00514245">
        <w:rPr>
          <w:rFonts w:ascii="Times New Roman" w:eastAsia="Times New Roman" w:hAnsi="Times New Roman"/>
          <w:snapToGrid w:val="0"/>
          <w:lang w:val="lt-LT" w:eastAsia="zh-CN" w:bidi="ar-SA"/>
        </w:rPr>
        <w:br w:type="page"/>
      </w:r>
    </w:p>
    <w:p w14:paraId="005012DF" w14:textId="77777777" w:rsidR="00E0107B" w:rsidRPr="00514245"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lang w:val="lt-LT"/>
        </w:rPr>
      </w:pPr>
      <w:r w:rsidRPr="00514245">
        <w:rPr>
          <w:rFonts w:ascii="Times New Roman" w:hAnsi="Times New Roman"/>
          <w:b/>
          <w:spacing w:val="-1"/>
          <w:lang w:val="lt-LT"/>
        </w:rPr>
        <w:lastRenderedPageBreak/>
        <w:t>VAISTINIO PREPARATO PAVADINIMAS</w:t>
      </w:r>
    </w:p>
    <w:p w14:paraId="1AF0B707" w14:textId="77777777" w:rsidR="00E0107B" w:rsidRPr="00514245"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lang w:val="lt-LT"/>
        </w:rPr>
      </w:pPr>
    </w:p>
    <w:p w14:paraId="1FAA3BFF" w14:textId="23169BCB" w:rsidR="00E0107B" w:rsidRPr="00514245" w:rsidRDefault="00D60C98"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lang w:val="lt-LT"/>
        </w:rPr>
        <w:t>Vortioxetine</w:t>
      </w:r>
      <w:r w:rsidR="00962664" w:rsidRPr="00514245">
        <w:rPr>
          <w:rFonts w:ascii="Times New Roman" w:hAnsi="Times New Roman"/>
          <w:lang w:val="lt-LT"/>
        </w:rPr>
        <w:t xml:space="preserve"> Zentiva</w:t>
      </w:r>
      <w:r w:rsidR="00E0107B" w:rsidRPr="00514245">
        <w:rPr>
          <w:rFonts w:ascii="Times New Roman" w:hAnsi="Times New Roman"/>
          <w:lang w:val="lt-LT"/>
        </w:rPr>
        <w:t xml:space="preserve"> </w:t>
      </w:r>
      <w:r w:rsidR="00962664" w:rsidRPr="00514245">
        <w:rPr>
          <w:rFonts w:ascii="Times New Roman" w:hAnsi="Times New Roman"/>
          <w:lang w:val="lt-LT"/>
        </w:rPr>
        <w:t>5 mg</w:t>
      </w:r>
      <w:r w:rsidR="00E0107B" w:rsidRPr="00514245">
        <w:rPr>
          <w:rFonts w:ascii="Times New Roman" w:hAnsi="Times New Roman"/>
          <w:lang w:val="lt-LT"/>
        </w:rPr>
        <w:t xml:space="preserve"> </w:t>
      </w:r>
      <w:r w:rsidRPr="00514245">
        <w:rPr>
          <w:rFonts w:ascii="Times New Roman" w:hAnsi="Times New Roman"/>
          <w:lang w:val="lt-LT"/>
        </w:rPr>
        <w:t>plėvele dengtos</w:t>
      </w:r>
      <w:r w:rsidR="00305336" w:rsidRPr="00514245">
        <w:rPr>
          <w:rFonts w:ascii="Times New Roman" w:hAnsi="Times New Roman"/>
          <w:lang w:val="lt-LT"/>
        </w:rPr>
        <w:t xml:space="preserve"> tabletės</w:t>
      </w:r>
    </w:p>
    <w:p w14:paraId="3B9E747C" w14:textId="63818AAE" w:rsidR="00D60C98" w:rsidRPr="00514245" w:rsidRDefault="00D60C98" w:rsidP="00D60C98">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lang w:val="lt-LT"/>
        </w:rPr>
        <w:t>Vortioxetine Zentiva 10 mg plėvele dengtos tabletės</w:t>
      </w:r>
    </w:p>
    <w:p w14:paraId="1D85DC8D"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336AC858"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22949783" w14:textId="77777777" w:rsidR="00E0107B" w:rsidRPr="00514245" w:rsidRDefault="00E0107B" w:rsidP="00A97C58">
      <w:pPr>
        <w:widowControl w:val="0"/>
        <w:numPr>
          <w:ilvl w:val="0"/>
          <w:numId w:val="6"/>
        </w:numPr>
        <w:tabs>
          <w:tab w:val="left" w:pos="720"/>
        </w:tabs>
        <w:autoSpaceDE w:val="0"/>
        <w:autoSpaceDN w:val="0"/>
        <w:adjustRightInd w:val="0"/>
        <w:spacing w:after="0" w:line="240" w:lineRule="auto"/>
        <w:ind w:left="720" w:hanging="720"/>
        <w:jc w:val="both"/>
        <w:rPr>
          <w:rFonts w:ascii="Times New Roman" w:eastAsia="Times New Roman" w:hAnsi="Times New Roman"/>
          <w:b/>
          <w:bCs/>
          <w:lang w:val="lt-LT"/>
        </w:rPr>
      </w:pPr>
      <w:r w:rsidRPr="00514245">
        <w:rPr>
          <w:rFonts w:ascii="Times New Roman" w:hAnsi="Times New Roman"/>
          <w:b/>
          <w:spacing w:val="1"/>
          <w:lang w:val="lt-LT"/>
        </w:rPr>
        <w:t xml:space="preserve">KOKYBINĖ IR KIEKYBINĖ SUDĖTIS </w:t>
      </w:r>
    </w:p>
    <w:p w14:paraId="39853144" w14:textId="77777777" w:rsidR="00E0107B" w:rsidRPr="00514245" w:rsidRDefault="00E0107B" w:rsidP="00E0107B">
      <w:pPr>
        <w:widowControl w:val="0"/>
        <w:autoSpaceDE w:val="0"/>
        <w:autoSpaceDN w:val="0"/>
        <w:adjustRightInd w:val="0"/>
        <w:spacing w:after="0" w:line="240" w:lineRule="auto"/>
        <w:jc w:val="both"/>
        <w:rPr>
          <w:rFonts w:ascii="Times New Roman" w:eastAsia="Times New Roman" w:hAnsi="Times New Roman"/>
          <w:b/>
          <w:bCs/>
          <w:lang w:val="lt-LT"/>
        </w:rPr>
      </w:pPr>
    </w:p>
    <w:p w14:paraId="02ED91CA" w14:textId="22FB3621" w:rsidR="00D60C98" w:rsidRPr="00514245" w:rsidRDefault="00D60C98" w:rsidP="00417F82">
      <w:pPr>
        <w:spacing w:after="0" w:line="240" w:lineRule="auto"/>
        <w:rPr>
          <w:rFonts w:ascii="Times New Roman" w:eastAsia="Times New Roman" w:hAnsi="Times New Roman"/>
          <w:u w:val="single"/>
          <w:lang w:val="lt-LT"/>
        </w:rPr>
      </w:pPr>
      <w:r w:rsidRPr="00514245">
        <w:rPr>
          <w:rFonts w:ascii="Times New Roman" w:hAnsi="Times New Roman"/>
          <w:u w:val="single"/>
          <w:lang w:val="lt-LT"/>
        </w:rPr>
        <w:t xml:space="preserve">Vortioxetine Zentiva </w:t>
      </w:r>
      <w:r w:rsidRPr="00514245">
        <w:rPr>
          <w:rFonts w:ascii="Times New Roman" w:eastAsia="Times New Roman" w:hAnsi="Times New Roman"/>
          <w:u w:val="single"/>
          <w:lang w:val="lt-LT"/>
        </w:rPr>
        <w:t xml:space="preserve">5 mg </w:t>
      </w:r>
      <w:r w:rsidRPr="00514245">
        <w:rPr>
          <w:rFonts w:ascii="Times New Roman" w:hAnsi="Times New Roman"/>
          <w:u w:val="single"/>
          <w:lang w:val="lt-LT"/>
        </w:rPr>
        <w:t>plėvele dengtos tabletės</w:t>
      </w:r>
    </w:p>
    <w:p w14:paraId="01838E6D" w14:textId="77777777" w:rsidR="00D60C98" w:rsidRPr="00514245" w:rsidRDefault="00D60C98" w:rsidP="00417F82">
      <w:pPr>
        <w:widowControl w:val="0"/>
        <w:autoSpaceDE w:val="0"/>
        <w:autoSpaceDN w:val="0"/>
        <w:adjustRightInd w:val="0"/>
        <w:spacing w:after="0" w:line="240" w:lineRule="auto"/>
        <w:rPr>
          <w:rFonts w:ascii="Times New Roman" w:hAnsi="Times New Roman"/>
          <w:lang w:val="lt-LT"/>
        </w:rPr>
      </w:pPr>
    </w:p>
    <w:p w14:paraId="79B54AE6" w14:textId="7E8A445E" w:rsidR="00542F3A" w:rsidRPr="00514245" w:rsidRDefault="00542F3A" w:rsidP="00417F82">
      <w:pPr>
        <w:widowControl w:val="0"/>
        <w:autoSpaceDE w:val="0"/>
        <w:autoSpaceDN w:val="0"/>
        <w:adjustRightInd w:val="0"/>
        <w:spacing w:after="0" w:line="240" w:lineRule="auto"/>
        <w:rPr>
          <w:rFonts w:ascii="Times New Roman" w:hAnsi="Times New Roman"/>
          <w:lang w:val="lt-LT"/>
        </w:rPr>
      </w:pPr>
      <w:r w:rsidRPr="00514245">
        <w:rPr>
          <w:rFonts w:ascii="Times New Roman" w:hAnsi="Times New Roman"/>
          <w:lang w:val="lt-LT"/>
        </w:rPr>
        <w:t>Kiekvienoje</w:t>
      </w:r>
      <w:r w:rsidR="007233AC" w:rsidRPr="00514245">
        <w:rPr>
          <w:rFonts w:ascii="Times New Roman" w:hAnsi="Times New Roman"/>
          <w:lang w:val="lt-LT"/>
        </w:rPr>
        <w:t xml:space="preserve"> </w:t>
      </w:r>
      <w:r w:rsidR="00D60C98" w:rsidRPr="00514245">
        <w:rPr>
          <w:rFonts w:ascii="Times New Roman" w:hAnsi="Times New Roman"/>
          <w:lang w:val="lt-LT"/>
        </w:rPr>
        <w:t xml:space="preserve">plėvele dengtoje </w:t>
      </w:r>
      <w:r w:rsidR="00305336" w:rsidRPr="00514245">
        <w:rPr>
          <w:rFonts w:ascii="Times New Roman" w:hAnsi="Times New Roman"/>
          <w:lang w:val="lt-LT"/>
        </w:rPr>
        <w:t xml:space="preserve">tabletėje yra </w:t>
      </w:r>
      <w:proofErr w:type="spellStart"/>
      <w:r w:rsidR="00D60C98" w:rsidRPr="00514245">
        <w:rPr>
          <w:rFonts w:ascii="Times New Roman" w:hAnsi="Times New Roman"/>
          <w:lang w:val="lt-LT"/>
        </w:rPr>
        <w:t>vortioksetino</w:t>
      </w:r>
      <w:proofErr w:type="spellEnd"/>
      <w:r w:rsidR="00D60C98" w:rsidRPr="00514245">
        <w:rPr>
          <w:rFonts w:ascii="Times New Roman" w:hAnsi="Times New Roman"/>
          <w:lang w:val="lt-LT"/>
        </w:rPr>
        <w:t xml:space="preserve"> </w:t>
      </w:r>
      <w:proofErr w:type="spellStart"/>
      <w:r w:rsidR="00D60C98" w:rsidRPr="00514245">
        <w:rPr>
          <w:rFonts w:ascii="Times New Roman" w:hAnsi="Times New Roman"/>
          <w:lang w:val="lt-LT"/>
        </w:rPr>
        <w:t>hidrobromido</w:t>
      </w:r>
      <w:proofErr w:type="spellEnd"/>
      <w:r w:rsidR="00D60C98" w:rsidRPr="00514245">
        <w:rPr>
          <w:rFonts w:ascii="Times New Roman" w:hAnsi="Times New Roman"/>
          <w:lang w:val="lt-LT"/>
        </w:rPr>
        <w:t>, kuris atitinka 5 mg vortioksetino.</w:t>
      </w:r>
    </w:p>
    <w:p w14:paraId="12EB110F" w14:textId="5EFA2624" w:rsidR="00962664" w:rsidRPr="00514245" w:rsidRDefault="00962664" w:rsidP="00417F82">
      <w:pPr>
        <w:widowControl w:val="0"/>
        <w:autoSpaceDE w:val="0"/>
        <w:autoSpaceDN w:val="0"/>
        <w:adjustRightInd w:val="0"/>
        <w:spacing w:after="0" w:line="240" w:lineRule="auto"/>
        <w:rPr>
          <w:rFonts w:ascii="Times New Roman" w:hAnsi="Times New Roman"/>
          <w:lang w:val="lt-LT"/>
        </w:rPr>
      </w:pPr>
    </w:p>
    <w:p w14:paraId="072AA5DC" w14:textId="762A66EE" w:rsidR="00D60C98" w:rsidRPr="00514245" w:rsidRDefault="00D60C98" w:rsidP="00417F82">
      <w:pPr>
        <w:tabs>
          <w:tab w:val="left" w:pos="567"/>
        </w:tabs>
        <w:spacing w:after="0" w:line="260" w:lineRule="exact"/>
        <w:rPr>
          <w:rFonts w:ascii="Times New Roman" w:eastAsia="Times New Roman" w:hAnsi="Times New Roman"/>
          <w:szCs w:val="24"/>
          <w:lang w:val="lt-LT" w:eastAsia="en-US" w:bidi="ar-SA"/>
        </w:rPr>
      </w:pPr>
      <w:r w:rsidRPr="00514245">
        <w:rPr>
          <w:rFonts w:ascii="Times New Roman" w:eastAsia="Times New Roman" w:hAnsi="Times New Roman"/>
          <w:szCs w:val="20"/>
          <w:u w:val="single"/>
          <w:lang w:val="lt-LT" w:eastAsia="en-US" w:bidi="ar-SA"/>
        </w:rPr>
        <w:t xml:space="preserve">Pagalbinė medžiaga, </w:t>
      </w:r>
      <w:r w:rsidRPr="00514245">
        <w:rPr>
          <w:rFonts w:ascii="Times New Roman" w:eastAsia="Times New Roman" w:hAnsi="Times New Roman"/>
          <w:szCs w:val="24"/>
          <w:u w:val="single"/>
          <w:lang w:val="lt-LT" w:eastAsia="en-US" w:bidi="ar-SA"/>
        </w:rPr>
        <w:t xml:space="preserve">kurios </w:t>
      </w:r>
      <w:r w:rsidRPr="00514245">
        <w:rPr>
          <w:rFonts w:ascii="Times New Roman" w:eastAsia="Times New Roman" w:hAnsi="Times New Roman"/>
          <w:szCs w:val="20"/>
          <w:u w:val="single"/>
          <w:lang w:val="lt-LT" w:eastAsia="en-US" w:bidi="ar-SA"/>
        </w:rPr>
        <w:t>poveikis žinomas</w:t>
      </w:r>
    </w:p>
    <w:p w14:paraId="20D6B474" w14:textId="77777777" w:rsidR="00D60C98" w:rsidRPr="00514245" w:rsidRDefault="00D60C98" w:rsidP="00417F82">
      <w:pPr>
        <w:widowControl w:val="0"/>
        <w:autoSpaceDE w:val="0"/>
        <w:autoSpaceDN w:val="0"/>
        <w:adjustRightInd w:val="0"/>
        <w:spacing w:after="0" w:line="240" w:lineRule="auto"/>
        <w:rPr>
          <w:rFonts w:ascii="Times New Roman" w:hAnsi="Times New Roman"/>
          <w:lang w:val="lt-LT"/>
        </w:rPr>
      </w:pPr>
    </w:p>
    <w:p w14:paraId="07C2296C" w14:textId="20F77B56" w:rsidR="00AD2B12" w:rsidRPr="00514245" w:rsidRDefault="00AD2B12" w:rsidP="00417F82">
      <w:pPr>
        <w:widowControl w:val="0"/>
        <w:autoSpaceDE w:val="0"/>
        <w:autoSpaceDN w:val="0"/>
        <w:adjustRightInd w:val="0"/>
        <w:spacing w:after="0" w:line="240" w:lineRule="auto"/>
        <w:rPr>
          <w:rFonts w:ascii="Times New Roman" w:hAnsi="Times New Roman"/>
          <w:lang w:val="lt-LT"/>
        </w:rPr>
      </w:pPr>
      <w:r w:rsidRPr="00514245">
        <w:rPr>
          <w:rFonts w:ascii="Times New Roman" w:hAnsi="Times New Roman"/>
          <w:lang w:val="lt-LT"/>
        </w:rPr>
        <w:t>Kie</w:t>
      </w:r>
      <w:r w:rsidR="00BB3FC8" w:rsidRPr="00514245">
        <w:rPr>
          <w:rFonts w:ascii="Times New Roman" w:hAnsi="Times New Roman"/>
          <w:lang w:val="lt-LT"/>
        </w:rPr>
        <w:t>kvienoje tabletėje yra 0,43 mg laktozės (</w:t>
      </w:r>
      <w:proofErr w:type="spellStart"/>
      <w:r w:rsidR="00BB3FC8" w:rsidRPr="00514245">
        <w:rPr>
          <w:rFonts w:ascii="Times New Roman" w:hAnsi="Times New Roman"/>
          <w:lang w:val="lt-LT"/>
        </w:rPr>
        <w:t>monohidrato</w:t>
      </w:r>
      <w:proofErr w:type="spellEnd"/>
      <w:r w:rsidR="00BB3FC8" w:rsidRPr="00514245">
        <w:rPr>
          <w:rFonts w:ascii="Times New Roman" w:hAnsi="Times New Roman"/>
          <w:lang w:val="lt-LT"/>
        </w:rPr>
        <w:t xml:space="preserve"> pavidalu).</w:t>
      </w:r>
    </w:p>
    <w:p w14:paraId="211224C3" w14:textId="77777777" w:rsidR="00BB3FC8" w:rsidRPr="00514245" w:rsidRDefault="00BB3FC8" w:rsidP="00417F82">
      <w:pPr>
        <w:widowControl w:val="0"/>
        <w:autoSpaceDE w:val="0"/>
        <w:autoSpaceDN w:val="0"/>
        <w:adjustRightInd w:val="0"/>
        <w:spacing w:after="0" w:line="240" w:lineRule="auto"/>
        <w:rPr>
          <w:rFonts w:ascii="Times New Roman" w:hAnsi="Times New Roman"/>
          <w:lang w:val="lt-LT"/>
        </w:rPr>
      </w:pPr>
    </w:p>
    <w:p w14:paraId="5CF4BEBF" w14:textId="746C7E46" w:rsidR="00BB3FC8" w:rsidRPr="00514245" w:rsidRDefault="00BB3FC8" w:rsidP="00417F82">
      <w:pPr>
        <w:spacing w:after="0" w:line="240" w:lineRule="auto"/>
        <w:rPr>
          <w:rFonts w:ascii="Times New Roman" w:eastAsia="Times New Roman" w:hAnsi="Times New Roman"/>
          <w:u w:val="single"/>
          <w:lang w:val="lt-LT"/>
        </w:rPr>
      </w:pPr>
      <w:r w:rsidRPr="00514245">
        <w:rPr>
          <w:rFonts w:ascii="Times New Roman" w:hAnsi="Times New Roman"/>
          <w:u w:val="single"/>
          <w:lang w:val="lt-LT"/>
        </w:rPr>
        <w:t>Vortioxetine Zentiva 10</w:t>
      </w:r>
      <w:r w:rsidRPr="00514245">
        <w:rPr>
          <w:rFonts w:ascii="Times New Roman" w:eastAsia="Times New Roman" w:hAnsi="Times New Roman"/>
          <w:u w:val="single"/>
          <w:lang w:val="lt-LT"/>
        </w:rPr>
        <w:t xml:space="preserve"> mg </w:t>
      </w:r>
      <w:r w:rsidRPr="00514245">
        <w:rPr>
          <w:rFonts w:ascii="Times New Roman" w:hAnsi="Times New Roman"/>
          <w:u w:val="single"/>
          <w:lang w:val="lt-LT"/>
        </w:rPr>
        <w:t>plėvele dengtos tabletės</w:t>
      </w:r>
    </w:p>
    <w:p w14:paraId="34469E9F" w14:textId="77777777" w:rsidR="00BB3FC8" w:rsidRPr="00514245" w:rsidRDefault="00BB3FC8" w:rsidP="00417F82">
      <w:pPr>
        <w:widowControl w:val="0"/>
        <w:autoSpaceDE w:val="0"/>
        <w:autoSpaceDN w:val="0"/>
        <w:adjustRightInd w:val="0"/>
        <w:spacing w:after="0" w:line="240" w:lineRule="auto"/>
        <w:rPr>
          <w:rFonts w:ascii="Times New Roman" w:hAnsi="Times New Roman"/>
          <w:lang w:val="lt-LT"/>
        </w:rPr>
      </w:pPr>
    </w:p>
    <w:p w14:paraId="14400F8F" w14:textId="23D6C0FC" w:rsidR="00BB3FC8" w:rsidRPr="00514245" w:rsidRDefault="00BB3FC8" w:rsidP="00417F82">
      <w:pPr>
        <w:widowControl w:val="0"/>
        <w:autoSpaceDE w:val="0"/>
        <w:autoSpaceDN w:val="0"/>
        <w:adjustRightInd w:val="0"/>
        <w:spacing w:after="0" w:line="240" w:lineRule="auto"/>
        <w:rPr>
          <w:rFonts w:ascii="Times New Roman" w:hAnsi="Times New Roman"/>
          <w:lang w:val="lt-LT"/>
        </w:rPr>
      </w:pPr>
      <w:r w:rsidRPr="00514245">
        <w:rPr>
          <w:rFonts w:ascii="Times New Roman" w:hAnsi="Times New Roman"/>
          <w:lang w:val="lt-LT"/>
        </w:rPr>
        <w:t xml:space="preserve">Kiekvienoje plėvele dengtoje tabletėje yra </w:t>
      </w:r>
      <w:proofErr w:type="spellStart"/>
      <w:r w:rsidRPr="00514245">
        <w:rPr>
          <w:rFonts w:ascii="Times New Roman" w:hAnsi="Times New Roman"/>
          <w:lang w:val="lt-LT"/>
        </w:rPr>
        <w:t>vortioksetino</w:t>
      </w:r>
      <w:proofErr w:type="spellEnd"/>
      <w:r w:rsidRPr="00514245">
        <w:rPr>
          <w:rFonts w:ascii="Times New Roman" w:hAnsi="Times New Roman"/>
          <w:lang w:val="lt-LT"/>
        </w:rPr>
        <w:t xml:space="preserve"> </w:t>
      </w:r>
      <w:proofErr w:type="spellStart"/>
      <w:r w:rsidRPr="00514245">
        <w:rPr>
          <w:rFonts w:ascii="Times New Roman" w:hAnsi="Times New Roman"/>
          <w:lang w:val="lt-LT"/>
        </w:rPr>
        <w:t>hidrobromido</w:t>
      </w:r>
      <w:proofErr w:type="spellEnd"/>
      <w:r w:rsidRPr="00514245">
        <w:rPr>
          <w:rFonts w:ascii="Times New Roman" w:hAnsi="Times New Roman"/>
          <w:lang w:val="lt-LT"/>
        </w:rPr>
        <w:t>, kuris atitinka</w:t>
      </w:r>
      <w:r w:rsidR="00417F82" w:rsidRPr="00514245">
        <w:rPr>
          <w:rFonts w:ascii="Times New Roman" w:hAnsi="Times New Roman"/>
          <w:lang w:val="lt-LT"/>
        </w:rPr>
        <w:t xml:space="preserve"> 10</w:t>
      </w:r>
      <w:r w:rsidRPr="00514245">
        <w:rPr>
          <w:rFonts w:ascii="Times New Roman" w:hAnsi="Times New Roman"/>
          <w:lang w:val="lt-LT"/>
        </w:rPr>
        <w:t> mg vortioksetino.</w:t>
      </w:r>
    </w:p>
    <w:p w14:paraId="78A19399" w14:textId="77777777" w:rsidR="00BB3FC8" w:rsidRPr="00514245" w:rsidRDefault="00BB3FC8" w:rsidP="00417F82">
      <w:pPr>
        <w:widowControl w:val="0"/>
        <w:autoSpaceDE w:val="0"/>
        <w:autoSpaceDN w:val="0"/>
        <w:adjustRightInd w:val="0"/>
        <w:spacing w:after="0" w:line="240" w:lineRule="auto"/>
        <w:rPr>
          <w:rFonts w:ascii="Times New Roman" w:hAnsi="Times New Roman"/>
          <w:lang w:val="lt-LT"/>
        </w:rPr>
      </w:pPr>
    </w:p>
    <w:p w14:paraId="3914D97B" w14:textId="3B07612D" w:rsidR="00E0107B" w:rsidRPr="00514245" w:rsidRDefault="00E0107B" w:rsidP="00417F82">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lang w:val="lt-LT"/>
        </w:rPr>
        <w:t>Visos pagalbinės medžiagos išvardytos 6.1 skyriuje.</w:t>
      </w:r>
    </w:p>
    <w:p w14:paraId="6FE81F3E" w14:textId="77777777" w:rsidR="00E0107B" w:rsidRPr="00514245" w:rsidRDefault="00E0107B" w:rsidP="00417F82">
      <w:pPr>
        <w:widowControl w:val="0"/>
        <w:autoSpaceDE w:val="0"/>
        <w:autoSpaceDN w:val="0"/>
        <w:adjustRightInd w:val="0"/>
        <w:spacing w:after="0" w:line="240" w:lineRule="auto"/>
        <w:rPr>
          <w:rFonts w:ascii="Times New Roman" w:eastAsia="Times New Roman" w:hAnsi="Times New Roman"/>
          <w:lang w:val="lt-LT"/>
        </w:rPr>
      </w:pPr>
    </w:p>
    <w:p w14:paraId="37038C61" w14:textId="77777777" w:rsidR="00E0107B" w:rsidRPr="00514245" w:rsidRDefault="00E0107B" w:rsidP="00E0107B">
      <w:pPr>
        <w:widowControl w:val="0"/>
        <w:autoSpaceDE w:val="0"/>
        <w:autoSpaceDN w:val="0"/>
        <w:adjustRightInd w:val="0"/>
        <w:spacing w:after="0" w:line="240" w:lineRule="auto"/>
        <w:jc w:val="both"/>
        <w:rPr>
          <w:rFonts w:ascii="Times New Roman" w:eastAsia="Times New Roman" w:hAnsi="Times New Roman"/>
          <w:lang w:val="lt-LT"/>
        </w:rPr>
      </w:pPr>
    </w:p>
    <w:p w14:paraId="1E2D2CA6" w14:textId="77777777" w:rsidR="00E0107B" w:rsidRPr="00514245"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lang w:val="lt-LT"/>
        </w:rPr>
      </w:pPr>
      <w:r w:rsidRPr="00514245">
        <w:rPr>
          <w:rFonts w:ascii="Times New Roman" w:hAnsi="Times New Roman"/>
          <w:b/>
          <w:spacing w:val="2"/>
          <w:lang w:val="lt-LT"/>
        </w:rPr>
        <w:t>FARMACINĖ FORMA</w:t>
      </w:r>
    </w:p>
    <w:p w14:paraId="461693C0"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6B2F1679" w14:textId="07D8B697" w:rsidR="00E0107B" w:rsidRPr="00514245" w:rsidRDefault="00305336"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P</w:t>
      </w:r>
      <w:r w:rsidR="0072331F" w:rsidRPr="00514245">
        <w:rPr>
          <w:rFonts w:ascii="Times New Roman" w:eastAsia="Times New Roman" w:hAnsi="Times New Roman"/>
          <w:lang w:val="lt-LT"/>
        </w:rPr>
        <w:t xml:space="preserve">lėvele dengta </w:t>
      </w:r>
      <w:r w:rsidRPr="00514245">
        <w:rPr>
          <w:rFonts w:ascii="Times New Roman" w:eastAsia="Times New Roman" w:hAnsi="Times New Roman"/>
          <w:lang w:val="lt-LT"/>
        </w:rPr>
        <w:t>tabletė</w:t>
      </w:r>
      <w:r w:rsidR="00DB1657" w:rsidRPr="00514245">
        <w:rPr>
          <w:rFonts w:ascii="Times New Roman" w:eastAsia="Times New Roman" w:hAnsi="Times New Roman"/>
          <w:lang w:val="lt-LT"/>
        </w:rPr>
        <w:t xml:space="preserve"> (tabletė)</w:t>
      </w:r>
      <w:r w:rsidRPr="00514245">
        <w:rPr>
          <w:rFonts w:ascii="Times New Roman" w:eastAsia="Times New Roman" w:hAnsi="Times New Roman"/>
          <w:lang w:val="lt-LT"/>
        </w:rPr>
        <w:t>.</w:t>
      </w:r>
    </w:p>
    <w:p w14:paraId="087E051D" w14:textId="4CBE015A"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4103655A" w14:textId="77777777" w:rsidR="0072331F" w:rsidRPr="00514245" w:rsidRDefault="0072331F" w:rsidP="0072331F">
      <w:pPr>
        <w:spacing w:after="0" w:line="240" w:lineRule="auto"/>
        <w:rPr>
          <w:rFonts w:ascii="Times New Roman" w:eastAsia="Times New Roman" w:hAnsi="Times New Roman"/>
          <w:u w:val="single"/>
          <w:lang w:val="lt-LT"/>
        </w:rPr>
      </w:pPr>
      <w:r w:rsidRPr="00514245">
        <w:rPr>
          <w:rFonts w:ascii="Times New Roman" w:hAnsi="Times New Roman"/>
          <w:u w:val="single"/>
          <w:lang w:val="lt-LT"/>
        </w:rPr>
        <w:t xml:space="preserve">Vortioxetine Zentiva </w:t>
      </w:r>
      <w:r w:rsidRPr="00514245">
        <w:rPr>
          <w:rFonts w:ascii="Times New Roman" w:eastAsia="Times New Roman" w:hAnsi="Times New Roman"/>
          <w:u w:val="single"/>
          <w:lang w:val="lt-LT"/>
        </w:rPr>
        <w:t xml:space="preserve">5 mg </w:t>
      </w:r>
      <w:r w:rsidRPr="00514245">
        <w:rPr>
          <w:rFonts w:ascii="Times New Roman" w:hAnsi="Times New Roman"/>
          <w:u w:val="single"/>
          <w:lang w:val="lt-LT"/>
        </w:rPr>
        <w:t>plėvele dengtos tabletės</w:t>
      </w:r>
    </w:p>
    <w:p w14:paraId="1B1CF583" w14:textId="77777777" w:rsidR="0072331F" w:rsidRPr="00514245" w:rsidRDefault="0072331F" w:rsidP="00E0107B">
      <w:pPr>
        <w:widowControl w:val="0"/>
        <w:autoSpaceDE w:val="0"/>
        <w:autoSpaceDN w:val="0"/>
        <w:adjustRightInd w:val="0"/>
        <w:spacing w:after="0" w:line="240" w:lineRule="auto"/>
        <w:rPr>
          <w:rFonts w:ascii="Times New Roman" w:eastAsia="Times New Roman" w:hAnsi="Times New Roman"/>
          <w:lang w:val="lt-LT"/>
        </w:rPr>
      </w:pPr>
    </w:p>
    <w:p w14:paraId="26D7D975" w14:textId="1B3E5983" w:rsidR="0072331F" w:rsidRPr="00514245" w:rsidRDefault="0072331F"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Tamsiai geltona, apvali, abipus išgaubta plėvele dengta tabletė, apytiksliai 5,5 mm skersmens.</w:t>
      </w:r>
    </w:p>
    <w:p w14:paraId="416BD905" w14:textId="77777777" w:rsidR="0072331F" w:rsidRPr="00514245" w:rsidRDefault="0072331F" w:rsidP="00E0107B">
      <w:pPr>
        <w:widowControl w:val="0"/>
        <w:autoSpaceDE w:val="0"/>
        <w:autoSpaceDN w:val="0"/>
        <w:adjustRightInd w:val="0"/>
        <w:spacing w:after="0" w:line="240" w:lineRule="auto"/>
        <w:rPr>
          <w:rFonts w:ascii="Times New Roman" w:eastAsia="Times New Roman" w:hAnsi="Times New Roman"/>
          <w:lang w:val="lt-LT"/>
        </w:rPr>
      </w:pPr>
    </w:p>
    <w:p w14:paraId="59022571" w14:textId="7A455880" w:rsidR="0072331F" w:rsidRPr="00514245" w:rsidRDefault="0072331F" w:rsidP="0072331F">
      <w:pPr>
        <w:spacing w:after="0" w:line="240" w:lineRule="auto"/>
        <w:rPr>
          <w:rFonts w:ascii="Times New Roman" w:eastAsia="Times New Roman" w:hAnsi="Times New Roman"/>
          <w:u w:val="single"/>
          <w:lang w:val="lt-LT"/>
        </w:rPr>
      </w:pPr>
      <w:r w:rsidRPr="00514245">
        <w:rPr>
          <w:rFonts w:ascii="Times New Roman" w:hAnsi="Times New Roman"/>
          <w:u w:val="single"/>
          <w:lang w:val="lt-LT"/>
        </w:rPr>
        <w:t>Vortioxetine Zentiva 10</w:t>
      </w:r>
      <w:r w:rsidRPr="00514245">
        <w:rPr>
          <w:rFonts w:ascii="Times New Roman" w:eastAsia="Times New Roman" w:hAnsi="Times New Roman"/>
          <w:u w:val="single"/>
          <w:lang w:val="lt-LT"/>
        </w:rPr>
        <w:t xml:space="preserve"> mg </w:t>
      </w:r>
      <w:r w:rsidRPr="00514245">
        <w:rPr>
          <w:rFonts w:ascii="Times New Roman" w:hAnsi="Times New Roman"/>
          <w:u w:val="single"/>
          <w:lang w:val="lt-LT"/>
        </w:rPr>
        <w:t>plėvele dengtos tabletės</w:t>
      </w:r>
    </w:p>
    <w:p w14:paraId="13A92C7A" w14:textId="6637A8B0"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144AD96B" w14:textId="06A8F7FD" w:rsidR="0072331F" w:rsidRPr="00514245" w:rsidRDefault="0072331F"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Rausvai oranžinė, apvali, abipus išgaubta plėvele dengta tabletė, apytiksliai 7,0 mm skersmens su įspausta „Z“ vienos pusės viduryje.</w:t>
      </w:r>
    </w:p>
    <w:p w14:paraId="20BCFEF8" w14:textId="77777777" w:rsidR="00377660" w:rsidRPr="00514245" w:rsidRDefault="00377660" w:rsidP="00E0107B">
      <w:pPr>
        <w:widowControl w:val="0"/>
        <w:autoSpaceDE w:val="0"/>
        <w:autoSpaceDN w:val="0"/>
        <w:adjustRightInd w:val="0"/>
        <w:spacing w:after="0" w:line="240" w:lineRule="auto"/>
        <w:rPr>
          <w:rFonts w:ascii="Times New Roman" w:eastAsia="Times New Roman" w:hAnsi="Times New Roman"/>
          <w:lang w:val="lt-LT"/>
        </w:rPr>
      </w:pPr>
    </w:p>
    <w:p w14:paraId="004F4740" w14:textId="77777777" w:rsidR="00305336" w:rsidRPr="00514245" w:rsidRDefault="00305336" w:rsidP="00E0107B">
      <w:pPr>
        <w:widowControl w:val="0"/>
        <w:autoSpaceDE w:val="0"/>
        <w:autoSpaceDN w:val="0"/>
        <w:adjustRightInd w:val="0"/>
        <w:spacing w:after="0" w:line="240" w:lineRule="auto"/>
        <w:rPr>
          <w:rFonts w:ascii="Times New Roman" w:eastAsia="Times New Roman" w:hAnsi="Times New Roman"/>
          <w:lang w:val="lt-LT"/>
        </w:rPr>
      </w:pPr>
    </w:p>
    <w:p w14:paraId="5C1C0A60" w14:textId="77777777" w:rsidR="00E0107B" w:rsidRPr="00514245"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lang w:val="lt-LT"/>
        </w:rPr>
      </w:pPr>
      <w:r w:rsidRPr="00514245">
        <w:rPr>
          <w:rFonts w:ascii="Times New Roman" w:hAnsi="Times New Roman"/>
          <w:b/>
          <w:spacing w:val="-1"/>
          <w:lang w:val="lt-LT"/>
        </w:rPr>
        <w:t>KLINIKINĖ INFORMACIJA</w:t>
      </w:r>
    </w:p>
    <w:p w14:paraId="3AC6FEB6"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7F264CED" w14:textId="77777777" w:rsidR="00E0107B" w:rsidRPr="00514245"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4.1</w:t>
      </w:r>
      <w:r w:rsidRPr="00514245">
        <w:rPr>
          <w:rFonts w:ascii="Times New Roman" w:hAnsi="Times New Roman"/>
          <w:lang w:val="lt-LT"/>
        </w:rPr>
        <w:tab/>
      </w:r>
      <w:r w:rsidRPr="00514245">
        <w:rPr>
          <w:rFonts w:ascii="Times New Roman" w:hAnsi="Times New Roman"/>
          <w:b/>
          <w:lang w:val="lt-LT"/>
        </w:rPr>
        <w:t>Terapinės indikacijos</w:t>
      </w:r>
    </w:p>
    <w:p w14:paraId="7B6224DE"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002C4F25" w14:textId="04D80EA8" w:rsidR="00305336" w:rsidRPr="00514245" w:rsidRDefault="006C20CE"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Vortioxetine Zentiva skirtas suaugus</w:t>
      </w:r>
      <w:r w:rsidR="00652C8C">
        <w:rPr>
          <w:rFonts w:ascii="Times New Roman" w:eastAsia="Times New Roman" w:hAnsi="Times New Roman"/>
          <w:lang w:val="lt-LT"/>
        </w:rPr>
        <w:t>iųjų</w:t>
      </w:r>
      <w:r w:rsidRPr="00514245">
        <w:rPr>
          <w:rFonts w:ascii="Times New Roman" w:eastAsia="Times New Roman" w:hAnsi="Times New Roman"/>
          <w:lang w:val="lt-LT"/>
        </w:rPr>
        <w:t xml:space="preserve"> didžiosios depresijos epizodams gydyti.</w:t>
      </w:r>
    </w:p>
    <w:p w14:paraId="47B16F76" w14:textId="77777777" w:rsidR="006C20CE" w:rsidRPr="00514245" w:rsidRDefault="006C20CE" w:rsidP="00E0107B">
      <w:pPr>
        <w:widowControl w:val="0"/>
        <w:autoSpaceDE w:val="0"/>
        <w:autoSpaceDN w:val="0"/>
        <w:adjustRightInd w:val="0"/>
        <w:spacing w:after="0" w:line="240" w:lineRule="auto"/>
        <w:rPr>
          <w:rFonts w:ascii="Times New Roman" w:eastAsia="Times New Roman" w:hAnsi="Times New Roman"/>
          <w:lang w:val="lt-LT"/>
        </w:rPr>
      </w:pPr>
    </w:p>
    <w:p w14:paraId="0EFF5939" w14:textId="77777777" w:rsidR="00E0107B" w:rsidRPr="00514245"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4.2</w:t>
      </w:r>
      <w:r w:rsidRPr="00514245">
        <w:rPr>
          <w:rFonts w:ascii="Times New Roman" w:hAnsi="Times New Roman"/>
          <w:lang w:val="lt-LT"/>
        </w:rPr>
        <w:tab/>
      </w:r>
      <w:r w:rsidRPr="00514245">
        <w:rPr>
          <w:rFonts w:ascii="Times New Roman" w:hAnsi="Times New Roman"/>
          <w:b/>
          <w:lang w:val="lt-LT"/>
        </w:rPr>
        <w:t>Dozavimas ir vartojimo metodas</w:t>
      </w:r>
    </w:p>
    <w:p w14:paraId="714B0043" w14:textId="77777777" w:rsidR="00912E20" w:rsidRPr="00514245" w:rsidRDefault="00912E20" w:rsidP="00E0107B">
      <w:pPr>
        <w:widowControl w:val="0"/>
        <w:autoSpaceDE w:val="0"/>
        <w:autoSpaceDN w:val="0"/>
        <w:adjustRightInd w:val="0"/>
        <w:spacing w:after="0" w:line="240" w:lineRule="auto"/>
        <w:rPr>
          <w:rFonts w:ascii="Times New Roman" w:hAnsi="Times New Roman"/>
          <w:spacing w:val="2"/>
          <w:lang w:val="lt-LT"/>
        </w:rPr>
      </w:pPr>
    </w:p>
    <w:p w14:paraId="2FBA156F" w14:textId="592854C2" w:rsidR="00912E20" w:rsidRPr="00514245" w:rsidRDefault="00CE7CA1" w:rsidP="00DB10AB">
      <w:pPr>
        <w:keepNext/>
        <w:autoSpaceDE w:val="0"/>
        <w:autoSpaceDN w:val="0"/>
        <w:adjustRightInd w:val="0"/>
        <w:spacing w:after="0" w:line="240" w:lineRule="auto"/>
        <w:rPr>
          <w:rFonts w:ascii="Times New Roman" w:hAnsi="Times New Roman"/>
          <w:spacing w:val="2"/>
          <w:u w:val="single"/>
          <w:lang w:val="lt-LT"/>
        </w:rPr>
      </w:pPr>
      <w:r w:rsidRPr="00514245">
        <w:rPr>
          <w:rFonts w:ascii="Times New Roman" w:hAnsi="Times New Roman"/>
          <w:spacing w:val="2"/>
          <w:u w:val="single"/>
          <w:lang w:val="lt-LT"/>
        </w:rPr>
        <w:t>Dozavimas</w:t>
      </w:r>
    </w:p>
    <w:p w14:paraId="19DF5681" w14:textId="77777777" w:rsidR="00305336" w:rsidRPr="00514245" w:rsidRDefault="00305336" w:rsidP="00DB10AB">
      <w:pPr>
        <w:widowControl w:val="0"/>
        <w:autoSpaceDE w:val="0"/>
        <w:autoSpaceDN w:val="0"/>
        <w:adjustRightInd w:val="0"/>
        <w:spacing w:after="0" w:line="240" w:lineRule="auto"/>
        <w:rPr>
          <w:rFonts w:ascii="Times New Roman" w:hAnsi="Times New Roman"/>
          <w:spacing w:val="2"/>
          <w:lang w:val="lt-LT"/>
        </w:rPr>
      </w:pPr>
    </w:p>
    <w:p w14:paraId="76623C17" w14:textId="094693AF"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Pradinė ir rekomenduojama Vortioxetine Zentiva dozė jaunesniems kaip 65 metų suaugusiesiems yra 10 mg vortioksetino vieną kartą per parą.</w:t>
      </w:r>
    </w:p>
    <w:p w14:paraId="50179F78" w14:textId="77777777"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p>
    <w:p w14:paraId="31A834AB" w14:textId="2781A9CA"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Atsižvelgiant į individualų paciento atsaką, dozę galima padidinti iki didžiausios vieną kartą per parą vartojamos 20 mg vortioksetino dozės arba sumažinti iki mažiausios vieną kartą per parą vartojamos 5 mg vortioksetino dozės.</w:t>
      </w:r>
    </w:p>
    <w:p w14:paraId="34FADB3E" w14:textId="77777777"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p>
    <w:p w14:paraId="6AD56CBE" w14:textId="6D3407AE" w:rsidR="00EF7A72" w:rsidRPr="00514245" w:rsidRDefault="00600B41" w:rsidP="00600B41">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lastRenderedPageBreak/>
        <w:t xml:space="preserve">Išnykus depresijos simptomams, rekomenduojama gydyti ne trumpiau kaip 6 mėnesius, kad sustiprėtų </w:t>
      </w:r>
      <w:proofErr w:type="spellStart"/>
      <w:r w:rsidRPr="00514245">
        <w:rPr>
          <w:rFonts w:ascii="Times New Roman" w:hAnsi="Times New Roman"/>
          <w:spacing w:val="2"/>
          <w:lang w:val="lt-LT"/>
        </w:rPr>
        <w:t>antidepresinis</w:t>
      </w:r>
      <w:proofErr w:type="spellEnd"/>
      <w:r w:rsidRPr="00514245">
        <w:rPr>
          <w:rFonts w:ascii="Times New Roman" w:hAnsi="Times New Roman"/>
          <w:spacing w:val="2"/>
          <w:lang w:val="lt-LT"/>
        </w:rPr>
        <w:t xml:space="preserve"> atsakas.</w:t>
      </w:r>
    </w:p>
    <w:p w14:paraId="215F45B6" w14:textId="77777777"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p>
    <w:p w14:paraId="53CAEE36" w14:textId="77777777" w:rsidR="00600B41" w:rsidRPr="00514245" w:rsidRDefault="00600B41" w:rsidP="00600B41">
      <w:pPr>
        <w:widowControl w:val="0"/>
        <w:autoSpaceDE w:val="0"/>
        <w:autoSpaceDN w:val="0"/>
        <w:adjustRightInd w:val="0"/>
        <w:spacing w:after="0" w:line="240" w:lineRule="auto"/>
        <w:rPr>
          <w:rFonts w:ascii="Times New Roman" w:hAnsi="Times New Roman"/>
          <w:spacing w:val="2"/>
          <w:u w:val="single"/>
          <w:lang w:val="lt-LT"/>
        </w:rPr>
      </w:pPr>
      <w:r w:rsidRPr="00600B41">
        <w:rPr>
          <w:rFonts w:ascii="Times New Roman" w:hAnsi="Times New Roman"/>
          <w:spacing w:val="2"/>
          <w:u w:val="single"/>
          <w:lang w:val="lt-LT"/>
        </w:rPr>
        <w:t xml:space="preserve">Gydymo užbaigimas </w:t>
      </w:r>
    </w:p>
    <w:p w14:paraId="05B2CBEE" w14:textId="77777777" w:rsidR="00600B41" w:rsidRPr="00600B41" w:rsidRDefault="00600B41" w:rsidP="00600B41">
      <w:pPr>
        <w:widowControl w:val="0"/>
        <w:autoSpaceDE w:val="0"/>
        <w:autoSpaceDN w:val="0"/>
        <w:adjustRightInd w:val="0"/>
        <w:spacing w:after="0" w:line="240" w:lineRule="auto"/>
        <w:rPr>
          <w:rFonts w:ascii="Times New Roman" w:hAnsi="Times New Roman"/>
          <w:spacing w:val="2"/>
          <w:u w:val="single"/>
          <w:lang w:val="lt-LT"/>
        </w:rPr>
      </w:pPr>
    </w:p>
    <w:p w14:paraId="6DE15711" w14:textId="5C80224E"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 xml:space="preserve">Siekiant išvengti nutraukimo simptomų (žr. 4.8 skyrių), galima apsvarstyti nutraukimą laipsniškai mažinant dozę. Tačiau duomenų nepakanka, kad būtų galima teikti konkrečių rekomendacijų </w:t>
      </w:r>
      <w:r w:rsidR="002C6597" w:rsidRPr="00514245">
        <w:rPr>
          <w:rFonts w:ascii="Times New Roman" w:hAnsi="Times New Roman"/>
          <w:spacing w:val="2"/>
          <w:lang w:val="lt-LT"/>
        </w:rPr>
        <w:t>n</w:t>
      </w:r>
      <w:r w:rsidRPr="00514245">
        <w:rPr>
          <w:rFonts w:ascii="Times New Roman" w:hAnsi="Times New Roman"/>
          <w:spacing w:val="2"/>
          <w:lang w:val="lt-LT"/>
        </w:rPr>
        <w:t xml:space="preserve">utraukti vartojimą palaipsniui mažinant dozę </w:t>
      </w:r>
      <w:r w:rsidR="002C6597" w:rsidRPr="00514245">
        <w:rPr>
          <w:rFonts w:ascii="Times New Roman" w:hAnsi="Times New Roman"/>
          <w:spacing w:val="2"/>
          <w:lang w:val="lt-LT"/>
        </w:rPr>
        <w:t>vortioksetinu</w:t>
      </w:r>
      <w:r w:rsidRPr="00514245">
        <w:rPr>
          <w:rFonts w:ascii="Times New Roman" w:hAnsi="Times New Roman"/>
          <w:spacing w:val="2"/>
          <w:lang w:val="lt-LT"/>
        </w:rPr>
        <w:t xml:space="preserve"> gydomiems pacientams.</w:t>
      </w:r>
    </w:p>
    <w:p w14:paraId="15F0EA76" w14:textId="77777777" w:rsidR="00600B41" w:rsidRPr="00514245" w:rsidRDefault="00600B41" w:rsidP="00600B41">
      <w:pPr>
        <w:widowControl w:val="0"/>
        <w:autoSpaceDE w:val="0"/>
        <w:autoSpaceDN w:val="0"/>
        <w:adjustRightInd w:val="0"/>
        <w:spacing w:after="0" w:line="240" w:lineRule="auto"/>
        <w:rPr>
          <w:rFonts w:ascii="Times New Roman" w:hAnsi="Times New Roman"/>
          <w:spacing w:val="2"/>
          <w:lang w:val="lt-LT"/>
        </w:rPr>
      </w:pPr>
    </w:p>
    <w:p w14:paraId="7024B9CB" w14:textId="56E1477C" w:rsidR="00E956DA" w:rsidRPr="00514245" w:rsidRDefault="00430588" w:rsidP="00E0107B">
      <w:pPr>
        <w:widowControl w:val="0"/>
        <w:autoSpaceDE w:val="0"/>
        <w:autoSpaceDN w:val="0"/>
        <w:adjustRightInd w:val="0"/>
        <w:spacing w:after="0" w:line="240" w:lineRule="auto"/>
        <w:rPr>
          <w:rFonts w:ascii="Times New Roman" w:hAnsi="Times New Roman"/>
          <w:spacing w:val="2"/>
          <w:u w:val="single"/>
          <w:lang w:val="lt-LT"/>
        </w:rPr>
      </w:pPr>
      <w:r w:rsidRPr="00514245">
        <w:rPr>
          <w:rFonts w:ascii="Times New Roman" w:hAnsi="Times New Roman"/>
          <w:spacing w:val="2"/>
          <w:u w:val="single"/>
          <w:lang w:val="lt-LT"/>
        </w:rPr>
        <w:t>Ypatingos populiacijos</w:t>
      </w:r>
    </w:p>
    <w:p w14:paraId="74755BD2" w14:textId="77777777" w:rsidR="007A113F" w:rsidRPr="00514245" w:rsidRDefault="007A113F" w:rsidP="00E0107B">
      <w:pPr>
        <w:widowControl w:val="0"/>
        <w:autoSpaceDE w:val="0"/>
        <w:autoSpaceDN w:val="0"/>
        <w:adjustRightInd w:val="0"/>
        <w:spacing w:after="0" w:line="240" w:lineRule="auto"/>
        <w:rPr>
          <w:rFonts w:ascii="Times New Roman" w:hAnsi="Times New Roman"/>
          <w:spacing w:val="2"/>
          <w:lang w:val="lt-LT"/>
        </w:rPr>
      </w:pPr>
    </w:p>
    <w:p w14:paraId="7AEA6326" w14:textId="2B16DB64" w:rsidR="00CD0B66" w:rsidRPr="00514245" w:rsidRDefault="00CD0B66" w:rsidP="00E0107B">
      <w:pPr>
        <w:widowControl w:val="0"/>
        <w:autoSpaceDE w:val="0"/>
        <w:autoSpaceDN w:val="0"/>
        <w:adjustRightInd w:val="0"/>
        <w:spacing w:after="0" w:line="240" w:lineRule="auto"/>
        <w:rPr>
          <w:rFonts w:ascii="Times New Roman" w:hAnsi="Times New Roman"/>
          <w:i/>
          <w:iCs/>
          <w:spacing w:val="2"/>
          <w:lang w:val="lt-LT"/>
        </w:rPr>
      </w:pPr>
      <w:r w:rsidRPr="00514245">
        <w:rPr>
          <w:rFonts w:ascii="Times New Roman" w:hAnsi="Times New Roman"/>
          <w:i/>
          <w:iCs/>
          <w:spacing w:val="2"/>
          <w:lang w:val="lt-LT"/>
        </w:rPr>
        <w:t>Senyviems pacientams</w:t>
      </w:r>
    </w:p>
    <w:p w14:paraId="20854470" w14:textId="4E48354D"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 65 metų pacientams visada būtina pradėti vartoti mažiausią veiksmingą vieną kartą per parą vartojamą 5 mg vortioksetino dozę. ≥ 65 metų pacientus gydyti didesne kaip vieną kartą per parą vartojama 10 mg vortioksetino doze būtina atsargiai, kadangi duomenų apie tokių dozių vartojimą yra nedaug (žr. 4.4 skyrių).</w:t>
      </w:r>
    </w:p>
    <w:p w14:paraId="7E355F59" w14:textId="77777777"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p>
    <w:p w14:paraId="3AD4E1DD" w14:textId="5911C239" w:rsidR="00CD0B66" w:rsidRPr="00514245" w:rsidRDefault="00CD0B66" w:rsidP="00E0107B">
      <w:pPr>
        <w:widowControl w:val="0"/>
        <w:autoSpaceDE w:val="0"/>
        <w:autoSpaceDN w:val="0"/>
        <w:adjustRightInd w:val="0"/>
        <w:spacing w:after="0" w:line="240" w:lineRule="auto"/>
        <w:rPr>
          <w:rFonts w:ascii="Times New Roman" w:hAnsi="Times New Roman"/>
          <w:i/>
          <w:iCs/>
          <w:spacing w:val="2"/>
          <w:lang w:val="lt-LT"/>
        </w:rPr>
      </w:pPr>
      <w:proofErr w:type="spellStart"/>
      <w:r w:rsidRPr="00514245">
        <w:rPr>
          <w:rFonts w:ascii="Times New Roman" w:hAnsi="Times New Roman"/>
          <w:i/>
          <w:iCs/>
          <w:spacing w:val="2"/>
          <w:lang w:val="lt-LT"/>
        </w:rPr>
        <w:t>Citochromo</w:t>
      </w:r>
      <w:proofErr w:type="spellEnd"/>
      <w:r w:rsidRPr="00514245">
        <w:rPr>
          <w:rFonts w:ascii="Times New Roman" w:hAnsi="Times New Roman"/>
          <w:i/>
          <w:iCs/>
          <w:spacing w:val="2"/>
          <w:lang w:val="lt-LT"/>
        </w:rPr>
        <w:t xml:space="preserve"> P450 inhibitoriai</w:t>
      </w:r>
    </w:p>
    <w:p w14:paraId="0424A8D9" w14:textId="4BEBC498"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 xml:space="preserve">Atsižvelgiant į individualų paciento atsaką, galima apsvarstyti mažesnės vortioksetino dozės skyrimą, jeigu gydant vortioksetinu, papildomai skiriama vartoti stipriai veikiančių CYP2D6 inhibitorių (pvz., </w:t>
      </w:r>
      <w:proofErr w:type="spellStart"/>
      <w:r w:rsidRPr="00514245">
        <w:rPr>
          <w:rFonts w:ascii="Times New Roman" w:hAnsi="Times New Roman"/>
          <w:spacing w:val="2"/>
          <w:lang w:val="lt-LT"/>
        </w:rPr>
        <w:t>bupropiono</w:t>
      </w:r>
      <w:proofErr w:type="spellEnd"/>
      <w:r w:rsidRPr="00514245">
        <w:rPr>
          <w:rFonts w:ascii="Times New Roman" w:hAnsi="Times New Roman"/>
          <w:spacing w:val="2"/>
          <w:lang w:val="lt-LT"/>
        </w:rPr>
        <w:t xml:space="preserve">, </w:t>
      </w:r>
      <w:proofErr w:type="spellStart"/>
      <w:r w:rsidRPr="00514245">
        <w:rPr>
          <w:rFonts w:ascii="Times New Roman" w:hAnsi="Times New Roman"/>
          <w:spacing w:val="2"/>
          <w:lang w:val="lt-LT"/>
        </w:rPr>
        <w:t>chinidino</w:t>
      </w:r>
      <w:proofErr w:type="spellEnd"/>
      <w:r w:rsidRPr="00514245">
        <w:rPr>
          <w:rFonts w:ascii="Times New Roman" w:hAnsi="Times New Roman"/>
          <w:spacing w:val="2"/>
          <w:lang w:val="lt-LT"/>
        </w:rPr>
        <w:t xml:space="preserve">, </w:t>
      </w:r>
      <w:proofErr w:type="spellStart"/>
      <w:r w:rsidRPr="00514245">
        <w:rPr>
          <w:rFonts w:ascii="Times New Roman" w:hAnsi="Times New Roman"/>
          <w:spacing w:val="2"/>
          <w:lang w:val="lt-LT"/>
        </w:rPr>
        <w:t>fluoksetino</w:t>
      </w:r>
      <w:proofErr w:type="spellEnd"/>
      <w:r w:rsidRPr="00514245">
        <w:rPr>
          <w:rFonts w:ascii="Times New Roman" w:hAnsi="Times New Roman"/>
          <w:spacing w:val="2"/>
          <w:lang w:val="lt-LT"/>
        </w:rPr>
        <w:t xml:space="preserve">, </w:t>
      </w:r>
      <w:proofErr w:type="spellStart"/>
      <w:r w:rsidRPr="00514245">
        <w:rPr>
          <w:rFonts w:ascii="Times New Roman" w:hAnsi="Times New Roman"/>
          <w:spacing w:val="2"/>
          <w:lang w:val="lt-LT"/>
        </w:rPr>
        <w:t>paroksetino</w:t>
      </w:r>
      <w:proofErr w:type="spellEnd"/>
      <w:r w:rsidRPr="00514245">
        <w:rPr>
          <w:rFonts w:ascii="Times New Roman" w:hAnsi="Times New Roman"/>
          <w:spacing w:val="2"/>
          <w:lang w:val="lt-LT"/>
        </w:rPr>
        <w:t>) (žr. 4.5 skyrių).</w:t>
      </w:r>
    </w:p>
    <w:p w14:paraId="5B8BB283" w14:textId="77777777"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p>
    <w:p w14:paraId="38109C8B" w14:textId="0D948ED2"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proofErr w:type="spellStart"/>
      <w:r w:rsidRPr="00514245">
        <w:rPr>
          <w:rFonts w:ascii="Times New Roman" w:hAnsi="Times New Roman"/>
          <w:i/>
          <w:iCs/>
          <w:spacing w:val="2"/>
          <w:lang w:val="lt-LT"/>
        </w:rPr>
        <w:t>Citochromą</w:t>
      </w:r>
      <w:proofErr w:type="spellEnd"/>
      <w:r w:rsidRPr="00514245">
        <w:rPr>
          <w:rFonts w:ascii="Times New Roman" w:hAnsi="Times New Roman"/>
          <w:i/>
          <w:iCs/>
          <w:spacing w:val="2"/>
          <w:lang w:val="lt-LT"/>
        </w:rPr>
        <w:t xml:space="preserve"> P450 sužadinantys vaistiniai preparatai</w:t>
      </w:r>
    </w:p>
    <w:p w14:paraId="222409A2" w14:textId="5926A76C"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 xml:space="preserve">Atsižvelgiant į individualų paciento atsaką, galima apsvarstyti vortioksetino dozės koregavimą, jeigu gydant vortioksetinu, papildomai skiriama vartoti plataus veikimo spektro </w:t>
      </w:r>
      <w:proofErr w:type="spellStart"/>
      <w:r w:rsidRPr="00514245">
        <w:rPr>
          <w:rFonts w:ascii="Times New Roman" w:hAnsi="Times New Roman"/>
          <w:spacing w:val="2"/>
          <w:lang w:val="lt-LT"/>
        </w:rPr>
        <w:t>citochromo</w:t>
      </w:r>
      <w:proofErr w:type="spellEnd"/>
      <w:r w:rsidRPr="00514245">
        <w:rPr>
          <w:rFonts w:ascii="Times New Roman" w:hAnsi="Times New Roman"/>
          <w:spacing w:val="2"/>
          <w:lang w:val="lt-LT"/>
        </w:rPr>
        <w:t xml:space="preserve"> P450 </w:t>
      </w:r>
      <w:proofErr w:type="spellStart"/>
      <w:r w:rsidRPr="00514245">
        <w:rPr>
          <w:rFonts w:ascii="Times New Roman" w:hAnsi="Times New Roman"/>
          <w:spacing w:val="2"/>
          <w:lang w:val="lt-LT"/>
        </w:rPr>
        <w:t>izofermentų</w:t>
      </w:r>
      <w:proofErr w:type="spellEnd"/>
      <w:r w:rsidRPr="00514245">
        <w:rPr>
          <w:rFonts w:ascii="Times New Roman" w:hAnsi="Times New Roman"/>
          <w:spacing w:val="2"/>
          <w:lang w:val="lt-LT"/>
        </w:rPr>
        <w:t xml:space="preserve"> sužadinančių vaistinių preparatų (pvz., </w:t>
      </w:r>
      <w:proofErr w:type="spellStart"/>
      <w:r w:rsidRPr="00514245">
        <w:rPr>
          <w:rFonts w:ascii="Times New Roman" w:hAnsi="Times New Roman"/>
          <w:spacing w:val="2"/>
          <w:lang w:val="lt-LT"/>
        </w:rPr>
        <w:t>rifampicino</w:t>
      </w:r>
      <w:proofErr w:type="spellEnd"/>
      <w:r w:rsidRPr="00514245">
        <w:rPr>
          <w:rFonts w:ascii="Times New Roman" w:hAnsi="Times New Roman"/>
          <w:spacing w:val="2"/>
          <w:lang w:val="lt-LT"/>
        </w:rPr>
        <w:t xml:space="preserve">, </w:t>
      </w:r>
      <w:proofErr w:type="spellStart"/>
      <w:r w:rsidRPr="00514245">
        <w:rPr>
          <w:rFonts w:ascii="Times New Roman" w:hAnsi="Times New Roman"/>
          <w:spacing w:val="2"/>
          <w:lang w:val="lt-LT"/>
        </w:rPr>
        <w:t>karbamazepino</w:t>
      </w:r>
      <w:proofErr w:type="spellEnd"/>
      <w:r w:rsidRPr="00514245">
        <w:rPr>
          <w:rFonts w:ascii="Times New Roman" w:hAnsi="Times New Roman"/>
          <w:spacing w:val="2"/>
          <w:lang w:val="lt-LT"/>
        </w:rPr>
        <w:t xml:space="preserve">, </w:t>
      </w:r>
      <w:proofErr w:type="spellStart"/>
      <w:r w:rsidRPr="00514245">
        <w:rPr>
          <w:rFonts w:ascii="Times New Roman" w:hAnsi="Times New Roman"/>
          <w:spacing w:val="2"/>
          <w:lang w:val="lt-LT"/>
        </w:rPr>
        <w:t>fenitoino</w:t>
      </w:r>
      <w:proofErr w:type="spellEnd"/>
      <w:r w:rsidRPr="00514245">
        <w:rPr>
          <w:rFonts w:ascii="Times New Roman" w:hAnsi="Times New Roman"/>
          <w:spacing w:val="2"/>
          <w:lang w:val="lt-LT"/>
        </w:rPr>
        <w:t>) (žr. 4.5 skyrių).</w:t>
      </w:r>
    </w:p>
    <w:p w14:paraId="15FE7AE5" w14:textId="77777777" w:rsidR="00CD0B66" w:rsidRPr="00514245" w:rsidRDefault="00CD0B66" w:rsidP="00E0107B">
      <w:pPr>
        <w:widowControl w:val="0"/>
        <w:autoSpaceDE w:val="0"/>
        <w:autoSpaceDN w:val="0"/>
        <w:adjustRightInd w:val="0"/>
        <w:spacing w:after="0" w:line="240" w:lineRule="auto"/>
        <w:rPr>
          <w:rFonts w:ascii="Times New Roman" w:hAnsi="Times New Roman"/>
          <w:spacing w:val="2"/>
          <w:lang w:val="lt-LT"/>
        </w:rPr>
      </w:pPr>
    </w:p>
    <w:p w14:paraId="7F25DF34" w14:textId="556B9663" w:rsidR="007C160B" w:rsidRPr="00514245" w:rsidRDefault="007C160B" w:rsidP="007C1B7D">
      <w:pPr>
        <w:keepNext/>
        <w:autoSpaceDE w:val="0"/>
        <w:autoSpaceDN w:val="0"/>
        <w:adjustRightInd w:val="0"/>
        <w:spacing w:after="0" w:line="240" w:lineRule="auto"/>
        <w:rPr>
          <w:rFonts w:ascii="Times New Roman" w:hAnsi="Times New Roman"/>
          <w:i/>
          <w:iCs/>
          <w:spacing w:val="2"/>
          <w:lang w:val="lt-LT"/>
        </w:rPr>
      </w:pPr>
      <w:r w:rsidRPr="00514245">
        <w:rPr>
          <w:rFonts w:ascii="Times New Roman" w:hAnsi="Times New Roman"/>
          <w:i/>
          <w:iCs/>
          <w:spacing w:val="2"/>
          <w:lang w:val="lt-LT"/>
        </w:rPr>
        <w:t>Vaikų populiacija</w:t>
      </w:r>
    </w:p>
    <w:p w14:paraId="581A6F2A" w14:textId="50256804" w:rsidR="00C93B67" w:rsidRPr="00514245" w:rsidRDefault="007C1B7D" w:rsidP="007C160B">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Vortioksetino negalima vartoti vaikams (iki 18 metų), sergantiems didžiosios depresijos sutrikimu (DDS), nes veiksmingumas nebuvo įrodytas (žr. 5.1 skyrių). Vortioksetino saugumas vaikams aprašytas 4.4, 4.8 ir 5.1 skyriuose.</w:t>
      </w:r>
    </w:p>
    <w:p w14:paraId="4A59C3B4" w14:textId="77777777" w:rsidR="007C1B7D" w:rsidRPr="00514245" w:rsidRDefault="007C1B7D" w:rsidP="007C160B">
      <w:pPr>
        <w:widowControl w:val="0"/>
        <w:autoSpaceDE w:val="0"/>
        <w:autoSpaceDN w:val="0"/>
        <w:adjustRightInd w:val="0"/>
        <w:spacing w:after="0" w:line="240" w:lineRule="auto"/>
        <w:rPr>
          <w:rFonts w:ascii="Times New Roman" w:hAnsi="Times New Roman"/>
          <w:spacing w:val="2"/>
          <w:lang w:val="lt-LT"/>
        </w:rPr>
      </w:pPr>
    </w:p>
    <w:p w14:paraId="03FFEEBB" w14:textId="36E1EAE6" w:rsidR="007C1B7D" w:rsidRPr="00514245" w:rsidRDefault="007C1B7D" w:rsidP="007C160B">
      <w:pPr>
        <w:widowControl w:val="0"/>
        <w:autoSpaceDE w:val="0"/>
        <w:autoSpaceDN w:val="0"/>
        <w:adjustRightInd w:val="0"/>
        <w:spacing w:after="0" w:line="240" w:lineRule="auto"/>
        <w:rPr>
          <w:rFonts w:ascii="Times New Roman" w:hAnsi="Times New Roman"/>
          <w:spacing w:val="2"/>
          <w:lang w:val="lt-LT"/>
        </w:rPr>
      </w:pPr>
      <w:r w:rsidRPr="00514245">
        <w:rPr>
          <w:rFonts w:ascii="Times New Roman" w:eastAsia="Times New Roman" w:hAnsi="Times New Roman"/>
          <w:i/>
          <w:iCs/>
          <w:color w:val="000000"/>
          <w:lang w:val="lt-LT" w:eastAsia="en-US" w:bidi="ar-SA"/>
        </w:rPr>
        <w:t>Pacientams, kurių inkstų ar kepenų funkcija sutrikusi</w:t>
      </w:r>
    </w:p>
    <w:p w14:paraId="2D05A0D1" w14:textId="2B08052C" w:rsidR="007C1B7D" w:rsidRPr="00514245" w:rsidRDefault="007C1B7D" w:rsidP="007C160B">
      <w:pPr>
        <w:widowControl w:val="0"/>
        <w:autoSpaceDE w:val="0"/>
        <w:autoSpaceDN w:val="0"/>
        <w:adjustRightInd w:val="0"/>
        <w:spacing w:after="0" w:line="240" w:lineRule="auto"/>
        <w:rPr>
          <w:rFonts w:ascii="Times New Roman" w:hAnsi="Times New Roman"/>
          <w:spacing w:val="2"/>
          <w:lang w:val="lt-LT"/>
        </w:rPr>
      </w:pPr>
      <w:r w:rsidRPr="00514245">
        <w:rPr>
          <w:rFonts w:ascii="Times New Roman" w:hAnsi="Times New Roman"/>
          <w:spacing w:val="2"/>
          <w:lang w:val="lt-LT"/>
        </w:rPr>
        <w:t>Atsižvelgiant į inkstų ar kepenų funkciją dozės koreguoti nereikia (žr. 4.4 ir 5.2 skyrius).</w:t>
      </w:r>
    </w:p>
    <w:p w14:paraId="691130A6" w14:textId="77777777" w:rsidR="007C1B7D" w:rsidRPr="00514245" w:rsidRDefault="007C1B7D" w:rsidP="007C160B">
      <w:pPr>
        <w:widowControl w:val="0"/>
        <w:autoSpaceDE w:val="0"/>
        <w:autoSpaceDN w:val="0"/>
        <w:adjustRightInd w:val="0"/>
        <w:spacing w:after="0" w:line="240" w:lineRule="auto"/>
        <w:rPr>
          <w:rFonts w:ascii="Times New Roman" w:hAnsi="Times New Roman"/>
          <w:spacing w:val="2"/>
          <w:lang w:val="lt-LT"/>
        </w:rPr>
      </w:pPr>
    </w:p>
    <w:p w14:paraId="3C446FA2" w14:textId="77777777" w:rsidR="006E739D" w:rsidRPr="00514245" w:rsidRDefault="006E739D" w:rsidP="006E739D">
      <w:pPr>
        <w:widowControl w:val="0"/>
        <w:autoSpaceDE w:val="0"/>
        <w:autoSpaceDN w:val="0"/>
        <w:adjustRightInd w:val="0"/>
        <w:spacing w:after="0" w:line="240" w:lineRule="auto"/>
        <w:rPr>
          <w:rFonts w:ascii="Times New Roman" w:hAnsi="Times New Roman"/>
          <w:u w:val="single"/>
          <w:lang w:val="lt-LT"/>
        </w:rPr>
      </w:pPr>
      <w:r w:rsidRPr="00514245">
        <w:rPr>
          <w:rFonts w:ascii="Times New Roman" w:hAnsi="Times New Roman"/>
          <w:u w:val="single"/>
          <w:lang w:val="lt-LT"/>
        </w:rPr>
        <w:t>Vartojimo metodas</w:t>
      </w:r>
    </w:p>
    <w:p w14:paraId="61225DED" w14:textId="4FB80886" w:rsidR="00C93B67" w:rsidRPr="00514245" w:rsidRDefault="007C1B7D" w:rsidP="007C1B7D">
      <w:pPr>
        <w:widowControl w:val="0"/>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Vortioxetine Zentiva </w:t>
      </w:r>
      <w:r w:rsidRPr="007C1B7D">
        <w:rPr>
          <w:rFonts w:ascii="Times New Roman" w:eastAsia="Times New Roman" w:hAnsi="Times New Roman"/>
          <w:lang w:val="lt-LT"/>
        </w:rPr>
        <w:t xml:space="preserve">skiriamas vartoti per burną. </w:t>
      </w:r>
      <w:r w:rsidRPr="00514245">
        <w:rPr>
          <w:rFonts w:ascii="Times New Roman" w:eastAsia="Times New Roman" w:hAnsi="Times New Roman"/>
          <w:lang w:val="lt-LT"/>
        </w:rPr>
        <w:t>Plėvele dengtas tabletes galima vartoti valgant arba nevalgius.</w:t>
      </w:r>
    </w:p>
    <w:p w14:paraId="3154D3EB" w14:textId="77777777" w:rsidR="00FC6D16" w:rsidRPr="00514245" w:rsidRDefault="00FC6D16" w:rsidP="00E0107B">
      <w:pPr>
        <w:widowControl w:val="0"/>
        <w:tabs>
          <w:tab w:val="left" w:pos="680"/>
        </w:tabs>
        <w:autoSpaceDE w:val="0"/>
        <w:autoSpaceDN w:val="0"/>
        <w:adjustRightInd w:val="0"/>
        <w:spacing w:after="0" w:line="240" w:lineRule="auto"/>
        <w:rPr>
          <w:rFonts w:ascii="Times New Roman" w:eastAsia="Times New Roman" w:hAnsi="Times New Roman"/>
          <w:lang w:val="lt-LT"/>
        </w:rPr>
      </w:pPr>
    </w:p>
    <w:p w14:paraId="6D35B7E7" w14:textId="05A5527C" w:rsidR="00E0107B" w:rsidRPr="00514245" w:rsidRDefault="00E0107B" w:rsidP="009E399D">
      <w:pPr>
        <w:pStyle w:val="Sraopastraipa"/>
        <w:keepNext/>
        <w:numPr>
          <w:ilvl w:val="1"/>
          <w:numId w:val="6"/>
        </w:numPr>
        <w:tabs>
          <w:tab w:val="left" w:pos="680"/>
        </w:tabs>
        <w:autoSpaceDE w:val="0"/>
        <w:autoSpaceDN w:val="0"/>
        <w:adjustRightInd w:val="0"/>
        <w:spacing w:after="0" w:line="240" w:lineRule="auto"/>
        <w:ind w:left="0" w:firstLine="0"/>
        <w:rPr>
          <w:rFonts w:ascii="Times New Roman" w:hAnsi="Times New Roman"/>
          <w:lang w:val="lt-LT"/>
        </w:rPr>
      </w:pPr>
      <w:r w:rsidRPr="00514245">
        <w:rPr>
          <w:rFonts w:ascii="Times New Roman" w:hAnsi="Times New Roman"/>
          <w:b/>
          <w:lang w:val="lt-LT"/>
        </w:rPr>
        <w:t>Kontraindikacijos</w:t>
      </w:r>
    </w:p>
    <w:p w14:paraId="40DD0E08" w14:textId="77777777" w:rsidR="00E0107B" w:rsidRPr="00514245" w:rsidRDefault="00E0107B" w:rsidP="009B1DCF">
      <w:pPr>
        <w:keepNext/>
        <w:autoSpaceDE w:val="0"/>
        <w:autoSpaceDN w:val="0"/>
        <w:adjustRightInd w:val="0"/>
        <w:spacing w:after="0" w:line="240" w:lineRule="auto"/>
        <w:rPr>
          <w:rFonts w:ascii="Times New Roman" w:eastAsia="Times New Roman" w:hAnsi="Times New Roman"/>
          <w:lang w:val="lt-LT"/>
        </w:rPr>
      </w:pPr>
    </w:p>
    <w:p w14:paraId="30E62AC1" w14:textId="77777777" w:rsidR="009E399D" w:rsidRPr="00514245" w:rsidRDefault="00E0107B" w:rsidP="007C1B7D">
      <w:pPr>
        <w:widowControl w:val="0"/>
        <w:autoSpaceDE w:val="0"/>
        <w:autoSpaceDN w:val="0"/>
        <w:adjustRightInd w:val="0"/>
        <w:spacing w:after="0" w:line="240" w:lineRule="auto"/>
        <w:rPr>
          <w:rFonts w:ascii="Times New Roman" w:hAnsi="Times New Roman"/>
          <w:spacing w:val="-1"/>
          <w:lang w:val="lt-LT"/>
        </w:rPr>
      </w:pPr>
      <w:r w:rsidRPr="00514245">
        <w:rPr>
          <w:rFonts w:ascii="Times New Roman" w:hAnsi="Times New Roman"/>
          <w:spacing w:val="-1"/>
          <w:lang w:val="lt-LT"/>
        </w:rPr>
        <w:t>Padidėjęs jautrumas veikliajai arba bet kuriai 6.1 skyriuje nurodytai pagalbinei medžiagai.</w:t>
      </w:r>
    </w:p>
    <w:p w14:paraId="51176379" w14:textId="77777777" w:rsidR="007C1B7D" w:rsidRPr="00514245" w:rsidRDefault="007C1B7D" w:rsidP="007C1B7D">
      <w:pPr>
        <w:widowControl w:val="0"/>
        <w:autoSpaceDE w:val="0"/>
        <w:autoSpaceDN w:val="0"/>
        <w:adjustRightInd w:val="0"/>
        <w:spacing w:after="0" w:line="240" w:lineRule="auto"/>
        <w:rPr>
          <w:rFonts w:ascii="Times New Roman" w:hAnsi="Times New Roman"/>
          <w:spacing w:val="-1"/>
          <w:lang w:val="lt-LT"/>
        </w:rPr>
      </w:pPr>
    </w:p>
    <w:p w14:paraId="5A369862" w14:textId="6FB6F7A1" w:rsidR="007C1B7D" w:rsidRPr="00514245" w:rsidRDefault="007C1B7D" w:rsidP="007C1B7D">
      <w:pPr>
        <w:widowControl w:val="0"/>
        <w:autoSpaceDE w:val="0"/>
        <w:autoSpaceDN w:val="0"/>
        <w:adjustRightInd w:val="0"/>
        <w:spacing w:after="0" w:line="240" w:lineRule="auto"/>
        <w:rPr>
          <w:rFonts w:ascii="Times New Roman" w:hAnsi="Times New Roman"/>
          <w:lang w:val="lt-LT"/>
        </w:rPr>
      </w:pPr>
      <w:r w:rsidRPr="00514245">
        <w:rPr>
          <w:rFonts w:ascii="Times New Roman" w:hAnsi="Times New Roman"/>
          <w:lang w:val="lt-LT"/>
        </w:rPr>
        <w:t xml:space="preserve">Vartojimas kartu su neselektyviaisiais </w:t>
      </w:r>
      <w:proofErr w:type="spellStart"/>
      <w:r w:rsidRPr="00514245">
        <w:rPr>
          <w:rFonts w:ascii="Times New Roman" w:hAnsi="Times New Roman"/>
          <w:lang w:val="lt-LT"/>
        </w:rPr>
        <w:t>monoamino</w:t>
      </w:r>
      <w:proofErr w:type="spellEnd"/>
      <w:r w:rsidRPr="00514245">
        <w:rPr>
          <w:rFonts w:ascii="Times New Roman" w:hAnsi="Times New Roman"/>
          <w:lang w:val="lt-LT"/>
        </w:rPr>
        <w:t xml:space="preserve"> </w:t>
      </w:r>
      <w:proofErr w:type="spellStart"/>
      <w:r w:rsidRPr="00514245">
        <w:rPr>
          <w:rFonts w:ascii="Times New Roman" w:hAnsi="Times New Roman"/>
          <w:lang w:val="lt-LT"/>
        </w:rPr>
        <w:t>oksidazės</w:t>
      </w:r>
      <w:proofErr w:type="spellEnd"/>
      <w:r w:rsidRPr="00514245">
        <w:rPr>
          <w:rFonts w:ascii="Times New Roman" w:hAnsi="Times New Roman"/>
          <w:lang w:val="lt-LT"/>
        </w:rPr>
        <w:t xml:space="preserve"> (MAO) inhibitoriais arba selektyviaisiais MAOA inhibitoriais (žr. 4.5 skyrių).</w:t>
      </w:r>
    </w:p>
    <w:p w14:paraId="53B91590" w14:textId="77777777" w:rsidR="007C1B7D" w:rsidRPr="00514245" w:rsidRDefault="007C1B7D" w:rsidP="007C1B7D">
      <w:pPr>
        <w:widowControl w:val="0"/>
        <w:autoSpaceDE w:val="0"/>
        <w:autoSpaceDN w:val="0"/>
        <w:adjustRightInd w:val="0"/>
        <w:spacing w:after="0" w:line="240" w:lineRule="auto"/>
        <w:rPr>
          <w:rFonts w:ascii="Times New Roman" w:hAnsi="Times New Roman"/>
          <w:lang w:val="lt-LT"/>
        </w:rPr>
      </w:pPr>
    </w:p>
    <w:p w14:paraId="09381195" w14:textId="77777777" w:rsidR="00E0107B" w:rsidRPr="00514245" w:rsidRDefault="00E0107B" w:rsidP="009B1DCF">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4.4</w:t>
      </w:r>
      <w:r w:rsidRPr="00514245">
        <w:rPr>
          <w:rFonts w:ascii="Times New Roman" w:hAnsi="Times New Roman"/>
          <w:lang w:val="lt-LT"/>
        </w:rPr>
        <w:tab/>
      </w:r>
      <w:r w:rsidRPr="00514245">
        <w:rPr>
          <w:rFonts w:ascii="Times New Roman" w:hAnsi="Times New Roman"/>
          <w:b/>
          <w:lang w:val="lt-LT"/>
        </w:rPr>
        <w:t>Specialūs įspėjimai ir atsargumo priemonės</w:t>
      </w:r>
    </w:p>
    <w:p w14:paraId="4707308F" w14:textId="4558FF5D" w:rsidR="00E0107B" w:rsidRPr="00514245" w:rsidRDefault="00E0107B" w:rsidP="009B1DCF">
      <w:pPr>
        <w:keepNext/>
        <w:autoSpaceDE w:val="0"/>
        <w:autoSpaceDN w:val="0"/>
        <w:adjustRightInd w:val="0"/>
        <w:spacing w:after="0" w:line="240" w:lineRule="auto"/>
        <w:rPr>
          <w:rFonts w:ascii="Times New Roman" w:eastAsia="Times New Roman" w:hAnsi="Times New Roman"/>
          <w:lang w:val="lt-LT"/>
        </w:rPr>
      </w:pPr>
    </w:p>
    <w:p w14:paraId="20C08590" w14:textId="4BD3F06A" w:rsidR="007C1B7D" w:rsidRPr="00514245" w:rsidRDefault="007C1B7D" w:rsidP="009B1DCF">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szCs w:val="24"/>
          <w:u w:val="single"/>
          <w:lang w:val="lt-LT" w:eastAsia="en-US" w:bidi="ar-SA"/>
        </w:rPr>
        <w:t>Vaikų populiacija</w:t>
      </w:r>
    </w:p>
    <w:p w14:paraId="2548239A" w14:textId="77777777" w:rsidR="007C1B7D" w:rsidRPr="00514245" w:rsidRDefault="007C1B7D" w:rsidP="009B1DCF">
      <w:pPr>
        <w:keepNext/>
        <w:autoSpaceDE w:val="0"/>
        <w:autoSpaceDN w:val="0"/>
        <w:adjustRightInd w:val="0"/>
        <w:spacing w:after="0" w:line="240" w:lineRule="auto"/>
        <w:rPr>
          <w:rFonts w:ascii="Times New Roman" w:eastAsia="Times New Roman" w:hAnsi="Times New Roman"/>
          <w:lang w:val="lt-LT"/>
        </w:rPr>
      </w:pPr>
    </w:p>
    <w:p w14:paraId="70454BAC" w14:textId="1243B9F7" w:rsidR="007C1B7D" w:rsidRPr="00514245" w:rsidRDefault="007C1B7D" w:rsidP="009B1DCF">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Vortioksetino negalima vartoti vaikams ir paaugliams nuo 7 iki 17 metų, sergantiems didžiosios depresijos sutrikimu (DDS), nes veiksmingumas nebuvo įrodytas (žr. 5.1 skyrių). Apskritai, vortioksetino nepageidaujamų reakcijų pobūdis vaikams ir paaugliams buvo panašus kaip ir suaugusiesiems, išskyrus tai, kad dažniau pasireiškė su pilvo skausmu susiję reiškiniai ir dažnesnės mintys apie savižudybę, ypač paaugliams, palyginti su suaugusiaisiais (žr. 4.8 ir 5.1 skyrius). Klinikinių </w:t>
      </w:r>
      <w:r w:rsidRPr="00514245">
        <w:rPr>
          <w:rFonts w:ascii="Times New Roman" w:eastAsia="Times New Roman" w:hAnsi="Times New Roman"/>
          <w:lang w:val="lt-LT"/>
        </w:rPr>
        <w:lastRenderedPageBreak/>
        <w:t>tyrimų su vaikais ir paaugliais, kurie buvo gydyti antidepresantais, duomenimis, su savižudybe siejamo elgesio (bandymas žudytis ir mintys apie savižudybę) ir priešiškumo (ypač agresyvumo, opozicinio elgesio, pykčio) apraiškos buvo dažnesnės nei gydytiems placebu.</w:t>
      </w:r>
    </w:p>
    <w:p w14:paraId="288A1BC0" w14:textId="77777777" w:rsidR="007C1B7D" w:rsidRPr="00514245" w:rsidRDefault="007C1B7D" w:rsidP="009B1DCF">
      <w:pPr>
        <w:keepNext/>
        <w:autoSpaceDE w:val="0"/>
        <w:autoSpaceDN w:val="0"/>
        <w:adjustRightInd w:val="0"/>
        <w:spacing w:after="0" w:line="240" w:lineRule="auto"/>
        <w:rPr>
          <w:rFonts w:ascii="Times New Roman" w:eastAsia="Times New Roman" w:hAnsi="Times New Roman"/>
          <w:lang w:val="lt-LT"/>
        </w:rPr>
      </w:pPr>
    </w:p>
    <w:p w14:paraId="1340AACD" w14:textId="4BF3691D" w:rsidR="007C1B7D" w:rsidRPr="00514245" w:rsidRDefault="00FB267C" w:rsidP="009B1DCF">
      <w:pPr>
        <w:keepNext/>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Savižudybė / mintys apie savižudybę arba klinikinės būklės pablogėjimas</w:t>
      </w:r>
    </w:p>
    <w:p w14:paraId="1FBE56D2" w14:textId="77777777" w:rsidR="007C1B7D" w:rsidRPr="00514245" w:rsidRDefault="007C1B7D" w:rsidP="009B1DCF">
      <w:pPr>
        <w:keepNext/>
        <w:autoSpaceDE w:val="0"/>
        <w:autoSpaceDN w:val="0"/>
        <w:adjustRightInd w:val="0"/>
        <w:spacing w:after="0" w:line="240" w:lineRule="auto"/>
        <w:rPr>
          <w:rFonts w:ascii="Times New Roman" w:eastAsia="Times New Roman" w:hAnsi="Times New Roman"/>
          <w:lang w:val="lt-LT"/>
        </w:rPr>
      </w:pPr>
    </w:p>
    <w:p w14:paraId="31C27C67" w14:textId="77777777" w:rsidR="00FB267C" w:rsidRPr="00514245" w:rsidRDefault="00FB267C" w:rsidP="00FB267C">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16157AB9" w14:textId="77777777" w:rsidR="00FB267C" w:rsidRPr="00514245" w:rsidRDefault="00FB267C" w:rsidP="00FB267C">
      <w:pPr>
        <w:keepNext/>
        <w:autoSpaceDE w:val="0"/>
        <w:autoSpaceDN w:val="0"/>
        <w:adjustRightInd w:val="0"/>
        <w:spacing w:after="0" w:line="240" w:lineRule="auto"/>
        <w:rPr>
          <w:rFonts w:ascii="Times New Roman" w:eastAsia="Times New Roman" w:hAnsi="Times New Roman"/>
          <w:lang w:val="lt-LT"/>
        </w:rPr>
      </w:pPr>
    </w:p>
    <w:p w14:paraId="0D2B4B38" w14:textId="7406D9E4" w:rsidR="00FB267C" w:rsidRPr="00514245" w:rsidRDefault="00FB267C" w:rsidP="00FB267C">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kontroliuojamų klinikinių tyrimų, kuriuose dalyvavo psichikos sutrikimais sergantys suaugusieji, </w:t>
      </w:r>
      <w:proofErr w:type="spellStart"/>
      <w:r w:rsidRPr="00514245">
        <w:rPr>
          <w:rFonts w:ascii="Times New Roman" w:eastAsia="Times New Roman" w:hAnsi="Times New Roman"/>
          <w:lang w:val="lt-LT"/>
        </w:rPr>
        <w:t>metaanalizės</w:t>
      </w:r>
      <w:proofErr w:type="spellEnd"/>
      <w:r w:rsidRPr="00514245">
        <w:rPr>
          <w:rFonts w:ascii="Times New Roman" w:eastAsia="Times New Roman" w:hAnsi="Times New Roman"/>
          <w:lang w:val="lt-LT"/>
        </w:rPr>
        <w:t xml:space="preserve"> duomenys parodė, kad jaunesniems kaip 25 metų pacientams vartojant antidepresantus su savižudybe siejamo elgesio rizika yra didesnė, palyginti su placebu.</w:t>
      </w:r>
    </w:p>
    <w:p w14:paraId="07620486" w14:textId="77777777" w:rsidR="00FB267C" w:rsidRPr="00514245" w:rsidRDefault="00FB267C" w:rsidP="00FB267C">
      <w:pPr>
        <w:keepNext/>
        <w:autoSpaceDE w:val="0"/>
        <w:autoSpaceDN w:val="0"/>
        <w:adjustRightInd w:val="0"/>
        <w:spacing w:after="0" w:line="240" w:lineRule="auto"/>
        <w:rPr>
          <w:rFonts w:ascii="Times New Roman" w:eastAsia="Times New Roman" w:hAnsi="Times New Roman"/>
          <w:lang w:val="lt-LT"/>
        </w:rPr>
      </w:pPr>
    </w:p>
    <w:p w14:paraId="0C49B565" w14:textId="5946C8F5"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Gydomus pacientus, ypač priklausančius didelės rizikos grupei, būtina atidžiai stebėti gydymo pradžioje ir po dozės pakeitimo. Pacientus (</w:t>
      </w:r>
      <w:r w:rsidR="0095675A" w:rsidRPr="001D00DA">
        <w:rPr>
          <w:rFonts w:ascii="Times New Roman" w:eastAsia="Times New Roman" w:hAnsi="Times New Roman"/>
          <w:lang w:val="lt-LT"/>
        </w:rPr>
        <w:t xml:space="preserve"> ir pacientus prižiūrinčius asmenis</w:t>
      </w:r>
      <w:r w:rsidRPr="00514245">
        <w:rPr>
          <w:rFonts w:ascii="Times New Roman" w:eastAsia="Times New Roman" w:hAnsi="Times New Roman"/>
          <w:lang w:val="lt-LT"/>
        </w:rPr>
        <w:t>) reikia perspėti, kad stebėtų, ar būklė nesunkėja, ar neatsiranda su savižudybe siejamo elgesio ir mąstymo apie savižudybę apraiškų, neįprastų elgesio pokyčių, o pastebėjus tokius simptomus, patariama nedelsiant kreiptis pagalbos į medicinos specialistus.</w:t>
      </w:r>
    </w:p>
    <w:p w14:paraId="33850680"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1B81984D" w14:textId="77777777" w:rsidR="00FB267C" w:rsidRPr="00FB267C"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r w:rsidRPr="00FB267C">
        <w:rPr>
          <w:rFonts w:ascii="Times New Roman" w:eastAsia="Times New Roman" w:hAnsi="Times New Roman"/>
          <w:u w:val="single"/>
          <w:lang w:val="lt-LT"/>
        </w:rPr>
        <w:t xml:space="preserve">Traukuliai </w:t>
      </w:r>
    </w:p>
    <w:p w14:paraId="2B12327A"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55BC7A78" w14:textId="32FCE60C"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FB267C">
        <w:rPr>
          <w:rFonts w:ascii="Times New Roman" w:eastAsia="Times New Roman" w:hAnsi="Times New Roman"/>
          <w:lang w:val="lt-LT"/>
        </w:rPr>
        <w:t xml:space="preserve">Antidepresantų vartojimas gali būti susijęs su traukulių pasireiškimo rizika. Todėl pradėti gydyti vortioksetinu pacientus, kuriems anksčiau yra buvę traukulių, arba pacientus, kurie serga nestabilia epilepsija, reikia atsargiai (žr. 4.5 skyrių). Gydymą reikia nutraukti visiems pacientams, kuriems pasireiškia traukulių arba jie padažnėja. </w:t>
      </w:r>
    </w:p>
    <w:p w14:paraId="2062AC6F" w14:textId="77777777" w:rsidR="00FB267C" w:rsidRPr="00FB267C"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3AB325C9"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proofErr w:type="spellStart"/>
      <w:r w:rsidRPr="00FB267C">
        <w:rPr>
          <w:rFonts w:ascii="Times New Roman" w:eastAsia="Times New Roman" w:hAnsi="Times New Roman"/>
          <w:u w:val="single"/>
          <w:lang w:val="lt-LT"/>
        </w:rPr>
        <w:t>Serotonino</w:t>
      </w:r>
      <w:proofErr w:type="spellEnd"/>
      <w:r w:rsidRPr="00FB267C">
        <w:rPr>
          <w:rFonts w:ascii="Times New Roman" w:eastAsia="Times New Roman" w:hAnsi="Times New Roman"/>
          <w:u w:val="single"/>
          <w:lang w:val="lt-LT"/>
        </w:rPr>
        <w:t xml:space="preserve"> sindromas (SS) arba piktybinis </w:t>
      </w:r>
      <w:proofErr w:type="spellStart"/>
      <w:r w:rsidRPr="00FB267C">
        <w:rPr>
          <w:rFonts w:ascii="Times New Roman" w:eastAsia="Times New Roman" w:hAnsi="Times New Roman"/>
          <w:u w:val="single"/>
          <w:lang w:val="lt-LT"/>
        </w:rPr>
        <w:t>neurolepsinis</w:t>
      </w:r>
      <w:proofErr w:type="spellEnd"/>
      <w:r w:rsidRPr="00FB267C">
        <w:rPr>
          <w:rFonts w:ascii="Times New Roman" w:eastAsia="Times New Roman" w:hAnsi="Times New Roman"/>
          <w:u w:val="single"/>
          <w:lang w:val="lt-LT"/>
        </w:rPr>
        <w:t xml:space="preserve"> sindromas (PNS) </w:t>
      </w:r>
    </w:p>
    <w:p w14:paraId="6CA3D796" w14:textId="77777777" w:rsidR="00FB267C" w:rsidRPr="00FB267C"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p>
    <w:p w14:paraId="7B9419AB" w14:textId="6BF72F0D"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Vartojant </w:t>
      </w:r>
      <w:proofErr w:type="spellStart"/>
      <w:r w:rsidRPr="00514245">
        <w:rPr>
          <w:rFonts w:ascii="Times New Roman" w:eastAsia="Times New Roman" w:hAnsi="Times New Roman"/>
          <w:lang w:val="lt-LT"/>
        </w:rPr>
        <w:t>vortioksetino</w:t>
      </w:r>
      <w:proofErr w:type="spellEnd"/>
      <w:r w:rsidRPr="00514245">
        <w:rPr>
          <w:rFonts w:ascii="Times New Roman" w:eastAsia="Times New Roman" w:hAnsi="Times New Roman"/>
          <w:lang w:val="lt-LT"/>
        </w:rPr>
        <w:t xml:space="preserve">, gali pasireikšti </w:t>
      </w:r>
      <w:proofErr w:type="spellStart"/>
      <w:r w:rsidR="00DE6AD9" w:rsidRPr="00514245">
        <w:rPr>
          <w:rFonts w:ascii="Times New Roman" w:eastAsia="Times New Roman" w:hAnsi="Times New Roman"/>
          <w:lang w:val="lt-LT"/>
        </w:rPr>
        <w:t>serotonino</w:t>
      </w:r>
      <w:proofErr w:type="spellEnd"/>
      <w:r w:rsidR="00DE6AD9" w:rsidRPr="00514245">
        <w:rPr>
          <w:rFonts w:ascii="Times New Roman" w:eastAsia="Times New Roman" w:hAnsi="Times New Roman"/>
          <w:lang w:val="lt-LT"/>
        </w:rPr>
        <w:t xml:space="preserve"> sindromas (SS) arba piktybinis </w:t>
      </w:r>
      <w:proofErr w:type="spellStart"/>
      <w:r w:rsidR="00DE6AD9" w:rsidRPr="00514245">
        <w:rPr>
          <w:rFonts w:ascii="Times New Roman" w:eastAsia="Times New Roman" w:hAnsi="Times New Roman"/>
          <w:lang w:val="lt-LT"/>
        </w:rPr>
        <w:t>neurolepsinis</w:t>
      </w:r>
      <w:proofErr w:type="spellEnd"/>
      <w:r w:rsidR="00DE6AD9" w:rsidRPr="00514245">
        <w:rPr>
          <w:rFonts w:ascii="Times New Roman" w:eastAsia="Times New Roman" w:hAnsi="Times New Roman"/>
          <w:lang w:val="lt-LT"/>
        </w:rPr>
        <w:t xml:space="preserve"> sindromas (PNS)</w:t>
      </w:r>
      <w:r w:rsidR="00DE6AD9">
        <w:rPr>
          <w:rFonts w:ascii="Times New Roman" w:eastAsia="Times New Roman" w:hAnsi="Times New Roman"/>
          <w:lang w:val="lt-LT"/>
        </w:rPr>
        <w:t xml:space="preserve">, </w:t>
      </w:r>
      <w:r w:rsidR="00891CA0" w:rsidRPr="00514245">
        <w:rPr>
          <w:rFonts w:ascii="Times New Roman" w:eastAsia="Times New Roman" w:hAnsi="Times New Roman"/>
          <w:lang w:val="lt-LT"/>
        </w:rPr>
        <w:t>būklės</w:t>
      </w:r>
      <w:r w:rsidR="00AC3439">
        <w:rPr>
          <w:rFonts w:ascii="Times New Roman" w:eastAsia="Times New Roman" w:hAnsi="Times New Roman"/>
          <w:lang w:val="lt-LT"/>
        </w:rPr>
        <w:t>,</w:t>
      </w:r>
      <w:r w:rsidR="00891CA0" w:rsidRPr="00514245">
        <w:rPr>
          <w:rFonts w:ascii="Times New Roman" w:eastAsia="Times New Roman" w:hAnsi="Times New Roman"/>
          <w:lang w:val="lt-LT"/>
        </w:rPr>
        <w:t xml:space="preserve"> galinčios kelti pavojų </w:t>
      </w:r>
      <w:r w:rsidRPr="00514245">
        <w:rPr>
          <w:rFonts w:ascii="Times New Roman" w:eastAsia="Times New Roman" w:hAnsi="Times New Roman"/>
          <w:lang w:val="lt-LT"/>
        </w:rPr>
        <w:t xml:space="preserve">gyvybei . SS ar PNS rizika yra didesnė vartojant kartu </w:t>
      </w:r>
      <w:proofErr w:type="spellStart"/>
      <w:r w:rsidRPr="00514245">
        <w:rPr>
          <w:rFonts w:ascii="Times New Roman" w:eastAsia="Times New Roman" w:hAnsi="Times New Roman"/>
          <w:lang w:val="lt-LT"/>
        </w:rPr>
        <w:t>serotoninergines</w:t>
      </w:r>
      <w:proofErr w:type="spellEnd"/>
      <w:r w:rsidRPr="00514245">
        <w:rPr>
          <w:rFonts w:ascii="Times New Roman" w:eastAsia="Times New Roman" w:hAnsi="Times New Roman"/>
          <w:lang w:val="lt-LT"/>
        </w:rPr>
        <w:t xml:space="preserve"> veikliąsias medžiagas (įskaitant </w:t>
      </w:r>
      <w:proofErr w:type="spellStart"/>
      <w:r w:rsidRPr="00514245">
        <w:rPr>
          <w:rFonts w:ascii="Times New Roman" w:eastAsia="Times New Roman" w:hAnsi="Times New Roman"/>
          <w:lang w:val="lt-LT"/>
        </w:rPr>
        <w:t>opioidus</w:t>
      </w:r>
      <w:proofErr w:type="spellEnd"/>
      <w:r w:rsidRPr="00514245">
        <w:rPr>
          <w:rFonts w:ascii="Times New Roman" w:eastAsia="Times New Roman" w:hAnsi="Times New Roman"/>
          <w:lang w:val="lt-LT"/>
        </w:rPr>
        <w:t xml:space="preserve"> ir </w:t>
      </w:r>
      <w:proofErr w:type="spellStart"/>
      <w:r w:rsidRPr="00514245">
        <w:rPr>
          <w:rFonts w:ascii="Times New Roman" w:eastAsia="Times New Roman" w:hAnsi="Times New Roman"/>
          <w:lang w:val="lt-LT"/>
        </w:rPr>
        <w:t>triptanus</w:t>
      </w:r>
      <w:proofErr w:type="spellEnd"/>
      <w:r w:rsidRPr="00514245">
        <w:rPr>
          <w:rFonts w:ascii="Times New Roman" w:eastAsia="Times New Roman" w:hAnsi="Times New Roman"/>
          <w:lang w:val="lt-LT"/>
        </w:rPr>
        <w:t xml:space="preserve">), vaistinius preparatus, kurie gali sutrikdyti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metabolizmą (įskaitant MAO inhibitorius), </w:t>
      </w:r>
      <w:proofErr w:type="spellStart"/>
      <w:r w:rsidRPr="00514245">
        <w:rPr>
          <w:rFonts w:ascii="Times New Roman" w:eastAsia="Times New Roman" w:hAnsi="Times New Roman"/>
          <w:lang w:val="lt-LT"/>
        </w:rPr>
        <w:t>antipsichozinius</w:t>
      </w:r>
      <w:proofErr w:type="spellEnd"/>
      <w:r w:rsidRPr="00514245">
        <w:rPr>
          <w:rFonts w:ascii="Times New Roman" w:eastAsia="Times New Roman" w:hAnsi="Times New Roman"/>
          <w:lang w:val="lt-LT"/>
        </w:rPr>
        <w:t xml:space="preserve"> vaistinius preparatus ir kitus dopamino antagonistus. Reikia stebėti, ar pacientams neatsiranda SS ar PNS požymių ir simptomų (žr. 4.3 ir 4.5 skyrius).</w:t>
      </w:r>
    </w:p>
    <w:p w14:paraId="3A614E85"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335FADED" w14:textId="547A31D0"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sindromo simptomai yra psichinės būklės pokyčiai (pvz., susijaudinimas, haliucinacijos, koma), autonominės nervų sistemos nestabilumas (pvz., tachikardija, kraujospūdžio nepastovumas, hipertermija), nervų ir raumenų jungties sutikimai (pvz., </w:t>
      </w:r>
      <w:proofErr w:type="spellStart"/>
      <w:r w:rsidRPr="00514245">
        <w:rPr>
          <w:rFonts w:ascii="Times New Roman" w:eastAsia="Times New Roman" w:hAnsi="Times New Roman"/>
          <w:lang w:val="lt-LT"/>
        </w:rPr>
        <w:t>hiperrefleksija</w:t>
      </w:r>
      <w:proofErr w:type="spellEnd"/>
      <w:r w:rsidRPr="00514245">
        <w:rPr>
          <w:rFonts w:ascii="Times New Roman" w:eastAsia="Times New Roman" w:hAnsi="Times New Roman"/>
          <w:lang w:val="lt-LT"/>
        </w:rPr>
        <w:t>, koordinacijos nebuvimas) ir (arba) virškinimo sutrikimų simptomai (pvz., pykinimas, vėmimas, viduriavimas). Jeigu pasireiškia tokie sutrikimai, gydymą vortiokse</w:t>
      </w:r>
      <w:r w:rsidR="00A11E33">
        <w:rPr>
          <w:rFonts w:ascii="Times New Roman" w:eastAsia="Times New Roman" w:hAnsi="Times New Roman"/>
          <w:lang w:val="lt-LT"/>
        </w:rPr>
        <w:t>t</w:t>
      </w:r>
      <w:r w:rsidRPr="00514245">
        <w:rPr>
          <w:rFonts w:ascii="Times New Roman" w:eastAsia="Times New Roman" w:hAnsi="Times New Roman"/>
          <w:lang w:val="lt-LT"/>
        </w:rPr>
        <w:t>inu reikia nedelsiant nutraukti ir pradėti simptominį gydymą.</w:t>
      </w:r>
    </w:p>
    <w:p w14:paraId="555483C0"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564A2AAA"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 xml:space="preserve">Manija / </w:t>
      </w:r>
      <w:proofErr w:type="spellStart"/>
      <w:r w:rsidRPr="00514245">
        <w:rPr>
          <w:rFonts w:ascii="Times New Roman" w:eastAsia="Times New Roman" w:hAnsi="Times New Roman"/>
          <w:u w:val="single"/>
          <w:lang w:val="lt-LT"/>
        </w:rPr>
        <w:t>hipomanija</w:t>
      </w:r>
      <w:proofErr w:type="spellEnd"/>
    </w:p>
    <w:p w14:paraId="3FFF0F91"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p>
    <w:p w14:paraId="7653A5DA" w14:textId="53E4C851"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Vortioksetino reikia atsargiai vartoti pacientams, kuriems anksčiau buvo pasireiškusi manija / </w:t>
      </w:r>
      <w:proofErr w:type="spellStart"/>
      <w:r w:rsidRPr="00514245">
        <w:rPr>
          <w:rFonts w:ascii="Times New Roman" w:eastAsia="Times New Roman" w:hAnsi="Times New Roman"/>
          <w:lang w:val="lt-LT"/>
        </w:rPr>
        <w:t>hipomanija</w:t>
      </w:r>
      <w:proofErr w:type="spellEnd"/>
      <w:r w:rsidRPr="00514245">
        <w:rPr>
          <w:rFonts w:ascii="Times New Roman" w:eastAsia="Times New Roman" w:hAnsi="Times New Roman"/>
          <w:lang w:val="lt-LT"/>
        </w:rPr>
        <w:t>, ir vaistinio preparato vartojimą reikia nutraukti visiems pacientams, kuriems pasireiškia manijos fazė.</w:t>
      </w:r>
    </w:p>
    <w:p w14:paraId="2AAB0937"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020EA432"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Agresyvumas / susijaudinimas</w:t>
      </w:r>
    </w:p>
    <w:p w14:paraId="1000B809"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p>
    <w:p w14:paraId="4BC562A5" w14:textId="06BDB95B"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Antidepresantais, įskaitant </w:t>
      </w:r>
      <w:proofErr w:type="spellStart"/>
      <w:r w:rsidRPr="00514245">
        <w:rPr>
          <w:rFonts w:ascii="Times New Roman" w:eastAsia="Times New Roman" w:hAnsi="Times New Roman"/>
          <w:lang w:val="lt-LT"/>
        </w:rPr>
        <w:t>vortioksetiną</w:t>
      </w:r>
      <w:proofErr w:type="spellEnd"/>
      <w:r w:rsidRPr="00514245">
        <w:rPr>
          <w:rFonts w:ascii="Times New Roman" w:eastAsia="Times New Roman" w:hAnsi="Times New Roman"/>
          <w:lang w:val="lt-LT"/>
        </w:rPr>
        <w:t xml:space="preserve">, gydomi pacientai taip pat gali jausti agresyvumą, pyktį, </w:t>
      </w:r>
      <w:r w:rsidRPr="00514245">
        <w:rPr>
          <w:rFonts w:ascii="Times New Roman" w:eastAsia="Times New Roman" w:hAnsi="Times New Roman"/>
          <w:lang w:val="lt-LT"/>
        </w:rPr>
        <w:lastRenderedPageBreak/>
        <w:t>susijaudinimą ir irzlumą. Reikia atidžiai stebėti paciento būklę ir ligos eigą. Pacientus (ir pacientus prižiūrinčius asmenis) reikia įspėti, kad kreiptųsi pagalbos į gydytoją, jeigu atsiranda arba sustiprėja agresyvus elgesys ir susijaudinimas.</w:t>
      </w:r>
    </w:p>
    <w:p w14:paraId="5FC67109"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78DCF154" w14:textId="77777777" w:rsidR="00FB267C" w:rsidRPr="00FB267C"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r w:rsidRPr="00FB267C">
        <w:rPr>
          <w:rFonts w:ascii="Times New Roman" w:eastAsia="Times New Roman" w:hAnsi="Times New Roman"/>
          <w:u w:val="single"/>
          <w:lang w:val="lt-LT"/>
        </w:rPr>
        <w:t xml:space="preserve">Kraujavimas </w:t>
      </w:r>
    </w:p>
    <w:p w14:paraId="04DC2CE1"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102F2B04" w14:textId="77F7B245"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Gauta retų pranešimų apie su antidepresantų, kurie sukelia </w:t>
      </w:r>
      <w:proofErr w:type="spellStart"/>
      <w:r w:rsidRPr="00514245">
        <w:rPr>
          <w:rFonts w:ascii="Times New Roman" w:eastAsia="Times New Roman" w:hAnsi="Times New Roman"/>
          <w:lang w:val="lt-LT"/>
        </w:rPr>
        <w:t>serotoninerginį</w:t>
      </w:r>
      <w:proofErr w:type="spellEnd"/>
      <w:r w:rsidRPr="00514245">
        <w:rPr>
          <w:rFonts w:ascii="Times New Roman" w:eastAsia="Times New Roman" w:hAnsi="Times New Roman"/>
          <w:lang w:val="lt-LT"/>
        </w:rPr>
        <w:t xml:space="preserve"> poveikį (įskaitant </w:t>
      </w:r>
      <w:proofErr w:type="spellStart"/>
      <w:r w:rsidRPr="00514245">
        <w:rPr>
          <w:rFonts w:ascii="Times New Roman" w:eastAsia="Times New Roman" w:hAnsi="Times New Roman"/>
          <w:lang w:val="lt-LT"/>
        </w:rPr>
        <w:t>vortioksetiną</w:t>
      </w:r>
      <w:proofErr w:type="spellEnd"/>
      <w:r w:rsidRPr="00514245">
        <w:rPr>
          <w:rFonts w:ascii="Times New Roman" w:eastAsia="Times New Roman" w:hAnsi="Times New Roman"/>
          <w:lang w:val="lt-LT"/>
        </w:rPr>
        <w:t xml:space="preserve">), vartojimu susijusius kraujavimo sutrikimus, pvz., taškines ir </w:t>
      </w:r>
      <w:proofErr w:type="spellStart"/>
      <w:r w:rsidRPr="00514245">
        <w:rPr>
          <w:rFonts w:ascii="Times New Roman" w:eastAsia="Times New Roman" w:hAnsi="Times New Roman"/>
          <w:lang w:val="lt-LT"/>
        </w:rPr>
        <w:t>dėmines</w:t>
      </w:r>
      <w:proofErr w:type="spellEnd"/>
      <w:r w:rsidRPr="00514245">
        <w:rPr>
          <w:rFonts w:ascii="Times New Roman" w:eastAsia="Times New Roman" w:hAnsi="Times New Roman"/>
          <w:lang w:val="lt-LT"/>
        </w:rPr>
        <w:t xml:space="preserve"> kraujosruvas ir kitus kraujavimo reiškinius (pvz.</w:t>
      </w:r>
      <w:r w:rsidR="00514245">
        <w:rPr>
          <w:rFonts w:ascii="Times New Roman" w:eastAsia="Times New Roman" w:hAnsi="Times New Roman"/>
          <w:lang w:val="lt-LT"/>
        </w:rPr>
        <w:t>,</w:t>
      </w:r>
      <w:r w:rsidRPr="00514245">
        <w:rPr>
          <w:rFonts w:ascii="Times New Roman" w:eastAsia="Times New Roman" w:hAnsi="Times New Roman"/>
          <w:lang w:val="lt-LT"/>
        </w:rPr>
        <w:t xml:space="preserve"> kraujavimą iš virškinimo trakto ir lytinių organų). Vartojant SSRI / SNRI, gali padidėti kraujavimo po gimdymo pavojus; tokią riziką gali kelti ir vortioksetinas (žr. 4.6 skyrių). Pacientus, kurie vartoja antikoaguliantų ir (arba) vaistinių preparatų, kurie veikia trombocitų funkciją [pvz., atipiniai </w:t>
      </w:r>
      <w:proofErr w:type="spellStart"/>
      <w:r w:rsidRPr="00514245">
        <w:rPr>
          <w:rFonts w:ascii="Times New Roman" w:eastAsia="Times New Roman" w:hAnsi="Times New Roman"/>
          <w:lang w:val="lt-LT"/>
        </w:rPr>
        <w:t>antipsichoziniai</w:t>
      </w:r>
      <w:proofErr w:type="spellEnd"/>
      <w:r w:rsidRPr="00514245">
        <w:rPr>
          <w:rFonts w:ascii="Times New Roman" w:eastAsia="Times New Roman" w:hAnsi="Times New Roman"/>
          <w:lang w:val="lt-LT"/>
        </w:rPr>
        <w:t xml:space="preserve"> vaistiniai preparatai ir </w:t>
      </w:r>
      <w:proofErr w:type="spellStart"/>
      <w:r w:rsidRPr="00514245">
        <w:rPr>
          <w:rFonts w:ascii="Times New Roman" w:eastAsia="Times New Roman" w:hAnsi="Times New Roman"/>
          <w:lang w:val="lt-LT"/>
        </w:rPr>
        <w:t>fenotiazinai</w:t>
      </w:r>
      <w:proofErr w:type="spellEnd"/>
      <w:r w:rsidRPr="00514245">
        <w:rPr>
          <w:rFonts w:ascii="Times New Roman" w:eastAsia="Times New Roman" w:hAnsi="Times New Roman"/>
          <w:lang w:val="lt-LT"/>
        </w:rPr>
        <w:t xml:space="preserve">, dauguma </w:t>
      </w:r>
      <w:proofErr w:type="spellStart"/>
      <w:r w:rsidRPr="00514245">
        <w:rPr>
          <w:rFonts w:ascii="Times New Roman" w:eastAsia="Times New Roman" w:hAnsi="Times New Roman"/>
          <w:lang w:val="lt-LT"/>
        </w:rPr>
        <w:t>triciklių</w:t>
      </w:r>
      <w:proofErr w:type="spellEnd"/>
      <w:r w:rsidRPr="00514245">
        <w:rPr>
          <w:rFonts w:ascii="Times New Roman" w:eastAsia="Times New Roman" w:hAnsi="Times New Roman"/>
          <w:lang w:val="lt-LT"/>
        </w:rPr>
        <w:t xml:space="preserve"> antidepresantų, nesteroidiniai vaistiniai preparatai nuo uždegimo (NV</w:t>
      </w:r>
      <w:r w:rsidR="00B87C43">
        <w:rPr>
          <w:rFonts w:ascii="Times New Roman" w:eastAsia="Times New Roman" w:hAnsi="Times New Roman"/>
          <w:lang w:val="lt-LT"/>
        </w:rPr>
        <w:t>P</w:t>
      </w:r>
      <w:r w:rsidRPr="00514245">
        <w:rPr>
          <w:rFonts w:ascii="Times New Roman" w:eastAsia="Times New Roman" w:hAnsi="Times New Roman"/>
          <w:lang w:val="lt-LT"/>
        </w:rPr>
        <w:t xml:space="preserve">NU), </w:t>
      </w:r>
      <w:proofErr w:type="spellStart"/>
      <w:r w:rsidRPr="00514245">
        <w:rPr>
          <w:rFonts w:ascii="Times New Roman" w:eastAsia="Times New Roman" w:hAnsi="Times New Roman"/>
          <w:lang w:val="lt-LT"/>
        </w:rPr>
        <w:t>acetilsalicilo</w:t>
      </w:r>
      <w:proofErr w:type="spellEnd"/>
      <w:r w:rsidRPr="00514245">
        <w:rPr>
          <w:rFonts w:ascii="Times New Roman" w:eastAsia="Times New Roman" w:hAnsi="Times New Roman"/>
          <w:lang w:val="lt-LT"/>
        </w:rPr>
        <w:t xml:space="preserve"> rūgštis (ASR)] (žr. 4.5 skyrių) ir pacientus, kuriems pasireiškia kraujavimo tendencijos ar sutrikimai, gydyti reikia atsargiai.</w:t>
      </w:r>
    </w:p>
    <w:p w14:paraId="072B8315"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4DC545A9"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proofErr w:type="spellStart"/>
      <w:r w:rsidRPr="00514245">
        <w:rPr>
          <w:rFonts w:ascii="Times New Roman" w:eastAsia="Times New Roman" w:hAnsi="Times New Roman"/>
          <w:u w:val="single"/>
          <w:lang w:val="lt-LT"/>
        </w:rPr>
        <w:t>Hiponatremija</w:t>
      </w:r>
      <w:proofErr w:type="spellEnd"/>
    </w:p>
    <w:p w14:paraId="240E3252" w14:textId="04D4E543"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Vartojant antidepresantų, kurie sukelia </w:t>
      </w:r>
      <w:proofErr w:type="spellStart"/>
      <w:r w:rsidRPr="00514245">
        <w:rPr>
          <w:rFonts w:ascii="Times New Roman" w:eastAsia="Times New Roman" w:hAnsi="Times New Roman"/>
          <w:lang w:val="lt-LT"/>
        </w:rPr>
        <w:t>serotoninerginį</w:t>
      </w:r>
      <w:proofErr w:type="spellEnd"/>
      <w:r w:rsidRPr="00514245">
        <w:rPr>
          <w:rFonts w:ascii="Times New Roman" w:eastAsia="Times New Roman" w:hAnsi="Times New Roman"/>
          <w:lang w:val="lt-LT"/>
        </w:rPr>
        <w:t xml:space="preserve"> poveikį (SSRI, SNRI), retais atvejais buvo pranešta apie </w:t>
      </w:r>
      <w:proofErr w:type="spellStart"/>
      <w:r w:rsidRPr="00514245">
        <w:rPr>
          <w:rFonts w:ascii="Times New Roman" w:eastAsia="Times New Roman" w:hAnsi="Times New Roman"/>
          <w:lang w:val="lt-LT"/>
        </w:rPr>
        <w:t>hiponatremiją</w:t>
      </w:r>
      <w:proofErr w:type="spellEnd"/>
      <w:r w:rsidRPr="00514245">
        <w:rPr>
          <w:rFonts w:ascii="Times New Roman" w:eastAsia="Times New Roman" w:hAnsi="Times New Roman"/>
          <w:lang w:val="lt-LT"/>
        </w:rPr>
        <w:t xml:space="preserve">, kuri greičiausiai pasireiškia dėl sutrikusios </w:t>
      </w:r>
      <w:proofErr w:type="spellStart"/>
      <w:r w:rsidRPr="00514245">
        <w:rPr>
          <w:rFonts w:ascii="Times New Roman" w:eastAsia="Times New Roman" w:hAnsi="Times New Roman"/>
          <w:lang w:val="lt-LT"/>
        </w:rPr>
        <w:t>antidiurezinio</w:t>
      </w:r>
      <w:proofErr w:type="spellEnd"/>
      <w:r w:rsidRPr="00514245">
        <w:rPr>
          <w:rFonts w:ascii="Times New Roman" w:eastAsia="Times New Roman" w:hAnsi="Times New Roman"/>
          <w:lang w:val="lt-LT"/>
        </w:rPr>
        <w:t xml:space="preserve"> hormono sekrecijos (SADHS). Reikia imtis atsargumo priemonių gydant rizikos grupės pacientus, pvz., senyvus </w:t>
      </w:r>
      <w:r w:rsidR="00DF4060">
        <w:rPr>
          <w:rFonts w:ascii="Times New Roman" w:eastAsia="Times New Roman" w:hAnsi="Times New Roman"/>
          <w:lang w:val="lt-LT"/>
        </w:rPr>
        <w:t>pacientus</w:t>
      </w:r>
      <w:r w:rsidRPr="00514245">
        <w:rPr>
          <w:rFonts w:ascii="Times New Roman" w:eastAsia="Times New Roman" w:hAnsi="Times New Roman"/>
          <w:lang w:val="lt-LT"/>
        </w:rPr>
        <w:t xml:space="preserve">, kepenų ciroze sergančius pacientus ar pacientus, kurie kartu gydomi vaistiniais preparatais, kurie sukelia </w:t>
      </w:r>
      <w:proofErr w:type="spellStart"/>
      <w:r w:rsidRPr="00514245">
        <w:rPr>
          <w:rFonts w:ascii="Times New Roman" w:eastAsia="Times New Roman" w:hAnsi="Times New Roman"/>
          <w:lang w:val="lt-LT"/>
        </w:rPr>
        <w:t>hiponatremiją</w:t>
      </w:r>
      <w:proofErr w:type="spellEnd"/>
      <w:r w:rsidRPr="00514245">
        <w:rPr>
          <w:rFonts w:ascii="Times New Roman" w:eastAsia="Times New Roman" w:hAnsi="Times New Roman"/>
          <w:lang w:val="lt-LT"/>
        </w:rPr>
        <w:t>.</w:t>
      </w:r>
    </w:p>
    <w:p w14:paraId="10C3AAB8"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47F50CF7" w14:textId="4FAD4A08"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Pacientams, kuriems pasireiškia </w:t>
      </w:r>
      <w:proofErr w:type="spellStart"/>
      <w:r w:rsidRPr="00514245">
        <w:rPr>
          <w:rFonts w:ascii="Times New Roman" w:eastAsia="Times New Roman" w:hAnsi="Times New Roman"/>
          <w:lang w:val="lt-LT"/>
        </w:rPr>
        <w:t>hiponatremijos</w:t>
      </w:r>
      <w:proofErr w:type="spellEnd"/>
      <w:r w:rsidRPr="00514245">
        <w:rPr>
          <w:rFonts w:ascii="Times New Roman" w:eastAsia="Times New Roman" w:hAnsi="Times New Roman"/>
          <w:lang w:val="lt-LT"/>
        </w:rPr>
        <w:t xml:space="preserve"> simptomai, reikia apsvarstyti vortioksetino vartojimo nutraukimą ir jiems skirti tinkamą medicininę pagalbą.</w:t>
      </w:r>
    </w:p>
    <w:p w14:paraId="3DC6C4F0"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55E9CA58"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r w:rsidRPr="00FB267C">
        <w:rPr>
          <w:rFonts w:ascii="Times New Roman" w:eastAsia="Times New Roman" w:hAnsi="Times New Roman"/>
          <w:u w:val="single"/>
          <w:lang w:val="lt-LT"/>
        </w:rPr>
        <w:t xml:space="preserve">Glaukoma </w:t>
      </w:r>
    </w:p>
    <w:p w14:paraId="30856653" w14:textId="77777777" w:rsidR="00FB267C" w:rsidRPr="00FB267C" w:rsidRDefault="00FB267C" w:rsidP="00FB267C">
      <w:pPr>
        <w:widowControl w:val="0"/>
        <w:autoSpaceDE w:val="0"/>
        <w:autoSpaceDN w:val="0"/>
        <w:adjustRightInd w:val="0"/>
        <w:spacing w:after="0" w:line="240" w:lineRule="auto"/>
        <w:rPr>
          <w:rFonts w:ascii="Times New Roman" w:eastAsia="Times New Roman" w:hAnsi="Times New Roman"/>
          <w:u w:val="single"/>
          <w:lang w:val="lt-LT"/>
        </w:rPr>
      </w:pPr>
    </w:p>
    <w:p w14:paraId="381A9DA1" w14:textId="6D23C33F"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Gauta pranešimų apie pasireiškusią </w:t>
      </w:r>
      <w:proofErr w:type="spellStart"/>
      <w:r w:rsidRPr="00514245">
        <w:rPr>
          <w:rFonts w:ascii="Times New Roman" w:eastAsia="Times New Roman" w:hAnsi="Times New Roman"/>
          <w:lang w:val="lt-LT"/>
        </w:rPr>
        <w:t>midriazę</w:t>
      </w:r>
      <w:proofErr w:type="spellEnd"/>
      <w:r w:rsidRPr="00514245">
        <w:rPr>
          <w:rFonts w:ascii="Times New Roman" w:eastAsia="Times New Roman" w:hAnsi="Times New Roman"/>
          <w:lang w:val="lt-LT"/>
        </w:rPr>
        <w:t xml:space="preserve">, vartojant antidepresantų, įskaitant </w:t>
      </w:r>
      <w:proofErr w:type="spellStart"/>
      <w:r w:rsidRPr="00514245">
        <w:rPr>
          <w:rFonts w:ascii="Times New Roman" w:eastAsia="Times New Roman" w:hAnsi="Times New Roman"/>
          <w:lang w:val="lt-LT"/>
        </w:rPr>
        <w:t>vortioksetiną</w:t>
      </w:r>
      <w:proofErr w:type="spellEnd"/>
      <w:r w:rsidR="006C2BA8" w:rsidRPr="00514245">
        <w:rPr>
          <w:rFonts w:ascii="Times New Roman" w:eastAsia="Times New Roman" w:hAnsi="Times New Roman"/>
          <w:lang w:val="lt-LT"/>
        </w:rPr>
        <w:t>.</w:t>
      </w:r>
      <w:r w:rsidRPr="00514245">
        <w:rPr>
          <w:rFonts w:ascii="Times New Roman" w:eastAsia="Times New Roman" w:hAnsi="Times New Roman"/>
          <w:lang w:val="lt-LT"/>
        </w:rPr>
        <w:t xml:space="preserve"> Dėl šio vyzdžių plėtimo poveikio gali siaurėti</w:t>
      </w:r>
      <w:r w:rsidR="007144FE">
        <w:rPr>
          <w:rFonts w:ascii="Times New Roman" w:eastAsia="Times New Roman" w:hAnsi="Times New Roman"/>
          <w:lang w:val="lt-LT"/>
        </w:rPr>
        <w:t xml:space="preserve"> </w:t>
      </w:r>
      <w:r w:rsidR="00391F38">
        <w:rPr>
          <w:rFonts w:ascii="Times New Roman" w:eastAsia="Times New Roman" w:hAnsi="Times New Roman"/>
          <w:lang w:val="lt-LT"/>
        </w:rPr>
        <w:t>akies priekinės kameros kampas</w:t>
      </w:r>
      <w:r w:rsidRPr="00514245">
        <w:rPr>
          <w:rFonts w:ascii="Times New Roman" w:eastAsia="Times New Roman" w:hAnsi="Times New Roman"/>
          <w:lang w:val="lt-LT"/>
        </w:rPr>
        <w:t xml:space="preserve">, dėl ko gali </w:t>
      </w:r>
      <w:r w:rsidR="0076766E">
        <w:rPr>
          <w:rFonts w:ascii="Times New Roman" w:eastAsia="Times New Roman" w:hAnsi="Times New Roman"/>
          <w:lang w:val="lt-LT"/>
        </w:rPr>
        <w:t>padidėti</w:t>
      </w:r>
      <w:r w:rsidR="0076766E" w:rsidRPr="00514245">
        <w:rPr>
          <w:rFonts w:ascii="Times New Roman" w:eastAsia="Times New Roman" w:hAnsi="Times New Roman"/>
          <w:lang w:val="lt-LT"/>
        </w:rPr>
        <w:t xml:space="preserve"> </w:t>
      </w:r>
      <w:r w:rsidRPr="00514245">
        <w:rPr>
          <w:rFonts w:ascii="Times New Roman" w:eastAsia="Times New Roman" w:hAnsi="Times New Roman"/>
          <w:lang w:val="lt-LT"/>
        </w:rPr>
        <w:t>akispūdis ir išsivystyti uždarojo kampo glaukoma. Pacientams, kurių akispūdis padidėjęs arba kuriems kyla ūminės uždaro kampo glaukomos rizika, vortioksetino reikia skirti atsargiai.</w:t>
      </w:r>
    </w:p>
    <w:p w14:paraId="46E06850" w14:textId="77777777" w:rsidR="00FB267C" w:rsidRPr="00514245" w:rsidRDefault="00FB267C" w:rsidP="00FB267C">
      <w:pPr>
        <w:widowControl w:val="0"/>
        <w:autoSpaceDE w:val="0"/>
        <w:autoSpaceDN w:val="0"/>
        <w:adjustRightInd w:val="0"/>
        <w:spacing w:after="0" w:line="240" w:lineRule="auto"/>
        <w:rPr>
          <w:rFonts w:ascii="Times New Roman" w:eastAsia="Times New Roman" w:hAnsi="Times New Roman"/>
          <w:lang w:val="lt-LT"/>
        </w:rPr>
      </w:pPr>
    </w:p>
    <w:p w14:paraId="14B67455" w14:textId="1006355C" w:rsidR="006C2BA8" w:rsidRPr="00514245" w:rsidRDefault="006C2BA8" w:rsidP="006C2BA8">
      <w:pPr>
        <w:widowControl w:val="0"/>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 xml:space="preserve">Senyvi </w:t>
      </w:r>
      <w:r w:rsidR="00BE6A3A">
        <w:rPr>
          <w:rFonts w:ascii="Times New Roman" w:eastAsia="Times New Roman" w:hAnsi="Times New Roman"/>
          <w:u w:val="single"/>
          <w:lang w:val="lt-LT"/>
        </w:rPr>
        <w:t>pacientai</w:t>
      </w:r>
    </w:p>
    <w:p w14:paraId="761A0B8F" w14:textId="77777777" w:rsidR="006C2BA8" w:rsidRPr="00514245" w:rsidRDefault="006C2BA8" w:rsidP="006C2BA8">
      <w:pPr>
        <w:widowControl w:val="0"/>
        <w:autoSpaceDE w:val="0"/>
        <w:autoSpaceDN w:val="0"/>
        <w:adjustRightInd w:val="0"/>
        <w:spacing w:after="0" w:line="240" w:lineRule="auto"/>
        <w:rPr>
          <w:rFonts w:ascii="Times New Roman" w:eastAsia="Times New Roman" w:hAnsi="Times New Roman"/>
          <w:u w:val="single"/>
          <w:lang w:val="lt-LT"/>
        </w:rPr>
      </w:pPr>
    </w:p>
    <w:p w14:paraId="36999A1E" w14:textId="02B945A2" w:rsidR="006C2BA8" w:rsidRPr="00514245" w:rsidRDefault="006C2BA8" w:rsidP="006C2BA8">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Duomenų apie senyvų pacientų didžiosios depresijos epizodo gydymą vortioksetinu yra nedaug. Dėl šios priežasties ≥ 65 metų pacientus gydyti didesne kaip vieną kartą per parą vartojama 10 mg vortioksetino doze būtina atsargiai (žr. 4.2, 4.8 ir 5.2 skyrius).</w:t>
      </w:r>
    </w:p>
    <w:p w14:paraId="5A03F316" w14:textId="77777777" w:rsidR="006C2BA8" w:rsidRPr="00514245" w:rsidRDefault="006C2BA8" w:rsidP="006C2BA8">
      <w:pPr>
        <w:widowControl w:val="0"/>
        <w:autoSpaceDE w:val="0"/>
        <w:autoSpaceDN w:val="0"/>
        <w:adjustRightInd w:val="0"/>
        <w:spacing w:after="0" w:line="240" w:lineRule="auto"/>
        <w:rPr>
          <w:rFonts w:ascii="Times New Roman" w:eastAsia="Times New Roman" w:hAnsi="Times New Roman"/>
          <w:lang w:val="lt-LT"/>
        </w:rPr>
      </w:pPr>
    </w:p>
    <w:p w14:paraId="6EC6113E" w14:textId="75EEB1FD" w:rsidR="006C2BA8" w:rsidRPr="00514245" w:rsidRDefault="006C2BA8" w:rsidP="006C2BA8">
      <w:pPr>
        <w:widowControl w:val="0"/>
        <w:autoSpaceDE w:val="0"/>
        <w:autoSpaceDN w:val="0"/>
        <w:adjustRightInd w:val="0"/>
        <w:spacing w:after="0" w:line="240" w:lineRule="auto"/>
        <w:rPr>
          <w:rFonts w:ascii="Times New Roman" w:hAnsi="Times New Roman"/>
          <w:spacing w:val="-4"/>
          <w:position w:val="-1"/>
          <w:u w:val="single"/>
          <w:lang w:val="lt-LT"/>
        </w:rPr>
      </w:pPr>
      <w:r w:rsidRPr="00514245">
        <w:rPr>
          <w:rFonts w:ascii="Times New Roman" w:hAnsi="Times New Roman"/>
          <w:spacing w:val="-4"/>
          <w:position w:val="-1"/>
          <w:u w:val="single"/>
          <w:lang w:val="lt-LT"/>
        </w:rPr>
        <w:t xml:space="preserve">Sutrikusi inkstų </w:t>
      </w:r>
      <w:r w:rsidRPr="00514245">
        <w:rPr>
          <w:rFonts w:ascii="Times New Roman" w:eastAsia="Times New Roman" w:hAnsi="Times New Roman"/>
          <w:u w:val="single"/>
          <w:lang w:val="lt-LT"/>
        </w:rPr>
        <w:t xml:space="preserve">arba kepenų </w:t>
      </w:r>
      <w:r w:rsidRPr="00514245">
        <w:rPr>
          <w:rFonts w:ascii="Times New Roman" w:hAnsi="Times New Roman"/>
          <w:spacing w:val="-4"/>
          <w:position w:val="-1"/>
          <w:u w:val="single"/>
          <w:lang w:val="lt-LT"/>
        </w:rPr>
        <w:t>funkcija</w:t>
      </w:r>
    </w:p>
    <w:p w14:paraId="0B6608CE" w14:textId="77777777" w:rsidR="006C2BA8" w:rsidRPr="00514245" w:rsidRDefault="006C2BA8" w:rsidP="006C2BA8">
      <w:pPr>
        <w:widowControl w:val="0"/>
        <w:autoSpaceDE w:val="0"/>
        <w:autoSpaceDN w:val="0"/>
        <w:adjustRightInd w:val="0"/>
        <w:spacing w:after="0" w:line="240" w:lineRule="auto"/>
        <w:rPr>
          <w:rFonts w:ascii="Times New Roman" w:hAnsi="Times New Roman"/>
          <w:spacing w:val="-4"/>
          <w:position w:val="-1"/>
          <w:u w:val="single"/>
          <w:lang w:val="lt-LT"/>
        </w:rPr>
      </w:pPr>
    </w:p>
    <w:p w14:paraId="3789730D" w14:textId="5939CC6F" w:rsidR="006C2BA8" w:rsidRPr="00514245" w:rsidRDefault="006C2BA8" w:rsidP="006C2BA8">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Atsižvelgiant į tai, kad </w:t>
      </w:r>
      <w:r w:rsidR="007931CE">
        <w:rPr>
          <w:rFonts w:ascii="Times New Roman" w:eastAsia="Times New Roman" w:hAnsi="Times New Roman"/>
          <w:lang w:val="lt-LT"/>
        </w:rPr>
        <w:t>pacientai</w:t>
      </w:r>
      <w:r w:rsidRPr="00514245">
        <w:rPr>
          <w:rFonts w:ascii="Times New Roman" w:eastAsia="Times New Roman" w:hAnsi="Times New Roman"/>
          <w:lang w:val="lt-LT"/>
        </w:rPr>
        <w:t>, kurių inkstų ar kepenų funkcija sutrikusi, yra labiau pažeidžiami ir duomenų apie vortioksetino vartojimą šiose pacientų populiacijose nepakanka, tokius pacientus šiuo vaistiniu preparatu būtina gydyti atsargiai (žr. 4.2 ir 5.2 skyrius).</w:t>
      </w:r>
    </w:p>
    <w:p w14:paraId="03D64A67" w14:textId="77777777" w:rsidR="006C2BA8" w:rsidRPr="00514245" w:rsidRDefault="006C2BA8" w:rsidP="00FB267C">
      <w:pPr>
        <w:widowControl w:val="0"/>
        <w:autoSpaceDE w:val="0"/>
        <w:autoSpaceDN w:val="0"/>
        <w:adjustRightInd w:val="0"/>
        <w:spacing w:after="0" w:line="240" w:lineRule="auto"/>
        <w:rPr>
          <w:rFonts w:ascii="Times New Roman" w:eastAsia="Times New Roman" w:hAnsi="Times New Roman"/>
          <w:lang w:val="lt-LT"/>
        </w:rPr>
      </w:pPr>
    </w:p>
    <w:p w14:paraId="229C8095" w14:textId="6ED5E2BC" w:rsidR="006C2BA8" w:rsidRPr="00514245" w:rsidRDefault="006C2BA8" w:rsidP="006C2BA8">
      <w:pPr>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Vortioxetine Zentiva sudėtyje yra natrio</w:t>
      </w:r>
    </w:p>
    <w:p w14:paraId="3BDAD7D3" w14:textId="77777777" w:rsidR="006C2BA8" w:rsidRPr="00514245" w:rsidRDefault="006C2BA8" w:rsidP="006C2BA8">
      <w:pPr>
        <w:spacing w:after="0" w:line="240" w:lineRule="auto"/>
        <w:rPr>
          <w:rFonts w:ascii="Times New Roman" w:eastAsia="Times New Roman" w:hAnsi="Times New Roman"/>
          <w:u w:val="single"/>
          <w:lang w:val="lt-LT"/>
        </w:rPr>
      </w:pPr>
    </w:p>
    <w:p w14:paraId="68FDA1D4" w14:textId="646C76F0" w:rsidR="006C2BA8" w:rsidRPr="00514245" w:rsidRDefault="006C2BA8" w:rsidP="006C2BA8">
      <w:pPr>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Šio vaistinio preparato vienoje tabletėje yra mažiau nei 1 </w:t>
      </w:r>
      <w:proofErr w:type="spellStart"/>
      <w:r w:rsidRPr="00514245">
        <w:rPr>
          <w:rFonts w:ascii="Times New Roman" w:eastAsia="Times New Roman" w:hAnsi="Times New Roman"/>
          <w:lang w:val="lt-LT"/>
        </w:rPr>
        <w:t>mmol</w:t>
      </w:r>
      <w:proofErr w:type="spellEnd"/>
      <w:r w:rsidRPr="00514245">
        <w:rPr>
          <w:rFonts w:ascii="Times New Roman" w:eastAsia="Times New Roman" w:hAnsi="Times New Roman"/>
          <w:lang w:val="lt-LT"/>
        </w:rPr>
        <w:t xml:space="preserve"> natrio (23 mg), t. y. jis beveik neturi reikšmės.</w:t>
      </w:r>
    </w:p>
    <w:p w14:paraId="0E69E179" w14:textId="77777777" w:rsidR="006C2BA8" w:rsidRDefault="006C2BA8" w:rsidP="00FB267C">
      <w:pPr>
        <w:widowControl w:val="0"/>
        <w:autoSpaceDE w:val="0"/>
        <w:autoSpaceDN w:val="0"/>
        <w:adjustRightInd w:val="0"/>
        <w:spacing w:after="0" w:line="240" w:lineRule="auto"/>
        <w:rPr>
          <w:rFonts w:ascii="Times New Roman" w:eastAsia="Times New Roman" w:hAnsi="Times New Roman"/>
          <w:lang w:val="lt-LT"/>
        </w:rPr>
      </w:pPr>
    </w:p>
    <w:p w14:paraId="0DE233DC" w14:textId="1E69CDC3" w:rsidR="001D00DA" w:rsidRPr="00514245" w:rsidRDefault="001D00DA" w:rsidP="001D00DA">
      <w:pPr>
        <w:widowControl w:val="0"/>
        <w:autoSpaceDE w:val="0"/>
        <w:autoSpaceDN w:val="0"/>
        <w:adjustRightInd w:val="0"/>
        <w:spacing w:after="0" w:line="240" w:lineRule="auto"/>
        <w:rPr>
          <w:rFonts w:ascii="Times New Roman" w:hAnsi="Times New Roman"/>
          <w:spacing w:val="-4"/>
          <w:position w:val="-1"/>
          <w:u w:val="single"/>
          <w:lang w:val="lt-LT"/>
        </w:rPr>
      </w:pPr>
      <w:r w:rsidRPr="00514245">
        <w:rPr>
          <w:rFonts w:ascii="Times New Roman" w:hAnsi="Times New Roman"/>
          <w:spacing w:val="-4"/>
          <w:position w:val="-1"/>
          <w:u w:val="single"/>
          <w:lang w:val="lt-LT"/>
        </w:rPr>
        <w:t>Vortioxetine Zentiva 5 mg plėvele dengtos tabletės sudėtyje yra laktozės</w:t>
      </w:r>
    </w:p>
    <w:p w14:paraId="39EC394B" w14:textId="77777777" w:rsidR="001D00DA" w:rsidRPr="00514245" w:rsidRDefault="001D00DA" w:rsidP="001D00DA">
      <w:pPr>
        <w:widowControl w:val="0"/>
        <w:autoSpaceDE w:val="0"/>
        <w:autoSpaceDN w:val="0"/>
        <w:adjustRightInd w:val="0"/>
        <w:spacing w:after="0" w:line="240" w:lineRule="auto"/>
        <w:rPr>
          <w:rFonts w:ascii="Times New Roman" w:eastAsia="Times New Roman" w:hAnsi="Times New Roman"/>
          <w:u w:val="single"/>
          <w:lang w:val="lt-LT"/>
        </w:rPr>
      </w:pPr>
    </w:p>
    <w:p w14:paraId="365EB8D4" w14:textId="77777777" w:rsidR="001D00DA" w:rsidRPr="00514245" w:rsidRDefault="001D00DA" w:rsidP="001D00DA">
      <w:pPr>
        <w:keepNext/>
        <w:autoSpaceDE w:val="0"/>
        <w:autoSpaceDN w:val="0"/>
        <w:adjustRightInd w:val="0"/>
        <w:spacing w:after="0" w:line="240" w:lineRule="auto"/>
        <w:rPr>
          <w:rFonts w:ascii="Times New Roman" w:hAnsi="Times New Roman"/>
          <w:spacing w:val="-4"/>
          <w:position w:val="-1"/>
          <w:lang w:val="lt-LT"/>
        </w:rPr>
      </w:pPr>
      <w:r w:rsidRPr="00514245">
        <w:rPr>
          <w:rFonts w:ascii="Times New Roman" w:hAnsi="Times New Roman"/>
          <w:spacing w:val="-4"/>
          <w:position w:val="-1"/>
          <w:lang w:val="lt-LT"/>
        </w:rPr>
        <w:t xml:space="preserve">Šio vaistinio preparato negalima vartoti pacientams, kuriems nustatytas retas paveldimas sutrikimas – </w:t>
      </w:r>
      <w:proofErr w:type="spellStart"/>
      <w:r w:rsidRPr="00514245">
        <w:rPr>
          <w:rFonts w:ascii="Times New Roman" w:hAnsi="Times New Roman"/>
          <w:spacing w:val="-4"/>
          <w:position w:val="-1"/>
          <w:lang w:val="lt-LT"/>
        </w:rPr>
        <w:t>galaktozės</w:t>
      </w:r>
      <w:proofErr w:type="spellEnd"/>
      <w:r w:rsidRPr="00514245">
        <w:rPr>
          <w:rFonts w:ascii="Times New Roman" w:hAnsi="Times New Roman"/>
          <w:spacing w:val="-4"/>
          <w:position w:val="-1"/>
          <w:lang w:val="lt-LT"/>
        </w:rPr>
        <w:t xml:space="preserve"> netoleravimas, visiškas laktazės stygius arba gliukozės ir </w:t>
      </w:r>
      <w:proofErr w:type="spellStart"/>
      <w:r w:rsidRPr="00514245">
        <w:rPr>
          <w:rFonts w:ascii="Times New Roman" w:hAnsi="Times New Roman"/>
          <w:spacing w:val="-4"/>
          <w:position w:val="-1"/>
          <w:lang w:val="lt-LT"/>
        </w:rPr>
        <w:t>galaktozės</w:t>
      </w:r>
      <w:proofErr w:type="spellEnd"/>
      <w:r w:rsidRPr="00514245">
        <w:rPr>
          <w:rFonts w:ascii="Times New Roman" w:hAnsi="Times New Roman"/>
          <w:spacing w:val="-4"/>
          <w:position w:val="-1"/>
          <w:lang w:val="lt-LT"/>
        </w:rPr>
        <w:t xml:space="preserve"> </w:t>
      </w:r>
      <w:proofErr w:type="spellStart"/>
      <w:r w:rsidRPr="00514245">
        <w:rPr>
          <w:rFonts w:ascii="Times New Roman" w:hAnsi="Times New Roman"/>
          <w:spacing w:val="-4"/>
          <w:position w:val="-1"/>
          <w:lang w:val="lt-LT"/>
        </w:rPr>
        <w:t>malabsorbcija</w:t>
      </w:r>
      <w:proofErr w:type="spellEnd"/>
      <w:r w:rsidRPr="00514245">
        <w:rPr>
          <w:rFonts w:ascii="Times New Roman" w:hAnsi="Times New Roman"/>
          <w:spacing w:val="-4"/>
          <w:position w:val="-1"/>
          <w:lang w:val="lt-LT"/>
        </w:rPr>
        <w:t>.</w:t>
      </w:r>
    </w:p>
    <w:p w14:paraId="772CD487" w14:textId="77777777" w:rsidR="001D00DA" w:rsidRPr="004A1B19" w:rsidRDefault="001D00DA" w:rsidP="00FB267C">
      <w:pPr>
        <w:widowControl w:val="0"/>
        <w:autoSpaceDE w:val="0"/>
        <w:autoSpaceDN w:val="0"/>
        <w:adjustRightInd w:val="0"/>
        <w:spacing w:after="0" w:line="240" w:lineRule="auto"/>
        <w:rPr>
          <w:rFonts w:ascii="Times New Roman" w:hAnsi="Times New Roman"/>
          <w:lang w:val="lt-LT"/>
        </w:rPr>
      </w:pPr>
    </w:p>
    <w:p w14:paraId="134012FC" w14:textId="77777777" w:rsidR="00E0107B" w:rsidRPr="00514245" w:rsidRDefault="00E0107B" w:rsidP="00653E99">
      <w:pPr>
        <w:keepNext/>
        <w:autoSpaceDE w:val="0"/>
        <w:autoSpaceDN w:val="0"/>
        <w:adjustRightInd w:val="0"/>
        <w:spacing w:after="0" w:line="240" w:lineRule="auto"/>
        <w:ind w:left="567" w:hanging="567"/>
        <w:rPr>
          <w:rFonts w:ascii="Times New Roman" w:eastAsia="Times New Roman" w:hAnsi="Times New Roman"/>
          <w:lang w:val="lt-LT"/>
        </w:rPr>
      </w:pPr>
      <w:r w:rsidRPr="00514245">
        <w:rPr>
          <w:rFonts w:ascii="Times New Roman" w:hAnsi="Times New Roman"/>
          <w:b/>
          <w:lang w:val="lt-LT"/>
        </w:rPr>
        <w:lastRenderedPageBreak/>
        <w:t>4.5</w:t>
      </w:r>
      <w:r w:rsidRPr="00514245">
        <w:rPr>
          <w:rFonts w:ascii="Times New Roman" w:hAnsi="Times New Roman"/>
          <w:lang w:val="lt-LT"/>
        </w:rPr>
        <w:tab/>
      </w:r>
      <w:r w:rsidRPr="00514245">
        <w:rPr>
          <w:rFonts w:ascii="Times New Roman" w:hAnsi="Times New Roman"/>
          <w:b/>
          <w:lang w:val="lt-LT"/>
        </w:rPr>
        <w:t>Sąveika su kitais vaistiniais preparatais ir kitokia sąveika</w:t>
      </w:r>
    </w:p>
    <w:p w14:paraId="1C24FD34" w14:textId="77777777" w:rsidR="00E0107B" w:rsidRPr="00514245" w:rsidRDefault="00E0107B" w:rsidP="00653E99">
      <w:pPr>
        <w:keepNext/>
        <w:autoSpaceDE w:val="0"/>
        <w:autoSpaceDN w:val="0"/>
        <w:adjustRightInd w:val="0"/>
        <w:spacing w:after="0" w:line="240" w:lineRule="auto"/>
        <w:rPr>
          <w:rFonts w:ascii="Times New Roman" w:eastAsia="Times New Roman" w:hAnsi="Times New Roman"/>
          <w:lang w:val="lt-LT"/>
        </w:rPr>
      </w:pPr>
    </w:p>
    <w:p w14:paraId="6653127D"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roofErr w:type="spellStart"/>
      <w:r w:rsidRPr="00514245">
        <w:rPr>
          <w:rFonts w:ascii="Times New Roman" w:eastAsia="Times New Roman" w:hAnsi="Times New Roman"/>
          <w:lang w:val="lt-LT"/>
        </w:rPr>
        <w:t>Vortioksetinas</w:t>
      </w:r>
      <w:proofErr w:type="spellEnd"/>
      <w:r w:rsidRPr="00514245">
        <w:rPr>
          <w:rFonts w:ascii="Times New Roman" w:eastAsia="Times New Roman" w:hAnsi="Times New Roman"/>
          <w:lang w:val="lt-LT"/>
        </w:rPr>
        <w:t xml:space="preserve"> ekstensyviai </w:t>
      </w:r>
      <w:proofErr w:type="spellStart"/>
      <w:r w:rsidRPr="00514245">
        <w:rPr>
          <w:rFonts w:ascii="Times New Roman" w:eastAsia="Times New Roman" w:hAnsi="Times New Roman"/>
          <w:lang w:val="lt-LT"/>
        </w:rPr>
        <w:t>metabolizuojamas</w:t>
      </w:r>
      <w:proofErr w:type="spellEnd"/>
      <w:r w:rsidRPr="00514245">
        <w:rPr>
          <w:rFonts w:ascii="Times New Roman" w:eastAsia="Times New Roman" w:hAnsi="Times New Roman"/>
          <w:lang w:val="lt-LT"/>
        </w:rPr>
        <w:t xml:space="preserve"> kepenyse daugiausia oksidacijos būdu, katalizuojant CYP2D6 ir kiek mažiau CYP3A4/5 bei CYP2C9 (žr. 5.2 skyrių). </w:t>
      </w:r>
    </w:p>
    <w:p w14:paraId="28FCFE0A"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1BF92BFD"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 xml:space="preserve">Kitų vaistinių preparatų poveikio </w:t>
      </w:r>
      <w:proofErr w:type="spellStart"/>
      <w:r w:rsidRPr="00514245">
        <w:rPr>
          <w:rFonts w:ascii="Times New Roman" w:eastAsia="Times New Roman" w:hAnsi="Times New Roman"/>
          <w:u w:val="single"/>
          <w:lang w:val="lt-LT"/>
        </w:rPr>
        <w:t>vortioksetinui</w:t>
      </w:r>
      <w:proofErr w:type="spellEnd"/>
      <w:r w:rsidRPr="00514245">
        <w:rPr>
          <w:rFonts w:ascii="Times New Roman" w:eastAsia="Times New Roman" w:hAnsi="Times New Roman"/>
          <w:u w:val="single"/>
          <w:lang w:val="lt-LT"/>
        </w:rPr>
        <w:t xml:space="preserve"> galimybės </w:t>
      </w:r>
    </w:p>
    <w:p w14:paraId="03C9AF47"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u w:val="single"/>
          <w:lang w:val="lt-LT"/>
        </w:rPr>
      </w:pPr>
    </w:p>
    <w:p w14:paraId="411955F0"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 xml:space="preserve">Negrįžtamojo poveikio neselektyvieji MAO inhibitoriai </w:t>
      </w:r>
    </w:p>
    <w:p w14:paraId="198FF655" w14:textId="22BBBABF" w:rsidR="006C2BA8"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Dėl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sindromo rizikos </w:t>
      </w:r>
      <w:proofErr w:type="spellStart"/>
      <w:r w:rsidRPr="00514245">
        <w:rPr>
          <w:rFonts w:ascii="Times New Roman" w:eastAsia="Times New Roman" w:hAnsi="Times New Roman"/>
          <w:lang w:val="lt-LT"/>
        </w:rPr>
        <w:t>vortioksetino</w:t>
      </w:r>
      <w:proofErr w:type="spellEnd"/>
      <w:r w:rsidRPr="00514245">
        <w:rPr>
          <w:rFonts w:ascii="Times New Roman" w:eastAsia="Times New Roman" w:hAnsi="Times New Roman"/>
          <w:lang w:val="lt-LT"/>
        </w:rPr>
        <w:t xml:space="preserve"> negalima vartoti kartu su jokiais negrįžtamojo poveikio neselektyviaisiais MAO inhibitoriais. Vortioksetino negalima pradėti vartoti, kol nepraėjo 14 dienų po gydymo negrįžtamojo poveikio neselektyviaisiais MAO inhibitoriais užbaigimo. Vortioksetino vartojimą reikia užbaigti, likus ne mažiau kaip 14 dienų iki gydymo negrįžtamojo poveikio neselektyviaisiais MAO inhibitoriais pradžios (žr. 4.3 skyrių).</w:t>
      </w:r>
    </w:p>
    <w:p w14:paraId="1EB269D4" w14:textId="77777777" w:rsidR="006C2BA8" w:rsidRPr="00514245" w:rsidRDefault="006C2BA8" w:rsidP="00653E99">
      <w:pPr>
        <w:keepNext/>
        <w:autoSpaceDE w:val="0"/>
        <w:autoSpaceDN w:val="0"/>
        <w:adjustRightInd w:val="0"/>
        <w:spacing w:after="0" w:line="240" w:lineRule="auto"/>
        <w:rPr>
          <w:rFonts w:ascii="Times New Roman" w:eastAsia="Times New Roman" w:hAnsi="Times New Roman"/>
          <w:lang w:val="lt-LT"/>
        </w:rPr>
      </w:pPr>
    </w:p>
    <w:p w14:paraId="57E6265A"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Grįžtamojo poveikio selektyvieji MAO-A inhibitoriai (</w:t>
      </w:r>
      <w:proofErr w:type="spellStart"/>
      <w:r w:rsidRPr="00514245">
        <w:rPr>
          <w:rFonts w:ascii="Times New Roman" w:eastAsia="Times New Roman" w:hAnsi="Times New Roman"/>
          <w:i/>
          <w:iCs/>
          <w:lang w:val="lt-LT"/>
        </w:rPr>
        <w:t>moklobemidas</w:t>
      </w:r>
      <w:proofErr w:type="spellEnd"/>
      <w:r w:rsidRPr="00514245">
        <w:rPr>
          <w:rFonts w:ascii="Times New Roman" w:eastAsia="Times New Roman" w:hAnsi="Times New Roman"/>
          <w:i/>
          <w:iCs/>
          <w:lang w:val="lt-LT"/>
        </w:rPr>
        <w:t xml:space="preserve">) </w:t>
      </w:r>
    </w:p>
    <w:p w14:paraId="335A2416" w14:textId="7D10686D"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Vortioksetino </w:t>
      </w:r>
      <w:r w:rsidR="00560029">
        <w:rPr>
          <w:rFonts w:ascii="Times New Roman" w:eastAsia="Times New Roman" w:hAnsi="Times New Roman"/>
          <w:lang w:val="lt-LT"/>
        </w:rPr>
        <w:t>draudžiama</w:t>
      </w:r>
      <w:r w:rsidR="00187910" w:rsidRPr="00514245">
        <w:rPr>
          <w:rFonts w:ascii="Times New Roman" w:eastAsia="Times New Roman" w:hAnsi="Times New Roman"/>
          <w:lang w:val="lt-LT"/>
        </w:rPr>
        <w:t xml:space="preserve"> </w:t>
      </w:r>
      <w:r w:rsidRPr="00514245">
        <w:rPr>
          <w:rFonts w:ascii="Times New Roman" w:eastAsia="Times New Roman" w:hAnsi="Times New Roman"/>
          <w:lang w:val="lt-LT"/>
        </w:rPr>
        <w:t xml:space="preserve">vartoti kartu su grįžtamojo poveikio selektyviaisiais MAO-A inhibitoriais, pvz., </w:t>
      </w:r>
      <w:proofErr w:type="spellStart"/>
      <w:r w:rsidRPr="00514245">
        <w:rPr>
          <w:rFonts w:ascii="Times New Roman" w:eastAsia="Times New Roman" w:hAnsi="Times New Roman"/>
          <w:lang w:val="lt-LT"/>
        </w:rPr>
        <w:t>moklobemidu</w:t>
      </w:r>
      <w:proofErr w:type="spellEnd"/>
      <w:r w:rsidRPr="00514245">
        <w:rPr>
          <w:rFonts w:ascii="Times New Roman" w:eastAsia="Times New Roman" w:hAnsi="Times New Roman"/>
          <w:lang w:val="lt-LT"/>
        </w:rPr>
        <w:t xml:space="preserve"> (žr. 4.3 skyrių). Jei tokį derinį vartoti būtina, papildomai vartoti pradėto vaistinio preparato dozė turi būti minimali ir reikia atidžiai stebėti paciento klinikinę būklę, ar nepasireiškia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sindromas (žr. 4.4 skyrių). </w:t>
      </w:r>
    </w:p>
    <w:p w14:paraId="017DD8EB"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24272E38"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Grįžtamojo poveikio neselektyvieji MAO inhibitoriai (</w:t>
      </w:r>
      <w:proofErr w:type="spellStart"/>
      <w:r w:rsidRPr="00514245">
        <w:rPr>
          <w:rFonts w:ascii="Times New Roman" w:eastAsia="Times New Roman" w:hAnsi="Times New Roman"/>
          <w:i/>
          <w:iCs/>
          <w:lang w:val="lt-LT"/>
        </w:rPr>
        <w:t>linezolidas</w:t>
      </w:r>
      <w:proofErr w:type="spellEnd"/>
      <w:r w:rsidRPr="00514245">
        <w:rPr>
          <w:rFonts w:ascii="Times New Roman" w:eastAsia="Times New Roman" w:hAnsi="Times New Roman"/>
          <w:i/>
          <w:iCs/>
          <w:lang w:val="lt-LT"/>
        </w:rPr>
        <w:t xml:space="preserve">) </w:t>
      </w:r>
    </w:p>
    <w:p w14:paraId="0E24E61A" w14:textId="35185EDC"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Vortioksetino </w:t>
      </w:r>
      <w:r w:rsidR="00A65DA3">
        <w:rPr>
          <w:rFonts w:ascii="Times New Roman" w:eastAsia="Times New Roman" w:hAnsi="Times New Roman"/>
          <w:lang w:val="lt-LT"/>
        </w:rPr>
        <w:t>draudžiama</w:t>
      </w:r>
      <w:r w:rsidR="00A65DA3" w:rsidRPr="00514245">
        <w:rPr>
          <w:rFonts w:ascii="Times New Roman" w:eastAsia="Times New Roman" w:hAnsi="Times New Roman"/>
          <w:lang w:val="lt-LT"/>
        </w:rPr>
        <w:t xml:space="preserve"> </w:t>
      </w:r>
      <w:r w:rsidRPr="00514245">
        <w:rPr>
          <w:rFonts w:ascii="Times New Roman" w:eastAsia="Times New Roman" w:hAnsi="Times New Roman"/>
          <w:lang w:val="lt-LT"/>
        </w:rPr>
        <w:t xml:space="preserve">vartoti kartu su silpnais grįžtamojo poveikio </w:t>
      </w:r>
      <w:proofErr w:type="spellStart"/>
      <w:r w:rsidRPr="00514245">
        <w:rPr>
          <w:rFonts w:ascii="Times New Roman" w:eastAsia="Times New Roman" w:hAnsi="Times New Roman"/>
          <w:lang w:val="lt-LT"/>
        </w:rPr>
        <w:t>neselektyviasiais</w:t>
      </w:r>
      <w:proofErr w:type="spellEnd"/>
      <w:r w:rsidRPr="00514245">
        <w:rPr>
          <w:rFonts w:ascii="Times New Roman" w:eastAsia="Times New Roman" w:hAnsi="Times New Roman"/>
          <w:lang w:val="lt-LT"/>
        </w:rPr>
        <w:t xml:space="preserve"> MAO inhibitoriais, p</w:t>
      </w:r>
      <w:r>
        <w:rPr>
          <w:rFonts w:ascii="Times New Roman" w:eastAsia="Times New Roman" w:hAnsi="Times New Roman"/>
          <w:lang w:val="lt-LT"/>
        </w:rPr>
        <w:t>vz.</w:t>
      </w:r>
      <w:r w:rsidRPr="00514245">
        <w:rPr>
          <w:rFonts w:ascii="Times New Roman" w:eastAsia="Times New Roman" w:hAnsi="Times New Roman"/>
          <w:lang w:val="lt-LT"/>
        </w:rPr>
        <w:t xml:space="preserve">, antibiotiku </w:t>
      </w:r>
      <w:proofErr w:type="spellStart"/>
      <w:r w:rsidRPr="00514245">
        <w:rPr>
          <w:rFonts w:ascii="Times New Roman" w:eastAsia="Times New Roman" w:hAnsi="Times New Roman"/>
          <w:lang w:val="lt-LT"/>
        </w:rPr>
        <w:t>linezolidu</w:t>
      </w:r>
      <w:proofErr w:type="spellEnd"/>
      <w:r w:rsidRPr="00514245">
        <w:rPr>
          <w:rFonts w:ascii="Times New Roman" w:eastAsia="Times New Roman" w:hAnsi="Times New Roman"/>
          <w:lang w:val="lt-LT"/>
        </w:rPr>
        <w:t xml:space="preserve">(žr. 4.3 skyrių). Jei tokį derinį vartoti būtina, papildomai vartoti pradėto vaistinio preparato dozė turi būti minimali ir reikia atidžiai stebėti paciento klinikinę būklę, ar nepasireiškia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sindromas (žr. 4.4 skyrių). </w:t>
      </w:r>
    </w:p>
    <w:p w14:paraId="555E4795"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389C190F"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Negrįžtamojo poveikio selektyvieji MAO-B inhibitoriai (</w:t>
      </w:r>
      <w:proofErr w:type="spellStart"/>
      <w:r w:rsidRPr="00514245">
        <w:rPr>
          <w:rFonts w:ascii="Times New Roman" w:eastAsia="Times New Roman" w:hAnsi="Times New Roman"/>
          <w:i/>
          <w:iCs/>
          <w:lang w:val="lt-LT"/>
        </w:rPr>
        <w:t>selegilinas</w:t>
      </w:r>
      <w:proofErr w:type="spellEnd"/>
      <w:r w:rsidRPr="00514245">
        <w:rPr>
          <w:rFonts w:ascii="Times New Roman" w:eastAsia="Times New Roman" w:hAnsi="Times New Roman"/>
          <w:i/>
          <w:iCs/>
          <w:lang w:val="lt-LT"/>
        </w:rPr>
        <w:t xml:space="preserve">, </w:t>
      </w:r>
      <w:proofErr w:type="spellStart"/>
      <w:r w:rsidRPr="00514245">
        <w:rPr>
          <w:rFonts w:ascii="Times New Roman" w:eastAsia="Times New Roman" w:hAnsi="Times New Roman"/>
          <w:i/>
          <w:iCs/>
          <w:lang w:val="lt-LT"/>
        </w:rPr>
        <w:t>razagilinas</w:t>
      </w:r>
      <w:proofErr w:type="spellEnd"/>
      <w:r w:rsidRPr="00514245">
        <w:rPr>
          <w:rFonts w:ascii="Times New Roman" w:eastAsia="Times New Roman" w:hAnsi="Times New Roman"/>
          <w:i/>
          <w:iCs/>
          <w:lang w:val="lt-LT"/>
        </w:rPr>
        <w:t xml:space="preserve">) </w:t>
      </w:r>
    </w:p>
    <w:p w14:paraId="3E0C8CCC" w14:textId="4293D896" w:rsidR="006C2BA8"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Nors vartojant selektyviuosius MAO-B inhibitorius tikimasi mažesnės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sindromo rizikos nei vartojant MAO-A inhibitorius, vortioksetino vartoti kartu su negrįžtamojo poveikio MAO-B inhibitoriais, pvz., </w:t>
      </w:r>
      <w:proofErr w:type="spellStart"/>
      <w:r w:rsidRPr="00514245">
        <w:rPr>
          <w:rFonts w:ascii="Times New Roman" w:eastAsia="Times New Roman" w:hAnsi="Times New Roman"/>
          <w:lang w:val="lt-LT"/>
        </w:rPr>
        <w:t>selegilinu</w:t>
      </w:r>
      <w:proofErr w:type="spellEnd"/>
      <w:r w:rsidRPr="00514245">
        <w:rPr>
          <w:rFonts w:ascii="Times New Roman" w:eastAsia="Times New Roman" w:hAnsi="Times New Roman"/>
          <w:lang w:val="lt-LT"/>
        </w:rPr>
        <w:t xml:space="preserve"> arba </w:t>
      </w:r>
      <w:proofErr w:type="spellStart"/>
      <w:r w:rsidRPr="00514245">
        <w:rPr>
          <w:rFonts w:ascii="Times New Roman" w:eastAsia="Times New Roman" w:hAnsi="Times New Roman"/>
          <w:lang w:val="lt-LT"/>
        </w:rPr>
        <w:t>razagilinu</w:t>
      </w:r>
      <w:proofErr w:type="spellEnd"/>
      <w:r w:rsidRPr="00514245">
        <w:rPr>
          <w:rFonts w:ascii="Times New Roman" w:eastAsia="Times New Roman" w:hAnsi="Times New Roman"/>
          <w:lang w:val="lt-LT"/>
        </w:rPr>
        <w:t xml:space="preserve">, reikia atsargiai. Jeigu šie vaistiniai preparatai vartojami kartu, reikia atidžiai stebėti, ar nepasireiškia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sindromas (žr. 4.4 skyrių).</w:t>
      </w:r>
    </w:p>
    <w:p w14:paraId="5B00A798" w14:textId="77777777" w:rsidR="006C2BA8" w:rsidRPr="00514245" w:rsidRDefault="006C2BA8" w:rsidP="00653E99">
      <w:pPr>
        <w:keepNext/>
        <w:autoSpaceDE w:val="0"/>
        <w:autoSpaceDN w:val="0"/>
        <w:adjustRightInd w:val="0"/>
        <w:spacing w:after="0" w:line="240" w:lineRule="auto"/>
        <w:rPr>
          <w:rFonts w:ascii="Times New Roman" w:eastAsia="Times New Roman" w:hAnsi="Times New Roman"/>
          <w:lang w:val="lt-LT"/>
        </w:rPr>
      </w:pPr>
    </w:p>
    <w:p w14:paraId="27AAE193"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roofErr w:type="spellStart"/>
      <w:r w:rsidRPr="00514245">
        <w:rPr>
          <w:rFonts w:ascii="Times New Roman" w:eastAsia="Times New Roman" w:hAnsi="Times New Roman"/>
          <w:i/>
          <w:iCs/>
          <w:lang w:val="lt-LT"/>
        </w:rPr>
        <w:t>Serotoninerginiai</w:t>
      </w:r>
      <w:proofErr w:type="spellEnd"/>
      <w:r w:rsidRPr="00514245">
        <w:rPr>
          <w:rFonts w:ascii="Times New Roman" w:eastAsia="Times New Roman" w:hAnsi="Times New Roman"/>
          <w:i/>
          <w:iCs/>
          <w:lang w:val="lt-LT"/>
        </w:rPr>
        <w:t xml:space="preserve"> vaistiniai preparatai </w:t>
      </w:r>
    </w:p>
    <w:p w14:paraId="4BBA0156" w14:textId="5918B3D8" w:rsidR="006C2BA8"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Vartojimas kartu su vaistiniais preparatais, kurie sukelia </w:t>
      </w:r>
      <w:proofErr w:type="spellStart"/>
      <w:r w:rsidRPr="00514245">
        <w:rPr>
          <w:rFonts w:ascii="Times New Roman" w:eastAsia="Times New Roman" w:hAnsi="Times New Roman"/>
          <w:lang w:val="lt-LT"/>
        </w:rPr>
        <w:t>serotoninerginį</w:t>
      </w:r>
      <w:proofErr w:type="spellEnd"/>
      <w:r w:rsidRPr="00514245">
        <w:rPr>
          <w:rFonts w:ascii="Times New Roman" w:eastAsia="Times New Roman" w:hAnsi="Times New Roman"/>
          <w:lang w:val="lt-LT"/>
        </w:rPr>
        <w:t xml:space="preserve"> poveikį, pvz., </w:t>
      </w:r>
      <w:proofErr w:type="spellStart"/>
      <w:r w:rsidRPr="00514245">
        <w:rPr>
          <w:rFonts w:ascii="Times New Roman" w:eastAsia="Times New Roman" w:hAnsi="Times New Roman"/>
          <w:lang w:val="lt-LT"/>
        </w:rPr>
        <w:t>opioidai</w:t>
      </w:r>
      <w:proofErr w:type="spellEnd"/>
      <w:r w:rsidRPr="00514245">
        <w:rPr>
          <w:rFonts w:ascii="Times New Roman" w:eastAsia="Times New Roman" w:hAnsi="Times New Roman"/>
          <w:lang w:val="lt-LT"/>
        </w:rPr>
        <w:t xml:space="preserve"> (įskaitant </w:t>
      </w:r>
      <w:proofErr w:type="spellStart"/>
      <w:r w:rsidRPr="00514245">
        <w:rPr>
          <w:rFonts w:ascii="Times New Roman" w:eastAsia="Times New Roman" w:hAnsi="Times New Roman"/>
          <w:lang w:val="lt-LT"/>
        </w:rPr>
        <w:t>tramadolį</w:t>
      </w:r>
      <w:proofErr w:type="spellEnd"/>
      <w:r w:rsidRPr="00514245">
        <w:rPr>
          <w:rFonts w:ascii="Times New Roman" w:eastAsia="Times New Roman" w:hAnsi="Times New Roman"/>
          <w:lang w:val="lt-LT"/>
        </w:rPr>
        <w:t xml:space="preserve">) ir </w:t>
      </w:r>
      <w:proofErr w:type="spellStart"/>
      <w:r w:rsidRPr="00514245">
        <w:rPr>
          <w:rFonts w:ascii="Times New Roman" w:eastAsia="Times New Roman" w:hAnsi="Times New Roman"/>
          <w:lang w:val="lt-LT"/>
        </w:rPr>
        <w:t>triptanai</w:t>
      </w:r>
      <w:proofErr w:type="spellEnd"/>
      <w:r w:rsidRPr="00514245">
        <w:rPr>
          <w:rFonts w:ascii="Times New Roman" w:eastAsia="Times New Roman" w:hAnsi="Times New Roman"/>
          <w:lang w:val="lt-LT"/>
        </w:rPr>
        <w:t xml:space="preserve"> (įskaitant </w:t>
      </w:r>
      <w:proofErr w:type="spellStart"/>
      <w:r w:rsidRPr="00514245">
        <w:rPr>
          <w:rFonts w:ascii="Times New Roman" w:eastAsia="Times New Roman" w:hAnsi="Times New Roman"/>
          <w:lang w:val="lt-LT"/>
        </w:rPr>
        <w:t>sumatriptaną</w:t>
      </w:r>
      <w:proofErr w:type="spellEnd"/>
      <w:r w:rsidRPr="00514245">
        <w:rPr>
          <w:rFonts w:ascii="Times New Roman" w:eastAsia="Times New Roman" w:hAnsi="Times New Roman"/>
          <w:lang w:val="lt-LT"/>
        </w:rPr>
        <w:t xml:space="preserve">), gali sukelti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sindromą (žr. 4.4 skyrių).</w:t>
      </w:r>
    </w:p>
    <w:p w14:paraId="4B6AB2DF" w14:textId="77777777" w:rsidR="006C2BA8" w:rsidRPr="00514245" w:rsidRDefault="006C2BA8" w:rsidP="00653E99">
      <w:pPr>
        <w:keepNext/>
        <w:autoSpaceDE w:val="0"/>
        <w:autoSpaceDN w:val="0"/>
        <w:adjustRightInd w:val="0"/>
        <w:spacing w:after="0" w:line="240" w:lineRule="auto"/>
        <w:rPr>
          <w:rFonts w:ascii="Times New Roman" w:eastAsia="Times New Roman" w:hAnsi="Times New Roman"/>
          <w:lang w:val="lt-LT"/>
        </w:rPr>
      </w:pPr>
    </w:p>
    <w:p w14:paraId="67406B79"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 xml:space="preserve">Jonažolės preparatai </w:t>
      </w:r>
    </w:p>
    <w:p w14:paraId="2D67F27A" w14:textId="77777777" w:rsid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Antidepresantus, kurie sukelia </w:t>
      </w:r>
      <w:proofErr w:type="spellStart"/>
      <w:r w:rsidRPr="00514245">
        <w:rPr>
          <w:rFonts w:ascii="Times New Roman" w:eastAsia="Times New Roman" w:hAnsi="Times New Roman"/>
          <w:lang w:val="lt-LT"/>
        </w:rPr>
        <w:t>serotoninerginį</w:t>
      </w:r>
      <w:proofErr w:type="spellEnd"/>
      <w:r w:rsidRPr="00514245">
        <w:rPr>
          <w:rFonts w:ascii="Times New Roman" w:eastAsia="Times New Roman" w:hAnsi="Times New Roman"/>
          <w:lang w:val="lt-LT"/>
        </w:rPr>
        <w:t xml:space="preserve"> poveikį, vartojant kartu su vaistažolių preparatais, kurių sudėtyje yra jonažolės (</w:t>
      </w:r>
      <w:proofErr w:type="spellStart"/>
      <w:r w:rsidRPr="00514245">
        <w:rPr>
          <w:rFonts w:ascii="Times New Roman" w:eastAsia="Times New Roman" w:hAnsi="Times New Roman"/>
          <w:i/>
          <w:iCs/>
          <w:lang w:val="lt-LT"/>
        </w:rPr>
        <w:t>Hypericum</w:t>
      </w:r>
      <w:proofErr w:type="spellEnd"/>
      <w:r w:rsidRPr="00514245">
        <w:rPr>
          <w:rFonts w:ascii="Times New Roman" w:eastAsia="Times New Roman" w:hAnsi="Times New Roman"/>
          <w:i/>
          <w:iCs/>
          <w:lang w:val="lt-LT"/>
        </w:rPr>
        <w:t xml:space="preserve"> </w:t>
      </w:r>
      <w:proofErr w:type="spellStart"/>
      <w:r w:rsidRPr="00514245">
        <w:rPr>
          <w:rFonts w:ascii="Times New Roman" w:eastAsia="Times New Roman" w:hAnsi="Times New Roman"/>
          <w:i/>
          <w:iCs/>
          <w:lang w:val="lt-LT"/>
        </w:rPr>
        <w:t>perforatum</w:t>
      </w:r>
      <w:proofErr w:type="spellEnd"/>
      <w:r w:rsidRPr="00514245">
        <w:rPr>
          <w:rFonts w:ascii="Times New Roman" w:eastAsia="Times New Roman" w:hAnsi="Times New Roman"/>
          <w:lang w:val="lt-LT"/>
        </w:rPr>
        <w:t xml:space="preserve">), gali dažniau pasireikšti nepageidaujamos reakcijos, įskaitant </w:t>
      </w:r>
      <w:proofErr w:type="spellStart"/>
      <w:r w:rsidRPr="00514245">
        <w:rPr>
          <w:rFonts w:ascii="Times New Roman" w:eastAsia="Times New Roman" w:hAnsi="Times New Roman"/>
          <w:lang w:val="lt-LT"/>
        </w:rPr>
        <w:t>serotonino</w:t>
      </w:r>
      <w:proofErr w:type="spellEnd"/>
      <w:r w:rsidRPr="00514245">
        <w:rPr>
          <w:rFonts w:ascii="Times New Roman" w:eastAsia="Times New Roman" w:hAnsi="Times New Roman"/>
          <w:lang w:val="lt-LT"/>
        </w:rPr>
        <w:t xml:space="preserve"> sindromą (žr. 4.4 skyrių). </w:t>
      </w:r>
    </w:p>
    <w:p w14:paraId="56FD5C4D"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07CDECEB"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 xml:space="preserve">Vaistiniai preparatai, kurie mažina traukulių pasireiškimo slenkstį </w:t>
      </w:r>
    </w:p>
    <w:p w14:paraId="22E7F702" w14:textId="7E6DCA9D" w:rsidR="006C2BA8"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Antidepresantai, kurie sukelia </w:t>
      </w:r>
      <w:proofErr w:type="spellStart"/>
      <w:r w:rsidRPr="00514245">
        <w:rPr>
          <w:rFonts w:ascii="Times New Roman" w:eastAsia="Times New Roman" w:hAnsi="Times New Roman"/>
          <w:lang w:val="lt-LT"/>
        </w:rPr>
        <w:t>serotoninerginį</w:t>
      </w:r>
      <w:proofErr w:type="spellEnd"/>
      <w:r w:rsidRPr="00514245">
        <w:rPr>
          <w:rFonts w:ascii="Times New Roman" w:eastAsia="Times New Roman" w:hAnsi="Times New Roman"/>
          <w:lang w:val="lt-LT"/>
        </w:rPr>
        <w:t xml:space="preserve"> poveikį, gali mažinti traukulių pasireiškimo slenkstį. Jeigu šis vaistinis preparatas vartojamas kartu su kitais vaistiniais preparatais, kurie gali mažinti traukulių pasireiškimo slenkstį </w:t>
      </w:r>
      <w:r>
        <w:rPr>
          <w:rFonts w:ascii="Times New Roman" w:eastAsia="Times New Roman" w:hAnsi="Times New Roman"/>
          <w:lang w:val="lt-LT"/>
        </w:rPr>
        <w:t>[</w:t>
      </w:r>
      <w:r w:rsidRPr="00514245">
        <w:rPr>
          <w:rFonts w:ascii="Times New Roman" w:eastAsia="Times New Roman" w:hAnsi="Times New Roman"/>
          <w:lang w:val="lt-LT"/>
        </w:rPr>
        <w:t>pvz.</w:t>
      </w:r>
      <w:r>
        <w:rPr>
          <w:rFonts w:ascii="Times New Roman" w:eastAsia="Times New Roman" w:hAnsi="Times New Roman"/>
          <w:lang w:val="lt-LT"/>
        </w:rPr>
        <w:t>,</w:t>
      </w:r>
      <w:r w:rsidRPr="00514245">
        <w:rPr>
          <w:rFonts w:ascii="Times New Roman" w:eastAsia="Times New Roman" w:hAnsi="Times New Roman"/>
          <w:lang w:val="lt-LT"/>
        </w:rPr>
        <w:t xml:space="preserve"> antidepresantai (</w:t>
      </w:r>
      <w:proofErr w:type="spellStart"/>
      <w:r w:rsidRPr="00514245">
        <w:rPr>
          <w:rFonts w:ascii="Times New Roman" w:eastAsia="Times New Roman" w:hAnsi="Times New Roman"/>
          <w:lang w:val="lt-LT"/>
        </w:rPr>
        <w:t>tricikliai</w:t>
      </w:r>
      <w:proofErr w:type="spellEnd"/>
      <w:r w:rsidRPr="00514245">
        <w:rPr>
          <w:rFonts w:ascii="Times New Roman" w:eastAsia="Times New Roman" w:hAnsi="Times New Roman"/>
          <w:lang w:val="lt-LT"/>
        </w:rPr>
        <w:t xml:space="preserve">, SSRI, SNRI), </w:t>
      </w:r>
      <w:proofErr w:type="spellStart"/>
      <w:r w:rsidRPr="00514245">
        <w:rPr>
          <w:rFonts w:ascii="Times New Roman" w:eastAsia="Times New Roman" w:hAnsi="Times New Roman"/>
          <w:lang w:val="lt-LT"/>
        </w:rPr>
        <w:t>neuroleptikai</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fenotiazinai</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tioksantenai</w:t>
      </w:r>
      <w:proofErr w:type="spellEnd"/>
      <w:r w:rsidRPr="00514245">
        <w:rPr>
          <w:rFonts w:ascii="Times New Roman" w:eastAsia="Times New Roman" w:hAnsi="Times New Roman"/>
          <w:lang w:val="lt-LT"/>
        </w:rPr>
        <w:t xml:space="preserve"> ir </w:t>
      </w:r>
      <w:proofErr w:type="spellStart"/>
      <w:r w:rsidRPr="00514245">
        <w:rPr>
          <w:rFonts w:ascii="Times New Roman" w:eastAsia="Times New Roman" w:hAnsi="Times New Roman"/>
          <w:lang w:val="lt-LT"/>
        </w:rPr>
        <w:t>butirofenonai</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meflokvinas</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bupropionas</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tramadolis</w:t>
      </w:r>
      <w:proofErr w:type="spellEnd"/>
      <w:r>
        <w:rPr>
          <w:rFonts w:ascii="Times New Roman" w:eastAsia="Times New Roman" w:hAnsi="Times New Roman"/>
          <w:lang w:val="lt-LT"/>
        </w:rPr>
        <w:t>]</w:t>
      </w:r>
      <w:r w:rsidRPr="00514245">
        <w:rPr>
          <w:rFonts w:ascii="Times New Roman" w:eastAsia="Times New Roman" w:hAnsi="Times New Roman"/>
          <w:lang w:val="lt-LT"/>
        </w:rPr>
        <w:t>, rekomenduojama gydyti atsargiai (žr. 4.4 skyrių).</w:t>
      </w:r>
    </w:p>
    <w:p w14:paraId="51BC2F5E" w14:textId="77777777" w:rsidR="006C2BA8" w:rsidRPr="00514245" w:rsidRDefault="006C2BA8" w:rsidP="00653E99">
      <w:pPr>
        <w:keepNext/>
        <w:autoSpaceDE w:val="0"/>
        <w:autoSpaceDN w:val="0"/>
        <w:adjustRightInd w:val="0"/>
        <w:spacing w:after="0" w:line="240" w:lineRule="auto"/>
        <w:rPr>
          <w:rFonts w:ascii="Times New Roman" w:eastAsia="Times New Roman" w:hAnsi="Times New Roman"/>
          <w:lang w:val="lt-LT"/>
        </w:rPr>
      </w:pPr>
    </w:p>
    <w:p w14:paraId="5D5F835C"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 xml:space="preserve">ETT (elektros traukulių terapija) </w:t>
      </w:r>
    </w:p>
    <w:p w14:paraId="2330CFD2" w14:textId="343F5277" w:rsidR="006C2BA8"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Vortioksetino vartojimo kartu su ETT klinikinės patirties nėra, todėl rekomenduojama gydyti atsargiai.</w:t>
      </w:r>
    </w:p>
    <w:p w14:paraId="755A4469" w14:textId="77777777" w:rsid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3A7BD14D"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 xml:space="preserve">CYP2D6 inhibitoriai </w:t>
      </w:r>
    </w:p>
    <w:p w14:paraId="3B194B58" w14:textId="099028EA" w:rsid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Sveikų tiriamųjų, 14</w:t>
      </w:r>
      <w:r>
        <w:rPr>
          <w:rFonts w:ascii="Times New Roman" w:eastAsia="Times New Roman" w:hAnsi="Times New Roman"/>
          <w:lang w:val="lt-LT"/>
        </w:rPr>
        <w:t> </w:t>
      </w:r>
      <w:r w:rsidRPr="00514245">
        <w:rPr>
          <w:rFonts w:ascii="Times New Roman" w:eastAsia="Times New Roman" w:hAnsi="Times New Roman"/>
          <w:lang w:val="lt-LT"/>
        </w:rPr>
        <w:t>dienų vartojusių 10</w:t>
      </w:r>
      <w:r>
        <w:rPr>
          <w:rFonts w:ascii="Times New Roman" w:eastAsia="Times New Roman" w:hAnsi="Times New Roman"/>
          <w:lang w:val="lt-LT"/>
        </w:rPr>
        <w:t> </w:t>
      </w:r>
      <w:r w:rsidRPr="00514245">
        <w:rPr>
          <w:rFonts w:ascii="Times New Roman" w:eastAsia="Times New Roman" w:hAnsi="Times New Roman"/>
          <w:lang w:val="lt-LT"/>
        </w:rPr>
        <w:t xml:space="preserve">mg vortioksetino dozę per parą kartu su </w:t>
      </w:r>
      <w:proofErr w:type="spellStart"/>
      <w:r w:rsidRPr="00514245">
        <w:rPr>
          <w:rFonts w:ascii="Times New Roman" w:eastAsia="Times New Roman" w:hAnsi="Times New Roman"/>
          <w:lang w:val="lt-LT"/>
        </w:rPr>
        <w:t>bupropionu</w:t>
      </w:r>
      <w:proofErr w:type="spellEnd"/>
      <w:r w:rsidRPr="00514245">
        <w:rPr>
          <w:rFonts w:ascii="Times New Roman" w:eastAsia="Times New Roman" w:hAnsi="Times New Roman"/>
          <w:lang w:val="lt-LT"/>
        </w:rPr>
        <w:t xml:space="preserve"> (stipraus poveikio CYP2D6 inhibitorius, skiriamas po 150</w:t>
      </w:r>
      <w:r>
        <w:rPr>
          <w:rFonts w:ascii="Times New Roman" w:eastAsia="Times New Roman" w:hAnsi="Times New Roman"/>
          <w:lang w:val="lt-LT"/>
        </w:rPr>
        <w:t> </w:t>
      </w:r>
      <w:r w:rsidRPr="00514245">
        <w:rPr>
          <w:rFonts w:ascii="Times New Roman" w:eastAsia="Times New Roman" w:hAnsi="Times New Roman"/>
          <w:lang w:val="lt-LT"/>
        </w:rPr>
        <w:t>mg du kartus per parą), organizme vortioksetino ekspozicija (plotas po kreive [AUC]) padidėjo 2,3</w:t>
      </w:r>
      <w:r>
        <w:rPr>
          <w:rFonts w:ascii="Times New Roman" w:eastAsia="Times New Roman" w:hAnsi="Times New Roman"/>
          <w:lang w:val="lt-LT"/>
        </w:rPr>
        <w:t> </w:t>
      </w:r>
      <w:r w:rsidRPr="00514245">
        <w:rPr>
          <w:rFonts w:ascii="Times New Roman" w:eastAsia="Times New Roman" w:hAnsi="Times New Roman"/>
          <w:lang w:val="lt-LT"/>
        </w:rPr>
        <w:t xml:space="preserve">karto. Vartojimas kartu lėmė nepageidaujamų </w:t>
      </w:r>
      <w:r w:rsidRPr="00514245">
        <w:rPr>
          <w:rFonts w:ascii="Times New Roman" w:eastAsia="Times New Roman" w:hAnsi="Times New Roman"/>
          <w:lang w:val="lt-LT"/>
        </w:rPr>
        <w:lastRenderedPageBreak/>
        <w:t xml:space="preserve">reakcijų padažnėjimą kartu su </w:t>
      </w:r>
      <w:proofErr w:type="spellStart"/>
      <w:r w:rsidRPr="00514245">
        <w:rPr>
          <w:rFonts w:ascii="Times New Roman" w:eastAsia="Times New Roman" w:hAnsi="Times New Roman"/>
          <w:lang w:val="lt-LT"/>
        </w:rPr>
        <w:t>vortioksetinu</w:t>
      </w:r>
      <w:proofErr w:type="spellEnd"/>
      <w:r w:rsidRPr="00514245">
        <w:rPr>
          <w:rFonts w:ascii="Times New Roman" w:eastAsia="Times New Roman" w:hAnsi="Times New Roman"/>
          <w:lang w:val="lt-LT"/>
        </w:rPr>
        <w:t xml:space="preserve"> paskyrus papildomai </w:t>
      </w:r>
      <w:proofErr w:type="spellStart"/>
      <w:r w:rsidRPr="00514245">
        <w:rPr>
          <w:rFonts w:ascii="Times New Roman" w:eastAsia="Times New Roman" w:hAnsi="Times New Roman"/>
          <w:lang w:val="lt-LT"/>
        </w:rPr>
        <w:t>bupropiono</w:t>
      </w:r>
      <w:proofErr w:type="spellEnd"/>
      <w:r w:rsidRPr="00514245">
        <w:rPr>
          <w:rFonts w:ascii="Times New Roman" w:eastAsia="Times New Roman" w:hAnsi="Times New Roman"/>
          <w:lang w:val="lt-LT"/>
        </w:rPr>
        <w:t xml:space="preserve">, palyginti su </w:t>
      </w:r>
      <w:proofErr w:type="spellStart"/>
      <w:r w:rsidRPr="00514245">
        <w:rPr>
          <w:rFonts w:ascii="Times New Roman" w:eastAsia="Times New Roman" w:hAnsi="Times New Roman"/>
          <w:lang w:val="lt-LT"/>
        </w:rPr>
        <w:t>vortioksetino</w:t>
      </w:r>
      <w:proofErr w:type="spellEnd"/>
      <w:r w:rsidRPr="00514245">
        <w:rPr>
          <w:rFonts w:ascii="Times New Roman" w:eastAsia="Times New Roman" w:hAnsi="Times New Roman"/>
          <w:lang w:val="lt-LT"/>
        </w:rPr>
        <w:t xml:space="preserve"> paskyrimu kartu su </w:t>
      </w:r>
      <w:proofErr w:type="spellStart"/>
      <w:r w:rsidRPr="00514245">
        <w:rPr>
          <w:rFonts w:ascii="Times New Roman" w:eastAsia="Times New Roman" w:hAnsi="Times New Roman"/>
          <w:lang w:val="lt-LT"/>
        </w:rPr>
        <w:t>bupropionu</w:t>
      </w:r>
      <w:proofErr w:type="spellEnd"/>
      <w:r w:rsidRPr="00514245">
        <w:rPr>
          <w:rFonts w:ascii="Times New Roman" w:eastAsia="Times New Roman" w:hAnsi="Times New Roman"/>
          <w:lang w:val="lt-LT"/>
        </w:rPr>
        <w:t>. Atsižvelgiant į individualų paciento atsaką, galima svarstyti mažesnės vortioksetino dozės skyrimą, jeigu gydant vortioksetinu, skiriama kartu vartoti stipraus poveikio CYP2D6 inhibitorių (pvz.</w:t>
      </w:r>
      <w:r>
        <w:rPr>
          <w:rFonts w:ascii="Times New Roman" w:eastAsia="Times New Roman" w:hAnsi="Times New Roman"/>
          <w:lang w:val="lt-LT"/>
        </w:rPr>
        <w:t>,</w:t>
      </w:r>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bupropion</w:t>
      </w:r>
      <w:r>
        <w:rPr>
          <w:rFonts w:ascii="Times New Roman" w:eastAsia="Times New Roman" w:hAnsi="Times New Roman"/>
          <w:lang w:val="lt-LT"/>
        </w:rPr>
        <w:t>o</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chinidin</w:t>
      </w:r>
      <w:r>
        <w:rPr>
          <w:rFonts w:ascii="Times New Roman" w:eastAsia="Times New Roman" w:hAnsi="Times New Roman"/>
          <w:lang w:val="lt-LT"/>
        </w:rPr>
        <w:t>o</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fluoksetin</w:t>
      </w:r>
      <w:r>
        <w:rPr>
          <w:rFonts w:ascii="Times New Roman" w:eastAsia="Times New Roman" w:hAnsi="Times New Roman"/>
          <w:lang w:val="lt-LT"/>
        </w:rPr>
        <w:t>o</w:t>
      </w:r>
      <w:proofErr w:type="spellEnd"/>
      <w:r w:rsidRPr="00514245">
        <w:rPr>
          <w:rFonts w:ascii="Times New Roman" w:eastAsia="Times New Roman" w:hAnsi="Times New Roman"/>
          <w:lang w:val="lt-LT"/>
        </w:rPr>
        <w:t xml:space="preserve">, </w:t>
      </w:r>
      <w:proofErr w:type="spellStart"/>
      <w:r w:rsidRPr="00514245">
        <w:rPr>
          <w:rFonts w:ascii="Times New Roman" w:eastAsia="Times New Roman" w:hAnsi="Times New Roman"/>
          <w:lang w:val="lt-LT"/>
        </w:rPr>
        <w:t>paroksetin</w:t>
      </w:r>
      <w:r>
        <w:rPr>
          <w:rFonts w:ascii="Times New Roman" w:eastAsia="Times New Roman" w:hAnsi="Times New Roman"/>
          <w:lang w:val="lt-LT"/>
        </w:rPr>
        <w:t>o</w:t>
      </w:r>
      <w:proofErr w:type="spellEnd"/>
      <w:r w:rsidRPr="00514245">
        <w:rPr>
          <w:rFonts w:ascii="Times New Roman" w:eastAsia="Times New Roman" w:hAnsi="Times New Roman"/>
          <w:lang w:val="lt-LT"/>
        </w:rPr>
        <w:t xml:space="preserve">) (žr. 4.2 skyrių). </w:t>
      </w:r>
    </w:p>
    <w:p w14:paraId="5CD8653B"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546C36AD" w14:textId="77777777"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i/>
          <w:iCs/>
          <w:lang w:val="lt-LT"/>
        </w:rPr>
        <w:t xml:space="preserve">CYP3A4 inhibitoriai, CYP2C9 ir CYP2C19 inhibitoriai </w:t>
      </w:r>
    </w:p>
    <w:p w14:paraId="567A5E2B" w14:textId="3EE1F2FC" w:rsidR="00514245" w:rsidRPr="00514245"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Sveikiems tiriamiesiems po 6 dienų 400 mg </w:t>
      </w:r>
      <w:proofErr w:type="spellStart"/>
      <w:r w:rsidRPr="00514245">
        <w:rPr>
          <w:rFonts w:ascii="Times New Roman" w:eastAsia="Times New Roman" w:hAnsi="Times New Roman"/>
          <w:lang w:val="lt-LT"/>
        </w:rPr>
        <w:t>ketokonazolo</w:t>
      </w:r>
      <w:proofErr w:type="spellEnd"/>
      <w:r w:rsidRPr="00514245">
        <w:rPr>
          <w:rFonts w:ascii="Times New Roman" w:eastAsia="Times New Roman" w:hAnsi="Times New Roman"/>
          <w:lang w:val="lt-LT"/>
        </w:rPr>
        <w:t xml:space="preserve"> (CYP3A4/5 ir P-</w:t>
      </w:r>
      <w:proofErr w:type="spellStart"/>
      <w:r w:rsidRPr="00514245">
        <w:rPr>
          <w:rFonts w:ascii="Times New Roman" w:eastAsia="Times New Roman" w:hAnsi="Times New Roman"/>
          <w:lang w:val="lt-LT"/>
        </w:rPr>
        <w:t>glikoproteino</w:t>
      </w:r>
      <w:proofErr w:type="spellEnd"/>
      <w:r w:rsidRPr="00514245">
        <w:rPr>
          <w:rFonts w:ascii="Times New Roman" w:eastAsia="Times New Roman" w:hAnsi="Times New Roman"/>
          <w:lang w:val="lt-LT"/>
        </w:rPr>
        <w:t xml:space="preserve"> inhibitorius) dozės per parą vartojimo arba po 6 dienų 200 mg </w:t>
      </w:r>
      <w:proofErr w:type="spellStart"/>
      <w:r w:rsidRPr="00514245">
        <w:rPr>
          <w:rFonts w:ascii="Times New Roman" w:eastAsia="Times New Roman" w:hAnsi="Times New Roman"/>
          <w:lang w:val="lt-LT"/>
        </w:rPr>
        <w:t>flukonazolo</w:t>
      </w:r>
      <w:proofErr w:type="spellEnd"/>
      <w:r w:rsidRPr="00514245">
        <w:rPr>
          <w:rFonts w:ascii="Times New Roman" w:eastAsia="Times New Roman" w:hAnsi="Times New Roman"/>
          <w:lang w:val="lt-LT"/>
        </w:rPr>
        <w:t xml:space="preserve"> (CYP2C9, CYP2C19 ir CYP3A4/5 inhibitorius) dozės per parą vartojimo paskyrus kartu vartoti vortioksetino, buvo pastebėtas vortioksetino AUC padidėjimas atitinkamai 1,3 karto ir 1,5 karto. Dozės keisti nebūtina. </w:t>
      </w:r>
    </w:p>
    <w:p w14:paraId="68D155C4" w14:textId="77777777" w:rsidR="00514245" w:rsidRDefault="00514245" w:rsidP="00514245">
      <w:pPr>
        <w:keepNext/>
        <w:autoSpaceDE w:val="0"/>
        <w:autoSpaceDN w:val="0"/>
        <w:adjustRightInd w:val="0"/>
        <w:spacing w:after="0" w:line="240" w:lineRule="auto"/>
        <w:rPr>
          <w:rFonts w:ascii="Times New Roman" w:eastAsia="Times New Roman" w:hAnsi="Times New Roman"/>
          <w:lang w:val="lt-LT"/>
        </w:rPr>
      </w:pPr>
    </w:p>
    <w:p w14:paraId="389D8516" w14:textId="1E2411F3" w:rsidR="00514245" w:rsidRPr="00E85071" w:rsidRDefault="00514245" w:rsidP="00514245">
      <w:pPr>
        <w:keepNext/>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Slopinamojo 40 mg </w:t>
      </w:r>
      <w:proofErr w:type="spellStart"/>
      <w:r w:rsidRPr="00514245">
        <w:rPr>
          <w:rFonts w:ascii="Times New Roman" w:eastAsia="Times New Roman" w:hAnsi="Times New Roman"/>
          <w:lang w:val="lt-LT"/>
        </w:rPr>
        <w:t>omeprazolo</w:t>
      </w:r>
      <w:proofErr w:type="spellEnd"/>
      <w:r w:rsidRPr="00514245">
        <w:rPr>
          <w:rFonts w:ascii="Times New Roman" w:eastAsia="Times New Roman" w:hAnsi="Times New Roman"/>
          <w:lang w:val="lt-LT"/>
        </w:rPr>
        <w:t xml:space="preserve"> (CYP2C19 inhibitorius) vienkartinės dozės poveikio kartotinių </w:t>
      </w:r>
      <w:r w:rsidRPr="00E85071">
        <w:rPr>
          <w:rFonts w:ascii="Times New Roman" w:eastAsia="Times New Roman" w:hAnsi="Times New Roman"/>
          <w:lang w:val="lt-LT"/>
        </w:rPr>
        <w:t>vortioksetino dozių farmakokinetikai sveikų tiriamųjų organizme nepastebėta.</w:t>
      </w:r>
    </w:p>
    <w:p w14:paraId="4CD458AA" w14:textId="77777777" w:rsidR="00514245" w:rsidRPr="00E85071" w:rsidRDefault="00514245" w:rsidP="00514245">
      <w:pPr>
        <w:keepNext/>
        <w:autoSpaceDE w:val="0"/>
        <w:autoSpaceDN w:val="0"/>
        <w:adjustRightInd w:val="0"/>
        <w:spacing w:after="0" w:line="240" w:lineRule="auto"/>
        <w:rPr>
          <w:rFonts w:ascii="Times New Roman" w:eastAsia="Times New Roman" w:hAnsi="Times New Roman"/>
          <w:lang w:val="lt-LT"/>
        </w:rPr>
      </w:pPr>
    </w:p>
    <w:p w14:paraId="0450D5A7" w14:textId="77777777" w:rsidR="00E85071" w:rsidRPr="00E85071" w:rsidRDefault="00E85071" w:rsidP="00E85071">
      <w:pPr>
        <w:keepNext/>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i/>
          <w:iCs/>
          <w:lang w:val="lt-LT"/>
        </w:rPr>
        <w:t xml:space="preserve">Sąveika, jei CYP2D6 veikiamas metabolizmas yra silpnas </w:t>
      </w:r>
    </w:p>
    <w:p w14:paraId="6B743753" w14:textId="2C2114A0" w:rsidR="00514245"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 xml:space="preserve">Kombinuotasis pacientų, kurių organizme CYP2D6 veikiamas metabolizmas yra silpnas, gydymas kartu su stipriais CYP3A4 inhibitoriais (pvz., </w:t>
      </w:r>
      <w:proofErr w:type="spellStart"/>
      <w:r w:rsidRPr="00E85071">
        <w:rPr>
          <w:rFonts w:ascii="Times New Roman" w:eastAsia="Times New Roman" w:hAnsi="Times New Roman"/>
          <w:lang w:val="lt-LT"/>
        </w:rPr>
        <w:t>itrakonazolu</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vorikonazolu</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klaritromicinu</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telitromicinu</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nefazodonu</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konivaptanu</w:t>
      </w:r>
      <w:proofErr w:type="spellEnd"/>
      <w:r w:rsidRPr="00E85071">
        <w:rPr>
          <w:rFonts w:ascii="Times New Roman" w:eastAsia="Times New Roman" w:hAnsi="Times New Roman"/>
          <w:lang w:val="lt-LT"/>
        </w:rPr>
        <w:t xml:space="preserve"> ir dauguma ŽIV proteazės inhibitorių) ir CYP2C9 inhibitoriais (pvz., </w:t>
      </w:r>
      <w:proofErr w:type="spellStart"/>
      <w:r w:rsidRPr="00E85071">
        <w:rPr>
          <w:rFonts w:ascii="Times New Roman" w:eastAsia="Times New Roman" w:hAnsi="Times New Roman"/>
          <w:lang w:val="lt-LT"/>
        </w:rPr>
        <w:t>flukonazolu</w:t>
      </w:r>
      <w:proofErr w:type="spellEnd"/>
      <w:r w:rsidRPr="00E85071">
        <w:rPr>
          <w:rFonts w:ascii="Times New Roman" w:eastAsia="Times New Roman" w:hAnsi="Times New Roman"/>
          <w:lang w:val="lt-LT"/>
        </w:rPr>
        <w:t xml:space="preserve"> ir </w:t>
      </w:r>
      <w:proofErr w:type="spellStart"/>
      <w:r w:rsidRPr="00E85071">
        <w:rPr>
          <w:rFonts w:ascii="Times New Roman" w:eastAsia="Times New Roman" w:hAnsi="Times New Roman"/>
          <w:lang w:val="lt-LT"/>
        </w:rPr>
        <w:t>amjodaronu</w:t>
      </w:r>
      <w:proofErr w:type="spellEnd"/>
      <w:r w:rsidRPr="00E85071">
        <w:rPr>
          <w:rFonts w:ascii="Times New Roman" w:eastAsia="Times New Roman" w:hAnsi="Times New Roman"/>
          <w:lang w:val="lt-LT"/>
        </w:rPr>
        <w:t>) (žr.5.2 skyrių) specifiškai netirtas, tačiau tikėtina, kad tokiu atveju minėtų pacientų organizme vortioksetino ekspozicija padidės labiau nei vidutiniškai (kaip aprašyta ankščiau). Atsižvelgiant į individualų paciento atsaką, galima apsvarstyti mažesnės vortioksetino dozės skyrimo galimybę, jeigu pacientams, kurių organizme CYP2D6 veikiamas metabolizmas yra silpnas, kartu skiriamas stiprus CYP3A4 arba CYP2C9 inhibitorius.</w:t>
      </w:r>
    </w:p>
    <w:p w14:paraId="6BD58AC5" w14:textId="77777777" w:rsidR="00514245" w:rsidRPr="00E85071" w:rsidRDefault="00514245" w:rsidP="00E85071">
      <w:pPr>
        <w:widowControl w:val="0"/>
        <w:autoSpaceDE w:val="0"/>
        <w:autoSpaceDN w:val="0"/>
        <w:adjustRightInd w:val="0"/>
        <w:spacing w:after="0" w:line="240" w:lineRule="auto"/>
        <w:rPr>
          <w:rFonts w:ascii="Times New Roman" w:eastAsia="Times New Roman" w:hAnsi="Times New Roman"/>
          <w:lang w:val="lt-LT"/>
        </w:rPr>
      </w:pPr>
    </w:p>
    <w:p w14:paraId="637AC7D9" w14:textId="77777777" w:rsidR="00E85071" w:rsidRPr="00E85071" w:rsidRDefault="00E85071" w:rsidP="00E85071">
      <w:pPr>
        <w:widowControl w:val="0"/>
        <w:autoSpaceDE w:val="0"/>
        <w:autoSpaceDN w:val="0"/>
        <w:adjustRightInd w:val="0"/>
        <w:spacing w:after="0" w:line="240" w:lineRule="auto"/>
        <w:rPr>
          <w:rFonts w:ascii="Times New Roman" w:eastAsia="Times New Roman" w:hAnsi="Times New Roman"/>
          <w:i/>
          <w:iCs/>
          <w:lang w:val="lt-LT"/>
        </w:rPr>
      </w:pPr>
      <w:proofErr w:type="spellStart"/>
      <w:r w:rsidRPr="00E85071">
        <w:rPr>
          <w:rFonts w:ascii="Times New Roman" w:eastAsia="Times New Roman" w:hAnsi="Times New Roman"/>
          <w:i/>
          <w:iCs/>
          <w:lang w:val="lt-LT"/>
        </w:rPr>
        <w:t>Citochromą</w:t>
      </w:r>
      <w:proofErr w:type="spellEnd"/>
      <w:r w:rsidRPr="00E85071">
        <w:rPr>
          <w:rFonts w:ascii="Times New Roman" w:eastAsia="Times New Roman" w:hAnsi="Times New Roman"/>
          <w:i/>
          <w:iCs/>
          <w:lang w:val="lt-LT"/>
        </w:rPr>
        <w:t xml:space="preserve"> P450 sužadinantys vaistiniai preparatai</w:t>
      </w:r>
    </w:p>
    <w:p w14:paraId="0D3FCC6C" w14:textId="7135E367" w:rsidR="00514245" w:rsidRPr="00514245"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Sveikiems tiriamiesiems po 10</w:t>
      </w:r>
      <w:r>
        <w:rPr>
          <w:rFonts w:ascii="Times New Roman" w:eastAsia="Times New Roman" w:hAnsi="Times New Roman"/>
          <w:lang w:val="lt-LT"/>
        </w:rPr>
        <w:t> </w:t>
      </w:r>
      <w:r w:rsidRPr="00E85071">
        <w:rPr>
          <w:rFonts w:ascii="Times New Roman" w:eastAsia="Times New Roman" w:hAnsi="Times New Roman"/>
          <w:lang w:val="lt-LT"/>
        </w:rPr>
        <w:t>dienų 600</w:t>
      </w:r>
      <w:r>
        <w:rPr>
          <w:rFonts w:ascii="Times New Roman" w:eastAsia="Times New Roman" w:hAnsi="Times New Roman"/>
          <w:lang w:val="lt-LT"/>
        </w:rPr>
        <w:t> </w:t>
      </w:r>
      <w:r w:rsidRPr="00E85071">
        <w:rPr>
          <w:rFonts w:ascii="Times New Roman" w:eastAsia="Times New Roman" w:hAnsi="Times New Roman"/>
          <w:lang w:val="lt-LT"/>
        </w:rPr>
        <w:t xml:space="preserve">mg </w:t>
      </w:r>
      <w:proofErr w:type="spellStart"/>
      <w:r w:rsidRPr="00E85071">
        <w:rPr>
          <w:rFonts w:ascii="Times New Roman" w:eastAsia="Times New Roman" w:hAnsi="Times New Roman"/>
          <w:lang w:val="lt-LT"/>
        </w:rPr>
        <w:t>rifampicino</w:t>
      </w:r>
      <w:proofErr w:type="spellEnd"/>
      <w:r w:rsidRPr="00E85071">
        <w:rPr>
          <w:rFonts w:ascii="Times New Roman" w:eastAsia="Times New Roman" w:hAnsi="Times New Roman"/>
          <w:lang w:val="lt-LT"/>
        </w:rPr>
        <w:t xml:space="preserve"> (keletą CYP </w:t>
      </w:r>
      <w:proofErr w:type="spellStart"/>
      <w:r w:rsidRPr="00E85071">
        <w:rPr>
          <w:rFonts w:ascii="Times New Roman" w:eastAsia="Times New Roman" w:hAnsi="Times New Roman"/>
          <w:lang w:val="lt-LT"/>
        </w:rPr>
        <w:t>izofermentų</w:t>
      </w:r>
      <w:proofErr w:type="spellEnd"/>
      <w:r w:rsidRPr="00E85071">
        <w:rPr>
          <w:rFonts w:ascii="Times New Roman" w:eastAsia="Times New Roman" w:hAnsi="Times New Roman"/>
          <w:lang w:val="lt-LT"/>
        </w:rPr>
        <w:t xml:space="preserve"> sužadinančio vaistinio preparato) dozės per parą vartojimo pavartojus vienkartinę 20</w:t>
      </w:r>
      <w:r>
        <w:rPr>
          <w:rFonts w:ascii="Times New Roman" w:eastAsia="Times New Roman" w:hAnsi="Times New Roman"/>
          <w:lang w:val="lt-LT"/>
        </w:rPr>
        <w:t> </w:t>
      </w:r>
      <w:r w:rsidRPr="00E85071">
        <w:rPr>
          <w:rFonts w:ascii="Times New Roman" w:eastAsia="Times New Roman" w:hAnsi="Times New Roman"/>
          <w:lang w:val="lt-LT"/>
        </w:rPr>
        <w:t>mg vortioksetino dozę, buvo pastebėtas vortioksetino AUC sumažėjimas 72</w:t>
      </w:r>
      <w:r>
        <w:rPr>
          <w:rFonts w:ascii="Times New Roman" w:eastAsia="Times New Roman" w:hAnsi="Times New Roman"/>
          <w:lang w:val="lt-LT"/>
        </w:rPr>
        <w:t> </w:t>
      </w:r>
      <w:r w:rsidRPr="00E85071">
        <w:rPr>
          <w:rFonts w:ascii="Times New Roman" w:eastAsia="Times New Roman" w:hAnsi="Times New Roman"/>
          <w:lang w:val="lt-LT"/>
        </w:rPr>
        <w:t xml:space="preserve">%. Atsižvelgiant į individualų paciento atsaką, gali prireikti svarstyti vaistinio preparato dozės keitimą, jeigu gydant vortioksetinu, skiriama papildomai keletą </w:t>
      </w:r>
      <w:proofErr w:type="spellStart"/>
      <w:r w:rsidRPr="00E85071">
        <w:rPr>
          <w:rFonts w:ascii="Times New Roman" w:eastAsia="Times New Roman" w:hAnsi="Times New Roman"/>
          <w:lang w:val="lt-LT"/>
        </w:rPr>
        <w:t>citochromo</w:t>
      </w:r>
      <w:proofErr w:type="spellEnd"/>
      <w:r w:rsidRPr="00E85071">
        <w:rPr>
          <w:rFonts w:ascii="Times New Roman" w:eastAsia="Times New Roman" w:hAnsi="Times New Roman"/>
          <w:lang w:val="lt-LT"/>
        </w:rPr>
        <w:t xml:space="preserve"> P450 </w:t>
      </w:r>
      <w:proofErr w:type="spellStart"/>
      <w:r w:rsidRPr="00E85071">
        <w:rPr>
          <w:rFonts w:ascii="Times New Roman" w:eastAsia="Times New Roman" w:hAnsi="Times New Roman"/>
          <w:lang w:val="lt-LT"/>
        </w:rPr>
        <w:t>izofermentų</w:t>
      </w:r>
      <w:proofErr w:type="spellEnd"/>
      <w:r w:rsidRPr="00E85071">
        <w:rPr>
          <w:rFonts w:ascii="Times New Roman" w:eastAsia="Times New Roman" w:hAnsi="Times New Roman"/>
          <w:lang w:val="lt-LT"/>
        </w:rPr>
        <w:t xml:space="preserve"> sužadinančių vaistinių preparatų (pvz.</w:t>
      </w:r>
      <w:r>
        <w:rPr>
          <w:rFonts w:ascii="Times New Roman" w:eastAsia="Times New Roman" w:hAnsi="Times New Roman"/>
          <w:lang w:val="lt-LT"/>
        </w:rPr>
        <w:t>,</w:t>
      </w:r>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rifampicin</w:t>
      </w:r>
      <w:r>
        <w:rPr>
          <w:rFonts w:ascii="Times New Roman" w:eastAsia="Times New Roman" w:hAnsi="Times New Roman"/>
          <w:lang w:val="lt-LT"/>
        </w:rPr>
        <w:t>o</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karbamazepin</w:t>
      </w:r>
      <w:r>
        <w:rPr>
          <w:rFonts w:ascii="Times New Roman" w:eastAsia="Times New Roman" w:hAnsi="Times New Roman"/>
          <w:lang w:val="lt-LT"/>
        </w:rPr>
        <w:t>o</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fenitoin</w:t>
      </w:r>
      <w:r>
        <w:rPr>
          <w:rFonts w:ascii="Times New Roman" w:eastAsia="Times New Roman" w:hAnsi="Times New Roman"/>
          <w:lang w:val="lt-LT"/>
        </w:rPr>
        <w:t>o</w:t>
      </w:r>
      <w:proofErr w:type="spellEnd"/>
      <w:r w:rsidRPr="00E85071">
        <w:rPr>
          <w:rFonts w:ascii="Times New Roman" w:eastAsia="Times New Roman" w:hAnsi="Times New Roman"/>
          <w:lang w:val="lt-LT"/>
        </w:rPr>
        <w:t>) (žr. 4.2 skyrių).</w:t>
      </w:r>
    </w:p>
    <w:p w14:paraId="746C4C33" w14:textId="77777777" w:rsidR="00514245" w:rsidRPr="00514245" w:rsidRDefault="00514245" w:rsidP="00E85071">
      <w:pPr>
        <w:widowControl w:val="0"/>
        <w:autoSpaceDE w:val="0"/>
        <w:autoSpaceDN w:val="0"/>
        <w:adjustRightInd w:val="0"/>
        <w:spacing w:after="0" w:line="240" w:lineRule="auto"/>
        <w:rPr>
          <w:rFonts w:ascii="Times New Roman" w:eastAsia="Times New Roman" w:hAnsi="Times New Roman"/>
          <w:lang w:val="lt-LT"/>
        </w:rPr>
      </w:pPr>
    </w:p>
    <w:p w14:paraId="3FD488BF" w14:textId="77777777" w:rsidR="00E85071"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i/>
          <w:iCs/>
          <w:lang w:val="lt-LT"/>
        </w:rPr>
        <w:t xml:space="preserve">Alkoholis </w:t>
      </w:r>
    </w:p>
    <w:p w14:paraId="578EDFBA" w14:textId="4E9C8F16"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Sveikiems tiriamiesiems pavartojus vienkartinę 20</w:t>
      </w:r>
      <w:r>
        <w:rPr>
          <w:rFonts w:ascii="Times New Roman" w:eastAsia="Times New Roman" w:hAnsi="Times New Roman"/>
          <w:lang w:val="lt-LT"/>
        </w:rPr>
        <w:t> </w:t>
      </w:r>
      <w:r w:rsidRPr="00E85071">
        <w:rPr>
          <w:rFonts w:ascii="Times New Roman" w:eastAsia="Times New Roman" w:hAnsi="Times New Roman"/>
          <w:lang w:val="lt-LT"/>
        </w:rPr>
        <w:t>mg ar 40</w:t>
      </w:r>
      <w:r>
        <w:rPr>
          <w:rFonts w:ascii="Times New Roman" w:eastAsia="Times New Roman" w:hAnsi="Times New Roman"/>
          <w:lang w:val="lt-LT"/>
        </w:rPr>
        <w:t> </w:t>
      </w:r>
      <w:r w:rsidRPr="00E85071">
        <w:rPr>
          <w:rFonts w:ascii="Times New Roman" w:eastAsia="Times New Roman" w:hAnsi="Times New Roman"/>
          <w:lang w:val="lt-LT"/>
        </w:rPr>
        <w:t>mg vortioksetino dozę kartu su vienkartine etanolio (0,6</w:t>
      </w:r>
      <w:r>
        <w:rPr>
          <w:rFonts w:ascii="Times New Roman" w:eastAsia="Times New Roman" w:hAnsi="Times New Roman"/>
          <w:lang w:val="lt-LT"/>
        </w:rPr>
        <w:t> </w:t>
      </w:r>
      <w:r w:rsidRPr="00E85071">
        <w:rPr>
          <w:rFonts w:ascii="Times New Roman" w:eastAsia="Times New Roman" w:hAnsi="Times New Roman"/>
          <w:lang w:val="lt-LT"/>
        </w:rPr>
        <w:t xml:space="preserve">g/kg kūno svorio) doze, poveikio vortioksetino ar etanolio farmakokinetikai bei reikšmingo kognityvinės funkcijos pablogėjimo (palyginti su placebo poveikiu) nepastebėta. Vis dėlto alkoholio vartoti gydymo antidepresantais metu nerekomenduojama. </w:t>
      </w:r>
    </w:p>
    <w:p w14:paraId="542A1F02" w14:textId="77777777" w:rsidR="00E85071"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
    <w:p w14:paraId="1F29C255" w14:textId="77777777" w:rsidR="00E85071"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roofErr w:type="spellStart"/>
      <w:r w:rsidRPr="00E85071">
        <w:rPr>
          <w:rFonts w:ascii="Times New Roman" w:eastAsia="Times New Roman" w:hAnsi="Times New Roman"/>
          <w:i/>
          <w:iCs/>
          <w:lang w:val="lt-LT"/>
        </w:rPr>
        <w:t>Acetilsalicilo</w:t>
      </w:r>
      <w:proofErr w:type="spellEnd"/>
      <w:r w:rsidRPr="00E85071">
        <w:rPr>
          <w:rFonts w:ascii="Times New Roman" w:eastAsia="Times New Roman" w:hAnsi="Times New Roman"/>
          <w:i/>
          <w:iCs/>
          <w:lang w:val="lt-LT"/>
        </w:rPr>
        <w:t xml:space="preserve"> rūgštis </w:t>
      </w:r>
    </w:p>
    <w:p w14:paraId="0F9200CF" w14:textId="33010026" w:rsidR="00514245"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Kartotinės 150</w:t>
      </w:r>
      <w:r>
        <w:rPr>
          <w:rFonts w:ascii="Times New Roman" w:eastAsia="Times New Roman" w:hAnsi="Times New Roman"/>
          <w:lang w:val="lt-LT"/>
        </w:rPr>
        <w:t> </w:t>
      </w:r>
      <w:r w:rsidRPr="00E85071">
        <w:rPr>
          <w:rFonts w:ascii="Times New Roman" w:eastAsia="Times New Roman" w:hAnsi="Times New Roman"/>
          <w:lang w:val="lt-LT"/>
        </w:rPr>
        <w:t xml:space="preserve">mg </w:t>
      </w:r>
      <w:proofErr w:type="spellStart"/>
      <w:r w:rsidRPr="00E85071">
        <w:rPr>
          <w:rFonts w:ascii="Times New Roman" w:eastAsia="Times New Roman" w:hAnsi="Times New Roman"/>
          <w:lang w:val="lt-LT"/>
        </w:rPr>
        <w:t>acetilsalicilo</w:t>
      </w:r>
      <w:proofErr w:type="spellEnd"/>
      <w:r w:rsidRPr="00E85071">
        <w:rPr>
          <w:rFonts w:ascii="Times New Roman" w:eastAsia="Times New Roman" w:hAnsi="Times New Roman"/>
          <w:lang w:val="lt-LT"/>
        </w:rPr>
        <w:t xml:space="preserve"> rūgšties dozės per parą neveikė kartotinių vortioksetino dozių farmakokinetikos sveikų tiriamųjų organizme.</w:t>
      </w:r>
    </w:p>
    <w:p w14:paraId="333E5183" w14:textId="77777777"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
    <w:p w14:paraId="45554C51" w14:textId="77777777" w:rsidR="00E85071" w:rsidRPr="00E85071" w:rsidRDefault="00E85071" w:rsidP="00E85071">
      <w:pPr>
        <w:widowControl w:val="0"/>
        <w:autoSpaceDE w:val="0"/>
        <w:autoSpaceDN w:val="0"/>
        <w:adjustRightInd w:val="0"/>
        <w:spacing w:after="0" w:line="240" w:lineRule="auto"/>
        <w:rPr>
          <w:rFonts w:ascii="Times New Roman" w:eastAsia="Times New Roman" w:hAnsi="Times New Roman"/>
          <w:u w:val="single"/>
          <w:lang w:val="lt-LT"/>
        </w:rPr>
      </w:pPr>
      <w:r w:rsidRPr="00E85071">
        <w:rPr>
          <w:rFonts w:ascii="Times New Roman" w:eastAsia="Times New Roman" w:hAnsi="Times New Roman"/>
          <w:u w:val="single"/>
          <w:lang w:val="lt-LT"/>
        </w:rPr>
        <w:t xml:space="preserve">Vortioksetino poveikio kitiems vaistiniams preparatams galimybės </w:t>
      </w:r>
    </w:p>
    <w:p w14:paraId="20889CF8" w14:textId="77777777" w:rsidR="00E85071" w:rsidRPr="00662355" w:rsidRDefault="00E85071" w:rsidP="00E85071">
      <w:pPr>
        <w:widowControl w:val="0"/>
        <w:autoSpaceDE w:val="0"/>
        <w:autoSpaceDN w:val="0"/>
        <w:adjustRightInd w:val="0"/>
        <w:spacing w:after="0" w:line="240" w:lineRule="auto"/>
        <w:rPr>
          <w:rFonts w:ascii="Times New Roman" w:eastAsia="Times New Roman" w:hAnsi="Times New Roman"/>
          <w:i/>
          <w:iCs/>
          <w:lang w:val="lt-LT"/>
        </w:rPr>
      </w:pPr>
    </w:p>
    <w:p w14:paraId="756DAF8D" w14:textId="30DCC544" w:rsidR="00E85071"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i/>
          <w:iCs/>
          <w:lang w:val="lt-LT"/>
        </w:rPr>
        <w:t>Antikoaguliantai ir trombocitų funkciją slopinantys vaistiniai preparatai</w:t>
      </w:r>
    </w:p>
    <w:p w14:paraId="45644F39" w14:textId="3075853E"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 xml:space="preserve">Nepastebėta reikšmingo poveikio, palyginti su placebu, sveikų tiriamųjų tarptautinio normalizuotojo santykio (TNS), </w:t>
      </w:r>
      <w:proofErr w:type="spellStart"/>
      <w:r w:rsidRPr="00E85071">
        <w:rPr>
          <w:rFonts w:ascii="Times New Roman" w:eastAsia="Times New Roman" w:hAnsi="Times New Roman"/>
          <w:lang w:val="lt-LT"/>
        </w:rPr>
        <w:t>protrombino</w:t>
      </w:r>
      <w:proofErr w:type="spellEnd"/>
      <w:r w:rsidRPr="00E85071">
        <w:rPr>
          <w:rFonts w:ascii="Times New Roman" w:eastAsia="Times New Roman" w:hAnsi="Times New Roman"/>
          <w:lang w:val="lt-LT"/>
        </w:rPr>
        <w:t xml:space="preserve"> ar R–/S–varfarino koncentracijų plazmoje rodmenims po kartotinių vortioksetino dozių vartojimo kartu su pastoviomis varfarino dozėmis. Be to, sveikiems tiriamiesiems po kartotinių vortioksetino dozių vartojimo pavartojus 150</w:t>
      </w:r>
      <w:r>
        <w:rPr>
          <w:rFonts w:ascii="Times New Roman" w:eastAsia="Times New Roman" w:hAnsi="Times New Roman"/>
          <w:lang w:val="lt-LT"/>
        </w:rPr>
        <w:t> </w:t>
      </w:r>
      <w:r w:rsidRPr="00E85071">
        <w:rPr>
          <w:rFonts w:ascii="Times New Roman" w:eastAsia="Times New Roman" w:hAnsi="Times New Roman"/>
          <w:lang w:val="lt-LT"/>
        </w:rPr>
        <w:t xml:space="preserve">mg </w:t>
      </w:r>
      <w:proofErr w:type="spellStart"/>
      <w:r w:rsidRPr="00E85071">
        <w:rPr>
          <w:rFonts w:ascii="Times New Roman" w:eastAsia="Times New Roman" w:hAnsi="Times New Roman"/>
          <w:lang w:val="lt-LT"/>
        </w:rPr>
        <w:t>acetilsalicilo</w:t>
      </w:r>
      <w:proofErr w:type="spellEnd"/>
      <w:r w:rsidRPr="00E85071">
        <w:rPr>
          <w:rFonts w:ascii="Times New Roman" w:eastAsia="Times New Roman" w:hAnsi="Times New Roman"/>
          <w:lang w:val="lt-LT"/>
        </w:rPr>
        <w:t xml:space="preserve"> rūgšties dozę per parą, nepastebėta reikšmingo slopinamojo poveikio trombocitų </w:t>
      </w:r>
      <w:proofErr w:type="spellStart"/>
      <w:r w:rsidRPr="00E85071">
        <w:rPr>
          <w:rFonts w:ascii="Times New Roman" w:eastAsia="Times New Roman" w:hAnsi="Times New Roman"/>
          <w:lang w:val="lt-LT"/>
        </w:rPr>
        <w:t>agregacijai</w:t>
      </w:r>
      <w:proofErr w:type="spellEnd"/>
      <w:r w:rsidRPr="00E85071">
        <w:rPr>
          <w:rFonts w:ascii="Times New Roman" w:eastAsia="Times New Roman" w:hAnsi="Times New Roman"/>
          <w:lang w:val="lt-LT"/>
        </w:rPr>
        <w:t xml:space="preserve"> ar </w:t>
      </w:r>
      <w:proofErr w:type="spellStart"/>
      <w:r w:rsidRPr="00E85071">
        <w:rPr>
          <w:rFonts w:ascii="Times New Roman" w:eastAsia="Times New Roman" w:hAnsi="Times New Roman"/>
          <w:lang w:val="lt-LT"/>
        </w:rPr>
        <w:t>acetilsalicilo</w:t>
      </w:r>
      <w:proofErr w:type="spellEnd"/>
      <w:r w:rsidRPr="00E85071">
        <w:rPr>
          <w:rFonts w:ascii="Times New Roman" w:eastAsia="Times New Roman" w:hAnsi="Times New Roman"/>
          <w:lang w:val="lt-LT"/>
        </w:rPr>
        <w:t xml:space="preserve"> rūgšties arba salicilo rūgšties farmakokinetikai. Vis dėlto vortioksetin</w:t>
      </w:r>
      <w:r>
        <w:rPr>
          <w:rFonts w:ascii="Times New Roman" w:eastAsia="Times New Roman" w:hAnsi="Times New Roman"/>
          <w:lang w:val="lt-LT"/>
        </w:rPr>
        <w:t>o</w:t>
      </w:r>
      <w:r w:rsidRPr="00E85071">
        <w:rPr>
          <w:rFonts w:ascii="Times New Roman" w:eastAsia="Times New Roman" w:hAnsi="Times New Roman"/>
          <w:lang w:val="lt-LT"/>
        </w:rPr>
        <w:t xml:space="preserve"> skiriant vartoti kartu su geriamaisiais antikoaguliantais ir trombocitų funkciją slopinančiais vaistiniais preparatais ar vaistiniais preparatais nuo skausmo (pvz.,</w:t>
      </w:r>
      <w:r>
        <w:rPr>
          <w:rFonts w:ascii="Times New Roman" w:eastAsia="Times New Roman" w:hAnsi="Times New Roman"/>
          <w:lang w:val="lt-LT"/>
        </w:rPr>
        <w:t xml:space="preserve"> </w:t>
      </w:r>
      <w:proofErr w:type="spellStart"/>
      <w:r w:rsidRPr="00E85071">
        <w:rPr>
          <w:rFonts w:ascii="Times New Roman" w:eastAsia="Times New Roman" w:hAnsi="Times New Roman"/>
          <w:lang w:val="lt-LT"/>
        </w:rPr>
        <w:t>acetilsalicilo</w:t>
      </w:r>
      <w:proofErr w:type="spellEnd"/>
      <w:r w:rsidRPr="00E85071">
        <w:rPr>
          <w:rFonts w:ascii="Times New Roman" w:eastAsia="Times New Roman" w:hAnsi="Times New Roman"/>
          <w:lang w:val="lt-LT"/>
        </w:rPr>
        <w:t xml:space="preserve"> rūgštis (ASA) ar NV</w:t>
      </w:r>
      <w:r w:rsidR="00925C85">
        <w:rPr>
          <w:rFonts w:ascii="Times New Roman" w:eastAsia="Times New Roman" w:hAnsi="Times New Roman"/>
          <w:lang w:val="lt-LT"/>
        </w:rPr>
        <w:t>P</w:t>
      </w:r>
      <w:r w:rsidRPr="00E85071">
        <w:rPr>
          <w:rFonts w:ascii="Times New Roman" w:eastAsia="Times New Roman" w:hAnsi="Times New Roman"/>
          <w:lang w:val="lt-LT"/>
        </w:rPr>
        <w:t xml:space="preserve">NU), dėl galimo kraujavimo rizikos padidėjimo, susijusio su </w:t>
      </w:r>
      <w:proofErr w:type="spellStart"/>
      <w:r w:rsidRPr="00E85071">
        <w:rPr>
          <w:rFonts w:ascii="Times New Roman" w:eastAsia="Times New Roman" w:hAnsi="Times New Roman"/>
          <w:lang w:val="lt-LT"/>
        </w:rPr>
        <w:t>farmakodinamine</w:t>
      </w:r>
      <w:proofErr w:type="spellEnd"/>
      <w:r w:rsidRPr="00E85071">
        <w:rPr>
          <w:rFonts w:ascii="Times New Roman" w:eastAsia="Times New Roman" w:hAnsi="Times New Roman"/>
          <w:lang w:val="lt-LT"/>
        </w:rPr>
        <w:t xml:space="preserve"> sąveika, reikia imtis atsargumo priemonių (žr. 4.4 skyrių).</w:t>
      </w:r>
    </w:p>
    <w:p w14:paraId="2EDB27EF" w14:textId="77777777"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
    <w:p w14:paraId="0E7F035F" w14:textId="77777777" w:rsidR="00E85071" w:rsidRPr="00E85071" w:rsidRDefault="00E85071" w:rsidP="004A1B19">
      <w:pPr>
        <w:keepNext/>
        <w:autoSpaceDE w:val="0"/>
        <w:autoSpaceDN w:val="0"/>
        <w:adjustRightInd w:val="0"/>
        <w:spacing w:after="0" w:line="240" w:lineRule="auto"/>
        <w:rPr>
          <w:rFonts w:ascii="Times New Roman" w:eastAsia="Times New Roman" w:hAnsi="Times New Roman"/>
          <w:i/>
          <w:iCs/>
          <w:lang w:val="lt-LT"/>
        </w:rPr>
      </w:pPr>
      <w:proofErr w:type="spellStart"/>
      <w:r w:rsidRPr="00E85071">
        <w:rPr>
          <w:rFonts w:ascii="Times New Roman" w:eastAsia="Times New Roman" w:hAnsi="Times New Roman"/>
          <w:i/>
          <w:iCs/>
          <w:lang w:val="lt-LT"/>
        </w:rPr>
        <w:lastRenderedPageBreak/>
        <w:t>Citochromo</w:t>
      </w:r>
      <w:proofErr w:type="spellEnd"/>
      <w:r w:rsidRPr="00E85071">
        <w:rPr>
          <w:rFonts w:ascii="Times New Roman" w:eastAsia="Times New Roman" w:hAnsi="Times New Roman"/>
          <w:i/>
          <w:iCs/>
          <w:lang w:val="lt-LT"/>
        </w:rPr>
        <w:t xml:space="preserve"> P450 substratai</w:t>
      </w:r>
    </w:p>
    <w:p w14:paraId="39B10856" w14:textId="77777777"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 xml:space="preserve">Tyrimo </w:t>
      </w:r>
      <w:proofErr w:type="spellStart"/>
      <w:r w:rsidRPr="00E85071">
        <w:rPr>
          <w:rFonts w:ascii="Times New Roman" w:eastAsia="Times New Roman" w:hAnsi="Times New Roman"/>
          <w:i/>
          <w:iCs/>
          <w:lang w:val="lt-LT"/>
        </w:rPr>
        <w:t>in</w:t>
      </w:r>
      <w:proofErr w:type="spellEnd"/>
      <w:r w:rsidRPr="00E85071">
        <w:rPr>
          <w:rFonts w:ascii="Times New Roman" w:eastAsia="Times New Roman" w:hAnsi="Times New Roman"/>
          <w:i/>
          <w:iCs/>
          <w:lang w:val="lt-LT"/>
        </w:rPr>
        <w:t xml:space="preserve"> </w:t>
      </w:r>
      <w:proofErr w:type="spellStart"/>
      <w:r w:rsidRPr="00E85071">
        <w:rPr>
          <w:rFonts w:ascii="Times New Roman" w:eastAsia="Times New Roman" w:hAnsi="Times New Roman"/>
          <w:i/>
          <w:iCs/>
          <w:lang w:val="lt-LT"/>
        </w:rPr>
        <w:t>vitro</w:t>
      </w:r>
      <w:proofErr w:type="spellEnd"/>
      <w:r w:rsidRPr="00E85071">
        <w:rPr>
          <w:rFonts w:ascii="Times New Roman" w:eastAsia="Times New Roman" w:hAnsi="Times New Roman"/>
          <w:lang w:val="lt-LT"/>
        </w:rPr>
        <w:t xml:space="preserve"> duomenimis, </w:t>
      </w:r>
      <w:proofErr w:type="spellStart"/>
      <w:r w:rsidRPr="00E85071">
        <w:rPr>
          <w:rFonts w:ascii="Times New Roman" w:eastAsia="Times New Roman" w:hAnsi="Times New Roman"/>
          <w:lang w:val="lt-LT"/>
        </w:rPr>
        <w:t>vortioksetinas</w:t>
      </w:r>
      <w:proofErr w:type="spellEnd"/>
      <w:r w:rsidRPr="00E85071">
        <w:rPr>
          <w:rFonts w:ascii="Times New Roman" w:eastAsia="Times New Roman" w:hAnsi="Times New Roman"/>
          <w:lang w:val="lt-LT"/>
        </w:rPr>
        <w:t xml:space="preserve"> neparodė jokių požymių, kad galėtų slopinti ar sužadinti </w:t>
      </w:r>
      <w:proofErr w:type="spellStart"/>
      <w:r w:rsidRPr="00E85071">
        <w:rPr>
          <w:rFonts w:ascii="Times New Roman" w:eastAsia="Times New Roman" w:hAnsi="Times New Roman"/>
          <w:lang w:val="lt-LT"/>
        </w:rPr>
        <w:t>citochromo</w:t>
      </w:r>
      <w:proofErr w:type="spellEnd"/>
      <w:r w:rsidRPr="00E85071">
        <w:rPr>
          <w:rFonts w:ascii="Times New Roman" w:eastAsia="Times New Roman" w:hAnsi="Times New Roman"/>
          <w:lang w:val="lt-LT"/>
        </w:rPr>
        <w:t xml:space="preserve"> P450 </w:t>
      </w:r>
      <w:proofErr w:type="spellStart"/>
      <w:r w:rsidRPr="00E85071">
        <w:rPr>
          <w:rFonts w:ascii="Times New Roman" w:eastAsia="Times New Roman" w:hAnsi="Times New Roman"/>
          <w:lang w:val="lt-LT"/>
        </w:rPr>
        <w:t>izofermentus</w:t>
      </w:r>
      <w:proofErr w:type="spellEnd"/>
      <w:r w:rsidRPr="00E85071">
        <w:rPr>
          <w:rFonts w:ascii="Times New Roman" w:eastAsia="Times New Roman" w:hAnsi="Times New Roman"/>
          <w:lang w:val="lt-LT"/>
        </w:rPr>
        <w:t xml:space="preserve"> (žr. 5.2 skyrių).</w:t>
      </w:r>
    </w:p>
    <w:p w14:paraId="0119F2E5" w14:textId="77777777" w:rsidR="00E85071" w:rsidRP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
    <w:p w14:paraId="5799A741" w14:textId="77777777"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r w:rsidRPr="00E85071">
        <w:rPr>
          <w:rFonts w:ascii="Times New Roman" w:eastAsia="Times New Roman" w:hAnsi="Times New Roman"/>
          <w:lang w:val="lt-LT"/>
        </w:rPr>
        <w:t xml:space="preserve">Kartotinės vortioksetino dozės slopinamojo poveikio </w:t>
      </w:r>
      <w:proofErr w:type="spellStart"/>
      <w:r w:rsidRPr="00E85071">
        <w:rPr>
          <w:rFonts w:ascii="Times New Roman" w:eastAsia="Times New Roman" w:hAnsi="Times New Roman"/>
          <w:lang w:val="lt-LT"/>
        </w:rPr>
        <w:t>citochromo</w:t>
      </w:r>
      <w:proofErr w:type="spellEnd"/>
      <w:r w:rsidRPr="00E85071">
        <w:rPr>
          <w:rFonts w:ascii="Times New Roman" w:eastAsia="Times New Roman" w:hAnsi="Times New Roman"/>
          <w:lang w:val="lt-LT"/>
        </w:rPr>
        <w:t xml:space="preserve"> P450 CYP2C19 (</w:t>
      </w:r>
      <w:proofErr w:type="spellStart"/>
      <w:r w:rsidRPr="00E85071">
        <w:rPr>
          <w:rFonts w:ascii="Times New Roman" w:eastAsia="Times New Roman" w:hAnsi="Times New Roman"/>
          <w:lang w:val="lt-LT"/>
        </w:rPr>
        <w:t>omeprazolas</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diazepamas</w:t>
      </w:r>
      <w:proofErr w:type="spellEnd"/>
      <w:r w:rsidRPr="00E85071">
        <w:rPr>
          <w:rFonts w:ascii="Times New Roman" w:eastAsia="Times New Roman" w:hAnsi="Times New Roman"/>
          <w:lang w:val="lt-LT"/>
        </w:rPr>
        <w:t>), CYP3A4/5 (</w:t>
      </w:r>
      <w:proofErr w:type="spellStart"/>
      <w:r w:rsidRPr="00E85071">
        <w:rPr>
          <w:rFonts w:ascii="Times New Roman" w:eastAsia="Times New Roman" w:hAnsi="Times New Roman"/>
          <w:lang w:val="lt-LT"/>
        </w:rPr>
        <w:t>etinilestradiolis</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midazolamas</w:t>
      </w:r>
      <w:proofErr w:type="spellEnd"/>
      <w:r w:rsidRPr="00E85071">
        <w:rPr>
          <w:rFonts w:ascii="Times New Roman" w:eastAsia="Times New Roman" w:hAnsi="Times New Roman"/>
          <w:lang w:val="lt-LT"/>
        </w:rPr>
        <w:t>), CYP2B6 (</w:t>
      </w:r>
      <w:proofErr w:type="spellStart"/>
      <w:r w:rsidRPr="00E85071">
        <w:rPr>
          <w:rFonts w:ascii="Times New Roman" w:eastAsia="Times New Roman" w:hAnsi="Times New Roman"/>
          <w:lang w:val="lt-LT"/>
        </w:rPr>
        <w:t>bupropionas</w:t>
      </w:r>
      <w:proofErr w:type="spellEnd"/>
      <w:r w:rsidRPr="00E85071">
        <w:rPr>
          <w:rFonts w:ascii="Times New Roman" w:eastAsia="Times New Roman" w:hAnsi="Times New Roman"/>
          <w:lang w:val="lt-LT"/>
        </w:rPr>
        <w:t>) CYP2C9 (</w:t>
      </w:r>
      <w:proofErr w:type="spellStart"/>
      <w:r w:rsidRPr="00E85071">
        <w:rPr>
          <w:rFonts w:ascii="Times New Roman" w:eastAsia="Times New Roman" w:hAnsi="Times New Roman"/>
          <w:lang w:val="lt-LT"/>
        </w:rPr>
        <w:t>tolbutamidas</w:t>
      </w:r>
      <w:proofErr w:type="spellEnd"/>
      <w:r w:rsidRPr="00E85071">
        <w:rPr>
          <w:rFonts w:ascii="Times New Roman" w:eastAsia="Times New Roman" w:hAnsi="Times New Roman"/>
          <w:lang w:val="lt-LT"/>
        </w:rPr>
        <w:t>, S-varfarinas), CYP1A2 (kofeinas) ar CYP2D6 (</w:t>
      </w:r>
      <w:proofErr w:type="spellStart"/>
      <w:r w:rsidRPr="00E85071">
        <w:rPr>
          <w:rFonts w:ascii="Times New Roman" w:eastAsia="Times New Roman" w:hAnsi="Times New Roman"/>
          <w:lang w:val="lt-LT"/>
        </w:rPr>
        <w:t>dekstrometorfanas</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izofermentams</w:t>
      </w:r>
      <w:proofErr w:type="spellEnd"/>
      <w:r w:rsidRPr="00E85071">
        <w:rPr>
          <w:rFonts w:ascii="Times New Roman" w:eastAsia="Times New Roman" w:hAnsi="Times New Roman"/>
          <w:lang w:val="lt-LT"/>
        </w:rPr>
        <w:t xml:space="preserve"> nepastebėta.</w:t>
      </w:r>
    </w:p>
    <w:p w14:paraId="739DBB8B" w14:textId="77777777" w:rsidR="00EB226A" w:rsidRPr="00E85071" w:rsidRDefault="00EB226A" w:rsidP="00E85071">
      <w:pPr>
        <w:widowControl w:val="0"/>
        <w:autoSpaceDE w:val="0"/>
        <w:autoSpaceDN w:val="0"/>
        <w:adjustRightInd w:val="0"/>
        <w:spacing w:after="0" w:line="240" w:lineRule="auto"/>
        <w:rPr>
          <w:rFonts w:ascii="Times New Roman" w:eastAsia="Times New Roman" w:hAnsi="Times New Roman"/>
          <w:lang w:val="lt-LT"/>
        </w:rPr>
      </w:pPr>
    </w:p>
    <w:p w14:paraId="63403430" w14:textId="1A1C78B8"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roofErr w:type="spellStart"/>
      <w:r w:rsidRPr="00E85071">
        <w:rPr>
          <w:rFonts w:ascii="Times New Roman" w:eastAsia="Times New Roman" w:hAnsi="Times New Roman"/>
          <w:lang w:val="lt-LT"/>
        </w:rPr>
        <w:t>Farmakodinaminės</w:t>
      </w:r>
      <w:proofErr w:type="spellEnd"/>
      <w:r w:rsidRPr="00E85071">
        <w:rPr>
          <w:rFonts w:ascii="Times New Roman" w:eastAsia="Times New Roman" w:hAnsi="Times New Roman"/>
          <w:lang w:val="lt-LT"/>
        </w:rPr>
        <w:t xml:space="preserve"> sąveikos nepastebėta. Reikšmingo pažintinių funkcijų sutrikimo po vortioksetino ir vienkartinės 10</w:t>
      </w:r>
      <w:r w:rsidR="00EB226A">
        <w:rPr>
          <w:rFonts w:ascii="Times New Roman" w:eastAsia="Times New Roman" w:hAnsi="Times New Roman"/>
          <w:lang w:val="lt-LT"/>
        </w:rPr>
        <w:t> </w:t>
      </w:r>
      <w:r w:rsidRPr="00E85071">
        <w:rPr>
          <w:rFonts w:ascii="Times New Roman" w:eastAsia="Times New Roman" w:hAnsi="Times New Roman"/>
          <w:lang w:val="lt-LT"/>
        </w:rPr>
        <w:t xml:space="preserve">mg </w:t>
      </w:r>
      <w:proofErr w:type="spellStart"/>
      <w:r w:rsidRPr="00E85071">
        <w:rPr>
          <w:rFonts w:ascii="Times New Roman" w:eastAsia="Times New Roman" w:hAnsi="Times New Roman"/>
          <w:lang w:val="lt-LT"/>
        </w:rPr>
        <w:t>diazepamo</w:t>
      </w:r>
      <w:proofErr w:type="spellEnd"/>
      <w:r w:rsidRPr="00E85071">
        <w:rPr>
          <w:rFonts w:ascii="Times New Roman" w:eastAsia="Times New Roman" w:hAnsi="Times New Roman"/>
          <w:lang w:val="lt-LT"/>
        </w:rPr>
        <w:t xml:space="preserve"> dozės pavartojimo, palyginti su placebo poveikiu, nepastebėta. Reikšmingo poveikio, palyginti su placebu, lytinių hormonų koncentracijai po vortioksetino vartojimo kartu su sudėtiniu geriamuoju kontraceptiku (30</w:t>
      </w:r>
      <w:r w:rsidR="00EB226A">
        <w:rPr>
          <w:rFonts w:ascii="Times New Roman" w:eastAsia="Times New Roman" w:hAnsi="Times New Roman"/>
          <w:lang w:val="lt-LT"/>
        </w:rPr>
        <w:t> </w:t>
      </w:r>
      <w:proofErr w:type="spellStart"/>
      <w:r w:rsidRPr="00E85071">
        <w:rPr>
          <w:rFonts w:ascii="Times New Roman" w:eastAsia="Times New Roman" w:hAnsi="Times New Roman"/>
          <w:lang w:val="lt-LT"/>
        </w:rPr>
        <w:t>μg</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etinilestradiolio</w:t>
      </w:r>
      <w:proofErr w:type="spellEnd"/>
      <w:r w:rsidRPr="00E85071">
        <w:rPr>
          <w:rFonts w:ascii="Times New Roman" w:eastAsia="Times New Roman" w:hAnsi="Times New Roman"/>
          <w:lang w:val="lt-LT"/>
        </w:rPr>
        <w:t xml:space="preserve"> / 150</w:t>
      </w:r>
      <w:r w:rsidR="00EB226A">
        <w:rPr>
          <w:rFonts w:ascii="Times New Roman" w:eastAsia="Times New Roman" w:hAnsi="Times New Roman"/>
          <w:lang w:val="lt-LT"/>
        </w:rPr>
        <w:t> </w:t>
      </w:r>
      <w:proofErr w:type="spellStart"/>
      <w:r w:rsidRPr="00E85071">
        <w:rPr>
          <w:rFonts w:ascii="Times New Roman" w:eastAsia="Times New Roman" w:hAnsi="Times New Roman"/>
          <w:lang w:val="lt-LT"/>
        </w:rPr>
        <w:t>μg</w:t>
      </w:r>
      <w:proofErr w:type="spellEnd"/>
      <w:r w:rsidRPr="00E85071">
        <w:rPr>
          <w:rFonts w:ascii="Times New Roman" w:eastAsia="Times New Roman" w:hAnsi="Times New Roman"/>
          <w:lang w:val="lt-LT"/>
        </w:rPr>
        <w:t xml:space="preserve"> </w:t>
      </w:r>
      <w:proofErr w:type="spellStart"/>
      <w:r w:rsidRPr="00E85071">
        <w:rPr>
          <w:rFonts w:ascii="Times New Roman" w:eastAsia="Times New Roman" w:hAnsi="Times New Roman"/>
          <w:lang w:val="lt-LT"/>
        </w:rPr>
        <w:t>levonorgestrelio</w:t>
      </w:r>
      <w:proofErr w:type="spellEnd"/>
      <w:r w:rsidRPr="00E85071">
        <w:rPr>
          <w:rFonts w:ascii="Times New Roman" w:eastAsia="Times New Roman" w:hAnsi="Times New Roman"/>
          <w:lang w:val="lt-LT"/>
        </w:rPr>
        <w:t>), nepastebėta.</w:t>
      </w:r>
    </w:p>
    <w:p w14:paraId="0D4C6BC2" w14:textId="77777777" w:rsidR="00E85071" w:rsidRDefault="00E85071" w:rsidP="00E85071">
      <w:pPr>
        <w:widowControl w:val="0"/>
        <w:autoSpaceDE w:val="0"/>
        <w:autoSpaceDN w:val="0"/>
        <w:adjustRightInd w:val="0"/>
        <w:spacing w:after="0" w:line="240" w:lineRule="auto"/>
        <w:rPr>
          <w:rFonts w:ascii="Times New Roman" w:eastAsia="Times New Roman" w:hAnsi="Times New Roman"/>
          <w:lang w:val="lt-LT"/>
        </w:rPr>
      </w:pPr>
    </w:p>
    <w:p w14:paraId="5726AF9F" w14:textId="77777777" w:rsidR="00EB226A" w:rsidRPr="00EB226A" w:rsidRDefault="00EB226A" w:rsidP="00EB226A">
      <w:pPr>
        <w:widowControl w:val="0"/>
        <w:autoSpaceDE w:val="0"/>
        <w:autoSpaceDN w:val="0"/>
        <w:adjustRightInd w:val="0"/>
        <w:spacing w:after="0" w:line="240" w:lineRule="auto"/>
        <w:rPr>
          <w:rFonts w:ascii="Times New Roman" w:eastAsia="Times New Roman" w:hAnsi="Times New Roman"/>
          <w:i/>
          <w:iCs/>
          <w:lang w:val="lt-LT"/>
        </w:rPr>
      </w:pPr>
      <w:r w:rsidRPr="00EB226A">
        <w:rPr>
          <w:rFonts w:ascii="Times New Roman" w:eastAsia="Times New Roman" w:hAnsi="Times New Roman"/>
          <w:i/>
          <w:iCs/>
          <w:lang w:val="lt-LT"/>
        </w:rPr>
        <w:t xml:space="preserve">Litis, </w:t>
      </w:r>
      <w:proofErr w:type="spellStart"/>
      <w:r w:rsidRPr="00EB226A">
        <w:rPr>
          <w:rFonts w:ascii="Times New Roman" w:eastAsia="Times New Roman" w:hAnsi="Times New Roman"/>
          <w:i/>
          <w:iCs/>
          <w:lang w:val="lt-LT"/>
        </w:rPr>
        <w:t>triptofanas</w:t>
      </w:r>
      <w:proofErr w:type="spellEnd"/>
    </w:p>
    <w:p w14:paraId="022C3A16" w14:textId="477F2990" w:rsidR="00EB226A" w:rsidRDefault="00EB226A" w:rsidP="00EB226A">
      <w:pPr>
        <w:widowControl w:val="0"/>
        <w:autoSpaceDE w:val="0"/>
        <w:autoSpaceDN w:val="0"/>
        <w:adjustRightInd w:val="0"/>
        <w:spacing w:after="0" w:line="240" w:lineRule="auto"/>
        <w:rPr>
          <w:rFonts w:ascii="Times New Roman" w:eastAsia="Times New Roman" w:hAnsi="Times New Roman"/>
          <w:lang w:val="lt-LT"/>
        </w:rPr>
      </w:pPr>
      <w:r w:rsidRPr="00EB226A">
        <w:rPr>
          <w:rFonts w:ascii="Times New Roman" w:eastAsia="Times New Roman" w:hAnsi="Times New Roman"/>
          <w:lang w:val="lt-LT"/>
        </w:rPr>
        <w:t xml:space="preserve">Kliniškai reikšmingo poveikio sveikų tiriamųjų organizme po kartotinių vortioksetino dozių vartojimo ličio pusiausvyros apykaitos ekspozicijai nepastebėta. Vis dėlto gauta pranešimų apie poveikio sustiprėjimą, kai kartu su ličiu ar </w:t>
      </w:r>
      <w:proofErr w:type="spellStart"/>
      <w:r w:rsidRPr="00EB226A">
        <w:rPr>
          <w:rFonts w:ascii="Times New Roman" w:eastAsia="Times New Roman" w:hAnsi="Times New Roman"/>
          <w:lang w:val="lt-LT"/>
        </w:rPr>
        <w:t>triptofanu</w:t>
      </w:r>
      <w:proofErr w:type="spellEnd"/>
      <w:r w:rsidRPr="00EB226A">
        <w:rPr>
          <w:rFonts w:ascii="Times New Roman" w:eastAsia="Times New Roman" w:hAnsi="Times New Roman"/>
          <w:lang w:val="lt-LT"/>
        </w:rPr>
        <w:t xml:space="preserve"> buvo pavartota antidepresantų, sukeliančių </w:t>
      </w:r>
      <w:proofErr w:type="spellStart"/>
      <w:r w:rsidRPr="00EB226A">
        <w:rPr>
          <w:rFonts w:ascii="Times New Roman" w:eastAsia="Times New Roman" w:hAnsi="Times New Roman"/>
          <w:lang w:val="lt-LT"/>
        </w:rPr>
        <w:t>serotoninerginį</w:t>
      </w:r>
      <w:proofErr w:type="spellEnd"/>
      <w:r w:rsidRPr="00EB226A">
        <w:rPr>
          <w:rFonts w:ascii="Times New Roman" w:eastAsia="Times New Roman" w:hAnsi="Times New Roman"/>
          <w:lang w:val="lt-LT"/>
        </w:rPr>
        <w:t xml:space="preserve"> poveikį, todėl </w:t>
      </w:r>
      <w:proofErr w:type="spellStart"/>
      <w:r w:rsidRPr="00EB226A">
        <w:rPr>
          <w:rFonts w:ascii="Times New Roman" w:eastAsia="Times New Roman" w:hAnsi="Times New Roman"/>
          <w:lang w:val="lt-LT"/>
        </w:rPr>
        <w:t>vortioksetin</w:t>
      </w:r>
      <w:r>
        <w:rPr>
          <w:rFonts w:ascii="Times New Roman" w:eastAsia="Times New Roman" w:hAnsi="Times New Roman"/>
          <w:lang w:val="lt-LT"/>
        </w:rPr>
        <w:t>o</w:t>
      </w:r>
      <w:proofErr w:type="spellEnd"/>
      <w:r w:rsidRPr="00EB226A">
        <w:rPr>
          <w:rFonts w:ascii="Times New Roman" w:eastAsia="Times New Roman" w:hAnsi="Times New Roman"/>
          <w:lang w:val="lt-LT"/>
        </w:rPr>
        <w:t xml:space="preserve"> vartoti kartu su šiais vaistiniais preparatais reikia atsargiai.</w:t>
      </w:r>
    </w:p>
    <w:p w14:paraId="30AE1231" w14:textId="77777777" w:rsidR="00EB226A" w:rsidRPr="00EB226A" w:rsidRDefault="00EB226A" w:rsidP="00EB226A">
      <w:pPr>
        <w:widowControl w:val="0"/>
        <w:autoSpaceDE w:val="0"/>
        <w:autoSpaceDN w:val="0"/>
        <w:adjustRightInd w:val="0"/>
        <w:spacing w:after="0" w:line="240" w:lineRule="auto"/>
        <w:rPr>
          <w:rFonts w:ascii="Times New Roman" w:eastAsia="Times New Roman" w:hAnsi="Times New Roman"/>
          <w:lang w:val="lt-LT"/>
        </w:rPr>
      </w:pPr>
    </w:p>
    <w:p w14:paraId="75BD10DE" w14:textId="77777777" w:rsidR="00EB226A" w:rsidRPr="00EB226A" w:rsidRDefault="00EB226A" w:rsidP="00EB226A">
      <w:pPr>
        <w:widowControl w:val="0"/>
        <w:autoSpaceDE w:val="0"/>
        <w:autoSpaceDN w:val="0"/>
        <w:adjustRightInd w:val="0"/>
        <w:spacing w:after="0" w:line="240" w:lineRule="auto"/>
        <w:rPr>
          <w:rFonts w:ascii="Times New Roman" w:eastAsia="Times New Roman" w:hAnsi="Times New Roman"/>
          <w:i/>
          <w:iCs/>
          <w:lang w:val="lt-LT"/>
        </w:rPr>
      </w:pPr>
      <w:r w:rsidRPr="00EB226A">
        <w:rPr>
          <w:rFonts w:ascii="Times New Roman" w:eastAsia="Times New Roman" w:hAnsi="Times New Roman"/>
          <w:i/>
          <w:iCs/>
          <w:lang w:val="lt-LT"/>
        </w:rPr>
        <w:t>Sąveika su narkotikų nustatymo šlapime tyrimais</w:t>
      </w:r>
    </w:p>
    <w:p w14:paraId="5E69ED00" w14:textId="1805734A" w:rsidR="00E85071" w:rsidRDefault="00EB226A" w:rsidP="00EB226A">
      <w:pPr>
        <w:widowControl w:val="0"/>
        <w:autoSpaceDE w:val="0"/>
        <w:autoSpaceDN w:val="0"/>
        <w:adjustRightInd w:val="0"/>
        <w:spacing w:after="0" w:line="240" w:lineRule="auto"/>
        <w:rPr>
          <w:rFonts w:ascii="Times New Roman" w:eastAsia="Times New Roman" w:hAnsi="Times New Roman"/>
          <w:lang w:val="lt-LT"/>
        </w:rPr>
      </w:pPr>
      <w:r w:rsidRPr="00EB226A">
        <w:rPr>
          <w:rFonts w:ascii="Times New Roman" w:eastAsia="Times New Roman" w:hAnsi="Times New Roman"/>
          <w:lang w:val="lt-LT"/>
        </w:rPr>
        <w:t>Gauta pranešimų apie vortioksetin</w:t>
      </w:r>
      <w:r>
        <w:rPr>
          <w:rFonts w:ascii="Times New Roman" w:eastAsia="Times New Roman" w:hAnsi="Times New Roman"/>
          <w:lang w:val="lt-LT"/>
        </w:rPr>
        <w:t>o</w:t>
      </w:r>
      <w:r w:rsidRPr="00EB226A">
        <w:rPr>
          <w:rFonts w:ascii="Times New Roman" w:eastAsia="Times New Roman" w:hAnsi="Times New Roman"/>
          <w:lang w:val="lt-LT"/>
        </w:rPr>
        <w:t xml:space="preserve"> vartojantiems pacientams nustatytus klaidingai teigiamus metadono rezultatus, atlikus šlapimo </w:t>
      </w:r>
      <w:proofErr w:type="spellStart"/>
      <w:r w:rsidRPr="00EB226A">
        <w:rPr>
          <w:rFonts w:ascii="Times New Roman" w:eastAsia="Times New Roman" w:hAnsi="Times New Roman"/>
          <w:lang w:val="lt-LT"/>
        </w:rPr>
        <w:t>imunofermentinius</w:t>
      </w:r>
      <w:proofErr w:type="spellEnd"/>
      <w:r w:rsidRPr="00EB226A">
        <w:rPr>
          <w:rFonts w:ascii="Times New Roman" w:eastAsia="Times New Roman" w:hAnsi="Times New Roman"/>
          <w:lang w:val="lt-LT"/>
        </w:rPr>
        <w:t xml:space="preserve"> tyrimus. Reikia atsargiai interpretuoti teigiamus narkotikų nustatymo šlapime rezultatus ir atlikti patvirtinamąjį tyrimą taikant kitą analizės technologiją (pvz., chromatografijos metodus).</w:t>
      </w:r>
    </w:p>
    <w:p w14:paraId="2E55D524" w14:textId="77777777" w:rsidR="00EB226A" w:rsidRDefault="00EB226A" w:rsidP="00305BBD">
      <w:pPr>
        <w:keepNext/>
        <w:tabs>
          <w:tab w:val="left" w:pos="680"/>
        </w:tabs>
        <w:autoSpaceDE w:val="0"/>
        <w:autoSpaceDN w:val="0"/>
        <w:adjustRightInd w:val="0"/>
        <w:spacing w:after="0" w:line="240" w:lineRule="auto"/>
        <w:rPr>
          <w:rFonts w:ascii="Times New Roman" w:hAnsi="Times New Roman"/>
          <w:b/>
          <w:lang w:val="lt-LT"/>
        </w:rPr>
      </w:pPr>
    </w:p>
    <w:p w14:paraId="155A422B" w14:textId="2424AEE2" w:rsidR="00E0107B" w:rsidRPr="00514245" w:rsidRDefault="00E0107B" w:rsidP="00305BBD">
      <w:pPr>
        <w:keepNext/>
        <w:tabs>
          <w:tab w:val="left" w:pos="680"/>
        </w:tabs>
        <w:autoSpaceDE w:val="0"/>
        <w:autoSpaceDN w:val="0"/>
        <w:adjustRightInd w:val="0"/>
        <w:spacing w:after="0" w:line="240" w:lineRule="auto"/>
        <w:rPr>
          <w:rFonts w:ascii="Times New Roman" w:hAnsi="Times New Roman"/>
          <w:b/>
          <w:lang w:val="lt-LT"/>
        </w:rPr>
      </w:pPr>
      <w:r w:rsidRPr="00514245">
        <w:rPr>
          <w:rFonts w:ascii="Times New Roman" w:hAnsi="Times New Roman"/>
          <w:b/>
          <w:lang w:val="lt-LT"/>
        </w:rPr>
        <w:t>4.6</w:t>
      </w:r>
      <w:r w:rsidRPr="00514245">
        <w:rPr>
          <w:rFonts w:ascii="Times New Roman" w:hAnsi="Times New Roman"/>
          <w:lang w:val="lt-LT"/>
        </w:rPr>
        <w:tab/>
      </w:r>
      <w:r w:rsidRPr="00514245">
        <w:rPr>
          <w:rFonts w:ascii="Times New Roman" w:hAnsi="Times New Roman"/>
          <w:b/>
          <w:lang w:val="lt-LT"/>
        </w:rPr>
        <w:t>Vaisingumas, nėštumo ir žindymo laikotarpis</w:t>
      </w:r>
    </w:p>
    <w:p w14:paraId="7EFF6D0E" w14:textId="77777777" w:rsidR="00D04893" w:rsidRPr="00514245" w:rsidRDefault="00D04893" w:rsidP="00305BBD">
      <w:pPr>
        <w:keepNext/>
        <w:tabs>
          <w:tab w:val="left" w:pos="680"/>
        </w:tabs>
        <w:autoSpaceDE w:val="0"/>
        <w:autoSpaceDN w:val="0"/>
        <w:adjustRightInd w:val="0"/>
        <w:spacing w:after="0" w:line="240" w:lineRule="auto"/>
        <w:rPr>
          <w:rFonts w:ascii="Times New Roman" w:eastAsia="Times New Roman" w:hAnsi="Times New Roman"/>
          <w:lang w:val="lt-LT"/>
        </w:rPr>
      </w:pPr>
    </w:p>
    <w:p w14:paraId="6F0EFD40" w14:textId="046852CE" w:rsidR="00E0107B" w:rsidRPr="00514245" w:rsidRDefault="00E0107B" w:rsidP="00305BBD">
      <w:pPr>
        <w:keepNext/>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position w:val="-1"/>
          <w:u w:val="single"/>
          <w:lang w:val="lt-LT"/>
        </w:rPr>
        <w:t>Nėštumas</w:t>
      </w:r>
    </w:p>
    <w:p w14:paraId="0896BBFB" w14:textId="6EFB77B2" w:rsidR="0078329A" w:rsidRPr="00514245" w:rsidRDefault="0078329A" w:rsidP="00305BBD">
      <w:pPr>
        <w:keepNext/>
        <w:autoSpaceDE w:val="0"/>
        <w:autoSpaceDN w:val="0"/>
        <w:adjustRightInd w:val="0"/>
        <w:spacing w:after="0" w:line="240" w:lineRule="auto"/>
        <w:rPr>
          <w:rFonts w:ascii="Times New Roman" w:eastAsia="Times New Roman" w:hAnsi="Times New Roman"/>
          <w:lang w:val="lt-LT"/>
        </w:rPr>
      </w:pPr>
    </w:p>
    <w:p w14:paraId="4EBB6249" w14:textId="3FD84CEF" w:rsidR="00EB226A" w:rsidRDefault="00A944F0" w:rsidP="007E13CA">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Duomenų apie </w:t>
      </w:r>
      <w:r w:rsidR="00EB226A">
        <w:rPr>
          <w:rFonts w:ascii="Times New Roman" w:eastAsia="Times New Roman" w:hAnsi="Times New Roman"/>
          <w:lang w:val="lt-LT"/>
        </w:rPr>
        <w:t>vortioksetino</w:t>
      </w:r>
      <w:r w:rsidRPr="00514245">
        <w:rPr>
          <w:rFonts w:ascii="Times New Roman" w:eastAsia="Times New Roman" w:hAnsi="Times New Roman"/>
          <w:lang w:val="lt-LT"/>
        </w:rPr>
        <w:t xml:space="preserve"> vartojimą nėštumo metu nepakanka. </w:t>
      </w:r>
      <w:r w:rsidR="00EB226A" w:rsidRPr="00514245">
        <w:rPr>
          <w:rFonts w:ascii="Times New Roman" w:eastAsia="Times New Roman" w:hAnsi="Times New Roman"/>
          <w:lang w:val="lt-LT"/>
        </w:rPr>
        <w:t>Su gyvūnais atlikti tyrimai parodė toksinį poveikį reprodukcijai (žr. 5.3 skyrių).</w:t>
      </w:r>
    </w:p>
    <w:p w14:paraId="43E11050" w14:textId="77777777" w:rsidR="00EB226A" w:rsidRDefault="00EB226A" w:rsidP="007E13CA">
      <w:pPr>
        <w:widowControl w:val="0"/>
        <w:autoSpaceDE w:val="0"/>
        <w:autoSpaceDN w:val="0"/>
        <w:adjustRightInd w:val="0"/>
        <w:spacing w:after="0" w:line="240" w:lineRule="auto"/>
        <w:rPr>
          <w:rFonts w:ascii="Times New Roman" w:eastAsia="Times New Roman" w:hAnsi="Times New Roman"/>
          <w:lang w:val="lt-LT"/>
        </w:rPr>
      </w:pPr>
    </w:p>
    <w:p w14:paraId="78B434D6" w14:textId="7B33FBDE" w:rsidR="00EB226A" w:rsidRDefault="00EB226A" w:rsidP="00EB226A">
      <w:pPr>
        <w:widowControl w:val="0"/>
        <w:autoSpaceDE w:val="0"/>
        <w:autoSpaceDN w:val="0"/>
        <w:adjustRightInd w:val="0"/>
        <w:spacing w:after="0" w:line="240" w:lineRule="auto"/>
        <w:rPr>
          <w:rFonts w:ascii="Times New Roman" w:eastAsia="Times New Roman" w:hAnsi="Times New Roman"/>
          <w:lang w:val="lt-LT"/>
        </w:rPr>
      </w:pPr>
      <w:r w:rsidRPr="00EB226A">
        <w:rPr>
          <w:rFonts w:ascii="Times New Roman" w:eastAsia="Times New Roman" w:hAnsi="Times New Roman"/>
          <w:lang w:val="lt-LT"/>
        </w:rPr>
        <w:t xml:space="preserve">Motinų, kurios nėštumo pabaigoje vartojo </w:t>
      </w:r>
      <w:proofErr w:type="spellStart"/>
      <w:r w:rsidRPr="00EB226A">
        <w:rPr>
          <w:rFonts w:ascii="Times New Roman" w:eastAsia="Times New Roman" w:hAnsi="Times New Roman"/>
          <w:lang w:val="lt-LT"/>
        </w:rPr>
        <w:t>serotoninerginių</w:t>
      </w:r>
      <w:proofErr w:type="spellEnd"/>
      <w:r w:rsidRPr="00EB226A">
        <w:rPr>
          <w:rFonts w:ascii="Times New Roman" w:eastAsia="Times New Roman" w:hAnsi="Times New Roman"/>
          <w:lang w:val="lt-LT"/>
        </w:rPr>
        <w:t xml:space="preserve"> vaistinių preparatų, naujagimiams gali pasireikšti toliau išvardyti simptomai: kvėpavimo sutrikimas, cianozė, </w:t>
      </w:r>
      <w:proofErr w:type="spellStart"/>
      <w:r w:rsidRPr="00EB226A">
        <w:rPr>
          <w:rFonts w:ascii="Times New Roman" w:eastAsia="Times New Roman" w:hAnsi="Times New Roman"/>
          <w:lang w:val="lt-LT"/>
        </w:rPr>
        <w:t>apnėja</w:t>
      </w:r>
      <w:proofErr w:type="spellEnd"/>
      <w:r w:rsidRPr="00EB226A">
        <w:rPr>
          <w:rFonts w:ascii="Times New Roman" w:eastAsia="Times New Roman" w:hAnsi="Times New Roman"/>
          <w:lang w:val="lt-LT"/>
        </w:rPr>
        <w:t xml:space="preserve">, priepuoliai, kūno temperatūros nepastovumas, žindymo sunkumai, vėmimas, hipoglikemija, hipertonija, hipotonija, </w:t>
      </w:r>
      <w:proofErr w:type="spellStart"/>
      <w:r w:rsidRPr="00EB226A">
        <w:rPr>
          <w:rFonts w:ascii="Times New Roman" w:eastAsia="Times New Roman" w:hAnsi="Times New Roman"/>
          <w:lang w:val="lt-LT"/>
        </w:rPr>
        <w:t>hiperrefleksija</w:t>
      </w:r>
      <w:proofErr w:type="spellEnd"/>
      <w:r w:rsidRPr="00EB226A">
        <w:rPr>
          <w:rFonts w:ascii="Times New Roman" w:eastAsia="Times New Roman" w:hAnsi="Times New Roman"/>
          <w:lang w:val="lt-LT"/>
        </w:rPr>
        <w:t xml:space="preserve">, tremoras, drebėjimas, irzlumas, letargija, nuolatinis verkimas, </w:t>
      </w:r>
      <w:r w:rsidR="00CE2140">
        <w:rPr>
          <w:rFonts w:ascii="Times New Roman" w:eastAsia="Times New Roman" w:hAnsi="Times New Roman"/>
          <w:lang w:val="lt-LT"/>
        </w:rPr>
        <w:t>mieguistumas (</w:t>
      </w:r>
      <w:proofErr w:type="spellStart"/>
      <w:r w:rsidRPr="00EB226A">
        <w:rPr>
          <w:rFonts w:ascii="Times New Roman" w:eastAsia="Times New Roman" w:hAnsi="Times New Roman"/>
          <w:lang w:val="lt-LT"/>
        </w:rPr>
        <w:t>somnolencija</w:t>
      </w:r>
      <w:proofErr w:type="spellEnd"/>
      <w:r w:rsidR="00CE2140">
        <w:rPr>
          <w:rFonts w:ascii="Times New Roman" w:eastAsia="Times New Roman" w:hAnsi="Times New Roman"/>
          <w:lang w:val="lt-LT"/>
        </w:rPr>
        <w:t>)</w:t>
      </w:r>
      <w:r w:rsidRPr="00EB226A">
        <w:rPr>
          <w:rFonts w:ascii="Times New Roman" w:eastAsia="Times New Roman" w:hAnsi="Times New Roman"/>
          <w:lang w:val="lt-LT"/>
        </w:rPr>
        <w:t xml:space="preserve"> ir miego sutrikimai. Šie simptomai gali pasireikšti arba dėl su vartojimo nutraukimu susijusio poveikio, arba dėl pernelyg didelio </w:t>
      </w:r>
      <w:proofErr w:type="spellStart"/>
      <w:r w:rsidRPr="00EB226A">
        <w:rPr>
          <w:rFonts w:ascii="Times New Roman" w:eastAsia="Times New Roman" w:hAnsi="Times New Roman"/>
          <w:lang w:val="lt-LT"/>
        </w:rPr>
        <w:t>serotoninerginio</w:t>
      </w:r>
      <w:proofErr w:type="spellEnd"/>
      <w:r w:rsidRPr="00EB226A">
        <w:rPr>
          <w:rFonts w:ascii="Times New Roman" w:eastAsia="Times New Roman" w:hAnsi="Times New Roman"/>
          <w:lang w:val="lt-LT"/>
        </w:rPr>
        <w:t xml:space="preserve"> aktyvumo. Dauguma atvejų šios komplikacijos pradeda reikštis netrukus arba iš karto (&lt;</w:t>
      </w:r>
      <w:r>
        <w:rPr>
          <w:rFonts w:ascii="Times New Roman" w:eastAsia="Times New Roman" w:hAnsi="Times New Roman"/>
          <w:lang w:val="lt-LT"/>
        </w:rPr>
        <w:t> </w:t>
      </w:r>
      <w:r w:rsidRPr="00EB226A">
        <w:rPr>
          <w:rFonts w:ascii="Times New Roman" w:eastAsia="Times New Roman" w:hAnsi="Times New Roman"/>
          <w:lang w:val="lt-LT"/>
        </w:rPr>
        <w:t>24</w:t>
      </w:r>
      <w:r>
        <w:rPr>
          <w:rFonts w:ascii="Times New Roman" w:eastAsia="Times New Roman" w:hAnsi="Times New Roman"/>
          <w:lang w:val="lt-LT"/>
        </w:rPr>
        <w:t> </w:t>
      </w:r>
      <w:r w:rsidRPr="00EB226A">
        <w:rPr>
          <w:rFonts w:ascii="Times New Roman" w:eastAsia="Times New Roman" w:hAnsi="Times New Roman"/>
          <w:lang w:val="lt-LT"/>
        </w:rPr>
        <w:t>valandų) po gimdymo.</w:t>
      </w:r>
    </w:p>
    <w:p w14:paraId="69ACBB28" w14:textId="77777777" w:rsidR="00EB226A" w:rsidRPr="00EB226A" w:rsidRDefault="00EB226A" w:rsidP="00EB226A">
      <w:pPr>
        <w:widowControl w:val="0"/>
        <w:autoSpaceDE w:val="0"/>
        <w:autoSpaceDN w:val="0"/>
        <w:adjustRightInd w:val="0"/>
        <w:spacing w:after="0" w:line="240" w:lineRule="auto"/>
        <w:rPr>
          <w:rFonts w:ascii="Times New Roman" w:eastAsia="Times New Roman" w:hAnsi="Times New Roman"/>
          <w:lang w:val="lt-LT"/>
        </w:rPr>
      </w:pPr>
    </w:p>
    <w:p w14:paraId="253509EC" w14:textId="2964AD07" w:rsidR="00973C44" w:rsidRPr="00EB226A" w:rsidRDefault="00EB226A" w:rsidP="00973C44">
      <w:pPr>
        <w:widowControl w:val="0"/>
        <w:autoSpaceDE w:val="0"/>
        <w:autoSpaceDN w:val="0"/>
        <w:adjustRightInd w:val="0"/>
        <w:spacing w:after="0" w:line="240" w:lineRule="auto"/>
        <w:rPr>
          <w:rFonts w:ascii="Times New Roman" w:eastAsia="Times New Roman" w:hAnsi="Times New Roman"/>
          <w:lang w:val="lt-LT"/>
        </w:rPr>
      </w:pPr>
      <w:r w:rsidRPr="00EB226A">
        <w:rPr>
          <w:rFonts w:ascii="Times New Roman" w:eastAsia="Times New Roman" w:hAnsi="Times New Roman"/>
          <w:lang w:val="lt-LT"/>
        </w:rPr>
        <w:t>Epidemiologiniai duomenys rodo, kad SSRI vartojimas nėštumo metu, ypač nėštumo pabaigoje, gali didinti ilgalaikės naujagimių plaučių hipertenzijos (INPH) riziką. Nors tyrimų, tiriančių INPH ryšį su gydymu vortioksetinu, neatlikta, atsižvelgiant į susijusį veikimo mechanizmą (</w:t>
      </w:r>
      <w:proofErr w:type="spellStart"/>
      <w:r w:rsidRPr="00EB226A">
        <w:rPr>
          <w:rFonts w:ascii="Times New Roman" w:eastAsia="Times New Roman" w:hAnsi="Times New Roman"/>
          <w:lang w:val="lt-LT"/>
        </w:rPr>
        <w:t>serotonino</w:t>
      </w:r>
      <w:proofErr w:type="spellEnd"/>
      <w:r w:rsidRPr="00EB226A">
        <w:rPr>
          <w:rFonts w:ascii="Times New Roman" w:eastAsia="Times New Roman" w:hAnsi="Times New Roman"/>
          <w:lang w:val="lt-LT"/>
        </w:rPr>
        <w:t xml:space="preserve"> koncentracijų padidėjimą), šios galimos rizikos paneigti negalima.</w:t>
      </w:r>
      <w:r w:rsidR="00973C44" w:rsidRPr="00973C44">
        <w:rPr>
          <w:rFonts w:ascii="Times New Roman" w:eastAsia="Times New Roman" w:hAnsi="Times New Roman"/>
          <w:lang w:val="lt-LT"/>
        </w:rPr>
        <w:t xml:space="preserve"> </w:t>
      </w:r>
      <w:r w:rsidR="00973C44">
        <w:rPr>
          <w:rFonts w:ascii="Times New Roman" w:eastAsia="Times New Roman" w:hAnsi="Times New Roman"/>
          <w:lang w:val="lt-LT"/>
        </w:rPr>
        <w:t>Vortioksetino</w:t>
      </w:r>
      <w:r w:rsidR="00973C44" w:rsidRPr="00EB226A">
        <w:rPr>
          <w:rFonts w:ascii="Times New Roman" w:eastAsia="Times New Roman" w:hAnsi="Times New Roman"/>
          <w:lang w:val="lt-LT"/>
        </w:rPr>
        <w:t xml:space="preserve"> nėštumo metu galima vartoti tik tada, jei numatoma nauda nusveria galimą riziką vaisiui.</w:t>
      </w:r>
    </w:p>
    <w:p w14:paraId="345BDDBE" w14:textId="7ECA7AB2" w:rsidR="00EB226A" w:rsidRDefault="00EB226A" w:rsidP="00EB226A">
      <w:pPr>
        <w:widowControl w:val="0"/>
        <w:autoSpaceDE w:val="0"/>
        <w:autoSpaceDN w:val="0"/>
        <w:adjustRightInd w:val="0"/>
        <w:spacing w:after="0" w:line="240" w:lineRule="auto"/>
        <w:rPr>
          <w:rFonts w:ascii="Times New Roman" w:eastAsia="Times New Roman" w:hAnsi="Times New Roman"/>
          <w:lang w:val="lt-LT"/>
        </w:rPr>
      </w:pPr>
    </w:p>
    <w:p w14:paraId="0BE83CFC" w14:textId="631166CD" w:rsidR="00A944F0" w:rsidRPr="00514245" w:rsidRDefault="00EB226A" w:rsidP="00EB226A">
      <w:pPr>
        <w:widowControl w:val="0"/>
        <w:autoSpaceDE w:val="0"/>
        <w:autoSpaceDN w:val="0"/>
        <w:adjustRightInd w:val="0"/>
        <w:spacing w:after="0" w:line="240" w:lineRule="auto"/>
        <w:rPr>
          <w:rFonts w:ascii="Times New Roman" w:eastAsia="Times New Roman" w:hAnsi="Times New Roman"/>
          <w:lang w:val="lt-LT"/>
        </w:rPr>
      </w:pPr>
      <w:r w:rsidRPr="00EB226A">
        <w:rPr>
          <w:rFonts w:ascii="Times New Roman" w:eastAsia="Times New Roman" w:hAnsi="Times New Roman"/>
          <w:lang w:val="lt-LT"/>
        </w:rPr>
        <w:t>Remiantis stebimaisiais tyrimais surinkta įrodymų, kad vartojant SSRI arba SNRI likus mažiau nei mėnesiui iki gimdymo, padidėja (mažiau nei 2</w:t>
      </w:r>
      <w:r w:rsidR="00973C44">
        <w:rPr>
          <w:rFonts w:ascii="Times New Roman" w:eastAsia="Times New Roman" w:hAnsi="Times New Roman"/>
          <w:lang w:val="lt-LT"/>
        </w:rPr>
        <w:t> </w:t>
      </w:r>
      <w:r w:rsidRPr="00EB226A">
        <w:rPr>
          <w:rFonts w:ascii="Times New Roman" w:eastAsia="Times New Roman" w:hAnsi="Times New Roman"/>
          <w:lang w:val="lt-LT"/>
        </w:rPr>
        <w:t>kartus) kraujavimo po gimdymo pavojus. Nors neatlikta nė vieno tyrimo gydymo vortioksetinu sąsajai su kraujavimu po gimdymo ištirti, atsižvelgiant į susijusį veikimo mechanizmą, tokia rizika gali kilti (žr. 4.4 skyrių).</w:t>
      </w:r>
    </w:p>
    <w:p w14:paraId="582E6FD3" w14:textId="77777777" w:rsidR="00973C44" w:rsidRDefault="00973C44" w:rsidP="00305BBD">
      <w:pPr>
        <w:keepNext/>
        <w:autoSpaceDE w:val="0"/>
        <w:autoSpaceDN w:val="0"/>
        <w:adjustRightInd w:val="0"/>
        <w:spacing w:after="0" w:line="240" w:lineRule="auto"/>
        <w:rPr>
          <w:rFonts w:ascii="Times New Roman" w:hAnsi="Times New Roman"/>
          <w:spacing w:val="-1"/>
          <w:position w:val="-1"/>
          <w:u w:val="single"/>
          <w:lang w:val="lt-LT"/>
        </w:rPr>
      </w:pPr>
    </w:p>
    <w:p w14:paraId="1B30D173" w14:textId="46A58D67" w:rsidR="00E0107B" w:rsidRPr="00514245" w:rsidRDefault="00E0107B" w:rsidP="00305BBD">
      <w:pPr>
        <w:keepNext/>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position w:val="-1"/>
          <w:u w:val="single"/>
          <w:lang w:val="lt-LT"/>
        </w:rPr>
        <w:t>Žindymas</w:t>
      </w:r>
    </w:p>
    <w:p w14:paraId="66859476" w14:textId="2CFDAD5B" w:rsidR="0078329A" w:rsidRPr="00514245" w:rsidRDefault="0078329A" w:rsidP="00305BBD">
      <w:pPr>
        <w:keepNext/>
        <w:autoSpaceDE w:val="0"/>
        <w:autoSpaceDN w:val="0"/>
        <w:adjustRightInd w:val="0"/>
        <w:spacing w:after="0" w:line="240" w:lineRule="auto"/>
        <w:rPr>
          <w:rFonts w:ascii="Times New Roman" w:eastAsia="Times New Roman" w:hAnsi="Times New Roman"/>
          <w:lang w:val="lt-LT"/>
        </w:rPr>
      </w:pPr>
    </w:p>
    <w:p w14:paraId="578B8D8F" w14:textId="77777777" w:rsidR="00973C44" w:rsidRDefault="00973C44" w:rsidP="00973C44">
      <w:pPr>
        <w:widowControl w:val="0"/>
        <w:autoSpaceDE w:val="0"/>
        <w:autoSpaceDN w:val="0"/>
        <w:adjustRightInd w:val="0"/>
        <w:spacing w:after="0" w:line="240" w:lineRule="auto"/>
        <w:rPr>
          <w:rFonts w:ascii="Times New Roman" w:eastAsia="Times New Roman" w:hAnsi="Times New Roman"/>
          <w:lang w:val="lt-LT"/>
        </w:rPr>
      </w:pPr>
      <w:r w:rsidRPr="00973C44">
        <w:rPr>
          <w:rFonts w:ascii="Times New Roman" w:eastAsia="Times New Roman" w:hAnsi="Times New Roman"/>
          <w:lang w:val="lt-LT"/>
        </w:rPr>
        <w:t xml:space="preserve">Remiantis ribotais paskelbtais duomenimis, nedideli vortioksetino kiekiai išsiskiria į gydomų moterų </w:t>
      </w:r>
      <w:r w:rsidRPr="00973C44">
        <w:rPr>
          <w:rFonts w:ascii="Times New Roman" w:eastAsia="Times New Roman" w:hAnsi="Times New Roman"/>
          <w:lang w:val="lt-LT"/>
        </w:rPr>
        <w:lastRenderedPageBreak/>
        <w:t xml:space="preserve">pieną, o jo apskaičiuota santykinė dozė kūdikiui (angl. </w:t>
      </w:r>
      <w:proofErr w:type="spellStart"/>
      <w:r w:rsidRPr="00973C44">
        <w:rPr>
          <w:rFonts w:ascii="Times New Roman" w:eastAsia="Times New Roman" w:hAnsi="Times New Roman"/>
          <w:i/>
          <w:iCs/>
          <w:lang w:val="lt-LT"/>
        </w:rPr>
        <w:t>relative</w:t>
      </w:r>
      <w:proofErr w:type="spellEnd"/>
      <w:r w:rsidRPr="00973C44">
        <w:rPr>
          <w:rFonts w:ascii="Times New Roman" w:eastAsia="Times New Roman" w:hAnsi="Times New Roman"/>
          <w:i/>
          <w:iCs/>
          <w:lang w:val="lt-LT"/>
        </w:rPr>
        <w:t xml:space="preserve"> </w:t>
      </w:r>
      <w:proofErr w:type="spellStart"/>
      <w:r w:rsidRPr="00973C44">
        <w:rPr>
          <w:rFonts w:ascii="Times New Roman" w:eastAsia="Times New Roman" w:hAnsi="Times New Roman"/>
          <w:i/>
          <w:iCs/>
          <w:lang w:val="lt-LT"/>
        </w:rPr>
        <w:t>infant</w:t>
      </w:r>
      <w:proofErr w:type="spellEnd"/>
      <w:r w:rsidRPr="00973C44">
        <w:rPr>
          <w:rFonts w:ascii="Times New Roman" w:eastAsia="Times New Roman" w:hAnsi="Times New Roman"/>
          <w:i/>
          <w:iCs/>
          <w:lang w:val="lt-LT"/>
        </w:rPr>
        <w:t xml:space="preserve"> </w:t>
      </w:r>
      <w:proofErr w:type="spellStart"/>
      <w:r w:rsidRPr="00973C44">
        <w:rPr>
          <w:rFonts w:ascii="Times New Roman" w:eastAsia="Times New Roman" w:hAnsi="Times New Roman"/>
          <w:i/>
          <w:iCs/>
          <w:lang w:val="lt-LT"/>
        </w:rPr>
        <w:t>dose</w:t>
      </w:r>
      <w:proofErr w:type="spellEnd"/>
      <w:r w:rsidRPr="00973C44">
        <w:rPr>
          <w:rFonts w:ascii="Times New Roman" w:eastAsia="Times New Roman" w:hAnsi="Times New Roman"/>
          <w:lang w:val="lt-LT"/>
        </w:rPr>
        <w:t>, RID) yra mažesnė nei 2</w:t>
      </w:r>
      <w:r>
        <w:rPr>
          <w:rFonts w:ascii="Times New Roman" w:eastAsia="Times New Roman" w:hAnsi="Times New Roman"/>
          <w:lang w:val="lt-LT"/>
        </w:rPr>
        <w:t> </w:t>
      </w:r>
      <w:r w:rsidRPr="00973C44">
        <w:rPr>
          <w:rFonts w:ascii="Times New Roman" w:eastAsia="Times New Roman" w:hAnsi="Times New Roman"/>
          <w:lang w:val="lt-LT"/>
        </w:rPr>
        <w:t xml:space="preserve">%. </w:t>
      </w:r>
    </w:p>
    <w:p w14:paraId="0662F992" w14:textId="77777777" w:rsidR="00973C44" w:rsidRDefault="00973C44" w:rsidP="00973C44">
      <w:pPr>
        <w:widowControl w:val="0"/>
        <w:autoSpaceDE w:val="0"/>
        <w:autoSpaceDN w:val="0"/>
        <w:adjustRightInd w:val="0"/>
        <w:spacing w:after="0" w:line="240" w:lineRule="auto"/>
        <w:rPr>
          <w:rFonts w:ascii="Times New Roman" w:eastAsia="Times New Roman" w:hAnsi="Times New Roman"/>
          <w:lang w:val="lt-LT"/>
        </w:rPr>
      </w:pPr>
    </w:p>
    <w:p w14:paraId="1FAA51AA" w14:textId="1FC291E0" w:rsidR="00973C44" w:rsidRDefault="00973C44" w:rsidP="00973C44">
      <w:pPr>
        <w:widowControl w:val="0"/>
        <w:autoSpaceDE w:val="0"/>
        <w:autoSpaceDN w:val="0"/>
        <w:adjustRightInd w:val="0"/>
        <w:spacing w:after="0" w:line="240" w:lineRule="auto"/>
        <w:rPr>
          <w:rFonts w:ascii="Times New Roman" w:eastAsia="Times New Roman" w:hAnsi="Times New Roman"/>
          <w:lang w:val="lt-LT"/>
        </w:rPr>
      </w:pPr>
      <w:r w:rsidRPr="00973C44">
        <w:rPr>
          <w:rFonts w:ascii="Times New Roman" w:eastAsia="Times New Roman" w:hAnsi="Times New Roman"/>
          <w:lang w:val="lt-LT"/>
        </w:rPr>
        <w:t>Kūdikiams nebuvo nustatyta jokio kenksmingo, su vaistiniu preparatu susijusio poveikio.</w:t>
      </w:r>
    </w:p>
    <w:p w14:paraId="780CFDC6" w14:textId="77777777" w:rsidR="00973C44" w:rsidRPr="00973C44" w:rsidRDefault="00973C44" w:rsidP="00973C44">
      <w:pPr>
        <w:widowControl w:val="0"/>
        <w:autoSpaceDE w:val="0"/>
        <w:autoSpaceDN w:val="0"/>
        <w:adjustRightInd w:val="0"/>
        <w:spacing w:after="0" w:line="240" w:lineRule="auto"/>
        <w:rPr>
          <w:rFonts w:ascii="Times New Roman" w:eastAsia="Times New Roman" w:hAnsi="Times New Roman"/>
          <w:lang w:val="lt-LT"/>
        </w:rPr>
      </w:pPr>
    </w:p>
    <w:p w14:paraId="35780DEF" w14:textId="303D32FE" w:rsidR="00A944F0" w:rsidRDefault="00973C44" w:rsidP="00973C44">
      <w:pPr>
        <w:widowControl w:val="0"/>
        <w:autoSpaceDE w:val="0"/>
        <w:autoSpaceDN w:val="0"/>
        <w:adjustRightInd w:val="0"/>
        <w:spacing w:after="0" w:line="240" w:lineRule="auto"/>
        <w:rPr>
          <w:rFonts w:ascii="Times New Roman" w:eastAsia="Times New Roman" w:hAnsi="Times New Roman"/>
          <w:lang w:val="lt-LT"/>
        </w:rPr>
      </w:pPr>
      <w:r w:rsidRPr="00973C44">
        <w:rPr>
          <w:rFonts w:ascii="Times New Roman" w:eastAsia="Times New Roman" w:hAnsi="Times New Roman"/>
          <w:lang w:val="lt-LT"/>
        </w:rPr>
        <w:t>Turimų klinikinių duomenų yra nedaug, todėl pavojaus žindomam vaikui negalima atmesti.</w:t>
      </w:r>
      <w:r>
        <w:rPr>
          <w:rFonts w:ascii="Times New Roman" w:eastAsia="Times New Roman" w:hAnsi="Times New Roman"/>
          <w:lang w:val="lt-LT"/>
        </w:rPr>
        <w:t xml:space="preserve"> </w:t>
      </w:r>
      <w:r w:rsidRPr="00973C44">
        <w:rPr>
          <w:rFonts w:ascii="Times New Roman" w:eastAsia="Times New Roman" w:hAnsi="Times New Roman"/>
          <w:lang w:val="lt-LT"/>
        </w:rPr>
        <w:t xml:space="preserve">Atsižvelgiant į žindymo naudą kūdikiui ir gydymo naudą motinai, reikia nuspręsti, ar nutraukti žindymą, ar nutraukti / susilaikyti nuo gydymo </w:t>
      </w:r>
      <w:r>
        <w:rPr>
          <w:rFonts w:ascii="Times New Roman" w:eastAsia="Times New Roman" w:hAnsi="Times New Roman"/>
          <w:lang w:val="lt-LT"/>
        </w:rPr>
        <w:t>vortioksetinu</w:t>
      </w:r>
      <w:r w:rsidRPr="00973C44">
        <w:rPr>
          <w:rFonts w:ascii="Times New Roman" w:eastAsia="Times New Roman" w:hAnsi="Times New Roman"/>
          <w:lang w:val="lt-LT"/>
        </w:rPr>
        <w:t>.</w:t>
      </w:r>
    </w:p>
    <w:p w14:paraId="6303DF17" w14:textId="77777777" w:rsidR="00973C44" w:rsidRPr="00514245" w:rsidRDefault="00973C44" w:rsidP="00973C44">
      <w:pPr>
        <w:widowControl w:val="0"/>
        <w:autoSpaceDE w:val="0"/>
        <w:autoSpaceDN w:val="0"/>
        <w:adjustRightInd w:val="0"/>
        <w:spacing w:after="0" w:line="240" w:lineRule="auto"/>
        <w:rPr>
          <w:rFonts w:ascii="Times New Roman" w:eastAsia="Times New Roman" w:hAnsi="Times New Roman"/>
          <w:lang w:val="lt-LT"/>
        </w:rPr>
      </w:pPr>
    </w:p>
    <w:p w14:paraId="0253F316" w14:textId="77777777" w:rsidR="00E0107B" w:rsidRPr="00514245" w:rsidRDefault="00E0107B" w:rsidP="00305BBD">
      <w:pPr>
        <w:keepNext/>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u w:val="single"/>
          <w:lang w:val="lt-LT"/>
        </w:rPr>
        <w:t>Vaisingumas</w:t>
      </w:r>
    </w:p>
    <w:p w14:paraId="6B52B8AE" w14:textId="578E0DE5" w:rsidR="00E0107B" w:rsidRPr="00514245" w:rsidRDefault="00E0107B" w:rsidP="00305BBD">
      <w:pPr>
        <w:keepNext/>
        <w:autoSpaceDE w:val="0"/>
        <w:autoSpaceDN w:val="0"/>
        <w:adjustRightInd w:val="0"/>
        <w:spacing w:after="0" w:line="240" w:lineRule="auto"/>
        <w:rPr>
          <w:rFonts w:ascii="Times New Roman" w:eastAsia="Times New Roman" w:hAnsi="Times New Roman"/>
          <w:lang w:val="lt-LT"/>
        </w:rPr>
      </w:pPr>
    </w:p>
    <w:p w14:paraId="13567EF9" w14:textId="77777777" w:rsidR="00973C44" w:rsidRDefault="00973C44" w:rsidP="00973C44">
      <w:pPr>
        <w:widowControl w:val="0"/>
        <w:autoSpaceDE w:val="0"/>
        <w:autoSpaceDN w:val="0"/>
        <w:adjustRightInd w:val="0"/>
        <w:spacing w:after="0" w:line="240" w:lineRule="auto"/>
        <w:rPr>
          <w:rFonts w:ascii="Times New Roman" w:eastAsia="Times New Roman" w:hAnsi="Times New Roman"/>
          <w:lang w:val="lt-LT"/>
        </w:rPr>
      </w:pPr>
      <w:r w:rsidRPr="00973C44">
        <w:rPr>
          <w:rFonts w:ascii="Times New Roman" w:eastAsia="Times New Roman" w:hAnsi="Times New Roman"/>
          <w:lang w:val="lt-LT"/>
        </w:rPr>
        <w:t>Vaisingumo tyrimai su žiurkių patinais ir patelėmis parodė, kad vortioksetinas neveikia vislumo, spermos kokybės ir poravimosi (žr. 5.3 skyrių).</w:t>
      </w:r>
    </w:p>
    <w:p w14:paraId="7026D26C" w14:textId="77777777" w:rsidR="00973C44" w:rsidRPr="00973C44" w:rsidRDefault="00973C44" w:rsidP="00973C44">
      <w:pPr>
        <w:widowControl w:val="0"/>
        <w:autoSpaceDE w:val="0"/>
        <w:autoSpaceDN w:val="0"/>
        <w:adjustRightInd w:val="0"/>
        <w:spacing w:after="0" w:line="240" w:lineRule="auto"/>
        <w:rPr>
          <w:rFonts w:ascii="Times New Roman" w:eastAsia="Times New Roman" w:hAnsi="Times New Roman"/>
          <w:lang w:val="lt-LT"/>
        </w:rPr>
      </w:pPr>
    </w:p>
    <w:p w14:paraId="3DF45568" w14:textId="7851CA4E" w:rsidR="00305BBD" w:rsidRDefault="00973C44" w:rsidP="00973C44">
      <w:pPr>
        <w:widowControl w:val="0"/>
        <w:autoSpaceDE w:val="0"/>
        <w:autoSpaceDN w:val="0"/>
        <w:adjustRightInd w:val="0"/>
        <w:spacing w:after="0" w:line="240" w:lineRule="auto"/>
        <w:rPr>
          <w:rFonts w:ascii="Times New Roman" w:eastAsia="Times New Roman" w:hAnsi="Times New Roman"/>
          <w:lang w:val="lt-LT"/>
        </w:rPr>
      </w:pPr>
      <w:r w:rsidRPr="00973C44">
        <w:rPr>
          <w:rFonts w:ascii="Times New Roman" w:eastAsia="Times New Roman" w:hAnsi="Times New Roman"/>
          <w:lang w:val="lt-LT"/>
        </w:rPr>
        <w:t>Gauti pranešimai apie susijusios farmakologinės antidepresantų klasės (SSRI) preparatų vartojusių žmonių atvejus parodė poveikį spermos kokybei (toks poveikis buvo laikinas). Poveikio žmonių vaisingumui iki šiol nepastebėta.</w:t>
      </w:r>
    </w:p>
    <w:p w14:paraId="2BD29E0E" w14:textId="77777777" w:rsidR="00973C44" w:rsidRPr="00514245" w:rsidRDefault="00973C44" w:rsidP="00973C44">
      <w:pPr>
        <w:widowControl w:val="0"/>
        <w:autoSpaceDE w:val="0"/>
        <w:autoSpaceDN w:val="0"/>
        <w:adjustRightInd w:val="0"/>
        <w:spacing w:after="0" w:line="240" w:lineRule="auto"/>
        <w:rPr>
          <w:rFonts w:ascii="Times New Roman" w:eastAsia="Times New Roman" w:hAnsi="Times New Roman"/>
          <w:lang w:val="lt-LT"/>
        </w:rPr>
      </w:pPr>
    </w:p>
    <w:p w14:paraId="5F83D5E8" w14:textId="77777777" w:rsidR="00E0107B" w:rsidRPr="00514245" w:rsidRDefault="00E0107B" w:rsidP="00305BBD">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4.7</w:t>
      </w:r>
      <w:r w:rsidRPr="00514245">
        <w:rPr>
          <w:rFonts w:ascii="Times New Roman" w:hAnsi="Times New Roman"/>
          <w:lang w:val="lt-LT"/>
        </w:rPr>
        <w:tab/>
      </w:r>
      <w:r w:rsidRPr="00514245">
        <w:rPr>
          <w:rFonts w:ascii="Times New Roman" w:hAnsi="Times New Roman"/>
          <w:b/>
          <w:lang w:val="lt-LT"/>
        </w:rPr>
        <w:t>Poveikis gebėjimui vairuoti ir valdyti mechanizmus</w:t>
      </w:r>
    </w:p>
    <w:p w14:paraId="5FB2184B" w14:textId="77777777" w:rsidR="00E0107B" w:rsidRPr="00514245" w:rsidRDefault="00E0107B" w:rsidP="00305BBD">
      <w:pPr>
        <w:keepNext/>
        <w:autoSpaceDE w:val="0"/>
        <w:autoSpaceDN w:val="0"/>
        <w:adjustRightInd w:val="0"/>
        <w:spacing w:after="0" w:line="240" w:lineRule="auto"/>
        <w:rPr>
          <w:rFonts w:ascii="Times New Roman" w:eastAsia="Times New Roman" w:hAnsi="Times New Roman"/>
          <w:lang w:val="lt-LT"/>
        </w:rPr>
      </w:pPr>
    </w:p>
    <w:p w14:paraId="33662C7B" w14:textId="02FBF19F" w:rsidR="001D2029" w:rsidRDefault="00973C44" w:rsidP="00305BBD">
      <w:pPr>
        <w:widowControl w:val="0"/>
        <w:tabs>
          <w:tab w:val="left" w:pos="9270"/>
        </w:tabs>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Vortioxetine Zentiva</w:t>
      </w:r>
      <w:r w:rsidRPr="00973C44">
        <w:rPr>
          <w:rFonts w:ascii="Times New Roman" w:eastAsia="Times New Roman" w:hAnsi="Times New Roman"/>
          <w:lang w:val="lt-LT"/>
        </w:rPr>
        <w:t xml:space="preserve"> gebėjimo vairuoti ir valdyti mechanizmus neveikia arba veikia nereikšmingai. Vis dėlto buvo pranešti nepageidaujami poveikiai, tokie kaip </w:t>
      </w:r>
      <w:r w:rsidR="00440C4F">
        <w:rPr>
          <w:rFonts w:ascii="Times New Roman" w:eastAsia="Times New Roman" w:hAnsi="Times New Roman"/>
          <w:lang w:val="lt-LT"/>
        </w:rPr>
        <w:t>svaigulys</w:t>
      </w:r>
      <w:r w:rsidRPr="00973C44">
        <w:rPr>
          <w:rFonts w:ascii="Times New Roman" w:eastAsia="Times New Roman" w:hAnsi="Times New Roman"/>
          <w:lang w:val="lt-LT"/>
        </w:rPr>
        <w:t>, todėl pacientai turi būti atsargūs vairuodami ar valdydami pavojingus mechanizmus, ypač gydymo vortioksetinu pradžioje arba keičiant dozę.</w:t>
      </w:r>
    </w:p>
    <w:p w14:paraId="041870E5" w14:textId="77777777" w:rsidR="001D00DA" w:rsidRPr="00514245" w:rsidRDefault="001D00DA" w:rsidP="00305BBD">
      <w:pPr>
        <w:widowControl w:val="0"/>
        <w:tabs>
          <w:tab w:val="left" w:pos="9270"/>
        </w:tabs>
        <w:autoSpaceDE w:val="0"/>
        <w:autoSpaceDN w:val="0"/>
        <w:adjustRightInd w:val="0"/>
        <w:spacing w:after="0" w:line="240" w:lineRule="auto"/>
        <w:rPr>
          <w:rFonts w:ascii="Times New Roman" w:eastAsia="Times New Roman" w:hAnsi="Times New Roman"/>
          <w:lang w:val="lt-LT"/>
        </w:rPr>
      </w:pPr>
    </w:p>
    <w:p w14:paraId="52ADB356" w14:textId="77777777" w:rsidR="00E0107B" w:rsidRPr="00514245" w:rsidRDefault="00E0107B" w:rsidP="00305BBD">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4.8</w:t>
      </w:r>
      <w:r w:rsidRPr="00514245">
        <w:rPr>
          <w:rFonts w:ascii="Times New Roman" w:hAnsi="Times New Roman"/>
          <w:lang w:val="lt-LT"/>
        </w:rPr>
        <w:tab/>
      </w:r>
      <w:r w:rsidRPr="00514245">
        <w:rPr>
          <w:rFonts w:ascii="Times New Roman" w:hAnsi="Times New Roman"/>
          <w:b/>
          <w:lang w:val="lt-LT"/>
        </w:rPr>
        <w:t>Nepageidaujamas poveikis</w:t>
      </w:r>
    </w:p>
    <w:p w14:paraId="6CC5BBFD" w14:textId="77777777" w:rsidR="00E0107B" w:rsidRPr="00514245" w:rsidRDefault="00E0107B" w:rsidP="00305BBD">
      <w:pPr>
        <w:keepNext/>
        <w:autoSpaceDE w:val="0"/>
        <w:autoSpaceDN w:val="0"/>
        <w:adjustRightInd w:val="0"/>
        <w:spacing w:after="0" w:line="240" w:lineRule="auto"/>
        <w:rPr>
          <w:rFonts w:ascii="Times New Roman" w:eastAsia="Times New Roman" w:hAnsi="Times New Roman"/>
          <w:lang w:val="lt-LT"/>
        </w:rPr>
      </w:pPr>
    </w:p>
    <w:p w14:paraId="2AB79F8F" w14:textId="77777777" w:rsidR="00E824AA" w:rsidRPr="00514245" w:rsidRDefault="00E824AA" w:rsidP="00305BBD">
      <w:pPr>
        <w:keepNext/>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Saugumo duomenų santrauka</w:t>
      </w:r>
    </w:p>
    <w:p w14:paraId="5233D498" w14:textId="77777777" w:rsidR="00305BBD" w:rsidRPr="00514245" w:rsidRDefault="00305BBD" w:rsidP="00305BBD">
      <w:pPr>
        <w:keepNext/>
        <w:autoSpaceDE w:val="0"/>
        <w:autoSpaceDN w:val="0"/>
        <w:adjustRightInd w:val="0"/>
        <w:spacing w:after="0" w:line="240" w:lineRule="auto"/>
        <w:rPr>
          <w:rFonts w:ascii="Times New Roman" w:eastAsia="Times New Roman" w:hAnsi="Times New Roman"/>
          <w:lang w:val="lt-LT"/>
        </w:rPr>
      </w:pPr>
    </w:p>
    <w:p w14:paraId="7FE803B8" w14:textId="3FB3A031" w:rsidR="001D2029" w:rsidRDefault="00973C44" w:rsidP="001D2029">
      <w:pPr>
        <w:widowControl w:val="0"/>
        <w:autoSpaceDE w:val="0"/>
        <w:autoSpaceDN w:val="0"/>
        <w:adjustRightInd w:val="0"/>
        <w:spacing w:after="0" w:line="240" w:lineRule="auto"/>
        <w:rPr>
          <w:rFonts w:ascii="Times New Roman" w:eastAsia="Times New Roman" w:hAnsi="Times New Roman"/>
          <w:lang w:val="lt-LT"/>
        </w:rPr>
      </w:pPr>
      <w:r w:rsidRPr="00973C44">
        <w:rPr>
          <w:rFonts w:ascii="Times New Roman" w:eastAsia="Times New Roman" w:hAnsi="Times New Roman"/>
          <w:lang w:val="lt-LT"/>
        </w:rPr>
        <w:t>Dažniausia nepageidaujama reakcija buvo pykinimas.</w:t>
      </w:r>
    </w:p>
    <w:p w14:paraId="7068A394" w14:textId="77777777" w:rsidR="00973C44" w:rsidRPr="00514245" w:rsidRDefault="00973C44" w:rsidP="001D2029">
      <w:pPr>
        <w:widowControl w:val="0"/>
        <w:autoSpaceDE w:val="0"/>
        <w:autoSpaceDN w:val="0"/>
        <w:adjustRightInd w:val="0"/>
        <w:spacing w:after="0" w:line="240" w:lineRule="auto"/>
        <w:rPr>
          <w:rFonts w:ascii="Times New Roman" w:eastAsia="Times New Roman" w:hAnsi="Times New Roman"/>
          <w:lang w:val="lt-LT"/>
        </w:rPr>
      </w:pPr>
    </w:p>
    <w:p w14:paraId="1582AEB8" w14:textId="00EC5F30" w:rsidR="00E0107B" w:rsidRDefault="00E824AA" w:rsidP="00E233EE">
      <w:pPr>
        <w:keepNext/>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Nepageidaujamų reakcijų santrauka lentelėje</w:t>
      </w:r>
    </w:p>
    <w:p w14:paraId="4B99F8B5" w14:textId="77777777" w:rsidR="00973C44" w:rsidRPr="00514245" w:rsidRDefault="00973C44" w:rsidP="00E233EE">
      <w:pPr>
        <w:keepNext/>
        <w:autoSpaceDE w:val="0"/>
        <w:autoSpaceDN w:val="0"/>
        <w:adjustRightInd w:val="0"/>
        <w:spacing w:after="0" w:line="240" w:lineRule="auto"/>
        <w:rPr>
          <w:rFonts w:ascii="Times New Roman" w:eastAsia="Times New Roman" w:hAnsi="Times New Roman"/>
          <w:u w:val="single"/>
          <w:lang w:val="lt-LT"/>
        </w:rPr>
      </w:pPr>
    </w:p>
    <w:p w14:paraId="5CD3F3D4" w14:textId="2F117669" w:rsidR="002023BD" w:rsidRPr="00973C44" w:rsidRDefault="00E233EE" w:rsidP="002023BD">
      <w:pPr>
        <w:widowControl w:val="0"/>
        <w:autoSpaceDE w:val="0"/>
        <w:autoSpaceDN w:val="0"/>
        <w:adjustRightInd w:val="0"/>
        <w:spacing w:after="0" w:line="240" w:lineRule="auto"/>
        <w:rPr>
          <w:rFonts w:ascii="Times New Roman" w:hAnsi="Times New Roman"/>
          <w:lang w:val="lt-LT"/>
        </w:rPr>
      </w:pPr>
      <w:r w:rsidRPr="00514245">
        <w:rPr>
          <w:rFonts w:ascii="Times New Roman" w:eastAsia="Times New Roman" w:hAnsi="Times New Roman"/>
          <w:lang w:val="lt-LT"/>
        </w:rPr>
        <w:t>N</w:t>
      </w:r>
      <w:r w:rsidR="000C5799" w:rsidRPr="00514245">
        <w:rPr>
          <w:rFonts w:ascii="Times New Roman" w:eastAsia="Times New Roman" w:hAnsi="Times New Roman"/>
          <w:lang w:val="lt-LT"/>
        </w:rPr>
        <w:t xml:space="preserve">epageidaujamo poveikio </w:t>
      </w:r>
      <w:r w:rsidR="009421D8" w:rsidRPr="00514245">
        <w:rPr>
          <w:rFonts w:ascii="Times New Roman" w:hAnsi="Times New Roman"/>
          <w:spacing w:val="-1"/>
          <w:lang w:val="lt-LT"/>
        </w:rPr>
        <w:t>dažnis apibūdinamas taip:</w:t>
      </w:r>
      <w:r w:rsidR="00E0107B" w:rsidRPr="00514245">
        <w:rPr>
          <w:rFonts w:ascii="Times New Roman" w:hAnsi="Times New Roman"/>
          <w:spacing w:val="-1"/>
          <w:lang w:val="lt-LT"/>
        </w:rPr>
        <w:t xml:space="preserve"> </w:t>
      </w:r>
      <w:r w:rsidR="00E0107B" w:rsidRPr="00514245">
        <w:rPr>
          <w:rFonts w:ascii="Times New Roman" w:hAnsi="Times New Roman"/>
          <w:lang w:val="lt-LT"/>
        </w:rPr>
        <w:t>labai dažn</w:t>
      </w:r>
      <w:r w:rsidR="009421D8" w:rsidRPr="00514245">
        <w:rPr>
          <w:rFonts w:ascii="Times New Roman" w:hAnsi="Times New Roman"/>
          <w:lang w:val="lt-LT"/>
        </w:rPr>
        <w:t>a</w:t>
      </w:r>
      <w:r w:rsidR="00E0107B" w:rsidRPr="00514245">
        <w:rPr>
          <w:rFonts w:ascii="Times New Roman" w:hAnsi="Times New Roman"/>
          <w:lang w:val="lt-LT"/>
        </w:rPr>
        <w:t>s (≥</w:t>
      </w:r>
      <w:r w:rsidR="00A549F0" w:rsidRPr="00514245">
        <w:rPr>
          <w:rFonts w:ascii="Times New Roman" w:hAnsi="Times New Roman"/>
          <w:lang w:val="lt-LT"/>
        </w:rPr>
        <w:t> </w:t>
      </w:r>
      <w:r w:rsidR="00E0107B" w:rsidRPr="00514245">
        <w:rPr>
          <w:rFonts w:ascii="Times New Roman" w:hAnsi="Times New Roman"/>
          <w:lang w:val="lt-LT"/>
        </w:rPr>
        <w:t>1/10)</w:t>
      </w:r>
      <w:r w:rsidR="00033A39" w:rsidRPr="00514245">
        <w:rPr>
          <w:rFonts w:ascii="Times New Roman" w:hAnsi="Times New Roman"/>
          <w:lang w:val="lt-LT"/>
        </w:rPr>
        <w:t>,</w:t>
      </w:r>
      <w:r w:rsidR="00E0107B" w:rsidRPr="00514245">
        <w:rPr>
          <w:rFonts w:ascii="Times New Roman" w:hAnsi="Times New Roman"/>
          <w:lang w:val="lt-LT"/>
        </w:rPr>
        <w:t xml:space="preserve"> dažn</w:t>
      </w:r>
      <w:r w:rsidR="009421D8" w:rsidRPr="00514245">
        <w:rPr>
          <w:rFonts w:ascii="Times New Roman" w:hAnsi="Times New Roman"/>
          <w:lang w:val="lt-LT"/>
        </w:rPr>
        <w:t>a</w:t>
      </w:r>
      <w:r w:rsidR="00E0107B" w:rsidRPr="00514245">
        <w:rPr>
          <w:rFonts w:ascii="Times New Roman" w:hAnsi="Times New Roman"/>
          <w:lang w:val="lt-LT"/>
        </w:rPr>
        <w:t>s (nuo ≥</w:t>
      </w:r>
      <w:r w:rsidR="00A549F0" w:rsidRPr="00514245">
        <w:rPr>
          <w:rFonts w:ascii="Times New Roman" w:hAnsi="Times New Roman"/>
          <w:lang w:val="lt-LT"/>
        </w:rPr>
        <w:t> </w:t>
      </w:r>
      <w:r w:rsidR="00E0107B" w:rsidRPr="00514245">
        <w:rPr>
          <w:rFonts w:ascii="Times New Roman" w:hAnsi="Times New Roman"/>
          <w:lang w:val="lt-LT"/>
        </w:rPr>
        <w:t>1/100 iki &lt;</w:t>
      </w:r>
      <w:r w:rsidR="00A549F0" w:rsidRPr="00514245">
        <w:rPr>
          <w:rFonts w:ascii="Times New Roman" w:hAnsi="Times New Roman"/>
          <w:lang w:val="lt-LT"/>
        </w:rPr>
        <w:t> </w:t>
      </w:r>
      <w:r w:rsidR="00E0107B" w:rsidRPr="00514245">
        <w:rPr>
          <w:rFonts w:ascii="Times New Roman" w:hAnsi="Times New Roman"/>
          <w:lang w:val="lt-LT"/>
        </w:rPr>
        <w:t>1/10)</w:t>
      </w:r>
      <w:r w:rsidR="00033A39" w:rsidRPr="00514245">
        <w:rPr>
          <w:rFonts w:ascii="Times New Roman" w:hAnsi="Times New Roman"/>
          <w:lang w:val="lt-LT"/>
        </w:rPr>
        <w:t>,</w:t>
      </w:r>
      <w:r w:rsidR="00E0107B" w:rsidRPr="00514245">
        <w:rPr>
          <w:rFonts w:ascii="Times New Roman" w:hAnsi="Times New Roman"/>
          <w:lang w:val="lt-LT"/>
        </w:rPr>
        <w:t xml:space="preserve"> nedažn</w:t>
      </w:r>
      <w:r w:rsidR="009421D8" w:rsidRPr="00514245">
        <w:rPr>
          <w:rFonts w:ascii="Times New Roman" w:hAnsi="Times New Roman"/>
          <w:lang w:val="lt-LT"/>
        </w:rPr>
        <w:t>a</w:t>
      </w:r>
      <w:r w:rsidR="00E0107B" w:rsidRPr="00514245">
        <w:rPr>
          <w:rFonts w:ascii="Times New Roman" w:hAnsi="Times New Roman"/>
          <w:lang w:val="lt-LT"/>
        </w:rPr>
        <w:t>s (nuo ≥</w:t>
      </w:r>
      <w:r w:rsidR="00A549F0" w:rsidRPr="00514245">
        <w:rPr>
          <w:rFonts w:ascii="Times New Roman" w:hAnsi="Times New Roman"/>
          <w:lang w:val="lt-LT"/>
        </w:rPr>
        <w:t> </w:t>
      </w:r>
      <w:r w:rsidR="00E0107B" w:rsidRPr="00514245">
        <w:rPr>
          <w:rFonts w:ascii="Times New Roman" w:hAnsi="Times New Roman"/>
          <w:lang w:val="lt-LT"/>
        </w:rPr>
        <w:t>1/1</w:t>
      </w:r>
      <w:r w:rsidR="00A549F0" w:rsidRPr="00514245">
        <w:rPr>
          <w:rFonts w:ascii="Times New Roman" w:hAnsi="Times New Roman"/>
          <w:lang w:val="lt-LT"/>
        </w:rPr>
        <w:t> </w:t>
      </w:r>
      <w:r w:rsidR="00E0107B" w:rsidRPr="00514245">
        <w:rPr>
          <w:rFonts w:ascii="Times New Roman" w:hAnsi="Times New Roman"/>
          <w:lang w:val="lt-LT"/>
        </w:rPr>
        <w:t>000 iki &lt;</w:t>
      </w:r>
      <w:r w:rsidR="00A549F0" w:rsidRPr="00514245">
        <w:rPr>
          <w:rFonts w:ascii="Times New Roman" w:hAnsi="Times New Roman"/>
          <w:lang w:val="lt-LT"/>
        </w:rPr>
        <w:t> </w:t>
      </w:r>
      <w:r w:rsidR="00E0107B" w:rsidRPr="00514245">
        <w:rPr>
          <w:rFonts w:ascii="Times New Roman" w:hAnsi="Times New Roman"/>
          <w:lang w:val="lt-LT"/>
        </w:rPr>
        <w:t>1/100)</w:t>
      </w:r>
      <w:r w:rsidR="00033A39" w:rsidRPr="00514245">
        <w:rPr>
          <w:rFonts w:ascii="Times New Roman" w:hAnsi="Times New Roman"/>
          <w:lang w:val="lt-LT"/>
        </w:rPr>
        <w:t>,</w:t>
      </w:r>
      <w:r w:rsidR="00E0107B" w:rsidRPr="00514245">
        <w:rPr>
          <w:rFonts w:ascii="Times New Roman" w:hAnsi="Times New Roman"/>
          <w:lang w:val="lt-LT"/>
        </w:rPr>
        <w:t xml:space="preserve"> ret</w:t>
      </w:r>
      <w:r w:rsidR="009421D8" w:rsidRPr="00514245">
        <w:rPr>
          <w:rFonts w:ascii="Times New Roman" w:hAnsi="Times New Roman"/>
          <w:lang w:val="lt-LT"/>
        </w:rPr>
        <w:t>a</w:t>
      </w:r>
      <w:r w:rsidR="00E0107B" w:rsidRPr="00514245">
        <w:rPr>
          <w:rFonts w:ascii="Times New Roman" w:hAnsi="Times New Roman"/>
          <w:lang w:val="lt-LT"/>
        </w:rPr>
        <w:t>s (nuo ≥</w:t>
      </w:r>
      <w:r w:rsidR="00A549F0" w:rsidRPr="00514245">
        <w:rPr>
          <w:rFonts w:ascii="Times New Roman" w:hAnsi="Times New Roman"/>
          <w:lang w:val="lt-LT"/>
        </w:rPr>
        <w:t> </w:t>
      </w:r>
      <w:r w:rsidR="00E0107B" w:rsidRPr="00514245">
        <w:rPr>
          <w:rFonts w:ascii="Times New Roman" w:hAnsi="Times New Roman"/>
          <w:lang w:val="lt-LT"/>
        </w:rPr>
        <w:t>1/10</w:t>
      </w:r>
      <w:r w:rsidR="00A549F0" w:rsidRPr="00514245">
        <w:rPr>
          <w:rFonts w:ascii="Times New Roman" w:hAnsi="Times New Roman"/>
          <w:lang w:val="lt-LT"/>
        </w:rPr>
        <w:t> </w:t>
      </w:r>
      <w:r w:rsidR="00E0107B" w:rsidRPr="00514245">
        <w:rPr>
          <w:rFonts w:ascii="Times New Roman" w:hAnsi="Times New Roman"/>
          <w:lang w:val="lt-LT"/>
        </w:rPr>
        <w:t>000 iki &lt;</w:t>
      </w:r>
      <w:r w:rsidR="00A549F0" w:rsidRPr="00514245">
        <w:rPr>
          <w:rFonts w:ascii="Times New Roman" w:hAnsi="Times New Roman"/>
          <w:lang w:val="lt-LT"/>
        </w:rPr>
        <w:t> </w:t>
      </w:r>
      <w:r w:rsidR="00E0107B" w:rsidRPr="00514245">
        <w:rPr>
          <w:rFonts w:ascii="Times New Roman" w:hAnsi="Times New Roman"/>
          <w:lang w:val="lt-LT"/>
        </w:rPr>
        <w:t>1/1</w:t>
      </w:r>
      <w:r w:rsidR="00A549F0" w:rsidRPr="00514245">
        <w:rPr>
          <w:rFonts w:ascii="Times New Roman" w:hAnsi="Times New Roman"/>
          <w:lang w:val="lt-LT"/>
        </w:rPr>
        <w:t> </w:t>
      </w:r>
      <w:r w:rsidR="00E0107B" w:rsidRPr="00514245">
        <w:rPr>
          <w:rFonts w:ascii="Times New Roman" w:hAnsi="Times New Roman"/>
          <w:lang w:val="lt-LT"/>
        </w:rPr>
        <w:t>000)</w:t>
      </w:r>
      <w:r w:rsidR="00033A39" w:rsidRPr="00514245">
        <w:rPr>
          <w:rFonts w:ascii="Times New Roman" w:hAnsi="Times New Roman"/>
          <w:lang w:val="lt-LT"/>
        </w:rPr>
        <w:t>,</w:t>
      </w:r>
      <w:r w:rsidR="00E0107B" w:rsidRPr="00514245">
        <w:rPr>
          <w:rFonts w:ascii="Times New Roman" w:hAnsi="Times New Roman"/>
          <w:lang w:val="lt-LT"/>
        </w:rPr>
        <w:t xml:space="preserve"> labai ret</w:t>
      </w:r>
      <w:r w:rsidR="009421D8" w:rsidRPr="00514245">
        <w:rPr>
          <w:rFonts w:ascii="Times New Roman" w:hAnsi="Times New Roman"/>
          <w:lang w:val="lt-LT"/>
        </w:rPr>
        <w:t>a</w:t>
      </w:r>
      <w:r w:rsidR="00E0107B" w:rsidRPr="00514245">
        <w:rPr>
          <w:rFonts w:ascii="Times New Roman" w:hAnsi="Times New Roman"/>
          <w:lang w:val="lt-LT"/>
        </w:rPr>
        <w:t>s (&lt;</w:t>
      </w:r>
      <w:r w:rsidR="00A549F0" w:rsidRPr="00514245">
        <w:rPr>
          <w:rFonts w:ascii="Times New Roman" w:hAnsi="Times New Roman"/>
          <w:lang w:val="lt-LT"/>
        </w:rPr>
        <w:t> </w:t>
      </w:r>
      <w:r w:rsidR="00E0107B" w:rsidRPr="00514245">
        <w:rPr>
          <w:rFonts w:ascii="Times New Roman" w:hAnsi="Times New Roman"/>
          <w:lang w:val="lt-LT"/>
        </w:rPr>
        <w:t>1/10</w:t>
      </w:r>
      <w:r w:rsidR="00A549F0" w:rsidRPr="00514245">
        <w:rPr>
          <w:rFonts w:ascii="Times New Roman" w:hAnsi="Times New Roman"/>
          <w:lang w:val="lt-LT"/>
        </w:rPr>
        <w:t> </w:t>
      </w:r>
      <w:r w:rsidR="00E0107B" w:rsidRPr="00514245">
        <w:rPr>
          <w:rFonts w:ascii="Times New Roman" w:hAnsi="Times New Roman"/>
          <w:lang w:val="lt-LT"/>
        </w:rPr>
        <w:t>000)</w:t>
      </w:r>
      <w:r w:rsidR="009421D8" w:rsidRPr="00514245">
        <w:rPr>
          <w:rFonts w:ascii="Times New Roman" w:hAnsi="Times New Roman"/>
          <w:lang w:val="lt-LT"/>
        </w:rPr>
        <w:t xml:space="preserve"> ir </w:t>
      </w:r>
      <w:r w:rsidR="00E0107B" w:rsidRPr="00514245">
        <w:rPr>
          <w:rFonts w:ascii="Times New Roman" w:hAnsi="Times New Roman"/>
          <w:lang w:val="lt-LT"/>
        </w:rPr>
        <w:t xml:space="preserve">nežinomas (negali būti </w:t>
      </w:r>
      <w:r w:rsidR="009421D8" w:rsidRPr="00514245">
        <w:rPr>
          <w:rFonts w:ascii="Times New Roman" w:hAnsi="Times New Roman"/>
          <w:lang w:val="lt-LT"/>
        </w:rPr>
        <w:t>apskaičiuotas</w:t>
      </w:r>
      <w:r w:rsidR="00E0107B" w:rsidRPr="00514245">
        <w:rPr>
          <w:rFonts w:ascii="Times New Roman" w:hAnsi="Times New Roman"/>
          <w:lang w:val="lt-LT"/>
        </w:rPr>
        <w:t xml:space="preserve"> pagal turimus </w:t>
      </w:r>
      <w:r w:rsidR="00E0107B" w:rsidRPr="00973C44">
        <w:rPr>
          <w:rFonts w:ascii="Times New Roman" w:hAnsi="Times New Roman"/>
          <w:lang w:val="lt-LT"/>
        </w:rPr>
        <w:t>duomenis).</w:t>
      </w:r>
      <w:r w:rsidR="009A762B" w:rsidRPr="00973C44">
        <w:rPr>
          <w:rFonts w:ascii="Times New Roman" w:hAnsi="Times New Roman"/>
          <w:lang w:val="lt-LT"/>
        </w:rPr>
        <w:t xml:space="preserve"> </w:t>
      </w:r>
      <w:r w:rsidR="00973C44" w:rsidRPr="00973C44">
        <w:rPr>
          <w:rFonts w:ascii="Times New Roman" w:hAnsi="Times New Roman"/>
          <w:lang w:val="lt-LT"/>
        </w:rPr>
        <w:t xml:space="preserve">Sąrašas pagrįstas klinikinių tyrimų informacija ir </w:t>
      </w:r>
      <w:proofErr w:type="spellStart"/>
      <w:r w:rsidR="00973C44" w:rsidRPr="00973C44">
        <w:rPr>
          <w:rFonts w:ascii="Times New Roman" w:hAnsi="Times New Roman"/>
          <w:lang w:val="lt-LT"/>
        </w:rPr>
        <w:t>poregistracinio</w:t>
      </w:r>
      <w:proofErr w:type="spellEnd"/>
      <w:r w:rsidR="00973C44" w:rsidRPr="00973C44">
        <w:rPr>
          <w:rFonts w:ascii="Times New Roman" w:hAnsi="Times New Roman"/>
          <w:lang w:val="lt-LT"/>
        </w:rPr>
        <w:t xml:space="preserve"> laikotarpio patirtimi.</w:t>
      </w:r>
    </w:p>
    <w:p w14:paraId="7D12F597" w14:textId="77777777" w:rsidR="00973C44" w:rsidRPr="00514245" w:rsidRDefault="00973C44" w:rsidP="002023BD">
      <w:pPr>
        <w:widowControl w:val="0"/>
        <w:autoSpaceDE w:val="0"/>
        <w:autoSpaceDN w:val="0"/>
        <w:adjustRightInd w:val="0"/>
        <w:spacing w:after="0" w:line="240" w:lineRule="auto"/>
        <w:rPr>
          <w:rFonts w:ascii="Times New Roman" w:hAnsi="Times New Roman"/>
          <w:lang w:val="lt-LT"/>
        </w:rPr>
      </w:pPr>
    </w:p>
    <w:tbl>
      <w:tblPr>
        <w:tblStyle w:val="Lentelstinklelis"/>
        <w:tblW w:w="8642" w:type="dxa"/>
        <w:tblLook w:val="04A0" w:firstRow="1" w:lastRow="0" w:firstColumn="1" w:lastColumn="0" w:noHBand="0" w:noVBand="1"/>
      </w:tblPr>
      <w:tblGrid>
        <w:gridCol w:w="3823"/>
        <w:gridCol w:w="1842"/>
        <w:gridCol w:w="2977"/>
      </w:tblGrid>
      <w:tr w:rsidR="00973C44" w:rsidRPr="00514245" w14:paraId="36C05696" w14:textId="77777777" w:rsidTr="004F2BD6">
        <w:trPr>
          <w:tblHeader/>
        </w:trPr>
        <w:tc>
          <w:tcPr>
            <w:tcW w:w="3823" w:type="dxa"/>
            <w:vAlign w:val="center"/>
          </w:tcPr>
          <w:p w14:paraId="2F2173F7" w14:textId="5B6495EB" w:rsidR="00973C44" w:rsidRPr="00514245" w:rsidRDefault="00973C44" w:rsidP="00C52420">
            <w:pPr>
              <w:widowControl w:val="0"/>
              <w:autoSpaceDE w:val="0"/>
              <w:autoSpaceDN w:val="0"/>
              <w:adjustRightInd w:val="0"/>
              <w:spacing w:after="0" w:line="240" w:lineRule="auto"/>
              <w:jc w:val="center"/>
              <w:rPr>
                <w:rFonts w:ascii="Times New Roman" w:hAnsi="Times New Roman"/>
              </w:rPr>
            </w:pPr>
            <w:r w:rsidRPr="00514245">
              <w:rPr>
                <w:rFonts w:ascii="Times New Roman" w:eastAsia="Times New Roman" w:hAnsi="Times New Roman"/>
                <w:b/>
                <w:bCs/>
              </w:rPr>
              <w:t>Organų sistemų klasė</w:t>
            </w:r>
          </w:p>
        </w:tc>
        <w:tc>
          <w:tcPr>
            <w:tcW w:w="1842" w:type="dxa"/>
            <w:vAlign w:val="center"/>
          </w:tcPr>
          <w:p w14:paraId="316AA83E" w14:textId="4F21BB3C" w:rsidR="00973C44" w:rsidRPr="00514245" w:rsidRDefault="00973C44" w:rsidP="00C52420">
            <w:pPr>
              <w:widowControl w:val="0"/>
              <w:autoSpaceDE w:val="0"/>
              <w:autoSpaceDN w:val="0"/>
              <w:adjustRightInd w:val="0"/>
              <w:spacing w:after="0" w:line="240" w:lineRule="auto"/>
              <w:jc w:val="center"/>
              <w:rPr>
                <w:rFonts w:ascii="Times New Roman" w:hAnsi="Times New Roman"/>
              </w:rPr>
            </w:pPr>
            <w:r w:rsidRPr="00514245">
              <w:rPr>
                <w:rFonts w:ascii="Times New Roman" w:eastAsia="Times New Roman" w:hAnsi="Times New Roman"/>
                <w:b/>
                <w:bCs/>
              </w:rPr>
              <w:t>Dažn</w:t>
            </w:r>
            <w:r>
              <w:rPr>
                <w:rFonts w:ascii="Times New Roman" w:eastAsia="Times New Roman" w:hAnsi="Times New Roman"/>
                <w:b/>
                <w:bCs/>
              </w:rPr>
              <w:t>i</w:t>
            </w:r>
            <w:r w:rsidRPr="00514245">
              <w:rPr>
                <w:rFonts w:ascii="Times New Roman" w:eastAsia="Times New Roman" w:hAnsi="Times New Roman"/>
                <w:b/>
                <w:bCs/>
              </w:rPr>
              <w:t>s</w:t>
            </w:r>
          </w:p>
        </w:tc>
        <w:tc>
          <w:tcPr>
            <w:tcW w:w="2977" w:type="dxa"/>
            <w:vAlign w:val="center"/>
          </w:tcPr>
          <w:p w14:paraId="63C5205F" w14:textId="7F2BABB3" w:rsidR="00973C44" w:rsidRPr="00514245" w:rsidRDefault="00973C44" w:rsidP="00C52420">
            <w:pPr>
              <w:widowControl w:val="0"/>
              <w:autoSpaceDE w:val="0"/>
              <w:autoSpaceDN w:val="0"/>
              <w:adjustRightInd w:val="0"/>
              <w:spacing w:after="0" w:line="240" w:lineRule="auto"/>
              <w:jc w:val="center"/>
              <w:rPr>
                <w:rFonts w:ascii="Times New Roman" w:hAnsi="Times New Roman"/>
              </w:rPr>
            </w:pPr>
            <w:r>
              <w:rPr>
                <w:rFonts w:ascii="Times New Roman" w:eastAsia="Times New Roman" w:hAnsi="Times New Roman"/>
                <w:b/>
                <w:bCs/>
              </w:rPr>
              <w:t>Nepageidaujama reakcija</w:t>
            </w:r>
          </w:p>
        </w:tc>
      </w:tr>
      <w:tr w:rsidR="00973C44" w:rsidRPr="00514245" w14:paraId="16B440D9" w14:textId="77777777" w:rsidTr="004F2BD6">
        <w:tc>
          <w:tcPr>
            <w:tcW w:w="3823" w:type="dxa"/>
          </w:tcPr>
          <w:p w14:paraId="0BC68213" w14:textId="4019F730" w:rsidR="00973C44" w:rsidRPr="00514245" w:rsidRDefault="00973C44" w:rsidP="00C52420">
            <w:pPr>
              <w:widowControl w:val="0"/>
              <w:autoSpaceDE w:val="0"/>
              <w:autoSpaceDN w:val="0"/>
              <w:adjustRightInd w:val="0"/>
              <w:spacing w:after="0" w:line="240" w:lineRule="auto"/>
              <w:rPr>
                <w:rFonts w:ascii="Times New Roman" w:hAnsi="Times New Roman"/>
              </w:rPr>
            </w:pPr>
            <w:r w:rsidRPr="00973C44">
              <w:rPr>
                <w:rFonts w:ascii="Times New Roman" w:eastAsia="Times New Roman" w:hAnsi="Times New Roman"/>
              </w:rPr>
              <w:t>Imuninės sistemos sutrikimai</w:t>
            </w:r>
          </w:p>
        </w:tc>
        <w:tc>
          <w:tcPr>
            <w:tcW w:w="1842" w:type="dxa"/>
          </w:tcPr>
          <w:p w14:paraId="5978D49D" w14:textId="1FA13894" w:rsidR="00973C44" w:rsidRPr="00973C44" w:rsidRDefault="00973C44" w:rsidP="00C52420">
            <w:pPr>
              <w:widowControl w:val="0"/>
              <w:autoSpaceDE w:val="0"/>
              <w:autoSpaceDN w:val="0"/>
              <w:adjustRightInd w:val="0"/>
              <w:spacing w:after="0" w:line="240" w:lineRule="auto"/>
              <w:rPr>
                <w:rFonts w:ascii="Times New Roman" w:hAnsi="Times New Roman"/>
                <w:lang w:val="en-US"/>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0B817057" w14:textId="50B9E879"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Anafilaksinė reakcija</w:t>
            </w:r>
          </w:p>
        </w:tc>
      </w:tr>
      <w:tr w:rsidR="00973C44" w:rsidRPr="007F1E1D" w14:paraId="6931409A" w14:textId="77777777" w:rsidTr="004F2BD6">
        <w:tc>
          <w:tcPr>
            <w:tcW w:w="3823" w:type="dxa"/>
          </w:tcPr>
          <w:p w14:paraId="030A06CE" w14:textId="1C0EC4B4" w:rsidR="00973C44" w:rsidRPr="00973C44" w:rsidRDefault="00973C44" w:rsidP="00C52420">
            <w:pPr>
              <w:widowControl w:val="0"/>
              <w:autoSpaceDE w:val="0"/>
              <w:autoSpaceDN w:val="0"/>
              <w:adjustRightInd w:val="0"/>
              <w:spacing w:after="0" w:line="240" w:lineRule="auto"/>
              <w:rPr>
                <w:rFonts w:ascii="Times New Roman" w:eastAsia="Times New Roman" w:hAnsi="Times New Roman"/>
              </w:rPr>
            </w:pPr>
            <w:r w:rsidRPr="00973C44">
              <w:rPr>
                <w:rFonts w:ascii="Times New Roman" w:eastAsia="Times New Roman" w:hAnsi="Times New Roman"/>
              </w:rPr>
              <w:t>Endokrininiai sutrikimai</w:t>
            </w:r>
          </w:p>
        </w:tc>
        <w:tc>
          <w:tcPr>
            <w:tcW w:w="1842" w:type="dxa"/>
          </w:tcPr>
          <w:p w14:paraId="32B3CF73" w14:textId="0C3C8C9B"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372A349D" w14:textId="5F171CE8" w:rsidR="00973C44" w:rsidRPr="00514245" w:rsidRDefault="004F2BD6" w:rsidP="00C52420">
            <w:pPr>
              <w:widowControl w:val="0"/>
              <w:autoSpaceDE w:val="0"/>
              <w:autoSpaceDN w:val="0"/>
              <w:adjustRightInd w:val="0"/>
              <w:spacing w:after="0" w:line="240" w:lineRule="auto"/>
              <w:rPr>
                <w:rFonts w:ascii="Times New Roman" w:hAnsi="Times New Roman"/>
              </w:rPr>
            </w:pPr>
            <w:proofErr w:type="spellStart"/>
            <w:r w:rsidRPr="004F2BD6">
              <w:rPr>
                <w:rFonts w:ascii="Times New Roman" w:hAnsi="Times New Roman"/>
              </w:rPr>
              <w:t>Hiperprolaktinemija</w:t>
            </w:r>
            <w:proofErr w:type="spellEnd"/>
            <w:r w:rsidRPr="004F2BD6">
              <w:rPr>
                <w:rFonts w:ascii="Times New Roman" w:hAnsi="Times New Roman"/>
              </w:rPr>
              <w:t xml:space="preserve">, tam tikrais atvejais susijusi su </w:t>
            </w:r>
            <w:proofErr w:type="spellStart"/>
            <w:r w:rsidRPr="004F2BD6">
              <w:rPr>
                <w:rFonts w:ascii="Times New Roman" w:hAnsi="Times New Roman"/>
              </w:rPr>
              <w:t>galaktorėja</w:t>
            </w:r>
            <w:proofErr w:type="spellEnd"/>
          </w:p>
        </w:tc>
      </w:tr>
      <w:tr w:rsidR="00973C44" w:rsidRPr="00514245" w14:paraId="2FE1FC99" w14:textId="77777777" w:rsidTr="004F2BD6">
        <w:tc>
          <w:tcPr>
            <w:tcW w:w="3823" w:type="dxa"/>
          </w:tcPr>
          <w:p w14:paraId="6FEB64C3" w14:textId="603CF095" w:rsidR="00973C44" w:rsidRPr="00973C44" w:rsidRDefault="00973C44" w:rsidP="00C52420">
            <w:pPr>
              <w:widowControl w:val="0"/>
              <w:autoSpaceDE w:val="0"/>
              <w:autoSpaceDN w:val="0"/>
              <w:adjustRightInd w:val="0"/>
              <w:spacing w:after="0" w:line="240" w:lineRule="auto"/>
              <w:rPr>
                <w:rFonts w:ascii="Times New Roman" w:eastAsia="Times New Roman" w:hAnsi="Times New Roman"/>
              </w:rPr>
            </w:pPr>
            <w:r w:rsidRPr="00973C44">
              <w:rPr>
                <w:rFonts w:ascii="Times New Roman" w:eastAsia="Times New Roman" w:hAnsi="Times New Roman"/>
              </w:rPr>
              <w:t>Metabolizmo ir mitybos sutrikimai</w:t>
            </w:r>
          </w:p>
        </w:tc>
        <w:tc>
          <w:tcPr>
            <w:tcW w:w="1842" w:type="dxa"/>
          </w:tcPr>
          <w:p w14:paraId="34858819" w14:textId="09EABB54"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01C2F948" w14:textId="45BD0960" w:rsidR="00973C44" w:rsidRPr="00514245" w:rsidRDefault="004F2BD6" w:rsidP="00C52420">
            <w:pPr>
              <w:widowControl w:val="0"/>
              <w:autoSpaceDE w:val="0"/>
              <w:autoSpaceDN w:val="0"/>
              <w:adjustRightInd w:val="0"/>
              <w:spacing w:after="0" w:line="240" w:lineRule="auto"/>
              <w:rPr>
                <w:rFonts w:ascii="Times New Roman" w:hAnsi="Times New Roman"/>
              </w:rPr>
            </w:pPr>
            <w:proofErr w:type="spellStart"/>
            <w:r w:rsidRPr="004F2BD6">
              <w:rPr>
                <w:rFonts w:ascii="Times New Roman" w:hAnsi="Times New Roman"/>
              </w:rPr>
              <w:t>Hiponatremija</w:t>
            </w:r>
            <w:proofErr w:type="spellEnd"/>
          </w:p>
        </w:tc>
      </w:tr>
      <w:tr w:rsidR="00973C44" w:rsidRPr="00514245" w14:paraId="7B98C3AD" w14:textId="77777777" w:rsidTr="004F2BD6">
        <w:tc>
          <w:tcPr>
            <w:tcW w:w="3823" w:type="dxa"/>
            <w:vMerge w:val="restart"/>
          </w:tcPr>
          <w:p w14:paraId="1C2888B8" w14:textId="2F1E7BF2" w:rsidR="00973C44" w:rsidRPr="00514245" w:rsidRDefault="00973C44" w:rsidP="00C52420">
            <w:pPr>
              <w:widowControl w:val="0"/>
              <w:autoSpaceDE w:val="0"/>
              <w:autoSpaceDN w:val="0"/>
              <w:adjustRightInd w:val="0"/>
              <w:spacing w:after="0" w:line="240" w:lineRule="auto"/>
              <w:rPr>
                <w:rFonts w:ascii="Times New Roman" w:hAnsi="Times New Roman"/>
              </w:rPr>
            </w:pPr>
            <w:r w:rsidRPr="00514245">
              <w:rPr>
                <w:rFonts w:ascii="Times New Roman" w:eastAsia="Times New Roman" w:hAnsi="Times New Roman"/>
              </w:rPr>
              <w:t>Psichikos sutrikimai</w:t>
            </w:r>
          </w:p>
        </w:tc>
        <w:tc>
          <w:tcPr>
            <w:tcW w:w="1842" w:type="dxa"/>
          </w:tcPr>
          <w:p w14:paraId="5A11C40C" w14:textId="0675EC64"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Dažnas</w:t>
            </w:r>
          </w:p>
        </w:tc>
        <w:tc>
          <w:tcPr>
            <w:tcW w:w="2977" w:type="dxa"/>
          </w:tcPr>
          <w:p w14:paraId="769AEBF4" w14:textId="2916E10A"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Nenormalūs sapnai</w:t>
            </w:r>
          </w:p>
        </w:tc>
      </w:tr>
      <w:tr w:rsidR="00973C44" w:rsidRPr="00514245" w14:paraId="7E0C8092" w14:textId="77777777" w:rsidTr="004F2BD6">
        <w:tc>
          <w:tcPr>
            <w:tcW w:w="3823" w:type="dxa"/>
            <w:vMerge/>
          </w:tcPr>
          <w:p w14:paraId="0F7ECA2C"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0E1EB448" w14:textId="54CB98AE"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Nedažnas</w:t>
            </w:r>
          </w:p>
        </w:tc>
        <w:tc>
          <w:tcPr>
            <w:tcW w:w="2977" w:type="dxa"/>
          </w:tcPr>
          <w:p w14:paraId="4AF6EDC5" w14:textId="1FD5356A"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Haliucinacijos</w:t>
            </w:r>
          </w:p>
        </w:tc>
      </w:tr>
      <w:tr w:rsidR="00973C44" w:rsidRPr="004A1B19" w14:paraId="1D2663BD" w14:textId="77777777" w:rsidTr="004F2BD6">
        <w:tc>
          <w:tcPr>
            <w:tcW w:w="3823" w:type="dxa"/>
            <w:vMerge/>
          </w:tcPr>
          <w:p w14:paraId="26908C95"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126DEF26" w14:textId="53D65BF1"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1E7C2F11" w14:textId="1B607C7F" w:rsidR="00973C44" w:rsidRPr="00514245" w:rsidRDefault="004F2BD6" w:rsidP="004F2BD6">
            <w:pPr>
              <w:widowControl w:val="0"/>
              <w:autoSpaceDE w:val="0"/>
              <w:autoSpaceDN w:val="0"/>
              <w:adjustRightInd w:val="0"/>
              <w:spacing w:after="0" w:line="240" w:lineRule="auto"/>
              <w:rPr>
                <w:rFonts w:ascii="Times New Roman" w:hAnsi="Times New Roman"/>
              </w:rPr>
            </w:pPr>
            <w:r w:rsidRPr="004F2BD6">
              <w:rPr>
                <w:rFonts w:ascii="Times New Roman" w:hAnsi="Times New Roman"/>
              </w:rPr>
              <w:t>Nemiga</w:t>
            </w:r>
            <w:r>
              <w:rPr>
                <w:rFonts w:ascii="Times New Roman" w:hAnsi="Times New Roman"/>
              </w:rPr>
              <w:t>, s</w:t>
            </w:r>
            <w:r w:rsidRPr="004F2BD6">
              <w:rPr>
                <w:rFonts w:ascii="Times New Roman" w:hAnsi="Times New Roman"/>
              </w:rPr>
              <w:t xml:space="preserve">usijaudinimas, </w:t>
            </w:r>
            <w:r>
              <w:rPr>
                <w:rFonts w:ascii="Times New Roman" w:hAnsi="Times New Roman"/>
              </w:rPr>
              <w:t xml:space="preserve"> </w:t>
            </w:r>
            <w:r w:rsidRPr="004F2BD6">
              <w:rPr>
                <w:rFonts w:ascii="Times New Roman" w:hAnsi="Times New Roman"/>
              </w:rPr>
              <w:t>agresyvumas (žr. 4.4 skyrių)</w:t>
            </w:r>
          </w:p>
        </w:tc>
      </w:tr>
      <w:tr w:rsidR="00973C44" w:rsidRPr="00514245" w14:paraId="5E574D86" w14:textId="77777777" w:rsidTr="004F2BD6">
        <w:tc>
          <w:tcPr>
            <w:tcW w:w="3823" w:type="dxa"/>
            <w:vMerge w:val="restart"/>
          </w:tcPr>
          <w:p w14:paraId="2E97AB53" w14:textId="797D56BF" w:rsidR="00973C44" w:rsidRPr="00514245" w:rsidRDefault="00973C44" w:rsidP="00C52420">
            <w:pPr>
              <w:widowControl w:val="0"/>
              <w:autoSpaceDE w:val="0"/>
              <w:autoSpaceDN w:val="0"/>
              <w:adjustRightInd w:val="0"/>
              <w:spacing w:after="0" w:line="240" w:lineRule="auto"/>
              <w:rPr>
                <w:rFonts w:ascii="Times New Roman" w:hAnsi="Times New Roman"/>
              </w:rPr>
            </w:pPr>
            <w:r w:rsidRPr="00514245">
              <w:rPr>
                <w:rFonts w:ascii="Times New Roman" w:eastAsia="Times New Roman" w:hAnsi="Times New Roman"/>
              </w:rPr>
              <w:t>Nervų sistemos sutrikimai</w:t>
            </w:r>
          </w:p>
        </w:tc>
        <w:tc>
          <w:tcPr>
            <w:tcW w:w="1842" w:type="dxa"/>
          </w:tcPr>
          <w:p w14:paraId="0B946327" w14:textId="7804F661"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Dažnas</w:t>
            </w:r>
          </w:p>
        </w:tc>
        <w:tc>
          <w:tcPr>
            <w:tcW w:w="2977" w:type="dxa"/>
          </w:tcPr>
          <w:p w14:paraId="56AC7408" w14:textId="1F97FD23"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Svaigulys</w:t>
            </w:r>
          </w:p>
        </w:tc>
      </w:tr>
      <w:tr w:rsidR="00973C44" w:rsidRPr="00514245" w14:paraId="073EEDF0" w14:textId="77777777" w:rsidTr="004F2BD6">
        <w:tc>
          <w:tcPr>
            <w:tcW w:w="3823" w:type="dxa"/>
            <w:vMerge/>
          </w:tcPr>
          <w:p w14:paraId="2BB79357"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3C9C3790" w14:textId="29591E2D"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Nedažnas</w:t>
            </w:r>
          </w:p>
        </w:tc>
        <w:tc>
          <w:tcPr>
            <w:tcW w:w="2977" w:type="dxa"/>
          </w:tcPr>
          <w:p w14:paraId="500C69AD" w14:textId="4D4E0D38"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Tremoras</w:t>
            </w:r>
          </w:p>
        </w:tc>
      </w:tr>
      <w:tr w:rsidR="00973C44" w:rsidRPr="007F1E1D" w14:paraId="23021844" w14:textId="77777777" w:rsidTr="004F2BD6">
        <w:tc>
          <w:tcPr>
            <w:tcW w:w="3823" w:type="dxa"/>
            <w:vMerge/>
          </w:tcPr>
          <w:p w14:paraId="7EE29717"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55CB405F" w14:textId="5C19DFE0"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71714F74" w14:textId="40C423D6" w:rsidR="00973C44" w:rsidRPr="00514245" w:rsidRDefault="004F2BD6" w:rsidP="004F2BD6">
            <w:pPr>
              <w:widowControl w:val="0"/>
              <w:autoSpaceDE w:val="0"/>
              <w:autoSpaceDN w:val="0"/>
              <w:adjustRightInd w:val="0"/>
              <w:spacing w:after="0" w:line="240" w:lineRule="auto"/>
              <w:rPr>
                <w:rFonts w:ascii="Times New Roman" w:hAnsi="Times New Roman"/>
              </w:rPr>
            </w:pPr>
            <w:proofErr w:type="spellStart"/>
            <w:r w:rsidRPr="004F2BD6">
              <w:rPr>
                <w:rFonts w:ascii="Times New Roman" w:hAnsi="Times New Roman"/>
              </w:rPr>
              <w:t>Serotonino</w:t>
            </w:r>
            <w:proofErr w:type="spellEnd"/>
            <w:r w:rsidRPr="004F2BD6">
              <w:rPr>
                <w:rFonts w:ascii="Times New Roman" w:hAnsi="Times New Roman"/>
              </w:rPr>
              <w:t xml:space="preserve"> sindromas,</w:t>
            </w:r>
            <w:r>
              <w:rPr>
                <w:rFonts w:ascii="Times New Roman" w:hAnsi="Times New Roman"/>
              </w:rPr>
              <w:t xml:space="preserve"> g</w:t>
            </w:r>
            <w:r w:rsidRPr="004F2BD6">
              <w:rPr>
                <w:rFonts w:ascii="Times New Roman" w:hAnsi="Times New Roman"/>
              </w:rPr>
              <w:t>alvos skausmas,</w:t>
            </w:r>
            <w:r>
              <w:rPr>
                <w:rFonts w:ascii="Times New Roman" w:hAnsi="Times New Roman"/>
              </w:rPr>
              <w:t xml:space="preserve"> </w:t>
            </w:r>
            <w:proofErr w:type="spellStart"/>
            <w:r>
              <w:rPr>
                <w:rFonts w:ascii="Times New Roman" w:hAnsi="Times New Roman"/>
              </w:rPr>
              <w:t>a</w:t>
            </w:r>
            <w:r w:rsidRPr="004F2BD6">
              <w:rPr>
                <w:rFonts w:ascii="Times New Roman" w:hAnsi="Times New Roman"/>
              </w:rPr>
              <w:t>katizija</w:t>
            </w:r>
            <w:proofErr w:type="spellEnd"/>
            <w:r w:rsidRPr="004F2BD6">
              <w:rPr>
                <w:rFonts w:ascii="Times New Roman" w:hAnsi="Times New Roman"/>
              </w:rPr>
              <w:t>,</w:t>
            </w:r>
            <w:r>
              <w:rPr>
                <w:rFonts w:ascii="Times New Roman" w:hAnsi="Times New Roman"/>
              </w:rPr>
              <w:t xml:space="preserve"> </w:t>
            </w:r>
            <w:proofErr w:type="spellStart"/>
            <w:r>
              <w:rPr>
                <w:rFonts w:ascii="Times New Roman" w:hAnsi="Times New Roman"/>
              </w:rPr>
              <w:t>b</w:t>
            </w:r>
            <w:r w:rsidRPr="004F2BD6">
              <w:rPr>
                <w:rFonts w:ascii="Times New Roman" w:hAnsi="Times New Roman"/>
              </w:rPr>
              <w:t>ruksizmas</w:t>
            </w:r>
            <w:proofErr w:type="spellEnd"/>
            <w:r w:rsidRPr="004F2BD6">
              <w:rPr>
                <w:rFonts w:ascii="Times New Roman" w:hAnsi="Times New Roman"/>
              </w:rPr>
              <w:t>,</w:t>
            </w:r>
            <w:r>
              <w:rPr>
                <w:rFonts w:ascii="Times New Roman" w:hAnsi="Times New Roman"/>
              </w:rPr>
              <w:t xml:space="preserve"> m</w:t>
            </w:r>
            <w:r w:rsidRPr="004F2BD6">
              <w:rPr>
                <w:rFonts w:ascii="Times New Roman" w:hAnsi="Times New Roman"/>
              </w:rPr>
              <w:t>ėšlungis,</w:t>
            </w:r>
            <w:r>
              <w:rPr>
                <w:rFonts w:ascii="Times New Roman" w:hAnsi="Times New Roman"/>
              </w:rPr>
              <w:t xml:space="preserve"> n</w:t>
            </w:r>
            <w:r w:rsidRPr="004F2BD6">
              <w:rPr>
                <w:rFonts w:ascii="Times New Roman" w:hAnsi="Times New Roman"/>
              </w:rPr>
              <w:t>eramių kojų sindromas</w:t>
            </w:r>
          </w:p>
        </w:tc>
      </w:tr>
      <w:tr w:rsidR="00973C44" w:rsidRPr="00514245" w14:paraId="140ED287" w14:textId="77777777" w:rsidTr="004F2BD6">
        <w:tc>
          <w:tcPr>
            <w:tcW w:w="3823" w:type="dxa"/>
            <w:vMerge w:val="restart"/>
          </w:tcPr>
          <w:p w14:paraId="741DFAB9" w14:textId="4CA16569" w:rsidR="00973C44" w:rsidRPr="00514245" w:rsidRDefault="00973C44" w:rsidP="00973C44">
            <w:pPr>
              <w:widowControl w:val="0"/>
              <w:autoSpaceDE w:val="0"/>
              <w:autoSpaceDN w:val="0"/>
              <w:adjustRightInd w:val="0"/>
              <w:spacing w:after="0" w:line="240" w:lineRule="auto"/>
              <w:rPr>
                <w:rFonts w:ascii="Times New Roman" w:eastAsia="Times New Roman" w:hAnsi="Times New Roman"/>
              </w:rPr>
            </w:pPr>
            <w:r w:rsidRPr="00514245">
              <w:rPr>
                <w:rFonts w:ascii="Times New Roman" w:eastAsia="Times New Roman" w:hAnsi="Times New Roman"/>
              </w:rPr>
              <w:t>Akių</w:t>
            </w:r>
            <w:r>
              <w:rPr>
                <w:rFonts w:ascii="Times New Roman" w:eastAsia="Times New Roman" w:hAnsi="Times New Roman"/>
              </w:rPr>
              <w:t xml:space="preserve"> </w:t>
            </w:r>
            <w:r w:rsidRPr="00514245">
              <w:rPr>
                <w:rFonts w:ascii="Times New Roman" w:eastAsia="Times New Roman" w:hAnsi="Times New Roman"/>
              </w:rPr>
              <w:t>sutrikimai</w:t>
            </w:r>
          </w:p>
        </w:tc>
        <w:tc>
          <w:tcPr>
            <w:tcW w:w="1842" w:type="dxa"/>
          </w:tcPr>
          <w:p w14:paraId="3D288E8F" w14:textId="508CDB83"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Nedažnas</w:t>
            </w:r>
          </w:p>
        </w:tc>
        <w:tc>
          <w:tcPr>
            <w:tcW w:w="2977" w:type="dxa"/>
          </w:tcPr>
          <w:p w14:paraId="57F1C775" w14:textId="7E2B0A1C"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Neryškus matymas</w:t>
            </w:r>
          </w:p>
        </w:tc>
      </w:tr>
      <w:tr w:rsidR="00973C44" w:rsidRPr="007F1E1D" w14:paraId="127787FA" w14:textId="77777777" w:rsidTr="004F2BD6">
        <w:tc>
          <w:tcPr>
            <w:tcW w:w="3823" w:type="dxa"/>
            <w:vMerge/>
          </w:tcPr>
          <w:p w14:paraId="15DE6AE6" w14:textId="77777777" w:rsidR="00973C44" w:rsidRPr="00514245" w:rsidRDefault="00973C44" w:rsidP="00973C44">
            <w:pPr>
              <w:widowControl w:val="0"/>
              <w:autoSpaceDE w:val="0"/>
              <w:autoSpaceDN w:val="0"/>
              <w:adjustRightInd w:val="0"/>
              <w:spacing w:after="0" w:line="240" w:lineRule="auto"/>
              <w:rPr>
                <w:rFonts w:ascii="Times New Roman" w:eastAsia="Times New Roman" w:hAnsi="Times New Roman"/>
              </w:rPr>
            </w:pPr>
          </w:p>
        </w:tc>
        <w:tc>
          <w:tcPr>
            <w:tcW w:w="1842" w:type="dxa"/>
          </w:tcPr>
          <w:p w14:paraId="10B7B81F" w14:textId="0522855D" w:rsidR="00973C44" w:rsidRPr="00514245" w:rsidRDefault="004F2BD6" w:rsidP="00C52420">
            <w:pPr>
              <w:widowControl w:val="0"/>
              <w:autoSpaceDE w:val="0"/>
              <w:autoSpaceDN w:val="0"/>
              <w:adjustRightInd w:val="0"/>
              <w:spacing w:after="0" w:line="240" w:lineRule="auto"/>
              <w:rPr>
                <w:rFonts w:ascii="Times New Roman" w:hAnsi="Times New Roman"/>
              </w:rPr>
            </w:pPr>
            <w:r>
              <w:rPr>
                <w:rFonts w:ascii="Times New Roman" w:hAnsi="Times New Roman"/>
              </w:rPr>
              <w:t>Retas</w:t>
            </w:r>
          </w:p>
        </w:tc>
        <w:tc>
          <w:tcPr>
            <w:tcW w:w="2977" w:type="dxa"/>
          </w:tcPr>
          <w:p w14:paraId="731F4A6F" w14:textId="5BBEC20E" w:rsidR="00973C44" w:rsidRPr="00514245" w:rsidRDefault="004F2BD6" w:rsidP="00C52420">
            <w:pPr>
              <w:widowControl w:val="0"/>
              <w:autoSpaceDE w:val="0"/>
              <w:autoSpaceDN w:val="0"/>
              <w:adjustRightInd w:val="0"/>
              <w:spacing w:after="0" w:line="240" w:lineRule="auto"/>
              <w:rPr>
                <w:rFonts w:ascii="Times New Roman" w:hAnsi="Times New Roman"/>
              </w:rPr>
            </w:pPr>
            <w:proofErr w:type="spellStart"/>
            <w:r w:rsidRPr="004F2BD6">
              <w:rPr>
                <w:rFonts w:ascii="Times New Roman" w:hAnsi="Times New Roman"/>
              </w:rPr>
              <w:t>Midriazė</w:t>
            </w:r>
            <w:proofErr w:type="spellEnd"/>
            <w:r w:rsidRPr="004F2BD6">
              <w:rPr>
                <w:rFonts w:ascii="Times New Roman" w:hAnsi="Times New Roman"/>
              </w:rPr>
              <w:t xml:space="preserve"> (galinti sukelti ūminę </w:t>
            </w:r>
            <w:r w:rsidRPr="004F2BD6">
              <w:rPr>
                <w:rFonts w:ascii="Times New Roman" w:hAnsi="Times New Roman"/>
              </w:rPr>
              <w:lastRenderedPageBreak/>
              <w:t>uždarojo kampo glaukomą – žr. 4.4 skyrių)</w:t>
            </w:r>
          </w:p>
        </w:tc>
      </w:tr>
      <w:tr w:rsidR="00973C44" w:rsidRPr="00514245" w14:paraId="037A0FA0" w14:textId="77777777" w:rsidTr="004F2BD6">
        <w:tc>
          <w:tcPr>
            <w:tcW w:w="3823" w:type="dxa"/>
            <w:vMerge w:val="restart"/>
          </w:tcPr>
          <w:p w14:paraId="69CEE6E5" w14:textId="6301406E" w:rsidR="00973C44" w:rsidRPr="00514245" w:rsidRDefault="00973C44" w:rsidP="00973C44">
            <w:pPr>
              <w:widowControl w:val="0"/>
              <w:autoSpaceDE w:val="0"/>
              <w:autoSpaceDN w:val="0"/>
              <w:adjustRightInd w:val="0"/>
              <w:spacing w:after="0" w:line="240" w:lineRule="auto"/>
              <w:rPr>
                <w:rFonts w:ascii="Times New Roman" w:eastAsia="Times New Roman" w:hAnsi="Times New Roman"/>
              </w:rPr>
            </w:pPr>
            <w:r w:rsidRPr="00514245">
              <w:rPr>
                <w:rFonts w:ascii="Times New Roman" w:eastAsia="Times New Roman" w:hAnsi="Times New Roman"/>
              </w:rPr>
              <w:lastRenderedPageBreak/>
              <w:t>Kraujagyslių</w:t>
            </w:r>
            <w:r>
              <w:rPr>
                <w:rFonts w:ascii="Times New Roman" w:eastAsia="Times New Roman" w:hAnsi="Times New Roman"/>
              </w:rPr>
              <w:t xml:space="preserve"> </w:t>
            </w:r>
            <w:r w:rsidRPr="00514245">
              <w:rPr>
                <w:rFonts w:ascii="Times New Roman" w:eastAsia="Times New Roman" w:hAnsi="Times New Roman"/>
              </w:rPr>
              <w:t>sutrikimai</w:t>
            </w:r>
          </w:p>
        </w:tc>
        <w:tc>
          <w:tcPr>
            <w:tcW w:w="1842" w:type="dxa"/>
          </w:tcPr>
          <w:p w14:paraId="417CC279" w14:textId="513D9037" w:rsidR="00973C44" w:rsidRPr="00514245" w:rsidRDefault="004F2BD6" w:rsidP="00C52420">
            <w:pPr>
              <w:widowControl w:val="0"/>
              <w:autoSpaceDE w:val="0"/>
              <w:autoSpaceDN w:val="0"/>
              <w:adjustRightInd w:val="0"/>
              <w:spacing w:after="0" w:line="240" w:lineRule="auto"/>
              <w:rPr>
                <w:rFonts w:ascii="Times New Roman" w:hAnsi="Times New Roman"/>
              </w:rPr>
            </w:pPr>
            <w:r>
              <w:rPr>
                <w:rFonts w:ascii="Times New Roman" w:hAnsi="Times New Roman"/>
              </w:rPr>
              <w:t>Nedažnas</w:t>
            </w:r>
          </w:p>
        </w:tc>
        <w:tc>
          <w:tcPr>
            <w:tcW w:w="2977" w:type="dxa"/>
          </w:tcPr>
          <w:p w14:paraId="6A3D6948" w14:textId="48BB2024"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Veido ir kaklo paraudimas</w:t>
            </w:r>
          </w:p>
        </w:tc>
      </w:tr>
      <w:tr w:rsidR="00973C44" w:rsidRPr="007F1E1D" w14:paraId="3FD91451" w14:textId="77777777" w:rsidTr="004F2BD6">
        <w:tc>
          <w:tcPr>
            <w:tcW w:w="3823" w:type="dxa"/>
            <w:vMerge/>
          </w:tcPr>
          <w:p w14:paraId="40632CF8" w14:textId="77777777" w:rsidR="00973C44" w:rsidRPr="00514245" w:rsidRDefault="00973C44" w:rsidP="00973C44">
            <w:pPr>
              <w:widowControl w:val="0"/>
              <w:autoSpaceDE w:val="0"/>
              <w:autoSpaceDN w:val="0"/>
              <w:adjustRightInd w:val="0"/>
              <w:spacing w:after="0" w:line="240" w:lineRule="auto"/>
              <w:rPr>
                <w:rFonts w:ascii="Times New Roman" w:eastAsia="Times New Roman" w:hAnsi="Times New Roman"/>
              </w:rPr>
            </w:pPr>
          </w:p>
        </w:tc>
        <w:tc>
          <w:tcPr>
            <w:tcW w:w="1842" w:type="dxa"/>
          </w:tcPr>
          <w:p w14:paraId="37C0F25F" w14:textId="6B139359" w:rsidR="00973C44" w:rsidRPr="00514245" w:rsidRDefault="00973C44" w:rsidP="00C52420">
            <w:pPr>
              <w:widowControl w:val="0"/>
              <w:autoSpaceDE w:val="0"/>
              <w:autoSpaceDN w:val="0"/>
              <w:adjustRightInd w:val="0"/>
              <w:spacing w:after="0" w:line="240" w:lineRule="auto"/>
              <w:rPr>
                <w:rFonts w:ascii="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001EFCE9" w14:textId="365F3B2B" w:rsidR="00973C44" w:rsidRPr="00514245" w:rsidRDefault="004F2BD6" w:rsidP="00C52420">
            <w:pPr>
              <w:widowControl w:val="0"/>
              <w:autoSpaceDE w:val="0"/>
              <w:autoSpaceDN w:val="0"/>
              <w:adjustRightInd w:val="0"/>
              <w:spacing w:after="0" w:line="240" w:lineRule="auto"/>
              <w:rPr>
                <w:rFonts w:ascii="Times New Roman" w:hAnsi="Times New Roman"/>
              </w:rPr>
            </w:pPr>
            <w:proofErr w:type="spellStart"/>
            <w:r w:rsidRPr="004F2BD6">
              <w:rPr>
                <w:rFonts w:ascii="Times New Roman" w:hAnsi="Times New Roman"/>
              </w:rPr>
              <w:t>Hemoragija</w:t>
            </w:r>
            <w:proofErr w:type="spellEnd"/>
            <w:r w:rsidRPr="004F2BD6">
              <w:rPr>
                <w:rFonts w:ascii="Times New Roman" w:hAnsi="Times New Roman"/>
              </w:rPr>
              <w:t xml:space="preserve"> (įskaitant kraujosruvą, </w:t>
            </w:r>
            <w:proofErr w:type="spellStart"/>
            <w:r w:rsidRPr="004F2BD6">
              <w:rPr>
                <w:rFonts w:ascii="Times New Roman" w:hAnsi="Times New Roman"/>
              </w:rPr>
              <w:t>ekchimozę</w:t>
            </w:r>
            <w:proofErr w:type="spellEnd"/>
            <w:r w:rsidRPr="004F2BD6">
              <w:rPr>
                <w:rFonts w:ascii="Times New Roman" w:hAnsi="Times New Roman"/>
              </w:rPr>
              <w:t xml:space="preserve">, </w:t>
            </w:r>
            <w:proofErr w:type="spellStart"/>
            <w:r w:rsidRPr="004F2BD6">
              <w:rPr>
                <w:rFonts w:ascii="Times New Roman" w:hAnsi="Times New Roman"/>
              </w:rPr>
              <w:t>epistaksę</w:t>
            </w:r>
            <w:proofErr w:type="spellEnd"/>
            <w:r w:rsidRPr="004F2BD6">
              <w:rPr>
                <w:rFonts w:ascii="Times New Roman" w:hAnsi="Times New Roman"/>
              </w:rPr>
              <w:t>, kraujavimą iš virškinimo trakto ar makšties)</w:t>
            </w:r>
          </w:p>
        </w:tc>
      </w:tr>
      <w:tr w:rsidR="00973C44" w:rsidRPr="00514245" w14:paraId="5AF3F9C4" w14:textId="77777777" w:rsidTr="004F2BD6">
        <w:tc>
          <w:tcPr>
            <w:tcW w:w="3823" w:type="dxa"/>
            <w:vMerge w:val="restart"/>
          </w:tcPr>
          <w:p w14:paraId="3E7DDC72" w14:textId="67379CE6"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r w:rsidRPr="00514245">
              <w:rPr>
                <w:rFonts w:ascii="Times New Roman" w:eastAsia="Times New Roman" w:hAnsi="Times New Roman"/>
              </w:rPr>
              <w:t>Virškinimo trakto sutrikimai</w:t>
            </w:r>
          </w:p>
        </w:tc>
        <w:tc>
          <w:tcPr>
            <w:tcW w:w="1842" w:type="dxa"/>
          </w:tcPr>
          <w:p w14:paraId="7D7ED2EF" w14:textId="6311D51F" w:rsidR="00973C44" w:rsidRPr="00514245" w:rsidRDefault="004F2BD6" w:rsidP="00C52420">
            <w:pPr>
              <w:widowControl w:val="0"/>
              <w:autoSpaceDE w:val="0"/>
              <w:autoSpaceDN w:val="0"/>
              <w:adjustRightInd w:val="0"/>
              <w:spacing w:after="0" w:line="240" w:lineRule="auto"/>
              <w:rPr>
                <w:rFonts w:ascii="Times New Roman" w:hAnsi="Times New Roman"/>
              </w:rPr>
            </w:pPr>
            <w:r>
              <w:rPr>
                <w:rFonts w:ascii="Times New Roman" w:hAnsi="Times New Roman"/>
              </w:rPr>
              <w:t>Labai dažnas</w:t>
            </w:r>
          </w:p>
        </w:tc>
        <w:tc>
          <w:tcPr>
            <w:tcW w:w="2977" w:type="dxa"/>
          </w:tcPr>
          <w:p w14:paraId="056F0CA5" w14:textId="116456BB" w:rsidR="00973C44" w:rsidRPr="00514245" w:rsidRDefault="004F2BD6" w:rsidP="00C52420">
            <w:pPr>
              <w:widowControl w:val="0"/>
              <w:autoSpaceDE w:val="0"/>
              <w:autoSpaceDN w:val="0"/>
              <w:adjustRightInd w:val="0"/>
              <w:spacing w:after="0" w:line="240" w:lineRule="auto"/>
              <w:rPr>
                <w:rFonts w:ascii="Times New Roman" w:hAnsi="Times New Roman"/>
              </w:rPr>
            </w:pPr>
            <w:r w:rsidRPr="004F2BD6">
              <w:rPr>
                <w:rFonts w:ascii="Times New Roman" w:hAnsi="Times New Roman"/>
              </w:rPr>
              <w:t>Pykinimas</w:t>
            </w:r>
          </w:p>
        </w:tc>
      </w:tr>
      <w:tr w:rsidR="00973C44" w:rsidRPr="007F1E1D" w14:paraId="1BB5A050" w14:textId="77777777" w:rsidTr="004F2BD6">
        <w:tc>
          <w:tcPr>
            <w:tcW w:w="3823" w:type="dxa"/>
            <w:vMerge/>
          </w:tcPr>
          <w:p w14:paraId="04FB04D2"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2CF49F64" w14:textId="32C47083" w:rsidR="00973C44" w:rsidRPr="00514245" w:rsidRDefault="004F2BD6" w:rsidP="00C52420">
            <w:pPr>
              <w:widowControl w:val="0"/>
              <w:autoSpaceDE w:val="0"/>
              <w:autoSpaceDN w:val="0"/>
              <w:adjustRightInd w:val="0"/>
              <w:spacing w:after="0" w:line="240" w:lineRule="auto"/>
              <w:rPr>
                <w:rFonts w:ascii="Times New Roman" w:hAnsi="Times New Roman"/>
              </w:rPr>
            </w:pPr>
            <w:r>
              <w:rPr>
                <w:rFonts w:ascii="Times New Roman" w:hAnsi="Times New Roman"/>
              </w:rPr>
              <w:t>Dažnas</w:t>
            </w:r>
          </w:p>
        </w:tc>
        <w:tc>
          <w:tcPr>
            <w:tcW w:w="2977" w:type="dxa"/>
          </w:tcPr>
          <w:p w14:paraId="402C3801" w14:textId="59859BFD" w:rsidR="004F2BD6" w:rsidRPr="004F2BD6" w:rsidRDefault="004F2BD6" w:rsidP="004F2BD6">
            <w:pPr>
              <w:widowControl w:val="0"/>
              <w:autoSpaceDE w:val="0"/>
              <w:autoSpaceDN w:val="0"/>
              <w:adjustRightInd w:val="0"/>
              <w:spacing w:after="0" w:line="240" w:lineRule="auto"/>
              <w:rPr>
                <w:rFonts w:ascii="Times New Roman" w:hAnsi="Times New Roman"/>
              </w:rPr>
            </w:pPr>
            <w:r w:rsidRPr="004F2BD6">
              <w:rPr>
                <w:rFonts w:ascii="Times New Roman" w:hAnsi="Times New Roman"/>
              </w:rPr>
              <w:t>Viduriavimas,</w:t>
            </w:r>
            <w:r>
              <w:rPr>
                <w:rFonts w:ascii="Times New Roman" w:hAnsi="Times New Roman"/>
              </w:rPr>
              <w:t xml:space="preserve"> v</w:t>
            </w:r>
            <w:r w:rsidRPr="004F2BD6">
              <w:rPr>
                <w:rFonts w:ascii="Times New Roman" w:hAnsi="Times New Roman"/>
              </w:rPr>
              <w:t>idurių užkietėjimas,</w:t>
            </w:r>
            <w:r>
              <w:rPr>
                <w:rFonts w:ascii="Times New Roman" w:hAnsi="Times New Roman"/>
              </w:rPr>
              <w:t xml:space="preserve"> v</w:t>
            </w:r>
            <w:r w:rsidRPr="004F2BD6">
              <w:rPr>
                <w:rFonts w:ascii="Times New Roman" w:hAnsi="Times New Roman"/>
              </w:rPr>
              <w:t>ėmimas,</w:t>
            </w:r>
          </w:p>
          <w:p w14:paraId="3F939486" w14:textId="1B90F701" w:rsidR="00973C44" w:rsidRPr="00514245" w:rsidRDefault="004F2BD6" w:rsidP="004F2BD6">
            <w:pPr>
              <w:widowControl w:val="0"/>
              <w:autoSpaceDE w:val="0"/>
              <w:autoSpaceDN w:val="0"/>
              <w:adjustRightInd w:val="0"/>
              <w:spacing w:after="0" w:line="240" w:lineRule="auto"/>
              <w:rPr>
                <w:rFonts w:ascii="Times New Roman" w:hAnsi="Times New Roman"/>
              </w:rPr>
            </w:pPr>
            <w:r>
              <w:rPr>
                <w:rFonts w:ascii="Times New Roman" w:hAnsi="Times New Roman"/>
              </w:rPr>
              <w:t>d</w:t>
            </w:r>
            <w:r w:rsidRPr="004F2BD6">
              <w:rPr>
                <w:rFonts w:ascii="Times New Roman" w:hAnsi="Times New Roman"/>
              </w:rPr>
              <w:t>ispepsija</w:t>
            </w:r>
          </w:p>
        </w:tc>
      </w:tr>
      <w:tr w:rsidR="00973C44" w:rsidRPr="007F1E1D" w14:paraId="7A3E400D" w14:textId="77777777" w:rsidTr="004F2BD6">
        <w:tc>
          <w:tcPr>
            <w:tcW w:w="3823" w:type="dxa"/>
            <w:vMerge w:val="restart"/>
          </w:tcPr>
          <w:p w14:paraId="78F5402D" w14:textId="176C30ED"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r w:rsidRPr="00514245">
              <w:rPr>
                <w:rFonts w:ascii="Times New Roman" w:eastAsia="Times New Roman" w:hAnsi="Times New Roman"/>
              </w:rPr>
              <w:t>Odos ir poodinio audinio sutrikimai</w:t>
            </w:r>
          </w:p>
        </w:tc>
        <w:tc>
          <w:tcPr>
            <w:tcW w:w="1842" w:type="dxa"/>
          </w:tcPr>
          <w:p w14:paraId="73ABEBF7" w14:textId="270DC162" w:rsidR="00973C44" w:rsidRPr="00514245" w:rsidRDefault="004F2BD6" w:rsidP="00C52420">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Dažnas</w:t>
            </w:r>
          </w:p>
        </w:tc>
        <w:tc>
          <w:tcPr>
            <w:tcW w:w="2977" w:type="dxa"/>
          </w:tcPr>
          <w:p w14:paraId="2588590B" w14:textId="0A8420F3" w:rsidR="00973C44" w:rsidRPr="00514245" w:rsidRDefault="004F2BD6" w:rsidP="004F2BD6">
            <w:pPr>
              <w:widowControl w:val="0"/>
              <w:autoSpaceDE w:val="0"/>
              <w:autoSpaceDN w:val="0"/>
              <w:adjustRightInd w:val="0"/>
              <w:spacing w:after="0" w:line="240" w:lineRule="auto"/>
              <w:rPr>
                <w:rFonts w:ascii="Times New Roman" w:eastAsia="Times New Roman" w:hAnsi="Times New Roman"/>
              </w:rPr>
            </w:pPr>
            <w:r w:rsidRPr="004F2BD6">
              <w:rPr>
                <w:rFonts w:ascii="Times New Roman" w:eastAsia="Times New Roman" w:hAnsi="Times New Roman"/>
              </w:rPr>
              <w:t>Niež</w:t>
            </w:r>
            <w:r w:rsidR="00E31439">
              <w:rPr>
                <w:rFonts w:ascii="Times New Roman" w:eastAsia="Times New Roman" w:hAnsi="Times New Roman"/>
              </w:rPr>
              <w:t>ėjimas</w:t>
            </w:r>
            <w:r w:rsidRPr="004F2BD6">
              <w:rPr>
                <w:rFonts w:ascii="Times New Roman" w:eastAsia="Times New Roman" w:hAnsi="Times New Roman"/>
              </w:rPr>
              <w:t>, įskaitant išplitusį niež</w:t>
            </w:r>
            <w:r w:rsidR="00825925">
              <w:rPr>
                <w:rFonts w:ascii="Times New Roman" w:eastAsia="Times New Roman" w:hAnsi="Times New Roman"/>
              </w:rPr>
              <w:t>ėjimą</w:t>
            </w:r>
            <w:r w:rsidRPr="004F2BD6">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h</w:t>
            </w:r>
            <w:r w:rsidRPr="004F2BD6">
              <w:rPr>
                <w:rFonts w:ascii="Times New Roman" w:eastAsia="Times New Roman" w:hAnsi="Times New Roman"/>
              </w:rPr>
              <w:t>iperhidrozė</w:t>
            </w:r>
            <w:proofErr w:type="spellEnd"/>
          </w:p>
        </w:tc>
      </w:tr>
      <w:tr w:rsidR="00973C44" w:rsidRPr="00514245" w14:paraId="56FEFFF5" w14:textId="77777777" w:rsidTr="004F2BD6">
        <w:tc>
          <w:tcPr>
            <w:tcW w:w="3823" w:type="dxa"/>
            <w:vMerge/>
          </w:tcPr>
          <w:p w14:paraId="0D36CE29"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0A8FC347" w14:textId="22E45857" w:rsidR="00973C44" w:rsidRPr="00514245" w:rsidRDefault="004F2BD6" w:rsidP="00C52420">
            <w:pPr>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Nedažnas</w:t>
            </w:r>
          </w:p>
        </w:tc>
        <w:tc>
          <w:tcPr>
            <w:tcW w:w="2977" w:type="dxa"/>
          </w:tcPr>
          <w:p w14:paraId="4843401A" w14:textId="2B96B857" w:rsidR="00973C44" w:rsidRPr="00514245" w:rsidRDefault="004F2BD6" w:rsidP="00C52420">
            <w:pPr>
              <w:widowControl w:val="0"/>
              <w:autoSpaceDE w:val="0"/>
              <w:autoSpaceDN w:val="0"/>
              <w:adjustRightInd w:val="0"/>
              <w:spacing w:after="0" w:line="240" w:lineRule="auto"/>
              <w:rPr>
                <w:rFonts w:ascii="Times New Roman" w:eastAsia="Times New Roman" w:hAnsi="Times New Roman"/>
              </w:rPr>
            </w:pPr>
            <w:r w:rsidRPr="004F2BD6">
              <w:rPr>
                <w:rFonts w:ascii="Times New Roman" w:eastAsia="Times New Roman" w:hAnsi="Times New Roman"/>
              </w:rPr>
              <w:t>Prakaitavimas naktimis</w:t>
            </w:r>
          </w:p>
        </w:tc>
      </w:tr>
      <w:tr w:rsidR="00973C44" w:rsidRPr="007F1E1D" w14:paraId="7EF23945" w14:textId="77777777" w:rsidTr="004F2BD6">
        <w:tc>
          <w:tcPr>
            <w:tcW w:w="3823" w:type="dxa"/>
            <w:vMerge/>
          </w:tcPr>
          <w:p w14:paraId="18746FB0" w14:textId="77777777"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p>
        </w:tc>
        <w:tc>
          <w:tcPr>
            <w:tcW w:w="1842" w:type="dxa"/>
          </w:tcPr>
          <w:p w14:paraId="45ED643E" w14:textId="02D46379"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3F2B65EE" w14:textId="340A2582" w:rsidR="00973C44" w:rsidRPr="00514245" w:rsidRDefault="004F2BD6" w:rsidP="004F2BD6">
            <w:pPr>
              <w:widowControl w:val="0"/>
              <w:autoSpaceDE w:val="0"/>
              <w:autoSpaceDN w:val="0"/>
              <w:adjustRightInd w:val="0"/>
              <w:spacing w:after="0" w:line="240" w:lineRule="auto"/>
              <w:rPr>
                <w:rFonts w:ascii="Times New Roman" w:eastAsia="Times New Roman" w:hAnsi="Times New Roman"/>
              </w:rPr>
            </w:pPr>
            <w:proofErr w:type="spellStart"/>
            <w:r w:rsidRPr="004F2BD6">
              <w:rPr>
                <w:rFonts w:ascii="Times New Roman" w:eastAsia="Times New Roman" w:hAnsi="Times New Roman"/>
              </w:rPr>
              <w:t>Angio</w:t>
            </w:r>
            <w:r w:rsidR="00E31439">
              <w:rPr>
                <w:rFonts w:ascii="Times New Roman" w:eastAsia="Times New Roman" w:hAnsi="Times New Roman"/>
              </w:rPr>
              <w:t>neurozinė</w:t>
            </w:r>
            <w:proofErr w:type="spellEnd"/>
            <w:r w:rsidR="00E31439">
              <w:rPr>
                <w:rFonts w:ascii="Times New Roman" w:eastAsia="Times New Roman" w:hAnsi="Times New Roman"/>
              </w:rPr>
              <w:t xml:space="preserve"> </w:t>
            </w:r>
            <w:r w:rsidRPr="004F2BD6">
              <w:rPr>
                <w:rFonts w:ascii="Times New Roman" w:eastAsia="Times New Roman" w:hAnsi="Times New Roman"/>
              </w:rPr>
              <w:t>edema,</w:t>
            </w:r>
            <w:r>
              <w:rPr>
                <w:rFonts w:ascii="Times New Roman" w:eastAsia="Times New Roman" w:hAnsi="Times New Roman"/>
              </w:rPr>
              <w:t xml:space="preserve"> </w:t>
            </w:r>
            <w:proofErr w:type="spellStart"/>
            <w:r>
              <w:rPr>
                <w:rFonts w:ascii="Times New Roman" w:eastAsia="Times New Roman" w:hAnsi="Times New Roman"/>
              </w:rPr>
              <w:t>u</w:t>
            </w:r>
            <w:r w:rsidRPr="004F2BD6">
              <w:rPr>
                <w:rFonts w:ascii="Times New Roman" w:eastAsia="Times New Roman" w:hAnsi="Times New Roman"/>
              </w:rPr>
              <w:t>rtikarija</w:t>
            </w:r>
            <w:proofErr w:type="spellEnd"/>
            <w:r w:rsidRPr="004F2BD6">
              <w:rPr>
                <w:rFonts w:ascii="Times New Roman" w:eastAsia="Times New Roman" w:hAnsi="Times New Roman"/>
              </w:rPr>
              <w:t xml:space="preserve"> (dilgėlinė),</w:t>
            </w:r>
            <w:r>
              <w:rPr>
                <w:rFonts w:ascii="Times New Roman" w:eastAsia="Times New Roman" w:hAnsi="Times New Roman"/>
              </w:rPr>
              <w:t xml:space="preserve"> b</w:t>
            </w:r>
            <w:r w:rsidRPr="004F2BD6">
              <w:rPr>
                <w:rFonts w:ascii="Times New Roman" w:eastAsia="Times New Roman" w:hAnsi="Times New Roman"/>
              </w:rPr>
              <w:t>ėrimas</w:t>
            </w:r>
          </w:p>
        </w:tc>
      </w:tr>
      <w:tr w:rsidR="00973C44" w:rsidRPr="00514245" w14:paraId="180CADA7" w14:textId="77777777" w:rsidTr="004F2BD6">
        <w:tc>
          <w:tcPr>
            <w:tcW w:w="3823" w:type="dxa"/>
          </w:tcPr>
          <w:p w14:paraId="78AB448B" w14:textId="22504203"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r w:rsidRPr="00973C44">
              <w:rPr>
                <w:rFonts w:ascii="Times New Roman" w:eastAsia="Times New Roman" w:hAnsi="Times New Roman"/>
              </w:rPr>
              <w:t>Bendrieji sutrikimai ir vartojimo vietos pažeidimai</w:t>
            </w:r>
          </w:p>
        </w:tc>
        <w:tc>
          <w:tcPr>
            <w:tcW w:w="1842" w:type="dxa"/>
          </w:tcPr>
          <w:p w14:paraId="5D71925D" w14:textId="6C7161DD" w:rsidR="00973C44" w:rsidRPr="00514245" w:rsidRDefault="00973C44" w:rsidP="00C52420">
            <w:pPr>
              <w:widowControl w:val="0"/>
              <w:autoSpaceDE w:val="0"/>
              <w:autoSpaceDN w:val="0"/>
              <w:adjustRightInd w:val="0"/>
              <w:spacing w:after="0" w:line="240" w:lineRule="auto"/>
              <w:rPr>
                <w:rFonts w:ascii="Times New Roman" w:eastAsia="Times New Roman" w:hAnsi="Times New Roman"/>
              </w:rPr>
            </w:pPr>
            <w:r>
              <w:rPr>
                <w:rFonts w:ascii="Times New Roman" w:hAnsi="Times New Roman"/>
              </w:rPr>
              <w:t>N</w:t>
            </w:r>
            <w:r w:rsidRPr="00973C44">
              <w:rPr>
                <w:rFonts w:ascii="Times New Roman" w:hAnsi="Times New Roman"/>
              </w:rPr>
              <w:t>ežinomas</w:t>
            </w:r>
            <w:r>
              <w:rPr>
                <w:rFonts w:ascii="Times New Roman" w:hAnsi="Times New Roman"/>
                <w:lang w:val="en-US"/>
              </w:rPr>
              <w:t>*</w:t>
            </w:r>
          </w:p>
        </w:tc>
        <w:tc>
          <w:tcPr>
            <w:tcW w:w="2977" w:type="dxa"/>
          </w:tcPr>
          <w:p w14:paraId="6908DC04" w14:textId="0D2DDD9E" w:rsidR="00973C44" w:rsidRPr="00514245" w:rsidRDefault="004F2BD6" w:rsidP="00102583">
            <w:pPr>
              <w:widowControl w:val="0"/>
              <w:autoSpaceDE w:val="0"/>
              <w:autoSpaceDN w:val="0"/>
              <w:adjustRightInd w:val="0"/>
              <w:spacing w:after="0" w:line="240" w:lineRule="auto"/>
              <w:rPr>
                <w:rFonts w:ascii="Times New Roman" w:eastAsia="Times New Roman" w:hAnsi="Times New Roman"/>
              </w:rPr>
            </w:pPr>
            <w:r w:rsidRPr="004F2BD6">
              <w:rPr>
                <w:rFonts w:ascii="Times New Roman" w:eastAsia="Times New Roman" w:hAnsi="Times New Roman"/>
              </w:rPr>
              <w:t>Nutraukimo sindromas</w:t>
            </w:r>
          </w:p>
        </w:tc>
      </w:tr>
    </w:tbl>
    <w:p w14:paraId="3846D6A7" w14:textId="45742D1C" w:rsidR="00C52420" w:rsidRDefault="004F2BD6" w:rsidP="002D22B9">
      <w:pPr>
        <w:widowControl w:val="0"/>
        <w:autoSpaceDE w:val="0"/>
        <w:autoSpaceDN w:val="0"/>
        <w:adjustRightInd w:val="0"/>
        <w:spacing w:after="0" w:line="240" w:lineRule="auto"/>
        <w:rPr>
          <w:rFonts w:ascii="Times New Roman" w:eastAsia="Times New Roman" w:hAnsi="Times New Roman"/>
          <w:lang w:val="lt-LT"/>
        </w:rPr>
      </w:pPr>
      <w:r w:rsidRPr="004F2BD6">
        <w:rPr>
          <w:rFonts w:ascii="Times New Roman" w:eastAsia="Times New Roman" w:hAnsi="Times New Roman"/>
          <w:lang w:val="lt-LT"/>
        </w:rPr>
        <w:t>* Grindžiant po vaisto išleidimo į rinką atvejais</w:t>
      </w:r>
    </w:p>
    <w:p w14:paraId="6D6BD2F0" w14:textId="77777777" w:rsidR="004F2BD6" w:rsidRDefault="004F2BD6" w:rsidP="002D22B9">
      <w:pPr>
        <w:widowControl w:val="0"/>
        <w:autoSpaceDE w:val="0"/>
        <w:autoSpaceDN w:val="0"/>
        <w:adjustRightInd w:val="0"/>
        <w:spacing w:after="0" w:line="240" w:lineRule="auto"/>
        <w:rPr>
          <w:rFonts w:ascii="Times New Roman" w:eastAsia="Times New Roman" w:hAnsi="Times New Roman"/>
          <w:lang w:val="lt-LT"/>
        </w:rPr>
      </w:pPr>
    </w:p>
    <w:p w14:paraId="2C9FABFD" w14:textId="77777777" w:rsidR="004F2BD6" w:rsidRPr="002D22B9" w:rsidRDefault="004F2BD6" w:rsidP="004F2BD6">
      <w:pPr>
        <w:keepNext/>
        <w:autoSpaceDE w:val="0"/>
        <w:autoSpaceDN w:val="0"/>
        <w:adjustRightInd w:val="0"/>
        <w:spacing w:after="0" w:line="240" w:lineRule="auto"/>
        <w:rPr>
          <w:rFonts w:ascii="Times New Roman" w:eastAsia="Times New Roman" w:hAnsi="Times New Roman"/>
          <w:u w:val="single"/>
          <w:lang w:val="lt-LT"/>
        </w:rPr>
      </w:pPr>
      <w:r w:rsidRPr="002D22B9">
        <w:rPr>
          <w:rFonts w:ascii="Times New Roman" w:eastAsia="Times New Roman" w:hAnsi="Times New Roman"/>
          <w:u w:val="single"/>
          <w:lang w:val="lt-LT"/>
        </w:rPr>
        <w:t>Atrinktų nepageidaujamų reakcijų apibūdinimas</w:t>
      </w:r>
    </w:p>
    <w:p w14:paraId="084DAD01" w14:textId="77777777" w:rsidR="002D22B9" w:rsidRDefault="002D22B9" w:rsidP="004F2BD6">
      <w:pPr>
        <w:keepNext/>
        <w:autoSpaceDE w:val="0"/>
        <w:autoSpaceDN w:val="0"/>
        <w:adjustRightInd w:val="0"/>
        <w:spacing w:after="0" w:line="240" w:lineRule="auto"/>
        <w:rPr>
          <w:rFonts w:ascii="Times New Roman" w:eastAsia="Times New Roman" w:hAnsi="Times New Roman"/>
          <w:lang w:val="lt-LT"/>
        </w:rPr>
      </w:pPr>
    </w:p>
    <w:p w14:paraId="0495CBAD" w14:textId="4F68F361" w:rsidR="004F2BD6" w:rsidRPr="002D22B9" w:rsidRDefault="004F2BD6" w:rsidP="004F2BD6">
      <w:pPr>
        <w:keepNext/>
        <w:autoSpaceDE w:val="0"/>
        <w:autoSpaceDN w:val="0"/>
        <w:adjustRightInd w:val="0"/>
        <w:spacing w:after="0" w:line="240" w:lineRule="auto"/>
        <w:rPr>
          <w:rFonts w:ascii="Times New Roman" w:eastAsia="Times New Roman" w:hAnsi="Times New Roman"/>
          <w:i/>
          <w:iCs/>
          <w:lang w:val="lt-LT"/>
        </w:rPr>
      </w:pPr>
      <w:r w:rsidRPr="002D22B9">
        <w:rPr>
          <w:rFonts w:ascii="Times New Roman" w:eastAsia="Times New Roman" w:hAnsi="Times New Roman"/>
          <w:i/>
          <w:iCs/>
          <w:lang w:val="lt-LT"/>
        </w:rPr>
        <w:t>Pykinimas</w:t>
      </w:r>
    </w:p>
    <w:p w14:paraId="71A07250" w14:textId="01B35942" w:rsidR="004F2BD6" w:rsidRPr="006271EC" w:rsidRDefault="004F2BD6" w:rsidP="004F2BD6">
      <w:pPr>
        <w:keepNext/>
        <w:autoSpaceDE w:val="0"/>
        <w:autoSpaceDN w:val="0"/>
        <w:adjustRightInd w:val="0"/>
        <w:spacing w:after="0" w:line="240" w:lineRule="auto"/>
        <w:rPr>
          <w:rFonts w:ascii="Times New Roman" w:eastAsia="Times New Roman" w:hAnsi="Times New Roman"/>
          <w:lang w:val="lt-LT"/>
        </w:rPr>
      </w:pPr>
      <w:r w:rsidRPr="004F2BD6">
        <w:rPr>
          <w:rFonts w:ascii="Times New Roman" w:eastAsia="Times New Roman" w:hAnsi="Times New Roman"/>
          <w:lang w:val="lt-LT"/>
        </w:rPr>
        <w:t xml:space="preserve">Pykinimas dažniausiai buvo nesunkus ar vidutinio sunkumo ir pasireiškė per pirmąsias dvi gydymo savaites. Reakcijos paprastai buvo trumpalaikės ir dėl jų gydymo nutraukti dažniausiai neprireikė. Nepageidaujamų virškinimo trakto reakcijų, pavyzdžiui, pykinimo atvejų, dažniau atsirado moterims nei </w:t>
      </w:r>
      <w:r w:rsidRPr="006271EC">
        <w:rPr>
          <w:rFonts w:ascii="Times New Roman" w:eastAsia="Times New Roman" w:hAnsi="Times New Roman"/>
          <w:lang w:val="lt-LT"/>
        </w:rPr>
        <w:t>vyrams.</w:t>
      </w:r>
    </w:p>
    <w:p w14:paraId="5D0119B8" w14:textId="77777777" w:rsidR="002D22B9" w:rsidRPr="006271EC" w:rsidRDefault="002D22B9" w:rsidP="004F2BD6">
      <w:pPr>
        <w:keepNext/>
        <w:autoSpaceDE w:val="0"/>
        <w:autoSpaceDN w:val="0"/>
        <w:adjustRightInd w:val="0"/>
        <w:spacing w:after="0" w:line="240" w:lineRule="auto"/>
        <w:rPr>
          <w:rFonts w:ascii="Times New Roman" w:eastAsia="Times New Roman" w:hAnsi="Times New Roman"/>
          <w:lang w:val="lt-LT"/>
        </w:rPr>
      </w:pPr>
    </w:p>
    <w:p w14:paraId="31ED52B5" w14:textId="77777777" w:rsidR="006271EC" w:rsidRPr="006271EC" w:rsidRDefault="006271EC" w:rsidP="006271EC">
      <w:pPr>
        <w:keepNext/>
        <w:autoSpaceDE w:val="0"/>
        <w:autoSpaceDN w:val="0"/>
        <w:adjustRightInd w:val="0"/>
        <w:spacing w:after="0" w:line="240" w:lineRule="auto"/>
        <w:rPr>
          <w:rFonts w:ascii="Times New Roman" w:eastAsia="Times New Roman" w:hAnsi="Times New Roman"/>
          <w:i/>
          <w:iCs/>
          <w:lang w:val="lt-LT"/>
        </w:rPr>
      </w:pPr>
      <w:r w:rsidRPr="006271EC">
        <w:rPr>
          <w:rFonts w:ascii="Times New Roman" w:eastAsia="Times New Roman" w:hAnsi="Times New Roman"/>
          <w:i/>
          <w:iCs/>
          <w:lang w:val="lt-LT"/>
        </w:rPr>
        <w:t>Senyvi pacientai</w:t>
      </w:r>
    </w:p>
    <w:p w14:paraId="562B1E47" w14:textId="77777777" w:rsidR="006271EC" w:rsidRDefault="006271EC" w:rsidP="006271EC">
      <w:pPr>
        <w:keepNext/>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Vieną kartą per parą vartojant ≥</w:t>
      </w:r>
      <w:r>
        <w:rPr>
          <w:rFonts w:ascii="Times New Roman" w:eastAsia="Times New Roman" w:hAnsi="Times New Roman"/>
          <w:lang w:val="lt-LT"/>
        </w:rPr>
        <w:t> </w:t>
      </w:r>
      <w:r w:rsidRPr="006271EC">
        <w:rPr>
          <w:rFonts w:ascii="Times New Roman" w:eastAsia="Times New Roman" w:hAnsi="Times New Roman"/>
          <w:lang w:val="lt-LT"/>
        </w:rPr>
        <w:t>10</w:t>
      </w:r>
      <w:r>
        <w:rPr>
          <w:rFonts w:ascii="Times New Roman" w:eastAsia="Times New Roman" w:hAnsi="Times New Roman"/>
          <w:lang w:val="lt-LT"/>
        </w:rPr>
        <w:t> </w:t>
      </w:r>
      <w:r w:rsidRPr="006271EC">
        <w:rPr>
          <w:rFonts w:ascii="Times New Roman" w:eastAsia="Times New Roman" w:hAnsi="Times New Roman"/>
          <w:lang w:val="lt-LT"/>
        </w:rPr>
        <w:t>mg vortioksetino dozę, ≥</w:t>
      </w:r>
      <w:r>
        <w:rPr>
          <w:rFonts w:ascii="Times New Roman" w:eastAsia="Times New Roman" w:hAnsi="Times New Roman"/>
          <w:lang w:val="lt-LT"/>
        </w:rPr>
        <w:t> </w:t>
      </w:r>
      <w:r w:rsidRPr="006271EC">
        <w:rPr>
          <w:rFonts w:ascii="Times New Roman" w:eastAsia="Times New Roman" w:hAnsi="Times New Roman"/>
          <w:lang w:val="lt-LT"/>
        </w:rPr>
        <w:t>65</w:t>
      </w:r>
      <w:r>
        <w:rPr>
          <w:rFonts w:ascii="Times New Roman" w:eastAsia="Times New Roman" w:hAnsi="Times New Roman"/>
          <w:lang w:val="lt-LT"/>
        </w:rPr>
        <w:t> </w:t>
      </w:r>
      <w:r w:rsidRPr="006271EC">
        <w:rPr>
          <w:rFonts w:ascii="Times New Roman" w:eastAsia="Times New Roman" w:hAnsi="Times New Roman"/>
          <w:lang w:val="lt-LT"/>
        </w:rPr>
        <w:t xml:space="preserve">metų pacientų pasitraukimo iš tyrimų dažnis buvo didesnis. </w:t>
      </w:r>
    </w:p>
    <w:p w14:paraId="5246E0F7" w14:textId="77777777" w:rsidR="006271EC" w:rsidRDefault="006271EC" w:rsidP="006271EC">
      <w:pPr>
        <w:keepNext/>
        <w:autoSpaceDE w:val="0"/>
        <w:autoSpaceDN w:val="0"/>
        <w:adjustRightInd w:val="0"/>
        <w:spacing w:after="0" w:line="240" w:lineRule="auto"/>
        <w:rPr>
          <w:rFonts w:ascii="Times New Roman" w:eastAsia="Times New Roman" w:hAnsi="Times New Roman"/>
          <w:lang w:val="lt-LT"/>
        </w:rPr>
      </w:pPr>
    </w:p>
    <w:p w14:paraId="7CDDC3EE" w14:textId="4F357E9B" w:rsidR="006271EC" w:rsidRDefault="006271EC" w:rsidP="006271EC">
      <w:pPr>
        <w:keepNext/>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Vieną kartą per parą vartojant 20</w:t>
      </w:r>
      <w:r>
        <w:rPr>
          <w:rFonts w:ascii="Times New Roman" w:eastAsia="Times New Roman" w:hAnsi="Times New Roman"/>
          <w:lang w:val="lt-LT"/>
        </w:rPr>
        <w:t> </w:t>
      </w:r>
      <w:r w:rsidRPr="006271EC">
        <w:rPr>
          <w:rFonts w:ascii="Times New Roman" w:eastAsia="Times New Roman" w:hAnsi="Times New Roman"/>
          <w:lang w:val="lt-LT"/>
        </w:rPr>
        <w:t>mg vortioksetino dozę, ≥</w:t>
      </w:r>
      <w:r>
        <w:rPr>
          <w:rFonts w:ascii="Times New Roman" w:eastAsia="Times New Roman" w:hAnsi="Times New Roman"/>
          <w:lang w:val="lt-LT"/>
        </w:rPr>
        <w:t> </w:t>
      </w:r>
      <w:r w:rsidRPr="006271EC">
        <w:rPr>
          <w:rFonts w:ascii="Times New Roman" w:eastAsia="Times New Roman" w:hAnsi="Times New Roman"/>
          <w:lang w:val="lt-LT"/>
        </w:rPr>
        <w:t>65</w:t>
      </w:r>
      <w:r>
        <w:rPr>
          <w:rFonts w:ascii="Times New Roman" w:eastAsia="Times New Roman" w:hAnsi="Times New Roman"/>
          <w:lang w:val="lt-LT"/>
        </w:rPr>
        <w:t> </w:t>
      </w:r>
      <w:r w:rsidRPr="006271EC">
        <w:rPr>
          <w:rFonts w:ascii="Times New Roman" w:eastAsia="Times New Roman" w:hAnsi="Times New Roman"/>
          <w:lang w:val="lt-LT"/>
        </w:rPr>
        <w:t>metų pacientams pykinimas ir</w:t>
      </w:r>
      <w:r w:rsidRPr="006271EC">
        <w:rPr>
          <w:lang w:val="lt-LT"/>
        </w:rPr>
        <w:t xml:space="preserve"> </w:t>
      </w:r>
      <w:r w:rsidRPr="006271EC">
        <w:rPr>
          <w:rFonts w:ascii="Times New Roman" w:eastAsia="Times New Roman" w:hAnsi="Times New Roman"/>
          <w:lang w:val="lt-LT"/>
        </w:rPr>
        <w:t>vidurių užkietėjimas pasireiškė dažniau (atitinkamai 42</w:t>
      </w:r>
      <w:r>
        <w:rPr>
          <w:rFonts w:ascii="Times New Roman" w:eastAsia="Times New Roman" w:hAnsi="Times New Roman"/>
          <w:lang w:val="lt-LT"/>
        </w:rPr>
        <w:t> </w:t>
      </w:r>
      <w:r w:rsidRPr="006271EC">
        <w:rPr>
          <w:rFonts w:ascii="Times New Roman" w:eastAsia="Times New Roman" w:hAnsi="Times New Roman"/>
          <w:lang w:val="lt-LT"/>
        </w:rPr>
        <w:t>% ir 15</w:t>
      </w:r>
      <w:r>
        <w:rPr>
          <w:rFonts w:ascii="Times New Roman" w:eastAsia="Times New Roman" w:hAnsi="Times New Roman"/>
          <w:lang w:val="lt-LT"/>
        </w:rPr>
        <w:t> </w:t>
      </w:r>
      <w:r w:rsidRPr="006271EC">
        <w:rPr>
          <w:rFonts w:ascii="Times New Roman" w:eastAsia="Times New Roman" w:hAnsi="Times New Roman"/>
          <w:lang w:val="lt-LT"/>
        </w:rPr>
        <w:t>%) nei &lt;</w:t>
      </w:r>
      <w:r>
        <w:rPr>
          <w:rFonts w:ascii="Times New Roman" w:eastAsia="Times New Roman" w:hAnsi="Times New Roman"/>
          <w:lang w:val="lt-LT"/>
        </w:rPr>
        <w:t> </w:t>
      </w:r>
      <w:r w:rsidRPr="006271EC">
        <w:rPr>
          <w:rFonts w:ascii="Times New Roman" w:eastAsia="Times New Roman" w:hAnsi="Times New Roman"/>
          <w:lang w:val="lt-LT"/>
        </w:rPr>
        <w:t>65</w:t>
      </w:r>
      <w:r>
        <w:rPr>
          <w:rFonts w:ascii="Times New Roman" w:eastAsia="Times New Roman" w:hAnsi="Times New Roman"/>
          <w:lang w:val="lt-LT"/>
        </w:rPr>
        <w:t> </w:t>
      </w:r>
      <w:r w:rsidRPr="006271EC">
        <w:rPr>
          <w:rFonts w:ascii="Times New Roman" w:eastAsia="Times New Roman" w:hAnsi="Times New Roman"/>
          <w:lang w:val="lt-LT"/>
        </w:rPr>
        <w:t>metų suaugusiesiems (atitinkamai 27</w:t>
      </w:r>
      <w:r>
        <w:rPr>
          <w:rFonts w:ascii="Times New Roman" w:eastAsia="Times New Roman" w:hAnsi="Times New Roman"/>
          <w:lang w:val="lt-LT"/>
        </w:rPr>
        <w:t> </w:t>
      </w:r>
      <w:r w:rsidRPr="006271EC">
        <w:rPr>
          <w:rFonts w:ascii="Times New Roman" w:eastAsia="Times New Roman" w:hAnsi="Times New Roman"/>
          <w:lang w:val="lt-LT"/>
        </w:rPr>
        <w:t>% ir 4</w:t>
      </w:r>
      <w:r>
        <w:rPr>
          <w:rFonts w:ascii="Times New Roman" w:eastAsia="Times New Roman" w:hAnsi="Times New Roman"/>
          <w:lang w:val="lt-LT"/>
        </w:rPr>
        <w:t> </w:t>
      </w:r>
      <w:r w:rsidRPr="006271EC">
        <w:rPr>
          <w:rFonts w:ascii="Times New Roman" w:eastAsia="Times New Roman" w:hAnsi="Times New Roman"/>
          <w:lang w:val="lt-LT"/>
        </w:rPr>
        <w:t>%) (žr. 4.4 skyrių).</w:t>
      </w:r>
    </w:p>
    <w:p w14:paraId="71E586C2" w14:textId="77777777" w:rsidR="006271EC" w:rsidRPr="006271EC" w:rsidRDefault="006271EC" w:rsidP="006271EC">
      <w:pPr>
        <w:keepNext/>
        <w:autoSpaceDE w:val="0"/>
        <w:autoSpaceDN w:val="0"/>
        <w:adjustRightInd w:val="0"/>
        <w:spacing w:after="0" w:line="240" w:lineRule="auto"/>
        <w:rPr>
          <w:rFonts w:ascii="Times New Roman" w:eastAsia="Times New Roman" w:hAnsi="Times New Roman"/>
          <w:lang w:val="lt-LT"/>
        </w:rPr>
      </w:pPr>
    </w:p>
    <w:p w14:paraId="62B27945" w14:textId="77777777" w:rsidR="006271EC" w:rsidRPr="006271EC" w:rsidRDefault="006271EC" w:rsidP="006271EC">
      <w:pPr>
        <w:keepNext/>
        <w:autoSpaceDE w:val="0"/>
        <w:autoSpaceDN w:val="0"/>
        <w:adjustRightInd w:val="0"/>
        <w:spacing w:after="0" w:line="240" w:lineRule="auto"/>
        <w:rPr>
          <w:rFonts w:ascii="Times New Roman" w:eastAsia="Times New Roman" w:hAnsi="Times New Roman"/>
          <w:i/>
          <w:iCs/>
          <w:lang w:val="lt-LT"/>
        </w:rPr>
      </w:pPr>
      <w:r w:rsidRPr="006271EC">
        <w:rPr>
          <w:rFonts w:ascii="Times New Roman" w:eastAsia="Times New Roman" w:hAnsi="Times New Roman"/>
          <w:i/>
          <w:iCs/>
          <w:lang w:val="lt-LT"/>
        </w:rPr>
        <w:t>Lytinės funkcijos sutrikimas</w:t>
      </w:r>
    </w:p>
    <w:p w14:paraId="73E336FC" w14:textId="77AA3A22" w:rsidR="006271EC" w:rsidRDefault="006271EC" w:rsidP="006271EC">
      <w:pPr>
        <w:keepNext/>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 xml:space="preserve">Klinikinių tyrimų metu lytinės funkcijos sutrikimas buvo vertinamas naudojant Arizonos lytinės patirties skalę [angl. </w:t>
      </w:r>
      <w:r w:rsidRPr="006271EC">
        <w:rPr>
          <w:rFonts w:ascii="Times New Roman" w:eastAsia="Times New Roman" w:hAnsi="Times New Roman"/>
          <w:i/>
          <w:iCs/>
          <w:lang w:val="lt-LT"/>
        </w:rPr>
        <w:t xml:space="preserve">Arizona </w:t>
      </w:r>
      <w:proofErr w:type="spellStart"/>
      <w:r w:rsidRPr="006271EC">
        <w:rPr>
          <w:rFonts w:ascii="Times New Roman" w:eastAsia="Times New Roman" w:hAnsi="Times New Roman"/>
          <w:i/>
          <w:iCs/>
          <w:lang w:val="lt-LT"/>
        </w:rPr>
        <w:t>Sexual</w:t>
      </w:r>
      <w:proofErr w:type="spellEnd"/>
      <w:r w:rsidRPr="006271EC">
        <w:rPr>
          <w:rFonts w:ascii="Times New Roman" w:eastAsia="Times New Roman" w:hAnsi="Times New Roman"/>
          <w:i/>
          <w:iCs/>
          <w:lang w:val="lt-LT"/>
        </w:rPr>
        <w:t xml:space="preserve"> </w:t>
      </w:r>
      <w:proofErr w:type="spellStart"/>
      <w:r w:rsidRPr="006271EC">
        <w:rPr>
          <w:rFonts w:ascii="Times New Roman" w:eastAsia="Times New Roman" w:hAnsi="Times New Roman"/>
          <w:i/>
          <w:iCs/>
          <w:lang w:val="lt-LT"/>
        </w:rPr>
        <w:t>Experience</w:t>
      </w:r>
      <w:proofErr w:type="spellEnd"/>
      <w:r w:rsidRPr="006271EC">
        <w:rPr>
          <w:rFonts w:ascii="Times New Roman" w:eastAsia="Times New Roman" w:hAnsi="Times New Roman"/>
          <w:i/>
          <w:iCs/>
          <w:lang w:val="lt-LT"/>
        </w:rPr>
        <w:t xml:space="preserve"> </w:t>
      </w:r>
      <w:proofErr w:type="spellStart"/>
      <w:r w:rsidRPr="006271EC">
        <w:rPr>
          <w:rFonts w:ascii="Times New Roman" w:eastAsia="Times New Roman" w:hAnsi="Times New Roman"/>
          <w:i/>
          <w:iCs/>
          <w:lang w:val="lt-LT"/>
        </w:rPr>
        <w:t>Scale</w:t>
      </w:r>
      <w:proofErr w:type="spellEnd"/>
      <w:r w:rsidRPr="006271EC">
        <w:rPr>
          <w:rFonts w:ascii="Times New Roman" w:eastAsia="Times New Roman" w:hAnsi="Times New Roman"/>
          <w:lang w:val="lt-LT"/>
        </w:rPr>
        <w:t xml:space="preserve"> (ASEX)]. 5</w:t>
      </w:r>
      <w:r>
        <w:rPr>
          <w:rFonts w:ascii="Times New Roman" w:eastAsia="Times New Roman" w:hAnsi="Times New Roman"/>
          <w:lang w:val="lt-LT"/>
        </w:rPr>
        <w:noBreakHyphen/>
      </w:r>
      <w:r w:rsidRPr="006271EC">
        <w:rPr>
          <w:rFonts w:ascii="Times New Roman" w:eastAsia="Times New Roman" w:hAnsi="Times New Roman"/>
          <w:lang w:val="lt-LT"/>
        </w:rPr>
        <w:t>15</w:t>
      </w:r>
      <w:r>
        <w:rPr>
          <w:rFonts w:ascii="Times New Roman" w:eastAsia="Times New Roman" w:hAnsi="Times New Roman"/>
          <w:lang w:val="lt-LT"/>
        </w:rPr>
        <w:t> </w:t>
      </w:r>
      <w:r w:rsidRPr="006271EC">
        <w:rPr>
          <w:rFonts w:ascii="Times New Roman" w:eastAsia="Times New Roman" w:hAnsi="Times New Roman"/>
          <w:lang w:val="lt-LT"/>
        </w:rPr>
        <w:t>mg dozių poveikis nesiskyrė nuo placebo poveikio. Vis dėlto 20</w:t>
      </w:r>
      <w:r>
        <w:rPr>
          <w:rFonts w:ascii="Times New Roman" w:eastAsia="Times New Roman" w:hAnsi="Times New Roman"/>
          <w:lang w:val="lt-LT"/>
        </w:rPr>
        <w:t> </w:t>
      </w:r>
      <w:r w:rsidRPr="006271EC">
        <w:rPr>
          <w:rFonts w:ascii="Times New Roman" w:eastAsia="Times New Roman" w:hAnsi="Times New Roman"/>
          <w:lang w:val="lt-LT"/>
        </w:rPr>
        <w:t xml:space="preserve">mg vortioksetino dozės vartojimas buvo susijęs su lytinės funkcijos sutrikimo [angl. </w:t>
      </w:r>
      <w:proofErr w:type="spellStart"/>
      <w:r w:rsidRPr="006271EC">
        <w:rPr>
          <w:rFonts w:ascii="Times New Roman" w:eastAsia="Times New Roman" w:hAnsi="Times New Roman"/>
          <w:i/>
          <w:iCs/>
          <w:lang w:val="lt-LT"/>
        </w:rPr>
        <w:t>sexual</w:t>
      </w:r>
      <w:proofErr w:type="spellEnd"/>
      <w:r w:rsidRPr="006271EC">
        <w:rPr>
          <w:rFonts w:ascii="Times New Roman" w:eastAsia="Times New Roman" w:hAnsi="Times New Roman"/>
          <w:i/>
          <w:iCs/>
          <w:lang w:val="lt-LT"/>
        </w:rPr>
        <w:t xml:space="preserve"> </w:t>
      </w:r>
      <w:proofErr w:type="spellStart"/>
      <w:r w:rsidRPr="006271EC">
        <w:rPr>
          <w:rFonts w:ascii="Times New Roman" w:eastAsia="Times New Roman" w:hAnsi="Times New Roman"/>
          <w:i/>
          <w:iCs/>
          <w:lang w:val="lt-LT"/>
        </w:rPr>
        <w:t>dysfunction</w:t>
      </w:r>
      <w:proofErr w:type="spellEnd"/>
      <w:r w:rsidRPr="006271EC">
        <w:rPr>
          <w:rFonts w:ascii="Times New Roman" w:eastAsia="Times New Roman" w:hAnsi="Times New Roman"/>
          <w:lang w:val="lt-LT"/>
        </w:rPr>
        <w:t xml:space="preserve"> (TESD)] padažnėjimu (žr. 5.1 skyrių). Vaistinį preparatą pateikus į rinką, pranešta apie seksualinės funkcijos sutrikimo atvejus, kai vortioksetino dozė buvo mažesnė nei 20</w:t>
      </w:r>
      <w:r>
        <w:rPr>
          <w:rFonts w:ascii="Times New Roman" w:eastAsia="Times New Roman" w:hAnsi="Times New Roman"/>
          <w:lang w:val="lt-LT"/>
        </w:rPr>
        <w:t> </w:t>
      </w:r>
      <w:r w:rsidRPr="006271EC">
        <w:rPr>
          <w:rFonts w:ascii="Times New Roman" w:eastAsia="Times New Roman" w:hAnsi="Times New Roman"/>
          <w:lang w:val="lt-LT"/>
        </w:rPr>
        <w:t>mg.</w:t>
      </w:r>
    </w:p>
    <w:p w14:paraId="06684AA7" w14:textId="77777777" w:rsidR="006271EC" w:rsidRPr="006271EC" w:rsidRDefault="006271EC" w:rsidP="006271EC">
      <w:pPr>
        <w:keepNext/>
        <w:autoSpaceDE w:val="0"/>
        <w:autoSpaceDN w:val="0"/>
        <w:adjustRightInd w:val="0"/>
        <w:spacing w:after="0" w:line="240" w:lineRule="auto"/>
        <w:rPr>
          <w:rFonts w:ascii="Times New Roman" w:eastAsia="Times New Roman" w:hAnsi="Times New Roman"/>
          <w:lang w:val="lt-LT"/>
        </w:rPr>
      </w:pPr>
    </w:p>
    <w:p w14:paraId="6EC16977" w14:textId="77777777" w:rsidR="006271EC" w:rsidRPr="006271EC" w:rsidRDefault="006271EC" w:rsidP="006271EC">
      <w:pPr>
        <w:keepNext/>
        <w:autoSpaceDE w:val="0"/>
        <w:autoSpaceDN w:val="0"/>
        <w:adjustRightInd w:val="0"/>
        <w:spacing w:after="0" w:line="240" w:lineRule="auto"/>
        <w:rPr>
          <w:rFonts w:ascii="Times New Roman" w:eastAsia="Times New Roman" w:hAnsi="Times New Roman"/>
          <w:i/>
          <w:iCs/>
          <w:lang w:val="lt-LT"/>
        </w:rPr>
      </w:pPr>
      <w:r w:rsidRPr="006271EC">
        <w:rPr>
          <w:rFonts w:ascii="Times New Roman" w:eastAsia="Times New Roman" w:hAnsi="Times New Roman"/>
          <w:i/>
          <w:iCs/>
          <w:lang w:val="lt-LT"/>
        </w:rPr>
        <w:t>Klasės poveikis</w:t>
      </w:r>
    </w:p>
    <w:p w14:paraId="748EEF7C" w14:textId="4C96B83E" w:rsidR="002D22B9" w:rsidRPr="006271EC" w:rsidRDefault="006271EC" w:rsidP="006271EC">
      <w:pPr>
        <w:keepNext/>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Epidemiologiniai tyrimai, kuriuose daugiausiai dalyvavo 50</w:t>
      </w:r>
      <w:r>
        <w:rPr>
          <w:rFonts w:ascii="Times New Roman" w:eastAsia="Times New Roman" w:hAnsi="Times New Roman"/>
          <w:lang w:val="lt-LT"/>
        </w:rPr>
        <w:t> </w:t>
      </w:r>
      <w:r w:rsidRPr="006271EC">
        <w:rPr>
          <w:rFonts w:ascii="Times New Roman" w:eastAsia="Times New Roman" w:hAnsi="Times New Roman"/>
          <w:lang w:val="lt-LT"/>
        </w:rPr>
        <w:t>metų ir vyresni pacientai, parodė kaulų lūžimo rizikos padidėjimą pacientams, vartojantiems susijusių farmakologinių klasių antidepresantų (SSRI ar TCA). Tokios rizikos atsiradimo mechanizmas nėra žinomas, be to, nėra žinoma, ar tokia rizika yra susijusi su vortioksetinu.</w:t>
      </w:r>
    </w:p>
    <w:p w14:paraId="015FF0BE" w14:textId="77777777" w:rsidR="002D22B9" w:rsidRPr="006271EC" w:rsidRDefault="002D22B9" w:rsidP="004F2BD6">
      <w:pPr>
        <w:keepNext/>
        <w:autoSpaceDE w:val="0"/>
        <w:autoSpaceDN w:val="0"/>
        <w:adjustRightInd w:val="0"/>
        <w:spacing w:after="0" w:line="240" w:lineRule="auto"/>
        <w:rPr>
          <w:rFonts w:ascii="Times New Roman" w:eastAsia="Times New Roman" w:hAnsi="Times New Roman"/>
          <w:lang w:val="lt-LT"/>
        </w:rPr>
      </w:pPr>
    </w:p>
    <w:p w14:paraId="536B4326" w14:textId="77777777" w:rsidR="006271EC" w:rsidRPr="006271EC" w:rsidRDefault="006271EC" w:rsidP="006271EC">
      <w:pPr>
        <w:tabs>
          <w:tab w:val="left" w:pos="567"/>
        </w:tabs>
        <w:spacing w:after="0" w:line="260" w:lineRule="exact"/>
        <w:rPr>
          <w:rFonts w:ascii="Times New Roman" w:eastAsia="Times New Roman" w:hAnsi="Times New Roman"/>
          <w:i/>
          <w:iCs/>
          <w:lang w:val="lt-LT"/>
        </w:rPr>
      </w:pPr>
      <w:r w:rsidRPr="006271EC">
        <w:rPr>
          <w:rFonts w:ascii="Times New Roman" w:eastAsia="Times New Roman" w:hAnsi="Times New Roman"/>
          <w:i/>
          <w:iCs/>
          <w:lang w:val="lt-LT"/>
        </w:rPr>
        <w:t>Vaikų populiacija</w:t>
      </w:r>
    </w:p>
    <w:p w14:paraId="54FBF3F4" w14:textId="6738C5DB" w:rsidR="006271EC" w:rsidRDefault="006271EC" w:rsidP="006271EC">
      <w:pPr>
        <w:tabs>
          <w:tab w:val="left" w:pos="567"/>
        </w:tabs>
        <w:spacing w:after="0" w:line="260" w:lineRule="exact"/>
        <w:rPr>
          <w:rFonts w:ascii="Times New Roman" w:eastAsia="Times New Roman" w:hAnsi="Times New Roman"/>
          <w:lang w:val="lt-LT"/>
        </w:rPr>
      </w:pPr>
      <w:r w:rsidRPr="006271EC">
        <w:rPr>
          <w:rFonts w:ascii="Times New Roman" w:eastAsia="Times New Roman" w:hAnsi="Times New Roman"/>
          <w:lang w:val="lt-LT"/>
        </w:rPr>
        <w:t>Dviejuose dvigubai koduotuose, placebu kontroliuojamuose tyrimuose iš viso 304</w:t>
      </w:r>
      <w:r>
        <w:rPr>
          <w:rFonts w:ascii="Times New Roman" w:eastAsia="Times New Roman" w:hAnsi="Times New Roman"/>
          <w:lang w:val="lt-LT"/>
        </w:rPr>
        <w:t> </w:t>
      </w:r>
      <w:r w:rsidRPr="006271EC">
        <w:rPr>
          <w:rFonts w:ascii="Times New Roman" w:eastAsia="Times New Roman" w:hAnsi="Times New Roman"/>
          <w:lang w:val="lt-LT"/>
        </w:rPr>
        <w:t>vaikai nuo 7 iki 11</w:t>
      </w:r>
      <w:r>
        <w:rPr>
          <w:rFonts w:ascii="Times New Roman" w:eastAsia="Times New Roman" w:hAnsi="Times New Roman"/>
          <w:lang w:val="lt-LT"/>
        </w:rPr>
        <w:t> </w:t>
      </w:r>
      <w:r w:rsidRPr="006271EC">
        <w:rPr>
          <w:rFonts w:ascii="Times New Roman" w:eastAsia="Times New Roman" w:hAnsi="Times New Roman"/>
          <w:lang w:val="lt-LT"/>
        </w:rPr>
        <w:t>metų ir 308</w:t>
      </w:r>
      <w:r>
        <w:rPr>
          <w:rFonts w:ascii="Times New Roman" w:eastAsia="Times New Roman" w:hAnsi="Times New Roman"/>
          <w:lang w:val="lt-LT"/>
        </w:rPr>
        <w:t> </w:t>
      </w:r>
      <w:r w:rsidRPr="006271EC">
        <w:rPr>
          <w:rFonts w:ascii="Times New Roman" w:eastAsia="Times New Roman" w:hAnsi="Times New Roman"/>
          <w:lang w:val="lt-LT"/>
        </w:rPr>
        <w:t>paaugliai nuo 12 iki 17</w:t>
      </w:r>
      <w:r>
        <w:rPr>
          <w:rFonts w:ascii="Times New Roman" w:eastAsia="Times New Roman" w:hAnsi="Times New Roman"/>
          <w:lang w:val="lt-LT"/>
        </w:rPr>
        <w:t> </w:t>
      </w:r>
      <w:r w:rsidRPr="006271EC">
        <w:rPr>
          <w:rFonts w:ascii="Times New Roman" w:eastAsia="Times New Roman" w:hAnsi="Times New Roman"/>
          <w:lang w:val="lt-LT"/>
        </w:rPr>
        <w:t xml:space="preserve">metų, sergantys didžiosios depresijos sutrikimu (DDS), buvo gydomi vortioksetinu, atitinkamai. Apskritai, vortioksetino nepageidaujamų reakcijų pobūdis vaikams ir </w:t>
      </w:r>
      <w:r w:rsidRPr="006271EC">
        <w:rPr>
          <w:rFonts w:ascii="Times New Roman" w:eastAsia="Times New Roman" w:hAnsi="Times New Roman"/>
          <w:lang w:val="lt-LT"/>
        </w:rPr>
        <w:lastRenderedPageBreak/>
        <w:t>paaugliams buvo panašus kaip ir stebėtas suaugusiesiems, išskyrus tai, kad dažniau pasireiškė su pilvo skausmu susiję reiškiniai ir dažnesnės mintys apie savižudybę, ypač paaugliams, palyginti su suaugusiaisiais (žr. 5.1 skyrių).</w:t>
      </w:r>
    </w:p>
    <w:p w14:paraId="3499E9E3" w14:textId="77777777" w:rsidR="006271EC" w:rsidRPr="006271EC" w:rsidRDefault="006271EC" w:rsidP="006271EC">
      <w:pPr>
        <w:tabs>
          <w:tab w:val="left" w:pos="567"/>
        </w:tabs>
        <w:spacing w:after="0" w:line="260" w:lineRule="exact"/>
        <w:rPr>
          <w:rFonts w:ascii="Times New Roman" w:eastAsia="Times New Roman" w:hAnsi="Times New Roman"/>
          <w:lang w:val="lt-LT"/>
        </w:rPr>
      </w:pPr>
    </w:p>
    <w:p w14:paraId="60CAA7BD" w14:textId="66273DA0" w:rsidR="006271EC" w:rsidRDefault="006271EC" w:rsidP="006271EC">
      <w:pPr>
        <w:tabs>
          <w:tab w:val="left" w:pos="567"/>
        </w:tabs>
        <w:spacing w:after="0" w:line="260" w:lineRule="exact"/>
        <w:rPr>
          <w:rFonts w:ascii="Times New Roman" w:eastAsia="Times New Roman" w:hAnsi="Times New Roman"/>
          <w:lang w:val="lt-LT"/>
        </w:rPr>
      </w:pPr>
      <w:r w:rsidRPr="006271EC">
        <w:rPr>
          <w:rFonts w:ascii="Times New Roman" w:eastAsia="Times New Roman" w:hAnsi="Times New Roman"/>
          <w:lang w:val="lt-LT"/>
        </w:rPr>
        <w:t>Buvo atlikti du ilgalaikiai atviri tęstiniai tyrimai su vortioksetino dozėmis nuo 5 iki 20</w:t>
      </w:r>
      <w:r>
        <w:rPr>
          <w:rFonts w:ascii="Times New Roman" w:eastAsia="Times New Roman" w:hAnsi="Times New Roman"/>
          <w:lang w:val="lt-LT"/>
        </w:rPr>
        <w:t> </w:t>
      </w:r>
      <w:r w:rsidRPr="006271EC">
        <w:rPr>
          <w:rFonts w:ascii="Times New Roman" w:eastAsia="Times New Roman" w:hAnsi="Times New Roman"/>
          <w:lang w:val="lt-LT"/>
        </w:rPr>
        <w:t>mg per parą ir gydymo trukme atitinkamai 6</w:t>
      </w:r>
      <w:r>
        <w:rPr>
          <w:rFonts w:ascii="Times New Roman" w:eastAsia="Times New Roman" w:hAnsi="Times New Roman"/>
          <w:lang w:val="lt-LT"/>
        </w:rPr>
        <w:t> </w:t>
      </w:r>
      <w:r w:rsidRPr="006271EC">
        <w:rPr>
          <w:rFonts w:ascii="Times New Roman" w:eastAsia="Times New Roman" w:hAnsi="Times New Roman"/>
          <w:lang w:val="lt-LT"/>
        </w:rPr>
        <w:t>mėnesius (N=662) ir 18</w:t>
      </w:r>
      <w:r>
        <w:rPr>
          <w:rFonts w:ascii="Times New Roman" w:eastAsia="Times New Roman" w:hAnsi="Times New Roman"/>
          <w:lang w:val="lt-LT"/>
        </w:rPr>
        <w:t> </w:t>
      </w:r>
      <w:r w:rsidRPr="006271EC">
        <w:rPr>
          <w:rFonts w:ascii="Times New Roman" w:eastAsia="Times New Roman" w:hAnsi="Times New Roman"/>
          <w:lang w:val="lt-LT"/>
        </w:rPr>
        <w:t>mėnesių (N=94). Apskritai, vortioksetino saugumas ir toleravimas vaikų populiacijoje po ilgalaikio vartojimo buvo panašus į stebėtus po trumpalaikio vartojimo.</w:t>
      </w:r>
    </w:p>
    <w:p w14:paraId="1ED3605F" w14:textId="77777777" w:rsidR="006271EC" w:rsidRPr="006271EC" w:rsidRDefault="006271EC" w:rsidP="006271EC">
      <w:pPr>
        <w:tabs>
          <w:tab w:val="left" w:pos="567"/>
        </w:tabs>
        <w:spacing w:after="0" w:line="260" w:lineRule="exact"/>
        <w:rPr>
          <w:rFonts w:ascii="Times New Roman" w:eastAsia="Times New Roman" w:hAnsi="Times New Roman"/>
          <w:lang w:val="lt-LT"/>
        </w:rPr>
      </w:pPr>
    </w:p>
    <w:p w14:paraId="5991DE2B" w14:textId="77777777" w:rsidR="006271EC" w:rsidRPr="006271EC" w:rsidRDefault="006271EC" w:rsidP="006271EC">
      <w:pPr>
        <w:tabs>
          <w:tab w:val="left" w:pos="567"/>
        </w:tabs>
        <w:spacing w:after="0" w:line="260" w:lineRule="exact"/>
        <w:rPr>
          <w:rFonts w:ascii="Times New Roman" w:eastAsia="Times New Roman" w:hAnsi="Times New Roman"/>
          <w:i/>
          <w:iCs/>
          <w:lang w:val="lt-LT"/>
        </w:rPr>
      </w:pPr>
      <w:r w:rsidRPr="006271EC">
        <w:rPr>
          <w:rFonts w:ascii="Times New Roman" w:eastAsia="Times New Roman" w:hAnsi="Times New Roman"/>
          <w:i/>
          <w:iCs/>
          <w:lang w:val="lt-LT"/>
        </w:rPr>
        <w:t>Simptomai nutraukus gydymą vortioksetinu</w:t>
      </w:r>
    </w:p>
    <w:p w14:paraId="121F0DC1" w14:textId="4C04EFA9" w:rsidR="006271EC" w:rsidRPr="006271EC" w:rsidRDefault="006271EC" w:rsidP="006271EC">
      <w:pPr>
        <w:tabs>
          <w:tab w:val="left" w:pos="567"/>
        </w:tabs>
        <w:spacing w:after="0" w:line="260" w:lineRule="exact"/>
        <w:rPr>
          <w:rFonts w:ascii="Times New Roman" w:eastAsia="Times New Roman" w:hAnsi="Times New Roman"/>
          <w:szCs w:val="24"/>
          <w:lang w:val="lt-LT" w:eastAsia="en-US" w:bidi="ar-SA"/>
        </w:rPr>
      </w:pPr>
      <w:r w:rsidRPr="006271EC">
        <w:rPr>
          <w:rFonts w:ascii="Times New Roman" w:eastAsia="Times New Roman" w:hAnsi="Times New Roman"/>
          <w:lang w:val="lt-LT"/>
        </w:rPr>
        <w:t xml:space="preserve">Klinikinių tyrimų metu buvo sistemingai vertinami nutraukimo simptomai staiga nutraukus gydymą vortioksetinu. Gydymo vortioksetinu nutraukimo simptomų dažnis ar pobūdis kliniškai reikšmingai nesiskyrė nuo placebo (žr. 5.1 skyrių). Vaistinį preparatą pateikus į rinką buvo pranešta apie atvejus, apibūdinančius nutraukimo simptomus, tokius kaip svaigulys, galvos skausmas, jutimo sutrikimai (įskaitant </w:t>
      </w:r>
      <w:proofErr w:type="spellStart"/>
      <w:r w:rsidRPr="006271EC">
        <w:rPr>
          <w:rFonts w:ascii="Times New Roman" w:eastAsia="Times New Roman" w:hAnsi="Times New Roman"/>
          <w:lang w:val="lt-LT"/>
        </w:rPr>
        <w:t>paresteziją</w:t>
      </w:r>
      <w:proofErr w:type="spellEnd"/>
      <w:r w:rsidRPr="006271EC">
        <w:rPr>
          <w:rFonts w:ascii="Times New Roman" w:eastAsia="Times New Roman" w:hAnsi="Times New Roman"/>
          <w:lang w:val="lt-LT"/>
        </w:rPr>
        <w:t>, elektros šoko pojūčius), miego sutrikimai (įskaitant nemigą), pykinimas ir (arba) vėmimas, nerimas, irzlumas, susijaudinimas, nuovargis ir tremoras. Šie simptomai gali pasireikšti per pirmą savaitę po vortioksetino vartojimo nutraukimo.</w:t>
      </w:r>
    </w:p>
    <w:p w14:paraId="01A84117" w14:textId="77777777" w:rsidR="006271EC" w:rsidRPr="006271EC" w:rsidRDefault="006271EC" w:rsidP="006271EC">
      <w:pPr>
        <w:tabs>
          <w:tab w:val="left" w:pos="567"/>
        </w:tabs>
        <w:spacing w:after="0" w:line="260" w:lineRule="exact"/>
        <w:rPr>
          <w:rFonts w:ascii="Times New Roman" w:eastAsia="Times New Roman" w:hAnsi="Times New Roman"/>
          <w:szCs w:val="24"/>
          <w:lang w:val="lt-LT" w:eastAsia="en-US" w:bidi="ar-SA"/>
        </w:rPr>
      </w:pPr>
    </w:p>
    <w:p w14:paraId="484C2F74" w14:textId="288865AC" w:rsidR="00C52420" w:rsidRPr="00514245" w:rsidRDefault="00C52420" w:rsidP="00C52420">
      <w:pPr>
        <w:tabs>
          <w:tab w:val="left" w:pos="567"/>
        </w:tabs>
        <w:spacing w:after="0" w:line="260" w:lineRule="exact"/>
        <w:jc w:val="both"/>
        <w:rPr>
          <w:rFonts w:ascii="Times New Roman" w:eastAsia="Times New Roman" w:hAnsi="Times New Roman"/>
          <w:szCs w:val="24"/>
          <w:u w:val="single"/>
          <w:lang w:val="lt-LT" w:eastAsia="en-US" w:bidi="ar-SA"/>
        </w:rPr>
      </w:pPr>
      <w:r w:rsidRPr="00514245">
        <w:rPr>
          <w:rFonts w:ascii="Times New Roman" w:eastAsia="Times New Roman" w:hAnsi="Times New Roman"/>
          <w:szCs w:val="24"/>
          <w:u w:val="single"/>
          <w:lang w:val="lt-LT" w:eastAsia="en-US" w:bidi="ar-SA"/>
        </w:rPr>
        <w:t>Pranešimas apie įtariamas nepageidaujamas reakcijas</w:t>
      </w:r>
    </w:p>
    <w:p w14:paraId="2DC5416B" w14:textId="09F52DA6" w:rsidR="00C52420" w:rsidRPr="00514245" w:rsidRDefault="00C52420" w:rsidP="00C52420">
      <w:pPr>
        <w:tabs>
          <w:tab w:val="left" w:pos="567"/>
        </w:tabs>
        <w:spacing w:after="0" w:line="260" w:lineRule="exact"/>
        <w:rPr>
          <w:rFonts w:ascii="Times New Roman" w:eastAsia="Times New Roman" w:hAnsi="Times New Roman"/>
          <w:color w:val="000000"/>
          <w:lang w:val="lt-LT" w:eastAsia="en-US" w:bidi="ar-SA"/>
        </w:rPr>
      </w:pPr>
      <w:r w:rsidRPr="00514245">
        <w:rPr>
          <w:rFonts w:ascii="Times New Roman" w:eastAsia="Times New Roman" w:hAnsi="Times New Roman"/>
          <w:lang w:val="lt-LT" w:eastAsia="en-US" w:bidi="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514245">
        <w:rPr>
          <w:rFonts w:ascii="Times New Roman" w:eastAsia="Times New Roman" w:hAnsi="Times New Roman"/>
          <w:color w:val="000000"/>
          <w:lang w:val="lt-LT" w:eastAsia="en-US" w:bidi="ar-SA"/>
        </w:rPr>
        <w:t xml:space="preserve">užpildę ir pateikę pranešimo formą Valstybinės vaistų kontrolės tarnybos prie Lietuvos Respublikos sveikatos apsaugos ministerijos tinklalapyje </w:t>
      </w:r>
      <w:r w:rsidRPr="00514245">
        <w:rPr>
          <w:rFonts w:ascii="Times New Roman" w:eastAsia="Times New Roman" w:hAnsi="Times New Roman"/>
          <w:color w:val="0000EE"/>
          <w:u w:val="single"/>
          <w:lang w:val="lt-LT" w:eastAsia="en-US" w:bidi="ar-SA"/>
        </w:rPr>
        <w:t>https://vvkt.lrv.lt/lt/</w:t>
      </w:r>
      <w:r w:rsidRPr="00514245">
        <w:rPr>
          <w:rFonts w:ascii="Times New Roman" w:eastAsia="Times New Roman" w:hAnsi="Times New Roman"/>
          <w:color w:val="000000"/>
          <w:lang w:val="lt-LT" w:eastAsia="en-US" w:bidi="ar-SA"/>
        </w:rPr>
        <w:t xml:space="preserve"> nurodytais būdais.</w:t>
      </w:r>
    </w:p>
    <w:p w14:paraId="0A98B1D7" w14:textId="77777777" w:rsidR="00045EAD" w:rsidRPr="00514245" w:rsidRDefault="00045EAD" w:rsidP="00C52420">
      <w:pPr>
        <w:tabs>
          <w:tab w:val="left" w:pos="567"/>
        </w:tabs>
        <w:spacing w:after="0" w:line="260" w:lineRule="exact"/>
        <w:rPr>
          <w:rFonts w:ascii="Times New Roman" w:eastAsia="Times New Roman" w:hAnsi="Times New Roman"/>
          <w:color w:val="000000"/>
          <w:lang w:val="lt-LT" w:eastAsia="en-US" w:bidi="ar-SA"/>
        </w:rPr>
      </w:pPr>
    </w:p>
    <w:p w14:paraId="73F69BD3" w14:textId="77777777" w:rsidR="00E0107B" w:rsidRPr="00514245" w:rsidRDefault="00E0107B" w:rsidP="0009232D">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4.9</w:t>
      </w:r>
      <w:r w:rsidRPr="00514245">
        <w:rPr>
          <w:rFonts w:ascii="Times New Roman" w:hAnsi="Times New Roman"/>
          <w:lang w:val="lt-LT"/>
        </w:rPr>
        <w:tab/>
      </w:r>
      <w:r w:rsidRPr="00514245">
        <w:rPr>
          <w:rFonts w:ascii="Times New Roman" w:hAnsi="Times New Roman"/>
          <w:b/>
          <w:lang w:val="lt-LT"/>
        </w:rPr>
        <w:t>Perdozavimas</w:t>
      </w:r>
    </w:p>
    <w:p w14:paraId="56C4F259" w14:textId="77777777" w:rsidR="00E0107B" w:rsidRPr="00514245" w:rsidRDefault="00E0107B" w:rsidP="0009232D">
      <w:pPr>
        <w:keepNext/>
        <w:autoSpaceDE w:val="0"/>
        <w:autoSpaceDN w:val="0"/>
        <w:adjustRightInd w:val="0"/>
        <w:spacing w:after="0" w:line="240" w:lineRule="auto"/>
        <w:rPr>
          <w:rFonts w:ascii="Times New Roman" w:eastAsia="Times New Roman" w:hAnsi="Times New Roman"/>
          <w:lang w:val="lt-LT"/>
        </w:rPr>
      </w:pPr>
    </w:p>
    <w:p w14:paraId="378E447A" w14:textId="09F0D0CA" w:rsidR="006271EC" w:rsidRDefault="006271EC" w:rsidP="006271EC">
      <w:pPr>
        <w:widowControl w:val="0"/>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Nurijus nuo 40</w:t>
      </w:r>
      <w:r>
        <w:rPr>
          <w:rFonts w:ascii="Times New Roman" w:eastAsia="Times New Roman" w:hAnsi="Times New Roman"/>
          <w:lang w:val="lt-LT"/>
        </w:rPr>
        <w:t> </w:t>
      </w:r>
      <w:r w:rsidRPr="006271EC">
        <w:rPr>
          <w:rFonts w:ascii="Times New Roman" w:eastAsia="Times New Roman" w:hAnsi="Times New Roman"/>
          <w:lang w:val="lt-LT"/>
        </w:rPr>
        <w:t>mg iki 75</w:t>
      </w:r>
      <w:r>
        <w:rPr>
          <w:rFonts w:ascii="Times New Roman" w:eastAsia="Times New Roman" w:hAnsi="Times New Roman"/>
          <w:lang w:val="lt-LT"/>
        </w:rPr>
        <w:t> </w:t>
      </w:r>
      <w:r w:rsidRPr="006271EC">
        <w:rPr>
          <w:rFonts w:ascii="Times New Roman" w:eastAsia="Times New Roman" w:hAnsi="Times New Roman"/>
          <w:lang w:val="lt-LT"/>
        </w:rPr>
        <w:t xml:space="preserve">mg tokias vortioksetino dozes klinikinių tyrimų metu, sustiprėjo toliau išvardytos nepageidaujamos reakcijos: pykinimas, nuo padėties priklausomas </w:t>
      </w:r>
      <w:r w:rsidR="00446DB2">
        <w:rPr>
          <w:rFonts w:ascii="Times New Roman" w:eastAsia="Times New Roman" w:hAnsi="Times New Roman"/>
          <w:lang w:val="lt-LT"/>
        </w:rPr>
        <w:t>svaigulys</w:t>
      </w:r>
      <w:r w:rsidRPr="006271EC">
        <w:rPr>
          <w:rFonts w:ascii="Times New Roman" w:eastAsia="Times New Roman" w:hAnsi="Times New Roman"/>
          <w:lang w:val="lt-LT"/>
        </w:rPr>
        <w:t xml:space="preserve">, viduriavimas, diskomfortas pilve, </w:t>
      </w:r>
      <w:proofErr w:type="spellStart"/>
      <w:r w:rsidRPr="006271EC">
        <w:rPr>
          <w:rFonts w:ascii="Times New Roman" w:eastAsia="Times New Roman" w:hAnsi="Times New Roman"/>
          <w:lang w:val="lt-LT"/>
        </w:rPr>
        <w:t>generalizuotas</w:t>
      </w:r>
      <w:proofErr w:type="spellEnd"/>
      <w:r w:rsidRPr="006271EC">
        <w:rPr>
          <w:rFonts w:ascii="Times New Roman" w:eastAsia="Times New Roman" w:hAnsi="Times New Roman"/>
          <w:lang w:val="lt-LT"/>
        </w:rPr>
        <w:t xml:space="preserve"> niežulys, </w:t>
      </w:r>
      <w:r w:rsidR="004D45C6">
        <w:rPr>
          <w:rFonts w:ascii="Times New Roman" w:eastAsia="Times New Roman" w:hAnsi="Times New Roman"/>
          <w:lang w:val="lt-LT"/>
        </w:rPr>
        <w:t>miegu</w:t>
      </w:r>
      <w:r w:rsidR="00E2414D">
        <w:rPr>
          <w:rFonts w:ascii="Times New Roman" w:eastAsia="Times New Roman" w:hAnsi="Times New Roman"/>
          <w:lang w:val="lt-LT"/>
        </w:rPr>
        <w:t>is</w:t>
      </w:r>
      <w:r w:rsidR="004D45C6">
        <w:rPr>
          <w:rFonts w:ascii="Times New Roman" w:eastAsia="Times New Roman" w:hAnsi="Times New Roman"/>
          <w:lang w:val="lt-LT"/>
        </w:rPr>
        <w:t>tumas (</w:t>
      </w:r>
      <w:proofErr w:type="spellStart"/>
      <w:r w:rsidRPr="006271EC">
        <w:rPr>
          <w:rFonts w:ascii="Times New Roman" w:eastAsia="Times New Roman" w:hAnsi="Times New Roman"/>
          <w:lang w:val="lt-LT"/>
        </w:rPr>
        <w:t>somnolencija</w:t>
      </w:r>
      <w:proofErr w:type="spellEnd"/>
      <w:r w:rsidR="004D45C6">
        <w:rPr>
          <w:rFonts w:ascii="Times New Roman" w:eastAsia="Times New Roman" w:hAnsi="Times New Roman"/>
          <w:lang w:val="lt-LT"/>
        </w:rPr>
        <w:t>)</w:t>
      </w:r>
      <w:r w:rsidRPr="006271EC">
        <w:rPr>
          <w:rFonts w:ascii="Times New Roman" w:eastAsia="Times New Roman" w:hAnsi="Times New Roman"/>
          <w:lang w:val="lt-LT"/>
        </w:rPr>
        <w:t xml:space="preserve"> bei veido ir kaklo paraudimas.</w:t>
      </w:r>
    </w:p>
    <w:p w14:paraId="66B6A5F9" w14:textId="77777777" w:rsidR="006271EC" w:rsidRPr="006271EC" w:rsidRDefault="006271EC" w:rsidP="006271EC">
      <w:pPr>
        <w:widowControl w:val="0"/>
        <w:autoSpaceDE w:val="0"/>
        <w:autoSpaceDN w:val="0"/>
        <w:adjustRightInd w:val="0"/>
        <w:spacing w:after="0" w:line="240" w:lineRule="auto"/>
        <w:rPr>
          <w:rFonts w:ascii="Times New Roman" w:eastAsia="Times New Roman" w:hAnsi="Times New Roman"/>
          <w:lang w:val="lt-LT"/>
        </w:rPr>
      </w:pPr>
    </w:p>
    <w:p w14:paraId="67E5C500" w14:textId="0BC52ABC" w:rsidR="006271EC" w:rsidRDefault="006271EC" w:rsidP="006271EC">
      <w:pPr>
        <w:widowControl w:val="0"/>
        <w:autoSpaceDE w:val="0"/>
        <w:autoSpaceDN w:val="0"/>
        <w:adjustRightInd w:val="0"/>
        <w:spacing w:after="0" w:line="240" w:lineRule="auto"/>
        <w:rPr>
          <w:rFonts w:ascii="Times New Roman" w:eastAsia="Times New Roman" w:hAnsi="Times New Roman"/>
          <w:lang w:val="lt-LT"/>
        </w:rPr>
      </w:pPr>
      <w:proofErr w:type="spellStart"/>
      <w:r w:rsidRPr="006271EC">
        <w:rPr>
          <w:rFonts w:ascii="Times New Roman" w:eastAsia="Times New Roman" w:hAnsi="Times New Roman"/>
          <w:lang w:val="lt-LT"/>
        </w:rPr>
        <w:t>Poregistracinio</w:t>
      </w:r>
      <w:proofErr w:type="spellEnd"/>
      <w:r w:rsidRPr="006271EC">
        <w:rPr>
          <w:rFonts w:ascii="Times New Roman" w:eastAsia="Times New Roman" w:hAnsi="Times New Roman"/>
          <w:lang w:val="lt-LT"/>
        </w:rPr>
        <w:t xml:space="preserve"> laikotarpio duomenys daugiausiai susiję su vortioksetino perdozavimu suvartojus iki 80</w:t>
      </w:r>
      <w:r>
        <w:rPr>
          <w:rFonts w:ascii="Times New Roman" w:eastAsia="Times New Roman" w:hAnsi="Times New Roman"/>
          <w:lang w:val="lt-LT"/>
        </w:rPr>
        <w:t> </w:t>
      </w:r>
      <w:r w:rsidRPr="006271EC">
        <w:rPr>
          <w:rFonts w:ascii="Times New Roman" w:eastAsia="Times New Roman" w:hAnsi="Times New Roman"/>
          <w:lang w:val="lt-LT"/>
        </w:rPr>
        <w:t>mg dozes. Daugumoje atvejų apie simptomus nepranešta arba pranešta apie lengvus simptomus. Dažniausiai pranešimuose minimi simptomai buvo pykinimas ir vėmimas.</w:t>
      </w:r>
    </w:p>
    <w:p w14:paraId="2EFE8E51" w14:textId="77777777" w:rsidR="006271EC" w:rsidRPr="006271EC" w:rsidRDefault="006271EC" w:rsidP="006271EC">
      <w:pPr>
        <w:widowControl w:val="0"/>
        <w:autoSpaceDE w:val="0"/>
        <w:autoSpaceDN w:val="0"/>
        <w:adjustRightInd w:val="0"/>
        <w:spacing w:after="0" w:line="240" w:lineRule="auto"/>
        <w:rPr>
          <w:rFonts w:ascii="Times New Roman" w:eastAsia="Times New Roman" w:hAnsi="Times New Roman"/>
          <w:lang w:val="lt-LT"/>
        </w:rPr>
      </w:pPr>
    </w:p>
    <w:p w14:paraId="2E3B02DA" w14:textId="6D73555D" w:rsidR="00C52420" w:rsidRDefault="006271EC" w:rsidP="00E0107B">
      <w:pPr>
        <w:widowControl w:val="0"/>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Patirties apie vortioksetino perdozavimą suvartojus daugiau kaip 80</w:t>
      </w:r>
      <w:r>
        <w:rPr>
          <w:rFonts w:ascii="Times New Roman" w:eastAsia="Times New Roman" w:hAnsi="Times New Roman"/>
          <w:lang w:val="lt-LT"/>
        </w:rPr>
        <w:t> </w:t>
      </w:r>
      <w:r w:rsidRPr="006271EC">
        <w:rPr>
          <w:rFonts w:ascii="Times New Roman" w:eastAsia="Times New Roman" w:hAnsi="Times New Roman"/>
          <w:lang w:val="lt-LT"/>
        </w:rPr>
        <w:t xml:space="preserve">mg nepakanka. Pranešta apie suvartojus kelis kartus didesnes už terapinį intervalą dozes išsivysčiusius tokius reiškinius, kaip traukuliai ir </w:t>
      </w:r>
      <w:proofErr w:type="spellStart"/>
      <w:r w:rsidRPr="006271EC">
        <w:rPr>
          <w:rFonts w:ascii="Times New Roman" w:eastAsia="Times New Roman" w:hAnsi="Times New Roman"/>
          <w:lang w:val="lt-LT"/>
        </w:rPr>
        <w:t>serotonino</w:t>
      </w:r>
      <w:proofErr w:type="spellEnd"/>
      <w:r w:rsidRPr="006271EC">
        <w:rPr>
          <w:rFonts w:ascii="Times New Roman" w:eastAsia="Times New Roman" w:hAnsi="Times New Roman"/>
          <w:lang w:val="lt-LT"/>
        </w:rPr>
        <w:t xml:space="preserve"> sindromas.</w:t>
      </w:r>
      <w:r>
        <w:rPr>
          <w:rFonts w:ascii="Times New Roman" w:eastAsia="Times New Roman" w:hAnsi="Times New Roman"/>
          <w:lang w:val="lt-LT"/>
        </w:rPr>
        <w:t xml:space="preserve"> </w:t>
      </w:r>
      <w:r w:rsidRPr="006271EC">
        <w:rPr>
          <w:rFonts w:ascii="Times New Roman" w:eastAsia="Times New Roman" w:hAnsi="Times New Roman"/>
          <w:lang w:val="lt-LT"/>
        </w:rPr>
        <w:t>Priežiūra perdozavimo atveju apima klinikinių simptomų gydymą ir tinkamą stebėjimą. Rekomenduojamas būklės stebėjimas specializuotame skyriuje.</w:t>
      </w:r>
    </w:p>
    <w:p w14:paraId="5F1149BB" w14:textId="77777777" w:rsidR="006271EC" w:rsidRDefault="006271EC" w:rsidP="00E0107B">
      <w:pPr>
        <w:widowControl w:val="0"/>
        <w:autoSpaceDE w:val="0"/>
        <w:autoSpaceDN w:val="0"/>
        <w:adjustRightInd w:val="0"/>
        <w:spacing w:after="0" w:line="240" w:lineRule="auto"/>
        <w:rPr>
          <w:rFonts w:ascii="Times New Roman" w:eastAsia="Times New Roman" w:hAnsi="Times New Roman"/>
          <w:lang w:val="lt-LT"/>
        </w:rPr>
      </w:pPr>
    </w:p>
    <w:p w14:paraId="69300A9E" w14:textId="77777777" w:rsidR="006271EC" w:rsidRPr="00514245" w:rsidRDefault="006271EC" w:rsidP="00E0107B">
      <w:pPr>
        <w:widowControl w:val="0"/>
        <w:autoSpaceDE w:val="0"/>
        <w:autoSpaceDN w:val="0"/>
        <w:adjustRightInd w:val="0"/>
        <w:spacing w:after="0" w:line="240" w:lineRule="auto"/>
        <w:rPr>
          <w:rFonts w:ascii="Times New Roman" w:eastAsia="Times New Roman" w:hAnsi="Times New Roman"/>
          <w:lang w:val="lt-LT"/>
        </w:rPr>
      </w:pPr>
    </w:p>
    <w:p w14:paraId="4CA0E8B2" w14:textId="77777777" w:rsidR="00E0107B" w:rsidRPr="00514245" w:rsidRDefault="00E0107B" w:rsidP="00167611">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5.</w:t>
      </w:r>
      <w:r w:rsidRPr="00514245">
        <w:rPr>
          <w:rFonts w:ascii="Times New Roman" w:hAnsi="Times New Roman"/>
          <w:lang w:val="lt-LT"/>
        </w:rPr>
        <w:tab/>
      </w:r>
      <w:r w:rsidRPr="00514245">
        <w:rPr>
          <w:rFonts w:ascii="Times New Roman" w:hAnsi="Times New Roman"/>
          <w:b/>
          <w:spacing w:val="2"/>
          <w:lang w:val="lt-LT"/>
        </w:rPr>
        <w:t>FARMAKOLOGINĖS SAVYBĖS</w:t>
      </w:r>
    </w:p>
    <w:p w14:paraId="540BDD1D" w14:textId="77777777" w:rsidR="00E0107B" w:rsidRPr="00514245" w:rsidRDefault="00E0107B" w:rsidP="00167611">
      <w:pPr>
        <w:keepNext/>
        <w:autoSpaceDE w:val="0"/>
        <w:autoSpaceDN w:val="0"/>
        <w:adjustRightInd w:val="0"/>
        <w:spacing w:after="0" w:line="240" w:lineRule="auto"/>
        <w:rPr>
          <w:rFonts w:ascii="Times New Roman" w:eastAsia="Times New Roman" w:hAnsi="Times New Roman"/>
          <w:lang w:val="lt-LT"/>
        </w:rPr>
      </w:pPr>
    </w:p>
    <w:p w14:paraId="662E8351" w14:textId="77777777" w:rsidR="00E0107B" w:rsidRPr="00514245" w:rsidRDefault="00E0107B" w:rsidP="00167611">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5.1</w:t>
      </w:r>
      <w:r w:rsidRPr="00514245">
        <w:rPr>
          <w:rFonts w:ascii="Times New Roman" w:hAnsi="Times New Roman"/>
          <w:lang w:val="lt-LT"/>
        </w:rPr>
        <w:tab/>
      </w:r>
      <w:proofErr w:type="spellStart"/>
      <w:r w:rsidRPr="00514245">
        <w:rPr>
          <w:rFonts w:ascii="Times New Roman" w:hAnsi="Times New Roman"/>
          <w:b/>
          <w:lang w:val="lt-LT"/>
        </w:rPr>
        <w:t>Farmakodinaminės</w:t>
      </w:r>
      <w:proofErr w:type="spellEnd"/>
      <w:r w:rsidRPr="00514245">
        <w:rPr>
          <w:rFonts w:ascii="Times New Roman" w:hAnsi="Times New Roman"/>
          <w:b/>
          <w:lang w:val="lt-LT"/>
        </w:rPr>
        <w:t xml:space="preserve"> savybės</w:t>
      </w:r>
    </w:p>
    <w:p w14:paraId="217095D7" w14:textId="77777777" w:rsidR="00E0107B" w:rsidRPr="00514245" w:rsidRDefault="00E0107B" w:rsidP="00167611">
      <w:pPr>
        <w:keepNext/>
        <w:autoSpaceDE w:val="0"/>
        <w:autoSpaceDN w:val="0"/>
        <w:adjustRightInd w:val="0"/>
        <w:spacing w:after="0" w:line="240" w:lineRule="auto"/>
        <w:rPr>
          <w:rFonts w:ascii="Times New Roman" w:eastAsia="Times New Roman" w:hAnsi="Times New Roman"/>
          <w:lang w:val="lt-LT"/>
        </w:rPr>
      </w:pPr>
    </w:p>
    <w:p w14:paraId="773123A8" w14:textId="2B7AB9CB" w:rsidR="00E0107B" w:rsidRPr="006271EC" w:rsidRDefault="00E0107B" w:rsidP="00B41EC6">
      <w:pPr>
        <w:widowControl w:val="0"/>
        <w:autoSpaceDE w:val="0"/>
        <w:autoSpaceDN w:val="0"/>
        <w:adjustRightInd w:val="0"/>
        <w:spacing w:after="0" w:line="240" w:lineRule="auto"/>
        <w:rPr>
          <w:rFonts w:ascii="Times New Roman" w:eastAsia="Times New Roman" w:hAnsi="Times New Roman"/>
          <w:lang w:val="lt-LT"/>
        </w:rPr>
      </w:pPr>
      <w:proofErr w:type="spellStart"/>
      <w:r w:rsidRPr="00514245">
        <w:rPr>
          <w:rFonts w:ascii="Times New Roman" w:hAnsi="Times New Roman"/>
          <w:lang w:val="lt-LT"/>
        </w:rPr>
        <w:t>Farmakoterapinė</w:t>
      </w:r>
      <w:proofErr w:type="spellEnd"/>
      <w:r w:rsidRPr="00514245">
        <w:rPr>
          <w:rFonts w:ascii="Times New Roman" w:hAnsi="Times New Roman"/>
          <w:lang w:val="lt-LT"/>
        </w:rPr>
        <w:t xml:space="preserve"> grupė – </w:t>
      </w:r>
      <w:proofErr w:type="spellStart"/>
      <w:r w:rsidR="006271EC" w:rsidRPr="006271EC">
        <w:rPr>
          <w:rFonts w:ascii="Times New Roman" w:hAnsi="Times New Roman"/>
          <w:lang w:val="lt-LT"/>
        </w:rPr>
        <w:t>psichoanaleptikai</w:t>
      </w:r>
      <w:proofErr w:type="spellEnd"/>
      <w:r w:rsidR="006271EC" w:rsidRPr="006271EC">
        <w:rPr>
          <w:rFonts w:ascii="Times New Roman" w:hAnsi="Times New Roman"/>
          <w:lang w:val="lt-LT"/>
        </w:rPr>
        <w:t>, kiti antidepresantai, ATC kodas – N06AX26.</w:t>
      </w:r>
    </w:p>
    <w:p w14:paraId="3331D9F8"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1A83D557" w14:textId="5D81CA7C" w:rsidR="00E0107B" w:rsidRDefault="00E0107B" w:rsidP="00167611">
      <w:pPr>
        <w:keepNext/>
        <w:autoSpaceDE w:val="0"/>
        <w:autoSpaceDN w:val="0"/>
        <w:adjustRightInd w:val="0"/>
        <w:spacing w:after="0" w:line="240" w:lineRule="auto"/>
        <w:rPr>
          <w:rFonts w:ascii="Times New Roman" w:hAnsi="Times New Roman"/>
          <w:spacing w:val="1"/>
          <w:position w:val="-1"/>
          <w:u w:val="single"/>
          <w:lang w:val="lt-LT"/>
        </w:rPr>
      </w:pPr>
      <w:r w:rsidRPr="00514245">
        <w:rPr>
          <w:rFonts w:ascii="Times New Roman" w:hAnsi="Times New Roman"/>
          <w:spacing w:val="1"/>
          <w:position w:val="-1"/>
          <w:u w:val="single"/>
          <w:lang w:val="lt-LT"/>
        </w:rPr>
        <w:t>Veikimo mechanizmas</w:t>
      </w:r>
    </w:p>
    <w:p w14:paraId="162F3B8F" w14:textId="77777777" w:rsidR="006271EC" w:rsidRPr="00514245" w:rsidRDefault="006271EC" w:rsidP="00167611">
      <w:pPr>
        <w:keepNext/>
        <w:autoSpaceDE w:val="0"/>
        <w:autoSpaceDN w:val="0"/>
        <w:adjustRightInd w:val="0"/>
        <w:spacing w:after="0" w:line="240" w:lineRule="auto"/>
        <w:rPr>
          <w:rFonts w:ascii="Times New Roman" w:hAnsi="Times New Roman"/>
          <w:spacing w:val="1"/>
          <w:position w:val="-1"/>
          <w:u w:val="single"/>
          <w:lang w:val="lt-LT"/>
        </w:rPr>
      </w:pPr>
    </w:p>
    <w:p w14:paraId="5741CE7D" w14:textId="63377D7C" w:rsidR="00167611" w:rsidRPr="00514245" w:rsidRDefault="006271EC" w:rsidP="006271EC">
      <w:pPr>
        <w:keepNext/>
        <w:autoSpaceDE w:val="0"/>
        <w:autoSpaceDN w:val="0"/>
        <w:adjustRightInd w:val="0"/>
        <w:spacing w:after="0" w:line="240" w:lineRule="auto"/>
        <w:rPr>
          <w:rFonts w:ascii="Times New Roman" w:eastAsia="Times New Roman" w:hAnsi="Times New Roman"/>
          <w:lang w:val="lt-LT"/>
        </w:rPr>
      </w:pPr>
      <w:r w:rsidRPr="006271EC">
        <w:rPr>
          <w:rFonts w:ascii="Times New Roman" w:eastAsia="Times New Roman" w:hAnsi="Times New Roman"/>
          <w:lang w:val="lt-LT"/>
        </w:rPr>
        <w:t xml:space="preserve">Manoma, kad vortioksetino veikimo mechanizmas yra susijęs tiesioginiu </w:t>
      </w:r>
      <w:proofErr w:type="spellStart"/>
      <w:r w:rsidRPr="006271EC">
        <w:rPr>
          <w:rFonts w:ascii="Times New Roman" w:eastAsia="Times New Roman" w:hAnsi="Times New Roman"/>
          <w:lang w:val="lt-LT"/>
        </w:rPr>
        <w:t>serotoninerginių</w:t>
      </w:r>
      <w:proofErr w:type="spellEnd"/>
      <w:r w:rsidRPr="006271EC">
        <w:rPr>
          <w:rFonts w:ascii="Times New Roman" w:eastAsia="Times New Roman" w:hAnsi="Times New Roman"/>
          <w:lang w:val="lt-LT"/>
        </w:rPr>
        <w:t xml:space="preserve"> receptorių</w:t>
      </w:r>
      <w:r>
        <w:rPr>
          <w:rFonts w:ascii="Times New Roman" w:eastAsia="Times New Roman" w:hAnsi="Times New Roman"/>
          <w:lang w:val="lt-LT"/>
        </w:rPr>
        <w:t xml:space="preserve"> </w:t>
      </w:r>
      <w:r w:rsidRPr="006271EC">
        <w:rPr>
          <w:rFonts w:ascii="Times New Roman" w:eastAsia="Times New Roman" w:hAnsi="Times New Roman"/>
          <w:lang w:val="lt-LT"/>
        </w:rPr>
        <w:t xml:space="preserve">aktyvumo moduliavimu ir </w:t>
      </w:r>
      <w:proofErr w:type="spellStart"/>
      <w:r w:rsidRPr="006271EC">
        <w:rPr>
          <w:rFonts w:ascii="Times New Roman" w:eastAsia="Times New Roman" w:hAnsi="Times New Roman"/>
          <w:lang w:val="lt-LT"/>
        </w:rPr>
        <w:t>serotonino</w:t>
      </w:r>
      <w:proofErr w:type="spellEnd"/>
      <w:r w:rsidRPr="006271EC">
        <w:rPr>
          <w:rFonts w:ascii="Times New Roman" w:eastAsia="Times New Roman" w:hAnsi="Times New Roman"/>
          <w:lang w:val="lt-LT"/>
        </w:rPr>
        <w:t xml:space="preserve"> (5</w:t>
      </w:r>
      <w:r>
        <w:rPr>
          <w:rFonts w:ascii="Times New Roman" w:eastAsia="Times New Roman" w:hAnsi="Times New Roman"/>
          <w:lang w:val="lt-LT"/>
        </w:rPr>
        <w:noBreakHyphen/>
      </w:r>
      <w:r w:rsidRPr="006271EC">
        <w:rPr>
          <w:rFonts w:ascii="Times New Roman" w:eastAsia="Times New Roman" w:hAnsi="Times New Roman"/>
          <w:lang w:val="lt-LT"/>
        </w:rPr>
        <w:t xml:space="preserve">HT) nešiklio slopinimu. </w:t>
      </w:r>
      <w:proofErr w:type="spellStart"/>
      <w:r w:rsidRPr="006271EC">
        <w:rPr>
          <w:rFonts w:ascii="Times New Roman" w:eastAsia="Times New Roman" w:hAnsi="Times New Roman"/>
          <w:lang w:val="lt-LT"/>
        </w:rPr>
        <w:t>Ikiklinikiniai</w:t>
      </w:r>
      <w:proofErr w:type="spellEnd"/>
      <w:r w:rsidRPr="006271EC">
        <w:rPr>
          <w:rFonts w:ascii="Times New Roman" w:eastAsia="Times New Roman" w:hAnsi="Times New Roman"/>
          <w:lang w:val="lt-LT"/>
        </w:rPr>
        <w:t xml:space="preserve"> duomenys rodo, kad vortioksetinas yra 5</w:t>
      </w:r>
      <w:r>
        <w:rPr>
          <w:rFonts w:ascii="Times New Roman" w:eastAsia="Times New Roman" w:hAnsi="Times New Roman"/>
          <w:lang w:val="lt-LT"/>
        </w:rPr>
        <w:noBreakHyphen/>
      </w:r>
      <w:r w:rsidRPr="006271EC">
        <w:rPr>
          <w:rFonts w:ascii="Times New Roman" w:eastAsia="Times New Roman" w:hAnsi="Times New Roman"/>
          <w:lang w:val="lt-LT"/>
        </w:rPr>
        <w:t>HT</w:t>
      </w:r>
      <w:r w:rsidRPr="006271EC">
        <w:rPr>
          <w:rFonts w:ascii="Times New Roman" w:eastAsia="Times New Roman" w:hAnsi="Times New Roman"/>
          <w:vertAlign w:val="subscript"/>
          <w:lang w:val="lt-LT"/>
        </w:rPr>
        <w:t>3</w:t>
      </w:r>
      <w:r w:rsidRPr="006271EC">
        <w:rPr>
          <w:rFonts w:ascii="Times New Roman" w:eastAsia="Times New Roman" w:hAnsi="Times New Roman"/>
          <w:lang w:val="lt-LT"/>
        </w:rPr>
        <w:t>, 5</w:t>
      </w:r>
      <w:r>
        <w:rPr>
          <w:rFonts w:ascii="Times New Roman" w:eastAsia="Times New Roman" w:hAnsi="Times New Roman"/>
          <w:lang w:val="lt-LT"/>
        </w:rPr>
        <w:noBreakHyphen/>
      </w:r>
      <w:r w:rsidRPr="006271EC">
        <w:rPr>
          <w:rFonts w:ascii="Times New Roman" w:eastAsia="Times New Roman" w:hAnsi="Times New Roman"/>
          <w:lang w:val="lt-LT"/>
        </w:rPr>
        <w:t>HT</w:t>
      </w:r>
      <w:r w:rsidRPr="006271EC">
        <w:rPr>
          <w:rFonts w:ascii="Times New Roman" w:eastAsia="Times New Roman" w:hAnsi="Times New Roman"/>
          <w:vertAlign w:val="subscript"/>
          <w:lang w:val="lt-LT"/>
        </w:rPr>
        <w:t>7</w:t>
      </w:r>
      <w:r w:rsidRPr="006271EC">
        <w:rPr>
          <w:rFonts w:ascii="Times New Roman" w:eastAsia="Times New Roman" w:hAnsi="Times New Roman"/>
          <w:lang w:val="lt-LT"/>
        </w:rPr>
        <w:t xml:space="preserve"> ir 5</w:t>
      </w:r>
      <w:r>
        <w:rPr>
          <w:rFonts w:ascii="Times New Roman" w:eastAsia="Times New Roman" w:hAnsi="Times New Roman"/>
          <w:lang w:val="lt-LT"/>
        </w:rPr>
        <w:noBreakHyphen/>
      </w:r>
      <w:r w:rsidRPr="006271EC">
        <w:rPr>
          <w:rFonts w:ascii="Times New Roman" w:eastAsia="Times New Roman" w:hAnsi="Times New Roman"/>
          <w:lang w:val="lt-LT"/>
        </w:rPr>
        <w:t>HT</w:t>
      </w:r>
      <w:r w:rsidRPr="006271EC">
        <w:rPr>
          <w:rFonts w:ascii="Times New Roman" w:eastAsia="Times New Roman" w:hAnsi="Times New Roman"/>
          <w:vertAlign w:val="subscript"/>
          <w:lang w:val="lt-LT"/>
        </w:rPr>
        <w:t>1D</w:t>
      </w:r>
      <w:r w:rsidRPr="006271EC">
        <w:rPr>
          <w:rFonts w:ascii="Times New Roman" w:eastAsia="Times New Roman" w:hAnsi="Times New Roman"/>
          <w:lang w:val="lt-LT"/>
        </w:rPr>
        <w:t xml:space="preserve"> receptorių antagonistas, 5</w:t>
      </w:r>
      <w:r>
        <w:rPr>
          <w:rFonts w:ascii="Times New Roman" w:eastAsia="Times New Roman" w:hAnsi="Times New Roman"/>
          <w:lang w:val="lt-LT"/>
        </w:rPr>
        <w:noBreakHyphen/>
      </w:r>
      <w:r w:rsidRPr="006271EC">
        <w:rPr>
          <w:rFonts w:ascii="Times New Roman" w:eastAsia="Times New Roman" w:hAnsi="Times New Roman"/>
          <w:lang w:val="lt-LT"/>
        </w:rPr>
        <w:t>HT</w:t>
      </w:r>
      <w:r w:rsidRPr="006271EC">
        <w:rPr>
          <w:rFonts w:ascii="Times New Roman" w:eastAsia="Times New Roman" w:hAnsi="Times New Roman"/>
          <w:vertAlign w:val="subscript"/>
          <w:lang w:val="lt-LT"/>
        </w:rPr>
        <w:t>1B</w:t>
      </w:r>
      <w:r w:rsidRPr="006271EC">
        <w:rPr>
          <w:rFonts w:ascii="Times New Roman" w:eastAsia="Times New Roman" w:hAnsi="Times New Roman"/>
          <w:lang w:val="lt-LT"/>
        </w:rPr>
        <w:t xml:space="preserve"> receptorių dalinis </w:t>
      </w:r>
      <w:proofErr w:type="spellStart"/>
      <w:r w:rsidRPr="006271EC">
        <w:rPr>
          <w:rFonts w:ascii="Times New Roman" w:eastAsia="Times New Roman" w:hAnsi="Times New Roman"/>
          <w:lang w:val="lt-LT"/>
        </w:rPr>
        <w:t>agonistas</w:t>
      </w:r>
      <w:proofErr w:type="spellEnd"/>
      <w:r w:rsidRPr="006271EC">
        <w:rPr>
          <w:rFonts w:ascii="Times New Roman" w:eastAsia="Times New Roman" w:hAnsi="Times New Roman"/>
          <w:lang w:val="lt-LT"/>
        </w:rPr>
        <w:t>, 5</w:t>
      </w:r>
      <w:r>
        <w:rPr>
          <w:rFonts w:ascii="Times New Roman" w:eastAsia="Times New Roman" w:hAnsi="Times New Roman"/>
          <w:lang w:val="lt-LT"/>
        </w:rPr>
        <w:noBreakHyphen/>
      </w:r>
      <w:r w:rsidRPr="006271EC">
        <w:rPr>
          <w:rFonts w:ascii="Times New Roman" w:eastAsia="Times New Roman" w:hAnsi="Times New Roman"/>
          <w:lang w:val="lt-LT"/>
        </w:rPr>
        <w:t>HT</w:t>
      </w:r>
      <w:r w:rsidRPr="006271EC">
        <w:rPr>
          <w:rFonts w:ascii="Times New Roman" w:eastAsia="Times New Roman" w:hAnsi="Times New Roman"/>
          <w:vertAlign w:val="subscript"/>
          <w:lang w:val="lt-LT"/>
        </w:rPr>
        <w:t>1A</w:t>
      </w:r>
      <w:r w:rsidRPr="006271EC">
        <w:rPr>
          <w:rFonts w:ascii="Times New Roman" w:eastAsia="Times New Roman" w:hAnsi="Times New Roman"/>
          <w:lang w:val="lt-LT"/>
        </w:rPr>
        <w:t xml:space="preserve"> receptorių </w:t>
      </w:r>
      <w:proofErr w:type="spellStart"/>
      <w:r w:rsidRPr="006271EC">
        <w:rPr>
          <w:rFonts w:ascii="Times New Roman" w:eastAsia="Times New Roman" w:hAnsi="Times New Roman"/>
          <w:lang w:val="lt-LT"/>
        </w:rPr>
        <w:t>agonistas</w:t>
      </w:r>
      <w:proofErr w:type="spellEnd"/>
      <w:r w:rsidRPr="006271EC">
        <w:rPr>
          <w:rFonts w:ascii="Times New Roman" w:eastAsia="Times New Roman" w:hAnsi="Times New Roman"/>
          <w:lang w:val="lt-LT"/>
        </w:rPr>
        <w:t xml:space="preserve"> ir 5</w:t>
      </w:r>
      <w:r>
        <w:rPr>
          <w:rFonts w:ascii="Times New Roman" w:eastAsia="Times New Roman" w:hAnsi="Times New Roman"/>
          <w:lang w:val="lt-LT"/>
        </w:rPr>
        <w:noBreakHyphen/>
      </w:r>
      <w:r w:rsidRPr="006271EC">
        <w:rPr>
          <w:rFonts w:ascii="Times New Roman" w:eastAsia="Times New Roman" w:hAnsi="Times New Roman"/>
          <w:lang w:val="lt-LT"/>
        </w:rPr>
        <w:t xml:space="preserve">HT nešiklio inhibitorius, dėl to moduliuojama </w:t>
      </w:r>
      <w:proofErr w:type="spellStart"/>
      <w:r w:rsidRPr="006271EC">
        <w:rPr>
          <w:rFonts w:ascii="Times New Roman" w:eastAsia="Times New Roman" w:hAnsi="Times New Roman"/>
          <w:lang w:val="lt-LT"/>
        </w:rPr>
        <w:t>neurotransmisija</w:t>
      </w:r>
      <w:proofErr w:type="spellEnd"/>
      <w:r w:rsidRPr="006271EC">
        <w:rPr>
          <w:rFonts w:ascii="Times New Roman" w:eastAsia="Times New Roman" w:hAnsi="Times New Roman"/>
          <w:lang w:val="lt-LT"/>
        </w:rPr>
        <w:t xml:space="preserve"> keliose sistemose, įskaitant daugiausia </w:t>
      </w:r>
      <w:proofErr w:type="spellStart"/>
      <w:r w:rsidRPr="006271EC">
        <w:rPr>
          <w:rFonts w:ascii="Times New Roman" w:eastAsia="Times New Roman" w:hAnsi="Times New Roman"/>
          <w:lang w:val="lt-LT"/>
        </w:rPr>
        <w:t>serotonino</w:t>
      </w:r>
      <w:proofErr w:type="spellEnd"/>
      <w:r w:rsidRPr="006271EC">
        <w:rPr>
          <w:rFonts w:ascii="Times New Roman" w:eastAsia="Times New Roman" w:hAnsi="Times New Roman"/>
          <w:lang w:val="lt-LT"/>
        </w:rPr>
        <w:t xml:space="preserve">, tačiau tikriausiai ir </w:t>
      </w:r>
      <w:proofErr w:type="spellStart"/>
      <w:r w:rsidRPr="006271EC">
        <w:rPr>
          <w:rFonts w:ascii="Times New Roman" w:eastAsia="Times New Roman" w:hAnsi="Times New Roman"/>
          <w:lang w:val="lt-LT"/>
        </w:rPr>
        <w:t>norepinefrino</w:t>
      </w:r>
      <w:proofErr w:type="spellEnd"/>
      <w:r w:rsidRPr="006271EC">
        <w:rPr>
          <w:rFonts w:ascii="Times New Roman" w:eastAsia="Times New Roman" w:hAnsi="Times New Roman"/>
          <w:lang w:val="lt-LT"/>
        </w:rPr>
        <w:t xml:space="preserve">, dopamino, </w:t>
      </w:r>
      <w:proofErr w:type="spellStart"/>
      <w:r w:rsidRPr="006271EC">
        <w:rPr>
          <w:rFonts w:ascii="Times New Roman" w:eastAsia="Times New Roman" w:hAnsi="Times New Roman"/>
          <w:lang w:val="lt-LT"/>
        </w:rPr>
        <w:t>histamino</w:t>
      </w:r>
      <w:proofErr w:type="spellEnd"/>
      <w:r w:rsidRPr="006271EC">
        <w:rPr>
          <w:rFonts w:ascii="Times New Roman" w:eastAsia="Times New Roman" w:hAnsi="Times New Roman"/>
          <w:lang w:val="lt-LT"/>
        </w:rPr>
        <w:t xml:space="preserve">, </w:t>
      </w:r>
      <w:proofErr w:type="spellStart"/>
      <w:r w:rsidRPr="006271EC">
        <w:rPr>
          <w:rFonts w:ascii="Times New Roman" w:eastAsia="Times New Roman" w:hAnsi="Times New Roman"/>
          <w:lang w:val="lt-LT"/>
        </w:rPr>
        <w:lastRenderedPageBreak/>
        <w:t>acetilcholino</w:t>
      </w:r>
      <w:proofErr w:type="spellEnd"/>
      <w:r w:rsidRPr="006271EC">
        <w:rPr>
          <w:rFonts w:ascii="Times New Roman" w:eastAsia="Times New Roman" w:hAnsi="Times New Roman"/>
          <w:lang w:val="lt-LT"/>
        </w:rPr>
        <w:t xml:space="preserve">, gama </w:t>
      </w:r>
      <w:proofErr w:type="spellStart"/>
      <w:r w:rsidRPr="006271EC">
        <w:rPr>
          <w:rFonts w:ascii="Times New Roman" w:eastAsia="Times New Roman" w:hAnsi="Times New Roman"/>
          <w:lang w:val="lt-LT"/>
        </w:rPr>
        <w:t>aminosviesto</w:t>
      </w:r>
      <w:proofErr w:type="spellEnd"/>
      <w:r w:rsidRPr="006271EC">
        <w:rPr>
          <w:rFonts w:ascii="Times New Roman" w:eastAsia="Times New Roman" w:hAnsi="Times New Roman"/>
          <w:lang w:val="lt-LT"/>
        </w:rPr>
        <w:t xml:space="preserve"> rūgšties (GASR) ir </w:t>
      </w:r>
      <w:proofErr w:type="spellStart"/>
      <w:r w:rsidRPr="006271EC">
        <w:rPr>
          <w:rFonts w:ascii="Times New Roman" w:eastAsia="Times New Roman" w:hAnsi="Times New Roman"/>
          <w:lang w:val="lt-LT"/>
        </w:rPr>
        <w:t>glutamato</w:t>
      </w:r>
      <w:proofErr w:type="spellEnd"/>
      <w:r w:rsidRPr="006271EC">
        <w:rPr>
          <w:rFonts w:ascii="Times New Roman" w:eastAsia="Times New Roman" w:hAnsi="Times New Roman"/>
          <w:lang w:val="lt-LT"/>
        </w:rPr>
        <w:t xml:space="preserve"> sistemas. Manoma, kad toks įvairiapusis farmakologinis veikimas lemia </w:t>
      </w:r>
      <w:proofErr w:type="spellStart"/>
      <w:r w:rsidRPr="006271EC">
        <w:rPr>
          <w:rFonts w:ascii="Times New Roman" w:eastAsia="Times New Roman" w:hAnsi="Times New Roman"/>
          <w:lang w:val="lt-LT"/>
        </w:rPr>
        <w:t>vortioksetino</w:t>
      </w:r>
      <w:proofErr w:type="spellEnd"/>
      <w:r w:rsidRPr="006271EC">
        <w:rPr>
          <w:rFonts w:ascii="Times New Roman" w:eastAsia="Times New Roman" w:hAnsi="Times New Roman"/>
          <w:lang w:val="lt-LT"/>
        </w:rPr>
        <w:t xml:space="preserve"> </w:t>
      </w:r>
      <w:proofErr w:type="spellStart"/>
      <w:r w:rsidRPr="006271EC">
        <w:rPr>
          <w:rFonts w:ascii="Times New Roman" w:eastAsia="Times New Roman" w:hAnsi="Times New Roman"/>
          <w:lang w:val="lt-LT"/>
        </w:rPr>
        <w:t>antidepresinį</w:t>
      </w:r>
      <w:proofErr w:type="spellEnd"/>
      <w:r w:rsidRPr="006271EC">
        <w:rPr>
          <w:rFonts w:ascii="Times New Roman" w:eastAsia="Times New Roman" w:hAnsi="Times New Roman"/>
          <w:lang w:val="lt-LT"/>
        </w:rPr>
        <w:t xml:space="preserve"> ir į </w:t>
      </w:r>
      <w:proofErr w:type="spellStart"/>
      <w:r w:rsidRPr="006271EC">
        <w:rPr>
          <w:rFonts w:ascii="Times New Roman" w:eastAsia="Times New Roman" w:hAnsi="Times New Roman"/>
          <w:lang w:val="lt-LT"/>
        </w:rPr>
        <w:t>anksiolitinį</w:t>
      </w:r>
      <w:proofErr w:type="spellEnd"/>
      <w:r w:rsidRPr="006271EC">
        <w:rPr>
          <w:rFonts w:ascii="Times New Roman" w:eastAsia="Times New Roman" w:hAnsi="Times New Roman"/>
          <w:lang w:val="lt-LT"/>
        </w:rPr>
        <w:t xml:space="preserve"> panašų poveikį bei pažintines funkcijas, mokymosi ir atminties pagerėjimą, nustatytu vortioksetino tyrimų su gyvūnais metu. Vis dėlto tikslus kiekvieno atskiro taikinio indėlis stebėtoms </w:t>
      </w:r>
      <w:proofErr w:type="spellStart"/>
      <w:r w:rsidRPr="006271EC">
        <w:rPr>
          <w:rFonts w:ascii="Times New Roman" w:eastAsia="Times New Roman" w:hAnsi="Times New Roman"/>
          <w:lang w:val="lt-LT"/>
        </w:rPr>
        <w:t>farmakodinaminėms</w:t>
      </w:r>
      <w:proofErr w:type="spellEnd"/>
      <w:r w:rsidRPr="006271EC">
        <w:rPr>
          <w:rFonts w:ascii="Times New Roman" w:eastAsia="Times New Roman" w:hAnsi="Times New Roman"/>
          <w:lang w:val="lt-LT"/>
        </w:rPr>
        <w:t xml:space="preserve"> savybėms išlieka neaiškus, be to, tyrimų su gyvūnais metu gautus duomenis tiesiogiai pritaikyti žmonėms reikia atsargiai.</w:t>
      </w:r>
      <w:r w:rsidR="00BE098F">
        <w:rPr>
          <w:rFonts w:ascii="Times New Roman" w:eastAsia="Times New Roman" w:hAnsi="Times New Roman"/>
          <w:lang w:val="lt-LT"/>
        </w:rPr>
        <w:t xml:space="preserve"> </w:t>
      </w:r>
      <w:r w:rsidRPr="006271EC">
        <w:rPr>
          <w:rFonts w:ascii="Times New Roman" w:eastAsia="Times New Roman" w:hAnsi="Times New Roman"/>
          <w:lang w:val="lt-LT"/>
        </w:rPr>
        <w:t xml:space="preserve">Su žmonėmis buvo atlikti du pozitronų emisijos tomografijos (PET) tyrimai, kurių metu, norint kiekybiškai ištirti </w:t>
      </w:r>
      <w:r w:rsidRPr="00BE098F">
        <w:rPr>
          <w:rFonts w:ascii="Times New Roman" w:eastAsia="Times New Roman" w:hAnsi="Times New Roman"/>
          <w:lang w:val="lt-LT"/>
        </w:rPr>
        <w:t>5</w:t>
      </w:r>
      <w:r w:rsidR="00BE098F">
        <w:rPr>
          <w:rFonts w:ascii="Times New Roman" w:eastAsia="Times New Roman" w:hAnsi="Times New Roman"/>
          <w:lang w:val="lt-LT"/>
        </w:rPr>
        <w:noBreakHyphen/>
      </w:r>
      <w:r w:rsidRPr="00BE098F">
        <w:rPr>
          <w:rFonts w:ascii="Times New Roman" w:eastAsia="Times New Roman" w:hAnsi="Times New Roman"/>
          <w:lang w:val="lt-LT"/>
        </w:rPr>
        <w:t>HT</w:t>
      </w:r>
      <w:r w:rsidRPr="006271EC">
        <w:rPr>
          <w:rFonts w:ascii="Times New Roman" w:eastAsia="Times New Roman" w:hAnsi="Times New Roman"/>
          <w:lang w:val="lt-LT"/>
        </w:rPr>
        <w:t xml:space="preserve"> nešiklių užimtumą galvos smegenyse vartojant įvairių dydžių dozes, buvo naudojami 5</w:t>
      </w:r>
      <w:r w:rsidR="00BE098F">
        <w:rPr>
          <w:rFonts w:ascii="Times New Roman" w:eastAsia="Times New Roman" w:hAnsi="Times New Roman"/>
          <w:lang w:val="lt-LT"/>
        </w:rPr>
        <w:noBreakHyphen/>
      </w:r>
      <w:r w:rsidRPr="006271EC">
        <w:rPr>
          <w:rFonts w:ascii="Times New Roman" w:eastAsia="Times New Roman" w:hAnsi="Times New Roman"/>
          <w:lang w:val="lt-LT"/>
        </w:rPr>
        <w:t>HT nešiklio ligandai (</w:t>
      </w:r>
      <w:r w:rsidRPr="00BE098F">
        <w:rPr>
          <w:rFonts w:ascii="Times New Roman" w:eastAsia="Times New Roman" w:hAnsi="Times New Roman"/>
          <w:vertAlign w:val="superscript"/>
          <w:lang w:val="lt-LT"/>
        </w:rPr>
        <w:t>11</w:t>
      </w:r>
      <w:r w:rsidRPr="006271EC">
        <w:rPr>
          <w:rFonts w:ascii="Times New Roman" w:eastAsia="Times New Roman" w:hAnsi="Times New Roman"/>
          <w:lang w:val="lt-LT"/>
        </w:rPr>
        <w:t>C</w:t>
      </w:r>
      <w:r w:rsidR="00BE098F">
        <w:rPr>
          <w:rFonts w:ascii="Times New Roman" w:eastAsia="Times New Roman" w:hAnsi="Times New Roman"/>
          <w:lang w:val="lt-LT"/>
        </w:rPr>
        <w:noBreakHyphen/>
      </w:r>
      <w:r w:rsidRPr="006271EC">
        <w:rPr>
          <w:rFonts w:ascii="Times New Roman" w:eastAsia="Times New Roman" w:hAnsi="Times New Roman"/>
          <w:lang w:val="lt-LT"/>
        </w:rPr>
        <w:t xml:space="preserve">MADAM arba </w:t>
      </w:r>
      <w:r w:rsidRPr="00BE098F">
        <w:rPr>
          <w:rFonts w:ascii="Times New Roman" w:eastAsia="Times New Roman" w:hAnsi="Times New Roman"/>
          <w:vertAlign w:val="superscript"/>
          <w:lang w:val="lt-LT"/>
        </w:rPr>
        <w:t>11</w:t>
      </w:r>
      <w:r w:rsidRPr="006271EC">
        <w:rPr>
          <w:rFonts w:ascii="Times New Roman" w:eastAsia="Times New Roman" w:hAnsi="Times New Roman"/>
          <w:lang w:val="lt-LT"/>
        </w:rPr>
        <w:t>C</w:t>
      </w:r>
      <w:r w:rsidR="00BE098F">
        <w:rPr>
          <w:rFonts w:ascii="Times New Roman" w:eastAsia="Times New Roman" w:hAnsi="Times New Roman"/>
          <w:lang w:val="lt-LT"/>
        </w:rPr>
        <w:noBreakHyphen/>
      </w:r>
      <w:r w:rsidRPr="006271EC">
        <w:rPr>
          <w:rFonts w:ascii="Times New Roman" w:eastAsia="Times New Roman" w:hAnsi="Times New Roman"/>
          <w:lang w:val="lt-LT"/>
        </w:rPr>
        <w:t>DASB). 5</w:t>
      </w:r>
      <w:r w:rsidR="00BE098F">
        <w:rPr>
          <w:rFonts w:ascii="Times New Roman" w:eastAsia="Times New Roman" w:hAnsi="Times New Roman"/>
          <w:lang w:val="lt-LT"/>
        </w:rPr>
        <w:noBreakHyphen/>
      </w:r>
      <w:r w:rsidRPr="006271EC">
        <w:rPr>
          <w:rFonts w:ascii="Times New Roman" w:eastAsia="Times New Roman" w:hAnsi="Times New Roman"/>
          <w:lang w:val="lt-LT"/>
        </w:rPr>
        <w:t xml:space="preserve">HT nešiklis siūlės branduoliuose (angl. </w:t>
      </w:r>
      <w:proofErr w:type="spellStart"/>
      <w:r w:rsidRPr="00BE098F">
        <w:rPr>
          <w:rFonts w:ascii="Times New Roman" w:eastAsia="Times New Roman" w:hAnsi="Times New Roman"/>
          <w:i/>
          <w:iCs/>
          <w:lang w:val="lt-LT"/>
        </w:rPr>
        <w:t>raphe</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nuclei</w:t>
      </w:r>
      <w:proofErr w:type="spellEnd"/>
      <w:r w:rsidRPr="006271EC">
        <w:rPr>
          <w:rFonts w:ascii="Times New Roman" w:eastAsia="Times New Roman" w:hAnsi="Times New Roman"/>
          <w:lang w:val="lt-LT"/>
        </w:rPr>
        <w:t>) buvo užimtas vidutiniškai maždaug 50</w:t>
      </w:r>
      <w:r w:rsidR="00BE098F">
        <w:rPr>
          <w:rFonts w:ascii="Times New Roman" w:eastAsia="Times New Roman" w:hAnsi="Times New Roman"/>
          <w:lang w:val="lt-LT"/>
        </w:rPr>
        <w:t> </w:t>
      </w:r>
      <w:r w:rsidRPr="006271EC">
        <w:rPr>
          <w:rFonts w:ascii="Times New Roman" w:eastAsia="Times New Roman" w:hAnsi="Times New Roman"/>
          <w:lang w:val="lt-LT"/>
        </w:rPr>
        <w:t>%, vartojant 5</w:t>
      </w:r>
      <w:r w:rsidR="00BE098F">
        <w:rPr>
          <w:rFonts w:ascii="Times New Roman" w:eastAsia="Times New Roman" w:hAnsi="Times New Roman"/>
          <w:lang w:val="lt-LT"/>
        </w:rPr>
        <w:t> </w:t>
      </w:r>
      <w:r w:rsidRPr="006271EC">
        <w:rPr>
          <w:rFonts w:ascii="Times New Roman" w:eastAsia="Times New Roman" w:hAnsi="Times New Roman"/>
          <w:lang w:val="lt-LT"/>
        </w:rPr>
        <w:t>mg dozę per parą, 65</w:t>
      </w:r>
      <w:r w:rsidR="00BE098F">
        <w:rPr>
          <w:rFonts w:ascii="Times New Roman" w:eastAsia="Times New Roman" w:hAnsi="Times New Roman"/>
          <w:lang w:val="lt-LT"/>
        </w:rPr>
        <w:t> </w:t>
      </w:r>
      <w:r w:rsidRPr="006271EC">
        <w:rPr>
          <w:rFonts w:ascii="Times New Roman" w:eastAsia="Times New Roman" w:hAnsi="Times New Roman"/>
          <w:lang w:val="lt-LT"/>
        </w:rPr>
        <w:t>%, vartojant 10</w:t>
      </w:r>
      <w:r w:rsidR="00BE098F">
        <w:rPr>
          <w:rFonts w:ascii="Times New Roman" w:eastAsia="Times New Roman" w:hAnsi="Times New Roman"/>
          <w:lang w:val="lt-LT"/>
        </w:rPr>
        <w:t> </w:t>
      </w:r>
      <w:r w:rsidRPr="006271EC">
        <w:rPr>
          <w:rFonts w:ascii="Times New Roman" w:eastAsia="Times New Roman" w:hAnsi="Times New Roman"/>
          <w:lang w:val="lt-LT"/>
        </w:rPr>
        <w:t>mg dozę per parą, ir užimtumas padidėjo iki 80</w:t>
      </w:r>
      <w:r w:rsidR="00BE098F">
        <w:rPr>
          <w:rFonts w:ascii="Times New Roman" w:eastAsia="Times New Roman" w:hAnsi="Times New Roman"/>
          <w:lang w:val="lt-LT"/>
        </w:rPr>
        <w:t> </w:t>
      </w:r>
      <w:r w:rsidRPr="006271EC">
        <w:rPr>
          <w:rFonts w:ascii="Times New Roman" w:eastAsia="Times New Roman" w:hAnsi="Times New Roman"/>
          <w:lang w:val="lt-LT"/>
        </w:rPr>
        <w:t>%, vartojant 20</w:t>
      </w:r>
      <w:r w:rsidR="00BE098F">
        <w:rPr>
          <w:rFonts w:ascii="Times New Roman" w:eastAsia="Times New Roman" w:hAnsi="Times New Roman"/>
          <w:lang w:val="lt-LT"/>
        </w:rPr>
        <w:t> </w:t>
      </w:r>
      <w:r w:rsidRPr="006271EC">
        <w:rPr>
          <w:rFonts w:ascii="Times New Roman" w:eastAsia="Times New Roman" w:hAnsi="Times New Roman"/>
          <w:lang w:val="lt-LT"/>
        </w:rPr>
        <w:t>mg dozę per parą.</w:t>
      </w:r>
    </w:p>
    <w:p w14:paraId="75943EC2" w14:textId="77777777" w:rsidR="00C10861" w:rsidRPr="00514245" w:rsidRDefault="00C10861" w:rsidP="00167611">
      <w:pPr>
        <w:widowControl w:val="0"/>
        <w:autoSpaceDE w:val="0"/>
        <w:autoSpaceDN w:val="0"/>
        <w:adjustRightInd w:val="0"/>
        <w:spacing w:after="0" w:line="240" w:lineRule="auto"/>
        <w:rPr>
          <w:rFonts w:ascii="Times New Roman" w:eastAsia="Times New Roman" w:hAnsi="Times New Roman"/>
          <w:lang w:val="lt-LT"/>
        </w:rPr>
      </w:pPr>
    </w:p>
    <w:p w14:paraId="7E8D39B6" w14:textId="5BAF8B6C" w:rsidR="004D2AA8" w:rsidRPr="00514245" w:rsidRDefault="004D2AA8" w:rsidP="00167611">
      <w:pPr>
        <w:keepNext/>
        <w:autoSpaceDE w:val="0"/>
        <w:autoSpaceDN w:val="0"/>
        <w:adjustRightInd w:val="0"/>
        <w:spacing w:after="0" w:line="240" w:lineRule="auto"/>
        <w:rPr>
          <w:rFonts w:ascii="Times New Roman" w:eastAsia="Times New Roman" w:hAnsi="Times New Roman"/>
          <w:u w:val="single"/>
          <w:lang w:val="lt-LT"/>
        </w:rPr>
      </w:pPr>
      <w:r w:rsidRPr="00514245">
        <w:rPr>
          <w:rFonts w:ascii="Times New Roman" w:eastAsia="Times New Roman" w:hAnsi="Times New Roman"/>
          <w:u w:val="single"/>
          <w:lang w:val="lt-LT"/>
        </w:rPr>
        <w:t>Klinikinis veiksmingumas ir saugumas</w:t>
      </w:r>
    </w:p>
    <w:p w14:paraId="35A44DB7" w14:textId="768685EF" w:rsidR="00F510E2" w:rsidRDefault="00BE098F" w:rsidP="00E0107B">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Vortioksetino veiksmingumas ir saugumas buvo tirti klinikinės programos metu, kurioje dalyvavo daugiau kaip 6</w:t>
      </w:r>
      <w:r>
        <w:rPr>
          <w:rFonts w:ascii="Times New Roman" w:eastAsia="Times New Roman" w:hAnsi="Times New Roman"/>
          <w:lang w:val="lt-LT"/>
        </w:rPr>
        <w:t> </w:t>
      </w:r>
      <w:r w:rsidRPr="00BE098F">
        <w:rPr>
          <w:rFonts w:ascii="Times New Roman" w:eastAsia="Times New Roman" w:hAnsi="Times New Roman"/>
          <w:lang w:val="lt-LT"/>
        </w:rPr>
        <w:t>700</w:t>
      </w:r>
      <w:r>
        <w:rPr>
          <w:rFonts w:ascii="Times New Roman" w:eastAsia="Times New Roman" w:hAnsi="Times New Roman"/>
          <w:lang w:val="lt-LT"/>
        </w:rPr>
        <w:t> </w:t>
      </w:r>
      <w:r w:rsidRPr="00BE098F">
        <w:rPr>
          <w:rFonts w:ascii="Times New Roman" w:eastAsia="Times New Roman" w:hAnsi="Times New Roman"/>
          <w:lang w:val="lt-LT"/>
        </w:rPr>
        <w:t>pacientų, iš kurių daugiau kaip 3</w:t>
      </w:r>
      <w:r>
        <w:rPr>
          <w:rFonts w:ascii="Times New Roman" w:eastAsia="Times New Roman" w:hAnsi="Times New Roman"/>
          <w:lang w:val="lt-LT"/>
        </w:rPr>
        <w:t> </w:t>
      </w:r>
      <w:r w:rsidRPr="00BE098F">
        <w:rPr>
          <w:rFonts w:ascii="Times New Roman" w:eastAsia="Times New Roman" w:hAnsi="Times New Roman"/>
          <w:lang w:val="lt-LT"/>
        </w:rPr>
        <w:t>700 buvo gydyti vortioksetinu trumpalaikių (≤</w:t>
      </w:r>
      <w:r>
        <w:rPr>
          <w:rFonts w:ascii="Times New Roman" w:eastAsia="Times New Roman" w:hAnsi="Times New Roman"/>
          <w:lang w:val="lt-LT"/>
        </w:rPr>
        <w:t> </w:t>
      </w:r>
      <w:r w:rsidRPr="00BE098F">
        <w:rPr>
          <w:rFonts w:ascii="Times New Roman" w:eastAsia="Times New Roman" w:hAnsi="Times New Roman"/>
          <w:lang w:val="lt-LT"/>
        </w:rPr>
        <w:t>12</w:t>
      </w:r>
      <w:r>
        <w:rPr>
          <w:rFonts w:ascii="Times New Roman" w:eastAsia="Times New Roman" w:hAnsi="Times New Roman"/>
          <w:lang w:val="lt-LT"/>
        </w:rPr>
        <w:t> </w:t>
      </w:r>
      <w:r w:rsidRPr="00BE098F">
        <w:rPr>
          <w:rFonts w:ascii="Times New Roman" w:eastAsia="Times New Roman" w:hAnsi="Times New Roman"/>
          <w:lang w:val="lt-LT"/>
        </w:rPr>
        <w:t>savaičių) didžiosios depresijos sutrikimo (DDS) tyrimų metu. Siekiant ištirti trumpalaikį vortioksetino veiksmingumą gydant suaugusiųjų, įskaitant senyvus</w:t>
      </w:r>
      <w:r>
        <w:rPr>
          <w:rFonts w:ascii="Times New Roman" w:eastAsia="Times New Roman" w:hAnsi="Times New Roman"/>
          <w:lang w:val="lt-LT"/>
        </w:rPr>
        <w:t xml:space="preserve"> </w:t>
      </w:r>
      <w:r w:rsidR="00275568">
        <w:rPr>
          <w:rFonts w:ascii="Times New Roman" w:eastAsia="Times New Roman" w:hAnsi="Times New Roman"/>
          <w:lang w:val="lt-LT"/>
        </w:rPr>
        <w:t>pacientus</w:t>
      </w:r>
      <w:r w:rsidRPr="00BE098F">
        <w:rPr>
          <w:rFonts w:ascii="Times New Roman" w:eastAsia="Times New Roman" w:hAnsi="Times New Roman"/>
          <w:lang w:val="lt-LT"/>
        </w:rPr>
        <w:t>, DDS, buvo atlikta dvylika dvigubai koduotų placebu kontroliuojamųjų 6/8</w:t>
      </w:r>
      <w:r>
        <w:rPr>
          <w:rFonts w:ascii="Times New Roman" w:eastAsia="Times New Roman" w:hAnsi="Times New Roman"/>
          <w:lang w:val="lt-LT"/>
        </w:rPr>
        <w:t> </w:t>
      </w:r>
      <w:r w:rsidRPr="00BE098F">
        <w:rPr>
          <w:rFonts w:ascii="Times New Roman" w:eastAsia="Times New Roman" w:hAnsi="Times New Roman"/>
          <w:lang w:val="lt-LT"/>
        </w:rPr>
        <w:t>savaičių trukmės pastovios dozės tyrimų.. Vortioksetino veiksmingumas buvo patvirtintas pokyčiu mažiausiai 2</w:t>
      </w:r>
      <w:r>
        <w:rPr>
          <w:rFonts w:ascii="Times New Roman" w:eastAsia="Times New Roman" w:hAnsi="Times New Roman"/>
          <w:lang w:val="lt-LT"/>
        </w:rPr>
        <w:t> </w:t>
      </w:r>
      <w:r w:rsidRPr="00BE098F">
        <w:rPr>
          <w:rFonts w:ascii="Times New Roman" w:eastAsia="Times New Roman" w:hAnsi="Times New Roman"/>
          <w:lang w:val="lt-LT"/>
        </w:rPr>
        <w:t>balais, palyginti su placebo poveikiu, bent vienos dozės grupėje 9 iš 12</w:t>
      </w:r>
      <w:r>
        <w:rPr>
          <w:rFonts w:ascii="Times New Roman" w:eastAsia="Times New Roman" w:hAnsi="Times New Roman"/>
          <w:lang w:val="lt-LT"/>
        </w:rPr>
        <w:t> </w:t>
      </w:r>
      <w:r w:rsidRPr="00BE098F">
        <w:rPr>
          <w:rFonts w:ascii="Times New Roman" w:eastAsia="Times New Roman" w:hAnsi="Times New Roman"/>
          <w:lang w:val="lt-LT"/>
        </w:rPr>
        <w:t xml:space="preserve">tyrimų metu, vadovaujantis bendrojo įvertinimo pagal Montgomerio ir </w:t>
      </w:r>
      <w:proofErr w:type="spellStart"/>
      <w:r w:rsidRPr="00BE098F">
        <w:rPr>
          <w:rFonts w:ascii="Times New Roman" w:eastAsia="Times New Roman" w:hAnsi="Times New Roman"/>
          <w:lang w:val="lt-LT"/>
        </w:rPr>
        <w:t>Asbergo</w:t>
      </w:r>
      <w:proofErr w:type="spellEnd"/>
      <w:r w:rsidRPr="00BE098F">
        <w:rPr>
          <w:rFonts w:ascii="Times New Roman" w:eastAsia="Times New Roman" w:hAnsi="Times New Roman"/>
          <w:lang w:val="lt-LT"/>
        </w:rPr>
        <w:t xml:space="preserve"> depresijos įvertinimo skalę [angl., </w:t>
      </w:r>
      <w:r w:rsidRPr="00BE098F">
        <w:rPr>
          <w:rFonts w:ascii="Times New Roman" w:eastAsia="Times New Roman" w:hAnsi="Times New Roman"/>
          <w:i/>
          <w:iCs/>
          <w:lang w:val="lt-LT"/>
        </w:rPr>
        <w:t xml:space="preserve">Montgomery </w:t>
      </w:r>
      <w:proofErr w:type="spellStart"/>
      <w:r w:rsidRPr="00BE098F">
        <w:rPr>
          <w:rFonts w:ascii="Times New Roman" w:eastAsia="Times New Roman" w:hAnsi="Times New Roman"/>
          <w:i/>
          <w:iCs/>
          <w:lang w:val="lt-LT"/>
        </w:rPr>
        <w:t>and</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Åsberg</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Depression</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Rating</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Scale</w:t>
      </w:r>
      <w:proofErr w:type="spellEnd"/>
      <w:r w:rsidRPr="00BE098F">
        <w:rPr>
          <w:rFonts w:ascii="Times New Roman" w:eastAsia="Times New Roman" w:hAnsi="Times New Roman"/>
          <w:i/>
          <w:iCs/>
          <w:lang w:val="lt-LT"/>
        </w:rPr>
        <w:t xml:space="preserve"> </w:t>
      </w:r>
      <w:r w:rsidRPr="00BE098F">
        <w:rPr>
          <w:rFonts w:ascii="Times New Roman" w:eastAsia="Times New Roman" w:hAnsi="Times New Roman"/>
          <w:lang w:val="lt-LT"/>
        </w:rPr>
        <w:t>(MADRS)] arba 24</w:t>
      </w:r>
      <w:r>
        <w:rPr>
          <w:rFonts w:ascii="Times New Roman" w:eastAsia="Times New Roman" w:hAnsi="Times New Roman"/>
          <w:lang w:val="lt-LT"/>
        </w:rPr>
        <w:t> </w:t>
      </w:r>
      <w:r w:rsidRPr="00BE098F">
        <w:rPr>
          <w:rFonts w:ascii="Times New Roman" w:eastAsia="Times New Roman" w:hAnsi="Times New Roman"/>
          <w:lang w:val="lt-LT"/>
        </w:rPr>
        <w:t xml:space="preserve">elementų Hamiltono depresijos įvertinimo skalę (angl., </w:t>
      </w:r>
      <w:proofErr w:type="spellStart"/>
      <w:r w:rsidRPr="00BE098F">
        <w:rPr>
          <w:rFonts w:ascii="Times New Roman" w:eastAsia="Times New Roman" w:hAnsi="Times New Roman"/>
          <w:i/>
          <w:iCs/>
          <w:lang w:val="lt-LT"/>
        </w:rPr>
        <w:t>Hamilton</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Depression</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Rating</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Scale</w:t>
      </w:r>
      <w:proofErr w:type="spellEnd"/>
      <w:r w:rsidRPr="00BE098F">
        <w:rPr>
          <w:rFonts w:ascii="Times New Roman" w:eastAsia="Times New Roman" w:hAnsi="Times New Roman"/>
          <w:i/>
          <w:iCs/>
          <w:lang w:val="lt-LT"/>
        </w:rPr>
        <w:t xml:space="preserve"> 24-item</w:t>
      </w:r>
      <w:r w:rsidRPr="00BE098F">
        <w:rPr>
          <w:rFonts w:ascii="Times New Roman" w:eastAsia="Times New Roman" w:hAnsi="Times New Roman"/>
          <w:lang w:val="lt-LT"/>
        </w:rPr>
        <w:t xml:space="preserve"> (HAM</w:t>
      </w:r>
      <w:r>
        <w:rPr>
          <w:rFonts w:ascii="Times New Roman" w:eastAsia="Times New Roman" w:hAnsi="Times New Roman"/>
          <w:lang w:val="lt-LT"/>
        </w:rPr>
        <w:noBreakHyphen/>
      </w:r>
      <w:r w:rsidRPr="00BE098F">
        <w:rPr>
          <w:rFonts w:ascii="Times New Roman" w:eastAsia="Times New Roman" w:hAnsi="Times New Roman"/>
          <w:lang w:val="lt-LT"/>
        </w:rPr>
        <w:t xml:space="preserve">D24)). Tokio poveikio klinikinis reikšmingumas buvo patvirtintas remiantis pacientų, kuriems pasireiškė atsakas, ir pacientų, kuriems pasireiškė atkrytis, santykiu, bei pagerėjimu, atsižvelgiant į funkcinio sutrikimo balus pagal bendrojo klinikinio stebėjimo – bendrojo pagerėjimo [angl., </w:t>
      </w:r>
      <w:proofErr w:type="spellStart"/>
      <w:r w:rsidRPr="00BE098F">
        <w:rPr>
          <w:rFonts w:ascii="Times New Roman" w:eastAsia="Times New Roman" w:hAnsi="Times New Roman"/>
          <w:i/>
          <w:iCs/>
          <w:lang w:val="lt-LT"/>
        </w:rPr>
        <w:t>the</w:t>
      </w:r>
      <w:proofErr w:type="spellEnd"/>
      <w:r w:rsidRPr="00BE098F">
        <w:rPr>
          <w:rFonts w:ascii="Times New Roman" w:eastAsia="Times New Roman" w:hAnsi="Times New Roman"/>
          <w:i/>
          <w:iCs/>
          <w:lang w:val="lt-LT"/>
        </w:rPr>
        <w:t xml:space="preserve"> </w:t>
      </w:r>
      <w:proofErr w:type="spellStart"/>
      <w:r w:rsidRPr="00BE098F">
        <w:rPr>
          <w:rFonts w:ascii="Times New Roman" w:eastAsia="Times New Roman" w:hAnsi="Times New Roman"/>
          <w:i/>
          <w:iCs/>
          <w:lang w:val="lt-LT"/>
        </w:rPr>
        <w:t>Clinical</w:t>
      </w:r>
      <w:proofErr w:type="spellEnd"/>
      <w:r w:rsidRPr="00BE098F">
        <w:rPr>
          <w:rFonts w:ascii="Times New Roman" w:eastAsia="Times New Roman" w:hAnsi="Times New Roman"/>
          <w:i/>
          <w:iCs/>
          <w:lang w:val="lt-LT"/>
        </w:rPr>
        <w:t xml:space="preserve"> Global </w:t>
      </w:r>
      <w:proofErr w:type="spellStart"/>
      <w:r w:rsidRPr="00BE098F">
        <w:rPr>
          <w:rFonts w:ascii="Times New Roman" w:eastAsia="Times New Roman" w:hAnsi="Times New Roman"/>
          <w:i/>
          <w:iCs/>
          <w:lang w:val="lt-LT"/>
        </w:rPr>
        <w:t>Impression</w:t>
      </w:r>
      <w:proofErr w:type="spellEnd"/>
      <w:r w:rsidRPr="00BE098F">
        <w:rPr>
          <w:rFonts w:ascii="Times New Roman" w:eastAsia="Times New Roman" w:hAnsi="Times New Roman"/>
          <w:i/>
          <w:iCs/>
          <w:lang w:val="lt-LT"/>
        </w:rPr>
        <w:t xml:space="preserve"> – Global </w:t>
      </w:r>
      <w:proofErr w:type="spellStart"/>
      <w:r w:rsidRPr="00BE098F">
        <w:rPr>
          <w:rFonts w:ascii="Times New Roman" w:eastAsia="Times New Roman" w:hAnsi="Times New Roman"/>
          <w:i/>
          <w:iCs/>
          <w:lang w:val="lt-LT"/>
        </w:rPr>
        <w:t>Improvement</w:t>
      </w:r>
      <w:proofErr w:type="spellEnd"/>
      <w:r w:rsidRPr="00BE098F">
        <w:rPr>
          <w:rFonts w:ascii="Times New Roman" w:eastAsia="Times New Roman" w:hAnsi="Times New Roman"/>
          <w:lang w:val="lt-LT"/>
        </w:rPr>
        <w:t xml:space="preserve"> (CGI-I)] skalę.</w:t>
      </w:r>
    </w:p>
    <w:p w14:paraId="6B2B0EAC" w14:textId="77777777" w:rsidR="00BE098F" w:rsidRDefault="00BE098F" w:rsidP="00E0107B">
      <w:pPr>
        <w:widowControl w:val="0"/>
        <w:autoSpaceDE w:val="0"/>
        <w:autoSpaceDN w:val="0"/>
        <w:adjustRightInd w:val="0"/>
        <w:spacing w:after="0" w:line="240" w:lineRule="auto"/>
        <w:rPr>
          <w:rFonts w:ascii="Times New Roman" w:eastAsia="Times New Roman" w:hAnsi="Times New Roman"/>
          <w:lang w:val="lt-LT"/>
        </w:rPr>
      </w:pPr>
    </w:p>
    <w:p w14:paraId="180D518C" w14:textId="1214A9C7" w:rsidR="00BE098F" w:rsidRDefault="00BE098F" w:rsidP="00E0107B">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 xml:space="preserve">Atskirų tyrimų duomenis patvirtino </w:t>
      </w:r>
      <w:proofErr w:type="spellStart"/>
      <w:r w:rsidRPr="00BE098F">
        <w:rPr>
          <w:rFonts w:ascii="Times New Roman" w:eastAsia="Times New Roman" w:hAnsi="Times New Roman"/>
          <w:lang w:val="lt-LT"/>
        </w:rPr>
        <w:t>metaanalizė</w:t>
      </w:r>
      <w:proofErr w:type="spellEnd"/>
      <w:r w:rsidRPr="00BE098F">
        <w:rPr>
          <w:rFonts w:ascii="Times New Roman" w:eastAsia="Times New Roman" w:hAnsi="Times New Roman"/>
          <w:lang w:val="lt-LT"/>
        </w:rPr>
        <w:t xml:space="preserve"> (MMRM), kurios metu buvo analizuojamas vidutinis MADRS skalės bendrojo įvertinimo pokytis 6/8</w:t>
      </w:r>
      <w:r>
        <w:rPr>
          <w:rFonts w:ascii="Times New Roman" w:eastAsia="Times New Roman" w:hAnsi="Times New Roman"/>
          <w:lang w:val="lt-LT"/>
        </w:rPr>
        <w:t> </w:t>
      </w:r>
      <w:r w:rsidRPr="00BE098F">
        <w:rPr>
          <w:rFonts w:ascii="Times New Roman" w:eastAsia="Times New Roman" w:hAnsi="Times New Roman"/>
          <w:lang w:val="lt-LT"/>
        </w:rPr>
        <w:t xml:space="preserve">savaitę trumpalaikių placebu kontroliuotų suaugusiųjų tyrimų metu. Ši </w:t>
      </w:r>
      <w:proofErr w:type="spellStart"/>
      <w:r w:rsidRPr="00BE098F">
        <w:rPr>
          <w:rFonts w:ascii="Times New Roman" w:eastAsia="Times New Roman" w:hAnsi="Times New Roman"/>
          <w:lang w:val="lt-LT"/>
        </w:rPr>
        <w:t>metaanalizė</w:t>
      </w:r>
      <w:proofErr w:type="spellEnd"/>
      <w:r w:rsidRPr="00BE098F">
        <w:rPr>
          <w:rFonts w:ascii="Times New Roman" w:eastAsia="Times New Roman" w:hAnsi="Times New Roman"/>
          <w:lang w:val="lt-LT"/>
        </w:rPr>
        <w:t xml:space="preserve"> parodė, kad tyrimų metu bendras vidutinis skirtumas, palyginti su placebo poveikiu, buvo statistiškai reikšmingas: -2,3</w:t>
      </w:r>
      <w:r>
        <w:rPr>
          <w:rFonts w:ascii="Times New Roman" w:eastAsia="Times New Roman" w:hAnsi="Times New Roman"/>
          <w:lang w:val="lt-LT"/>
        </w:rPr>
        <w:t> </w:t>
      </w:r>
      <w:r w:rsidRPr="00BE098F">
        <w:rPr>
          <w:rFonts w:ascii="Times New Roman" w:eastAsia="Times New Roman" w:hAnsi="Times New Roman"/>
          <w:lang w:val="lt-LT"/>
        </w:rPr>
        <w:t>balo (p</w:t>
      </w:r>
      <w:r>
        <w:rPr>
          <w:rFonts w:ascii="Times New Roman" w:eastAsia="Times New Roman" w:hAnsi="Times New Roman"/>
          <w:lang w:val="lt-LT"/>
        </w:rPr>
        <w:t> </w:t>
      </w:r>
      <w:r w:rsidRPr="00BE098F">
        <w:rPr>
          <w:rFonts w:ascii="Times New Roman" w:eastAsia="Times New Roman" w:hAnsi="Times New Roman"/>
          <w:lang w:val="lt-LT"/>
        </w:rPr>
        <w:t>=</w:t>
      </w:r>
      <w:r>
        <w:rPr>
          <w:rFonts w:ascii="Times New Roman" w:eastAsia="Times New Roman" w:hAnsi="Times New Roman"/>
          <w:lang w:val="lt-LT"/>
        </w:rPr>
        <w:t> </w:t>
      </w:r>
      <w:r w:rsidRPr="00BE098F">
        <w:rPr>
          <w:rFonts w:ascii="Times New Roman" w:eastAsia="Times New Roman" w:hAnsi="Times New Roman"/>
          <w:lang w:val="lt-LT"/>
        </w:rPr>
        <w:t>0,007), -3,6</w:t>
      </w:r>
      <w:r>
        <w:rPr>
          <w:rFonts w:ascii="Times New Roman" w:eastAsia="Times New Roman" w:hAnsi="Times New Roman"/>
          <w:lang w:val="lt-LT"/>
        </w:rPr>
        <w:t> </w:t>
      </w:r>
      <w:r w:rsidRPr="00BE098F">
        <w:rPr>
          <w:rFonts w:ascii="Times New Roman" w:eastAsia="Times New Roman" w:hAnsi="Times New Roman"/>
          <w:lang w:val="lt-LT"/>
        </w:rPr>
        <w:t>balo (p</w:t>
      </w:r>
      <w:r>
        <w:rPr>
          <w:rFonts w:ascii="Times New Roman" w:eastAsia="Times New Roman" w:hAnsi="Times New Roman"/>
          <w:lang w:val="lt-LT"/>
        </w:rPr>
        <w:t> </w:t>
      </w:r>
      <w:r w:rsidRPr="00BE098F">
        <w:rPr>
          <w:rFonts w:ascii="Times New Roman" w:eastAsia="Times New Roman" w:hAnsi="Times New Roman"/>
          <w:lang w:val="lt-LT"/>
        </w:rPr>
        <w:t>&lt;</w:t>
      </w:r>
      <w:r>
        <w:rPr>
          <w:rFonts w:ascii="Times New Roman" w:eastAsia="Times New Roman" w:hAnsi="Times New Roman"/>
          <w:lang w:val="lt-LT"/>
        </w:rPr>
        <w:t> </w:t>
      </w:r>
      <w:r w:rsidRPr="00BE098F">
        <w:rPr>
          <w:rFonts w:ascii="Times New Roman" w:eastAsia="Times New Roman" w:hAnsi="Times New Roman"/>
          <w:lang w:val="lt-LT"/>
        </w:rPr>
        <w:t>0,001) ir -4,6</w:t>
      </w:r>
      <w:r>
        <w:rPr>
          <w:rFonts w:ascii="Times New Roman" w:eastAsia="Times New Roman" w:hAnsi="Times New Roman"/>
          <w:lang w:val="lt-LT"/>
        </w:rPr>
        <w:t> </w:t>
      </w:r>
      <w:r w:rsidRPr="00BE098F">
        <w:rPr>
          <w:rFonts w:ascii="Times New Roman" w:eastAsia="Times New Roman" w:hAnsi="Times New Roman"/>
          <w:lang w:val="lt-LT"/>
        </w:rPr>
        <w:t>balo (p</w:t>
      </w:r>
      <w:r>
        <w:rPr>
          <w:rFonts w:ascii="Times New Roman" w:eastAsia="Times New Roman" w:hAnsi="Times New Roman"/>
          <w:lang w:val="lt-LT"/>
        </w:rPr>
        <w:t> </w:t>
      </w:r>
      <w:r w:rsidRPr="00BE098F">
        <w:rPr>
          <w:rFonts w:ascii="Times New Roman" w:eastAsia="Times New Roman" w:hAnsi="Times New Roman"/>
          <w:lang w:val="lt-LT"/>
        </w:rPr>
        <w:t>&lt;</w:t>
      </w:r>
      <w:r>
        <w:rPr>
          <w:rFonts w:ascii="Times New Roman" w:eastAsia="Times New Roman" w:hAnsi="Times New Roman"/>
          <w:lang w:val="lt-LT"/>
        </w:rPr>
        <w:t> </w:t>
      </w:r>
      <w:r w:rsidRPr="00BE098F">
        <w:rPr>
          <w:rFonts w:ascii="Times New Roman" w:eastAsia="Times New Roman" w:hAnsi="Times New Roman"/>
          <w:lang w:val="lt-LT"/>
        </w:rPr>
        <w:t>0,001) atitinkamai vartojant 5</w:t>
      </w:r>
      <w:r>
        <w:rPr>
          <w:rFonts w:ascii="Times New Roman" w:eastAsia="Times New Roman" w:hAnsi="Times New Roman"/>
          <w:lang w:val="lt-LT"/>
        </w:rPr>
        <w:t> </w:t>
      </w:r>
      <w:r w:rsidRPr="00BE098F">
        <w:rPr>
          <w:rFonts w:ascii="Times New Roman" w:eastAsia="Times New Roman" w:hAnsi="Times New Roman"/>
          <w:lang w:val="lt-LT"/>
        </w:rPr>
        <w:t>mg, 10</w:t>
      </w:r>
      <w:r>
        <w:rPr>
          <w:rFonts w:ascii="Times New Roman" w:eastAsia="Times New Roman" w:hAnsi="Times New Roman"/>
          <w:lang w:val="lt-LT"/>
        </w:rPr>
        <w:t> </w:t>
      </w:r>
      <w:r w:rsidRPr="00BE098F">
        <w:rPr>
          <w:rFonts w:ascii="Times New Roman" w:eastAsia="Times New Roman" w:hAnsi="Times New Roman"/>
          <w:lang w:val="lt-LT"/>
        </w:rPr>
        <w:t>mg ir 20</w:t>
      </w:r>
      <w:r>
        <w:rPr>
          <w:rFonts w:ascii="Times New Roman" w:eastAsia="Times New Roman" w:hAnsi="Times New Roman"/>
          <w:lang w:val="lt-LT"/>
        </w:rPr>
        <w:t> </w:t>
      </w:r>
      <w:r w:rsidRPr="00BE098F">
        <w:rPr>
          <w:rFonts w:ascii="Times New Roman" w:eastAsia="Times New Roman" w:hAnsi="Times New Roman"/>
          <w:lang w:val="lt-LT"/>
        </w:rPr>
        <w:t>mg paros dozę; 15</w:t>
      </w:r>
      <w:r>
        <w:rPr>
          <w:rFonts w:ascii="Times New Roman" w:eastAsia="Times New Roman" w:hAnsi="Times New Roman"/>
          <w:lang w:val="lt-LT"/>
        </w:rPr>
        <w:t> </w:t>
      </w:r>
      <w:r w:rsidRPr="00BE098F">
        <w:rPr>
          <w:rFonts w:ascii="Times New Roman" w:eastAsia="Times New Roman" w:hAnsi="Times New Roman"/>
          <w:lang w:val="lt-LT"/>
        </w:rPr>
        <w:t xml:space="preserve">mg paros dozės poveikis </w:t>
      </w:r>
      <w:proofErr w:type="spellStart"/>
      <w:r w:rsidRPr="00BE098F">
        <w:rPr>
          <w:rFonts w:ascii="Times New Roman" w:eastAsia="Times New Roman" w:hAnsi="Times New Roman"/>
          <w:lang w:val="lt-LT"/>
        </w:rPr>
        <w:t>metaanalizės</w:t>
      </w:r>
      <w:proofErr w:type="spellEnd"/>
      <w:r w:rsidRPr="00BE098F">
        <w:rPr>
          <w:rFonts w:ascii="Times New Roman" w:eastAsia="Times New Roman" w:hAnsi="Times New Roman"/>
          <w:lang w:val="lt-LT"/>
        </w:rPr>
        <w:t xml:space="preserve"> metu nuo placebo poveikio statistiškai reikšmingai nesiskyrė, tačiau vidutinis skirtumas, palyginti su placebo poveikiu, buvo -2,6</w:t>
      </w:r>
      <w:r>
        <w:rPr>
          <w:rFonts w:ascii="Times New Roman" w:eastAsia="Times New Roman" w:hAnsi="Times New Roman"/>
          <w:lang w:val="lt-LT"/>
        </w:rPr>
        <w:t> </w:t>
      </w:r>
      <w:r w:rsidRPr="00BE098F">
        <w:rPr>
          <w:rFonts w:ascii="Times New Roman" w:eastAsia="Times New Roman" w:hAnsi="Times New Roman"/>
          <w:lang w:val="lt-LT"/>
        </w:rPr>
        <w:t>balo. Vortioksetino veiksmingumą patvirtino ir apibendrinta į gydymą reagavusių pacientų analizė, kuri parodė, kad į gydymą reagavo 46</w:t>
      </w:r>
      <w:r>
        <w:rPr>
          <w:rFonts w:ascii="Times New Roman" w:eastAsia="Times New Roman" w:hAnsi="Times New Roman"/>
          <w:lang w:val="lt-LT"/>
        </w:rPr>
        <w:noBreakHyphen/>
      </w:r>
      <w:r w:rsidRPr="00BE098F">
        <w:rPr>
          <w:rFonts w:ascii="Times New Roman" w:eastAsia="Times New Roman" w:hAnsi="Times New Roman"/>
          <w:lang w:val="lt-LT"/>
        </w:rPr>
        <w:t>49</w:t>
      </w:r>
      <w:r>
        <w:rPr>
          <w:rFonts w:ascii="Times New Roman" w:eastAsia="Times New Roman" w:hAnsi="Times New Roman"/>
          <w:lang w:val="lt-LT"/>
        </w:rPr>
        <w:t> </w:t>
      </w:r>
      <w:r w:rsidRPr="00BE098F">
        <w:rPr>
          <w:rFonts w:ascii="Times New Roman" w:eastAsia="Times New Roman" w:hAnsi="Times New Roman"/>
          <w:lang w:val="lt-LT"/>
        </w:rPr>
        <w:t>% vortioksetino ir 34</w:t>
      </w:r>
      <w:r>
        <w:rPr>
          <w:rFonts w:ascii="Times New Roman" w:eastAsia="Times New Roman" w:hAnsi="Times New Roman"/>
          <w:lang w:val="lt-LT"/>
        </w:rPr>
        <w:t> </w:t>
      </w:r>
      <w:r w:rsidRPr="00BE098F">
        <w:rPr>
          <w:rFonts w:ascii="Times New Roman" w:eastAsia="Times New Roman" w:hAnsi="Times New Roman"/>
          <w:lang w:val="lt-LT"/>
        </w:rPr>
        <w:t>% placebo vartojusių ligonių (p</w:t>
      </w:r>
      <w:r>
        <w:rPr>
          <w:rFonts w:ascii="Times New Roman" w:eastAsia="Times New Roman" w:hAnsi="Times New Roman"/>
          <w:lang w:val="lt-LT"/>
        </w:rPr>
        <w:t> </w:t>
      </w:r>
      <w:r w:rsidRPr="00BE098F">
        <w:rPr>
          <w:rFonts w:ascii="Times New Roman" w:eastAsia="Times New Roman" w:hAnsi="Times New Roman"/>
          <w:lang w:val="lt-LT"/>
        </w:rPr>
        <w:t>&lt;</w:t>
      </w:r>
      <w:r>
        <w:rPr>
          <w:rFonts w:ascii="Times New Roman" w:eastAsia="Times New Roman" w:hAnsi="Times New Roman"/>
          <w:lang w:val="lt-LT"/>
        </w:rPr>
        <w:t> 0</w:t>
      </w:r>
      <w:r w:rsidRPr="00BE098F">
        <w:rPr>
          <w:rFonts w:ascii="Times New Roman" w:eastAsia="Times New Roman" w:hAnsi="Times New Roman"/>
          <w:lang w:val="lt-LT"/>
        </w:rPr>
        <w:t>,01; NRI analizė).</w:t>
      </w:r>
    </w:p>
    <w:p w14:paraId="20F4CFAB" w14:textId="77777777" w:rsidR="00BE098F" w:rsidRDefault="00BE098F" w:rsidP="00E0107B">
      <w:pPr>
        <w:widowControl w:val="0"/>
        <w:autoSpaceDE w:val="0"/>
        <w:autoSpaceDN w:val="0"/>
        <w:adjustRightInd w:val="0"/>
        <w:spacing w:after="0" w:line="240" w:lineRule="auto"/>
        <w:rPr>
          <w:rFonts w:ascii="Times New Roman" w:eastAsia="Times New Roman" w:hAnsi="Times New Roman"/>
          <w:lang w:val="lt-LT"/>
        </w:rPr>
      </w:pPr>
    </w:p>
    <w:p w14:paraId="20005D54" w14:textId="21CD16A4" w:rsid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Be to, įrodytas vortioksetino, vartojant dozes nuo 5</w:t>
      </w:r>
      <w:r>
        <w:rPr>
          <w:rFonts w:ascii="Times New Roman" w:eastAsia="Times New Roman" w:hAnsi="Times New Roman"/>
          <w:lang w:val="lt-LT"/>
        </w:rPr>
        <w:t> </w:t>
      </w:r>
      <w:r w:rsidRPr="00BE098F">
        <w:rPr>
          <w:rFonts w:ascii="Times New Roman" w:eastAsia="Times New Roman" w:hAnsi="Times New Roman"/>
          <w:lang w:val="lt-LT"/>
        </w:rPr>
        <w:t>mg iki 20</w:t>
      </w:r>
      <w:r>
        <w:rPr>
          <w:rFonts w:ascii="Times New Roman" w:eastAsia="Times New Roman" w:hAnsi="Times New Roman"/>
          <w:lang w:val="lt-LT"/>
        </w:rPr>
        <w:t> </w:t>
      </w:r>
      <w:r w:rsidRPr="00BE098F">
        <w:rPr>
          <w:rFonts w:ascii="Times New Roman" w:eastAsia="Times New Roman" w:hAnsi="Times New Roman"/>
          <w:lang w:val="lt-LT"/>
        </w:rPr>
        <w:t>mg per parą ribose, veiksmingumas plačiam depresijos (įvertinta pagal visų atskirų MADRS elementų pagerėjimą) simptomų</w:t>
      </w:r>
      <w:r w:rsidR="005716FB">
        <w:rPr>
          <w:rFonts w:ascii="Times New Roman" w:eastAsia="Times New Roman" w:hAnsi="Times New Roman"/>
          <w:lang w:val="lt-LT"/>
        </w:rPr>
        <w:t xml:space="preserve"> </w:t>
      </w:r>
      <w:r w:rsidR="005716FB" w:rsidRPr="00BE098F">
        <w:rPr>
          <w:rFonts w:ascii="Times New Roman" w:eastAsia="Times New Roman" w:hAnsi="Times New Roman"/>
          <w:lang w:val="lt-LT"/>
        </w:rPr>
        <w:t>spektrui</w:t>
      </w:r>
      <w:r w:rsidRPr="00BE098F">
        <w:rPr>
          <w:rFonts w:ascii="Times New Roman" w:eastAsia="Times New Roman" w:hAnsi="Times New Roman"/>
          <w:lang w:val="lt-LT"/>
        </w:rPr>
        <w:t>.</w:t>
      </w:r>
    </w:p>
    <w:p w14:paraId="55CBF8E6" w14:textId="77777777" w:rsidR="00BE098F" w:rsidRP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p>
    <w:p w14:paraId="4D757949" w14:textId="77777777" w:rsid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Vortioksetino 10</w:t>
      </w:r>
      <w:r>
        <w:rPr>
          <w:rFonts w:ascii="Times New Roman" w:eastAsia="Times New Roman" w:hAnsi="Times New Roman"/>
          <w:lang w:val="lt-LT"/>
        </w:rPr>
        <w:t> </w:t>
      </w:r>
      <w:r w:rsidRPr="00BE098F">
        <w:rPr>
          <w:rFonts w:ascii="Times New Roman" w:eastAsia="Times New Roman" w:hAnsi="Times New Roman"/>
          <w:lang w:val="lt-LT"/>
        </w:rPr>
        <w:t>mg arba 20</w:t>
      </w:r>
      <w:r>
        <w:rPr>
          <w:rFonts w:ascii="Times New Roman" w:eastAsia="Times New Roman" w:hAnsi="Times New Roman"/>
          <w:lang w:val="lt-LT"/>
        </w:rPr>
        <w:t xml:space="preserve"> mg </w:t>
      </w:r>
      <w:r w:rsidRPr="00BE098F">
        <w:rPr>
          <w:rFonts w:ascii="Times New Roman" w:eastAsia="Times New Roman" w:hAnsi="Times New Roman"/>
          <w:lang w:val="lt-LT"/>
        </w:rPr>
        <w:t>paros dozės veiksmingumas gydant DDS sergančius pacientus taip pat buvo patvirtintas 12</w:t>
      </w:r>
      <w:r>
        <w:rPr>
          <w:rFonts w:ascii="Times New Roman" w:eastAsia="Times New Roman" w:hAnsi="Times New Roman"/>
          <w:lang w:val="lt-LT"/>
        </w:rPr>
        <w:t> </w:t>
      </w:r>
      <w:r w:rsidRPr="00BE098F">
        <w:rPr>
          <w:rFonts w:ascii="Times New Roman" w:eastAsia="Times New Roman" w:hAnsi="Times New Roman"/>
          <w:lang w:val="lt-LT"/>
        </w:rPr>
        <w:t>savaičių trukmės, dvigubai koduoto, kintamų dozių, palyginamojo (vartota 25</w:t>
      </w:r>
      <w:r>
        <w:rPr>
          <w:rFonts w:ascii="Times New Roman" w:eastAsia="Times New Roman" w:hAnsi="Times New Roman"/>
          <w:lang w:val="lt-LT"/>
        </w:rPr>
        <w:t> </w:t>
      </w:r>
      <w:r w:rsidRPr="00BE098F">
        <w:rPr>
          <w:rFonts w:ascii="Times New Roman" w:eastAsia="Times New Roman" w:hAnsi="Times New Roman"/>
          <w:lang w:val="lt-LT"/>
        </w:rPr>
        <w:t>mg arba 50</w:t>
      </w:r>
      <w:r>
        <w:rPr>
          <w:rFonts w:ascii="Times New Roman" w:eastAsia="Times New Roman" w:hAnsi="Times New Roman"/>
          <w:lang w:val="lt-LT"/>
        </w:rPr>
        <w:t> </w:t>
      </w:r>
      <w:r w:rsidRPr="00BE098F">
        <w:rPr>
          <w:rFonts w:ascii="Times New Roman" w:eastAsia="Times New Roman" w:hAnsi="Times New Roman"/>
          <w:lang w:val="lt-LT"/>
        </w:rPr>
        <w:t xml:space="preserve">mg </w:t>
      </w:r>
      <w:proofErr w:type="spellStart"/>
      <w:r w:rsidRPr="00BE098F">
        <w:rPr>
          <w:rFonts w:ascii="Times New Roman" w:eastAsia="Times New Roman" w:hAnsi="Times New Roman"/>
          <w:lang w:val="lt-LT"/>
        </w:rPr>
        <w:t>agomelatino</w:t>
      </w:r>
      <w:proofErr w:type="spellEnd"/>
      <w:r w:rsidRPr="00BE098F">
        <w:rPr>
          <w:rFonts w:ascii="Times New Roman" w:eastAsia="Times New Roman" w:hAnsi="Times New Roman"/>
          <w:lang w:val="lt-LT"/>
        </w:rPr>
        <w:t xml:space="preserve"> paros dozė) tyrimo metu. </w:t>
      </w:r>
    </w:p>
    <w:p w14:paraId="4B57D499" w14:textId="77777777" w:rsid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p>
    <w:p w14:paraId="39CF8633" w14:textId="5E706FDC" w:rsid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 xml:space="preserve">Vortioksetinas </w:t>
      </w:r>
      <w:r w:rsidR="00F50FA7">
        <w:rPr>
          <w:rFonts w:ascii="Times New Roman" w:eastAsia="Times New Roman" w:hAnsi="Times New Roman"/>
          <w:lang w:val="lt-LT"/>
        </w:rPr>
        <w:t>lėmė</w:t>
      </w:r>
      <w:r w:rsidR="00F50FA7" w:rsidRPr="00BE098F">
        <w:rPr>
          <w:rFonts w:ascii="Times New Roman" w:eastAsia="Times New Roman" w:hAnsi="Times New Roman"/>
          <w:lang w:val="lt-LT"/>
        </w:rPr>
        <w:t xml:space="preserve"> </w:t>
      </w:r>
      <w:r w:rsidRPr="00BE098F">
        <w:rPr>
          <w:rFonts w:ascii="Times New Roman" w:eastAsia="Times New Roman" w:hAnsi="Times New Roman"/>
          <w:lang w:val="lt-LT"/>
        </w:rPr>
        <w:t xml:space="preserve">statistiškai reikšmingai geresnį poveikį nei </w:t>
      </w:r>
      <w:proofErr w:type="spellStart"/>
      <w:r w:rsidRPr="00BE098F">
        <w:rPr>
          <w:rFonts w:ascii="Times New Roman" w:eastAsia="Times New Roman" w:hAnsi="Times New Roman"/>
          <w:lang w:val="lt-LT"/>
        </w:rPr>
        <w:t>agomelatinas</w:t>
      </w:r>
      <w:proofErr w:type="spellEnd"/>
      <w:r w:rsidRPr="00BE098F">
        <w:rPr>
          <w:rFonts w:ascii="Times New Roman" w:eastAsia="Times New Roman" w:hAnsi="Times New Roman"/>
          <w:lang w:val="lt-LT"/>
        </w:rPr>
        <w:t>, vertinant MADRS skalės bendrojo įvertinimo padidėjimą, be to, klinikinę tokio poveikio reikšmę parodė į gydymą reagavusių pacientų bei pacientų, kuriems pasireiškė atkrytis, dalis ir CGI</w:t>
      </w:r>
      <w:r>
        <w:rPr>
          <w:rFonts w:ascii="Times New Roman" w:eastAsia="Times New Roman" w:hAnsi="Times New Roman"/>
          <w:lang w:val="lt-LT"/>
        </w:rPr>
        <w:noBreakHyphen/>
      </w:r>
      <w:r w:rsidRPr="00BE098F">
        <w:rPr>
          <w:rFonts w:ascii="Times New Roman" w:eastAsia="Times New Roman" w:hAnsi="Times New Roman"/>
          <w:lang w:val="lt-LT"/>
        </w:rPr>
        <w:t>I įvertinimo pagerėjimas.</w:t>
      </w:r>
    </w:p>
    <w:p w14:paraId="102570D2" w14:textId="77777777" w:rsidR="00BE098F" w:rsidRDefault="00BE098F" w:rsidP="00E0107B">
      <w:pPr>
        <w:widowControl w:val="0"/>
        <w:autoSpaceDE w:val="0"/>
        <w:autoSpaceDN w:val="0"/>
        <w:adjustRightInd w:val="0"/>
        <w:spacing w:after="0" w:line="240" w:lineRule="auto"/>
        <w:rPr>
          <w:rFonts w:ascii="Times New Roman" w:eastAsia="Times New Roman" w:hAnsi="Times New Roman"/>
          <w:lang w:val="lt-LT"/>
        </w:rPr>
      </w:pPr>
    </w:p>
    <w:p w14:paraId="24801CC0" w14:textId="77777777" w:rsidR="00BE098F" w:rsidRPr="00BE098F" w:rsidRDefault="00BE098F" w:rsidP="00BE098F">
      <w:pPr>
        <w:widowControl w:val="0"/>
        <w:autoSpaceDE w:val="0"/>
        <w:autoSpaceDN w:val="0"/>
        <w:adjustRightInd w:val="0"/>
        <w:spacing w:after="0" w:line="240" w:lineRule="auto"/>
        <w:rPr>
          <w:rFonts w:ascii="Times New Roman" w:eastAsia="Times New Roman" w:hAnsi="Times New Roman"/>
          <w:i/>
          <w:iCs/>
          <w:lang w:val="lt-LT"/>
        </w:rPr>
      </w:pPr>
      <w:r w:rsidRPr="00BE098F">
        <w:rPr>
          <w:rFonts w:ascii="Times New Roman" w:eastAsia="Times New Roman" w:hAnsi="Times New Roman"/>
          <w:i/>
          <w:iCs/>
          <w:lang w:val="lt-LT"/>
        </w:rPr>
        <w:t>Palaikomasis gydymas</w:t>
      </w:r>
    </w:p>
    <w:p w14:paraId="61DBB14A" w14:textId="61C58BB8" w:rsid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 xml:space="preserve">Palaikomojo </w:t>
      </w:r>
      <w:proofErr w:type="spellStart"/>
      <w:r w:rsidRPr="00BE098F">
        <w:rPr>
          <w:rFonts w:ascii="Times New Roman" w:eastAsia="Times New Roman" w:hAnsi="Times New Roman"/>
          <w:lang w:val="lt-LT"/>
        </w:rPr>
        <w:t>antidepresinio</w:t>
      </w:r>
      <w:proofErr w:type="spellEnd"/>
      <w:r w:rsidRPr="00BE098F">
        <w:rPr>
          <w:rFonts w:ascii="Times New Roman" w:eastAsia="Times New Roman" w:hAnsi="Times New Roman"/>
          <w:lang w:val="lt-LT"/>
        </w:rPr>
        <w:t xml:space="preserve"> gydymo veiksmingumas buvo įrodytas atkryčio profilaktikos tyrimu. Pacientai, kuriems pasireiškė ligos remisija po pradinio 12</w:t>
      </w:r>
      <w:r>
        <w:rPr>
          <w:rFonts w:ascii="Times New Roman" w:eastAsia="Times New Roman" w:hAnsi="Times New Roman"/>
          <w:lang w:val="lt-LT"/>
        </w:rPr>
        <w:t> </w:t>
      </w:r>
      <w:r w:rsidRPr="00BE098F">
        <w:rPr>
          <w:rFonts w:ascii="Times New Roman" w:eastAsia="Times New Roman" w:hAnsi="Times New Roman"/>
          <w:lang w:val="lt-LT"/>
        </w:rPr>
        <w:t>savaičių gydymo vortioksetinu atviru būdu laikotarpio, atsitiktiniu būdu buvo suskirstyti į grupes ir gydyti arba 5</w:t>
      </w:r>
      <w:r>
        <w:rPr>
          <w:rFonts w:ascii="Times New Roman" w:eastAsia="Times New Roman" w:hAnsi="Times New Roman"/>
          <w:lang w:val="lt-LT"/>
        </w:rPr>
        <w:t> </w:t>
      </w:r>
      <w:r w:rsidRPr="00BE098F">
        <w:rPr>
          <w:rFonts w:ascii="Times New Roman" w:eastAsia="Times New Roman" w:hAnsi="Times New Roman"/>
          <w:lang w:val="lt-LT"/>
        </w:rPr>
        <w:t>mg ar 10</w:t>
      </w:r>
      <w:r>
        <w:rPr>
          <w:rFonts w:ascii="Times New Roman" w:eastAsia="Times New Roman" w:hAnsi="Times New Roman"/>
          <w:lang w:val="lt-LT"/>
        </w:rPr>
        <w:t> </w:t>
      </w:r>
      <w:r w:rsidRPr="00BE098F">
        <w:rPr>
          <w:rFonts w:ascii="Times New Roman" w:eastAsia="Times New Roman" w:hAnsi="Times New Roman"/>
          <w:lang w:val="lt-LT"/>
        </w:rPr>
        <w:t>mg vortioksetino doze per parą, arba placebu, ir stebėti, ar nepasireiškia atkrytis per gydymo ne trumpiau kaip 24</w:t>
      </w:r>
      <w:r>
        <w:rPr>
          <w:rFonts w:ascii="Times New Roman" w:eastAsia="Times New Roman" w:hAnsi="Times New Roman"/>
          <w:lang w:val="lt-LT"/>
        </w:rPr>
        <w:t> </w:t>
      </w:r>
      <w:r w:rsidRPr="00BE098F">
        <w:rPr>
          <w:rFonts w:ascii="Times New Roman" w:eastAsia="Times New Roman" w:hAnsi="Times New Roman"/>
          <w:lang w:val="lt-LT"/>
        </w:rPr>
        <w:t>savaites (nuo 24 iki 64</w:t>
      </w:r>
      <w:r>
        <w:rPr>
          <w:rFonts w:ascii="Times New Roman" w:eastAsia="Times New Roman" w:hAnsi="Times New Roman"/>
          <w:lang w:val="lt-LT"/>
        </w:rPr>
        <w:t> </w:t>
      </w:r>
      <w:r w:rsidRPr="00BE098F">
        <w:rPr>
          <w:rFonts w:ascii="Times New Roman" w:eastAsia="Times New Roman" w:hAnsi="Times New Roman"/>
          <w:lang w:val="lt-LT"/>
        </w:rPr>
        <w:t>savaičių) dvigubai koduotu būdu laikotarpį. Vortioksetinas buvo pranašesnis (p</w:t>
      </w:r>
      <w:r>
        <w:rPr>
          <w:rFonts w:ascii="Times New Roman" w:eastAsia="Times New Roman" w:hAnsi="Times New Roman"/>
          <w:lang w:val="lt-LT"/>
        </w:rPr>
        <w:t> </w:t>
      </w:r>
      <w:r w:rsidRPr="00BE098F">
        <w:rPr>
          <w:rFonts w:ascii="Times New Roman" w:eastAsia="Times New Roman" w:hAnsi="Times New Roman"/>
          <w:lang w:val="lt-LT"/>
        </w:rPr>
        <w:t>=</w:t>
      </w:r>
      <w:r>
        <w:rPr>
          <w:rFonts w:ascii="Times New Roman" w:eastAsia="Times New Roman" w:hAnsi="Times New Roman"/>
          <w:lang w:val="lt-LT"/>
        </w:rPr>
        <w:t> </w:t>
      </w:r>
      <w:r w:rsidRPr="00BE098F">
        <w:rPr>
          <w:rFonts w:ascii="Times New Roman" w:eastAsia="Times New Roman" w:hAnsi="Times New Roman"/>
          <w:lang w:val="lt-LT"/>
        </w:rPr>
        <w:t>0,004) už placebą, atsižvelgiant į pagrindinio poveikio vertinimo kriterijų – laikotarpį, po kurio pasireiškė DDS atkrytis (santykinė rizika 2,0). Tai reiškia, kad atkryčio rizika placebo grupėje buvo du kartus didesnė nei vortioksetino grupėje.</w:t>
      </w:r>
    </w:p>
    <w:p w14:paraId="67221F28" w14:textId="77777777" w:rsidR="00C9458B" w:rsidRPr="00BE098F" w:rsidRDefault="00C9458B" w:rsidP="00BE098F">
      <w:pPr>
        <w:widowControl w:val="0"/>
        <w:autoSpaceDE w:val="0"/>
        <w:autoSpaceDN w:val="0"/>
        <w:adjustRightInd w:val="0"/>
        <w:spacing w:after="0" w:line="240" w:lineRule="auto"/>
        <w:rPr>
          <w:rFonts w:ascii="Times New Roman" w:eastAsia="Times New Roman" w:hAnsi="Times New Roman"/>
          <w:lang w:val="lt-LT"/>
        </w:rPr>
      </w:pPr>
    </w:p>
    <w:p w14:paraId="442D3EEC" w14:textId="77777777" w:rsidR="00BE098F" w:rsidRPr="00C9458B" w:rsidRDefault="00BE098F" w:rsidP="00BE098F">
      <w:pPr>
        <w:widowControl w:val="0"/>
        <w:autoSpaceDE w:val="0"/>
        <w:autoSpaceDN w:val="0"/>
        <w:adjustRightInd w:val="0"/>
        <w:spacing w:after="0" w:line="240" w:lineRule="auto"/>
        <w:rPr>
          <w:rFonts w:ascii="Times New Roman" w:eastAsia="Times New Roman" w:hAnsi="Times New Roman"/>
          <w:i/>
          <w:iCs/>
          <w:lang w:val="lt-LT"/>
        </w:rPr>
      </w:pPr>
      <w:r w:rsidRPr="00C9458B">
        <w:rPr>
          <w:rFonts w:ascii="Times New Roman" w:eastAsia="Times New Roman" w:hAnsi="Times New Roman"/>
          <w:i/>
          <w:iCs/>
          <w:lang w:val="lt-LT"/>
        </w:rPr>
        <w:t>Senyvi pacientai</w:t>
      </w:r>
    </w:p>
    <w:p w14:paraId="7048551D" w14:textId="0ADE0041" w:rsidR="00BE098F" w:rsidRDefault="00BE098F" w:rsidP="00BE098F">
      <w:pPr>
        <w:widowControl w:val="0"/>
        <w:autoSpaceDE w:val="0"/>
        <w:autoSpaceDN w:val="0"/>
        <w:adjustRightInd w:val="0"/>
        <w:spacing w:after="0" w:line="240" w:lineRule="auto"/>
        <w:rPr>
          <w:rFonts w:ascii="Times New Roman" w:eastAsia="Times New Roman" w:hAnsi="Times New Roman"/>
          <w:lang w:val="lt-LT"/>
        </w:rPr>
      </w:pPr>
      <w:r w:rsidRPr="00BE098F">
        <w:rPr>
          <w:rFonts w:ascii="Times New Roman" w:eastAsia="Times New Roman" w:hAnsi="Times New Roman"/>
          <w:lang w:val="lt-LT"/>
        </w:rPr>
        <w:t>Dvigubai koduoto placebu kontroliuojamojo 8</w:t>
      </w:r>
      <w:r w:rsidR="00C9458B">
        <w:rPr>
          <w:rFonts w:ascii="Times New Roman" w:eastAsia="Times New Roman" w:hAnsi="Times New Roman"/>
          <w:lang w:val="lt-LT"/>
        </w:rPr>
        <w:t> </w:t>
      </w:r>
      <w:r w:rsidRPr="00BE098F">
        <w:rPr>
          <w:rFonts w:ascii="Times New Roman" w:eastAsia="Times New Roman" w:hAnsi="Times New Roman"/>
          <w:lang w:val="lt-LT"/>
        </w:rPr>
        <w:t>savaičių trukmės pastovios dozės tyrimo su senyvais depresija sergančiais pacientais (amžius ≥</w:t>
      </w:r>
      <w:r w:rsidR="00C9458B">
        <w:rPr>
          <w:rFonts w:ascii="Times New Roman" w:eastAsia="Times New Roman" w:hAnsi="Times New Roman"/>
          <w:lang w:val="lt-LT"/>
        </w:rPr>
        <w:t> </w:t>
      </w:r>
      <w:r w:rsidRPr="00BE098F">
        <w:rPr>
          <w:rFonts w:ascii="Times New Roman" w:eastAsia="Times New Roman" w:hAnsi="Times New Roman"/>
          <w:lang w:val="lt-LT"/>
        </w:rPr>
        <w:t>65</w:t>
      </w:r>
      <w:r w:rsidR="00C9458B">
        <w:rPr>
          <w:rFonts w:ascii="Times New Roman" w:eastAsia="Times New Roman" w:hAnsi="Times New Roman"/>
          <w:lang w:val="lt-LT"/>
        </w:rPr>
        <w:t> </w:t>
      </w:r>
      <w:r w:rsidRPr="00BE098F">
        <w:rPr>
          <w:rFonts w:ascii="Times New Roman" w:eastAsia="Times New Roman" w:hAnsi="Times New Roman"/>
          <w:lang w:val="lt-LT"/>
        </w:rPr>
        <w:t>metų, n</w:t>
      </w:r>
      <w:r w:rsidR="00C9458B">
        <w:rPr>
          <w:rFonts w:ascii="Times New Roman" w:eastAsia="Times New Roman" w:hAnsi="Times New Roman"/>
          <w:lang w:val="lt-LT"/>
        </w:rPr>
        <w:t> </w:t>
      </w:r>
      <w:r w:rsidRPr="00BE098F">
        <w:rPr>
          <w:rFonts w:ascii="Times New Roman" w:eastAsia="Times New Roman" w:hAnsi="Times New Roman"/>
          <w:lang w:val="lt-LT"/>
        </w:rPr>
        <w:t>=</w:t>
      </w:r>
      <w:r w:rsidR="00C9458B">
        <w:rPr>
          <w:rFonts w:ascii="Times New Roman" w:eastAsia="Times New Roman" w:hAnsi="Times New Roman"/>
          <w:lang w:val="lt-LT"/>
        </w:rPr>
        <w:t> </w:t>
      </w:r>
      <w:r w:rsidRPr="00BE098F">
        <w:rPr>
          <w:rFonts w:ascii="Times New Roman" w:eastAsia="Times New Roman" w:hAnsi="Times New Roman"/>
          <w:lang w:val="lt-LT"/>
        </w:rPr>
        <w:t>452, 156 iš jų vartojo vortioksetino) duomenimis, 5</w:t>
      </w:r>
      <w:r w:rsidR="00C9458B">
        <w:rPr>
          <w:rFonts w:ascii="Times New Roman" w:eastAsia="Times New Roman" w:hAnsi="Times New Roman"/>
          <w:lang w:val="lt-LT"/>
        </w:rPr>
        <w:t xml:space="preserve"> </w:t>
      </w:r>
      <w:r w:rsidRPr="00BE098F">
        <w:rPr>
          <w:rFonts w:ascii="Times New Roman" w:eastAsia="Times New Roman" w:hAnsi="Times New Roman"/>
          <w:lang w:val="lt-LT"/>
        </w:rPr>
        <w:t>mg vortioksetino dozė per parą buvo pranašesnė už placebą, atsižvelgiant į bendrųjų balų pagal MADRS ir HAM</w:t>
      </w:r>
      <w:r w:rsidR="00C9458B">
        <w:rPr>
          <w:rFonts w:ascii="Times New Roman" w:eastAsia="Times New Roman" w:hAnsi="Times New Roman"/>
          <w:lang w:val="lt-LT"/>
        </w:rPr>
        <w:noBreakHyphen/>
      </w:r>
      <w:r w:rsidRPr="00BE098F">
        <w:rPr>
          <w:rFonts w:ascii="Times New Roman" w:eastAsia="Times New Roman" w:hAnsi="Times New Roman"/>
          <w:lang w:val="lt-LT"/>
        </w:rPr>
        <w:t>D24 pagerėjimą. Vortioksetino poveikis pagal MADRS skalės bendrąjį įvertinimą, palyginti su placebo poveikiu, 8</w:t>
      </w:r>
      <w:r w:rsidR="00C9458B">
        <w:rPr>
          <w:rFonts w:ascii="Times New Roman" w:eastAsia="Times New Roman" w:hAnsi="Times New Roman"/>
          <w:lang w:val="lt-LT"/>
        </w:rPr>
        <w:t> </w:t>
      </w:r>
      <w:r w:rsidRPr="00BE098F">
        <w:rPr>
          <w:rFonts w:ascii="Times New Roman" w:eastAsia="Times New Roman" w:hAnsi="Times New Roman"/>
          <w:lang w:val="lt-LT"/>
        </w:rPr>
        <w:t>savaitę skyrėsi 4,7</w:t>
      </w:r>
      <w:r w:rsidR="00C9458B">
        <w:rPr>
          <w:rFonts w:ascii="Times New Roman" w:eastAsia="Times New Roman" w:hAnsi="Times New Roman"/>
          <w:lang w:val="lt-LT"/>
        </w:rPr>
        <w:t> </w:t>
      </w:r>
      <w:r w:rsidRPr="00BE098F">
        <w:rPr>
          <w:rFonts w:ascii="Times New Roman" w:eastAsia="Times New Roman" w:hAnsi="Times New Roman"/>
          <w:lang w:val="lt-LT"/>
        </w:rPr>
        <w:t>balo (MMRM analizė).</w:t>
      </w:r>
    </w:p>
    <w:p w14:paraId="7BCD3387" w14:textId="77777777" w:rsidR="00BE098F" w:rsidRDefault="00BE098F" w:rsidP="00E0107B">
      <w:pPr>
        <w:widowControl w:val="0"/>
        <w:autoSpaceDE w:val="0"/>
        <w:autoSpaceDN w:val="0"/>
        <w:adjustRightInd w:val="0"/>
        <w:spacing w:after="0" w:line="240" w:lineRule="auto"/>
        <w:rPr>
          <w:rFonts w:ascii="Times New Roman" w:eastAsia="Times New Roman" w:hAnsi="Times New Roman"/>
          <w:lang w:val="lt-LT"/>
        </w:rPr>
      </w:pPr>
    </w:p>
    <w:p w14:paraId="73CCFE46"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i/>
          <w:iCs/>
          <w:lang w:val="lt-LT"/>
        </w:rPr>
      </w:pPr>
      <w:r w:rsidRPr="00C9458B">
        <w:rPr>
          <w:rFonts w:ascii="Times New Roman" w:eastAsia="Times New Roman" w:hAnsi="Times New Roman"/>
          <w:i/>
          <w:iCs/>
          <w:lang w:val="lt-LT"/>
        </w:rPr>
        <w:t>Pacientai, kuriems pasireiškia sunki depresija ar depresija ir didelio laipsnio nerimo simptomai</w:t>
      </w:r>
    </w:p>
    <w:p w14:paraId="1A43C6A2" w14:textId="41AA578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Vortioksetino veiksmingumas taip pat buvo įrodytas gydant suaugusius sunkia depresija sergančius pacientus (pradinis bendrasis balas pagal MADRS ≥</w:t>
      </w:r>
      <w:r>
        <w:rPr>
          <w:rFonts w:ascii="Times New Roman" w:eastAsia="Times New Roman" w:hAnsi="Times New Roman"/>
          <w:lang w:val="lt-LT"/>
        </w:rPr>
        <w:t> </w:t>
      </w:r>
      <w:r w:rsidRPr="00C9458B">
        <w:rPr>
          <w:rFonts w:ascii="Times New Roman" w:eastAsia="Times New Roman" w:hAnsi="Times New Roman"/>
          <w:lang w:val="lt-LT"/>
        </w:rPr>
        <w:t>30) ir depresija sergančius pacientus su labai išreikštais nerimo simptomais (pradinis bendrasis balas pagal HAM</w:t>
      </w:r>
      <w:r>
        <w:rPr>
          <w:rFonts w:ascii="Times New Roman" w:eastAsia="Times New Roman" w:hAnsi="Times New Roman"/>
          <w:lang w:val="lt-LT"/>
        </w:rPr>
        <w:noBreakHyphen/>
      </w:r>
      <w:r w:rsidRPr="00C9458B">
        <w:rPr>
          <w:rFonts w:ascii="Times New Roman" w:eastAsia="Times New Roman" w:hAnsi="Times New Roman"/>
          <w:lang w:val="lt-LT"/>
        </w:rPr>
        <w:t>A ≥</w:t>
      </w:r>
      <w:r>
        <w:rPr>
          <w:rFonts w:ascii="Times New Roman" w:eastAsia="Times New Roman" w:hAnsi="Times New Roman"/>
          <w:lang w:val="lt-LT"/>
        </w:rPr>
        <w:t> </w:t>
      </w:r>
      <w:r w:rsidRPr="00C9458B">
        <w:rPr>
          <w:rFonts w:ascii="Times New Roman" w:eastAsia="Times New Roman" w:hAnsi="Times New Roman"/>
          <w:lang w:val="lt-LT"/>
        </w:rPr>
        <w:t>20) trumpalaikių tyrimų metu, (MADRS skalės bendrojo įvertinimo skirtumas, palyginti su placebo poveikiu, 6/8</w:t>
      </w:r>
      <w:r>
        <w:rPr>
          <w:rFonts w:ascii="Times New Roman" w:eastAsia="Times New Roman" w:hAnsi="Times New Roman"/>
          <w:lang w:val="lt-LT"/>
        </w:rPr>
        <w:t> </w:t>
      </w:r>
      <w:r w:rsidRPr="00C9458B">
        <w:rPr>
          <w:rFonts w:ascii="Times New Roman" w:eastAsia="Times New Roman" w:hAnsi="Times New Roman"/>
          <w:lang w:val="lt-LT"/>
        </w:rPr>
        <w:t>savaitę skyrėsi, buvo atitinkamai nuo 2,8 iki 7,3</w:t>
      </w:r>
      <w:r>
        <w:rPr>
          <w:rFonts w:ascii="Times New Roman" w:eastAsia="Times New Roman" w:hAnsi="Times New Roman"/>
          <w:lang w:val="lt-LT"/>
        </w:rPr>
        <w:t> </w:t>
      </w:r>
      <w:r w:rsidRPr="00C9458B">
        <w:rPr>
          <w:rFonts w:ascii="Times New Roman" w:eastAsia="Times New Roman" w:hAnsi="Times New Roman"/>
          <w:lang w:val="lt-LT"/>
        </w:rPr>
        <w:t>balo ir nuo 3,6 iki 7,3</w:t>
      </w:r>
      <w:r>
        <w:rPr>
          <w:rFonts w:ascii="Times New Roman" w:eastAsia="Times New Roman" w:hAnsi="Times New Roman"/>
          <w:lang w:val="lt-LT"/>
        </w:rPr>
        <w:t> </w:t>
      </w:r>
      <w:r w:rsidRPr="00C9458B">
        <w:rPr>
          <w:rFonts w:ascii="Times New Roman" w:eastAsia="Times New Roman" w:hAnsi="Times New Roman"/>
          <w:lang w:val="lt-LT"/>
        </w:rPr>
        <w:t>balo (MMRM analizė)). Specifinio senyvų žmonių tyrimo metu vortioksetinas taip pat buvo veiksmingas.</w:t>
      </w:r>
    </w:p>
    <w:p w14:paraId="1EFB8A69"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23EE253A" w14:textId="3527EA6D" w:rsidR="00BE098F" w:rsidRDefault="00C9458B" w:rsidP="00C9458B">
      <w:pPr>
        <w:widowControl w:val="0"/>
        <w:autoSpaceDE w:val="0"/>
        <w:autoSpaceDN w:val="0"/>
        <w:adjustRightInd w:val="0"/>
        <w:spacing w:after="0" w:line="240" w:lineRule="auto"/>
        <w:rPr>
          <w:rFonts w:ascii="Times New Roman" w:eastAsia="Times New Roman" w:hAnsi="Times New Roman"/>
          <w:lang w:val="lt-LT"/>
        </w:rPr>
      </w:pPr>
      <w:proofErr w:type="spellStart"/>
      <w:r w:rsidRPr="00C9458B">
        <w:rPr>
          <w:rFonts w:ascii="Times New Roman" w:eastAsia="Times New Roman" w:hAnsi="Times New Roman"/>
          <w:lang w:val="lt-LT"/>
        </w:rPr>
        <w:t>Antidepresinio</w:t>
      </w:r>
      <w:proofErr w:type="spellEnd"/>
      <w:r w:rsidRPr="00C9458B">
        <w:rPr>
          <w:rFonts w:ascii="Times New Roman" w:eastAsia="Times New Roman" w:hAnsi="Times New Roman"/>
          <w:lang w:val="lt-LT"/>
        </w:rPr>
        <w:t xml:space="preserve"> poveikio palaikymas įrodytas ir šios pacientų populiacijos ilgalaikio atkryčio profilaktikos tyrimo metu.</w:t>
      </w:r>
    </w:p>
    <w:p w14:paraId="130F8FC5" w14:textId="7777777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627A559B" w14:textId="09CD714E" w:rsidR="00C9458B" w:rsidRPr="00C9458B" w:rsidRDefault="00C9458B" w:rsidP="00C9458B">
      <w:pPr>
        <w:widowControl w:val="0"/>
        <w:autoSpaceDE w:val="0"/>
        <w:autoSpaceDN w:val="0"/>
        <w:adjustRightInd w:val="0"/>
        <w:spacing w:after="0" w:line="240" w:lineRule="auto"/>
        <w:rPr>
          <w:rFonts w:ascii="Times New Roman" w:eastAsia="Times New Roman" w:hAnsi="Times New Roman"/>
          <w:i/>
          <w:iCs/>
          <w:lang w:val="lt-LT"/>
        </w:rPr>
      </w:pPr>
      <w:r w:rsidRPr="00C9458B">
        <w:rPr>
          <w:rFonts w:ascii="Times New Roman" w:eastAsia="Times New Roman" w:hAnsi="Times New Roman"/>
          <w:i/>
          <w:iCs/>
          <w:lang w:val="lt-LT"/>
        </w:rPr>
        <w:t xml:space="preserve">Vortioksetino poveikis Skaičių ir simbolių pakeitimo testo (angl. </w:t>
      </w:r>
      <w:proofErr w:type="spellStart"/>
      <w:r w:rsidRPr="00C9458B">
        <w:rPr>
          <w:rFonts w:ascii="Times New Roman" w:eastAsia="Times New Roman" w:hAnsi="Times New Roman"/>
          <w:i/>
          <w:iCs/>
          <w:lang w:val="lt-LT"/>
        </w:rPr>
        <w:t>Digit</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Symbol</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Substitution</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Test</w:t>
      </w:r>
      <w:proofErr w:type="spellEnd"/>
      <w:r w:rsidRPr="00C9458B">
        <w:rPr>
          <w:rFonts w:ascii="Times New Roman" w:eastAsia="Times New Roman" w:hAnsi="Times New Roman"/>
          <w:i/>
          <w:iCs/>
          <w:lang w:val="lt-LT"/>
        </w:rPr>
        <w:t xml:space="preserve">, DSST) ir Kalifornijos San Diego universiteto atlikimu paremto įgūdžių įvertinimo (angl. University </w:t>
      </w:r>
      <w:proofErr w:type="spellStart"/>
      <w:r w:rsidRPr="00C9458B">
        <w:rPr>
          <w:rFonts w:ascii="Times New Roman" w:eastAsia="Times New Roman" w:hAnsi="Times New Roman"/>
          <w:i/>
          <w:iCs/>
          <w:lang w:val="lt-LT"/>
        </w:rPr>
        <w:t>of</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California</w:t>
      </w:r>
      <w:proofErr w:type="spellEnd"/>
      <w:r w:rsidRPr="00C9458B">
        <w:rPr>
          <w:rFonts w:ascii="Times New Roman" w:eastAsia="Times New Roman" w:hAnsi="Times New Roman"/>
          <w:i/>
          <w:iCs/>
          <w:lang w:val="lt-LT"/>
        </w:rPr>
        <w:t xml:space="preserve"> San Diego </w:t>
      </w:r>
      <w:proofErr w:type="spellStart"/>
      <w:r w:rsidRPr="00C9458B">
        <w:rPr>
          <w:rFonts w:ascii="Times New Roman" w:eastAsia="Times New Roman" w:hAnsi="Times New Roman"/>
          <w:i/>
          <w:iCs/>
          <w:lang w:val="lt-LT"/>
        </w:rPr>
        <w:t>Performance-Based</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Skills</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Assessment</w:t>
      </w:r>
      <w:proofErr w:type="spellEnd"/>
      <w:r w:rsidRPr="00C9458B">
        <w:rPr>
          <w:rFonts w:ascii="Times New Roman" w:eastAsia="Times New Roman" w:hAnsi="Times New Roman"/>
          <w:i/>
          <w:iCs/>
          <w:lang w:val="lt-LT"/>
        </w:rPr>
        <w:t xml:space="preserve">, UPSA) (objektyvūs testai) bei Suvokiamo deficito klausimyno (angl. </w:t>
      </w:r>
      <w:proofErr w:type="spellStart"/>
      <w:r w:rsidRPr="00C9458B">
        <w:rPr>
          <w:rFonts w:ascii="Times New Roman" w:eastAsia="Times New Roman" w:hAnsi="Times New Roman"/>
          <w:i/>
          <w:iCs/>
          <w:lang w:val="lt-LT"/>
        </w:rPr>
        <w:t>Perceived</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Deficits</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Questionnaire</w:t>
      </w:r>
      <w:proofErr w:type="spellEnd"/>
      <w:r w:rsidRPr="00C9458B">
        <w:rPr>
          <w:rFonts w:ascii="Times New Roman" w:eastAsia="Times New Roman" w:hAnsi="Times New Roman"/>
          <w:i/>
          <w:iCs/>
          <w:lang w:val="lt-LT"/>
        </w:rPr>
        <w:t xml:space="preserve">, PDQ) ir Kognityvinės bei fizinės funkcijos klausimyno (angl. </w:t>
      </w:r>
      <w:proofErr w:type="spellStart"/>
      <w:r w:rsidRPr="00C9458B">
        <w:rPr>
          <w:rFonts w:ascii="Times New Roman" w:eastAsia="Times New Roman" w:hAnsi="Times New Roman"/>
          <w:i/>
          <w:iCs/>
          <w:lang w:val="lt-LT"/>
        </w:rPr>
        <w:t>Cognitive</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and</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Physical</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Functioning</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Questionnaire</w:t>
      </w:r>
      <w:proofErr w:type="spellEnd"/>
      <w:r w:rsidRPr="00C9458B">
        <w:rPr>
          <w:rFonts w:ascii="Times New Roman" w:eastAsia="Times New Roman" w:hAnsi="Times New Roman"/>
          <w:i/>
          <w:iCs/>
          <w:lang w:val="lt-LT"/>
        </w:rPr>
        <w:t>, CPFQ) (subjektyvūs testai) rezultatams</w:t>
      </w:r>
    </w:p>
    <w:p w14:paraId="7AE8B239" w14:textId="4BBED243"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Vortioksetino (5</w:t>
      </w:r>
      <w:r>
        <w:rPr>
          <w:rFonts w:ascii="Times New Roman" w:eastAsia="Times New Roman" w:hAnsi="Times New Roman"/>
          <w:lang w:val="lt-LT"/>
        </w:rPr>
        <w:noBreakHyphen/>
      </w:r>
      <w:r w:rsidRPr="00C9458B">
        <w:rPr>
          <w:rFonts w:ascii="Times New Roman" w:eastAsia="Times New Roman" w:hAnsi="Times New Roman"/>
          <w:lang w:val="lt-LT"/>
        </w:rPr>
        <w:t>20</w:t>
      </w:r>
      <w:r>
        <w:rPr>
          <w:rFonts w:ascii="Times New Roman" w:eastAsia="Times New Roman" w:hAnsi="Times New Roman"/>
          <w:lang w:val="lt-LT"/>
        </w:rPr>
        <w:t> </w:t>
      </w:r>
      <w:r w:rsidRPr="00C9458B">
        <w:rPr>
          <w:rFonts w:ascii="Times New Roman" w:eastAsia="Times New Roman" w:hAnsi="Times New Roman"/>
          <w:lang w:val="lt-LT"/>
        </w:rPr>
        <w:t>mg paros dozės) veiksmingumas gydant DDS sergančius pacientus buvo tiriamas trumpalaikių, placebu kontroliuotų tyrimų (2</w:t>
      </w:r>
      <w:r>
        <w:rPr>
          <w:rFonts w:ascii="Times New Roman" w:eastAsia="Times New Roman" w:hAnsi="Times New Roman"/>
          <w:lang w:val="lt-LT"/>
        </w:rPr>
        <w:t> </w:t>
      </w:r>
      <w:r w:rsidRPr="00C9458B">
        <w:rPr>
          <w:rFonts w:ascii="Times New Roman" w:eastAsia="Times New Roman" w:hAnsi="Times New Roman"/>
          <w:lang w:val="lt-LT"/>
        </w:rPr>
        <w:t>tyrimai buvo atlikti su suaugusiaisiais, 1 – su senyvais pacientais) metu.</w:t>
      </w:r>
    </w:p>
    <w:p w14:paraId="61331FB5"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05C5D76D" w14:textId="3EECB713"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Vortioksetinas, palyginti su placebu, </w:t>
      </w:r>
      <w:r w:rsidR="000E03BF">
        <w:rPr>
          <w:rFonts w:ascii="Times New Roman" w:eastAsia="Times New Roman" w:hAnsi="Times New Roman"/>
          <w:lang w:val="lt-LT"/>
        </w:rPr>
        <w:t>lėmė</w:t>
      </w:r>
      <w:r w:rsidR="000E03BF" w:rsidRPr="00C9458B">
        <w:rPr>
          <w:rFonts w:ascii="Times New Roman" w:eastAsia="Times New Roman" w:hAnsi="Times New Roman"/>
          <w:lang w:val="lt-LT"/>
        </w:rPr>
        <w:t xml:space="preserve"> </w:t>
      </w:r>
      <w:r w:rsidRPr="00C9458B">
        <w:rPr>
          <w:rFonts w:ascii="Times New Roman" w:eastAsia="Times New Roman" w:hAnsi="Times New Roman"/>
          <w:lang w:val="lt-LT"/>
        </w:rPr>
        <w:t xml:space="preserve">statistiškai reikšmingą poveikį Skaičių ir simbolių pakeitimo testo (angl. </w:t>
      </w:r>
      <w:proofErr w:type="spellStart"/>
      <w:r w:rsidRPr="00C9458B">
        <w:rPr>
          <w:rFonts w:ascii="Times New Roman" w:eastAsia="Times New Roman" w:hAnsi="Times New Roman"/>
          <w:i/>
          <w:iCs/>
          <w:lang w:val="lt-LT"/>
        </w:rPr>
        <w:t>Digit</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Symbol</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Substitution</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Test</w:t>
      </w:r>
      <w:proofErr w:type="spellEnd"/>
      <w:r w:rsidRPr="00C9458B">
        <w:rPr>
          <w:rFonts w:ascii="Times New Roman" w:eastAsia="Times New Roman" w:hAnsi="Times New Roman"/>
          <w:lang w:val="lt-LT"/>
        </w:rPr>
        <w:t>, DSST) įvertinimui: poveikio skirtumas (Δ) buvo nuo 1,75 (p</w:t>
      </w:r>
      <w:r>
        <w:rPr>
          <w:rFonts w:ascii="Times New Roman" w:eastAsia="Times New Roman" w:hAnsi="Times New Roman"/>
          <w:lang w:val="lt-LT"/>
        </w:rPr>
        <w:t> </w:t>
      </w:r>
      <w:r w:rsidRPr="00C9458B">
        <w:rPr>
          <w:rFonts w:ascii="Times New Roman" w:eastAsia="Times New Roman" w:hAnsi="Times New Roman"/>
          <w:lang w:val="lt-LT"/>
        </w:rPr>
        <w:t>=</w:t>
      </w:r>
      <w:r>
        <w:rPr>
          <w:rFonts w:ascii="Times New Roman" w:eastAsia="Times New Roman" w:hAnsi="Times New Roman"/>
          <w:lang w:val="lt-LT"/>
        </w:rPr>
        <w:t> </w:t>
      </w:r>
      <w:r w:rsidRPr="00C9458B">
        <w:rPr>
          <w:rFonts w:ascii="Times New Roman" w:eastAsia="Times New Roman" w:hAnsi="Times New Roman"/>
          <w:lang w:val="lt-LT"/>
        </w:rPr>
        <w:t>0,019) iki 4,26 (p</w:t>
      </w:r>
      <w:r>
        <w:rPr>
          <w:rFonts w:ascii="Times New Roman" w:eastAsia="Times New Roman" w:hAnsi="Times New Roman"/>
          <w:lang w:val="lt-LT"/>
        </w:rPr>
        <w:t> </w:t>
      </w:r>
      <w:r w:rsidRPr="00C9458B">
        <w:rPr>
          <w:rFonts w:ascii="Times New Roman" w:eastAsia="Times New Roman" w:hAnsi="Times New Roman"/>
          <w:lang w:val="lt-LT"/>
        </w:rPr>
        <w:t>&lt;</w:t>
      </w:r>
      <w:r>
        <w:rPr>
          <w:rFonts w:ascii="Times New Roman" w:eastAsia="Times New Roman" w:hAnsi="Times New Roman"/>
          <w:lang w:val="lt-LT"/>
        </w:rPr>
        <w:t> 0</w:t>
      </w:r>
      <w:r w:rsidRPr="00C9458B">
        <w:rPr>
          <w:rFonts w:ascii="Times New Roman" w:eastAsia="Times New Roman" w:hAnsi="Times New Roman"/>
          <w:lang w:val="lt-LT"/>
        </w:rPr>
        <w:t>,0001) 2</w:t>
      </w:r>
      <w:r>
        <w:rPr>
          <w:rFonts w:ascii="Times New Roman" w:eastAsia="Times New Roman" w:hAnsi="Times New Roman"/>
          <w:lang w:val="lt-LT"/>
        </w:rPr>
        <w:noBreakHyphen/>
      </w:r>
      <w:r w:rsidRPr="00C9458B">
        <w:rPr>
          <w:rFonts w:ascii="Times New Roman" w:eastAsia="Times New Roman" w:hAnsi="Times New Roman"/>
          <w:lang w:val="lt-LT"/>
        </w:rPr>
        <w:t>jų su suaugusiaisiais atliktų tyrimų metu ir 2,79 (p</w:t>
      </w:r>
      <w:r>
        <w:rPr>
          <w:rFonts w:ascii="Times New Roman" w:eastAsia="Times New Roman" w:hAnsi="Times New Roman"/>
          <w:lang w:val="lt-LT"/>
        </w:rPr>
        <w:t> </w:t>
      </w:r>
      <w:r w:rsidRPr="00C9458B">
        <w:rPr>
          <w:rFonts w:ascii="Times New Roman" w:eastAsia="Times New Roman" w:hAnsi="Times New Roman"/>
          <w:lang w:val="lt-LT"/>
        </w:rPr>
        <w:t>=</w:t>
      </w:r>
      <w:r>
        <w:rPr>
          <w:rFonts w:ascii="Times New Roman" w:eastAsia="Times New Roman" w:hAnsi="Times New Roman"/>
          <w:lang w:val="lt-LT"/>
        </w:rPr>
        <w:t> </w:t>
      </w:r>
      <w:r w:rsidRPr="00C9458B">
        <w:rPr>
          <w:rFonts w:ascii="Times New Roman" w:eastAsia="Times New Roman" w:hAnsi="Times New Roman"/>
          <w:lang w:val="lt-LT"/>
        </w:rPr>
        <w:t xml:space="preserve">0,023) tyrimo su senyvais pacientais metu. Atlikus visų trijų tyrimų DSST vidutinio tinkamų simbolių skaičiaus pokyčio nuo pradinio rodmens </w:t>
      </w:r>
      <w:proofErr w:type="spellStart"/>
      <w:r w:rsidRPr="00C9458B">
        <w:rPr>
          <w:rFonts w:ascii="Times New Roman" w:eastAsia="Times New Roman" w:hAnsi="Times New Roman"/>
          <w:lang w:val="lt-LT"/>
        </w:rPr>
        <w:t>metaanalizę</w:t>
      </w:r>
      <w:proofErr w:type="spellEnd"/>
      <w:r w:rsidRPr="00C9458B">
        <w:rPr>
          <w:rFonts w:ascii="Times New Roman" w:eastAsia="Times New Roman" w:hAnsi="Times New Roman"/>
          <w:lang w:val="lt-LT"/>
        </w:rPr>
        <w:t xml:space="preserve"> (ANCOVA, LOCF), nustatyta, kad vortioksetino poveikis skyrėsi nuo placebo (p</w:t>
      </w:r>
      <w:r>
        <w:rPr>
          <w:rFonts w:ascii="Times New Roman" w:eastAsia="Times New Roman" w:hAnsi="Times New Roman"/>
          <w:lang w:val="lt-LT"/>
        </w:rPr>
        <w:t> </w:t>
      </w:r>
      <w:r w:rsidRPr="00C9458B">
        <w:rPr>
          <w:rFonts w:ascii="Times New Roman" w:eastAsia="Times New Roman" w:hAnsi="Times New Roman"/>
          <w:lang w:val="lt-LT"/>
        </w:rPr>
        <w:t>&lt;</w:t>
      </w:r>
      <w:r>
        <w:rPr>
          <w:rFonts w:ascii="Times New Roman" w:eastAsia="Times New Roman" w:hAnsi="Times New Roman"/>
          <w:lang w:val="lt-LT"/>
        </w:rPr>
        <w:t> </w:t>
      </w:r>
      <w:r w:rsidRPr="00C9458B">
        <w:rPr>
          <w:rFonts w:ascii="Times New Roman" w:eastAsia="Times New Roman" w:hAnsi="Times New Roman"/>
          <w:lang w:val="lt-LT"/>
        </w:rPr>
        <w:t xml:space="preserve">0,05), o standartizuotas poveikio dydis buvo 0,35. Tų pačių tyrimų </w:t>
      </w:r>
      <w:proofErr w:type="spellStart"/>
      <w:r w:rsidRPr="00C9458B">
        <w:rPr>
          <w:rFonts w:ascii="Times New Roman" w:eastAsia="Times New Roman" w:hAnsi="Times New Roman"/>
          <w:lang w:val="lt-LT"/>
        </w:rPr>
        <w:t>metaanalizės</w:t>
      </w:r>
      <w:proofErr w:type="spellEnd"/>
      <w:r w:rsidRPr="00C9458B">
        <w:rPr>
          <w:rFonts w:ascii="Times New Roman" w:eastAsia="Times New Roman" w:hAnsi="Times New Roman"/>
          <w:lang w:val="lt-LT"/>
        </w:rPr>
        <w:t xml:space="preserve"> metu rezultatus koregavus pagal bendro MADRS skalės įvertinimo pokytį, nustatyta, kad vortioksetino poveikis skyrėsi nuo placebo (p</w:t>
      </w:r>
      <w:r>
        <w:rPr>
          <w:rFonts w:ascii="Times New Roman" w:eastAsia="Times New Roman" w:hAnsi="Times New Roman"/>
          <w:lang w:val="lt-LT"/>
        </w:rPr>
        <w:t> </w:t>
      </w:r>
      <w:r w:rsidRPr="00C9458B">
        <w:rPr>
          <w:rFonts w:ascii="Times New Roman" w:eastAsia="Times New Roman" w:hAnsi="Times New Roman"/>
          <w:lang w:val="lt-LT"/>
        </w:rPr>
        <w:t>&lt;</w:t>
      </w:r>
      <w:r>
        <w:rPr>
          <w:rFonts w:ascii="Times New Roman" w:eastAsia="Times New Roman" w:hAnsi="Times New Roman"/>
          <w:lang w:val="lt-LT"/>
        </w:rPr>
        <w:t> </w:t>
      </w:r>
      <w:r w:rsidRPr="00C9458B">
        <w:rPr>
          <w:rFonts w:ascii="Times New Roman" w:eastAsia="Times New Roman" w:hAnsi="Times New Roman"/>
          <w:lang w:val="lt-LT"/>
        </w:rPr>
        <w:t>0,05), o standartizuotas poveikio dydis buvo 0,24.</w:t>
      </w:r>
    </w:p>
    <w:p w14:paraId="4350B21A" w14:textId="7777777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39DE2F12" w14:textId="27FE7109"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Vieno tyrimo metu vertintas vortioksetino poveikis funkciniam pajėgumui, naudojant Kalifornijos San Diego universiteto atlikimu paremtą įgūdžių įvertinimą (angl. </w:t>
      </w:r>
      <w:r w:rsidRPr="00C9458B">
        <w:rPr>
          <w:rFonts w:ascii="Times New Roman" w:eastAsia="Times New Roman" w:hAnsi="Times New Roman"/>
          <w:i/>
          <w:iCs/>
          <w:lang w:val="lt-LT"/>
        </w:rPr>
        <w:t xml:space="preserve">University </w:t>
      </w:r>
      <w:proofErr w:type="spellStart"/>
      <w:r w:rsidRPr="00C9458B">
        <w:rPr>
          <w:rFonts w:ascii="Times New Roman" w:eastAsia="Times New Roman" w:hAnsi="Times New Roman"/>
          <w:i/>
          <w:iCs/>
          <w:lang w:val="lt-LT"/>
        </w:rPr>
        <w:t>of</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California</w:t>
      </w:r>
      <w:proofErr w:type="spellEnd"/>
      <w:r w:rsidRPr="00C9458B">
        <w:rPr>
          <w:rFonts w:ascii="Times New Roman" w:eastAsia="Times New Roman" w:hAnsi="Times New Roman"/>
          <w:i/>
          <w:iCs/>
          <w:lang w:val="lt-LT"/>
        </w:rPr>
        <w:t xml:space="preserve"> San Diego </w:t>
      </w:r>
      <w:proofErr w:type="spellStart"/>
      <w:r w:rsidRPr="00C9458B">
        <w:rPr>
          <w:rFonts w:ascii="Times New Roman" w:eastAsia="Times New Roman" w:hAnsi="Times New Roman"/>
          <w:i/>
          <w:iCs/>
          <w:lang w:val="lt-LT"/>
        </w:rPr>
        <w:t>Performance-Based</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Skills</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Assessment</w:t>
      </w:r>
      <w:proofErr w:type="spellEnd"/>
      <w:r w:rsidRPr="00C9458B">
        <w:rPr>
          <w:rFonts w:ascii="Times New Roman" w:eastAsia="Times New Roman" w:hAnsi="Times New Roman"/>
          <w:i/>
          <w:iCs/>
          <w:lang w:val="lt-LT"/>
        </w:rPr>
        <w:t xml:space="preserve">, </w:t>
      </w:r>
      <w:r w:rsidRPr="00C9458B">
        <w:rPr>
          <w:rFonts w:ascii="Times New Roman" w:eastAsia="Times New Roman" w:hAnsi="Times New Roman"/>
          <w:lang w:val="lt-LT"/>
        </w:rPr>
        <w:t>UPSA). Vortioksetino poveikis statistiškai reikšmingai skyrėsi nuo placebo poveikio: gauti 8,0</w:t>
      </w:r>
      <w:r>
        <w:rPr>
          <w:rFonts w:ascii="Times New Roman" w:eastAsia="Times New Roman" w:hAnsi="Times New Roman"/>
          <w:lang w:val="lt-LT"/>
        </w:rPr>
        <w:t> </w:t>
      </w:r>
      <w:r w:rsidRPr="00C9458B">
        <w:rPr>
          <w:rFonts w:ascii="Times New Roman" w:eastAsia="Times New Roman" w:hAnsi="Times New Roman"/>
          <w:lang w:val="lt-LT"/>
        </w:rPr>
        <w:t>balai vartojant vortioksetino ir 5,1</w:t>
      </w:r>
      <w:r>
        <w:rPr>
          <w:rFonts w:ascii="Times New Roman" w:eastAsia="Times New Roman" w:hAnsi="Times New Roman"/>
          <w:lang w:val="lt-LT"/>
        </w:rPr>
        <w:t> </w:t>
      </w:r>
      <w:r w:rsidRPr="00C9458B">
        <w:rPr>
          <w:rFonts w:ascii="Times New Roman" w:eastAsia="Times New Roman" w:hAnsi="Times New Roman"/>
          <w:lang w:val="lt-LT"/>
        </w:rPr>
        <w:t>balo vartojant placebo (p</w:t>
      </w:r>
      <w:r>
        <w:rPr>
          <w:rFonts w:ascii="Times New Roman" w:eastAsia="Times New Roman" w:hAnsi="Times New Roman"/>
          <w:lang w:val="lt-LT"/>
        </w:rPr>
        <w:t> </w:t>
      </w:r>
      <w:r w:rsidRPr="00C9458B">
        <w:rPr>
          <w:rFonts w:ascii="Times New Roman" w:eastAsia="Times New Roman" w:hAnsi="Times New Roman"/>
          <w:lang w:val="lt-LT"/>
        </w:rPr>
        <w:t>=</w:t>
      </w:r>
      <w:r>
        <w:rPr>
          <w:rFonts w:ascii="Times New Roman" w:eastAsia="Times New Roman" w:hAnsi="Times New Roman"/>
          <w:lang w:val="lt-LT"/>
        </w:rPr>
        <w:t> </w:t>
      </w:r>
      <w:r w:rsidRPr="00C9458B">
        <w:rPr>
          <w:rFonts w:ascii="Times New Roman" w:eastAsia="Times New Roman" w:hAnsi="Times New Roman"/>
          <w:lang w:val="lt-LT"/>
        </w:rPr>
        <w:t xml:space="preserve">0,0003). </w:t>
      </w:r>
    </w:p>
    <w:p w14:paraId="1880F50C"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1636EA24" w14:textId="1A38365C"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Vieno tyrimo metu vortioksetinas, palyginti su placebu, </w:t>
      </w:r>
      <w:r w:rsidR="000E03BF">
        <w:rPr>
          <w:rFonts w:ascii="Times New Roman" w:eastAsia="Times New Roman" w:hAnsi="Times New Roman"/>
          <w:lang w:val="lt-LT"/>
        </w:rPr>
        <w:t>lėmė</w:t>
      </w:r>
      <w:r w:rsidR="000E03BF" w:rsidRPr="00C9458B">
        <w:rPr>
          <w:rFonts w:ascii="Times New Roman" w:eastAsia="Times New Roman" w:hAnsi="Times New Roman"/>
          <w:lang w:val="lt-LT"/>
        </w:rPr>
        <w:t xml:space="preserve"> </w:t>
      </w:r>
      <w:r w:rsidRPr="00C9458B">
        <w:rPr>
          <w:rFonts w:ascii="Times New Roman" w:eastAsia="Times New Roman" w:hAnsi="Times New Roman"/>
          <w:lang w:val="lt-LT"/>
        </w:rPr>
        <w:t>stipresnį poveikį subjektyvių testų rezultatams, atliekant Suvokiamo deficito klausimyno įvertinimą (-14,6, vartojant vortioksetino, ir -10,5, vartojant placebo (p</w:t>
      </w:r>
      <w:r>
        <w:rPr>
          <w:rFonts w:ascii="Times New Roman" w:eastAsia="Times New Roman" w:hAnsi="Times New Roman"/>
          <w:lang w:val="lt-LT"/>
        </w:rPr>
        <w:t> </w:t>
      </w:r>
      <w:r w:rsidRPr="00C9458B">
        <w:rPr>
          <w:rFonts w:ascii="Times New Roman" w:eastAsia="Times New Roman" w:hAnsi="Times New Roman"/>
          <w:lang w:val="lt-LT"/>
        </w:rPr>
        <w:t>=</w:t>
      </w:r>
      <w:r>
        <w:rPr>
          <w:rFonts w:ascii="Times New Roman" w:eastAsia="Times New Roman" w:hAnsi="Times New Roman"/>
          <w:lang w:val="lt-LT"/>
        </w:rPr>
        <w:t> </w:t>
      </w:r>
      <w:r w:rsidRPr="00C9458B">
        <w:rPr>
          <w:rFonts w:ascii="Times New Roman" w:eastAsia="Times New Roman" w:hAnsi="Times New Roman"/>
          <w:lang w:val="lt-LT"/>
        </w:rPr>
        <w:t>0,002)). Vortioksetino poveikis nesiskyrė nuo placebo poveikio subjektyvių testų rezultatams, atliekant Kognityvinės bei fizinės funkcijos klausimyno įvertinimą (-8,1, vartojant vortioksetino, ir -6,9, vartojant placebo (p</w:t>
      </w:r>
      <w:r>
        <w:rPr>
          <w:rFonts w:ascii="Times New Roman" w:eastAsia="Times New Roman" w:hAnsi="Times New Roman"/>
          <w:lang w:val="lt-LT"/>
        </w:rPr>
        <w:t> </w:t>
      </w:r>
      <w:r w:rsidRPr="00C9458B">
        <w:rPr>
          <w:rFonts w:ascii="Times New Roman" w:eastAsia="Times New Roman" w:hAnsi="Times New Roman"/>
          <w:lang w:val="lt-LT"/>
        </w:rPr>
        <w:t>=</w:t>
      </w:r>
      <w:r>
        <w:rPr>
          <w:rFonts w:ascii="Times New Roman" w:eastAsia="Times New Roman" w:hAnsi="Times New Roman"/>
          <w:lang w:val="lt-LT"/>
        </w:rPr>
        <w:t> </w:t>
      </w:r>
      <w:r w:rsidRPr="00C9458B">
        <w:rPr>
          <w:rFonts w:ascii="Times New Roman" w:eastAsia="Times New Roman" w:hAnsi="Times New Roman"/>
          <w:lang w:val="lt-LT"/>
        </w:rPr>
        <w:t>0,086)).</w:t>
      </w:r>
    </w:p>
    <w:p w14:paraId="7908071D" w14:textId="7777777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417D2DEF"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i/>
          <w:iCs/>
          <w:lang w:val="lt-LT"/>
        </w:rPr>
      </w:pPr>
      <w:r w:rsidRPr="00C9458B">
        <w:rPr>
          <w:rFonts w:ascii="Times New Roman" w:eastAsia="Times New Roman" w:hAnsi="Times New Roman"/>
          <w:i/>
          <w:iCs/>
          <w:lang w:val="lt-LT"/>
        </w:rPr>
        <w:t>Toleravimas ir saugumas</w:t>
      </w:r>
    </w:p>
    <w:p w14:paraId="7A581172" w14:textId="695E2075"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Vortioksetino saugumas ir toleravimas buvo įrodyti trumpalaikių ir ilgalaikių tyrimų metu vartojant nuo 5</w:t>
      </w:r>
      <w:r>
        <w:rPr>
          <w:rFonts w:ascii="Times New Roman" w:eastAsia="Times New Roman" w:hAnsi="Times New Roman"/>
          <w:lang w:val="lt-LT"/>
        </w:rPr>
        <w:t> </w:t>
      </w:r>
      <w:r w:rsidRPr="00C9458B">
        <w:rPr>
          <w:rFonts w:ascii="Times New Roman" w:eastAsia="Times New Roman" w:hAnsi="Times New Roman"/>
          <w:lang w:val="lt-LT"/>
        </w:rPr>
        <w:t>mg iki 20</w:t>
      </w:r>
      <w:r>
        <w:rPr>
          <w:rFonts w:ascii="Times New Roman" w:eastAsia="Times New Roman" w:hAnsi="Times New Roman"/>
          <w:lang w:val="lt-LT"/>
        </w:rPr>
        <w:t> </w:t>
      </w:r>
      <w:r w:rsidRPr="00C9458B">
        <w:rPr>
          <w:rFonts w:ascii="Times New Roman" w:eastAsia="Times New Roman" w:hAnsi="Times New Roman"/>
          <w:lang w:val="lt-LT"/>
        </w:rPr>
        <w:t>mg dozes per parą. Daugiau informacijos apie nepageidaujamą poveikį žr. 4.8 skyriuje.</w:t>
      </w:r>
    </w:p>
    <w:p w14:paraId="1327D9C3"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1FA24AA3" w14:textId="14CF1BAA"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Vortioksetinas nedažnino nemigos ir </w:t>
      </w:r>
      <w:r w:rsidR="00156B6A">
        <w:rPr>
          <w:rFonts w:ascii="Times New Roman" w:eastAsia="Times New Roman" w:hAnsi="Times New Roman"/>
          <w:lang w:val="lt-LT"/>
        </w:rPr>
        <w:t>mieguistumo (</w:t>
      </w:r>
      <w:proofErr w:type="spellStart"/>
      <w:r w:rsidRPr="00C9458B">
        <w:rPr>
          <w:rFonts w:ascii="Times New Roman" w:eastAsia="Times New Roman" w:hAnsi="Times New Roman"/>
          <w:lang w:val="lt-LT"/>
        </w:rPr>
        <w:t>somnolencijos</w:t>
      </w:r>
      <w:proofErr w:type="spellEnd"/>
      <w:r w:rsidR="00156B6A">
        <w:rPr>
          <w:rFonts w:ascii="Times New Roman" w:eastAsia="Times New Roman" w:hAnsi="Times New Roman"/>
          <w:lang w:val="lt-LT"/>
        </w:rPr>
        <w:t>)</w:t>
      </w:r>
      <w:r w:rsidRPr="00C9458B">
        <w:rPr>
          <w:rFonts w:ascii="Times New Roman" w:eastAsia="Times New Roman" w:hAnsi="Times New Roman"/>
          <w:lang w:val="lt-LT"/>
        </w:rPr>
        <w:t>, palyginti su placebu.</w:t>
      </w:r>
    </w:p>
    <w:p w14:paraId="0DF41C72"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30160B62" w14:textId="31851C69"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Klinikinių trumpalaikių ir ilgalaikių placebu kontroliuojamųjų tyrimų duomenimis, galimi nutraukimo </w:t>
      </w:r>
      <w:r w:rsidRPr="00C9458B">
        <w:rPr>
          <w:rFonts w:ascii="Times New Roman" w:eastAsia="Times New Roman" w:hAnsi="Times New Roman"/>
          <w:lang w:val="lt-LT"/>
        </w:rPr>
        <w:lastRenderedPageBreak/>
        <w:t>simptomai buvo išsamiai ištirti, staigiai nutraukus gydymą vortioksetinu. Kliniškai reikšmingų nutraukimo simptomų dažnio ar pobūdžio skirtumų, palyginti su placebu, nei po trumpalaikio (6</w:t>
      </w:r>
      <w:r>
        <w:rPr>
          <w:rFonts w:ascii="Times New Roman" w:eastAsia="Times New Roman" w:hAnsi="Times New Roman"/>
          <w:lang w:val="lt-LT"/>
        </w:rPr>
        <w:noBreakHyphen/>
      </w:r>
      <w:r w:rsidRPr="00C9458B">
        <w:rPr>
          <w:rFonts w:ascii="Times New Roman" w:eastAsia="Times New Roman" w:hAnsi="Times New Roman"/>
          <w:lang w:val="lt-LT"/>
        </w:rPr>
        <w:t>12</w:t>
      </w:r>
      <w:r>
        <w:rPr>
          <w:rFonts w:ascii="Times New Roman" w:eastAsia="Times New Roman" w:hAnsi="Times New Roman"/>
          <w:lang w:val="lt-LT"/>
        </w:rPr>
        <w:t> </w:t>
      </w:r>
      <w:r w:rsidRPr="00C9458B">
        <w:rPr>
          <w:rFonts w:ascii="Times New Roman" w:eastAsia="Times New Roman" w:hAnsi="Times New Roman"/>
          <w:lang w:val="lt-LT"/>
        </w:rPr>
        <w:t>savaičių), nei po ilgalaikio (24</w:t>
      </w:r>
      <w:r>
        <w:rPr>
          <w:rFonts w:ascii="Times New Roman" w:eastAsia="Times New Roman" w:hAnsi="Times New Roman"/>
          <w:lang w:val="lt-LT"/>
        </w:rPr>
        <w:noBreakHyphen/>
      </w:r>
      <w:r w:rsidRPr="00C9458B">
        <w:rPr>
          <w:rFonts w:ascii="Times New Roman" w:eastAsia="Times New Roman" w:hAnsi="Times New Roman"/>
          <w:lang w:val="lt-LT"/>
        </w:rPr>
        <w:t>64</w:t>
      </w:r>
      <w:r>
        <w:rPr>
          <w:rFonts w:ascii="Times New Roman" w:eastAsia="Times New Roman" w:hAnsi="Times New Roman"/>
          <w:lang w:val="lt-LT"/>
        </w:rPr>
        <w:t> </w:t>
      </w:r>
      <w:r w:rsidRPr="00C9458B">
        <w:rPr>
          <w:rFonts w:ascii="Times New Roman" w:eastAsia="Times New Roman" w:hAnsi="Times New Roman"/>
          <w:lang w:val="lt-LT"/>
        </w:rPr>
        <w:t>savaičių) gydymo vortioksetinu nebuvo.</w:t>
      </w:r>
    </w:p>
    <w:p w14:paraId="3C18A6C8"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324EEC34" w14:textId="512B7474"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Pačių pacientų pranešimų apie nepageidaujamus lytinės funkcijos sutrikimus dažnis klinikinių trumpalaikių ir ilgalaikių vortioksetino tyrimų buvo mažas ir panašus į placebo. Tyrimų, kurių metu buvo naudojama Arizonos lytinių patirčių skalė [angl., </w:t>
      </w:r>
      <w:proofErr w:type="spellStart"/>
      <w:r w:rsidRPr="00C9458B">
        <w:rPr>
          <w:rFonts w:ascii="Times New Roman" w:eastAsia="Times New Roman" w:hAnsi="Times New Roman"/>
          <w:i/>
          <w:iCs/>
          <w:lang w:val="lt-LT"/>
        </w:rPr>
        <w:t>the</w:t>
      </w:r>
      <w:proofErr w:type="spellEnd"/>
      <w:r w:rsidRPr="00C9458B">
        <w:rPr>
          <w:rFonts w:ascii="Times New Roman" w:eastAsia="Times New Roman" w:hAnsi="Times New Roman"/>
          <w:i/>
          <w:iCs/>
          <w:lang w:val="lt-LT"/>
        </w:rPr>
        <w:t xml:space="preserve"> Arizona </w:t>
      </w:r>
      <w:proofErr w:type="spellStart"/>
      <w:r w:rsidRPr="00C9458B">
        <w:rPr>
          <w:rFonts w:ascii="Times New Roman" w:eastAsia="Times New Roman" w:hAnsi="Times New Roman"/>
          <w:i/>
          <w:iCs/>
          <w:lang w:val="lt-LT"/>
        </w:rPr>
        <w:t>Sexual</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Experience</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Scale</w:t>
      </w:r>
      <w:proofErr w:type="spellEnd"/>
      <w:r w:rsidRPr="00C9458B">
        <w:rPr>
          <w:rFonts w:ascii="Times New Roman" w:eastAsia="Times New Roman" w:hAnsi="Times New Roman"/>
          <w:lang w:val="lt-LT"/>
        </w:rPr>
        <w:t xml:space="preserve"> (ASEX)], atsižvelgiant į lytinės funkcijos sutrikimų simptomus vartojant 5</w:t>
      </w:r>
      <w:r>
        <w:rPr>
          <w:rFonts w:ascii="Times New Roman" w:eastAsia="Times New Roman" w:hAnsi="Times New Roman"/>
          <w:lang w:val="lt-LT"/>
        </w:rPr>
        <w:noBreakHyphen/>
      </w:r>
      <w:r w:rsidRPr="00C9458B">
        <w:rPr>
          <w:rFonts w:ascii="Times New Roman" w:eastAsia="Times New Roman" w:hAnsi="Times New Roman"/>
          <w:lang w:val="lt-LT"/>
        </w:rPr>
        <w:t>15</w:t>
      </w:r>
      <w:r>
        <w:rPr>
          <w:rFonts w:ascii="Times New Roman" w:eastAsia="Times New Roman" w:hAnsi="Times New Roman"/>
          <w:lang w:val="lt-LT"/>
        </w:rPr>
        <w:t> </w:t>
      </w:r>
      <w:r w:rsidRPr="00C9458B">
        <w:rPr>
          <w:rFonts w:ascii="Times New Roman" w:eastAsia="Times New Roman" w:hAnsi="Times New Roman"/>
          <w:lang w:val="lt-LT"/>
        </w:rPr>
        <w:t xml:space="preserve">mg vortioksetino paros dozes, duomenimis, gydymo sukeltų lytinės funkcijos sutrikimų [angl., </w:t>
      </w:r>
      <w:proofErr w:type="spellStart"/>
      <w:r w:rsidRPr="00C9458B">
        <w:rPr>
          <w:rFonts w:ascii="Times New Roman" w:eastAsia="Times New Roman" w:hAnsi="Times New Roman"/>
          <w:i/>
          <w:iCs/>
          <w:lang w:val="lt-LT"/>
        </w:rPr>
        <w:t>the</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treatment-emergent</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sexual</w:t>
      </w:r>
      <w:proofErr w:type="spellEnd"/>
      <w:r w:rsidRPr="00C9458B">
        <w:rPr>
          <w:rFonts w:ascii="Times New Roman" w:eastAsia="Times New Roman" w:hAnsi="Times New Roman"/>
          <w:i/>
          <w:iCs/>
          <w:lang w:val="lt-LT"/>
        </w:rPr>
        <w:t xml:space="preserve"> </w:t>
      </w:r>
      <w:proofErr w:type="spellStart"/>
      <w:r w:rsidRPr="00C9458B">
        <w:rPr>
          <w:rFonts w:ascii="Times New Roman" w:eastAsia="Times New Roman" w:hAnsi="Times New Roman"/>
          <w:i/>
          <w:iCs/>
          <w:lang w:val="lt-LT"/>
        </w:rPr>
        <w:t>dysfunction</w:t>
      </w:r>
      <w:proofErr w:type="spellEnd"/>
      <w:r w:rsidRPr="00C9458B">
        <w:rPr>
          <w:rFonts w:ascii="Times New Roman" w:eastAsia="Times New Roman" w:hAnsi="Times New Roman"/>
          <w:lang w:val="lt-LT"/>
        </w:rPr>
        <w:t xml:space="preserve"> (TESD)] dažnis ir ASEX bendrasis balas kliniškai reikšmingai nesiskyrė nuo placebo. Vartojant 20 mg paros dozę, TESD dažnis buvo panašus į būnantį vartojant placebo (dažnio skirtumas 14,2</w:t>
      </w:r>
      <w:r>
        <w:rPr>
          <w:rFonts w:ascii="Times New Roman" w:eastAsia="Times New Roman" w:hAnsi="Times New Roman"/>
          <w:lang w:val="lt-LT"/>
        </w:rPr>
        <w:t> </w:t>
      </w:r>
      <w:r w:rsidRPr="00C9458B">
        <w:rPr>
          <w:rFonts w:ascii="Times New Roman" w:eastAsia="Times New Roman" w:hAnsi="Times New Roman"/>
          <w:lang w:val="lt-LT"/>
        </w:rPr>
        <w:t>%, 95</w:t>
      </w:r>
      <w:r>
        <w:rPr>
          <w:rFonts w:ascii="Times New Roman" w:eastAsia="Times New Roman" w:hAnsi="Times New Roman"/>
          <w:lang w:val="lt-LT"/>
        </w:rPr>
        <w:t> </w:t>
      </w:r>
      <w:r w:rsidRPr="00C9458B">
        <w:rPr>
          <w:rFonts w:ascii="Times New Roman" w:eastAsia="Times New Roman" w:hAnsi="Times New Roman"/>
          <w:lang w:val="lt-LT"/>
        </w:rPr>
        <w:t>% PI [1,4, 270]).</w:t>
      </w:r>
    </w:p>
    <w:p w14:paraId="2D1D1361" w14:textId="7777777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016C70DD" w14:textId="53E497A1"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Vortioksetino poveikis lytinei funkcijai buvo toliau tirtas 8</w:t>
      </w:r>
      <w:r>
        <w:rPr>
          <w:rFonts w:ascii="Times New Roman" w:eastAsia="Times New Roman" w:hAnsi="Times New Roman"/>
          <w:lang w:val="lt-LT"/>
        </w:rPr>
        <w:t> s</w:t>
      </w:r>
      <w:r w:rsidRPr="00C9458B">
        <w:rPr>
          <w:rFonts w:ascii="Times New Roman" w:eastAsia="Times New Roman" w:hAnsi="Times New Roman"/>
          <w:lang w:val="lt-LT"/>
        </w:rPr>
        <w:t>avaičių trukmės, dvigubai koduotame, lanksči</w:t>
      </w:r>
      <w:r w:rsidR="000F5670">
        <w:rPr>
          <w:rFonts w:ascii="Times New Roman" w:eastAsia="Times New Roman" w:hAnsi="Times New Roman"/>
          <w:lang w:val="lt-LT"/>
        </w:rPr>
        <w:t>ų</w:t>
      </w:r>
      <w:r w:rsidRPr="00C9458B">
        <w:rPr>
          <w:rFonts w:ascii="Times New Roman" w:eastAsia="Times New Roman" w:hAnsi="Times New Roman"/>
          <w:lang w:val="lt-LT"/>
        </w:rPr>
        <w:t xml:space="preserve"> doz</w:t>
      </w:r>
      <w:r w:rsidR="00906DD8">
        <w:rPr>
          <w:rFonts w:ascii="Times New Roman" w:eastAsia="Times New Roman" w:hAnsi="Times New Roman"/>
          <w:lang w:val="lt-LT"/>
        </w:rPr>
        <w:t>i</w:t>
      </w:r>
      <w:r w:rsidR="000F5670">
        <w:rPr>
          <w:rFonts w:ascii="Times New Roman" w:eastAsia="Times New Roman" w:hAnsi="Times New Roman"/>
          <w:lang w:val="lt-LT"/>
        </w:rPr>
        <w:t>ų</w:t>
      </w:r>
      <w:r w:rsidRPr="00C9458B">
        <w:rPr>
          <w:rFonts w:ascii="Times New Roman" w:eastAsia="Times New Roman" w:hAnsi="Times New Roman"/>
          <w:lang w:val="lt-LT"/>
        </w:rPr>
        <w:t xml:space="preserve">, palyginimo su </w:t>
      </w:r>
      <w:proofErr w:type="spellStart"/>
      <w:r w:rsidRPr="00C9458B">
        <w:rPr>
          <w:rFonts w:ascii="Times New Roman" w:eastAsia="Times New Roman" w:hAnsi="Times New Roman"/>
          <w:lang w:val="lt-LT"/>
        </w:rPr>
        <w:t>escitalopramu</w:t>
      </w:r>
      <w:proofErr w:type="spellEnd"/>
      <w:r w:rsidRPr="00C9458B">
        <w:rPr>
          <w:rFonts w:ascii="Times New Roman" w:eastAsia="Times New Roman" w:hAnsi="Times New Roman"/>
          <w:lang w:val="lt-LT"/>
        </w:rPr>
        <w:t xml:space="preserve"> tyrime (n</w:t>
      </w:r>
      <w:r>
        <w:rPr>
          <w:rFonts w:ascii="Times New Roman" w:eastAsia="Times New Roman" w:hAnsi="Times New Roman"/>
          <w:lang w:val="lt-LT"/>
        </w:rPr>
        <w:t> </w:t>
      </w:r>
      <w:r w:rsidRPr="00C9458B">
        <w:rPr>
          <w:rFonts w:ascii="Times New Roman" w:eastAsia="Times New Roman" w:hAnsi="Times New Roman"/>
          <w:lang w:val="lt-LT"/>
        </w:rPr>
        <w:t>=</w:t>
      </w:r>
      <w:r>
        <w:rPr>
          <w:rFonts w:ascii="Times New Roman" w:eastAsia="Times New Roman" w:hAnsi="Times New Roman"/>
          <w:lang w:val="lt-LT"/>
        </w:rPr>
        <w:t> </w:t>
      </w:r>
      <w:r w:rsidRPr="00C9458B">
        <w:rPr>
          <w:rFonts w:ascii="Times New Roman" w:eastAsia="Times New Roman" w:hAnsi="Times New Roman"/>
          <w:lang w:val="lt-LT"/>
        </w:rPr>
        <w:t>424) pacientams, ne mažiau kaip 6</w:t>
      </w:r>
      <w:r>
        <w:rPr>
          <w:rFonts w:ascii="Times New Roman" w:eastAsia="Times New Roman" w:hAnsi="Times New Roman"/>
          <w:lang w:val="lt-LT"/>
        </w:rPr>
        <w:t> </w:t>
      </w:r>
      <w:r w:rsidRPr="00C9458B">
        <w:rPr>
          <w:rFonts w:ascii="Times New Roman" w:eastAsia="Times New Roman" w:hAnsi="Times New Roman"/>
          <w:lang w:val="lt-LT"/>
        </w:rPr>
        <w:t>savaites gydytiems SSRI (</w:t>
      </w:r>
      <w:proofErr w:type="spellStart"/>
      <w:r w:rsidRPr="00C9458B">
        <w:rPr>
          <w:rFonts w:ascii="Times New Roman" w:eastAsia="Times New Roman" w:hAnsi="Times New Roman"/>
          <w:lang w:val="lt-LT"/>
        </w:rPr>
        <w:t>citalopramu</w:t>
      </w:r>
      <w:proofErr w:type="spellEnd"/>
      <w:r w:rsidRPr="00C9458B">
        <w:rPr>
          <w:rFonts w:ascii="Times New Roman" w:eastAsia="Times New Roman" w:hAnsi="Times New Roman"/>
          <w:lang w:val="lt-LT"/>
        </w:rPr>
        <w:t xml:space="preserve">, </w:t>
      </w:r>
      <w:proofErr w:type="spellStart"/>
      <w:r w:rsidRPr="00C9458B">
        <w:rPr>
          <w:rFonts w:ascii="Times New Roman" w:eastAsia="Times New Roman" w:hAnsi="Times New Roman"/>
          <w:lang w:val="lt-LT"/>
        </w:rPr>
        <w:t>paroksetinu</w:t>
      </w:r>
      <w:proofErr w:type="spellEnd"/>
      <w:r w:rsidRPr="00C9458B">
        <w:rPr>
          <w:rFonts w:ascii="Times New Roman" w:eastAsia="Times New Roman" w:hAnsi="Times New Roman"/>
          <w:lang w:val="lt-LT"/>
        </w:rPr>
        <w:t xml:space="preserve"> arba </w:t>
      </w:r>
      <w:proofErr w:type="spellStart"/>
      <w:r w:rsidRPr="00C9458B">
        <w:rPr>
          <w:rFonts w:ascii="Times New Roman" w:eastAsia="Times New Roman" w:hAnsi="Times New Roman"/>
          <w:lang w:val="lt-LT"/>
        </w:rPr>
        <w:t>sertralinu</w:t>
      </w:r>
      <w:proofErr w:type="spellEnd"/>
      <w:r w:rsidRPr="00C9458B">
        <w:rPr>
          <w:rFonts w:ascii="Times New Roman" w:eastAsia="Times New Roman" w:hAnsi="Times New Roman"/>
          <w:lang w:val="lt-LT"/>
        </w:rPr>
        <w:t>), kuriems pasireiškė nesunkių depresijos simptomų (pradinis CGI</w:t>
      </w:r>
      <w:r>
        <w:rPr>
          <w:rFonts w:ascii="Times New Roman" w:eastAsia="Times New Roman" w:hAnsi="Times New Roman"/>
          <w:lang w:val="lt-LT"/>
        </w:rPr>
        <w:noBreakHyphen/>
      </w:r>
      <w:r w:rsidRPr="00C9458B">
        <w:rPr>
          <w:rFonts w:ascii="Times New Roman" w:eastAsia="Times New Roman" w:hAnsi="Times New Roman"/>
          <w:lang w:val="lt-LT"/>
        </w:rPr>
        <w:t>S įvertinimo balas ≤</w:t>
      </w:r>
      <w:r>
        <w:rPr>
          <w:rFonts w:ascii="Times New Roman" w:eastAsia="Times New Roman" w:hAnsi="Times New Roman"/>
          <w:lang w:val="lt-LT"/>
        </w:rPr>
        <w:t> </w:t>
      </w:r>
      <w:r w:rsidRPr="00C9458B">
        <w:rPr>
          <w:rFonts w:ascii="Times New Roman" w:eastAsia="Times New Roman" w:hAnsi="Times New Roman"/>
          <w:lang w:val="lt-LT"/>
        </w:rPr>
        <w:t>3) ir ankstesnio gydymo SSRI sukeltas TESD. Nustatyta, kad 10</w:t>
      </w:r>
      <w:r w:rsidR="00947D6E">
        <w:rPr>
          <w:rFonts w:ascii="Times New Roman" w:eastAsia="Times New Roman" w:hAnsi="Times New Roman"/>
          <w:lang w:val="lt-LT"/>
        </w:rPr>
        <w:noBreakHyphen/>
      </w:r>
      <w:r w:rsidRPr="00C9458B">
        <w:rPr>
          <w:rFonts w:ascii="Times New Roman" w:eastAsia="Times New Roman" w:hAnsi="Times New Roman"/>
          <w:lang w:val="lt-LT"/>
        </w:rPr>
        <w:t>20</w:t>
      </w:r>
      <w:r w:rsidR="00947D6E">
        <w:rPr>
          <w:rFonts w:ascii="Times New Roman" w:eastAsia="Times New Roman" w:hAnsi="Times New Roman"/>
          <w:lang w:val="lt-LT"/>
        </w:rPr>
        <w:t> </w:t>
      </w:r>
      <w:r w:rsidRPr="00C9458B">
        <w:rPr>
          <w:rFonts w:ascii="Times New Roman" w:eastAsia="Times New Roman" w:hAnsi="Times New Roman"/>
          <w:lang w:val="lt-LT"/>
        </w:rPr>
        <w:t xml:space="preserve">mg vortioksetino dozė per parą </w:t>
      </w:r>
      <w:r w:rsidR="000E03BF">
        <w:rPr>
          <w:rFonts w:ascii="Times New Roman" w:eastAsia="Times New Roman" w:hAnsi="Times New Roman"/>
          <w:lang w:val="lt-LT"/>
        </w:rPr>
        <w:t>lėmė</w:t>
      </w:r>
      <w:r w:rsidR="000E03BF" w:rsidRPr="00C9458B">
        <w:rPr>
          <w:rFonts w:ascii="Times New Roman" w:eastAsia="Times New Roman" w:hAnsi="Times New Roman"/>
          <w:lang w:val="lt-LT"/>
        </w:rPr>
        <w:t xml:space="preserve"> </w:t>
      </w:r>
      <w:r w:rsidRPr="00C9458B">
        <w:rPr>
          <w:rFonts w:ascii="Times New Roman" w:eastAsia="Times New Roman" w:hAnsi="Times New Roman"/>
          <w:lang w:val="lt-LT"/>
        </w:rPr>
        <w:t>statistiškai reikšmingai mažiau TESD nei 10</w:t>
      </w:r>
      <w:r w:rsidR="00947D6E">
        <w:rPr>
          <w:rFonts w:ascii="Times New Roman" w:eastAsia="Times New Roman" w:hAnsi="Times New Roman"/>
          <w:lang w:val="lt-LT"/>
        </w:rPr>
        <w:noBreakHyphen/>
      </w:r>
      <w:r w:rsidRPr="00C9458B">
        <w:rPr>
          <w:rFonts w:ascii="Times New Roman" w:eastAsia="Times New Roman" w:hAnsi="Times New Roman"/>
          <w:lang w:val="lt-LT"/>
        </w:rPr>
        <w:t>20</w:t>
      </w:r>
      <w:r w:rsidR="00947D6E">
        <w:rPr>
          <w:rFonts w:ascii="Times New Roman" w:eastAsia="Times New Roman" w:hAnsi="Times New Roman"/>
          <w:lang w:val="lt-LT"/>
        </w:rPr>
        <w:t> </w:t>
      </w:r>
      <w:r w:rsidRPr="00C9458B">
        <w:rPr>
          <w:rFonts w:ascii="Times New Roman" w:eastAsia="Times New Roman" w:hAnsi="Times New Roman"/>
          <w:lang w:val="lt-LT"/>
        </w:rPr>
        <w:t xml:space="preserve">mg </w:t>
      </w:r>
      <w:proofErr w:type="spellStart"/>
      <w:r w:rsidRPr="00C9458B">
        <w:rPr>
          <w:rFonts w:ascii="Times New Roman" w:eastAsia="Times New Roman" w:hAnsi="Times New Roman"/>
          <w:lang w:val="lt-LT"/>
        </w:rPr>
        <w:t>escitalopramo</w:t>
      </w:r>
      <w:proofErr w:type="spellEnd"/>
      <w:r w:rsidRPr="00C9458B">
        <w:rPr>
          <w:rFonts w:ascii="Times New Roman" w:eastAsia="Times New Roman" w:hAnsi="Times New Roman"/>
          <w:lang w:val="lt-LT"/>
        </w:rPr>
        <w:t xml:space="preserve"> paros dozė, vertinant </w:t>
      </w:r>
      <w:proofErr w:type="spellStart"/>
      <w:r w:rsidRPr="00C9458B">
        <w:rPr>
          <w:rFonts w:ascii="Times New Roman" w:eastAsia="Times New Roman" w:hAnsi="Times New Roman"/>
          <w:lang w:val="lt-LT"/>
        </w:rPr>
        <w:t>bendrojojo</w:t>
      </w:r>
      <w:proofErr w:type="spellEnd"/>
      <w:r w:rsidRPr="00C9458B">
        <w:rPr>
          <w:rFonts w:ascii="Times New Roman" w:eastAsia="Times New Roman" w:hAnsi="Times New Roman"/>
          <w:lang w:val="lt-LT"/>
        </w:rPr>
        <w:t xml:space="preserve"> CSFQ</w:t>
      </w:r>
      <w:r w:rsidR="00947D6E">
        <w:rPr>
          <w:rFonts w:ascii="Times New Roman" w:eastAsia="Times New Roman" w:hAnsi="Times New Roman"/>
          <w:lang w:val="lt-LT"/>
        </w:rPr>
        <w:noBreakHyphen/>
      </w:r>
      <w:r w:rsidRPr="00C9458B">
        <w:rPr>
          <w:rFonts w:ascii="Times New Roman" w:eastAsia="Times New Roman" w:hAnsi="Times New Roman"/>
          <w:lang w:val="lt-LT"/>
        </w:rPr>
        <w:t>14 įvertinimo balo pokytį (2,2</w:t>
      </w:r>
      <w:r w:rsidR="00947D6E">
        <w:rPr>
          <w:rFonts w:ascii="Times New Roman" w:eastAsia="Times New Roman" w:hAnsi="Times New Roman"/>
          <w:lang w:val="lt-LT"/>
        </w:rPr>
        <w:t> </w:t>
      </w:r>
      <w:r w:rsidRPr="00C9458B">
        <w:rPr>
          <w:rFonts w:ascii="Times New Roman" w:eastAsia="Times New Roman" w:hAnsi="Times New Roman"/>
          <w:lang w:val="lt-LT"/>
        </w:rPr>
        <w:t>balo, p</w:t>
      </w:r>
      <w:r w:rsidR="00947D6E">
        <w:rPr>
          <w:rFonts w:ascii="Times New Roman" w:eastAsia="Times New Roman" w:hAnsi="Times New Roman"/>
          <w:lang w:val="lt-LT"/>
        </w:rPr>
        <w:t> </w:t>
      </w:r>
      <w:r w:rsidRPr="00C9458B">
        <w:rPr>
          <w:rFonts w:ascii="Times New Roman" w:eastAsia="Times New Roman" w:hAnsi="Times New Roman"/>
          <w:lang w:val="lt-LT"/>
        </w:rPr>
        <w:t>=</w:t>
      </w:r>
      <w:r w:rsidR="00947D6E">
        <w:rPr>
          <w:rFonts w:ascii="Times New Roman" w:eastAsia="Times New Roman" w:hAnsi="Times New Roman"/>
          <w:lang w:val="lt-LT"/>
        </w:rPr>
        <w:t> </w:t>
      </w:r>
      <w:r w:rsidRPr="00C9458B">
        <w:rPr>
          <w:rFonts w:ascii="Times New Roman" w:eastAsia="Times New Roman" w:hAnsi="Times New Roman"/>
          <w:lang w:val="lt-LT"/>
        </w:rPr>
        <w:t>0,013) 8</w:t>
      </w:r>
      <w:r w:rsidR="00947D6E">
        <w:rPr>
          <w:rFonts w:ascii="Times New Roman" w:eastAsia="Times New Roman" w:hAnsi="Times New Roman"/>
          <w:lang w:val="lt-LT"/>
        </w:rPr>
        <w:noBreakHyphen/>
      </w:r>
      <w:r w:rsidRPr="00C9458B">
        <w:rPr>
          <w:rFonts w:ascii="Times New Roman" w:eastAsia="Times New Roman" w:hAnsi="Times New Roman"/>
          <w:lang w:val="lt-LT"/>
        </w:rPr>
        <w:t>ąją savaitę. Į gydymą reagavusių pacientų dalis vortioksetino vartojusių pacientų grupėje (162 (74,7</w:t>
      </w:r>
      <w:r w:rsidR="00947D6E">
        <w:rPr>
          <w:rFonts w:ascii="Times New Roman" w:eastAsia="Times New Roman" w:hAnsi="Times New Roman"/>
          <w:lang w:val="lt-LT"/>
        </w:rPr>
        <w:t> </w:t>
      </w:r>
      <w:r w:rsidRPr="00C9458B">
        <w:rPr>
          <w:rFonts w:ascii="Times New Roman" w:eastAsia="Times New Roman" w:hAnsi="Times New Roman"/>
          <w:lang w:val="lt-LT"/>
        </w:rPr>
        <w:t xml:space="preserve">%)), palyginti su </w:t>
      </w:r>
      <w:proofErr w:type="spellStart"/>
      <w:r w:rsidRPr="00C9458B">
        <w:rPr>
          <w:rFonts w:ascii="Times New Roman" w:eastAsia="Times New Roman" w:hAnsi="Times New Roman"/>
          <w:lang w:val="lt-LT"/>
        </w:rPr>
        <w:t>escitalopramą</w:t>
      </w:r>
      <w:proofErr w:type="spellEnd"/>
      <w:r w:rsidRPr="00C9458B">
        <w:rPr>
          <w:rFonts w:ascii="Times New Roman" w:eastAsia="Times New Roman" w:hAnsi="Times New Roman"/>
          <w:lang w:val="lt-LT"/>
        </w:rPr>
        <w:t xml:space="preserve"> vartojusių pacientų grupe (137 (66,2</w:t>
      </w:r>
      <w:r w:rsidR="00947D6E">
        <w:rPr>
          <w:rFonts w:ascii="Times New Roman" w:eastAsia="Times New Roman" w:hAnsi="Times New Roman"/>
          <w:lang w:val="lt-LT"/>
        </w:rPr>
        <w:t> </w:t>
      </w:r>
      <w:r w:rsidRPr="00C9458B">
        <w:rPr>
          <w:rFonts w:ascii="Times New Roman" w:eastAsia="Times New Roman" w:hAnsi="Times New Roman"/>
          <w:lang w:val="lt-LT"/>
        </w:rPr>
        <w:t>%)), 8</w:t>
      </w:r>
      <w:r w:rsidR="00947D6E">
        <w:rPr>
          <w:rFonts w:ascii="Times New Roman" w:eastAsia="Times New Roman" w:hAnsi="Times New Roman"/>
          <w:lang w:val="lt-LT"/>
        </w:rPr>
        <w:noBreakHyphen/>
      </w:r>
      <w:r w:rsidRPr="00C9458B">
        <w:rPr>
          <w:rFonts w:ascii="Times New Roman" w:eastAsia="Times New Roman" w:hAnsi="Times New Roman"/>
          <w:lang w:val="lt-LT"/>
        </w:rPr>
        <w:t>ąją savaitę statistiškai reikšmingai nesiskyrė (šansų santykis 1,5; p</w:t>
      </w:r>
      <w:r w:rsidR="00947D6E">
        <w:rPr>
          <w:rFonts w:ascii="Times New Roman" w:eastAsia="Times New Roman" w:hAnsi="Times New Roman"/>
          <w:lang w:val="lt-LT"/>
        </w:rPr>
        <w:t> </w:t>
      </w:r>
      <w:r w:rsidRPr="00C9458B">
        <w:rPr>
          <w:rFonts w:ascii="Times New Roman" w:eastAsia="Times New Roman" w:hAnsi="Times New Roman"/>
          <w:lang w:val="lt-LT"/>
        </w:rPr>
        <w:t>=</w:t>
      </w:r>
      <w:r w:rsidR="00947D6E">
        <w:rPr>
          <w:rFonts w:ascii="Times New Roman" w:eastAsia="Times New Roman" w:hAnsi="Times New Roman"/>
          <w:lang w:val="lt-LT"/>
        </w:rPr>
        <w:t> </w:t>
      </w:r>
      <w:r w:rsidRPr="00C9458B">
        <w:rPr>
          <w:rFonts w:ascii="Times New Roman" w:eastAsia="Times New Roman" w:hAnsi="Times New Roman"/>
          <w:lang w:val="lt-LT"/>
        </w:rPr>
        <w:t xml:space="preserve">0,057). </w:t>
      </w:r>
      <w:proofErr w:type="spellStart"/>
      <w:r w:rsidRPr="00C9458B">
        <w:rPr>
          <w:rFonts w:ascii="Times New Roman" w:eastAsia="Times New Roman" w:hAnsi="Times New Roman"/>
          <w:lang w:val="lt-LT"/>
        </w:rPr>
        <w:t>Antidepresinis</w:t>
      </w:r>
      <w:proofErr w:type="spellEnd"/>
      <w:r w:rsidRPr="00C9458B">
        <w:rPr>
          <w:rFonts w:ascii="Times New Roman" w:eastAsia="Times New Roman" w:hAnsi="Times New Roman"/>
          <w:lang w:val="lt-LT"/>
        </w:rPr>
        <w:t xml:space="preserve"> poveikis išliko abejose gydymo grupėse.</w:t>
      </w:r>
    </w:p>
    <w:p w14:paraId="38328343" w14:textId="7777777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Vortioksetinas, palyginti su placebu, neveikė kūno masės, širdies susitraukimų dažnio ar kraujospūdžio klinikinių trumpalaikių ir ilgalaikių tyrimų metu.</w:t>
      </w:r>
    </w:p>
    <w:p w14:paraId="4DF38B74" w14:textId="77777777" w:rsidR="00947D6E" w:rsidRPr="00C9458B" w:rsidRDefault="00947D6E" w:rsidP="00C9458B">
      <w:pPr>
        <w:widowControl w:val="0"/>
        <w:autoSpaceDE w:val="0"/>
        <w:autoSpaceDN w:val="0"/>
        <w:adjustRightInd w:val="0"/>
        <w:spacing w:after="0" w:line="240" w:lineRule="auto"/>
        <w:rPr>
          <w:rFonts w:ascii="Times New Roman" w:eastAsia="Times New Roman" w:hAnsi="Times New Roman"/>
          <w:lang w:val="lt-LT"/>
        </w:rPr>
      </w:pPr>
    </w:p>
    <w:p w14:paraId="04E264EE" w14:textId="77777777"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Įvertinus kepenų ar inkstų būklę klinikinių tyrimų metu, kliniškai reikšmingų pokyčių nepastebėta.</w:t>
      </w:r>
    </w:p>
    <w:p w14:paraId="29E673ED" w14:textId="77777777" w:rsidR="00947D6E" w:rsidRPr="00C9458B" w:rsidRDefault="00947D6E" w:rsidP="00C9458B">
      <w:pPr>
        <w:widowControl w:val="0"/>
        <w:autoSpaceDE w:val="0"/>
        <w:autoSpaceDN w:val="0"/>
        <w:adjustRightInd w:val="0"/>
        <w:spacing w:after="0" w:line="240" w:lineRule="auto"/>
        <w:rPr>
          <w:rFonts w:ascii="Times New Roman" w:eastAsia="Times New Roman" w:hAnsi="Times New Roman"/>
          <w:lang w:val="lt-LT"/>
        </w:rPr>
      </w:pPr>
    </w:p>
    <w:p w14:paraId="7B2CE893" w14:textId="0399D841" w:rsid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r w:rsidRPr="00C9458B">
        <w:rPr>
          <w:rFonts w:ascii="Times New Roman" w:eastAsia="Times New Roman" w:hAnsi="Times New Roman"/>
          <w:lang w:val="lt-LT"/>
        </w:rPr>
        <w:t xml:space="preserve">Vortioksetinas </w:t>
      </w:r>
      <w:r w:rsidR="000E03BF">
        <w:rPr>
          <w:rFonts w:ascii="Times New Roman" w:eastAsia="Times New Roman" w:hAnsi="Times New Roman"/>
          <w:lang w:val="lt-LT"/>
        </w:rPr>
        <w:t>n</w:t>
      </w:r>
      <w:r w:rsidR="009F264A">
        <w:rPr>
          <w:rFonts w:ascii="Times New Roman" w:eastAsia="Times New Roman" w:hAnsi="Times New Roman"/>
          <w:lang w:val="lt-LT"/>
        </w:rPr>
        <w:t>elėmė</w:t>
      </w:r>
      <w:r w:rsidR="000E03BF" w:rsidRPr="00C9458B">
        <w:rPr>
          <w:rFonts w:ascii="Times New Roman" w:eastAsia="Times New Roman" w:hAnsi="Times New Roman"/>
          <w:lang w:val="lt-LT"/>
        </w:rPr>
        <w:t xml:space="preserve"> </w:t>
      </w:r>
      <w:r w:rsidRPr="00C9458B">
        <w:rPr>
          <w:rFonts w:ascii="Times New Roman" w:eastAsia="Times New Roman" w:hAnsi="Times New Roman"/>
          <w:lang w:val="lt-LT"/>
        </w:rPr>
        <w:t xml:space="preserve">jokio kliniškai reikšmingo poveikio pacientų, kuriems pasireiškė DDS, EEG rodmenims, įskaitant QT, </w:t>
      </w:r>
      <w:proofErr w:type="spellStart"/>
      <w:r w:rsidRPr="00C9458B">
        <w:rPr>
          <w:rFonts w:ascii="Times New Roman" w:eastAsia="Times New Roman" w:hAnsi="Times New Roman"/>
          <w:lang w:val="lt-LT"/>
        </w:rPr>
        <w:t>QTc</w:t>
      </w:r>
      <w:proofErr w:type="spellEnd"/>
      <w:r w:rsidRPr="00C9458B">
        <w:rPr>
          <w:rFonts w:ascii="Times New Roman" w:eastAsia="Times New Roman" w:hAnsi="Times New Roman"/>
          <w:lang w:val="lt-LT"/>
        </w:rPr>
        <w:t xml:space="preserve">, PR ir QRS intervalus. Visapusiško </w:t>
      </w:r>
      <w:proofErr w:type="spellStart"/>
      <w:r w:rsidRPr="00C9458B">
        <w:rPr>
          <w:rFonts w:ascii="Times New Roman" w:eastAsia="Times New Roman" w:hAnsi="Times New Roman"/>
          <w:lang w:val="lt-LT"/>
        </w:rPr>
        <w:t>QTc</w:t>
      </w:r>
      <w:proofErr w:type="spellEnd"/>
      <w:r w:rsidRPr="00C9458B">
        <w:rPr>
          <w:rFonts w:ascii="Times New Roman" w:eastAsia="Times New Roman" w:hAnsi="Times New Roman"/>
          <w:lang w:val="lt-LT"/>
        </w:rPr>
        <w:t xml:space="preserve"> intervalo tyrimo su sveikais tiriamaisiais, kurie vartojo iki 40</w:t>
      </w:r>
      <w:r w:rsidR="00947D6E">
        <w:rPr>
          <w:rFonts w:ascii="Times New Roman" w:eastAsia="Times New Roman" w:hAnsi="Times New Roman"/>
          <w:lang w:val="lt-LT"/>
        </w:rPr>
        <w:t> </w:t>
      </w:r>
      <w:r w:rsidRPr="00C9458B">
        <w:rPr>
          <w:rFonts w:ascii="Times New Roman" w:eastAsia="Times New Roman" w:hAnsi="Times New Roman"/>
          <w:lang w:val="lt-LT"/>
        </w:rPr>
        <w:t xml:space="preserve">mg dozes per parą, duomenimis galimybės, kad vaistinis preparatas ilgintų </w:t>
      </w:r>
      <w:proofErr w:type="spellStart"/>
      <w:r w:rsidRPr="00C9458B">
        <w:rPr>
          <w:rFonts w:ascii="Times New Roman" w:eastAsia="Times New Roman" w:hAnsi="Times New Roman"/>
          <w:lang w:val="lt-LT"/>
        </w:rPr>
        <w:t>QTc</w:t>
      </w:r>
      <w:proofErr w:type="spellEnd"/>
      <w:r w:rsidRPr="00C9458B">
        <w:rPr>
          <w:rFonts w:ascii="Times New Roman" w:eastAsia="Times New Roman" w:hAnsi="Times New Roman"/>
          <w:lang w:val="lt-LT"/>
        </w:rPr>
        <w:t xml:space="preserve"> intervalą, nepastebėta.</w:t>
      </w:r>
    </w:p>
    <w:p w14:paraId="028548BB" w14:textId="77777777" w:rsidR="00C9458B" w:rsidRPr="00C9458B" w:rsidRDefault="00C9458B" w:rsidP="00C9458B">
      <w:pPr>
        <w:widowControl w:val="0"/>
        <w:autoSpaceDE w:val="0"/>
        <w:autoSpaceDN w:val="0"/>
        <w:adjustRightInd w:val="0"/>
        <w:spacing w:after="0" w:line="240" w:lineRule="auto"/>
        <w:rPr>
          <w:rFonts w:ascii="Times New Roman" w:eastAsia="Times New Roman" w:hAnsi="Times New Roman"/>
          <w:lang w:val="lt-LT"/>
        </w:rPr>
      </w:pPr>
    </w:p>
    <w:p w14:paraId="6A240606" w14:textId="77777777" w:rsidR="006A4FB4" w:rsidRPr="00947D6E" w:rsidRDefault="006A4FB4" w:rsidP="006A4FB4">
      <w:pPr>
        <w:keepNext/>
        <w:autoSpaceDE w:val="0"/>
        <w:autoSpaceDN w:val="0"/>
        <w:adjustRightInd w:val="0"/>
        <w:spacing w:after="0" w:line="240" w:lineRule="auto"/>
        <w:rPr>
          <w:rFonts w:ascii="Times New Roman" w:eastAsia="Times New Roman" w:hAnsi="Times New Roman"/>
          <w:i/>
          <w:iCs/>
          <w:lang w:val="lt-LT"/>
        </w:rPr>
      </w:pPr>
      <w:r w:rsidRPr="00947D6E">
        <w:rPr>
          <w:rFonts w:ascii="Times New Roman" w:eastAsia="Times New Roman" w:hAnsi="Times New Roman"/>
          <w:i/>
          <w:iCs/>
          <w:lang w:val="lt-LT"/>
        </w:rPr>
        <w:t>Vaikų populiacija</w:t>
      </w:r>
    </w:p>
    <w:p w14:paraId="3D16E616" w14:textId="130E879D" w:rsid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r w:rsidRPr="00947D6E">
        <w:rPr>
          <w:rFonts w:ascii="Times New Roman" w:eastAsia="Times New Roman" w:hAnsi="Times New Roman"/>
          <w:lang w:val="lt-LT"/>
        </w:rPr>
        <w:t>Buvo atlikti du trumpalaikiai, atsitiktinių imčių, dvigubai koduoti, placebu kontroliuojami, fiksuotų dozių (vortioksetino 10</w:t>
      </w:r>
      <w:r>
        <w:rPr>
          <w:rFonts w:ascii="Times New Roman" w:eastAsia="Times New Roman" w:hAnsi="Times New Roman"/>
          <w:lang w:val="lt-LT"/>
        </w:rPr>
        <w:t> </w:t>
      </w:r>
      <w:r w:rsidRPr="00947D6E">
        <w:rPr>
          <w:rFonts w:ascii="Times New Roman" w:eastAsia="Times New Roman" w:hAnsi="Times New Roman"/>
          <w:lang w:val="lt-LT"/>
        </w:rPr>
        <w:t>mg per parą ir 20</w:t>
      </w:r>
      <w:r>
        <w:rPr>
          <w:rFonts w:ascii="Times New Roman" w:eastAsia="Times New Roman" w:hAnsi="Times New Roman"/>
          <w:lang w:val="lt-LT"/>
        </w:rPr>
        <w:t> </w:t>
      </w:r>
      <w:r w:rsidRPr="00947D6E">
        <w:rPr>
          <w:rFonts w:ascii="Times New Roman" w:eastAsia="Times New Roman" w:hAnsi="Times New Roman"/>
          <w:lang w:val="lt-LT"/>
        </w:rPr>
        <w:t>mg per parą), vartojant palyginam</w:t>
      </w:r>
      <w:r>
        <w:rPr>
          <w:rFonts w:ascii="Times New Roman" w:eastAsia="Times New Roman" w:hAnsi="Times New Roman"/>
          <w:lang w:val="lt-LT"/>
        </w:rPr>
        <w:t>osios</w:t>
      </w:r>
      <w:r w:rsidRPr="00947D6E">
        <w:rPr>
          <w:rFonts w:ascii="Times New Roman" w:eastAsia="Times New Roman" w:hAnsi="Times New Roman"/>
          <w:lang w:val="lt-LT"/>
        </w:rPr>
        <w:t xml:space="preserve"> veikli</w:t>
      </w:r>
      <w:r>
        <w:rPr>
          <w:rFonts w:ascii="Times New Roman" w:eastAsia="Times New Roman" w:hAnsi="Times New Roman"/>
          <w:lang w:val="lt-LT"/>
        </w:rPr>
        <w:t>osios</w:t>
      </w:r>
      <w:r w:rsidRPr="00947D6E">
        <w:rPr>
          <w:rFonts w:ascii="Times New Roman" w:eastAsia="Times New Roman" w:hAnsi="Times New Roman"/>
          <w:lang w:val="lt-LT"/>
        </w:rPr>
        <w:t xml:space="preserve"> medžiag</w:t>
      </w:r>
      <w:r>
        <w:rPr>
          <w:rFonts w:ascii="Times New Roman" w:eastAsia="Times New Roman" w:hAnsi="Times New Roman"/>
          <w:lang w:val="lt-LT"/>
        </w:rPr>
        <w:t>os</w:t>
      </w:r>
      <w:r w:rsidRPr="00947D6E">
        <w:rPr>
          <w:rFonts w:ascii="Times New Roman" w:eastAsia="Times New Roman" w:hAnsi="Times New Roman"/>
          <w:lang w:val="lt-LT"/>
        </w:rPr>
        <w:t xml:space="preserve"> (</w:t>
      </w:r>
      <w:proofErr w:type="spellStart"/>
      <w:r w:rsidRPr="00947D6E">
        <w:rPr>
          <w:rFonts w:ascii="Times New Roman" w:eastAsia="Times New Roman" w:hAnsi="Times New Roman"/>
          <w:lang w:val="lt-LT"/>
        </w:rPr>
        <w:t>fluoksetin</w:t>
      </w:r>
      <w:r>
        <w:rPr>
          <w:rFonts w:ascii="Times New Roman" w:eastAsia="Times New Roman" w:hAnsi="Times New Roman"/>
          <w:lang w:val="lt-LT"/>
        </w:rPr>
        <w:t>o</w:t>
      </w:r>
      <w:proofErr w:type="spellEnd"/>
      <w:r w:rsidRPr="00947D6E">
        <w:rPr>
          <w:rFonts w:ascii="Times New Roman" w:eastAsia="Times New Roman" w:hAnsi="Times New Roman"/>
          <w:lang w:val="lt-LT"/>
        </w:rPr>
        <w:t>), veiksmingumo ir saugumo tyrimai; vienas su vaikais nuo 7 iki 11</w:t>
      </w:r>
      <w:r>
        <w:rPr>
          <w:rFonts w:ascii="Times New Roman" w:eastAsia="Times New Roman" w:hAnsi="Times New Roman"/>
          <w:lang w:val="lt-LT"/>
        </w:rPr>
        <w:t> </w:t>
      </w:r>
      <w:r w:rsidRPr="00947D6E">
        <w:rPr>
          <w:rFonts w:ascii="Times New Roman" w:eastAsia="Times New Roman" w:hAnsi="Times New Roman"/>
          <w:lang w:val="lt-LT"/>
        </w:rPr>
        <w:t>metų, sergančiais DDS, ir vienas su paaugliais nuo 12 iki 17</w:t>
      </w:r>
      <w:r>
        <w:rPr>
          <w:rFonts w:ascii="Times New Roman" w:eastAsia="Times New Roman" w:hAnsi="Times New Roman"/>
          <w:lang w:val="lt-LT"/>
        </w:rPr>
        <w:t> </w:t>
      </w:r>
      <w:r w:rsidRPr="00947D6E">
        <w:rPr>
          <w:rFonts w:ascii="Times New Roman" w:eastAsia="Times New Roman" w:hAnsi="Times New Roman"/>
          <w:lang w:val="lt-LT"/>
        </w:rPr>
        <w:t>metų, sergančiais DDS. Šiuose tyrimuose buvo ir 4</w:t>
      </w:r>
      <w:r>
        <w:rPr>
          <w:rFonts w:ascii="Times New Roman" w:eastAsia="Times New Roman" w:hAnsi="Times New Roman"/>
          <w:lang w:val="lt-LT"/>
        </w:rPr>
        <w:t> </w:t>
      </w:r>
      <w:r w:rsidRPr="00947D6E">
        <w:rPr>
          <w:rFonts w:ascii="Times New Roman" w:eastAsia="Times New Roman" w:hAnsi="Times New Roman"/>
          <w:lang w:val="lt-LT"/>
        </w:rPr>
        <w:t>savaičių trukmės viengubai koduotas įvadinis placebo laikotarpis su standartizuota psichosocialine intervencija (gydytų pacientų tyrime</w:t>
      </w:r>
      <w:r w:rsidRPr="00947D6E">
        <w:rPr>
          <w:lang w:val="lt-LT"/>
        </w:rPr>
        <w:t xml:space="preserve"> </w:t>
      </w:r>
      <w:r w:rsidRPr="00947D6E">
        <w:rPr>
          <w:rFonts w:ascii="Times New Roman" w:eastAsia="Times New Roman" w:hAnsi="Times New Roman"/>
          <w:lang w:val="lt-LT"/>
        </w:rPr>
        <w:t>su vaikais N</w:t>
      </w:r>
      <w:r>
        <w:rPr>
          <w:rFonts w:ascii="Times New Roman" w:eastAsia="Times New Roman" w:hAnsi="Times New Roman"/>
          <w:lang w:val="lt-LT"/>
        </w:rPr>
        <w:t> </w:t>
      </w:r>
      <w:r w:rsidRPr="00947D6E">
        <w:rPr>
          <w:rFonts w:ascii="Times New Roman" w:eastAsia="Times New Roman" w:hAnsi="Times New Roman"/>
          <w:lang w:val="lt-LT"/>
        </w:rPr>
        <w:t>=</w:t>
      </w:r>
      <w:r>
        <w:rPr>
          <w:rFonts w:ascii="Times New Roman" w:eastAsia="Times New Roman" w:hAnsi="Times New Roman"/>
          <w:lang w:val="lt-LT"/>
        </w:rPr>
        <w:t> </w:t>
      </w:r>
      <w:r w:rsidRPr="00947D6E">
        <w:rPr>
          <w:rFonts w:ascii="Times New Roman" w:eastAsia="Times New Roman" w:hAnsi="Times New Roman"/>
          <w:lang w:val="lt-LT"/>
        </w:rPr>
        <w:t>677, paauglių tyrime N</w:t>
      </w:r>
      <w:r>
        <w:rPr>
          <w:rFonts w:ascii="Times New Roman" w:eastAsia="Times New Roman" w:hAnsi="Times New Roman"/>
          <w:lang w:val="lt-LT"/>
        </w:rPr>
        <w:t> </w:t>
      </w:r>
      <w:r w:rsidRPr="00947D6E">
        <w:rPr>
          <w:rFonts w:ascii="Times New Roman" w:eastAsia="Times New Roman" w:hAnsi="Times New Roman"/>
          <w:lang w:val="lt-LT"/>
        </w:rPr>
        <w:t>=</w:t>
      </w:r>
      <w:r>
        <w:rPr>
          <w:rFonts w:ascii="Times New Roman" w:eastAsia="Times New Roman" w:hAnsi="Times New Roman"/>
          <w:lang w:val="lt-LT"/>
        </w:rPr>
        <w:t> </w:t>
      </w:r>
      <w:r w:rsidRPr="00947D6E">
        <w:rPr>
          <w:rFonts w:ascii="Times New Roman" w:eastAsia="Times New Roman" w:hAnsi="Times New Roman"/>
          <w:lang w:val="lt-LT"/>
        </w:rPr>
        <w:t>777), ir tik tie pacientai, kuriems nepasireiškė atsakas į pradinį laikotarpį, buvo atrinkti atsitiktinių imčių būdu (vaikų tyrime N</w:t>
      </w:r>
      <w:r>
        <w:rPr>
          <w:rFonts w:ascii="Times New Roman" w:eastAsia="Times New Roman" w:hAnsi="Times New Roman"/>
          <w:lang w:val="lt-LT"/>
        </w:rPr>
        <w:t> </w:t>
      </w:r>
      <w:r w:rsidRPr="00947D6E">
        <w:rPr>
          <w:rFonts w:ascii="Times New Roman" w:eastAsia="Times New Roman" w:hAnsi="Times New Roman"/>
          <w:lang w:val="lt-LT"/>
        </w:rPr>
        <w:t>=</w:t>
      </w:r>
      <w:r>
        <w:rPr>
          <w:rFonts w:ascii="Times New Roman" w:eastAsia="Times New Roman" w:hAnsi="Times New Roman"/>
          <w:lang w:val="lt-LT"/>
        </w:rPr>
        <w:t> </w:t>
      </w:r>
      <w:r w:rsidRPr="00947D6E">
        <w:rPr>
          <w:rFonts w:ascii="Times New Roman" w:eastAsia="Times New Roman" w:hAnsi="Times New Roman"/>
          <w:lang w:val="lt-LT"/>
        </w:rPr>
        <w:t>540, paauglių tyrime N</w:t>
      </w:r>
      <w:r>
        <w:rPr>
          <w:rFonts w:ascii="Times New Roman" w:eastAsia="Times New Roman" w:hAnsi="Times New Roman"/>
          <w:lang w:val="lt-LT"/>
        </w:rPr>
        <w:t> </w:t>
      </w:r>
      <w:r w:rsidRPr="00947D6E">
        <w:rPr>
          <w:rFonts w:ascii="Times New Roman" w:eastAsia="Times New Roman" w:hAnsi="Times New Roman"/>
          <w:lang w:val="lt-LT"/>
        </w:rPr>
        <w:t>=</w:t>
      </w:r>
      <w:r>
        <w:rPr>
          <w:rFonts w:ascii="Times New Roman" w:eastAsia="Times New Roman" w:hAnsi="Times New Roman"/>
          <w:lang w:val="lt-LT"/>
        </w:rPr>
        <w:t> </w:t>
      </w:r>
      <w:r w:rsidRPr="00947D6E">
        <w:rPr>
          <w:rFonts w:ascii="Times New Roman" w:eastAsia="Times New Roman" w:hAnsi="Times New Roman"/>
          <w:lang w:val="lt-LT"/>
        </w:rPr>
        <w:t>616).</w:t>
      </w:r>
    </w:p>
    <w:p w14:paraId="71200A99" w14:textId="77777777" w:rsidR="00947D6E" w:rsidRP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p>
    <w:p w14:paraId="27C56B3E" w14:textId="77777777" w:rsid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r w:rsidRPr="00947D6E">
        <w:rPr>
          <w:rFonts w:ascii="Times New Roman" w:eastAsia="Times New Roman" w:hAnsi="Times New Roman"/>
          <w:lang w:val="lt-LT"/>
        </w:rPr>
        <w:t>Tyrimo, kuriame dalyvavo vaikai nuo 7 iki 11</w:t>
      </w:r>
      <w:r>
        <w:rPr>
          <w:rFonts w:ascii="Times New Roman" w:eastAsia="Times New Roman" w:hAnsi="Times New Roman"/>
          <w:lang w:val="lt-LT"/>
        </w:rPr>
        <w:t> </w:t>
      </w:r>
      <w:r w:rsidRPr="00947D6E">
        <w:rPr>
          <w:rFonts w:ascii="Times New Roman" w:eastAsia="Times New Roman" w:hAnsi="Times New Roman"/>
          <w:lang w:val="lt-LT"/>
        </w:rPr>
        <w:t>metų, vidutinis dviejų vortioksetino dozių 10</w:t>
      </w:r>
      <w:r>
        <w:rPr>
          <w:rFonts w:ascii="Times New Roman" w:eastAsia="Times New Roman" w:hAnsi="Times New Roman"/>
          <w:lang w:val="lt-LT"/>
        </w:rPr>
        <w:t> mg</w:t>
      </w:r>
      <w:r w:rsidRPr="00947D6E">
        <w:rPr>
          <w:rFonts w:ascii="Times New Roman" w:eastAsia="Times New Roman" w:hAnsi="Times New Roman"/>
          <w:lang w:val="lt-LT"/>
        </w:rPr>
        <w:t xml:space="preserve"> ir 20</w:t>
      </w:r>
      <w:r>
        <w:rPr>
          <w:rFonts w:ascii="Times New Roman" w:eastAsia="Times New Roman" w:hAnsi="Times New Roman"/>
          <w:lang w:val="lt-LT"/>
        </w:rPr>
        <w:t> </w:t>
      </w:r>
      <w:r w:rsidRPr="00947D6E">
        <w:rPr>
          <w:rFonts w:ascii="Times New Roman" w:eastAsia="Times New Roman" w:hAnsi="Times New Roman"/>
          <w:lang w:val="lt-LT"/>
        </w:rPr>
        <w:t>mg per parą poveikis 8</w:t>
      </w:r>
      <w:r>
        <w:rPr>
          <w:rFonts w:ascii="Times New Roman" w:eastAsia="Times New Roman" w:hAnsi="Times New Roman"/>
          <w:lang w:val="lt-LT"/>
        </w:rPr>
        <w:t> </w:t>
      </w:r>
      <w:r w:rsidRPr="00947D6E">
        <w:rPr>
          <w:rFonts w:ascii="Times New Roman" w:eastAsia="Times New Roman" w:hAnsi="Times New Roman"/>
          <w:lang w:val="lt-LT"/>
        </w:rPr>
        <w:t xml:space="preserve">savaitę statistiškai reikšmingai nesiskyrė nuo placebo, atsižvelgiant į Vaikų depresijos vertinimo skalės su pataisomis (angl. </w:t>
      </w:r>
      <w:proofErr w:type="spellStart"/>
      <w:r w:rsidRPr="00947D6E">
        <w:rPr>
          <w:rFonts w:ascii="Times New Roman" w:eastAsia="Times New Roman" w:hAnsi="Times New Roman"/>
          <w:i/>
          <w:iCs/>
          <w:lang w:val="lt-LT"/>
        </w:rPr>
        <w:t>Children's</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Depression</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Rating</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Scale</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Revised</w:t>
      </w:r>
      <w:proofErr w:type="spellEnd"/>
      <w:r w:rsidRPr="00947D6E">
        <w:rPr>
          <w:rFonts w:ascii="Times New Roman" w:eastAsia="Times New Roman" w:hAnsi="Times New Roman"/>
          <w:lang w:val="lt-LT"/>
        </w:rPr>
        <w:t>, CDRS-R) bendrąjį įvertį, taip pat vartojant palyginamąją veikliąją medžiagą (20</w:t>
      </w:r>
      <w:r>
        <w:rPr>
          <w:rFonts w:ascii="Times New Roman" w:eastAsia="Times New Roman" w:hAnsi="Times New Roman"/>
          <w:lang w:val="lt-LT"/>
        </w:rPr>
        <w:t> </w:t>
      </w:r>
      <w:r w:rsidRPr="00947D6E">
        <w:rPr>
          <w:rFonts w:ascii="Times New Roman" w:eastAsia="Times New Roman" w:hAnsi="Times New Roman"/>
          <w:lang w:val="lt-LT"/>
        </w:rPr>
        <w:t xml:space="preserve">mg </w:t>
      </w:r>
      <w:proofErr w:type="spellStart"/>
      <w:r w:rsidRPr="00947D6E">
        <w:rPr>
          <w:rFonts w:ascii="Times New Roman" w:eastAsia="Times New Roman" w:hAnsi="Times New Roman"/>
          <w:lang w:val="lt-LT"/>
        </w:rPr>
        <w:t>fluoksetino</w:t>
      </w:r>
      <w:proofErr w:type="spellEnd"/>
      <w:r w:rsidRPr="00947D6E">
        <w:rPr>
          <w:rFonts w:ascii="Times New Roman" w:eastAsia="Times New Roman" w:hAnsi="Times New Roman"/>
          <w:lang w:val="lt-LT"/>
        </w:rPr>
        <w:t xml:space="preserve"> per parą), taip pat individualios vortioksetino dozės (10</w:t>
      </w:r>
      <w:r>
        <w:rPr>
          <w:rFonts w:ascii="Times New Roman" w:eastAsia="Times New Roman" w:hAnsi="Times New Roman"/>
          <w:lang w:val="lt-LT"/>
        </w:rPr>
        <w:t> mg</w:t>
      </w:r>
      <w:r w:rsidRPr="00947D6E">
        <w:rPr>
          <w:rFonts w:ascii="Times New Roman" w:eastAsia="Times New Roman" w:hAnsi="Times New Roman"/>
          <w:lang w:val="lt-LT"/>
        </w:rPr>
        <w:t xml:space="preserve"> ir 20</w:t>
      </w:r>
      <w:r>
        <w:rPr>
          <w:rFonts w:ascii="Times New Roman" w:eastAsia="Times New Roman" w:hAnsi="Times New Roman"/>
          <w:lang w:val="lt-LT"/>
        </w:rPr>
        <w:t> </w:t>
      </w:r>
      <w:r w:rsidRPr="00947D6E">
        <w:rPr>
          <w:rFonts w:ascii="Times New Roman" w:eastAsia="Times New Roman" w:hAnsi="Times New Roman"/>
          <w:lang w:val="lt-LT"/>
        </w:rPr>
        <w:t xml:space="preserve">mg per parą) reikšmingai nesiskyrė nuo placebo. Apskritai vortioksetino nepageidaujamų reiškinių profilis vaikams buvo panašus kaip ir suaugusiesiems, išskyrus tai, kad vaikams dažniau nei suaugusiesiems pasireiškė su pilvo skausmu susiję reiškiniai. </w:t>
      </w:r>
    </w:p>
    <w:p w14:paraId="089DCE0F" w14:textId="77777777" w:rsid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p>
    <w:p w14:paraId="3ACE1D32" w14:textId="0AAD9D23" w:rsidR="00685CC6" w:rsidRDefault="00947D6E" w:rsidP="00947D6E">
      <w:pPr>
        <w:widowControl w:val="0"/>
        <w:autoSpaceDE w:val="0"/>
        <w:autoSpaceDN w:val="0"/>
        <w:adjustRightInd w:val="0"/>
        <w:spacing w:after="0" w:line="240" w:lineRule="auto"/>
        <w:rPr>
          <w:rFonts w:ascii="Times New Roman" w:eastAsia="Times New Roman" w:hAnsi="Times New Roman"/>
          <w:lang w:val="lt-LT"/>
        </w:rPr>
      </w:pPr>
      <w:r w:rsidRPr="00947D6E">
        <w:rPr>
          <w:rFonts w:ascii="Times New Roman" w:eastAsia="Times New Roman" w:hAnsi="Times New Roman"/>
          <w:lang w:val="lt-LT"/>
        </w:rPr>
        <w:t>Dėl nepageidaujamų reiškinių gydymą nutraukė 2,0</w:t>
      </w:r>
      <w:r>
        <w:rPr>
          <w:rFonts w:ascii="Times New Roman" w:eastAsia="Times New Roman" w:hAnsi="Times New Roman"/>
          <w:lang w:val="lt-LT"/>
        </w:rPr>
        <w:t> </w:t>
      </w:r>
      <w:r w:rsidRPr="00947D6E">
        <w:rPr>
          <w:rFonts w:ascii="Times New Roman" w:eastAsia="Times New Roman" w:hAnsi="Times New Roman"/>
          <w:lang w:val="lt-LT"/>
        </w:rPr>
        <w:t>% pacientų, vartojusių 20</w:t>
      </w:r>
      <w:r>
        <w:rPr>
          <w:rFonts w:ascii="Times New Roman" w:eastAsia="Times New Roman" w:hAnsi="Times New Roman"/>
          <w:lang w:val="lt-LT"/>
        </w:rPr>
        <w:t> </w:t>
      </w:r>
      <w:r w:rsidRPr="00947D6E">
        <w:rPr>
          <w:rFonts w:ascii="Times New Roman" w:eastAsia="Times New Roman" w:hAnsi="Times New Roman"/>
          <w:lang w:val="lt-LT"/>
        </w:rPr>
        <w:t>mg vortioksetino per parą, 1,3</w:t>
      </w:r>
      <w:r>
        <w:rPr>
          <w:rFonts w:ascii="Times New Roman" w:eastAsia="Times New Roman" w:hAnsi="Times New Roman"/>
          <w:lang w:val="lt-LT"/>
        </w:rPr>
        <w:t> </w:t>
      </w:r>
      <w:r w:rsidRPr="00947D6E">
        <w:rPr>
          <w:rFonts w:ascii="Times New Roman" w:eastAsia="Times New Roman" w:hAnsi="Times New Roman"/>
          <w:lang w:val="lt-LT"/>
        </w:rPr>
        <w:t>% – 10</w:t>
      </w:r>
      <w:r>
        <w:rPr>
          <w:rFonts w:ascii="Times New Roman" w:eastAsia="Times New Roman" w:hAnsi="Times New Roman"/>
          <w:lang w:val="lt-LT"/>
        </w:rPr>
        <w:t> </w:t>
      </w:r>
      <w:r w:rsidRPr="00947D6E">
        <w:rPr>
          <w:rFonts w:ascii="Times New Roman" w:eastAsia="Times New Roman" w:hAnsi="Times New Roman"/>
          <w:lang w:val="lt-LT"/>
        </w:rPr>
        <w:t>mg vortioksetino per parą, 0,7</w:t>
      </w:r>
      <w:r>
        <w:rPr>
          <w:rFonts w:ascii="Times New Roman" w:eastAsia="Times New Roman" w:hAnsi="Times New Roman"/>
          <w:lang w:val="lt-LT"/>
        </w:rPr>
        <w:t> </w:t>
      </w:r>
      <w:r w:rsidRPr="00947D6E">
        <w:rPr>
          <w:rFonts w:ascii="Times New Roman" w:eastAsia="Times New Roman" w:hAnsi="Times New Roman"/>
          <w:lang w:val="lt-LT"/>
        </w:rPr>
        <w:t>% – placeb</w:t>
      </w:r>
      <w:r>
        <w:rPr>
          <w:rFonts w:ascii="Times New Roman" w:eastAsia="Times New Roman" w:hAnsi="Times New Roman"/>
          <w:lang w:val="lt-LT"/>
        </w:rPr>
        <w:t>o</w:t>
      </w:r>
      <w:r w:rsidRPr="00947D6E">
        <w:rPr>
          <w:rFonts w:ascii="Times New Roman" w:eastAsia="Times New Roman" w:hAnsi="Times New Roman"/>
          <w:lang w:val="lt-LT"/>
        </w:rPr>
        <w:t xml:space="preserve">, o </w:t>
      </w:r>
      <w:proofErr w:type="spellStart"/>
      <w:r w:rsidRPr="00947D6E">
        <w:rPr>
          <w:rFonts w:ascii="Times New Roman" w:eastAsia="Times New Roman" w:hAnsi="Times New Roman"/>
          <w:lang w:val="lt-LT"/>
        </w:rPr>
        <w:t>fluoksetino</w:t>
      </w:r>
      <w:proofErr w:type="spellEnd"/>
      <w:r w:rsidRPr="00947D6E">
        <w:rPr>
          <w:rFonts w:ascii="Times New Roman" w:eastAsia="Times New Roman" w:hAnsi="Times New Roman"/>
          <w:lang w:val="lt-LT"/>
        </w:rPr>
        <w:t xml:space="preserve"> vartojimas nutrauktas nebuvo. Dažniausiai nustatyti nepageidaujami reiškiniai gydymo vortioksetinu grupėse buvo pykinimas, galvos skausmas, vėmimas, svaigulys ir pilvo skausmas. Pykinimo, vėmimo ir pilvo skausmo dažnis buvo didesnis vortioksetino grupėse nei placebo grupėje. Su savižudybe susijusios mintys ir elgesys </w:t>
      </w:r>
      <w:r w:rsidRPr="00947D6E">
        <w:rPr>
          <w:rFonts w:ascii="Times New Roman" w:eastAsia="Times New Roman" w:hAnsi="Times New Roman"/>
          <w:lang w:val="lt-LT"/>
        </w:rPr>
        <w:lastRenderedPageBreak/>
        <w:t>buvo nustatyti kaip nepageidaujami reiškiniai tiek per 4</w:t>
      </w:r>
      <w:r>
        <w:rPr>
          <w:rFonts w:ascii="Times New Roman" w:eastAsia="Times New Roman" w:hAnsi="Times New Roman"/>
          <w:lang w:val="lt-LT"/>
        </w:rPr>
        <w:t> </w:t>
      </w:r>
      <w:r w:rsidRPr="00947D6E">
        <w:rPr>
          <w:rFonts w:ascii="Times New Roman" w:eastAsia="Times New Roman" w:hAnsi="Times New Roman"/>
          <w:lang w:val="lt-LT"/>
        </w:rPr>
        <w:t>savaičių trukmės viengubai koduotą įvadinį laikotarpį (placebas: 2 iš 677 [0,3</w:t>
      </w:r>
      <w:r>
        <w:rPr>
          <w:rFonts w:ascii="Times New Roman" w:eastAsia="Times New Roman" w:hAnsi="Times New Roman"/>
          <w:lang w:val="lt-LT"/>
        </w:rPr>
        <w:t> </w:t>
      </w:r>
      <w:r w:rsidRPr="00947D6E">
        <w:rPr>
          <w:rFonts w:ascii="Times New Roman" w:eastAsia="Times New Roman" w:hAnsi="Times New Roman"/>
          <w:lang w:val="lt-LT"/>
        </w:rPr>
        <w:t>%]), tiek ir per 8</w:t>
      </w:r>
      <w:r>
        <w:rPr>
          <w:rFonts w:ascii="Times New Roman" w:eastAsia="Times New Roman" w:hAnsi="Times New Roman"/>
          <w:lang w:val="lt-LT"/>
        </w:rPr>
        <w:t> </w:t>
      </w:r>
      <w:r w:rsidRPr="00947D6E">
        <w:rPr>
          <w:rFonts w:ascii="Times New Roman" w:eastAsia="Times New Roman" w:hAnsi="Times New Roman"/>
          <w:lang w:val="lt-LT"/>
        </w:rPr>
        <w:t>savaičių gydymo laikotarpį (10</w:t>
      </w:r>
      <w:r>
        <w:rPr>
          <w:rFonts w:ascii="Times New Roman" w:eastAsia="Times New Roman" w:hAnsi="Times New Roman"/>
          <w:lang w:val="lt-LT"/>
        </w:rPr>
        <w:t> </w:t>
      </w:r>
      <w:r w:rsidRPr="00947D6E">
        <w:rPr>
          <w:rFonts w:ascii="Times New Roman" w:eastAsia="Times New Roman" w:hAnsi="Times New Roman"/>
          <w:lang w:val="lt-LT"/>
        </w:rPr>
        <w:t>mg vortioksetino per parą: 1 iš 149 [0,7</w:t>
      </w:r>
      <w:r>
        <w:rPr>
          <w:rFonts w:ascii="Times New Roman" w:eastAsia="Times New Roman" w:hAnsi="Times New Roman"/>
          <w:lang w:val="lt-LT"/>
        </w:rPr>
        <w:t> </w:t>
      </w:r>
      <w:r w:rsidRPr="00947D6E">
        <w:rPr>
          <w:rFonts w:ascii="Times New Roman" w:eastAsia="Times New Roman" w:hAnsi="Times New Roman"/>
          <w:lang w:val="lt-LT"/>
        </w:rPr>
        <w:t>%], placebas: 1 iš 153 [0,7</w:t>
      </w:r>
      <w:r>
        <w:rPr>
          <w:rFonts w:ascii="Times New Roman" w:eastAsia="Times New Roman" w:hAnsi="Times New Roman"/>
          <w:lang w:val="lt-LT"/>
        </w:rPr>
        <w:t> </w:t>
      </w:r>
      <w:r w:rsidRPr="00947D6E">
        <w:rPr>
          <w:rFonts w:ascii="Times New Roman" w:eastAsia="Times New Roman" w:hAnsi="Times New Roman"/>
          <w:lang w:val="lt-LT"/>
        </w:rPr>
        <w:t>%]). Be to, 5</w:t>
      </w:r>
      <w:r>
        <w:rPr>
          <w:rFonts w:ascii="Times New Roman" w:eastAsia="Times New Roman" w:hAnsi="Times New Roman"/>
          <w:lang w:val="lt-LT"/>
        </w:rPr>
        <w:t> </w:t>
      </w:r>
      <w:r w:rsidRPr="00947D6E">
        <w:rPr>
          <w:rFonts w:ascii="Times New Roman" w:eastAsia="Times New Roman" w:hAnsi="Times New Roman"/>
          <w:lang w:val="lt-LT"/>
        </w:rPr>
        <w:t>pacientams 8</w:t>
      </w:r>
      <w:r>
        <w:rPr>
          <w:rFonts w:ascii="Times New Roman" w:eastAsia="Times New Roman" w:hAnsi="Times New Roman"/>
          <w:lang w:val="lt-LT"/>
        </w:rPr>
        <w:t> </w:t>
      </w:r>
      <w:r w:rsidRPr="00947D6E">
        <w:rPr>
          <w:rFonts w:ascii="Times New Roman" w:eastAsia="Times New Roman" w:hAnsi="Times New Roman"/>
          <w:lang w:val="lt-LT"/>
        </w:rPr>
        <w:t>savaičių gydymo laikotarpiu C</w:t>
      </w:r>
      <w:r>
        <w:rPr>
          <w:rFonts w:ascii="Times New Roman" w:eastAsia="Times New Roman" w:hAnsi="Times New Roman"/>
          <w:lang w:val="lt-LT"/>
        </w:rPr>
        <w:noBreakHyphen/>
        <w:t>S</w:t>
      </w:r>
      <w:r w:rsidRPr="00947D6E">
        <w:rPr>
          <w:rFonts w:ascii="Times New Roman" w:eastAsia="Times New Roman" w:hAnsi="Times New Roman"/>
          <w:lang w:val="lt-LT"/>
        </w:rPr>
        <w:t>SRS buvo pranešta apie „nespecifines aktyvias mintis apie savižudybę“ (20</w:t>
      </w:r>
      <w:r>
        <w:rPr>
          <w:rFonts w:ascii="Times New Roman" w:eastAsia="Times New Roman" w:hAnsi="Times New Roman"/>
          <w:lang w:val="lt-LT"/>
        </w:rPr>
        <w:t> </w:t>
      </w:r>
      <w:r w:rsidRPr="00947D6E">
        <w:rPr>
          <w:rFonts w:ascii="Times New Roman" w:eastAsia="Times New Roman" w:hAnsi="Times New Roman"/>
          <w:lang w:val="lt-LT"/>
        </w:rPr>
        <w:t>mg vortioksetino per parą: 1 iš 153 [0,7</w:t>
      </w:r>
      <w:r>
        <w:rPr>
          <w:rFonts w:ascii="Times New Roman" w:eastAsia="Times New Roman" w:hAnsi="Times New Roman"/>
          <w:lang w:val="lt-LT"/>
        </w:rPr>
        <w:t> </w:t>
      </w:r>
      <w:r w:rsidRPr="00947D6E">
        <w:rPr>
          <w:rFonts w:ascii="Times New Roman" w:eastAsia="Times New Roman" w:hAnsi="Times New Roman"/>
          <w:lang w:val="lt-LT"/>
        </w:rPr>
        <w:t>%]), placebas: 1 iš 153 [0,7</w:t>
      </w:r>
      <w:r>
        <w:rPr>
          <w:rFonts w:ascii="Times New Roman" w:eastAsia="Times New Roman" w:hAnsi="Times New Roman"/>
          <w:lang w:val="lt-LT"/>
        </w:rPr>
        <w:t> </w:t>
      </w:r>
      <w:r w:rsidRPr="00947D6E">
        <w:rPr>
          <w:rFonts w:ascii="Times New Roman" w:eastAsia="Times New Roman" w:hAnsi="Times New Roman"/>
          <w:lang w:val="lt-LT"/>
        </w:rPr>
        <w:t xml:space="preserve">%] ir </w:t>
      </w:r>
      <w:proofErr w:type="spellStart"/>
      <w:r w:rsidRPr="00947D6E">
        <w:rPr>
          <w:rFonts w:ascii="Times New Roman" w:eastAsia="Times New Roman" w:hAnsi="Times New Roman"/>
          <w:lang w:val="lt-LT"/>
        </w:rPr>
        <w:t>fluoksetinas</w:t>
      </w:r>
      <w:proofErr w:type="spellEnd"/>
      <w:r w:rsidRPr="00947D6E">
        <w:rPr>
          <w:rFonts w:ascii="Times New Roman" w:eastAsia="Times New Roman" w:hAnsi="Times New Roman"/>
          <w:lang w:val="lt-LT"/>
        </w:rPr>
        <w:t>: 3 iš 82 [3,7</w:t>
      </w:r>
      <w:r>
        <w:rPr>
          <w:rFonts w:ascii="Times New Roman" w:eastAsia="Times New Roman" w:hAnsi="Times New Roman"/>
          <w:lang w:val="lt-LT"/>
        </w:rPr>
        <w:t> </w:t>
      </w:r>
      <w:r w:rsidRPr="00947D6E">
        <w:rPr>
          <w:rFonts w:ascii="Times New Roman" w:eastAsia="Times New Roman" w:hAnsi="Times New Roman"/>
          <w:lang w:val="lt-LT"/>
        </w:rPr>
        <w:t xml:space="preserve">%]). Su savižudybe susijusios mintys ir elgesys, matuojami pagal Kolumbijos universiteto minčių apie savižudybę intensyvumo vertinimo klausimyną (angl. </w:t>
      </w:r>
      <w:proofErr w:type="spellStart"/>
      <w:r w:rsidRPr="00947D6E">
        <w:rPr>
          <w:rFonts w:ascii="Times New Roman" w:eastAsia="Times New Roman" w:hAnsi="Times New Roman"/>
          <w:i/>
          <w:iCs/>
          <w:lang w:val="lt-LT"/>
        </w:rPr>
        <w:t>Columbia</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Suicide</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Severity</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Rating</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Scale</w:t>
      </w:r>
      <w:proofErr w:type="spellEnd"/>
      <w:r w:rsidRPr="00947D6E">
        <w:rPr>
          <w:rFonts w:ascii="Times New Roman" w:eastAsia="Times New Roman" w:hAnsi="Times New Roman"/>
          <w:lang w:val="lt-LT"/>
        </w:rPr>
        <w:t>, C-SSRS), buvo panašūs visose gydymo grupėse.</w:t>
      </w:r>
    </w:p>
    <w:p w14:paraId="4AF82CE8" w14:textId="77777777" w:rsidR="00947D6E" w:rsidRPr="00C9458B" w:rsidRDefault="00947D6E" w:rsidP="00947D6E">
      <w:pPr>
        <w:widowControl w:val="0"/>
        <w:autoSpaceDE w:val="0"/>
        <w:autoSpaceDN w:val="0"/>
        <w:adjustRightInd w:val="0"/>
        <w:spacing w:after="0" w:line="240" w:lineRule="auto"/>
        <w:rPr>
          <w:rFonts w:ascii="Times New Roman" w:eastAsia="Times New Roman" w:hAnsi="Times New Roman"/>
          <w:lang w:val="lt-LT"/>
        </w:rPr>
      </w:pPr>
    </w:p>
    <w:p w14:paraId="1BB084C4" w14:textId="39BD17EF" w:rsid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r w:rsidRPr="00947D6E">
        <w:rPr>
          <w:rFonts w:ascii="Times New Roman" w:eastAsia="Times New Roman" w:hAnsi="Times New Roman"/>
          <w:lang w:val="lt-LT"/>
        </w:rPr>
        <w:t>Tyrime su paaugliais nuo 12 iki 17</w:t>
      </w:r>
      <w:r>
        <w:rPr>
          <w:rFonts w:ascii="Times New Roman" w:eastAsia="Times New Roman" w:hAnsi="Times New Roman"/>
          <w:lang w:val="lt-LT"/>
        </w:rPr>
        <w:t> </w:t>
      </w:r>
      <w:r w:rsidRPr="00947D6E">
        <w:rPr>
          <w:rFonts w:ascii="Times New Roman" w:eastAsia="Times New Roman" w:hAnsi="Times New Roman"/>
          <w:lang w:val="lt-LT"/>
        </w:rPr>
        <w:t>metų nei 10</w:t>
      </w:r>
      <w:r>
        <w:rPr>
          <w:rFonts w:ascii="Times New Roman" w:eastAsia="Times New Roman" w:hAnsi="Times New Roman"/>
          <w:lang w:val="lt-LT"/>
        </w:rPr>
        <w:t> </w:t>
      </w:r>
      <w:r w:rsidRPr="00947D6E">
        <w:rPr>
          <w:rFonts w:ascii="Times New Roman" w:eastAsia="Times New Roman" w:hAnsi="Times New Roman"/>
          <w:lang w:val="lt-LT"/>
        </w:rPr>
        <w:t>mg per parą, nei 20</w:t>
      </w:r>
      <w:r>
        <w:rPr>
          <w:rFonts w:ascii="Times New Roman" w:eastAsia="Times New Roman" w:hAnsi="Times New Roman"/>
          <w:lang w:val="lt-LT"/>
        </w:rPr>
        <w:t> </w:t>
      </w:r>
      <w:r w:rsidRPr="00947D6E">
        <w:rPr>
          <w:rFonts w:ascii="Times New Roman" w:eastAsia="Times New Roman" w:hAnsi="Times New Roman"/>
          <w:lang w:val="lt-LT"/>
        </w:rPr>
        <w:t xml:space="preserve">mg per parą vortioksetino dozė nebuvo statistiškai reikšmingai pranašesnė už placebą, atsižvelgiant į Vaikų depresijos vertinimo skalės su pataisomis (angl. </w:t>
      </w:r>
      <w:proofErr w:type="spellStart"/>
      <w:r w:rsidRPr="00947D6E">
        <w:rPr>
          <w:rFonts w:ascii="Times New Roman" w:eastAsia="Times New Roman" w:hAnsi="Times New Roman"/>
          <w:i/>
          <w:iCs/>
          <w:lang w:val="lt-LT"/>
        </w:rPr>
        <w:t>Children's</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Depression</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Rating</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Scale</w:t>
      </w:r>
      <w:proofErr w:type="spellEnd"/>
      <w:r w:rsidRPr="00947D6E">
        <w:rPr>
          <w:rFonts w:ascii="Times New Roman" w:eastAsia="Times New Roman" w:hAnsi="Times New Roman"/>
          <w:i/>
          <w:iCs/>
          <w:lang w:val="lt-LT"/>
        </w:rPr>
        <w:t xml:space="preserve"> </w:t>
      </w:r>
      <w:proofErr w:type="spellStart"/>
      <w:r w:rsidRPr="00947D6E">
        <w:rPr>
          <w:rFonts w:ascii="Times New Roman" w:eastAsia="Times New Roman" w:hAnsi="Times New Roman"/>
          <w:i/>
          <w:iCs/>
          <w:lang w:val="lt-LT"/>
        </w:rPr>
        <w:t>Revised</w:t>
      </w:r>
      <w:proofErr w:type="spellEnd"/>
      <w:r w:rsidRPr="00947D6E">
        <w:rPr>
          <w:rFonts w:ascii="Times New Roman" w:eastAsia="Times New Roman" w:hAnsi="Times New Roman"/>
          <w:lang w:val="lt-LT"/>
        </w:rPr>
        <w:t>, CDRS</w:t>
      </w:r>
      <w:r>
        <w:rPr>
          <w:rFonts w:ascii="Times New Roman" w:eastAsia="Times New Roman" w:hAnsi="Times New Roman"/>
          <w:lang w:val="lt-LT"/>
        </w:rPr>
        <w:noBreakHyphen/>
      </w:r>
      <w:r w:rsidRPr="00947D6E">
        <w:rPr>
          <w:rFonts w:ascii="Times New Roman" w:eastAsia="Times New Roman" w:hAnsi="Times New Roman"/>
          <w:lang w:val="lt-LT"/>
        </w:rPr>
        <w:t>R) bendrąjį įvertį. Bendrasis CDRS</w:t>
      </w:r>
      <w:r>
        <w:rPr>
          <w:rFonts w:ascii="Times New Roman" w:eastAsia="Times New Roman" w:hAnsi="Times New Roman"/>
          <w:lang w:val="lt-LT"/>
        </w:rPr>
        <w:noBreakHyphen/>
      </w:r>
      <w:r w:rsidRPr="00947D6E">
        <w:rPr>
          <w:rFonts w:ascii="Times New Roman" w:eastAsia="Times New Roman" w:hAnsi="Times New Roman"/>
          <w:lang w:val="lt-LT"/>
        </w:rPr>
        <w:t>R įvertis statistiškai skyrėsi vartojant palyginamąją veikliąją medžiagą (20</w:t>
      </w:r>
      <w:r>
        <w:rPr>
          <w:rFonts w:ascii="Times New Roman" w:eastAsia="Times New Roman" w:hAnsi="Times New Roman"/>
          <w:lang w:val="lt-LT"/>
        </w:rPr>
        <w:t> </w:t>
      </w:r>
      <w:r w:rsidRPr="00947D6E">
        <w:rPr>
          <w:rFonts w:ascii="Times New Roman" w:eastAsia="Times New Roman" w:hAnsi="Times New Roman"/>
          <w:lang w:val="lt-LT"/>
        </w:rPr>
        <w:t xml:space="preserve">mg per parą </w:t>
      </w:r>
      <w:proofErr w:type="spellStart"/>
      <w:r w:rsidRPr="00947D6E">
        <w:rPr>
          <w:rFonts w:ascii="Times New Roman" w:eastAsia="Times New Roman" w:hAnsi="Times New Roman"/>
          <w:lang w:val="lt-LT"/>
        </w:rPr>
        <w:t>fluoksetino</w:t>
      </w:r>
      <w:proofErr w:type="spellEnd"/>
      <w:r w:rsidRPr="00947D6E">
        <w:rPr>
          <w:rFonts w:ascii="Times New Roman" w:eastAsia="Times New Roman" w:hAnsi="Times New Roman"/>
          <w:lang w:val="lt-LT"/>
        </w:rPr>
        <w:t>), palyginti su placebu. Apskritai, vortioksetino nepageidaujamų reakc</w:t>
      </w:r>
      <w:r>
        <w:rPr>
          <w:rFonts w:ascii="Times New Roman" w:eastAsia="Times New Roman" w:hAnsi="Times New Roman"/>
          <w:lang w:val="lt-LT"/>
        </w:rPr>
        <w:t>i</w:t>
      </w:r>
      <w:r w:rsidRPr="00947D6E">
        <w:rPr>
          <w:rFonts w:ascii="Times New Roman" w:eastAsia="Times New Roman" w:hAnsi="Times New Roman"/>
          <w:lang w:val="lt-LT"/>
        </w:rPr>
        <w:t>jų pobūdis paaugliams buvo panašus kaip ir suaugusiesiems, išskyrus tai, kad paaugliams dažniau nei suaugusiesiems pasireiškė pilvo skausmas ir mintys apie savižudybę. Vaistinio preparato vartojimo nutraukimo dėl nepageidaujamų reiškinių (dažniausiai dėl minčių apie savižudybę, pykinimo ir vėmimo) dažnis buvo didžiausias pacientams, gydytiems 20</w:t>
      </w:r>
      <w:r>
        <w:rPr>
          <w:rFonts w:ascii="Times New Roman" w:eastAsia="Times New Roman" w:hAnsi="Times New Roman"/>
          <w:lang w:val="lt-LT"/>
        </w:rPr>
        <w:t> </w:t>
      </w:r>
      <w:r w:rsidRPr="00947D6E">
        <w:rPr>
          <w:rFonts w:ascii="Times New Roman" w:eastAsia="Times New Roman" w:hAnsi="Times New Roman"/>
          <w:lang w:val="lt-LT"/>
        </w:rPr>
        <w:t>mg per parą vortioksetino doze (5,6</w:t>
      </w:r>
      <w:r>
        <w:rPr>
          <w:rFonts w:ascii="Times New Roman" w:eastAsia="Times New Roman" w:hAnsi="Times New Roman"/>
          <w:lang w:val="lt-LT"/>
        </w:rPr>
        <w:t> </w:t>
      </w:r>
      <w:r w:rsidRPr="00947D6E">
        <w:rPr>
          <w:rFonts w:ascii="Times New Roman" w:eastAsia="Times New Roman" w:hAnsi="Times New Roman"/>
          <w:lang w:val="lt-LT"/>
        </w:rPr>
        <w:t>%), palyginti su 10</w:t>
      </w:r>
      <w:r>
        <w:rPr>
          <w:rFonts w:ascii="Times New Roman" w:eastAsia="Times New Roman" w:hAnsi="Times New Roman"/>
          <w:lang w:val="lt-LT"/>
        </w:rPr>
        <w:t> </w:t>
      </w:r>
      <w:r w:rsidRPr="00947D6E">
        <w:rPr>
          <w:rFonts w:ascii="Times New Roman" w:eastAsia="Times New Roman" w:hAnsi="Times New Roman"/>
          <w:lang w:val="lt-LT"/>
        </w:rPr>
        <w:t>mg per parą vortioksetino doze (2,7</w:t>
      </w:r>
      <w:r>
        <w:rPr>
          <w:rFonts w:ascii="Times New Roman" w:eastAsia="Times New Roman" w:hAnsi="Times New Roman"/>
          <w:lang w:val="lt-LT"/>
        </w:rPr>
        <w:t> </w:t>
      </w:r>
      <w:r w:rsidRPr="00947D6E">
        <w:rPr>
          <w:rFonts w:ascii="Times New Roman" w:eastAsia="Times New Roman" w:hAnsi="Times New Roman"/>
          <w:lang w:val="lt-LT"/>
        </w:rPr>
        <w:t xml:space="preserve">%), </w:t>
      </w:r>
      <w:proofErr w:type="spellStart"/>
      <w:r w:rsidRPr="00947D6E">
        <w:rPr>
          <w:rFonts w:ascii="Times New Roman" w:eastAsia="Times New Roman" w:hAnsi="Times New Roman"/>
          <w:lang w:val="lt-LT"/>
        </w:rPr>
        <w:t>fluoksetinu</w:t>
      </w:r>
      <w:proofErr w:type="spellEnd"/>
      <w:r w:rsidRPr="00947D6E">
        <w:rPr>
          <w:rFonts w:ascii="Times New Roman" w:eastAsia="Times New Roman" w:hAnsi="Times New Roman"/>
          <w:lang w:val="lt-LT"/>
        </w:rPr>
        <w:t xml:space="preserve"> (3,3</w:t>
      </w:r>
      <w:r>
        <w:rPr>
          <w:rFonts w:ascii="Times New Roman" w:eastAsia="Times New Roman" w:hAnsi="Times New Roman"/>
          <w:lang w:val="lt-LT"/>
        </w:rPr>
        <w:t> </w:t>
      </w:r>
      <w:r w:rsidRPr="00947D6E">
        <w:rPr>
          <w:rFonts w:ascii="Times New Roman" w:eastAsia="Times New Roman" w:hAnsi="Times New Roman"/>
          <w:lang w:val="lt-LT"/>
        </w:rPr>
        <w:t>%) ir placebu (1,3</w:t>
      </w:r>
      <w:r>
        <w:rPr>
          <w:rFonts w:ascii="Times New Roman" w:eastAsia="Times New Roman" w:hAnsi="Times New Roman"/>
          <w:lang w:val="lt-LT"/>
        </w:rPr>
        <w:t> </w:t>
      </w:r>
      <w:r w:rsidRPr="00947D6E">
        <w:rPr>
          <w:rFonts w:ascii="Times New Roman" w:eastAsia="Times New Roman" w:hAnsi="Times New Roman"/>
          <w:lang w:val="lt-LT"/>
        </w:rPr>
        <w:t>%). Dažniausiai nustatyti nepageidaujami reiškiniai gydymo vortioksetinu grupėse buvo pykinimas, vėmimas ir galvos skausmas. Su savižudybe susijusios mintys ir elgesys buvo nustatyti kaip nepageidaujami reiškiniai tiek per 4</w:t>
      </w:r>
      <w:r>
        <w:rPr>
          <w:rFonts w:ascii="Times New Roman" w:eastAsia="Times New Roman" w:hAnsi="Times New Roman"/>
          <w:lang w:val="lt-LT"/>
        </w:rPr>
        <w:t> </w:t>
      </w:r>
      <w:r w:rsidRPr="00947D6E">
        <w:rPr>
          <w:rFonts w:ascii="Times New Roman" w:eastAsia="Times New Roman" w:hAnsi="Times New Roman"/>
          <w:lang w:val="lt-LT"/>
        </w:rPr>
        <w:t>savaičių trukmės viengubai koduotą įvadinį laikotarpį (placebas: 13 iš 777 [1,7</w:t>
      </w:r>
      <w:r>
        <w:rPr>
          <w:rFonts w:ascii="Times New Roman" w:eastAsia="Times New Roman" w:hAnsi="Times New Roman"/>
          <w:lang w:val="lt-LT"/>
        </w:rPr>
        <w:t> </w:t>
      </w:r>
      <w:r w:rsidRPr="00947D6E">
        <w:rPr>
          <w:rFonts w:ascii="Times New Roman" w:eastAsia="Times New Roman" w:hAnsi="Times New Roman"/>
          <w:lang w:val="lt-LT"/>
        </w:rPr>
        <w:t>%]), tiek per 8</w:t>
      </w:r>
      <w:r>
        <w:rPr>
          <w:rFonts w:ascii="Times New Roman" w:eastAsia="Times New Roman" w:hAnsi="Times New Roman"/>
          <w:lang w:val="lt-LT"/>
        </w:rPr>
        <w:t> </w:t>
      </w:r>
      <w:r w:rsidRPr="00947D6E">
        <w:rPr>
          <w:rFonts w:ascii="Times New Roman" w:eastAsia="Times New Roman" w:hAnsi="Times New Roman"/>
          <w:lang w:val="lt-LT"/>
        </w:rPr>
        <w:t>savaičių trukmės gydymo laikotarpį (10</w:t>
      </w:r>
      <w:r>
        <w:rPr>
          <w:rFonts w:ascii="Times New Roman" w:eastAsia="Times New Roman" w:hAnsi="Times New Roman"/>
          <w:lang w:val="lt-LT"/>
        </w:rPr>
        <w:t> </w:t>
      </w:r>
      <w:r w:rsidRPr="00947D6E">
        <w:rPr>
          <w:rFonts w:ascii="Times New Roman" w:eastAsia="Times New Roman" w:hAnsi="Times New Roman"/>
          <w:lang w:val="lt-LT"/>
        </w:rPr>
        <w:t>mg per parą vortioksetino dozė: 2 iš 147 [1,4</w:t>
      </w:r>
      <w:r>
        <w:rPr>
          <w:rFonts w:ascii="Times New Roman" w:eastAsia="Times New Roman" w:hAnsi="Times New Roman"/>
          <w:lang w:val="lt-LT"/>
        </w:rPr>
        <w:t> </w:t>
      </w:r>
      <w:r w:rsidRPr="00947D6E">
        <w:rPr>
          <w:rFonts w:ascii="Times New Roman" w:eastAsia="Times New Roman" w:hAnsi="Times New Roman"/>
          <w:lang w:val="lt-LT"/>
        </w:rPr>
        <w:t>%], 20</w:t>
      </w:r>
      <w:r>
        <w:rPr>
          <w:rFonts w:ascii="Times New Roman" w:eastAsia="Times New Roman" w:hAnsi="Times New Roman"/>
          <w:lang w:val="lt-LT"/>
        </w:rPr>
        <w:t> </w:t>
      </w:r>
      <w:r w:rsidRPr="00947D6E">
        <w:rPr>
          <w:rFonts w:ascii="Times New Roman" w:eastAsia="Times New Roman" w:hAnsi="Times New Roman"/>
          <w:lang w:val="lt-LT"/>
        </w:rPr>
        <w:t>mg per parą vortioksetino dozė: 6 iš 161 [3,7</w:t>
      </w:r>
      <w:r>
        <w:rPr>
          <w:rFonts w:ascii="Times New Roman" w:eastAsia="Times New Roman" w:hAnsi="Times New Roman"/>
          <w:lang w:val="lt-LT"/>
        </w:rPr>
        <w:t> </w:t>
      </w:r>
      <w:r w:rsidRPr="00947D6E">
        <w:rPr>
          <w:rFonts w:ascii="Times New Roman" w:eastAsia="Times New Roman" w:hAnsi="Times New Roman"/>
          <w:lang w:val="lt-LT"/>
        </w:rPr>
        <w:t xml:space="preserve">%], </w:t>
      </w:r>
      <w:proofErr w:type="spellStart"/>
      <w:r w:rsidRPr="00947D6E">
        <w:rPr>
          <w:rFonts w:ascii="Times New Roman" w:eastAsia="Times New Roman" w:hAnsi="Times New Roman"/>
          <w:lang w:val="lt-LT"/>
        </w:rPr>
        <w:t>fluoksetinas</w:t>
      </w:r>
      <w:proofErr w:type="spellEnd"/>
      <w:r w:rsidRPr="00947D6E">
        <w:rPr>
          <w:rFonts w:ascii="Times New Roman" w:eastAsia="Times New Roman" w:hAnsi="Times New Roman"/>
          <w:lang w:val="lt-LT"/>
        </w:rPr>
        <w:t>: 6 iš 153 [3,9</w:t>
      </w:r>
      <w:r>
        <w:rPr>
          <w:rFonts w:ascii="Times New Roman" w:eastAsia="Times New Roman" w:hAnsi="Times New Roman"/>
          <w:lang w:val="lt-LT"/>
        </w:rPr>
        <w:t> </w:t>
      </w:r>
      <w:r w:rsidRPr="00947D6E">
        <w:rPr>
          <w:rFonts w:ascii="Times New Roman" w:eastAsia="Times New Roman" w:hAnsi="Times New Roman"/>
          <w:lang w:val="lt-LT"/>
        </w:rPr>
        <w:t>%], placebas: 0 iš 154 [0</w:t>
      </w:r>
      <w:r>
        <w:rPr>
          <w:rFonts w:ascii="Times New Roman" w:eastAsia="Times New Roman" w:hAnsi="Times New Roman"/>
          <w:lang w:val="lt-LT"/>
        </w:rPr>
        <w:t> </w:t>
      </w:r>
      <w:r w:rsidRPr="00947D6E">
        <w:rPr>
          <w:rFonts w:ascii="Times New Roman" w:eastAsia="Times New Roman" w:hAnsi="Times New Roman"/>
          <w:lang w:val="lt-LT"/>
        </w:rPr>
        <w:t>%]). Su savižudybe susijusios mintys ir elgesys, matuojami pagal Kolumbijos universiteto minčių apie savižudybę intensyvumo vertinimo klausimyną C</w:t>
      </w:r>
      <w:r>
        <w:rPr>
          <w:rFonts w:ascii="Times New Roman" w:eastAsia="Times New Roman" w:hAnsi="Times New Roman"/>
          <w:lang w:val="lt-LT"/>
        </w:rPr>
        <w:noBreakHyphen/>
      </w:r>
      <w:r w:rsidRPr="00947D6E">
        <w:rPr>
          <w:rFonts w:ascii="Times New Roman" w:eastAsia="Times New Roman" w:hAnsi="Times New Roman"/>
          <w:lang w:val="lt-LT"/>
        </w:rPr>
        <w:t>SSRS, buvo panašūs visose gydymo grupėse.</w:t>
      </w:r>
    </w:p>
    <w:p w14:paraId="4E3CF406" w14:textId="77777777" w:rsidR="00947D6E" w:rsidRP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p>
    <w:p w14:paraId="163BE76D" w14:textId="1DE83C3A" w:rsidR="00685CC6" w:rsidRDefault="00947D6E" w:rsidP="00947D6E">
      <w:pPr>
        <w:widowControl w:val="0"/>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Vortioksetino</w:t>
      </w:r>
      <w:r w:rsidRPr="00947D6E">
        <w:rPr>
          <w:rFonts w:ascii="Times New Roman" w:eastAsia="Times New Roman" w:hAnsi="Times New Roman"/>
          <w:lang w:val="lt-LT"/>
        </w:rPr>
        <w:t xml:space="preserve"> negalima vartoti vaikams (iki 18</w:t>
      </w:r>
      <w:r>
        <w:rPr>
          <w:rFonts w:ascii="Times New Roman" w:eastAsia="Times New Roman" w:hAnsi="Times New Roman"/>
          <w:lang w:val="lt-LT"/>
        </w:rPr>
        <w:t> </w:t>
      </w:r>
      <w:r w:rsidRPr="00947D6E">
        <w:rPr>
          <w:rFonts w:ascii="Times New Roman" w:eastAsia="Times New Roman" w:hAnsi="Times New Roman"/>
          <w:lang w:val="lt-LT"/>
        </w:rPr>
        <w:t>metų), sergantiems didžiosios depresijos sutrikimu (žr. 4.2 skyrių).</w:t>
      </w:r>
    </w:p>
    <w:p w14:paraId="53C9A35E" w14:textId="77777777" w:rsidR="00947D6E" w:rsidRDefault="00947D6E" w:rsidP="00947D6E">
      <w:pPr>
        <w:widowControl w:val="0"/>
        <w:autoSpaceDE w:val="0"/>
        <w:autoSpaceDN w:val="0"/>
        <w:adjustRightInd w:val="0"/>
        <w:spacing w:after="0" w:line="240" w:lineRule="auto"/>
        <w:rPr>
          <w:rFonts w:ascii="Times New Roman" w:eastAsia="Times New Roman" w:hAnsi="Times New Roman"/>
          <w:lang w:val="lt-LT"/>
        </w:rPr>
      </w:pPr>
    </w:p>
    <w:p w14:paraId="45327706" w14:textId="390073DB" w:rsidR="00947D6E" w:rsidRPr="00C9458B" w:rsidRDefault="00947D6E" w:rsidP="00947D6E">
      <w:pPr>
        <w:widowControl w:val="0"/>
        <w:autoSpaceDE w:val="0"/>
        <w:autoSpaceDN w:val="0"/>
        <w:adjustRightInd w:val="0"/>
        <w:spacing w:after="0" w:line="240" w:lineRule="auto"/>
        <w:rPr>
          <w:rFonts w:ascii="Times New Roman" w:eastAsia="Times New Roman" w:hAnsi="Times New Roman"/>
          <w:lang w:val="lt-LT"/>
        </w:rPr>
      </w:pPr>
      <w:r w:rsidRPr="00947D6E">
        <w:rPr>
          <w:rFonts w:ascii="Times New Roman" w:eastAsia="Times New Roman" w:hAnsi="Times New Roman"/>
          <w:lang w:val="lt-LT"/>
        </w:rPr>
        <w:t>Europos vaistų agentūra atleido nuo įpareigojimo pateikti didžiosios depresijos sutrikimo gydymo vortioksetinu tyrimų su jaunesniais kaip 7</w:t>
      </w:r>
      <w:r>
        <w:rPr>
          <w:rFonts w:ascii="Times New Roman" w:eastAsia="Times New Roman" w:hAnsi="Times New Roman"/>
          <w:lang w:val="lt-LT"/>
        </w:rPr>
        <w:t> </w:t>
      </w:r>
      <w:r w:rsidRPr="00947D6E">
        <w:rPr>
          <w:rFonts w:ascii="Times New Roman" w:eastAsia="Times New Roman" w:hAnsi="Times New Roman"/>
          <w:lang w:val="lt-LT"/>
        </w:rPr>
        <w:t>metų vaikais duomenis (vartojimo vaikams informacija pateikiama 4.2 skyriuje).</w:t>
      </w:r>
    </w:p>
    <w:p w14:paraId="61070A8E" w14:textId="77777777" w:rsidR="00E740C6" w:rsidRPr="00C9458B" w:rsidRDefault="00E740C6" w:rsidP="00880BFA">
      <w:pPr>
        <w:widowControl w:val="0"/>
        <w:autoSpaceDE w:val="0"/>
        <w:autoSpaceDN w:val="0"/>
        <w:adjustRightInd w:val="0"/>
        <w:spacing w:after="0" w:line="240" w:lineRule="auto"/>
        <w:rPr>
          <w:rFonts w:ascii="Times New Roman" w:eastAsia="Times New Roman" w:hAnsi="Times New Roman"/>
          <w:lang w:val="lt-LT"/>
        </w:rPr>
      </w:pPr>
    </w:p>
    <w:p w14:paraId="6839831D" w14:textId="77777777" w:rsidR="00E0107B" w:rsidRPr="00514245" w:rsidRDefault="00E0107B" w:rsidP="00857124">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5.2</w:t>
      </w:r>
      <w:r w:rsidRPr="00514245">
        <w:rPr>
          <w:rFonts w:ascii="Times New Roman" w:hAnsi="Times New Roman"/>
          <w:lang w:val="lt-LT"/>
        </w:rPr>
        <w:tab/>
      </w:r>
      <w:proofErr w:type="spellStart"/>
      <w:r w:rsidRPr="00514245">
        <w:rPr>
          <w:rFonts w:ascii="Times New Roman" w:hAnsi="Times New Roman"/>
          <w:b/>
          <w:lang w:val="lt-LT"/>
        </w:rPr>
        <w:t>Farmakokinetinės</w:t>
      </w:r>
      <w:proofErr w:type="spellEnd"/>
      <w:r w:rsidRPr="00514245">
        <w:rPr>
          <w:rFonts w:ascii="Times New Roman" w:hAnsi="Times New Roman"/>
          <w:b/>
          <w:lang w:val="lt-LT"/>
        </w:rPr>
        <w:t xml:space="preserve"> savybės</w:t>
      </w:r>
    </w:p>
    <w:p w14:paraId="0167E4F4" w14:textId="77777777" w:rsidR="00E0107B" w:rsidRPr="00514245" w:rsidRDefault="00E0107B" w:rsidP="00857124">
      <w:pPr>
        <w:keepNext/>
        <w:autoSpaceDE w:val="0"/>
        <w:autoSpaceDN w:val="0"/>
        <w:adjustRightInd w:val="0"/>
        <w:spacing w:after="0" w:line="240" w:lineRule="auto"/>
        <w:rPr>
          <w:rFonts w:ascii="Times New Roman" w:eastAsia="Times New Roman" w:hAnsi="Times New Roman"/>
          <w:lang w:val="lt-LT"/>
        </w:rPr>
      </w:pPr>
    </w:p>
    <w:p w14:paraId="53CC8EAA" w14:textId="77777777" w:rsidR="00E0107B" w:rsidRPr="00514245" w:rsidRDefault="00E0107B" w:rsidP="00857124">
      <w:pPr>
        <w:keepNext/>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position w:val="-1"/>
          <w:u w:val="single"/>
          <w:lang w:val="lt-LT"/>
        </w:rPr>
        <w:t>Absorbcija</w:t>
      </w:r>
    </w:p>
    <w:p w14:paraId="06D54DAB" w14:textId="734AB97E" w:rsidR="00367092" w:rsidRPr="00514245" w:rsidRDefault="00367092" w:rsidP="00857124">
      <w:pPr>
        <w:keepNext/>
        <w:autoSpaceDE w:val="0"/>
        <w:autoSpaceDN w:val="0"/>
        <w:adjustRightInd w:val="0"/>
        <w:spacing w:after="0" w:line="240" w:lineRule="auto"/>
        <w:rPr>
          <w:rFonts w:ascii="Times New Roman" w:eastAsia="Times New Roman" w:hAnsi="Times New Roman"/>
          <w:lang w:val="lt-LT"/>
        </w:rPr>
      </w:pPr>
    </w:p>
    <w:p w14:paraId="23283712" w14:textId="1EDACE4B" w:rsidR="006F34F2" w:rsidRDefault="00947D6E" w:rsidP="00857124">
      <w:pPr>
        <w:keepNext/>
        <w:autoSpaceDE w:val="0"/>
        <w:autoSpaceDN w:val="0"/>
        <w:adjustRightInd w:val="0"/>
        <w:spacing w:after="0" w:line="240" w:lineRule="auto"/>
        <w:rPr>
          <w:rFonts w:ascii="Times New Roman" w:hAnsi="Times New Roman"/>
          <w:spacing w:val="-1"/>
          <w:position w:val="-1"/>
          <w:lang w:val="lt-LT"/>
        </w:rPr>
      </w:pPr>
      <w:r w:rsidRPr="00947D6E">
        <w:rPr>
          <w:rFonts w:ascii="Times New Roman" w:hAnsi="Times New Roman"/>
          <w:spacing w:val="-1"/>
          <w:position w:val="-1"/>
          <w:lang w:val="lt-LT"/>
        </w:rPr>
        <w:t>Išgertas vortioksetinas lėtai, bet gerai absorbuojamas ir didžiausia jo koncentracija plazmoje pasiekiama per 7</w:t>
      </w:r>
      <w:r>
        <w:rPr>
          <w:rFonts w:ascii="Times New Roman" w:hAnsi="Times New Roman"/>
          <w:spacing w:val="-1"/>
          <w:position w:val="-1"/>
          <w:lang w:val="lt-LT"/>
        </w:rPr>
        <w:noBreakHyphen/>
      </w:r>
      <w:r w:rsidRPr="00947D6E">
        <w:rPr>
          <w:rFonts w:ascii="Times New Roman" w:hAnsi="Times New Roman"/>
          <w:spacing w:val="-1"/>
          <w:position w:val="-1"/>
          <w:lang w:val="lt-LT"/>
        </w:rPr>
        <w:t>11</w:t>
      </w:r>
      <w:r>
        <w:rPr>
          <w:rFonts w:ascii="Times New Roman" w:hAnsi="Times New Roman"/>
          <w:spacing w:val="-1"/>
          <w:position w:val="-1"/>
          <w:lang w:val="lt-LT"/>
        </w:rPr>
        <w:t> </w:t>
      </w:r>
      <w:r w:rsidRPr="00947D6E">
        <w:rPr>
          <w:rFonts w:ascii="Times New Roman" w:hAnsi="Times New Roman"/>
          <w:spacing w:val="-1"/>
          <w:position w:val="-1"/>
          <w:lang w:val="lt-LT"/>
        </w:rPr>
        <w:t>valandų. Po kartotinių 5</w:t>
      </w:r>
      <w:r>
        <w:rPr>
          <w:rFonts w:ascii="Times New Roman" w:hAnsi="Times New Roman"/>
          <w:spacing w:val="-1"/>
          <w:position w:val="-1"/>
          <w:lang w:val="lt-LT"/>
        </w:rPr>
        <w:t> </w:t>
      </w:r>
      <w:r w:rsidRPr="00947D6E">
        <w:rPr>
          <w:rFonts w:ascii="Times New Roman" w:hAnsi="Times New Roman"/>
          <w:spacing w:val="-1"/>
          <w:position w:val="-1"/>
          <w:lang w:val="lt-LT"/>
        </w:rPr>
        <w:t>mg, 10</w:t>
      </w:r>
      <w:r>
        <w:rPr>
          <w:rFonts w:ascii="Times New Roman" w:hAnsi="Times New Roman"/>
          <w:spacing w:val="-1"/>
          <w:position w:val="-1"/>
          <w:lang w:val="lt-LT"/>
        </w:rPr>
        <w:t> </w:t>
      </w:r>
      <w:r w:rsidRPr="00947D6E">
        <w:rPr>
          <w:rFonts w:ascii="Times New Roman" w:hAnsi="Times New Roman"/>
          <w:spacing w:val="-1"/>
          <w:position w:val="-1"/>
          <w:lang w:val="lt-LT"/>
        </w:rPr>
        <w:t>mg ar 20</w:t>
      </w:r>
      <w:r>
        <w:rPr>
          <w:rFonts w:ascii="Times New Roman" w:hAnsi="Times New Roman"/>
          <w:spacing w:val="-1"/>
          <w:position w:val="-1"/>
          <w:lang w:val="lt-LT"/>
        </w:rPr>
        <w:t> </w:t>
      </w:r>
      <w:r w:rsidRPr="00947D6E">
        <w:rPr>
          <w:rFonts w:ascii="Times New Roman" w:hAnsi="Times New Roman"/>
          <w:spacing w:val="-1"/>
          <w:position w:val="-1"/>
          <w:lang w:val="lt-LT"/>
        </w:rPr>
        <w:t>mg dozių per parą pavartojimo, buvo išmatuota nuo 9</w:t>
      </w:r>
      <w:r>
        <w:rPr>
          <w:rFonts w:ascii="Times New Roman" w:hAnsi="Times New Roman"/>
          <w:spacing w:val="-1"/>
          <w:position w:val="-1"/>
          <w:lang w:val="lt-LT"/>
        </w:rPr>
        <w:t> </w:t>
      </w:r>
      <w:proofErr w:type="spellStart"/>
      <w:r w:rsidRPr="00947D6E">
        <w:rPr>
          <w:rFonts w:ascii="Times New Roman" w:hAnsi="Times New Roman"/>
          <w:spacing w:val="-1"/>
          <w:position w:val="-1"/>
          <w:lang w:val="lt-LT"/>
        </w:rPr>
        <w:t>ng</w:t>
      </w:r>
      <w:proofErr w:type="spellEnd"/>
      <w:r w:rsidRPr="00947D6E">
        <w:rPr>
          <w:rFonts w:ascii="Times New Roman" w:hAnsi="Times New Roman"/>
          <w:spacing w:val="-1"/>
          <w:position w:val="-1"/>
          <w:lang w:val="lt-LT"/>
        </w:rPr>
        <w:t>/ml iki 33</w:t>
      </w:r>
      <w:r>
        <w:rPr>
          <w:rFonts w:ascii="Times New Roman" w:hAnsi="Times New Roman"/>
          <w:spacing w:val="-1"/>
          <w:position w:val="-1"/>
          <w:lang w:val="lt-LT"/>
        </w:rPr>
        <w:t> </w:t>
      </w:r>
      <w:proofErr w:type="spellStart"/>
      <w:r w:rsidRPr="00947D6E">
        <w:rPr>
          <w:rFonts w:ascii="Times New Roman" w:hAnsi="Times New Roman"/>
          <w:spacing w:val="-1"/>
          <w:position w:val="-1"/>
          <w:lang w:val="lt-LT"/>
        </w:rPr>
        <w:t>ng</w:t>
      </w:r>
      <w:proofErr w:type="spellEnd"/>
      <w:r w:rsidRPr="00947D6E">
        <w:rPr>
          <w:rFonts w:ascii="Times New Roman" w:hAnsi="Times New Roman"/>
          <w:spacing w:val="-1"/>
          <w:position w:val="-1"/>
          <w:lang w:val="lt-LT"/>
        </w:rPr>
        <w:t xml:space="preserve">/ml dydžio </w:t>
      </w:r>
      <w:proofErr w:type="spellStart"/>
      <w:r w:rsidRPr="00947D6E">
        <w:rPr>
          <w:rFonts w:ascii="Times New Roman" w:hAnsi="Times New Roman"/>
          <w:spacing w:val="-1"/>
          <w:position w:val="-1"/>
          <w:lang w:val="lt-LT"/>
        </w:rPr>
        <w:t>C</w:t>
      </w:r>
      <w:r w:rsidRPr="00947D6E">
        <w:rPr>
          <w:rFonts w:ascii="Times New Roman" w:hAnsi="Times New Roman"/>
          <w:spacing w:val="-1"/>
          <w:position w:val="-1"/>
          <w:vertAlign w:val="subscript"/>
          <w:lang w:val="lt-LT"/>
        </w:rPr>
        <w:t>max</w:t>
      </w:r>
      <w:proofErr w:type="spellEnd"/>
      <w:r w:rsidRPr="00947D6E">
        <w:rPr>
          <w:rFonts w:ascii="Times New Roman" w:hAnsi="Times New Roman"/>
          <w:spacing w:val="-1"/>
          <w:position w:val="-1"/>
          <w:lang w:val="lt-LT"/>
        </w:rPr>
        <w:t>. Absoliutus biologinis prieinamumas yra 75</w:t>
      </w:r>
      <w:r>
        <w:rPr>
          <w:rFonts w:ascii="Times New Roman" w:hAnsi="Times New Roman"/>
          <w:spacing w:val="-1"/>
          <w:position w:val="-1"/>
          <w:lang w:val="lt-LT"/>
        </w:rPr>
        <w:t> </w:t>
      </w:r>
      <w:r w:rsidRPr="00947D6E">
        <w:rPr>
          <w:rFonts w:ascii="Times New Roman" w:hAnsi="Times New Roman"/>
          <w:spacing w:val="-1"/>
          <w:position w:val="-1"/>
          <w:lang w:val="lt-LT"/>
        </w:rPr>
        <w:t xml:space="preserve">%. Maisto įtakos </w:t>
      </w:r>
      <w:proofErr w:type="spellStart"/>
      <w:r w:rsidRPr="00947D6E">
        <w:rPr>
          <w:rFonts w:ascii="Times New Roman" w:hAnsi="Times New Roman"/>
          <w:spacing w:val="-1"/>
          <w:position w:val="-1"/>
          <w:lang w:val="lt-LT"/>
        </w:rPr>
        <w:t>farmakokinetinėms</w:t>
      </w:r>
      <w:proofErr w:type="spellEnd"/>
      <w:r w:rsidRPr="00947D6E">
        <w:rPr>
          <w:rFonts w:ascii="Times New Roman" w:hAnsi="Times New Roman"/>
          <w:spacing w:val="-1"/>
          <w:position w:val="-1"/>
          <w:lang w:val="lt-LT"/>
        </w:rPr>
        <w:t xml:space="preserve"> savybėms nepastebėta (žr. 4.2 skyrių).</w:t>
      </w:r>
    </w:p>
    <w:p w14:paraId="08A9FA48" w14:textId="77777777" w:rsidR="00947D6E" w:rsidRPr="00514245" w:rsidRDefault="00947D6E" w:rsidP="00857124">
      <w:pPr>
        <w:keepNext/>
        <w:autoSpaceDE w:val="0"/>
        <w:autoSpaceDN w:val="0"/>
        <w:adjustRightInd w:val="0"/>
        <w:spacing w:after="0" w:line="240" w:lineRule="auto"/>
        <w:rPr>
          <w:rFonts w:ascii="Times New Roman" w:hAnsi="Times New Roman"/>
          <w:spacing w:val="-1"/>
          <w:position w:val="-1"/>
          <w:lang w:val="lt-LT"/>
        </w:rPr>
      </w:pPr>
    </w:p>
    <w:p w14:paraId="2A98127C" w14:textId="2B9F8F77" w:rsidR="00E0107B" w:rsidRPr="00514245" w:rsidRDefault="00E0107B" w:rsidP="00857124">
      <w:pPr>
        <w:keepNext/>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position w:val="-1"/>
          <w:u w:val="single"/>
          <w:lang w:val="lt-LT"/>
        </w:rPr>
        <w:t>Pasiskirstymas</w:t>
      </w:r>
    </w:p>
    <w:p w14:paraId="66090230" w14:textId="2627942C" w:rsidR="00857124" w:rsidRPr="00514245" w:rsidRDefault="00857124" w:rsidP="00857124">
      <w:pPr>
        <w:keepNext/>
        <w:autoSpaceDE w:val="0"/>
        <w:autoSpaceDN w:val="0"/>
        <w:adjustRightInd w:val="0"/>
        <w:spacing w:after="0" w:line="240" w:lineRule="auto"/>
        <w:rPr>
          <w:rFonts w:ascii="Times New Roman" w:hAnsi="Times New Roman"/>
          <w:position w:val="-1"/>
          <w:u w:val="single"/>
          <w:lang w:val="lt-LT"/>
        </w:rPr>
      </w:pPr>
    </w:p>
    <w:p w14:paraId="65A5C997" w14:textId="7DBE8663" w:rsidR="006F34F2" w:rsidRDefault="00151117" w:rsidP="008A24C5">
      <w:pPr>
        <w:keepNext/>
        <w:widowControl w:val="0"/>
        <w:autoSpaceDE w:val="0"/>
        <w:autoSpaceDN w:val="0"/>
        <w:adjustRightInd w:val="0"/>
        <w:spacing w:after="0" w:line="240" w:lineRule="auto"/>
        <w:rPr>
          <w:rFonts w:ascii="Times New Roman" w:hAnsi="Times New Roman"/>
          <w:position w:val="-1"/>
          <w:lang w:val="lt-LT"/>
        </w:rPr>
      </w:pPr>
      <w:r w:rsidRPr="00151117">
        <w:rPr>
          <w:rFonts w:ascii="Times New Roman" w:hAnsi="Times New Roman"/>
          <w:position w:val="-1"/>
          <w:lang w:val="lt-LT"/>
        </w:rPr>
        <w:t>Vidutinis pasiskirstymo tūris (</w:t>
      </w:r>
      <w:proofErr w:type="spellStart"/>
      <w:r w:rsidRPr="00151117">
        <w:rPr>
          <w:rFonts w:ascii="Times New Roman" w:hAnsi="Times New Roman"/>
          <w:position w:val="-1"/>
          <w:lang w:val="lt-LT"/>
        </w:rPr>
        <w:t>V</w:t>
      </w:r>
      <w:r w:rsidRPr="00151117">
        <w:rPr>
          <w:rFonts w:ascii="Times New Roman" w:hAnsi="Times New Roman"/>
          <w:position w:val="-1"/>
          <w:vertAlign w:val="subscript"/>
          <w:lang w:val="lt-LT"/>
        </w:rPr>
        <w:t>ss</w:t>
      </w:r>
      <w:proofErr w:type="spellEnd"/>
      <w:r w:rsidRPr="00151117">
        <w:rPr>
          <w:rFonts w:ascii="Times New Roman" w:hAnsi="Times New Roman"/>
          <w:position w:val="-1"/>
          <w:lang w:val="lt-LT"/>
        </w:rPr>
        <w:t>) yra 2</w:t>
      </w:r>
      <w:r>
        <w:rPr>
          <w:rFonts w:ascii="Times New Roman" w:hAnsi="Times New Roman"/>
          <w:position w:val="-1"/>
          <w:lang w:val="lt-LT"/>
        </w:rPr>
        <w:t> </w:t>
      </w:r>
      <w:r w:rsidRPr="00151117">
        <w:rPr>
          <w:rFonts w:ascii="Times New Roman" w:hAnsi="Times New Roman"/>
          <w:position w:val="-1"/>
          <w:lang w:val="lt-LT"/>
        </w:rPr>
        <w:t>600</w:t>
      </w:r>
      <w:r>
        <w:rPr>
          <w:rFonts w:ascii="Times New Roman" w:hAnsi="Times New Roman"/>
          <w:position w:val="-1"/>
          <w:lang w:val="lt-LT"/>
        </w:rPr>
        <w:t> </w:t>
      </w:r>
      <w:r w:rsidRPr="00151117">
        <w:rPr>
          <w:rFonts w:ascii="Times New Roman" w:hAnsi="Times New Roman"/>
          <w:position w:val="-1"/>
          <w:lang w:val="lt-LT"/>
        </w:rPr>
        <w:t>l. Tai rodo didelį pasiskirstymą už kraujagyslių ribų. Daug vortioksetino prisijungia prie plazmos baltymų (98</w:t>
      </w:r>
      <w:r>
        <w:rPr>
          <w:rFonts w:ascii="Times New Roman" w:hAnsi="Times New Roman"/>
          <w:position w:val="-1"/>
          <w:lang w:val="lt-LT"/>
        </w:rPr>
        <w:noBreakHyphen/>
      </w:r>
      <w:r w:rsidRPr="00151117">
        <w:rPr>
          <w:rFonts w:ascii="Times New Roman" w:hAnsi="Times New Roman"/>
          <w:position w:val="-1"/>
          <w:lang w:val="lt-LT"/>
        </w:rPr>
        <w:t>99</w:t>
      </w:r>
      <w:r>
        <w:rPr>
          <w:rFonts w:ascii="Times New Roman" w:hAnsi="Times New Roman"/>
          <w:position w:val="-1"/>
          <w:lang w:val="lt-LT"/>
        </w:rPr>
        <w:t> </w:t>
      </w:r>
      <w:r w:rsidRPr="00151117">
        <w:rPr>
          <w:rFonts w:ascii="Times New Roman" w:hAnsi="Times New Roman"/>
          <w:position w:val="-1"/>
          <w:lang w:val="lt-LT"/>
        </w:rPr>
        <w:t>%) ir pastebėta, kad prisijungimas nepriklauso nuo vortioksetino koncentracijų plazmoje.</w:t>
      </w:r>
    </w:p>
    <w:p w14:paraId="73B46673" w14:textId="77777777" w:rsidR="00151117" w:rsidRPr="00514245" w:rsidRDefault="00151117" w:rsidP="008A24C5">
      <w:pPr>
        <w:keepNext/>
        <w:widowControl w:val="0"/>
        <w:autoSpaceDE w:val="0"/>
        <w:autoSpaceDN w:val="0"/>
        <w:adjustRightInd w:val="0"/>
        <w:spacing w:after="0" w:line="240" w:lineRule="auto"/>
        <w:rPr>
          <w:rFonts w:ascii="Times New Roman" w:hAnsi="Times New Roman"/>
          <w:position w:val="-1"/>
          <w:lang w:val="lt-LT"/>
        </w:rPr>
      </w:pPr>
    </w:p>
    <w:p w14:paraId="53EB01A4" w14:textId="017D8882" w:rsidR="00E0107B" w:rsidRPr="00514245" w:rsidRDefault="00E0107B" w:rsidP="00857124">
      <w:pPr>
        <w:keepNext/>
        <w:autoSpaceDE w:val="0"/>
        <w:autoSpaceDN w:val="0"/>
        <w:adjustRightInd w:val="0"/>
        <w:spacing w:after="0" w:line="240" w:lineRule="auto"/>
        <w:rPr>
          <w:rFonts w:ascii="Times New Roman" w:hAnsi="Times New Roman"/>
          <w:position w:val="-1"/>
          <w:u w:val="single"/>
          <w:lang w:val="lt-LT"/>
        </w:rPr>
      </w:pPr>
      <w:proofErr w:type="spellStart"/>
      <w:r w:rsidRPr="00514245">
        <w:rPr>
          <w:rFonts w:ascii="Times New Roman" w:hAnsi="Times New Roman"/>
          <w:position w:val="-1"/>
          <w:u w:val="single"/>
          <w:lang w:val="lt-LT"/>
        </w:rPr>
        <w:t>Biotransformacija</w:t>
      </w:r>
      <w:proofErr w:type="spellEnd"/>
    </w:p>
    <w:p w14:paraId="47EAA2D7" w14:textId="77777777" w:rsidR="00857124" w:rsidRPr="00514245" w:rsidRDefault="00857124" w:rsidP="00857124">
      <w:pPr>
        <w:keepNext/>
        <w:autoSpaceDE w:val="0"/>
        <w:autoSpaceDN w:val="0"/>
        <w:adjustRightInd w:val="0"/>
        <w:spacing w:after="0" w:line="240" w:lineRule="auto"/>
        <w:rPr>
          <w:rFonts w:ascii="Times New Roman" w:eastAsia="Times New Roman" w:hAnsi="Times New Roman"/>
          <w:u w:val="single"/>
          <w:lang w:val="lt-LT"/>
        </w:rPr>
      </w:pPr>
    </w:p>
    <w:p w14:paraId="49F500ED" w14:textId="77777777" w:rsidR="00151117" w:rsidRDefault="00151117" w:rsidP="00151117">
      <w:pPr>
        <w:widowControl w:val="0"/>
        <w:autoSpaceDE w:val="0"/>
        <w:autoSpaceDN w:val="0"/>
        <w:adjustRightInd w:val="0"/>
        <w:spacing w:after="0" w:line="240" w:lineRule="auto"/>
        <w:rPr>
          <w:rFonts w:ascii="Times New Roman" w:hAnsi="Times New Roman"/>
          <w:position w:val="-1"/>
          <w:lang w:val="lt-LT"/>
        </w:rPr>
      </w:pPr>
      <w:proofErr w:type="spellStart"/>
      <w:r w:rsidRPr="00151117">
        <w:rPr>
          <w:rFonts w:ascii="Times New Roman" w:hAnsi="Times New Roman"/>
          <w:position w:val="-1"/>
          <w:lang w:val="lt-LT"/>
        </w:rPr>
        <w:t>Vortioksetinas</w:t>
      </w:r>
      <w:proofErr w:type="spellEnd"/>
      <w:r w:rsidRPr="00151117">
        <w:rPr>
          <w:rFonts w:ascii="Times New Roman" w:hAnsi="Times New Roman"/>
          <w:position w:val="-1"/>
          <w:lang w:val="lt-LT"/>
        </w:rPr>
        <w:t xml:space="preserve"> ekstensyviai </w:t>
      </w:r>
      <w:proofErr w:type="spellStart"/>
      <w:r w:rsidRPr="00151117">
        <w:rPr>
          <w:rFonts w:ascii="Times New Roman" w:hAnsi="Times New Roman"/>
          <w:position w:val="-1"/>
          <w:lang w:val="lt-LT"/>
        </w:rPr>
        <w:t>metabolizuojamas</w:t>
      </w:r>
      <w:proofErr w:type="spellEnd"/>
      <w:r w:rsidRPr="00151117">
        <w:rPr>
          <w:rFonts w:ascii="Times New Roman" w:hAnsi="Times New Roman"/>
          <w:position w:val="-1"/>
          <w:lang w:val="lt-LT"/>
        </w:rPr>
        <w:t xml:space="preserve"> kepenyse daugiausia oksidacijos būdu, katalizuojant CYP2D6 ir kiek mažiau CYP3A4/5 bei CYP2C9, ir vėliau </w:t>
      </w:r>
      <w:proofErr w:type="spellStart"/>
      <w:r w:rsidRPr="00151117">
        <w:rPr>
          <w:rFonts w:ascii="Times New Roman" w:hAnsi="Times New Roman"/>
          <w:position w:val="-1"/>
          <w:lang w:val="lt-LT"/>
        </w:rPr>
        <w:t>konjugacijos</w:t>
      </w:r>
      <w:proofErr w:type="spellEnd"/>
      <w:r w:rsidRPr="00151117">
        <w:rPr>
          <w:rFonts w:ascii="Times New Roman" w:hAnsi="Times New Roman"/>
          <w:position w:val="-1"/>
          <w:lang w:val="lt-LT"/>
        </w:rPr>
        <w:t xml:space="preserve"> būdu prisijungiant </w:t>
      </w:r>
      <w:proofErr w:type="spellStart"/>
      <w:r w:rsidRPr="00151117">
        <w:rPr>
          <w:rFonts w:ascii="Times New Roman" w:hAnsi="Times New Roman"/>
          <w:position w:val="-1"/>
          <w:lang w:val="lt-LT"/>
        </w:rPr>
        <w:t>gliukurono</w:t>
      </w:r>
      <w:proofErr w:type="spellEnd"/>
      <w:r w:rsidRPr="00151117">
        <w:rPr>
          <w:rFonts w:ascii="Times New Roman" w:hAnsi="Times New Roman"/>
          <w:position w:val="-1"/>
          <w:lang w:val="lt-LT"/>
        </w:rPr>
        <w:t xml:space="preserve"> rūgščiai.</w:t>
      </w:r>
    </w:p>
    <w:p w14:paraId="53C1D77B" w14:textId="77777777" w:rsidR="00151117" w:rsidRPr="00151117" w:rsidRDefault="00151117" w:rsidP="00151117">
      <w:pPr>
        <w:widowControl w:val="0"/>
        <w:autoSpaceDE w:val="0"/>
        <w:autoSpaceDN w:val="0"/>
        <w:adjustRightInd w:val="0"/>
        <w:spacing w:after="0" w:line="240" w:lineRule="auto"/>
        <w:rPr>
          <w:rFonts w:ascii="Times New Roman" w:hAnsi="Times New Roman"/>
          <w:position w:val="-1"/>
          <w:lang w:val="lt-LT"/>
        </w:rPr>
      </w:pPr>
    </w:p>
    <w:p w14:paraId="5731601C" w14:textId="6431854C" w:rsidR="00151117" w:rsidRPr="00151117" w:rsidRDefault="00151117" w:rsidP="00151117">
      <w:pPr>
        <w:widowControl w:val="0"/>
        <w:autoSpaceDE w:val="0"/>
        <w:autoSpaceDN w:val="0"/>
        <w:adjustRightInd w:val="0"/>
        <w:spacing w:after="0" w:line="240" w:lineRule="auto"/>
        <w:rPr>
          <w:rFonts w:ascii="Times New Roman" w:hAnsi="Times New Roman"/>
          <w:position w:val="-1"/>
          <w:lang w:val="lt-LT"/>
        </w:rPr>
      </w:pPr>
      <w:r w:rsidRPr="00151117">
        <w:rPr>
          <w:rFonts w:ascii="Times New Roman" w:hAnsi="Times New Roman"/>
          <w:position w:val="-1"/>
          <w:lang w:val="lt-LT"/>
        </w:rPr>
        <w:t xml:space="preserve">Vaistinių preparatų sąveikos tyrimų metu nepastebėta, kad vortioksetinas slopintų arba sužadintų CYP </w:t>
      </w:r>
      <w:proofErr w:type="spellStart"/>
      <w:r w:rsidRPr="00151117">
        <w:rPr>
          <w:rFonts w:ascii="Times New Roman" w:hAnsi="Times New Roman"/>
          <w:position w:val="-1"/>
          <w:lang w:val="lt-LT"/>
        </w:rPr>
        <w:lastRenderedPageBreak/>
        <w:t>izofermentus</w:t>
      </w:r>
      <w:proofErr w:type="spellEnd"/>
      <w:r w:rsidRPr="00151117">
        <w:rPr>
          <w:rFonts w:ascii="Times New Roman" w:hAnsi="Times New Roman"/>
          <w:position w:val="-1"/>
          <w:lang w:val="lt-LT"/>
        </w:rPr>
        <w:t xml:space="preserve"> CYP1A2, CYP2A6, CYP2B6, CYP2C8, CYP2C9, CYP2C19, CYP2D6, CYP2E1 ar CYP3A4/5 (žr. 4.5 skyrių). </w:t>
      </w:r>
      <w:proofErr w:type="spellStart"/>
      <w:r w:rsidRPr="00151117">
        <w:rPr>
          <w:rFonts w:ascii="Times New Roman" w:hAnsi="Times New Roman"/>
          <w:position w:val="-1"/>
          <w:lang w:val="lt-LT"/>
        </w:rPr>
        <w:t>Vortioksetinas</w:t>
      </w:r>
      <w:proofErr w:type="spellEnd"/>
      <w:r w:rsidRPr="00151117">
        <w:rPr>
          <w:rFonts w:ascii="Times New Roman" w:hAnsi="Times New Roman"/>
          <w:position w:val="-1"/>
          <w:lang w:val="lt-LT"/>
        </w:rPr>
        <w:t xml:space="preserve"> yra silpnas P</w:t>
      </w:r>
      <w:r>
        <w:rPr>
          <w:rFonts w:ascii="Times New Roman" w:hAnsi="Times New Roman"/>
          <w:position w:val="-1"/>
          <w:lang w:val="lt-LT"/>
        </w:rPr>
        <w:noBreakHyphen/>
      </w:r>
      <w:proofErr w:type="spellStart"/>
      <w:r w:rsidRPr="00151117">
        <w:rPr>
          <w:rFonts w:ascii="Times New Roman" w:hAnsi="Times New Roman"/>
          <w:position w:val="-1"/>
          <w:lang w:val="lt-LT"/>
        </w:rPr>
        <w:t>gp</w:t>
      </w:r>
      <w:proofErr w:type="spellEnd"/>
      <w:r w:rsidRPr="00151117">
        <w:rPr>
          <w:rFonts w:ascii="Times New Roman" w:hAnsi="Times New Roman"/>
          <w:position w:val="-1"/>
          <w:lang w:val="lt-LT"/>
        </w:rPr>
        <w:t xml:space="preserve"> substratas ir inhibitorius.</w:t>
      </w:r>
    </w:p>
    <w:p w14:paraId="41710F3F" w14:textId="1C40EE1D" w:rsidR="008A24C5" w:rsidRDefault="00151117" w:rsidP="00151117">
      <w:pPr>
        <w:widowControl w:val="0"/>
        <w:autoSpaceDE w:val="0"/>
        <w:autoSpaceDN w:val="0"/>
        <w:adjustRightInd w:val="0"/>
        <w:spacing w:after="0" w:line="240" w:lineRule="auto"/>
        <w:rPr>
          <w:rFonts w:ascii="Times New Roman" w:hAnsi="Times New Roman"/>
          <w:position w:val="-1"/>
          <w:lang w:val="lt-LT"/>
        </w:rPr>
      </w:pPr>
      <w:r w:rsidRPr="00151117">
        <w:rPr>
          <w:rFonts w:ascii="Times New Roman" w:hAnsi="Times New Roman"/>
          <w:position w:val="-1"/>
          <w:lang w:val="lt-LT"/>
        </w:rPr>
        <w:t>Pagrindinis vortioksetino metabolitas farmakologinio poveikio nesukelia.</w:t>
      </w:r>
    </w:p>
    <w:p w14:paraId="27FCA72B" w14:textId="77777777" w:rsidR="00151117" w:rsidRPr="00514245" w:rsidRDefault="00151117" w:rsidP="00151117">
      <w:pPr>
        <w:widowControl w:val="0"/>
        <w:autoSpaceDE w:val="0"/>
        <w:autoSpaceDN w:val="0"/>
        <w:adjustRightInd w:val="0"/>
        <w:spacing w:after="0" w:line="240" w:lineRule="auto"/>
        <w:rPr>
          <w:rFonts w:ascii="Times New Roman" w:hAnsi="Times New Roman"/>
          <w:position w:val="-1"/>
          <w:lang w:val="lt-LT"/>
        </w:rPr>
      </w:pPr>
    </w:p>
    <w:p w14:paraId="26E402A5" w14:textId="0670CC28" w:rsidR="00E0107B" w:rsidRPr="00514245" w:rsidRDefault="00BF72CE" w:rsidP="00857124">
      <w:pPr>
        <w:keepNext/>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position w:val="-1"/>
          <w:u w:val="single"/>
          <w:lang w:val="lt-LT"/>
        </w:rPr>
        <w:t>Eliminacija</w:t>
      </w:r>
    </w:p>
    <w:p w14:paraId="5762809B" w14:textId="55FD53BA" w:rsidR="00BF72CE" w:rsidRPr="00514245" w:rsidRDefault="00BF72CE" w:rsidP="00857124">
      <w:pPr>
        <w:keepNext/>
        <w:autoSpaceDE w:val="0"/>
        <w:autoSpaceDN w:val="0"/>
        <w:adjustRightInd w:val="0"/>
        <w:spacing w:after="0" w:line="240" w:lineRule="auto"/>
        <w:rPr>
          <w:rFonts w:ascii="Times New Roman" w:hAnsi="Times New Roman"/>
          <w:iCs/>
          <w:spacing w:val="-1"/>
          <w:lang w:val="lt-LT"/>
        </w:rPr>
      </w:pPr>
    </w:p>
    <w:p w14:paraId="27023F86" w14:textId="7BCCE940" w:rsidR="00C33C48" w:rsidRDefault="00151117" w:rsidP="00C33C48">
      <w:pPr>
        <w:widowControl w:val="0"/>
        <w:autoSpaceDE w:val="0"/>
        <w:autoSpaceDN w:val="0"/>
        <w:adjustRightInd w:val="0"/>
        <w:spacing w:after="0" w:line="240" w:lineRule="auto"/>
        <w:rPr>
          <w:rFonts w:ascii="Times New Roman" w:hAnsi="Times New Roman"/>
          <w:iCs/>
          <w:spacing w:val="-1"/>
          <w:lang w:val="lt-LT"/>
        </w:rPr>
      </w:pPr>
      <w:r w:rsidRPr="00151117">
        <w:rPr>
          <w:rFonts w:ascii="Times New Roman" w:hAnsi="Times New Roman"/>
          <w:iCs/>
          <w:spacing w:val="-1"/>
          <w:lang w:val="lt-LT"/>
        </w:rPr>
        <w:t>Vidutinis pusinės eliminacijos periodas yra 66</w:t>
      </w:r>
      <w:r>
        <w:rPr>
          <w:rFonts w:ascii="Times New Roman" w:hAnsi="Times New Roman"/>
          <w:iCs/>
          <w:spacing w:val="-1"/>
          <w:lang w:val="lt-LT"/>
        </w:rPr>
        <w:t> </w:t>
      </w:r>
      <w:r w:rsidRPr="00151117">
        <w:rPr>
          <w:rFonts w:ascii="Times New Roman" w:hAnsi="Times New Roman"/>
          <w:iCs/>
          <w:spacing w:val="-1"/>
          <w:lang w:val="lt-LT"/>
        </w:rPr>
        <w:t>valandos, o išgerto vaistinio preparato klirensas 33</w:t>
      </w:r>
      <w:r>
        <w:rPr>
          <w:rFonts w:ascii="Times New Roman" w:hAnsi="Times New Roman"/>
          <w:iCs/>
          <w:spacing w:val="-1"/>
          <w:lang w:val="lt-LT"/>
        </w:rPr>
        <w:t> </w:t>
      </w:r>
      <w:r w:rsidRPr="00151117">
        <w:rPr>
          <w:rFonts w:ascii="Times New Roman" w:hAnsi="Times New Roman"/>
          <w:iCs/>
          <w:spacing w:val="-1"/>
          <w:lang w:val="lt-LT"/>
        </w:rPr>
        <w:t>l per valandą. Maždaug 2/3</w:t>
      </w:r>
      <w:r>
        <w:rPr>
          <w:rFonts w:ascii="Times New Roman" w:hAnsi="Times New Roman"/>
          <w:iCs/>
          <w:spacing w:val="-1"/>
          <w:lang w:val="lt-LT"/>
        </w:rPr>
        <w:t> </w:t>
      </w:r>
      <w:r w:rsidRPr="00151117">
        <w:rPr>
          <w:rFonts w:ascii="Times New Roman" w:hAnsi="Times New Roman"/>
          <w:iCs/>
          <w:spacing w:val="-1"/>
          <w:lang w:val="lt-LT"/>
        </w:rPr>
        <w:t>neaktyvių vortioksetino metabolitų šalinama su šlapimu ir maždaug 1/3 su išmatomis. Tik nežymūs vortioksetino kiekiai šalinami su išmatomis. Pusiausvyros apykaitos koncentracijos plazmoje pasiekiamos maždaug po 2</w:t>
      </w:r>
      <w:r>
        <w:rPr>
          <w:rFonts w:ascii="Times New Roman" w:hAnsi="Times New Roman"/>
          <w:iCs/>
          <w:spacing w:val="-1"/>
          <w:lang w:val="lt-LT"/>
        </w:rPr>
        <w:t> </w:t>
      </w:r>
      <w:r w:rsidRPr="00151117">
        <w:rPr>
          <w:rFonts w:ascii="Times New Roman" w:hAnsi="Times New Roman"/>
          <w:iCs/>
          <w:spacing w:val="-1"/>
          <w:lang w:val="lt-LT"/>
        </w:rPr>
        <w:t>savaičių.</w:t>
      </w:r>
    </w:p>
    <w:p w14:paraId="1D23FCA8" w14:textId="77777777" w:rsidR="00151117" w:rsidRDefault="00151117" w:rsidP="00151117">
      <w:pPr>
        <w:widowControl w:val="0"/>
        <w:autoSpaceDE w:val="0"/>
        <w:autoSpaceDN w:val="0"/>
        <w:adjustRightInd w:val="0"/>
        <w:spacing w:after="0" w:line="240" w:lineRule="auto"/>
        <w:ind w:firstLine="720"/>
        <w:rPr>
          <w:rFonts w:ascii="Times New Roman" w:hAnsi="Times New Roman"/>
          <w:iCs/>
          <w:spacing w:val="-1"/>
          <w:lang w:val="lt-LT"/>
        </w:rPr>
      </w:pPr>
    </w:p>
    <w:p w14:paraId="6703D83A" w14:textId="77777777" w:rsidR="00151117" w:rsidRDefault="00151117" w:rsidP="00151117">
      <w:pPr>
        <w:widowControl w:val="0"/>
        <w:autoSpaceDE w:val="0"/>
        <w:autoSpaceDN w:val="0"/>
        <w:adjustRightInd w:val="0"/>
        <w:spacing w:after="0" w:line="240" w:lineRule="auto"/>
        <w:rPr>
          <w:rFonts w:ascii="Times New Roman" w:hAnsi="Times New Roman"/>
          <w:iCs/>
          <w:spacing w:val="-1"/>
          <w:u w:val="single"/>
          <w:lang w:val="lt-LT"/>
        </w:rPr>
      </w:pPr>
      <w:r w:rsidRPr="00151117">
        <w:rPr>
          <w:rFonts w:ascii="Times New Roman" w:hAnsi="Times New Roman"/>
          <w:iCs/>
          <w:spacing w:val="-1"/>
          <w:u w:val="single"/>
          <w:lang w:val="lt-LT"/>
        </w:rPr>
        <w:t>Tiesinis / netiesinis pobūdis</w:t>
      </w:r>
    </w:p>
    <w:p w14:paraId="7FE89CC4" w14:textId="77777777" w:rsidR="00151117" w:rsidRPr="00151117" w:rsidRDefault="00151117" w:rsidP="00151117">
      <w:pPr>
        <w:widowControl w:val="0"/>
        <w:autoSpaceDE w:val="0"/>
        <w:autoSpaceDN w:val="0"/>
        <w:adjustRightInd w:val="0"/>
        <w:spacing w:after="0" w:line="240" w:lineRule="auto"/>
        <w:rPr>
          <w:rFonts w:ascii="Times New Roman" w:hAnsi="Times New Roman"/>
          <w:iCs/>
          <w:spacing w:val="-1"/>
          <w:u w:val="single"/>
          <w:lang w:val="lt-LT"/>
        </w:rPr>
      </w:pPr>
    </w:p>
    <w:p w14:paraId="0D1F0C86" w14:textId="25D5F407" w:rsidR="00151117" w:rsidRDefault="00151117" w:rsidP="00151117">
      <w:pPr>
        <w:widowControl w:val="0"/>
        <w:autoSpaceDE w:val="0"/>
        <w:autoSpaceDN w:val="0"/>
        <w:adjustRightInd w:val="0"/>
        <w:spacing w:after="0" w:line="240" w:lineRule="auto"/>
        <w:rPr>
          <w:rFonts w:ascii="Times New Roman" w:hAnsi="Times New Roman"/>
          <w:iCs/>
          <w:spacing w:val="-1"/>
          <w:lang w:val="lt-LT"/>
        </w:rPr>
      </w:pPr>
      <w:r w:rsidRPr="00151117">
        <w:rPr>
          <w:rFonts w:ascii="Times New Roman" w:hAnsi="Times New Roman"/>
          <w:iCs/>
          <w:spacing w:val="-1"/>
          <w:lang w:val="lt-LT"/>
        </w:rPr>
        <w:t>Farmakokinetika yra linijinė ir nepriklausė nuo laiko vartojant tirtas vaistinio preparato dozes (nuo 2,5</w:t>
      </w:r>
      <w:r>
        <w:rPr>
          <w:rFonts w:ascii="Times New Roman" w:hAnsi="Times New Roman"/>
          <w:iCs/>
          <w:spacing w:val="-1"/>
          <w:lang w:val="lt-LT"/>
        </w:rPr>
        <w:t> </w:t>
      </w:r>
      <w:r w:rsidRPr="00151117">
        <w:rPr>
          <w:rFonts w:ascii="Times New Roman" w:hAnsi="Times New Roman"/>
          <w:iCs/>
          <w:spacing w:val="-1"/>
          <w:lang w:val="lt-LT"/>
        </w:rPr>
        <w:t>mg iki 60</w:t>
      </w:r>
      <w:r>
        <w:rPr>
          <w:rFonts w:ascii="Times New Roman" w:hAnsi="Times New Roman"/>
          <w:iCs/>
          <w:spacing w:val="-1"/>
          <w:lang w:val="lt-LT"/>
        </w:rPr>
        <w:t> </w:t>
      </w:r>
      <w:r w:rsidRPr="00151117">
        <w:rPr>
          <w:rFonts w:ascii="Times New Roman" w:hAnsi="Times New Roman"/>
          <w:iCs/>
          <w:spacing w:val="-1"/>
          <w:lang w:val="lt-LT"/>
        </w:rPr>
        <w:t>mg per parą).</w:t>
      </w:r>
      <w:r>
        <w:rPr>
          <w:rFonts w:ascii="Times New Roman" w:hAnsi="Times New Roman"/>
          <w:iCs/>
          <w:spacing w:val="-1"/>
          <w:lang w:val="lt-LT"/>
        </w:rPr>
        <w:t xml:space="preserve"> </w:t>
      </w:r>
      <w:r w:rsidRPr="00151117">
        <w:rPr>
          <w:rFonts w:ascii="Times New Roman" w:hAnsi="Times New Roman"/>
          <w:iCs/>
          <w:spacing w:val="-1"/>
          <w:lang w:val="lt-LT"/>
        </w:rPr>
        <w:t>Atsižvelgiant į pusinės eliminacijos periodą, kaupimosi indeksas yra lygus 5</w:t>
      </w:r>
      <w:r>
        <w:rPr>
          <w:rFonts w:ascii="Times New Roman" w:hAnsi="Times New Roman"/>
          <w:iCs/>
          <w:spacing w:val="-1"/>
          <w:lang w:val="lt-LT"/>
        </w:rPr>
        <w:noBreakHyphen/>
      </w:r>
      <w:r w:rsidRPr="00151117">
        <w:rPr>
          <w:rFonts w:ascii="Times New Roman" w:hAnsi="Times New Roman"/>
          <w:iCs/>
          <w:spacing w:val="-1"/>
          <w:lang w:val="lt-LT"/>
        </w:rPr>
        <w:t>6, priklausomai nuo AUC</w:t>
      </w:r>
      <w:r w:rsidRPr="00151117">
        <w:rPr>
          <w:rFonts w:ascii="Times New Roman" w:hAnsi="Times New Roman"/>
          <w:iCs/>
          <w:spacing w:val="-1"/>
          <w:vertAlign w:val="subscript"/>
          <w:lang w:val="lt-LT"/>
        </w:rPr>
        <w:t>0-24h</w:t>
      </w:r>
      <w:r w:rsidRPr="00151117">
        <w:rPr>
          <w:rFonts w:ascii="Times New Roman" w:hAnsi="Times New Roman"/>
          <w:iCs/>
          <w:spacing w:val="-1"/>
          <w:lang w:val="lt-LT"/>
        </w:rPr>
        <w:t xml:space="preserve"> po kartotinių 5</w:t>
      </w:r>
      <w:r>
        <w:rPr>
          <w:rFonts w:ascii="Times New Roman" w:hAnsi="Times New Roman"/>
          <w:iCs/>
          <w:spacing w:val="-1"/>
          <w:lang w:val="lt-LT"/>
        </w:rPr>
        <w:noBreakHyphen/>
      </w:r>
      <w:r w:rsidRPr="00151117">
        <w:rPr>
          <w:rFonts w:ascii="Times New Roman" w:hAnsi="Times New Roman"/>
          <w:iCs/>
          <w:spacing w:val="-1"/>
          <w:lang w:val="lt-LT"/>
        </w:rPr>
        <w:t>20</w:t>
      </w:r>
      <w:r>
        <w:rPr>
          <w:rFonts w:ascii="Times New Roman" w:hAnsi="Times New Roman"/>
          <w:iCs/>
          <w:spacing w:val="-1"/>
          <w:lang w:val="lt-LT"/>
        </w:rPr>
        <w:t> </w:t>
      </w:r>
      <w:r w:rsidRPr="00151117">
        <w:rPr>
          <w:rFonts w:ascii="Times New Roman" w:hAnsi="Times New Roman"/>
          <w:iCs/>
          <w:spacing w:val="-1"/>
          <w:lang w:val="lt-LT"/>
        </w:rPr>
        <w:t>mg dozių pavartojimo.</w:t>
      </w:r>
    </w:p>
    <w:p w14:paraId="00E22477" w14:textId="77777777" w:rsidR="00151117" w:rsidRDefault="00151117" w:rsidP="00151117">
      <w:pPr>
        <w:widowControl w:val="0"/>
        <w:autoSpaceDE w:val="0"/>
        <w:autoSpaceDN w:val="0"/>
        <w:adjustRightInd w:val="0"/>
        <w:spacing w:after="0" w:line="240" w:lineRule="auto"/>
        <w:ind w:firstLine="720"/>
        <w:rPr>
          <w:rFonts w:ascii="Times New Roman" w:hAnsi="Times New Roman"/>
          <w:iCs/>
          <w:spacing w:val="-1"/>
          <w:lang w:val="lt-LT"/>
        </w:rPr>
      </w:pPr>
    </w:p>
    <w:p w14:paraId="00BC8FFB" w14:textId="243D0240" w:rsidR="00151117" w:rsidRDefault="00151117" w:rsidP="00151117">
      <w:pPr>
        <w:widowControl w:val="0"/>
        <w:autoSpaceDE w:val="0"/>
        <w:autoSpaceDN w:val="0"/>
        <w:adjustRightInd w:val="0"/>
        <w:spacing w:after="0" w:line="240" w:lineRule="auto"/>
        <w:rPr>
          <w:rFonts w:ascii="Times New Roman" w:hAnsi="Times New Roman"/>
          <w:iCs/>
          <w:spacing w:val="-1"/>
          <w:lang w:val="lt-LT"/>
        </w:rPr>
      </w:pPr>
      <w:r w:rsidRPr="00151117">
        <w:rPr>
          <w:rFonts w:ascii="Times New Roman" w:eastAsia="Times New Roman" w:hAnsi="Times New Roman"/>
          <w:color w:val="000000"/>
          <w:szCs w:val="20"/>
          <w:u w:val="single"/>
          <w:lang w:val="lt-LT" w:eastAsia="en-US" w:bidi="ar-SA"/>
        </w:rPr>
        <w:t>Ypatingos populiacijos</w:t>
      </w:r>
    </w:p>
    <w:p w14:paraId="6F98F44E" w14:textId="77777777" w:rsidR="00151117" w:rsidRDefault="00151117" w:rsidP="00151117">
      <w:pPr>
        <w:widowControl w:val="0"/>
        <w:autoSpaceDE w:val="0"/>
        <w:autoSpaceDN w:val="0"/>
        <w:adjustRightInd w:val="0"/>
        <w:spacing w:after="0" w:line="240" w:lineRule="auto"/>
        <w:rPr>
          <w:rFonts w:ascii="Times New Roman" w:hAnsi="Times New Roman"/>
          <w:iCs/>
          <w:spacing w:val="-1"/>
          <w:lang w:val="lt-LT"/>
        </w:rPr>
      </w:pPr>
    </w:p>
    <w:p w14:paraId="061B12F9" w14:textId="00155E9A" w:rsidR="00151117" w:rsidRDefault="00156ADC" w:rsidP="00151117">
      <w:pPr>
        <w:widowControl w:val="0"/>
        <w:autoSpaceDE w:val="0"/>
        <w:autoSpaceDN w:val="0"/>
        <w:adjustRightInd w:val="0"/>
        <w:spacing w:after="0" w:line="240" w:lineRule="auto"/>
        <w:rPr>
          <w:rFonts w:ascii="Times New Roman" w:hAnsi="Times New Roman"/>
          <w:iCs/>
          <w:spacing w:val="-1"/>
          <w:lang w:val="lt-LT"/>
        </w:rPr>
      </w:pPr>
      <w:r>
        <w:rPr>
          <w:rFonts w:ascii="Times New Roman" w:hAnsi="Times New Roman"/>
          <w:i/>
          <w:spacing w:val="-1"/>
          <w:lang w:val="lt-LT"/>
        </w:rPr>
        <w:t>Senyvi pacientai</w:t>
      </w:r>
    </w:p>
    <w:p w14:paraId="3E072E9A" w14:textId="562FD99D" w:rsidR="00156ADC" w:rsidRPr="00156ADC" w:rsidRDefault="00156ADC" w:rsidP="00151117">
      <w:pPr>
        <w:widowControl w:val="0"/>
        <w:autoSpaceDE w:val="0"/>
        <w:autoSpaceDN w:val="0"/>
        <w:adjustRightInd w:val="0"/>
        <w:spacing w:after="0" w:line="240" w:lineRule="auto"/>
        <w:rPr>
          <w:rFonts w:ascii="Times New Roman" w:hAnsi="Times New Roman"/>
          <w:iCs/>
          <w:spacing w:val="-1"/>
          <w:lang w:val="lt-LT"/>
        </w:rPr>
      </w:pPr>
      <w:r w:rsidRPr="00156ADC">
        <w:rPr>
          <w:rFonts w:ascii="Times New Roman" w:hAnsi="Times New Roman"/>
          <w:iCs/>
          <w:spacing w:val="-1"/>
          <w:lang w:val="lt-LT"/>
        </w:rPr>
        <w:t>Remiantis senyvų sveikų tiriamųjų duomenimis (amžius ≥</w:t>
      </w:r>
      <w:r>
        <w:rPr>
          <w:rFonts w:ascii="Times New Roman" w:hAnsi="Times New Roman"/>
          <w:iCs/>
          <w:spacing w:val="-1"/>
          <w:lang w:val="lt-LT"/>
        </w:rPr>
        <w:t> </w:t>
      </w:r>
      <w:r w:rsidRPr="00156ADC">
        <w:rPr>
          <w:rFonts w:ascii="Times New Roman" w:hAnsi="Times New Roman"/>
          <w:iCs/>
          <w:spacing w:val="-1"/>
          <w:lang w:val="lt-LT"/>
        </w:rPr>
        <w:t>65</w:t>
      </w:r>
      <w:r>
        <w:rPr>
          <w:rFonts w:ascii="Times New Roman" w:hAnsi="Times New Roman"/>
          <w:iCs/>
          <w:spacing w:val="-1"/>
          <w:lang w:val="lt-LT"/>
        </w:rPr>
        <w:t> </w:t>
      </w:r>
      <w:r w:rsidRPr="00156ADC">
        <w:rPr>
          <w:rFonts w:ascii="Times New Roman" w:hAnsi="Times New Roman"/>
          <w:iCs/>
          <w:spacing w:val="-1"/>
          <w:lang w:val="lt-LT"/>
        </w:rPr>
        <w:t>metų; n</w:t>
      </w:r>
      <w:r>
        <w:rPr>
          <w:rFonts w:ascii="Times New Roman" w:hAnsi="Times New Roman"/>
          <w:iCs/>
          <w:spacing w:val="-1"/>
          <w:lang w:val="lt-LT"/>
        </w:rPr>
        <w:t> </w:t>
      </w:r>
      <w:r w:rsidRPr="00156ADC">
        <w:rPr>
          <w:rFonts w:ascii="Times New Roman" w:hAnsi="Times New Roman"/>
          <w:iCs/>
          <w:spacing w:val="-1"/>
          <w:lang w:val="lt-LT"/>
        </w:rPr>
        <w:t>=</w:t>
      </w:r>
      <w:r>
        <w:rPr>
          <w:rFonts w:ascii="Times New Roman" w:hAnsi="Times New Roman"/>
          <w:iCs/>
          <w:spacing w:val="-1"/>
          <w:lang w:val="lt-LT"/>
        </w:rPr>
        <w:t> </w:t>
      </w:r>
      <w:r w:rsidRPr="00156ADC">
        <w:rPr>
          <w:rFonts w:ascii="Times New Roman" w:hAnsi="Times New Roman"/>
          <w:iCs/>
          <w:spacing w:val="-1"/>
          <w:lang w:val="lt-LT"/>
        </w:rPr>
        <w:t xml:space="preserve">20), </w:t>
      </w:r>
      <w:proofErr w:type="spellStart"/>
      <w:r w:rsidRPr="00156ADC">
        <w:rPr>
          <w:rFonts w:ascii="Times New Roman" w:hAnsi="Times New Roman"/>
          <w:iCs/>
          <w:spacing w:val="-1"/>
          <w:lang w:val="lt-LT"/>
        </w:rPr>
        <w:t>vortioksetino</w:t>
      </w:r>
      <w:proofErr w:type="spellEnd"/>
      <w:r w:rsidRPr="00156ADC">
        <w:rPr>
          <w:rFonts w:ascii="Times New Roman" w:hAnsi="Times New Roman"/>
          <w:iCs/>
          <w:spacing w:val="-1"/>
          <w:lang w:val="lt-LT"/>
        </w:rPr>
        <w:t xml:space="preserve"> ekspozicija (</w:t>
      </w:r>
      <w:proofErr w:type="spellStart"/>
      <w:r w:rsidRPr="00156ADC">
        <w:rPr>
          <w:rFonts w:ascii="Times New Roman" w:hAnsi="Times New Roman"/>
          <w:iCs/>
          <w:spacing w:val="-1"/>
          <w:lang w:val="lt-LT"/>
        </w:rPr>
        <w:t>C</w:t>
      </w:r>
      <w:r w:rsidRPr="00156ADC">
        <w:rPr>
          <w:rFonts w:ascii="Times New Roman" w:hAnsi="Times New Roman"/>
          <w:iCs/>
          <w:spacing w:val="-1"/>
          <w:vertAlign w:val="subscript"/>
          <w:lang w:val="lt-LT"/>
        </w:rPr>
        <w:t>max</w:t>
      </w:r>
      <w:proofErr w:type="spellEnd"/>
      <w:r w:rsidRPr="00156ADC">
        <w:rPr>
          <w:rFonts w:ascii="Times New Roman" w:hAnsi="Times New Roman"/>
          <w:iCs/>
          <w:spacing w:val="-1"/>
          <w:lang w:val="lt-LT"/>
        </w:rPr>
        <w:t xml:space="preserve"> ir AUC) po kartotinių 10</w:t>
      </w:r>
      <w:r>
        <w:rPr>
          <w:rFonts w:ascii="Times New Roman" w:hAnsi="Times New Roman"/>
          <w:iCs/>
          <w:spacing w:val="-1"/>
          <w:lang w:val="lt-LT"/>
        </w:rPr>
        <w:t> </w:t>
      </w:r>
      <w:r w:rsidRPr="00156ADC">
        <w:rPr>
          <w:rFonts w:ascii="Times New Roman" w:hAnsi="Times New Roman"/>
          <w:iCs/>
          <w:spacing w:val="-1"/>
          <w:lang w:val="lt-LT"/>
        </w:rPr>
        <w:t>mg dozių per parą padidėja iki 27</w:t>
      </w:r>
      <w:r>
        <w:rPr>
          <w:rFonts w:ascii="Times New Roman" w:hAnsi="Times New Roman"/>
          <w:iCs/>
          <w:spacing w:val="-1"/>
          <w:lang w:val="lt-LT"/>
        </w:rPr>
        <w:t> </w:t>
      </w:r>
      <w:r w:rsidRPr="00156ADC">
        <w:rPr>
          <w:rFonts w:ascii="Times New Roman" w:hAnsi="Times New Roman"/>
          <w:iCs/>
          <w:spacing w:val="-1"/>
          <w:lang w:val="lt-LT"/>
        </w:rPr>
        <w:t>%, palyginti su jaunų sveikų kontrolinės grupės tiriamųjų (amžius ≤</w:t>
      </w:r>
      <w:r>
        <w:rPr>
          <w:rFonts w:ascii="Times New Roman" w:hAnsi="Times New Roman"/>
          <w:iCs/>
          <w:spacing w:val="-1"/>
          <w:lang w:val="lt-LT"/>
        </w:rPr>
        <w:t> </w:t>
      </w:r>
      <w:r w:rsidRPr="00156ADC">
        <w:rPr>
          <w:rFonts w:ascii="Times New Roman" w:hAnsi="Times New Roman"/>
          <w:iCs/>
          <w:spacing w:val="-1"/>
          <w:lang w:val="lt-LT"/>
        </w:rPr>
        <w:t>45</w:t>
      </w:r>
      <w:r>
        <w:rPr>
          <w:rFonts w:ascii="Times New Roman" w:hAnsi="Times New Roman"/>
          <w:iCs/>
          <w:spacing w:val="-1"/>
          <w:lang w:val="lt-LT"/>
        </w:rPr>
        <w:t> </w:t>
      </w:r>
      <w:r w:rsidRPr="00156ADC">
        <w:rPr>
          <w:rFonts w:ascii="Times New Roman" w:hAnsi="Times New Roman"/>
          <w:iCs/>
          <w:spacing w:val="-1"/>
          <w:lang w:val="lt-LT"/>
        </w:rPr>
        <w:t>metų). ≥</w:t>
      </w:r>
      <w:r>
        <w:rPr>
          <w:rFonts w:ascii="Times New Roman" w:hAnsi="Times New Roman"/>
          <w:iCs/>
          <w:spacing w:val="-1"/>
          <w:lang w:val="lt-LT"/>
        </w:rPr>
        <w:t> </w:t>
      </w:r>
      <w:r w:rsidRPr="00156ADC">
        <w:rPr>
          <w:rFonts w:ascii="Times New Roman" w:hAnsi="Times New Roman"/>
          <w:iCs/>
          <w:spacing w:val="-1"/>
          <w:lang w:val="lt-LT"/>
        </w:rPr>
        <w:t>65</w:t>
      </w:r>
      <w:r>
        <w:rPr>
          <w:rFonts w:ascii="Times New Roman" w:hAnsi="Times New Roman"/>
          <w:iCs/>
          <w:spacing w:val="-1"/>
          <w:lang w:val="lt-LT"/>
        </w:rPr>
        <w:t> </w:t>
      </w:r>
      <w:r w:rsidRPr="00156ADC">
        <w:rPr>
          <w:rFonts w:ascii="Times New Roman" w:hAnsi="Times New Roman"/>
          <w:iCs/>
          <w:spacing w:val="-1"/>
          <w:lang w:val="lt-LT"/>
        </w:rPr>
        <w:t>metų pacientams visada būtina pradėti vartoti mažiausią veiksmingą vieną kartą per parą vartojamą 5</w:t>
      </w:r>
      <w:r>
        <w:rPr>
          <w:rFonts w:ascii="Times New Roman" w:hAnsi="Times New Roman"/>
          <w:iCs/>
          <w:spacing w:val="-1"/>
          <w:lang w:val="lt-LT"/>
        </w:rPr>
        <w:t> </w:t>
      </w:r>
      <w:r w:rsidRPr="00156ADC">
        <w:rPr>
          <w:rFonts w:ascii="Times New Roman" w:hAnsi="Times New Roman"/>
          <w:iCs/>
          <w:spacing w:val="-1"/>
          <w:lang w:val="lt-LT"/>
        </w:rPr>
        <w:t>mg vortioksetino dozę (žr. 4.2 skyrių). Vis dėlto ≥</w:t>
      </w:r>
      <w:r>
        <w:rPr>
          <w:rFonts w:ascii="Times New Roman" w:hAnsi="Times New Roman"/>
          <w:iCs/>
          <w:spacing w:val="-1"/>
          <w:lang w:val="lt-LT"/>
        </w:rPr>
        <w:t> </w:t>
      </w:r>
      <w:r w:rsidRPr="00156ADC">
        <w:rPr>
          <w:rFonts w:ascii="Times New Roman" w:hAnsi="Times New Roman"/>
          <w:iCs/>
          <w:spacing w:val="-1"/>
          <w:lang w:val="lt-LT"/>
        </w:rPr>
        <w:t>65</w:t>
      </w:r>
      <w:r>
        <w:rPr>
          <w:rFonts w:ascii="Times New Roman" w:hAnsi="Times New Roman"/>
          <w:iCs/>
          <w:spacing w:val="-1"/>
          <w:lang w:val="lt-LT"/>
        </w:rPr>
        <w:t> </w:t>
      </w:r>
      <w:r w:rsidRPr="00156ADC">
        <w:rPr>
          <w:rFonts w:ascii="Times New Roman" w:hAnsi="Times New Roman"/>
          <w:iCs/>
          <w:spacing w:val="-1"/>
          <w:lang w:val="lt-LT"/>
        </w:rPr>
        <w:t>metų pacientus gydyti vortioksetinu didesne kaip vieną kartą per parą vartojama 10</w:t>
      </w:r>
      <w:r>
        <w:rPr>
          <w:rFonts w:ascii="Times New Roman" w:hAnsi="Times New Roman"/>
          <w:iCs/>
          <w:spacing w:val="-1"/>
          <w:lang w:val="lt-LT"/>
        </w:rPr>
        <w:t> </w:t>
      </w:r>
      <w:r w:rsidRPr="00156ADC">
        <w:rPr>
          <w:rFonts w:ascii="Times New Roman" w:hAnsi="Times New Roman"/>
          <w:iCs/>
          <w:spacing w:val="-1"/>
          <w:lang w:val="lt-LT"/>
        </w:rPr>
        <w:t>mg doze, būtina atsargiai (žr. 4.4 skyrių).</w:t>
      </w:r>
    </w:p>
    <w:p w14:paraId="17183B2F" w14:textId="77777777" w:rsidR="00156ADC" w:rsidRDefault="00156ADC" w:rsidP="00156ADC">
      <w:pPr>
        <w:widowControl w:val="0"/>
        <w:autoSpaceDE w:val="0"/>
        <w:autoSpaceDN w:val="0"/>
        <w:adjustRightInd w:val="0"/>
        <w:spacing w:after="0" w:line="240" w:lineRule="auto"/>
        <w:rPr>
          <w:rFonts w:ascii="Times New Roman" w:hAnsi="Times New Roman"/>
          <w:iCs/>
          <w:spacing w:val="-1"/>
          <w:u w:val="single"/>
          <w:lang w:val="lt-LT"/>
        </w:rPr>
      </w:pPr>
    </w:p>
    <w:p w14:paraId="1A7C8D0E" w14:textId="373C15AC" w:rsidR="00156ADC" w:rsidRPr="00156ADC" w:rsidRDefault="00156ADC" w:rsidP="00156ADC">
      <w:pPr>
        <w:widowControl w:val="0"/>
        <w:autoSpaceDE w:val="0"/>
        <w:autoSpaceDN w:val="0"/>
        <w:adjustRightInd w:val="0"/>
        <w:spacing w:after="0" w:line="240" w:lineRule="auto"/>
        <w:rPr>
          <w:rFonts w:ascii="Times New Roman" w:hAnsi="Times New Roman"/>
          <w:i/>
          <w:spacing w:val="-1"/>
          <w:lang w:val="lt-LT"/>
        </w:rPr>
      </w:pPr>
      <w:r w:rsidRPr="00156ADC">
        <w:rPr>
          <w:rFonts w:ascii="Times New Roman" w:hAnsi="Times New Roman"/>
          <w:i/>
          <w:spacing w:val="-1"/>
          <w:lang w:val="lt-LT"/>
        </w:rPr>
        <w:t>Sutrikusi inkstų funkcija</w:t>
      </w:r>
    </w:p>
    <w:p w14:paraId="1DCC01D6" w14:textId="4009E425" w:rsidR="00151117" w:rsidRDefault="00156ADC" w:rsidP="00151117">
      <w:pPr>
        <w:widowControl w:val="0"/>
        <w:autoSpaceDE w:val="0"/>
        <w:autoSpaceDN w:val="0"/>
        <w:adjustRightInd w:val="0"/>
        <w:spacing w:after="0" w:line="240" w:lineRule="auto"/>
        <w:rPr>
          <w:rFonts w:ascii="Times New Roman" w:hAnsi="Times New Roman"/>
          <w:iCs/>
          <w:spacing w:val="-1"/>
          <w:lang w:val="lt-LT"/>
        </w:rPr>
      </w:pPr>
      <w:r w:rsidRPr="00156ADC">
        <w:rPr>
          <w:rFonts w:ascii="Times New Roman" w:hAnsi="Times New Roman"/>
          <w:iCs/>
          <w:spacing w:val="-1"/>
          <w:lang w:val="lt-LT"/>
        </w:rPr>
        <w:t>Pavartojus vienkartinę 10</w:t>
      </w:r>
      <w:r>
        <w:rPr>
          <w:rFonts w:ascii="Times New Roman" w:hAnsi="Times New Roman"/>
          <w:iCs/>
          <w:spacing w:val="-1"/>
          <w:lang w:val="lt-LT"/>
        </w:rPr>
        <w:t> </w:t>
      </w:r>
      <w:r w:rsidRPr="00156ADC">
        <w:rPr>
          <w:rFonts w:ascii="Times New Roman" w:hAnsi="Times New Roman"/>
          <w:iCs/>
          <w:spacing w:val="-1"/>
          <w:lang w:val="lt-LT"/>
        </w:rPr>
        <w:t xml:space="preserve">mg vortioksetino dozę, inkstų funkcijos sutrikimas, nustatytas naudojant </w:t>
      </w:r>
      <w:proofErr w:type="spellStart"/>
      <w:r w:rsidRPr="0051157C">
        <w:rPr>
          <w:rFonts w:ascii="Times New Roman" w:hAnsi="Times New Roman"/>
          <w:i/>
          <w:spacing w:val="-1"/>
          <w:lang w:val="lt-LT"/>
        </w:rPr>
        <w:t>Cockcroft-Gault</w:t>
      </w:r>
      <w:proofErr w:type="spellEnd"/>
      <w:r w:rsidRPr="00156ADC">
        <w:rPr>
          <w:rFonts w:ascii="Times New Roman" w:hAnsi="Times New Roman"/>
          <w:iCs/>
          <w:spacing w:val="-1"/>
          <w:lang w:val="lt-LT"/>
        </w:rPr>
        <w:t xml:space="preserve"> formulę (lengvas, vidutinio sunkumo arba sunkus; n</w:t>
      </w:r>
      <w:r>
        <w:rPr>
          <w:rFonts w:ascii="Times New Roman" w:hAnsi="Times New Roman"/>
          <w:iCs/>
          <w:spacing w:val="-1"/>
          <w:lang w:val="lt-LT"/>
        </w:rPr>
        <w:t> </w:t>
      </w:r>
      <w:r w:rsidRPr="00156ADC">
        <w:rPr>
          <w:rFonts w:ascii="Times New Roman" w:hAnsi="Times New Roman"/>
          <w:iCs/>
          <w:spacing w:val="-1"/>
          <w:lang w:val="lt-LT"/>
        </w:rPr>
        <w:t>=</w:t>
      </w:r>
      <w:r>
        <w:rPr>
          <w:rFonts w:ascii="Times New Roman" w:hAnsi="Times New Roman"/>
          <w:iCs/>
          <w:spacing w:val="-1"/>
          <w:lang w:val="lt-LT"/>
        </w:rPr>
        <w:t> </w:t>
      </w:r>
      <w:r w:rsidRPr="00156ADC">
        <w:rPr>
          <w:rFonts w:ascii="Times New Roman" w:hAnsi="Times New Roman"/>
          <w:iCs/>
          <w:spacing w:val="-1"/>
          <w:lang w:val="lt-LT"/>
        </w:rPr>
        <w:t xml:space="preserve">8 kiekvienoje grupėje), </w:t>
      </w:r>
      <w:r w:rsidR="009F264A">
        <w:rPr>
          <w:rFonts w:ascii="Times New Roman" w:hAnsi="Times New Roman"/>
          <w:iCs/>
          <w:spacing w:val="-1"/>
          <w:lang w:val="lt-LT"/>
        </w:rPr>
        <w:t>lėmė</w:t>
      </w:r>
      <w:r w:rsidR="009F264A" w:rsidRPr="00156ADC">
        <w:rPr>
          <w:rFonts w:ascii="Times New Roman" w:hAnsi="Times New Roman"/>
          <w:iCs/>
          <w:spacing w:val="-1"/>
          <w:lang w:val="lt-LT"/>
        </w:rPr>
        <w:t xml:space="preserve"> </w:t>
      </w:r>
      <w:r w:rsidRPr="00156ADC">
        <w:rPr>
          <w:rFonts w:ascii="Times New Roman" w:hAnsi="Times New Roman"/>
          <w:iCs/>
          <w:spacing w:val="-1"/>
          <w:lang w:val="lt-LT"/>
        </w:rPr>
        <w:t>vidutinį ekspozicijos padidėjimą (iki 30</w:t>
      </w:r>
      <w:r>
        <w:rPr>
          <w:rFonts w:ascii="Times New Roman" w:hAnsi="Times New Roman"/>
          <w:iCs/>
          <w:spacing w:val="-1"/>
          <w:lang w:val="lt-LT"/>
        </w:rPr>
        <w:t> </w:t>
      </w:r>
      <w:r w:rsidRPr="00156ADC">
        <w:rPr>
          <w:rFonts w:ascii="Times New Roman" w:hAnsi="Times New Roman"/>
          <w:iCs/>
          <w:spacing w:val="-1"/>
          <w:lang w:val="lt-LT"/>
        </w:rPr>
        <w:t xml:space="preserve">%), palyginti su atitinkamos sveikų kontrolinės grupės tiriamųjų. Pacientų, kuriems buvo diagnozuota galutinės stadijos inkstų liga, duomenimis, tik nedidelė dalis vortioksetino pasišalino iš organizmo dializės metu (AUC ir </w:t>
      </w:r>
      <w:proofErr w:type="spellStart"/>
      <w:r w:rsidRPr="00156ADC">
        <w:rPr>
          <w:rFonts w:ascii="Times New Roman" w:hAnsi="Times New Roman"/>
          <w:iCs/>
          <w:spacing w:val="-1"/>
          <w:lang w:val="lt-LT"/>
        </w:rPr>
        <w:t>C</w:t>
      </w:r>
      <w:r w:rsidRPr="00156ADC">
        <w:rPr>
          <w:rFonts w:ascii="Times New Roman" w:hAnsi="Times New Roman"/>
          <w:iCs/>
          <w:spacing w:val="-1"/>
          <w:vertAlign w:val="subscript"/>
          <w:lang w:val="lt-LT"/>
        </w:rPr>
        <w:t>max</w:t>
      </w:r>
      <w:proofErr w:type="spellEnd"/>
      <w:r w:rsidRPr="00156ADC">
        <w:rPr>
          <w:rFonts w:ascii="Times New Roman" w:hAnsi="Times New Roman"/>
          <w:iCs/>
          <w:spacing w:val="-1"/>
          <w:lang w:val="lt-LT"/>
        </w:rPr>
        <w:t xml:space="preserve"> buvo atitinkamai 13</w:t>
      </w:r>
      <w:r>
        <w:rPr>
          <w:rFonts w:ascii="Times New Roman" w:hAnsi="Times New Roman"/>
          <w:iCs/>
          <w:spacing w:val="-1"/>
          <w:lang w:val="lt-LT"/>
        </w:rPr>
        <w:t> </w:t>
      </w:r>
      <w:r w:rsidRPr="00156ADC">
        <w:rPr>
          <w:rFonts w:ascii="Times New Roman" w:hAnsi="Times New Roman"/>
          <w:iCs/>
          <w:spacing w:val="-1"/>
          <w:lang w:val="lt-LT"/>
        </w:rPr>
        <w:t>% ir 27</w:t>
      </w:r>
      <w:r>
        <w:rPr>
          <w:rFonts w:ascii="Times New Roman" w:hAnsi="Times New Roman"/>
          <w:iCs/>
          <w:spacing w:val="-1"/>
          <w:lang w:val="lt-LT"/>
        </w:rPr>
        <w:t> </w:t>
      </w:r>
      <w:r w:rsidRPr="00156ADC">
        <w:rPr>
          <w:rFonts w:ascii="Times New Roman" w:hAnsi="Times New Roman"/>
          <w:iCs/>
          <w:spacing w:val="-1"/>
          <w:lang w:val="lt-LT"/>
        </w:rPr>
        <w:t>% mažesnės; n</w:t>
      </w:r>
      <w:r>
        <w:rPr>
          <w:rFonts w:ascii="Times New Roman" w:hAnsi="Times New Roman"/>
          <w:iCs/>
          <w:spacing w:val="-1"/>
          <w:lang w:val="lt-LT"/>
        </w:rPr>
        <w:t> </w:t>
      </w:r>
      <w:r w:rsidRPr="00156ADC">
        <w:rPr>
          <w:rFonts w:ascii="Times New Roman" w:hAnsi="Times New Roman"/>
          <w:iCs/>
          <w:spacing w:val="-1"/>
          <w:lang w:val="lt-LT"/>
        </w:rPr>
        <w:t>=</w:t>
      </w:r>
      <w:r>
        <w:rPr>
          <w:rFonts w:ascii="Times New Roman" w:hAnsi="Times New Roman"/>
          <w:iCs/>
          <w:spacing w:val="-1"/>
          <w:lang w:val="lt-LT"/>
        </w:rPr>
        <w:t> </w:t>
      </w:r>
      <w:r w:rsidRPr="00156ADC">
        <w:rPr>
          <w:rFonts w:ascii="Times New Roman" w:hAnsi="Times New Roman"/>
          <w:iCs/>
          <w:spacing w:val="-1"/>
          <w:lang w:val="lt-LT"/>
        </w:rPr>
        <w:t>8) pavartojus vienkartinę 10</w:t>
      </w:r>
      <w:r>
        <w:rPr>
          <w:rFonts w:ascii="Times New Roman" w:hAnsi="Times New Roman"/>
          <w:iCs/>
          <w:spacing w:val="-1"/>
          <w:lang w:val="lt-LT"/>
        </w:rPr>
        <w:t> </w:t>
      </w:r>
      <w:r w:rsidRPr="00156ADC">
        <w:rPr>
          <w:rFonts w:ascii="Times New Roman" w:hAnsi="Times New Roman"/>
          <w:iCs/>
          <w:spacing w:val="-1"/>
          <w:lang w:val="lt-LT"/>
        </w:rPr>
        <w:t>mg vortioksetino dozę. Dozės keisti nereikia remiantis inkstų funkcija (žr. 4.2 ir 4.4 skyrius).</w:t>
      </w:r>
    </w:p>
    <w:p w14:paraId="69793301" w14:textId="77777777" w:rsidR="00156ADC" w:rsidRDefault="00156ADC" w:rsidP="00151117">
      <w:pPr>
        <w:widowControl w:val="0"/>
        <w:autoSpaceDE w:val="0"/>
        <w:autoSpaceDN w:val="0"/>
        <w:adjustRightInd w:val="0"/>
        <w:spacing w:after="0" w:line="240" w:lineRule="auto"/>
        <w:rPr>
          <w:rFonts w:ascii="Times New Roman" w:hAnsi="Times New Roman"/>
          <w:iCs/>
          <w:spacing w:val="-1"/>
          <w:lang w:val="lt-LT"/>
        </w:rPr>
      </w:pPr>
    </w:p>
    <w:p w14:paraId="69E0909A" w14:textId="77777777" w:rsidR="00156ADC" w:rsidRPr="00156ADC" w:rsidRDefault="00156ADC" w:rsidP="00156ADC">
      <w:pPr>
        <w:widowControl w:val="0"/>
        <w:autoSpaceDE w:val="0"/>
        <w:autoSpaceDN w:val="0"/>
        <w:adjustRightInd w:val="0"/>
        <w:spacing w:after="0" w:line="240" w:lineRule="auto"/>
        <w:rPr>
          <w:rFonts w:ascii="Times New Roman" w:hAnsi="Times New Roman"/>
          <w:i/>
          <w:spacing w:val="-1"/>
          <w:lang w:val="lt-LT"/>
        </w:rPr>
      </w:pPr>
      <w:r w:rsidRPr="00156ADC">
        <w:rPr>
          <w:rFonts w:ascii="Times New Roman" w:hAnsi="Times New Roman"/>
          <w:i/>
          <w:spacing w:val="-1"/>
          <w:lang w:val="lt-LT"/>
        </w:rPr>
        <w:t xml:space="preserve">Sutrikusi kepenų funkcija </w:t>
      </w:r>
    </w:p>
    <w:p w14:paraId="39C50C34" w14:textId="64F335A5" w:rsidR="00156ADC" w:rsidRDefault="00156ADC" w:rsidP="00156ADC">
      <w:pPr>
        <w:widowControl w:val="0"/>
        <w:autoSpaceDE w:val="0"/>
        <w:autoSpaceDN w:val="0"/>
        <w:adjustRightInd w:val="0"/>
        <w:spacing w:after="0" w:line="240" w:lineRule="auto"/>
        <w:rPr>
          <w:rFonts w:ascii="Times New Roman" w:hAnsi="Times New Roman"/>
          <w:iCs/>
          <w:spacing w:val="-1"/>
          <w:lang w:val="lt-LT"/>
        </w:rPr>
      </w:pPr>
      <w:r w:rsidRPr="00156ADC">
        <w:rPr>
          <w:rFonts w:ascii="Times New Roman" w:hAnsi="Times New Roman"/>
          <w:iCs/>
          <w:spacing w:val="-1"/>
          <w:lang w:val="lt-LT"/>
        </w:rPr>
        <w:t>Farmakokinetika tiriamiesiems (N</w:t>
      </w:r>
      <w:r>
        <w:rPr>
          <w:rFonts w:ascii="Times New Roman" w:hAnsi="Times New Roman"/>
          <w:iCs/>
          <w:spacing w:val="-1"/>
          <w:lang w:val="lt-LT"/>
        </w:rPr>
        <w:t> </w:t>
      </w:r>
      <w:r w:rsidRPr="00156ADC">
        <w:rPr>
          <w:rFonts w:ascii="Times New Roman" w:hAnsi="Times New Roman"/>
          <w:iCs/>
          <w:spacing w:val="-1"/>
          <w:lang w:val="lt-LT"/>
        </w:rPr>
        <w:t>=</w:t>
      </w:r>
      <w:r>
        <w:rPr>
          <w:rFonts w:ascii="Times New Roman" w:hAnsi="Times New Roman"/>
          <w:iCs/>
          <w:spacing w:val="-1"/>
          <w:lang w:val="lt-LT"/>
        </w:rPr>
        <w:t> </w:t>
      </w:r>
      <w:r w:rsidRPr="00156ADC">
        <w:rPr>
          <w:rFonts w:ascii="Times New Roman" w:hAnsi="Times New Roman"/>
          <w:iCs/>
          <w:spacing w:val="-1"/>
          <w:lang w:val="lt-LT"/>
        </w:rPr>
        <w:t>6</w:t>
      </w:r>
      <w:r>
        <w:rPr>
          <w:rFonts w:ascii="Times New Roman" w:hAnsi="Times New Roman"/>
          <w:iCs/>
          <w:spacing w:val="-1"/>
          <w:lang w:val="lt-LT"/>
        </w:rPr>
        <w:noBreakHyphen/>
      </w:r>
      <w:r w:rsidRPr="00156ADC">
        <w:rPr>
          <w:rFonts w:ascii="Times New Roman" w:hAnsi="Times New Roman"/>
          <w:iCs/>
          <w:spacing w:val="-1"/>
          <w:lang w:val="lt-LT"/>
        </w:rPr>
        <w:t xml:space="preserve">8), kuriems pasireiškė nesunkus, vidutinio sunkumo ar sunkus kepenų funkcijos sutrikimas (atitinkamai A, B ar C klasės pagal </w:t>
      </w:r>
      <w:proofErr w:type="spellStart"/>
      <w:r w:rsidRPr="00156ADC">
        <w:rPr>
          <w:rFonts w:ascii="Times New Roman" w:hAnsi="Times New Roman"/>
          <w:i/>
          <w:spacing w:val="-1"/>
          <w:lang w:val="lt-LT"/>
        </w:rPr>
        <w:t>Child-Pugh</w:t>
      </w:r>
      <w:proofErr w:type="spellEnd"/>
      <w:r w:rsidRPr="00156ADC">
        <w:rPr>
          <w:rFonts w:ascii="Times New Roman" w:hAnsi="Times New Roman"/>
          <w:iCs/>
          <w:spacing w:val="-1"/>
          <w:lang w:val="lt-LT"/>
        </w:rPr>
        <w:t xml:space="preserve"> kriterijus) buvo palyginta su sveikais savanoriais. Ploto po kreive (AUC) rodmenys buvo mažiau nei 10</w:t>
      </w:r>
      <w:r>
        <w:rPr>
          <w:rFonts w:ascii="Times New Roman" w:hAnsi="Times New Roman"/>
          <w:iCs/>
          <w:spacing w:val="-1"/>
          <w:lang w:val="lt-LT"/>
        </w:rPr>
        <w:t> </w:t>
      </w:r>
      <w:r w:rsidRPr="00156ADC">
        <w:rPr>
          <w:rFonts w:ascii="Times New Roman" w:hAnsi="Times New Roman"/>
          <w:iCs/>
          <w:spacing w:val="-1"/>
          <w:lang w:val="lt-LT"/>
        </w:rPr>
        <w:t>% mažesni tiriamiesiems, kuriems diagnozuotas lengvas ar vidutinio sunkumo kepenų funkcijos sutrikimas, ir 10</w:t>
      </w:r>
      <w:r>
        <w:rPr>
          <w:rFonts w:ascii="Times New Roman" w:hAnsi="Times New Roman"/>
          <w:iCs/>
          <w:spacing w:val="-1"/>
          <w:lang w:val="lt-LT"/>
        </w:rPr>
        <w:t> </w:t>
      </w:r>
      <w:r w:rsidRPr="00156ADC">
        <w:rPr>
          <w:rFonts w:ascii="Times New Roman" w:hAnsi="Times New Roman"/>
          <w:iCs/>
          <w:spacing w:val="-1"/>
          <w:lang w:val="lt-LT"/>
        </w:rPr>
        <w:t xml:space="preserve">% didesni tiems, kuriems pasireiškė sunkus kepenų funkcijos sutrikimas. </w:t>
      </w:r>
      <w:proofErr w:type="spellStart"/>
      <w:r w:rsidRPr="00156ADC">
        <w:rPr>
          <w:rFonts w:ascii="Times New Roman" w:hAnsi="Times New Roman"/>
          <w:iCs/>
          <w:spacing w:val="-1"/>
          <w:lang w:val="lt-LT"/>
        </w:rPr>
        <w:t>C</w:t>
      </w:r>
      <w:r w:rsidRPr="00156ADC">
        <w:rPr>
          <w:rFonts w:ascii="Times New Roman" w:hAnsi="Times New Roman"/>
          <w:iCs/>
          <w:spacing w:val="-1"/>
          <w:vertAlign w:val="subscript"/>
          <w:lang w:val="lt-LT"/>
        </w:rPr>
        <w:t>max</w:t>
      </w:r>
      <w:proofErr w:type="spellEnd"/>
      <w:r w:rsidRPr="00156ADC">
        <w:rPr>
          <w:rFonts w:ascii="Times New Roman" w:hAnsi="Times New Roman"/>
          <w:iCs/>
          <w:spacing w:val="-1"/>
          <w:lang w:val="lt-LT"/>
        </w:rPr>
        <w:t xml:space="preserve"> rodmenys buvo mažiau nei 25</w:t>
      </w:r>
      <w:r>
        <w:rPr>
          <w:rFonts w:ascii="Times New Roman" w:hAnsi="Times New Roman"/>
          <w:iCs/>
          <w:spacing w:val="-1"/>
          <w:lang w:val="lt-LT"/>
        </w:rPr>
        <w:t> </w:t>
      </w:r>
      <w:r w:rsidRPr="00156ADC">
        <w:rPr>
          <w:rFonts w:ascii="Times New Roman" w:hAnsi="Times New Roman"/>
          <w:iCs/>
          <w:spacing w:val="-1"/>
          <w:lang w:val="lt-LT"/>
        </w:rPr>
        <w:t>% mažesni visose grupėse. Atsižvelgiant į kepenų funkciją dozės keisti nereikia (žr. 4.2 ir 4.4 skyrius).</w:t>
      </w:r>
    </w:p>
    <w:p w14:paraId="49BE4CAF" w14:textId="77777777" w:rsidR="00156ADC" w:rsidRDefault="00156ADC" w:rsidP="00151117">
      <w:pPr>
        <w:widowControl w:val="0"/>
        <w:autoSpaceDE w:val="0"/>
        <w:autoSpaceDN w:val="0"/>
        <w:adjustRightInd w:val="0"/>
        <w:spacing w:after="0" w:line="240" w:lineRule="auto"/>
        <w:rPr>
          <w:rFonts w:ascii="Times New Roman" w:hAnsi="Times New Roman"/>
          <w:iCs/>
          <w:spacing w:val="-1"/>
          <w:lang w:val="lt-LT"/>
        </w:rPr>
      </w:pPr>
    </w:p>
    <w:p w14:paraId="27198696" w14:textId="77777777" w:rsidR="008A490B" w:rsidRPr="008A490B" w:rsidRDefault="008A490B" w:rsidP="008A490B">
      <w:pPr>
        <w:widowControl w:val="0"/>
        <w:autoSpaceDE w:val="0"/>
        <w:autoSpaceDN w:val="0"/>
        <w:adjustRightInd w:val="0"/>
        <w:spacing w:after="0" w:line="240" w:lineRule="auto"/>
        <w:rPr>
          <w:rFonts w:ascii="Times New Roman" w:hAnsi="Times New Roman"/>
          <w:i/>
          <w:spacing w:val="-1"/>
          <w:lang w:val="lt-LT"/>
        </w:rPr>
      </w:pPr>
      <w:r w:rsidRPr="008A490B">
        <w:rPr>
          <w:rFonts w:ascii="Times New Roman" w:hAnsi="Times New Roman"/>
          <w:i/>
          <w:spacing w:val="-1"/>
          <w:lang w:val="lt-LT"/>
        </w:rPr>
        <w:t>CYP2D6 genų tipai</w:t>
      </w:r>
    </w:p>
    <w:p w14:paraId="194CEFE7" w14:textId="52B47478" w:rsidR="008A490B" w:rsidRDefault="008A490B" w:rsidP="008A490B">
      <w:pPr>
        <w:widowControl w:val="0"/>
        <w:autoSpaceDE w:val="0"/>
        <w:autoSpaceDN w:val="0"/>
        <w:adjustRightInd w:val="0"/>
        <w:spacing w:after="0" w:line="240" w:lineRule="auto"/>
        <w:rPr>
          <w:rFonts w:ascii="Times New Roman" w:hAnsi="Times New Roman"/>
          <w:iCs/>
          <w:spacing w:val="-1"/>
          <w:lang w:val="lt-LT"/>
        </w:rPr>
      </w:pPr>
      <w:r w:rsidRPr="008A490B">
        <w:rPr>
          <w:rFonts w:ascii="Times New Roman" w:hAnsi="Times New Roman"/>
          <w:iCs/>
          <w:spacing w:val="-1"/>
          <w:lang w:val="lt-LT"/>
        </w:rPr>
        <w:t>Vortioksetino koncentracijos pacientų, kurių organizme CYP2D6 veikiamas metabolizmas yra silpnas, plazmoje buvo maždaug du kartus didesnės nei pacientų, kurių organizme šis metabolizmas yra stiprus. Jei kartu vartojama stiprių CYP3A4/2C9</w:t>
      </w:r>
      <w:r>
        <w:rPr>
          <w:rFonts w:ascii="Times New Roman" w:hAnsi="Times New Roman"/>
          <w:iCs/>
          <w:spacing w:val="-1"/>
          <w:lang w:val="lt-LT"/>
        </w:rPr>
        <w:noBreakHyphen/>
      </w:r>
      <w:r w:rsidRPr="008A490B">
        <w:rPr>
          <w:rFonts w:ascii="Times New Roman" w:hAnsi="Times New Roman"/>
          <w:iCs/>
          <w:spacing w:val="-1"/>
          <w:lang w:val="lt-LT"/>
        </w:rPr>
        <w:t>inhibitorių, pacientų, kurių CYP2D6 veikiamas metabolizmas yra silpnas, organizme ekspozicija gali būti didesnė (žr. 4.5 skyrių).</w:t>
      </w:r>
    </w:p>
    <w:p w14:paraId="3F028055" w14:textId="77777777" w:rsidR="008A490B" w:rsidRPr="008A490B" w:rsidRDefault="008A490B" w:rsidP="008A490B">
      <w:pPr>
        <w:widowControl w:val="0"/>
        <w:autoSpaceDE w:val="0"/>
        <w:autoSpaceDN w:val="0"/>
        <w:adjustRightInd w:val="0"/>
        <w:spacing w:after="0" w:line="240" w:lineRule="auto"/>
        <w:rPr>
          <w:rFonts w:ascii="Times New Roman" w:hAnsi="Times New Roman"/>
          <w:iCs/>
          <w:spacing w:val="-1"/>
          <w:lang w:val="lt-LT"/>
        </w:rPr>
      </w:pPr>
    </w:p>
    <w:p w14:paraId="379C285E" w14:textId="1CB26945" w:rsidR="008A490B" w:rsidRDefault="008A490B" w:rsidP="008A490B">
      <w:pPr>
        <w:widowControl w:val="0"/>
        <w:autoSpaceDE w:val="0"/>
        <w:autoSpaceDN w:val="0"/>
        <w:adjustRightInd w:val="0"/>
        <w:spacing w:after="0" w:line="240" w:lineRule="auto"/>
        <w:rPr>
          <w:rFonts w:ascii="Times New Roman" w:hAnsi="Times New Roman"/>
          <w:iCs/>
          <w:spacing w:val="-1"/>
          <w:lang w:val="lt-LT"/>
        </w:rPr>
      </w:pPr>
      <w:r w:rsidRPr="008A490B">
        <w:rPr>
          <w:rFonts w:ascii="Times New Roman" w:hAnsi="Times New Roman"/>
          <w:iCs/>
          <w:spacing w:val="-1"/>
          <w:lang w:val="lt-LT"/>
        </w:rPr>
        <w:t>Pacientams, kurių organizme CYP2D6 veikiamas metabolizmas yra ypač greitas, vartojant 10</w:t>
      </w:r>
      <w:r>
        <w:rPr>
          <w:rFonts w:ascii="Times New Roman" w:hAnsi="Times New Roman"/>
          <w:iCs/>
          <w:spacing w:val="-1"/>
          <w:lang w:val="lt-LT"/>
        </w:rPr>
        <w:t> </w:t>
      </w:r>
      <w:r w:rsidRPr="008A490B">
        <w:rPr>
          <w:rFonts w:ascii="Times New Roman" w:hAnsi="Times New Roman"/>
          <w:iCs/>
          <w:spacing w:val="-1"/>
          <w:lang w:val="lt-LT"/>
        </w:rPr>
        <w:t>mg vortioksetino paros dozę, jo koncentracija plazmoje buvo koncentracijos, kokia būna pacientams, kurių organizme CYP2D6 veikiamas metabolizmas yra ekstensyvus, vartojant 5</w:t>
      </w:r>
      <w:r>
        <w:rPr>
          <w:rFonts w:ascii="Times New Roman" w:hAnsi="Times New Roman"/>
          <w:iCs/>
          <w:spacing w:val="-1"/>
          <w:lang w:val="lt-LT"/>
        </w:rPr>
        <w:t> </w:t>
      </w:r>
      <w:r w:rsidRPr="008A490B">
        <w:rPr>
          <w:rFonts w:ascii="Times New Roman" w:hAnsi="Times New Roman"/>
          <w:iCs/>
          <w:spacing w:val="-1"/>
          <w:lang w:val="lt-LT"/>
        </w:rPr>
        <w:t>mg ir 10</w:t>
      </w:r>
      <w:r>
        <w:rPr>
          <w:rFonts w:ascii="Times New Roman" w:hAnsi="Times New Roman"/>
          <w:iCs/>
          <w:spacing w:val="-1"/>
          <w:lang w:val="lt-LT"/>
        </w:rPr>
        <w:t> </w:t>
      </w:r>
      <w:r w:rsidRPr="008A490B">
        <w:rPr>
          <w:rFonts w:ascii="Times New Roman" w:hAnsi="Times New Roman"/>
          <w:iCs/>
          <w:spacing w:val="-1"/>
          <w:lang w:val="lt-LT"/>
        </w:rPr>
        <w:t>mg paros dozę, ribose.</w:t>
      </w:r>
    </w:p>
    <w:p w14:paraId="74A138A6" w14:textId="77777777" w:rsidR="008A490B" w:rsidRPr="008A490B" w:rsidRDefault="008A490B" w:rsidP="008A490B">
      <w:pPr>
        <w:widowControl w:val="0"/>
        <w:autoSpaceDE w:val="0"/>
        <w:autoSpaceDN w:val="0"/>
        <w:adjustRightInd w:val="0"/>
        <w:spacing w:after="0" w:line="240" w:lineRule="auto"/>
        <w:rPr>
          <w:rFonts w:ascii="Times New Roman" w:hAnsi="Times New Roman"/>
          <w:iCs/>
          <w:spacing w:val="-1"/>
          <w:lang w:val="lt-LT"/>
        </w:rPr>
      </w:pPr>
    </w:p>
    <w:p w14:paraId="00268356" w14:textId="7CC56181" w:rsidR="008A490B" w:rsidRDefault="008A490B" w:rsidP="008A490B">
      <w:pPr>
        <w:widowControl w:val="0"/>
        <w:autoSpaceDE w:val="0"/>
        <w:autoSpaceDN w:val="0"/>
        <w:adjustRightInd w:val="0"/>
        <w:spacing w:after="0" w:line="240" w:lineRule="auto"/>
        <w:rPr>
          <w:rFonts w:ascii="Times New Roman" w:hAnsi="Times New Roman"/>
          <w:iCs/>
          <w:spacing w:val="-1"/>
          <w:lang w:val="lt-LT"/>
        </w:rPr>
      </w:pPr>
      <w:r w:rsidRPr="008A490B">
        <w:rPr>
          <w:rFonts w:ascii="Times New Roman" w:hAnsi="Times New Roman"/>
          <w:iCs/>
          <w:spacing w:val="-1"/>
          <w:lang w:val="lt-LT"/>
        </w:rPr>
        <w:t>Atsižvelgiant į individualų paciento atsaką, gali tekti apsvarstyti keisti dozę (žr. 4.2 skyrių).</w:t>
      </w:r>
    </w:p>
    <w:p w14:paraId="09BA1CE0" w14:textId="77777777" w:rsidR="008A490B" w:rsidRPr="00514245" w:rsidRDefault="008A490B" w:rsidP="00151117">
      <w:pPr>
        <w:widowControl w:val="0"/>
        <w:autoSpaceDE w:val="0"/>
        <w:autoSpaceDN w:val="0"/>
        <w:adjustRightInd w:val="0"/>
        <w:spacing w:after="0" w:line="240" w:lineRule="auto"/>
        <w:rPr>
          <w:rFonts w:ascii="Times New Roman" w:hAnsi="Times New Roman"/>
          <w:iCs/>
          <w:spacing w:val="-1"/>
          <w:lang w:val="lt-LT"/>
        </w:rPr>
      </w:pPr>
    </w:p>
    <w:p w14:paraId="60C1770D" w14:textId="77777777" w:rsidR="006F34F2" w:rsidRPr="00514245" w:rsidRDefault="006F34F2" w:rsidP="006F34F2">
      <w:pPr>
        <w:widowControl w:val="0"/>
        <w:autoSpaceDE w:val="0"/>
        <w:autoSpaceDN w:val="0"/>
        <w:adjustRightInd w:val="0"/>
        <w:spacing w:after="0" w:line="240" w:lineRule="auto"/>
        <w:rPr>
          <w:rFonts w:ascii="Times New Roman" w:hAnsi="Times New Roman"/>
          <w:i/>
          <w:spacing w:val="-1"/>
          <w:lang w:val="lt-LT"/>
        </w:rPr>
      </w:pPr>
      <w:r w:rsidRPr="00514245">
        <w:rPr>
          <w:rFonts w:ascii="Times New Roman" w:hAnsi="Times New Roman"/>
          <w:i/>
          <w:spacing w:val="-1"/>
          <w:lang w:val="lt-LT"/>
        </w:rPr>
        <w:t>Vaikų populiacija</w:t>
      </w:r>
    </w:p>
    <w:p w14:paraId="51201039" w14:textId="4F85CBBA" w:rsidR="006F34F2" w:rsidRPr="008A490B" w:rsidRDefault="008A490B" w:rsidP="006F34F2">
      <w:pPr>
        <w:widowControl w:val="0"/>
        <w:autoSpaceDE w:val="0"/>
        <w:autoSpaceDN w:val="0"/>
        <w:adjustRightInd w:val="0"/>
        <w:spacing w:after="0" w:line="240" w:lineRule="auto"/>
        <w:rPr>
          <w:rFonts w:ascii="Times New Roman" w:hAnsi="Times New Roman"/>
          <w:iCs/>
          <w:spacing w:val="-1"/>
          <w:lang w:val="lt-LT"/>
        </w:rPr>
      </w:pPr>
      <w:r w:rsidRPr="008A490B">
        <w:rPr>
          <w:rFonts w:ascii="Times New Roman" w:hAnsi="Times New Roman"/>
          <w:iCs/>
          <w:spacing w:val="-1"/>
          <w:lang w:val="lt-LT"/>
        </w:rPr>
        <w:t>Vortioksetino farmakokinetika vaikų, sergančių didžiosios depresijos sutrikimu ir per burną vartojusių 5</w:t>
      </w:r>
      <w:r>
        <w:rPr>
          <w:rFonts w:ascii="Times New Roman" w:hAnsi="Times New Roman"/>
          <w:iCs/>
          <w:spacing w:val="-1"/>
          <w:lang w:val="lt-LT"/>
        </w:rPr>
        <w:noBreakHyphen/>
      </w:r>
      <w:r w:rsidRPr="008A490B">
        <w:rPr>
          <w:rFonts w:ascii="Times New Roman" w:hAnsi="Times New Roman"/>
          <w:iCs/>
          <w:spacing w:val="-1"/>
          <w:lang w:val="lt-LT"/>
        </w:rPr>
        <w:t>20</w:t>
      </w:r>
      <w:r>
        <w:rPr>
          <w:rFonts w:ascii="Times New Roman" w:hAnsi="Times New Roman"/>
          <w:iCs/>
          <w:spacing w:val="-1"/>
          <w:lang w:val="lt-LT"/>
        </w:rPr>
        <w:t> </w:t>
      </w:r>
      <w:r w:rsidRPr="008A490B">
        <w:rPr>
          <w:rFonts w:ascii="Times New Roman" w:hAnsi="Times New Roman"/>
          <w:iCs/>
          <w:spacing w:val="-1"/>
          <w:lang w:val="lt-LT"/>
        </w:rPr>
        <w:t>mg kartą per parą vaistinio preparato dozę, organizme buvo apibūdinta naudojant populiacijos modeliavimo analizę, paremtą farmakokinetikos tyrimo (7</w:t>
      </w:r>
      <w:r>
        <w:rPr>
          <w:rFonts w:ascii="Times New Roman" w:hAnsi="Times New Roman"/>
          <w:iCs/>
          <w:spacing w:val="-1"/>
          <w:lang w:val="lt-LT"/>
        </w:rPr>
        <w:noBreakHyphen/>
      </w:r>
      <w:r w:rsidRPr="008A490B">
        <w:rPr>
          <w:rFonts w:ascii="Times New Roman" w:hAnsi="Times New Roman"/>
          <w:iCs/>
          <w:spacing w:val="-1"/>
          <w:lang w:val="lt-LT"/>
        </w:rPr>
        <w:t>17</w:t>
      </w:r>
      <w:r>
        <w:rPr>
          <w:rFonts w:ascii="Times New Roman" w:hAnsi="Times New Roman"/>
          <w:iCs/>
          <w:spacing w:val="-1"/>
          <w:lang w:val="lt-LT"/>
        </w:rPr>
        <w:t> </w:t>
      </w:r>
      <w:r w:rsidRPr="008A490B">
        <w:rPr>
          <w:rFonts w:ascii="Times New Roman" w:hAnsi="Times New Roman"/>
          <w:iCs/>
          <w:spacing w:val="-1"/>
          <w:lang w:val="lt-LT"/>
        </w:rPr>
        <w:t>metų pacientams) ir dviejų veiksmingumo bei saugumo tyrimų (7</w:t>
      </w:r>
      <w:r>
        <w:rPr>
          <w:rFonts w:ascii="Times New Roman" w:hAnsi="Times New Roman"/>
          <w:iCs/>
          <w:spacing w:val="-1"/>
          <w:lang w:val="lt-LT"/>
        </w:rPr>
        <w:noBreakHyphen/>
      </w:r>
      <w:r w:rsidRPr="008A490B">
        <w:rPr>
          <w:rFonts w:ascii="Times New Roman" w:hAnsi="Times New Roman"/>
          <w:iCs/>
          <w:spacing w:val="-1"/>
          <w:lang w:val="lt-LT"/>
        </w:rPr>
        <w:t>17</w:t>
      </w:r>
      <w:r>
        <w:rPr>
          <w:rFonts w:ascii="Times New Roman" w:hAnsi="Times New Roman"/>
          <w:iCs/>
          <w:spacing w:val="-1"/>
          <w:lang w:val="lt-LT"/>
        </w:rPr>
        <w:t> </w:t>
      </w:r>
      <w:r w:rsidRPr="008A490B">
        <w:rPr>
          <w:rFonts w:ascii="Times New Roman" w:hAnsi="Times New Roman"/>
          <w:iCs/>
          <w:spacing w:val="-1"/>
          <w:lang w:val="lt-LT"/>
        </w:rPr>
        <w:t>metų pacientams) duomenimis. Vortioksetino farmakokinetika vaikų ir suaugusiųjų organizme buvo panaši.</w:t>
      </w:r>
    </w:p>
    <w:p w14:paraId="72C57B25" w14:textId="77777777" w:rsidR="006F34F2" w:rsidRPr="00514245" w:rsidRDefault="006F34F2" w:rsidP="00C33C48">
      <w:pPr>
        <w:widowControl w:val="0"/>
        <w:autoSpaceDE w:val="0"/>
        <w:autoSpaceDN w:val="0"/>
        <w:adjustRightInd w:val="0"/>
        <w:spacing w:after="0" w:line="240" w:lineRule="auto"/>
        <w:rPr>
          <w:rFonts w:ascii="Times New Roman" w:hAnsi="Times New Roman"/>
          <w:iCs/>
          <w:spacing w:val="-1"/>
          <w:lang w:val="lt-LT"/>
        </w:rPr>
      </w:pPr>
    </w:p>
    <w:p w14:paraId="6A747558" w14:textId="77777777" w:rsidR="00E0107B" w:rsidRPr="00514245" w:rsidRDefault="00E0107B" w:rsidP="00573956">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5.3</w:t>
      </w:r>
      <w:r w:rsidRPr="00514245">
        <w:rPr>
          <w:rFonts w:ascii="Times New Roman" w:hAnsi="Times New Roman"/>
          <w:lang w:val="lt-LT"/>
        </w:rPr>
        <w:tab/>
      </w:r>
      <w:proofErr w:type="spellStart"/>
      <w:r w:rsidRPr="00514245">
        <w:rPr>
          <w:rFonts w:ascii="Times New Roman" w:hAnsi="Times New Roman"/>
          <w:b/>
          <w:lang w:val="lt-LT"/>
        </w:rPr>
        <w:t>Ikiklinikinių</w:t>
      </w:r>
      <w:proofErr w:type="spellEnd"/>
      <w:r w:rsidRPr="00514245">
        <w:rPr>
          <w:rFonts w:ascii="Times New Roman" w:hAnsi="Times New Roman"/>
          <w:b/>
          <w:lang w:val="lt-LT"/>
        </w:rPr>
        <w:t xml:space="preserve"> saugumo tyrimų duomenys</w:t>
      </w:r>
    </w:p>
    <w:p w14:paraId="10C69287" w14:textId="77777777" w:rsidR="00E0107B" w:rsidRPr="00514245" w:rsidRDefault="00E0107B" w:rsidP="00573956">
      <w:pPr>
        <w:keepNext/>
        <w:autoSpaceDE w:val="0"/>
        <w:autoSpaceDN w:val="0"/>
        <w:adjustRightInd w:val="0"/>
        <w:spacing w:after="0" w:line="240" w:lineRule="auto"/>
        <w:rPr>
          <w:rFonts w:ascii="Times New Roman" w:eastAsia="Times New Roman" w:hAnsi="Times New Roman"/>
          <w:lang w:val="lt-LT"/>
        </w:rPr>
      </w:pPr>
    </w:p>
    <w:p w14:paraId="4F131130" w14:textId="35D345C4"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Vortioksetino vartojimas bendrųjų toksikologijos tyrimų su pelėmis, žiurkėmis ir šunimis metu daugiausiai buvo susijęs su klinikiniais požymiais, susijusiais su CNS. Tokie požymiai yra seilėtekis (žiurkėmis ir šunimis), vyzdžių išsiplėtimas (šunims) ir du traukulių atsiradimo šunims atvejai bendrosios toksinio poveikio tyrimo programos metu. Buvo nustatyta traukulių nesukelianti koncentracija, atitinkanti 5 saugumo ribą, atsižvelgiant į didžiausią rekomenduojamą gydomąją 20</w:t>
      </w:r>
      <w:r>
        <w:rPr>
          <w:rFonts w:ascii="Times New Roman" w:eastAsia="Times New Roman" w:hAnsi="Times New Roman"/>
          <w:lang w:val="lt-LT"/>
        </w:rPr>
        <w:t> </w:t>
      </w:r>
      <w:r w:rsidRPr="00EF14BD">
        <w:rPr>
          <w:rFonts w:ascii="Times New Roman" w:eastAsia="Times New Roman" w:hAnsi="Times New Roman"/>
          <w:lang w:val="lt-LT"/>
        </w:rPr>
        <w:t>mg dozę per parą. Toksinio poveikio organai taikiniai apsiribojo inkstais (žiurkėms) ir kepenimis (pelėms ir žiurkėms). Pokyčiai žiurkių inkstuose (</w:t>
      </w:r>
      <w:proofErr w:type="spellStart"/>
      <w:r w:rsidRPr="00EF14BD">
        <w:rPr>
          <w:rFonts w:ascii="Times New Roman" w:eastAsia="Times New Roman" w:hAnsi="Times New Roman"/>
          <w:lang w:val="lt-LT"/>
        </w:rPr>
        <w:t>glomerulonefritas</w:t>
      </w:r>
      <w:proofErr w:type="spellEnd"/>
      <w:r w:rsidRPr="00EF14BD">
        <w:rPr>
          <w:rFonts w:ascii="Times New Roman" w:eastAsia="Times New Roman" w:hAnsi="Times New Roman"/>
          <w:lang w:val="lt-LT"/>
        </w:rPr>
        <w:t xml:space="preserve">, inkstų kanalėlių obstrukcija, kristalinė medžiaga inkstų kanalėliuose) ir pelių bei žiurkių kepenyse (kepenų ląstelių hipertrofija, </w:t>
      </w:r>
      <w:proofErr w:type="spellStart"/>
      <w:r w:rsidRPr="00EF14BD">
        <w:rPr>
          <w:rFonts w:ascii="Times New Roman" w:eastAsia="Times New Roman" w:hAnsi="Times New Roman"/>
          <w:lang w:val="lt-LT"/>
        </w:rPr>
        <w:t>hepatocitų</w:t>
      </w:r>
      <w:proofErr w:type="spellEnd"/>
      <w:r w:rsidRPr="00EF14BD">
        <w:rPr>
          <w:rFonts w:ascii="Times New Roman" w:eastAsia="Times New Roman" w:hAnsi="Times New Roman"/>
          <w:lang w:val="lt-LT"/>
        </w:rPr>
        <w:t xml:space="preserve"> nekrozė, tulžies latakų </w:t>
      </w:r>
      <w:proofErr w:type="spellStart"/>
      <w:r w:rsidRPr="00EF14BD">
        <w:rPr>
          <w:rFonts w:ascii="Times New Roman" w:eastAsia="Times New Roman" w:hAnsi="Times New Roman"/>
          <w:lang w:val="lt-LT"/>
        </w:rPr>
        <w:t>hiperplazija</w:t>
      </w:r>
      <w:proofErr w:type="spellEnd"/>
      <w:r w:rsidRPr="00EF14BD">
        <w:rPr>
          <w:rFonts w:ascii="Times New Roman" w:eastAsia="Times New Roman" w:hAnsi="Times New Roman"/>
          <w:lang w:val="lt-LT"/>
        </w:rPr>
        <w:t>, kristalinė medžiaga tulžies latakuose) pasireiškė, kai ekspozicija buvo daugiau kaip 10</w:t>
      </w:r>
      <w:r>
        <w:rPr>
          <w:rFonts w:ascii="Times New Roman" w:eastAsia="Times New Roman" w:hAnsi="Times New Roman"/>
          <w:lang w:val="lt-LT"/>
        </w:rPr>
        <w:t> </w:t>
      </w:r>
      <w:r w:rsidRPr="00EF14BD">
        <w:rPr>
          <w:rFonts w:ascii="Times New Roman" w:eastAsia="Times New Roman" w:hAnsi="Times New Roman"/>
          <w:lang w:val="lt-LT"/>
        </w:rPr>
        <w:t>kartų (pelėms) ir 2</w:t>
      </w:r>
      <w:r>
        <w:rPr>
          <w:rFonts w:ascii="Times New Roman" w:eastAsia="Times New Roman" w:hAnsi="Times New Roman"/>
          <w:lang w:val="lt-LT"/>
        </w:rPr>
        <w:t> </w:t>
      </w:r>
      <w:r w:rsidRPr="00EF14BD">
        <w:rPr>
          <w:rFonts w:ascii="Times New Roman" w:eastAsia="Times New Roman" w:hAnsi="Times New Roman"/>
          <w:lang w:val="lt-LT"/>
        </w:rPr>
        <w:t>kartus (žiurkėms) didesnė nei ekspozicija žmogaus organizme, vartojant maksimalią rekomenduojamą gydomąją 20</w:t>
      </w:r>
      <w:r>
        <w:rPr>
          <w:rFonts w:ascii="Times New Roman" w:eastAsia="Times New Roman" w:hAnsi="Times New Roman"/>
          <w:lang w:val="lt-LT"/>
        </w:rPr>
        <w:t> </w:t>
      </w:r>
      <w:r w:rsidRPr="00EF14BD">
        <w:rPr>
          <w:rFonts w:ascii="Times New Roman" w:eastAsia="Times New Roman" w:hAnsi="Times New Roman"/>
          <w:lang w:val="lt-LT"/>
        </w:rPr>
        <w:t>mg paros dozę. Tokį poveikį daugiausia lėmė graužikams specifinė su vortioksetinu susijusios kristalinės medžiagos sukelta obstrukcija atitinkamai inkstų kanalėliuose ir tulžies pūslės latakuose, todėl laikoma, kad jos kelia mažą riziką žmogui.</w:t>
      </w:r>
    </w:p>
    <w:p w14:paraId="76B8ADA3" w14:textId="77777777" w:rsidR="00EF14BD" w:rsidRP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298743AB" w14:textId="56823190"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 xml:space="preserve">Atlikus eilę įprastinių tyrimų </w:t>
      </w:r>
      <w:proofErr w:type="spellStart"/>
      <w:r w:rsidRPr="00EF14BD">
        <w:rPr>
          <w:rFonts w:ascii="Times New Roman" w:eastAsia="Times New Roman" w:hAnsi="Times New Roman"/>
          <w:i/>
          <w:iCs/>
          <w:lang w:val="lt-LT"/>
        </w:rPr>
        <w:t>in</w:t>
      </w:r>
      <w:proofErr w:type="spellEnd"/>
      <w:r w:rsidRPr="00EF14BD">
        <w:rPr>
          <w:rFonts w:ascii="Times New Roman" w:eastAsia="Times New Roman" w:hAnsi="Times New Roman"/>
          <w:i/>
          <w:iCs/>
          <w:lang w:val="lt-LT"/>
        </w:rPr>
        <w:t xml:space="preserve"> </w:t>
      </w:r>
      <w:proofErr w:type="spellStart"/>
      <w:r w:rsidRPr="00EF14BD">
        <w:rPr>
          <w:rFonts w:ascii="Times New Roman" w:eastAsia="Times New Roman" w:hAnsi="Times New Roman"/>
          <w:i/>
          <w:iCs/>
          <w:lang w:val="lt-LT"/>
        </w:rPr>
        <w:t>vitro</w:t>
      </w:r>
      <w:proofErr w:type="spellEnd"/>
      <w:r w:rsidRPr="00EF14BD">
        <w:rPr>
          <w:rFonts w:ascii="Times New Roman" w:eastAsia="Times New Roman" w:hAnsi="Times New Roman"/>
          <w:lang w:val="lt-LT"/>
        </w:rPr>
        <w:t xml:space="preserve"> ir </w:t>
      </w:r>
      <w:proofErr w:type="spellStart"/>
      <w:r w:rsidRPr="00EF14BD">
        <w:rPr>
          <w:rFonts w:ascii="Times New Roman" w:eastAsia="Times New Roman" w:hAnsi="Times New Roman"/>
          <w:i/>
          <w:iCs/>
          <w:lang w:val="lt-LT"/>
        </w:rPr>
        <w:t>in</w:t>
      </w:r>
      <w:proofErr w:type="spellEnd"/>
      <w:r w:rsidRPr="00EF14BD">
        <w:rPr>
          <w:rFonts w:ascii="Times New Roman" w:eastAsia="Times New Roman" w:hAnsi="Times New Roman"/>
          <w:i/>
          <w:iCs/>
          <w:lang w:val="lt-LT"/>
        </w:rPr>
        <w:t xml:space="preserve"> </w:t>
      </w:r>
      <w:proofErr w:type="spellStart"/>
      <w:r w:rsidRPr="00EF14BD">
        <w:rPr>
          <w:rFonts w:ascii="Times New Roman" w:eastAsia="Times New Roman" w:hAnsi="Times New Roman"/>
          <w:i/>
          <w:iCs/>
          <w:lang w:val="lt-LT"/>
        </w:rPr>
        <w:t>vivo</w:t>
      </w:r>
      <w:proofErr w:type="spellEnd"/>
      <w:r w:rsidRPr="00EF14BD">
        <w:rPr>
          <w:rFonts w:ascii="Times New Roman" w:eastAsia="Times New Roman" w:hAnsi="Times New Roman"/>
          <w:lang w:val="lt-LT"/>
        </w:rPr>
        <w:t xml:space="preserve">, </w:t>
      </w:r>
      <w:proofErr w:type="spellStart"/>
      <w:r w:rsidRPr="00EF14BD">
        <w:rPr>
          <w:rFonts w:ascii="Times New Roman" w:eastAsia="Times New Roman" w:hAnsi="Times New Roman"/>
          <w:lang w:val="lt-LT"/>
        </w:rPr>
        <w:t>vortioksetinas</w:t>
      </w:r>
      <w:proofErr w:type="spellEnd"/>
      <w:r w:rsidRPr="00EF14BD">
        <w:rPr>
          <w:rFonts w:ascii="Times New Roman" w:eastAsia="Times New Roman" w:hAnsi="Times New Roman"/>
          <w:lang w:val="lt-LT"/>
        </w:rPr>
        <w:t xml:space="preserve"> </w:t>
      </w:r>
      <w:proofErr w:type="spellStart"/>
      <w:r w:rsidRPr="00EF14BD">
        <w:rPr>
          <w:rFonts w:ascii="Times New Roman" w:eastAsia="Times New Roman" w:hAnsi="Times New Roman"/>
          <w:lang w:val="lt-LT"/>
        </w:rPr>
        <w:t>nesukėlėgenotoksinio</w:t>
      </w:r>
      <w:proofErr w:type="spellEnd"/>
      <w:r w:rsidRPr="00EF14BD">
        <w:rPr>
          <w:rFonts w:ascii="Times New Roman" w:eastAsia="Times New Roman" w:hAnsi="Times New Roman"/>
          <w:lang w:val="lt-LT"/>
        </w:rPr>
        <w:t xml:space="preserve"> poveikio.</w:t>
      </w:r>
    </w:p>
    <w:p w14:paraId="279968D3" w14:textId="77777777" w:rsidR="00EF14BD" w:rsidRP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208A5DD1" w14:textId="0235B746" w:rsidR="00573956"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Remiantis 2</w:t>
      </w:r>
      <w:r>
        <w:rPr>
          <w:rFonts w:ascii="Times New Roman" w:eastAsia="Times New Roman" w:hAnsi="Times New Roman"/>
          <w:lang w:val="lt-LT"/>
        </w:rPr>
        <w:t> </w:t>
      </w:r>
      <w:r w:rsidRPr="00EF14BD">
        <w:rPr>
          <w:rFonts w:ascii="Times New Roman" w:eastAsia="Times New Roman" w:hAnsi="Times New Roman"/>
          <w:lang w:val="lt-LT"/>
        </w:rPr>
        <w:t>metus trukusių įprastinių kancerogeninio poveikio tyrimų su pelėmis ar žiurkėmis duomenimis, manoma, kad vortioksetinas nekelia kancerogeninio poveikio rizikos žmogui.</w:t>
      </w:r>
    </w:p>
    <w:p w14:paraId="340E683E" w14:textId="77777777"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5B0D08C3" w14:textId="32C067FE"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 xml:space="preserve">Vortioksetinas neveikė žiurkių vislumo, poravimosi, reprodukcijos organų ar spermos morfologijos ir judrumo. </w:t>
      </w:r>
      <w:proofErr w:type="spellStart"/>
      <w:r w:rsidRPr="00EF14BD">
        <w:rPr>
          <w:rFonts w:ascii="Times New Roman" w:eastAsia="Times New Roman" w:hAnsi="Times New Roman"/>
          <w:lang w:val="lt-LT"/>
        </w:rPr>
        <w:t>Vortioksetinas</w:t>
      </w:r>
      <w:proofErr w:type="spellEnd"/>
      <w:r w:rsidRPr="00EF14BD">
        <w:rPr>
          <w:rFonts w:ascii="Times New Roman" w:eastAsia="Times New Roman" w:hAnsi="Times New Roman"/>
          <w:lang w:val="lt-LT"/>
        </w:rPr>
        <w:t xml:space="preserve"> nesukėlė </w:t>
      </w:r>
      <w:proofErr w:type="spellStart"/>
      <w:r w:rsidRPr="00EF14BD">
        <w:rPr>
          <w:rFonts w:ascii="Times New Roman" w:eastAsia="Times New Roman" w:hAnsi="Times New Roman"/>
          <w:lang w:val="lt-LT"/>
        </w:rPr>
        <w:t>teratogeninio</w:t>
      </w:r>
      <w:proofErr w:type="spellEnd"/>
      <w:r w:rsidRPr="00EF14BD">
        <w:rPr>
          <w:rFonts w:ascii="Times New Roman" w:eastAsia="Times New Roman" w:hAnsi="Times New Roman"/>
          <w:lang w:val="lt-LT"/>
        </w:rPr>
        <w:t xml:space="preserve"> poveikio žiurkėms ar triušiams, bet buvo pastebėtas toksinis poveikis reprodukcijai (poveikis vaisiaus kūno masei bei kaulėjimo sulėtėjimas) žiurkėms, kai ekspozicija buvo daugiau kaip 10</w:t>
      </w:r>
      <w:r>
        <w:rPr>
          <w:rFonts w:ascii="Times New Roman" w:eastAsia="Times New Roman" w:hAnsi="Times New Roman"/>
          <w:lang w:val="lt-LT"/>
        </w:rPr>
        <w:t> </w:t>
      </w:r>
      <w:r w:rsidRPr="00EF14BD">
        <w:rPr>
          <w:rFonts w:ascii="Times New Roman" w:eastAsia="Times New Roman" w:hAnsi="Times New Roman"/>
          <w:lang w:val="lt-LT"/>
        </w:rPr>
        <w:t>kartų didesnė nei ekspozicija žmogaus organizme, vartojant maksimalią rekomenduojamą gydomąją 20</w:t>
      </w:r>
      <w:r>
        <w:rPr>
          <w:rFonts w:ascii="Times New Roman" w:eastAsia="Times New Roman" w:hAnsi="Times New Roman"/>
          <w:lang w:val="lt-LT"/>
        </w:rPr>
        <w:t> </w:t>
      </w:r>
      <w:r w:rsidRPr="00EF14BD">
        <w:rPr>
          <w:rFonts w:ascii="Times New Roman" w:eastAsia="Times New Roman" w:hAnsi="Times New Roman"/>
          <w:lang w:val="lt-LT"/>
        </w:rPr>
        <w:t xml:space="preserve">mg paros dozę. Panašus poveikis pasireiškė triušiams, kai ekspozicija buvo </w:t>
      </w:r>
      <w:proofErr w:type="spellStart"/>
      <w:r w:rsidRPr="00EF14BD">
        <w:rPr>
          <w:rFonts w:ascii="Times New Roman" w:eastAsia="Times New Roman" w:hAnsi="Times New Roman"/>
          <w:lang w:val="lt-LT"/>
        </w:rPr>
        <w:t>subterapinė</w:t>
      </w:r>
      <w:proofErr w:type="spellEnd"/>
      <w:r w:rsidRPr="00EF14BD">
        <w:rPr>
          <w:rFonts w:ascii="Times New Roman" w:eastAsia="Times New Roman" w:hAnsi="Times New Roman"/>
          <w:lang w:val="lt-LT"/>
        </w:rPr>
        <w:t>.</w:t>
      </w:r>
    </w:p>
    <w:p w14:paraId="768D6C4A" w14:textId="77777777" w:rsidR="00EF14BD" w:rsidRP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1E15FC8E" w14:textId="5EA4C5E3"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 xml:space="preserve">Remiantis </w:t>
      </w:r>
      <w:proofErr w:type="spellStart"/>
      <w:r w:rsidRPr="00EF14BD">
        <w:rPr>
          <w:rFonts w:ascii="Times New Roman" w:eastAsia="Times New Roman" w:hAnsi="Times New Roman"/>
          <w:lang w:val="lt-LT"/>
        </w:rPr>
        <w:t>prenatalinių</w:t>
      </w:r>
      <w:proofErr w:type="spellEnd"/>
      <w:r w:rsidRPr="00EF14BD">
        <w:rPr>
          <w:rFonts w:ascii="Times New Roman" w:eastAsia="Times New Roman" w:hAnsi="Times New Roman"/>
          <w:lang w:val="lt-LT"/>
        </w:rPr>
        <w:t xml:space="preserve"> ir </w:t>
      </w:r>
      <w:proofErr w:type="spellStart"/>
      <w:r w:rsidRPr="00EF14BD">
        <w:rPr>
          <w:rFonts w:ascii="Times New Roman" w:eastAsia="Times New Roman" w:hAnsi="Times New Roman"/>
          <w:lang w:val="lt-LT"/>
        </w:rPr>
        <w:t>postnatalinių</w:t>
      </w:r>
      <w:proofErr w:type="spellEnd"/>
      <w:r w:rsidRPr="00EF14BD">
        <w:rPr>
          <w:rFonts w:ascii="Times New Roman" w:eastAsia="Times New Roman" w:hAnsi="Times New Roman"/>
          <w:lang w:val="lt-LT"/>
        </w:rPr>
        <w:t xml:space="preserve"> tyrimų su žiurkėmis duomenimis, vortioksetinas buvo susijęs su </w:t>
      </w:r>
      <w:proofErr w:type="spellStart"/>
      <w:r w:rsidRPr="00EF14BD">
        <w:rPr>
          <w:rFonts w:ascii="Times New Roman" w:eastAsia="Times New Roman" w:hAnsi="Times New Roman"/>
          <w:lang w:val="lt-LT"/>
        </w:rPr>
        <w:t>žiurkiukų</w:t>
      </w:r>
      <w:proofErr w:type="spellEnd"/>
      <w:r w:rsidRPr="00EF14BD">
        <w:rPr>
          <w:rFonts w:ascii="Times New Roman" w:eastAsia="Times New Roman" w:hAnsi="Times New Roman"/>
          <w:lang w:val="lt-LT"/>
        </w:rPr>
        <w:t xml:space="preserve"> mirtingumo padidėjimu, kūno masės prieaugio sumažėjimu ir </w:t>
      </w:r>
      <w:proofErr w:type="spellStart"/>
      <w:r w:rsidRPr="00EF14BD">
        <w:rPr>
          <w:rFonts w:ascii="Times New Roman" w:eastAsia="Times New Roman" w:hAnsi="Times New Roman"/>
          <w:lang w:val="lt-LT"/>
        </w:rPr>
        <w:t>žiurkiukų</w:t>
      </w:r>
      <w:proofErr w:type="spellEnd"/>
      <w:r w:rsidRPr="00EF14BD">
        <w:rPr>
          <w:rFonts w:ascii="Times New Roman" w:eastAsia="Times New Roman" w:hAnsi="Times New Roman"/>
          <w:lang w:val="lt-LT"/>
        </w:rPr>
        <w:t xml:space="preserve"> vystymosi sulėtėjimu vartojant dozes, kurios nesukėlė toksinio poveikio motininėms patelėms, ir buvo susiję su ekspozicijoms, kurios buvo panašios į tas, kurios pasiekiamos žmogaus organizme po 20</w:t>
      </w:r>
      <w:r>
        <w:rPr>
          <w:rFonts w:ascii="Times New Roman" w:eastAsia="Times New Roman" w:hAnsi="Times New Roman"/>
          <w:lang w:val="lt-LT"/>
        </w:rPr>
        <w:t> </w:t>
      </w:r>
      <w:r w:rsidRPr="00EF14BD">
        <w:rPr>
          <w:rFonts w:ascii="Times New Roman" w:eastAsia="Times New Roman" w:hAnsi="Times New Roman"/>
          <w:lang w:val="lt-LT"/>
        </w:rPr>
        <w:t>mg vortioksetino dozės per parą pavartojimo (žr. 4.6 skyrių).</w:t>
      </w:r>
    </w:p>
    <w:p w14:paraId="15BB9EDE" w14:textId="77777777" w:rsidR="00EF14BD" w:rsidRP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561ABD12" w14:textId="7251A919"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Su vortioksetinu susijusių medžiagų išsiskyrė į žiurkių pieną laktacijos laikotarpiu (žr. 4.6 skyrių).</w:t>
      </w:r>
      <w:r>
        <w:rPr>
          <w:rFonts w:ascii="Times New Roman" w:eastAsia="Times New Roman" w:hAnsi="Times New Roman"/>
          <w:lang w:val="lt-LT"/>
        </w:rPr>
        <w:t xml:space="preserve"> </w:t>
      </w:r>
      <w:r w:rsidRPr="00EF14BD">
        <w:rPr>
          <w:rFonts w:ascii="Times New Roman" w:eastAsia="Times New Roman" w:hAnsi="Times New Roman"/>
          <w:lang w:val="lt-LT"/>
        </w:rPr>
        <w:t>Su žiurkėmis atliktų toksinio poveikio jaunikliams tyrimų duomenimis, visi su gydymu vortioksetinu susiję reiškiniai atitiko tuos, kurie buvo pastebėti suaugusiems gyvūnams.</w:t>
      </w:r>
    </w:p>
    <w:p w14:paraId="0D41EF1A" w14:textId="77777777" w:rsidR="00EF14BD" w:rsidRP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7E0D58C0" w14:textId="5AD450E0"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EF14BD">
        <w:rPr>
          <w:rFonts w:ascii="Times New Roman" w:eastAsia="Times New Roman" w:hAnsi="Times New Roman"/>
          <w:lang w:val="lt-LT"/>
        </w:rPr>
        <w:t>Pavojaus aplinkai vertinimo tyrimai parodė, kad vortioksetinas gali būti patvarus, besikaupiantis biologiniuose organizmuose ir toksiškas aplinkai (kyla pavojus žuvims). Vis dėlto laikoma, kad rekomenduojamomis dozėmis pacientų vartojamas vortioksetinas vandens ir sausumos aplinkai kelia nereikšmingą riziką (žr. 6.6 skyrių).</w:t>
      </w:r>
    </w:p>
    <w:p w14:paraId="212BE0E9" w14:textId="77777777" w:rsidR="00EF14BD" w:rsidRPr="00514245" w:rsidRDefault="00EF14BD" w:rsidP="00EF14BD">
      <w:pPr>
        <w:widowControl w:val="0"/>
        <w:autoSpaceDE w:val="0"/>
        <w:autoSpaceDN w:val="0"/>
        <w:adjustRightInd w:val="0"/>
        <w:spacing w:after="0" w:line="240" w:lineRule="auto"/>
        <w:rPr>
          <w:rFonts w:ascii="Times New Roman" w:eastAsia="Times New Roman" w:hAnsi="Times New Roman"/>
          <w:lang w:val="lt-LT"/>
        </w:rPr>
      </w:pPr>
    </w:p>
    <w:p w14:paraId="1A45C8E2" w14:textId="77777777" w:rsidR="00E93E10" w:rsidRPr="00514245" w:rsidRDefault="00E93E10" w:rsidP="00E0107B">
      <w:pPr>
        <w:widowControl w:val="0"/>
        <w:autoSpaceDE w:val="0"/>
        <w:autoSpaceDN w:val="0"/>
        <w:adjustRightInd w:val="0"/>
        <w:spacing w:after="0" w:line="240" w:lineRule="auto"/>
        <w:rPr>
          <w:rFonts w:ascii="Times New Roman" w:eastAsia="Times New Roman" w:hAnsi="Times New Roman"/>
          <w:lang w:val="lt-LT"/>
        </w:rPr>
      </w:pPr>
    </w:p>
    <w:p w14:paraId="31FC5FD6" w14:textId="77777777" w:rsidR="00E0107B" w:rsidRPr="00514245" w:rsidRDefault="00E0107B" w:rsidP="0052132C">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lastRenderedPageBreak/>
        <w:t>6.</w:t>
      </w:r>
      <w:r w:rsidRPr="00514245">
        <w:rPr>
          <w:rFonts w:ascii="Times New Roman" w:hAnsi="Times New Roman"/>
          <w:lang w:val="lt-LT"/>
        </w:rPr>
        <w:tab/>
      </w:r>
      <w:r w:rsidRPr="00514245">
        <w:rPr>
          <w:rFonts w:ascii="Times New Roman" w:hAnsi="Times New Roman"/>
          <w:b/>
          <w:spacing w:val="2"/>
          <w:lang w:val="lt-LT"/>
        </w:rPr>
        <w:t>FARMACINĖ INFORMACIJA</w:t>
      </w:r>
    </w:p>
    <w:p w14:paraId="39F55C73" w14:textId="77777777" w:rsidR="00E0107B" w:rsidRPr="00514245" w:rsidRDefault="00E0107B" w:rsidP="0052132C">
      <w:pPr>
        <w:keepNext/>
        <w:autoSpaceDE w:val="0"/>
        <w:autoSpaceDN w:val="0"/>
        <w:adjustRightInd w:val="0"/>
        <w:spacing w:after="0" w:line="240" w:lineRule="auto"/>
        <w:rPr>
          <w:rFonts w:ascii="Times New Roman" w:eastAsia="Times New Roman" w:hAnsi="Times New Roman"/>
          <w:lang w:val="lt-LT"/>
        </w:rPr>
      </w:pPr>
    </w:p>
    <w:p w14:paraId="14E87B1A" w14:textId="77777777" w:rsidR="00E0107B" w:rsidRPr="00514245" w:rsidRDefault="00E0107B" w:rsidP="0052132C">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6.1</w:t>
      </w:r>
      <w:r w:rsidRPr="00514245">
        <w:rPr>
          <w:rFonts w:ascii="Times New Roman" w:hAnsi="Times New Roman"/>
          <w:lang w:val="lt-LT"/>
        </w:rPr>
        <w:tab/>
      </w:r>
      <w:r w:rsidRPr="00514245">
        <w:rPr>
          <w:rFonts w:ascii="Times New Roman" w:hAnsi="Times New Roman"/>
          <w:b/>
          <w:lang w:val="lt-LT"/>
        </w:rPr>
        <w:t>Pagalbinių medžiagų sąrašas</w:t>
      </w:r>
    </w:p>
    <w:p w14:paraId="35C74753" w14:textId="77777777" w:rsidR="00E0107B" w:rsidRPr="00514245" w:rsidRDefault="00E0107B" w:rsidP="0052132C">
      <w:pPr>
        <w:keepNext/>
        <w:autoSpaceDE w:val="0"/>
        <w:autoSpaceDN w:val="0"/>
        <w:adjustRightInd w:val="0"/>
        <w:spacing w:after="0" w:line="240" w:lineRule="auto"/>
        <w:rPr>
          <w:rFonts w:ascii="Times New Roman" w:eastAsia="Times New Roman" w:hAnsi="Times New Roman"/>
          <w:lang w:val="lt-LT"/>
        </w:rPr>
      </w:pPr>
    </w:p>
    <w:p w14:paraId="3907FB71" w14:textId="79C14CD3" w:rsidR="00E0107B" w:rsidRPr="00EF14BD" w:rsidRDefault="00E93E10" w:rsidP="0052132C">
      <w:pPr>
        <w:keepNext/>
        <w:tabs>
          <w:tab w:val="left" w:pos="9240"/>
          <w:tab w:val="left" w:pos="9270"/>
        </w:tabs>
        <w:autoSpaceDE w:val="0"/>
        <w:autoSpaceDN w:val="0"/>
        <w:adjustRightInd w:val="0"/>
        <w:spacing w:after="0" w:line="240" w:lineRule="auto"/>
        <w:rPr>
          <w:rFonts w:ascii="Times New Roman" w:eastAsia="Times New Roman" w:hAnsi="Times New Roman"/>
          <w:i/>
          <w:iCs/>
          <w:lang w:val="lt-LT"/>
        </w:rPr>
      </w:pPr>
      <w:bookmarkStart w:id="0" w:name="_Hlk154523321"/>
      <w:r w:rsidRPr="00EF14BD">
        <w:rPr>
          <w:rFonts w:ascii="Times New Roman" w:hAnsi="Times New Roman"/>
          <w:i/>
          <w:iCs/>
          <w:spacing w:val="2"/>
          <w:lang w:val="lt-LT"/>
        </w:rPr>
        <w:t xml:space="preserve">Tabletės šerdis </w:t>
      </w:r>
    </w:p>
    <w:p w14:paraId="7AEAC137" w14:textId="77777777" w:rsidR="00EF14BD" w:rsidRDefault="00EF14BD" w:rsidP="00962678">
      <w:pPr>
        <w:widowControl w:val="0"/>
        <w:tabs>
          <w:tab w:val="left" w:pos="9240"/>
          <w:tab w:val="left" w:pos="9270"/>
        </w:tabs>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Manitolis</w:t>
      </w:r>
      <w:proofErr w:type="spellEnd"/>
      <w:r>
        <w:rPr>
          <w:rFonts w:ascii="Times New Roman" w:hAnsi="Times New Roman"/>
          <w:lang w:val="lt-LT"/>
        </w:rPr>
        <w:t xml:space="preserve"> (E</w:t>
      </w:r>
      <w:r w:rsidRPr="00662355">
        <w:rPr>
          <w:rFonts w:ascii="Times New Roman" w:hAnsi="Times New Roman"/>
          <w:lang w:val="lt-LT"/>
        </w:rPr>
        <w:t>421</w:t>
      </w:r>
      <w:r>
        <w:rPr>
          <w:rFonts w:ascii="Times New Roman" w:hAnsi="Times New Roman"/>
          <w:lang w:val="lt-LT"/>
        </w:rPr>
        <w:t>)</w:t>
      </w:r>
    </w:p>
    <w:p w14:paraId="5EE77D93" w14:textId="690C5589" w:rsidR="00E93E10" w:rsidRDefault="007233AC" w:rsidP="00962678">
      <w:pPr>
        <w:widowControl w:val="0"/>
        <w:tabs>
          <w:tab w:val="left" w:pos="9240"/>
          <w:tab w:val="left" w:pos="9270"/>
        </w:tabs>
        <w:autoSpaceDE w:val="0"/>
        <w:autoSpaceDN w:val="0"/>
        <w:adjustRightInd w:val="0"/>
        <w:spacing w:after="0" w:line="240" w:lineRule="auto"/>
        <w:rPr>
          <w:rFonts w:ascii="Times New Roman" w:hAnsi="Times New Roman"/>
          <w:lang w:val="lt-LT"/>
        </w:rPr>
      </w:pPr>
      <w:proofErr w:type="spellStart"/>
      <w:r w:rsidRPr="00514245">
        <w:rPr>
          <w:rFonts w:ascii="Times New Roman" w:hAnsi="Times New Roman"/>
          <w:lang w:val="lt-LT"/>
        </w:rPr>
        <w:t>Mikrokristalinė</w:t>
      </w:r>
      <w:proofErr w:type="spellEnd"/>
      <w:r w:rsidRPr="00514245">
        <w:rPr>
          <w:rFonts w:ascii="Times New Roman" w:hAnsi="Times New Roman"/>
          <w:lang w:val="lt-LT"/>
        </w:rPr>
        <w:t xml:space="preserve"> c</w:t>
      </w:r>
      <w:r w:rsidR="00563BE1" w:rsidRPr="00514245">
        <w:rPr>
          <w:rFonts w:ascii="Times New Roman" w:hAnsi="Times New Roman"/>
          <w:lang w:val="lt-LT"/>
        </w:rPr>
        <w:t>eliuliozė</w:t>
      </w:r>
    </w:p>
    <w:p w14:paraId="4657FB99" w14:textId="77777777" w:rsidR="00273828" w:rsidRDefault="00273828" w:rsidP="00273828">
      <w:pPr>
        <w:pStyle w:val="Default"/>
        <w:rPr>
          <w:sz w:val="22"/>
          <w:szCs w:val="22"/>
        </w:rPr>
      </w:pPr>
      <w:proofErr w:type="spellStart"/>
      <w:r>
        <w:rPr>
          <w:sz w:val="22"/>
          <w:szCs w:val="22"/>
        </w:rPr>
        <w:t>Hidroksipropilceliuliozė</w:t>
      </w:r>
      <w:proofErr w:type="spellEnd"/>
      <w:r>
        <w:rPr>
          <w:sz w:val="22"/>
          <w:szCs w:val="22"/>
        </w:rPr>
        <w:t xml:space="preserve"> </w:t>
      </w:r>
    </w:p>
    <w:p w14:paraId="7C11AB35" w14:textId="77777777" w:rsidR="00273828" w:rsidRDefault="00273828" w:rsidP="00273828">
      <w:pPr>
        <w:pStyle w:val="Default"/>
        <w:rPr>
          <w:sz w:val="22"/>
          <w:szCs w:val="22"/>
        </w:rPr>
      </w:pPr>
      <w:proofErr w:type="spellStart"/>
      <w:r>
        <w:rPr>
          <w:sz w:val="22"/>
          <w:szCs w:val="22"/>
        </w:rPr>
        <w:t>Karboksimetilkrakmolo</w:t>
      </w:r>
      <w:proofErr w:type="spellEnd"/>
      <w:r>
        <w:rPr>
          <w:sz w:val="22"/>
          <w:szCs w:val="22"/>
        </w:rPr>
        <w:t xml:space="preserve"> A natrio druska </w:t>
      </w:r>
    </w:p>
    <w:p w14:paraId="658AF3E0" w14:textId="600221B1" w:rsidR="00563BE1" w:rsidRDefault="00563BE1" w:rsidP="00962678">
      <w:pPr>
        <w:widowControl w:val="0"/>
        <w:tabs>
          <w:tab w:val="left" w:pos="9240"/>
          <w:tab w:val="left" w:pos="9270"/>
        </w:tabs>
        <w:autoSpaceDE w:val="0"/>
        <w:autoSpaceDN w:val="0"/>
        <w:adjustRightInd w:val="0"/>
        <w:spacing w:after="0" w:line="240" w:lineRule="auto"/>
        <w:rPr>
          <w:rFonts w:ascii="Times New Roman" w:hAnsi="Times New Roman"/>
          <w:lang w:val="lt-LT"/>
        </w:rPr>
      </w:pPr>
      <w:r w:rsidRPr="00514245">
        <w:rPr>
          <w:rFonts w:ascii="Times New Roman" w:hAnsi="Times New Roman"/>
          <w:lang w:val="lt-LT"/>
        </w:rPr>
        <w:t xml:space="preserve">Magnio </w:t>
      </w:r>
      <w:proofErr w:type="spellStart"/>
      <w:r w:rsidRPr="00514245">
        <w:rPr>
          <w:rFonts w:ascii="Times New Roman" w:hAnsi="Times New Roman"/>
          <w:lang w:val="lt-LT"/>
        </w:rPr>
        <w:t>stearatas</w:t>
      </w:r>
      <w:proofErr w:type="spellEnd"/>
      <w:r w:rsidRPr="00514245">
        <w:rPr>
          <w:rFonts w:ascii="Times New Roman" w:hAnsi="Times New Roman"/>
          <w:lang w:val="lt-LT"/>
        </w:rPr>
        <w:t xml:space="preserve"> </w:t>
      </w:r>
    </w:p>
    <w:p w14:paraId="784F3634" w14:textId="6195143E" w:rsidR="00EF14BD" w:rsidRDefault="00EF14BD" w:rsidP="00962678">
      <w:pPr>
        <w:widowControl w:val="0"/>
        <w:tabs>
          <w:tab w:val="left" w:pos="9240"/>
          <w:tab w:val="left" w:pos="9270"/>
        </w:tabs>
        <w:autoSpaceDE w:val="0"/>
        <w:autoSpaceDN w:val="0"/>
        <w:adjustRightInd w:val="0"/>
        <w:spacing w:after="0" w:line="240" w:lineRule="auto"/>
        <w:rPr>
          <w:rFonts w:ascii="Times New Roman" w:hAnsi="Times New Roman"/>
          <w:lang w:val="lt-LT"/>
        </w:rPr>
      </w:pPr>
      <w:proofErr w:type="spellStart"/>
      <w:r>
        <w:rPr>
          <w:rFonts w:ascii="Times New Roman" w:hAnsi="Times New Roman"/>
          <w:lang w:val="lt-LT"/>
        </w:rPr>
        <w:t>Askorbo</w:t>
      </w:r>
      <w:proofErr w:type="spellEnd"/>
      <w:r>
        <w:rPr>
          <w:rFonts w:ascii="Times New Roman" w:hAnsi="Times New Roman"/>
          <w:lang w:val="lt-LT"/>
        </w:rPr>
        <w:t xml:space="preserve"> rūgštis</w:t>
      </w:r>
    </w:p>
    <w:p w14:paraId="552EEAE1" w14:textId="3DB695AC" w:rsidR="00EF14BD" w:rsidRPr="00514245" w:rsidRDefault="00EF14BD" w:rsidP="00962678">
      <w:pPr>
        <w:widowControl w:val="0"/>
        <w:tabs>
          <w:tab w:val="left" w:pos="9240"/>
          <w:tab w:val="left" w:pos="9270"/>
        </w:tabs>
        <w:autoSpaceDE w:val="0"/>
        <w:autoSpaceDN w:val="0"/>
        <w:adjustRightInd w:val="0"/>
        <w:spacing w:after="0" w:line="240" w:lineRule="auto"/>
        <w:rPr>
          <w:rFonts w:ascii="Times New Roman" w:hAnsi="Times New Roman"/>
          <w:lang w:val="lt-LT"/>
        </w:rPr>
      </w:pPr>
      <w:r>
        <w:rPr>
          <w:rFonts w:ascii="Times New Roman" w:hAnsi="Times New Roman"/>
          <w:lang w:val="lt-LT"/>
        </w:rPr>
        <w:t>Citrinos rūgštis</w:t>
      </w:r>
    </w:p>
    <w:p w14:paraId="6A6E7CD0" w14:textId="77777777" w:rsidR="00E0107B" w:rsidRPr="00514245"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lang w:val="lt-LT"/>
        </w:rPr>
      </w:pPr>
    </w:p>
    <w:p w14:paraId="44220C0B" w14:textId="77777777" w:rsidR="00EF14BD" w:rsidRDefault="00EF14BD" w:rsidP="0006599A">
      <w:pPr>
        <w:keepNext/>
        <w:tabs>
          <w:tab w:val="left" w:pos="9240"/>
          <w:tab w:val="left" w:pos="9270"/>
        </w:tabs>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 xml:space="preserve">Vortioxetine Zentiva </w:t>
      </w:r>
      <w:r w:rsidRPr="00EF14BD">
        <w:rPr>
          <w:rFonts w:ascii="Times New Roman" w:hAnsi="Times New Roman"/>
          <w:u w:val="single"/>
          <w:lang w:val="lt-LT"/>
        </w:rPr>
        <w:t>5</w:t>
      </w:r>
      <w:r>
        <w:rPr>
          <w:rFonts w:ascii="Times New Roman" w:hAnsi="Times New Roman"/>
          <w:u w:val="single"/>
          <w:lang w:val="lt-LT"/>
        </w:rPr>
        <w:t> mg plėvele dengtos tabletės</w:t>
      </w:r>
    </w:p>
    <w:p w14:paraId="2BB71FCA" w14:textId="5A5E3826" w:rsidR="00E0107B" w:rsidRDefault="00E0107B" w:rsidP="0006599A">
      <w:pPr>
        <w:keepNext/>
        <w:tabs>
          <w:tab w:val="left" w:pos="9240"/>
          <w:tab w:val="left" w:pos="9270"/>
        </w:tabs>
        <w:autoSpaceDE w:val="0"/>
        <w:autoSpaceDN w:val="0"/>
        <w:adjustRightInd w:val="0"/>
        <w:spacing w:after="0" w:line="240" w:lineRule="auto"/>
        <w:rPr>
          <w:rFonts w:ascii="Times New Roman" w:eastAsia="Times New Roman" w:hAnsi="Times New Roman"/>
          <w:spacing w:val="1"/>
          <w:u w:val="single"/>
          <w:lang w:val="lt-LT"/>
        </w:rPr>
      </w:pPr>
    </w:p>
    <w:p w14:paraId="7F8503B3" w14:textId="6A46C4D2" w:rsidR="00EF14BD" w:rsidRPr="00EF14BD" w:rsidRDefault="00EF14BD" w:rsidP="0006599A">
      <w:pPr>
        <w:keepNext/>
        <w:tabs>
          <w:tab w:val="left" w:pos="9240"/>
          <w:tab w:val="left" w:pos="9270"/>
        </w:tabs>
        <w:autoSpaceDE w:val="0"/>
        <w:autoSpaceDN w:val="0"/>
        <w:adjustRightInd w:val="0"/>
        <w:spacing w:after="0" w:line="240" w:lineRule="auto"/>
        <w:rPr>
          <w:rFonts w:ascii="Times New Roman" w:eastAsia="Times New Roman" w:hAnsi="Times New Roman"/>
          <w:i/>
          <w:iCs/>
          <w:spacing w:val="1"/>
          <w:lang w:val="lt-LT"/>
        </w:rPr>
      </w:pPr>
      <w:r w:rsidRPr="00EF14BD">
        <w:rPr>
          <w:rFonts w:ascii="Times New Roman" w:eastAsia="Times New Roman" w:hAnsi="Times New Roman"/>
          <w:i/>
          <w:iCs/>
          <w:spacing w:val="1"/>
          <w:lang w:val="lt-LT"/>
        </w:rPr>
        <w:t>Tabletės plėvelė</w:t>
      </w:r>
      <w:r>
        <w:rPr>
          <w:rFonts w:ascii="Times New Roman" w:eastAsia="Times New Roman" w:hAnsi="Times New Roman"/>
          <w:i/>
          <w:iCs/>
          <w:spacing w:val="1"/>
          <w:lang w:val="lt-LT"/>
        </w:rPr>
        <w:t xml:space="preserve"> „</w:t>
      </w:r>
      <w:proofErr w:type="spellStart"/>
      <w:r>
        <w:rPr>
          <w:rFonts w:ascii="Times New Roman" w:eastAsia="Times New Roman" w:hAnsi="Times New Roman"/>
          <w:i/>
          <w:iCs/>
          <w:spacing w:val="1"/>
          <w:lang w:val="lt-LT"/>
        </w:rPr>
        <w:t>Opadry</w:t>
      </w:r>
      <w:proofErr w:type="spellEnd"/>
      <w:r>
        <w:rPr>
          <w:rFonts w:ascii="Times New Roman" w:eastAsia="Times New Roman" w:hAnsi="Times New Roman"/>
          <w:i/>
          <w:iCs/>
          <w:spacing w:val="1"/>
          <w:lang w:val="lt-LT"/>
        </w:rPr>
        <w:t xml:space="preserve"> </w:t>
      </w:r>
      <w:proofErr w:type="spellStart"/>
      <w:r>
        <w:rPr>
          <w:rFonts w:ascii="Times New Roman" w:eastAsia="Times New Roman" w:hAnsi="Times New Roman"/>
          <w:i/>
          <w:iCs/>
          <w:spacing w:val="1"/>
          <w:lang w:val="lt-LT"/>
        </w:rPr>
        <w:t>yellow</w:t>
      </w:r>
      <w:proofErr w:type="spellEnd"/>
      <w:r>
        <w:rPr>
          <w:rFonts w:ascii="Times New Roman" w:eastAsia="Times New Roman" w:hAnsi="Times New Roman"/>
          <w:i/>
          <w:iCs/>
          <w:spacing w:val="1"/>
          <w:lang w:val="lt-LT"/>
        </w:rPr>
        <w:t>“</w:t>
      </w:r>
    </w:p>
    <w:p w14:paraId="57A05235" w14:textId="2098CBBE" w:rsidR="00EF14BD" w:rsidRPr="00514245" w:rsidRDefault="00EF14BD" w:rsidP="00EF14BD">
      <w:pPr>
        <w:widowControl w:val="0"/>
        <w:tabs>
          <w:tab w:val="left" w:pos="9240"/>
          <w:tab w:val="left" w:pos="9270"/>
        </w:tabs>
        <w:autoSpaceDE w:val="0"/>
        <w:autoSpaceDN w:val="0"/>
        <w:adjustRightInd w:val="0"/>
        <w:spacing w:after="0" w:line="240" w:lineRule="auto"/>
        <w:rPr>
          <w:rFonts w:ascii="Times New Roman" w:hAnsi="Times New Roman"/>
          <w:lang w:val="lt-LT"/>
        </w:rPr>
      </w:pPr>
      <w:proofErr w:type="spellStart"/>
      <w:r w:rsidRPr="00514245">
        <w:rPr>
          <w:rFonts w:ascii="Times New Roman" w:hAnsi="Times New Roman"/>
          <w:lang w:val="lt-LT"/>
        </w:rPr>
        <w:t>Hipromeliozė</w:t>
      </w:r>
      <w:proofErr w:type="spellEnd"/>
      <w:r w:rsidRPr="00514245">
        <w:rPr>
          <w:rFonts w:ascii="Times New Roman" w:hAnsi="Times New Roman"/>
          <w:lang w:val="lt-LT"/>
        </w:rPr>
        <w:t xml:space="preserve"> </w:t>
      </w:r>
    </w:p>
    <w:p w14:paraId="70C060CC" w14:textId="636FDABB" w:rsidR="00563BE1" w:rsidRPr="00EF14BD" w:rsidRDefault="00563BE1" w:rsidP="00E0107B">
      <w:pPr>
        <w:widowControl w:val="0"/>
        <w:autoSpaceDE w:val="0"/>
        <w:autoSpaceDN w:val="0"/>
        <w:adjustRightInd w:val="0"/>
        <w:spacing w:after="0" w:line="240" w:lineRule="auto"/>
        <w:rPr>
          <w:rFonts w:ascii="Times New Roman" w:hAnsi="Times New Roman"/>
          <w:lang w:val="lt-LT"/>
        </w:rPr>
      </w:pPr>
      <w:r w:rsidRPr="00514245">
        <w:rPr>
          <w:rFonts w:ascii="Times New Roman" w:eastAsia="Times New Roman" w:hAnsi="Times New Roman"/>
          <w:lang w:val="lt-LT"/>
        </w:rPr>
        <w:t>Makrogolis</w:t>
      </w:r>
      <w:r w:rsidR="001E6DA5" w:rsidRPr="00514245">
        <w:rPr>
          <w:rFonts w:ascii="Times New Roman" w:eastAsia="Times New Roman" w:hAnsi="Times New Roman"/>
          <w:lang w:val="lt-LT"/>
        </w:rPr>
        <w:t xml:space="preserve"> </w:t>
      </w:r>
      <w:r w:rsidR="00EF14BD" w:rsidRPr="00EF14BD">
        <w:rPr>
          <w:rFonts w:ascii="Times New Roman" w:hAnsi="Times New Roman"/>
          <w:lang w:val="lt-LT"/>
        </w:rPr>
        <w:t>6000</w:t>
      </w:r>
    </w:p>
    <w:p w14:paraId="32049E1B" w14:textId="5B7B6F52" w:rsidR="00563BE1" w:rsidRDefault="00563BE1"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Talkas</w:t>
      </w:r>
    </w:p>
    <w:p w14:paraId="75AEC0A3" w14:textId="77E7D1F9" w:rsidR="00EF14BD" w:rsidRPr="00514245" w:rsidRDefault="00EF14BD" w:rsidP="00E0107B">
      <w:pPr>
        <w:widowControl w:val="0"/>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Laktozė </w:t>
      </w:r>
      <w:proofErr w:type="spellStart"/>
      <w:r>
        <w:rPr>
          <w:rFonts w:ascii="Times New Roman" w:eastAsia="Times New Roman" w:hAnsi="Times New Roman"/>
          <w:lang w:val="lt-LT"/>
        </w:rPr>
        <w:t>monohidratas</w:t>
      </w:r>
      <w:proofErr w:type="spellEnd"/>
    </w:p>
    <w:p w14:paraId="75A801B5" w14:textId="0AE6B183" w:rsidR="00563BE1" w:rsidRPr="00514245" w:rsidRDefault="00563BE1"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Geltonasis geležies oksidas (E172)</w:t>
      </w:r>
    </w:p>
    <w:bookmarkEnd w:id="0"/>
    <w:p w14:paraId="01215C5B" w14:textId="77E0CA79" w:rsidR="0006599A" w:rsidRDefault="0006599A" w:rsidP="00E0107B">
      <w:pPr>
        <w:widowControl w:val="0"/>
        <w:autoSpaceDE w:val="0"/>
        <w:autoSpaceDN w:val="0"/>
        <w:adjustRightInd w:val="0"/>
        <w:spacing w:after="0" w:line="240" w:lineRule="auto"/>
        <w:rPr>
          <w:rFonts w:ascii="Times New Roman" w:eastAsia="Times New Roman" w:hAnsi="Times New Roman"/>
          <w:lang w:val="lt-LT"/>
        </w:rPr>
      </w:pPr>
    </w:p>
    <w:p w14:paraId="51D95087" w14:textId="7C93F428" w:rsidR="00EF14BD" w:rsidRDefault="00EF14BD" w:rsidP="00EF14BD">
      <w:pPr>
        <w:keepNext/>
        <w:tabs>
          <w:tab w:val="left" w:pos="9240"/>
          <w:tab w:val="left" w:pos="9270"/>
        </w:tabs>
        <w:autoSpaceDE w:val="0"/>
        <w:autoSpaceDN w:val="0"/>
        <w:adjustRightInd w:val="0"/>
        <w:spacing w:after="0" w:line="240" w:lineRule="auto"/>
        <w:rPr>
          <w:rFonts w:ascii="Times New Roman" w:hAnsi="Times New Roman"/>
          <w:u w:val="single"/>
          <w:lang w:val="lt-LT"/>
        </w:rPr>
      </w:pPr>
      <w:r>
        <w:rPr>
          <w:rFonts w:ascii="Times New Roman" w:hAnsi="Times New Roman"/>
          <w:u w:val="single"/>
          <w:lang w:val="lt-LT"/>
        </w:rPr>
        <w:t xml:space="preserve">Vortioxetine Zentiva </w:t>
      </w:r>
      <w:r w:rsidRPr="00EF14BD">
        <w:rPr>
          <w:rFonts w:ascii="Times New Roman" w:hAnsi="Times New Roman"/>
          <w:u w:val="single"/>
          <w:lang w:val="lt-LT"/>
        </w:rPr>
        <w:t>10</w:t>
      </w:r>
      <w:r>
        <w:rPr>
          <w:rFonts w:ascii="Times New Roman" w:hAnsi="Times New Roman"/>
          <w:u w:val="single"/>
          <w:lang w:val="lt-LT"/>
        </w:rPr>
        <w:t> mg plėvele dengtos tabletės</w:t>
      </w:r>
    </w:p>
    <w:p w14:paraId="18F32F26" w14:textId="77777777" w:rsidR="00EF14BD" w:rsidRDefault="00EF14BD" w:rsidP="00EF14BD">
      <w:pPr>
        <w:keepNext/>
        <w:tabs>
          <w:tab w:val="left" w:pos="9240"/>
          <w:tab w:val="left" w:pos="9270"/>
        </w:tabs>
        <w:autoSpaceDE w:val="0"/>
        <w:autoSpaceDN w:val="0"/>
        <w:adjustRightInd w:val="0"/>
        <w:spacing w:after="0" w:line="240" w:lineRule="auto"/>
        <w:rPr>
          <w:rFonts w:ascii="Times New Roman" w:eastAsia="Times New Roman" w:hAnsi="Times New Roman"/>
          <w:spacing w:val="1"/>
          <w:u w:val="single"/>
          <w:lang w:val="lt-LT"/>
        </w:rPr>
      </w:pPr>
    </w:p>
    <w:p w14:paraId="4464920E" w14:textId="42BE85CA" w:rsidR="00EF14BD" w:rsidRPr="00EF14BD" w:rsidRDefault="00EF14BD" w:rsidP="00EF14BD">
      <w:pPr>
        <w:keepNext/>
        <w:tabs>
          <w:tab w:val="left" w:pos="9240"/>
          <w:tab w:val="left" w:pos="9270"/>
        </w:tabs>
        <w:autoSpaceDE w:val="0"/>
        <w:autoSpaceDN w:val="0"/>
        <w:adjustRightInd w:val="0"/>
        <w:spacing w:after="0" w:line="240" w:lineRule="auto"/>
        <w:rPr>
          <w:rFonts w:ascii="Times New Roman" w:eastAsia="Times New Roman" w:hAnsi="Times New Roman"/>
          <w:i/>
          <w:iCs/>
          <w:spacing w:val="1"/>
          <w:lang w:val="lt-LT"/>
        </w:rPr>
      </w:pPr>
      <w:r w:rsidRPr="00EF14BD">
        <w:rPr>
          <w:rFonts w:ascii="Times New Roman" w:eastAsia="Times New Roman" w:hAnsi="Times New Roman"/>
          <w:i/>
          <w:iCs/>
          <w:spacing w:val="1"/>
          <w:lang w:val="lt-LT"/>
        </w:rPr>
        <w:t>Tabletės plėvelė</w:t>
      </w:r>
      <w:r>
        <w:rPr>
          <w:rFonts w:ascii="Times New Roman" w:eastAsia="Times New Roman" w:hAnsi="Times New Roman"/>
          <w:i/>
          <w:iCs/>
          <w:spacing w:val="1"/>
          <w:lang w:val="lt-LT"/>
        </w:rPr>
        <w:t xml:space="preserve"> „</w:t>
      </w:r>
      <w:proofErr w:type="spellStart"/>
      <w:r>
        <w:rPr>
          <w:rFonts w:ascii="Times New Roman" w:eastAsia="Times New Roman" w:hAnsi="Times New Roman"/>
          <w:i/>
          <w:iCs/>
          <w:spacing w:val="1"/>
          <w:lang w:val="lt-LT"/>
        </w:rPr>
        <w:t>Opadry</w:t>
      </w:r>
      <w:proofErr w:type="spellEnd"/>
      <w:r>
        <w:rPr>
          <w:rFonts w:ascii="Times New Roman" w:eastAsia="Times New Roman" w:hAnsi="Times New Roman"/>
          <w:i/>
          <w:iCs/>
          <w:spacing w:val="1"/>
          <w:lang w:val="lt-LT"/>
        </w:rPr>
        <w:t xml:space="preserve"> </w:t>
      </w:r>
      <w:r w:rsidR="00273828">
        <w:rPr>
          <w:rFonts w:ascii="Times New Roman" w:eastAsia="Times New Roman" w:hAnsi="Times New Roman"/>
          <w:i/>
          <w:iCs/>
          <w:spacing w:val="1"/>
          <w:lang w:val="lt-LT"/>
        </w:rPr>
        <w:t>pink</w:t>
      </w:r>
      <w:r>
        <w:rPr>
          <w:rFonts w:ascii="Times New Roman" w:eastAsia="Times New Roman" w:hAnsi="Times New Roman"/>
          <w:i/>
          <w:iCs/>
          <w:spacing w:val="1"/>
          <w:lang w:val="lt-LT"/>
        </w:rPr>
        <w:t>“</w:t>
      </w:r>
    </w:p>
    <w:p w14:paraId="61440757" w14:textId="77777777" w:rsidR="00EF14BD" w:rsidRPr="00514245" w:rsidRDefault="00EF14BD" w:rsidP="00EF14BD">
      <w:pPr>
        <w:widowControl w:val="0"/>
        <w:tabs>
          <w:tab w:val="left" w:pos="9240"/>
          <w:tab w:val="left" w:pos="9270"/>
        </w:tabs>
        <w:autoSpaceDE w:val="0"/>
        <w:autoSpaceDN w:val="0"/>
        <w:adjustRightInd w:val="0"/>
        <w:spacing w:after="0" w:line="240" w:lineRule="auto"/>
        <w:rPr>
          <w:rFonts w:ascii="Times New Roman" w:hAnsi="Times New Roman"/>
          <w:lang w:val="lt-LT"/>
        </w:rPr>
      </w:pPr>
      <w:proofErr w:type="spellStart"/>
      <w:r w:rsidRPr="00514245">
        <w:rPr>
          <w:rFonts w:ascii="Times New Roman" w:hAnsi="Times New Roman"/>
          <w:lang w:val="lt-LT"/>
        </w:rPr>
        <w:t>Hipromeliozė</w:t>
      </w:r>
      <w:proofErr w:type="spellEnd"/>
      <w:r w:rsidRPr="00514245">
        <w:rPr>
          <w:rFonts w:ascii="Times New Roman" w:hAnsi="Times New Roman"/>
          <w:lang w:val="lt-LT"/>
        </w:rPr>
        <w:t xml:space="preserve"> </w:t>
      </w:r>
    </w:p>
    <w:p w14:paraId="09DA6FCC" w14:textId="77777777" w:rsidR="00EF14BD" w:rsidRPr="00EF14BD" w:rsidRDefault="00EF14BD" w:rsidP="00EF14BD">
      <w:pPr>
        <w:widowControl w:val="0"/>
        <w:autoSpaceDE w:val="0"/>
        <w:autoSpaceDN w:val="0"/>
        <w:adjustRightInd w:val="0"/>
        <w:spacing w:after="0" w:line="240" w:lineRule="auto"/>
        <w:rPr>
          <w:rFonts w:ascii="Times New Roman" w:hAnsi="Times New Roman"/>
          <w:lang w:val="lt-LT"/>
        </w:rPr>
      </w:pPr>
      <w:r w:rsidRPr="00514245">
        <w:rPr>
          <w:rFonts w:ascii="Times New Roman" w:eastAsia="Times New Roman" w:hAnsi="Times New Roman"/>
          <w:lang w:val="lt-LT"/>
        </w:rPr>
        <w:t xml:space="preserve">Makrogolis </w:t>
      </w:r>
      <w:r w:rsidRPr="00EF14BD">
        <w:rPr>
          <w:rFonts w:ascii="Times New Roman" w:hAnsi="Times New Roman"/>
          <w:lang w:val="lt-LT"/>
        </w:rPr>
        <w:t>6000</w:t>
      </w:r>
    </w:p>
    <w:p w14:paraId="1BFF9AC3" w14:textId="77777777" w:rsidR="00EF14BD" w:rsidRDefault="00EF14BD" w:rsidP="00EF14BD">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Talkas</w:t>
      </w:r>
    </w:p>
    <w:p w14:paraId="490E177A" w14:textId="443DD09D" w:rsidR="00EF14BD" w:rsidRPr="00514245" w:rsidRDefault="00EF14BD" w:rsidP="00EF14BD">
      <w:pPr>
        <w:widowControl w:val="0"/>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Raudonasis</w:t>
      </w:r>
      <w:r w:rsidRPr="00514245">
        <w:rPr>
          <w:rFonts w:ascii="Times New Roman" w:eastAsia="Times New Roman" w:hAnsi="Times New Roman"/>
          <w:lang w:val="lt-LT"/>
        </w:rPr>
        <w:t xml:space="preserve"> geležies oksidas (E172)</w:t>
      </w:r>
    </w:p>
    <w:p w14:paraId="7C6A3CD6" w14:textId="77777777" w:rsidR="00EF14BD" w:rsidRDefault="00EF14BD" w:rsidP="00E0107B">
      <w:pPr>
        <w:widowControl w:val="0"/>
        <w:autoSpaceDE w:val="0"/>
        <w:autoSpaceDN w:val="0"/>
        <w:adjustRightInd w:val="0"/>
        <w:spacing w:after="0" w:line="240" w:lineRule="auto"/>
        <w:rPr>
          <w:rFonts w:ascii="Times New Roman" w:eastAsia="Times New Roman" w:hAnsi="Times New Roman"/>
          <w:lang w:val="lt-LT"/>
        </w:rPr>
      </w:pPr>
    </w:p>
    <w:p w14:paraId="0AE3CB2B" w14:textId="77777777" w:rsidR="00E0107B" w:rsidRPr="00514245" w:rsidRDefault="00E0107B" w:rsidP="0006599A">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6.2</w:t>
      </w:r>
      <w:r w:rsidRPr="00514245">
        <w:rPr>
          <w:rFonts w:ascii="Times New Roman" w:hAnsi="Times New Roman"/>
          <w:lang w:val="lt-LT"/>
        </w:rPr>
        <w:tab/>
      </w:r>
      <w:r w:rsidRPr="00514245">
        <w:rPr>
          <w:rFonts w:ascii="Times New Roman" w:hAnsi="Times New Roman"/>
          <w:b/>
          <w:lang w:val="lt-LT"/>
        </w:rPr>
        <w:t>Nesuderinamumas</w:t>
      </w:r>
    </w:p>
    <w:p w14:paraId="5FF5F7BA" w14:textId="77777777" w:rsidR="00E0107B" w:rsidRPr="00514245" w:rsidRDefault="00E0107B" w:rsidP="0006599A">
      <w:pPr>
        <w:keepNext/>
        <w:autoSpaceDE w:val="0"/>
        <w:autoSpaceDN w:val="0"/>
        <w:adjustRightInd w:val="0"/>
        <w:spacing w:after="0" w:line="240" w:lineRule="auto"/>
        <w:rPr>
          <w:rFonts w:ascii="Times New Roman" w:eastAsia="Times New Roman" w:hAnsi="Times New Roman"/>
          <w:lang w:val="lt-LT"/>
        </w:rPr>
      </w:pPr>
    </w:p>
    <w:p w14:paraId="7A2D82DE"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lang w:val="lt-LT"/>
        </w:rPr>
        <w:t>Duomenys nebūtini.</w:t>
      </w:r>
    </w:p>
    <w:p w14:paraId="3F0278DB"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5CE34D49" w14:textId="77777777" w:rsidR="00E0107B" w:rsidRPr="00514245" w:rsidRDefault="00E0107B" w:rsidP="0006599A">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6.3</w:t>
      </w:r>
      <w:r w:rsidRPr="00514245">
        <w:rPr>
          <w:rFonts w:ascii="Times New Roman" w:hAnsi="Times New Roman"/>
          <w:lang w:val="lt-LT"/>
        </w:rPr>
        <w:tab/>
      </w:r>
      <w:r w:rsidRPr="00514245">
        <w:rPr>
          <w:rFonts w:ascii="Times New Roman" w:hAnsi="Times New Roman"/>
          <w:b/>
          <w:lang w:val="lt-LT"/>
        </w:rPr>
        <w:t>Tinkamumo laikas</w:t>
      </w:r>
    </w:p>
    <w:p w14:paraId="1718E0A9" w14:textId="77777777" w:rsidR="00E0107B" w:rsidRPr="00514245" w:rsidRDefault="00E0107B" w:rsidP="0006599A">
      <w:pPr>
        <w:keepNext/>
        <w:autoSpaceDE w:val="0"/>
        <w:autoSpaceDN w:val="0"/>
        <w:adjustRightInd w:val="0"/>
        <w:spacing w:after="0" w:line="240" w:lineRule="auto"/>
        <w:rPr>
          <w:rFonts w:ascii="Times New Roman" w:eastAsia="Times New Roman" w:hAnsi="Times New Roman"/>
          <w:lang w:val="lt-LT"/>
        </w:rPr>
      </w:pPr>
    </w:p>
    <w:p w14:paraId="306F5F87" w14:textId="60617D3B" w:rsidR="00E0107B" w:rsidRPr="00514245" w:rsidRDefault="00D85824"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lang w:val="lt-LT"/>
        </w:rPr>
        <w:t>2 metai.</w:t>
      </w:r>
    </w:p>
    <w:p w14:paraId="3BB0975C"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00AB6BAF" w14:textId="77777777" w:rsidR="00E0107B" w:rsidRPr="00514245" w:rsidRDefault="00E0107B" w:rsidP="0006599A">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6.4</w:t>
      </w:r>
      <w:r w:rsidRPr="00514245">
        <w:rPr>
          <w:rFonts w:ascii="Times New Roman" w:hAnsi="Times New Roman"/>
          <w:lang w:val="lt-LT"/>
        </w:rPr>
        <w:tab/>
      </w:r>
      <w:r w:rsidRPr="00514245">
        <w:rPr>
          <w:rFonts w:ascii="Times New Roman" w:hAnsi="Times New Roman"/>
          <w:b/>
          <w:lang w:val="lt-LT"/>
        </w:rPr>
        <w:t>Specialios laikymo sąlygos</w:t>
      </w:r>
    </w:p>
    <w:p w14:paraId="4B4EC216" w14:textId="77777777" w:rsidR="00E0107B" w:rsidRPr="00514245" w:rsidRDefault="00E0107B" w:rsidP="0006599A">
      <w:pPr>
        <w:keepNext/>
        <w:autoSpaceDE w:val="0"/>
        <w:autoSpaceDN w:val="0"/>
        <w:adjustRightInd w:val="0"/>
        <w:spacing w:after="0" w:line="240" w:lineRule="auto"/>
        <w:rPr>
          <w:rFonts w:ascii="Times New Roman" w:eastAsia="Times New Roman" w:hAnsi="Times New Roman"/>
          <w:lang w:val="lt-LT"/>
        </w:rPr>
      </w:pPr>
    </w:p>
    <w:p w14:paraId="57766416"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spacing w:val="-1"/>
          <w:lang w:val="lt-LT"/>
        </w:rPr>
      </w:pPr>
      <w:r w:rsidRPr="00514245">
        <w:rPr>
          <w:rFonts w:ascii="Times New Roman" w:hAnsi="Times New Roman"/>
          <w:spacing w:val="-1"/>
          <w:lang w:val="lt-LT"/>
        </w:rPr>
        <w:t>Šiam vaistiniam preparatui specialių laikymo sąlygų nereikia.</w:t>
      </w:r>
    </w:p>
    <w:p w14:paraId="6F6C484C"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281E7D47" w14:textId="77777777" w:rsidR="00E0107B" w:rsidRPr="00514245" w:rsidRDefault="00E0107B" w:rsidP="00186B20">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6.5</w:t>
      </w:r>
      <w:r w:rsidRPr="00514245">
        <w:rPr>
          <w:rFonts w:ascii="Times New Roman" w:hAnsi="Times New Roman"/>
          <w:lang w:val="lt-LT"/>
        </w:rPr>
        <w:tab/>
      </w:r>
      <w:proofErr w:type="spellStart"/>
      <w:r w:rsidRPr="00514245">
        <w:rPr>
          <w:rFonts w:ascii="Times New Roman" w:hAnsi="Times New Roman"/>
          <w:b/>
          <w:lang w:val="lt-LT"/>
        </w:rPr>
        <w:t>Talpyklės</w:t>
      </w:r>
      <w:proofErr w:type="spellEnd"/>
      <w:r w:rsidRPr="00514245">
        <w:rPr>
          <w:rFonts w:ascii="Times New Roman" w:hAnsi="Times New Roman"/>
          <w:b/>
          <w:lang w:val="lt-LT"/>
        </w:rPr>
        <w:t xml:space="preserve"> pobūdis ir jos turinys</w:t>
      </w:r>
    </w:p>
    <w:p w14:paraId="34B8D566" w14:textId="3D2C0145" w:rsidR="00E0107B" w:rsidRPr="00514245" w:rsidRDefault="00E0107B" w:rsidP="00186B20">
      <w:pPr>
        <w:keepNext/>
        <w:autoSpaceDE w:val="0"/>
        <w:autoSpaceDN w:val="0"/>
        <w:adjustRightInd w:val="0"/>
        <w:spacing w:after="0" w:line="240" w:lineRule="auto"/>
        <w:rPr>
          <w:rFonts w:ascii="Times New Roman" w:eastAsia="Times New Roman" w:hAnsi="Times New Roman"/>
          <w:lang w:val="lt-LT"/>
        </w:rPr>
      </w:pPr>
    </w:p>
    <w:p w14:paraId="7BBDF6C3" w14:textId="048D9555" w:rsidR="00BF4D66" w:rsidRPr="00514245" w:rsidRDefault="00563BE1"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OPA/Al/PVC</w:t>
      </w:r>
      <w:r w:rsidR="00273828">
        <w:rPr>
          <w:rFonts w:ascii="Times New Roman" w:eastAsia="Times New Roman" w:hAnsi="Times New Roman"/>
          <w:lang w:val="lt-LT"/>
        </w:rPr>
        <w:t>/aliuminio</w:t>
      </w:r>
      <w:r w:rsidRPr="00514245">
        <w:rPr>
          <w:rFonts w:ascii="Times New Roman" w:eastAsia="Times New Roman" w:hAnsi="Times New Roman"/>
          <w:lang w:val="lt-LT"/>
        </w:rPr>
        <w:t xml:space="preserve"> lizdinės plokštelės</w:t>
      </w:r>
      <w:r w:rsidR="001533EC" w:rsidRPr="00514245">
        <w:rPr>
          <w:rFonts w:ascii="Times New Roman" w:eastAsia="Times New Roman" w:hAnsi="Times New Roman"/>
          <w:lang w:val="lt-LT"/>
        </w:rPr>
        <w:t>.</w:t>
      </w:r>
    </w:p>
    <w:p w14:paraId="6AAA7C6D" w14:textId="29745164" w:rsidR="001533EC" w:rsidRPr="00514245" w:rsidRDefault="001533EC" w:rsidP="00E0107B">
      <w:pPr>
        <w:widowControl w:val="0"/>
        <w:autoSpaceDE w:val="0"/>
        <w:autoSpaceDN w:val="0"/>
        <w:adjustRightInd w:val="0"/>
        <w:spacing w:after="0" w:line="240" w:lineRule="auto"/>
        <w:rPr>
          <w:rFonts w:ascii="Times New Roman" w:eastAsia="Times New Roman" w:hAnsi="Times New Roman"/>
          <w:lang w:val="lt-LT"/>
        </w:rPr>
      </w:pPr>
    </w:p>
    <w:p w14:paraId="6E634377" w14:textId="0C206589" w:rsidR="001533EC" w:rsidRPr="00514245" w:rsidRDefault="001533EC"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Pakuotės dydžiai: 1</w:t>
      </w:r>
      <w:r w:rsidR="00273828" w:rsidRPr="00273828">
        <w:rPr>
          <w:rFonts w:ascii="Times New Roman" w:eastAsia="Times New Roman" w:hAnsi="Times New Roman"/>
          <w:lang w:val="lt-LT"/>
        </w:rPr>
        <w:t>4</w:t>
      </w:r>
      <w:r w:rsidRPr="00514245">
        <w:rPr>
          <w:rFonts w:ascii="Times New Roman" w:eastAsia="Times New Roman" w:hAnsi="Times New Roman"/>
          <w:lang w:val="lt-LT"/>
        </w:rPr>
        <w:t>, 2</w:t>
      </w:r>
      <w:r w:rsidR="00273828">
        <w:rPr>
          <w:rFonts w:ascii="Times New Roman" w:eastAsia="Times New Roman" w:hAnsi="Times New Roman"/>
          <w:lang w:val="lt-LT"/>
        </w:rPr>
        <w:t>8</w:t>
      </w:r>
      <w:r w:rsidRPr="00514245">
        <w:rPr>
          <w:rFonts w:ascii="Times New Roman" w:eastAsia="Times New Roman" w:hAnsi="Times New Roman"/>
          <w:lang w:val="lt-LT"/>
        </w:rPr>
        <w:t xml:space="preserve">, 56 arba </w:t>
      </w:r>
      <w:r w:rsidR="00273828">
        <w:rPr>
          <w:rFonts w:ascii="Times New Roman" w:eastAsia="Times New Roman" w:hAnsi="Times New Roman"/>
          <w:lang w:val="lt-LT"/>
        </w:rPr>
        <w:t>98</w:t>
      </w:r>
      <w:r w:rsidRPr="00514245">
        <w:rPr>
          <w:rFonts w:ascii="Times New Roman" w:eastAsia="Times New Roman" w:hAnsi="Times New Roman"/>
          <w:lang w:val="lt-LT"/>
        </w:rPr>
        <w:t xml:space="preserve"> </w:t>
      </w:r>
      <w:r w:rsidR="00273828">
        <w:rPr>
          <w:rFonts w:ascii="Times New Roman" w:eastAsia="Times New Roman" w:hAnsi="Times New Roman"/>
          <w:lang w:val="lt-LT"/>
        </w:rPr>
        <w:t>plėvele dengtos</w:t>
      </w:r>
      <w:r w:rsidRPr="00514245">
        <w:rPr>
          <w:rFonts w:ascii="Times New Roman" w:eastAsia="Times New Roman" w:hAnsi="Times New Roman"/>
          <w:lang w:val="lt-LT"/>
        </w:rPr>
        <w:t xml:space="preserve"> table</w:t>
      </w:r>
      <w:r w:rsidR="00273828">
        <w:rPr>
          <w:rFonts w:ascii="Times New Roman" w:eastAsia="Times New Roman" w:hAnsi="Times New Roman"/>
          <w:lang w:val="lt-LT"/>
        </w:rPr>
        <w:t>tės</w:t>
      </w:r>
      <w:r w:rsidRPr="00514245">
        <w:rPr>
          <w:rFonts w:ascii="Times New Roman" w:eastAsia="Times New Roman" w:hAnsi="Times New Roman"/>
          <w:lang w:val="lt-LT"/>
        </w:rPr>
        <w:t>.</w:t>
      </w:r>
    </w:p>
    <w:p w14:paraId="5962AD13" w14:textId="77777777" w:rsidR="001533EC" w:rsidRPr="00514245" w:rsidRDefault="001533EC" w:rsidP="00E0107B">
      <w:pPr>
        <w:widowControl w:val="0"/>
        <w:autoSpaceDE w:val="0"/>
        <w:autoSpaceDN w:val="0"/>
        <w:adjustRightInd w:val="0"/>
        <w:spacing w:after="0" w:line="240" w:lineRule="auto"/>
        <w:rPr>
          <w:rFonts w:ascii="Times New Roman" w:eastAsia="Times New Roman" w:hAnsi="Times New Roman"/>
          <w:lang w:val="lt-LT"/>
        </w:rPr>
      </w:pPr>
    </w:p>
    <w:p w14:paraId="0573B1E0"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lang w:val="lt-LT"/>
        </w:rPr>
        <w:t>Gali būti tiekiamos ne visų dydžių pakuotės.</w:t>
      </w:r>
    </w:p>
    <w:p w14:paraId="427B96CC"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1A54E156" w14:textId="77777777" w:rsidR="00E0107B" w:rsidRPr="00514245" w:rsidRDefault="00E0107B" w:rsidP="00186B20">
      <w:pPr>
        <w:keepNext/>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t xml:space="preserve">6.6 </w:t>
      </w:r>
      <w:r w:rsidRPr="00514245">
        <w:rPr>
          <w:rFonts w:ascii="Times New Roman" w:hAnsi="Times New Roman"/>
          <w:b/>
          <w:lang w:val="lt-LT"/>
        </w:rPr>
        <w:tab/>
        <w:t>Specialūs reikalavimai atliekoms tvarkyti ir vaistiniam preparatui ruošti</w:t>
      </w:r>
    </w:p>
    <w:p w14:paraId="45554FD2" w14:textId="77777777" w:rsidR="00E0107B" w:rsidRPr="00514245" w:rsidRDefault="00E0107B" w:rsidP="00186B20">
      <w:pPr>
        <w:keepNext/>
        <w:autoSpaceDE w:val="0"/>
        <w:autoSpaceDN w:val="0"/>
        <w:adjustRightInd w:val="0"/>
        <w:spacing w:after="0" w:line="240" w:lineRule="auto"/>
        <w:rPr>
          <w:rFonts w:ascii="Times New Roman" w:eastAsia="Times New Roman" w:hAnsi="Times New Roman"/>
          <w:lang w:val="lt-LT"/>
        </w:rPr>
      </w:pPr>
    </w:p>
    <w:p w14:paraId="2E7DEEFC" w14:textId="439C2D55" w:rsidR="00273828" w:rsidRDefault="00273828" w:rsidP="00E0107B">
      <w:pPr>
        <w:widowControl w:val="0"/>
        <w:autoSpaceDE w:val="0"/>
        <w:autoSpaceDN w:val="0"/>
        <w:adjustRightInd w:val="0"/>
        <w:spacing w:after="0" w:line="240" w:lineRule="auto"/>
        <w:rPr>
          <w:rFonts w:ascii="Times New Roman" w:hAnsi="Times New Roman"/>
          <w:szCs w:val="24"/>
          <w:lang w:val="lt-LT"/>
        </w:rPr>
      </w:pPr>
      <w:r w:rsidRPr="00273828">
        <w:rPr>
          <w:rFonts w:ascii="Times New Roman" w:hAnsi="Times New Roman"/>
          <w:szCs w:val="24"/>
          <w:lang w:val="lt-LT"/>
        </w:rPr>
        <w:t xml:space="preserve">Šis </w:t>
      </w:r>
      <w:r>
        <w:rPr>
          <w:rFonts w:ascii="Times New Roman" w:hAnsi="Times New Roman"/>
          <w:szCs w:val="24"/>
          <w:lang w:val="lt-LT"/>
        </w:rPr>
        <w:t>vaistinis preparatas</w:t>
      </w:r>
      <w:r w:rsidRPr="00273828">
        <w:rPr>
          <w:rFonts w:ascii="Times New Roman" w:hAnsi="Times New Roman"/>
          <w:szCs w:val="24"/>
          <w:lang w:val="lt-LT"/>
        </w:rPr>
        <w:t xml:space="preserve"> gali kelti pavojų aplinkai (žr. 5.3 skyrių).</w:t>
      </w:r>
    </w:p>
    <w:p w14:paraId="6C9C9E07" w14:textId="51E3E2BB"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zCs w:val="24"/>
          <w:lang w:val="lt-LT"/>
        </w:rPr>
        <w:t>Nesuvartotą vaistinį preparatą ar atliekas reikia tvarkyti laikantis vietinių reikalavimų.</w:t>
      </w:r>
    </w:p>
    <w:p w14:paraId="4F6753B9"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4A03D0AD"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lang w:val="lt-LT"/>
        </w:rPr>
      </w:pPr>
    </w:p>
    <w:p w14:paraId="0F6948FA" w14:textId="77777777" w:rsidR="00E0107B" w:rsidRPr="00514245" w:rsidRDefault="00E0107B" w:rsidP="00186B20">
      <w:pPr>
        <w:keepNext/>
        <w:widowControl w:val="0"/>
        <w:tabs>
          <w:tab w:val="left" w:pos="680"/>
        </w:tabs>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b/>
          <w:lang w:val="lt-LT"/>
        </w:rPr>
        <w:lastRenderedPageBreak/>
        <w:t>7.</w:t>
      </w:r>
      <w:r w:rsidRPr="00514245">
        <w:rPr>
          <w:rFonts w:ascii="Times New Roman" w:hAnsi="Times New Roman"/>
          <w:lang w:val="lt-LT"/>
        </w:rPr>
        <w:tab/>
      </w:r>
      <w:r w:rsidRPr="00514245">
        <w:rPr>
          <w:rFonts w:ascii="Times New Roman" w:hAnsi="Times New Roman"/>
          <w:b/>
          <w:lang w:val="lt-LT"/>
        </w:rPr>
        <w:t>REGISTRUOTOJAS</w:t>
      </w:r>
    </w:p>
    <w:p w14:paraId="55216746" w14:textId="77777777" w:rsidR="00E0107B" w:rsidRPr="00514245" w:rsidRDefault="00E0107B" w:rsidP="00186B20">
      <w:pPr>
        <w:keepNext/>
        <w:widowControl w:val="0"/>
        <w:autoSpaceDE w:val="0"/>
        <w:autoSpaceDN w:val="0"/>
        <w:adjustRightInd w:val="0"/>
        <w:spacing w:after="0" w:line="240" w:lineRule="auto"/>
        <w:rPr>
          <w:rFonts w:ascii="Times New Roman" w:eastAsia="Times New Roman" w:hAnsi="Times New Roman"/>
          <w:lang w:val="lt-LT"/>
        </w:rPr>
      </w:pPr>
    </w:p>
    <w:p w14:paraId="7F6C8D0E" w14:textId="7CAC5F5E" w:rsidR="00E0107B" w:rsidRPr="00514245" w:rsidRDefault="00BF4D66" w:rsidP="00186B20">
      <w:pPr>
        <w:spacing w:after="0" w:line="240" w:lineRule="auto"/>
        <w:rPr>
          <w:rFonts w:ascii="Times New Roman" w:eastAsia="Times New Roman" w:hAnsi="Times New Roman"/>
          <w:color w:val="000000"/>
          <w:lang w:val="lt-LT"/>
        </w:rPr>
      </w:pPr>
      <w:proofErr w:type="spellStart"/>
      <w:r w:rsidRPr="00514245">
        <w:rPr>
          <w:rFonts w:ascii="Times New Roman" w:eastAsia="Times New Roman" w:hAnsi="Times New Roman"/>
          <w:color w:val="000000"/>
          <w:lang w:val="lt-LT"/>
        </w:rPr>
        <w:t>Zentiva</w:t>
      </w:r>
      <w:proofErr w:type="spellEnd"/>
      <w:r w:rsidRPr="00514245">
        <w:rPr>
          <w:rFonts w:ascii="Times New Roman" w:eastAsia="Times New Roman" w:hAnsi="Times New Roman"/>
          <w:color w:val="000000"/>
          <w:lang w:val="lt-LT"/>
        </w:rPr>
        <w:t xml:space="preserve">, </w:t>
      </w:r>
      <w:proofErr w:type="spellStart"/>
      <w:r w:rsidRPr="00514245">
        <w:rPr>
          <w:rFonts w:ascii="Times New Roman" w:eastAsia="Times New Roman" w:hAnsi="Times New Roman"/>
          <w:color w:val="000000"/>
          <w:lang w:val="lt-LT"/>
        </w:rPr>
        <w:t>k.s</w:t>
      </w:r>
      <w:proofErr w:type="spellEnd"/>
      <w:r w:rsidRPr="00514245">
        <w:rPr>
          <w:rFonts w:ascii="Times New Roman" w:eastAsia="Times New Roman" w:hAnsi="Times New Roman"/>
          <w:color w:val="000000"/>
          <w:lang w:val="lt-LT"/>
        </w:rPr>
        <w:t>.</w:t>
      </w:r>
    </w:p>
    <w:p w14:paraId="10C489E0" w14:textId="77777777" w:rsidR="00BF4D66" w:rsidRPr="00514245" w:rsidRDefault="00BF4D66" w:rsidP="00186B20">
      <w:pPr>
        <w:spacing w:after="0" w:line="240" w:lineRule="auto"/>
        <w:rPr>
          <w:rFonts w:ascii="Times New Roman" w:hAnsi="Times New Roman"/>
          <w:lang w:val="lt-LT"/>
        </w:rPr>
      </w:pPr>
      <w:r w:rsidRPr="00514245">
        <w:rPr>
          <w:rFonts w:ascii="Times New Roman" w:hAnsi="Times New Roman"/>
          <w:lang w:val="lt-LT"/>
        </w:rPr>
        <w:t xml:space="preserve">U </w:t>
      </w:r>
      <w:proofErr w:type="spellStart"/>
      <w:r w:rsidRPr="00514245">
        <w:rPr>
          <w:rFonts w:ascii="Times New Roman" w:hAnsi="Times New Roman"/>
          <w:lang w:val="lt-LT"/>
        </w:rPr>
        <w:t>kabelovny</w:t>
      </w:r>
      <w:proofErr w:type="spellEnd"/>
      <w:r w:rsidRPr="00514245">
        <w:rPr>
          <w:rFonts w:ascii="Times New Roman" w:hAnsi="Times New Roman"/>
          <w:lang w:val="lt-LT"/>
        </w:rPr>
        <w:t xml:space="preserve"> 130</w:t>
      </w:r>
    </w:p>
    <w:p w14:paraId="5EEA0C8C" w14:textId="77777777" w:rsidR="00BF4D66" w:rsidRPr="00514245" w:rsidRDefault="00BF4D66" w:rsidP="00186B20">
      <w:pPr>
        <w:spacing w:after="0" w:line="240" w:lineRule="auto"/>
        <w:rPr>
          <w:rFonts w:ascii="Times New Roman" w:hAnsi="Times New Roman"/>
          <w:lang w:val="lt-LT"/>
        </w:rPr>
      </w:pPr>
      <w:proofErr w:type="spellStart"/>
      <w:r w:rsidRPr="00514245">
        <w:rPr>
          <w:rFonts w:ascii="Times New Roman" w:hAnsi="Times New Roman"/>
          <w:lang w:val="lt-LT"/>
        </w:rPr>
        <w:t>Dolní</w:t>
      </w:r>
      <w:proofErr w:type="spellEnd"/>
      <w:r w:rsidRPr="00514245">
        <w:rPr>
          <w:rFonts w:ascii="Times New Roman" w:hAnsi="Times New Roman"/>
          <w:lang w:val="lt-LT"/>
        </w:rPr>
        <w:t xml:space="preserve"> </w:t>
      </w:r>
      <w:proofErr w:type="spellStart"/>
      <w:r w:rsidRPr="00514245">
        <w:rPr>
          <w:rFonts w:ascii="Times New Roman" w:hAnsi="Times New Roman"/>
          <w:lang w:val="lt-LT"/>
        </w:rPr>
        <w:t>Měcholupy</w:t>
      </w:r>
      <w:proofErr w:type="spellEnd"/>
    </w:p>
    <w:p w14:paraId="53F03D36" w14:textId="77777777" w:rsidR="00BF4D66" w:rsidRPr="00514245" w:rsidRDefault="00BF4D66" w:rsidP="00186B20">
      <w:pPr>
        <w:spacing w:after="0" w:line="240" w:lineRule="auto"/>
        <w:rPr>
          <w:rFonts w:ascii="Times New Roman" w:hAnsi="Times New Roman"/>
          <w:lang w:val="lt-LT"/>
        </w:rPr>
      </w:pPr>
      <w:r w:rsidRPr="00514245">
        <w:rPr>
          <w:rFonts w:ascii="Times New Roman" w:hAnsi="Times New Roman"/>
          <w:lang w:val="lt-LT"/>
        </w:rPr>
        <w:t>102 37 Praha 10</w:t>
      </w:r>
    </w:p>
    <w:p w14:paraId="7BD392D4" w14:textId="03A8D670" w:rsidR="00BF4D66" w:rsidRPr="00514245" w:rsidRDefault="00BF4D66" w:rsidP="00E0107B">
      <w:pPr>
        <w:spacing w:after="0" w:line="240" w:lineRule="auto"/>
        <w:rPr>
          <w:rFonts w:ascii="Times New Roman" w:eastAsia="Times New Roman" w:hAnsi="Times New Roman"/>
          <w:color w:val="000000"/>
          <w:lang w:val="lt-LT"/>
        </w:rPr>
      </w:pPr>
      <w:r w:rsidRPr="00514245">
        <w:rPr>
          <w:rFonts w:ascii="Times New Roman" w:eastAsia="Times New Roman" w:hAnsi="Times New Roman"/>
          <w:color w:val="000000"/>
          <w:lang w:val="lt-LT"/>
        </w:rPr>
        <w:t>Čekija</w:t>
      </w:r>
    </w:p>
    <w:p w14:paraId="7F373D3B" w14:textId="77777777" w:rsidR="00BF4D66" w:rsidRPr="00514245" w:rsidRDefault="00BF4D66" w:rsidP="00E0107B">
      <w:pPr>
        <w:spacing w:after="0" w:line="240" w:lineRule="auto"/>
        <w:rPr>
          <w:rFonts w:ascii="Times New Roman" w:eastAsia="Times New Roman" w:hAnsi="Times New Roman"/>
          <w:color w:val="000000"/>
          <w:lang w:val="lt-LT"/>
        </w:rPr>
      </w:pPr>
    </w:p>
    <w:p w14:paraId="026C4D1F" w14:textId="77777777" w:rsidR="00E0107B" w:rsidRPr="00514245" w:rsidRDefault="00E0107B" w:rsidP="00E0107B">
      <w:pPr>
        <w:spacing w:after="0" w:line="240" w:lineRule="auto"/>
        <w:rPr>
          <w:rFonts w:ascii="Times New Roman" w:eastAsia="Times New Roman" w:hAnsi="Times New Roman"/>
          <w:snapToGrid w:val="0"/>
          <w:lang w:val="lt-LT" w:eastAsia="en-US" w:bidi="ar-SA"/>
        </w:rPr>
      </w:pPr>
    </w:p>
    <w:p w14:paraId="0FD75BA2" w14:textId="77777777" w:rsidR="00E0107B" w:rsidRPr="00514245" w:rsidRDefault="00E0107B" w:rsidP="00E0107B">
      <w:pPr>
        <w:keepNext/>
        <w:keepLines/>
        <w:tabs>
          <w:tab w:val="left" w:pos="567"/>
        </w:tabs>
        <w:spacing w:after="0" w:line="240" w:lineRule="auto"/>
        <w:outlineLvl w:val="2"/>
        <w:rPr>
          <w:rFonts w:ascii="Times New Roman" w:eastAsia="Times New Roman" w:hAnsi="Times New Roman"/>
          <w:b/>
          <w:bCs/>
          <w:snapToGrid w:val="0"/>
          <w:lang w:val="lt-LT" w:bidi="ar-SA"/>
        </w:rPr>
      </w:pPr>
      <w:r w:rsidRPr="00514245">
        <w:rPr>
          <w:rFonts w:ascii="Times New Roman" w:eastAsia="Times New Roman" w:hAnsi="Times New Roman"/>
          <w:b/>
          <w:bCs/>
          <w:snapToGrid w:val="0"/>
          <w:lang w:val="lt-LT" w:bidi="ar-SA"/>
        </w:rPr>
        <w:t>8.</w:t>
      </w:r>
      <w:r w:rsidRPr="00514245">
        <w:rPr>
          <w:rFonts w:ascii="Times New Roman" w:eastAsia="Times New Roman" w:hAnsi="Times New Roman"/>
          <w:b/>
          <w:bCs/>
          <w:snapToGrid w:val="0"/>
          <w:lang w:val="lt-LT" w:bidi="ar-SA"/>
        </w:rPr>
        <w:tab/>
        <w:t xml:space="preserve">REGISTRACIJOS PAŽYMĖJIMO NUMERIS (-IAI) </w:t>
      </w:r>
    </w:p>
    <w:p w14:paraId="53E30043" w14:textId="77777777" w:rsidR="00E0107B" w:rsidRPr="00514245" w:rsidRDefault="00E0107B" w:rsidP="00E0107B">
      <w:pPr>
        <w:spacing w:after="0" w:line="240" w:lineRule="auto"/>
        <w:rPr>
          <w:rFonts w:ascii="Times New Roman" w:eastAsia="Times New Roman" w:hAnsi="Times New Roman"/>
          <w:snapToGrid w:val="0"/>
          <w:lang w:val="lt-LT"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7F1E1D" w14:paraId="3A2A9DF6" w14:textId="77777777" w:rsidTr="007F1E1D">
        <w:tc>
          <w:tcPr>
            <w:tcW w:w="4602" w:type="dxa"/>
          </w:tcPr>
          <w:p w14:paraId="1ED13C2D" w14:textId="77777777" w:rsidR="007F1E1D" w:rsidRPr="007F1E1D" w:rsidRDefault="007F1E1D" w:rsidP="002042E8">
            <w:pPr>
              <w:spacing w:after="0" w:line="240" w:lineRule="auto"/>
              <w:rPr>
                <w:rFonts w:ascii="Times New Roman" w:eastAsia="Times New Roman" w:hAnsi="Times New Roman"/>
                <w:snapToGrid w:val="0"/>
                <w:u w:val="single"/>
                <w:lang w:eastAsia="en-US" w:bidi="ar-SA"/>
              </w:rPr>
            </w:pPr>
            <w:r w:rsidRPr="007F1E1D">
              <w:rPr>
                <w:rFonts w:ascii="Times New Roman" w:eastAsia="Times New Roman" w:hAnsi="Times New Roman"/>
                <w:snapToGrid w:val="0"/>
                <w:u w:val="single"/>
                <w:lang w:eastAsia="en-US" w:bidi="ar-SA"/>
              </w:rPr>
              <w:t>5 mg</w:t>
            </w:r>
          </w:p>
          <w:p w14:paraId="56141C0C" w14:textId="77777777" w:rsidR="007F1E1D" w:rsidRP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LT/1/26/6063/001 – N14</w:t>
            </w:r>
          </w:p>
          <w:p w14:paraId="5C84E72D" w14:textId="77777777" w:rsidR="007F1E1D" w:rsidRP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LT/1/26/6063/002 – N28</w:t>
            </w:r>
          </w:p>
          <w:p w14:paraId="71A59BFC" w14:textId="77777777" w:rsidR="007F1E1D" w:rsidRP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LT/1/26/6063/003 – N56</w:t>
            </w:r>
          </w:p>
          <w:p w14:paraId="6BB9267B" w14:textId="795E0F4D" w:rsid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LT/1/26/6063/004 – N98</w:t>
            </w:r>
          </w:p>
        </w:tc>
        <w:tc>
          <w:tcPr>
            <w:tcW w:w="4602" w:type="dxa"/>
          </w:tcPr>
          <w:p w14:paraId="4D5919CA" w14:textId="77777777" w:rsidR="007F1E1D" w:rsidRPr="007F1E1D" w:rsidRDefault="007F1E1D" w:rsidP="002042E8">
            <w:pPr>
              <w:spacing w:after="0" w:line="240" w:lineRule="auto"/>
              <w:rPr>
                <w:rFonts w:ascii="Times New Roman" w:eastAsia="Times New Roman" w:hAnsi="Times New Roman"/>
                <w:snapToGrid w:val="0"/>
                <w:u w:val="single"/>
                <w:lang w:eastAsia="en-US" w:bidi="ar-SA"/>
              </w:rPr>
            </w:pPr>
            <w:r w:rsidRPr="007F1E1D">
              <w:rPr>
                <w:rFonts w:ascii="Times New Roman" w:eastAsia="Times New Roman" w:hAnsi="Times New Roman"/>
                <w:snapToGrid w:val="0"/>
                <w:u w:val="single"/>
                <w:lang w:eastAsia="en-US" w:bidi="ar-SA"/>
              </w:rPr>
              <w:t>10 mg</w:t>
            </w:r>
          </w:p>
          <w:p w14:paraId="67CDCA5B" w14:textId="77777777" w:rsidR="007F1E1D" w:rsidRP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LT/1/26/6064/001 – N14</w:t>
            </w:r>
          </w:p>
          <w:p w14:paraId="5CD8E830" w14:textId="77777777" w:rsidR="007F1E1D" w:rsidRP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LT/1/26/6064/002 – N28</w:t>
            </w:r>
          </w:p>
          <w:p w14:paraId="08505F32" w14:textId="77777777" w:rsidR="007F1E1D" w:rsidRP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LT/1/26/6064/003 – N56</w:t>
            </w:r>
          </w:p>
          <w:p w14:paraId="39061A45" w14:textId="0E60A7E8" w:rsidR="007F1E1D" w:rsidRDefault="007F1E1D" w:rsidP="007F1E1D">
            <w:pPr>
              <w:spacing w:after="0" w:line="240" w:lineRule="auto"/>
              <w:rPr>
                <w:rFonts w:ascii="Times New Roman" w:eastAsia="Times New Roman" w:hAnsi="Times New Roman"/>
                <w:snapToGrid w:val="0"/>
                <w:lang w:eastAsia="en-US" w:bidi="ar-SA"/>
              </w:rPr>
            </w:pPr>
            <w:r w:rsidRPr="007F1E1D">
              <w:rPr>
                <w:rFonts w:ascii="Times New Roman" w:eastAsia="Times New Roman" w:hAnsi="Times New Roman"/>
                <w:snapToGrid w:val="0"/>
                <w:lang w:eastAsia="en-US" w:bidi="ar-SA"/>
              </w:rPr>
              <w:t>LT/1/26/6064/004 – N98</w:t>
            </w:r>
          </w:p>
        </w:tc>
      </w:tr>
    </w:tbl>
    <w:p w14:paraId="5A535047" w14:textId="77777777" w:rsidR="002042E8" w:rsidRDefault="002042E8" w:rsidP="002042E8">
      <w:pPr>
        <w:spacing w:after="0" w:line="240" w:lineRule="auto"/>
        <w:rPr>
          <w:rFonts w:ascii="Times New Roman" w:eastAsia="Times New Roman" w:hAnsi="Times New Roman"/>
          <w:snapToGrid w:val="0"/>
          <w:lang w:val="lt-LT" w:eastAsia="en-US" w:bidi="ar-SA"/>
        </w:rPr>
      </w:pPr>
    </w:p>
    <w:p w14:paraId="70A01B90" w14:textId="77777777" w:rsidR="007F1E1D" w:rsidRPr="00514245" w:rsidRDefault="007F1E1D" w:rsidP="002042E8">
      <w:pPr>
        <w:spacing w:after="0" w:line="240" w:lineRule="auto"/>
        <w:rPr>
          <w:rFonts w:ascii="Times New Roman" w:eastAsia="Times New Roman" w:hAnsi="Times New Roman"/>
          <w:snapToGrid w:val="0"/>
          <w:lang w:val="lt-LT" w:eastAsia="en-US" w:bidi="ar-SA"/>
        </w:rPr>
      </w:pPr>
    </w:p>
    <w:p w14:paraId="5AA935FC" w14:textId="77777777" w:rsidR="00E0107B" w:rsidRPr="00514245" w:rsidRDefault="00E0107B" w:rsidP="00E0107B">
      <w:pPr>
        <w:spacing w:after="0" w:line="240" w:lineRule="auto"/>
        <w:rPr>
          <w:rFonts w:ascii="Times New Roman" w:eastAsia="Times New Roman" w:hAnsi="Times New Roman"/>
          <w:snapToGrid w:val="0"/>
          <w:lang w:val="lt-LT" w:eastAsia="en-US" w:bidi="ar-SA"/>
        </w:rPr>
      </w:pPr>
    </w:p>
    <w:p w14:paraId="2888FB4F" w14:textId="77777777" w:rsidR="00E0107B" w:rsidRPr="00514245" w:rsidRDefault="00E0107B" w:rsidP="00E0107B">
      <w:pPr>
        <w:keepNext/>
        <w:keepLines/>
        <w:tabs>
          <w:tab w:val="left" w:pos="567"/>
        </w:tabs>
        <w:spacing w:after="0" w:line="240" w:lineRule="auto"/>
        <w:outlineLvl w:val="2"/>
        <w:rPr>
          <w:rFonts w:ascii="Times New Roman" w:eastAsia="Times New Roman" w:hAnsi="Times New Roman"/>
          <w:b/>
          <w:bCs/>
          <w:snapToGrid w:val="0"/>
          <w:lang w:val="lt-LT" w:bidi="ar-SA"/>
        </w:rPr>
      </w:pPr>
      <w:r w:rsidRPr="00514245">
        <w:rPr>
          <w:rFonts w:ascii="Times New Roman" w:eastAsia="Times New Roman" w:hAnsi="Times New Roman"/>
          <w:b/>
          <w:bCs/>
          <w:snapToGrid w:val="0"/>
          <w:lang w:val="lt-LT" w:bidi="ar-SA"/>
        </w:rPr>
        <w:t>9.</w:t>
      </w:r>
      <w:r w:rsidRPr="00514245">
        <w:rPr>
          <w:rFonts w:ascii="Times New Roman" w:eastAsia="Times New Roman" w:hAnsi="Times New Roman"/>
          <w:b/>
          <w:bCs/>
          <w:snapToGrid w:val="0"/>
          <w:lang w:val="lt-LT" w:bidi="ar-SA"/>
        </w:rPr>
        <w:tab/>
        <w:t>REGISTRAVIMO / PERREGISTRAVIMO DATA</w:t>
      </w:r>
    </w:p>
    <w:p w14:paraId="2A1DDBB8" w14:textId="77777777" w:rsidR="00E0107B" w:rsidRPr="00514245" w:rsidRDefault="00E0107B" w:rsidP="00E0107B">
      <w:pPr>
        <w:spacing w:after="0" w:line="240" w:lineRule="auto"/>
        <w:rPr>
          <w:rFonts w:ascii="Times New Roman" w:eastAsia="Times New Roman" w:hAnsi="Times New Roman"/>
          <w:snapToGrid w:val="0"/>
          <w:lang w:val="lt-LT" w:eastAsia="en-US" w:bidi="ar-SA"/>
        </w:rPr>
      </w:pPr>
    </w:p>
    <w:p w14:paraId="5682E966" w14:textId="7478D70C" w:rsidR="00BF4D66" w:rsidRPr="00510653" w:rsidRDefault="00E0107B" w:rsidP="00BF4D66">
      <w:pPr>
        <w:tabs>
          <w:tab w:val="left" w:pos="1296"/>
        </w:tabs>
        <w:snapToGrid w:val="0"/>
        <w:spacing w:after="0" w:line="240" w:lineRule="auto"/>
        <w:rPr>
          <w:rFonts w:ascii="Times New Roman" w:eastAsia="Times New Roman" w:hAnsi="Times New Roman"/>
          <w:snapToGrid w:val="0"/>
          <w:lang w:val="it-IT" w:eastAsia="en-US" w:bidi="ar-SA"/>
        </w:rPr>
      </w:pPr>
      <w:r w:rsidRPr="00514245">
        <w:rPr>
          <w:rFonts w:ascii="Times New Roman" w:eastAsia="Times New Roman" w:hAnsi="Times New Roman"/>
          <w:szCs w:val="24"/>
          <w:lang w:val="lt-LT" w:eastAsia="en-US" w:bidi="ar-SA"/>
        </w:rPr>
        <w:t>Registravimo data</w:t>
      </w:r>
      <w:r w:rsidR="00827282" w:rsidRPr="00514245">
        <w:rPr>
          <w:rFonts w:ascii="Times New Roman" w:eastAsia="Times New Roman" w:hAnsi="Times New Roman"/>
          <w:szCs w:val="24"/>
          <w:lang w:val="lt-LT" w:eastAsia="en-US" w:bidi="ar-SA"/>
        </w:rPr>
        <w:t xml:space="preserve"> </w:t>
      </w:r>
      <w:r w:rsidR="007F1E1D">
        <w:rPr>
          <w:rFonts w:ascii="Times New Roman" w:eastAsia="Times New Roman" w:hAnsi="Times New Roman"/>
          <w:szCs w:val="24"/>
          <w:lang w:val="lt-LT" w:eastAsia="en-US" w:bidi="ar-SA"/>
        </w:rPr>
        <w:t>2026 m. birželio 5 d.</w:t>
      </w:r>
    </w:p>
    <w:p w14:paraId="7740D9CC" w14:textId="7EB4CE9D" w:rsidR="00E0107B" w:rsidRPr="00514245" w:rsidRDefault="00E0107B" w:rsidP="00E0107B">
      <w:pPr>
        <w:spacing w:after="0" w:line="240" w:lineRule="auto"/>
        <w:rPr>
          <w:rFonts w:ascii="Times New Roman" w:eastAsia="Times New Roman" w:hAnsi="Times New Roman"/>
          <w:snapToGrid w:val="0"/>
          <w:lang w:val="lt-LT" w:eastAsia="en-US" w:bidi="ar-SA"/>
        </w:rPr>
      </w:pPr>
    </w:p>
    <w:p w14:paraId="0DF06EF5" w14:textId="77777777" w:rsidR="00E0107B" w:rsidRPr="00514245" w:rsidRDefault="00E0107B" w:rsidP="00E0107B">
      <w:pPr>
        <w:spacing w:after="0" w:line="240" w:lineRule="auto"/>
        <w:rPr>
          <w:rFonts w:ascii="Times New Roman" w:eastAsia="Times New Roman" w:hAnsi="Times New Roman"/>
          <w:snapToGrid w:val="0"/>
          <w:lang w:val="lt-LT" w:eastAsia="en-US" w:bidi="ar-SA"/>
        </w:rPr>
      </w:pPr>
    </w:p>
    <w:p w14:paraId="589CCB67" w14:textId="77777777" w:rsidR="00E0107B" w:rsidRPr="00514245"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val="lt-LT" w:bidi="ar-SA"/>
        </w:rPr>
      </w:pPr>
      <w:r w:rsidRPr="00514245">
        <w:rPr>
          <w:rFonts w:ascii="Times New Roman" w:eastAsia="Times New Roman" w:hAnsi="Times New Roman"/>
          <w:b/>
          <w:bCs/>
          <w:snapToGrid w:val="0"/>
          <w:lang w:val="lt-LT" w:bidi="ar-SA"/>
        </w:rPr>
        <w:t>10.</w:t>
      </w:r>
      <w:r w:rsidRPr="00514245">
        <w:rPr>
          <w:rFonts w:ascii="Times New Roman" w:eastAsia="Times New Roman" w:hAnsi="Times New Roman"/>
          <w:b/>
          <w:bCs/>
          <w:snapToGrid w:val="0"/>
          <w:lang w:val="lt-LT" w:bidi="ar-SA"/>
        </w:rPr>
        <w:tab/>
        <w:t>TEKSTO PERŽIŪROS DATA</w:t>
      </w:r>
    </w:p>
    <w:p w14:paraId="12341EBD" w14:textId="5CA7FEAB" w:rsidR="00E0107B" w:rsidRPr="00514245" w:rsidRDefault="00E0107B" w:rsidP="00BF4D66">
      <w:pPr>
        <w:keepNext/>
        <w:widowControl w:val="0"/>
        <w:spacing w:after="0" w:line="240" w:lineRule="auto"/>
        <w:rPr>
          <w:rFonts w:ascii="Times New Roman" w:eastAsia="Times New Roman" w:hAnsi="Times New Roman"/>
          <w:snapToGrid w:val="0"/>
          <w:lang w:val="lt-LT" w:eastAsia="en-US" w:bidi="ar-SA"/>
        </w:rPr>
      </w:pPr>
    </w:p>
    <w:p w14:paraId="49B3314A" w14:textId="75DE4199" w:rsidR="007F1E1D" w:rsidRDefault="007F1E1D" w:rsidP="00E0107B">
      <w:pPr>
        <w:spacing w:after="0" w:line="240" w:lineRule="auto"/>
        <w:rPr>
          <w:rFonts w:ascii="Times New Roman" w:eastAsia="Times New Roman" w:hAnsi="Times New Roman"/>
          <w:szCs w:val="24"/>
          <w:lang w:val="lt-LT" w:eastAsia="en-US" w:bidi="ar-SA"/>
        </w:rPr>
      </w:pPr>
      <w:r>
        <w:rPr>
          <w:rFonts w:ascii="Times New Roman" w:eastAsia="Times New Roman" w:hAnsi="Times New Roman"/>
          <w:szCs w:val="24"/>
          <w:lang w:val="lt-LT" w:eastAsia="en-US" w:bidi="ar-SA"/>
        </w:rPr>
        <w:t xml:space="preserve">2025 </w:t>
      </w:r>
      <w:r>
        <w:rPr>
          <w:rFonts w:ascii="Times New Roman" w:eastAsia="Times New Roman" w:hAnsi="Times New Roman"/>
          <w:szCs w:val="24"/>
          <w:lang w:val="lt-LT" w:eastAsia="en-US" w:bidi="ar-SA"/>
        </w:rPr>
        <w:t>m. birželio 5 d.</w:t>
      </w:r>
    </w:p>
    <w:p w14:paraId="463EF04D" w14:textId="77777777" w:rsidR="00510653" w:rsidRPr="00510653" w:rsidRDefault="00510653" w:rsidP="00E0107B">
      <w:pPr>
        <w:spacing w:after="0" w:line="240" w:lineRule="auto"/>
        <w:rPr>
          <w:rFonts w:ascii="Times New Roman" w:eastAsia="Times New Roman" w:hAnsi="Times New Roman"/>
          <w:snapToGrid w:val="0"/>
          <w:lang w:val="lt-LT" w:eastAsia="en-US" w:bidi="ar-SA"/>
        </w:rPr>
      </w:pPr>
    </w:p>
    <w:p w14:paraId="1B78F1CC" w14:textId="48D62FC0" w:rsidR="00E0107B" w:rsidRPr="00514245" w:rsidRDefault="00E0107B" w:rsidP="00E0107B">
      <w:pPr>
        <w:tabs>
          <w:tab w:val="left" w:pos="5954"/>
          <w:tab w:val="left" w:pos="6237"/>
          <w:tab w:val="left" w:pos="6663"/>
          <w:tab w:val="left" w:pos="6946"/>
        </w:tabs>
        <w:spacing w:after="0" w:line="240" w:lineRule="auto"/>
        <w:rPr>
          <w:rFonts w:ascii="Times New Roman" w:eastAsia="SimSun" w:hAnsi="Times New Roman"/>
          <w:lang w:val="lt-LT" w:eastAsia="en-US" w:bidi="ar-SA"/>
        </w:rPr>
      </w:pPr>
      <w:r w:rsidRPr="00514245">
        <w:rPr>
          <w:rFonts w:ascii="Times New Roman" w:eastAsia="SimSun" w:hAnsi="Times New Roman"/>
          <w:lang w:val="lt-LT" w:eastAsia="en-US" w:bidi="ar-SA"/>
        </w:rPr>
        <w:t xml:space="preserve">Išsami informacija apie šį vaistinį preparatą pateikiama Valstybinės vaistų kontrolės tarnybos prie Lietuvos Respublikos sveikatos apsaugos ministerijos tinklalapyje </w:t>
      </w:r>
      <w:hyperlink r:id="rId8" w:history="1">
        <w:r w:rsidR="004C0778" w:rsidRPr="00514245">
          <w:rPr>
            <w:rStyle w:val="Hipersaitas"/>
            <w:rFonts w:ascii="Times New Roman" w:hAnsi="Times New Roman"/>
            <w:lang w:val="lt-LT"/>
          </w:rPr>
          <w:t>https://vvkt.lrv.lt/lt/</w:t>
        </w:r>
      </w:hyperlink>
      <w:r w:rsidR="004C0778" w:rsidRPr="00514245">
        <w:rPr>
          <w:rFonts w:ascii="Times New Roman" w:hAnsi="Times New Roman"/>
          <w:color w:val="0000EE"/>
          <w:u w:val="single"/>
          <w:lang w:val="lt-LT"/>
        </w:rPr>
        <w:t xml:space="preserve"> </w:t>
      </w:r>
    </w:p>
    <w:p w14:paraId="09E0DD27"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1290E3EF" w14:textId="77777777" w:rsidR="00E0107B" w:rsidRPr="00514245" w:rsidRDefault="00E0107B" w:rsidP="00E0107B">
      <w:pPr>
        <w:rPr>
          <w:rFonts w:ascii="Times New Roman" w:eastAsia="Times New Roman" w:hAnsi="Times New Roman"/>
          <w:snapToGrid w:val="0"/>
          <w:lang w:val="lt-LT" w:eastAsia="en-US" w:bidi="ar-SA"/>
        </w:rPr>
      </w:pPr>
      <w:r w:rsidRPr="00514245">
        <w:rPr>
          <w:rFonts w:ascii="Times New Roman" w:eastAsia="Times New Roman" w:hAnsi="Times New Roman"/>
          <w:snapToGrid w:val="0"/>
          <w:lang w:val="lt-LT" w:eastAsia="en-US" w:bidi="ar-SA"/>
        </w:rPr>
        <w:br w:type="page"/>
      </w:r>
    </w:p>
    <w:p w14:paraId="5B84F53B"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16C0B51F"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9F1342F"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56BEBAE"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83D4EC0"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302DBBD"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FB4C026"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43C2728"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2B6E999"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E2C51AC"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5460B13"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1B23BEB5"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557E152"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576BF023"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2E85763"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66D67A8"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E2E40B8"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3F759E86"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1E4F3FB1"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614B27F0"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1B481CB3"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3881B1D4"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628FF1B3"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p>
    <w:p w14:paraId="47383825" w14:textId="77777777" w:rsidR="00E0107B" w:rsidRPr="00514245" w:rsidRDefault="00E0107B" w:rsidP="00E0107B">
      <w:pPr>
        <w:tabs>
          <w:tab w:val="left" w:pos="567"/>
        </w:tabs>
        <w:spacing w:after="0" w:line="260" w:lineRule="exact"/>
        <w:jc w:val="center"/>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II PRIEDAS</w:t>
      </w:r>
    </w:p>
    <w:p w14:paraId="52CEAE4B" w14:textId="77777777" w:rsidR="00E0107B" w:rsidRPr="00514245" w:rsidRDefault="00E0107B" w:rsidP="00E0107B">
      <w:pPr>
        <w:tabs>
          <w:tab w:val="left" w:pos="567"/>
        </w:tabs>
        <w:spacing w:after="0" w:line="260" w:lineRule="exact"/>
        <w:ind w:left="1701" w:hanging="567"/>
        <w:rPr>
          <w:rFonts w:ascii="Times New Roman" w:eastAsia="Times New Roman" w:hAnsi="Times New Roman"/>
          <w:snapToGrid w:val="0"/>
          <w:lang w:val="lt-LT" w:eastAsia="en-US" w:bidi="ar-SA"/>
        </w:rPr>
      </w:pPr>
    </w:p>
    <w:p w14:paraId="5E015EB1" w14:textId="77777777" w:rsidR="00E0107B" w:rsidRPr="00514245" w:rsidRDefault="00E0107B" w:rsidP="00E0107B">
      <w:pPr>
        <w:tabs>
          <w:tab w:val="left" w:pos="567"/>
        </w:tabs>
        <w:spacing w:after="0" w:line="260" w:lineRule="exact"/>
        <w:jc w:val="center"/>
        <w:rPr>
          <w:rFonts w:ascii="Times New Roman" w:eastAsia="Times New Roman" w:hAnsi="Times New Roman"/>
          <w:i/>
          <w:snapToGrid w:val="0"/>
          <w:lang w:val="lt-LT" w:eastAsia="en-US" w:bidi="ar-SA"/>
        </w:rPr>
      </w:pPr>
      <w:r w:rsidRPr="00514245">
        <w:rPr>
          <w:rFonts w:ascii="Times New Roman" w:eastAsia="Times New Roman" w:hAnsi="Times New Roman"/>
          <w:b/>
          <w:snapToGrid w:val="0"/>
          <w:lang w:val="lt-LT" w:eastAsia="en-US" w:bidi="ar-SA"/>
        </w:rPr>
        <w:t>REGISTRACIJOS SĄLYGOS</w:t>
      </w:r>
    </w:p>
    <w:p w14:paraId="759A9845"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6D08574" w14:textId="5AAD6057" w:rsidR="00E0107B" w:rsidRPr="00514245" w:rsidRDefault="00E0107B" w:rsidP="00E0107B">
      <w:pPr>
        <w:tabs>
          <w:tab w:val="left" w:pos="1701"/>
        </w:tabs>
        <w:spacing w:after="0" w:line="260" w:lineRule="exact"/>
        <w:ind w:left="1701" w:hanging="567"/>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A.</w:t>
      </w:r>
      <w:r w:rsidRPr="00514245">
        <w:rPr>
          <w:rFonts w:ascii="Times New Roman" w:eastAsia="Times New Roman" w:hAnsi="Times New Roman"/>
          <w:b/>
          <w:snapToGrid w:val="0"/>
          <w:lang w:val="lt-LT" w:eastAsia="en-US" w:bidi="ar-SA"/>
        </w:rPr>
        <w:tab/>
        <w:t>GAMINTOJAS (-AI), ATSAKINGAS (-I) UŽ SERIJŲ IŠLEIDIMĄ</w:t>
      </w:r>
    </w:p>
    <w:p w14:paraId="489C8CAE" w14:textId="77777777" w:rsidR="00E0107B" w:rsidRPr="00514245" w:rsidRDefault="00E0107B" w:rsidP="00E0107B">
      <w:pPr>
        <w:tabs>
          <w:tab w:val="left" w:pos="1701"/>
        </w:tabs>
        <w:spacing w:after="0" w:line="260" w:lineRule="exact"/>
        <w:ind w:left="567" w:hanging="567"/>
        <w:rPr>
          <w:rFonts w:ascii="Times New Roman" w:eastAsia="Times New Roman" w:hAnsi="Times New Roman"/>
          <w:snapToGrid w:val="0"/>
          <w:lang w:val="lt-LT" w:eastAsia="en-US" w:bidi="ar-SA"/>
        </w:rPr>
      </w:pPr>
    </w:p>
    <w:p w14:paraId="38CDCB60" w14:textId="35A04C5B" w:rsidR="00E0107B" w:rsidRPr="00514245" w:rsidRDefault="00E0107B" w:rsidP="00E0107B">
      <w:pPr>
        <w:tabs>
          <w:tab w:val="left" w:pos="1701"/>
        </w:tabs>
        <w:spacing w:after="0" w:line="260" w:lineRule="exact"/>
        <w:ind w:left="1701" w:hanging="567"/>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B.</w:t>
      </w:r>
      <w:r w:rsidRPr="00514245">
        <w:rPr>
          <w:rFonts w:ascii="Times New Roman" w:eastAsia="Times New Roman" w:hAnsi="Times New Roman"/>
          <w:b/>
          <w:snapToGrid w:val="0"/>
          <w:lang w:val="lt-LT" w:eastAsia="en-US" w:bidi="ar-SA"/>
        </w:rPr>
        <w:tab/>
        <w:t>TIEKIMO IR VARTOJIMO SĄLYGOS AR APRIBOJIMAI</w:t>
      </w:r>
    </w:p>
    <w:p w14:paraId="49FFE563"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90FD3B0" w14:textId="1D5FFC47" w:rsidR="00E0107B" w:rsidRPr="00514245" w:rsidRDefault="00E0107B" w:rsidP="00E0107B">
      <w:pPr>
        <w:tabs>
          <w:tab w:val="left" w:pos="567"/>
        </w:tabs>
        <w:spacing w:after="0" w:line="260" w:lineRule="exact"/>
        <w:ind w:left="567" w:hanging="567"/>
        <w:rPr>
          <w:rFonts w:ascii="Times New Roman" w:eastAsia="Times New Roman" w:hAnsi="Times New Roman"/>
          <w:b/>
          <w:snapToGrid w:val="0"/>
          <w:lang w:val="lt-LT" w:eastAsia="en-US" w:bidi="ar-SA"/>
        </w:rPr>
      </w:pPr>
      <w:r w:rsidRPr="00514245">
        <w:rPr>
          <w:rFonts w:ascii="Times New Roman" w:eastAsia="Times New Roman" w:hAnsi="Times New Roman"/>
          <w:snapToGrid w:val="0"/>
          <w:lang w:val="lt-LT" w:eastAsia="en-US" w:bidi="ar-SA"/>
        </w:rPr>
        <w:br w:type="page"/>
      </w:r>
      <w:r w:rsidRPr="00514245">
        <w:rPr>
          <w:rFonts w:ascii="Times New Roman" w:eastAsia="Times New Roman" w:hAnsi="Times New Roman"/>
          <w:b/>
          <w:snapToGrid w:val="0"/>
          <w:lang w:val="lt-LT" w:eastAsia="en-US" w:bidi="ar-SA"/>
        </w:rPr>
        <w:lastRenderedPageBreak/>
        <w:t>A.</w:t>
      </w:r>
      <w:r w:rsidRPr="00514245">
        <w:rPr>
          <w:rFonts w:ascii="Times New Roman" w:eastAsia="Times New Roman" w:hAnsi="Times New Roman"/>
          <w:b/>
          <w:snapToGrid w:val="0"/>
          <w:lang w:val="lt-LT" w:eastAsia="en-US" w:bidi="ar-SA"/>
        </w:rPr>
        <w:tab/>
        <w:t>GAMINTOJAS (-AI), ATSAKINGAS (-I) UŽ SERIJŲ IŠLEIDIMĄ</w:t>
      </w:r>
    </w:p>
    <w:p w14:paraId="6F390723"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9D3C1D2" w14:textId="77777777" w:rsidR="00E0107B" w:rsidRPr="00514245" w:rsidRDefault="00E0107B" w:rsidP="00E0107B">
      <w:pPr>
        <w:tabs>
          <w:tab w:val="left" w:pos="567"/>
        </w:tabs>
        <w:spacing w:after="0" w:line="240" w:lineRule="auto"/>
        <w:jc w:val="both"/>
        <w:rPr>
          <w:rFonts w:ascii="Times New Roman" w:eastAsia="Times New Roman" w:hAnsi="Times New Roman"/>
          <w:snapToGrid w:val="0"/>
          <w:lang w:val="lt-LT" w:eastAsia="en-US" w:bidi="ar-SA"/>
        </w:rPr>
      </w:pPr>
      <w:r w:rsidRPr="00514245">
        <w:rPr>
          <w:rFonts w:ascii="Times New Roman" w:eastAsia="Times New Roman" w:hAnsi="Times New Roman"/>
          <w:snapToGrid w:val="0"/>
          <w:u w:val="single"/>
          <w:lang w:val="lt-LT" w:eastAsia="en-US" w:bidi="ar-SA"/>
        </w:rPr>
        <w:t>Gamintojo (-ų), atsakingo (-ų) už serijų išleidimą, pavadinimas (-ai) ir adresas (-ai)</w:t>
      </w:r>
    </w:p>
    <w:p w14:paraId="4BBF9C16"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41989D5"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r w:rsidRPr="00895ABF">
        <w:rPr>
          <w:rFonts w:ascii="Times New Roman" w:eastAsia="Times New Roman" w:hAnsi="Times New Roman"/>
          <w:snapToGrid w:val="0"/>
          <w:lang w:val="lt-LT" w:eastAsia="en-US" w:bidi="ar-SA"/>
        </w:rPr>
        <w:t>LABO RMED-PHARMA S.A.</w:t>
      </w:r>
    </w:p>
    <w:p w14:paraId="62C97037" w14:textId="03C5F19D"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Bd</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Theodor</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Pallady</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nr.</w:t>
      </w:r>
      <w:proofErr w:type="spellEnd"/>
      <w:r w:rsidRPr="00895ABF">
        <w:rPr>
          <w:rFonts w:ascii="Times New Roman" w:eastAsia="Times New Roman" w:hAnsi="Times New Roman"/>
          <w:snapToGrid w:val="0"/>
          <w:lang w:val="lt-LT" w:eastAsia="en-US" w:bidi="ar-SA"/>
        </w:rPr>
        <w:t xml:space="preserve"> 44B</w:t>
      </w:r>
    </w:p>
    <w:p w14:paraId="64E2E4E4"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sector</w:t>
      </w:r>
      <w:proofErr w:type="spellEnd"/>
      <w:r w:rsidRPr="00895ABF">
        <w:rPr>
          <w:rFonts w:ascii="Times New Roman" w:eastAsia="Times New Roman" w:hAnsi="Times New Roman"/>
          <w:snapToGrid w:val="0"/>
          <w:lang w:val="lt-LT" w:eastAsia="en-US" w:bidi="ar-SA"/>
        </w:rPr>
        <w:t xml:space="preserve"> 3</w:t>
      </w:r>
    </w:p>
    <w:p w14:paraId="1ADDC25E" w14:textId="6F73E2C8" w:rsidR="0092651C"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Bucharest</w:t>
      </w:r>
      <w:proofErr w:type="spellEnd"/>
      <w:r w:rsidRPr="00895ABF">
        <w:rPr>
          <w:rFonts w:ascii="Times New Roman" w:eastAsia="Times New Roman" w:hAnsi="Times New Roman"/>
          <w:snapToGrid w:val="0"/>
          <w:lang w:val="lt-LT" w:eastAsia="en-US" w:bidi="ar-SA"/>
        </w:rPr>
        <w:t>, 032266</w:t>
      </w:r>
    </w:p>
    <w:p w14:paraId="19478D14" w14:textId="0A694698" w:rsidR="00E0107B" w:rsidRPr="00514245" w:rsidRDefault="00895ABF" w:rsidP="00E0107B">
      <w:pPr>
        <w:tabs>
          <w:tab w:val="left" w:pos="567"/>
        </w:tabs>
        <w:spacing w:after="0" w:line="260" w:lineRule="exact"/>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Rumunija</w:t>
      </w:r>
    </w:p>
    <w:p w14:paraId="68FBEA17"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3506C8B" w14:textId="77777777" w:rsidR="00E0107B" w:rsidRPr="00514245" w:rsidRDefault="00E0107B" w:rsidP="00E0107B">
      <w:pPr>
        <w:tabs>
          <w:tab w:val="left" w:pos="567"/>
        </w:tabs>
        <w:spacing w:after="0" w:line="240" w:lineRule="auto"/>
        <w:ind w:left="567" w:hanging="567"/>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t>B.</w:t>
      </w:r>
      <w:r w:rsidRPr="00514245">
        <w:rPr>
          <w:rFonts w:ascii="Times New Roman" w:eastAsia="Times New Roman" w:hAnsi="Times New Roman"/>
          <w:b/>
          <w:snapToGrid w:val="0"/>
          <w:lang w:val="lt-LT" w:eastAsia="en-US" w:bidi="ar-SA"/>
        </w:rPr>
        <w:tab/>
        <w:t>TIEKIMO IR VARTOJIMO SĄLYGOS AR APRIBOJIMAI</w:t>
      </w:r>
    </w:p>
    <w:p w14:paraId="5F60D175"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05061DA"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r w:rsidRPr="00514245">
        <w:rPr>
          <w:rFonts w:ascii="Times New Roman" w:eastAsia="Times New Roman" w:hAnsi="Times New Roman"/>
          <w:snapToGrid w:val="0"/>
          <w:lang w:val="lt-LT" w:eastAsia="en-US" w:bidi="ar-SA"/>
        </w:rPr>
        <w:t>Receptinis vaistinis preparatas.</w:t>
      </w:r>
    </w:p>
    <w:p w14:paraId="46C6B4B2" w14:textId="77777777" w:rsidR="00E0107B" w:rsidRPr="00514245" w:rsidRDefault="00E0107B" w:rsidP="00E0107B">
      <w:pPr>
        <w:widowControl w:val="0"/>
        <w:autoSpaceDE w:val="0"/>
        <w:autoSpaceDN w:val="0"/>
        <w:adjustRightInd w:val="0"/>
        <w:spacing w:after="0" w:line="240" w:lineRule="auto"/>
        <w:rPr>
          <w:rFonts w:ascii="Times New Roman" w:hAnsi="Times New Roman"/>
          <w:color w:val="030303"/>
          <w:lang w:val="lt-LT"/>
        </w:rPr>
      </w:pPr>
    </w:p>
    <w:p w14:paraId="500EFBF6" w14:textId="77777777" w:rsidR="00E0107B" w:rsidRPr="00514245" w:rsidRDefault="00E0107B" w:rsidP="00E0107B">
      <w:pPr>
        <w:spacing w:after="0" w:line="240" w:lineRule="auto"/>
        <w:rPr>
          <w:rFonts w:ascii="Times New Roman" w:hAnsi="Times New Roman"/>
          <w:color w:val="030303"/>
          <w:lang w:val="lt-LT"/>
        </w:rPr>
      </w:pPr>
      <w:r w:rsidRPr="00514245">
        <w:rPr>
          <w:rFonts w:ascii="Times New Roman" w:hAnsi="Times New Roman"/>
          <w:color w:val="030303"/>
          <w:lang w:val="lt-LT"/>
        </w:rPr>
        <w:br w:type="page"/>
      </w:r>
    </w:p>
    <w:p w14:paraId="69E4EA66" w14:textId="77777777" w:rsidR="00E0107B" w:rsidRPr="00514245" w:rsidRDefault="00E0107B" w:rsidP="00E0107B">
      <w:pPr>
        <w:tabs>
          <w:tab w:val="left" w:pos="567"/>
        </w:tabs>
        <w:spacing w:after="0" w:line="260" w:lineRule="exact"/>
        <w:ind w:right="566"/>
        <w:rPr>
          <w:rFonts w:ascii="Times New Roman" w:eastAsia="Times New Roman" w:hAnsi="Times New Roman"/>
          <w:snapToGrid w:val="0"/>
          <w:lang w:val="lt-LT" w:eastAsia="en-US" w:bidi="ar-SA"/>
        </w:rPr>
      </w:pPr>
    </w:p>
    <w:p w14:paraId="0E0149B0"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274975D"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DDFADFE"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922AFA1"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2B8A2D5"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04B9C39"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FB4FE31"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D885C37"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3468F96"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4FF2CA8"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C610799"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16D258B"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5345F85F"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E563B2A"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D2899B8"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99DEB0D"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A4F4F4D" w14:textId="77777777" w:rsidR="00E0107B" w:rsidRPr="00514245" w:rsidRDefault="00E0107B" w:rsidP="00E0107B">
      <w:pPr>
        <w:tabs>
          <w:tab w:val="left" w:pos="567"/>
        </w:tabs>
        <w:spacing w:after="0" w:line="260" w:lineRule="exact"/>
        <w:outlineLvl w:val="0"/>
        <w:rPr>
          <w:rFonts w:ascii="Times New Roman" w:eastAsia="Times New Roman" w:hAnsi="Times New Roman"/>
          <w:b/>
          <w:snapToGrid w:val="0"/>
          <w:lang w:val="lt-LT" w:eastAsia="en-US" w:bidi="ar-SA"/>
        </w:rPr>
      </w:pPr>
    </w:p>
    <w:p w14:paraId="7FA2274B" w14:textId="77777777" w:rsidR="00E0107B" w:rsidRPr="00514245" w:rsidRDefault="00E0107B" w:rsidP="00E0107B">
      <w:pPr>
        <w:tabs>
          <w:tab w:val="left" w:pos="567"/>
        </w:tabs>
        <w:spacing w:after="0" w:line="260" w:lineRule="exact"/>
        <w:outlineLvl w:val="0"/>
        <w:rPr>
          <w:rFonts w:ascii="Times New Roman" w:eastAsia="Times New Roman" w:hAnsi="Times New Roman"/>
          <w:b/>
          <w:snapToGrid w:val="0"/>
          <w:lang w:val="lt-LT" w:eastAsia="en-US" w:bidi="ar-SA"/>
        </w:rPr>
      </w:pPr>
    </w:p>
    <w:p w14:paraId="0ACA5EC9" w14:textId="77777777" w:rsidR="00E0107B" w:rsidRPr="00514245" w:rsidRDefault="00E0107B" w:rsidP="00E0107B">
      <w:pPr>
        <w:tabs>
          <w:tab w:val="left" w:pos="567"/>
        </w:tabs>
        <w:spacing w:after="0" w:line="260" w:lineRule="exact"/>
        <w:outlineLvl w:val="0"/>
        <w:rPr>
          <w:rFonts w:ascii="Times New Roman" w:eastAsia="Times New Roman" w:hAnsi="Times New Roman"/>
          <w:b/>
          <w:snapToGrid w:val="0"/>
          <w:lang w:val="lt-LT" w:eastAsia="en-US" w:bidi="ar-SA"/>
        </w:rPr>
      </w:pPr>
    </w:p>
    <w:p w14:paraId="10A30649" w14:textId="77777777" w:rsidR="00E0107B" w:rsidRPr="00514245" w:rsidRDefault="00E0107B" w:rsidP="00E0107B">
      <w:pPr>
        <w:tabs>
          <w:tab w:val="left" w:pos="567"/>
        </w:tabs>
        <w:spacing w:after="0" w:line="260" w:lineRule="exact"/>
        <w:outlineLvl w:val="0"/>
        <w:rPr>
          <w:rFonts w:ascii="Times New Roman" w:eastAsia="Times New Roman" w:hAnsi="Times New Roman"/>
          <w:b/>
          <w:snapToGrid w:val="0"/>
          <w:lang w:val="lt-LT" w:eastAsia="en-US" w:bidi="ar-SA"/>
        </w:rPr>
      </w:pPr>
    </w:p>
    <w:p w14:paraId="5934DA03" w14:textId="77777777" w:rsidR="00E0107B" w:rsidRPr="00514245" w:rsidRDefault="00E0107B" w:rsidP="00E0107B">
      <w:pPr>
        <w:tabs>
          <w:tab w:val="left" w:pos="567"/>
        </w:tabs>
        <w:spacing w:after="0" w:line="260" w:lineRule="exact"/>
        <w:outlineLvl w:val="0"/>
        <w:rPr>
          <w:rFonts w:ascii="Times New Roman" w:eastAsia="Times New Roman" w:hAnsi="Times New Roman"/>
          <w:b/>
          <w:snapToGrid w:val="0"/>
          <w:lang w:val="lt-LT" w:eastAsia="en-US" w:bidi="ar-SA"/>
        </w:rPr>
      </w:pPr>
    </w:p>
    <w:p w14:paraId="5B9C8778" w14:textId="77777777" w:rsidR="00E0107B" w:rsidRPr="00514245" w:rsidRDefault="00E0107B" w:rsidP="00E0107B">
      <w:pPr>
        <w:tabs>
          <w:tab w:val="left" w:pos="567"/>
        </w:tabs>
        <w:spacing w:after="0" w:line="260" w:lineRule="exact"/>
        <w:outlineLvl w:val="0"/>
        <w:rPr>
          <w:rFonts w:ascii="Times New Roman" w:eastAsia="Times New Roman" w:hAnsi="Times New Roman"/>
          <w:b/>
          <w:snapToGrid w:val="0"/>
          <w:lang w:val="lt-LT" w:eastAsia="en-US" w:bidi="ar-SA"/>
        </w:rPr>
      </w:pPr>
    </w:p>
    <w:p w14:paraId="1F05F364" w14:textId="77777777" w:rsidR="00E0107B" w:rsidRPr="00514245" w:rsidRDefault="00E0107B" w:rsidP="00E0107B">
      <w:pPr>
        <w:keepNext/>
        <w:tabs>
          <w:tab w:val="left" w:pos="567"/>
        </w:tabs>
        <w:spacing w:after="0" w:line="240" w:lineRule="auto"/>
        <w:jc w:val="center"/>
        <w:outlineLvl w:val="1"/>
        <w:rPr>
          <w:rFonts w:ascii="Times New Roman" w:eastAsia="Times New Roman" w:hAnsi="Times New Roman"/>
          <w:b/>
          <w:snapToGrid w:val="0"/>
          <w:lang w:val="lt-LT" w:bidi="ar-SA"/>
        </w:rPr>
      </w:pPr>
      <w:r w:rsidRPr="00514245">
        <w:rPr>
          <w:rFonts w:ascii="Times New Roman" w:eastAsia="Times New Roman" w:hAnsi="Times New Roman"/>
          <w:b/>
          <w:bCs/>
          <w:iCs/>
          <w:snapToGrid w:val="0"/>
          <w:lang w:val="lt-LT" w:bidi="ar-SA"/>
        </w:rPr>
        <w:t>III PRIEDAS</w:t>
      </w:r>
    </w:p>
    <w:p w14:paraId="42571347"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18B5D5E" w14:textId="77777777" w:rsidR="00E0107B" w:rsidRPr="00514245" w:rsidRDefault="00E0107B" w:rsidP="00E0107B">
      <w:pPr>
        <w:keepNext/>
        <w:tabs>
          <w:tab w:val="left" w:pos="567"/>
        </w:tabs>
        <w:spacing w:after="0" w:line="240" w:lineRule="auto"/>
        <w:jc w:val="center"/>
        <w:outlineLvl w:val="1"/>
        <w:rPr>
          <w:rFonts w:ascii="Times New Roman" w:eastAsia="Times New Roman" w:hAnsi="Times New Roman"/>
          <w:b/>
          <w:snapToGrid w:val="0"/>
          <w:lang w:val="lt-LT" w:bidi="ar-SA"/>
        </w:rPr>
      </w:pPr>
      <w:r w:rsidRPr="00514245">
        <w:rPr>
          <w:rFonts w:ascii="Times New Roman" w:eastAsia="Times New Roman" w:hAnsi="Times New Roman"/>
          <w:b/>
          <w:bCs/>
          <w:iCs/>
          <w:snapToGrid w:val="0"/>
          <w:lang w:val="lt-LT" w:bidi="ar-SA"/>
        </w:rPr>
        <w:t>ŽENKLINIMAS IR PAKUOTĖS LAPELIS</w:t>
      </w:r>
    </w:p>
    <w:p w14:paraId="7A899911"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r w:rsidRPr="00514245">
        <w:rPr>
          <w:rFonts w:ascii="Times New Roman" w:eastAsia="Times New Roman" w:hAnsi="Times New Roman"/>
          <w:snapToGrid w:val="0"/>
          <w:lang w:val="lt-LT" w:eastAsia="en-US" w:bidi="ar-SA"/>
        </w:rPr>
        <w:br w:type="page"/>
      </w:r>
    </w:p>
    <w:p w14:paraId="0BC20AAE"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E205F19"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AED0A2A"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2ABBD0E"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180AD15"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07CE727"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2BCABFF"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1B1F0D9C"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1159E774"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1110616"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52355A1"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798E0F2"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EFA8D7D"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D12CBB4"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451D8352"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1843ACD8"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74A9BF4"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044DD668"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9270383"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28BE871E"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30524B2A"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01A45C0"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6AF2B921" w14:textId="77777777" w:rsidR="00E0107B" w:rsidRPr="00514245" w:rsidRDefault="00E0107B" w:rsidP="00E0107B">
      <w:pPr>
        <w:tabs>
          <w:tab w:val="left" w:pos="567"/>
        </w:tabs>
        <w:spacing w:after="0" w:line="260" w:lineRule="exact"/>
        <w:rPr>
          <w:rFonts w:ascii="Times New Roman" w:eastAsia="Times New Roman" w:hAnsi="Times New Roman"/>
          <w:snapToGrid w:val="0"/>
          <w:lang w:val="lt-LT" w:eastAsia="en-US" w:bidi="ar-SA"/>
        </w:rPr>
      </w:pPr>
    </w:p>
    <w:p w14:paraId="7CB513C8" w14:textId="77777777" w:rsidR="00E0107B" w:rsidRPr="00514245" w:rsidRDefault="00E0107B" w:rsidP="00E0107B">
      <w:pPr>
        <w:keepNext/>
        <w:tabs>
          <w:tab w:val="left" w:pos="567"/>
        </w:tabs>
        <w:spacing w:after="0" w:line="240" w:lineRule="auto"/>
        <w:jc w:val="center"/>
        <w:outlineLvl w:val="1"/>
        <w:rPr>
          <w:rFonts w:ascii="Times New Roman" w:eastAsia="Times New Roman" w:hAnsi="Times New Roman"/>
          <w:b/>
          <w:snapToGrid w:val="0"/>
          <w:lang w:val="lt-LT" w:bidi="ar-SA"/>
        </w:rPr>
      </w:pPr>
      <w:r w:rsidRPr="00514245">
        <w:rPr>
          <w:rFonts w:ascii="Times New Roman" w:eastAsia="Times New Roman" w:hAnsi="Times New Roman"/>
          <w:b/>
          <w:bCs/>
          <w:iCs/>
          <w:snapToGrid w:val="0"/>
          <w:lang w:val="lt-LT" w:bidi="ar-SA"/>
        </w:rPr>
        <w:t>A. ŽENKLINIMAS</w:t>
      </w:r>
    </w:p>
    <w:p w14:paraId="49C4D5F8"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val="lt-LT" w:bidi="ar-SA"/>
        </w:rPr>
      </w:pPr>
      <w:r w:rsidRPr="00514245">
        <w:rPr>
          <w:rFonts w:ascii="Times New Roman" w:eastAsia="Times New Roman" w:hAnsi="Times New Roman"/>
          <w:snapToGrid w:val="0"/>
          <w:lang w:val="lt-LT" w:eastAsia="en-US" w:bidi="ar-SA"/>
        </w:rPr>
        <w:br w:type="page"/>
      </w:r>
      <w:r w:rsidRPr="00514245">
        <w:rPr>
          <w:rFonts w:ascii="Times New Roman" w:eastAsia="Times New Roman" w:hAnsi="Times New Roman"/>
          <w:b/>
          <w:lang w:val="lt-LT" w:bidi="ar-SA"/>
        </w:rPr>
        <w:lastRenderedPageBreak/>
        <w:t>INFORMACIJA ANT IŠORINĖS PAKUOTĖS</w:t>
      </w:r>
    </w:p>
    <w:p w14:paraId="1F515DBE"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val="lt-LT" w:bidi="ar-SA"/>
        </w:rPr>
      </w:pPr>
    </w:p>
    <w:p w14:paraId="0F8602EA" w14:textId="156660FB" w:rsidR="00E0107B" w:rsidRPr="001231F2" w:rsidRDefault="00C63E70"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val="lt-LT" w:bidi="ar-SA"/>
        </w:rPr>
      </w:pPr>
      <w:r w:rsidRPr="00514245">
        <w:rPr>
          <w:rFonts w:ascii="Times New Roman" w:eastAsia="Times New Roman" w:hAnsi="Times New Roman"/>
          <w:b/>
          <w:lang w:val="lt-LT" w:bidi="ar-SA"/>
        </w:rPr>
        <w:t xml:space="preserve">IŠORINĖ </w:t>
      </w:r>
      <w:r w:rsidR="008C4E65" w:rsidRPr="00514245">
        <w:rPr>
          <w:rFonts w:ascii="Times New Roman" w:eastAsia="Times New Roman" w:hAnsi="Times New Roman"/>
          <w:b/>
          <w:lang w:val="lt-LT" w:bidi="ar-SA"/>
        </w:rPr>
        <w:t>KARTONO</w:t>
      </w:r>
      <w:r w:rsidR="00E0107B" w:rsidRPr="00514245">
        <w:rPr>
          <w:rFonts w:ascii="Times New Roman" w:eastAsia="Times New Roman" w:hAnsi="Times New Roman"/>
          <w:b/>
          <w:lang w:val="lt-LT" w:bidi="ar-SA"/>
        </w:rPr>
        <w:t xml:space="preserve"> DĖŽUTĖ</w:t>
      </w:r>
      <w:r w:rsidR="001231F2">
        <w:rPr>
          <w:rFonts w:ascii="Times New Roman" w:eastAsia="Times New Roman" w:hAnsi="Times New Roman"/>
          <w:b/>
          <w:lang w:val="lt-LT" w:bidi="ar-SA"/>
        </w:rPr>
        <w:t xml:space="preserve"> </w:t>
      </w:r>
      <w:r w:rsidR="001231F2" w:rsidRPr="001231F2">
        <w:rPr>
          <w:rFonts w:ascii="Times New Roman" w:eastAsia="Times New Roman" w:hAnsi="Times New Roman"/>
          <w:b/>
          <w:lang w:val="lt-LT" w:eastAsia="en-US" w:bidi="ar-SA"/>
        </w:rPr>
        <w:t xml:space="preserve">visas / </w:t>
      </w:r>
      <w:r w:rsidR="001231F2" w:rsidRPr="00B45A6E">
        <w:rPr>
          <w:rFonts w:ascii="Times New Roman" w:eastAsia="Times New Roman" w:hAnsi="Times New Roman"/>
          <w:b/>
          <w:i/>
          <w:iCs/>
          <w:highlight w:val="darkGray"/>
          <w:lang w:val="lt-LT" w:eastAsia="en-US" w:bidi="ar-SA"/>
        </w:rPr>
        <w:t>sutrumpintas</w:t>
      </w:r>
      <w:r w:rsidR="001231F2" w:rsidRPr="001231F2">
        <w:rPr>
          <w:rFonts w:ascii="Times New Roman" w:eastAsia="Times New Roman" w:hAnsi="Times New Roman"/>
          <w:b/>
          <w:lang w:val="lt-LT" w:eastAsia="en-US" w:bidi="ar-SA"/>
        </w:rPr>
        <w:t xml:space="preserve"> ES suderintas ženklinimo tekstas</w:t>
      </w:r>
    </w:p>
    <w:p w14:paraId="232A8A06" w14:textId="77777777" w:rsidR="00E0107B" w:rsidRPr="00514245"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val="lt-LT" w:bidi="ar-SA"/>
        </w:rPr>
      </w:pPr>
    </w:p>
    <w:p w14:paraId="31FDD8CE" w14:textId="77777777" w:rsidR="00E0107B" w:rsidRPr="00514245"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val="lt-LT" w:bidi="ar-SA"/>
        </w:rPr>
      </w:pPr>
    </w:p>
    <w:p w14:paraId="72731B64"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1.</w:t>
      </w:r>
      <w:r w:rsidRPr="00514245">
        <w:rPr>
          <w:rFonts w:ascii="Times New Roman" w:eastAsia="Times New Roman" w:hAnsi="Times New Roman"/>
          <w:b/>
          <w:lang w:val="lt-LT" w:bidi="ar-SA"/>
        </w:rPr>
        <w:tab/>
        <w:t>VAISTINIO PREPARATO PAVADINIMAS</w:t>
      </w:r>
    </w:p>
    <w:p w14:paraId="44EED340"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5C3FEFC4" w14:textId="77777777" w:rsidR="001231F2" w:rsidRPr="00514245" w:rsidRDefault="001231F2" w:rsidP="001231F2">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lang w:val="lt-LT"/>
        </w:rPr>
        <w:t>Vortioxetine Zentiva 5 mg plėvele dengtos tabletės</w:t>
      </w:r>
    </w:p>
    <w:p w14:paraId="1BDE28BE" w14:textId="77777777" w:rsidR="001231F2" w:rsidRPr="001231F2" w:rsidRDefault="001231F2" w:rsidP="001231F2">
      <w:pPr>
        <w:widowControl w:val="0"/>
        <w:autoSpaceDE w:val="0"/>
        <w:autoSpaceDN w:val="0"/>
        <w:adjustRightInd w:val="0"/>
        <w:spacing w:after="0" w:line="240" w:lineRule="auto"/>
        <w:rPr>
          <w:rFonts w:ascii="Times New Roman" w:eastAsia="Times New Roman" w:hAnsi="Times New Roman"/>
          <w:highlight w:val="lightGray"/>
          <w:lang w:val="lt-LT"/>
        </w:rPr>
      </w:pPr>
      <w:r w:rsidRPr="001231F2">
        <w:rPr>
          <w:rFonts w:ascii="Times New Roman" w:hAnsi="Times New Roman"/>
          <w:highlight w:val="lightGray"/>
          <w:lang w:val="lt-LT"/>
        </w:rPr>
        <w:t>Vortioxetine Zentiva 10 mg plėvele dengtos tabletės</w:t>
      </w:r>
    </w:p>
    <w:p w14:paraId="06B572AC" w14:textId="59982C99" w:rsidR="00BF0457" w:rsidRPr="00514245" w:rsidRDefault="001231F2" w:rsidP="00BF0457">
      <w:pPr>
        <w:tabs>
          <w:tab w:val="left" w:pos="8505"/>
        </w:tabs>
        <w:spacing w:after="0" w:line="240" w:lineRule="auto"/>
        <w:jc w:val="both"/>
        <w:rPr>
          <w:rFonts w:ascii="Times New Roman" w:eastAsia="Times New Roman" w:hAnsi="Times New Roman"/>
          <w:i/>
          <w:iCs/>
          <w:lang w:val="lt-LT" w:bidi="ar-SA"/>
        </w:rPr>
      </w:pPr>
      <w:proofErr w:type="spellStart"/>
      <w:r>
        <w:rPr>
          <w:rFonts w:ascii="Times New Roman" w:hAnsi="Times New Roman"/>
          <w:i/>
          <w:iCs/>
          <w:lang w:val="lt-LT"/>
        </w:rPr>
        <w:t>vortioxetinum</w:t>
      </w:r>
      <w:proofErr w:type="spellEnd"/>
    </w:p>
    <w:p w14:paraId="19F65795" w14:textId="77777777" w:rsidR="00BA0F1B" w:rsidRPr="00514245" w:rsidRDefault="00BA0F1B" w:rsidP="00E0107B">
      <w:pPr>
        <w:tabs>
          <w:tab w:val="left" w:pos="8505"/>
        </w:tabs>
        <w:spacing w:after="0" w:line="240" w:lineRule="auto"/>
        <w:jc w:val="both"/>
        <w:rPr>
          <w:rFonts w:ascii="Times New Roman" w:eastAsia="Times New Roman" w:hAnsi="Times New Roman"/>
          <w:lang w:val="lt-LT" w:bidi="ar-SA"/>
        </w:rPr>
      </w:pPr>
    </w:p>
    <w:p w14:paraId="217B7825" w14:textId="77777777" w:rsidR="00E0107B" w:rsidRPr="00514245" w:rsidRDefault="00E0107B" w:rsidP="00E0107B">
      <w:pPr>
        <w:tabs>
          <w:tab w:val="left" w:pos="8505"/>
        </w:tabs>
        <w:spacing w:after="0" w:line="240" w:lineRule="auto"/>
        <w:jc w:val="both"/>
        <w:rPr>
          <w:rFonts w:ascii="Times New Roman" w:eastAsia="Times New Roman" w:hAnsi="Times New Roman"/>
          <w:lang w:val="lt-LT" w:bidi="ar-SA"/>
        </w:rPr>
      </w:pPr>
    </w:p>
    <w:p w14:paraId="18BCDC04"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2.</w:t>
      </w:r>
      <w:r w:rsidRPr="00514245">
        <w:rPr>
          <w:rFonts w:ascii="Times New Roman" w:eastAsia="Times New Roman" w:hAnsi="Times New Roman"/>
          <w:b/>
          <w:snapToGrid w:val="0"/>
          <w:lang w:val="lt-LT" w:eastAsia="en-US" w:bidi="ar-SA"/>
        </w:rPr>
        <w:tab/>
        <w:t>VEIKLIOJI (-IOS) MEDŽIAGA (-OS) IR JOS (-Ų) KIEKIS (-IAI)</w:t>
      </w:r>
    </w:p>
    <w:p w14:paraId="20513E40"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61BB53FA" w14:textId="282693F3" w:rsidR="00E0107B" w:rsidRDefault="00B45A6E" w:rsidP="00E0107B">
      <w:pPr>
        <w:tabs>
          <w:tab w:val="left" w:pos="8505"/>
        </w:tabs>
        <w:spacing w:after="0" w:line="240" w:lineRule="auto"/>
        <w:jc w:val="both"/>
        <w:rPr>
          <w:rFonts w:ascii="Times New Roman" w:hAnsi="Times New Roman"/>
          <w:lang w:val="lt-LT"/>
        </w:rPr>
      </w:pPr>
      <w:r w:rsidRPr="00514245">
        <w:rPr>
          <w:rFonts w:ascii="Times New Roman" w:hAnsi="Times New Roman"/>
          <w:lang w:val="lt-LT"/>
        </w:rPr>
        <w:t xml:space="preserve">Kiekvienoje </w:t>
      </w:r>
      <w:r w:rsidRPr="00B45A6E">
        <w:rPr>
          <w:rFonts w:ascii="Times New Roman" w:hAnsi="Times New Roman"/>
          <w:i/>
          <w:iCs/>
          <w:highlight w:val="darkGray"/>
          <w:lang w:val="lt-LT"/>
        </w:rPr>
        <w:t>plėvele</w:t>
      </w:r>
      <w:r w:rsidRPr="00514245">
        <w:rPr>
          <w:rFonts w:ascii="Times New Roman" w:hAnsi="Times New Roman"/>
          <w:lang w:val="lt-LT"/>
        </w:rPr>
        <w:t xml:space="preserve"> dengtoje tabletėje yra </w:t>
      </w:r>
      <w:r>
        <w:rPr>
          <w:rFonts w:ascii="Times New Roman" w:hAnsi="Times New Roman"/>
          <w:lang w:val="lt-LT"/>
        </w:rPr>
        <w:t xml:space="preserve">5 mg </w:t>
      </w:r>
      <w:proofErr w:type="spellStart"/>
      <w:r w:rsidRPr="00514245">
        <w:rPr>
          <w:rFonts w:ascii="Times New Roman" w:hAnsi="Times New Roman"/>
          <w:lang w:val="lt-LT"/>
        </w:rPr>
        <w:t>vortioksetino</w:t>
      </w:r>
      <w:proofErr w:type="spellEnd"/>
      <w:r w:rsidRPr="00514245">
        <w:rPr>
          <w:rFonts w:ascii="Times New Roman" w:hAnsi="Times New Roman"/>
          <w:lang w:val="lt-LT"/>
        </w:rPr>
        <w:t xml:space="preserve"> </w:t>
      </w:r>
      <w:r>
        <w:rPr>
          <w:rFonts w:ascii="Times New Roman" w:hAnsi="Times New Roman"/>
          <w:lang w:val="lt-LT"/>
        </w:rPr>
        <w:t>(</w:t>
      </w:r>
      <w:proofErr w:type="spellStart"/>
      <w:r w:rsidRPr="00514245">
        <w:rPr>
          <w:rFonts w:ascii="Times New Roman" w:hAnsi="Times New Roman"/>
          <w:lang w:val="lt-LT"/>
        </w:rPr>
        <w:t>hidrobromido</w:t>
      </w:r>
      <w:proofErr w:type="spellEnd"/>
      <w:r>
        <w:rPr>
          <w:rFonts w:ascii="Times New Roman" w:hAnsi="Times New Roman"/>
          <w:lang w:val="lt-LT"/>
        </w:rPr>
        <w:t xml:space="preserve"> pavidalu)</w:t>
      </w:r>
      <w:r w:rsidR="00762F66">
        <w:rPr>
          <w:rFonts w:ascii="Times New Roman" w:hAnsi="Times New Roman"/>
          <w:lang w:val="lt-LT"/>
        </w:rPr>
        <w:t>.</w:t>
      </w:r>
    </w:p>
    <w:p w14:paraId="248C64D3" w14:textId="6B068A4C" w:rsidR="00B45A6E" w:rsidRPr="00B45A6E" w:rsidRDefault="00B45A6E" w:rsidP="00B45A6E">
      <w:pPr>
        <w:tabs>
          <w:tab w:val="left" w:pos="8505"/>
        </w:tabs>
        <w:spacing w:after="0" w:line="240" w:lineRule="auto"/>
        <w:jc w:val="both"/>
        <w:rPr>
          <w:rFonts w:ascii="Times New Roman" w:eastAsia="Times New Roman" w:hAnsi="Times New Roman"/>
          <w:b/>
          <w:bCs/>
          <w:highlight w:val="lightGray"/>
          <w:lang w:val="lt-LT" w:bidi="ar-SA"/>
        </w:rPr>
      </w:pPr>
      <w:r w:rsidRPr="00B45A6E">
        <w:rPr>
          <w:rFonts w:ascii="Times New Roman" w:hAnsi="Times New Roman"/>
          <w:highlight w:val="lightGray"/>
          <w:lang w:val="lt-LT"/>
        </w:rPr>
        <w:t xml:space="preserve">Kiekvienoje </w:t>
      </w:r>
      <w:r w:rsidRPr="00B45A6E">
        <w:rPr>
          <w:rFonts w:ascii="Times New Roman" w:hAnsi="Times New Roman"/>
          <w:i/>
          <w:iCs/>
          <w:highlight w:val="darkGray"/>
          <w:lang w:val="lt-LT"/>
        </w:rPr>
        <w:t>plėvele</w:t>
      </w:r>
      <w:r w:rsidRPr="00B45A6E">
        <w:rPr>
          <w:rFonts w:ascii="Times New Roman" w:hAnsi="Times New Roman"/>
          <w:highlight w:val="darkGray"/>
          <w:lang w:val="lt-LT"/>
        </w:rPr>
        <w:t xml:space="preserve"> </w:t>
      </w:r>
      <w:r w:rsidRPr="00B45A6E">
        <w:rPr>
          <w:rFonts w:ascii="Times New Roman" w:hAnsi="Times New Roman"/>
          <w:highlight w:val="lightGray"/>
          <w:lang w:val="lt-LT"/>
        </w:rPr>
        <w:t xml:space="preserve">dengtoje tabletėje yra 10 mg </w:t>
      </w:r>
      <w:proofErr w:type="spellStart"/>
      <w:r w:rsidRPr="00B45A6E">
        <w:rPr>
          <w:rFonts w:ascii="Times New Roman" w:hAnsi="Times New Roman"/>
          <w:highlight w:val="lightGray"/>
          <w:lang w:val="lt-LT"/>
        </w:rPr>
        <w:t>vortioksetino</w:t>
      </w:r>
      <w:proofErr w:type="spellEnd"/>
      <w:r w:rsidRPr="00B45A6E">
        <w:rPr>
          <w:rFonts w:ascii="Times New Roman" w:hAnsi="Times New Roman"/>
          <w:highlight w:val="lightGray"/>
          <w:lang w:val="lt-LT"/>
        </w:rPr>
        <w:t xml:space="preserve"> (</w:t>
      </w:r>
      <w:proofErr w:type="spellStart"/>
      <w:r w:rsidRPr="00B45A6E">
        <w:rPr>
          <w:rFonts w:ascii="Times New Roman" w:hAnsi="Times New Roman"/>
          <w:highlight w:val="lightGray"/>
          <w:lang w:val="lt-LT"/>
        </w:rPr>
        <w:t>hidrobromido</w:t>
      </w:r>
      <w:proofErr w:type="spellEnd"/>
      <w:r w:rsidRPr="00B45A6E">
        <w:rPr>
          <w:rFonts w:ascii="Times New Roman" w:hAnsi="Times New Roman"/>
          <w:highlight w:val="lightGray"/>
          <w:lang w:val="lt-LT"/>
        </w:rPr>
        <w:t xml:space="preserve"> pavidalu)</w:t>
      </w:r>
      <w:r w:rsidR="00762F66">
        <w:rPr>
          <w:rFonts w:ascii="Times New Roman" w:hAnsi="Times New Roman"/>
          <w:highlight w:val="lightGray"/>
          <w:lang w:val="lt-LT"/>
        </w:rPr>
        <w:t>.</w:t>
      </w:r>
    </w:p>
    <w:p w14:paraId="03D3213D" w14:textId="77777777" w:rsidR="00B45A6E" w:rsidRPr="00514245" w:rsidRDefault="00B45A6E" w:rsidP="00E0107B">
      <w:pPr>
        <w:tabs>
          <w:tab w:val="left" w:pos="8505"/>
        </w:tabs>
        <w:spacing w:after="0" w:line="240" w:lineRule="auto"/>
        <w:jc w:val="both"/>
        <w:rPr>
          <w:rFonts w:ascii="Times New Roman" w:eastAsia="Times New Roman" w:hAnsi="Times New Roman"/>
          <w:b/>
          <w:bCs/>
          <w:lang w:val="lt-LT" w:bidi="ar-SA"/>
        </w:rPr>
      </w:pPr>
    </w:p>
    <w:p w14:paraId="6A9186A5"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6BE74633"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3.</w:t>
      </w:r>
      <w:r w:rsidRPr="00514245">
        <w:rPr>
          <w:rFonts w:ascii="Times New Roman" w:eastAsia="Times New Roman" w:hAnsi="Times New Roman"/>
          <w:b/>
          <w:lang w:val="lt-LT" w:bidi="ar-SA"/>
        </w:rPr>
        <w:tab/>
        <w:t>PAGALBINIŲ MEDŽIAGŲ SĄRAŠAS</w:t>
      </w:r>
    </w:p>
    <w:p w14:paraId="227CFFB3" w14:textId="31FC9C00" w:rsidR="00E0107B" w:rsidRDefault="00E0107B" w:rsidP="00E0107B">
      <w:pPr>
        <w:tabs>
          <w:tab w:val="left" w:pos="8505"/>
        </w:tabs>
        <w:spacing w:after="0" w:line="240" w:lineRule="auto"/>
        <w:rPr>
          <w:rFonts w:ascii="Times New Roman" w:eastAsia="Times New Roman" w:hAnsi="Times New Roman"/>
          <w:b/>
          <w:bCs/>
          <w:lang w:val="lt-LT" w:bidi="ar-SA"/>
        </w:rPr>
      </w:pPr>
    </w:p>
    <w:p w14:paraId="1B9DC2E4" w14:textId="1DDA7356" w:rsidR="00B45A6E" w:rsidRPr="00662355" w:rsidRDefault="00B45A6E" w:rsidP="00E0107B">
      <w:pPr>
        <w:tabs>
          <w:tab w:val="left" w:pos="8505"/>
        </w:tabs>
        <w:spacing w:after="0" w:line="240" w:lineRule="auto"/>
        <w:rPr>
          <w:rFonts w:ascii="Times New Roman" w:eastAsia="Times New Roman" w:hAnsi="Times New Roman"/>
          <w:lang w:val="lt-LT" w:bidi="ar-SA"/>
        </w:rPr>
      </w:pPr>
      <w:r>
        <w:rPr>
          <w:rFonts w:ascii="Times New Roman" w:eastAsia="Times New Roman" w:hAnsi="Times New Roman"/>
          <w:highlight w:val="lightGray"/>
          <w:lang w:val="lt-LT" w:bidi="ar-SA"/>
        </w:rPr>
        <w:t>[</w:t>
      </w:r>
      <w:r w:rsidRPr="00B45A6E">
        <w:rPr>
          <w:rFonts w:ascii="Times New Roman" w:eastAsia="Times New Roman" w:hAnsi="Times New Roman"/>
          <w:highlight w:val="lightGray"/>
          <w:lang w:val="lt-LT" w:bidi="ar-SA"/>
        </w:rPr>
        <w:t xml:space="preserve">Tik Vortioxetine Zentiva </w:t>
      </w:r>
      <w:r w:rsidRPr="00662355">
        <w:rPr>
          <w:rFonts w:ascii="Times New Roman" w:eastAsia="Times New Roman" w:hAnsi="Times New Roman"/>
          <w:highlight w:val="lightGray"/>
          <w:lang w:val="lt-LT" w:bidi="ar-SA"/>
        </w:rPr>
        <w:t>5 mg]</w:t>
      </w:r>
    </w:p>
    <w:p w14:paraId="1940A28D" w14:textId="3CAB2A5B" w:rsidR="00B45A6E" w:rsidRPr="00B45A6E" w:rsidRDefault="00B45A6E" w:rsidP="00E0107B">
      <w:pPr>
        <w:tabs>
          <w:tab w:val="left" w:pos="8505"/>
        </w:tabs>
        <w:spacing w:after="0" w:line="240" w:lineRule="auto"/>
        <w:rPr>
          <w:rFonts w:ascii="Times New Roman" w:eastAsia="Times New Roman" w:hAnsi="Times New Roman"/>
          <w:i/>
          <w:iCs/>
          <w:lang w:val="lt-LT" w:bidi="ar-SA"/>
        </w:rPr>
      </w:pPr>
      <w:r w:rsidRPr="00662355">
        <w:rPr>
          <w:rFonts w:ascii="Times New Roman" w:eastAsia="Times New Roman" w:hAnsi="Times New Roman"/>
          <w:i/>
          <w:iCs/>
          <w:highlight w:val="lightGray"/>
          <w:lang w:val="lt-LT" w:bidi="ar-SA"/>
        </w:rPr>
        <w:t>Sud</w:t>
      </w:r>
      <w:r w:rsidRPr="00B45A6E">
        <w:rPr>
          <w:rFonts w:ascii="Times New Roman" w:eastAsia="Times New Roman" w:hAnsi="Times New Roman"/>
          <w:i/>
          <w:iCs/>
          <w:highlight w:val="lightGray"/>
          <w:lang w:val="lt-LT" w:bidi="ar-SA"/>
        </w:rPr>
        <w:t xml:space="preserve">ėtyje yra laktozės. </w:t>
      </w:r>
      <w:r w:rsidRPr="00B45A6E">
        <w:rPr>
          <w:rFonts w:ascii="Times New Roman" w:eastAsia="Times New Roman" w:hAnsi="Times New Roman"/>
          <w:i/>
          <w:iCs/>
          <w:highlight w:val="darkGray"/>
          <w:lang w:val="lt-LT" w:bidi="ar-SA"/>
        </w:rPr>
        <w:t>Žr. pakuotės lapelį.</w:t>
      </w:r>
    </w:p>
    <w:p w14:paraId="650E936E" w14:textId="77777777" w:rsidR="00186B20" w:rsidRDefault="00186B20" w:rsidP="00E0107B">
      <w:pPr>
        <w:tabs>
          <w:tab w:val="left" w:pos="8505"/>
        </w:tabs>
        <w:spacing w:after="0" w:line="240" w:lineRule="auto"/>
        <w:jc w:val="both"/>
        <w:rPr>
          <w:rFonts w:ascii="Times New Roman" w:eastAsia="Times New Roman" w:hAnsi="Times New Roman"/>
          <w:b/>
          <w:bCs/>
          <w:lang w:val="lt-LT" w:bidi="ar-SA"/>
        </w:rPr>
      </w:pPr>
    </w:p>
    <w:p w14:paraId="66894268" w14:textId="77777777" w:rsidR="00B45A6E" w:rsidRPr="00514245" w:rsidRDefault="00B45A6E" w:rsidP="00E0107B">
      <w:pPr>
        <w:tabs>
          <w:tab w:val="left" w:pos="8505"/>
        </w:tabs>
        <w:spacing w:after="0" w:line="240" w:lineRule="auto"/>
        <w:jc w:val="both"/>
        <w:rPr>
          <w:rFonts w:ascii="Times New Roman" w:eastAsia="Times New Roman" w:hAnsi="Times New Roman"/>
          <w:b/>
          <w:bCs/>
          <w:lang w:val="lt-LT" w:bidi="ar-SA"/>
        </w:rPr>
      </w:pPr>
    </w:p>
    <w:p w14:paraId="77872056" w14:textId="77777777" w:rsidR="00E0107B" w:rsidRPr="00514245"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 xml:space="preserve">4. </w:t>
      </w:r>
      <w:r w:rsidRPr="00514245">
        <w:rPr>
          <w:rFonts w:ascii="Times New Roman" w:eastAsia="Times New Roman" w:hAnsi="Times New Roman"/>
          <w:b/>
          <w:lang w:val="lt-LT" w:bidi="ar-SA"/>
        </w:rPr>
        <w:tab/>
        <w:t>FARMACINĖ FORMA IR KIEKIS PAKUOTĖJE</w:t>
      </w:r>
    </w:p>
    <w:p w14:paraId="15F087A5" w14:textId="77777777" w:rsidR="00E0107B" w:rsidRPr="00514245" w:rsidRDefault="00E0107B" w:rsidP="00E0107B">
      <w:pPr>
        <w:tabs>
          <w:tab w:val="left" w:pos="8505"/>
        </w:tabs>
        <w:spacing w:after="0" w:line="240" w:lineRule="auto"/>
        <w:jc w:val="both"/>
        <w:rPr>
          <w:rFonts w:ascii="Times New Roman" w:eastAsia="Times New Roman" w:hAnsi="Times New Roman"/>
          <w:lang w:val="lt-LT" w:bidi="ar-SA"/>
        </w:rPr>
      </w:pPr>
    </w:p>
    <w:p w14:paraId="479076EB" w14:textId="6215EF33" w:rsidR="00E0107B" w:rsidRPr="00514245" w:rsidRDefault="00B45A6E" w:rsidP="00E0107B">
      <w:pPr>
        <w:tabs>
          <w:tab w:val="left" w:pos="8505"/>
        </w:tabs>
        <w:autoSpaceDE w:val="0"/>
        <w:autoSpaceDN w:val="0"/>
        <w:adjustRightInd w:val="0"/>
        <w:spacing w:after="0" w:line="240" w:lineRule="auto"/>
        <w:rPr>
          <w:rFonts w:ascii="Times New Roman" w:eastAsia="Times New Roman" w:hAnsi="Times New Roman"/>
          <w:color w:val="000000"/>
          <w:lang w:val="lt-LT" w:bidi="ar-SA"/>
        </w:rPr>
      </w:pPr>
      <w:r>
        <w:rPr>
          <w:rFonts w:ascii="Times New Roman" w:eastAsia="Times New Roman" w:hAnsi="Times New Roman"/>
          <w:color w:val="000000"/>
          <w:highlight w:val="lightGray"/>
          <w:lang w:val="lt-LT" w:bidi="ar-SA"/>
        </w:rPr>
        <w:t>Plėvele dengta</w:t>
      </w:r>
      <w:r w:rsidR="00DB1657" w:rsidRPr="00514245">
        <w:rPr>
          <w:rFonts w:ascii="Times New Roman" w:eastAsia="Times New Roman" w:hAnsi="Times New Roman"/>
          <w:color w:val="000000"/>
          <w:highlight w:val="lightGray"/>
          <w:lang w:val="lt-LT" w:bidi="ar-SA"/>
        </w:rPr>
        <w:t xml:space="preserve"> tabletė</w:t>
      </w:r>
    </w:p>
    <w:p w14:paraId="0C2EF522" w14:textId="12929379" w:rsidR="00E0107B" w:rsidRPr="00514245"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val="lt-LT" w:bidi="ar-SA"/>
        </w:rPr>
      </w:pPr>
    </w:p>
    <w:p w14:paraId="062FBB7F" w14:textId="27E92247" w:rsidR="00DB1657" w:rsidRPr="00514245" w:rsidRDefault="00B45A6E" w:rsidP="00DB1657">
      <w:pPr>
        <w:tabs>
          <w:tab w:val="left" w:pos="8505"/>
        </w:tabs>
        <w:spacing w:after="0" w:line="240" w:lineRule="auto"/>
        <w:jc w:val="both"/>
        <w:rPr>
          <w:rFonts w:ascii="Times New Roman" w:eastAsia="Times New Roman" w:hAnsi="Times New Roman"/>
          <w:lang w:val="lt-LT" w:bidi="ar-SA"/>
        </w:rPr>
      </w:pPr>
      <w:r>
        <w:rPr>
          <w:rFonts w:ascii="Times New Roman" w:eastAsia="Times New Roman" w:hAnsi="Times New Roman"/>
          <w:lang w:val="lt-LT" w:bidi="ar-SA"/>
        </w:rPr>
        <w:t>14 </w:t>
      </w:r>
      <w:r w:rsidRPr="00B45A6E">
        <w:rPr>
          <w:rFonts w:ascii="Times New Roman" w:eastAsia="Times New Roman" w:hAnsi="Times New Roman"/>
          <w:i/>
          <w:iCs/>
          <w:highlight w:val="darkGray"/>
          <w:lang w:val="lt-LT" w:bidi="ar-SA"/>
        </w:rPr>
        <w:t>plėvele dengtų</w:t>
      </w:r>
      <w:r w:rsidR="00DB1657" w:rsidRPr="00514245">
        <w:rPr>
          <w:rFonts w:ascii="Times New Roman" w:eastAsia="Times New Roman" w:hAnsi="Times New Roman"/>
          <w:lang w:val="lt-LT" w:bidi="ar-SA"/>
        </w:rPr>
        <w:t xml:space="preserve"> tablečių</w:t>
      </w:r>
    </w:p>
    <w:p w14:paraId="7038A118" w14:textId="2501C001" w:rsidR="00DB1657" w:rsidRPr="00514245" w:rsidRDefault="00DB1657" w:rsidP="00DB1657">
      <w:pPr>
        <w:tabs>
          <w:tab w:val="left" w:pos="8505"/>
        </w:tabs>
        <w:spacing w:after="0" w:line="240" w:lineRule="auto"/>
        <w:jc w:val="both"/>
        <w:rPr>
          <w:rFonts w:ascii="Times New Roman" w:eastAsia="Times New Roman" w:hAnsi="Times New Roman"/>
          <w:highlight w:val="lightGray"/>
          <w:lang w:val="lt-LT" w:bidi="ar-SA"/>
        </w:rPr>
      </w:pPr>
      <w:r w:rsidRPr="00514245">
        <w:rPr>
          <w:rFonts w:ascii="Times New Roman" w:eastAsia="Times New Roman" w:hAnsi="Times New Roman"/>
          <w:highlight w:val="lightGray"/>
          <w:lang w:val="lt-LT" w:bidi="ar-SA"/>
        </w:rPr>
        <w:t>2</w:t>
      </w:r>
      <w:r w:rsidR="00B45A6E" w:rsidRPr="00B45A6E">
        <w:rPr>
          <w:rFonts w:ascii="Times New Roman" w:eastAsia="Times New Roman" w:hAnsi="Times New Roman"/>
          <w:highlight w:val="lightGray"/>
          <w:lang w:val="lt-LT" w:bidi="ar-SA"/>
        </w:rPr>
        <w:t>8</w:t>
      </w:r>
      <w:r w:rsidRPr="00514245">
        <w:rPr>
          <w:rFonts w:ascii="Times New Roman" w:eastAsia="Times New Roman" w:hAnsi="Times New Roman"/>
          <w:highlight w:val="lightGray"/>
          <w:lang w:val="lt-LT" w:bidi="ar-SA"/>
        </w:rPr>
        <w:t> </w:t>
      </w:r>
      <w:r w:rsidR="00B45A6E" w:rsidRPr="00B45A6E">
        <w:rPr>
          <w:rFonts w:ascii="Times New Roman" w:eastAsia="Times New Roman" w:hAnsi="Times New Roman"/>
          <w:i/>
          <w:iCs/>
          <w:highlight w:val="darkGray"/>
          <w:lang w:val="lt-LT" w:bidi="ar-SA"/>
        </w:rPr>
        <w:t>plėvele dengtos</w:t>
      </w:r>
      <w:r w:rsidR="00B45A6E" w:rsidRPr="00B45A6E">
        <w:rPr>
          <w:rFonts w:ascii="Times New Roman" w:eastAsia="Times New Roman" w:hAnsi="Times New Roman"/>
          <w:highlight w:val="darkGray"/>
          <w:lang w:val="lt-LT" w:bidi="ar-SA"/>
        </w:rPr>
        <w:t xml:space="preserve"> </w:t>
      </w:r>
      <w:r w:rsidR="00B45A6E">
        <w:rPr>
          <w:rFonts w:ascii="Times New Roman" w:eastAsia="Times New Roman" w:hAnsi="Times New Roman"/>
          <w:highlight w:val="lightGray"/>
          <w:lang w:val="lt-LT" w:bidi="ar-SA"/>
        </w:rPr>
        <w:t>tabletės</w:t>
      </w:r>
    </w:p>
    <w:p w14:paraId="75C7FE3E" w14:textId="3E9D4B51" w:rsidR="00B45A6E" w:rsidRPr="00514245" w:rsidRDefault="00B45A6E" w:rsidP="00B45A6E">
      <w:pPr>
        <w:tabs>
          <w:tab w:val="left" w:pos="8505"/>
        </w:tabs>
        <w:spacing w:after="0" w:line="240" w:lineRule="auto"/>
        <w:jc w:val="both"/>
        <w:rPr>
          <w:rFonts w:ascii="Times New Roman" w:eastAsia="Times New Roman" w:hAnsi="Times New Roman"/>
          <w:highlight w:val="lightGray"/>
          <w:lang w:val="lt-LT" w:bidi="ar-SA"/>
        </w:rPr>
      </w:pPr>
      <w:r w:rsidRPr="00B45A6E">
        <w:rPr>
          <w:rFonts w:ascii="Times New Roman" w:eastAsia="Times New Roman" w:hAnsi="Times New Roman"/>
          <w:highlight w:val="lightGray"/>
          <w:lang w:val="lt-LT" w:bidi="ar-SA"/>
        </w:rPr>
        <w:t>56</w:t>
      </w:r>
      <w:r w:rsidRPr="00514245">
        <w:rPr>
          <w:rFonts w:ascii="Times New Roman" w:eastAsia="Times New Roman" w:hAnsi="Times New Roman"/>
          <w:highlight w:val="lightGray"/>
          <w:lang w:val="lt-LT" w:bidi="ar-SA"/>
        </w:rPr>
        <w:t> </w:t>
      </w:r>
      <w:r w:rsidRPr="00B45A6E">
        <w:rPr>
          <w:rFonts w:ascii="Times New Roman" w:eastAsia="Times New Roman" w:hAnsi="Times New Roman"/>
          <w:i/>
          <w:iCs/>
          <w:highlight w:val="darkGray"/>
          <w:lang w:val="lt-LT" w:bidi="ar-SA"/>
        </w:rPr>
        <w:t>plėvele dengtos</w:t>
      </w:r>
      <w:r w:rsidRPr="00B45A6E">
        <w:rPr>
          <w:rFonts w:ascii="Times New Roman" w:eastAsia="Times New Roman" w:hAnsi="Times New Roman"/>
          <w:highlight w:val="darkGray"/>
          <w:lang w:val="lt-LT" w:bidi="ar-SA"/>
        </w:rPr>
        <w:t xml:space="preserve"> </w:t>
      </w:r>
      <w:r>
        <w:rPr>
          <w:rFonts w:ascii="Times New Roman" w:eastAsia="Times New Roman" w:hAnsi="Times New Roman"/>
          <w:highlight w:val="lightGray"/>
          <w:lang w:val="lt-LT" w:bidi="ar-SA"/>
        </w:rPr>
        <w:t>tabletės</w:t>
      </w:r>
    </w:p>
    <w:p w14:paraId="14717920" w14:textId="77EEF715" w:rsidR="00B45A6E" w:rsidRPr="00514245" w:rsidRDefault="00B45A6E" w:rsidP="00B45A6E">
      <w:pPr>
        <w:tabs>
          <w:tab w:val="left" w:pos="8505"/>
        </w:tabs>
        <w:spacing w:after="0" w:line="240" w:lineRule="auto"/>
        <w:jc w:val="both"/>
        <w:rPr>
          <w:rFonts w:ascii="Times New Roman" w:eastAsia="Times New Roman" w:hAnsi="Times New Roman"/>
          <w:highlight w:val="lightGray"/>
          <w:lang w:val="lt-LT" w:bidi="ar-SA"/>
        </w:rPr>
      </w:pPr>
      <w:r>
        <w:rPr>
          <w:rFonts w:ascii="Times New Roman" w:eastAsia="Times New Roman" w:hAnsi="Times New Roman"/>
          <w:highlight w:val="lightGray"/>
          <w:lang w:val="lt-LT" w:bidi="ar-SA"/>
        </w:rPr>
        <w:t>98</w:t>
      </w:r>
      <w:r w:rsidRPr="00514245">
        <w:rPr>
          <w:rFonts w:ascii="Times New Roman" w:eastAsia="Times New Roman" w:hAnsi="Times New Roman"/>
          <w:highlight w:val="lightGray"/>
          <w:lang w:val="lt-LT" w:bidi="ar-SA"/>
        </w:rPr>
        <w:t> </w:t>
      </w:r>
      <w:r w:rsidRPr="00B45A6E">
        <w:rPr>
          <w:rFonts w:ascii="Times New Roman" w:eastAsia="Times New Roman" w:hAnsi="Times New Roman"/>
          <w:i/>
          <w:iCs/>
          <w:highlight w:val="darkGray"/>
          <w:lang w:val="lt-LT" w:bidi="ar-SA"/>
        </w:rPr>
        <w:t>plėvele dengtos</w:t>
      </w:r>
      <w:r w:rsidRPr="00B45A6E">
        <w:rPr>
          <w:rFonts w:ascii="Times New Roman" w:eastAsia="Times New Roman" w:hAnsi="Times New Roman"/>
          <w:highlight w:val="darkGray"/>
          <w:lang w:val="lt-LT" w:bidi="ar-SA"/>
        </w:rPr>
        <w:t xml:space="preserve"> </w:t>
      </w:r>
      <w:r>
        <w:rPr>
          <w:rFonts w:ascii="Times New Roman" w:eastAsia="Times New Roman" w:hAnsi="Times New Roman"/>
          <w:highlight w:val="lightGray"/>
          <w:lang w:val="lt-LT" w:bidi="ar-SA"/>
        </w:rPr>
        <w:t>tabletės</w:t>
      </w:r>
    </w:p>
    <w:p w14:paraId="7B6E4E20" w14:textId="58D80718" w:rsidR="00BA0F1B" w:rsidRPr="00514245" w:rsidRDefault="00BA0F1B" w:rsidP="00E0107B">
      <w:pPr>
        <w:tabs>
          <w:tab w:val="left" w:pos="8505"/>
        </w:tabs>
        <w:spacing w:after="0" w:line="240" w:lineRule="auto"/>
        <w:jc w:val="both"/>
        <w:rPr>
          <w:rFonts w:ascii="Times New Roman" w:eastAsia="Times New Roman" w:hAnsi="Times New Roman"/>
          <w:b/>
          <w:bCs/>
          <w:lang w:val="lt-LT" w:bidi="ar-SA"/>
        </w:rPr>
      </w:pPr>
    </w:p>
    <w:p w14:paraId="729519A7" w14:textId="77777777" w:rsidR="00DB1657" w:rsidRPr="00514245" w:rsidRDefault="00DB1657" w:rsidP="00E0107B">
      <w:pPr>
        <w:tabs>
          <w:tab w:val="left" w:pos="8505"/>
        </w:tabs>
        <w:spacing w:after="0" w:line="240" w:lineRule="auto"/>
        <w:jc w:val="both"/>
        <w:rPr>
          <w:rFonts w:ascii="Times New Roman" w:eastAsia="Times New Roman" w:hAnsi="Times New Roman"/>
          <w:b/>
          <w:bCs/>
          <w:lang w:val="lt-LT" w:bidi="ar-SA"/>
        </w:rPr>
      </w:pPr>
    </w:p>
    <w:p w14:paraId="68737EDF"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5.</w:t>
      </w:r>
      <w:r w:rsidRPr="00514245">
        <w:rPr>
          <w:rFonts w:ascii="Times New Roman" w:eastAsia="Times New Roman" w:hAnsi="Times New Roman"/>
          <w:b/>
          <w:lang w:val="lt-LT" w:bidi="ar-SA"/>
        </w:rPr>
        <w:tab/>
        <w:t>VARTOJIMO METODAS IR BŪDAS (-AI)</w:t>
      </w:r>
    </w:p>
    <w:p w14:paraId="31D71FD5" w14:textId="77777777" w:rsidR="00E0107B" w:rsidRPr="00514245" w:rsidRDefault="00E0107B" w:rsidP="00E0107B">
      <w:pPr>
        <w:tabs>
          <w:tab w:val="left" w:pos="8505"/>
        </w:tabs>
        <w:spacing w:after="0" w:line="240" w:lineRule="auto"/>
        <w:rPr>
          <w:rFonts w:ascii="Times New Roman" w:eastAsia="Times New Roman" w:hAnsi="Times New Roman"/>
          <w:b/>
          <w:bCs/>
          <w:lang w:val="lt-LT" w:bidi="ar-SA"/>
        </w:rPr>
      </w:pPr>
    </w:p>
    <w:p w14:paraId="623E0C56" w14:textId="77777777" w:rsidR="00DB1657" w:rsidRPr="00B45A6E" w:rsidRDefault="00DB1657" w:rsidP="008C4E65">
      <w:pPr>
        <w:tabs>
          <w:tab w:val="left" w:pos="8505"/>
        </w:tabs>
        <w:autoSpaceDE w:val="0"/>
        <w:autoSpaceDN w:val="0"/>
        <w:adjustRightInd w:val="0"/>
        <w:spacing w:after="0" w:line="240" w:lineRule="auto"/>
        <w:rPr>
          <w:rFonts w:ascii="Times New Roman" w:eastAsia="Times New Roman" w:hAnsi="Times New Roman"/>
          <w:i/>
          <w:iCs/>
          <w:color w:val="000000"/>
          <w:lang w:val="lt-LT" w:bidi="ar-SA"/>
        </w:rPr>
      </w:pPr>
      <w:r w:rsidRPr="00B45A6E">
        <w:rPr>
          <w:rFonts w:ascii="Times New Roman" w:eastAsia="Times New Roman" w:hAnsi="Times New Roman"/>
          <w:i/>
          <w:iCs/>
          <w:color w:val="000000"/>
          <w:highlight w:val="darkGray"/>
          <w:lang w:val="lt-LT" w:bidi="ar-SA"/>
        </w:rPr>
        <w:t>Vartoti per burną.</w:t>
      </w:r>
      <w:r w:rsidRPr="00B45A6E">
        <w:rPr>
          <w:rFonts w:ascii="Times New Roman" w:eastAsia="Times New Roman" w:hAnsi="Times New Roman"/>
          <w:i/>
          <w:iCs/>
          <w:color w:val="000000"/>
          <w:lang w:val="lt-LT" w:bidi="ar-SA"/>
        </w:rPr>
        <w:t xml:space="preserve"> </w:t>
      </w:r>
    </w:p>
    <w:p w14:paraId="2E7AA4BA" w14:textId="77777777" w:rsidR="00DB1657" w:rsidRPr="00514245" w:rsidRDefault="00DB1657" w:rsidP="008C4E65">
      <w:pPr>
        <w:tabs>
          <w:tab w:val="left" w:pos="8505"/>
        </w:tabs>
        <w:autoSpaceDE w:val="0"/>
        <w:autoSpaceDN w:val="0"/>
        <w:adjustRightInd w:val="0"/>
        <w:spacing w:after="0" w:line="240" w:lineRule="auto"/>
        <w:rPr>
          <w:rFonts w:ascii="Times New Roman" w:eastAsia="Times New Roman" w:hAnsi="Times New Roman"/>
          <w:color w:val="000000"/>
          <w:lang w:val="lt-LT" w:bidi="ar-SA"/>
        </w:rPr>
      </w:pPr>
    </w:p>
    <w:p w14:paraId="20F82C1A" w14:textId="320E51E8" w:rsidR="008C4E65" w:rsidRPr="00514245" w:rsidRDefault="00E0107B" w:rsidP="008C4E65">
      <w:pPr>
        <w:tabs>
          <w:tab w:val="left" w:pos="8505"/>
        </w:tabs>
        <w:autoSpaceDE w:val="0"/>
        <w:autoSpaceDN w:val="0"/>
        <w:adjustRightInd w:val="0"/>
        <w:spacing w:after="0" w:line="240" w:lineRule="auto"/>
        <w:rPr>
          <w:rFonts w:ascii="Times New Roman" w:eastAsia="Times New Roman" w:hAnsi="Times New Roman"/>
          <w:color w:val="000000"/>
          <w:lang w:val="lt-LT" w:bidi="ar-SA"/>
        </w:rPr>
      </w:pPr>
      <w:r w:rsidRPr="00514245">
        <w:rPr>
          <w:rFonts w:ascii="Times New Roman" w:eastAsia="Times New Roman" w:hAnsi="Times New Roman"/>
          <w:lang w:val="lt-LT" w:bidi="ar-SA"/>
        </w:rPr>
        <w:t>Prieš vartojimą perskaitykite pakuotės lapelį.</w:t>
      </w:r>
      <w:r w:rsidR="008C4E65" w:rsidRPr="00514245">
        <w:rPr>
          <w:rFonts w:ascii="Times New Roman" w:eastAsia="Times New Roman" w:hAnsi="Times New Roman"/>
          <w:color w:val="000000"/>
          <w:lang w:val="lt-LT" w:bidi="ar-SA"/>
        </w:rPr>
        <w:t xml:space="preserve"> </w:t>
      </w:r>
    </w:p>
    <w:p w14:paraId="3258D56D" w14:textId="6BC0A567" w:rsidR="00E0107B" w:rsidRPr="00514245" w:rsidRDefault="00E0107B" w:rsidP="00E0107B">
      <w:pPr>
        <w:tabs>
          <w:tab w:val="left" w:pos="8505"/>
        </w:tabs>
        <w:spacing w:after="0" w:line="240" w:lineRule="auto"/>
        <w:jc w:val="both"/>
        <w:rPr>
          <w:rFonts w:ascii="Times New Roman" w:eastAsia="Times New Roman" w:hAnsi="Times New Roman"/>
          <w:lang w:val="lt-LT" w:bidi="ar-SA"/>
        </w:rPr>
      </w:pPr>
    </w:p>
    <w:p w14:paraId="4E6D6FFE"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576E46A1"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t>6.</w:t>
      </w:r>
      <w:r w:rsidRPr="00514245">
        <w:rPr>
          <w:rFonts w:ascii="Times New Roman" w:eastAsia="Times New Roman" w:hAnsi="Times New Roman"/>
          <w:b/>
          <w:snapToGrid w:val="0"/>
          <w:lang w:val="lt-LT" w:eastAsia="en-US" w:bidi="ar-SA"/>
        </w:rPr>
        <w:tab/>
        <w:t>SPECIALUS ĮSPĖJIMAS, KAD VAISTINĮ PREPARATĄ BŪTINA LAIKYTI VAIKAMS NEPASTEBIMOJE IR NEPASIEKIAMOJE VIETOJE</w:t>
      </w:r>
    </w:p>
    <w:p w14:paraId="3C9862C8"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3D1279C2" w14:textId="77777777" w:rsidR="00E0107B" w:rsidRPr="00514245" w:rsidRDefault="00E0107B" w:rsidP="00E0107B">
      <w:pPr>
        <w:tabs>
          <w:tab w:val="left" w:pos="8505"/>
        </w:tabs>
        <w:spacing w:after="0" w:line="240" w:lineRule="auto"/>
        <w:jc w:val="both"/>
        <w:rPr>
          <w:rFonts w:ascii="Times New Roman" w:eastAsia="Times New Roman" w:hAnsi="Times New Roman"/>
          <w:lang w:val="lt-LT" w:bidi="ar-SA"/>
        </w:rPr>
      </w:pPr>
      <w:r w:rsidRPr="00514245">
        <w:rPr>
          <w:rFonts w:ascii="Times New Roman" w:eastAsia="Times New Roman" w:hAnsi="Times New Roman"/>
          <w:lang w:val="lt-LT" w:bidi="ar-SA"/>
        </w:rPr>
        <w:t>Laikyti vaikams nepastebimoje ir nepasiekiamoje vietoje.</w:t>
      </w:r>
    </w:p>
    <w:p w14:paraId="08D5DEEC"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0FD5B63D"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14BD05F9"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7.</w:t>
      </w:r>
      <w:r w:rsidRPr="00514245">
        <w:rPr>
          <w:rFonts w:ascii="Times New Roman" w:eastAsia="Times New Roman" w:hAnsi="Times New Roman"/>
          <w:b/>
          <w:lang w:val="lt-LT" w:bidi="ar-SA"/>
        </w:rPr>
        <w:tab/>
        <w:t>KITAS (-I) SPECIALUS (-ŪS) ĮSPĖJIMAS (-AI) (JEI REIKIA)</w:t>
      </w:r>
    </w:p>
    <w:p w14:paraId="329AE3B2" w14:textId="77777777" w:rsidR="00E0107B" w:rsidRPr="00514245" w:rsidRDefault="00E0107B" w:rsidP="00E0107B">
      <w:pPr>
        <w:tabs>
          <w:tab w:val="left" w:pos="8505"/>
        </w:tabs>
        <w:spacing w:after="0" w:line="240" w:lineRule="auto"/>
        <w:jc w:val="both"/>
        <w:rPr>
          <w:rFonts w:ascii="Times New Roman" w:eastAsia="Times New Roman" w:hAnsi="Times New Roman"/>
          <w:lang w:val="lt-LT" w:bidi="ar-SA"/>
        </w:rPr>
      </w:pPr>
    </w:p>
    <w:p w14:paraId="7B1DED04"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461AABFD"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8.</w:t>
      </w:r>
      <w:r w:rsidRPr="00514245">
        <w:rPr>
          <w:rFonts w:ascii="Times New Roman" w:eastAsia="Times New Roman" w:hAnsi="Times New Roman"/>
          <w:b/>
          <w:lang w:val="lt-LT" w:bidi="ar-SA"/>
        </w:rPr>
        <w:tab/>
        <w:t>TINKAMUMO LAIKAS</w:t>
      </w:r>
    </w:p>
    <w:p w14:paraId="0844D45E"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5393CA40" w14:textId="4EE7D907" w:rsidR="00E0107B" w:rsidRPr="00514245" w:rsidRDefault="00BF4D66" w:rsidP="00E0107B">
      <w:pPr>
        <w:tabs>
          <w:tab w:val="left" w:pos="8505"/>
        </w:tabs>
        <w:spacing w:after="0" w:line="240" w:lineRule="auto"/>
        <w:rPr>
          <w:rFonts w:ascii="Times New Roman" w:eastAsia="Times New Roman" w:hAnsi="Times New Roman"/>
          <w:lang w:val="lt-LT" w:bidi="ar-SA"/>
        </w:rPr>
      </w:pPr>
      <w:r w:rsidRPr="00514245">
        <w:rPr>
          <w:rFonts w:ascii="Times New Roman" w:eastAsia="Times New Roman" w:hAnsi="Times New Roman"/>
          <w:lang w:val="lt-LT" w:bidi="ar-SA"/>
        </w:rPr>
        <w:t>EXP {mm</w:t>
      </w:r>
      <w:r w:rsidR="00FC0B3A" w:rsidRPr="00514245">
        <w:rPr>
          <w:rFonts w:ascii="Times New Roman" w:eastAsia="Times New Roman" w:hAnsi="Times New Roman"/>
          <w:lang w:val="lt-LT" w:bidi="ar-SA"/>
        </w:rPr>
        <w:t>/</w:t>
      </w:r>
      <w:r w:rsidRPr="00514245">
        <w:rPr>
          <w:rFonts w:ascii="Times New Roman" w:eastAsia="Times New Roman" w:hAnsi="Times New Roman"/>
          <w:lang w:val="lt-LT" w:bidi="ar-SA"/>
        </w:rPr>
        <w:t>MMMM}</w:t>
      </w:r>
    </w:p>
    <w:p w14:paraId="67C2EA9D"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3BAF826B"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572B2699" w14:textId="77777777" w:rsidR="00E0107B" w:rsidRPr="00514245"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t>9.</w:t>
      </w:r>
      <w:r w:rsidRPr="00514245">
        <w:rPr>
          <w:rFonts w:ascii="Times New Roman" w:eastAsia="Times New Roman" w:hAnsi="Times New Roman"/>
          <w:b/>
          <w:snapToGrid w:val="0"/>
          <w:lang w:val="lt-LT" w:eastAsia="en-US" w:bidi="ar-SA"/>
        </w:rPr>
        <w:tab/>
        <w:t>SPECIALIOS LAIKYMO SĄLYGOS</w:t>
      </w:r>
    </w:p>
    <w:p w14:paraId="2D74B2B8" w14:textId="77777777" w:rsidR="00E0107B" w:rsidRPr="00514245" w:rsidRDefault="00E0107B" w:rsidP="00E0107B">
      <w:pPr>
        <w:tabs>
          <w:tab w:val="left" w:pos="8505"/>
        </w:tabs>
        <w:spacing w:after="0" w:line="240" w:lineRule="auto"/>
        <w:jc w:val="both"/>
        <w:rPr>
          <w:rFonts w:ascii="Times New Roman" w:eastAsia="Times New Roman" w:hAnsi="Times New Roman"/>
          <w:lang w:val="lt-LT" w:bidi="ar-SA"/>
        </w:rPr>
      </w:pPr>
    </w:p>
    <w:p w14:paraId="358DE033"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1EDED84D"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10.</w:t>
      </w:r>
      <w:r w:rsidRPr="00514245">
        <w:rPr>
          <w:rFonts w:ascii="Times New Roman" w:eastAsia="Times New Roman" w:hAnsi="Times New Roman"/>
          <w:b/>
          <w:snapToGrid w:val="0"/>
          <w:lang w:val="lt-LT" w:eastAsia="en-US" w:bidi="ar-SA"/>
        </w:rPr>
        <w:tab/>
        <w:t>SPECIALIOS ATSARGUMO PRIEMONĖS DĖL NESUVARTOTO VAISTINIO PREPARATO AR JO ATLIEKŲ TVARKYMO (JEI REIKIA)</w:t>
      </w:r>
    </w:p>
    <w:p w14:paraId="661CB84B"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76D70988"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3295A303" w14:textId="77777777" w:rsidR="00E0107B" w:rsidRPr="00514245"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11.</w:t>
      </w:r>
      <w:r w:rsidRPr="00514245">
        <w:rPr>
          <w:rFonts w:ascii="Times New Roman" w:eastAsia="Times New Roman" w:hAnsi="Times New Roman"/>
          <w:b/>
          <w:lang w:val="lt-LT" w:bidi="ar-SA"/>
        </w:rPr>
        <w:tab/>
        <w:t>REGISTRUOTOJO PAVADINIMAS IR ADRESAS</w:t>
      </w:r>
    </w:p>
    <w:p w14:paraId="319B86A1"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20AB415B" w14:textId="77777777" w:rsidR="00BF4D66" w:rsidRPr="00514245" w:rsidRDefault="00BF4D66" w:rsidP="00BF4D66">
      <w:pPr>
        <w:spacing w:after="0" w:line="240" w:lineRule="auto"/>
        <w:rPr>
          <w:rFonts w:ascii="Times New Roman" w:eastAsia="Times New Roman" w:hAnsi="Times New Roman"/>
          <w:color w:val="000000"/>
          <w:lang w:val="lt-LT"/>
        </w:rPr>
      </w:pPr>
      <w:proofErr w:type="spellStart"/>
      <w:r w:rsidRPr="00514245">
        <w:rPr>
          <w:rFonts w:ascii="Times New Roman" w:eastAsia="Times New Roman" w:hAnsi="Times New Roman"/>
          <w:color w:val="000000"/>
          <w:lang w:val="lt-LT"/>
        </w:rPr>
        <w:t>Zentiva</w:t>
      </w:r>
      <w:proofErr w:type="spellEnd"/>
      <w:r w:rsidRPr="00514245">
        <w:rPr>
          <w:rFonts w:ascii="Times New Roman" w:eastAsia="Times New Roman" w:hAnsi="Times New Roman"/>
          <w:color w:val="000000"/>
          <w:lang w:val="lt-LT"/>
        </w:rPr>
        <w:t xml:space="preserve">, </w:t>
      </w:r>
      <w:proofErr w:type="spellStart"/>
      <w:r w:rsidRPr="00514245">
        <w:rPr>
          <w:rFonts w:ascii="Times New Roman" w:eastAsia="Times New Roman" w:hAnsi="Times New Roman"/>
          <w:color w:val="000000"/>
          <w:lang w:val="lt-LT"/>
        </w:rPr>
        <w:t>k.s</w:t>
      </w:r>
      <w:proofErr w:type="spellEnd"/>
      <w:r w:rsidRPr="00514245">
        <w:rPr>
          <w:rFonts w:ascii="Times New Roman" w:eastAsia="Times New Roman" w:hAnsi="Times New Roman"/>
          <w:color w:val="000000"/>
          <w:lang w:val="lt-LT"/>
        </w:rPr>
        <w:t>.</w:t>
      </w:r>
    </w:p>
    <w:p w14:paraId="64F70D02" w14:textId="77777777" w:rsidR="00BF4D66" w:rsidRPr="00514245" w:rsidRDefault="00BF4D66" w:rsidP="00BF4D66">
      <w:pPr>
        <w:spacing w:after="0" w:line="240" w:lineRule="auto"/>
        <w:rPr>
          <w:rFonts w:ascii="Times New Roman" w:hAnsi="Times New Roman"/>
          <w:lang w:val="lt-LT"/>
        </w:rPr>
      </w:pPr>
      <w:r w:rsidRPr="00514245">
        <w:rPr>
          <w:rFonts w:ascii="Times New Roman" w:hAnsi="Times New Roman"/>
          <w:lang w:val="lt-LT"/>
        </w:rPr>
        <w:t xml:space="preserve">U </w:t>
      </w:r>
      <w:proofErr w:type="spellStart"/>
      <w:r w:rsidRPr="00514245">
        <w:rPr>
          <w:rFonts w:ascii="Times New Roman" w:hAnsi="Times New Roman"/>
          <w:lang w:val="lt-LT"/>
        </w:rPr>
        <w:t>kabelovny</w:t>
      </w:r>
      <w:proofErr w:type="spellEnd"/>
      <w:r w:rsidRPr="00514245">
        <w:rPr>
          <w:rFonts w:ascii="Times New Roman" w:hAnsi="Times New Roman"/>
          <w:lang w:val="lt-LT"/>
        </w:rPr>
        <w:t xml:space="preserve"> 130</w:t>
      </w:r>
    </w:p>
    <w:p w14:paraId="74BAF478" w14:textId="77777777" w:rsidR="00BF4D66" w:rsidRPr="00514245" w:rsidRDefault="00BF4D66" w:rsidP="00BF4D66">
      <w:pPr>
        <w:spacing w:after="0" w:line="240" w:lineRule="auto"/>
        <w:rPr>
          <w:rFonts w:ascii="Times New Roman" w:hAnsi="Times New Roman"/>
          <w:lang w:val="lt-LT"/>
        </w:rPr>
      </w:pPr>
      <w:proofErr w:type="spellStart"/>
      <w:r w:rsidRPr="00514245">
        <w:rPr>
          <w:rFonts w:ascii="Times New Roman" w:hAnsi="Times New Roman"/>
          <w:lang w:val="lt-LT"/>
        </w:rPr>
        <w:t>Dolní</w:t>
      </w:r>
      <w:proofErr w:type="spellEnd"/>
      <w:r w:rsidRPr="00514245">
        <w:rPr>
          <w:rFonts w:ascii="Times New Roman" w:hAnsi="Times New Roman"/>
          <w:lang w:val="lt-LT"/>
        </w:rPr>
        <w:t xml:space="preserve"> </w:t>
      </w:r>
      <w:proofErr w:type="spellStart"/>
      <w:r w:rsidRPr="00514245">
        <w:rPr>
          <w:rFonts w:ascii="Times New Roman" w:hAnsi="Times New Roman"/>
          <w:lang w:val="lt-LT"/>
        </w:rPr>
        <w:t>Měcholupy</w:t>
      </w:r>
      <w:proofErr w:type="spellEnd"/>
    </w:p>
    <w:p w14:paraId="43418B44" w14:textId="77777777" w:rsidR="00BF4D66" w:rsidRPr="00514245" w:rsidRDefault="00BF4D66" w:rsidP="00BF4D66">
      <w:pPr>
        <w:spacing w:after="0" w:line="240" w:lineRule="auto"/>
        <w:rPr>
          <w:rFonts w:ascii="Times New Roman" w:hAnsi="Times New Roman"/>
          <w:lang w:val="lt-LT"/>
        </w:rPr>
      </w:pPr>
      <w:r w:rsidRPr="00514245">
        <w:rPr>
          <w:rFonts w:ascii="Times New Roman" w:hAnsi="Times New Roman"/>
          <w:lang w:val="lt-LT"/>
        </w:rPr>
        <w:t>102 37 Praha 10</w:t>
      </w:r>
    </w:p>
    <w:p w14:paraId="475D48F9" w14:textId="452E29E0" w:rsidR="00E0107B" w:rsidRPr="00514245" w:rsidRDefault="00BF4D66" w:rsidP="00BF4D66">
      <w:pPr>
        <w:tabs>
          <w:tab w:val="left" w:pos="8505"/>
        </w:tabs>
        <w:spacing w:after="0" w:line="240" w:lineRule="auto"/>
        <w:jc w:val="both"/>
        <w:rPr>
          <w:rFonts w:ascii="Times New Roman" w:eastAsia="Times New Roman" w:hAnsi="Times New Roman"/>
          <w:color w:val="000000"/>
          <w:lang w:val="lt-LT"/>
        </w:rPr>
      </w:pPr>
      <w:r w:rsidRPr="00514245">
        <w:rPr>
          <w:rFonts w:ascii="Times New Roman" w:eastAsia="Times New Roman" w:hAnsi="Times New Roman"/>
          <w:color w:val="000000"/>
          <w:lang w:val="lt-LT"/>
        </w:rPr>
        <w:t>Čekija</w:t>
      </w:r>
    </w:p>
    <w:p w14:paraId="17094CEC" w14:textId="77777777" w:rsidR="00BF4D66" w:rsidRPr="00514245" w:rsidRDefault="00BF4D66" w:rsidP="00BF4D66">
      <w:pPr>
        <w:tabs>
          <w:tab w:val="left" w:pos="8505"/>
        </w:tabs>
        <w:spacing w:after="0" w:line="240" w:lineRule="auto"/>
        <w:jc w:val="both"/>
        <w:rPr>
          <w:rFonts w:ascii="Times New Roman" w:eastAsia="Times New Roman" w:hAnsi="Times New Roman"/>
          <w:b/>
          <w:bCs/>
          <w:lang w:val="lt-LT" w:bidi="ar-SA"/>
        </w:rPr>
      </w:pPr>
    </w:p>
    <w:p w14:paraId="60C5500C"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0C9CC32A"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12.</w:t>
      </w:r>
      <w:r w:rsidRPr="00514245">
        <w:rPr>
          <w:rFonts w:ascii="Times New Roman" w:eastAsia="Times New Roman" w:hAnsi="Times New Roman"/>
          <w:b/>
          <w:lang w:val="lt-LT" w:bidi="ar-SA"/>
        </w:rPr>
        <w:tab/>
        <w:t>REGISTRACIJOS PAŽYMĖJIMO NUMERIS (-IAI)</w:t>
      </w:r>
    </w:p>
    <w:p w14:paraId="74F7DDD3" w14:textId="6B3EEF17" w:rsidR="00E0107B" w:rsidRDefault="00E0107B" w:rsidP="00E0107B">
      <w:pPr>
        <w:tabs>
          <w:tab w:val="left" w:pos="8505"/>
        </w:tabs>
        <w:suppressAutoHyphens/>
        <w:spacing w:after="0" w:line="240" w:lineRule="auto"/>
        <w:rPr>
          <w:rFonts w:ascii="Times New Roman" w:eastAsia="Times New Roman" w:hAnsi="Times New Roman"/>
          <w:lang w:val="lt-LT" w:bidi="ar-SA"/>
        </w:rPr>
      </w:pPr>
    </w:p>
    <w:p w14:paraId="5C50A221" w14:textId="3B0842FE" w:rsidR="007F1E1D" w:rsidRPr="007F1E1D" w:rsidRDefault="007F1E1D" w:rsidP="007F1E1D">
      <w:pPr>
        <w:tabs>
          <w:tab w:val="left" w:pos="8505"/>
        </w:tabs>
        <w:suppressAutoHyphens/>
        <w:spacing w:after="0" w:line="240" w:lineRule="auto"/>
        <w:rPr>
          <w:rFonts w:ascii="Times New Roman" w:eastAsia="Times New Roman" w:hAnsi="Times New Roman"/>
          <w:lang w:val="lt-LT" w:bidi="ar-SA"/>
        </w:rPr>
      </w:pPr>
      <w:r w:rsidRPr="007F1E1D">
        <w:rPr>
          <w:rFonts w:ascii="Times New Roman" w:eastAsia="Times New Roman" w:hAnsi="Times New Roman"/>
          <w:highlight w:val="lightGray"/>
          <w:lang w:val="lt-LT" w:bidi="ar-SA"/>
        </w:rPr>
        <w:t>&lt;</w:t>
      </w:r>
      <w:r w:rsidRPr="007F1E1D">
        <w:rPr>
          <w:rFonts w:ascii="Times New Roman" w:eastAsia="Times New Roman" w:hAnsi="Times New Roman"/>
          <w:highlight w:val="lightGray"/>
          <w:lang w:val="lt-LT" w:bidi="ar-SA"/>
        </w:rPr>
        <w:t>5 mg</w:t>
      </w:r>
      <w:r w:rsidRPr="007F1E1D">
        <w:rPr>
          <w:rFonts w:ascii="Times New Roman" w:eastAsia="Times New Roman" w:hAnsi="Times New Roman"/>
          <w:highlight w:val="lightGray"/>
          <w:lang w:val="lt-LT" w:bidi="ar-SA"/>
        </w:rPr>
        <w:t>&gt;</w:t>
      </w:r>
    </w:p>
    <w:p w14:paraId="1C68C05B"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lang w:val="lt-LT" w:bidi="ar-SA"/>
        </w:rPr>
        <w:t xml:space="preserve">LT/1/26/6063/001 </w:t>
      </w:r>
      <w:r w:rsidRPr="007F1E1D">
        <w:rPr>
          <w:rFonts w:ascii="Times New Roman" w:eastAsia="Times New Roman" w:hAnsi="Times New Roman"/>
          <w:highlight w:val="lightGray"/>
          <w:lang w:val="lt-LT" w:bidi="ar-SA"/>
        </w:rPr>
        <w:t>– N14</w:t>
      </w:r>
    </w:p>
    <w:p w14:paraId="79A819E7"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LT/1/26/6063/002 – N28</w:t>
      </w:r>
    </w:p>
    <w:p w14:paraId="40F6B19F"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LT/1/26/6063/003 – N56</w:t>
      </w:r>
    </w:p>
    <w:p w14:paraId="451A07E7"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LT/1/26/6063/004 – N98</w:t>
      </w:r>
    </w:p>
    <w:p w14:paraId="53090098" w14:textId="383AA3F9"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w:t>
      </w:r>
      <w:r w:rsidRPr="007F1E1D">
        <w:rPr>
          <w:rFonts w:ascii="Times New Roman" w:eastAsia="Times New Roman" w:hAnsi="Times New Roman"/>
          <w:highlight w:val="lightGray"/>
          <w:lang w:val="lt-LT" w:bidi="ar-SA"/>
        </w:rPr>
        <w:t>10 mg</w:t>
      </w:r>
      <w:r w:rsidRPr="007F1E1D">
        <w:rPr>
          <w:rFonts w:ascii="Times New Roman" w:eastAsia="Times New Roman" w:hAnsi="Times New Roman"/>
          <w:highlight w:val="lightGray"/>
          <w:lang w:val="lt-LT" w:bidi="ar-SA"/>
        </w:rPr>
        <w:t>&gt;</w:t>
      </w:r>
    </w:p>
    <w:p w14:paraId="1B68AD46"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LT/1/26/6064/001 – N14</w:t>
      </w:r>
    </w:p>
    <w:p w14:paraId="19CC190B"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LT/1/26/6064/002 – N28</w:t>
      </w:r>
    </w:p>
    <w:p w14:paraId="45E980D4" w14:textId="77777777" w:rsidR="007F1E1D" w:rsidRPr="007F1E1D" w:rsidRDefault="007F1E1D" w:rsidP="007F1E1D">
      <w:pPr>
        <w:tabs>
          <w:tab w:val="left" w:pos="8505"/>
        </w:tabs>
        <w:suppressAutoHyphens/>
        <w:spacing w:after="0" w:line="240" w:lineRule="auto"/>
        <w:rPr>
          <w:rFonts w:ascii="Times New Roman" w:eastAsia="Times New Roman" w:hAnsi="Times New Roman"/>
          <w:highlight w:val="lightGray"/>
          <w:lang w:val="lt-LT" w:bidi="ar-SA"/>
        </w:rPr>
      </w:pPr>
      <w:r w:rsidRPr="007F1E1D">
        <w:rPr>
          <w:rFonts w:ascii="Times New Roman" w:eastAsia="Times New Roman" w:hAnsi="Times New Roman"/>
          <w:highlight w:val="lightGray"/>
          <w:lang w:val="lt-LT" w:bidi="ar-SA"/>
        </w:rPr>
        <w:t>LT/1/26/6064/003 – N56</w:t>
      </w:r>
    </w:p>
    <w:p w14:paraId="6FDE9728" w14:textId="2A0029F2" w:rsidR="007F1E1D" w:rsidRDefault="007F1E1D" w:rsidP="007F1E1D">
      <w:pPr>
        <w:tabs>
          <w:tab w:val="left" w:pos="8505"/>
        </w:tabs>
        <w:suppressAutoHyphens/>
        <w:spacing w:after="0" w:line="240" w:lineRule="auto"/>
        <w:rPr>
          <w:rFonts w:ascii="Times New Roman" w:eastAsia="Times New Roman" w:hAnsi="Times New Roman"/>
          <w:lang w:val="lt-LT" w:bidi="ar-SA"/>
        </w:rPr>
      </w:pPr>
      <w:r w:rsidRPr="007F1E1D">
        <w:rPr>
          <w:rFonts w:ascii="Times New Roman" w:eastAsia="Times New Roman" w:hAnsi="Times New Roman"/>
          <w:highlight w:val="lightGray"/>
          <w:lang w:val="lt-LT" w:bidi="ar-SA"/>
        </w:rPr>
        <w:t>LT/1/26/6064/004 – N98</w:t>
      </w:r>
    </w:p>
    <w:p w14:paraId="73CEADA3" w14:textId="77777777" w:rsidR="007F1E1D" w:rsidRPr="00514245" w:rsidRDefault="007F1E1D" w:rsidP="007F1E1D">
      <w:pPr>
        <w:tabs>
          <w:tab w:val="left" w:pos="8505"/>
        </w:tabs>
        <w:suppressAutoHyphens/>
        <w:spacing w:after="0" w:line="240" w:lineRule="auto"/>
        <w:rPr>
          <w:rFonts w:ascii="Times New Roman" w:eastAsia="Times New Roman" w:hAnsi="Times New Roman"/>
          <w:lang w:val="lt-LT" w:bidi="ar-SA"/>
        </w:rPr>
      </w:pPr>
    </w:p>
    <w:p w14:paraId="6C974A73" w14:textId="0A64BFFB" w:rsidR="002042E8" w:rsidRPr="00514245" w:rsidRDefault="002042E8" w:rsidP="00E0107B">
      <w:pPr>
        <w:spacing w:after="0" w:line="240" w:lineRule="auto"/>
        <w:rPr>
          <w:rFonts w:ascii="Times New Roman" w:eastAsia="Times New Roman" w:hAnsi="Times New Roman"/>
          <w:snapToGrid w:val="0"/>
          <w:lang w:val="lt-LT" w:eastAsia="en-US" w:bidi="ar-SA"/>
        </w:rPr>
      </w:pPr>
    </w:p>
    <w:p w14:paraId="4A5E6706"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13.</w:t>
      </w:r>
      <w:r w:rsidRPr="00514245">
        <w:rPr>
          <w:rFonts w:ascii="Times New Roman" w:eastAsia="Times New Roman" w:hAnsi="Times New Roman"/>
          <w:b/>
          <w:lang w:val="lt-LT" w:bidi="ar-SA"/>
        </w:rPr>
        <w:tab/>
        <w:t xml:space="preserve">SERIJOS NUMERIS </w:t>
      </w:r>
    </w:p>
    <w:p w14:paraId="22A33356"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69F54221" w14:textId="6D392AE8" w:rsidR="00E0107B" w:rsidRPr="00514245" w:rsidRDefault="00BF4D66" w:rsidP="00E0107B">
      <w:pPr>
        <w:tabs>
          <w:tab w:val="left" w:pos="8505"/>
        </w:tabs>
        <w:spacing w:after="0" w:line="240" w:lineRule="auto"/>
        <w:rPr>
          <w:rFonts w:ascii="Times New Roman" w:eastAsia="Times New Roman" w:hAnsi="Times New Roman"/>
          <w:lang w:val="lt-LT" w:bidi="ar-SA"/>
        </w:rPr>
      </w:pPr>
      <w:r w:rsidRPr="00514245">
        <w:rPr>
          <w:rFonts w:ascii="Times New Roman" w:eastAsia="Times New Roman" w:hAnsi="Times New Roman"/>
          <w:lang w:val="lt-LT" w:bidi="ar-SA"/>
        </w:rPr>
        <w:t>Lot</w:t>
      </w:r>
    </w:p>
    <w:p w14:paraId="00F6EEAB"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1C2EC135" w14:textId="77777777" w:rsidR="00E0107B" w:rsidRPr="00514245" w:rsidRDefault="00E0107B" w:rsidP="00E0107B">
      <w:pPr>
        <w:tabs>
          <w:tab w:val="left" w:pos="8505"/>
        </w:tabs>
        <w:spacing w:after="0" w:line="240" w:lineRule="auto"/>
        <w:jc w:val="both"/>
        <w:rPr>
          <w:rFonts w:ascii="Times New Roman" w:eastAsia="Times New Roman" w:hAnsi="Times New Roman"/>
          <w:b/>
          <w:bCs/>
          <w:lang w:val="lt-LT" w:bidi="ar-SA"/>
        </w:rPr>
      </w:pPr>
    </w:p>
    <w:p w14:paraId="48B6D2BD"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14.</w:t>
      </w:r>
      <w:r w:rsidRPr="00514245">
        <w:rPr>
          <w:rFonts w:ascii="Times New Roman" w:eastAsia="Times New Roman" w:hAnsi="Times New Roman"/>
          <w:b/>
          <w:lang w:val="lt-LT" w:bidi="ar-SA"/>
        </w:rPr>
        <w:tab/>
        <w:t>PARDAVIMO (IŠDAVIMO) TVARKA</w:t>
      </w:r>
    </w:p>
    <w:p w14:paraId="28BF82C0" w14:textId="77777777" w:rsidR="00E0107B" w:rsidRPr="00514245" w:rsidRDefault="00E0107B" w:rsidP="00E0107B">
      <w:pPr>
        <w:tabs>
          <w:tab w:val="left" w:pos="8505"/>
        </w:tabs>
        <w:spacing w:after="0" w:line="240" w:lineRule="auto"/>
        <w:rPr>
          <w:rFonts w:ascii="Times New Roman" w:eastAsia="Times New Roman" w:hAnsi="Times New Roman"/>
          <w:lang w:val="lt-LT" w:bidi="ar-SA"/>
        </w:rPr>
      </w:pPr>
    </w:p>
    <w:p w14:paraId="5607D910" w14:textId="77777777" w:rsidR="00E0107B" w:rsidRPr="00514245" w:rsidRDefault="00E0107B" w:rsidP="00E0107B">
      <w:pPr>
        <w:tabs>
          <w:tab w:val="left" w:pos="8505"/>
        </w:tabs>
        <w:spacing w:after="0" w:line="240" w:lineRule="auto"/>
        <w:rPr>
          <w:rFonts w:ascii="Times New Roman" w:eastAsia="Times New Roman" w:hAnsi="Times New Roman"/>
          <w:lang w:val="lt-LT" w:bidi="ar-SA"/>
        </w:rPr>
      </w:pPr>
      <w:r w:rsidRPr="00514245">
        <w:rPr>
          <w:rFonts w:ascii="Times New Roman" w:eastAsia="Times New Roman" w:hAnsi="Times New Roman"/>
          <w:lang w:val="lt-LT" w:bidi="ar-SA"/>
        </w:rPr>
        <w:t>Receptinis vaistas.</w:t>
      </w:r>
    </w:p>
    <w:p w14:paraId="061F2870" w14:textId="77777777" w:rsidR="00E0107B" w:rsidRPr="00514245" w:rsidRDefault="00E0107B" w:rsidP="00E0107B">
      <w:pPr>
        <w:tabs>
          <w:tab w:val="left" w:pos="8505"/>
        </w:tabs>
        <w:spacing w:after="0" w:line="240" w:lineRule="auto"/>
        <w:rPr>
          <w:rFonts w:ascii="Times New Roman" w:eastAsia="Times New Roman" w:hAnsi="Times New Roman"/>
          <w:lang w:val="lt-LT" w:bidi="ar-SA"/>
        </w:rPr>
      </w:pPr>
    </w:p>
    <w:p w14:paraId="745EFA32" w14:textId="77777777" w:rsidR="00E0107B" w:rsidRPr="00514245" w:rsidRDefault="00E0107B" w:rsidP="00E0107B">
      <w:pPr>
        <w:tabs>
          <w:tab w:val="left" w:pos="8505"/>
        </w:tabs>
        <w:spacing w:after="0" w:line="240" w:lineRule="auto"/>
        <w:rPr>
          <w:rFonts w:ascii="Times New Roman" w:eastAsia="Times New Roman" w:hAnsi="Times New Roman"/>
          <w:lang w:val="lt-LT" w:bidi="ar-SA"/>
        </w:rPr>
      </w:pPr>
    </w:p>
    <w:p w14:paraId="7AB14220"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val="lt-LT" w:bidi="ar-SA"/>
        </w:rPr>
      </w:pPr>
      <w:r w:rsidRPr="00514245">
        <w:rPr>
          <w:rFonts w:ascii="Times New Roman" w:eastAsia="Times New Roman" w:hAnsi="Times New Roman"/>
          <w:b/>
          <w:lang w:val="lt-LT" w:bidi="ar-SA"/>
        </w:rPr>
        <w:t>15.</w:t>
      </w:r>
      <w:r w:rsidRPr="00514245">
        <w:rPr>
          <w:rFonts w:ascii="Times New Roman" w:eastAsia="Times New Roman" w:hAnsi="Times New Roman"/>
          <w:b/>
          <w:lang w:val="lt-LT" w:bidi="ar-SA"/>
        </w:rPr>
        <w:tab/>
        <w:t>VARTOJIMO INSTRUKCIJA</w:t>
      </w:r>
    </w:p>
    <w:p w14:paraId="7D42D077" w14:textId="77777777" w:rsidR="00E0107B" w:rsidRPr="00514245"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val="lt-LT" w:bidi="ar-SA"/>
        </w:rPr>
      </w:pPr>
    </w:p>
    <w:p w14:paraId="07445567" w14:textId="77777777" w:rsidR="00E0107B" w:rsidRPr="00514245"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val="lt-LT" w:bidi="ar-SA"/>
        </w:rPr>
      </w:pPr>
    </w:p>
    <w:p w14:paraId="638D00BF"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val="lt-LT" w:bidi="ar-SA"/>
        </w:rPr>
      </w:pPr>
      <w:r w:rsidRPr="00514245">
        <w:rPr>
          <w:rFonts w:ascii="Times New Roman" w:eastAsia="Times New Roman" w:hAnsi="Times New Roman"/>
          <w:b/>
          <w:color w:val="000000"/>
          <w:lang w:val="lt-LT" w:bidi="ar-SA"/>
        </w:rPr>
        <w:t>16.</w:t>
      </w:r>
      <w:r w:rsidRPr="00514245">
        <w:rPr>
          <w:rFonts w:ascii="Times New Roman" w:eastAsia="Times New Roman" w:hAnsi="Times New Roman"/>
          <w:b/>
          <w:color w:val="000000"/>
          <w:lang w:val="lt-LT" w:bidi="ar-SA"/>
        </w:rPr>
        <w:tab/>
        <w:t>INFORMACIJA BRAILIO RAŠTU</w:t>
      </w:r>
    </w:p>
    <w:p w14:paraId="33627F4C" w14:textId="77777777" w:rsidR="00E0107B" w:rsidRPr="00514245"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val="lt-LT" w:bidi="ar-SA"/>
        </w:rPr>
      </w:pPr>
      <w:bookmarkStart w:id="1" w:name="OLE_LINK3"/>
    </w:p>
    <w:bookmarkEnd w:id="1"/>
    <w:p w14:paraId="5A330E8E" w14:textId="65C745D3" w:rsidR="00E0107B" w:rsidRPr="00514245" w:rsidRDefault="00B45A6E" w:rsidP="00E0107B">
      <w:pPr>
        <w:spacing w:after="0" w:line="240" w:lineRule="auto"/>
        <w:rPr>
          <w:rFonts w:ascii="Times New Roman" w:eastAsia="Times New Roman" w:hAnsi="Times New Roman"/>
          <w:lang w:val="lt-LT" w:bidi="ar-SA"/>
        </w:rPr>
      </w:pPr>
      <w:r>
        <w:rPr>
          <w:rFonts w:ascii="Times New Roman" w:eastAsia="Times New Roman" w:hAnsi="Times New Roman"/>
          <w:lang w:val="lt-LT" w:bidi="ar-SA"/>
        </w:rPr>
        <w:t>Vortioxetine</w:t>
      </w:r>
      <w:r w:rsidR="00962664" w:rsidRPr="00514245">
        <w:rPr>
          <w:rFonts w:ascii="Times New Roman" w:eastAsia="Times New Roman" w:hAnsi="Times New Roman"/>
          <w:lang w:val="lt-LT" w:bidi="ar-SA"/>
        </w:rPr>
        <w:t xml:space="preserve"> Zentiva</w:t>
      </w:r>
      <w:r w:rsidR="00BA0F1B" w:rsidRPr="00514245">
        <w:rPr>
          <w:rFonts w:ascii="Times New Roman" w:eastAsia="Times New Roman" w:hAnsi="Times New Roman"/>
          <w:lang w:val="lt-LT" w:bidi="ar-SA"/>
        </w:rPr>
        <w:t xml:space="preserve"> </w:t>
      </w:r>
      <w:r w:rsidR="00962664" w:rsidRPr="00514245">
        <w:rPr>
          <w:rFonts w:ascii="Times New Roman" w:eastAsia="Times New Roman" w:hAnsi="Times New Roman"/>
          <w:lang w:val="lt-LT" w:bidi="ar-SA"/>
        </w:rPr>
        <w:t>5 mg</w:t>
      </w:r>
    </w:p>
    <w:p w14:paraId="1B73FF49" w14:textId="7B244F4E" w:rsidR="00B45A6E" w:rsidRPr="00B45A6E" w:rsidRDefault="00B45A6E" w:rsidP="00B45A6E">
      <w:pPr>
        <w:spacing w:after="0" w:line="240" w:lineRule="auto"/>
        <w:rPr>
          <w:rFonts w:ascii="Times New Roman" w:eastAsia="Times New Roman" w:hAnsi="Times New Roman"/>
          <w:highlight w:val="lightGray"/>
          <w:lang w:val="lt-LT" w:bidi="ar-SA"/>
        </w:rPr>
      </w:pPr>
      <w:r w:rsidRPr="00B45A6E">
        <w:rPr>
          <w:rFonts w:ascii="Times New Roman" w:eastAsia="Times New Roman" w:hAnsi="Times New Roman"/>
          <w:highlight w:val="lightGray"/>
          <w:lang w:val="lt-LT" w:bidi="ar-SA"/>
        </w:rPr>
        <w:t xml:space="preserve">Vortioxetine Zentiva </w:t>
      </w:r>
      <w:r w:rsidRPr="00B45A6E">
        <w:rPr>
          <w:rFonts w:ascii="Times New Roman" w:eastAsia="Times New Roman" w:hAnsi="Times New Roman"/>
          <w:highlight w:val="lightGray"/>
          <w:lang w:val="de-DE" w:bidi="ar-SA"/>
        </w:rPr>
        <w:t>1</w:t>
      </w:r>
      <w:r w:rsidRPr="00B45A6E">
        <w:rPr>
          <w:rFonts w:ascii="Times New Roman" w:eastAsia="Times New Roman" w:hAnsi="Times New Roman"/>
          <w:highlight w:val="lightGray"/>
          <w:lang w:val="lt-LT" w:bidi="ar-SA"/>
        </w:rPr>
        <w:t>0 mg</w:t>
      </w:r>
    </w:p>
    <w:p w14:paraId="2EE8F7BF" w14:textId="77777777" w:rsidR="00BA0F1B" w:rsidRPr="00514245" w:rsidRDefault="00BA0F1B" w:rsidP="00E0107B">
      <w:pPr>
        <w:spacing w:after="0" w:line="240" w:lineRule="auto"/>
        <w:rPr>
          <w:rFonts w:ascii="Times New Roman" w:eastAsia="Times New Roman" w:hAnsi="Times New Roman"/>
          <w:lang w:val="lt-LT" w:bidi="ar-SA"/>
        </w:rPr>
      </w:pPr>
    </w:p>
    <w:p w14:paraId="73C24A27" w14:textId="77777777" w:rsidR="00E0107B" w:rsidRPr="00514245" w:rsidRDefault="00E0107B" w:rsidP="00E0107B">
      <w:pPr>
        <w:spacing w:after="0" w:line="240" w:lineRule="auto"/>
        <w:rPr>
          <w:rFonts w:ascii="Times New Roman" w:eastAsia="Times New Roman" w:hAnsi="Times New Roman"/>
          <w:lang w:val="lt-LT"/>
        </w:rPr>
      </w:pPr>
    </w:p>
    <w:p w14:paraId="7FA3C1EF"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lang w:val="lt-LT"/>
        </w:rPr>
      </w:pPr>
      <w:r w:rsidRPr="00514245">
        <w:rPr>
          <w:rFonts w:ascii="Times New Roman" w:eastAsia="Times New Roman" w:hAnsi="Times New Roman"/>
          <w:b/>
          <w:color w:val="000000"/>
          <w:lang w:val="lt-LT"/>
        </w:rPr>
        <w:t>17.</w:t>
      </w:r>
      <w:r w:rsidRPr="00514245">
        <w:rPr>
          <w:rFonts w:ascii="Times New Roman" w:eastAsia="Times New Roman" w:hAnsi="Times New Roman"/>
          <w:b/>
          <w:color w:val="000000"/>
          <w:lang w:val="lt-LT"/>
        </w:rPr>
        <w:tab/>
        <w:t>UNIKALUS IDENTIFIKATORIUS – 2D BRŪKŠNINIS KODAS</w:t>
      </w:r>
    </w:p>
    <w:p w14:paraId="4853F31F" w14:textId="77777777" w:rsidR="00E0107B" w:rsidRPr="00514245" w:rsidRDefault="00E0107B" w:rsidP="00E0107B">
      <w:pPr>
        <w:spacing w:after="0" w:line="240" w:lineRule="auto"/>
        <w:rPr>
          <w:lang w:val="lt-LT"/>
        </w:rPr>
      </w:pPr>
    </w:p>
    <w:p w14:paraId="57A2CB7F" w14:textId="77777777" w:rsidR="00E0107B" w:rsidRPr="00514245" w:rsidRDefault="00E0107B" w:rsidP="00E0107B">
      <w:pPr>
        <w:spacing w:after="0" w:line="240" w:lineRule="auto"/>
        <w:rPr>
          <w:rFonts w:ascii="Times New Roman" w:eastAsia="Times New Roman" w:hAnsi="Times New Roman"/>
          <w:lang w:val="lt-LT"/>
        </w:rPr>
      </w:pPr>
      <w:r w:rsidRPr="00514245">
        <w:rPr>
          <w:rFonts w:ascii="Times New Roman" w:eastAsia="Times New Roman" w:hAnsi="Times New Roman"/>
          <w:highlight w:val="lightGray"/>
          <w:lang w:val="lt-LT"/>
        </w:rPr>
        <w:t>2D brūkšninis kodas su nurodytu unikaliu identifikatoriumi.</w:t>
      </w:r>
    </w:p>
    <w:p w14:paraId="618741F1" w14:textId="77777777" w:rsidR="00D5760E" w:rsidRPr="00514245" w:rsidRDefault="00D5760E" w:rsidP="00E0107B">
      <w:pPr>
        <w:spacing w:after="0" w:line="240" w:lineRule="auto"/>
        <w:rPr>
          <w:rFonts w:ascii="Times New Roman" w:eastAsia="Times New Roman" w:hAnsi="Times New Roman"/>
          <w:lang w:val="lt-LT"/>
        </w:rPr>
      </w:pPr>
    </w:p>
    <w:p w14:paraId="1B659BCF" w14:textId="77777777" w:rsidR="00E0107B" w:rsidRPr="00514245" w:rsidRDefault="00E0107B" w:rsidP="00E0107B">
      <w:pPr>
        <w:spacing w:after="0" w:line="240" w:lineRule="auto"/>
        <w:rPr>
          <w:vanish/>
          <w:lang w:val="lt-LT"/>
        </w:rPr>
      </w:pPr>
    </w:p>
    <w:p w14:paraId="2417116B" w14:textId="77777777" w:rsidR="00E0107B" w:rsidRPr="00514245" w:rsidRDefault="00E0107B" w:rsidP="00E0107B">
      <w:pPr>
        <w:spacing w:after="0" w:line="240" w:lineRule="auto"/>
        <w:rPr>
          <w:lang w:val="lt-LT"/>
        </w:rPr>
      </w:pPr>
    </w:p>
    <w:p w14:paraId="2403F8B6" w14:textId="77777777" w:rsidR="00E0107B" w:rsidRPr="00514245"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lang w:val="lt-LT"/>
        </w:rPr>
      </w:pPr>
      <w:r w:rsidRPr="00514245">
        <w:rPr>
          <w:rFonts w:ascii="Times New Roman" w:eastAsia="Times New Roman" w:hAnsi="Times New Roman"/>
          <w:b/>
          <w:color w:val="000000"/>
          <w:lang w:val="lt-LT"/>
        </w:rPr>
        <w:t>18.</w:t>
      </w:r>
      <w:r w:rsidRPr="00514245">
        <w:rPr>
          <w:rFonts w:ascii="Times New Roman" w:eastAsia="Times New Roman" w:hAnsi="Times New Roman"/>
          <w:b/>
          <w:color w:val="000000"/>
          <w:lang w:val="lt-LT"/>
        </w:rPr>
        <w:tab/>
        <w:t>UNIKALUS IDENTIFIKATORIUS – ŽMONĖMS SUPRANTAMI DUOMENYS</w:t>
      </w:r>
    </w:p>
    <w:p w14:paraId="4769127E" w14:textId="77777777" w:rsidR="00E0107B" w:rsidRPr="00514245" w:rsidRDefault="00E0107B" w:rsidP="00E0107B">
      <w:pPr>
        <w:spacing w:after="0" w:line="240" w:lineRule="auto"/>
        <w:rPr>
          <w:lang w:val="lt-LT"/>
        </w:rPr>
      </w:pPr>
    </w:p>
    <w:p w14:paraId="24F74457" w14:textId="452FE79D" w:rsidR="00E0107B" w:rsidRPr="00514245" w:rsidRDefault="00E0107B" w:rsidP="00E0107B">
      <w:pPr>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PC </w:t>
      </w:r>
    </w:p>
    <w:p w14:paraId="3D058BE8" w14:textId="59D54A13" w:rsidR="00E0107B" w:rsidRPr="00514245" w:rsidRDefault="00E0107B" w:rsidP="00E0107B">
      <w:pPr>
        <w:spacing w:after="0" w:line="240" w:lineRule="auto"/>
        <w:rPr>
          <w:rFonts w:ascii="Times New Roman" w:eastAsia="Times New Roman" w:hAnsi="Times New Roman"/>
          <w:lang w:val="lt-LT"/>
        </w:rPr>
      </w:pPr>
      <w:r w:rsidRPr="00514245">
        <w:rPr>
          <w:rFonts w:ascii="Times New Roman" w:eastAsia="Times New Roman" w:hAnsi="Times New Roman"/>
          <w:lang w:val="lt-LT"/>
        </w:rPr>
        <w:t xml:space="preserve">SN </w:t>
      </w:r>
    </w:p>
    <w:p w14:paraId="39F30B73" w14:textId="77777777" w:rsidR="00BA0F1B" w:rsidRPr="00514245" w:rsidRDefault="00E0107B" w:rsidP="00E0107B">
      <w:pPr>
        <w:spacing w:after="0" w:line="240" w:lineRule="auto"/>
        <w:rPr>
          <w:rFonts w:ascii="Times New Roman" w:eastAsia="Times New Roman" w:hAnsi="Times New Roman"/>
          <w:lang w:val="lt-LT"/>
        </w:rPr>
      </w:pPr>
      <w:r w:rsidRPr="00514245">
        <w:rPr>
          <w:rFonts w:ascii="Times New Roman" w:eastAsia="Times New Roman" w:hAnsi="Times New Roman"/>
          <w:lang w:val="lt-LT"/>
        </w:rPr>
        <w:t>NN</w:t>
      </w:r>
    </w:p>
    <w:p w14:paraId="0F456D08" w14:textId="77777777" w:rsidR="00BA0F1B" w:rsidRPr="00514245" w:rsidRDefault="00BA0F1B">
      <w:pPr>
        <w:spacing w:after="0" w:line="240" w:lineRule="auto"/>
        <w:rPr>
          <w:rFonts w:ascii="Times New Roman" w:eastAsia="Times New Roman" w:hAnsi="Times New Roman"/>
          <w:lang w:val="lt-LT"/>
        </w:rPr>
      </w:pPr>
      <w:r w:rsidRPr="00514245">
        <w:rPr>
          <w:rFonts w:ascii="Times New Roman" w:eastAsia="Times New Roman" w:hAnsi="Times New Roman"/>
          <w:lang w:val="lt-LT"/>
        </w:rPr>
        <w:br w:type="page"/>
      </w:r>
    </w:p>
    <w:p w14:paraId="41B9EC38" w14:textId="77777777"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bidi="ar-SA"/>
        </w:rPr>
      </w:pPr>
      <w:r w:rsidRPr="00514245">
        <w:rPr>
          <w:rFonts w:ascii="Times New Roman" w:eastAsia="Times New Roman" w:hAnsi="Times New Roman"/>
          <w:b/>
          <w:lang w:val="lt-LT" w:bidi="ar-SA"/>
        </w:rPr>
        <w:lastRenderedPageBreak/>
        <w:t>MINIMALI INFORMACIJA ANT LIZDINIŲ PLOKŠTELIŲ ARBA DVISLUOKSNIŲ JUOSTELIŲ</w:t>
      </w:r>
    </w:p>
    <w:p w14:paraId="14A8019B" w14:textId="77777777"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bidi="ar-SA"/>
        </w:rPr>
      </w:pPr>
    </w:p>
    <w:p w14:paraId="0C5241F2" w14:textId="2BC6F14D"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val="lt-LT" w:bidi="ar-SA"/>
        </w:rPr>
      </w:pPr>
      <w:r w:rsidRPr="00514245">
        <w:rPr>
          <w:rFonts w:ascii="Times New Roman" w:eastAsia="Times New Roman" w:hAnsi="Times New Roman"/>
          <w:b/>
          <w:lang w:val="lt-LT" w:bidi="ar-SA"/>
        </w:rPr>
        <w:t>LIZDINĖ PLOKŠTELĖ</w:t>
      </w:r>
      <w:r w:rsidR="00C77A13" w:rsidRPr="00514245">
        <w:rPr>
          <w:rFonts w:ascii="Times New Roman" w:eastAsia="Times New Roman" w:hAnsi="Times New Roman"/>
          <w:b/>
          <w:lang w:val="lt-LT" w:bidi="ar-SA"/>
        </w:rPr>
        <w:t xml:space="preserve"> </w:t>
      </w:r>
    </w:p>
    <w:p w14:paraId="4AB8A1F4" w14:textId="77777777" w:rsidR="00E0107B" w:rsidRPr="00514245" w:rsidRDefault="00E0107B" w:rsidP="00E0107B">
      <w:pPr>
        <w:spacing w:after="0" w:line="240" w:lineRule="auto"/>
        <w:rPr>
          <w:rFonts w:ascii="Times New Roman" w:eastAsia="Times New Roman" w:hAnsi="Times New Roman"/>
          <w:b/>
          <w:bCs/>
          <w:lang w:val="lt-LT" w:bidi="ar-SA"/>
        </w:rPr>
      </w:pPr>
    </w:p>
    <w:p w14:paraId="2829DA98" w14:textId="77777777" w:rsidR="00E0107B" w:rsidRPr="00514245" w:rsidRDefault="00E0107B" w:rsidP="00E0107B">
      <w:pPr>
        <w:spacing w:after="0" w:line="240" w:lineRule="auto"/>
        <w:jc w:val="both"/>
        <w:rPr>
          <w:rFonts w:ascii="Times New Roman" w:eastAsia="Times New Roman" w:hAnsi="Times New Roman"/>
          <w:b/>
          <w:bCs/>
          <w:lang w:val="lt-LT" w:bidi="ar-SA"/>
        </w:rPr>
      </w:pPr>
    </w:p>
    <w:p w14:paraId="68B3C199" w14:textId="77777777"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val="lt-LT" w:bidi="ar-SA"/>
        </w:rPr>
      </w:pPr>
      <w:r w:rsidRPr="00514245">
        <w:rPr>
          <w:rFonts w:ascii="Times New Roman" w:eastAsia="Times New Roman" w:hAnsi="Times New Roman"/>
          <w:b/>
          <w:lang w:val="lt-LT" w:bidi="ar-SA"/>
        </w:rPr>
        <w:t xml:space="preserve">1. </w:t>
      </w:r>
      <w:r w:rsidRPr="00514245">
        <w:rPr>
          <w:rFonts w:ascii="Times New Roman" w:eastAsia="Times New Roman" w:hAnsi="Times New Roman"/>
          <w:b/>
          <w:lang w:val="lt-LT" w:bidi="ar-SA"/>
        </w:rPr>
        <w:tab/>
        <w:t>VAISTINIO PREPARATO PAVADINIMAS</w:t>
      </w:r>
    </w:p>
    <w:p w14:paraId="5316F641" w14:textId="77777777" w:rsidR="00E0107B" w:rsidRPr="00514245" w:rsidRDefault="00E0107B" w:rsidP="00E0107B">
      <w:pPr>
        <w:spacing w:after="0" w:line="240" w:lineRule="auto"/>
        <w:rPr>
          <w:rFonts w:ascii="Times New Roman" w:eastAsia="Times New Roman" w:hAnsi="Times New Roman"/>
          <w:b/>
          <w:bCs/>
          <w:lang w:val="lt-LT" w:bidi="ar-SA"/>
        </w:rPr>
      </w:pPr>
    </w:p>
    <w:p w14:paraId="349CF69D" w14:textId="77777777" w:rsidR="00B45A6E" w:rsidRPr="00514245" w:rsidRDefault="00B45A6E" w:rsidP="00B45A6E">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lang w:val="lt-LT"/>
        </w:rPr>
        <w:t xml:space="preserve">Vortioxetine Zentiva 5 mg </w:t>
      </w:r>
      <w:r w:rsidRPr="00B45A6E">
        <w:rPr>
          <w:rFonts w:ascii="Times New Roman" w:hAnsi="Times New Roman"/>
          <w:i/>
          <w:iCs/>
          <w:highlight w:val="darkGray"/>
          <w:lang w:val="lt-LT"/>
        </w:rPr>
        <w:t>plėvele dengtos</w:t>
      </w:r>
      <w:r w:rsidRPr="00514245">
        <w:rPr>
          <w:rFonts w:ascii="Times New Roman" w:hAnsi="Times New Roman"/>
          <w:lang w:val="lt-LT"/>
        </w:rPr>
        <w:t xml:space="preserve"> tabletės</w:t>
      </w:r>
    </w:p>
    <w:p w14:paraId="04ADAD0C" w14:textId="77777777" w:rsidR="00B45A6E" w:rsidRPr="001231F2" w:rsidRDefault="00B45A6E" w:rsidP="00B45A6E">
      <w:pPr>
        <w:widowControl w:val="0"/>
        <w:autoSpaceDE w:val="0"/>
        <w:autoSpaceDN w:val="0"/>
        <w:adjustRightInd w:val="0"/>
        <w:spacing w:after="0" w:line="240" w:lineRule="auto"/>
        <w:rPr>
          <w:rFonts w:ascii="Times New Roman" w:eastAsia="Times New Roman" w:hAnsi="Times New Roman"/>
          <w:highlight w:val="lightGray"/>
          <w:lang w:val="lt-LT"/>
        </w:rPr>
      </w:pPr>
      <w:r w:rsidRPr="001231F2">
        <w:rPr>
          <w:rFonts w:ascii="Times New Roman" w:hAnsi="Times New Roman"/>
          <w:highlight w:val="lightGray"/>
          <w:lang w:val="lt-LT"/>
        </w:rPr>
        <w:t xml:space="preserve">Vortioxetine Zentiva 10 mg </w:t>
      </w:r>
      <w:r w:rsidRPr="00B45A6E">
        <w:rPr>
          <w:rFonts w:ascii="Times New Roman" w:hAnsi="Times New Roman"/>
          <w:i/>
          <w:iCs/>
          <w:highlight w:val="darkGray"/>
          <w:lang w:val="lt-LT"/>
        </w:rPr>
        <w:t>plėvele dengtos</w:t>
      </w:r>
      <w:r w:rsidRPr="00B45A6E">
        <w:rPr>
          <w:rFonts w:ascii="Times New Roman" w:hAnsi="Times New Roman"/>
          <w:highlight w:val="darkGray"/>
          <w:lang w:val="lt-LT"/>
        </w:rPr>
        <w:t xml:space="preserve"> </w:t>
      </w:r>
      <w:r w:rsidRPr="001231F2">
        <w:rPr>
          <w:rFonts w:ascii="Times New Roman" w:hAnsi="Times New Roman"/>
          <w:highlight w:val="lightGray"/>
          <w:lang w:val="lt-LT"/>
        </w:rPr>
        <w:t>tabletės</w:t>
      </w:r>
    </w:p>
    <w:p w14:paraId="6C5E65B7" w14:textId="77777777" w:rsidR="00B45A6E" w:rsidRPr="00514245" w:rsidRDefault="00B45A6E" w:rsidP="00B45A6E">
      <w:pPr>
        <w:tabs>
          <w:tab w:val="left" w:pos="8505"/>
        </w:tabs>
        <w:spacing w:after="0" w:line="240" w:lineRule="auto"/>
        <w:jc w:val="both"/>
        <w:rPr>
          <w:rFonts w:ascii="Times New Roman" w:eastAsia="Times New Roman" w:hAnsi="Times New Roman"/>
          <w:i/>
          <w:iCs/>
          <w:lang w:val="lt-LT" w:bidi="ar-SA"/>
        </w:rPr>
      </w:pPr>
      <w:proofErr w:type="spellStart"/>
      <w:r>
        <w:rPr>
          <w:rFonts w:ascii="Times New Roman" w:hAnsi="Times New Roman"/>
          <w:i/>
          <w:iCs/>
          <w:lang w:val="lt-LT"/>
        </w:rPr>
        <w:t>vortioxetinum</w:t>
      </w:r>
      <w:proofErr w:type="spellEnd"/>
    </w:p>
    <w:p w14:paraId="3E0AA1F8" w14:textId="77777777" w:rsidR="00E0107B" w:rsidRPr="00514245" w:rsidRDefault="00E0107B" w:rsidP="00E0107B">
      <w:pPr>
        <w:spacing w:after="0" w:line="240" w:lineRule="auto"/>
        <w:jc w:val="both"/>
        <w:rPr>
          <w:rFonts w:ascii="Times New Roman" w:eastAsia="Times New Roman" w:hAnsi="Times New Roman"/>
          <w:b/>
          <w:bCs/>
          <w:lang w:val="lt-LT" w:bidi="ar-SA"/>
        </w:rPr>
      </w:pPr>
    </w:p>
    <w:p w14:paraId="38F478B1" w14:textId="77777777" w:rsidR="00E0107B" w:rsidRPr="00514245" w:rsidRDefault="00E0107B" w:rsidP="00E0107B">
      <w:pPr>
        <w:spacing w:after="0" w:line="240" w:lineRule="auto"/>
        <w:jc w:val="both"/>
        <w:rPr>
          <w:rFonts w:ascii="Times New Roman" w:eastAsia="Times New Roman" w:hAnsi="Times New Roman"/>
          <w:b/>
          <w:bCs/>
          <w:lang w:val="lt-LT" w:bidi="ar-SA"/>
        </w:rPr>
      </w:pPr>
    </w:p>
    <w:p w14:paraId="15C6F0BA" w14:textId="77777777"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val="lt-LT" w:bidi="ar-SA"/>
        </w:rPr>
      </w:pPr>
      <w:r w:rsidRPr="00514245">
        <w:rPr>
          <w:rFonts w:ascii="Times New Roman" w:eastAsia="Times New Roman" w:hAnsi="Times New Roman"/>
          <w:b/>
          <w:lang w:val="lt-LT" w:bidi="ar-SA"/>
        </w:rPr>
        <w:t xml:space="preserve">2. </w:t>
      </w:r>
      <w:r w:rsidRPr="00514245">
        <w:rPr>
          <w:rFonts w:ascii="Times New Roman" w:eastAsia="Times New Roman" w:hAnsi="Times New Roman"/>
          <w:b/>
          <w:lang w:val="lt-LT" w:bidi="ar-SA"/>
        </w:rPr>
        <w:tab/>
        <w:t>REGISTRUOTOJO PAVADINIMAS</w:t>
      </w:r>
    </w:p>
    <w:p w14:paraId="0C0DBB8F" w14:textId="77777777" w:rsidR="00E0107B" w:rsidRPr="00514245" w:rsidRDefault="00E0107B" w:rsidP="00E0107B">
      <w:pPr>
        <w:spacing w:after="0" w:line="240" w:lineRule="auto"/>
        <w:ind w:left="720" w:hanging="720"/>
        <w:jc w:val="both"/>
        <w:rPr>
          <w:rFonts w:ascii="Times New Roman" w:eastAsia="Times New Roman" w:hAnsi="Times New Roman"/>
          <w:b/>
          <w:bCs/>
          <w:lang w:val="lt-LT" w:bidi="ar-SA"/>
        </w:rPr>
      </w:pPr>
    </w:p>
    <w:p w14:paraId="05E101F8" w14:textId="182984A6" w:rsidR="00E0107B" w:rsidRPr="00514245" w:rsidRDefault="00FC0B3A" w:rsidP="00E0107B">
      <w:pPr>
        <w:spacing w:after="0" w:line="240" w:lineRule="auto"/>
        <w:rPr>
          <w:rFonts w:ascii="Times New Roman" w:eastAsia="Times New Roman" w:hAnsi="Times New Roman"/>
          <w:lang w:val="lt-LT" w:bidi="ar-SA"/>
        </w:rPr>
      </w:pPr>
      <w:proofErr w:type="spellStart"/>
      <w:r w:rsidRPr="00514245">
        <w:rPr>
          <w:rFonts w:ascii="Times New Roman" w:eastAsia="Times New Roman" w:hAnsi="Times New Roman"/>
          <w:lang w:val="lt-LT" w:bidi="ar-SA"/>
        </w:rPr>
        <w:t>Zentiva</w:t>
      </w:r>
      <w:proofErr w:type="spellEnd"/>
      <w:r w:rsidRPr="00514245">
        <w:rPr>
          <w:rFonts w:ascii="Times New Roman" w:eastAsia="Times New Roman" w:hAnsi="Times New Roman"/>
          <w:lang w:val="lt-LT" w:bidi="ar-SA"/>
        </w:rPr>
        <w:t xml:space="preserve"> [</w:t>
      </w:r>
      <w:proofErr w:type="spellStart"/>
      <w:r w:rsidRPr="00514245">
        <w:rPr>
          <w:rFonts w:ascii="Times New Roman" w:eastAsia="Times New Roman" w:hAnsi="Times New Roman"/>
          <w:lang w:val="lt-LT" w:bidi="ar-SA"/>
        </w:rPr>
        <w:t>logo</w:t>
      </w:r>
      <w:proofErr w:type="spellEnd"/>
      <w:r w:rsidRPr="00514245">
        <w:rPr>
          <w:rFonts w:ascii="Times New Roman" w:eastAsia="Times New Roman" w:hAnsi="Times New Roman"/>
          <w:lang w:val="lt-LT" w:bidi="ar-SA"/>
        </w:rPr>
        <w:t>]</w:t>
      </w:r>
    </w:p>
    <w:p w14:paraId="2415303B" w14:textId="77777777" w:rsidR="00E0107B" w:rsidRPr="00514245" w:rsidRDefault="00E0107B" w:rsidP="00E0107B">
      <w:pPr>
        <w:spacing w:after="0" w:line="240" w:lineRule="auto"/>
        <w:ind w:left="720" w:hanging="720"/>
        <w:jc w:val="both"/>
        <w:rPr>
          <w:rFonts w:ascii="Times New Roman" w:eastAsia="Times New Roman" w:hAnsi="Times New Roman"/>
          <w:b/>
          <w:bCs/>
          <w:lang w:val="lt-LT" w:bidi="ar-SA"/>
        </w:rPr>
      </w:pPr>
    </w:p>
    <w:p w14:paraId="5BE8168E" w14:textId="77777777" w:rsidR="00E0107B" w:rsidRPr="00514245" w:rsidRDefault="00E0107B" w:rsidP="00E0107B">
      <w:pPr>
        <w:spacing w:after="0" w:line="240" w:lineRule="auto"/>
        <w:ind w:left="720" w:hanging="720"/>
        <w:jc w:val="both"/>
        <w:rPr>
          <w:rFonts w:ascii="Times New Roman" w:eastAsia="Times New Roman" w:hAnsi="Times New Roman"/>
          <w:b/>
          <w:bCs/>
          <w:lang w:val="lt-LT" w:bidi="ar-SA"/>
        </w:rPr>
      </w:pPr>
    </w:p>
    <w:p w14:paraId="71B63E98" w14:textId="77777777"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val="lt-LT" w:bidi="ar-SA"/>
        </w:rPr>
      </w:pPr>
      <w:r w:rsidRPr="00514245">
        <w:rPr>
          <w:rFonts w:ascii="Times New Roman" w:eastAsia="Times New Roman" w:hAnsi="Times New Roman"/>
          <w:b/>
          <w:lang w:val="lt-LT" w:bidi="ar-SA"/>
        </w:rPr>
        <w:t xml:space="preserve">3. </w:t>
      </w:r>
      <w:r w:rsidRPr="00514245">
        <w:rPr>
          <w:rFonts w:ascii="Times New Roman" w:eastAsia="Times New Roman" w:hAnsi="Times New Roman"/>
          <w:b/>
          <w:lang w:val="lt-LT" w:bidi="ar-SA"/>
        </w:rPr>
        <w:tab/>
        <w:t>TINKAMUMO LAIKAS</w:t>
      </w:r>
    </w:p>
    <w:p w14:paraId="778C3478" w14:textId="77777777" w:rsidR="00E0107B" w:rsidRPr="00514245" w:rsidRDefault="00E0107B" w:rsidP="00E0107B">
      <w:pPr>
        <w:spacing w:after="0" w:line="240" w:lineRule="auto"/>
        <w:ind w:left="720" w:hanging="720"/>
        <w:rPr>
          <w:rFonts w:ascii="Times New Roman" w:eastAsia="Times New Roman" w:hAnsi="Times New Roman"/>
          <w:b/>
          <w:bCs/>
          <w:lang w:val="lt-LT" w:bidi="ar-SA"/>
        </w:rPr>
      </w:pPr>
    </w:p>
    <w:p w14:paraId="58C5C51F" w14:textId="4FDD1775" w:rsidR="00E0107B" w:rsidRPr="00514245" w:rsidRDefault="00E0107B" w:rsidP="00E0107B">
      <w:pPr>
        <w:spacing w:after="0" w:line="240" w:lineRule="auto"/>
        <w:rPr>
          <w:rFonts w:ascii="Times New Roman" w:eastAsia="Times New Roman" w:hAnsi="Times New Roman"/>
          <w:lang w:val="lt-LT" w:bidi="ar-SA"/>
        </w:rPr>
      </w:pPr>
      <w:r w:rsidRPr="00514245">
        <w:rPr>
          <w:rFonts w:ascii="Times New Roman" w:eastAsia="Times New Roman" w:hAnsi="Times New Roman"/>
          <w:lang w:val="lt-LT" w:bidi="ar-SA"/>
        </w:rPr>
        <w:t>EXP</w:t>
      </w:r>
      <w:r w:rsidR="00C77A13" w:rsidRPr="00514245">
        <w:rPr>
          <w:rFonts w:ascii="Times New Roman" w:eastAsia="Times New Roman" w:hAnsi="Times New Roman"/>
          <w:lang w:val="lt-LT" w:bidi="ar-SA"/>
        </w:rPr>
        <w:t xml:space="preserve"> {mm/MMMM}</w:t>
      </w:r>
    </w:p>
    <w:p w14:paraId="362814E6" w14:textId="77777777" w:rsidR="00E0107B" w:rsidRPr="00514245" w:rsidRDefault="00E0107B" w:rsidP="00E0107B">
      <w:pPr>
        <w:spacing w:after="0" w:line="240" w:lineRule="auto"/>
        <w:ind w:left="720" w:hanging="720"/>
        <w:jc w:val="both"/>
        <w:rPr>
          <w:rFonts w:ascii="Times New Roman" w:eastAsia="Times New Roman" w:hAnsi="Times New Roman"/>
          <w:b/>
          <w:bCs/>
          <w:lang w:val="lt-LT" w:bidi="ar-SA"/>
        </w:rPr>
      </w:pPr>
    </w:p>
    <w:p w14:paraId="3AB67ED7" w14:textId="77777777" w:rsidR="00E0107B" w:rsidRPr="00514245" w:rsidRDefault="00E0107B" w:rsidP="00E0107B">
      <w:pPr>
        <w:spacing w:after="0" w:line="240" w:lineRule="auto"/>
        <w:ind w:left="720" w:hanging="720"/>
        <w:jc w:val="both"/>
        <w:rPr>
          <w:rFonts w:ascii="Times New Roman" w:eastAsia="Times New Roman" w:hAnsi="Times New Roman"/>
          <w:b/>
          <w:bCs/>
          <w:lang w:val="lt-LT" w:bidi="ar-SA"/>
        </w:rPr>
      </w:pPr>
    </w:p>
    <w:p w14:paraId="062CDC4B" w14:textId="77777777" w:rsidR="00E0107B" w:rsidRPr="00514245"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val="lt-LT" w:bidi="ar-SA"/>
        </w:rPr>
      </w:pPr>
      <w:r w:rsidRPr="00514245">
        <w:rPr>
          <w:rFonts w:ascii="Times New Roman" w:eastAsia="Times New Roman" w:hAnsi="Times New Roman"/>
          <w:b/>
          <w:lang w:val="lt-LT" w:bidi="ar-SA"/>
        </w:rPr>
        <w:t xml:space="preserve">4. </w:t>
      </w:r>
      <w:r w:rsidRPr="00514245">
        <w:rPr>
          <w:rFonts w:ascii="Times New Roman" w:eastAsia="Times New Roman" w:hAnsi="Times New Roman"/>
          <w:b/>
          <w:lang w:val="lt-LT" w:bidi="ar-SA"/>
        </w:rPr>
        <w:tab/>
        <w:t>SERIJOS NUMERIS</w:t>
      </w:r>
    </w:p>
    <w:p w14:paraId="020BE917" w14:textId="77777777" w:rsidR="00E0107B" w:rsidRPr="00514245" w:rsidRDefault="00E0107B" w:rsidP="00E0107B">
      <w:pPr>
        <w:autoSpaceDE w:val="0"/>
        <w:autoSpaceDN w:val="0"/>
        <w:adjustRightInd w:val="0"/>
        <w:spacing w:after="0" w:line="240" w:lineRule="auto"/>
        <w:ind w:left="720" w:hanging="720"/>
        <w:rPr>
          <w:rFonts w:ascii="Times New Roman" w:eastAsia="Times New Roman" w:hAnsi="Times New Roman"/>
          <w:b/>
          <w:bCs/>
          <w:color w:val="000000"/>
          <w:lang w:val="lt-LT" w:bidi="ar-SA"/>
        </w:rPr>
      </w:pPr>
    </w:p>
    <w:p w14:paraId="1DF9C18B" w14:textId="27B289B1" w:rsidR="00E0107B" w:rsidRPr="00514245" w:rsidRDefault="00E0107B" w:rsidP="00E0107B">
      <w:pPr>
        <w:autoSpaceDE w:val="0"/>
        <w:autoSpaceDN w:val="0"/>
        <w:adjustRightInd w:val="0"/>
        <w:spacing w:after="0" w:line="240" w:lineRule="auto"/>
        <w:rPr>
          <w:rFonts w:ascii="Times New Roman" w:eastAsia="Times New Roman" w:hAnsi="Times New Roman"/>
          <w:color w:val="000000"/>
          <w:lang w:val="lt-LT" w:bidi="ar-SA"/>
        </w:rPr>
      </w:pPr>
      <w:r w:rsidRPr="00514245">
        <w:rPr>
          <w:rFonts w:ascii="Times New Roman" w:eastAsia="Times New Roman" w:hAnsi="Times New Roman"/>
          <w:color w:val="000000"/>
          <w:lang w:val="lt-LT" w:bidi="ar-SA"/>
        </w:rPr>
        <w:t>Lot</w:t>
      </w:r>
    </w:p>
    <w:p w14:paraId="1182AF18" w14:textId="77777777" w:rsidR="00E0107B" w:rsidRPr="00514245"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val="lt-LT" w:bidi="ar-SA"/>
        </w:rPr>
      </w:pPr>
    </w:p>
    <w:p w14:paraId="5D83DBAC" w14:textId="77777777" w:rsidR="00E0107B" w:rsidRPr="00514245"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val="lt-LT" w:bidi="ar-SA"/>
        </w:rPr>
      </w:pPr>
    </w:p>
    <w:p w14:paraId="268F38EB" w14:textId="77777777" w:rsidR="00E0107B" w:rsidRPr="00514245" w:rsidRDefault="00E0107B" w:rsidP="00E010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val="lt-LT" w:bidi="ar-SA"/>
        </w:rPr>
      </w:pPr>
      <w:r w:rsidRPr="00514245">
        <w:rPr>
          <w:rFonts w:ascii="Times New Roman" w:eastAsia="Times New Roman" w:hAnsi="Times New Roman"/>
          <w:b/>
          <w:color w:val="000000"/>
          <w:lang w:val="lt-LT" w:bidi="ar-SA"/>
        </w:rPr>
        <w:t xml:space="preserve">5. </w:t>
      </w:r>
      <w:r w:rsidRPr="00514245">
        <w:rPr>
          <w:rFonts w:ascii="Times New Roman" w:eastAsia="Times New Roman" w:hAnsi="Times New Roman"/>
          <w:b/>
          <w:color w:val="000000"/>
          <w:lang w:val="lt-LT" w:bidi="ar-SA"/>
        </w:rPr>
        <w:tab/>
        <w:t>KITA</w:t>
      </w:r>
    </w:p>
    <w:p w14:paraId="2BEA974B" w14:textId="77777777" w:rsidR="00E0107B" w:rsidRPr="00514245" w:rsidRDefault="00E0107B" w:rsidP="00E0107B">
      <w:pPr>
        <w:rPr>
          <w:lang w:val="lt-LT"/>
        </w:rPr>
        <w:sectPr w:rsidR="00E0107B" w:rsidRPr="00514245" w:rsidSect="00DC76BD">
          <w:headerReference w:type="even" r:id="rId9"/>
          <w:headerReference w:type="default" r:id="rId10"/>
          <w:footerReference w:type="even" r:id="rId11"/>
          <w:footerReference w:type="default" r:id="rId12"/>
          <w:pgSz w:w="11907" w:h="16840"/>
          <w:pgMar w:top="1134" w:right="1275" w:bottom="1134" w:left="1418" w:header="0" w:footer="0" w:gutter="0"/>
          <w:cols w:space="720"/>
          <w:docGrid w:linePitch="299"/>
        </w:sectPr>
      </w:pPr>
    </w:p>
    <w:p w14:paraId="0236C286"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09D141DC"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3BD84AB9"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73B775B5"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602BA1DB"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04ED2734"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1905A4CC"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088FF4B6"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15ABB25A"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76E5DE10"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6B8514EE"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6B80D7E2"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48E6E8D2"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5D7E9388"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5BEEC10A"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71708767"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05077468"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0A09622C"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2507E1CA"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3A6DD7E0"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22FF8FE2"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413F8CF8"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3E0FE4F4"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02CF3CD6"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635D8933"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166550DC" w14:textId="77777777" w:rsidR="00E0107B" w:rsidRPr="00514245" w:rsidRDefault="00E0107B" w:rsidP="00E0107B">
      <w:pPr>
        <w:tabs>
          <w:tab w:val="left" w:pos="567"/>
        </w:tabs>
        <w:spacing w:after="0" w:line="260" w:lineRule="exact"/>
        <w:outlineLvl w:val="0"/>
        <w:rPr>
          <w:rFonts w:ascii="Times New Roman" w:eastAsia="Times New Roman" w:hAnsi="Times New Roman"/>
          <w:snapToGrid w:val="0"/>
          <w:lang w:val="lt-LT" w:eastAsia="en-US" w:bidi="ar-SA"/>
        </w:rPr>
      </w:pPr>
    </w:p>
    <w:p w14:paraId="47DBBE8B" w14:textId="77777777" w:rsidR="00E0107B" w:rsidRPr="00514245" w:rsidRDefault="00E0107B" w:rsidP="00E0107B">
      <w:pPr>
        <w:tabs>
          <w:tab w:val="left" w:pos="567"/>
        </w:tabs>
        <w:spacing w:after="0" w:line="260" w:lineRule="exact"/>
        <w:jc w:val="center"/>
        <w:outlineLvl w:val="0"/>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B. PAKUOTĖS LAPELIS</w:t>
      </w:r>
    </w:p>
    <w:p w14:paraId="5429C44B" w14:textId="52466FC2" w:rsidR="00E0107B" w:rsidRPr="00514245" w:rsidRDefault="00E0107B" w:rsidP="00E0107B">
      <w:pPr>
        <w:widowControl w:val="0"/>
        <w:autoSpaceDE w:val="0"/>
        <w:autoSpaceDN w:val="0"/>
        <w:adjustRightInd w:val="0"/>
        <w:spacing w:after="0" w:line="240" w:lineRule="auto"/>
        <w:jc w:val="center"/>
        <w:rPr>
          <w:rFonts w:ascii="Times New Roman" w:eastAsia="Times New Roman" w:hAnsi="Times New Roman"/>
          <w:color w:val="000000"/>
          <w:lang w:val="lt-LT"/>
        </w:rPr>
      </w:pPr>
      <w:r w:rsidRPr="00514245">
        <w:rPr>
          <w:rFonts w:ascii="Times New Roman" w:eastAsia="Times New Roman" w:hAnsi="Times New Roman"/>
          <w:i/>
          <w:snapToGrid w:val="0"/>
          <w:lang w:val="lt-LT" w:eastAsia="en-US" w:bidi="ar-SA"/>
        </w:rPr>
        <w:br w:type="page"/>
      </w:r>
      <w:r w:rsidRPr="00514245">
        <w:rPr>
          <w:rFonts w:ascii="Times New Roman" w:hAnsi="Times New Roman"/>
          <w:b/>
          <w:color w:val="000000"/>
          <w:spacing w:val="2"/>
          <w:lang w:val="lt-LT"/>
        </w:rPr>
        <w:lastRenderedPageBreak/>
        <w:t xml:space="preserve">Pakuotės lapelis: informacija </w:t>
      </w:r>
      <w:r w:rsidR="00DB1657" w:rsidRPr="00514245">
        <w:rPr>
          <w:rFonts w:ascii="Times New Roman" w:hAnsi="Times New Roman"/>
          <w:b/>
          <w:color w:val="000000"/>
          <w:spacing w:val="2"/>
          <w:lang w:val="lt-LT"/>
        </w:rPr>
        <w:t>pacientui</w:t>
      </w:r>
    </w:p>
    <w:p w14:paraId="615C5D5E" w14:textId="77777777" w:rsidR="00E0107B" w:rsidRPr="00514245" w:rsidRDefault="00E0107B" w:rsidP="00E0107B">
      <w:pPr>
        <w:widowControl w:val="0"/>
        <w:autoSpaceDE w:val="0"/>
        <w:autoSpaceDN w:val="0"/>
        <w:adjustRightInd w:val="0"/>
        <w:spacing w:after="0" w:line="240" w:lineRule="auto"/>
        <w:jc w:val="center"/>
        <w:rPr>
          <w:rFonts w:ascii="Times New Roman" w:eastAsia="Times New Roman" w:hAnsi="Times New Roman"/>
          <w:color w:val="000000"/>
          <w:lang w:val="lt-LT"/>
        </w:rPr>
      </w:pPr>
    </w:p>
    <w:p w14:paraId="2405AEF7" w14:textId="77777777" w:rsidR="00B45A6E" w:rsidRPr="00B45A6E" w:rsidRDefault="00B45A6E" w:rsidP="00B45A6E">
      <w:pPr>
        <w:widowControl w:val="0"/>
        <w:autoSpaceDE w:val="0"/>
        <w:autoSpaceDN w:val="0"/>
        <w:adjustRightInd w:val="0"/>
        <w:spacing w:after="0" w:line="240" w:lineRule="auto"/>
        <w:jc w:val="center"/>
        <w:rPr>
          <w:rFonts w:ascii="Times New Roman" w:hAnsi="Times New Roman"/>
          <w:b/>
          <w:color w:val="000000"/>
          <w:spacing w:val="-1"/>
          <w:lang w:val="lt-LT"/>
        </w:rPr>
      </w:pPr>
      <w:r w:rsidRPr="00B45A6E">
        <w:rPr>
          <w:rFonts w:ascii="Times New Roman" w:hAnsi="Times New Roman"/>
          <w:b/>
          <w:color w:val="000000"/>
          <w:spacing w:val="-1"/>
          <w:lang w:val="lt-LT"/>
        </w:rPr>
        <w:t>Vortioxetine Zentiva 5 mg plėvele dengtos tabletės</w:t>
      </w:r>
    </w:p>
    <w:p w14:paraId="0915F933" w14:textId="77777777" w:rsidR="00B45A6E" w:rsidRPr="00B45A6E" w:rsidRDefault="00B45A6E" w:rsidP="00B45A6E">
      <w:pPr>
        <w:widowControl w:val="0"/>
        <w:autoSpaceDE w:val="0"/>
        <w:autoSpaceDN w:val="0"/>
        <w:adjustRightInd w:val="0"/>
        <w:spacing w:after="0" w:line="240" w:lineRule="auto"/>
        <w:jc w:val="center"/>
        <w:rPr>
          <w:rFonts w:ascii="Times New Roman" w:hAnsi="Times New Roman"/>
          <w:b/>
          <w:color w:val="000000"/>
          <w:spacing w:val="-1"/>
          <w:highlight w:val="lightGray"/>
          <w:lang w:val="lt-LT"/>
        </w:rPr>
      </w:pPr>
      <w:r w:rsidRPr="00B45A6E">
        <w:rPr>
          <w:rFonts w:ascii="Times New Roman" w:hAnsi="Times New Roman"/>
          <w:b/>
          <w:color w:val="000000"/>
          <w:spacing w:val="-1"/>
          <w:highlight w:val="lightGray"/>
          <w:lang w:val="lt-LT"/>
        </w:rPr>
        <w:t>Vortioxetine Zentiva 10 mg plėvele dengtos tabletės</w:t>
      </w:r>
    </w:p>
    <w:p w14:paraId="67825481" w14:textId="5D364F67" w:rsidR="00E0107B" w:rsidRPr="00514245" w:rsidRDefault="00B45A6E" w:rsidP="00E0107B">
      <w:pPr>
        <w:widowControl w:val="0"/>
        <w:autoSpaceDE w:val="0"/>
        <w:autoSpaceDN w:val="0"/>
        <w:adjustRightInd w:val="0"/>
        <w:spacing w:after="0" w:line="240" w:lineRule="auto"/>
        <w:jc w:val="center"/>
        <w:rPr>
          <w:rFonts w:ascii="Times New Roman" w:eastAsia="Times New Roman" w:hAnsi="Times New Roman"/>
          <w:color w:val="000000"/>
          <w:lang w:val="lt-LT"/>
        </w:rPr>
      </w:pPr>
      <w:r>
        <w:rPr>
          <w:rFonts w:ascii="Times New Roman" w:hAnsi="Times New Roman"/>
          <w:color w:val="000000"/>
          <w:spacing w:val="-1"/>
          <w:lang w:val="lt-LT"/>
        </w:rPr>
        <w:t>vortioksetinas</w:t>
      </w:r>
    </w:p>
    <w:p w14:paraId="0DF0BBB2" w14:textId="77777777" w:rsidR="00E0107B" w:rsidRPr="00514245" w:rsidRDefault="00E0107B" w:rsidP="00E0107B">
      <w:pPr>
        <w:widowControl w:val="0"/>
        <w:autoSpaceDE w:val="0"/>
        <w:autoSpaceDN w:val="0"/>
        <w:adjustRightInd w:val="0"/>
        <w:spacing w:after="0" w:line="240" w:lineRule="auto"/>
        <w:rPr>
          <w:rFonts w:ascii="Times New Roman" w:eastAsia="Times New Roman" w:hAnsi="Times New Roman"/>
          <w:color w:val="000000"/>
          <w:lang w:val="lt-LT"/>
        </w:rPr>
      </w:pPr>
    </w:p>
    <w:p w14:paraId="675D658B"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r w:rsidRPr="00514245">
        <w:rPr>
          <w:rFonts w:ascii="Times New Roman" w:hAnsi="Times New Roman"/>
          <w:b/>
          <w:color w:val="000000"/>
          <w:spacing w:val="-1"/>
          <w:lang w:val="lt-LT"/>
        </w:rPr>
        <w:t>Atidžiai perskaitykite visą šį lapelį, prieš pradėdami vartoti vaistą, nes jame pateikiama Jums svarbi informacija.</w:t>
      </w:r>
    </w:p>
    <w:p w14:paraId="050D6316" w14:textId="77777777" w:rsidR="00E0107B" w:rsidRPr="00514245"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1"/>
          <w:lang w:val="lt-LT"/>
        </w:rPr>
        <w:t>Neišmeskite šio lapelio, nes vėl gali prireikti jį perskaityti.</w:t>
      </w:r>
    </w:p>
    <w:p w14:paraId="6D9EF172" w14:textId="77777777" w:rsidR="00E0107B" w:rsidRPr="00514245"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4"/>
          <w:lang w:val="lt-LT"/>
        </w:rPr>
        <w:t>Jeigu kiltų daugiau klausimų, kreipkitės į gydytoją arba vaistininką.</w:t>
      </w:r>
    </w:p>
    <w:p w14:paraId="05A193EF" w14:textId="77777777" w:rsidR="00E0107B" w:rsidRPr="00514245"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2"/>
          <w:lang w:val="lt-LT"/>
        </w:rPr>
        <w:t>Šis vaistas skirtas tik Jums, todėl kitiems žmonėms jo duoti negalima. Vaistas gali jiems pakenkti (net tiems, kurių ligos požymiai yra tokie patys kaip Jūsų).</w:t>
      </w:r>
    </w:p>
    <w:p w14:paraId="22B4F27F" w14:textId="77777777" w:rsidR="00E0107B" w:rsidRPr="00514245"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lang w:val="lt-LT"/>
        </w:rPr>
      </w:pPr>
      <w:r w:rsidRPr="00514245">
        <w:rPr>
          <w:rFonts w:ascii="Times New Roman" w:hAnsi="Times New Roman"/>
          <w:color w:val="000000"/>
          <w:spacing w:val="-4"/>
          <w:lang w:val="lt-LT"/>
        </w:rPr>
        <w:t>Jeigu pasireiškė šalutinis poveikis (net jeigu jis šiame lapelyje nenurodytas), kreipkitės į gydytoją arba vaistininką</w:t>
      </w:r>
      <w:r w:rsidRPr="00514245">
        <w:rPr>
          <w:rFonts w:ascii="Times New Roman" w:hAnsi="Times New Roman"/>
          <w:color w:val="000000"/>
          <w:spacing w:val="-2"/>
          <w:lang w:val="lt-LT"/>
        </w:rPr>
        <w:t>. Žr. 4 skyrių.</w:t>
      </w:r>
    </w:p>
    <w:p w14:paraId="1173DAD6" w14:textId="77777777" w:rsidR="00E0107B" w:rsidRPr="00514245"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249F0F92" w14:textId="26C36B32" w:rsidR="00E0107B" w:rsidRPr="00514245" w:rsidRDefault="00E0107B" w:rsidP="00E0107B">
      <w:pPr>
        <w:widowControl w:val="0"/>
        <w:autoSpaceDE w:val="0"/>
        <w:autoSpaceDN w:val="0"/>
        <w:adjustRightInd w:val="0"/>
        <w:spacing w:after="0" w:line="240" w:lineRule="auto"/>
        <w:ind w:right="1"/>
        <w:rPr>
          <w:rFonts w:ascii="Times New Roman" w:hAnsi="Times New Roman"/>
          <w:b/>
          <w:lang w:val="lt-LT"/>
        </w:rPr>
      </w:pPr>
      <w:r w:rsidRPr="00514245">
        <w:rPr>
          <w:rFonts w:ascii="Times New Roman" w:hAnsi="Times New Roman"/>
          <w:b/>
          <w:lang w:val="lt-LT"/>
        </w:rPr>
        <w:t>Apie ką rašoma šiame lapelyje?</w:t>
      </w:r>
    </w:p>
    <w:p w14:paraId="31F42A0B" w14:textId="77777777" w:rsidR="00F34640" w:rsidRPr="00514245"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lang w:val="lt-LT"/>
        </w:rPr>
      </w:pPr>
    </w:p>
    <w:p w14:paraId="052526FD" w14:textId="2E1694AC"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lang w:val="lt-LT"/>
        </w:rPr>
        <w:t xml:space="preserve">Kas yra </w:t>
      </w:r>
      <w:r w:rsidR="00662355">
        <w:rPr>
          <w:rFonts w:ascii="Times New Roman" w:hAnsi="Times New Roman"/>
          <w:color w:val="000000"/>
          <w:lang w:val="lt-LT"/>
        </w:rPr>
        <w:t>Vortioxetine</w:t>
      </w:r>
      <w:r w:rsidR="00962664" w:rsidRPr="00514245">
        <w:rPr>
          <w:rFonts w:ascii="Times New Roman" w:hAnsi="Times New Roman"/>
          <w:color w:val="000000"/>
          <w:lang w:val="lt-LT"/>
        </w:rPr>
        <w:t xml:space="preserve"> Zentiva</w:t>
      </w:r>
      <w:r w:rsidRPr="00514245">
        <w:rPr>
          <w:rFonts w:ascii="Times New Roman" w:hAnsi="Times New Roman"/>
          <w:color w:val="000000"/>
          <w:lang w:val="lt-LT"/>
        </w:rPr>
        <w:t xml:space="preserve"> ir kam jis vartojamas</w:t>
      </w:r>
    </w:p>
    <w:p w14:paraId="7D556E4E" w14:textId="3D07D7D2"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1"/>
          <w:lang w:val="lt-LT"/>
        </w:rPr>
        <w:t xml:space="preserve">Kas žinotina prieš vartojant </w:t>
      </w:r>
      <w:r w:rsidR="00662355">
        <w:rPr>
          <w:rFonts w:ascii="Times New Roman" w:hAnsi="Times New Roman"/>
          <w:color w:val="000000"/>
          <w:lang w:val="lt-LT"/>
        </w:rPr>
        <w:t>Vortioxetine</w:t>
      </w:r>
      <w:r w:rsidR="00662355" w:rsidRPr="00514245">
        <w:rPr>
          <w:rFonts w:ascii="Times New Roman" w:hAnsi="Times New Roman"/>
          <w:color w:val="000000"/>
          <w:lang w:val="lt-LT"/>
        </w:rPr>
        <w:t xml:space="preserve"> </w:t>
      </w:r>
      <w:r w:rsidR="00962664" w:rsidRPr="00514245">
        <w:rPr>
          <w:rFonts w:ascii="Times New Roman" w:hAnsi="Times New Roman"/>
          <w:color w:val="000000"/>
          <w:spacing w:val="-1"/>
          <w:lang w:val="lt-LT"/>
        </w:rPr>
        <w:t>Zentiva</w:t>
      </w:r>
    </w:p>
    <w:p w14:paraId="5175A198" w14:textId="2AB36E40"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1"/>
          <w:lang w:val="lt-LT"/>
        </w:rPr>
        <w:t xml:space="preserve">Kaip vartoti </w:t>
      </w:r>
      <w:r w:rsidR="00662355">
        <w:rPr>
          <w:rFonts w:ascii="Times New Roman" w:hAnsi="Times New Roman"/>
          <w:color w:val="000000"/>
          <w:lang w:val="lt-LT"/>
        </w:rPr>
        <w:t>Vortioxetine</w:t>
      </w:r>
      <w:r w:rsidR="00662355" w:rsidRPr="00514245">
        <w:rPr>
          <w:rFonts w:ascii="Times New Roman" w:hAnsi="Times New Roman"/>
          <w:color w:val="000000"/>
          <w:lang w:val="lt-LT"/>
        </w:rPr>
        <w:t xml:space="preserve"> </w:t>
      </w:r>
      <w:r w:rsidR="00962664" w:rsidRPr="00514245">
        <w:rPr>
          <w:rFonts w:ascii="Times New Roman" w:hAnsi="Times New Roman"/>
          <w:color w:val="000000"/>
          <w:spacing w:val="-1"/>
          <w:lang w:val="lt-LT"/>
        </w:rPr>
        <w:t>Zentiva</w:t>
      </w:r>
    </w:p>
    <w:p w14:paraId="28C5166B" w14:textId="77777777"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lang w:val="lt-LT"/>
        </w:rPr>
        <w:t>Galimas šalutinis poveikis</w:t>
      </w:r>
    </w:p>
    <w:p w14:paraId="2BF9C450" w14:textId="55CA4969"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1"/>
          <w:lang w:val="lt-LT"/>
        </w:rPr>
        <w:t xml:space="preserve">Kaip laikyti </w:t>
      </w:r>
      <w:r w:rsidR="00662355">
        <w:rPr>
          <w:rFonts w:ascii="Times New Roman" w:hAnsi="Times New Roman"/>
          <w:color w:val="000000"/>
          <w:lang w:val="lt-LT"/>
        </w:rPr>
        <w:t>Vortioxetine</w:t>
      </w:r>
      <w:r w:rsidR="00662355" w:rsidRPr="00514245">
        <w:rPr>
          <w:rFonts w:ascii="Times New Roman" w:hAnsi="Times New Roman"/>
          <w:color w:val="000000"/>
          <w:lang w:val="lt-LT"/>
        </w:rPr>
        <w:t xml:space="preserve"> </w:t>
      </w:r>
      <w:r w:rsidR="00962664" w:rsidRPr="00514245">
        <w:rPr>
          <w:rFonts w:ascii="Times New Roman" w:hAnsi="Times New Roman"/>
          <w:color w:val="000000"/>
          <w:spacing w:val="-1"/>
          <w:lang w:val="lt-LT"/>
        </w:rPr>
        <w:t>Zentiva</w:t>
      </w:r>
    </w:p>
    <w:p w14:paraId="27ED08CE" w14:textId="77777777" w:rsidR="00E0107B" w:rsidRPr="00514245"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lang w:val="lt-LT"/>
        </w:rPr>
        <w:t>Pakuotės turinys ir kita informacija</w:t>
      </w:r>
    </w:p>
    <w:p w14:paraId="4B779536"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5A4124E"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25F246F" w14:textId="664C9264" w:rsidR="00E0107B" w:rsidRPr="00514245"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lang w:val="lt-LT"/>
        </w:rPr>
      </w:pPr>
      <w:r w:rsidRPr="00514245">
        <w:rPr>
          <w:rFonts w:ascii="Times New Roman" w:hAnsi="Times New Roman"/>
          <w:b/>
          <w:color w:val="000000"/>
          <w:spacing w:val="-1"/>
          <w:lang w:val="lt-LT"/>
        </w:rPr>
        <w:t xml:space="preserve">Kas yra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r w:rsidR="00CB1EA8" w:rsidRPr="00514245">
        <w:rPr>
          <w:rFonts w:ascii="Times New Roman" w:hAnsi="Times New Roman"/>
          <w:b/>
          <w:color w:val="000000"/>
          <w:spacing w:val="-1"/>
          <w:lang w:val="lt-LT"/>
        </w:rPr>
        <w:t xml:space="preserve"> </w:t>
      </w:r>
      <w:r w:rsidRPr="00514245">
        <w:rPr>
          <w:rFonts w:ascii="Times New Roman" w:hAnsi="Times New Roman"/>
          <w:b/>
          <w:color w:val="000000"/>
          <w:spacing w:val="-1"/>
          <w:lang w:val="lt-LT"/>
        </w:rPr>
        <w:t>ir kam jis vartojamas</w:t>
      </w:r>
    </w:p>
    <w:p w14:paraId="570597F4"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p>
    <w:p w14:paraId="2D2E278D" w14:textId="194CCE0C" w:rsidR="0069327B" w:rsidRPr="00514245" w:rsidRDefault="00662355" w:rsidP="00F416F7">
      <w:pPr>
        <w:keepNext/>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Vortioxetine </w:t>
      </w:r>
      <w:r w:rsidR="004C39E9" w:rsidRPr="00514245">
        <w:rPr>
          <w:rFonts w:ascii="Times New Roman" w:eastAsia="Times New Roman" w:hAnsi="Times New Roman"/>
          <w:color w:val="000000"/>
          <w:lang w:val="lt-LT"/>
        </w:rPr>
        <w:t>Zentiva</w:t>
      </w:r>
      <w:r w:rsidR="0069327B" w:rsidRPr="00514245">
        <w:rPr>
          <w:rFonts w:ascii="Times New Roman" w:eastAsia="Times New Roman" w:hAnsi="Times New Roman"/>
          <w:color w:val="000000"/>
          <w:lang w:val="lt-LT"/>
        </w:rPr>
        <w:t xml:space="preserve"> sudėtyje yra veikliosios medžiagos </w:t>
      </w:r>
      <w:r>
        <w:rPr>
          <w:rFonts w:ascii="Times New Roman" w:eastAsia="Times New Roman" w:hAnsi="Times New Roman"/>
          <w:color w:val="000000"/>
          <w:lang w:val="lt-LT"/>
        </w:rPr>
        <w:t>vortioksetino</w:t>
      </w:r>
      <w:r w:rsidR="0069327B" w:rsidRPr="00514245">
        <w:rPr>
          <w:rFonts w:ascii="Times New Roman" w:eastAsia="Times New Roman" w:hAnsi="Times New Roman"/>
          <w:color w:val="000000"/>
          <w:lang w:val="lt-LT"/>
        </w:rPr>
        <w:t xml:space="preserve">. </w:t>
      </w:r>
      <w:r w:rsidRPr="00662355">
        <w:rPr>
          <w:rFonts w:ascii="Times New Roman" w:eastAsia="Times New Roman" w:hAnsi="Times New Roman"/>
          <w:color w:val="000000"/>
          <w:lang w:val="lt-LT"/>
        </w:rPr>
        <w:t>Jis priklauso vaistų, vadinamų antidepresantais, grupei.</w:t>
      </w:r>
    </w:p>
    <w:p w14:paraId="2A41C611" w14:textId="77777777" w:rsidR="0069327B" w:rsidRPr="00514245" w:rsidRDefault="0069327B" w:rsidP="0069327B">
      <w:pPr>
        <w:keepNext/>
        <w:autoSpaceDE w:val="0"/>
        <w:autoSpaceDN w:val="0"/>
        <w:adjustRightInd w:val="0"/>
        <w:spacing w:after="0" w:line="240" w:lineRule="auto"/>
        <w:rPr>
          <w:rFonts w:ascii="Times New Roman" w:eastAsia="Times New Roman" w:hAnsi="Times New Roman"/>
          <w:color w:val="000000"/>
          <w:lang w:val="lt-LT"/>
        </w:rPr>
      </w:pPr>
    </w:p>
    <w:p w14:paraId="7EB48CBE" w14:textId="4BA0DD67" w:rsidR="00662355" w:rsidRDefault="00662355" w:rsidP="00662355">
      <w:pPr>
        <w:keepNext/>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Vortioxetine </w:t>
      </w:r>
      <w:r w:rsidR="0069327B" w:rsidRPr="00514245">
        <w:rPr>
          <w:rFonts w:ascii="Times New Roman" w:eastAsia="Times New Roman" w:hAnsi="Times New Roman"/>
          <w:color w:val="000000"/>
          <w:lang w:val="lt-LT"/>
        </w:rPr>
        <w:t xml:space="preserve">Zentiva </w:t>
      </w:r>
      <w:r w:rsidR="00F416F7" w:rsidRPr="00514245">
        <w:rPr>
          <w:rFonts w:ascii="Times New Roman" w:eastAsia="Times New Roman" w:hAnsi="Times New Roman"/>
          <w:color w:val="000000"/>
          <w:lang w:val="lt-LT"/>
        </w:rPr>
        <w:t>vartojamas</w:t>
      </w:r>
      <w:r>
        <w:rPr>
          <w:rFonts w:ascii="Times New Roman" w:eastAsia="Times New Roman" w:hAnsi="Times New Roman"/>
          <w:color w:val="000000"/>
          <w:lang w:val="lt-LT"/>
        </w:rPr>
        <w:t xml:space="preserve"> </w:t>
      </w:r>
      <w:r w:rsidRPr="00662355">
        <w:rPr>
          <w:rFonts w:ascii="Times New Roman" w:eastAsia="Times New Roman" w:hAnsi="Times New Roman"/>
          <w:color w:val="000000"/>
          <w:lang w:val="lt-LT"/>
        </w:rPr>
        <w:t>suaugu</w:t>
      </w:r>
      <w:r>
        <w:rPr>
          <w:rFonts w:ascii="Times New Roman" w:eastAsia="Times New Roman" w:hAnsi="Times New Roman"/>
          <w:color w:val="000000"/>
          <w:lang w:val="lt-LT"/>
        </w:rPr>
        <w:t>sie</w:t>
      </w:r>
      <w:r w:rsidRPr="00662355">
        <w:rPr>
          <w:rFonts w:ascii="Times New Roman" w:eastAsia="Times New Roman" w:hAnsi="Times New Roman"/>
          <w:color w:val="000000"/>
          <w:lang w:val="lt-LT"/>
        </w:rPr>
        <w:t>siems</w:t>
      </w:r>
      <w:r>
        <w:rPr>
          <w:rFonts w:ascii="Times New Roman" w:eastAsia="Times New Roman" w:hAnsi="Times New Roman"/>
          <w:color w:val="000000"/>
          <w:lang w:val="lt-LT"/>
        </w:rPr>
        <w:t xml:space="preserve"> </w:t>
      </w:r>
      <w:r w:rsidRPr="00662355">
        <w:rPr>
          <w:rFonts w:ascii="Times New Roman" w:eastAsia="Times New Roman" w:hAnsi="Times New Roman"/>
          <w:color w:val="000000"/>
          <w:lang w:val="lt-LT"/>
        </w:rPr>
        <w:t xml:space="preserve">didžiosios depresijos epizodams gydyti. </w:t>
      </w:r>
    </w:p>
    <w:p w14:paraId="2D5C4EA7" w14:textId="77777777" w:rsidR="00662355" w:rsidRPr="00662355" w:rsidRDefault="00662355" w:rsidP="00662355">
      <w:pPr>
        <w:keepNext/>
        <w:autoSpaceDE w:val="0"/>
        <w:autoSpaceDN w:val="0"/>
        <w:adjustRightInd w:val="0"/>
        <w:spacing w:after="0" w:line="240" w:lineRule="auto"/>
        <w:rPr>
          <w:rFonts w:ascii="Times New Roman" w:eastAsia="Times New Roman" w:hAnsi="Times New Roman"/>
          <w:color w:val="000000"/>
          <w:lang w:val="lt-LT"/>
        </w:rPr>
      </w:pPr>
    </w:p>
    <w:p w14:paraId="712F6C95" w14:textId="7A7125D2" w:rsidR="00F416F7" w:rsidRPr="00514245" w:rsidRDefault="00662355" w:rsidP="00662355">
      <w:pPr>
        <w:keepNext/>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Nustatyta, kad </w:t>
      </w:r>
      <w:r>
        <w:rPr>
          <w:rFonts w:ascii="Times New Roman" w:eastAsia="Times New Roman" w:hAnsi="Times New Roman"/>
          <w:color w:val="000000"/>
          <w:lang w:val="lt-LT"/>
        </w:rPr>
        <w:t>Vortioxetine Zentiva</w:t>
      </w:r>
      <w:r w:rsidRPr="00662355">
        <w:rPr>
          <w:rFonts w:ascii="Times New Roman" w:eastAsia="Times New Roman" w:hAnsi="Times New Roman"/>
          <w:color w:val="000000"/>
          <w:lang w:val="lt-LT"/>
        </w:rPr>
        <w:t xml:space="preserve"> mažina platų spektrą depresijos simptomų, įskaitant liūdesį, vidinę įtampą (nerimo jutimą), miego sutrikimus (miego sutrumpėjimą), apetito sumažėjimą, negalėjimą susikaupti, menkavertiškumo jutimą, susidomėjimo mėgstama veikla išnykimą, sulėtėjimo pojūtį.</w:t>
      </w:r>
    </w:p>
    <w:p w14:paraId="1F8756AE" w14:textId="48DBA317" w:rsidR="004C39E9" w:rsidRPr="00514245" w:rsidRDefault="004C39E9" w:rsidP="00D0518C">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CD7470D" w14:textId="77777777" w:rsidR="007233AC" w:rsidRPr="00514245" w:rsidRDefault="007233AC" w:rsidP="00D0518C">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B1F10BB" w14:textId="7559CDF1" w:rsidR="00E0107B" w:rsidRPr="00514245"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lang w:val="lt-LT"/>
        </w:rPr>
      </w:pPr>
      <w:r w:rsidRPr="00514245">
        <w:rPr>
          <w:rFonts w:ascii="Times New Roman" w:hAnsi="Times New Roman"/>
          <w:b/>
          <w:color w:val="000000"/>
          <w:spacing w:val="-1"/>
          <w:lang w:val="lt-LT"/>
        </w:rPr>
        <w:t xml:space="preserve">Kas žinotina prieš vartojant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p>
    <w:p w14:paraId="31D1ABF4" w14:textId="49B7AF78"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lang w:val="lt-LT"/>
        </w:rPr>
      </w:pPr>
    </w:p>
    <w:p w14:paraId="53BE7732" w14:textId="317C6E20" w:rsidR="00E0107B" w:rsidRPr="00514245" w:rsidRDefault="00662355" w:rsidP="00F40D37">
      <w:pPr>
        <w:keepNext/>
        <w:tabs>
          <w:tab w:val="left" w:pos="680"/>
        </w:tabs>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r w:rsidR="003A0D01" w:rsidRPr="00514245">
        <w:rPr>
          <w:rFonts w:ascii="Times New Roman" w:hAnsi="Times New Roman"/>
          <w:b/>
          <w:color w:val="000000"/>
          <w:spacing w:val="-1"/>
          <w:lang w:val="lt-LT"/>
        </w:rPr>
        <w:t xml:space="preserve"> </w:t>
      </w:r>
      <w:r w:rsidR="00E0107B" w:rsidRPr="00514245">
        <w:rPr>
          <w:rFonts w:ascii="Times New Roman" w:hAnsi="Times New Roman"/>
          <w:b/>
          <w:color w:val="000000"/>
          <w:spacing w:val="-1"/>
          <w:lang w:val="lt-LT"/>
        </w:rPr>
        <w:t>vartoti draudžiama:</w:t>
      </w:r>
    </w:p>
    <w:p w14:paraId="3D0902EC" w14:textId="77777777" w:rsidR="00662355" w:rsidRPr="00662355" w:rsidRDefault="00E0107B" w:rsidP="00E0107B">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lang w:val="lt-LT"/>
        </w:rPr>
      </w:pPr>
      <w:r w:rsidRPr="00662355">
        <w:rPr>
          <w:rFonts w:ascii="Times New Roman" w:hAnsi="Times New Roman"/>
          <w:bCs/>
          <w:lang w:val="lt-LT"/>
        </w:rPr>
        <w:t xml:space="preserve">jeigu yra alergija </w:t>
      </w:r>
      <w:proofErr w:type="spellStart"/>
      <w:r w:rsidR="00662355" w:rsidRPr="00662355">
        <w:rPr>
          <w:rFonts w:ascii="Times New Roman" w:hAnsi="Times New Roman"/>
          <w:bCs/>
          <w:lang w:val="lt-LT"/>
        </w:rPr>
        <w:t>vortioksetinui</w:t>
      </w:r>
      <w:proofErr w:type="spellEnd"/>
      <w:r w:rsidRPr="00662355">
        <w:rPr>
          <w:rFonts w:ascii="Times New Roman" w:hAnsi="Times New Roman"/>
          <w:lang w:val="lt-LT"/>
        </w:rPr>
        <w:t xml:space="preserve"> arba bet kuriai pagalbinei šio vaisto medžiagai (jos išvardytos 6 skyriuje)</w:t>
      </w:r>
      <w:r w:rsidR="0069327B" w:rsidRPr="00662355">
        <w:rPr>
          <w:rFonts w:ascii="Times New Roman" w:hAnsi="Times New Roman"/>
          <w:lang w:val="lt-LT"/>
        </w:rPr>
        <w:t>;</w:t>
      </w:r>
      <w:r w:rsidR="00662355" w:rsidRPr="00662355">
        <w:rPr>
          <w:rFonts w:ascii="Times New Roman" w:hAnsi="Times New Roman"/>
          <w:lang w:val="lt-LT"/>
        </w:rPr>
        <w:t xml:space="preserve"> </w:t>
      </w:r>
    </w:p>
    <w:p w14:paraId="6A8D9855" w14:textId="7FB42554" w:rsidR="00E0107B" w:rsidRDefault="00662355" w:rsidP="00E0107B">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jeigu vartojate kitų vaistų depresijai gydyti, kurie neselektyvieji </w:t>
      </w:r>
      <w:proofErr w:type="spellStart"/>
      <w:r w:rsidRPr="00662355">
        <w:rPr>
          <w:rFonts w:ascii="Times New Roman" w:eastAsia="Times New Roman" w:hAnsi="Times New Roman"/>
          <w:color w:val="000000"/>
          <w:lang w:val="lt-LT"/>
        </w:rPr>
        <w:t>monoamino</w:t>
      </w:r>
      <w:proofErr w:type="spellEnd"/>
      <w:r w:rsidRPr="00662355">
        <w:rPr>
          <w:rFonts w:ascii="Times New Roman" w:eastAsia="Times New Roman" w:hAnsi="Times New Roman"/>
          <w:color w:val="000000"/>
          <w:lang w:val="lt-LT"/>
        </w:rPr>
        <w:t xml:space="preserve"> </w:t>
      </w:r>
      <w:proofErr w:type="spellStart"/>
      <w:r w:rsidRPr="00662355">
        <w:rPr>
          <w:rFonts w:ascii="Times New Roman" w:eastAsia="Times New Roman" w:hAnsi="Times New Roman"/>
          <w:color w:val="000000"/>
          <w:lang w:val="lt-LT"/>
        </w:rPr>
        <w:t>oksidazės</w:t>
      </w:r>
      <w:proofErr w:type="spellEnd"/>
      <w:r w:rsidRPr="00662355">
        <w:rPr>
          <w:rFonts w:ascii="Times New Roman" w:eastAsia="Times New Roman" w:hAnsi="Times New Roman"/>
          <w:color w:val="000000"/>
          <w:lang w:val="lt-LT"/>
        </w:rPr>
        <w:t xml:space="preserve"> inhibitoriai ar selektyvieji MAO-A inhibitoriai. Jeigu abejojate, klauskite gydytojo.</w:t>
      </w:r>
    </w:p>
    <w:p w14:paraId="354EDB36" w14:textId="77777777" w:rsidR="00662355" w:rsidRPr="00662355" w:rsidRDefault="00662355" w:rsidP="00662355">
      <w:pPr>
        <w:keepNext/>
        <w:widowControl w:val="0"/>
        <w:autoSpaceDE w:val="0"/>
        <w:autoSpaceDN w:val="0"/>
        <w:adjustRightInd w:val="0"/>
        <w:spacing w:after="0" w:line="240" w:lineRule="auto"/>
        <w:ind w:left="567" w:right="1"/>
        <w:rPr>
          <w:rFonts w:ascii="Times New Roman" w:eastAsia="Times New Roman" w:hAnsi="Times New Roman"/>
          <w:color w:val="000000"/>
          <w:lang w:val="lt-LT"/>
        </w:rPr>
      </w:pPr>
    </w:p>
    <w:p w14:paraId="5519DBFB" w14:textId="77777777"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Įspėjimai ir atsargumo priemonės</w:t>
      </w:r>
    </w:p>
    <w:p w14:paraId="04E51C82" w14:textId="77777777" w:rsidR="00662355" w:rsidRPr="00514245" w:rsidRDefault="00662355" w:rsidP="00F40D37">
      <w:pPr>
        <w:keepNext/>
        <w:autoSpaceDE w:val="0"/>
        <w:autoSpaceDN w:val="0"/>
        <w:adjustRightInd w:val="0"/>
        <w:spacing w:after="0" w:line="240" w:lineRule="auto"/>
        <w:rPr>
          <w:rFonts w:ascii="Times New Roman" w:eastAsia="Times New Roman" w:hAnsi="Times New Roman"/>
          <w:b/>
          <w:color w:val="000000"/>
          <w:lang w:val="lt-LT"/>
        </w:rPr>
      </w:pPr>
    </w:p>
    <w:p w14:paraId="50EFD3D4" w14:textId="7DCD57CF" w:rsidR="00D0518C" w:rsidRPr="00514245" w:rsidRDefault="00D0518C" w:rsidP="00F40D37">
      <w:pPr>
        <w:keepNext/>
        <w:autoSpaceDE w:val="0"/>
        <w:autoSpaceDN w:val="0"/>
        <w:adjustRightInd w:val="0"/>
        <w:spacing w:after="0" w:line="240" w:lineRule="auto"/>
        <w:rPr>
          <w:rFonts w:ascii="Times New Roman" w:eastAsia="Times New Roman" w:hAnsi="Times New Roman"/>
          <w:color w:val="000000"/>
          <w:spacing w:val="-1"/>
          <w:lang w:val="lt-LT"/>
        </w:rPr>
      </w:pPr>
      <w:r w:rsidRPr="00514245">
        <w:rPr>
          <w:rFonts w:ascii="Times New Roman" w:eastAsia="Times New Roman" w:hAnsi="Times New Roman"/>
          <w:color w:val="000000"/>
          <w:spacing w:val="-1"/>
          <w:lang w:val="lt-LT"/>
        </w:rPr>
        <w:t xml:space="preserve">Pasitarkite su gydytoju arba vaistininku, prieš pradėdami vartoti </w:t>
      </w:r>
      <w:r w:rsidR="00662355">
        <w:rPr>
          <w:rFonts w:ascii="Times New Roman" w:eastAsia="Times New Roman" w:hAnsi="Times New Roman"/>
          <w:color w:val="000000"/>
          <w:spacing w:val="-1"/>
          <w:lang w:val="lt-LT"/>
        </w:rPr>
        <w:t>Vortioxetine</w:t>
      </w:r>
      <w:r w:rsidR="00962664" w:rsidRPr="00514245">
        <w:rPr>
          <w:rFonts w:ascii="Times New Roman" w:eastAsia="Times New Roman" w:hAnsi="Times New Roman"/>
          <w:color w:val="000000"/>
          <w:spacing w:val="-1"/>
          <w:lang w:val="lt-LT"/>
        </w:rPr>
        <w:t xml:space="preserve"> Zentiva</w:t>
      </w:r>
      <w:r w:rsidR="00662355">
        <w:rPr>
          <w:rFonts w:ascii="Times New Roman" w:eastAsia="Times New Roman" w:hAnsi="Times New Roman"/>
          <w:color w:val="000000"/>
          <w:spacing w:val="-1"/>
          <w:lang w:val="lt-LT"/>
        </w:rPr>
        <w:t>, jeigu</w:t>
      </w:r>
      <w:r w:rsidRPr="00514245">
        <w:rPr>
          <w:rFonts w:ascii="Times New Roman" w:eastAsia="Times New Roman" w:hAnsi="Times New Roman"/>
          <w:color w:val="000000"/>
          <w:spacing w:val="-1"/>
          <w:lang w:val="lt-LT"/>
        </w:rPr>
        <w:t>:</w:t>
      </w:r>
    </w:p>
    <w:p w14:paraId="11C899EE" w14:textId="77777777" w:rsidR="00662355" w:rsidRDefault="00662355" w:rsidP="0051157C">
      <w:pPr>
        <w:pStyle w:val="Sraopastraipa"/>
        <w:widowControl w:val="0"/>
        <w:numPr>
          <w:ilvl w:val="0"/>
          <w:numId w:val="18"/>
        </w:numPr>
        <w:autoSpaceDE w:val="0"/>
        <w:autoSpaceDN w:val="0"/>
        <w:adjustRightInd w:val="0"/>
        <w:spacing w:after="0" w:line="240" w:lineRule="auto"/>
        <w:ind w:left="567" w:right="1" w:hanging="567"/>
        <w:rPr>
          <w:rFonts w:ascii="Times New Roman" w:hAnsi="Times New Roman"/>
          <w:color w:val="000000"/>
          <w:lang w:val="lt-LT"/>
        </w:rPr>
      </w:pPr>
      <w:r w:rsidRPr="00662355">
        <w:rPr>
          <w:rFonts w:ascii="Times New Roman" w:hAnsi="Times New Roman"/>
          <w:color w:val="000000"/>
          <w:lang w:val="lt-LT"/>
        </w:rPr>
        <w:t xml:space="preserve">vartojate vaistų, kurie sukelia </w:t>
      </w:r>
      <w:proofErr w:type="spellStart"/>
      <w:r w:rsidRPr="00662355">
        <w:rPr>
          <w:rFonts w:ascii="Times New Roman" w:hAnsi="Times New Roman"/>
          <w:color w:val="000000"/>
          <w:lang w:val="lt-LT"/>
        </w:rPr>
        <w:t>serotoninerginį</w:t>
      </w:r>
      <w:proofErr w:type="spellEnd"/>
      <w:r w:rsidRPr="00662355">
        <w:rPr>
          <w:rFonts w:ascii="Times New Roman" w:hAnsi="Times New Roman"/>
          <w:color w:val="000000"/>
          <w:lang w:val="lt-LT"/>
        </w:rPr>
        <w:t xml:space="preserve"> poveikį, pavyzdžiui: </w:t>
      </w:r>
    </w:p>
    <w:p w14:paraId="60B58966" w14:textId="77777777" w:rsidR="00662355" w:rsidRDefault="00662355" w:rsidP="00FA056B">
      <w:pPr>
        <w:pStyle w:val="Sraopastraipa"/>
        <w:widowControl w:val="0"/>
        <w:numPr>
          <w:ilvl w:val="0"/>
          <w:numId w:val="13"/>
        </w:numPr>
        <w:autoSpaceDE w:val="0"/>
        <w:autoSpaceDN w:val="0"/>
        <w:adjustRightInd w:val="0"/>
        <w:spacing w:after="0" w:line="240" w:lineRule="auto"/>
        <w:ind w:left="1134" w:right="1" w:hanging="567"/>
        <w:rPr>
          <w:rFonts w:ascii="Times New Roman" w:hAnsi="Times New Roman"/>
          <w:color w:val="000000"/>
          <w:lang w:val="lt-LT"/>
        </w:rPr>
      </w:pPr>
      <w:proofErr w:type="spellStart"/>
      <w:r w:rsidRPr="00662355">
        <w:rPr>
          <w:rFonts w:ascii="Times New Roman" w:hAnsi="Times New Roman"/>
          <w:color w:val="000000"/>
          <w:lang w:val="lt-LT"/>
        </w:rPr>
        <w:t>tramadol</w:t>
      </w:r>
      <w:r>
        <w:rPr>
          <w:rFonts w:ascii="Times New Roman" w:hAnsi="Times New Roman"/>
          <w:color w:val="000000"/>
          <w:lang w:val="lt-LT"/>
        </w:rPr>
        <w:t>io</w:t>
      </w:r>
      <w:proofErr w:type="spellEnd"/>
      <w:r w:rsidRPr="00662355">
        <w:rPr>
          <w:rFonts w:ascii="Times New Roman" w:hAnsi="Times New Roman"/>
          <w:color w:val="000000"/>
          <w:lang w:val="lt-LT"/>
        </w:rPr>
        <w:t xml:space="preserve"> ir panaši</w:t>
      </w:r>
      <w:r>
        <w:rPr>
          <w:rFonts w:ascii="Times New Roman" w:hAnsi="Times New Roman"/>
          <w:color w:val="000000"/>
          <w:lang w:val="lt-LT"/>
        </w:rPr>
        <w:t>ų</w:t>
      </w:r>
      <w:r w:rsidRPr="00662355">
        <w:rPr>
          <w:rFonts w:ascii="Times New Roman" w:hAnsi="Times New Roman"/>
          <w:color w:val="000000"/>
          <w:lang w:val="lt-LT"/>
        </w:rPr>
        <w:t xml:space="preserve"> vaist</w:t>
      </w:r>
      <w:r>
        <w:rPr>
          <w:rFonts w:ascii="Times New Roman" w:hAnsi="Times New Roman"/>
          <w:color w:val="000000"/>
          <w:lang w:val="lt-LT"/>
        </w:rPr>
        <w:t>ų</w:t>
      </w:r>
      <w:r w:rsidRPr="00662355">
        <w:rPr>
          <w:rFonts w:ascii="Times New Roman" w:hAnsi="Times New Roman"/>
          <w:color w:val="000000"/>
          <w:lang w:val="lt-LT"/>
        </w:rPr>
        <w:t xml:space="preserve"> (stipri</w:t>
      </w:r>
      <w:r>
        <w:rPr>
          <w:rFonts w:ascii="Times New Roman" w:hAnsi="Times New Roman"/>
          <w:color w:val="000000"/>
          <w:lang w:val="lt-LT"/>
        </w:rPr>
        <w:t>ų</w:t>
      </w:r>
      <w:r w:rsidRPr="00662355">
        <w:rPr>
          <w:rFonts w:ascii="Times New Roman" w:hAnsi="Times New Roman"/>
          <w:color w:val="000000"/>
          <w:lang w:val="lt-LT"/>
        </w:rPr>
        <w:t xml:space="preserve"> skausmą malšinanči</w:t>
      </w:r>
      <w:r>
        <w:rPr>
          <w:rFonts w:ascii="Times New Roman" w:hAnsi="Times New Roman"/>
          <w:color w:val="000000"/>
          <w:lang w:val="lt-LT"/>
        </w:rPr>
        <w:t>ų</w:t>
      </w:r>
      <w:r w:rsidRPr="00662355">
        <w:rPr>
          <w:rFonts w:ascii="Times New Roman" w:hAnsi="Times New Roman"/>
          <w:color w:val="000000"/>
          <w:lang w:val="lt-LT"/>
        </w:rPr>
        <w:t xml:space="preserve"> vaist</w:t>
      </w:r>
      <w:r>
        <w:rPr>
          <w:rFonts w:ascii="Times New Roman" w:hAnsi="Times New Roman"/>
          <w:color w:val="000000"/>
          <w:lang w:val="lt-LT"/>
        </w:rPr>
        <w:t>ų</w:t>
      </w:r>
      <w:r w:rsidRPr="00662355">
        <w:rPr>
          <w:rFonts w:ascii="Times New Roman" w:hAnsi="Times New Roman"/>
          <w:color w:val="000000"/>
          <w:lang w:val="lt-LT"/>
        </w:rPr>
        <w:t>);</w:t>
      </w:r>
    </w:p>
    <w:p w14:paraId="73E10CC6" w14:textId="7503C31F" w:rsidR="00662355" w:rsidRPr="00662355" w:rsidRDefault="00662355" w:rsidP="00FA056B">
      <w:pPr>
        <w:pStyle w:val="Sraopastraipa"/>
        <w:widowControl w:val="0"/>
        <w:numPr>
          <w:ilvl w:val="0"/>
          <w:numId w:val="13"/>
        </w:numPr>
        <w:autoSpaceDE w:val="0"/>
        <w:autoSpaceDN w:val="0"/>
        <w:adjustRightInd w:val="0"/>
        <w:spacing w:after="0" w:line="240" w:lineRule="auto"/>
        <w:ind w:left="1134" w:right="1" w:hanging="567"/>
        <w:rPr>
          <w:rFonts w:ascii="Times New Roman" w:hAnsi="Times New Roman"/>
          <w:color w:val="000000"/>
          <w:lang w:val="lt-LT"/>
        </w:rPr>
      </w:pPr>
      <w:proofErr w:type="spellStart"/>
      <w:r w:rsidRPr="00662355">
        <w:rPr>
          <w:rFonts w:ascii="Times New Roman" w:hAnsi="Times New Roman"/>
          <w:color w:val="000000"/>
          <w:lang w:val="lt-LT"/>
        </w:rPr>
        <w:t>sumatriptan</w:t>
      </w:r>
      <w:r>
        <w:rPr>
          <w:rFonts w:ascii="Times New Roman" w:hAnsi="Times New Roman"/>
          <w:color w:val="000000"/>
          <w:lang w:val="lt-LT"/>
        </w:rPr>
        <w:t>o</w:t>
      </w:r>
      <w:proofErr w:type="spellEnd"/>
      <w:r w:rsidRPr="00662355">
        <w:rPr>
          <w:rFonts w:ascii="Times New Roman" w:hAnsi="Times New Roman"/>
          <w:color w:val="000000"/>
          <w:lang w:val="lt-LT"/>
        </w:rPr>
        <w:t xml:space="preserve"> ir panaši</w:t>
      </w:r>
      <w:r>
        <w:rPr>
          <w:rFonts w:ascii="Times New Roman" w:hAnsi="Times New Roman"/>
          <w:color w:val="000000"/>
          <w:lang w:val="lt-LT"/>
        </w:rPr>
        <w:t>ų</w:t>
      </w:r>
      <w:r w:rsidRPr="00662355">
        <w:rPr>
          <w:rFonts w:ascii="Times New Roman" w:hAnsi="Times New Roman"/>
          <w:color w:val="000000"/>
          <w:lang w:val="lt-LT"/>
        </w:rPr>
        <w:t xml:space="preserve"> vaist</w:t>
      </w:r>
      <w:r>
        <w:rPr>
          <w:rFonts w:ascii="Times New Roman" w:hAnsi="Times New Roman"/>
          <w:color w:val="000000"/>
          <w:lang w:val="lt-LT"/>
        </w:rPr>
        <w:t>ų</w:t>
      </w:r>
      <w:r w:rsidRPr="00662355">
        <w:rPr>
          <w:rFonts w:ascii="Times New Roman" w:hAnsi="Times New Roman"/>
          <w:color w:val="000000"/>
          <w:lang w:val="lt-LT"/>
        </w:rPr>
        <w:t>, kurių veikliosios medžiagos pavadinimas baigiasi „</w:t>
      </w:r>
      <w:proofErr w:type="spellStart"/>
      <w:r w:rsidRPr="00662355">
        <w:rPr>
          <w:rFonts w:ascii="Times New Roman" w:hAnsi="Times New Roman"/>
          <w:color w:val="000000"/>
          <w:lang w:val="lt-LT"/>
        </w:rPr>
        <w:t>triptanas</w:t>
      </w:r>
      <w:proofErr w:type="spellEnd"/>
      <w:r w:rsidRPr="00662355">
        <w:rPr>
          <w:rFonts w:ascii="Times New Roman" w:hAnsi="Times New Roman"/>
          <w:color w:val="000000"/>
          <w:lang w:val="lt-LT"/>
        </w:rPr>
        <w:t xml:space="preserve">” (vartojami migrenai gydyti). </w:t>
      </w:r>
    </w:p>
    <w:p w14:paraId="22249377" w14:textId="4CE622DB" w:rsidR="00662355" w:rsidRPr="00662355" w:rsidRDefault="00662355" w:rsidP="00BC7A6E">
      <w:pPr>
        <w:widowControl w:val="0"/>
        <w:autoSpaceDE w:val="0"/>
        <w:autoSpaceDN w:val="0"/>
        <w:adjustRightInd w:val="0"/>
        <w:spacing w:after="0" w:line="240" w:lineRule="auto"/>
        <w:ind w:left="567" w:right="1"/>
        <w:rPr>
          <w:rFonts w:ascii="Times New Roman" w:eastAsia="Times New Roman" w:hAnsi="Times New Roman"/>
          <w:color w:val="000000"/>
          <w:lang w:val="lt-LT"/>
        </w:rPr>
      </w:pPr>
      <w:r w:rsidRPr="00662355">
        <w:rPr>
          <w:rFonts w:ascii="Times New Roman" w:eastAsia="Times New Roman" w:hAnsi="Times New Roman"/>
          <w:color w:val="000000"/>
          <w:lang w:val="lt-LT"/>
        </w:rPr>
        <w:t xml:space="preserve">Šių vaistų vartojimas kartu su </w:t>
      </w:r>
      <w:proofErr w:type="spellStart"/>
      <w:r w:rsidR="00BC7A6E">
        <w:rPr>
          <w:rFonts w:ascii="Times New Roman" w:eastAsia="Times New Roman" w:hAnsi="Times New Roman"/>
          <w:color w:val="000000"/>
          <w:lang w:val="lt-LT"/>
        </w:rPr>
        <w:t>Vortioxetine</w:t>
      </w:r>
      <w:proofErr w:type="spellEnd"/>
      <w:r w:rsidR="00BC7A6E">
        <w:rPr>
          <w:rFonts w:ascii="Times New Roman" w:eastAsia="Times New Roman" w:hAnsi="Times New Roman"/>
          <w:color w:val="000000"/>
          <w:lang w:val="lt-LT"/>
        </w:rPr>
        <w:t xml:space="preserve"> </w:t>
      </w:r>
      <w:proofErr w:type="spellStart"/>
      <w:r w:rsidR="00BC7A6E">
        <w:rPr>
          <w:rFonts w:ascii="Times New Roman" w:eastAsia="Times New Roman" w:hAnsi="Times New Roman"/>
          <w:color w:val="000000"/>
          <w:lang w:val="lt-LT"/>
        </w:rPr>
        <w:t>Zentiva</w:t>
      </w:r>
      <w:proofErr w:type="spellEnd"/>
      <w:r w:rsidRPr="00662355">
        <w:rPr>
          <w:rFonts w:ascii="Times New Roman" w:eastAsia="Times New Roman" w:hAnsi="Times New Roman"/>
          <w:color w:val="000000"/>
          <w:lang w:val="lt-LT"/>
        </w:rPr>
        <w:t xml:space="preserve"> gali didinti </w:t>
      </w:r>
      <w:proofErr w:type="spellStart"/>
      <w:r w:rsidRPr="00662355">
        <w:rPr>
          <w:rFonts w:ascii="Times New Roman" w:eastAsia="Times New Roman" w:hAnsi="Times New Roman"/>
          <w:color w:val="000000"/>
          <w:lang w:val="lt-LT"/>
        </w:rPr>
        <w:t>serotonino</w:t>
      </w:r>
      <w:proofErr w:type="spellEnd"/>
      <w:r w:rsidRPr="00662355">
        <w:rPr>
          <w:rFonts w:ascii="Times New Roman" w:eastAsia="Times New Roman" w:hAnsi="Times New Roman"/>
          <w:color w:val="000000"/>
          <w:lang w:val="lt-LT"/>
        </w:rPr>
        <w:t xml:space="preserve"> sindromo atsiradimo riziką. Šis sindromas gali būti susijęs su haliucinacijomis, nevalingais trūkčiojimais, širdies plakimo pagreitėjimu, kraujospūdžio padidėjimu, karščiavimu, pykinimu ir viduriavimu;</w:t>
      </w:r>
    </w:p>
    <w:p w14:paraId="40B61BB7" w14:textId="6266574F"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lastRenderedPageBreak/>
        <w:t>esate patyrę priepuolių (traukulių)</w:t>
      </w:r>
      <w:r>
        <w:rPr>
          <w:rFonts w:ascii="Times New Roman" w:hAnsi="Times New Roman"/>
          <w:color w:val="000000"/>
          <w:lang w:val="lt-LT"/>
        </w:rPr>
        <w:t>;</w:t>
      </w:r>
    </w:p>
    <w:p w14:paraId="255221AF" w14:textId="77777777"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Gydytojas gydys atsargiai, jeigu praeityje Jums yra buvę priepuolių arba sergate nestabilių priepuolių sutrikimu ar epilepsija. Vaistai, kuriais gydoma depresija, gali kelti priepuolių pasireiškimo riziką. Visiems pacientams, kuriems pasireiškia priepuoliai arba priepuoliai padažnėja, gydymą reikia nutraukti;</w:t>
      </w:r>
    </w:p>
    <w:p w14:paraId="5AE3071F" w14:textId="6A8C3828"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pasireiškia manija;</w:t>
      </w:r>
    </w:p>
    <w:p w14:paraId="52951437" w14:textId="346A878D"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yra polinkis lengvesniam kraujavimo ar mėlynių atsiradimui arba esate nėščia (žr. „Nėštumas, žindymo laikotarpis ir vaisingumas“);</w:t>
      </w:r>
    </w:p>
    <w:p w14:paraId="3C3567A9" w14:textId="090F38F2"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yra sumažėjusi natrio koncentracija kraujyje;</w:t>
      </w:r>
    </w:p>
    <w:p w14:paraId="67D68486" w14:textId="5B9D0774"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esate 65</w:t>
      </w:r>
      <w:r>
        <w:rPr>
          <w:rFonts w:ascii="Times New Roman" w:hAnsi="Times New Roman"/>
          <w:color w:val="000000"/>
          <w:lang w:val="lt-LT"/>
        </w:rPr>
        <w:t> </w:t>
      </w:r>
      <w:r w:rsidRPr="00BC7A6E">
        <w:rPr>
          <w:rFonts w:ascii="Times New Roman" w:hAnsi="Times New Roman"/>
          <w:color w:val="000000"/>
          <w:lang w:val="lt-LT"/>
        </w:rPr>
        <w:t>metų arba vyresnis;</w:t>
      </w:r>
    </w:p>
    <w:p w14:paraId="2BA7097C" w14:textId="6633FBF1"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sergate sunkia inkstų liga;</w:t>
      </w:r>
    </w:p>
    <w:p w14:paraId="422396BD" w14:textId="07769C15" w:rsidR="00BC7A6E"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sergate sunkia kepenų liga arba kepenų liga, kuri vadinama ciroze</w:t>
      </w:r>
      <w:r>
        <w:rPr>
          <w:rFonts w:ascii="Times New Roman" w:hAnsi="Times New Roman"/>
          <w:color w:val="000000"/>
          <w:lang w:val="lt-LT"/>
        </w:rPr>
        <w:t>;</w:t>
      </w:r>
    </w:p>
    <w:p w14:paraId="7B966E70" w14:textId="67ABB144" w:rsidR="00662355" w:rsidRPr="00BC7A6E" w:rsidRDefault="00BC7A6E" w:rsidP="0051157C">
      <w:pPr>
        <w:pStyle w:val="Sraopastraipa"/>
        <w:widowControl w:val="0"/>
        <w:numPr>
          <w:ilvl w:val="0"/>
          <w:numId w:val="19"/>
        </w:numPr>
        <w:autoSpaceDE w:val="0"/>
        <w:autoSpaceDN w:val="0"/>
        <w:adjustRightInd w:val="0"/>
        <w:spacing w:after="0" w:line="240" w:lineRule="auto"/>
        <w:ind w:left="567" w:right="1" w:hanging="567"/>
        <w:rPr>
          <w:rFonts w:ascii="Times New Roman" w:hAnsi="Times New Roman"/>
          <w:color w:val="000000"/>
          <w:lang w:val="lt-LT"/>
        </w:rPr>
      </w:pPr>
      <w:r w:rsidRPr="00BC7A6E">
        <w:rPr>
          <w:rFonts w:ascii="Times New Roman" w:hAnsi="Times New Roman"/>
          <w:color w:val="000000"/>
          <w:lang w:val="lt-LT"/>
        </w:rPr>
        <w:t>padidėjęs Jūsų akispūdis arba sergate glaukoma. Jeigu gydymo metu ima skaudėti akis arba pradedate neryškiai matyti, kreipkitės į gydytoją.</w:t>
      </w:r>
    </w:p>
    <w:p w14:paraId="097094AF" w14:textId="77777777" w:rsidR="00662355" w:rsidRPr="00BC7A6E" w:rsidRDefault="00662355"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25120CBA" w14:textId="25E2A345" w:rsidR="00C50EA3" w:rsidRPr="00BC7A6E" w:rsidRDefault="00BC7A6E"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 xml:space="preserve">Vartodami vaistų nuo depresijos, įskaitant </w:t>
      </w:r>
      <w:proofErr w:type="spellStart"/>
      <w:r w:rsidRPr="00BC7A6E">
        <w:rPr>
          <w:rFonts w:ascii="Times New Roman" w:eastAsia="Times New Roman" w:hAnsi="Times New Roman"/>
          <w:color w:val="000000"/>
          <w:lang w:val="lt-LT"/>
        </w:rPr>
        <w:t>vortioksetiną</w:t>
      </w:r>
      <w:proofErr w:type="spellEnd"/>
      <w:r w:rsidRPr="00BC7A6E">
        <w:rPr>
          <w:rFonts w:ascii="Times New Roman" w:eastAsia="Times New Roman" w:hAnsi="Times New Roman"/>
          <w:color w:val="000000"/>
          <w:lang w:val="lt-LT"/>
        </w:rPr>
        <w:t>, taip pat galite jausti agresyvumą, susijaudinimą, pyktį ir irzlumą. Jeigu pasireiškia tokie sutrikimai, kreipkitės į gydytoją.</w:t>
      </w:r>
    </w:p>
    <w:p w14:paraId="32E755FC" w14:textId="77777777" w:rsidR="00BC7A6E" w:rsidRPr="00BC7A6E" w:rsidRDefault="00BC7A6E"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63F02352" w14:textId="77777777"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b/>
          <w:bCs/>
          <w:color w:val="000000"/>
          <w:lang w:val="lt-LT"/>
        </w:rPr>
      </w:pPr>
      <w:r w:rsidRPr="00BC7A6E">
        <w:rPr>
          <w:rFonts w:ascii="Times New Roman" w:eastAsia="Times New Roman" w:hAnsi="Times New Roman"/>
          <w:b/>
          <w:bCs/>
          <w:color w:val="000000"/>
          <w:lang w:val="lt-LT"/>
        </w:rPr>
        <w:t>Mintys apie savižudybę ir depresijos arba nerimo sutrikimų pasunkėjimas</w:t>
      </w:r>
    </w:p>
    <w:p w14:paraId="54FFFBC7" w14:textId="77777777"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0E87E4F9" w14:textId="07800301" w:rsid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646A0A7" w14:textId="77777777" w:rsidR="004E08DD" w:rsidRPr="00BC7A6E" w:rsidRDefault="004E08DD"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0E67D251" w14:textId="77777777"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Tokia minčių tikimybė Jums yra didesnė šiais atvejais:</w:t>
      </w:r>
    </w:p>
    <w:p w14:paraId="3FFC2732" w14:textId="150D3710" w:rsidR="00BC7A6E" w:rsidRPr="004E08DD" w:rsidRDefault="00BC7A6E" w:rsidP="0051157C">
      <w:pPr>
        <w:pStyle w:val="Sraopastraipa"/>
        <w:widowControl w:val="0"/>
        <w:numPr>
          <w:ilvl w:val="0"/>
          <w:numId w:val="20"/>
        </w:numPr>
        <w:autoSpaceDE w:val="0"/>
        <w:autoSpaceDN w:val="0"/>
        <w:adjustRightInd w:val="0"/>
        <w:spacing w:after="0" w:line="240" w:lineRule="auto"/>
        <w:ind w:left="567" w:right="1" w:hanging="567"/>
        <w:rPr>
          <w:rFonts w:ascii="Times New Roman" w:hAnsi="Times New Roman"/>
          <w:color w:val="000000"/>
          <w:lang w:val="lt-LT"/>
        </w:rPr>
      </w:pPr>
      <w:r w:rsidRPr="004E08DD">
        <w:rPr>
          <w:rFonts w:ascii="Times New Roman" w:hAnsi="Times New Roman"/>
          <w:color w:val="000000"/>
          <w:lang w:val="lt-LT"/>
        </w:rPr>
        <w:t>jeigu anksčiau mąstėte apie savižudybę arba savęs žalojimą;</w:t>
      </w:r>
    </w:p>
    <w:p w14:paraId="477884BA" w14:textId="7F50AC09" w:rsidR="00BC7A6E" w:rsidRPr="004E08DD" w:rsidRDefault="00BC7A6E" w:rsidP="0051157C">
      <w:pPr>
        <w:pStyle w:val="Sraopastraipa"/>
        <w:widowControl w:val="0"/>
        <w:numPr>
          <w:ilvl w:val="0"/>
          <w:numId w:val="20"/>
        </w:numPr>
        <w:autoSpaceDE w:val="0"/>
        <w:autoSpaceDN w:val="0"/>
        <w:adjustRightInd w:val="0"/>
        <w:spacing w:after="0" w:line="240" w:lineRule="auto"/>
        <w:ind w:left="567" w:right="1" w:hanging="567"/>
        <w:rPr>
          <w:rFonts w:ascii="Times New Roman" w:hAnsi="Times New Roman"/>
          <w:color w:val="000000"/>
          <w:lang w:val="lt-LT"/>
        </w:rPr>
      </w:pPr>
      <w:r w:rsidRPr="004E08DD">
        <w:rPr>
          <w:rFonts w:ascii="Times New Roman" w:hAnsi="Times New Roman"/>
          <w:color w:val="000000"/>
          <w:lang w:val="lt-LT"/>
        </w:rPr>
        <w:t>jeigu esate jaunas suaugęs žmogus.</w:t>
      </w:r>
    </w:p>
    <w:p w14:paraId="292473EA" w14:textId="77777777" w:rsidR="004E08DD" w:rsidRDefault="004E08DD"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7588AC0F" w14:textId="18AA6A09" w:rsid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Klinikinių tyrimų duomenys parodė, kad psichikos sutrikimais sergantiems jauniems suaugusiesiems (jaunesniems kaip 25</w:t>
      </w:r>
      <w:r w:rsidR="004E08DD">
        <w:rPr>
          <w:rFonts w:ascii="Times New Roman" w:eastAsia="Times New Roman" w:hAnsi="Times New Roman"/>
          <w:color w:val="000000"/>
          <w:lang w:val="lt-LT"/>
        </w:rPr>
        <w:t> </w:t>
      </w:r>
      <w:r w:rsidRPr="00BC7A6E">
        <w:rPr>
          <w:rFonts w:ascii="Times New Roman" w:eastAsia="Times New Roman" w:hAnsi="Times New Roman"/>
          <w:color w:val="000000"/>
          <w:lang w:val="lt-LT"/>
        </w:rPr>
        <w:t>metų), vartojant antidepresantų, su savižudybe siejamo elgesio rizika yra didesnė.</w:t>
      </w:r>
    </w:p>
    <w:p w14:paraId="4AE132A0" w14:textId="77777777" w:rsidR="004E08DD" w:rsidRPr="00BC7A6E" w:rsidRDefault="004E08DD"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p>
    <w:p w14:paraId="2AD67D28" w14:textId="173DA926" w:rsidR="00BC7A6E" w:rsidRPr="00BC7A6E" w:rsidRDefault="00BC7A6E" w:rsidP="00BC7A6E">
      <w:pPr>
        <w:widowControl w:val="0"/>
        <w:autoSpaceDE w:val="0"/>
        <w:autoSpaceDN w:val="0"/>
        <w:adjustRightInd w:val="0"/>
        <w:spacing w:after="0" w:line="240" w:lineRule="auto"/>
        <w:ind w:right="1"/>
        <w:rPr>
          <w:rFonts w:ascii="Times New Roman" w:eastAsia="Times New Roman" w:hAnsi="Times New Roman"/>
          <w:color w:val="000000"/>
          <w:lang w:val="lt-LT"/>
        </w:rPr>
      </w:pPr>
      <w:r w:rsidRPr="00BC7A6E">
        <w:rPr>
          <w:rFonts w:ascii="Times New Roman" w:eastAsia="Times New Roman" w:hAnsi="Times New Roman"/>
          <w:color w:val="000000"/>
          <w:lang w:val="lt-LT"/>
        </w:rPr>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juos perskaityti šį pakuotės lapelį. Galite jų paprašyti, kad Jus perspėtų, jeigu pastebės, kad Jūsų depresija ar nerimas pasunkėjo arba jie nerimauja dėl Jūsų elgesio pokyčių.</w:t>
      </w:r>
    </w:p>
    <w:p w14:paraId="7C0832F1" w14:textId="77777777" w:rsidR="00BC7A6E" w:rsidRPr="00BC7A6E" w:rsidRDefault="00BC7A6E"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71A14FA2" w14:textId="77777777"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 xml:space="preserve">Vaikams ir paaugliams </w:t>
      </w:r>
    </w:p>
    <w:p w14:paraId="54652D97" w14:textId="77777777" w:rsidR="004E08DD" w:rsidRPr="00514245" w:rsidRDefault="004E08DD" w:rsidP="00F40D37">
      <w:pPr>
        <w:keepNext/>
        <w:autoSpaceDE w:val="0"/>
        <w:autoSpaceDN w:val="0"/>
        <w:adjustRightInd w:val="0"/>
        <w:spacing w:after="0" w:line="240" w:lineRule="auto"/>
        <w:rPr>
          <w:rFonts w:ascii="Times New Roman" w:eastAsia="Times New Roman" w:hAnsi="Times New Roman"/>
          <w:b/>
          <w:color w:val="000000"/>
          <w:lang w:val="lt-LT"/>
        </w:rPr>
      </w:pPr>
    </w:p>
    <w:p w14:paraId="09ABCF41" w14:textId="0B2DD9B3" w:rsidR="00C50EA3" w:rsidRDefault="004E08DD"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r>
        <w:rPr>
          <w:rFonts w:ascii="Times New Roman" w:eastAsia="Times New Roman" w:hAnsi="Times New Roman"/>
          <w:color w:val="000000"/>
          <w:lang w:val="lt-LT"/>
        </w:rPr>
        <w:t>Vortioxetine Zentiva</w:t>
      </w:r>
      <w:r w:rsidRPr="004E08DD">
        <w:rPr>
          <w:rFonts w:ascii="Times New Roman" w:eastAsia="Times New Roman" w:hAnsi="Times New Roman"/>
          <w:color w:val="000000"/>
          <w:lang w:val="lt-LT"/>
        </w:rPr>
        <w:t xml:space="preserve"> negalima vartoti vaikams (</w:t>
      </w:r>
      <w:r>
        <w:rPr>
          <w:rFonts w:ascii="Times New Roman" w:eastAsia="Times New Roman" w:hAnsi="Times New Roman"/>
          <w:color w:val="000000"/>
          <w:lang w:val="lt-LT"/>
        </w:rPr>
        <w:t>jaunesniems kaip</w:t>
      </w:r>
      <w:r w:rsidRPr="004E08DD">
        <w:rPr>
          <w:rFonts w:ascii="Times New Roman" w:eastAsia="Times New Roman" w:hAnsi="Times New Roman"/>
          <w:color w:val="000000"/>
          <w:lang w:val="lt-LT"/>
        </w:rPr>
        <w:t xml:space="preserve"> 18</w:t>
      </w:r>
      <w:r>
        <w:rPr>
          <w:rFonts w:ascii="Times New Roman" w:eastAsia="Times New Roman" w:hAnsi="Times New Roman"/>
          <w:color w:val="000000"/>
          <w:lang w:val="lt-LT"/>
        </w:rPr>
        <w:t> </w:t>
      </w:r>
      <w:r w:rsidRPr="004E08DD">
        <w:rPr>
          <w:rFonts w:ascii="Times New Roman" w:eastAsia="Times New Roman" w:hAnsi="Times New Roman"/>
          <w:color w:val="000000"/>
          <w:lang w:val="lt-LT"/>
        </w:rPr>
        <w:t xml:space="preserve">metų), nes veiksmingumas nebuvo įrodytas. </w:t>
      </w:r>
      <w:r>
        <w:rPr>
          <w:rFonts w:ascii="Times New Roman" w:eastAsia="Times New Roman" w:hAnsi="Times New Roman"/>
          <w:color w:val="000000"/>
          <w:lang w:val="lt-LT"/>
        </w:rPr>
        <w:t>Vortioxetine Zentiva</w:t>
      </w:r>
      <w:r w:rsidRPr="004E08DD">
        <w:rPr>
          <w:rFonts w:ascii="Times New Roman" w:eastAsia="Times New Roman" w:hAnsi="Times New Roman"/>
          <w:color w:val="000000"/>
          <w:lang w:val="lt-LT"/>
        </w:rPr>
        <w:t xml:space="preserve"> saugumas vaikams ir paaugliams nuo 7 iki 17</w:t>
      </w:r>
      <w:r>
        <w:rPr>
          <w:rFonts w:ascii="Times New Roman" w:eastAsia="Times New Roman" w:hAnsi="Times New Roman"/>
          <w:color w:val="000000"/>
          <w:lang w:val="lt-LT"/>
        </w:rPr>
        <w:t> </w:t>
      </w:r>
      <w:r w:rsidRPr="004E08DD">
        <w:rPr>
          <w:rFonts w:ascii="Times New Roman" w:eastAsia="Times New Roman" w:hAnsi="Times New Roman"/>
          <w:color w:val="000000"/>
          <w:lang w:val="lt-LT"/>
        </w:rPr>
        <w:t>metų aprašytas 4</w:t>
      </w:r>
      <w:r>
        <w:rPr>
          <w:rFonts w:ascii="Times New Roman" w:eastAsia="Times New Roman" w:hAnsi="Times New Roman"/>
          <w:color w:val="000000"/>
          <w:lang w:val="lt-LT"/>
        </w:rPr>
        <w:t> </w:t>
      </w:r>
      <w:r w:rsidRPr="004E08DD">
        <w:rPr>
          <w:rFonts w:ascii="Times New Roman" w:eastAsia="Times New Roman" w:hAnsi="Times New Roman"/>
          <w:color w:val="000000"/>
          <w:lang w:val="lt-LT"/>
        </w:rPr>
        <w:t>skyriuje.</w:t>
      </w:r>
    </w:p>
    <w:p w14:paraId="43F583A8" w14:textId="77777777" w:rsidR="004E08DD" w:rsidRPr="004E08DD" w:rsidRDefault="004E08DD" w:rsidP="00C50EA3">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A1F5F28" w14:textId="6CBD9182" w:rsidR="00E0107B" w:rsidRDefault="00E0107B" w:rsidP="00F40D37">
      <w:pPr>
        <w:keepNext/>
        <w:autoSpaceDE w:val="0"/>
        <w:autoSpaceDN w:val="0"/>
        <w:adjustRightInd w:val="0"/>
        <w:spacing w:after="0" w:line="240" w:lineRule="auto"/>
        <w:rPr>
          <w:rFonts w:ascii="Times New Roman" w:hAnsi="Times New Roman"/>
          <w:b/>
          <w:color w:val="000000"/>
          <w:spacing w:val="2"/>
          <w:lang w:val="lt-LT"/>
        </w:rPr>
      </w:pPr>
      <w:r w:rsidRPr="00514245">
        <w:rPr>
          <w:rFonts w:ascii="Times New Roman" w:hAnsi="Times New Roman"/>
          <w:b/>
          <w:color w:val="000000"/>
          <w:spacing w:val="2"/>
          <w:lang w:val="lt-LT"/>
        </w:rPr>
        <w:t xml:space="preserve">Kiti vaistai ir </w:t>
      </w:r>
      <w:r w:rsidR="00662355" w:rsidRPr="00662355">
        <w:rPr>
          <w:rFonts w:ascii="Times New Roman" w:hAnsi="Times New Roman"/>
          <w:b/>
          <w:color w:val="000000"/>
          <w:spacing w:val="2"/>
          <w:lang w:val="lt-LT"/>
        </w:rPr>
        <w:t xml:space="preserve">Vortioxetine </w:t>
      </w:r>
      <w:r w:rsidR="00962664" w:rsidRPr="00514245">
        <w:rPr>
          <w:rFonts w:ascii="Times New Roman" w:hAnsi="Times New Roman"/>
          <w:b/>
          <w:color w:val="000000"/>
          <w:spacing w:val="2"/>
          <w:lang w:val="lt-LT"/>
        </w:rPr>
        <w:t>Zentiva</w:t>
      </w:r>
    </w:p>
    <w:p w14:paraId="60AD91D7" w14:textId="77777777" w:rsidR="004E08DD" w:rsidRPr="00514245" w:rsidRDefault="004E08DD" w:rsidP="00F40D37">
      <w:pPr>
        <w:keepNext/>
        <w:autoSpaceDE w:val="0"/>
        <w:autoSpaceDN w:val="0"/>
        <w:adjustRightInd w:val="0"/>
        <w:spacing w:after="0" w:line="240" w:lineRule="auto"/>
        <w:rPr>
          <w:rFonts w:ascii="Times New Roman" w:eastAsia="Times New Roman" w:hAnsi="Times New Roman"/>
          <w:b/>
          <w:bCs/>
          <w:color w:val="000000"/>
          <w:lang w:val="lt-LT"/>
        </w:rPr>
      </w:pPr>
    </w:p>
    <w:p w14:paraId="369973AD" w14:textId="77777777" w:rsidR="009E69D1" w:rsidRPr="00514245" w:rsidRDefault="00E0107B" w:rsidP="00F40D37">
      <w:pPr>
        <w:keepNext/>
        <w:autoSpaceDE w:val="0"/>
        <w:autoSpaceDN w:val="0"/>
        <w:adjustRightInd w:val="0"/>
        <w:spacing w:after="0" w:line="240" w:lineRule="auto"/>
        <w:rPr>
          <w:rFonts w:ascii="Times New Roman" w:hAnsi="Times New Roman"/>
          <w:color w:val="000000"/>
          <w:lang w:val="lt-LT"/>
        </w:rPr>
      </w:pPr>
      <w:r w:rsidRPr="00514245">
        <w:rPr>
          <w:rFonts w:ascii="Times New Roman" w:hAnsi="Times New Roman"/>
          <w:color w:val="000000"/>
          <w:lang w:val="lt-LT"/>
        </w:rPr>
        <w:t>Jeigu vartojate ar neseniai vartojote kitų vaistų</w:t>
      </w:r>
      <w:r w:rsidR="007E4B68" w:rsidRPr="00514245">
        <w:rPr>
          <w:rFonts w:ascii="Times New Roman" w:hAnsi="Times New Roman"/>
          <w:color w:val="000000"/>
          <w:lang w:val="lt-LT"/>
        </w:rPr>
        <w:t xml:space="preserve"> </w:t>
      </w:r>
      <w:r w:rsidRPr="00514245">
        <w:rPr>
          <w:rFonts w:ascii="Times New Roman" w:hAnsi="Times New Roman"/>
          <w:color w:val="000000"/>
          <w:lang w:val="lt-LT"/>
        </w:rPr>
        <w:t xml:space="preserve">arba dėl to nesate tikri, apie tai pasakykite gydytojui arba vaistininkui. </w:t>
      </w:r>
    </w:p>
    <w:p w14:paraId="2E5132A1" w14:textId="77777777" w:rsidR="009E69D1" w:rsidRDefault="009E69D1" w:rsidP="00F40D37">
      <w:pPr>
        <w:keepNext/>
        <w:autoSpaceDE w:val="0"/>
        <w:autoSpaceDN w:val="0"/>
        <w:adjustRightInd w:val="0"/>
        <w:spacing w:after="0" w:line="240" w:lineRule="auto"/>
        <w:rPr>
          <w:rFonts w:ascii="Times New Roman" w:hAnsi="Times New Roman"/>
          <w:color w:val="000000"/>
          <w:lang w:val="lt-LT"/>
        </w:rPr>
      </w:pPr>
    </w:p>
    <w:p w14:paraId="5DE2BF37" w14:textId="5D55EB76" w:rsidR="004E08DD" w:rsidRPr="004E08DD" w:rsidRDefault="004E08DD" w:rsidP="00F40D37">
      <w:pPr>
        <w:keepNext/>
        <w:autoSpaceDE w:val="0"/>
        <w:autoSpaceDN w:val="0"/>
        <w:adjustRightInd w:val="0"/>
        <w:spacing w:after="0" w:line="240" w:lineRule="auto"/>
        <w:rPr>
          <w:rFonts w:ascii="Times New Roman" w:hAnsi="Times New Roman"/>
          <w:color w:val="000000"/>
          <w:lang w:val="lt-LT"/>
        </w:rPr>
      </w:pPr>
      <w:r w:rsidRPr="004E08DD">
        <w:rPr>
          <w:rFonts w:ascii="Times New Roman" w:hAnsi="Times New Roman"/>
          <w:color w:val="000000"/>
          <w:lang w:val="lt-LT"/>
        </w:rPr>
        <w:t>Pasakykite savo gydytojui, jeigu vartojate kurį nors iš toliau išvardytų vaistų:</w:t>
      </w:r>
    </w:p>
    <w:p w14:paraId="2F00C8B5" w14:textId="436E81F3"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fenelzin</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iproniazid</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izokarboksazid</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nialamidetranilcipromin</w:t>
      </w:r>
      <w:r>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Pr>
          <w:rFonts w:ascii="Times New Roman" w:hAnsi="Times New Roman"/>
          <w:bCs/>
          <w:color w:val="000000"/>
          <w:lang w:val="lt-LT"/>
        </w:rPr>
        <w:t>ų</w:t>
      </w:r>
      <w:r w:rsidRPr="004E08DD">
        <w:rPr>
          <w:rFonts w:ascii="Times New Roman" w:hAnsi="Times New Roman"/>
          <w:bCs/>
          <w:color w:val="000000"/>
          <w:lang w:val="lt-LT"/>
        </w:rPr>
        <w:t xml:space="preserve"> depresijai gydyti, kurie vadinami neselektyviaisiais </w:t>
      </w:r>
      <w:proofErr w:type="spellStart"/>
      <w:r w:rsidRPr="004E08DD">
        <w:rPr>
          <w:rFonts w:ascii="Times New Roman" w:hAnsi="Times New Roman"/>
          <w:bCs/>
          <w:color w:val="000000"/>
          <w:lang w:val="lt-LT"/>
        </w:rPr>
        <w:t>monoamino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oksidazės</w:t>
      </w:r>
      <w:proofErr w:type="spellEnd"/>
      <w:r w:rsidRPr="004E08DD">
        <w:rPr>
          <w:rFonts w:ascii="Times New Roman" w:hAnsi="Times New Roman"/>
          <w:bCs/>
          <w:color w:val="000000"/>
          <w:lang w:val="lt-LT"/>
        </w:rPr>
        <w:t xml:space="preserve"> inhibitoriais); nė vieno iš šių vaistų kartu su </w:t>
      </w:r>
      <w:r>
        <w:rPr>
          <w:rFonts w:ascii="Times New Roman" w:hAnsi="Times New Roman"/>
          <w:bCs/>
          <w:color w:val="000000"/>
          <w:lang w:val="lt-LT"/>
        </w:rPr>
        <w:t>Vortioxetine Zentiva</w:t>
      </w:r>
      <w:r w:rsidRPr="004E08DD">
        <w:rPr>
          <w:rFonts w:ascii="Times New Roman" w:hAnsi="Times New Roman"/>
          <w:bCs/>
          <w:color w:val="000000"/>
          <w:lang w:val="lt-LT"/>
        </w:rPr>
        <w:t xml:space="preserve"> vartoti negalima. Jeigu vartojate kurį nors iš šių vaistų, turite palaukti 14</w:t>
      </w:r>
      <w:r w:rsidR="0051157C">
        <w:rPr>
          <w:rFonts w:ascii="Times New Roman" w:hAnsi="Times New Roman"/>
          <w:bCs/>
          <w:color w:val="000000"/>
          <w:lang w:val="lt-LT"/>
        </w:rPr>
        <w:t> </w:t>
      </w:r>
      <w:r w:rsidRPr="004E08DD">
        <w:rPr>
          <w:rFonts w:ascii="Times New Roman" w:hAnsi="Times New Roman"/>
          <w:bCs/>
          <w:color w:val="000000"/>
          <w:lang w:val="lt-LT"/>
        </w:rPr>
        <w:t xml:space="preserve">dienų ir tik tada pradėti vartoti </w:t>
      </w:r>
      <w:r>
        <w:rPr>
          <w:rFonts w:ascii="Times New Roman" w:hAnsi="Times New Roman"/>
          <w:bCs/>
          <w:color w:val="000000"/>
          <w:lang w:val="lt-LT"/>
        </w:rPr>
        <w:t>Vortioxetine Zentiva</w:t>
      </w:r>
      <w:r w:rsidRPr="004E08DD">
        <w:rPr>
          <w:rFonts w:ascii="Times New Roman" w:hAnsi="Times New Roman"/>
          <w:bCs/>
          <w:color w:val="000000"/>
          <w:lang w:val="lt-LT"/>
        </w:rPr>
        <w:t xml:space="preserve">. Nutraukus </w:t>
      </w:r>
      <w:r>
        <w:rPr>
          <w:rFonts w:ascii="Times New Roman" w:hAnsi="Times New Roman"/>
          <w:bCs/>
          <w:color w:val="000000"/>
          <w:lang w:val="lt-LT"/>
        </w:rPr>
        <w:t>Vortioxetine Zentiva</w:t>
      </w:r>
      <w:r w:rsidRPr="004E08DD">
        <w:rPr>
          <w:rFonts w:ascii="Times New Roman" w:hAnsi="Times New Roman"/>
          <w:bCs/>
          <w:color w:val="000000"/>
          <w:lang w:val="lt-LT"/>
        </w:rPr>
        <w:t xml:space="preserve"> vartojimą, turite palaukti 14</w:t>
      </w:r>
      <w:r w:rsidR="0051157C">
        <w:rPr>
          <w:rFonts w:ascii="Times New Roman" w:hAnsi="Times New Roman"/>
          <w:bCs/>
          <w:color w:val="000000"/>
          <w:lang w:val="lt-LT"/>
        </w:rPr>
        <w:t> </w:t>
      </w:r>
      <w:r w:rsidRPr="004E08DD">
        <w:rPr>
          <w:rFonts w:ascii="Times New Roman" w:hAnsi="Times New Roman"/>
          <w:bCs/>
          <w:color w:val="000000"/>
          <w:lang w:val="lt-LT"/>
        </w:rPr>
        <w:t>dienų ir tik tada pradėti vartoti kurį nors iš šių vaistų</w:t>
      </w:r>
      <w:r w:rsidR="002D4127">
        <w:rPr>
          <w:rFonts w:ascii="Times New Roman" w:hAnsi="Times New Roman"/>
          <w:bCs/>
          <w:color w:val="000000"/>
          <w:lang w:val="lt-LT"/>
        </w:rPr>
        <w:t>;</w:t>
      </w:r>
    </w:p>
    <w:p w14:paraId="4C209FCB" w14:textId="64A9C491"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moklobemid</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depresijai gydyti);</w:t>
      </w:r>
    </w:p>
    <w:p w14:paraId="1D61CA47" w14:textId="606B11A6" w:rsidR="009E69D1"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lastRenderedPageBreak/>
        <w:t>selegilin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razagilin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Parkinsono ligai gydyti);</w:t>
      </w:r>
    </w:p>
    <w:p w14:paraId="271437C0" w14:textId="6A3C5A4C"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linezolid</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bakterijų sukeltoms infekcinėms ligoms gydyti);</w:t>
      </w:r>
    </w:p>
    <w:p w14:paraId="4DAB82D6" w14:textId="6B3BC419"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vaist</w:t>
      </w:r>
      <w:r w:rsidR="002D4127">
        <w:rPr>
          <w:rFonts w:ascii="Times New Roman" w:hAnsi="Times New Roman"/>
          <w:bCs/>
          <w:color w:val="000000"/>
          <w:lang w:val="lt-LT"/>
        </w:rPr>
        <w:t>ų</w:t>
      </w:r>
      <w:r w:rsidRPr="004E08DD">
        <w:rPr>
          <w:rFonts w:ascii="Times New Roman" w:hAnsi="Times New Roman"/>
          <w:bCs/>
          <w:color w:val="000000"/>
          <w:lang w:val="lt-LT"/>
        </w:rPr>
        <w:t>, turinči</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serotoninerginį</w:t>
      </w:r>
      <w:proofErr w:type="spellEnd"/>
      <w:r w:rsidRPr="004E08DD">
        <w:rPr>
          <w:rFonts w:ascii="Times New Roman" w:hAnsi="Times New Roman"/>
          <w:bCs/>
          <w:color w:val="000000"/>
          <w:lang w:val="lt-LT"/>
        </w:rPr>
        <w:t xml:space="preserve"> poveikį, pvz., </w:t>
      </w:r>
      <w:proofErr w:type="spellStart"/>
      <w:r w:rsidRPr="004E08DD">
        <w:rPr>
          <w:rFonts w:ascii="Times New Roman" w:hAnsi="Times New Roman"/>
          <w:bCs/>
          <w:color w:val="000000"/>
          <w:lang w:val="lt-LT"/>
        </w:rPr>
        <w:t>tramadol</w:t>
      </w:r>
      <w:r w:rsidR="002D4127">
        <w:rPr>
          <w:rFonts w:ascii="Times New Roman" w:hAnsi="Times New Roman"/>
          <w:bCs/>
          <w:color w:val="000000"/>
          <w:lang w:val="lt-LT"/>
        </w:rPr>
        <w:t>io</w:t>
      </w:r>
      <w:proofErr w:type="spellEnd"/>
      <w:r w:rsidRPr="004E08DD">
        <w:rPr>
          <w:rFonts w:ascii="Times New Roman" w:hAnsi="Times New Roman"/>
          <w:bCs/>
          <w:color w:val="000000"/>
          <w:lang w:val="lt-LT"/>
        </w:rPr>
        <w:t xml:space="preserve"> ir panaši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(stipri</w:t>
      </w:r>
      <w:r w:rsidR="002D4127">
        <w:rPr>
          <w:rFonts w:ascii="Times New Roman" w:hAnsi="Times New Roman"/>
          <w:bCs/>
          <w:color w:val="000000"/>
          <w:lang w:val="lt-LT"/>
        </w:rPr>
        <w:t>ų</w:t>
      </w:r>
      <w:r w:rsidRPr="004E08DD">
        <w:rPr>
          <w:rFonts w:ascii="Times New Roman" w:hAnsi="Times New Roman"/>
          <w:bCs/>
          <w:color w:val="000000"/>
          <w:lang w:val="lt-LT"/>
        </w:rPr>
        <w:t xml:space="preserve"> skausmą malšinanči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bei </w:t>
      </w:r>
      <w:proofErr w:type="spellStart"/>
      <w:r w:rsidRPr="004E08DD">
        <w:rPr>
          <w:rFonts w:ascii="Times New Roman" w:hAnsi="Times New Roman"/>
          <w:bCs/>
          <w:color w:val="000000"/>
          <w:lang w:val="lt-LT"/>
        </w:rPr>
        <w:t>sumatriptan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ir panaši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kurių veikliųjų medžiagų pavadinimai baigiasi „-</w:t>
      </w:r>
      <w:proofErr w:type="spellStart"/>
      <w:r w:rsidRPr="004E08DD">
        <w:rPr>
          <w:rFonts w:ascii="Times New Roman" w:hAnsi="Times New Roman"/>
          <w:bCs/>
          <w:color w:val="000000"/>
          <w:lang w:val="lt-LT"/>
        </w:rPr>
        <w:t>triptanai</w:t>
      </w:r>
      <w:proofErr w:type="spellEnd"/>
      <w:r w:rsidRPr="004E08DD">
        <w:rPr>
          <w:rFonts w:ascii="Times New Roman" w:hAnsi="Times New Roman"/>
          <w:bCs/>
          <w:color w:val="000000"/>
          <w:lang w:val="lt-LT"/>
        </w:rPr>
        <w:t>“ (vartoja</w:t>
      </w:r>
      <w:r w:rsidR="002D4127">
        <w:rPr>
          <w:rFonts w:ascii="Times New Roman" w:hAnsi="Times New Roman"/>
          <w:bCs/>
          <w:color w:val="000000"/>
          <w:lang w:val="lt-LT"/>
        </w:rPr>
        <w:t>mų</w:t>
      </w:r>
      <w:r w:rsidRPr="004E08DD">
        <w:rPr>
          <w:rFonts w:ascii="Times New Roman" w:hAnsi="Times New Roman"/>
          <w:bCs/>
          <w:color w:val="000000"/>
          <w:lang w:val="lt-LT"/>
        </w:rPr>
        <w:t xml:space="preserve"> migrenai gydyti). Šių vaistų vartojimas kartu su </w:t>
      </w:r>
      <w:proofErr w:type="spellStart"/>
      <w:r w:rsidR="002D4127">
        <w:rPr>
          <w:rFonts w:ascii="Times New Roman" w:hAnsi="Times New Roman"/>
          <w:bCs/>
          <w:color w:val="000000"/>
          <w:lang w:val="lt-LT"/>
        </w:rPr>
        <w:t>Vortioxetine</w:t>
      </w:r>
      <w:proofErr w:type="spellEnd"/>
      <w:r w:rsidR="002D4127">
        <w:rPr>
          <w:rFonts w:ascii="Times New Roman" w:hAnsi="Times New Roman"/>
          <w:bCs/>
          <w:color w:val="000000"/>
          <w:lang w:val="lt-LT"/>
        </w:rPr>
        <w:t xml:space="preserve"> </w:t>
      </w:r>
      <w:proofErr w:type="spellStart"/>
      <w:r w:rsidR="002D4127">
        <w:rPr>
          <w:rFonts w:ascii="Times New Roman" w:hAnsi="Times New Roman"/>
          <w:bCs/>
          <w:color w:val="000000"/>
          <w:lang w:val="lt-LT"/>
        </w:rPr>
        <w:t>Zentiva</w:t>
      </w:r>
      <w:proofErr w:type="spellEnd"/>
      <w:r w:rsidRPr="004E08DD">
        <w:rPr>
          <w:rFonts w:ascii="Times New Roman" w:hAnsi="Times New Roman"/>
          <w:bCs/>
          <w:color w:val="000000"/>
          <w:lang w:val="lt-LT"/>
        </w:rPr>
        <w:t xml:space="preserve"> gali padidinti </w:t>
      </w:r>
      <w:proofErr w:type="spellStart"/>
      <w:r w:rsidRPr="004E08DD">
        <w:rPr>
          <w:rFonts w:ascii="Times New Roman" w:hAnsi="Times New Roman"/>
          <w:bCs/>
          <w:color w:val="000000"/>
          <w:lang w:val="lt-LT"/>
        </w:rPr>
        <w:t>serotonino</w:t>
      </w:r>
      <w:proofErr w:type="spellEnd"/>
      <w:r w:rsidRPr="004E08DD">
        <w:rPr>
          <w:rFonts w:ascii="Times New Roman" w:hAnsi="Times New Roman"/>
          <w:bCs/>
          <w:color w:val="000000"/>
          <w:lang w:val="lt-LT"/>
        </w:rPr>
        <w:t xml:space="preserve"> sindromo riziką (žr. skyrių „Įspėjimai ir atsargumo priemonės“);</w:t>
      </w:r>
    </w:p>
    <w:p w14:paraId="47C72D86" w14:textId="33755C43"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li</w:t>
      </w:r>
      <w:r w:rsidR="002D4127">
        <w:rPr>
          <w:rFonts w:ascii="Times New Roman" w:hAnsi="Times New Roman"/>
          <w:bCs/>
          <w:color w:val="000000"/>
          <w:lang w:val="lt-LT"/>
        </w:rPr>
        <w:t>čio</w:t>
      </w:r>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xml:space="preserve"> depresijai ir psichikos sutrikimams gydyti) ar </w:t>
      </w:r>
      <w:proofErr w:type="spellStart"/>
      <w:r w:rsidRPr="004E08DD">
        <w:rPr>
          <w:rFonts w:ascii="Times New Roman" w:hAnsi="Times New Roman"/>
          <w:bCs/>
          <w:color w:val="000000"/>
          <w:lang w:val="lt-LT"/>
        </w:rPr>
        <w:t>triptofan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w:t>
      </w:r>
    </w:p>
    <w:p w14:paraId="3F2A4918" w14:textId="71819966"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vaistų, kurie mažina natrio kiekį kraujyje;</w:t>
      </w:r>
    </w:p>
    <w:p w14:paraId="5442E846" w14:textId="0534E9D9"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rifampicin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o</w:t>
      </w:r>
      <w:r w:rsidRPr="004E08DD">
        <w:rPr>
          <w:rFonts w:ascii="Times New Roman" w:hAnsi="Times New Roman"/>
          <w:bCs/>
          <w:color w:val="000000"/>
          <w:lang w:val="lt-LT"/>
        </w:rPr>
        <w:t>, kuriuo gydoma tuberkuliozė ir kitokios infekcinės ligos);</w:t>
      </w:r>
    </w:p>
    <w:p w14:paraId="301018B3" w14:textId="4287BB02"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4E08DD">
        <w:rPr>
          <w:rFonts w:ascii="Times New Roman" w:hAnsi="Times New Roman"/>
          <w:bCs/>
          <w:color w:val="000000"/>
          <w:lang w:val="lt-LT"/>
        </w:rPr>
        <w:t>karbamazepin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fenitoin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epilepsijai ir kitokioms ligoms gydyti);</w:t>
      </w:r>
    </w:p>
    <w:p w14:paraId="4732BA60" w14:textId="40DFA5BF" w:rsidR="004E08DD" w:rsidRPr="004E08DD" w:rsidRDefault="004E08DD" w:rsidP="0051157C">
      <w:pPr>
        <w:pStyle w:val="Sraopastraipa"/>
        <w:numPr>
          <w:ilvl w:val="0"/>
          <w:numId w:val="21"/>
        </w:numPr>
        <w:autoSpaceDE w:val="0"/>
        <w:autoSpaceDN w:val="0"/>
        <w:adjustRightInd w:val="0"/>
        <w:spacing w:after="0" w:line="240" w:lineRule="auto"/>
        <w:ind w:left="567" w:right="1" w:hanging="567"/>
        <w:rPr>
          <w:rFonts w:ascii="Times New Roman" w:hAnsi="Times New Roman"/>
          <w:bCs/>
          <w:color w:val="000000"/>
          <w:lang w:val="lt-LT"/>
        </w:rPr>
      </w:pPr>
      <w:r w:rsidRPr="004E08DD">
        <w:rPr>
          <w:rFonts w:ascii="Times New Roman" w:hAnsi="Times New Roman"/>
          <w:bCs/>
          <w:color w:val="000000"/>
          <w:lang w:val="lt-LT"/>
        </w:rPr>
        <w:t>varfarin</w:t>
      </w:r>
      <w:r w:rsidR="002D4127">
        <w:rPr>
          <w:rFonts w:ascii="Times New Roman" w:hAnsi="Times New Roman"/>
          <w:bCs/>
          <w:color w:val="000000"/>
          <w:lang w:val="lt-LT"/>
        </w:rPr>
        <w:t>o</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dipiridamol</w:t>
      </w:r>
      <w:r w:rsidR="002D4127">
        <w:rPr>
          <w:rFonts w:ascii="Times New Roman" w:hAnsi="Times New Roman"/>
          <w:bCs/>
          <w:color w:val="000000"/>
          <w:lang w:val="lt-LT"/>
        </w:rPr>
        <w:t>io</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fenprokumon</w:t>
      </w:r>
      <w:r w:rsidR="002D4127">
        <w:rPr>
          <w:rFonts w:ascii="Times New Roman" w:hAnsi="Times New Roman"/>
          <w:bCs/>
          <w:color w:val="000000"/>
          <w:lang w:val="lt-LT"/>
        </w:rPr>
        <w:t>o</w:t>
      </w:r>
      <w:proofErr w:type="spellEnd"/>
      <w:r w:rsidRPr="004E08DD">
        <w:rPr>
          <w:rFonts w:ascii="Times New Roman" w:hAnsi="Times New Roman"/>
          <w:bCs/>
          <w:color w:val="000000"/>
          <w:lang w:val="lt-LT"/>
        </w:rPr>
        <w:t>, kai kuri</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antipsichotini</w:t>
      </w:r>
      <w:r w:rsidR="002D4127">
        <w:rPr>
          <w:rFonts w:ascii="Times New Roman" w:hAnsi="Times New Roman"/>
          <w:bCs/>
          <w:color w:val="000000"/>
          <w:lang w:val="lt-LT"/>
        </w:rPr>
        <w:t>ų</w:t>
      </w:r>
      <w:proofErr w:type="spellEnd"/>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fenotiazin</w:t>
      </w:r>
      <w:r w:rsidR="002D4127">
        <w:rPr>
          <w:rFonts w:ascii="Times New Roman" w:hAnsi="Times New Roman"/>
          <w:bCs/>
          <w:color w:val="000000"/>
          <w:lang w:val="lt-LT"/>
        </w:rPr>
        <w:t>ų</w:t>
      </w:r>
      <w:proofErr w:type="spellEnd"/>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tricikli</w:t>
      </w:r>
      <w:r w:rsidR="002D4127">
        <w:rPr>
          <w:rFonts w:ascii="Times New Roman" w:hAnsi="Times New Roman"/>
          <w:bCs/>
          <w:color w:val="000000"/>
          <w:lang w:val="lt-LT"/>
        </w:rPr>
        <w:t>ų</w:t>
      </w:r>
      <w:proofErr w:type="spellEnd"/>
      <w:r w:rsidRPr="004E08DD">
        <w:rPr>
          <w:rFonts w:ascii="Times New Roman" w:hAnsi="Times New Roman"/>
          <w:bCs/>
          <w:color w:val="000000"/>
          <w:lang w:val="lt-LT"/>
        </w:rPr>
        <w:t xml:space="preserve"> antidepresant</w:t>
      </w:r>
      <w:r w:rsidR="002D4127">
        <w:rPr>
          <w:rFonts w:ascii="Times New Roman" w:hAnsi="Times New Roman"/>
          <w:bCs/>
          <w:color w:val="000000"/>
          <w:lang w:val="lt-LT"/>
        </w:rPr>
        <w:t>ų</w:t>
      </w:r>
      <w:r w:rsidRPr="004E08DD">
        <w:rPr>
          <w:rFonts w:ascii="Times New Roman" w:hAnsi="Times New Roman"/>
          <w:bCs/>
          <w:color w:val="000000"/>
          <w:lang w:val="lt-LT"/>
        </w:rPr>
        <w:t>, maž</w:t>
      </w:r>
      <w:r w:rsidR="002D4127">
        <w:rPr>
          <w:rFonts w:ascii="Times New Roman" w:hAnsi="Times New Roman"/>
          <w:bCs/>
          <w:color w:val="000000"/>
          <w:lang w:val="lt-LT"/>
        </w:rPr>
        <w:t>ų</w:t>
      </w:r>
      <w:r w:rsidRPr="004E08DD">
        <w:rPr>
          <w:rFonts w:ascii="Times New Roman" w:hAnsi="Times New Roman"/>
          <w:bCs/>
          <w:color w:val="000000"/>
          <w:lang w:val="lt-LT"/>
        </w:rPr>
        <w:t xml:space="preserve"> </w:t>
      </w:r>
      <w:proofErr w:type="spellStart"/>
      <w:r w:rsidRPr="004E08DD">
        <w:rPr>
          <w:rFonts w:ascii="Times New Roman" w:hAnsi="Times New Roman"/>
          <w:bCs/>
          <w:color w:val="000000"/>
          <w:lang w:val="lt-LT"/>
        </w:rPr>
        <w:t>acetilsalicilo</w:t>
      </w:r>
      <w:proofErr w:type="spellEnd"/>
      <w:r w:rsidRPr="004E08DD">
        <w:rPr>
          <w:rFonts w:ascii="Times New Roman" w:hAnsi="Times New Roman"/>
          <w:bCs/>
          <w:color w:val="000000"/>
          <w:lang w:val="lt-LT"/>
        </w:rPr>
        <w:t xml:space="preserve"> rūgšties doz</w:t>
      </w:r>
      <w:r w:rsidR="002D4127">
        <w:rPr>
          <w:rFonts w:ascii="Times New Roman" w:hAnsi="Times New Roman"/>
          <w:bCs/>
          <w:color w:val="000000"/>
          <w:lang w:val="lt-LT"/>
        </w:rPr>
        <w:t>ių</w:t>
      </w:r>
      <w:r w:rsidRPr="004E08DD">
        <w:rPr>
          <w:rFonts w:ascii="Times New Roman" w:hAnsi="Times New Roman"/>
          <w:bCs/>
          <w:color w:val="000000"/>
          <w:lang w:val="lt-LT"/>
        </w:rPr>
        <w:t xml:space="preserve"> ir nesteroidini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nuo uždegimo (kraują skystinanči</w:t>
      </w:r>
      <w:r w:rsidR="002D4127">
        <w:rPr>
          <w:rFonts w:ascii="Times New Roman" w:hAnsi="Times New Roman"/>
          <w:bCs/>
          <w:color w:val="000000"/>
          <w:lang w:val="lt-LT"/>
        </w:rPr>
        <w:t>ų</w:t>
      </w:r>
      <w:r w:rsidRPr="004E08DD">
        <w:rPr>
          <w:rFonts w:ascii="Times New Roman" w:hAnsi="Times New Roman"/>
          <w:bCs/>
          <w:color w:val="000000"/>
          <w:lang w:val="lt-LT"/>
        </w:rPr>
        <w:t xml:space="preserve">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ir vaist</w:t>
      </w:r>
      <w:r w:rsidR="002D4127">
        <w:rPr>
          <w:rFonts w:ascii="Times New Roman" w:hAnsi="Times New Roman"/>
          <w:bCs/>
          <w:color w:val="000000"/>
          <w:lang w:val="lt-LT"/>
        </w:rPr>
        <w:t>ų</w:t>
      </w:r>
      <w:r w:rsidRPr="004E08DD">
        <w:rPr>
          <w:rFonts w:ascii="Times New Roman" w:hAnsi="Times New Roman"/>
          <w:bCs/>
          <w:color w:val="000000"/>
          <w:lang w:val="lt-LT"/>
        </w:rPr>
        <w:t xml:space="preserve"> nuo skausmo). Jie gali didinti polinkį kraujuoti.</w:t>
      </w:r>
    </w:p>
    <w:p w14:paraId="1FA22E14" w14:textId="77777777" w:rsidR="004E08DD" w:rsidRDefault="004E08DD" w:rsidP="004E08DD">
      <w:pPr>
        <w:autoSpaceDE w:val="0"/>
        <w:autoSpaceDN w:val="0"/>
        <w:adjustRightInd w:val="0"/>
        <w:spacing w:after="0" w:line="240" w:lineRule="auto"/>
        <w:ind w:right="1"/>
        <w:rPr>
          <w:rFonts w:ascii="Times New Roman" w:hAnsi="Times New Roman"/>
          <w:bCs/>
          <w:color w:val="000000"/>
          <w:lang w:val="lt-LT"/>
        </w:rPr>
      </w:pPr>
    </w:p>
    <w:p w14:paraId="7460D837"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 xml:space="preserve">Vaistai, kurie didina priepuolių riziką: </w:t>
      </w:r>
    </w:p>
    <w:p w14:paraId="4253BAFA" w14:textId="05A4AC91"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sumatriptanas</w:t>
      </w:r>
      <w:proofErr w:type="spellEnd"/>
      <w:r w:rsidRPr="002D4127">
        <w:rPr>
          <w:rFonts w:ascii="Times New Roman" w:hAnsi="Times New Roman"/>
          <w:bCs/>
          <w:color w:val="000000"/>
          <w:lang w:val="lt-LT"/>
        </w:rPr>
        <w:t xml:space="preserve"> ir panašūs vaistai, kurių veikliosios medžiagos pavadinimas baigiasi „</w:t>
      </w:r>
      <w:proofErr w:type="spellStart"/>
      <w:r w:rsidRPr="002D4127">
        <w:rPr>
          <w:rFonts w:ascii="Times New Roman" w:hAnsi="Times New Roman"/>
          <w:bCs/>
          <w:color w:val="000000"/>
          <w:lang w:val="lt-LT"/>
        </w:rPr>
        <w:t>triptanas</w:t>
      </w:r>
      <w:proofErr w:type="spellEnd"/>
      <w:r w:rsidRPr="002D4127">
        <w:rPr>
          <w:rFonts w:ascii="Times New Roman" w:hAnsi="Times New Roman"/>
          <w:bCs/>
          <w:color w:val="000000"/>
          <w:lang w:val="lt-LT"/>
        </w:rPr>
        <w:t xml:space="preserve">”; </w:t>
      </w:r>
    </w:p>
    <w:p w14:paraId="2138F28C" w14:textId="676C34A2"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tramadolis</w:t>
      </w:r>
      <w:proofErr w:type="spellEnd"/>
      <w:r w:rsidRPr="002D4127">
        <w:rPr>
          <w:rFonts w:ascii="Times New Roman" w:hAnsi="Times New Roman"/>
          <w:bCs/>
          <w:color w:val="000000"/>
          <w:lang w:val="lt-LT"/>
        </w:rPr>
        <w:t xml:space="preserve"> (stipriai skausmą malšinantis vaistas); </w:t>
      </w:r>
    </w:p>
    <w:p w14:paraId="20BDA3A7" w14:textId="044D997A"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meflokvinas</w:t>
      </w:r>
      <w:proofErr w:type="spellEnd"/>
      <w:r w:rsidRPr="002D4127">
        <w:rPr>
          <w:rFonts w:ascii="Times New Roman" w:hAnsi="Times New Roman"/>
          <w:bCs/>
          <w:color w:val="000000"/>
          <w:lang w:val="lt-LT"/>
        </w:rPr>
        <w:t xml:space="preserve"> (vaistas maliarijos profilaktikai ir gydymui); </w:t>
      </w:r>
    </w:p>
    <w:p w14:paraId="263BF963" w14:textId="5FCD3C93"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bupropionas</w:t>
      </w:r>
      <w:proofErr w:type="spellEnd"/>
      <w:r w:rsidRPr="002D4127">
        <w:rPr>
          <w:rFonts w:ascii="Times New Roman" w:hAnsi="Times New Roman"/>
          <w:bCs/>
          <w:color w:val="000000"/>
          <w:lang w:val="lt-LT"/>
        </w:rPr>
        <w:t xml:space="preserve"> (vaistas depresijai gydyti, o taip pat vartojamas norint mesti rūkyti); </w:t>
      </w:r>
    </w:p>
    <w:p w14:paraId="65DB1BE3" w14:textId="635DB17A"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fluoksetinas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paroksetinas</w:t>
      </w:r>
      <w:proofErr w:type="spellEnd"/>
      <w:r w:rsidRPr="002D4127">
        <w:rPr>
          <w:rFonts w:ascii="Times New Roman" w:hAnsi="Times New Roman"/>
          <w:bCs/>
          <w:color w:val="000000"/>
          <w:lang w:val="lt-LT"/>
        </w:rPr>
        <w:t xml:space="preserve"> ir kiti vaistai depresijai gydyti, vadinami SSRI / SNRI, </w:t>
      </w:r>
      <w:proofErr w:type="spellStart"/>
      <w:r w:rsidRPr="002D4127">
        <w:rPr>
          <w:rFonts w:ascii="Times New Roman" w:hAnsi="Times New Roman"/>
          <w:bCs/>
          <w:color w:val="000000"/>
          <w:lang w:val="lt-LT"/>
        </w:rPr>
        <w:t>tricikliais</w:t>
      </w:r>
      <w:proofErr w:type="spellEnd"/>
      <w:r w:rsidRPr="002D4127">
        <w:rPr>
          <w:rFonts w:ascii="Times New Roman" w:hAnsi="Times New Roman"/>
          <w:bCs/>
          <w:color w:val="000000"/>
          <w:lang w:val="lt-LT"/>
        </w:rPr>
        <w:t xml:space="preserve"> antidepresantais; </w:t>
      </w:r>
    </w:p>
    <w:p w14:paraId="21C9B3E6" w14:textId="64570C39"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r w:rsidRPr="002D4127">
        <w:rPr>
          <w:rFonts w:ascii="Times New Roman" w:hAnsi="Times New Roman"/>
          <w:bCs/>
          <w:color w:val="000000"/>
          <w:lang w:val="lt-LT"/>
        </w:rPr>
        <w:t>jonažolės (</w:t>
      </w:r>
      <w:proofErr w:type="spellStart"/>
      <w:r w:rsidRPr="002D4127">
        <w:rPr>
          <w:rFonts w:ascii="Times New Roman" w:hAnsi="Times New Roman"/>
          <w:bCs/>
          <w:i/>
          <w:iCs/>
          <w:color w:val="000000"/>
          <w:lang w:val="lt-LT"/>
        </w:rPr>
        <w:t>Hypericum</w:t>
      </w:r>
      <w:proofErr w:type="spellEnd"/>
      <w:r w:rsidRPr="002D4127">
        <w:rPr>
          <w:rFonts w:ascii="Times New Roman" w:hAnsi="Times New Roman"/>
          <w:bCs/>
          <w:i/>
          <w:iCs/>
          <w:color w:val="000000"/>
          <w:lang w:val="lt-LT"/>
        </w:rPr>
        <w:t xml:space="preserve"> </w:t>
      </w:r>
      <w:proofErr w:type="spellStart"/>
      <w:r w:rsidRPr="002D4127">
        <w:rPr>
          <w:rFonts w:ascii="Times New Roman" w:hAnsi="Times New Roman"/>
          <w:bCs/>
          <w:i/>
          <w:iCs/>
          <w:color w:val="000000"/>
          <w:lang w:val="lt-LT"/>
        </w:rPr>
        <w:t>perforatum</w:t>
      </w:r>
      <w:proofErr w:type="spellEnd"/>
      <w:r w:rsidRPr="002D4127">
        <w:rPr>
          <w:rFonts w:ascii="Times New Roman" w:hAnsi="Times New Roman"/>
          <w:bCs/>
          <w:i/>
          <w:iCs/>
          <w:color w:val="000000"/>
          <w:lang w:val="lt-LT"/>
        </w:rPr>
        <w:t xml:space="preserve">) </w:t>
      </w:r>
      <w:r w:rsidRPr="002D4127">
        <w:rPr>
          <w:rFonts w:ascii="Times New Roman" w:hAnsi="Times New Roman"/>
          <w:bCs/>
          <w:color w:val="000000"/>
          <w:lang w:val="lt-LT"/>
        </w:rPr>
        <w:t xml:space="preserve">preparatai (vaistai depresijai gydyti); </w:t>
      </w:r>
    </w:p>
    <w:p w14:paraId="52074FA0" w14:textId="23EFD31D"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chinidinas</w:t>
      </w:r>
      <w:proofErr w:type="spellEnd"/>
      <w:r w:rsidRPr="002D4127">
        <w:rPr>
          <w:rFonts w:ascii="Times New Roman" w:hAnsi="Times New Roman"/>
          <w:bCs/>
          <w:color w:val="000000"/>
          <w:lang w:val="lt-LT"/>
        </w:rPr>
        <w:t xml:space="preserve"> (vaistas širdies plakimo sutrikimams gydyti); </w:t>
      </w:r>
    </w:p>
    <w:p w14:paraId="46C598EB" w14:textId="2CCF381B" w:rsidR="002D4127" w:rsidRPr="002D4127" w:rsidRDefault="002D4127" w:rsidP="0051157C">
      <w:pPr>
        <w:pStyle w:val="Sraopastraipa"/>
        <w:numPr>
          <w:ilvl w:val="0"/>
          <w:numId w:val="22"/>
        </w:numPr>
        <w:autoSpaceDE w:val="0"/>
        <w:autoSpaceDN w:val="0"/>
        <w:adjustRightInd w:val="0"/>
        <w:spacing w:after="0" w:line="240" w:lineRule="auto"/>
        <w:ind w:left="567" w:right="1" w:hanging="567"/>
        <w:rPr>
          <w:rFonts w:ascii="Times New Roman" w:hAnsi="Times New Roman"/>
          <w:bCs/>
          <w:color w:val="000000"/>
          <w:lang w:val="lt-LT"/>
        </w:rPr>
      </w:pPr>
      <w:proofErr w:type="spellStart"/>
      <w:r w:rsidRPr="002D4127">
        <w:rPr>
          <w:rFonts w:ascii="Times New Roman" w:hAnsi="Times New Roman"/>
          <w:bCs/>
          <w:color w:val="000000"/>
          <w:lang w:val="lt-LT"/>
        </w:rPr>
        <w:t>chlorpromazinas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chlorprotiksenas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haloperidolis</w:t>
      </w:r>
      <w:proofErr w:type="spellEnd"/>
      <w:r w:rsidRPr="002D4127">
        <w:rPr>
          <w:rFonts w:ascii="Times New Roman" w:hAnsi="Times New Roman"/>
          <w:bCs/>
          <w:color w:val="000000"/>
          <w:lang w:val="lt-LT"/>
        </w:rPr>
        <w:t xml:space="preserve"> (vaistai psichikos sutrikimams gydyti, kurie priklauso grupėms, vadinamoms </w:t>
      </w:r>
      <w:proofErr w:type="spellStart"/>
      <w:r w:rsidRPr="002D4127">
        <w:rPr>
          <w:rFonts w:ascii="Times New Roman" w:hAnsi="Times New Roman"/>
          <w:bCs/>
          <w:color w:val="000000"/>
          <w:lang w:val="lt-LT"/>
        </w:rPr>
        <w:t>fenotiazinais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tioksantenais</w:t>
      </w:r>
      <w:proofErr w:type="spellEnd"/>
      <w:r w:rsidRPr="002D4127">
        <w:rPr>
          <w:rFonts w:ascii="Times New Roman" w:hAnsi="Times New Roman"/>
          <w:bCs/>
          <w:color w:val="000000"/>
          <w:lang w:val="lt-LT"/>
        </w:rPr>
        <w:t xml:space="preserve">, </w:t>
      </w:r>
      <w:proofErr w:type="spellStart"/>
      <w:r w:rsidRPr="002D4127">
        <w:rPr>
          <w:rFonts w:ascii="Times New Roman" w:hAnsi="Times New Roman"/>
          <w:bCs/>
          <w:color w:val="000000"/>
          <w:lang w:val="lt-LT"/>
        </w:rPr>
        <w:t>butirofenonais</w:t>
      </w:r>
      <w:proofErr w:type="spellEnd"/>
      <w:r w:rsidRPr="002D4127">
        <w:rPr>
          <w:rFonts w:ascii="Times New Roman" w:hAnsi="Times New Roman"/>
          <w:bCs/>
          <w:color w:val="000000"/>
          <w:lang w:val="lt-LT"/>
        </w:rPr>
        <w:t>).</w:t>
      </w:r>
    </w:p>
    <w:p w14:paraId="76F7BF19" w14:textId="77777777" w:rsidR="002D4127" w:rsidRPr="002D4127" w:rsidRDefault="002D4127" w:rsidP="004E08DD">
      <w:pPr>
        <w:autoSpaceDE w:val="0"/>
        <w:autoSpaceDN w:val="0"/>
        <w:adjustRightInd w:val="0"/>
        <w:spacing w:after="0" w:line="240" w:lineRule="auto"/>
        <w:ind w:right="1"/>
        <w:rPr>
          <w:rFonts w:ascii="Times New Roman" w:hAnsi="Times New Roman"/>
          <w:bCs/>
          <w:color w:val="000000"/>
          <w:lang w:val="lt-LT"/>
        </w:rPr>
      </w:pPr>
    </w:p>
    <w:p w14:paraId="4319DCE4" w14:textId="77777777" w:rsid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Pasakykite gydytojui, jei vartojate bet kurį iš ankščiau išvardytų vaistų, kadangi gydytojas turi žinoti, ar Jums jau yra traukulių atsiradimo rizika.</w:t>
      </w:r>
    </w:p>
    <w:p w14:paraId="0A98343A"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p>
    <w:p w14:paraId="3DCA1F5F" w14:textId="0C08CFAC" w:rsid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 xml:space="preserve">Jeigu Jums atliekamas narkotikų nustatymo šlapime tyrimas, dėl </w:t>
      </w:r>
      <w:r>
        <w:rPr>
          <w:rFonts w:ascii="Times New Roman" w:hAnsi="Times New Roman"/>
          <w:bCs/>
          <w:color w:val="000000"/>
          <w:lang w:val="lt-LT"/>
        </w:rPr>
        <w:t>Vortioxetine Zentiva</w:t>
      </w:r>
      <w:r w:rsidRPr="002D4127">
        <w:rPr>
          <w:rFonts w:ascii="Times New Roman" w:hAnsi="Times New Roman"/>
          <w:bCs/>
          <w:color w:val="000000"/>
          <w:lang w:val="lt-LT"/>
        </w:rPr>
        <w:t xml:space="preserve"> vartojimo taikant tam tikrą tyrimo metodą gali būti gauti teigiami metadono rezultatai, nors galbūt metadono nevartojote. Tokiu atveju galima atlikti tikslesnį tyrimą.</w:t>
      </w:r>
    </w:p>
    <w:p w14:paraId="5557D40D" w14:textId="77777777" w:rsidR="002D4127" w:rsidRDefault="002D4127" w:rsidP="004E08DD">
      <w:pPr>
        <w:autoSpaceDE w:val="0"/>
        <w:autoSpaceDN w:val="0"/>
        <w:adjustRightInd w:val="0"/>
        <w:spacing w:after="0" w:line="240" w:lineRule="auto"/>
        <w:ind w:right="1"/>
        <w:rPr>
          <w:rFonts w:ascii="Times New Roman" w:hAnsi="Times New Roman"/>
          <w:bCs/>
          <w:color w:val="000000"/>
          <w:lang w:val="lt-LT"/>
        </w:rPr>
      </w:pPr>
    </w:p>
    <w:p w14:paraId="75F6563F" w14:textId="2F1EE592" w:rsidR="002D4127" w:rsidRDefault="002D4127" w:rsidP="002D4127">
      <w:pPr>
        <w:autoSpaceDE w:val="0"/>
        <w:autoSpaceDN w:val="0"/>
        <w:adjustRightInd w:val="0"/>
        <w:spacing w:after="0" w:line="240" w:lineRule="auto"/>
        <w:ind w:right="1"/>
        <w:rPr>
          <w:rFonts w:ascii="Times New Roman" w:hAnsi="Times New Roman"/>
          <w:b/>
          <w:bCs/>
          <w:color w:val="000000"/>
          <w:lang w:val="lt-LT"/>
        </w:rPr>
      </w:pPr>
      <w:r>
        <w:rPr>
          <w:rFonts w:ascii="Times New Roman" w:hAnsi="Times New Roman"/>
          <w:b/>
          <w:bCs/>
          <w:color w:val="000000"/>
          <w:lang w:val="lt-LT"/>
        </w:rPr>
        <w:t>Vortioxetine Zentiva</w:t>
      </w:r>
      <w:r w:rsidRPr="002D4127">
        <w:rPr>
          <w:rFonts w:ascii="Times New Roman" w:hAnsi="Times New Roman"/>
          <w:b/>
          <w:bCs/>
          <w:color w:val="000000"/>
          <w:lang w:val="lt-LT"/>
        </w:rPr>
        <w:t xml:space="preserve"> vartojimas su alkoholiu </w:t>
      </w:r>
    </w:p>
    <w:p w14:paraId="42520C02"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p>
    <w:p w14:paraId="647D17B4" w14:textId="0657A667" w:rsidR="002D4127" w:rsidRDefault="002D4127" w:rsidP="002D4127">
      <w:pPr>
        <w:autoSpaceDE w:val="0"/>
        <w:autoSpaceDN w:val="0"/>
        <w:adjustRightInd w:val="0"/>
        <w:spacing w:after="0" w:line="240" w:lineRule="auto"/>
        <w:ind w:right="1"/>
        <w:rPr>
          <w:rFonts w:ascii="Times New Roman" w:hAnsi="Times New Roman"/>
          <w:bCs/>
          <w:color w:val="000000"/>
          <w:lang w:val="lt-LT"/>
        </w:rPr>
      </w:pPr>
      <w:r w:rsidRPr="002D4127">
        <w:rPr>
          <w:rFonts w:ascii="Times New Roman" w:hAnsi="Times New Roman"/>
          <w:bCs/>
          <w:color w:val="000000"/>
          <w:lang w:val="lt-LT"/>
        </w:rPr>
        <w:t>Šio vaisto nerekomenduojama vartoti kartu su alkoholiu.</w:t>
      </w:r>
    </w:p>
    <w:p w14:paraId="1BF75D58" w14:textId="77777777" w:rsidR="002D4127" w:rsidRPr="002D4127" w:rsidRDefault="002D4127" w:rsidP="002D4127">
      <w:pPr>
        <w:autoSpaceDE w:val="0"/>
        <w:autoSpaceDN w:val="0"/>
        <w:adjustRightInd w:val="0"/>
        <w:spacing w:after="0" w:line="240" w:lineRule="auto"/>
        <w:ind w:right="1"/>
        <w:rPr>
          <w:rFonts w:ascii="Times New Roman" w:hAnsi="Times New Roman"/>
          <w:bCs/>
          <w:color w:val="000000"/>
          <w:lang w:val="lt-LT"/>
        </w:rPr>
      </w:pPr>
    </w:p>
    <w:p w14:paraId="05DF3E17" w14:textId="69A098A3"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Nėštumas</w:t>
      </w:r>
      <w:r w:rsidR="002334D1" w:rsidRPr="00514245">
        <w:rPr>
          <w:rFonts w:ascii="Times New Roman" w:hAnsi="Times New Roman"/>
          <w:b/>
          <w:color w:val="000000"/>
          <w:lang w:val="lt-LT"/>
        </w:rPr>
        <w:t xml:space="preserve"> ir</w:t>
      </w:r>
      <w:r w:rsidRPr="00514245">
        <w:rPr>
          <w:rFonts w:ascii="Times New Roman" w:hAnsi="Times New Roman"/>
          <w:b/>
          <w:color w:val="000000"/>
          <w:lang w:val="lt-LT"/>
        </w:rPr>
        <w:t xml:space="preserve"> žindymo laikotarpis </w:t>
      </w:r>
    </w:p>
    <w:p w14:paraId="1EDFA2D0" w14:textId="77777777" w:rsidR="002D4127" w:rsidRPr="00514245" w:rsidRDefault="002D4127" w:rsidP="00F40D37">
      <w:pPr>
        <w:keepNext/>
        <w:autoSpaceDE w:val="0"/>
        <w:autoSpaceDN w:val="0"/>
        <w:adjustRightInd w:val="0"/>
        <w:spacing w:after="0" w:line="240" w:lineRule="auto"/>
        <w:rPr>
          <w:rFonts w:ascii="Times New Roman" w:hAnsi="Times New Roman"/>
          <w:b/>
          <w:color w:val="000000"/>
          <w:lang w:val="lt-LT"/>
        </w:rPr>
      </w:pPr>
    </w:p>
    <w:p w14:paraId="69AFBD3D" w14:textId="0946E035" w:rsidR="009E69D1" w:rsidRPr="00514245" w:rsidRDefault="009E69D1" w:rsidP="00F40D37">
      <w:pPr>
        <w:keepNext/>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eastAsia="Times New Roman" w:hAnsi="Times New Roman"/>
          <w:color w:val="000000"/>
          <w:lang w:val="lt-LT"/>
        </w:rPr>
        <w:t xml:space="preserve">Jeigu esate nėščia, </w:t>
      </w:r>
      <w:r w:rsidR="002D4127">
        <w:rPr>
          <w:rFonts w:ascii="Times New Roman" w:eastAsia="Times New Roman" w:hAnsi="Times New Roman"/>
          <w:color w:val="000000"/>
          <w:lang w:val="lt-LT"/>
        </w:rPr>
        <w:t xml:space="preserve">žindote kūdikį, </w:t>
      </w:r>
      <w:r w:rsidRPr="00514245">
        <w:rPr>
          <w:rFonts w:ascii="Times New Roman" w:eastAsia="Times New Roman" w:hAnsi="Times New Roman"/>
          <w:color w:val="000000"/>
          <w:lang w:val="lt-LT"/>
        </w:rPr>
        <w:t xml:space="preserve">manote, kad galbūt esate nėščia, arba planuojate pastoti, </w:t>
      </w:r>
      <w:r w:rsidR="002D4127">
        <w:rPr>
          <w:rFonts w:ascii="Times New Roman" w:eastAsia="Times New Roman" w:hAnsi="Times New Roman"/>
          <w:color w:val="000000"/>
          <w:lang w:val="lt-LT"/>
        </w:rPr>
        <w:t>tai prieš vartodama šį vaistą, pasitarkite su gydytoju.</w:t>
      </w:r>
    </w:p>
    <w:p w14:paraId="455F5DD8" w14:textId="77777777" w:rsidR="009E69D1" w:rsidRPr="00514245" w:rsidRDefault="009E69D1" w:rsidP="00F40D37">
      <w:pPr>
        <w:keepNext/>
        <w:autoSpaceDE w:val="0"/>
        <w:autoSpaceDN w:val="0"/>
        <w:adjustRightInd w:val="0"/>
        <w:spacing w:after="0" w:line="240" w:lineRule="auto"/>
        <w:rPr>
          <w:rFonts w:ascii="Times New Roman" w:eastAsia="Times New Roman" w:hAnsi="Times New Roman"/>
          <w:color w:val="000000"/>
          <w:lang w:val="lt-LT"/>
        </w:rPr>
      </w:pPr>
    </w:p>
    <w:p w14:paraId="261E1EC9" w14:textId="77777777" w:rsidR="002D4127" w:rsidRDefault="002D4127" w:rsidP="002D4127">
      <w:pPr>
        <w:keepNext/>
        <w:autoSpaceDE w:val="0"/>
        <w:autoSpaceDN w:val="0"/>
        <w:adjustRightInd w:val="0"/>
        <w:spacing w:after="0" w:line="240" w:lineRule="auto"/>
        <w:rPr>
          <w:rFonts w:ascii="Times New Roman" w:eastAsia="Times New Roman" w:hAnsi="Times New Roman"/>
          <w:b/>
          <w:bCs/>
          <w:color w:val="000000"/>
          <w:lang w:val="lt-LT"/>
        </w:rPr>
      </w:pPr>
      <w:r w:rsidRPr="002D4127">
        <w:rPr>
          <w:rFonts w:ascii="Times New Roman" w:eastAsia="Times New Roman" w:hAnsi="Times New Roman"/>
          <w:b/>
          <w:bCs/>
          <w:color w:val="000000"/>
          <w:lang w:val="lt-LT"/>
        </w:rPr>
        <w:t xml:space="preserve">Nėštumas </w:t>
      </w:r>
    </w:p>
    <w:p w14:paraId="45BA32BE"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3988A5C3" w14:textId="347BB73F" w:rsidR="009E69D1"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vartoti nėštumo metu negalima, išskyrus atvejus, kai gydytojas teigia, kad tai neabejotinai būtina.</w:t>
      </w:r>
    </w:p>
    <w:p w14:paraId="51621172" w14:textId="77777777"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2E600BD5" w14:textId="24AB74C4"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Jeigu per paskutiniuosius 3</w:t>
      </w:r>
      <w:r>
        <w:rPr>
          <w:rFonts w:ascii="Times New Roman" w:eastAsia="Times New Roman" w:hAnsi="Times New Roman"/>
          <w:color w:val="000000"/>
          <w:lang w:val="lt-LT"/>
        </w:rPr>
        <w:t> </w:t>
      </w:r>
      <w:r w:rsidRPr="002D4127">
        <w:rPr>
          <w:rFonts w:ascii="Times New Roman" w:eastAsia="Times New Roman" w:hAnsi="Times New Roman"/>
          <w:color w:val="000000"/>
          <w:lang w:val="lt-LT"/>
        </w:rPr>
        <w:t xml:space="preserve">nėštumo mėnesius vartojate vaistų depresijai gydyti, įskaitant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turite žinoti, kad Jūsų naujagimiui gali pasireikšti šis toliau išvardytas poveikis: kvėpavimo sutrikimai, melsva odos spalva, priepuoliai, kūno temperatūros pokyčiai, žindymo sunkumai, vėmimas, maža cukraus koncentracija kraujyje, raumenų sukietėjimas arba suglebimas, ryškūs refleksai, drebulys, drebėjimas, irzlumas, letargija, nuolatinis verkimas, mieguistumas ir miego </w:t>
      </w:r>
      <w:r w:rsidRPr="002D4127">
        <w:rPr>
          <w:rFonts w:ascii="Times New Roman" w:eastAsia="Times New Roman" w:hAnsi="Times New Roman"/>
          <w:color w:val="000000"/>
          <w:lang w:val="lt-LT"/>
        </w:rPr>
        <w:lastRenderedPageBreak/>
        <w:t>sutrikimai. Jeigu Jūsų naujagimiui pasireiškė kuris nors iš šių simptomų, nedelsdami kreipkitės į savo gydytoją.</w:t>
      </w:r>
    </w:p>
    <w:p w14:paraId="2657409D"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631F0E39" w14:textId="6A2304A1"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 xml:space="preserve">Būtinai pasakykite savo akušerei ir (arba) gydytojui, kad vartojate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Nėštumo pabaigoje, ypač per paskutiniuosius 3</w:t>
      </w:r>
      <w:r>
        <w:rPr>
          <w:rFonts w:ascii="Times New Roman" w:eastAsia="Times New Roman" w:hAnsi="Times New Roman"/>
          <w:color w:val="000000"/>
          <w:lang w:val="lt-LT"/>
        </w:rPr>
        <w:t> </w:t>
      </w:r>
      <w:r w:rsidRPr="002D4127">
        <w:rPr>
          <w:rFonts w:ascii="Times New Roman" w:eastAsia="Times New Roman" w:hAnsi="Times New Roman"/>
          <w:color w:val="000000"/>
          <w:lang w:val="lt-LT"/>
        </w:rPr>
        <w:t xml:space="preserve">nėštumo mėnesius vartojami į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panašūs vaistai gali didinti sunkios naujagimio būklės, vadinamos ilgalaike naujagimio </w:t>
      </w:r>
      <w:proofErr w:type="spellStart"/>
      <w:r w:rsidRPr="002D4127">
        <w:rPr>
          <w:rFonts w:ascii="Times New Roman" w:eastAsia="Times New Roman" w:hAnsi="Times New Roman"/>
          <w:color w:val="000000"/>
          <w:lang w:val="lt-LT"/>
        </w:rPr>
        <w:t>plautine</w:t>
      </w:r>
      <w:proofErr w:type="spellEnd"/>
      <w:r w:rsidRPr="002D4127">
        <w:rPr>
          <w:rFonts w:ascii="Times New Roman" w:eastAsia="Times New Roman" w:hAnsi="Times New Roman"/>
          <w:color w:val="000000"/>
          <w:lang w:val="lt-LT"/>
        </w:rPr>
        <w:t xml:space="preserve"> hipertenzija (INPH), riziką. Dėl to naujagimis gali dažniau kvėpuoti ir pamėlti. Tokių simptomų dažniausiai atsiranda per pirmąsias 24</w:t>
      </w:r>
      <w:r>
        <w:rPr>
          <w:rFonts w:ascii="Times New Roman" w:eastAsia="Times New Roman" w:hAnsi="Times New Roman"/>
          <w:color w:val="000000"/>
          <w:lang w:val="lt-LT"/>
        </w:rPr>
        <w:t> </w:t>
      </w:r>
      <w:r w:rsidRPr="002D4127">
        <w:rPr>
          <w:rFonts w:ascii="Times New Roman" w:eastAsia="Times New Roman" w:hAnsi="Times New Roman"/>
          <w:color w:val="000000"/>
          <w:lang w:val="lt-LT"/>
        </w:rPr>
        <w:t>valandas naujagimiui gimus. Jeigu Jūsų naujagimiui pasireiškia toks poveikis, turite nedelsdami kreiptis į akušerę ir (arba) gydytoją.</w:t>
      </w:r>
    </w:p>
    <w:p w14:paraId="7E8389E3" w14:textId="77777777"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18956E6B" w14:textId="5B9E7C8A"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 xml:space="preserve">Jeigu Jūs vartojate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kad jie galėtų Jums patarti.</w:t>
      </w:r>
    </w:p>
    <w:p w14:paraId="6DE272C2"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37B9BB90"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b/>
          <w:bCs/>
          <w:color w:val="000000"/>
          <w:lang w:val="lt-LT"/>
        </w:rPr>
      </w:pPr>
      <w:r w:rsidRPr="002D4127">
        <w:rPr>
          <w:rFonts w:ascii="Times New Roman" w:eastAsia="Times New Roman" w:hAnsi="Times New Roman"/>
          <w:b/>
          <w:bCs/>
          <w:color w:val="000000"/>
          <w:lang w:val="lt-LT"/>
        </w:rPr>
        <w:t>Žindymo laikotarpis</w:t>
      </w:r>
    </w:p>
    <w:p w14:paraId="3B89AB87"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240D108A" w14:textId="5576AF8C" w:rsid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r w:rsidRPr="002D4127">
        <w:rPr>
          <w:rFonts w:ascii="Times New Roman" w:eastAsia="Times New Roman" w:hAnsi="Times New Roman"/>
          <w:color w:val="000000"/>
          <w:lang w:val="lt-LT"/>
        </w:rPr>
        <w:t xml:space="preserve">Nedidelis </w:t>
      </w:r>
      <w:r>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kiekis patenka į gydomų moterų pieną, tačiau kūdikiams nebuvo nustatyta jokio kenksmingo, su vaistu susijusio poveikio. </w:t>
      </w:r>
      <w:r w:rsidR="00FA056B">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neskirtas vartoti žindymo laikotarpiu. Jūsų gydytojas, atsižvelgdamas į žindymo naudą vaikui ir gydymo naudą Jums, nuspręs, ar nutraukti žindymą, ar nutraukti </w:t>
      </w:r>
      <w:r w:rsidR="00FA056B">
        <w:rPr>
          <w:rFonts w:ascii="Times New Roman" w:eastAsia="Times New Roman" w:hAnsi="Times New Roman"/>
          <w:color w:val="000000"/>
          <w:lang w:val="lt-LT"/>
        </w:rPr>
        <w:t>Vortioxetine Zentiva</w:t>
      </w:r>
      <w:r w:rsidRPr="002D4127">
        <w:rPr>
          <w:rFonts w:ascii="Times New Roman" w:eastAsia="Times New Roman" w:hAnsi="Times New Roman"/>
          <w:color w:val="000000"/>
          <w:lang w:val="lt-LT"/>
        </w:rPr>
        <w:t xml:space="preserve"> vartojimą.</w:t>
      </w:r>
    </w:p>
    <w:p w14:paraId="4128C847" w14:textId="77777777" w:rsidR="002D4127" w:rsidRPr="002D4127" w:rsidRDefault="002D4127" w:rsidP="002D4127">
      <w:pPr>
        <w:keepNext/>
        <w:autoSpaceDE w:val="0"/>
        <w:autoSpaceDN w:val="0"/>
        <w:adjustRightInd w:val="0"/>
        <w:spacing w:after="0" w:line="240" w:lineRule="auto"/>
        <w:rPr>
          <w:rFonts w:ascii="Times New Roman" w:eastAsia="Times New Roman" w:hAnsi="Times New Roman"/>
          <w:color w:val="000000"/>
          <w:lang w:val="lt-LT"/>
        </w:rPr>
      </w:pPr>
    </w:p>
    <w:p w14:paraId="2F0F2A0D" w14:textId="56C75EB2" w:rsidR="002334D1" w:rsidRDefault="002334D1" w:rsidP="00F40D37">
      <w:pPr>
        <w:keepNext/>
        <w:autoSpaceDE w:val="0"/>
        <w:autoSpaceDN w:val="0"/>
        <w:adjustRightInd w:val="0"/>
        <w:spacing w:after="0" w:line="240" w:lineRule="auto"/>
        <w:rPr>
          <w:rFonts w:ascii="Times New Roman" w:eastAsia="Times New Roman" w:hAnsi="Times New Roman"/>
          <w:b/>
          <w:bCs/>
          <w:color w:val="000000"/>
          <w:lang w:val="lt-LT"/>
        </w:rPr>
      </w:pPr>
      <w:r w:rsidRPr="00514245">
        <w:rPr>
          <w:rFonts w:ascii="Times New Roman" w:eastAsia="Times New Roman" w:hAnsi="Times New Roman"/>
          <w:b/>
          <w:bCs/>
          <w:color w:val="000000"/>
          <w:lang w:val="lt-LT"/>
        </w:rPr>
        <w:t>Vairavimas ir mechanizmų valdymas</w:t>
      </w:r>
    </w:p>
    <w:p w14:paraId="3D3C854D" w14:textId="77777777" w:rsidR="00FA056B" w:rsidRPr="00514245" w:rsidRDefault="00FA056B" w:rsidP="00F40D37">
      <w:pPr>
        <w:keepNext/>
        <w:autoSpaceDE w:val="0"/>
        <w:autoSpaceDN w:val="0"/>
        <w:adjustRightInd w:val="0"/>
        <w:spacing w:after="0" w:line="240" w:lineRule="auto"/>
        <w:rPr>
          <w:rFonts w:ascii="Times New Roman" w:eastAsia="Times New Roman" w:hAnsi="Times New Roman"/>
          <w:b/>
          <w:bCs/>
          <w:color w:val="000000"/>
          <w:lang w:val="lt-LT"/>
        </w:rPr>
      </w:pPr>
    </w:p>
    <w:p w14:paraId="08DE8F1B" w14:textId="0A23D05F" w:rsidR="008A1798" w:rsidRPr="00FA056B" w:rsidRDefault="00FA056B" w:rsidP="008A1798">
      <w:pPr>
        <w:widowControl w:val="0"/>
        <w:autoSpaceDE w:val="0"/>
        <w:autoSpaceDN w:val="0"/>
        <w:adjustRightInd w:val="0"/>
        <w:spacing w:after="0" w:line="240" w:lineRule="auto"/>
        <w:ind w:right="1"/>
        <w:rPr>
          <w:rFonts w:ascii="Times New Roman" w:hAnsi="Times New Roman"/>
          <w:bCs/>
          <w:color w:val="000000"/>
          <w:lang w:val="lt-LT"/>
        </w:rPr>
      </w:pPr>
      <w:r>
        <w:rPr>
          <w:rFonts w:ascii="Times New Roman" w:eastAsia="Times New Roman" w:hAnsi="Times New Roman"/>
          <w:color w:val="000000"/>
          <w:lang w:val="lt-LT"/>
        </w:rPr>
        <w:t>Vortioxetine Zentiva</w:t>
      </w:r>
      <w:r w:rsidRPr="00FA056B">
        <w:rPr>
          <w:rFonts w:ascii="Times New Roman" w:eastAsia="Times New Roman" w:hAnsi="Times New Roman"/>
          <w:color w:val="000000"/>
          <w:lang w:val="lt-LT"/>
        </w:rPr>
        <w:t xml:space="preserve"> gebėjimo vairuoti ir valdyti mechanizmus neveikia arba veikia nereikšmingai. Vis dėlto, buvo pranešti nepageidaujami poveikiai tokie kaip </w:t>
      </w:r>
      <w:r w:rsidR="00CF2DEB">
        <w:rPr>
          <w:rFonts w:ascii="Times New Roman" w:eastAsia="Times New Roman" w:hAnsi="Times New Roman"/>
          <w:color w:val="000000"/>
          <w:lang w:val="lt-LT"/>
        </w:rPr>
        <w:t>svaigulys</w:t>
      </w:r>
      <w:r w:rsidR="00035AF6">
        <w:rPr>
          <w:rFonts w:ascii="Times New Roman" w:eastAsia="Times New Roman" w:hAnsi="Times New Roman"/>
          <w:color w:val="000000"/>
          <w:lang w:val="lt-LT"/>
        </w:rPr>
        <w:t xml:space="preserve"> </w:t>
      </w:r>
      <w:r w:rsidRPr="00FA056B">
        <w:rPr>
          <w:rFonts w:ascii="Times New Roman" w:eastAsia="Times New Roman" w:hAnsi="Times New Roman"/>
          <w:color w:val="000000"/>
          <w:lang w:val="lt-LT"/>
        </w:rPr>
        <w:t xml:space="preserve">todėl, užsiimti tokia veikla pradėjus gydymą </w:t>
      </w:r>
      <w:r>
        <w:rPr>
          <w:rFonts w:ascii="Times New Roman" w:eastAsia="Times New Roman" w:hAnsi="Times New Roman"/>
          <w:color w:val="000000"/>
          <w:lang w:val="lt-LT"/>
        </w:rPr>
        <w:t>Vortioxetine Zentiva</w:t>
      </w:r>
      <w:r w:rsidRPr="00FA056B">
        <w:rPr>
          <w:rFonts w:ascii="Times New Roman" w:eastAsia="Times New Roman" w:hAnsi="Times New Roman"/>
          <w:color w:val="000000"/>
          <w:lang w:val="lt-LT"/>
        </w:rPr>
        <w:t xml:space="preserve"> ar pakeistus vaisto dozę patariama atsargiai.</w:t>
      </w:r>
    </w:p>
    <w:p w14:paraId="7503D47B" w14:textId="77777777" w:rsidR="008A1798"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lang w:val="lt-LT"/>
        </w:rPr>
      </w:pPr>
    </w:p>
    <w:p w14:paraId="7DF9F7CB" w14:textId="075BC276" w:rsidR="00FA056B" w:rsidRDefault="00FA056B" w:rsidP="00FA056B">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 xml:space="preserve">Vortioxetine Zentiva </w:t>
      </w:r>
      <w:r w:rsidRPr="00435463">
        <w:rPr>
          <w:rFonts w:ascii="Times New Roman" w:eastAsia="Times New Roman" w:hAnsi="Times New Roman"/>
          <w:b/>
          <w:bCs/>
          <w:lang w:val="lt-LT"/>
        </w:rPr>
        <w:t>sudėtyje yra natrio</w:t>
      </w:r>
    </w:p>
    <w:p w14:paraId="3C819BCB" w14:textId="77777777" w:rsidR="00FA056B" w:rsidRPr="00435463" w:rsidRDefault="00FA056B" w:rsidP="00FA056B">
      <w:pPr>
        <w:numPr>
          <w:ilvl w:val="12"/>
          <w:numId w:val="0"/>
        </w:numPr>
        <w:spacing w:after="0" w:line="240" w:lineRule="auto"/>
        <w:ind w:right="-2"/>
        <w:rPr>
          <w:rFonts w:ascii="Times New Roman" w:eastAsia="Times New Roman" w:hAnsi="Times New Roman"/>
          <w:lang w:val="lt-LT"/>
        </w:rPr>
      </w:pPr>
    </w:p>
    <w:p w14:paraId="79A411F7" w14:textId="55D2B376" w:rsidR="00FA056B" w:rsidRPr="00435463" w:rsidRDefault="00FA056B" w:rsidP="00FA056B">
      <w:pPr>
        <w:rPr>
          <w:rFonts w:ascii="Times New Roman" w:eastAsia="Times New Roman" w:hAnsi="Times New Roman"/>
          <w:lang w:val="lt-LT"/>
        </w:rPr>
      </w:pPr>
      <w:r w:rsidRPr="00435463">
        <w:rPr>
          <w:rFonts w:ascii="Times New Roman" w:eastAsia="Times New Roman" w:hAnsi="Times New Roman"/>
          <w:lang w:val="lt-LT"/>
        </w:rPr>
        <w:t xml:space="preserve">Šio vaisto </w:t>
      </w:r>
      <w:r w:rsidRPr="00FA056B">
        <w:rPr>
          <w:rFonts w:ascii="Times New Roman" w:eastAsia="Times New Roman" w:hAnsi="Times New Roman"/>
          <w:lang w:val="lt-LT"/>
        </w:rPr>
        <w:t>tabletėje</w:t>
      </w:r>
      <w:r w:rsidRPr="00435463">
        <w:rPr>
          <w:rFonts w:ascii="Times New Roman" w:eastAsia="Times New Roman" w:hAnsi="Times New Roman"/>
          <w:lang w:val="lt-LT"/>
        </w:rPr>
        <w:t xml:space="preserve"> yra mažiau nei 1 </w:t>
      </w:r>
      <w:proofErr w:type="spellStart"/>
      <w:r w:rsidRPr="00435463">
        <w:rPr>
          <w:rFonts w:ascii="Times New Roman" w:eastAsia="Times New Roman" w:hAnsi="Times New Roman"/>
          <w:lang w:val="lt-LT"/>
        </w:rPr>
        <w:t>mmol</w:t>
      </w:r>
      <w:proofErr w:type="spellEnd"/>
      <w:r w:rsidRPr="00435463">
        <w:rPr>
          <w:rFonts w:ascii="Times New Roman" w:eastAsia="Times New Roman" w:hAnsi="Times New Roman"/>
          <w:lang w:val="lt-LT"/>
        </w:rPr>
        <w:t xml:space="preserve"> natrio (23 mg), t. y. jis beveik neturi reikšmės.</w:t>
      </w:r>
    </w:p>
    <w:p w14:paraId="261B3CD8" w14:textId="5D732546"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bCs/>
          <w:color w:val="000000"/>
          <w:highlight w:val="lightGray"/>
          <w:lang w:val="de-DE"/>
        </w:rPr>
      </w:pPr>
      <w:r w:rsidRPr="00FA056B">
        <w:rPr>
          <w:rFonts w:ascii="Times New Roman" w:eastAsia="Times New Roman" w:hAnsi="Times New Roman"/>
          <w:bCs/>
          <w:color w:val="000000"/>
          <w:highlight w:val="lightGray"/>
          <w:lang w:val="lt-LT"/>
        </w:rPr>
        <w:t xml:space="preserve">[Tik Vortioxetine Zentiva </w:t>
      </w:r>
      <w:r w:rsidRPr="00FA056B">
        <w:rPr>
          <w:rFonts w:ascii="Times New Roman" w:eastAsia="Times New Roman" w:hAnsi="Times New Roman"/>
          <w:bCs/>
          <w:color w:val="000000"/>
          <w:highlight w:val="lightGray"/>
          <w:lang w:val="de-DE"/>
        </w:rPr>
        <w:t>5 mg]</w:t>
      </w:r>
    </w:p>
    <w:p w14:paraId="5447BD2D" w14:textId="36FE462C"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highlight w:val="lightGray"/>
          <w:lang w:val="lt-LT"/>
        </w:rPr>
      </w:pPr>
      <w:r w:rsidRPr="00FA056B">
        <w:rPr>
          <w:rFonts w:ascii="Times New Roman" w:eastAsia="Times New Roman" w:hAnsi="Times New Roman"/>
          <w:b/>
          <w:bCs/>
          <w:highlight w:val="lightGray"/>
          <w:lang w:val="lt-LT"/>
        </w:rPr>
        <w:t>Vortioxetine Zentiva sudėtyje yra laktozės</w:t>
      </w:r>
    </w:p>
    <w:p w14:paraId="713962A8" w14:textId="77777777"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highlight w:val="lightGray"/>
          <w:lang w:val="lt-LT"/>
        </w:rPr>
      </w:pPr>
    </w:p>
    <w:p w14:paraId="69EAF928" w14:textId="77777777" w:rsidR="00FA056B" w:rsidRDefault="00FA056B" w:rsidP="00FA056B">
      <w:pPr>
        <w:tabs>
          <w:tab w:val="left" w:pos="567"/>
        </w:tabs>
        <w:suppressAutoHyphens/>
        <w:spacing w:after="0" w:line="240" w:lineRule="auto"/>
        <w:rPr>
          <w:rFonts w:ascii="Times New Roman" w:eastAsia="SimSun" w:hAnsi="Times New Roman"/>
          <w:b/>
          <w:color w:val="000000"/>
          <w:lang w:val="sl-SI" w:eastAsia="ar-SA"/>
        </w:rPr>
      </w:pPr>
      <w:r w:rsidRPr="00FA056B">
        <w:rPr>
          <w:rFonts w:ascii="Times New Roman" w:eastAsia="SimSun" w:hAnsi="Times New Roman"/>
          <w:color w:val="000000"/>
          <w:highlight w:val="lightGray"/>
          <w:lang w:val="sl-SI" w:eastAsia="ar-SA"/>
        </w:rPr>
        <w:t>Jeigu gydytojas Jums yra sak</w:t>
      </w:r>
      <w:r w:rsidRPr="00FA056B">
        <w:rPr>
          <w:rFonts w:ascii="Times New Roman" w:eastAsia="MS Mincho" w:hAnsi="Times New Roman"/>
          <w:color w:val="000000"/>
          <w:highlight w:val="lightGray"/>
          <w:lang w:val="sl-SI" w:eastAsia="ar-SA"/>
        </w:rPr>
        <w:t>ę</w:t>
      </w:r>
      <w:r w:rsidRPr="00FA056B">
        <w:rPr>
          <w:rFonts w:ascii="Times New Roman" w:eastAsia="SimSun" w:hAnsi="Times New Roman"/>
          <w:color w:val="000000"/>
          <w:highlight w:val="lightGray"/>
          <w:lang w:val="sl-SI" w:eastAsia="ar-SA"/>
        </w:rPr>
        <w:t>s, kad netoleruojate koki</w:t>
      </w:r>
      <w:r w:rsidRPr="00FA056B">
        <w:rPr>
          <w:rFonts w:ascii="Times New Roman" w:eastAsia="MS Mincho" w:hAnsi="Times New Roman"/>
          <w:color w:val="000000"/>
          <w:highlight w:val="lightGray"/>
          <w:lang w:val="sl-SI" w:eastAsia="ar-SA"/>
        </w:rPr>
        <w:t>ų</w:t>
      </w:r>
      <w:r w:rsidRPr="00FA056B">
        <w:rPr>
          <w:rFonts w:ascii="Times New Roman" w:eastAsia="SimSun" w:hAnsi="Times New Roman"/>
          <w:color w:val="000000"/>
          <w:highlight w:val="lightGray"/>
          <w:lang w:val="sl-SI" w:eastAsia="ar-SA"/>
        </w:rPr>
        <w:t xml:space="preserve"> nors angliavandeni</w:t>
      </w:r>
      <w:r w:rsidRPr="00FA056B">
        <w:rPr>
          <w:rFonts w:ascii="Times New Roman" w:eastAsia="MS Mincho" w:hAnsi="Times New Roman"/>
          <w:color w:val="000000"/>
          <w:highlight w:val="lightGray"/>
          <w:lang w:val="sl-SI" w:eastAsia="ar-SA"/>
        </w:rPr>
        <w:t>ų</w:t>
      </w:r>
      <w:r w:rsidRPr="00FA056B">
        <w:rPr>
          <w:rFonts w:ascii="Times New Roman" w:eastAsia="SimSun" w:hAnsi="Times New Roman"/>
          <w:color w:val="000000"/>
          <w:highlight w:val="lightGray"/>
          <w:lang w:val="sl-SI" w:eastAsia="ar-SA"/>
        </w:rPr>
        <w:t>, kreipkit</w:t>
      </w:r>
      <w:r w:rsidRPr="00FA056B">
        <w:rPr>
          <w:rFonts w:ascii="Times New Roman" w:eastAsia="MS Mincho" w:hAnsi="Times New Roman"/>
          <w:color w:val="000000"/>
          <w:highlight w:val="lightGray"/>
          <w:lang w:val="sl-SI" w:eastAsia="ar-SA"/>
        </w:rPr>
        <w:t>ė</w:t>
      </w:r>
      <w:r w:rsidRPr="00FA056B">
        <w:rPr>
          <w:rFonts w:ascii="Times New Roman" w:eastAsia="SimSun" w:hAnsi="Times New Roman"/>
          <w:color w:val="000000"/>
          <w:highlight w:val="lightGray"/>
          <w:lang w:val="sl-SI" w:eastAsia="ar-SA"/>
        </w:rPr>
        <w:t xml:space="preserve">s </w:t>
      </w:r>
      <w:r w:rsidRPr="00FA056B">
        <w:rPr>
          <w:rFonts w:ascii="Times New Roman" w:eastAsia="MS Mincho" w:hAnsi="Times New Roman"/>
          <w:color w:val="000000"/>
          <w:highlight w:val="lightGray"/>
          <w:lang w:val="sl-SI" w:eastAsia="ar-SA"/>
        </w:rPr>
        <w:t>į</w:t>
      </w:r>
      <w:r w:rsidRPr="00FA056B">
        <w:rPr>
          <w:rFonts w:ascii="Times New Roman" w:eastAsia="SimSun" w:hAnsi="Times New Roman"/>
          <w:color w:val="000000"/>
          <w:highlight w:val="lightGray"/>
          <w:lang w:val="sl-SI" w:eastAsia="ar-SA"/>
        </w:rPr>
        <w:t xml:space="preserve"> j</w:t>
      </w:r>
      <w:r w:rsidRPr="00FA056B">
        <w:rPr>
          <w:rFonts w:ascii="Times New Roman" w:eastAsia="MS Mincho" w:hAnsi="Times New Roman"/>
          <w:color w:val="000000"/>
          <w:highlight w:val="lightGray"/>
          <w:lang w:val="sl-SI" w:eastAsia="ar-SA"/>
        </w:rPr>
        <w:t>į</w:t>
      </w:r>
      <w:r w:rsidRPr="00FA056B">
        <w:rPr>
          <w:rFonts w:ascii="Times New Roman" w:eastAsia="SimSun" w:hAnsi="Times New Roman"/>
          <w:color w:val="000000"/>
          <w:highlight w:val="lightGray"/>
          <w:lang w:val="sl-SI" w:eastAsia="ar-SA"/>
        </w:rPr>
        <w:t xml:space="preserve"> prieš prad</w:t>
      </w:r>
      <w:r w:rsidRPr="00FA056B">
        <w:rPr>
          <w:rFonts w:ascii="Times New Roman" w:eastAsia="MS Mincho" w:hAnsi="Times New Roman"/>
          <w:color w:val="000000"/>
          <w:highlight w:val="lightGray"/>
          <w:lang w:val="sl-SI" w:eastAsia="ar-SA"/>
        </w:rPr>
        <w:t>ė</w:t>
      </w:r>
      <w:r w:rsidRPr="00FA056B">
        <w:rPr>
          <w:rFonts w:ascii="Times New Roman" w:eastAsia="SimSun" w:hAnsi="Times New Roman"/>
          <w:color w:val="000000"/>
          <w:highlight w:val="lightGray"/>
          <w:lang w:val="sl-SI" w:eastAsia="ar-SA"/>
        </w:rPr>
        <w:t>dami vartoti š</w:t>
      </w:r>
      <w:r w:rsidRPr="00FA056B">
        <w:rPr>
          <w:rFonts w:ascii="Times New Roman" w:eastAsia="MS Mincho" w:hAnsi="Times New Roman"/>
          <w:color w:val="000000"/>
          <w:highlight w:val="lightGray"/>
          <w:lang w:val="sl-SI" w:eastAsia="ar-SA"/>
        </w:rPr>
        <w:t>į</w:t>
      </w:r>
      <w:r w:rsidRPr="00FA056B">
        <w:rPr>
          <w:rFonts w:ascii="Times New Roman" w:eastAsia="SimSun" w:hAnsi="Times New Roman"/>
          <w:color w:val="000000"/>
          <w:highlight w:val="lightGray"/>
          <w:lang w:val="sl-SI" w:eastAsia="ar-SA"/>
        </w:rPr>
        <w:t xml:space="preserve"> vaist</w:t>
      </w:r>
      <w:r w:rsidRPr="00FA056B">
        <w:rPr>
          <w:rFonts w:ascii="Times New Roman" w:eastAsia="MS Mincho" w:hAnsi="Times New Roman"/>
          <w:color w:val="000000"/>
          <w:highlight w:val="lightGray"/>
          <w:lang w:val="sl-SI" w:eastAsia="ar-SA"/>
        </w:rPr>
        <w:t>ą</w:t>
      </w:r>
      <w:r w:rsidRPr="00FA056B">
        <w:rPr>
          <w:rFonts w:ascii="Times New Roman" w:eastAsia="SimSun" w:hAnsi="Times New Roman"/>
          <w:color w:val="000000"/>
          <w:highlight w:val="lightGray"/>
          <w:lang w:val="sl-SI" w:eastAsia="ar-SA"/>
        </w:rPr>
        <w:t>.</w:t>
      </w:r>
    </w:p>
    <w:p w14:paraId="000AC896" w14:textId="77777777"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color w:val="000000"/>
          <w:lang w:val="sl-SI"/>
        </w:rPr>
      </w:pPr>
    </w:p>
    <w:p w14:paraId="0025BA09" w14:textId="77777777" w:rsidR="00FA056B" w:rsidRPr="00FA056B" w:rsidRDefault="00FA056B" w:rsidP="00E0107B">
      <w:pPr>
        <w:widowControl w:val="0"/>
        <w:autoSpaceDE w:val="0"/>
        <w:autoSpaceDN w:val="0"/>
        <w:adjustRightInd w:val="0"/>
        <w:spacing w:after="0" w:line="240" w:lineRule="auto"/>
        <w:ind w:right="1"/>
        <w:rPr>
          <w:rFonts w:ascii="Times New Roman" w:eastAsia="Times New Roman" w:hAnsi="Times New Roman"/>
          <w:bCs/>
          <w:color w:val="000000"/>
          <w:lang w:val="lt-LT"/>
        </w:rPr>
      </w:pPr>
    </w:p>
    <w:p w14:paraId="1F4164CD" w14:textId="74511AFC"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hAnsi="Times New Roman"/>
          <w:b/>
          <w:color w:val="000000"/>
          <w:lang w:val="lt-LT"/>
        </w:rPr>
        <w:t>3.</w:t>
      </w:r>
      <w:r w:rsidRPr="00514245">
        <w:rPr>
          <w:rFonts w:ascii="Times New Roman" w:hAnsi="Times New Roman"/>
          <w:lang w:val="lt-LT"/>
        </w:rPr>
        <w:tab/>
      </w:r>
      <w:r w:rsidRPr="00514245">
        <w:rPr>
          <w:rFonts w:ascii="Times New Roman" w:hAnsi="Times New Roman"/>
          <w:b/>
          <w:color w:val="000000"/>
          <w:spacing w:val="1"/>
          <w:lang w:val="lt-LT"/>
        </w:rPr>
        <w:t xml:space="preserve">Kaip vartoti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p>
    <w:p w14:paraId="2AC4BDED"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p>
    <w:p w14:paraId="22375DE0" w14:textId="494B608C" w:rsidR="00E0107B" w:rsidRPr="00514245"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lang w:val="lt-LT"/>
        </w:rPr>
      </w:pPr>
      <w:r w:rsidRPr="00514245">
        <w:rPr>
          <w:rFonts w:ascii="Times New Roman" w:hAnsi="Times New Roman"/>
          <w:color w:val="000000"/>
          <w:spacing w:val="-1"/>
          <w:lang w:val="lt-LT"/>
        </w:rPr>
        <w:t>Visada vartokite šį vaistą tiksliai</w:t>
      </w:r>
      <w:r w:rsidR="005B6E3D" w:rsidRPr="00514245">
        <w:rPr>
          <w:rFonts w:ascii="Times New Roman" w:hAnsi="Times New Roman"/>
          <w:color w:val="000000"/>
          <w:spacing w:val="-1"/>
          <w:lang w:val="lt-LT"/>
        </w:rPr>
        <w:t>,</w:t>
      </w:r>
      <w:r w:rsidRPr="00514245">
        <w:rPr>
          <w:rFonts w:ascii="Times New Roman" w:hAnsi="Times New Roman"/>
          <w:color w:val="000000"/>
          <w:spacing w:val="-1"/>
          <w:lang w:val="lt-LT"/>
        </w:rPr>
        <w:t xml:space="preserve"> kaip nurodė gydytojas. Jeigu abejojate, kreipkitės į gydytoją arba vaistininką.</w:t>
      </w:r>
    </w:p>
    <w:p w14:paraId="41191232" w14:textId="30F742C5" w:rsidR="00E0107B" w:rsidRPr="00FA056B" w:rsidRDefault="00E0107B" w:rsidP="00E0107B">
      <w:pPr>
        <w:widowControl w:val="0"/>
        <w:autoSpaceDE w:val="0"/>
        <w:autoSpaceDN w:val="0"/>
        <w:adjustRightInd w:val="0"/>
        <w:spacing w:after="0" w:line="240" w:lineRule="auto"/>
        <w:ind w:right="1"/>
        <w:rPr>
          <w:rFonts w:ascii="Times New Roman" w:eastAsia="Times New Roman" w:hAnsi="Times New Roman"/>
          <w:bCs/>
          <w:color w:val="000000"/>
          <w:lang w:val="lt-LT"/>
        </w:rPr>
      </w:pPr>
    </w:p>
    <w:p w14:paraId="5F4C08FA" w14:textId="1AFD853C"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Jaunesniems kaip 65</w:t>
      </w:r>
      <w:r>
        <w:rPr>
          <w:rFonts w:ascii="Times New Roman" w:hAnsi="Times New Roman"/>
          <w:bCs/>
          <w:color w:val="000000"/>
          <w:lang w:val="lt-LT"/>
        </w:rPr>
        <w:t> </w:t>
      </w:r>
      <w:r w:rsidRPr="00FA056B">
        <w:rPr>
          <w:rFonts w:ascii="Times New Roman" w:hAnsi="Times New Roman"/>
          <w:bCs/>
          <w:color w:val="000000"/>
          <w:lang w:val="lt-LT"/>
        </w:rPr>
        <w:t xml:space="preserve">metų </w:t>
      </w:r>
      <w:r w:rsidR="00E82078">
        <w:rPr>
          <w:rFonts w:ascii="Times New Roman" w:hAnsi="Times New Roman"/>
          <w:bCs/>
          <w:color w:val="000000"/>
          <w:lang w:val="lt-LT"/>
        </w:rPr>
        <w:t>pacientams</w:t>
      </w:r>
      <w:r w:rsidR="00E82078" w:rsidRPr="00FA056B">
        <w:rPr>
          <w:rFonts w:ascii="Times New Roman" w:hAnsi="Times New Roman"/>
          <w:bCs/>
          <w:color w:val="000000"/>
          <w:lang w:val="lt-LT"/>
        </w:rPr>
        <w:t xml:space="preserve"> </w:t>
      </w:r>
      <w:r w:rsidRPr="00FA056B">
        <w:rPr>
          <w:rFonts w:ascii="Times New Roman" w:hAnsi="Times New Roman"/>
          <w:bCs/>
          <w:color w:val="000000"/>
          <w:lang w:val="lt-LT"/>
        </w:rPr>
        <w:t xml:space="preserve">rekomenduojama </w:t>
      </w:r>
      <w:r>
        <w:rPr>
          <w:rFonts w:ascii="Times New Roman" w:hAnsi="Times New Roman"/>
          <w:bCs/>
          <w:color w:val="000000"/>
          <w:lang w:val="lt-LT"/>
        </w:rPr>
        <w:t>Vortioxetine Zentiva</w:t>
      </w:r>
      <w:r w:rsidRPr="00FA056B">
        <w:rPr>
          <w:rFonts w:ascii="Times New Roman" w:hAnsi="Times New Roman"/>
          <w:bCs/>
          <w:color w:val="000000"/>
          <w:lang w:val="lt-LT"/>
        </w:rPr>
        <w:t xml:space="preserve"> dozė yra 10</w:t>
      </w:r>
      <w:r>
        <w:rPr>
          <w:rFonts w:ascii="Times New Roman" w:hAnsi="Times New Roman"/>
          <w:bCs/>
          <w:color w:val="000000"/>
          <w:lang w:val="lt-LT"/>
        </w:rPr>
        <w:t> </w:t>
      </w:r>
      <w:r w:rsidRPr="00FA056B">
        <w:rPr>
          <w:rFonts w:ascii="Times New Roman" w:hAnsi="Times New Roman"/>
          <w:bCs/>
          <w:color w:val="000000"/>
          <w:lang w:val="lt-LT"/>
        </w:rPr>
        <w:t>mg vortioksetino vieną kartą per parą. Jūsų gydytojas, atsižvelgdamas į Jūsų atsaką į gydymą, dozę gali padidinti iki didžiausios 20</w:t>
      </w:r>
      <w:r>
        <w:rPr>
          <w:rFonts w:ascii="Times New Roman" w:hAnsi="Times New Roman"/>
          <w:bCs/>
          <w:color w:val="000000"/>
          <w:lang w:val="lt-LT"/>
        </w:rPr>
        <w:t> </w:t>
      </w:r>
      <w:r w:rsidRPr="00FA056B">
        <w:rPr>
          <w:rFonts w:ascii="Times New Roman" w:hAnsi="Times New Roman"/>
          <w:bCs/>
          <w:color w:val="000000"/>
          <w:lang w:val="lt-LT"/>
        </w:rPr>
        <w:t>mg vortioksetino dozės per parą arba sumažinti iki mažiausios 5</w:t>
      </w:r>
      <w:r>
        <w:rPr>
          <w:rFonts w:ascii="Times New Roman" w:hAnsi="Times New Roman"/>
          <w:bCs/>
          <w:color w:val="000000"/>
          <w:lang w:val="lt-LT"/>
        </w:rPr>
        <w:t> </w:t>
      </w:r>
      <w:r w:rsidRPr="00FA056B">
        <w:rPr>
          <w:rFonts w:ascii="Times New Roman" w:hAnsi="Times New Roman"/>
          <w:bCs/>
          <w:color w:val="000000"/>
          <w:lang w:val="lt-LT"/>
        </w:rPr>
        <w:t>mg vortioksetino dozės per parą.</w:t>
      </w:r>
    </w:p>
    <w:p w14:paraId="5EBA2A38"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07B04D00" w14:textId="68709301"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Pradinė dozė 65</w:t>
      </w:r>
      <w:r w:rsidR="0051157C">
        <w:rPr>
          <w:rFonts w:ascii="Times New Roman" w:hAnsi="Times New Roman"/>
          <w:bCs/>
          <w:color w:val="000000"/>
          <w:lang w:val="lt-LT"/>
        </w:rPr>
        <w:t> </w:t>
      </w:r>
      <w:r w:rsidRPr="00FA056B">
        <w:rPr>
          <w:rFonts w:ascii="Times New Roman" w:hAnsi="Times New Roman"/>
          <w:bCs/>
          <w:color w:val="000000"/>
          <w:lang w:val="lt-LT"/>
        </w:rPr>
        <w:t>metų ir vyresniems pacientams yra 5</w:t>
      </w:r>
      <w:r w:rsidR="0051157C">
        <w:rPr>
          <w:rFonts w:ascii="Times New Roman" w:hAnsi="Times New Roman"/>
          <w:bCs/>
          <w:color w:val="000000"/>
          <w:lang w:val="lt-LT"/>
        </w:rPr>
        <w:t> </w:t>
      </w:r>
      <w:r w:rsidRPr="00FA056B">
        <w:rPr>
          <w:rFonts w:ascii="Times New Roman" w:hAnsi="Times New Roman"/>
          <w:bCs/>
          <w:color w:val="000000"/>
          <w:lang w:val="lt-LT"/>
        </w:rPr>
        <w:t>mg vortioksetino vieną kartą per parą.</w:t>
      </w:r>
    </w:p>
    <w:p w14:paraId="761DBB4B" w14:textId="77777777"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7BB282B3" w14:textId="77777777" w:rsidR="00FA056B" w:rsidRDefault="00FA056B" w:rsidP="00FA056B">
      <w:pPr>
        <w:widowControl w:val="0"/>
        <w:autoSpaceDE w:val="0"/>
        <w:autoSpaceDN w:val="0"/>
        <w:adjustRightInd w:val="0"/>
        <w:spacing w:after="0" w:line="240" w:lineRule="auto"/>
        <w:rPr>
          <w:rFonts w:ascii="Times New Roman" w:hAnsi="Times New Roman"/>
          <w:b/>
          <w:color w:val="000000"/>
          <w:lang w:val="lt-LT"/>
        </w:rPr>
      </w:pPr>
      <w:r w:rsidRPr="00FA056B">
        <w:rPr>
          <w:rFonts w:ascii="Times New Roman" w:hAnsi="Times New Roman"/>
          <w:b/>
          <w:color w:val="000000"/>
          <w:lang w:val="lt-LT"/>
        </w:rPr>
        <w:t>Vartojimo metodas</w:t>
      </w:r>
    </w:p>
    <w:p w14:paraId="42F5A0FF" w14:textId="77777777" w:rsidR="00FA056B" w:rsidRPr="00FA056B" w:rsidRDefault="00FA056B" w:rsidP="00FA056B">
      <w:pPr>
        <w:widowControl w:val="0"/>
        <w:autoSpaceDE w:val="0"/>
        <w:autoSpaceDN w:val="0"/>
        <w:adjustRightInd w:val="0"/>
        <w:spacing w:after="0" w:line="240" w:lineRule="auto"/>
        <w:rPr>
          <w:rFonts w:ascii="Times New Roman" w:hAnsi="Times New Roman"/>
          <w:b/>
          <w:color w:val="000000"/>
          <w:lang w:val="lt-LT"/>
        </w:rPr>
      </w:pPr>
    </w:p>
    <w:p w14:paraId="0A4CF9FA"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Išgerkite vieną tabletę užsigerdami stikline vandens.</w:t>
      </w:r>
    </w:p>
    <w:p w14:paraId="461EA37E" w14:textId="77777777"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Tabletę galima išgerti valgant arba nevalgius.</w:t>
      </w:r>
    </w:p>
    <w:p w14:paraId="061D6D03"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2072F10B" w14:textId="77777777" w:rsidR="00FA056B" w:rsidRDefault="00FA056B" w:rsidP="004A1B19">
      <w:pPr>
        <w:keepNext/>
        <w:autoSpaceDE w:val="0"/>
        <w:autoSpaceDN w:val="0"/>
        <w:adjustRightInd w:val="0"/>
        <w:spacing w:after="0" w:line="240" w:lineRule="auto"/>
        <w:rPr>
          <w:rFonts w:ascii="Times New Roman" w:hAnsi="Times New Roman"/>
          <w:b/>
          <w:color w:val="000000"/>
          <w:lang w:val="lt-LT"/>
        </w:rPr>
      </w:pPr>
      <w:r w:rsidRPr="00FA056B">
        <w:rPr>
          <w:rFonts w:ascii="Times New Roman" w:hAnsi="Times New Roman"/>
          <w:b/>
          <w:color w:val="000000"/>
          <w:lang w:val="lt-LT"/>
        </w:rPr>
        <w:lastRenderedPageBreak/>
        <w:t>Gydymo trukmė</w:t>
      </w:r>
    </w:p>
    <w:p w14:paraId="70473248" w14:textId="77777777" w:rsidR="00811D7F" w:rsidRPr="00FA056B" w:rsidRDefault="00811D7F" w:rsidP="004A1B19">
      <w:pPr>
        <w:keepNext/>
        <w:autoSpaceDE w:val="0"/>
        <w:autoSpaceDN w:val="0"/>
        <w:adjustRightInd w:val="0"/>
        <w:spacing w:after="0" w:line="240" w:lineRule="auto"/>
        <w:rPr>
          <w:rFonts w:ascii="Times New Roman" w:hAnsi="Times New Roman"/>
          <w:b/>
          <w:color w:val="000000"/>
          <w:lang w:val="lt-LT"/>
        </w:rPr>
      </w:pPr>
    </w:p>
    <w:p w14:paraId="7495E56C" w14:textId="68E8606D"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 xml:space="preserve">Vartokite </w:t>
      </w:r>
      <w:r w:rsidR="00811D7F">
        <w:rPr>
          <w:rFonts w:ascii="Times New Roman" w:hAnsi="Times New Roman"/>
          <w:bCs/>
          <w:color w:val="000000"/>
          <w:lang w:val="lt-LT"/>
        </w:rPr>
        <w:t>Vortioxetine Zentiva</w:t>
      </w:r>
      <w:r w:rsidRPr="00FA056B">
        <w:rPr>
          <w:rFonts w:ascii="Times New Roman" w:hAnsi="Times New Roman"/>
          <w:bCs/>
          <w:color w:val="000000"/>
          <w:lang w:val="lt-LT"/>
        </w:rPr>
        <w:t xml:space="preserve"> visą gydytojo rekomenduotą laikotarpį.</w:t>
      </w:r>
    </w:p>
    <w:p w14:paraId="5C630F8A" w14:textId="77777777" w:rsidR="00811D7F" w:rsidRPr="00FA056B" w:rsidRDefault="00811D7F" w:rsidP="00FA056B">
      <w:pPr>
        <w:widowControl w:val="0"/>
        <w:autoSpaceDE w:val="0"/>
        <w:autoSpaceDN w:val="0"/>
        <w:adjustRightInd w:val="0"/>
        <w:spacing w:after="0" w:line="240" w:lineRule="auto"/>
        <w:rPr>
          <w:rFonts w:ascii="Times New Roman" w:hAnsi="Times New Roman"/>
          <w:bCs/>
          <w:color w:val="000000"/>
          <w:lang w:val="lt-LT"/>
        </w:rPr>
      </w:pPr>
    </w:p>
    <w:p w14:paraId="358F4371" w14:textId="76F8C15D"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 xml:space="preserve">Ir toliau vartokite </w:t>
      </w:r>
      <w:r w:rsidR="00811D7F">
        <w:rPr>
          <w:rFonts w:ascii="Times New Roman" w:hAnsi="Times New Roman"/>
          <w:bCs/>
          <w:color w:val="000000"/>
          <w:lang w:val="lt-LT"/>
        </w:rPr>
        <w:t>Vortioxetine Zentiva</w:t>
      </w:r>
      <w:r w:rsidRPr="00FA056B">
        <w:rPr>
          <w:rFonts w:ascii="Times New Roman" w:hAnsi="Times New Roman"/>
          <w:bCs/>
          <w:color w:val="000000"/>
          <w:lang w:val="lt-LT"/>
        </w:rPr>
        <w:t>, net jeigu tam tikrą laikotarpį nejuntate jokio savo būklės pagerėjimo.</w:t>
      </w:r>
    </w:p>
    <w:p w14:paraId="0384092D" w14:textId="77777777" w:rsidR="00811D7F" w:rsidRPr="00FA056B" w:rsidRDefault="00811D7F" w:rsidP="00FA056B">
      <w:pPr>
        <w:widowControl w:val="0"/>
        <w:autoSpaceDE w:val="0"/>
        <w:autoSpaceDN w:val="0"/>
        <w:adjustRightInd w:val="0"/>
        <w:spacing w:after="0" w:line="240" w:lineRule="auto"/>
        <w:rPr>
          <w:rFonts w:ascii="Times New Roman" w:hAnsi="Times New Roman"/>
          <w:bCs/>
          <w:color w:val="000000"/>
          <w:lang w:val="lt-LT"/>
        </w:rPr>
      </w:pPr>
    </w:p>
    <w:p w14:paraId="0CC09DC6" w14:textId="298F46D8" w:rsidR="00FA056B" w:rsidRDefault="00FA056B" w:rsidP="00FA056B">
      <w:pPr>
        <w:widowControl w:val="0"/>
        <w:autoSpaceDE w:val="0"/>
        <w:autoSpaceDN w:val="0"/>
        <w:adjustRightInd w:val="0"/>
        <w:spacing w:after="0" w:line="240" w:lineRule="auto"/>
        <w:rPr>
          <w:rFonts w:ascii="Times New Roman" w:hAnsi="Times New Roman"/>
          <w:bCs/>
          <w:color w:val="000000"/>
          <w:lang w:val="lt-LT"/>
        </w:rPr>
      </w:pPr>
      <w:r w:rsidRPr="00FA056B">
        <w:rPr>
          <w:rFonts w:ascii="Times New Roman" w:hAnsi="Times New Roman"/>
          <w:bCs/>
          <w:color w:val="000000"/>
          <w:lang w:val="lt-LT"/>
        </w:rPr>
        <w:t>Gydymą reikia tęsti ne trumpiau kaip 6</w:t>
      </w:r>
      <w:r w:rsidR="0051157C">
        <w:rPr>
          <w:rFonts w:ascii="Times New Roman" w:hAnsi="Times New Roman"/>
          <w:bCs/>
          <w:color w:val="000000"/>
          <w:lang w:val="lt-LT"/>
        </w:rPr>
        <w:t> </w:t>
      </w:r>
      <w:r w:rsidRPr="00FA056B">
        <w:rPr>
          <w:rFonts w:ascii="Times New Roman" w:hAnsi="Times New Roman"/>
          <w:bCs/>
          <w:color w:val="000000"/>
          <w:lang w:val="lt-LT"/>
        </w:rPr>
        <w:t>mėnesius po to, kai vėl pradedate gerai jaustis.</w:t>
      </w:r>
    </w:p>
    <w:p w14:paraId="1F519D5A" w14:textId="77777777" w:rsidR="00FA056B" w:rsidRPr="00FA056B" w:rsidRDefault="00FA056B" w:rsidP="00FA056B">
      <w:pPr>
        <w:widowControl w:val="0"/>
        <w:autoSpaceDE w:val="0"/>
        <w:autoSpaceDN w:val="0"/>
        <w:adjustRightInd w:val="0"/>
        <w:spacing w:after="0" w:line="240" w:lineRule="auto"/>
        <w:rPr>
          <w:rFonts w:ascii="Times New Roman" w:hAnsi="Times New Roman"/>
          <w:bCs/>
          <w:color w:val="000000"/>
          <w:lang w:val="lt-LT"/>
        </w:rPr>
      </w:pPr>
    </w:p>
    <w:p w14:paraId="461D6785" w14:textId="581FA779" w:rsidR="00E0107B" w:rsidRDefault="00E0107B" w:rsidP="00F40D37">
      <w:pPr>
        <w:keepNext/>
        <w:autoSpaceDE w:val="0"/>
        <w:autoSpaceDN w:val="0"/>
        <w:adjustRightInd w:val="0"/>
        <w:spacing w:after="0" w:line="240" w:lineRule="auto"/>
        <w:rPr>
          <w:rFonts w:ascii="Times New Roman" w:hAnsi="Times New Roman"/>
          <w:b/>
          <w:color w:val="000000"/>
          <w:lang w:val="lt-LT"/>
        </w:rPr>
      </w:pPr>
      <w:r w:rsidRPr="00514245">
        <w:rPr>
          <w:rFonts w:ascii="Times New Roman" w:hAnsi="Times New Roman"/>
          <w:b/>
          <w:color w:val="000000"/>
          <w:lang w:val="lt-LT"/>
        </w:rPr>
        <w:t xml:space="preserve">Ką daryti pavartojus per didelę </w:t>
      </w:r>
      <w:r w:rsidR="00811D7F">
        <w:rPr>
          <w:rFonts w:ascii="Times New Roman" w:hAnsi="Times New Roman"/>
          <w:b/>
          <w:color w:val="000000"/>
          <w:lang w:val="lt-LT"/>
        </w:rPr>
        <w:t>Vortioxetine</w:t>
      </w:r>
      <w:r w:rsidR="00962664" w:rsidRPr="00514245">
        <w:rPr>
          <w:rFonts w:ascii="Times New Roman" w:hAnsi="Times New Roman"/>
          <w:b/>
          <w:color w:val="000000"/>
          <w:lang w:val="lt-LT"/>
        </w:rPr>
        <w:t xml:space="preserve"> Zentiva</w:t>
      </w:r>
      <w:r w:rsidRPr="00514245">
        <w:rPr>
          <w:rFonts w:ascii="Times New Roman" w:hAnsi="Times New Roman"/>
          <w:b/>
          <w:color w:val="000000"/>
          <w:lang w:val="lt-LT"/>
        </w:rPr>
        <w:t xml:space="preserve"> dozę</w:t>
      </w:r>
    </w:p>
    <w:p w14:paraId="0406A516" w14:textId="77777777" w:rsidR="00811D7F" w:rsidRPr="00514245" w:rsidRDefault="00811D7F" w:rsidP="00F40D37">
      <w:pPr>
        <w:keepNext/>
        <w:autoSpaceDE w:val="0"/>
        <w:autoSpaceDN w:val="0"/>
        <w:adjustRightInd w:val="0"/>
        <w:spacing w:after="0" w:line="240" w:lineRule="auto"/>
        <w:rPr>
          <w:rFonts w:ascii="Times New Roman" w:eastAsia="Times New Roman" w:hAnsi="Times New Roman"/>
          <w:color w:val="000000"/>
          <w:lang w:val="lt-LT"/>
        </w:rPr>
      </w:pPr>
    </w:p>
    <w:p w14:paraId="08D6702E" w14:textId="0AED1588" w:rsidR="00811D7F" w:rsidRDefault="00811D7F" w:rsidP="00811D7F">
      <w:pPr>
        <w:widowControl w:val="0"/>
        <w:autoSpaceDE w:val="0"/>
        <w:autoSpaceDN w:val="0"/>
        <w:adjustRightInd w:val="0"/>
        <w:spacing w:after="0" w:line="240" w:lineRule="auto"/>
        <w:ind w:right="1"/>
        <w:rPr>
          <w:rFonts w:ascii="Times New Roman" w:hAnsi="Times New Roman"/>
          <w:color w:val="000000"/>
          <w:spacing w:val="-4"/>
          <w:lang w:val="lt-LT"/>
        </w:rPr>
      </w:pPr>
      <w:r w:rsidRPr="00811D7F">
        <w:rPr>
          <w:rFonts w:ascii="Times New Roman" w:hAnsi="Times New Roman"/>
          <w:color w:val="000000"/>
          <w:spacing w:val="-4"/>
          <w:lang w:val="lt-LT"/>
        </w:rPr>
        <w:t xml:space="preserve">Jeigu išgėrėte didesnę už paskirtąją </w:t>
      </w:r>
      <w:r>
        <w:rPr>
          <w:rFonts w:ascii="Times New Roman" w:hAnsi="Times New Roman"/>
          <w:color w:val="000000"/>
          <w:spacing w:val="-4"/>
          <w:lang w:val="lt-LT"/>
        </w:rPr>
        <w:t>Vortioxetine</w:t>
      </w:r>
      <w:r w:rsidR="0051157C">
        <w:rPr>
          <w:rFonts w:ascii="Times New Roman" w:hAnsi="Times New Roman"/>
          <w:color w:val="000000"/>
          <w:spacing w:val="-4"/>
          <w:lang w:val="lt-LT"/>
        </w:rPr>
        <w:t xml:space="preserve"> </w:t>
      </w:r>
      <w:r>
        <w:rPr>
          <w:rFonts w:ascii="Times New Roman" w:hAnsi="Times New Roman"/>
          <w:color w:val="000000"/>
          <w:spacing w:val="-4"/>
          <w:lang w:val="lt-LT"/>
        </w:rPr>
        <w:t>Zentiva</w:t>
      </w:r>
      <w:r w:rsidRPr="00811D7F">
        <w:rPr>
          <w:rFonts w:ascii="Times New Roman" w:hAnsi="Times New Roman"/>
          <w:color w:val="000000"/>
          <w:spacing w:val="-4"/>
          <w:lang w:val="lt-LT"/>
        </w:rPr>
        <w:t xml:space="preserve"> dozę, nedelsdami kreipkitės į savo gydytoją arba artimiausios ligoninės priėmimo skyrių. Kartu pasiimkite </w:t>
      </w:r>
      <w:proofErr w:type="spellStart"/>
      <w:r w:rsidRPr="00811D7F">
        <w:rPr>
          <w:rFonts w:ascii="Times New Roman" w:hAnsi="Times New Roman"/>
          <w:color w:val="000000"/>
          <w:spacing w:val="-4"/>
          <w:lang w:val="lt-LT"/>
        </w:rPr>
        <w:t>talpyklę</w:t>
      </w:r>
      <w:proofErr w:type="spellEnd"/>
      <w:r w:rsidRPr="00811D7F">
        <w:rPr>
          <w:rFonts w:ascii="Times New Roman" w:hAnsi="Times New Roman"/>
          <w:color w:val="000000"/>
          <w:spacing w:val="-4"/>
          <w:lang w:val="lt-LT"/>
        </w:rPr>
        <w:t xml:space="preserve"> ir visas likusias tabletes. Tai padaryti reikia ir tuo atveju, jeigu nejuntate jokių požymių ar diskomforto. Perdozavimo požymiai yra </w:t>
      </w:r>
      <w:r w:rsidR="00806C9E">
        <w:rPr>
          <w:rFonts w:ascii="Times New Roman" w:hAnsi="Times New Roman"/>
          <w:color w:val="000000"/>
          <w:spacing w:val="-4"/>
          <w:lang w:val="lt-LT"/>
        </w:rPr>
        <w:t>svaigulys</w:t>
      </w:r>
      <w:r w:rsidRPr="00811D7F">
        <w:rPr>
          <w:rFonts w:ascii="Times New Roman" w:hAnsi="Times New Roman"/>
          <w:color w:val="000000"/>
          <w:spacing w:val="-4"/>
          <w:lang w:val="lt-LT"/>
        </w:rPr>
        <w:t xml:space="preserve">, pykinimas, viduriavimas, diskomfortas pilve, viso kūno niežulys, mieguistumas bei veido ir kaklo paraudimas. </w:t>
      </w:r>
    </w:p>
    <w:p w14:paraId="7AC7E89F" w14:textId="77777777" w:rsidR="00811D7F" w:rsidRPr="00811D7F" w:rsidRDefault="00811D7F" w:rsidP="00811D7F">
      <w:pPr>
        <w:widowControl w:val="0"/>
        <w:autoSpaceDE w:val="0"/>
        <w:autoSpaceDN w:val="0"/>
        <w:adjustRightInd w:val="0"/>
        <w:spacing w:after="0" w:line="240" w:lineRule="auto"/>
        <w:ind w:right="1"/>
        <w:rPr>
          <w:rFonts w:ascii="Times New Roman" w:hAnsi="Times New Roman"/>
          <w:color w:val="000000"/>
          <w:spacing w:val="-4"/>
          <w:lang w:val="lt-LT"/>
        </w:rPr>
      </w:pPr>
    </w:p>
    <w:p w14:paraId="73254957" w14:textId="259A3A2D" w:rsidR="00302C5B" w:rsidRDefault="00811D7F" w:rsidP="00811D7F">
      <w:pPr>
        <w:widowControl w:val="0"/>
        <w:autoSpaceDE w:val="0"/>
        <w:autoSpaceDN w:val="0"/>
        <w:adjustRightInd w:val="0"/>
        <w:spacing w:after="0" w:line="240" w:lineRule="auto"/>
        <w:ind w:right="1"/>
        <w:rPr>
          <w:rFonts w:ascii="Times New Roman" w:hAnsi="Times New Roman"/>
          <w:color w:val="000000"/>
          <w:spacing w:val="-4"/>
          <w:lang w:val="lt-LT"/>
        </w:rPr>
      </w:pPr>
      <w:r w:rsidRPr="00811D7F">
        <w:rPr>
          <w:rFonts w:ascii="Times New Roman" w:hAnsi="Times New Roman"/>
          <w:color w:val="000000"/>
          <w:spacing w:val="-4"/>
          <w:lang w:val="lt-LT"/>
        </w:rPr>
        <w:t xml:space="preserve">Gauta pranešimų apie pavartojus kelis kartus didesnes nei skirtoji dozes pasireiškusius traukulius ir retai pasitaikančią būklę, vadinamą </w:t>
      </w:r>
      <w:proofErr w:type="spellStart"/>
      <w:r w:rsidRPr="00811D7F">
        <w:rPr>
          <w:rFonts w:ascii="Times New Roman" w:hAnsi="Times New Roman"/>
          <w:color w:val="000000"/>
          <w:spacing w:val="-4"/>
          <w:lang w:val="lt-LT"/>
        </w:rPr>
        <w:t>serotonino</w:t>
      </w:r>
      <w:proofErr w:type="spellEnd"/>
      <w:r w:rsidRPr="00811D7F">
        <w:rPr>
          <w:rFonts w:ascii="Times New Roman" w:hAnsi="Times New Roman"/>
          <w:color w:val="000000"/>
          <w:spacing w:val="-4"/>
          <w:lang w:val="lt-LT"/>
        </w:rPr>
        <w:t xml:space="preserve"> sindromu.</w:t>
      </w:r>
    </w:p>
    <w:p w14:paraId="7BE51C5B" w14:textId="77777777" w:rsidR="00811D7F" w:rsidRPr="00514245" w:rsidRDefault="00811D7F" w:rsidP="00811D7F">
      <w:pPr>
        <w:widowControl w:val="0"/>
        <w:autoSpaceDE w:val="0"/>
        <w:autoSpaceDN w:val="0"/>
        <w:adjustRightInd w:val="0"/>
        <w:spacing w:after="0" w:line="240" w:lineRule="auto"/>
        <w:ind w:right="1"/>
        <w:rPr>
          <w:rFonts w:ascii="Times New Roman" w:eastAsia="Times New Roman" w:hAnsi="Times New Roman"/>
          <w:color w:val="000000"/>
          <w:lang w:val="lt-LT"/>
        </w:rPr>
      </w:pPr>
    </w:p>
    <w:p w14:paraId="1E9FC66E" w14:textId="3262AD5D"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hAnsi="Times New Roman"/>
          <w:b/>
          <w:color w:val="000000"/>
          <w:lang w:val="lt-LT"/>
        </w:rPr>
        <w:t xml:space="preserve">Pamiršus pavartoti </w:t>
      </w:r>
      <w:r w:rsidR="00811D7F">
        <w:rPr>
          <w:rFonts w:ascii="Times New Roman" w:hAnsi="Times New Roman"/>
          <w:b/>
          <w:color w:val="000000"/>
          <w:lang w:val="lt-LT"/>
        </w:rPr>
        <w:t>Vortioxetine</w:t>
      </w:r>
      <w:r w:rsidR="00962664" w:rsidRPr="00514245">
        <w:rPr>
          <w:rFonts w:ascii="Times New Roman" w:hAnsi="Times New Roman"/>
          <w:b/>
          <w:color w:val="000000"/>
          <w:lang w:val="lt-LT"/>
        </w:rPr>
        <w:t xml:space="preserve"> Zentiva</w:t>
      </w:r>
    </w:p>
    <w:p w14:paraId="7515DEB3" w14:textId="77777777" w:rsidR="00136177" w:rsidRDefault="00136177" w:rsidP="00136177">
      <w:pPr>
        <w:widowControl w:val="0"/>
        <w:autoSpaceDE w:val="0"/>
        <w:autoSpaceDN w:val="0"/>
        <w:adjustRightInd w:val="0"/>
        <w:spacing w:after="0" w:line="240" w:lineRule="auto"/>
        <w:ind w:right="1"/>
        <w:rPr>
          <w:rFonts w:ascii="Times New Roman" w:eastAsia="Times New Roman" w:hAnsi="Times New Roman"/>
          <w:color w:val="000000"/>
          <w:lang w:val="lt-LT"/>
        </w:rPr>
      </w:pPr>
    </w:p>
    <w:p w14:paraId="3ADE102A" w14:textId="77777777" w:rsidR="00811D7F" w:rsidRDefault="00811D7F" w:rsidP="00F40D37">
      <w:pPr>
        <w:keepNext/>
        <w:autoSpaceDE w:val="0"/>
        <w:autoSpaceDN w:val="0"/>
        <w:adjustRightInd w:val="0"/>
        <w:spacing w:after="0" w:line="240" w:lineRule="auto"/>
        <w:rPr>
          <w:rFonts w:ascii="Times New Roman" w:eastAsia="Times New Roman" w:hAnsi="Times New Roman"/>
          <w:color w:val="000000"/>
          <w:lang w:val="lt-LT"/>
        </w:rPr>
      </w:pPr>
      <w:r w:rsidRPr="00811D7F">
        <w:rPr>
          <w:rFonts w:ascii="Times New Roman" w:eastAsia="Times New Roman" w:hAnsi="Times New Roman"/>
          <w:color w:val="000000"/>
          <w:lang w:val="lt-LT"/>
        </w:rPr>
        <w:t xml:space="preserve">Išgerkite kitą dozę įprastu laiku. Negalima vartoti dvigubos dozės norint kompensuoti praleistą dozę. </w:t>
      </w:r>
    </w:p>
    <w:p w14:paraId="607A2B1A" w14:textId="77777777" w:rsidR="00811D7F" w:rsidRDefault="00811D7F" w:rsidP="00F40D37">
      <w:pPr>
        <w:keepNext/>
        <w:autoSpaceDE w:val="0"/>
        <w:autoSpaceDN w:val="0"/>
        <w:adjustRightInd w:val="0"/>
        <w:spacing w:after="0" w:line="240" w:lineRule="auto"/>
        <w:rPr>
          <w:rFonts w:ascii="Times New Roman" w:eastAsia="Times New Roman" w:hAnsi="Times New Roman"/>
          <w:color w:val="000000"/>
          <w:lang w:val="lt-LT"/>
        </w:rPr>
      </w:pPr>
    </w:p>
    <w:p w14:paraId="5BC00178" w14:textId="741EE668" w:rsidR="00E0107B" w:rsidRPr="00514245" w:rsidRDefault="00136177" w:rsidP="00F40D37">
      <w:pPr>
        <w:keepNext/>
        <w:autoSpaceDE w:val="0"/>
        <w:autoSpaceDN w:val="0"/>
        <w:adjustRightInd w:val="0"/>
        <w:spacing w:after="0" w:line="240" w:lineRule="auto"/>
        <w:rPr>
          <w:rFonts w:ascii="Times New Roman" w:eastAsia="Times New Roman" w:hAnsi="Times New Roman"/>
          <w:color w:val="000000"/>
          <w:lang w:val="lt-LT"/>
        </w:rPr>
      </w:pPr>
      <w:r w:rsidRPr="00514245">
        <w:rPr>
          <w:rFonts w:ascii="Times New Roman" w:hAnsi="Times New Roman"/>
          <w:b/>
          <w:color w:val="000000"/>
          <w:lang w:val="lt-LT"/>
        </w:rPr>
        <w:t xml:space="preserve">Nustojus </w:t>
      </w:r>
      <w:r w:rsidR="00E0107B" w:rsidRPr="00514245">
        <w:rPr>
          <w:rFonts w:ascii="Times New Roman" w:hAnsi="Times New Roman"/>
          <w:b/>
          <w:color w:val="000000"/>
          <w:lang w:val="lt-LT"/>
        </w:rPr>
        <w:t xml:space="preserve">vartoti </w:t>
      </w:r>
      <w:r w:rsidR="00811D7F">
        <w:rPr>
          <w:rFonts w:ascii="Times New Roman" w:hAnsi="Times New Roman"/>
          <w:b/>
          <w:color w:val="000000"/>
          <w:lang w:val="lt-LT"/>
        </w:rPr>
        <w:t>Vortioxetine</w:t>
      </w:r>
      <w:r w:rsidR="00962664" w:rsidRPr="00514245">
        <w:rPr>
          <w:rFonts w:ascii="Times New Roman" w:hAnsi="Times New Roman"/>
          <w:b/>
          <w:color w:val="000000"/>
          <w:lang w:val="lt-LT"/>
        </w:rPr>
        <w:t xml:space="preserve"> Zentiva</w:t>
      </w:r>
    </w:p>
    <w:p w14:paraId="1585B2EC" w14:textId="7F7CE543" w:rsidR="00136177" w:rsidRPr="00514245"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409C8AC0" w14:textId="0CA50314" w:rsid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 xml:space="preserve">Nenutraukite </w:t>
      </w:r>
      <w:r>
        <w:rPr>
          <w:rFonts w:ascii="Times New Roman" w:eastAsia="Times New Roman" w:hAnsi="Times New Roman"/>
          <w:color w:val="000000"/>
          <w:lang w:val="lt-LT"/>
        </w:rPr>
        <w:t>Vortioxetine Zentiva</w:t>
      </w:r>
      <w:r w:rsidRPr="00811D7F">
        <w:rPr>
          <w:rFonts w:ascii="Times New Roman" w:eastAsia="Times New Roman" w:hAnsi="Times New Roman"/>
          <w:color w:val="000000"/>
          <w:lang w:val="lt-LT"/>
        </w:rPr>
        <w:t xml:space="preserve"> vartojimo pirmiau nepasitarę su savo gydytoju.</w:t>
      </w:r>
    </w:p>
    <w:p w14:paraId="40184654" w14:textId="77777777" w:rsidR="00811D7F" w:rsidRP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5083AE8E" w14:textId="77777777" w:rsid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Gydytojas gali nuspręsti mažinti dozę, kol galiausiai nustosite vartoti šį vaistą.</w:t>
      </w:r>
    </w:p>
    <w:p w14:paraId="317BC8D4" w14:textId="77777777" w:rsidR="00811D7F" w:rsidRP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66CC7060" w14:textId="367DE178" w:rsid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 xml:space="preserve">Kai kuriems pacientams, kurie nustojo vartoti </w:t>
      </w:r>
      <w:r>
        <w:rPr>
          <w:rFonts w:ascii="Times New Roman" w:eastAsia="Times New Roman" w:hAnsi="Times New Roman"/>
          <w:color w:val="000000"/>
          <w:lang w:val="lt-LT"/>
        </w:rPr>
        <w:t>Vortioxetine Zentiva</w:t>
      </w:r>
      <w:r w:rsidRPr="00811D7F">
        <w:rPr>
          <w:rFonts w:ascii="Times New Roman" w:eastAsia="Times New Roman" w:hAnsi="Times New Roman"/>
          <w:color w:val="000000"/>
          <w:lang w:val="lt-LT"/>
        </w:rPr>
        <w:t xml:space="preserve">, pasireiškė tokie simptomai kaip svaigulys, galvos skausmas, dilgčiojimas, lyg smeigtukų ir adatėlių arba į elektros šoką panašus jausmas (ypač galvoje), negalėjimas užmigti, pykinimas ar vėmimas, nerimas, dirglumas ar susijaudinimas, nuovargio jausmas ar drebulys. Šie simptomai gali pasireikšti per pirmąją savaitę, nustojus vartoti </w:t>
      </w:r>
      <w:r>
        <w:rPr>
          <w:rFonts w:ascii="Times New Roman" w:eastAsia="Times New Roman" w:hAnsi="Times New Roman"/>
          <w:color w:val="000000"/>
          <w:lang w:val="lt-LT"/>
        </w:rPr>
        <w:t>Vortioxetine Zentiva</w:t>
      </w:r>
      <w:r w:rsidRPr="00811D7F">
        <w:rPr>
          <w:rFonts w:ascii="Times New Roman" w:eastAsia="Times New Roman" w:hAnsi="Times New Roman"/>
          <w:color w:val="000000"/>
          <w:lang w:val="lt-LT"/>
        </w:rPr>
        <w:t>.</w:t>
      </w:r>
    </w:p>
    <w:p w14:paraId="1DA297DD" w14:textId="77777777" w:rsidR="00811D7F" w:rsidRPr="00811D7F"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75742E80" w14:textId="4BFFF734" w:rsidR="00F41929" w:rsidRDefault="00811D7F" w:rsidP="00811D7F">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r w:rsidRPr="00811D7F">
        <w:rPr>
          <w:rFonts w:ascii="Times New Roman" w:eastAsia="Times New Roman" w:hAnsi="Times New Roman"/>
          <w:color w:val="000000"/>
          <w:lang w:val="lt-LT"/>
        </w:rPr>
        <w:t>Jeigu kiltų daugiau klausimų dėl šio vaisto vartojimo, kreipkitės į gydytoją arba vaistininką.</w:t>
      </w:r>
    </w:p>
    <w:p w14:paraId="791ADAE4" w14:textId="77777777" w:rsidR="00811D7F" w:rsidRDefault="00811D7F"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41B02737" w14:textId="77777777" w:rsidR="00811D7F" w:rsidRPr="00514245" w:rsidRDefault="00811D7F"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lang w:val="lt-LT"/>
        </w:rPr>
      </w:pPr>
    </w:p>
    <w:p w14:paraId="47AEAB29" w14:textId="77777777"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lang w:val="lt-LT"/>
        </w:rPr>
      </w:pPr>
      <w:r w:rsidRPr="00514245">
        <w:rPr>
          <w:rFonts w:ascii="Times New Roman" w:hAnsi="Times New Roman"/>
          <w:b/>
          <w:color w:val="000000"/>
          <w:lang w:val="lt-LT"/>
        </w:rPr>
        <w:t>4.</w:t>
      </w:r>
      <w:r w:rsidRPr="00514245">
        <w:rPr>
          <w:rFonts w:ascii="Times New Roman" w:hAnsi="Times New Roman"/>
          <w:lang w:val="lt-LT"/>
        </w:rPr>
        <w:tab/>
      </w:r>
      <w:r w:rsidRPr="00514245">
        <w:rPr>
          <w:rFonts w:ascii="Times New Roman" w:hAnsi="Times New Roman"/>
          <w:b/>
          <w:color w:val="000000"/>
          <w:lang w:val="lt-LT"/>
        </w:rPr>
        <w:t>Galimas šalutinis poveikis</w:t>
      </w:r>
    </w:p>
    <w:p w14:paraId="12E92FF2" w14:textId="77777777" w:rsidR="00E0107B" w:rsidRPr="00514245"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lang w:val="lt-LT"/>
        </w:rPr>
      </w:pPr>
    </w:p>
    <w:p w14:paraId="5BCF744B" w14:textId="77777777" w:rsidR="007F6170" w:rsidRPr="007F6170" w:rsidRDefault="00E0107B" w:rsidP="007F6170">
      <w:pPr>
        <w:widowControl w:val="0"/>
        <w:autoSpaceDE w:val="0"/>
        <w:autoSpaceDN w:val="0"/>
        <w:adjustRightInd w:val="0"/>
        <w:spacing w:after="0" w:line="240" w:lineRule="auto"/>
        <w:ind w:right="1"/>
        <w:rPr>
          <w:rFonts w:ascii="Times New Roman" w:hAnsi="Times New Roman"/>
          <w:color w:val="000000"/>
          <w:lang w:val="lt-LT"/>
        </w:rPr>
      </w:pPr>
      <w:r w:rsidRPr="00514245">
        <w:rPr>
          <w:rFonts w:ascii="Times New Roman" w:hAnsi="Times New Roman"/>
          <w:color w:val="000000"/>
          <w:lang w:val="lt-LT"/>
        </w:rPr>
        <w:t>Šis vaistas, kaip ir visi kiti, gali sukelti šalutinį poveikį, nors jis pasireiškia ne visiems žmonėms.</w:t>
      </w:r>
      <w:r w:rsidR="00136177" w:rsidRPr="00514245">
        <w:rPr>
          <w:rFonts w:ascii="Times New Roman" w:hAnsi="Times New Roman"/>
          <w:color w:val="000000"/>
          <w:lang w:val="lt-LT"/>
        </w:rPr>
        <w:t xml:space="preserve"> </w:t>
      </w:r>
      <w:r w:rsidR="007F6170" w:rsidRPr="007F6170">
        <w:rPr>
          <w:rFonts w:ascii="Times New Roman" w:hAnsi="Times New Roman"/>
          <w:color w:val="000000"/>
          <w:lang w:val="lt-LT"/>
        </w:rPr>
        <w:t>Apskritai stebėtas šalutinis poveikis buvo nesunkus ar vidutinio sunkumo ir pasireiškė per pirmąsias dvi gydymo savaites. Reakcijos dažniausiai buvo trumpalaikės ir gydymo dėl jų nutraukti neprireikė.</w:t>
      </w:r>
    </w:p>
    <w:p w14:paraId="351B868F" w14:textId="77777777" w:rsidR="007F6170" w:rsidRDefault="007F6170" w:rsidP="007F6170">
      <w:pPr>
        <w:widowControl w:val="0"/>
        <w:autoSpaceDE w:val="0"/>
        <w:autoSpaceDN w:val="0"/>
        <w:adjustRightInd w:val="0"/>
        <w:spacing w:after="0" w:line="240" w:lineRule="auto"/>
        <w:ind w:right="1"/>
        <w:rPr>
          <w:rFonts w:ascii="Times New Roman" w:hAnsi="Times New Roman"/>
          <w:color w:val="000000"/>
          <w:lang w:val="lt-LT"/>
        </w:rPr>
      </w:pPr>
    </w:p>
    <w:p w14:paraId="774E3010" w14:textId="7C05F316" w:rsidR="00F41929" w:rsidRPr="00514245" w:rsidRDefault="007F6170" w:rsidP="00136177">
      <w:pPr>
        <w:widowControl w:val="0"/>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Toliau išvardytas šalutinis poveikis, apie kurį buvo pranešta, pasireiškė nurodytu dažnumu.</w:t>
      </w:r>
    </w:p>
    <w:p w14:paraId="60876575" w14:textId="77777777" w:rsidR="004E0D36" w:rsidRPr="00514245" w:rsidRDefault="004E0D36" w:rsidP="00136177">
      <w:pPr>
        <w:widowControl w:val="0"/>
        <w:autoSpaceDE w:val="0"/>
        <w:autoSpaceDN w:val="0"/>
        <w:adjustRightInd w:val="0"/>
        <w:spacing w:after="0" w:line="240" w:lineRule="auto"/>
        <w:ind w:right="1"/>
        <w:rPr>
          <w:rFonts w:ascii="Times New Roman" w:hAnsi="Times New Roman"/>
          <w:color w:val="000000"/>
          <w:lang w:val="lt-LT"/>
        </w:rPr>
      </w:pPr>
    </w:p>
    <w:p w14:paraId="1AB495B4" w14:textId="7479379B" w:rsidR="00E0107B" w:rsidRPr="00514245" w:rsidRDefault="007F6170" w:rsidP="00F40D37">
      <w:pPr>
        <w:keepNext/>
        <w:autoSpaceDE w:val="0"/>
        <w:autoSpaceDN w:val="0"/>
        <w:adjustRightInd w:val="0"/>
        <w:spacing w:after="0" w:line="240" w:lineRule="auto"/>
        <w:rPr>
          <w:rFonts w:ascii="Times New Roman" w:eastAsia="Times New Roman" w:hAnsi="Times New Roman"/>
          <w:b/>
          <w:color w:val="000000"/>
          <w:lang w:val="lt-LT"/>
        </w:rPr>
      </w:pPr>
      <w:r>
        <w:rPr>
          <w:rFonts w:ascii="Times New Roman" w:hAnsi="Times New Roman"/>
          <w:b/>
          <w:lang w:val="lt-LT"/>
        </w:rPr>
        <w:t>Labai d</w:t>
      </w:r>
      <w:r w:rsidR="00E0107B" w:rsidRPr="00514245">
        <w:rPr>
          <w:rFonts w:ascii="Times New Roman" w:hAnsi="Times New Roman"/>
          <w:b/>
          <w:lang w:val="lt-LT"/>
        </w:rPr>
        <w:t>ažni šalutinio poveikio reiškiniai (gali pasireikšti</w:t>
      </w:r>
      <w:r>
        <w:rPr>
          <w:rFonts w:ascii="Times New Roman" w:hAnsi="Times New Roman"/>
          <w:b/>
          <w:lang w:val="lt-LT"/>
        </w:rPr>
        <w:t xml:space="preserve"> ne</w:t>
      </w:r>
      <w:r w:rsidR="00E0107B" w:rsidRPr="00514245">
        <w:rPr>
          <w:rFonts w:ascii="Times New Roman" w:hAnsi="Times New Roman"/>
          <w:b/>
          <w:lang w:val="lt-LT"/>
        </w:rPr>
        <w:t xml:space="preserve"> rečiau kaip 1 iš 10 asmenų):</w:t>
      </w:r>
    </w:p>
    <w:p w14:paraId="580E4C28" w14:textId="034A787B" w:rsidR="004E0D36" w:rsidRPr="00514245" w:rsidRDefault="007F6170" w:rsidP="00FA056B">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Pr>
          <w:rFonts w:ascii="Times New Roman" w:hAnsi="Times New Roman"/>
          <w:color w:val="000000"/>
          <w:lang w:val="lt-LT"/>
        </w:rPr>
        <w:t>pykinimas</w:t>
      </w:r>
      <w:r w:rsidR="00220D79" w:rsidRPr="00514245">
        <w:rPr>
          <w:rFonts w:ascii="Times New Roman" w:hAnsi="Times New Roman"/>
          <w:color w:val="000000"/>
          <w:lang w:val="lt-LT"/>
        </w:rPr>
        <w:t>.</w:t>
      </w:r>
    </w:p>
    <w:p w14:paraId="140A6AC2" w14:textId="77777777" w:rsidR="004E0D36" w:rsidRDefault="004E0D36" w:rsidP="007F6170">
      <w:pPr>
        <w:widowControl w:val="0"/>
        <w:autoSpaceDE w:val="0"/>
        <w:autoSpaceDN w:val="0"/>
        <w:adjustRightInd w:val="0"/>
        <w:spacing w:after="0" w:line="240" w:lineRule="auto"/>
        <w:ind w:right="1"/>
        <w:rPr>
          <w:rFonts w:ascii="Times New Roman" w:hAnsi="Times New Roman"/>
          <w:color w:val="000000"/>
          <w:lang w:val="lt-LT"/>
        </w:rPr>
      </w:pPr>
    </w:p>
    <w:p w14:paraId="48DE9BE0" w14:textId="6EBB0F7B" w:rsidR="007F6170" w:rsidRPr="00514245" w:rsidRDefault="007F6170" w:rsidP="007F6170">
      <w:pPr>
        <w:keepNext/>
        <w:autoSpaceDE w:val="0"/>
        <w:autoSpaceDN w:val="0"/>
        <w:adjustRightInd w:val="0"/>
        <w:spacing w:after="0" w:line="240" w:lineRule="auto"/>
        <w:rPr>
          <w:rFonts w:ascii="Times New Roman" w:eastAsia="Times New Roman" w:hAnsi="Times New Roman"/>
          <w:b/>
          <w:color w:val="000000"/>
          <w:lang w:val="lt-LT"/>
        </w:rPr>
      </w:pPr>
      <w:r>
        <w:rPr>
          <w:rFonts w:ascii="Times New Roman" w:hAnsi="Times New Roman"/>
          <w:b/>
          <w:lang w:val="lt-LT"/>
        </w:rPr>
        <w:t>D</w:t>
      </w:r>
      <w:r w:rsidRPr="00514245">
        <w:rPr>
          <w:rFonts w:ascii="Times New Roman" w:hAnsi="Times New Roman"/>
          <w:b/>
          <w:lang w:val="lt-LT"/>
        </w:rPr>
        <w:t>ažni šalutinio poveikio reiškiniai (gali pasireikšti rečiau kaip 1 iš 10 asmenų):</w:t>
      </w:r>
    </w:p>
    <w:p w14:paraId="450F3CB7" w14:textId="77777777"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sidRPr="007F6170">
        <w:rPr>
          <w:rFonts w:ascii="Times New Roman" w:hAnsi="Times New Roman"/>
          <w:color w:val="000000"/>
          <w:lang w:val="lt-LT"/>
        </w:rPr>
        <w:t>viduriavimas, vidurių užkietėjimas, vėmimas;</w:t>
      </w:r>
    </w:p>
    <w:p w14:paraId="74990547" w14:textId="445FC7DD" w:rsidR="007F6170" w:rsidRPr="007F6170" w:rsidRDefault="00262A31"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Pr>
          <w:rFonts w:ascii="Times New Roman" w:hAnsi="Times New Roman"/>
          <w:color w:val="000000"/>
          <w:lang w:val="lt-LT"/>
        </w:rPr>
        <w:t>svaigulys</w:t>
      </w:r>
      <w:r w:rsidR="007F6170" w:rsidRPr="007F6170">
        <w:rPr>
          <w:rFonts w:ascii="Times New Roman" w:hAnsi="Times New Roman"/>
          <w:color w:val="000000"/>
          <w:lang w:val="lt-LT"/>
        </w:rPr>
        <w:t>;</w:t>
      </w:r>
    </w:p>
    <w:p w14:paraId="2D6C7BF7" w14:textId="0654A2C1"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sidRPr="007F6170">
        <w:rPr>
          <w:rFonts w:ascii="Times New Roman" w:hAnsi="Times New Roman"/>
          <w:color w:val="000000"/>
          <w:lang w:val="lt-LT"/>
        </w:rPr>
        <w:t>viso kūno niežulys;</w:t>
      </w:r>
    </w:p>
    <w:p w14:paraId="35DC8048" w14:textId="0F4CAA13"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Pr>
          <w:rFonts w:ascii="Times New Roman" w:hAnsi="Times New Roman"/>
          <w:color w:val="000000"/>
          <w:lang w:val="lt-LT"/>
        </w:rPr>
        <w:t>ne</w:t>
      </w:r>
      <w:r w:rsidRPr="007F6170">
        <w:rPr>
          <w:rFonts w:ascii="Times New Roman" w:hAnsi="Times New Roman"/>
          <w:color w:val="000000"/>
          <w:lang w:val="lt-LT"/>
        </w:rPr>
        <w:t>normalūs sapnai;</w:t>
      </w:r>
    </w:p>
    <w:p w14:paraId="673223EB" w14:textId="6511FE83" w:rsidR="007F6170" w:rsidRPr="007F6170"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r w:rsidRPr="007F6170">
        <w:rPr>
          <w:rFonts w:ascii="Times New Roman" w:hAnsi="Times New Roman"/>
          <w:color w:val="000000"/>
          <w:lang w:val="lt-LT"/>
        </w:rPr>
        <w:t>sustiprėjęs prakaitavimas</w:t>
      </w:r>
      <w:r>
        <w:rPr>
          <w:rFonts w:ascii="Times New Roman" w:hAnsi="Times New Roman"/>
          <w:color w:val="000000"/>
          <w:lang w:val="lt-LT"/>
        </w:rPr>
        <w:t>;</w:t>
      </w:r>
    </w:p>
    <w:p w14:paraId="1F0EC621" w14:textId="17204771" w:rsidR="007F6170" w:rsidRPr="00514245" w:rsidRDefault="007F6170" w:rsidP="007F6170">
      <w:pPr>
        <w:pStyle w:val="Sraopastraipa"/>
        <w:widowControl w:val="0"/>
        <w:numPr>
          <w:ilvl w:val="0"/>
          <w:numId w:val="8"/>
        </w:numPr>
        <w:autoSpaceDE w:val="0"/>
        <w:autoSpaceDN w:val="0"/>
        <w:adjustRightInd w:val="0"/>
        <w:spacing w:after="0" w:line="240" w:lineRule="auto"/>
        <w:ind w:left="567" w:right="1" w:hanging="567"/>
        <w:rPr>
          <w:rFonts w:ascii="Times New Roman" w:hAnsi="Times New Roman"/>
          <w:color w:val="000000"/>
          <w:lang w:val="lt-LT"/>
        </w:rPr>
      </w:pPr>
      <w:proofErr w:type="spellStart"/>
      <w:r w:rsidRPr="007F6170">
        <w:rPr>
          <w:rFonts w:ascii="Times New Roman" w:hAnsi="Times New Roman"/>
          <w:color w:val="000000"/>
          <w:lang w:val="lt-LT"/>
        </w:rPr>
        <w:lastRenderedPageBreak/>
        <w:t>nevirškinimas</w:t>
      </w:r>
      <w:proofErr w:type="spellEnd"/>
      <w:r w:rsidRPr="00514245">
        <w:rPr>
          <w:rFonts w:ascii="Times New Roman" w:hAnsi="Times New Roman"/>
          <w:color w:val="000000"/>
          <w:lang w:val="lt-LT"/>
        </w:rPr>
        <w:t>.</w:t>
      </w:r>
    </w:p>
    <w:p w14:paraId="3311B1CC" w14:textId="77777777" w:rsidR="007F6170" w:rsidRPr="007F6170" w:rsidRDefault="007F6170" w:rsidP="007F6170">
      <w:pPr>
        <w:widowControl w:val="0"/>
        <w:autoSpaceDE w:val="0"/>
        <w:autoSpaceDN w:val="0"/>
        <w:adjustRightInd w:val="0"/>
        <w:spacing w:after="0" w:line="240" w:lineRule="auto"/>
        <w:ind w:right="1"/>
        <w:rPr>
          <w:rFonts w:ascii="Times New Roman" w:hAnsi="Times New Roman"/>
          <w:color w:val="000000"/>
          <w:lang w:val="lt-LT"/>
        </w:rPr>
      </w:pPr>
    </w:p>
    <w:p w14:paraId="2CD01E7A"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b/>
          <w:color w:val="000000"/>
          <w:lang w:val="lt-LT"/>
        </w:rPr>
      </w:pPr>
      <w:r w:rsidRPr="00514245">
        <w:rPr>
          <w:rFonts w:ascii="Times New Roman" w:hAnsi="Times New Roman"/>
          <w:b/>
          <w:lang w:val="lt-LT"/>
        </w:rPr>
        <w:t>Nedažni šalutinio poveikio reiškiniai (gali pasireikšti rečiau kaip 1 iš 100 asmenų):</w:t>
      </w:r>
    </w:p>
    <w:p w14:paraId="556EFB99" w14:textId="77777777"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veido ir kaklo paraudimas;</w:t>
      </w:r>
    </w:p>
    <w:p w14:paraId="1DB6F693" w14:textId="6A35C44C"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prakaitavimas naktimis</w:t>
      </w:r>
      <w:r>
        <w:rPr>
          <w:rFonts w:ascii="Times New Roman" w:hAnsi="Times New Roman"/>
          <w:color w:val="000000"/>
          <w:lang w:val="lt-LT"/>
        </w:rPr>
        <w:t>;</w:t>
      </w:r>
    </w:p>
    <w:p w14:paraId="0F1E1EA7" w14:textId="581D121C"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neryškus matymas;</w:t>
      </w:r>
    </w:p>
    <w:p w14:paraId="118A9775" w14:textId="624EC79F" w:rsidR="007F6170" w:rsidRPr="007F6170"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nevalingas drebulys (tremoras)</w:t>
      </w:r>
      <w:r>
        <w:rPr>
          <w:rFonts w:ascii="Times New Roman" w:hAnsi="Times New Roman"/>
          <w:color w:val="000000"/>
          <w:lang w:val="lt-LT"/>
        </w:rPr>
        <w:t>;</w:t>
      </w:r>
    </w:p>
    <w:p w14:paraId="2531D736" w14:textId="08A2D799" w:rsidR="004E0D36" w:rsidRPr="00514245" w:rsidRDefault="007F6170" w:rsidP="007F6170">
      <w:pPr>
        <w:widowControl w:val="0"/>
        <w:numPr>
          <w:ilvl w:val="0"/>
          <w:numId w:val="9"/>
        </w:numPr>
        <w:autoSpaceDE w:val="0"/>
        <w:autoSpaceDN w:val="0"/>
        <w:adjustRightInd w:val="0"/>
        <w:spacing w:after="0" w:line="240" w:lineRule="auto"/>
        <w:ind w:right="1"/>
        <w:rPr>
          <w:rFonts w:ascii="Times New Roman" w:hAnsi="Times New Roman"/>
          <w:color w:val="000000"/>
          <w:lang w:val="lt-LT"/>
        </w:rPr>
      </w:pPr>
      <w:r w:rsidRPr="007F6170">
        <w:rPr>
          <w:rFonts w:ascii="Times New Roman" w:hAnsi="Times New Roman"/>
          <w:color w:val="000000"/>
          <w:lang w:val="lt-LT"/>
        </w:rPr>
        <w:t>haliucinacijos (kai matoma, girdima arba jaučiama tai, ko nėra).</w:t>
      </w:r>
    </w:p>
    <w:p w14:paraId="3053AD71" w14:textId="77777777" w:rsidR="00845A0B" w:rsidRPr="00514245" w:rsidRDefault="00845A0B" w:rsidP="00845A0B">
      <w:pPr>
        <w:widowControl w:val="0"/>
        <w:autoSpaceDE w:val="0"/>
        <w:autoSpaceDN w:val="0"/>
        <w:adjustRightInd w:val="0"/>
        <w:spacing w:after="0" w:line="240" w:lineRule="auto"/>
        <w:ind w:right="1"/>
        <w:rPr>
          <w:rFonts w:ascii="Times New Roman" w:hAnsi="Times New Roman"/>
          <w:color w:val="000000"/>
          <w:lang w:val="lt-LT"/>
        </w:rPr>
      </w:pPr>
    </w:p>
    <w:p w14:paraId="7B863D67" w14:textId="79EAE512" w:rsidR="00845A0B" w:rsidRPr="00514245" w:rsidRDefault="00845A0B" w:rsidP="00F40D37">
      <w:pPr>
        <w:keepNext/>
        <w:autoSpaceDE w:val="0"/>
        <w:autoSpaceDN w:val="0"/>
        <w:adjustRightInd w:val="0"/>
        <w:spacing w:after="0" w:line="240" w:lineRule="auto"/>
        <w:rPr>
          <w:rFonts w:ascii="Times New Roman" w:eastAsia="Times New Roman" w:hAnsi="Times New Roman"/>
          <w:lang w:val="lt-LT" w:eastAsia="en-US" w:bidi="ar-SA"/>
        </w:rPr>
      </w:pPr>
      <w:bookmarkStart w:id="2" w:name="_Hlk98758568"/>
      <w:r w:rsidRPr="00514245">
        <w:rPr>
          <w:rFonts w:ascii="Times New Roman" w:eastAsia="Times New Roman" w:hAnsi="Times New Roman"/>
          <w:b/>
          <w:bCs/>
          <w:lang w:val="lt-LT" w:eastAsia="en-US" w:bidi="ar-SA"/>
        </w:rPr>
        <w:t>Reti šalutinio poveikio reiškiniai (gali pasireikšti rečiau kaip 1 iš 1 000 asmenų):</w:t>
      </w:r>
      <w:bookmarkEnd w:id="2"/>
    </w:p>
    <w:p w14:paraId="45DF1A8B" w14:textId="081D835A" w:rsidR="007F6170" w:rsidRPr="007F6170" w:rsidRDefault="007F6170" w:rsidP="007F6170">
      <w:pPr>
        <w:pStyle w:val="Default"/>
        <w:numPr>
          <w:ilvl w:val="0"/>
          <w:numId w:val="11"/>
        </w:numPr>
        <w:ind w:left="567" w:hanging="567"/>
      </w:pPr>
      <w:r w:rsidRPr="007F6170">
        <w:rPr>
          <w:sz w:val="22"/>
          <w:szCs w:val="22"/>
        </w:rPr>
        <w:t>vyzdžių išsiplėtimas (</w:t>
      </w:r>
      <w:proofErr w:type="spellStart"/>
      <w:r w:rsidRPr="007F6170">
        <w:rPr>
          <w:sz w:val="22"/>
          <w:szCs w:val="22"/>
        </w:rPr>
        <w:t>midriazė</w:t>
      </w:r>
      <w:proofErr w:type="spellEnd"/>
      <w:r w:rsidRPr="007F6170">
        <w:rPr>
          <w:sz w:val="22"/>
          <w:szCs w:val="22"/>
        </w:rPr>
        <w:t>), dėl kurio gali padidėti glaukomos atsiradimo pavojus (žr.</w:t>
      </w:r>
      <w:r>
        <w:rPr>
          <w:sz w:val="22"/>
          <w:szCs w:val="22"/>
        </w:rPr>
        <w:t> </w:t>
      </w:r>
      <w:r w:rsidRPr="007F6170">
        <w:rPr>
          <w:sz w:val="22"/>
          <w:szCs w:val="22"/>
        </w:rPr>
        <w:t>2</w:t>
      </w:r>
      <w:r>
        <w:rPr>
          <w:sz w:val="22"/>
          <w:szCs w:val="22"/>
        </w:rPr>
        <w:t> </w:t>
      </w:r>
      <w:r w:rsidRPr="007F6170">
        <w:rPr>
          <w:sz w:val="22"/>
          <w:szCs w:val="22"/>
        </w:rPr>
        <w:t xml:space="preserve">skyrių). </w:t>
      </w:r>
    </w:p>
    <w:p w14:paraId="1C22EC65" w14:textId="3AFB60DA" w:rsidR="00845A0B" w:rsidRPr="00514245" w:rsidRDefault="00845A0B" w:rsidP="00845A0B">
      <w:pPr>
        <w:widowControl w:val="0"/>
        <w:autoSpaceDE w:val="0"/>
        <w:autoSpaceDN w:val="0"/>
        <w:adjustRightInd w:val="0"/>
        <w:spacing w:after="0" w:line="240" w:lineRule="auto"/>
        <w:ind w:right="1"/>
        <w:rPr>
          <w:rFonts w:ascii="Times New Roman" w:hAnsi="Times New Roman"/>
          <w:color w:val="000000"/>
          <w:lang w:val="lt-LT"/>
        </w:rPr>
      </w:pPr>
    </w:p>
    <w:p w14:paraId="0F4ADC22" w14:textId="67E0ABFA" w:rsidR="00E0107B" w:rsidRPr="00514245" w:rsidRDefault="004066C8" w:rsidP="00F40D37">
      <w:pPr>
        <w:keepNext/>
        <w:autoSpaceDE w:val="0"/>
        <w:autoSpaceDN w:val="0"/>
        <w:adjustRightInd w:val="0"/>
        <w:spacing w:after="0" w:line="240" w:lineRule="auto"/>
        <w:rPr>
          <w:rFonts w:ascii="Times New Roman" w:eastAsia="Times New Roman" w:hAnsi="Times New Roman"/>
          <w:b/>
          <w:color w:val="000000"/>
          <w:lang w:val="lt-LT"/>
        </w:rPr>
      </w:pPr>
      <w:r w:rsidRPr="00514245">
        <w:rPr>
          <w:rFonts w:ascii="Times New Roman" w:hAnsi="Times New Roman"/>
          <w:b/>
          <w:lang w:val="lt-LT"/>
        </w:rPr>
        <w:t>Š</w:t>
      </w:r>
      <w:r w:rsidR="00E0107B" w:rsidRPr="00514245">
        <w:rPr>
          <w:rFonts w:ascii="Times New Roman" w:hAnsi="Times New Roman"/>
          <w:b/>
          <w:lang w:val="lt-LT"/>
        </w:rPr>
        <w:t>alutinio poveikio reiškiniai</w:t>
      </w:r>
      <w:r w:rsidRPr="00514245">
        <w:rPr>
          <w:rFonts w:ascii="Times New Roman" w:hAnsi="Times New Roman"/>
          <w:b/>
          <w:lang w:val="lt-LT"/>
        </w:rPr>
        <w:t>, kurių dažnis nežinomas</w:t>
      </w:r>
      <w:r w:rsidR="00E0107B" w:rsidRPr="00514245">
        <w:rPr>
          <w:rFonts w:ascii="Times New Roman" w:hAnsi="Times New Roman"/>
          <w:b/>
          <w:lang w:val="lt-LT"/>
        </w:rPr>
        <w:t xml:space="preserve"> (</w:t>
      </w:r>
      <w:r w:rsidRPr="00514245">
        <w:rPr>
          <w:rFonts w:ascii="Times New Roman" w:hAnsi="Times New Roman"/>
          <w:b/>
          <w:lang w:val="lt-LT"/>
        </w:rPr>
        <w:t>ne</w:t>
      </w:r>
      <w:r w:rsidR="00E0107B" w:rsidRPr="00514245">
        <w:rPr>
          <w:rFonts w:ascii="Times New Roman" w:hAnsi="Times New Roman"/>
          <w:b/>
          <w:lang w:val="lt-LT"/>
        </w:rPr>
        <w:t xml:space="preserve">gali </w:t>
      </w:r>
      <w:r w:rsidRPr="00514245">
        <w:rPr>
          <w:rFonts w:ascii="Times New Roman" w:hAnsi="Times New Roman"/>
          <w:b/>
          <w:lang w:val="lt-LT"/>
        </w:rPr>
        <w:t>būti apskaičiuotas pagal turimus duomenis</w:t>
      </w:r>
      <w:r w:rsidR="00E0107B" w:rsidRPr="00514245">
        <w:rPr>
          <w:rFonts w:ascii="Times New Roman" w:hAnsi="Times New Roman"/>
          <w:b/>
          <w:lang w:val="lt-LT"/>
        </w:rPr>
        <w:t>):</w:t>
      </w:r>
    </w:p>
    <w:p w14:paraId="5C5AAB3C" w14:textId="77777777" w:rsidR="007F6170" w:rsidRDefault="007F6170" w:rsidP="007F6170">
      <w:pPr>
        <w:pStyle w:val="Default"/>
        <w:numPr>
          <w:ilvl w:val="0"/>
          <w:numId w:val="10"/>
        </w:numPr>
        <w:ind w:left="567" w:hanging="567"/>
        <w:rPr>
          <w:sz w:val="22"/>
          <w:szCs w:val="22"/>
        </w:rPr>
      </w:pPr>
      <w:r>
        <w:rPr>
          <w:sz w:val="22"/>
          <w:szCs w:val="22"/>
        </w:rPr>
        <w:t xml:space="preserve">mieguistumas arba didelis nuovargis, pykinimas arba vėmimas; sunkesni simptomai yra alpimas, priepuoliai arba griuvimas); </w:t>
      </w:r>
    </w:p>
    <w:p w14:paraId="1D67F810" w14:textId="27681CB7" w:rsidR="007F6170" w:rsidRDefault="007F6170" w:rsidP="007F6170">
      <w:pPr>
        <w:pStyle w:val="Default"/>
        <w:numPr>
          <w:ilvl w:val="0"/>
          <w:numId w:val="10"/>
        </w:numPr>
        <w:ind w:left="567" w:hanging="567"/>
        <w:rPr>
          <w:sz w:val="22"/>
          <w:szCs w:val="22"/>
        </w:rPr>
      </w:pPr>
      <w:proofErr w:type="spellStart"/>
      <w:r>
        <w:rPr>
          <w:sz w:val="22"/>
          <w:szCs w:val="22"/>
        </w:rPr>
        <w:t>serotonino</w:t>
      </w:r>
      <w:proofErr w:type="spellEnd"/>
      <w:r>
        <w:rPr>
          <w:sz w:val="22"/>
          <w:szCs w:val="22"/>
        </w:rPr>
        <w:t xml:space="preserve"> sindromas (žr. 2 skyrių); </w:t>
      </w:r>
    </w:p>
    <w:p w14:paraId="38A43A6E" w14:textId="0A0F6119" w:rsidR="007F6170" w:rsidRDefault="007F6170" w:rsidP="007F6170">
      <w:pPr>
        <w:pStyle w:val="Default"/>
        <w:numPr>
          <w:ilvl w:val="0"/>
          <w:numId w:val="10"/>
        </w:numPr>
        <w:ind w:left="567" w:hanging="567"/>
        <w:rPr>
          <w:sz w:val="22"/>
          <w:szCs w:val="22"/>
        </w:rPr>
      </w:pPr>
      <w:r>
        <w:rPr>
          <w:sz w:val="22"/>
          <w:szCs w:val="22"/>
        </w:rPr>
        <w:t xml:space="preserve">alerginės reakcijos, sukeliančios veido, lūpų, liežuvio ar ryklės tinimą, kvėpavimo ar rijimo sutrikimus ir (arba) staigų kraujospūdžio sumažėjimą (dėl kurio gali suktis arba svaigti galva); </w:t>
      </w:r>
    </w:p>
    <w:p w14:paraId="3F521956" w14:textId="7798E6E5" w:rsidR="007F6170" w:rsidRPr="007F6170" w:rsidRDefault="007F6170" w:rsidP="007F6170">
      <w:pPr>
        <w:pStyle w:val="Default"/>
        <w:numPr>
          <w:ilvl w:val="0"/>
          <w:numId w:val="10"/>
        </w:numPr>
        <w:ind w:left="567" w:hanging="567"/>
        <w:rPr>
          <w:sz w:val="22"/>
          <w:szCs w:val="22"/>
        </w:rPr>
      </w:pPr>
      <w:r>
        <w:rPr>
          <w:sz w:val="22"/>
          <w:szCs w:val="22"/>
        </w:rPr>
        <w:t xml:space="preserve">dilgėlinė; </w:t>
      </w:r>
    </w:p>
    <w:p w14:paraId="4BA2C3C5" w14:textId="77777777" w:rsidR="007F6170" w:rsidRDefault="007F6170" w:rsidP="007F6170">
      <w:pPr>
        <w:pStyle w:val="Default"/>
        <w:numPr>
          <w:ilvl w:val="0"/>
          <w:numId w:val="10"/>
        </w:numPr>
        <w:ind w:left="567" w:hanging="567"/>
        <w:rPr>
          <w:sz w:val="22"/>
          <w:szCs w:val="22"/>
        </w:rPr>
      </w:pPr>
      <w:r>
        <w:rPr>
          <w:sz w:val="22"/>
          <w:szCs w:val="22"/>
        </w:rPr>
        <w:t xml:space="preserve">gausus arba nepaaiškinamas kraujavimas (įskaitant kraujosruvas, kraujavimą iš nosies, virškinimo trakto ir makšties); </w:t>
      </w:r>
    </w:p>
    <w:p w14:paraId="3E3D3A01" w14:textId="41C9432C" w:rsidR="007F6170" w:rsidRDefault="007F6170" w:rsidP="007F6170">
      <w:pPr>
        <w:pStyle w:val="Default"/>
        <w:numPr>
          <w:ilvl w:val="0"/>
          <w:numId w:val="10"/>
        </w:numPr>
        <w:ind w:left="567" w:hanging="567"/>
        <w:rPr>
          <w:sz w:val="22"/>
          <w:szCs w:val="22"/>
        </w:rPr>
      </w:pPr>
      <w:r>
        <w:rPr>
          <w:sz w:val="22"/>
          <w:szCs w:val="22"/>
        </w:rPr>
        <w:t xml:space="preserve">bėrimas; </w:t>
      </w:r>
    </w:p>
    <w:p w14:paraId="4DE6FF3F" w14:textId="3061FD3B" w:rsidR="007F6170" w:rsidRDefault="007F6170" w:rsidP="007F6170">
      <w:pPr>
        <w:pStyle w:val="Default"/>
        <w:numPr>
          <w:ilvl w:val="0"/>
          <w:numId w:val="10"/>
        </w:numPr>
        <w:ind w:left="567" w:hanging="567"/>
        <w:rPr>
          <w:sz w:val="22"/>
          <w:szCs w:val="22"/>
        </w:rPr>
      </w:pPr>
      <w:r>
        <w:rPr>
          <w:sz w:val="22"/>
          <w:szCs w:val="22"/>
        </w:rPr>
        <w:t xml:space="preserve">miego sutrikimai (nemiga); </w:t>
      </w:r>
    </w:p>
    <w:p w14:paraId="31DAE748" w14:textId="0075B59A" w:rsidR="007F6170" w:rsidRDefault="007F6170" w:rsidP="007F6170">
      <w:pPr>
        <w:pStyle w:val="Default"/>
        <w:numPr>
          <w:ilvl w:val="0"/>
          <w:numId w:val="10"/>
        </w:numPr>
        <w:ind w:left="567" w:hanging="567"/>
        <w:rPr>
          <w:sz w:val="22"/>
          <w:szCs w:val="22"/>
        </w:rPr>
      </w:pPr>
      <w:r>
        <w:rPr>
          <w:sz w:val="22"/>
          <w:szCs w:val="22"/>
        </w:rPr>
        <w:t>susijaudinimas ir agresyvumas. Jeigu pasireiškė toks šalutinis poveikis, kreipkitės į gydytoją (žr.</w:t>
      </w:r>
      <w:r w:rsidR="00762F66">
        <w:rPr>
          <w:sz w:val="22"/>
          <w:szCs w:val="22"/>
        </w:rPr>
        <w:t> </w:t>
      </w:r>
      <w:r>
        <w:rPr>
          <w:sz w:val="22"/>
          <w:szCs w:val="22"/>
        </w:rPr>
        <w:t xml:space="preserve">2 skyrių); </w:t>
      </w:r>
    </w:p>
    <w:p w14:paraId="35E7955D" w14:textId="02E1603A" w:rsidR="007F6170" w:rsidRDefault="007F6170" w:rsidP="007F6170">
      <w:pPr>
        <w:pStyle w:val="Default"/>
        <w:numPr>
          <w:ilvl w:val="0"/>
          <w:numId w:val="10"/>
        </w:numPr>
        <w:ind w:left="567" w:hanging="567"/>
        <w:rPr>
          <w:sz w:val="22"/>
          <w:szCs w:val="22"/>
        </w:rPr>
      </w:pPr>
      <w:r>
        <w:rPr>
          <w:sz w:val="22"/>
          <w:szCs w:val="22"/>
        </w:rPr>
        <w:t xml:space="preserve">galvos skausmas; </w:t>
      </w:r>
    </w:p>
    <w:p w14:paraId="1059F352" w14:textId="37D377AF" w:rsidR="007F6170" w:rsidRDefault="007F6170" w:rsidP="007F6170">
      <w:pPr>
        <w:pStyle w:val="Default"/>
        <w:numPr>
          <w:ilvl w:val="0"/>
          <w:numId w:val="10"/>
        </w:numPr>
        <w:ind w:left="567" w:hanging="567"/>
        <w:rPr>
          <w:sz w:val="22"/>
          <w:szCs w:val="22"/>
        </w:rPr>
      </w:pPr>
      <w:r>
        <w:rPr>
          <w:sz w:val="22"/>
          <w:szCs w:val="22"/>
        </w:rPr>
        <w:t xml:space="preserve">padidėjusi hormono, vadinamo prolaktinu, koncentracija kraujyje; </w:t>
      </w:r>
    </w:p>
    <w:p w14:paraId="65D83ECB" w14:textId="2E3202FE" w:rsidR="007F6170" w:rsidRDefault="007F6170" w:rsidP="007F6170">
      <w:pPr>
        <w:pStyle w:val="Default"/>
        <w:numPr>
          <w:ilvl w:val="0"/>
          <w:numId w:val="10"/>
        </w:numPr>
        <w:ind w:left="567" w:hanging="567"/>
        <w:rPr>
          <w:sz w:val="22"/>
          <w:szCs w:val="22"/>
        </w:rPr>
      </w:pPr>
      <w:r>
        <w:rPr>
          <w:sz w:val="22"/>
          <w:szCs w:val="22"/>
        </w:rPr>
        <w:t>nuolatinis noras judėti (</w:t>
      </w:r>
      <w:proofErr w:type="spellStart"/>
      <w:r>
        <w:rPr>
          <w:sz w:val="22"/>
          <w:szCs w:val="22"/>
        </w:rPr>
        <w:t>akatizija</w:t>
      </w:r>
      <w:proofErr w:type="spellEnd"/>
      <w:r>
        <w:rPr>
          <w:sz w:val="22"/>
          <w:szCs w:val="22"/>
        </w:rPr>
        <w:t xml:space="preserve">); </w:t>
      </w:r>
    </w:p>
    <w:p w14:paraId="33EDDFD1" w14:textId="3DC746C8" w:rsidR="007F6170" w:rsidRDefault="007F6170" w:rsidP="007F6170">
      <w:pPr>
        <w:pStyle w:val="Default"/>
        <w:numPr>
          <w:ilvl w:val="0"/>
          <w:numId w:val="10"/>
        </w:numPr>
        <w:ind w:left="567" w:hanging="567"/>
        <w:rPr>
          <w:sz w:val="22"/>
          <w:szCs w:val="22"/>
        </w:rPr>
      </w:pPr>
      <w:r>
        <w:rPr>
          <w:sz w:val="22"/>
          <w:szCs w:val="22"/>
        </w:rPr>
        <w:t>griežimas dantimis (</w:t>
      </w:r>
      <w:proofErr w:type="spellStart"/>
      <w:r>
        <w:rPr>
          <w:sz w:val="22"/>
          <w:szCs w:val="22"/>
        </w:rPr>
        <w:t>bruksizmas</w:t>
      </w:r>
      <w:proofErr w:type="spellEnd"/>
      <w:r>
        <w:rPr>
          <w:sz w:val="22"/>
          <w:szCs w:val="22"/>
        </w:rPr>
        <w:t xml:space="preserve">); </w:t>
      </w:r>
    </w:p>
    <w:p w14:paraId="47B0283F" w14:textId="7C2C3884" w:rsidR="007F6170" w:rsidRDefault="007F6170" w:rsidP="007F6170">
      <w:pPr>
        <w:pStyle w:val="Default"/>
        <w:numPr>
          <w:ilvl w:val="0"/>
          <w:numId w:val="10"/>
        </w:numPr>
        <w:ind w:left="567" w:hanging="567"/>
        <w:rPr>
          <w:sz w:val="22"/>
          <w:szCs w:val="22"/>
        </w:rPr>
      </w:pPr>
      <w:r>
        <w:rPr>
          <w:sz w:val="22"/>
          <w:szCs w:val="22"/>
        </w:rPr>
        <w:t xml:space="preserve">nesugebėjimas išsižioti (stabligė / spazmas); </w:t>
      </w:r>
    </w:p>
    <w:p w14:paraId="4C04D220" w14:textId="540ABD36" w:rsidR="007F6170" w:rsidRDefault="007F6170" w:rsidP="007F6170">
      <w:pPr>
        <w:pStyle w:val="Default"/>
        <w:numPr>
          <w:ilvl w:val="0"/>
          <w:numId w:val="10"/>
        </w:numPr>
        <w:ind w:left="567" w:hanging="567"/>
        <w:rPr>
          <w:sz w:val="22"/>
          <w:szCs w:val="22"/>
        </w:rPr>
      </w:pPr>
      <w:r>
        <w:rPr>
          <w:sz w:val="22"/>
          <w:szCs w:val="22"/>
        </w:rPr>
        <w:t xml:space="preserve">neramių kojų sindromas (noras judinti kojas, siekiant sustabdyti skausmingą ar keistą pojūtį, dažnai pasireiškiantį naktį); </w:t>
      </w:r>
    </w:p>
    <w:p w14:paraId="2C81EB64" w14:textId="1E4AC571" w:rsidR="000C21B0" w:rsidRPr="007F6170" w:rsidRDefault="007F6170" w:rsidP="007F6170">
      <w:pPr>
        <w:pStyle w:val="Default"/>
        <w:numPr>
          <w:ilvl w:val="0"/>
          <w:numId w:val="10"/>
        </w:numPr>
        <w:ind w:left="567" w:hanging="567"/>
        <w:rPr>
          <w:sz w:val="22"/>
          <w:szCs w:val="22"/>
        </w:rPr>
      </w:pPr>
      <w:r>
        <w:rPr>
          <w:sz w:val="22"/>
          <w:szCs w:val="22"/>
        </w:rPr>
        <w:t>nenormalios pieniškos išskyros iš krūties (</w:t>
      </w:r>
      <w:proofErr w:type="spellStart"/>
      <w:r>
        <w:rPr>
          <w:sz w:val="22"/>
          <w:szCs w:val="22"/>
        </w:rPr>
        <w:t>galaktorėja</w:t>
      </w:r>
      <w:proofErr w:type="spellEnd"/>
      <w:r>
        <w:rPr>
          <w:sz w:val="22"/>
          <w:szCs w:val="22"/>
        </w:rPr>
        <w:t xml:space="preserve">). </w:t>
      </w:r>
    </w:p>
    <w:p w14:paraId="2BD5BCBB" w14:textId="11D2D551" w:rsidR="004066C8" w:rsidRPr="00514245" w:rsidRDefault="004066C8"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87D29CB" w14:textId="77777777" w:rsid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r w:rsidRPr="00762F66">
        <w:rPr>
          <w:rFonts w:ascii="Times New Roman" w:eastAsia="Times New Roman" w:hAnsi="Times New Roman"/>
          <w:color w:val="000000"/>
          <w:lang w:val="lt-LT"/>
        </w:rPr>
        <w:t>Pastebėta, kad tokio tipo vaistų vartojantiems pacientams padidėja kaulų lūžimų rizika.</w:t>
      </w:r>
    </w:p>
    <w:p w14:paraId="3365AAB9" w14:textId="77777777" w:rsidR="00762F66" w:rsidRP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04B93647" w14:textId="3D1528FD" w:rsidR="00762F66" w:rsidRP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r w:rsidRPr="00762F66">
        <w:rPr>
          <w:rFonts w:ascii="Times New Roman" w:eastAsia="Times New Roman" w:hAnsi="Times New Roman"/>
          <w:color w:val="000000"/>
          <w:lang w:val="lt-LT"/>
        </w:rPr>
        <w:t>Buvo pranešta apie padidėjusią seksualinės funkcijos sutrikimo riziką vartojant 20</w:t>
      </w:r>
      <w:r>
        <w:rPr>
          <w:rFonts w:ascii="Times New Roman" w:eastAsia="Times New Roman" w:hAnsi="Times New Roman"/>
          <w:color w:val="000000"/>
          <w:lang w:val="lt-LT"/>
        </w:rPr>
        <w:t> </w:t>
      </w:r>
      <w:r w:rsidRPr="00762F66">
        <w:rPr>
          <w:rFonts w:ascii="Times New Roman" w:eastAsia="Times New Roman" w:hAnsi="Times New Roman"/>
          <w:color w:val="000000"/>
          <w:lang w:val="lt-LT"/>
        </w:rPr>
        <w:t>mg dozę, tačiau pastebėta, kad kai kuriems pacientams šis šalutinis poveikis pasireiškė ir vartojant mažesnes dozes.</w:t>
      </w:r>
    </w:p>
    <w:p w14:paraId="732F2538" w14:textId="77777777" w:rsid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5063F9FD" w14:textId="6FD255B6" w:rsidR="00762F66" w:rsidRPr="00762F66" w:rsidRDefault="00762F66" w:rsidP="00762F66">
      <w:pPr>
        <w:widowControl w:val="0"/>
        <w:autoSpaceDE w:val="0"/>
        <w:autoSpaceDN w:val="0"/>
        <w:adjustRightInd w:val="0"/>
        <w:spacing w:after="0" w:line="240" w:lineRule="auto"/>
        <w:ind w:right="1"/>
        <w:rPr>
          <w:rFonts w:ascii="Times New Roman" w:eastAsia="Times New Roman" w:hAnsi="Times New Roman"/>
          <w:b/>
          <w:bCs/>
          <w:color w:val="000000"/>
          <w:lang w:val="lt-LT"/>
        </w:rPr>
      </w:pPr>
      <w:r w:rsidRPr="00762F66">
        <w:rPr>
          <w:rFonts w:ascii="Times New Roman" w:eastAsia="Times New Roman" w:hAnsi="Times New Roman"/>
          <w:b/>
          <w:bCs/>
          <w:color w:val="000000"/>
          <w:lang w:val="lt-LT"/>
        </w:rPr>
        <w:t>Kitas šalutinis poveikis, kuris gali pasireikšti vaikams ir paaugliams</w:t>
      </w:r>
    </w:p>
    <w:p w14:paraId="765F4143" w14:textId="77777777" w:rsidR="00762F66"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5375C08" w14:textId="4B4F4F4C" w:rsidR="0056256A"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r w:rsidRPr="00762F66">
        <w:rPr>
          <w:rFonts w:ascii="Times New Roman" w:eastAsia="Times New Roman" w:hAnsi="Times New Roman"/>
          <w:color w:val="000000"/>
          <w:lang w:val="lt-LT"/>
        </w:rPr>
        <w:t>Šalutinis poveikis, nustatytas vartojant vortioksetin</w:t>
      </w:r>
      <w:r>
        <w:rPr>
          <w:rFonts w:ascii="Times New Roman" w:eastAsia="Times New Roman" w:hAnsi="Times New Roman"/>
          <w:color w:val="000000"/>
          <w:lang w:val="lt-LT"/>
        </w:rPr>
        <w:t>o</w:t>
      </w:r>
      <w:r w:rsidRPr="00762F66">
        <w:rPr>
          <w:rFonts w:ascii="Times New Roman" w:eastAsia="Times New Roman" w:hAnsi="Times New Roman"/>
          <w:color w:val="000000"/>
          <w:lang w:val="lt-LT"/>
        </w:rPr>
        <w:t xml:space="preserve"> vaikams ir paaugliams, buvo panašus į nustatytą suaugusiesiems, išskyrus tai, kad vaikams ir paaugliams dažniau nei suaugusiesiems pasireiškė su pilvo skausmu susiję reiškiniai ir mintys apie savižudybę buvo dažnesnės paaugliams, negu suaugusiesiems.</w:t>
      </w:r>
    </w:p>
    <w:p w14:paraId="1DE3725A" w14:textId="77777777" w:rsidR="00762F66" w:rsidRPr="00514245" w:rsidRDefault="00762F66" w:rsidP="00762F66">
      <w:pPr>
        <w:widowControl w:val="0"/>
        <w:autoSpaceDE w:val="0"/>
        <w:autoSpaceDN w:val="0"/>
        <w:adjustRightInd w:val="0"/>
        <w:spacing w:after="0" w:line="240" w:lineRule="auto"/>
        <w:ind w:right="1"/>
        <w:rPr>
          <w:rFonts w:ascii="Times New Roman" w:eastAsia="Times New Roman" w:hAnsi="Times New Roman"/>
          <w:color w:val="000000"/>
          <w:lang w:val="lt-LT"/>
        </w:rPr>
      </w:pPr>
    </w:p>
    <w:p w14:paraId="45B37B12" w14:textId="2434633F" w:rsidR="00877D54" w:rsidRPr="00514245" w:rsidRDefault="00E0107B" w:rsidP="004C5B12">
      <w:pPr>
        <w:keepNext/>
        <w:tabs>
          <w:tab w:val="left" w:pos="567"/>
        </w:tabs>
        <w:spacing w:after="0" w:line="240" w:lineRule="auto"/>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t>Pranešimas apie šalutinį poveikį</w:t>
      </w:r>
    </w:p>
    <w:p w14:paraId="74145AE6" w14:textId="3CA1F5EB" w:rsidR="00877D54" w:rsidRPr="00514245" w:rsidRDefault="00877D54" w:rsidP="004C5B12">
      <w:pPr>
        <w:tabs>
          <w:tab w:val="left" w:pos="567"/>
        </w:tabs>
        <w:spacing w:after="0"/>
        <w:ind w:right="-29"/>
        <w:rPr>
          <w:snapToGrid w:val="0"/>
          <w:lang w:val="lt-LT"/>
        </w:rPr>
      </w:pPr>
      <w:r w:rsidRPr="00514245">
        <w:rPr>
          <w:rFonts w:ascii="Times New Roman" w:hAnsi="Times New Roman"/>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514245">
        <w:rPr>
          <w:rFonts w:ascii="Times New Roman" w:hAnsi="Times New Roman"/>
          <w:color w:val="0000EE"/>
          <w:u w:val="single"/>
          <w:lang w:val="lt-LT"/>
        </w:rPr>
        <w:t>https://vvkt.lrv.lt/lt/</w:t>
      </w:r>
      <w:r w:rsidRPr="00514245">
        <w:rPr>
          <w:rFonts w:ascii="Times New Roman" w:hAnsi="Times New Roman"/>
          <w:lang w:val="lt-LT"/>
        </w:rPr>
        <w:t xml:space="preserve"> nurodytais būdais arba paskambinti nemokamu telefonu </w:t>
      </w:r>
      <w:r w:rsidR="0056189A" w:rsidRPr="00514245">
        <w:rPr>
          <w:rFonts w:ascii="Times New Roman" w:hAnsi="Times New Roman"/>
          <w:lang w:val="lt-LT"/>
        </w:rPr>
        <w:t>+370</w:t>
      </w:r>
      <w:r w:rsidRPr="00514245">
        <w:rPr>
          <w:rFonts w:ascii="Times New Roman" w:hAnsi="Times New Roman"/>
          <w:lang w:val="lt-LT"/>
        </w:rPr>
        <w:t xml:space="preserve"> 800 73 568. Pranešdami apie šalutinį poveikį galite mums padėti gauti daugiau informacijos apie šio vaisto saugumą.</w:t>
      </w:r>
    </w:p>
    <w:p w14:paraId="7C725F45" w14:textId="77777777" w:rsidR="00877D54" w:rsidRPr="00514245" w:rsidRDefault="00877D54" w:rsidP="004C5B12">
      <w:pPr>
        <w:keepNext/>
        <w:tabs>
          <w:tab w:val="left" w:pos="567"/>
        </w:tabs>
        <w:spacing w:after="0" w:line="260" w:lineRule="exact"/>
        <w:rPr>
          <w:rFonts w:ascii="Times New Roman" w:eastAsia="Times New Roman" w:hAnsi="Times New Roman"/>
          <w:snapToGrid w:val="0"/>
          <w:lang w:val="lt-LT" w:eastAsia="en-US" w:bidi="ar-SA"/>
        </w:rPr>
      </w:pPr>
    </w:p>
    <w:p w14:paraId="34DB8C59" w14:textId="77777777" w:rsidR="00E0107B" w:rsidRPr="00514245" w:rsidRDefault="00E0107B" w:rsidP="004C5B12">
      <w:pPr>
        <w:widowControl w:val="0"/>
        <w:autoSpaceDE w:val="0"/>
        <w:autoSpaceDN w:val="0"/>
        <w:adjustRightInd w:val="0"/>
        <w:spacing w:after="0" w:line="240" w:lineRule="auto"/>
        <w:ind w:right="1"/>
        <w:rPr>
          <w:rFonts w:ascii="Times New Roman" w:eastAsia="Times New Roman" w:hAnsi="Times New Roman"/>
          <w:color w:val="000000"/>
          <w:lang w:val="lt-LT"/>
        </w:rPr>
      </w:pPr>
    </w:p>
    <w:p w14:paraId="65A40799" w14:textId="6139EDD6" w:rsidR="00E0107B" w:rsidRPr="00514245"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lang w:val="lt-LT"/>
        </w:rPr>
      </w:pPr>
      <w:r w:rsidRPr="00514245">
        <w:rPr>
          <w:rFonts w:ascii="Times New Roman" w:hAnsi="Times New Roman"/>
          <w:b/>
          <w:color w:val="000000"/>
          <w:spacing w:val="1"/>
          <w:lang w:val="lt-LT"/>
        </w:rPr>
        <w:t xml:space="preserve">Kaip laikyti </w:t>
      </w:r>
      <w:r w:rsidR="00662355" w:rsidRPr="00662355">
        <w:rPr>
          <w:rFonts w:ascii="Times New Roman" w:hAnsi="Times New Roman"/>
          <w:b/>
          <w:color w:val="000000"/>
          <w:spacing w:val="1"/>
          <w:lang w:val="lt-LT"/>
        </w:rPr>
        <w:t xml:space="preserve">Vortioxetine </w:t>
      </w:r>
      <w:r w:rsidR="00962664" w:rsidRPr="00514245">
        <w:rPr>
          <w:rFonts w:ascii="Times New Roman" w:hAnsi="Times New Roman"/>
          <w:b/>
          <w:color w:val="000000"/>
          <w:spacing w:val="1"/>
          <w:lang w:val="lt-LT"/>
        </w:rPr>
        <w:t>Zentiva</w:t>
      </w:r>
    </w:p>
    <w:p w14:paraId="60C46D8B"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color w:val="000000"/>
          <w:lang w:val="lt-LT"/>
        </w:rPr>
      </w:pPr>
    </w:p>
    <w:p w14:paraId="6AAB5C17" w14:textId="77D26842" w:rsidR="00E0107B" w:rsidRPr="00514245" w:rsidRDefault="00E0107B" w:rsidP="00C77A13">
      <w:pPr>
        <w:widowControl w:val="0"/>
        <w:autoSpaceDE w:val="0"/>
        <w:autoSpaceDN w:val="0"/>
        <w:adjustRightInd w:val="0"/>
        <w:spacing w:after="0" w:line="240" w:lineRule="auto"/>
        <w:ind w:right="1"/>
        <w:rPr>
          <w:rFonts w:ascii="Times New Roman" w:hAnsi="Times New Roman"/>
          <w:color w:val="000000"/>
          <w:spacing w:val="1"/>
          <w:lang w:val="lt-LT"/>
        </w:rPr>
      </w:pPr>
      <w:r w:rsidRPr="00514245">
        <w:rPr>
          <w:rFonts w:ascii="Times New Roman" w:hAnsi="Times New Roman"/>
          <w:color w:val="000000"/>
          <w:spacing w:val="1"/>
          <w:lang w:val="lt-LT"/>
        </w:rPr>
        <w:t>Šį vaistą laikykite vaikams nepastebimoje ir nepasiekiamoje vietoje.</w:t>
      </w:r>
    </w:p>
    <w:p w14:paraId="5DF6A582" w14:textId="77777777" w:rsidR="0056256A" w:rsidRPr="00514245" w:rsidRDefault="0056256A" w:rsidP="00C77A13">
      <w:pPr>
        <w:widowControl w:val="0"/>
        <w:autoSpaceDE w:val="0"/>
        <w:autoSpaceDN w:val="0"/>
        <w:adjustRightInd w:val="0"/>
        <w:spacing w:after="0" w:line="240" w:lineRule="auto"/>
        <w:ind w:right="1"/>
        <w:rPr>
          <w:rFonts w:ascii="Times New Roman" w:hAnsi="Times New Roman"/>
          <w:color w:val="000000"/>
          <w:spacing w:val="1"/>
          <w:lang w:val="lt-LT"/>
        </w:rPr>
      </w:pPr>
    </w:p>
    <w:p w14:paraId="4354A11C" w14:textId="25EE5C57" w:rsidR="00E0107B" w:rsidRPr="00514245" w:rsidRDefault="00E0107B" w:rsidP="00C77A13">
      <w:pPr>
        <w:widowControl w:val="0"/>
        <w:autoSpaceDE w:val="0"/>
        <w:autoSpaceDN w:val="0"/>
        <w:adjustRightInd w:val="0"/>
        <w:spacing w:after="0" w:line="240" w:lineRule="auto"/>
        <w:ind w:right="1"/>
        <w:rPr>
          <w:rFonts w:ascii="Times New Roman" w:hAnsi="Times New Roman"/>
          <w:color w:val="000000"/>
          <w:spacing w:val="-1"/>
          <w:lang w:val="lt-LT"/>
        </w:rPr>
      </w:pPr>
      <w:r w:rsidRPr="00514245">
        <w:rPr>
          <w:rFonts w:ascii="Times New Roman" w:hAnsi="Times New Roman"/>
          <w:color w:val="000000"/>
          <w:spacing w:val="-1"/>
          <w:lang w:val="lt-LT"/>
        </w:rPr>
        <w:t>Ant dėžutės ir lizdinės plokštelės po „EXP“ nurodytam tinkamumo laikui pasibaigus, šio vaisto vartoti negalima. Vaistas tinkamas vartoti iki paskutinės nurodyto mėnesio dienos.</w:t>
      </w:r>
    </w:p>
    <w:p w14:paraId="4F2A63A2" w14:textId="77777777" w:rsidR="00C77A13" w:rsidRPr="00514245" w:rsidRDefault="00C77A13" w:rsidP="004C5B12">
      <w:pPr>
        <w:widowControl w:val="0"/>
        <w:autoSpaceDE w:val="0"/>
        <w:autoSpaceDN w:val="0"/>
        <w:adjustRightInd w:val="0"/>
        <w:spacing w:after="0" w:line="240" w:lineRule="auto"/>
        <w:ind w:right="1"/>
        <w:rPr>
          <w:rFonts w:ascii="Times New Roman" w:hAnsi="Times New Roman"/>
          <w:color w:val="000000"/>
          <w:lang w:val="lt-LT"/>
        </w:rPr>
      </w:pPr>
    </w:p>
    <w:p w14:paraId="75065F29" w14:textId="5A385E0B" w:rsidR="00C77A13" w:rsidRPr="00514245" w:rsidRDefault="00295388" w:rsidP="00C77A13">
      <w:pPr>
        <w:widowControl w:val="0"/>
        <w:autoSpaceDE w:val="0"/>
        <w:autoSpaceDN w:val="0"/>
        <w:adjustRightInd w:val="0"/>
        <w:spacing w:after="0" w:line="240" w:lineRule="auto"/>
        <w:rPr>
          <w:rFonts w:ascii="Times New Roman" w:hAnsi="Times New Roman"/>
          <w:spacing w:val="-1"/>
          <w:lang w:val="lt-LT"/>
        </w:rPr>
      </w:pPr>
      <w:r w:rsidRPr="00514245">
        <w:rPr>
          <w:rFonts w:ascii="Times New Roman" w:hAnsi="Times New Roman"/>
          <w:spacing w:val="-1"/>
          <w:lang w:val="lt-LT"/>
        </w:rPr>
        <w:t>Šiam vaistui specialių laikymo sąlygų nereikia.</w:t>
      </w:r>
    </w:p>
    <w:p w14:paraId="3F7CA277" w14:textId="77777777" w:rsidR="0056256A" w:rsidRPr="00514245" w:rsidRDefault="0056256A" w:rsidP="00C77A13">
      <w:pPr>
        <w:widowControl w:val="0"/>
        <w:autoSpaceDE w:val="0"/>
        <w:autoSpaceDN w:val="0"/>
        <w:adjustRightInd w:val="0"/>
        <w:spacing w:after="0" w:line="240" w:lineRule="auto"/>
        <w:rPr>
          <w:rFonts w:ascii="Times New Roman" w:hAnsi="Times New Roman"/>
          <w:spacing w:val="-1"/>
          <w:lang w:val="lt-LT"/>
        </w:rPr>
      </w:pPr>
    </w:p>
    <w:p w14:paraId="77DA552D" w14:textId="581EB08A" w:rsidR="00E0107B" w:rsidRPr="00514245" w:rsidRDefault="00E0107B" w:rsidP="004C5B12">
      <w:pPr>
        <w:spacing w:after="0" w:line="240" w:lineRule="auto"/>
        <w:ind w:right="1"/>
        <w:rPr>
          <w:rFonts w:ascii="Times New Roman" w:hAnsi="Times New Roman"/>
          <w:color w:val="000000"/>
          <w:spacing w:val="2"/>
          <w:lang w:val="lt-LT"/>
        </w:rPr>
      </w:pPr>
      <w:r w:rsidRPr="00514245">
        <w:rPr>
          <w:rFonts w:ascii="Times New Roman" w:hAnsi="Times New Roman"/>
          <w:color w:val="000000"/>
          <w:spacing w:val="2"/>
          <w:lang w:val="lt-LT"/>
        </w:rPr>
        <w:t>Vaistų negalima išmesti į kanalizaciją arba su buitinėmis atliekomis. Kaip išmesti nereikalingus vaistus, klauskite vaistininko. Šios priemonės padės apsaugoti aplinką.</w:t>
      </w:r>
    </w:p>
    <w:p w14:paraId="0E02A4A6"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16732D2E"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5B98EC04" w14:textId="77777777" w:rsidR="00E0107B" w:rsidRPr="00514245"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lang w:val="lt-LT"/>
        </w:rPr>
      </w:pPr>
      <w:r w:rsidRPr="00514245">
        <w:rPr>
          <w:rFonts w:ascii="Times New Roman" w:hAnsi="Times New Roman"/>
          <w:b/>
          <w:color w:val="000000"/>
          <w:spacing w:val="2"/>
          <w:lang w:val="lt-LT"/>
        </w:rPr>
        <w:t>Pakuotės turinys ir kita informacija</w:t>
      </w:r>
    </w:p>
    <w:p w14:paraId="14A33909" w14:textId="77777777" w:rsidR="00E0107B" w:rsidRPr="00514245"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lang w:val="lt-LT"/>
        </w:rPr>
      </w:pPr>
    </w:p>
    <w:p w14:paraId="54CFD11B" w14:textId="7E070F9F" w:rsidR="00E0107B" w:rsidRPr="00514245" w:rsidRDefault="00662355" w:rsidP="00F40D37">
      <w:pPr>
        <w:keepNext/>
        <w:tabs>
          <w:tab w:val="left" w:pos="720"/>
        </w:tabs>
        <w:autoSpaceDE w:val="0"/>
        <w:autoSpaceDN w:val="0"/>
        <w:adjustRightInd w:val="0"/>
        <w:spacing w:after="0" w:line="240" w:lineRule="auto"/>
        <w:rPr>
          <w:rFonts w:ascii="Times New Roman" w:eastAsia="Times New Roman" w:hAnsi="Times New Roman"/>
          <w:color w:val="000000"/>
          <w:lang w:val="lt-LT"/>
        </w:rPr>
      </w:pPr>
      <w:r w:rsidRPr="00662355">
        <w:rPr>
          <w:rFonts w:ascii="Times New Roman" w:hAnsi="Times New Roman"/>
          <w:b/>
          <w:color w:val="000000"/>
          <w:lang w:val="lt-LT"/>
        </w:rPr>
        <w:t xml:space="preserve">Vortioxetine </w:t>
      </w:r>
      <w:r w:rsidR="00962664" w:rsidRPr="00514245">
        <w:rPr>
          <w:rFonts w:ascii="Times New Roman" w:hAnsi="Times New Roman"/>
          <w:b/>
          <w:color w:val="000000"/>
          <w:lang w:val="lt-LT"/>
        </w:rPr>
        <w:t>Zentiva</w:t>
      </w:r>
      <w:r w:rsidR="00E0107B" w:rsidRPr="00514245">
        <w:rPr>
          <w:rFonts w:ascii="Times New Roman" w:hAnsi="Times New Roman"/>
          <w:b/>
          <w:color w:val="000000"/>
          <w:lang w:val="lt-LT"/>
        </w:rPr>
        <w:t xml:space="preserve"> sudėtis</w:t>
      </w:r>
    </w:p>
    <w:p w14:paraId="3CB9572C" w14:textId="2ADD3E34" w:rsidR="001C0AD9"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lang w:val="lt-LT"/>
        </w:rPr>
      </w:pPr>
      <w:r w:rsidRPr="00514245">
        <w:rPr>
          <w:rFonts w:ascii="Times New Roman" w:hAnsi="Times New Roman"/>
          <w:color w:val="000000"/>
          <w:spacing w:val="2"/>
          <w:lang w:val="lt-LT"/>
        </w:rPr>
        <w:t>V</w:t>
      </w:r>
      <w:r w:rsidR="00E0107B" w:rsidRPr="00514245">
        <w:rPr>
          <w:rFonts w:ascii="Times New Roman" w:hAnsi="Times New Roman"/>
          <w:color w:val="000000"/>
          <w:spacing w:val="2"/>
          <w:lang w:val="lt-LT"/>
        </w:rPr>
        <w:t xml:space="preserve">eiklioji medžiaga yra </w:t>
      </w:r>
      <w:r w:rsidR="00762F66">
        <w:rPr>
          <w:rFonts w:ascii="Times New Roman" w:hAnsi="Times New Roman"/>
          <w:color w:val="000000"/>
          <w:spacing w:val="2"/>
          <w:lang w:val="lt-LT"/>
        </w:rPr>
        <w:t>vortioksetinas</w:t>
      </w:r>
      <w:r w:rsidRPr="00514245">
        <w:rPr>
          <w:rFonts w:ascii="Times New Roman" w:hAnsi="Times New Roman"/>
          <w:color w:val="000000"/>
          <w:spacing w:val="2"/>
          <w:lang w:val="lt-LT"/>
        </w:rPr>
        <w:t>.</w:t>
      </w:r>
      <w:r w:rsidR="00295388" w:rsidRPr="00514245">
        <w:rPr>
          <w:rFonts w:ascii="Times New Roman" w:eastAsia="Times New Roman" w:hAnsi="Times New Roman"/>
          <w:color w:val="000000"/>
          <w:lang w:val="lt-LT"/>
        </w:rPr>
        <w:t xml:space="preserve"> </w:t>
      </w:r>
    </w:p>
    <w:p w14:paraId="489B1A01" w14:textId="7C5CC62C" w:rsidR="00762F66" w:rsidRPr="00762F66" w:rsidRDefault="00762F66" w:rsidP="00762F66">
      <w:pPr>
        <w:tabs>
          <w:tab w:val="left" w:pos="8505"/>
        </w:tabs>
        <w:spacing w:after="0" w:line="240" w:lineRule="auto"/>
        <w:ind w:left="567"/>
        <w:jc w:val="both"/>
        <w:rPr>
          <w:rFonts w:ascii="Times New Roman" w:hAnsi="Times New Roman"/>
          <w:lang w:val="lt-LT"/>
        </w:rPr>
      </w:pPr>
      <w:r w:rsidRPr="00762F66">
        <w:rPr>
          <w:rFonts w:ascii="Times New Roman" w:hAnsi="Times New Roman"/>
          <w:lang w:val="lt-LT"/>
        </w:rPr>
        <w:t xml:space="preserve">Kiekvienoje plėvele dengtoje tabletėje yra 5 mg </w:t>
      </w:r>
      <w:proofErr w:type="spellStart"/>
      <w:r w:rsidRPr="00762F66">
        <w:rPr>
          <w:rFonts w:ascii="Times New Roman" w:hAnsi="Times New Roman"/>
          <w:lang w:val="lt-LT"/>
        </w:rPr>
        <w:t>vortioksetino</w:t>
      </w:r>
      <w:proofErr w:type="spellEnd"/>
      <w:r w:rsidRPr="00762F66">
        <w:rPr>
          <w:rFonts w:ascii="Times New Roman" w:hAnsi="Times New Roman"/>
          <w:lang w:val="lt-LT"/>
        </w:rPr>
        <w:t xml:space="preserve"> (</w:t>
      </w:r>
      <w:proofErr w:type="spellStart"/>
      <w:r w:rsidRPr="00762F66">
        <w:rPr>
          <w:rFonts w:ascii="Times New Roman" w:hAnsi="Times New Roman"/>
          <w:lang w:val="lt-LT"/>
        </w:rPr>
        <w:t>hidrobromido</w:t>
      </w:r>
      <w:proofErr w:type="spellEnd"/>
      <w:r w:rsidRPr="00762F66">
        <w:rPr>
          <w:rFonts w:ascii="Times New Roman" w:hAnsi="Times New Roman"/>
          <w:lang w:val="lt-LT"/>
        </w:rPr>
        <w:t xml:space="preserve"> pavidalu)</w:t>
      </w:r>
      <w:r>
        <w:rPr>
          <w:rFonts w:ascii="Times New Roman" w:hAnsi="Times New Roman"/>
          <w:lang w:val="lt-LT"/>
        </w:rPr>
        <w:t>.</w:t>
      </w:r>
    </w:p>
    <w:p w14:paraId="0141750E" w14:textId="5BE85DA1" w:rsidR="00762F66" w:rsidRPr="00762F66" w:rsidRDefault="00762F66" w:rsidP="00762F66">
      <w:pPr>
        <w:tabs>
          <w:tab w:val="left" w:pos="8505"/>
        </w:tabs>
        <w:spacing w:after="0" w:line="240" w:lineRule="auto"/>
        <w:ind w:left="567"/>
        <w:jc w:val="both"/>
        <w:rPr>
          <w:rFonts w:ascii="Times New Roman" w:eastAsia="Times New Roman" w:hAnsi="Times New Roman"/>
          <w:b/>
          <w:bCs/>
          <w:highlight w:val="lightGray"/>
          <w:lang w:val="lt-LT" w:bidi="ar-SA"/>
        </w:rPr>
      </w:pPr>
      <w:r w:rsidRPr="00762F66">
        <w:rPr>
          <w:rFonts w:ascii="Times New Roman" w:hAnsi="Times New Roman"/>
          <w:highlight w:val="lightGray"/>
          <w:lang w:val="lt-LT"/>
        </w:rPr>
        <w:t xml:space="preserve">Kiekvienoje plėvele dengtoje tabletėje yra 10 mg </w:t>
      </w:r>
      <w:proofErr w:type="spellStart"/>
      <w:r w:rsidRPr="00762F66">
        <w:rPr>
          <w:rFonts w:ascii="Times New Roman" w:hAnsi="Times New Roman"/>
          <w:highlight w:val="lightGray"/>
          <w:lang w:val="lt-LT"/>
        </w:rPr>
        <w:t>vortioksetino</w:t>
      </w:r>
      <w:proofErr w:type="spellEnd"/>
      <w:r w:rsidRPr="00762F66">
        <w:rPr>
          <w:rFonts w:ascii="Times New Roman" w:hAnsi="Times New Roman"/>
          <w:highlight w:val="lightGray"/>
          <w:lang w:val="lt-LT"/>
        </w:rPr>
        <w:t xml:space="preserve"> (</w:t>
      </w:r>
      <w:proofErr w:type="spellStart"/>
      <w:r w:rsidRPr="00762F66">
        <w:rPr>
          <w:rFonts w:ascii="Times New Roman" w:hAnsi="Times New Roman"/>
          <w:highlight w:val="lightGray"/>
          <w:lang w:val="lt-LT"/>
        </w:rPr>
        <w:t>hidrobromido</w:t>
      </w:r>
      <w:proofErr w:type="spellEnd"/>
      <w:r w:rsidRPr="00762F66">
        <w:rPr>
          <w:rFonts w:ascii="Times New Roman" w:hAnsi="Times New Roman"/>
          <w:highlight w:val="lightGray"/>
          <w:lang w:val="lt-LT"/>
        </w:rPr>
        <w:t xml:space="preserve"> pavidalu)</w:t>
      </w:r>
      <w:r>
        <w:rPr>
          <w:rFonts w:ascii="Times New Roman" w:hAnsi="Times New Roman"/>
          <w:highlight w:val="lightGray"/>
          <w:lang w:val="lt-LT"/>
        </w:rPr>
        <w:t>.</w:t>
      </w:r>
    </w:p>
    <w:p w14:paraId="775D127C" w14:textId="77777777" w:rsidR="00762F66" w:rsidRPr="00514245" w:rsidRDefault="00762F66" w:rsidP="00762F66">
      <w:pPr>
        <w:autoSpaceDE w:val="0"/>
        <w:autoSpaceDN w:val="0"/>
        <w:adjustRightInd w:val="0"/>
        <w:spacing w:after="0" w:line="240" w:lineRule="auto"/>
        <w:ind w:left="567" w:right="1"/>
        <w:rPr>
          <w:rFonts w:ascii="Times New Roman" w:eastAsia="Times New Roman" w:hAnsi="Times New Roman"/>
          <w:color w:val="000000"/>
          <w:lang w:val="lt-LT"/>
        </w:rPr>
      </w:pPr>
    </w:p>
    <w:p w14:paraId="340C8BFA" w14:textId="77777777" w:rsidR="00295388" w:rsidRPr="00BE1F25" w:rsidRDefault="00E0107B" w:rsidP="00F40D37">
      <w:pPr>
        <w:keepNext/>
        <w:numPr>
          <w:ilvl w:val="0"/>
          <w:numId w:val="5"/>
        </w:numPr>
        <w:autoSpaceDE w:val="0"/>
        <w:autoSpaceDN w:val="0"/>
        <w:adjustRightInd w:val="0"/>
        <w:spacing w:after="0" w:line="240" w:lineRule="auto"/>
        <w:ind w:left="567" w:hanging="567"/>
        <w:rPr>
          <w:rFonts w:asciiTheme="majorBidi" w:eastAsia="Times New Roman" w:hAnsiTheme="majorBidi" w:cstheme="majorBidi"/>
          <w:color w:val="000000"/>
          <w:lang w:val="lt-LT"/>
        </w:rPr>
      </w:pPr>
      <w:r w:rsidRPr="00BE1F25">
        <w:rPr>
          <w:rFonts w:asciiTheme="majorBidi" w:hAnsiTheme="majorBidi" w:cstheme="majorBidi"/>
          <w:lang w:val="lt-LT"/>
        </w:rPr>
        <w:t>Pagalbinės medžiagos yra</w:t>
      </w:r>
      <w:r w:rsidR="00295388" w:rsidRPr="00BE1F25">
        <w:rPr>
          <w:rFonts w:asciiTheme="majorBidi" w:hAnsiTheme="majorBidi" w:cstheme="majorBidi"/>
          <w:lang w:val="lt-LT"/>
        </w:rPr>
        <w:t>:</w:t>
      </w:r>
    </w:p>
    <w:p w14:paraId="165DE34E" w14:textId="27C3788D" w:rsidR="00BE1F25" w:rsidRPr="00BE1F25" w:rsidRDefault="0056256A" w:rsidP="00BE1F25">
      <w:pPr>
        <w:keepNext/>
        <w:autoSpaceDE w:val="0"/>
        <w:autoSpaceDN w:val="0"/>
        <w:adjustRightInd w:val="0"/>
        <w:spacing w:after="0" w:line="240" w:lineRule="auto"/>
        <w:ind w:left="567"/>
        <w:rPr>
          <w:rFonts w:asciiTheme="majorBidi" w:hAnsiTheme="majorBidi" w:cstheme="majorBidi"/>
          <w:lang w:val="lt-LT"/>
        </w:rPr>
      </w:pPr>
      <w:r w:rsidRPr="00BE1F25">
        <w:rPr>
          <w:rFonts w:asciiTheme="majorBidi" w:hAnsiTheme="majorBidi" w:cstheme="majorBidi"/>
          <w:bCs/>
          <w:color w:val="000000"/>
          <w:u w:val="single"/>
          <w:lang w:val="lt-LT"/>
        </w:rPr>
        <w:t>Tabletės šerdis:</w:t>
      </w:r>
      <w:r w:rsidR="00BE1F25" w:rsidRPr="00BE1F25">
        <w:rPr>
          <w:rFonts w:asciiTheme="majorBidi" w:hAnsiTheme="majorBidi" w:cstheme="majorBidi"/>
          <w:bCs/>
          <w:color w:val="000000"/>
          <w:lang w:val="lt-LT"/>
        </w:rPr>
        <w:t xml:space="preserve"> </w:t>
      </w:r>
      <w:proofErr w:type="spellStart"/>
      <w:r w:rsidR="00BE1F25" w:rsidRPr="00BE1F25">
        <w:rPr>
          <w:rFonts w:asciiTheme="majorBidi" w:hAnsiTheme="majorBidi" w:cstheme="majorBidi"/>
          <w:bCs/>
          <w:color w:val="000000"/>
          <w:lang w:val="lt-LT"/>
        </w:rPr>
        <w:t>m</w:t>
      </w:r>
      <w:r w:rsidR="00BE1F25" w:rsidRPr="00BE1F25">
        <w:rPr>
          <w:rFonts w:asciiTheme="majorBidi" w:hAnsiTheme="majorBidi" w:cstheme="majorBidi"/>
          <w:lang w:val="lt-LT"/>
        </w:rPr>
        <w:t>anitolis</w:t>
      </w:r>
      <w:proofErr w:type="spellEnd"/>
      <w:r w:rsidR="00BE1F25" w:rsidRPr="00BE1F25">
        <w:rPr>
          <w:rFonts w:asciiTheme="majorBidi" w:hAnsiTheme="majorBidi" w:cstheme="majorBidi"/>
          <w:lang w:val="lt-LT"/>
        </w:rPr>
        <w:t xml:space="preserve"> (E421), </w:t>
      </w:r>
      <w:proofErr w:type="spellStart"/>
      <w:r w:rsidR="00BE1F25" w:rsidRPr="00BE1F25">
        <w:rPr>
          <w:rFonts w:asciiTheme="majorBidi" w:hAnsiTheme="majorBidi" w:cstheme="majorBidi"/>
          <w:lang w:val="lt-LT"/>
        </w:rPr>
        <w:t>mikrokristalinė</w:t>
      </w:r>
      <w:proofErr w:type="spellEnd"/>
      <w:r w:rsidR="00BE1F25" w:rsidRPr="00BE1F25">
        <w:rPr>
          <w:rFonts w:asciiTheme="majorBidi" w:hAnsiTheme="majorBidi" w:cstheme="majorBidi"/>
          <w:lang w:val="lt-LT"/>
        </w:rPr>
        <w:t xml:space="preserve"> celiuliozė, </w:t>
      </w:r>
      <w:proofErr w:type="spellStart"/>
      <w:r w:rsidR="00BE1F25" w:rsidRPr="00BE1F25">
        <w:rPr>
          <w:rFonts w:asciiTheme="majorBidi" w:hAnsiTheme="majorBidi" w:cstheme="majorBidi"/>
          <w:lang w:val="lt-LT"/>
        </w:rPr>
        <w:t>hidroksipropilceliuliozė</w:t>
      </w:r>
      <w:proofErr w:type="spellEnd"/>
      <w:r w:rsidR="00BE1F25" w:rsidRPr="00BE1F25">
        <w:rPr>
          <w:rFonts w:asciiTheme="majorBidi" w:hAnsiTheme="majorBidi" w:cstheme="majorBidi"/>
          <w:lang w:val="lt-LT"/>
        </w:rPr>
        <w:t xml:space="preserve">, </w:t>
      </w:r>
      <w:proofErr w:type="spellStart"/>
      <w:r w:rsidR="00BE1F25">
        <w:rPr>
          <w:rFonts w:asciiTheme="majorBidi" w:hAnsiTheme="majorBidi" w:cstheme="majorBidi"/>
          <w:lang w:val="lt-LT"/>
        </w:rPr>
        <w:t>k</w:t>
      </w:r>
      <w:r w:rsidR="00BE1F25" w:rsidRPr="00BE1F25">
        <w:rPr>
          <w:rFonts w:asciiTheme="majorBidi" w:hAnsiTheme="majorBidi" w:cstheme="majorBidi"/>
          <w:lang w:val="lt-LT"/>
        </w:rPr>
        <w:t>arboksimetilkrakmolo</w:t>
      </w:r>
      <w:proofErr w:type="spellEnd"/>
      <w:r w:rsidR="00BE1F25" w:rsidRPr="00BE1F25">
        <w:rPr>
          <w:rFonts w:asciiTheme="majorBidi" w:hAnsiTheme="majorBidi" w:cstheme="majorBidi"/>
          <w:lang w:val="lt-LT"/>
        </w:rPr>
        <w:t xml:space="preserve"> A natrio druska</w:t>
      </w:r>
      <w:r w:rsidR="00BE1F25">
        <w:rPr>
          <w:rFonts w:asciiTheme="majorBidi" w:hAnsiTheme="majorBidi" w:cstheme="majorBidi"/>
          <w:lang w:val="lt-LT"/>
        </w:rPr>
        <w:t>, m</w:t>
      </w:r>
      <w:r w:rsidR="00BE1F25" w:rsidRPr="00BE1F25">
        <w:rPr>
          <w:rFonts w:asciiTheme="majorBidi" w:hAnsiTheme="majorBidi" w:cstheme="majorBidi"/>
          <w:lang w:val="lt-LT"/>
        </w:rPr>
        <w:t xml:space="preserve">agnio </w:t>
      </w:r>
      <w:proofErr w:type="spellStart"/>
      <w:r w:rsidR="00BE1F25" w:rsidRPr="00BE1F25">
        <w:rPr>
          <w:rFonts w:asciiTheme="majorBidi" w:hAnsiTheme="majorBidi" w:cstheme="majorBidi"/>
          <w:lang w:val="lt-LT"/>
        </w:rPr>
        <w:t>stearatas</w:t>
      </w:r>
      <w:proofErr w:type="spellEnd"/>
      <w:r w:rsidR="00BE1F25">
        <w:rPr>
          <w:rFonts w:asciiTheme="majorBidi" w:hAnsiTheme="majorBidi" w:cstheme="majorBidi"/>
          <w:lang w:val="lt-LT"/>
        </w:rPr>
        <w:t xml:space="preserve">, </w:t>
      </w:r>
      <w:proofErr w:type="spellStart"/>
      <w:r w:rsidR="00BE1F25">
        <w:rPr>
          <w:rFonts w:asciiTheme="majorBidi" w:hAnsiTheme="majorBidi" w:cstheme="majorBidi"/>
          <w:lang w:val="lt-LT"/>
        </w:rPr>
        <w:t>a</w:t>
      </w:r>
      <w:r w:rsidR="00BE1F25" w:rsidRPr="00BE1F25">
        <w:rPr>
          <w:rFonts w:asciiTheme="majorBidi" w:hAnsiTheme="majorBidi" w:cstheme="majorBidi"/>
          <w:lang w:val="lt-LT"/>
        </w:rPr>
        <w:t>skorbo</w:t>
      </w:r>
      <w:proofErr w:type="spellEnd"/>
      <w:r w:rsidR="00BE1F25" w:rsidRPr="00BE1F25">
        <w:rPr>
          <w:rFonts w:asciiTheme="majorBidi" w:hAnsiTheme="majorBidi" w:cstheme="majorBidi"/>
          <w:lang w:val="lt-LT"/>
        </w:rPr>
        <w:t xml:space="preserve"> rūgštis</w:t>
      </w:r>
      <w:r w:rsidR="00BE1F25">
        <w:rPr>
          <w:rFonts w:asciiTheme="majorBidi" w:hAnsiTheme="majorBidi" w:cstheme="majorBidi"/>
          <w:lang w:val="lt-LT"/>
        </w:rPr>
        <w:t>, c</w:t>
      </w:r>
      <w:r w:rsidR="00BE1F25" w:rsidRPr="00BE1F25">
        <w:rPr>
          <w:rFonts w:asciiTheme="majorBidi" w:hAnsiTheme="majorBidi" w:cstheme="majorBidi"/>
          <w:lang w:val="lt-LT"/>
        </w:rPr>
        <w:t>itrinos rūgštis</w:t>
      </w:r>
      <w:r w:rsidR="00BE1F25">
        <w:rPr>
          <w:rFonts w:asciiTheme="majorBidi" w:hAnsiTheme="majorBidi" w:cstheme="majorBidi"/>
          <w:lang w:val="lt-LT"/>
        </w:rPr>
        <w:t>.</w:t>
      </w:r>
    </w:p>
    <w:p w14:paraId="5DB47F21" w14:textId="275AE37D" w:rsidR="00BE1F25" w:rsidRDefault="00BE1F25" w:rsidP="00BE1F25">
      <w:pPr>
        <w:widowControl w:val="0"/>
        <w:tabs>
          <w:tab w:val="left" w:pos="9240"/>
          <w:tab w:val="left" w:pos="9270"/>
        </w:tabs>
        <w:autoSpaceDE w:val="0"/>
        <w:autoSpaceDN w:val="0"/>
        <w:adjustRightInd w:val="0"/>
        <w:spacing w:after="0" w:line="240" w:lineRule="auto"/>
        <w:ind w:left="567"/>
        <w:rPr>
          <w:rFonts w:ascii="Times New Roman" w:eastAsia="Times New Roman" w:hAnsi="Times New Roman"/>
          <w:lang w:val="lt-LT"/>
        </w:rPr>
      </w:pPr>
      <w:r w:rsidRPr="00BE1F25">
        <w:rPr>
          <w:rFonts w:ascii="Times New Roman" w:eastAsia="Times New Roman" w:hAnsi="Times New Roman"/>
          <w:spacing w:val="1"/>
          <w:u w:val="single"/>
          <w:lang w:val="lt-LT"/>
        </w:rPr>
        <w:t>Tabletės plėvelė</w:t>
      </w:r>
      <w:r>
        <w:rPr>
          <w:rFonts w:ascii="Times New Roman" w:eastAsia="Times New Roman" w:hAnsi="Times New Roman"/>
          <w:spacing w:val="1"/>
          <w:u w:val="single"/>
          <w:lang w:val="lt-LT"/>
        </w:rPr>
        <w:t>:</w:t>
      </w:r>
      <w:r w:rsidRPr="00BE1F25">
        <w:rPr>
          <w:rFonts w:ascii="Times New Roman" w:eastAsia="Times New Roman" w:hAnsi="Times New Roman"/>
          <w:spacing w:val="1"/>
          <w:lang w:val="lt-LT"/>
        </w:rPr>
        <w:t xml:space="preserve"> </w:t>
      </w:r>
      <w:proofErr w:type="spellStart"/>
      <w:r>
        <w:rPr>
          <w:rFonts w:ascii="Times New Roman" w:hAnsi="Times New Roman"/>
          <w:lang w:val="lt-LT"/>
        </w:rPr>
        <w:t>h</w:t>
      </w:r>
      <w:r w:rsidRPr="00514245">
        <w:rPr>
          <w:rFonts w:ascii="Times New Roman" w:hAnsi="Times New Roman"/>
          <w:lang w:val="lt-LT"/>
        </w:rPr>
        <w:t>ipromeliozė</w:t>
      </w:r>
      <w:proofErr w:type="spellEnd"/>
      <w:r>
        <w:rPr>
          <w:rFonts w:ascii="Times New Roman" w:hAnsi="Times New Roman"/>
          <w:lang w:val="lt-LT"/>
        </w:rPr>
        <w:t xml:space="preserve">, </w:t>
      </w:r>
      <w:proofErr w:type="spellStart"/>
      <w:r>
        <w:rPr>
          <w:rFonts w:ascii="Times New Roman" w:hAnsi="Times New Roman"/>
          <w:lang w:val="lt-LT"/>
        </w:rPr>
        <w:t>m</w:t>
      </w:r>
      <w:r w:rsidRPr="00514245">
        <w:rPr>
          <w:rFonts w:ascii="Times New Roman" w:eastAsia="Times New Roman" w:hAnsi="Times New Roman"/>
          <w:lang w:val="lt-LT"/>
        </w:rPr>
        <w:t>akrogolis</w:t>
      </w:r>
      <w:proofErr w:type="spellEnd"/>
      <w:r w:rsidRPr="00514245">
        <w:rPr>
          <w:rFonts w:ascii="Times New Roman" w:eastAsia="Times New Roman" w:hAnsi="Times New Roman"/>
          <w:lang w:val="lt-LT"/>
        </w:rPr>
        <w:t xml:space="preserve"> </w:t>
      </w:r>
      <w:r w:rsidRPr="00EF14BD">
        <w:rPr>
          <w:rFonts w:ascii="Times New Roman" w:hAnsi="Times New Roman"/>
          <w:lang w:val="lt-LT"/>
        </w:rPr>
        <w:t>6000</w:t>
      </w:r>
      <w:r>
        <w:rPr>
          <w:rFonts w:ascii="Times New Roman" w:hAnsi="Times New Roman"/>
          <w:lang w:val="lt-LT"/>
        </w:rPr>
        <w:t>, t</w:t>
      </w:r>
      <w:r w:rsidRPr="00514245">
        <w:rPr>
          <w:rFonts w:ascii="Times New Roman" w:eastAsia="Times New Roman" w:hAnsi="Times New Roman"/>
          <w:lang w:val="lt-LT"/>
        </w:rPr>
        <w:t>alkas</w:t>
      </w:r>
    </w:p>
    <w:p w14:paraId="02983E08" w14:textId="0028B171" w:rsidR="00BE1F25" w:rsidRPr="00514245" w:rsidRDefault="00BE1F25" w:rsidP="00BE1F25">
      <w:pPr>
        <w:widowControl w:val="0"/>
        <w:autoSpaceDE w:val="0"/>
        <w:autoSpaceDN w:val="0"/>
        <w:adjustRightInd w:val="0"/>
        <w:spacing w:after="0" w:line="240" w:lineRule="auto"/>
        <w:ind w:left="567"/>
        <w:rPr>
          <w:rFonts w:ascii="Times New Roman" w:eastAsia="Times New Roman" w:hAnsi="Times New Roman"/>
          <w:lang w:val="lt-LT"/>
        </w:rPr>
      </w:pPr>
      <w:r w:rsidRPr="00BE1F25">
        <w:rPr>
          <w:rFonts w:ascii="Times New Roman" w:hAnsi="Times New Roman"/>
          <w:lang w:val="lt-LT"/>
        </w:rPr>
        <w:t xml:space="preserve">Vortioxetine Zentiva 5 mg </w:t>
      </w:r>
      <w:r>
        <w:rPr>
          <w:rFonts w:ascii="Times New Roman" w:hAnsi="Times New Roman"/>
          <w:lang w:val="lt-LT"/>
        </w:rPr>
        <w:t xml:space="preserve">sudėtyje taip pat yra: </w:t>
      </w:r>
      <w:r>
        <w:rPr>
          <w:rFonts w:ascii="Times New Roman" w:eastAsia="Times New Roman" w:hAnsi="Times New Roman"/>
          <w:lang w:val="lt-LT"/>
        </w:rPr>
        <w:t xml:space="preserve">laktozė </w:t>
      </w:r>
      <w:proofErr w:type="spellStart"/>
      <w:r>
        <w:rPr>
          <w:rFonts w:ascii="Times New Roman" w:eastAsia="Times New Roman" w:hAnsi="Times New Roman"/>
          <w:lang w:val="lt-LT"/>
        </w:rPr>
        <w:t>monohidratas</w:t>
      </w:r>
      <w:proofErr w:type="spellEnd"/>
      <w:r>
        <w:rPr>
          <w:rFonts w:ascii="Times New Roman" w:eastAsia="Times New Roman" w:hAnsi="Times New Roman"/>
          <w:lang w:val="lt-LT"/>
        </w:rPr>
        <w:t>,</w:t>
      </w:r>
      <w:r w:rsidRPr="00BE1F25">
        <w:rPr>
          <w:rFonts w:ascii="Times New Roman" w:eastAsia="Times New Roman" w:hAnsi="Times New Roman"/>
          <w:lang w:val="lt-LT"/>
        </w:rPr>
        <w:t xml:space="preserve"> </w:t>
      </w:r>
      <w:r>
        <w:rPr>
          <w:rFonts w:ascii="Times New Roman" w:eastAsia="Times New Roman" w:hAnsi="Times New Roman"/>
          <w:lang w:val="lt-LT"/>
        </w:rPr>
        <w:t>ge</w:t>
      </w:r>
      <w:r w:rsidRPr="00514245">
        <w:rPr>
          <w:rFonts w:ascii="Times New Roman" w:eastAsia="Times New Roman" w:hAnsi="Times New Roman"/>
          <w:lang w:val="lt-LT"/>
        </w:rPr>
        <w:t>ltonasis geležies oksidas (E172)</w:t>
      </w:r>
    </w:p>
    <w:p w14:paraId="7BC2A511" w14:textId="72D1FC3C" w:rsidR="00BE1F25" w:rsidRPr="00514245" w:rsidRDefault="00BE1F25" w:rsidP="00BE1F25">
      <w:pPr>
        <w:widowControl w:val="0"/>
        <w:autoSpaceDE w:val="0"/>
        <w:autoSpaceDN w:val="0"/>
        <w:adjustRightInd w:val="0"/>
        <w:spacing w:after="0" w:line="240" w:lineRule="auto"/>
        <w:ind w:left="567"/>
        <w:rPr>
          <w:rFonts w:ascii="Times New Roman" w:eastAsia="Times New Roman" w:hAnsi="Times New Roman"/>
          <w:lang w:val="lt-LT"/>
        </w:rPr>
      </w:pPr>
      <w:r w:rsidRPr="00BE1F25">
        <w:rPr>
          <w:rFonts w:ascii="Times New Roman" w:hAnsi="Times New Roman"/>
          <w:lang w:val="lt-LT"/>
        </w:rPr>
        <w:t xml:space="preserve">Vortioxetine Zentiva 10 mg </w:t>
      </w:r>
      <w:r>
        <w:rPr>
          <w:rFonts w:ascii="Times New Roman" w:hAnsi="Times New Roman"/>
          <w:lang w:val="lt-LT"/>
        </w:rPr>
        <w:t>sudėtyje taip pat yra:</w:t>
      </w:r>
      <w:r w:rsidRPr="00BE1F25">
        <w:rPr>
          <w:rFonts w:ascii="Times New Roman" w:eastAsia="Times New Roman" w:hAnsi="Times New Roman"/>
          <w:lang w:val="lt-LT"/>
        </w:rPr>
        <w:t xml:space="preserve"> </w:t>
      </w:r>
      <w:r>
        <w:rPr>
          <w:rFonts w:ascii="Times New Roman" w:eastAsia="Times New Roman" w:hAnsi="Times New Roman"/>
          <w:lang w:val="lt-LT"/>
        </w:rPr>
        <w:t>raudonasis</w:t>
      </w:r>
      <w:r w:rsidRPr="00514245">
        <w:rPr>
          <w:rFonts w:ascii="Times New Roman" w:eastAsia="Times New Roman" w:hAnsi="Times New Roman"/>
          <w:lang w:val="lt-LT"/>
        </w:rPr>
        <w:t xml:space="preserve"> geležies oksidas (E172)</w:t>
      </w:r>
    </w:p>
    <w:p w14:paraId="74575D9D" w14:textId="77777777" w:rsidR="00BE1F25" w:rsidRPr="00514245" w:rsidRDefault="00BE1F25" w:rsidP="00F40D37">
      <w:pPr>
        <w:keepNext/>
        <w:autoSpaceDE w:val="0"/>
        <w:autoSpaceDN w:val="0"/>
        <w:adjustRightInd w:val="0"/>
        <w:spacing w:after="0" w:line="240" w:lineRule="auto"/>
        <w:rPr>
          <w:rFonts w:ascii="Times New Roman" w:hAnsi="Times New Roman"/>
          <w:bCs/>
          <w:color w:val="000000"/>
          <w:lang w:val="lt-LT"/>
        </w:rPr>
      </w:pPr>
    </w:p>
    <w:p w14:paraId="7DD27C4E" w14:textId="3B96DCE6" w:rsidR="00E0107B" w:rsidRDefault="00662355" w:rsidP="00F40D37">
      <w:pPr>
        <w:keepNext/>
        <w:autoSpaceDE w:val="0"/>
        <w:autoSpaceDN w:val="0"/>
        <w:adjustRightInd w:val="0"/>
        <w:spacing w:after="0" w:line="240" w:lineRule="auto"/>
        <w:rPr>
          <w:rFonts w:ascii="Times New Roman" w:hAnsi="Times New Roman"/>
          <w:b/>
          <w:color w:val="000000"/>
          <w:lang w:val="lt-LT"/>
        </w:rPr>
      </w:pPr>
      <w:r w:rsidRPr="00662355">
        <w:rPr>
          <w:rFonts w:ascii="Times New Roman" w:hAnsi="Times New Roman"/>
          <w:b/>
          <w:color w:val="000000"/>
          <w:lang w:val="lt-LT"/>
        </w:rPr>
        <w:t xml:space="preserve">Vortioxetine </w:t>
      </w:r>
      <w:r w:rsidR="00962664" w:rsidRPr="00514245">
        <w:rPr>
          <w:rFonts w:ascii="Times New Roman" w:hAnsi="Times New Roman"/>
          <w:b/>
          <w:color w:val="000000"/>
          <w:lang w:val="lt-LT"/>
        </w:rPr>
        <w:t>Zentiva</w:t>
      </w:r>
      <w:r w:rsidR="00E0107B" w:rsidRPr="00514245">
        <w:rPr>
          <w:rFonts w:ascii="Times New Roman" w:hAnsi="Times New Roman"/>
          <w:b/>
          <w:color w:val="000000"/>
          <w:lang w:val="lt-LT"/>
        </w:rPr>
        <w:t xml:space="preserve"> išvaizda ir kiekis pakuotėje</w:t>
      </w:r>
    </w:p>
    <w:p w14:paraId="5C120666" w14:textId="77777777" w:rsidR="00A11E33" w:rsidRPr="00514245" w:rsidRDefault="00A11E33" w:rsidP="00F40D37">
      <w:pPr>
        <w:keepNext/>
        <w:autoSpaceDE w:val="0"/>
        <w:autoSpaceDN w:val="0"/>
        <w:adjustRightInd w:val="0"/>
        <w:spacing w:after="0" w:line="240" w:lineRule="auto"/>
        <w:rPr>
          <w:rFonts w:ascii="Times New Roman" w:eastAsia="Times New Roman" w:hAnsi="Times New Roman"/>
          <w:color w:val="000000"/>
          <w:lang w:val="lt-LT"/>
        </w:rPr>
      </w:pPr>
    </w:p>
    <w:p w14:paraId="10811F68" w14:textId="30BA1BEE" w:rsidR="00A11E33" w:rsidRPr="00A11E33" w:rsidRDefault="00A11E33" w:rsidP="00A11E33">
      <w:pPr>
        <w:spacing w:after="0" w:line="240" w:lineRule="auto"/>
        <w:rPr>
          <w:rFonts w:ascii="Times New Roman" w:eastAsia="Times New Roman" w:hAnsi="Times New Roman"/>
          <w:lang w:val="lt-LT"/>
        </w:rPr>
      </w:pPr>
      <w:r w:rsidRPr="00A11E33">
        <w:rPr>
          <w:rFonts w:ascii="Times New Roman" w:hAnsi="Times New Roman"/>
          <w:lang w:val="lt-LT"/>
        </w:rPr>
        <w:t xml:space="preserve">Vortioxetine Zentiva </w:t>
      </w:r>
      <w:r w:rsidRPr="00A11E33">
        <w:rPr>
          <w:rFonts w:ascii="Times New Roman" w:eastAsia="Times New Roman" w:hAnsi="Times New Roman"/>
          <w:lang w:val="lt-LT"/>
        </w:rPr>
        <w:t>5 mg</w:t>
      </w:r>
      <w:r>
        <w:rPr>
          <w:rFonts w:ascii="Times New Roman" w:eastAsia="Times New Roman" w:hAnsi="Times New Roman"/>
          <w:lang w:val="lt-LT"/>
        </w:rPr>
        <w:t>: t</w:t>
      </w:r>
      <w:r w:rsidRPr="00A11E33">
        <w:rPr>
          <w:rFonts w:ascii="Times New Roman" w:eastAsia="Times New Roman" w:hAnsi="Times New Roman"/>
          <w:lang w:val="lt-LT"/>
        </w:rPr>
        <w:t>amsiai geltona, apvali, abipus išgaubta plėvele dengta tabletė, apytiksliai 5,5 mm skersmens.</w:t>
      </w:r>
    </w:p>
    <w:p w14:paraId="107ECE88" w14:textId="226C27BF" w:rsidR="00A11E33" w:rsidRPr="00A11E33" w:rsidRDefault="00A11E33" w:rsidP="00A11E33">
      <w:pPr>
        <w:spacing w:after="0" w:line="240" w:lineRule="auto"/>
        <w:rPr>
          <w:rFonts w:ascii="Times New Roman" w:eastAsia="Times New Roman" w:hAnsi="Times New Roman"/>
          <w:highlight w:val="lightGray"/>
          <w:lang w:val="lt-LT"/>
        </w:rPr>
      </w:pPr>
      <w:r w:rsidRPr="00A11E33">
        <w:rPr>
          <w:rFonts w:ascii="Times New Roman" w:hAnsi="Times New Roman"/>
          <w:highlight w:val="lightGray"/>
          <w:lang w:val="lt-LT"/>
        </w:rPr>
        <w:t>Vortioxetine Zentiva 10</w:t>
      </w:r>
      <w:r w:rsidRPr="00A11E33">
        <w:rPr>
          <w:rFonts w:ascii="Times New Roman" w:eastAsia="Times New Roman" w:hAnsi="Times New Roman"/>
          <w:highlight w:val="lightGray"/>
          <w:lang w:val="lt-LT"/>
        </w:rPr>
        <w:t> mg: rausvai oranžinė, apvali, abipus išgaubta plėvele dengta tabletė, apytiksliai 7,0 mm skersmens su įspausta „Z“ vienos pusės viduryje.</w:t>
      </w:r>
    </w:p>
    <w:p w14:paraId="1BBCAED3" w14:textId="308B959E" w:rsidR="0056256A" w:rsidRPr="00514245" w:rsidRDefault="0056256A" w:rsidP="00E0107B">
      <w:pPr>
        <w:widowControl w:val="0"/>
        <w:autoSpaceDE w:val="0"/>
        <w:autoSpaceDN w:val="0"/>
        <w:adjustRightInd w:val="0"/>
        <w:spacing w:after="0" w:line="240" w:lineRule="auto"/>
        <w:ind w:right="1"/>
        <w:rPr>
          <w:rFonts w:ascii="Times New Roman" w:hAnsi="Times New Roman"/>
          <w:lang w:val="lt-LT"/>
        </w:rPr>
      </w:pPr>
    </w:p>
    <w:p w14:paraId="51D7B99D" w14:textId="77777777" w:rsidR="00A11E33" w:rsidRPr="00514245" w:rsidRDefault="00A11E33" w:rsidP="00A11E33">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eastAsia="Times New Roman" w:hAnsi="Times New Roman"/>
          <w:lang w:val="lt-LT"/>
        </w:rPr>
        <w:t>Pakuotės dydžiai: 1</w:t>
      </w:r>
      <w:r w:rsidRPr="00273828">
        <w:rPr>
          <w:rFonts w:ascii="Times New Roman" w:eastAsia="Times New Roman" w:hAnsi="Times New Roman"/>
          <w:lang w:val="lt-LT"/>
        </w:rPr>
        <w:t>4</w:t>
      </w:r>
      <w:r w:rsidRPr="00514245">
        <w:rPr>
          <w:rFonts w:ascii="Times New Roman" w:eastAsia="Times New Roman" w:hAnsi="Times New Roman"/>
          <w:lang w:val="lt-LT"/>
        </w:rPr>
        <w:t>, 2</w:t>
      </w:r>
      <w:r>
        <w:rPr>
          <w:rFonts w:ascii="Times New Roman" w:eastAsia="Times New Roman" w:hAnsi="Times New Roman"/>
          <w:lang w:val="lt-LT"/>
        </w:rPr>
        <w:t>8</w:t>
      </w:r>
      <w:r w:rsidRPr="00514245">
        <w:rPr>
          <w:rFonts w:ascii="Times New Roman" w:eastAsia="Times New Roman" w:hAnsi="Times New Roman"/>
          <w:lang w:val="lt-LT"/>
        </w:rPr>
        <w:t xml:space="preserve">, 56 arba </w:t>
      </w:r>
      <w:r>
        <w:rPr>
          <w:rFonts w:ascii="Times New Roman" w:eastAsia="Times New Roman" w:hAnsi="Times New Roman"/>
          <w:lang w:val="lt-LT"/>
        </w:rPr>
        <w:t>98</w:t>
      </w:r>
      <w:r w:rsidRPr="00514245">
        <w:rPr>
          <w:rFonts w:ascii="Times New Roman" w:eastAsia="Times New Roman" w:hAnsi="Times New Roman"/>
          <w:lang w:val="lt-LT"/>
        </w:rPr>
        <w:t xml:space="preserve"> </w:t>
      </w:r>
      <w:r>
        <w:rPr>
          <w:rFonts w:ascii="Times New Roman" w:eastAsia="Times New Roman" w:hAnsi="Times New Roman"/>
          <w:lang w:val="lt-LT"/>
        </w:rPr>
        <w:t>plėvele dengtos</w:t>
      </w:r>
      <w:r w:rsidRPr="00514245">
        <w:rPr>
          <w:rFonts w:ascii="Times New Roman" w:eastAsia="Times New Roman" w:hAnsi="Times New Roman"/>
          <w:lang w:val="lt-LT"/>
        </w:rPr>
        <w:t xml:space="preserve"> table</w:t>
      </w:r>
      <w:r>
        <w:rPr>
          <w:rFonts w:ascii="Times New Roman" w:eastAsia="Times New Roman" w:hAnsi="Times New Roman"/>
          <w:lang w:val="lt-LT"/>
        </w:rPr>
        <w:t>tės</w:t>
      </w:r>
      <w:r w:rsidRPr="00514245">
        <w:rPr>
          <w:rFonts w:ascii="Times New Roman" w:eastAsia="Times New Roman" w:hAnsi="Times New Roman"/>
          <w:lang w:val="lt-LT"/>
        </w:rPr>
        <w:t>.</w:t>
      </w:r>
    </w:p>
    <w:p w14:paraId="5BF8A708" w14:textId="77777777" w:rsidR="00A11E33" w:rsidRPr="00514245" w:rsidRDefault="00A11E33" w:rsidP="00A11E33">
      <w:pPr>
        <w:widowControl w:val="0"/>
        <w:autoSpaceDE w:val="0"/>
        <w:autoSpaceDN w:val="0"/>
        <w:adjustRightInd w:val="0"/>
        <w:spacing w:after="0" w:line="240" w:lineRule="auto"/>
        <w:rPr>
          <w:rFonts w:ascii="Times New Roman" w:eastAsia="Times New Roman" w:hAnsi="Times New Roman"/>
          <w:lang w:val="lt-LT"/>
        </w:rPr>
      </w:pPr>
    </w:p>
    <w:p w14:paraId="6D2CC66E" w14:textId="77777777" w:rsidR="00A11E33" w:rsidRPr="00514245" w:rsidRDefault="00A11E33" w:rsidP="00A11E33">
      <w:pPr>
        <w:widowControl w:val="0"/>
        <w:autoSpaceDE w:val="0"/>
        <w:autoSpaceDN w:val="0"/>
        <w:adjustRightInd w:val="0"/>
        <w:spacing w:after="0" w:line="240" w:lineRule="auto"/>
        <w:rPr>
          <w:rFonts w:ascii="Times New Roman" w:eastAsia="Times New Roman" w:hAnsi="Times New Roman"/>
          <w:lang w:val="lt-LT"/>
        </w:rPr>
      </w:pPr>
      <w:r w:rsidRPr="00514245">
        <w:rPr>
          <w:rFonts w:ascii="Times New Roman" w:hAnsi="Times New Roman"/>
          <w:spacing w:val="-1"/>
          <w:lang w:val="lt-LT"/>
        </w:rPr>
        <w:t>Gali būti tiekiamos ne visų dydžių pakuotės.</w:t>
      </w:r>
    </w:p>
    <w:p w14:paraId="089DEBC4" w14:textId="77777777" w:rsidR="00E0107B" w:rsidRPr="00514245" w:rsidRDefault="00E0107B" w:rsidP="00E0107B">
      <w:pPr>
        <w:widowControl w:val="0"/>
        <w:autoSpaceDE w:val="0"/>
        <w:autoSpaceDN w:val="0"/>
        <w:adjustRightInd w:val="0"/>
        <w:spacing w:after="0" w:line="240" w:lineRule="auto"/>
        <w:ind w:right="1"/>
        <w:rPr>
          <w:rFonts w:ascii="Times New Roman" w:eastAsia="Times New Roman" w:hAnsi="Times New Roman"/>
          <w:color w:val="000000"/>
          <w:lang w:val="lt-LT"/>
        </w:rPr>
      </w:pPr>
    </w:p>
    <w:p w14:paraId="2D6A82B0" w14:textId="77777777" w:rsidR="00E0107B" w:rsidRPr="00514245"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val="lt-LT" w:bidi="ar-SA"/>
        </w:rPr>
      </w:pPr>
      <w:r w:rsidRPr="00514245">
        <w:rPr>
          <w:rFonts w:ascii="Times New Roman" w:eastAsia="Times New Roman" w:hAnsi="Times New Roman"/>
          <w:b/>
          <w:bCs/>
          <w:snapToGrid w:val="0"/>
          <w:lang w:val="lt-LT" w:bidi="ar-SA"/>
        </w:rPr>
        <w:t>Registruotojas ir gamintojas</w:t>
      </w:r>
    </w:p>
    <w:p w14:paraId="139729AD" w14:textId="77777777" w:rsidR="00E0107B" w:rsidRPr="00514245" w:rsidRDefault="00E0107B" w:rsidP="00F40D37">
      <w:pPr>
        <w:keepNext/>
        <w:spacing w:after="0" w:line="240" w:lineRule="auto"/>
        <w:ind w:right="1"/>
        <w:rPr>
          <w:rFonts w:ascii="Times New Roman" w:eastAsia="Times New Roman" w:hAnsi="Times New Roman"/>
          <w:b/>
          <w:i/>
          <w:iCs/>
          <w:snapToGrid w:val="0"/>
          <w:lang w:val="lt-LT" w:eastAsia="en-US" w:bidi="ar-SA"/>
        </w:rPr>
      </w:pPr>
      <w:r w:rsidRPr="00514245">
        <w:rPr>
          <w:rFonts w:ascii="Times New Roman" w:eastAsia="Times New Roman" w:hAnsi="Times New Roman"/>
          <w:i/>
          <w:iCs/>
          <w:snapToGrid w:val="0"/>
          <w:lang w:val="lt-LT" w:eastAsia="en-US" w:bidi="ar-SA"/>
        </w:rPr>
        <w:t>Registruotojas</w:t>
      </w:r>
    </w:p>
    <w:p w14:paraId="62F63CDD" w14:textId="77777777" w:rsidR="00856D2B" w:rsidRPr="00514245" w:rsidRDefault="00856D2B" w:rsidP="00F40D37">
      <w:pPr>
        <w:keepNext/>
        <w:spacing w:after="0" w:line="240" w:lineRule="auto"/>
        <w:rPr>
          <w:rFonts w:ascii="Times New Roman" w:eastAsia="Times New Roman" w:hAnsi="Times New Roman"/>
          <w:color w:val="000000"/>
          <w:lang w:val="lt-LT"/>
        </w:rPr>
      </w:pPr>
      <w:proofErr w:type="spellStart"/>
      <w:r w:rsidRPr="00514245">
        <w:rPr>
          <w:rFonts w:ascii="Times New Roman" w:eastAsia="Times New Roman" w:hAnsi="Times New Roman"/>
          <w:color w:val="000000"/>
          <w:lang w:val="lt-LT"/>
        </w:rPr>
        <w:t>Zentiva</w:t>
      </w:r>
      <w:proofErr w:type="spellEnd"/>
      <w:r w:rsidRPr="00514245">
        <w:rPr>
          <w:rFonts w:ascii="Times New Roman" w:eastAsia="Times New Roman" w:hAnsi="Times New Roman"/>
          <w:color w:val="000000"/>
          <w:lang w:val="lt-LT"/>
        </w:rPr>
        <w:t xml:space="preserve">, </w:t>
      </w:r>
      <w:proofErr w:type="spellStart"/>
      <w:r w:rsidRPr="00514245">
        <w:rPr>
          <w:rFonts w:ascii="Times New Roman" w:eastAsia="Times New Roman" w:hAnsi="Times New Roman"/>
          <w:color w:val="000000"/>
          <w:lang w:val="lt-LT"/>
        </w:rPr>
        <w:t>k.s</w:t>
      </w:r>
      <w:proofErr w:type="spellEnd"/>
      <w:r w:rsidRPr="00514245">
        <w:rPr>
          <w:rFonts w:ascii="Times New Roman" w:eastAsia="Times New Roman" w:hAnsi="Times New Roman"/>
          <w:color w:val="000000"/>
          <w:lang w:val="lt-LT"/>
        </w:rPr>
        <w:t>.</w:t>
      </w:r>
    </w:p>
    <w:p w14:paraId="1B89D62F" w14:textId="77777777" w:rsidR="00856D2B" w:rsidRPr="00514245" w:rsidRDefault="00856D2B" w:rsidP="00F40D37">
      <w:pPr>
        <w:keepNext/>
        <w:spacing w:after="0" w:line="240" w:lineRule="auto"/>
        <w:rPr>
          <w:rFonts w:ascii="Times New Roman" w:hAnsi="Times New Roman"/>
          <w:lang w:val="lt-LT"/>
        </w:rPr>
      </w:pPr>
      <w:r w:rsidRPr="00514245">
        <w:rPr>
          <w:rFonts w:ascii="Times New Roman" w:hAnsi="Times New Roman"/>
          <w:lang w:val="lt-LT"/>
        </w:rPr>
        <w:t xml:space="preserve">U </w:t>
      </w:r>
      <w:proofErr w:type="spellStart"/>
      <w:r w:rsidRPr="00514245">
        <w:rPr>
          <w:rFonts w:ascii="Times New Roman" w:hAnsi="Times New Roman"/>
          <w:lang w:val="lt-LT"/>
        </w:rPr>
        <w:t>kabelovny</w:t>
      </w:r>
      <w:proofErr w:type="spellEnd"/>
      <w:r w:rsidRPr="00514245">
        <w:rPr>
          <w:rFonts w:ascii="Times New Roman" w:hAnsi="Times New Roman"/>
          <w:lang w:val="lt-LT"/>
        </w:rPr>
        <w:t xml:space="preserve"> 130</w:t>
      </w:r>
    </w:p>
    <w:p w14:paraId="11EA9222" w14:textId="77777777" w:rsidR="00856D2B" w:rsidRPr="00514245" w:rsidRDefault="00856D2B" w:rsidP="00F40D37">
      <w:pPr>
        <w:keepNext/>
        <w:spacing w:after="0" w:line="240" w:lineRule="auto"/>
        <w:rPr>
          <w:rFonts w:ascii="Times New Roman" w:hAnsi="Times New Roman"/>
          <w:lang w:val="lt-LT"/>
        </w:rPr>
      </w:pPr>
      <w:proofErr w:type="spellStart"/>
      <w:r w:rsidRPr="00514245">
        <w:rPr>
          <w:rFonts w:ascii="Times New Roman" w:hAnsi="Times New Roman"/>
          <w:lang w:val="lt-LT"/>
        </w:rPr>
        <w:t>Dolní</w:t>
      </w:r>
      <w:proofErr w:type="spellEnd"/>
      <w:r w:rsidRPr="00514245">
        <w:rPr>
          <w:rFonts w:ascii="Times New Roman" w:hAnsi="Times New Roman"/>
          <w:lang w:val="lt-LT"/>
        </w:rPr>
        <w:t xml:space="preserve"> </w:t>
      </w:r>
      <w:proofErr w:type="spellStart"/>
      <w:r w:rsidRPr="00514245">
        <w:rPr>
          <w:rFonts w:ascii="Times New Roman" w:hAnsi="Times New Roman"/>
          <w:lang w:val="lt-LT"/>
        </w:rPr>
        <w:t>Měcholupy</w:t>
      </w:r>
      <w:proofErr w:type="spellEnd"/>
    </w:p>
    <w:p w14:paraId="6EF4D9A5" w14:textId="77777777" w:rsidR="00856D2B" w:rsidRPr="00514245" w:rsidRDefault="00856D2B" w:rsidP="00F40D37">
      <w:pPr>
        <w:keepNext/>
        <w:spacing w:after="0" w:line="240" w:lineRule="auto"/>
        <w:rPr>
          <w:rFonts w:ascii="Times New Roman" w:hAnsi="Times New Roman"/>
          <w:lang w:val="lt-LT"/>
        </w:rPr>
      </w:pPr>
      <w:r w:rsidRPr="00514245">
        <w:rPr>
          <w:rFonts w:ascii="Times New Roman" w:hAnsi="Times New Roman"/>
          <w:lang w:val="lt-LT"/>
        </w:rPr>
        <w:t>102 37 Praha 10</w:t>
      </w:r>
    </w:p>
    <w:p w14:paraId="424E9118" w14:textId="77777777" w:rsidR="00856D2B" w:rsidRPr="00514245" w:rsidRDefault="00856D2B" w:rsidP="00856D2B">
      <w:pPr>
        <w:spacing w:after="0" w:line="240" w:lineRule="auto"/>
        <w:rPr>
          <w:rFonts w:ascii="Times New Roman" w:eastAsia="Times New Roman" w:hAnsi="Times New Roman"/>
          <w:color w:val="000000"/>
          <w:lang w:val="lt-LT"/>
        </w:rPr>
      </w:pPr>
      <w:r w:rsidRPr="00514245">
        <w:rPr>
          <w:rFonts w:ascii="Times New Roman" w:eastAsia="Times New Roman" w:hAnsi="Times New Roman"/>
          <w:color w:val="000000"/>
          <w:lang w:val="lt-LT"/>
        </w:rPr>
        <w:t>Čekija</w:t>
      </w:r>
    </w:p>
    <w:p w14:paraId="30A6883A" w14:textId="77777777" w:rsidR="00E0107B" w:rsidRPr="00514245" w:rsidRDefault="00E0107B" w:rsidP="00E0107B">
      <w:pPr>
        <w:numPr>
          <w:ilvl w:val="12"/>
          <w:numId w:val="0"/>
        </w:numPr>
        <w:spacing w:after="0" w:line="240" w:lineRule="auto"/>
        <w:ind w:right="1"/>
        <w:rPr>
          <w:rFonts w:ascii="Times New Roman" w:eastAsia="Times New Roman" w:hAnsi="Times New Roman"/>
          <w:snapToGrid w:val="0"/>
          <w:lang w:val="lt-LT" w:eastAsia="en-US" w:bidi="ar-SA"/>
        </w:rPr>
      </w:pPr>
    </w:p>
    <w:p w14:paraId="7FC4D708" w14:textId="77777777" w:rsidR="00E0107B" w:rsidRPr="00514245" w:rsidRDefault="00E0107B" w:rsidP="00F40D37">
      <w:pPr>
        <w:keepNext/>
        <w:autoSpaceDE w:val="0"/>
        <w:autoSpaceDN w:val="0"/>
        <w:adjustRightInd w:val="0"/>
        <w:spacing w:after="0" w:line="240" w:lineRule="auto"/>
        <w:rPr>
          <w:rFonts w:ascii="Times New Roman" w:eastAsia="Times New Roman" w:hAnsi="Times New Roman"/>
          <w:i/>
          <w:iCs/>
          <w:color w:val="000000"/>
          <w:lang w:val="lt-LT"/>
        </w:rPr>
      </w:pPr>
      <w:r w:rsidRPr="00514245">
        <w:rPr>
          <w:rFonts w:ascii="Times New Roman" w:hAnsi="Times New Roman"/>
          <w:i/>
          <w:iCs/>
          <w:color w:val="000000"/>
          <w:lang w:val="lt-LT"/>
        </w:rPr>
        <w:t>Gamintojas</w:t>
      </w:r>
    </w:p>
    <w:p w14:paraId="7B4493DA"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r w:rsidRPr="00895ABF">
        <w:rPr>
          <w:rFonts w:ascii="Times New Roman" w:eastAsia="Times New Roman" w:hAnsi="Times New Roman"/>
          <w:snapToGrid w:val="0"/>
          <w:lang w:val="lt-LT" w:eastAsia="en-US" w:bidi="ar-SA"/>
        </w:rPr>
        <w:t>LABO RMED-PHARMA S.A.</w:t>
      </w:r>
    </w:p>
    <w:p w14:paraId="10E91E50"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Bd</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Theodor</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Pallady</w:t>
      </w:r>
      <w:proofErr w:type="spellEnd"/>
      <w:r w:rsidRPr="00895ABF">
        <w:rPr>
          <w:rFonts w:ascii="Times New Roman" w:eastAsia="Times New Roman" w:hAnsi="Times New Roman"/>
          <w:snapToGrid w:val="0"/>
          <w:lang w:val="lt-LT" w:eastAsia="en-US" w:bidi="ar-SA"/>
        </w:rPr>
        <w:t xml:space="preserve"> </w:t>
      </w:r>
      <w:proofErr w:type="spellStart"/>
      <w:r w:rsidRPr="00895ABF">
        <w:rPr>
          <w:rFonts w:ascii="Times New Roman" w:eastAsia="Times New Roman" w:hAnsi="Times New Roman"/>
          <w:snapToGrid w:val="0"/>
          <w:lang w:val="lt-LT" w:eastAsia="en-US" w:bidi="ar-SA"/>
        </w:rPr>
        <w:t>nr.</w:t>
      </w:r>
      <w:proofErr w:type="spellEnd"/>
      <w:r w:rsidRPr="00895ABF">
        <w:rPr>
          <w:rFonts w:ascii="Times New Roman" w:eastAsia="Times New Roman" w:hAnsi="Times New Roman"/>
          <w:snapToGrid w:val="0"/>
          <w:lang w:val="lt-LT" w:eastAsia="en-US" w:bidi="ar-SA"/>
        </w:rPr>
        <w:t xml:space="preserve"> 44B</w:t>
      </w:r>
    </w:p>
    <w:p w14:paraId="5A3CB050"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sector</w:t>
      </w:r>
      <w:proofErr w:type="spellEnd"/>
      <w:r w:rsidRPr="00895ABF">
        <w:rPr>
          <w:rFonts w:ascii="Times New Roman" w:eastAsia="Times New Roman" w:hAnsi="Times New Roman"/>
          <w:snapToGrid w:val="0"/>
          <w:lang w:val="lt-LT" w:eastAsia="en-US" w:bidi="ar-SA"/>
        </w:rPr>
        <w:t xml:space="preserve"> 3</w:t>
      </w:r>
    </w:p>
    <w:p w14:paraId="6544D151" w14:textId="77777777" w:rsidR="00895ABF" w:rsidRPr="00895ABF" w:rsidRDefault="00895ABF" w:rsidP="00895ABF">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roofErr w:type="spellStart"/>
      <w:r w:rsidRPr="00895ABF">
        <w:rPr>
          <w:rFonts w:ascii="Times New Roman" w:eastAsia="Times New Roman" w:hAnsi="Times New Roman"/>
          <w:snapToGrid w:val="0"/>
          <w:lang w:val="lt-LT" w:eastAsia="en-US" w:bidi="ar-SA"/>
        </w:rPr>
        <w:t>Bucharest</w:t>
      </w:r>
      <w:proofErr w:type="spellEnd"/>
      <w:r w:rsidRPr="00895ABF">
        <w:rPr>
          <w:rFonts w:ascii="Times New Roman" w:eastAsia="Times New Roman" w:hAnsi="Times New Roman"/>
          <w:snapToGrid w:val="0"/>
          <w:lang w:val="lt-LT" w:eastAsia="en-US" w:bidi="ar-SA"/>
        </w:rPr>
        <w:t>, 032266</w:t>
      </w:r>
    </w:p>
    <w:p w14:paraId="1C1EEB9E" w14:textId="77777777" w:rsidR="00895ABF" w:rsidRPr="00514245" w:rsidRDefault="00895ABF" w:rsidP="00895ABF">
      <w:pPr>
        <w:tabs>
          <w:tab w:val="left" w:pos="567"/>
        </w:tabs>
        <w:spacing w:after="0" w:line="260" w:lineRule="exact"/>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Rumunija</w:t>
      </w:r>
    </w:p>
    <w:p w14:paraId="4F6703FB" w14:textId="77777777" w:rsidR="0092651C" w:rsidRPr="00514245" w:rsidRDefault="0092651C" w:rsidP="00866263">
      <w:pPr>
        <w:numPr>
          <w:ilvl w:val="12"/>
          <w:numId w:val="0"/>
        </w:numPr>
        <w:tabs>
          <w:tab w:val="left" w:pos="567"/>
        </w:tabs>
        <w:spacing w:after="0" w:line="240" w:lineRule="auto"/>
        <w:ind w:right="1"/>
        <w:rPr>
          <w:rFonts w:ascii="Times New Roman" w:eastAsia="Times New Roman" w:hAnsi="Times New Roman"/>
          <w:snapToGrid w:val="0"/>
          <w:lang w:val="lt-LT" w:eastAsia="en-US" w:bidi="ar-SA"/>
        </w:rPr>
      </w:pPr>
    </w:p>
    <w:p w14:paraId="496750C3" w14:textId="58B99694" w:rsidR="00866263" w:rsidRPr="00514245" w:rsidRDefault="00E0107B"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r w:rsidRPr="00514245">
        <w:rPr>
          <w:rFonts w:ascii="Times New Roman" w:eastAsia="Times New Roman" w:hAnsi="Times New Roman"/>
          <w:b/>
          <w:snapToGrid w:val="0"/>
          <w:lang w:val="lt-LT" w:eastAsia="en-US" w:bidi="ar-SA"/>
        </w:rPr>
        <w:lastRenderedPageBreak/>
        <w:t>Šis vaistas Europos ekonominės erdvės valstybėse registruotas tokiais pavadinimais</w:t>
      </w:r>
      <w:r w:rsidRPr="00514245">
        <w:rPr>
          <w:rFonts w:ascii="Times New Roman" w:eastAsia="Times New Roman" w:hAnsi="Times New Roman"/>
          <w:snapToGrid w:val="0"/>
          <w:lang w:val="lt-LT" w:eastAsia="en-US" w:bidi="ar-SA"/>
        </w:rPr>
        <w:t>:</w:t>
      </w:r>
    </w:p>
    <w:p w14:paraId="4D6DCE98" w14:textId="4A5F526B" w:rsidR="003B0BAD" w:rsidRDefault="003B0BAD"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Čekija</w:t>
      </w:r>
      <w:r w:rsidR="00024ABC" w:rsidRPr="00514245">
        <w:rPr>
          <w:rFonts w:ascii="Times New Roman" w:eastAsia="Times New Roman" w:hAnsi="Times New Roman"/>
          <w:snapToGrid w:val="0"/>
          <w:lang w:val="lt-LT" w:eastAsia="en-US" w:bidi="ar-SA"/>
        </w:rPr>
        <w:t xml:space="preserve">, Danija, Estija, Latvija, Lietuva, Norvegija, </w:t>
      </w:r>
      <w:r w:rsidRPr="00514245">
        <w:rPr>
          <w:rFonts w:ascii="Times New Roman" w:eastAsia="Times New Roman" w:hAnsi="Times New Roman"/>
          <w:snapToGrid w:val="0"/>
          <w:lang w:val="lt-LT" w:eastAsia="en-US" w:bidi="ar-SA"/>
        </w:rPr>
        <w:t>Prancūzija</w:t>
      </w:r>
      <w:r>
        <w:rPr>
          <w:rFonts w:ascii="Times New Roman" w:eastAsia="Times New Roman" w:hAnsi="Times New Roman"/>
          <w:snapToGrid w:val="0"/>
          <w:lang w:val="lt-LT" w:eastAsia="en-US" w:bidi="ar-SA"/>
        </w:rPr>
        <w:t>,</w:t>
      </w:r>
      <w:r w:rsidRPr="00514245">
        <w:rPr>
          <w:rFonts w:ascii="Times New Roman" w:eastAsia="Times New Roman" w:hAnsi="Times New Roman"/>
          <w:snapToGrid w:val="0"/>
          <w:lang w:val="lt-LT" w:eastAsia="en-US" w:bidi="ar-SA"/>
        </w:rPr>
        <w:t xml:space="preserve"> </w:t>
      </w:r>
      <w:r w:rsidR="00024ABC" w:rsidRPr="00514245">
        <w:rPr>
          <w:rFonts w:ascii="Times New Roman" w:eastAsia="Times New Roman" w:hAnsi="Times New Roman"/>
          <w:snapToGrid w:val="0"/>
          <w:lang w:val="lt-LT" w:eastAsia="en-US" w:bidi="ar-SA"/>
        </w:rPr>
        <w:t xml:space="preserve">Švedija, </w:t>
      </w:r>
      <w:r>
        <w:rPr>
          <w:rFonts w:ascii="Times New Roman" w:eastAsia="Times New Roman" w:hAnsi="Times New Roman"/>
          <w:snapToGrid w:val="0"/>
          <w:lang w:val="lt-LT" w:eastAsia="en-US" w:bidi="ar-SA"/>
        </w:rPr>
        <w:t>Vengrija – Vortioxetine Zentiva</w:t>
      </w:r>
    </w:p>
    <w:p w14:paraId="298A471B" w14:textId="35CCEFCD" w:rsidR="00024ABC" w:rsidRPr="00514245" w:rsidRDefault="003B0BAD"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r>
        <w:rPr>
          <w:rFonts w:ascii="Times New Roman" w:eastAsia="Times New Roman" w:hAnsi="Times New Roman"/>
          <w:snapToGrid w:val="0"/>
          <w:lang w:val="lt-LT" w:eastAsia="en-US" w:bidi="ar-SA"/>
        </w:rPr>
        <w:t>Italija, Portugalija</w:t>
      </w:r>
      <w:r w:rsidR="00024ABC" w:rsidRPr="00514245">
        <w:rPr>
          <w:rFonts w:ascii="Times New Roman" w:eastAsia="Times New Roman" w:hAnsi="Times New Roman"/>
          <w:snapToGrid w:val="0"/>
          <w:lang w:val="lt-LT" w:eastAsia="en-US" w:bidi="ar-SA"/>
        </w:rPr>
        <w:t xml:space="preserve"> – </w:t>
      </w:r>
      <w:proofErr w:type="spellStart"/>
      <w:r>
        <w:rPr>
          <w:rFonts w:ascii="Times New Roman" w:eastAsia="Times New Roman" w:hAnsi="Times New Roman"/>
          <w:snapToGrid w:val="0"/>
          <w:lang w:val="lt-LT" w:eastAsia="en-US" w:bidi="ar-SA"/>
        </w:rPr>
        <w:t>Vortioxetina</w:t>
      </w:r>
      <w:proofErr w:type="spellEnd"/>
      <w:r>
        <w:rPr>
          <w:rFonts w:ascii="Times New Roman" w:eastAsia="Times New Roman" w:hAnsi="Times New Roman"/>
          <w:snapToGrid w:val="0"/>
          <w:lang w:val="lt-LT" w:eastAsia="en-US" w:bidi="ar-SA"/>
        </w:rPr>
        <w:t xml:space="preserve"> </w:t>
      </w:r>
      <w:proofErr w:type="spellStart"/>
      <w:r>
        <w:rPr>
          <w:rFonts w:ascii="Times New Roman" w:eastAsia="Times New Roman" w:hAnsi="Times New Roman"/>
          <w:snapToGrid w:val="0"/>
          <w:lang w:val="lt-LT" w:eastAsia="en-US" w:bidi="ar-SA"/>
        </w:rPr>
        <w:t>Zentiva</w:t>
      </w:r>
      <w:proofErr w:type="spellEnd"/>
    </w:p>
    <w:p w14:paraId="5ABE7C76" w14:textId="77777777" w:rsidR="00024ABC" w:rsidRPr="00514245" w:rsidRDefault="00024ABC" w:rsidP="00E0107B">
      <w:pPr>
        <w:numPr>
          <w:ilvl w:val="12"/>
          <w:numId w:val="0"/>
        </w:numPr>
        <w:tabs>
          <w:tab w:val="left" w:pos="567"/>
        </w:tabs>
        <w:spacing w:after="0" w:line="260" w:lineRule="exact"/>
        <w:ind w:right="1"/>
        <w:rPr>
          <w:rFonts w:ascii="Times New Roman" w:eastAsia="Times New Roman" w:hAnsi="Times New Roman"/>
          <w:snapToGrid w:val="0"/>
          <w:lang w:val="lt-LT" w:eastAsia="en-US" w:bidi="ar-SA"/>
        </w:rPr>
      </w:pPr>
    </w:p>
    <w:p w14:paraId="6BA71FA1" w14:textId="6A86D54E" w:rsidR="00E0107B" w:rsidRPr="00514245" w:rsidRDefault="00E0107B" w:rsidP="00E0107B">
      <w:pPr>
        <w:numPr>
          <w:ilvl w:val="12"/>
          <w:numId w:val="0"/>
        </w:numPr>
        <w:spacing w:after="0" w:line="240" w:lineRule="auto"/>
        <w:ind w:right="569"/>
        <w:rPr>
          <w:rFonts w:ascii="Times New Roman" w:eastAsia="Times New Roman" w:hAnsi="Times New Roman"/>
          <w:b/>
          <w:snapToGrid w:val="0"/>
          <w:lang w:val="lt-LT" w:eastAsia="en-US" w:bidi="ar-SA"/>
        </w:rPr>
      </w:pPr>
      <w:r w:rsidRPr="00514245">
        <w:rPr>
          <w:rFonts w:ascii="Times New Roman" w:eastAsia="Times New Roman" w:hAnsi="Times New Roman"/>
          <w:b/>
          <w:snapToGrid w:val="0"/>
          <w:lang w:val="lt-LT" w:eastAsia="en-US" w:bidi="ar-SA"/>
        </w:rPr>
        <w:t>Šis pakuotės lapelis paskutinį kartą peržiūrėtas</w:t>
      </w:r>
      <w:r w:rsidR="00856D2B" w:rsidRPr="00514245">
        <w:rPr>
          <w:rFonts w:ascii="Times New Roman" w:eastAsia="Times New Roman" w:hAnsi="Times New Roman"/>
          <w:b/>
          <w:snapToGrid w:val="0"/>
          <w:lang w:val="lt-LT" w:eastAsia="en-US" w:bidi="ar-SA"/>
        </w:rPr>
        <w:t xml:space="preserve"> </w:t>
      </w:r>
      <w:r w:rsidR="007F1E1D">
        <w:rPr>
          <w:rFonts w:ascii="Times New Roman" w:eastAsia="Times New Roman" w:hAnsi="Times New Roman"/>
          <w:b/>
          <w:szCs w:val="20"/>
          <w:lang w:val="lt-LT" w:eastAsia="en-US" w:bidi="ar-SA"/>
        </w:rPr>
        <w:t>2026-06-05.</w:t>
      </w:r>
    </w:p>
    <w:p w14:paraId="057551DD" w14:textId="77777777" w:rsidR="00E0107B" w:rsidRPr="00514245"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val="lt-LT" w:eastAsia="en-US" w:bidi="ar-SA"/>
        </w:rPr>
      </w:pPr>
    </w:p>
    <w:p w14:paraId="00D22DD5" w14:textId="54EF11F4" w:rsidR="00E0107B" w:rsidRPr="00514245" w:rsidRDefault="00E0107B" w:rsidP="00E0107B">
      <w:pPr>
        <w:numPr>
          <w:ilvl w:val="12"/>
          <w:numId w:val="0"/>
        </w:numPr>
        <w:tabs>
          <w:tab w:val="left" w:pos="567"/>
        </w:tabs>
        <w:spacing w:after="0" w:line="240" w:lineRule="auto"/>
        <w:ind w:right="569"/>
        <w:rPr>
          <w:rFonts w:ascii="Times New Roman" w:hAnsi="Times New Roman"/>
          <w:color w:val="0000EE"/>
          <w:u w:val="single"/>
          <w:lang w:val="lt-LT"/>
        </w:rPr>
      </w:pPr>
      <w:r w:rsidRPr="00514245">
        <w:rPr>
          <w:rFonts w:ascii="Times New Roman" w:eastAsia="Times New Roman" w:hAnsi="Times New Roman"/>
          <w:snapToGrid w:val="0"/>
          <w:lang w:val="lt-LT" w:eastAsia="en-US" w:bidi="ar-SA"/>
        </w:rPr>
        <w:t xml:space="preserve">Išsami informacija apie šį vaistą pateikiama Valstybinės vaistų kontrolės tarnybos prie Lietuvos Respublikos sveikatos apsaugos ministerijos tinklalapyje </w:t>
      </w:r>
      <w:hyperlink r:id="rId13" w:history="1">
        <w:r w:rsidR="00642FC2" w:rsidRPr="00514245">
          <w:rPr>
            <w:rStyle w:val="Hipersaitas"/>
            <w:rFonts w:ascii="Times New Roman" w:hAnsi="Times New Roman"/>
            <w:lang w:val="lt-LT"/>
          </w:rPr>
          <w:t>https://vvkt.lrv.lt/lt/</w:t>
        </w:r>
      </w:hyperlink>
      <w:r w:rsidR="00642FC2" w:rsidRPr="00514245">
        <w:rPr>
          <w:rFonts w:ascii="Times New Roman" w:hAnsi="Times New Roman"/>
          <w:color w:val="0000EE"/>
          <w:u w:val="single"/>
          <w:lang w:val="lt-LT"/>
        </w:rPr>
        <w:t xml:space="preserve"> </w:t>
      </w:r>
    </w:p>
    <w:p w14:paraId="21E3F15A" w14:textId="77777777" w:rsidR="00176965" w:rsidRPr="00514245" w:rsidRDefault="00176965"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val="lt-LT" w:eastAsia="en-US" w:bidi="ar-SA"/>
        </w:rPr>
      </w:pPr>
    </w:p>
    <w:sectPr w:rsidR="00176965" w:rsidRPr="00514245" w:rsidSect="00D96A4B">
      <w:headerReference w:type="default" r:id="rId1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D91E" w14:textId="77777777" w:rsidR="00711E7E" w:rsidRPr="00514245" w:rsidRDefault="00711E7E" w:rsidP="008E3C5F">
      <w:pPr>
        <w:spacing w:after="0" w:line="240" w:lineRule="auto"/>
      </w:pPr>
      <w:r w:rsidRPr="00514245">
        <w:separator/>
      </w:r>
    </w:p>
  </w:endnote>
  <w:endnote w:type="continuationSeparator" w:id="0">
    <w:p w14:paraId="0ACA1BDB" w14:textId="77777777" w:rsidR="00711E7E" w:rsidRPr="00514245" w:rsidRDefault="00711E7E" w:rsidP="008E3C5F">
      <w:pPr>
        <w:spacing w:after="0" w:line="240" w:lineRule="auto"/>
      </w:pPr>
      <w:r w:rsidRPr="00514245">
        <w:continuationSeparator/>
      </w:r>
    </w:p>
  </w:endnote>
  <w:endnote w:type="continuationNotice" w:id="1">
    <w:p w14:paraId="11E7D871" w14:textId="77777777" w:rsidR="00711E7E" w:rsidRPr="00514245" w:rsidRDefault="00711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C14" w14:textId="1605D183" w:rsidR="002042E8" w:rsidRPr="00514245" w:rsidRDefault="002042E8">
    <w:pPr>
      <w:pStyle w:val="Porat"/>
    </w:pPr>
  </w:p>
  <w:p w14:paraId="468697AD" w14:textId="77777777" w:rsidR="002042E8" w:rsidRPr="00514245" w:rsidRDefault="002042E8"/>
  <w:p w14:paraId="0B96572C" w14:textId="77777777" w:rsidR="002042E8" w:rsidRPr="00514245" w:rsidRDefault="002042E8"/>
  <w:p w14:paraId="61E0A99A" w14:textId="77777777" w:rsidR="002042E8" w:rsidRPr="00514245" w:rsidRDefault="002042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EAE" w14:textId="12A81BCA" w:rsidR="002042E8" w:rsidRPr="00514245" w:rsidRDefault="002042E8">
    <w:pPr>
      <w:pStyle w:val="Porat"/>
      <w:tabs>
        <w:tab w:val="clear" w:pos="4680"/>
        <w:tab w:val="clear" w:pos="9360"/>
      </w:tabs>
      <w:jc w:val="center"/>
      <w:rPr>
        <w:rFonts w:ascii="Arial" w:hAnsi="Arial" w:cs="Arial"/>
        <w:caps/>
        <w:sz w:val="16"/>
        <w:szCs w:val="16"/>
      </w:rPr>
    </w:pPr>
    <w:r w:rsidRPr="00514245">
      <w:rPr>
        <w:rFonts w:ascii="Arial" w:hAnsi="Arial" w:cs="Arial"/>
        <w:caps/>
        <w:sz w:val="16"/>
        <w:szCs w:val="16"/>
      </w:rPr>
      <w:fldChar w:fldCharType="begin"/>
    </w:r>
    <w:r w:rsidRPr="00514245">
      <w:rPr>
        <w:rFonts w:ascii="Arial" w:hAnsi="Arial" w:cs="Arial"/>
        <w:caps/>
        <w:sz w:val="16"/>
        <w:szCs w:val="16"/>
      </w:rPr>
      <w:instrText xml:space="preserve"> PAGE   \* MERGEFORMAT </w:instrText>
    </w:r>
    <w:r w:rsidRPr="00514245">
      <w:rPr>
        <w:rFonts w:ascii="Arial" w:hAnsi="Arial" w:cs="Arial"/>
        <w:caps/>
        <w:sz w:val="16"/>
        <w:szCs w:val="16"/>
      </w:rPr>
      <w:fldChar w:fldCharType="separate"/>
    </w:r>
    <w:r w:rsidR="00BE383A" w:rsidRPr="00514245">
      <w:rPr>
        <w:rFonts w:ascii="Arial" w:hAnsi="Arial" w:cs="Arial"/>
        <w:caps/>
        <w:sz w:val="16"/>
        <w:szCs w:val="16"/>
      </w:rPr>
      <w:t>27</w:t>
    </w:r>
    <w:r w:rsidRPr="00514245">
      <w:rPr>
        <w:rFonts w:ascii="Arial" w:hAnsi="Arial" w:cs="Arial"/>
        <w:caps/>
        <w:sz w:val="16"/>
        <w:szCs w:val="16"/>
      </w:rPr>
      <w:fldChar w:fldCharType="end"/>
    </w:r>
  </w:p>
  <w:p w14:paraId="0A97D35E" w14:textId="77777777" w:rsidR="002042E8" w:rsidRPr="00514245" w:rsidRDefault="002042E8"/>
  <w:p w14:paraId="2A397978" w14:textId="77777777" w:rsidR="002042E8" w:rsidRPr="00514245" w:rsidRDefault="002042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2042E8" w:rsidRPr="00514245" w:rsidRDefault="002042E8">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808C" w14:textId="77777777" w:rsidR="00711E7E" w:rsidRPr="00514245" w:rsidRDefault="00711E7E" w:rsidP="008E3C5F">
      <w:pPr>
        <w:spacing w:after="0" w:line="240" w:lineRule="auto"/>
      </w:pPr>
      <w:r w:rsidRPr="00514245">
        <w:separator/>
      </w:r>
    </w:p>
  </w:footnote>
  <w:footnote w:type="continuationSeparator" w:id="0">
    <w:p w14:paraId="2C3C84E5" w14:textId="77777777" w:rsidR="00711E7E" w:rsidRPr="00514245" w:rsidRDefault="00711E7E" w:rsidP="008E3C5F">
      <w:pPr>
        <w:spacing w:after="0" w:line="240" w:lineRule="auto"/>
      </w:pPr>
      <w:r w:rsidRPr="00514245">
        <w:continuationSeparator/>
      </w:r>
    </w:p>
  </w:footnote>
  <w:footnote w:type="continuationNotice" w:id="1">
    <w:p w14:paraId="5D206EE4" w14:textId="77777777" w:rsidR="00711E7E" w:rsidRPr="00514245" w:rsidRDefault="00711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AB3" w14:textId="052C78BE" w:rsidR="002042E8" w:rsidRPr="00514245" w:rsidRDefault="002042E8">
    <w:pPr>
      <w:pStyle w:val="Antrats"/>
    </w:pPr>
  </w:p>
  <w:p w14:paraId="3D380E63" w14:textId="77777777" w:rsidR="002042E8" w:rsidRPr="00514245" w:rsidRDefault="002042E8"/>
  <w:p w14:paraId="749CB121" w14:textId="77777777" w:rsidR="002042E8" w:rsidRPr="00514245" w:rsidRDefault="002042E8"/>
  <w:p w14:paraId="399AEB34" w14:textId="77777777" w:rsidR="002042E8" w:rsidRPr="00514245" w:rsidRDefault="002042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2A3B" w14:textId="77777777" w:rsidR="004A1B19" w:rsidRDefault="004A1B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2042E8" w:rsidRPr="00514245" w:rsidRDefault="002042E8">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4502D"/>
    <w:multiLevelType w:val="multilevel"/>
    <w:tmpl w:val="696027F2"/>
    <w:lvl w:ilvl="0">
      <w:start w:val="1"/>
      <w:numFmt w:val="decimal"/>
      <w:lvlText w:val="%1."/>
      <w:lvlJc w:val="left"/>
      <w:pPr>
        <w:ind w:left="2115" w:hanging="675"/>
      </w:pPr>
      <w:rPr>
        <w:rFonts w:cs="Times New Roman" w:hint="default"/>
        <w:b/>
      </w:rPr>
    </w:lvl>
    <w:lvl w:ilvl="1">
      <w:start w:val="3"/>
      <w:numFmt w:val="decimal"/>
      <w:isLgl/>
      <w:lvlText w:val="%1.%2"/>
      <w:lvlJc w:val="left"/>
      <w:pPr>
        <w:ind w:left="1800" w:hanging="360"/>
      </w:pPr>
      <w:rPr>
        <w:rFonts w:eastAsia="Calibri" w:hint="default"/>
        <w:b/>
      </w:rPr>
    </w:lvl>
    <w:lvl w:ilvl="2">
      <w:start w:val="1"/>
      <w:numFmt w:val="decimal"/>
      <w:isLgl/>
      <w:lvlText w:val="%1.%2.%3"/>
      <w:lvlJc w:val="left"/>
      <w:pPr>
        <w:ind w:left="216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520" w:hanging="1080"/>
      </w:pPr>
      <w:rPr>
        <w:rFonts w:eastAsia="Calibri" w:hint="default"/>
        <w:b/>
      </w:rPr>
    </w:lvl>
    <w:lvl w:ilvl="5">
      <w:start w:val="1"/>
      <w:numFmt w:val="decimal"/>
      <w:isLgl/>
      <w:lvlText w:val="%1.%2.%3.%4.%5.%6"/>
      <w:lvlJc w:val="left"/>
      <w:pPr>
        <w:ind w:left="2520" w:hanging="1080"/>
      </w:pPr>
      <w:rPr>
        <w:rFonts w:eastAsia="Calibri" w:hint="default"/>
        <w:b/>
      </w:rPr>
    </w:lvl>
    <w:lvl w:ilvl="6">
      <w:start w:val="1"/>
      <w:numFmt w:val="decimal"/>
      <w:isLgl/>
      <w:lvlText w:val="%1.%2.%3.%4.%5.%6.%7"/>
      <w:lvlJc w:val="left"/>
      <w:pPr>
        <w:ind w:left="2880" w:hanging="1440"/>
      </w:pPr>
      <w:rPr>
        <w:rFonts w:eastAsia="Calibri" w:hint="default"/>
        <w:b/>
      </w:rPr>
    </w:lvl>
    <w:lvl w:ilvl="7">
      <w:start w:val="1"/>
      <w:numFmt w:val="decimal"/>
      <w:isLgl/>
      <w:lvlText w:val="%1.%2.%3.%4.%5.%6.%7.%8"/>
      <w:lvlJc w:val="left"/>
      <w:pPr>
        <w:ind w:left="2880" w:hanging="1440"/>
      </w:pPr>
      <w:rPr>
        <w:rFonts w:eastAsia="Calibri" w:hint="default"/>
        <w:b/>
      </w:rPr>
    </w:lvl>
    <w:lvl w:ilvl="8">
      <w:start w:val="1"/>
      <w:numFmt w:val="decimal"/>
      <w:isLgl/>
      <w:lvlText w:val="%1.%2.%3.%4.%5.%6.%7.%8.%9"/>
      <w:lvlJc w:val="left"/>
      <w:pPr>
        <w:ind w:left="2880" w:hanging="1440"/>
      </w:pPr>
      <w:rPr>
        <w:rFonts w:eastAsia="Calibri" w:hint="default"/>
        <w:b/>
      </w:rPr>
    </w:lvl>
  </w:abstractNum>
  <w:abstractNum w:abstractNumId="3" w15:restartNumberingAfterBreak="0">
    <w:nsid w:val="16E87DFE"/>
    <w:multiLevelType w:val="hybridMultilevel"/>
    <w:tmpl w:val="AA224C26"/>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92718"/>
    <w:multiLevelType w:val="hybridMultilevel"/>
    <w:tmpl w:val="1F428B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12B07"/>
    <w:multiLevelType w:val="hybridMultilevel"/>
    <w:tmpl w:val="579ED97C"/>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63581"/>
    <w:multiLevelType w:val="hybridMultilevel"/>
    <w:tmpl w:val="CE8082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35247"/>
    <w:multiLevelType w:val="hybridMultilevel"/>
    <w:tmpl w:val="569AD8EE"/>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714725"/>
    <w:multiLevelType w:val="hybridMultilevel"/>
    <w:tmpl w:val="F18AD7C0"/>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F74B8"/>
    <w:multiLevelType w:val="hybridMultilevel"/>
    <w:tmpl w:val="023AE9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10345"/>
    <w:multiLevelType w:val="hybridMultilevel"/>
    <w:tmpl w:val="5E6A93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3090"/>
    <w:multiLevelType w:val="hybridMultilevel"/>
    <w:tmpl w:val="0A5CE77E"/>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BF3FA3"/>
    <w:multiLevelType w:val="hybridMultilevel"/>
    <w:tmpl w:val="410A9E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3118367">
    <w:abstractNumId w:val="4"/>
  </w:num>
  <w:num w:numId="2" w16cid:durableId="74137117">
    <w:abstractNumId w:val="15"/>
  </w:num>
  <w:num w:numId="3" w16cid:durableId="94791261">
    <w:abstractNumId w:val="7"/>
  </w:num>
  <w:num w:numId="4" w16cid:durableId="1055660017">
    <w:abstractNumId w:val="10"/>
  </w:num>
  <w:num w:numId="5" w16cid:durableId="30812379">
    <w:abstractNumId w:val="14"/>
  </w:num>
  <w:num w:numId="6" w16cid:durableId="503741862">
    <w:abstractNumId w:val="2"/>
  </w:num>
  <w:num w:numId="7" w16cid:durableId="360672557">
    <w:abstractNumId w:val="21"/>
  </w:num>
  <w:num w:numId="8" w16cid:durableId="1710950855">
    <w:abstractNumId w:val="0"/>
  </w:num>
  <w:num w:numId="9" w16cid:durableId="704067113">
    <w:abstractNumId w:val="1"/>
  </w:num>
  <w:num w:numId="10" w16cid:durableId="814681589">
    <w:abstractNumId w:val="11"/>
  </w:num>
  <w:num w:numId="11" w16cid:durableId="402878925">
    <w:abstractNumId w:val="16"/>
  </w:num>
  <w:num w:numId="12" w16cid:durableId="1824858017">
    <w:abstractNumId w:val="8"/>
  </w:num>
  <w:num w:numId="13" w16cid:durableId="637534507">
    <w:abstractNumId w:val="20"/>
  </w:num>
  <w:num w:numId="14" w16cid:durableId="55134460">
    <w:abstractNumId w:val="9"/>
  </w:num>
  <w:num w:numId="15" w16cid:durableId="322858628">
    <w:abstractNumId w:val="5"/>
  </w:num>
  <w:num w:numId="16" w16cid:durableId="1836526877">
    <w:abstractNumId w:val="18"/>
  </w:num>
  <w:num w:numId="17" w16cid:durableId="430128157">
    <w:abstractNumId w:val="17"/>
  </w:num>
  <w:num w:numId="18" w16cid:durableId="1122576050">
    <w:abstractNumId w:val="12"/>
  </w:num>
  <w:num w:numId="19" w16cid:durableId="2021857762">
    <w:abstractNumId w:val="3"/>
  </w:num>
  <w:num w:numId="20" w16cid:durableId="1983459051">
    <w:abstractNumId w:val="6"/>
  </w:num>
  <w:num w:numId="21" w16cid:durableId="1025406840">
    <w:abstractNumId w:val="19"/>
  </w:num>
  <w:num w:numId="22" w16cid:durableId="7201766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11DA"/>
    <w:rsid w:val="00003755"/>
    <w:rsid w:val="000037BD"/>
    <w:rsid w:val="00010D4F"/>
    <w:rsid w:val="0001307A"/>
    <w:rsid w:val="00015527"/>
    <w:rsid w:val="00015A8A"/>
    <w:rsid w:val="00015DF9"/>
    <w:rsid w:val="0002132A"/>
    <w:rsid w:val="00021E07"/>
    <w:rsid w:val="000230BE"/>
    <w:rsid w:val="00024ABC"/>
    <w:rsid w:val="00031048"/>
    <w:rsid w:val="000325BF"/>
    <w:rsid w:val="00032F1B"/>
    <w:rsid w:val="00033A39"/>
    <w:rsid w:val="00034400"/>
    <w:rsid w:val="00035AF6"/>
    <w:rsid w:val="00036DE3"/>
    <w:rsid w:val="00036E29"/>
    <w:rsid w:val="00045EAD"/>
    <w:rsid w:val="000468DD"/>
    <w:rsid w:val="00047677"/>
    <w:rsid w:val="00057227"/>
    <w:rsid w:val="00061352"/>
    <w:rsid w:val="00061602"/>
    <w:rsid w:val="00063B34"/>
    <w:rsid w:val="0006599A"/>
    <w:rsid w:val="00067551"/>
    <w:rsid w:val="00070451"/>
    <w:rsid w:val="000742C1"/>
    <w:rsid w:val="000759CB"/>
    <w:rsid w:val="000759E7"/>
    <w:rsid w:val="0007615A"/>
    <w:rsid w:val="00083108"/>
    <w:rsid w:val="0008460E"/>
    <w:rsid w:val="000877BB"/>
    <w:rsid w:val="0009232D"/>
    <w:rsid w:val="00096138"/>
    <w:rsid w:val="000A06B2"/>
    <w:rsid w:val="000A14CC"/>
    <w:rsid w:val="000A54E7"/>
    <w:rsid w:val="000A7193"/>
    <w:rsid w:val="000B05A8"/>
    <w:rsid w:val="000B5FB0"/>
    <w:rsid w:val="000C01F9"/>
    <w:rsid w:val="000C0B2F"/>
    <w:rsid w:val="000C10CF"/>
    <w:rsid w:val="000C1147"/>
    <w:rsid w:val="000C21B0"/>
    <w:rsid w:val="000C307B"/>
    <w:rsid w:val="000C3DE1"/>
    <w:rsid w:val="000C5799"/>
    <w:rsid w:val="000D17E0"/>
    <w:rsid w:val="000D56DD"/>
    <w:rsid w:val="000D61F2"/>
    <w:rsid w:val="000E03BF"/>
    <w:rsid w:val="000E0C61"/>
    <w:rsid w:val="000E0E92"/>
    <w:rsid w:val="000E69D3"/>
    <w:rsid w:val="000E6E09"/>
    <w:rsid w:val="000E71DA"/>
    <w:rsid w:val="000E74CC"/>
    <w:rsid w:val="000E74FF"/>
    <w:rsid w:val="000F5670"/>
    <w:rsid w:val="000F59BC"/>
    <w:rsid w:val="000F6418"/>
    <w:rsid w:val="00100D36"/>
    <w:rsid w:val="00101978"/>
    <w:rsid w:val="00102583"/>
    <w:rsid w:val="00102AE7"/>
    <w:rsid w:val="00103237"/>
    <w:rsid w:val="00107663"/>
    <w:rsid w:val="00112672"/>
    <w:rsid w:val="001154CD"/>
    <w:rsid w:val="001167C0"/>
    <w:rsid w:val="00117302"/>
    <w:rsid w:val="00117E76"/>
    <w:rsid w:val="00120185"/>
    <w:rsid w:val="0012215A"/>
    <w:rsid w:val="00122218"/>
    <w:rsid w:val="001226FE"/>
    <w:rsid w:val="00122D9C"/>
    <w:rsid w:val="001231F2"/>
    <w:rsid w:val="00125F3C"/>
    <w:rsid w:val="0013189F"/>
    <w:rsid w:val="001320BF"/>
    <w:rsid w:val="00132168"/>
    <w:rsid w:val="001321BC"/>
    <w:rsid w:val="001329FF"/>
    <w:rsid w:val="00133855"/>
    <w:rsid w:val="001355EB"/>
    <w:rsid w:val="00136177"/>
    <w:rsid w:val="00136260"/>
    <w:rsid w:val="00136AEF"/>
    <w:rsid w:val="00143C87"/>
    <w:rsid w:val="0014608F"/>
    <w:rsid w:val="001469B6"/>
    <w:rsid w:val="00150A9D"/>
    <w:rsid w:val="00151117"/>
    <w:rsid w:val="00152C0A"/>
    <w:rsid w:val="001533EC"/>
    <w:rsid w:val="00153D49"/>
    <w:rsid w:val="00156ADC"/>
    <w:rsid w:val="00156B6A"/>
    <w:rsid w:val="00160835"/>
    <w:rsid w:val="00161883"/>
    <w:rsid w:val="0016273C"/>
    <w:rsid w:val="00162FB2"/>
    <w:rsid w:val="00163BF4"/>
    <w:rsid w:val="00164256"/>
    <w:rsid w:val="0016478F"/>
    <w:rsid w:val="00165609"/>
    <w:rsid w:val="00167611"/>
    <w:rsid w:val="001703FE"/>
    <w:rsid w:val="0017184C"/>
    <w:rsid w:val="001732D5"/>
    <w:rsid w:val="001753BB"/>
    <w:rsid w:val="00176965"/>
    <w:rsid w:val="00176A9E"/>
    <w:rsid w:val="00177420"/>
    <w:rsid w:val="001806EB"/>
    <w:rsid w:val="00182C80"/>
    <w:rsid w:val="0018419C"/>
    <w:rsid w:val="00184A1D"/>
    <w:rsid w:val="00186B20"/>
    <w:rsid w:val="00187511"/>
    <w:rsid w:val="00187910"/>
    <w:rsid w:val="00187C54"/>
    <w:rsid w:val="00192E54"/>
    <w:rsid w:val="0019507E"/>
    <w:rsid w:val="001A50B4"/>
    <w:rsid w:val="001A55B6"/>
    <w:rsid w:val="001A5BBB"/>
    <w:rsid w:val="001A613D"/>
    <w:rsid w:val="001A7FAA"/>
    <w:rsid w:val="001B24E1"/>
    <w:rsid w:val="001B376D"/>
    <w:rsid w:val="001C0AD9"/>
    <w:rsid w:val="001C33A0"/>
    <w:rsid w:val="001C3D60"/>
    <w:rsid w:val="001C3F41"/>
    <w:rsid w:val="001C4052"/>
    <w:rsid w:val="001C4232"/>
    <w:rsid w:val="001C7B0F"/>
    <w:rsid w:val="001D00DA"/>
    <w:rsid w:val="001D0BD5"/>
    <w:rsid w:val="001D2029"/>
    <w:rsid w:val="001D62CB"/>
    <w:rsid w:val="001D6398"/>
    <w:rsid w:val="001D746E"/>
    <w:rsid w:val="001D7831"/>
    <w:rsid w:val="001E439C"/>
    <w:rsid w:val="001E6DA5"/>
    <w:rsid w:val="001F1496"/>
    <w:rsid w:val="001F14B1"/>
    <w:rsid w:val="001F14D1"/>
    <w:rsid w:val="001F2DE6"/>
    <w:rsid w:val="001F2E04"/>
    <w:rsid w:val="001F5B1A"/>
    <w:rsid w:val="00200EC9"/>
    <w:rsid w:val="002023BD"/>
    <w:rsid w:val="00203203"/>
    <w:rsid w:val="002042E8"/>
    <w:rsid w:val="00204477"/>
    <w:rsid w:val="00204CED"/>
    <w:rsid w:val="00205643"/>
    <w:rsid w:val="002103A4"/>
    <w:rsid w:val="0021277F"/>
    <w:rsid w:val="00213AD8"/>
    <w:rsid w:val="00215A6E"/>
    <w:rsid w:val="002161B5"/>
    <w:rsid w:val="00220D79"/>
    <w:rsid w:val="00222235"/>
    <w:rsid w:val="002230AF"/>
    <w:rsid w:val="00223621"/>
    <w:rsid w:val="002256E4"/>
    <w:rsid w:val="002263F9"/>
    <w:rsid w:val="002264AB"/>
    <w:rsid w:val="00226921"/>
    <w:rsid w:val="00230348"/>
    <w:rsid w:val="00230946"/>
    <w:rsid w:val="002325F0"/>
    <w:rsid w:val="002334D1"/>
    <w:rsid w:val="002356DD"/>
    <w:rsid w:val="00236998"/>
    <w:rsid w:val="00237E09"/>
    <w:rsid w:val="0024133D"/>
    <w:rsid w:val="0024217C"/>
    <w:rsid w:val="00250B80"/>
    <w:rsid w:val="00253502"/>
    <w:rsid w:val="00253593"/>
    <w:rsid w:val="002538EF"/>
    <w:rsid w:val="00254981"/>
    <w:rsid w:val="00260911"/>
    <w:rsid w:val="00262A31"/>
    <w:rsid w:val="002633EB"/>
    <w:rsid w:val="002653BA"/>
    <w:rsid w:val="002654C2"/>
    <w:rsid w:val="00266CEB"/>
    <w:rsid w:val="002724A7"/>
    <w:rsid w:val="002728D1"/>
    <w:rsid w:val="002730FD"/>
    <w:rsid w:val="00273828"/>
    <w:rsid w:val="002744B3"/>
    <w:rsid w:val="00274C65"/>
    <w:rsid w:val="00275568"/>
    <w:rsid w:val="0027574B"/>
    <w:rsid w:val="0027753D"/>
    <w:rsid w:val="00280EE9"/>
    <w:rsid w:val="00280F65"/>
    <w:rsid w:val="002816C0"/>
    <w:rsid w:val="002822BC"/>
    <w:rsid w:val="00282481"/>
    <w:rsid w:val="002855D5"/>
    <w:rsid w:val="002868AF"/>
    <w:rsid w:val="00287A18"/>
    <w:rsid w:val="00293163"/>
    <w:rsid w:val="0029412C"/>
    <w:rsid w:val="00295388"/>
    <w:rsid w:val="00295B62"/>
    <w:rsid w:val="002A1D76"/>
    <w:rsid w:val="002A5684"/>
    <w:rsid w:val="002A7555"/>
    <w:rsid w:val="002A7CEB"/>
    <w:rsid w:val="002B047C"/>
    <w:rsid w:val="002B0917"/>
    <w:rsid w:val="002B1801"/>
    <w:rsid w:val="002B7182"/>
    <w:rsid w:val="002B7A9B"/>
    <w:rsid w:val="002C3B07"/>
    <w:rsid w:val="002C6597"/>
    <w:rsid w:val="002C6FDB"/>
    <w:rsid w:val="002C732B"/>
    <w:rsid w:val="002C740F"/>
    <w:rsid w:val="002D102D"/>
    <w:rsid w:val="002D22B9"/>
    <w:rsid w:val="002D2E2B"/>
    <w:rsid w:val="002D4127"/>
    <w:rsid w:val="002E3654"/>
    <w:rsid w:val="002E7B7C"/>
    <w:rsid w:val="002F7987"/>
    <w:rsid w:val="002F7C02"/>
    <w:rsid w:val="00300249"/>
    <w:rsid w:val="00302C5B"/>
    <w:rsid w:val="00305336"/>
    <w:rsid w:val="00305BBD"/>
    <w:rsid w:val="003066DF"/>
    <w:rsid w:val="00307340"/>
    <w:rsid w:val="003073F9"/>
    <w:rsid w:val="00311956"/>
    <w:rsid w:val="00312F9B"/>
    <w:rsid w:val="0031542D"/>
    <w:rsid w:val="003157D6"/>
    <w:rsid w:val="00317DC7"/>
    <w:rsid w:val="00325195"/>
    <w:rsid w:val="00325BAB"/>
    <w:rsid w:val="00332079"/>
    <w:rsid w:val="00332A77"/>
    <w:rsid w:val="00333E1A"/>
    <w:rsid w:val="00335083"/>
    <w:rsid w:val="00335B10"/>
    <w:rsid w:val="00337BD2"/>
    <w:rsid w:val="00346702"/>
    <w:rsid w:val="00350309"/>
    <w:rsid w:val="00350826"/>
    <w:rsid w:val="00354005"/>
    <w:rsid w:val="00354108"/>
    <w:rsid w:val="0036114C"/>
    <w:rsid w:val="003617B9"/>
    <w:rsid w:val="0036450B"/>
    <w:rsid w:val="003656B4"/>
    <w:rsid w:val="00365901"/>
    <w:rsid w:val="00366164"/>
    <w:rsid w:val="00366972"/>
    <w:rsid w:val="00366A84"/>
    <w:rsid w:val="00367092"/>
    <w:rsid w:val="00370FA6"/>
    <w:rsid w:val="00373F2A"/>
    <w:rsid w:val="00376AB0"/>
    <w:rsid w:val="00376C24"/>
    <w:rsid w:val="00377660"/>
    <w:rsid w:val="0038314C"/>
    <w:rsid w:val="003841D6"/>
    <w:rsid w:val="0038527D"/>
    <w:rsid w:val="00385E04"/>
    <w:rsid w:val="003875E6"/>
    <w:rsid w:val="00391F38"/>
    <w:rsid w:val="00397F63"/>
    <w:rsid w:val="003A0D01"/>
    <w:rsid w:val="003A1ADD"/>
    <w:rsid w:val="003B0BAD"/>
    <w:rsid w:val="003B1BF9"/>
    <w:rsid w:val="003B2231"/>
    <w:rsid w:val="003B2C82"/>
    <w:rsid w:val="003B5593"/>
    <w:rsid w:val="003B62B1"/>
    <w:rsid w:val="003C06CF"/>
    <w:rsid w:val="003C1C12"/>
    <w:rsid w:val="003C4C3A"/>
    <w:rsid w:val="003D1F3B"/>
    <w:rsid w:val="003D4999"/>
    <w:rsid w:val="003D6D01"/>
    <w:rsid w:val="003E1673"/>
    <w:rsid w:val="003E4332"/>
    <w:rsid w:val="003E60B9"/>
    <w:rsid w:val="003E6AB0"/>
    <w:rsid w:val="003F1101"/>
    <w:rsid w:val="003F3444"/>
    <w:rsid w:val="003F366E"/>
    <w:rsid w:val="003F6C0D"/>
    <w:rsid w:val="004002E2"/>
    <w:rsid w:val="004033FB"/>
    <w:rsid w:val="00405625"/>
    <w:rsid w:val="004066C8"/>
    <w:rsid w:val="00406D69"/>
    <w:rsid w:val="00411F4A"/>
    <w:rsid w:val="004122C8"/>
    <w:rsid w:val="00413BFE"/>
    <w:rsid w:val="00415F5C"/>
    <w:rsid w:val="00416173"/>
    <w:rsid w:val="00417D19"/>
    <w:rsid w:val="00417F82"/>
    <w:rsid w:val="0042250E"/>
    <w:rsid w:val="00430588"/>
    <w:rsid w:val="00432828"/>
    <w:rsid w:val="004330F6"/>
    <w:rsid w:val="00433941"/>
    <w:rsid w:val="00440C4F"/>
    <w:rsid w:val="00441616"/>
    <w:rsid w:val="00443565"/>
    <w:rsid w:val="00446BB2"/>
    <w:rsid w:val="00446DB2"/>
    <w:rsid w:val="0045253C"/>
    <w:rsid w:val="00452BB3"/>
    <w:rsid w:val="0045463C"/>
    <w:rsid w:val="0045641F"/>
    <w:rsid w:val="00456CE2"/>
    <w:rsid w:val="004612B1"/>
    <w:rsid w:val="00461BD9"/>
    <w:rsid w:val="0046223C"/>
    <w:rsid w:val="00462AE0"/>
    <w:rsid w:val="00462E3A"/>
    <w:rsid w:val="004633E1"/>
    <w:rsid w:val="004645DB"/>
    <w:rsid w:val="00465B6C"/>
    <w:rsid w:val="004676E6"/>
    <w:rsid w:val="00470232"/>
    <w:rsid w:val="004708D6"/>
    <w:rsid w:val="0047176E"/>
    <w:rsid w:val="004732DC"/>
    <w:rsid w:val="00480DB9"/>
    <w:rsid w:val="00481AD4"/>
    <w:rsid w:val="00481FCA"/>
    <w:rsid w:val="00485B6F"/>
    <w:rsid w:val="004873E2"/>
    <w:rsid w:val="0049344C"/>
    <w:rsid w:val="00494646"/>
    <w:rsid w:val="00494F4B"/>
    <w:rsid w:val="00496572"/>
    <w:rsid w:val="0049660A"/>
    <w:rsid w:val="004973E1"/>
    <w:rsid w:val="004A0596"/>
    <w:rsid w:val="004A1B19"/>
    <w:rsid w:val="004A1D1C"/>
    <w:rsid w:val="004A457C"/>
    <w:rsid w:val="004A457F"/>
    <w:rsid w:val="004A6B38"/>
    <w:rsid w:val="004A6B3D"/>
    <w:rsid w:val="004B0192"/>
    <w:rsid w:val="004B2110"/>
    <w:rsid w:val="004B2D1B"/>
    <w:rsid w:val="004B39FE"/>
    <w:rsid w:val="004B41FD"/>
    <w:rsid w:val="004B6535"/>
    <w:rsid w:val="004B6E72"/>
    <w:rsid w:val="004C00D2"/>
    <w:rsid w:val="004C0708"/>
    <w:rsid w:val="004C0778"/>
    <w:rsid w:val="004C39E9"/>
    <w:rsid w:val="004C5B12"/>
    <w:rsid w:val="004D2032"/>
    <w:rsid w:val="004D2AA8"/>
    <w:rsid w:val="004D34C2"/>
    <w:rsid w:val="004D416F"/>
    <w:rsid w:val="004D45C6"/>
    <w:rsid w:val="004D5023"/>
    <w:rsid w:val="004D58EC"/>
    <w:rsid w:val="004D6D31"/>
    <w:rsid w:val="004E0485"/>
    <w:rsid w:val="004E0667"/>
    <w:rsid w:val="004E08DD"/>
    <w:rsid w:val="004E0D36"/>
    <w:rsid w:val="004E1283"/>
    <w:rsid w:val="004E3E9C"/>
    <w:rsid w:val="004E49D8"/>
    <w:rsid w:val="004E4BB9"/>
    <w:rsid w:val="004E5135"/>
    <w:rsid w:val="004E7726"/>
    <w:rsid w:val="004F069B"/>
    <w:rsid w:val="004F2BD6"/>
    <w:rsid w:val="004F5693"/>
    <w:rsid w:val="004F7C1A"/>
    <w:rsid w:val="00503548"/>
    <w:rsid w:val="00503603"/>
    <w:rsid w:val="005065F0"/>
    <w:rsid w:val="00510653"/>
    <w:rsid w:val="00510B23"/>
    <w:rsid w:val="0051157C"/>
    <w:rsid w:val="00514245"/>
    <w:rsid w:val="00514738"/>
    <w:rsid w:val="0051754D"/>
    <w:rsid w:val="00517E8E"/>
    <w:rsid w:val="0052132C"/>
    <w:rsid w:val="00521D13"/>
    <w:rsid w:val="00522262"/>
    <w:rsid w:val="00522A3C"/>
    <w:rsid w:val="005239C4"/>
    <w:rsid w:val="005250D6"/>
    <w:rsid w:val="005257AA"/>
    <w:rsid w:val="005265BE"/>
    <w:rsid w:val="0052760E"/>
    <w:rsid w:val="005307A1"/>
    <w:rsid w:val="00533E0D"/>
    <w:rsid w:val="005364CD"/>
    <w:rsid w:val="0053749C"/>
    <w:rsid w:val="00540942"/>
    <w:rsid w:val="00542F3A"/>
    <w:rsid w:val="00545D97"/>
    <w:rsid w:val="005500EB"/>
    <w:rsid w:val="005506F8"/>
    <w:rsid w:val="00553DF9"/>
    <w:rsid w:val="00555394"/>
    <w:rsid w:val="005554B0"/>
    <w:rsid w:val="00556998"/>
    <w:rsid w:val="00556E5E"/>
    <w:rsid w:val="00560029"/>
    <w:rsid w:val="0056007D"/>
    <w:rsid w:val="0056080C"/>
    <w:rsid w:val="0056189A"/>
    <w:rsid w:val="0056256A"/>
    <w:rsid w:val="00562FEB"/>
    <w:rsid w:val="00563BE1"/>
    <w:rsid w:val="00570656"/>
    <w:rsid w:val="005716FB"/>
    <w:rsid w:val="0057392F"/>
    <w:rsid w:val="00573956"/>
    <w:rsid w:val="00573F84"/>
    <w:rsid w:val="00574A4B"/>
    <w:rsid w:val="005806E4"/>
    <w:rsid w:val="00580791"/>
    <w:rsid w:val="00586562"/>
    <w:rsid w:val="00592A01"/>
    <w:rsid w:val="00597A8D"/>
    <w:rsid w:val="005A0669"/>
    <w:rsid w:val="005A2F72"/>
    <w:rsid w:val="005B2798"/>
    <w:rsid w:val="005B5DCA"/>
    <w:rsid w:val="005B68F1"/>
    <w:rsid w:val="005B6DFC"/>
    <w:rsid w:val="005B6E3D"/>
    <w:rsid w:val="005B7922"/>
    <w:rsid w:val="005C2335"/>
    <w:rsid w:val="005C36C0"/>
    <w:rsid w:val="005C47B4"/>
    <w:rsid w:val="005C6B9F"/>
    <w:rsid w:val="005D1264"/>
    <w:rsid w:val="005D578B"/>
    <w:rsid w:val="005D72A3"/>
    <w:rsid w:val="005E0703"/>
    <w:rsid w:val="005E5466"/>
    <w:rsid w:val="005F2A12"/>
    <w:rsid w:val="005F2BA3"/>
    <w:rsid w:val="005F2EEF"/>
    <w:rsid w:val="005F31BD"/>
    <w:rsid w:val="005F35BF"/>
    <w:rsid w:val="005F3ED2"/>
    <w:rsid w:val="005F3EEF"/>
    <w:rsid w:val="005F5567"/>
    <w:rsid w:val="006000D3"/>
    <w:rsid w:val="0060066D"/>
    <w:rsid w:val="00600B41"/>
    <w:rsid w:val="00601199"/>
    <w:rsid w:val="0060397D"/>
    <w:rsid w:val="00603A89"/>
    <w:rsid w:val="0060426F"/>
    <w:rsid w:val="006062FA"/>
    <w:rsid w:val="006064CC"/>
    <w:rsid w:val="006075EF"/>
    <w:rsid w:val="00607D79"/>
    <w:rsid w:val="00611131"/>
    <w:rsid w:val="006167FD"/>
    <w:rsid w:val="00620A37"/>
    <w:rsid w:val="006224FB"/>
    <w:rsid w:val="00623DD0"/>
    <w:rsid w:val="00625FD8"/>
    <w:rsid w:val="006271EC"/>
    <w:rsid w:val="00630B21"/>
    <w:rsid w:val="00630C16"/>
    <w:rsid w:val="00631092"/>
    <w:rsid w:val="00631122"/>
    <w:rsid w:val="006317F3"/>
    <w:rsid w:val="006327F3"/>
    <w:rsid w:val="00632933"/>
    <w:rsid w:val="00634242"/>
    <w:rsid w:val="006344DC"/>
    <w:rsid w:val="006407D5"/>
    <w:rsid w:val="00641F60"/>
    <w:rsid w:val="0064220E"/>
    <w:rsid w:val="0064261B"/>
    <w:rsid w:val="00642FC2"/>
    <w:rsid w:val="00643845"/>
    <w:rsid w:val="006443A6"/>
    <w:rsid w:val="0064572A"/>
    <w:rsid w:val="00647274"/>
    <w:rsid w:val="00647D94"/>
    <w:rsid w:val="00650F2F"/>
    <w:rsid w:val="00652C8C"/>
    <w:rsid w:val="00653C1A"/>
    <w:rsid w:val="00653E99"/>
    <w:rsid w:val="00653EA9"/>
    <w:rsid w:val="00655260"/>
    <w:rsid w:val="00660947"/>
    <w:rsid w:val="00662355"/>
    <w:rsid w:val="006643D7"/>
    <w:rsid w:val="00666B85"/>
    <w:rsid w:val="00670C7C"/>
    <w:rsid w:val="00672FD4"/>
    <w:rsid w:val="00674419"/>
    <w:rsid w:val="006802E7"/>
    <w:rsid w:val="00680421"/>
    <w:rsid w:val="00680E8C"/>
    <w:rsid w:val="0068210D"/>
    <w:rsid w:val="0068446C"/>
    <w:rsid w:val="00685CC6"/>
    <w:rsid w:val="0069177A"/>
    <w:rsid w:val="0069247E"/>
    <w:rsid w:val="00692D36"/>
    <w:rsid w:val="0069327B"/>
    <w:rsid w:val="006A1C1F"/>
    <w:rsid w:val="006A4FB4"/>
    <w:rsid w:val="006B14C9"/>
    <w:rsid w:val="006B2D71"/>
    <w:rsid w:val="006B4255"/>
    <w:rsid w:val="006B6E79"/>
    <w:rsid w:val="006B7A87"/>
    <w:rsid w:val="006C09EA"/>
    <w:rsid w:val="006C2056"/>
    <w:rsid w:val="006C20CE"/>
    <w:rsid w:val="006C2BA8"/>
    <w:rsid w:val="006C64B2"/>
    <w:rsid w:val="006C7920"/>
    <w:rsid w:val="006D04CD"/>
    <w:rsid w:val="006D0908"/>
    <w:rsid w:val="006D6542"/>
    <w:rsid w:val="006D7070"/>
    <w:rsid w:val="006D768C"/>
    <w:rsid w:val="006E0DD3"/>
    <w:rsid w:val="006E44C8"/>
    <w:rsid w:val="006E4DAA"/>
    <w:rsid w:val="006E4DB5"/>
    <w:rsid w:val="006E5DA9"/>
    <w:rsid w:val="006E65C1"/>
    <w:rsid w:val="006E739D"/>
    <w:rsid w:val="006F2C44"/>
    <w:rsid w:val="006F34F2"/>
    <w:rsid w:val="006F3F22"/>
    <w:rsid w:val="006F46F8"/>
    <w:rsid w:val="006F6583"/>
    <w:rsid w:val="0070258F"/>
    <w:rsid w:val="00704CB9"/>
    <w:rsid w:val="00704E62"/>
    <w:rsid w:val="00704F3C"/>
    <w:rsid w:val="00711E7E"/>
    <w:rsid w:val="00712997"/>
    <w:rsid w:val="00712C8C"/>
    <w:rsid w:val="00713020"/>
    <w:rsid w:val="0071336F"/>
    <w:rsid w:val="007143C1"/>
    <w:rsid w:val="007144FE"/>
    <w:rsid w:val="00715048"/>
    <w:rsid w:val="00715164"/>
    <w:rsid w:val="00716F34"/>
    <w:rsid w:val="00721905"/>
    <w:rsid w:val="00723246"/>
    <w:rsid w:val="0072331F"/>
    <w:rsid w:val="007233AC"/>
    <w:rsid w:val="007233E5"/>
    <w:rsid w:val="00724271"/>
    <w:rsid w:val="00724B41"/>
    <w:rsid w:val="00726F2F"/>
    <w:rsid w:val="00727AD3"/>
    <w:rsid w:val="00731896"/>
    <w:rsid w:val="00731A61"/>
    <w:rsid w:val="0073260F"/>
    <w:rsid w:val="007339A6"/>
    <w:rsid w:val="0073406B"/>
    <w:rsid w:val="00735F42"/>
    <w:rsid w:val="0073707D"/>
    <w:rsid w:val="0074616F"/>
    <w:rsid w:val="00746B56"/>
    <w:rsid w:val="007526EE"/>
    <w:rsid w:val="007561F5"/>
    <w:rsid w:val="00756640"/>
    <w:rsid w:val="007575C3"/>
    <w:rsid w:val="0075785B"/>
    <w:rsid w:val="007617B1"/>
    <w:rsid w:val="00762F66"/>
    <w:rsid w:val="007644FF"/>
    <w:rsid w:val="00766AFE"/>
    <w:rsid w:val="0076766E"/>
    <w:rsid w:val="00767D0E"/>
    <w:rsid w:val="007751A6"/>
    <w:rsid w:val="00775B74"/>
    <w:rsid w:val="0077604C"/>
    <w:rsid w:val="007804EE"/>
    <w:rsid w:val="0078329A"/>
    <w:rsid w:val="00785F14"/>
    <w:rsid w:val="007931CE"/>
    <w:rsid w:val="00793C96"/>
    <w:rsid w:val="00796C2C"/>
    <w:rsid w:val="007A0FFE"/>
    <w:rsid w:val="007A113F"/>
    <w:rsid w:val="007A17F7"/>
    <w:rsid w:val="007A226D"/>
    <w:rsid w:val="007A54A0"/>
    <w:rsid w:val="007A7342"/>
    <w:rsid w:val="007B4752"/>
    <w:rsid w:val="007B5678"/>
    <w:rsid w:val="007B75D0"/>
    <w:rsid w:val="007C160B"/>
    <w:rsid w:val="007C1B7D"/>
    <w:rsid w:val="007C3508"/>
    <w:rsid w:val="007C5985"/>
    <w:rsid w:val="007D3D9E"/>
    <w:rsid w:val="007D503A"/>
    <w:rsid w:val="007D524B"/>
    <w:rsid w:val="007D57E2"/>
    <w:rsid w:val="007D7894"/>
    <w:rsid w:val="007E03B4"/>
    <w:rsid w:val="007E0BA1"/>
    <w:rsid w:val="007E0C91"/>
    <w:rsid w:val="007E1148"/>
    <w:rsid w:val="007E13CA"/>
    <w:rsid w:val="007E2121"/>
    <w:rsid w:val="007E2E68"/>
    <w:rsid w:val="007E30BA"/>
    <w:rsid w:val="007E3207"/>
    <w:rsid w:val="007E35DA"/>
    <w:rsid w:val="007E447B"/>
    <w:rsid w:val="007E4B68"/>
    <w:rsid w:val="007E5DDA"/>
    <w:rsid w:val="007E6814"/>
    <w:rsid w:val="007E7225"/>
    <w:rsid w:val="007E72D4"/>
    <w:rsid w:val="007E77D9"/>
    <w:rsid w:val="007F07C4"/>
    <w:rsid w:val="007F12DF"/>
    <w:rsid w:val="007F1E1D"/>
    <w:rsid w:val="007F24E8"/>
    <w:rsid w:val="007F3CA3"/>
    <w:rsid w:val="007F4B2C"/>
    <w:rsid w:val="007F5AE2"/>
    <w:rsid w:val="007F6170"/>
    <w:rsid w:val="007F77DA"/>
    <w:rsid w:val="00800224"/>
    <w:rsid w:val="00801292"/>
    <w:rsid w:val="00802035"/>
    <w:rsid w:val="0080280B"/>
    <w:rsid w:val="0080299C"/>
    <w:rsid w:val="00802A4E"/>
    <w:rsid w:val="008036B0"/>
    <w:rsid w:val="008037EC"/>
    <w:rsid w:val="0080487F"/>
    <w:rsid w:val="00806C9E"/>
    <w:rsid w:val="00811D7F"/>
    <w:rsid w:val="00814BAD"/>
    <w:rsid w:val="0081555D"/>
    <w:rsid w:val="008235B3"/>
    <w:rsid w:val="00825925"/>
    <w:rsid w:val="00827282"/>
    <w:rsid w:val="00830C40"/>
    <w:rsid w:val="00830C57"/>
    <w:rsid w:val="0083177A"/>
    <w:rsid w:val="00831C26"/>
    <w:rsid w:val="0083390D"/>
    <w:rsid w:val="00834DF8"/>
    <w:rsid w:val="008353B9"/>
    <w:rsid w:val="00835C6F"/>
    <w:rsid w:val="008371E6"/>
    <w:rsid w:val="00837530"/>
    <w:rsid w:val="00840D44"/>
    <w:rsid w:val="00841A60"/>
    <w:rsid w:val="0084494D"/>
    <w:rsid w:val="00845437"/>
    <w:rsid w:val="00845A0B"/>
    <w:rsid w:val="00845D06"/>
    <w:rsid w:val="00845D5E"/>
    <w:rsid w:val="008468E4"/>
    <w:rsid w:val="00847A43"/>
    <w:rsid w:val="0085024C"/>
    <w:rsid w:val="00851718"/>
    <w:rsid w:val="00851936"/>
    <w:rsid w:val="00856D2B"/>
    <w:rsid w:val="00857124"/>
    <w:rsid w:val="008606A1"/>
    <w:rsid w:val="00866263"/>
    <w:rsid w:val="00866B95"/>
    <w:rsid w:val="00872D22"/>
    <w:rsid w:val="00876C28"/>
    <w:rsid w:val="0087766F"/>
    <w:rsid w:val="00877D54"/>
    <w:rsid w:val="00880BFA"/>
    <w:rsid w:val="00881F28"/>
    <w:rsid w:val="00887D17"/>
    <w:rsid w:val="008902D9"/>
    <w:rsid w:val="00890870"/>
    <w:rsid w:val="00890C2B"/>
    <w:rsid w:val="008916C6"/>
    <w:rsid w:val="0089193C"/>
    <w:rsid w:val="00891CA0"/>
    <w:rsid w:val="00893A82"/>
    <w:rsid w:val="00894187"/>
    <w:rsid w:val="008956E5"/>
    <w:rsid w:val="00895ABF"/>
    <w:rsid w:val="008A16DA"/>
    <w:rsid w:val="008A1798"/>
    <w:rsid w:val="008A24C5"/>
    <w:rsid w:val="008A2D90"/>
    <w:rsid w:val="008A3F55"/>
    <w:rsid w:val="008A490B"/>
    <w:rsid w:val="008A5EC2"/>
    <w:rsid w:val="008B0D99"/>
    <w:rsid w:val="008B1599"/>
    <w:rsid w:val="008B263B"/>
    <w:rsid w:val="008B44EE"/>
    <w:rsid w:val="008C0127"/>
    <w:rsid w:val="008C203E"/>
    <w:rsid w:val="008C24D5"/>
    <w:rsid w:val="008C4E65"/>
    <w:rsid w:val="008C4EB5"/>
    <w:rsid w:val="008C6701"/>
    <w:rsid w:val="008C6F89"/>
    <w:rsid w:val="008D5953"/>
    <w:rsid w:val="008D6556"/>
    <w:rsid w:val="008D7B10"/>
    <w:rsid w:val="008E1865"/>
    <w:rsid w:val="008E31E6"/>
    <w:rsid w:val="008E3C5F"/>
    <w:rsid w:val="008E6D56"/>
    <w:rsid w:val="008E7079"/>
    <w:rsid w:val="008E7D39"/>
    <w:rsid w:val="008F2495"/>
    <w:rsid w:val="008F3C5C"/>
    <w:rsid w:val="008F53E6"/>
    <w:rsid w:val="008F6060"/>
    <w:rsid w:val="009000DC"/>
    <w:rsid w:val="00900A31"/>
    <w:rsid w:val="00901666"/>
    <w:rsid w:val="0090173D"/>
    <w:rsid w:val="00906538"/>
    <w:rsid w:val="00906DD8"/>
    <w:rsid w:val="00912E20"/>
    <w:rsid w:val="00913EAA"/>
    <w:rsid w:val="00914A68"/>
    <w:rsid w:val="00917910"/>
    <w:rsid w:val="0092004B"/>
    <w:rsid w:val="00920C8A"/>
    <w:rsid w:val="00921E62"/>
    <w:rsid w:val="0092243B"/>
    <w:rsid w:val="0092414A"/>
    <w:rsid w:val="00924273"/>
    <w:rsid w:val="00925C85"/>
    <w:rsid w:val="0092651C"/>
    <w:rsid w:val="00927623"/>
    <w:rsid w:val="0093120C"/>
    <w:rsid w:val="00932FD2"/>
    <w:rsid w:val="00934037"/>
    <w:rsid w:val="00936E9F"/>
    <w:rsid w:val="009411ED"/>
    <w:rsid w:val="009421D8"/>
    <w:rsid w:val="00946A58"/>
    <w:rsid w:val="00947CBD"/>
    <w:rsid w:val="00947D6E"/>
    <w:rsid w:val="0095099D"/>
    <w:rsid w:val="00950CD1"/>
    <w:rsid w:val="009519DD"/>
    <w:rsid w:val="00951BBB"/>
    <w:rsid w:val="009530C9"/>
    <w:rsid w:val="00954159"/>
    <w:rsid w:val="00954750"/>
    <w:rsid w:val="00955ECA"/>
    <w:rsid w:val="0095675A"/>
    <w:rsid w:val="009570A6"/>
    <w:rsid w:val="00962664"/>
    <w:rsid w:val="00962678"/>
    <w:rsid w:val="00963381"/>
    <w:rsid w:val="00973C44"/>
    <w:rsid w:val="00980B34"/>
    <w:rsid w:val="0098104B"/>
    <w:rsid w:val="009822CF"/>
    <w:rsid w:val="00987B7A"/>
    <w:rsid w:val="00990A60"/>
    <w:rsid w:val="00990B52"/>
    <w:rsid w:val="00991B42"/>
    <w:rsid w:val="00991C95"/>
    <w:rsid w:val="00993DEE"/>
    <w:rsid w:val="00994D5F"/>
    <w:rsid w:val="00995269"/>
    <w:rsid w:val="00995931"/>
    <w:rsid w:val="00995C21"/>
    <w:rsid w:val="009A270C"/>
    <w:rsid w:val="009A74E6"/>
    <w:rsid w:val="009A762B"/>
    <w:rsid w:val="009B1DCF"/>
    <w:rsid w:val="009B1E4E"/>
    <w:rsid w:val="009B3144"/>
    <w:rsid w:val="009B5919"/>
    <w:rsid w:val="009C153B"/>
    <w:rsid w:val="009C44C5"/>
    <w:rsid w:val="009C611C"/>
    <w:rsid w:val="009D1A9E"/>
    <w:rsid w:val="009D4A39"/>
    <w:rsid w:val="009D58CC"/>
    <w:rsid w:val="009E0CBF"/>
    <w:rsid w:val="009E1E72"/>
    <w:rsid w:val="009E24FA"/>
    <w:rsid w:val="009E30C9"/>
    <w:rsid w:val="009E3334"/>
    <w:rsid w:val="009E399D"/>
    <w:rsid w:val="009E4F5F"/>
    <w:rsid w:val="009E5AC6"/>
    <w:rsid w:val="009E69D1"/>
    <w:rsid w:val="009F264A"/>
    <w:rsid w:val="009F2949"/>
    <w:rsid w:val="009F4B97"/>
    <w:rsid w:val="009F581C"/>
    <w:rsid w:val="009F78E5"/>
    <w:rsid w:val="009F78FC"/>
    <w:rsid w:val="00A00EE8"/>
    <w:rsid w:val="00A01302"/>
    <w:rsid w:val="00A03A92"/>
    <w:rsid w:val="00A03B75"/>
    <w:rsid w:val="00A070B4"/>
    <w:rsid w:val="00A10B9E"/>
    <w:rsid w:val="00A1121C"/>
    <w:rsid w:val="00A11433"/>
    <w:rsid w:val="00A11E33"/>
    <w:rsid w:val="00A13A10"/>
    <w:rsid w:val="00A13AFC"/>
    <w:rsid w:val="00A173DD"/>
    <w:rsid w:val="00A17536"/>
    <w:rsid w:val="00A213E1"/>
    <w:rsid w:val="00A2697B"/>
    <w:rsid w:val="00A30DBF"/>
    <w:rsid w:val="00A32D87"/>
    <w:rsid w:val="00A41F64"/>
    <w:rsid w:val="00A43375"/>
    <w:rsid w:val="00A435E2"/>
    <w:rsid w:val="00A44AF1"/>
    <w:rsid w:val="00A520C4"/>
    <w:rsid w:val="00A523D5"/>
    <w:rsid w:val="00A52D9C"/>
    <w:rsid w:val="00A548B2"/>
    <w:rsid w:val="00A549F0"/>
    <w:rsid w:val="00A554F1"/>
    <w:rsid w:val="00A57214"/>
    <w:rsid w:val="00A60838"/>
    <w:rsid w:val="00A61717"/>
    <w:rsid w:val="00A6300B"/>
    <w:rsid w:val="00A65DA3"/>
    <w:rsid w:val="00A722C2"/>
    <w:rsid w:val="00A812D4"/>
    <w:rsid w:val="00A85B7F"/>
    <w:rsid w:val="00A90A89"/>
    <w:rsid w:val="00A91A51"/>
    <w:rsid w:val="00A92446"/>
    <w:rsid w:val="00A92802"/>
    <w:rsid w:val="00A944F0"/>
    <w:rsid w:val="00A95555"/>
    <w:rsid w:val="00A963A8"/>
    <w:rsid w:val="00A96884"/>
    <w:rsid w:val="00A969F0"/>
    <w:rsid w:val="00A97C58"/>
    <w:rsid w:val="00AA441D"/>
    <w:rsid w:val="00AA4469"/>
    <w:rsid w:val="00AA67F2"/>
    <w:rsid w:val="00AB041D"/>
    <w:rsid w:val="00AB3034"/>
    <w:rsid w:val="00AB57B6"/>
    <w:rsid w:val="00AB7E12"/>
    <w:rsid w:val="00AC0B79"/>
    <w:rsid w:val="00AC1CCB"/>
    <w:rsid w:val="00AC2D00"/>
    <w:rsid w:val="00AC3439"/>
    <w:rsid w:val="00AC6A4D"/>
    <w:rsid w:val="00AD2B12"/>
    <w:rsid w:val="00AD308A"/>
    <w:rsid w:val="00AD3C65"/>
    <w:rsid w:val="00AD434F"/>
    <w:rsid w:val="00AD5814"/>
    <w:rsid w:val="00AD5E0C"/>
    <w:rsid w:val="00AD7624"/>
    <w:rsid w:val="00AE1F6D"/>
    <w:rsid w:val="00AE2374"/>
    <w:rsid w:val="00AE29E9"/>
    <w:rsid w:val="00AE3780"/>
    <w:rsid w:val="00AE59C2"/>
    <w:rsid w:val="00AE5BB5"/>
    <w:rsid w:val="00AF22F2"/>
    <w:rsid w:val="00B008F2"/>
    <w:rsid w:val="00B017A1"/>
    <w:rsid w:val="00B01DBA"/>
    <w:rsid w:val="00B0724A"/>
    <w:rsid w:val="00B11133"/>
    <w:rsid w:val="00B134BF"/>
    <w:rsid w:val="00B155D1"/>
    <w:rsid w:val="00B157EA"/>
    <w:rsid w:val="00B1767F"/>
    <w:rsid w:val="00B20E72"/>
    <w:rsid w:val="00B22BA2"/>
    <w:rsid w:val="00B23CBE"/>
    <w:rsid w:val="00B25FD6"/>
    <w:rsid w:val="00B272C4"/>
    <w:rsid w:val="00B272D3"/>
    <w:rsid w:val="00B322C7"/>
    <w:rsid w:val="00B35B0E"/>
    <w:rsid w:val="00B3764E"/>
    <w:rsid w:val="00B402E0"/>
    <w:rsid w:val="00B41EC6"/>
    <w:rsid w:val="00B4316F"/>
    <w:rsid w:val="00B439CE"/>
    <w:rsid w:val="00B45A6E"/>
    <w:rsid w:val="00B54828"/>
    <w:rsid w:val="00B54BAF"/>
    <w:rsid w:val="00B54FC9"/>
    <w:rsid w:val="00B5725D"/>
    <w:rsid w:val="00B64701"/>
    <w:rsid w:val="00B70085"/>
    <w:rsid w:val="00B703AC"/>
    <w:rsid w:val="00B71106"/>
    <w:rsid w:val="00B72110"/>
    <w:rsid w:val="00B736F1"/>
    <w:rsid w:val="00B75041"/>
    <w:rsid w:val="00B75B8A"/>
    <w:rsid w:val="00B77B02"/>
    <w:rsid w:val="00B815D2"/>
    <w:rsid w:val="00B829B2"/>
    <w:rsid w:val="00B82D51"/>
    <w:rsid w:val="00B83982"/>
    <w:rsid w:val="00B83C7E"/>
    <w:rsid w:val="00B83DF6"/>
    <w:rsid w:val="00B8508C"/>
    <w:rsid w:val="00B860CA"/>
    <w:rsid w:val="00B8665A"/>
    <w:rsid w:val="00B86849"/>
    <w:rsid w:val="00B86B86"/>
    <w:rsid w:val="00B87C43"/>
    <w:rsid w:val="00B94FBE"/>
    <w:rsid w:val="00B95474"/>
    <w:rsid w:val="00B95A94"/>
    <w:rsid w:val="00B9622A"/>
    <w:rsid w:val="00B96A86"/>
    <w:rsid w:val="00B971EE"/>
    <w:rsid w:val="00B97E27"/>
    <w:rsid w:val="00BA0F1B"/>
    <w:rsid w:val="00BA1267"/>
    <w:rsid w:val="00BB17AA"/>
    <w:rsid w:val="00BB1EB6"/>
    <w:rsid w:val="00BB3FC8"/>
    <w:rsid w:val="00BB51E4"/>
    <w:rsid w:val="00BB7C90"/>
    <w:rsid w:val="00BC1C8E"/>
    <w:rsid w:val="00BC2B1D"/>
    <w:rsid w:val="00BC2F7F"/>
    <w:rsid w:val="00BC3A4F"/>
    <w:rsid w:val="00BC7A6E"/>
    <w:rsid w:val="00BD06E4"/>
    <w:rsid w:val="00BD0ADD"/>
    <w:rsid w:val="00BD0C6A"/>
    <w:rsid w:val="00BD12AF"/>
    <w:rsid w:val="00BD1AF7"/>
    <w:rsid w:val="00BD29B4"/>
    <w:rsid w:val="00BD6431"/>
    <w:rsid w:val="00BE098F"/>
    <w:rsid w:val="00BE1F25"/>
    <w:rsid w:val="00BE31FD"/>
    <w:rsid w:val="00BE383A"/>
    <w:rsid w:val="00BE6A3A"/>
    <w:rsid w:val="00BF0457"/>
    <w:rsid w:val="00BF0805"/>
    <w:rsid w:val="00BF0EA2"/>
    <w:rsid w:val="00BF208B"/>
    <w:rsid w:val="00BF3CFB"/>
    <w:rsid w:val="00BF4D66"/>
    <w:rsid w:val="00BF69CE"/>
    <w:rsid w:val="00BF6C55"/>
    <w:rsid w:val="00BF72CE"/>
    <w:rsid w:val="00BF7E4F"/>
    <w:rsid w:val="00C011BA"/>
    <w:rsid w:val="00C0424B"/>
    <w:rsid w:val="00C04BA9"/>
    <w:rsid w:val="00C05930"/>
    <w:rsid w:val="00C05956"/>
    <w:rsid w:val="00C065A3"/>
    <w:rsid w:val="00C06E4D"/>
    <w:rsid w:val="00C10861"/>
    <w:rsid w:val="00C14F1C"/>
    <w:rsid w:val="00C154CC"/>
    <w:rsid w:val="00C17A2A"/>
    <w:rsid w:val="00C23F3B"/>
    <w:rsid w:val="00C240C0"/>
    <w:rsid w:val="00C266CA"/>
    <w:rsid w:val="00C3125B"/>
    <w:rsid w:val="00C31DCE"/>
    <w:rsid w:val="00C320BC"/>
    <w:rsid w:val="00C33095"/>
    <w:rsid w:val="00C33C48"/>
    <w:rsid w:val="00C348B2"/>
    <w:rsid w:val="00C35582"/>
    <w:rsid w:val="00C37763"/>
    <w:rsid w:val="00C378C8"/>
    <w:rsid w:val="00C406CE"/>
    <w:rsid w:val="00C44266"/>
    <w:rsid w:val="00C4483B"/>
    <w:rsid w:val="00C44B71"/>
    <w:rsid w:val="00C4676E"/>
    <w:rsid w:val="00C479FD"/>
    <w:rsid w:val="00C50EA3"/>
    <w:rsid w:val="00C52420"/>
    <w:rsid w:val="00C527D3"/>
    <w:rsid w:val="00C53A08"/>
    <w:rsid w:val="00C5481D"/>
    <w:rsid w:val="00C57374"/>
    <w:rsid w:val="00C612A6"/>
    <w:rsid w:val="00C61ADA"/>
    <w:rsid w:val="00C62FC3"/>
    <w:rsid w:val="00C63E70"/>
    <w:rsid w:val="00C6646E"/>
    <w:rsid w:val="00C67D7A"/>
    <w:rsid w:val="00C72345"/>
    <w:rsid w:val="00C73479"/>
    <w:rsid w:val="00C74562"/>
    <w:rsid w:val="00C74842"/>
    <w:rsid w:val="00C7565E"/>
    <w:rsid w:val="00C756F2"/>
    <w:rsid w:val="00C766C1"/>
    <w:rsid w:val="00C7686C"/>
    <w:rsid w:val="00C77A13"/>
    <w:rsid w:val="00C77A4B"/>
    <w:rsid w:val="00C81813"/>
    <w:rsid w:val="00C8352A"/>
    <w:rsid w:val="00C93B67"/>
    <w:rsid w:val="00C93DC4"/>
    <w:rsid w:val="00C9458B"/>
    <w:rsid w:val="00C97A60"/>
    <w:rsid w:val="00CA16DA"/>
    <w:rsid w:val="00CA3E40"/>
    <w:rsid w:val="00CA4446"/>
    <w:rsid w:val="00CA6BEF"/>
    <w:rsid w:val="00CB0248"/>
    <w:rsid w:val="00CB1EA8"/>
    <w:rsid w:val="00CB27E7"/>
    <w:rsid w:val="00CB3E88"/>
    <w:rsid w:val="00CB6400"/>
    <w:rsid w:val="00CB70A2"/>
    <w:rsid w:val="00CC09C5"/>
    <w:rsid w:val="00CC0F8C"/>
    <w:rsid w:val="00CC1837"/>
    <w:rsid w:val="00CC677A"/>
    <w:rsid w:val="00CC7659"/>
    <w:rsid w:val="00CD0B66"/>
    <w:rsid w:val="00CD0FE0"/>
    <w:rsid w:val="00CD1D71"/>
    <w:rsid w:val="00CD2BB3"/>
    <w:rsid w:val="00CD3374"/>
    <w:rsid w:val="00CD4F5B"/>
    <w:rsid w:val="00CE17AA"/>
    <w:rsid w:val="00CE2140"/>
    <w:rsid w:val="00CE30DF"/>
    <w:rsid w:val="00CE45CF"/>
    <w:rsid w:val="00CE5A7D"/>
    <w:rsid w:val="00CE7CA1"/>
    <w:rsid w:val="00CF1DD0"/>
    <w:rsid w:val="00CF1DEE"/>
    <w:rsid w:val="00CF2DEB"/>
    <w:rsid w:val="00CF3BEC"/>
    <w:rsid w:val="00CF49AF"/>
    <w:rsid w:val="00D02DDC"/>
    <w:rsid w:val="00D03ECD"/>
    <w:rsid w:val="00D04893"/>
    <w:rsid w:val="00D0518C"/>
    <w:rsid w:val="00D06DAE"/>
    <w:rsid w:val="00D17907"/>
    <w:rsid w:val="00D23133"/>
    <w:rsid w:val="00D23258"/>
    <w:rsid w:val="00D2431B"/>
    <w:rsid w:val="00D25119"/>
    <w:rsid w:val="00D2637B"/>
    <w:rsid w:val="00D2764B"/>
    <w:rsid w:val="00D32EFA"/>
    <w:rsid w:val="00D32FFD"/>
    <w:rsid w:val="00D33A65"/>
    <w:rsid w:val="00D36BC7"/>
    <w:rsid w:val="00D36CE8"/>
    <w:rsid w:val="00D416F9"/>
    <w:rsid w:val="00D43C06"/>
    <w:rsid w:val="00D44289"/>
    <w:rsid w:val="00D4635B"/>
    <w:rsid w:val="00D4715B"/>
    <w:rsid w:val="00D504CF"/>
    <w:rsid w:val="00D50884"/>
    <w:rsid w:val="00D5119C"/>
    <w:rsid w:val="00D5149F"/>
    <w:rsid w:val="00D5546C"/>
    <w:rsid w:val="00D5760E"/>
    <w:rsid w:val="00D60C98"/>
    <w:rsid w:val="00D62FB7"/>
    <w:rsid w:val="00D63C8E"/>
    <w:rsid w:val="00D67BDA"/>
    <w:rsid w:val="00D705A2"/>
    <w:rsid w:val="00D71010"/>
    <w:rsid w:val="00D71B65"/>
    <w:rsid w:val="00D724B4"/>
    <w:rsid w:val="00D73AFB"/>
    <w:rsid w:val="00D76ED6"/>
    <w:rsid w:val="00D77BEF"/>
    <w:rsid w:val="00D80EB0"/>
    <w:rsid w:val="00D84405"/>
    <w:rsid w:val="00D8459B"/>
    <w:rsid w:val="00D848CB"/>
    <w:rsid w:val="00D85546"/>
    <w:rsid w:val="00D85824"/>
    <w:rsid w:val="00D87EFA"/>
    <w:rsid w:val="00D90484"/>
    <w:rsid w:val="00D91FD4"/>
    <w:rsid w:val="00D928FD"/>
    <w:rsid w:val="00D92FC0"/>
    <w:rsid w:val="00D9484B"/>
    <w:rsid w:val="00D96A4B"/>
    <w:rsid w:val="00D970BC"/>
    <w:rsid w:val="00D9771E"/>
    <w:rsid w:val="00DA25FA"/>
    <w:rsid w:val="00DA2D8F"/>
    <w:rsid w:val="00DA79A6"/>
    <w:rsid w:val="00DA7F7F"/>
    <w:rsid w:val="00DB10AB"/>
    <w:rsid w:val="00DB1657"/>
    <w:rsid w:val="00DB3015"/>
    <w:rsid w:val="00DB34FB"/>
    <w:rsid w:val="00DB3BF8"/>
    <w:rsid w:val="00DB42E8"/>
    <w:rsid w:val="00DB535E"/>
    <w:rsid w:val="00DB561D"/>
    <w:rsid w:val="00DB589A"/>
    <w:rsid w:val="00DB662C"/>
    <w:rsid w:val="00DB7BB2"/>
    <w:rsid w:val="00DC3028"/>
    <w:rsid w:val="00DC44C5"/>
    <w:rsid w:val="00DC6671"/>
    <w:rsid w:val="00DC6A17"/>
    <w:rsid w:val="00DC76BD"/>
    <w:rsid w:val="00DD03CC"/>
    <w:rsid w:val="00DD16E5"/>
    <w:rsid w:val="00DD30A6"/>
    <w:rsid w:val="00DD4132"/>
    <w:rsid w:val="00DD48BA"/>
    <w:rsid w:val="00DD509F"/>
    <w:rsid w:val="00DD6B50"/>
    <w:rsid w:val="00DE33C6"/>
    <w:rsid w:val="00DE67CB"/>
    <w:rsid w:val="00DE6AD9"/>
    <w:rsid w:val="00DF01DB"/>
    <w:rsid w:val="00DF0C7B"/>
    <w:rsid w:val="00DF2315"/>
    <w:rsid w:val="00DF3753"/>
    <w:rsid w:val="00DF4060"/>
    <w:rsid w:val="00DF5C00"/>
    <w:rsid w:val="00DF5DDC"/>
    <w:rsid w:val="00E002C1"/>
    <w:rsid w:val="00E0107B"/>
    <w:rsid w:val="00E02CFA"/>
    <w:rsid w:val="00E04365"/>
    <w:rsid w:val="00E117D9"/>
    <w:rsid w:val="00E1380B"/>
    <w:rsid w:val="00E2111C"/>
    <w:rsid w:val="00E21AE3"/>
    <w:rsid w:val="00E233EE"/>
    <w:rsid w:val="00E2414D"/>
    <w:rsid w:val="00E24388"/>
    <w:rsid w:val="00E24D32"/>
    <w:rsid w:val="00E26A67"/>
    <w:rsid w:val="00E3033D"/>
    <w:rsid w:val="00E30413"/>
    <w:rsid w:val="00E3058C"/>
    <w:rsid w:val="00E31439"/>
    <w:rsid w:val="00E31CA1"/>
    <w:rsid w:val="00E35B8D"/>
    <w:rsid w:val="00E35DFB"/>
    <w:rsid w:val="00E36C43"/>
    <w:rsid w:val="00E4162C"/>
    <w:rsid w:val="00E45DD6"/>
    <w:rsid w:val="00E4663D"/>
    <w:rsid w:val="00E51C2C"/>
    <w:rsid w:val="00E52AEB"/>
    <w:rsid w:val="00E55C4F"/>
    <w:rsid w:val="00E560C5"/>
    <w:rsid w:val="00E57155"/>
    <w:rsid w:val="00E62F4B"/>
    <w:rsid w:val="00E6352B"/>
    <w:rsid w:val="00E6405B"/>
    <w:rsid w:val="00E65EB5"/>
    <w:rsid w:val="00E71FCB"/>
    <w:rsid w:val="00E740C6"/>
    <w:rsid w:val="00E741B7"/>
    <w:rsid w:val="00E753F8"/>
    <w:rsid w:val="00E77533"/>
    <w:rsid w:val="00E82078"/>
    <w:rsid w:val="00E824AA"/>
    <w:rsid w:val="00E85071"/>
    <w:rsid w:val="00E86C15"/>
    <w:rsid w:val="00E9012D"/>
    <w:rsid w:val="00E91B8A"/>
    <w:rsid w:val="00E93DA1"/>
    <w:rsid w:val="00E93E10"/>
    <w:rsid w:val="00E95199"/>
    <w:rsid w:val="00E95200"/>
    <w:rsid w:val="00E956DA"/>
    <w:rsid w:val="00E95BE7"/>
    <w:rsid w:val="00E96743"/>
    <w:rsid w:val="00E9684B"/>
    <w:rsid w:val="00EA25D3"/>
    <w:rsid w:val="00EA2DCA"/>
    <w:rsid w:val="00EA39C7"/>
    <w:rsid w:val="00EA7728"/>
    <w:rsid w:val="00EA7A0C"/>
    <w:rsid w:val="00EB022F"/>
    <w:rsid w:val="00EB226A"/>
    <w:rsid w:val="00EB24DD"/>
    <w:rsid w:val="00EB45DF"/>
    <w:rsid w:val="00EB7054"/>
    <w:rsid w:val="00EB78F6"/>
    <w:rsid w:val="00EC011C"/>
    <w:rsid w:val="00EC06A1"/>
    <w:rsid w:val="00EC26C3"/>
    <w:rsid w:val="00EC2AC7"/>
    <w:rsid w:val="00EC3BF9"/>
    <w:rsid w:val="00EC452D"/>
    <w:rsid w:val="00EC5E2E"/>
    <w:rsid w:val="00ED0A30"/>
    <w:rsid w:val="00ED0F5A"/>
    <w:rsid w:val="00ED1CAF"/>
    <w:rsid w:val="00ED3532"/>
    <w:rsid w:val="00ED72F5"/>
    <w:rsid w:val="00EE2E6F"/>
    <w:rsid w:val="00EE5344"/>
    <w:rsid w:val="00EE5C0D"/>
    <w:rsid w:val="00EE7507"/>
    <w:rsid w:val="00EE7932"/>
    <w:rsid w:val="00EF14BD"/>
    <w:rsid w:val="00EF7A72"/>
    <w:rsid w:val="00F00289"/>
    <w:rsid w:val="00F013AA"/>
    <w:rsid w:val="00F05F5B"/>
    <w:rsid w:val="00F06CBE"/>
    <w:rsid w:val="00F104CF"/>
    <w:rsid w:val="00F12CAB"/>
    <w:rsid w:val="00F14023"/>
    <w:rsid w:val="00F14C78"/>
    <w:rsid w:val="00F15B9C"/>
    <w:rsid w:val="00F15EC3"/>
    <w:rsid w:val="00F20317"/>
    <w:rsid w:val="00F21643"/>
    <w:rsid w:val="00F21E0D"/>
    <w:rsid w:val="00F229BB"/>
    <w:rsid w:val="00F24887"/>
    <w:rsid w:val="00F26448"/>
    <w:rsid w:val="00F32DE4"/>
    <w:rsid w:val="00F34640"/>
    <w:rsid w:val="00F34ED8"/>
    <w:rsid w:val="00F370D3"/>
    <w:rsid w:val="00F408B1"/>
    <w:rsid w:val="00F40CDF"/>
    <w:rsid w:val="00F40D37"/>
    <w:rsid w:val="00F416F7"/>
    <w:rsid w:val="00F41929"/>
    <w:rsid w:val="00F4275F"/>
    <w:rsid w:val="00F4380D"/>
    <w:rsid w:val="00F43AB3"/>
    <w:rsid w:val="00F50FA7"/>
    <w:rsid w:val="00F510E2"/>
    <w:rsid w:val="00F60902"/>
    <w:rsid w:val="00F64D1D"/>
    <w:rsid w:val="00F675C5"/>
    <w:rsid w:val="00F7144D"/>
    <w:rsid w:val="00F72DA4"/>
    <w:rsid w:val="00F73248"/>
    <w:rsid w:val="00F745F0"/>
    <w:rsid w:val="00F74832"/>
    <w:rsid w:val="00F7502D"/>
    <w:rsid w:val="00F76D37"/>
    <w:rsid w:val="00F80189"/>
    <w:rsid w:val="00F83363"/>
    <w:rsid w:val="00F87071"/>
    <w:rsid w:val="00F94ED4"/>
    <w:rsid w:val="00F96146"/>
    <w:rsid w:val="00FA056B"/>
    <w:rsid w:val="00FA3606"/>
    <w:rsid w:val="00FA63FA"/>
    <w:rsid w:val="00FB149C"/>
    <w:rsid w:val="00FB224E"/>
    <w:rsid w:val="00FB267C"/>
    <w:rsid w:val="00FB2A87"/>
    <w:rsid w:val="00FB46D7"/>
    <w:rsid w:val="00FB5ACB"/>
    <w:rsid w:val="00FB6A4B"/>
    <w:rsid w:val="00FB70A1"/>
    <w:rsid w:val="00FC0B3A"/>
    <w:rsid w:val="00FC486D"/>
    <w:rsid w:val="00FC6D16"/>
    <w:rsid w:val="00FC7AA3"/>
    <w:rsid w:val="00FD43A3"/>
    <w:rsid w:val="00FD43FF"/>
    <w:rsid w:val="00FD5158"/>
    <w:rsid w:val="00FD7773"/>
    <w:rsid w:val="00FE064C"/>
    <w:rsid w:val="00FE2047"/>
    <w:rsid w:val="00FE2E0D"/>
    <w:rsid w:val="00FE346E"/>
    <w:rsid w:val="00FE7C3B"/>
    <w:rsid w:val="00FF299C"/>
    <w:rsid w:val="00FF2FCC"/>
    <w:rsid w:val="00FF7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B8C606B0-9155-473F-8CBD-3C9B9A3D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07B"/>
    <w:pPr>
      <w:spacing w:after="200" w:line="276" w:lineRule="auto"/>
    </w:pPr>
    <w:rPr>
      <w:rFonts w:ascii="Calibri" w:eastAsia="Calibri" w:hAnsi="Calibri"/>
      <w:sz w:val="22"/>
      <w:szCs w:val="22"/>
      <w:lang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UnresolvedMention2">
    <w:name w:val="Unresolved Mention2"/>
    <w:basedOn w:val="Numatytasispastraiposriftas"/>
    <w:uiPriority w:val="99"/>
    <w:semiHidden/>
    <w:unhideWhenUsed/>
    <w:rsid w:val="00642FC2"/>
    <w:rPr>
      <w:color w:val="605E5C"/>
      <w:shd w:val="clear" w:color="auto" w:fill="E1DFDD"/>
    </w:rPr>
  </w:style>
  <w:style w:type="table" w:customStyle="1" w:styleId="TableGrid1">
    <w:name w:val="Table Grid1"/>
    <w:basedOn w:val="prastojilentel"/>
    <w:next w:val="Lentelstinklelis"/>
    <w:uiPriority w:val="39"/>
    <w:rsid w:val="00880BFA"/>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15F5C"/>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740C6"/>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62FEB"/>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A0FD-7D7C-410B-AA1E-9D00B698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50178</Words>
  <Characters>28602</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Birutė Valkauskaitė</cp:lastModifiedBy>
  <cp:revision>2</cp:revision>
  <dcterms:created xsi:type="dcterms:W3CDTF">2026-06-10T07:25:00Z</dcterms:created>
  <dcterms:modified xsi:type="dcterms:W3CDTF">2026-06-10T07:25:00Z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2024-11-30T15:02:40Z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27368a9a-a3cc-41ea-b4f8-14de72802c14</vt:lpwstr>
  </property>
  <property fmtid="{D5CDD505-2E9C-101B-9397-08002B2CF9AE}" pid="8" name="MSIP_Label_c63a0701-319b-41bf-8431-58956e491e60_ContentBits">
    <vt:lpwstr>0</vt:lpwstr>
  </property>
</Properties>
</file>