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4FE56"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055DF333"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0047A9B9"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5846C88A"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2E884807"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3D3FFA01"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5A66BA73"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320BAF8F"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055ADC5E"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09C4A658"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582E272E"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7DA1E5CD"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46F9DE5C"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7AD4570B"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3F1C4937" w14:textId="77777777" w:rsidR="00913E59" w:rsidRPr="00913E59" w:rsidRDefault="00913E59" w:rsidP="00913E59">
      <w:pPr>
        <w:tabs>
          <w:tab w:val="left" w:pos="567"/>
        </w:tabs>
        <w:spacing w:after="0" w:line="240" w:lineRule="auto"/>
        <w:rPr>
          <w:rFonts w:ascii="Calibri" w:eastAsia="Calibri" w:hAnsi="Calibri" w:cs="Calibri"/>
          <w:kern w:val="0"/>
          <w:sz w:val="22"/>
          <w:szCs w:val="22"/>
          <w14:ligatures w14:val="none"/>
        </w:rPr>
      </w:pPr>
    </w:p>
    <w:p w14:paraId="3B31A583" w14:textId="77777777" w:rsidR="00913E59" w:rsidRPr="00913E59" w:rsidRDefault="00913E59" w:rsidP="00913E59">
      <w:pPr>
        <w:tabs>
          <w:tab w:val="left" w:pos="567"/>
        </w:tabs>
        <w:spacing w:after="0" w:line="240" w:lineRule="auto"/>
        <w:jc w:val="center"/>
        <w:rPr>
          <w:rFonts w:ascii="Calibri" w:eastAsia="Calibri" w:hAnsi="Calibri" w:cs="Calibri"/>
          <w:b/>
          <w:bCs/>
          <w:kern w:val="0"/>
          <w:sz w:val="22"/>
          <w:szCs w:val="22"/>
          <w14:ligatures w14:val="none"/>
        </w:rPr>
      </w:pPr>
      <w:r w:rsidRPr="00913E59">
        <w:rPr>
          <w:rFonts w:ascii="Times New Roman" w:eastAsia="Calibri" w:hAnsi="Times New Roman" w:cs="Times New Roman"/>
          <w:b/>
          <w:bCs/>
          <w:sz w:val="22"/>
          <w:szCs w:val="22"/>
          <w:lang w:eastAsia="lt-LT"/>
          <w14:ligatures w14:val="none"/>
        </w:rPr>
        <w:t>B. PAKUOTĖS LAPELIS</w:t>
      </w:r>
    </w:p>
    <w:p w14:paraId="7AA766F5" w14:textId="77777777" w:rsidR="00913E59" w:rsidRPr="00913E59" w:rsidRDefault="00913E59" w:rsidP="00913E59">
      <w:pPr>
        <w:keepNext/>
        <w:pageBreakBefore/>
        <w:tabs>
          <w:tab w:val="left" w:pos="567"/>
        </w:tabs>
        <w:suppressAutoHyphens/>
        <w:autoSpaceDN w:val="0"/>
        <w:spacing w:after="0" w:line="240" w:lineRule="auto"/>
        <w:jc w:val="center"/>
        <w:textAlignment w:val="baseline"/>
        <w:outlineLvl w:val="0"/>
        <w:rPr>
          <w:rFonts w:ascii="Times New Roman" w:eastAsia="Times New Roman" w:hAnsi="Times New Roman" w:cs="Times New Roman"/>
          <w:b/>
          <w:bCs/>
          <w:kern w:val="0"/>
          <w:sz w:val="22"/>
          <w:szCs w:val="22"/>
          <w14:ligatures w14:val="none"/>
        </w:rPr>
      </w:pPr>
      <w:r w:rsidRPr="00913E59">
        <w:rPr>
          <w:rFonts w:ascii="Times New Roman" w:eastAsia="Times New Roman" w:hAnsi="Times New Roman" w:cs="Times New Roman"/>
          <w:b/>
          <w:bCs/>
          <w:kern w:val="0"/>
          <w:sz w:val="22"/>
          <w:szCs w:val="22"/>
          <w14:ligatures w14:val="none"/>
        </w:rPr>
        <w:t>Pakuotės lapelis: informacija vartotojui</w:t>
      </w:r>
    </w:p>
    <w:p w14:paraId="0325B314" w14:textId="77777777" w:rsidR="00913E59" w:rsidRPr="00913E59" w:rsidRDefault="00913E59" w:rsidP="00913E59">
      <w:pPr>
        <w:tabs>
          <w:tab w:val="left" w:pos="567"/>
        </w:tabs>
        <w:suppressAutoHyphens/>
        <w:autoSpaceDN w:val="0"/>
        <w:spacing w:after="0" w:line="240" w:lineRule="auto"/>
        <w:jc w:val="center"/>
        <w:textAlignment w:val="baseline"/>
        <w:rPr>
          <w:rFonts w:ascii="Times New Roman" w:eastAsia="Times New Roman" w:hAnsi="Times New Roman" w:cs="Times New Roman"/>
          <w:b/>
          <w:bCs/>
          <w:kern w:val="0"/>
          <w:sz w:val="22"/>
          <w:szCs w:val="22"/>
          <w14:ligatures w14:val="none"/>
        </w:rPr>
      </w:pPr>
    </w:p>
    <w:p w14:paraId="1E124AD2" w14:textId="5AAD1CB1" w:rsidR="00913E59" w:rsidRPr="00913E59" w:rsidRDefault="00C8455D" w:rsidP="00913E59">
      <w:pPr>
        <w:tabs>
          <w:tab w:val="left" w:pos="567"/>
        </w:tabs>
        <w:suppressAutoHyphens/>
        <w:autoSpaceDN w:val="0"/>
        <w:spacing w:after="0" w:line="240" w:lineRule="auto"/>
        <w:jc w:val="center"/>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PROSTIN VR</w:t>
      </w:r>
      <w:r w:rsidR="00913E59" w:rsidRPr="00913E59">
        <w:rPr>
          <w:rFonts w:ascii="Times New Roman" w:eastAsia="Times New Roman" w:hAnsi="Times New Roman" w:cs="Times New Roman"/>
          <w:b/>
          <w:bCs/>
          <w:kern w:val="0"/>
          <w:sz w:val="22"/>
          <w:szCs w:val="22"/>
          <w14:ligatures w14:val="none"/>
        </w:rPr>
        <w:t xml:space="preserve"> 500 mikrogramų koncentratas infuziniam tirpalui</w:t>
      </w:r>
    </w:p>
    <w:p w14:paraId="3ECD2D76" w14:textId="77777777" w:rsidR="00913E59" w:rsidRPr="00913E59" w:rsidRDefault="00913E59" w:rsidP="00913E59">
      <w:pPr>
        <w:tabs>
          <w:tab w:val="left" w:pos="567"/>
        </w:tabs>
        <w:suppressAutoHyphens/>
        <w:autoSpaceDN w:val="0"/>
        <w:spacing w:after="0" w:line="240" w:lineRule="auto"/>
        <w:jc w:val="center"/>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 xml:space="preserve">alprostadilis </w:t>
      </w:r>
    </w:p>
    <w:p w14:paraId="6055D32B"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57930784"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r w:rsidRPr="00913E59">
        <w:rPr>
          <w:rFonts w:ascii="Times New Roman" w:eastAsia="Times New Roman" w:hAnsi="Times New Roman" w:cs="Times New Roman"/>
          <w:b/>
          <w:bCs/>
          <w:kern w:val="0"/>
          <w:sz w:val="22"/>
          <w:szCs w:val="22"/>
          <w14:ligatures w14:val="none"/>
        </w:rPr>
        <w:t>Atidžiai perskaitykite visą šį lapelį, prieš pradėdami vartoti vaistą, nes jame pateikiama Jums svarbi informacija.</w:t>
      </w:r>
    </w:p>
    <w:p w14:paraId="3E942633" w14:textId="77777777" w:rsidR="00913E59" w:rsidRPr="00913E59" w:rsidRDefault="00913E59" w:rsidP="00416D40">
      <w:pPr>
        <w:numPr>
          <w:ilvl w:val="0"/>
          <w:numId w:val="1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Neišmeskite šio lapelio, nes vėl gali prireikti jį perskaityti.</w:t>
      </w:r>
    </w:p>
    <w:p w14:paraId="548A44CC" w14:textId="77777777" w:rsidR="00913E59" w:rsidRPr="00913E59" w:rsidRDefault="00913E59" w:rsidP="00416D40">
      <w:pPr>
        <w:numPr>
          <w:ilvl w:val="0"/>
          <w:numId w:val="1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Jeigu kiltų daugiau klausimų, kreipkitės į gydytoją, vaistininką arba slaugytoją.</w:t>
      </w:r>
    </w:p>
    <w:p w14:paraId="577E30E2" w14:textId="77777777" w:rsidR="00913E59" w:rsidRPr="00913E59" w:rsidRDefault="00913E59" w:rsidP="00416D40">
      <w:pPr>
        <w:numPr>
          <w:ilvl w:val="0"/>
          <w:numId w:val="1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Šis vaistas skirtas tik Jūsų vaikui,</w:t>
      </w:r>
      <w:r w:rsidRPr="00913E59">
        <w:rPr>
          <w:rFonts w:ascii="Times New Roman" w:eastAsia="Times New Roman" w:hAnsi="Times New Roman" w:cs="Times New Roman"/>
          <w:noProof/>
          <w:snapToGrid w:val="0"/>
          <w:kern w:val="0"/>
          <w:sz w:val="22"/>
          <w14:ligatures w14:val="none"/>
        </w:rPr>
        <w:t xml:space="preserve"> todėl kitiems žmonėms jo duoti negalima.</w:t>
      </w:r>
      <w:r w:rsidRPr="00913E59">
        <w:rPr>
          <w:rFonts w:ascii="Times New Roman" w:eastAsia="Times New Roman" w:hAnsi="Times New Roman" w:cs="Times New Roman"/>
          <w:snapToGrid w:val="0"/>
          <w:kern w:val="0"/>
          <w:sz w:val="22"/>
          <w14:ligatures w14:val="none"/>
        </w:rPr>
        <w:t xml:space="preserve"> </w:t>
      </w:r>
      <w:r w:rsidRPr="00913E59">
        <w:rPr>
          <w:rFonts w:ascii="Times New Roman" w:eastAsia="Times New Roman" w:hAnsi="Times New Roman" w:cs="Times New Roman"/>
          <w:noProof/>
          <w:snapToGrid w:val="0"/>
          <w:kern w:val="0"/>
          <w:sz w:val="22"/>
          <w14:ligatures w14:val="none"/>
        </w:rPr>
        <w:t>Vaistas gali jiems pakenkti (net tiems, kurių ligos požymiai yra tokie patys kaip Jūsų vaiko).</w:t>
      </w:r>
    </w:p>
    <w:p w14:paraId="1F2621B9" w14:textId="77777777" w:rsidR="00913E59" w:rsidRPr="00913E59" w:rsidRDefault="00913E59" w:rsidP="00416D40">
      <w:pPr>
        <w:numPr>
          <w:ilvl w:val="0"/>
          <w:numId w:val="1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Jeigu Jūsų vaikui pasireiškė šalutinis poveikis</w:t>
      </w:r>
      <w:r w:rsidRPr="00913E59">
        <w:rPr>
          <w:rFonts w:ascii="Times New Roman" w:eastAsia="Times New Roman" w:hAnsi="Times New Roman" w:cs="Times New Roman"/>
          <w:noProof/>
          <w:snapToGrid w:val="0"/>
          <w:kern w:val="0"/>
          <w:sz w:val="22"/>
          <w14:ligatures w14:val="none"/>
        </w:rPr>
        <w:t xml:space="preserve"> (net jeigu jis šiame lapelyje nenurodytas), kreipkitės į gydytoją, vaistininką arba slaugytoją. Žr. 4 skyrių.</w:t>
      </w:r>
    </w:p>
    <w:p w14:paraId="14E884F6" w14:textId="77777777" w:rsidR="00913E59" w:rsidRPr="00913E59" w:rsidRDefault="00913E59" w:rsidP="00913E59">
      <w:pPr>
        <w:tabs>
          <w:tab w:val="left" w:pos="567"/>
        </w:tabs>
        <w:suppressAutoHyphens/>
        <w:autoSpaceDN w:val="0"/>
        <w:spacing w:after="0" w:line="240" w:lineRule="auto"/>
        <w:textAlignment w:val="baseline"/>
        <w:outlineLvl w:val="3"/>
        <w:rPr>
          <w:rFonts w:ascii="Times New Roman" w:eastAsia="Times New Roman" w:hAnsi="Times New Roman" w:cs="Times New Roman"/>
          <w:b/>
          <w:kern w:val="0"/>
          <w:sz w:val="22"/>
          <w:szCs w:val="22"/>
          <w14:ligatures w14:val="none"/>
        </w:rPr>
      </w:pPr>
    </w:p>
    <w:p w14:paraId="3741812C" w14:textId="77777777" w:rsidR="00913E59" w:rsidRPr="00913E59" w:rsidRDefault="00913E59" w:rsidP="00913E59">
      <w:pPr>
        <w:keepNext/>
        <w:tabs>
          <w:tab w:val="left" w:pos="567"/>
        </w:tabs>
        <w:suppressAutoHyphens/>
        <w:autoSpaceDN w:val="0"/>
        <w:spacing w:after="0" w:line="240" w:lineRule="auto"/>
        <w:textAlignment w:val="baseline"/>
        <w:outlineLvl w:val="3"/>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Apie ką rašoma šiame lapelyje?</w:t>
      </w:r>
    </w:p>
    <w:p w14:paraId="67054A7A" w14:textId="38926093" w:rsidR="00913E59" w:rsidRPr="00416D40" w:rsidRDefault="00913E59" w:rsidP="00416D40">
      <w:pPr>
        <w:pStyle w:val="ListParagraph"/>
        <w:numPr>
          <w:ilvl w:val="0"/>
          <w:numId w:val="16"/>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416D40">
        <w:rPr>
          <w:rFonts w:ascii="Times New Roman" w:eastAsia="Times New Roman" w:hAnsi="Times New Roman" w:cs="Times New Roman"/>
          <w:kern w:val="0"/>
          <w:sz w:val="22"/>
          <w:szCs w:val="22"/>
          <w14:ligatures w14:val="none"/>
        </w:rPr>
        <w:t xml:space="preserve">Kas yra </w:t>
      </w:r>
      <w:r w:rsidR="00C8455D">
        <w:rPr>
          <w:rFonts w:ascii="Times New Roman" w:eastAsia="Times New Roman" w:hAnsi="Times New Roman" w:cs="Times New Roman"/>
          <w:kern w:val="0"/>
          <w:sz w:val="22"/>
          <w:szCs w:val="22"/>
          <w14:ligatures w14:val="none"/>
        </w:rPr>
        <w:t>PROSTIN VR</w:t>
      </w:r>
      <w:r w:rsidRPr="00416D40">
        <w:rPr>
          <w:rFonts w:ascii="Times New Roman" w:eastAsia="Times New Roman" w:hAnsi="Times New Roman" w:cs="Times New Roman"/>
          <w:kern w:val="0"/>
          <w:sz w:val="22"/>
          <w:szCs w:val="22"/>
          <w14:ligatures w14:val="none"/>
        </w:rPr>
        <w:t xml:space="preserve"> ir kam jis vartojamas</w:t>
      </w:r>
    </w:p>
    <w:p w14:paraId="51070DD3" w14:textId="3BFBA6FA" w:rsidR="00913E59" w:rsidRPr="00416D40" w:rsidRDefault="00913E59" w:rsidP="00416D40">
      <w:pPr>
        <w:pStyle w:val="ListParagraph"/>
        <w:numPr>
          <w:ilvl w:val="0"/>
          <w:numId w:val="16"/>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416D40">
        <w:rPr>
          <w:rFonts w:ascii="Times New Roman" w:eastAsia="Times New Roman" w:hAnsi="Times New Roman" w:cs="Times New Roman"/>
          <w:kern w:val="0"/>
          <w:sz w:val="22"/>
          <w:szCs w:val="22"/>
          <w14:ligatures w14:val="none"/>
        </w:rPr>
        <w:t xml:space="preserve">Kas žinotina prieš vartojant </w:t>
      </w:r>
      <w:r w:rsidR="00C8455D">
        <w:rPr>
          <w:rFonts w:ascii="Times New Roman" w:eastAsia="Times New Roman" w:hAnsi="Times New Roman" w:cs="Times New Roman"/>
          <w:kern w:val="0"/>
          <w:sz w:val="22"/>
          <w:szCs w:val="22"/>
          <w14:ligatures w14:val="none"/>
        </w:rPr>
        <w:t>PROSTIN VR</w:t>
      </w:r>
    </w:p>
    <w:p w14:paraId="16AA39E3" w14:textId="30878A08" w:rsidR="00913E59" w:rsidRPr="00416D40" w:rsidRDefault="00913E59" w:rsidP="00416D40">
      <w:pPr>
        <w:pStyle w:val="ListParagraph"/>
        <w:numPr>
          <w:ilvl w:val="0"/>
          <w:numId w:val="16"/>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416D40">
        <w:rPr>
          <w:rFonts w:ascii="Times New Roman" w:eastAsia="Times New Roman" w:hAnsi="Times New Roman" w:cs="Times New Roman"/>
          <w:kern w:val="0"/>
          <w:sz w:val="22"/>
          <w:szCs w:val="22"/>
          <w14:ligatures w14:val="none"/>
        </w:rPr>
        <w:t xml:space="preserve">Kaip vartoti </w:t>
      </w:r>
      <w:r w:rsidR="00C8455D">
        <w:rPr>
          <w:rFonts w:ascii="Times New Roman" w:eastAsia="Times New Roman" w:hAnsi="Times New Roman" w:cs="Times New Roman"/>
          <w:kern w:val="0"/>
          <w:sz w:val="22"/>
          <w:szCs w:val="22"/>
          <w14:ligatures w14:val="none"/>
        </w:rPr>
        <w:t>PROSTIN VR</w:t>
      </w:r>
    </w:p>
    <w:p w14:paraId="1B7B71F7" w14:textId="0DB46A9E" w:rsidR="00913E59" w:rsidRPr="00416D40" w:rsidRDefault="00913E59" w:rsidP="00416D40">
      <w:pPr>
        <w:pStyle w:val="ListParagraph"/>
        <w:numPr>
          <w:ilvl w:val="0"/>
          <w:numId w:val="16"/>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416D40">
        <w:rPr>
          <w:rFonts w:ascii="Times New Roman" w:eastAsia="Times New Roman" w:hAnsi="Times New Roman" w:cs="Times New Roman"/>
          <w:kern w:val="0"/>
          <w:sz w:val="22"/>
          <w:szCs w:val="22"/>
          <w14:ligatures w14:val="none"/>
        </w:rPr>
        <w:t>Galimas šalutinis poveikis</w:t>
      </w:r>
    </w:p>
    <w:p w14:paraId="69CFC28E" w14:textId="2716DE86" w:rsidR="00913E59" w:rsidRPr="00416D40" w:rsidRDefault="00913E59" w:rsidP="00416D40">
      <w:pPr>
        <w:pStyle w:val="ListParagraph"/>
        <w:numPr>
          <w:ilvl w:val="0"/>
          <w:numId w:val="16"/>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416D40">
        <w:rPr>
          <w:rFonts w:ascii="Times New Roman" w:eastAsia="Times New Roman" w:hAnsi="Times New Roman" w:cs="Times New Roman"/>
          <w:kern w:val="0"/>
          <w:sz w:val="22"/>
          <w:szCs w:val="22"/>
          <w14:ligatures w14:val="none"/>
        </w:rPr>
        <w:t xml:space="preserve">Kaip laikyti </w:t>
      </w:r>
      <w:r w:rsidR="00C8455D">
        <w:rPr>
          <w:rFonts w:ascii="Times New Roman" w:eastAsia="Times New Roman" w:hAnsi="Times New Roman" w:cs="Times New Roman"/>
          <w:kern w:val="0"/>
          <w:sz w:val="22"/>
          <w:szCs w:val="22"/>
          <w14:ligatures w14:val="none"/>
        </w:rPr>
        <w:t>PROSTIN VR</w:t>
      </w:r>
    </w:p>
    <w:p w14:paraId="6267B9C5" w14:textId="0D2BFA1C" w:rsidR="00913E59" w:rsidRPr="00416D40" w:rsidRDefault="00913E59" w:rsidP="00416D40">
      <w:pPr>
        <w:pStyle w:val="ListParagraph"/>
        <w:numPr>
          <w:ilvl w:val="0"/>
          <w:numId w:val="16"/>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416D40">
        <w:rPr>
          <w:rFonts w:ascii="Times New Roman" w:eastAsia="Times New Roman" w:hAnsi="Times New Roman" w:cs="Times New Roman"/>
          <w:kern w:val="0"/>
          <w:sz w:val="22"/>
          <w:szCs w:val="22"/>
          <w14:ligatures w14:val="none"/>
        </w:rPr>
        <w:t>Pakuotės turinys ir kita informacija</w:t>
      </w:r>
    </w:p>
    <w:p w14:paraId="404EA1E5"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p>
    <w:p w14:paraId="23A5942D"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p>
    <w:p w14:paraId="22324EDA" w14:textId="0DB00AB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r w:rsidRPr="00913E59">
        <w:rPr>
          <w:rFonts w:ascii="Times New Roman" w:eastAsia="Times New Roman" w:hAnsi="Times New Roman" w:cs="Times New Roman"/>
          <w:b/>
          <w:bCs/>
          <w:kern w:val="0"/>
          <w:sz w:val="22"/>
          <w:szCs w:val="22"/>
          <w14:ligatures w14:val="none"/>
        </w:rPr>
        <w:t>1.</w:t>
      </w:r>
      <w:r w:rsidRPr="00913E59">
        <w:rPr>
          <w:rFonts w:ascii="Times New Roman" w:eastAsia="Times New Roman" w:hAnsi="Times New Roman" w:cs="Times New Roman"/>
          <w:b/>
          <w:bCs/>
          <w:kern w:val="0"/>
          <w:sz w:val="22"/>
          <w:szCs w:val="22"/>
          <w14:ligatures w14:val="none"/>
        </w:rPr>
        <w:tab/>
        <w:t xml:space="preserve">Kas yra </w:t>
      </w:r>
      <w:r w:rsidR="00C8455D">
        <w:rPr>
          <w:rFonts w:ascii="Times New Roman" w:eastAsia="Times New Roman" w:hAnsi="Times New Roman" w:cs="Times New Roman"/>
          <w:b/>
          <w:bCs/>
          <w:kern w:val="0"/>
          <w:sz w:val="22"/>
          <w:szCs w:val="22"/>
          <w14:ligatures w14:val="none"/>
        </w:rPr>
        <w:t>PROSTIN VR</w:t>
      </w:r>
      <w:r w:rsidRPr="00913E59">
        <w:rPr>
          <w:rFonts w:ascii="Times New Roman" w:eastAsia="Times New Roman" w:hAnsi="Times New Roman" w:cs="Times New Roman"/>
          <w:b/>
          <w:bCs/>
          <w:kern w:val="0"/>
          <w:sz w:val="22"/>
          <w:szCs w:val="22"/>
          <w14:ligatures w14:val="none"/>
        </w:rPr>
        <w:t xml:space="preserve"> ir kam jis vartojamas</w:t>
      </w:r>
    </w:p>
    <w:p w14:paraId="7F07C620"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6848BE05" w14:textId="1D45BFA8"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 xml:space="preserve">Veiklioji </w:t>
      </w:r>
      <w:r w:rsidR="00C8455D">
        <w:rPr>
          <w:rFonts w:ascii="Times New Roman" w:eastAsia="Times New Roman" w:hAnsi="Times New Roman" w:cs="Times New Roman"/>
          <w:kern w:val="0"/>
          <w:sz w:val="22"/>
          <w:szCs w:val="22"/>
          <w14:ligatures w14:val="none"/>
        </w:rPr>
        <w:t>PROSTIN VR</w:t>
      </w:r>
      <w:r w:rsidRPr="00913E59">
        <w:rPr>
          <w:rFonts w:ascii="Times New Roman" w:eastAsia="Times New Roman" w:hAnsi="Times New Roman" w:cs="Times New Roman"/>
          <w:kern w:val="0"/>
          <w:sz w:val="22"/>
          <w:szCs w:val="22"/>
          <w14:ligatures w14:val="none"/>
        </w:rPr>
        <w:t xml:space="preserve"> medžiaga yra alprostadilis, žmogaus organizme iš prostaglandinų grupės (PGE</w:t>
      </w:r>
      <w:r w:rsidRPr="00913E59">
        <w:rPr>
          <w:rFonts w:ascii="Times New Roman" w:eastAsia="Times New Roman" w:hAnsi="Times New Roman" w:cs="Times New Roman"/>
          <w:kern w:val="0"/>
          <w:sz w:val="22"/>
          <w:szCs w:val="22"/>
          <w:vertAlign w:val="subscript"/>
          <w14:ligatures w14:val="none"/>
        </w:rPr>
        <w:t>1</w:t>
      </w:r>
      <w:r w:rsidRPr="00913E59">
        <w:rPr>
          <w:rFonts w:ascii="Times New Roman" w:eastAsia="Times New Roman" w:hAnsi="Times New Roman" w:cs="Times New Roman"/>
          <w:kern w:val="0"/>
          <w:sz w:val="22"/>
          <w:szCs w:val="22"/>
          <w14:ligatures w14:val="none"/>
        </w:rPr>
        <w:t>) gaminama medžiaga, kuri plečia smulkiąsias arterines kraujagysles ir gerina kraujo tekėjimo savybes.</w:t>
      </w:r>
    </w:p>
    <w:p w14:paraId="49AEC485"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50B60213" w14:textId="143E8900" w:rsidR="00913E59" w:rsidRPr="00913E59" w:rsidRDefault="00C8455D"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PROSTIN VR</w:t>
      </w:r>
      <w:r w:rsidR="00913E59" w:rsidRPr="00913E59">
        <w:rPr>
          <w:rFonts w:ascii="Times New Roman" w:eastAsia="Times New Roman" w:hAnsi="Times New Roman" w:cs="Times New Roman"/>
          <w:kern w:val="0"/>
          <w:sz w:val="22"/>
          <w:szCs w:val="22"/>
          <w14:ligatures w14:val="none"/>
        </w:rPr>
        <w:t xml:space="preserve"> vartojamas naujagimiams, kuriems yra įgimtų širdies ydų ir melsva oda (cianozė), </w:t>
      </w:r>
      <w:r w:rsidR="00913E59" w:rsidRPr="00913E59">
        <w:rPr>
          <w:rFonts w:ascii="Times New Roman" w:eastAsia="Times New Roman" w:hAnsi="Times New Roman" w:cs="Times New Roman"/>
          <w:b/>
          <w:bCs/>
          <w:kern w:val="0"/>
          <w:sz w:val="22"/>
          <w:szCs w:val="22"/>
          <w14:ligatures w14:val="none"/>
        </w:rPr>
        <w:t xml:space="preserve">siekiant laikinai palaikyti apylankos ryšį tarp plaučių ir sisteminės kraujotakos </w:t>
      </w:r>
      <w:r w:rsidR="00913E59" w:rsidRPr="00913E59">
        <w:rPr>
          <w:rFonts w:ascii="Times New Roman" w:eastAsia="Times New Roman" w:hAnsi="Times New Roman" w:cs="Times New Roman"/>
          <w:kern w:val="0"/>
          <w:sz w:val="22"/>
          <w:szCs w:val="22"/>
          <w14:ligatures w14:val="none"/>
        </w:rPr>
        <w:t>(</w:t>
      </w:r>
      <w:r w:rsidR="00913E59" w:rsidRPr="00913E59">
        <w:rPr>
          <w:rFonts w:ascii="Times New Roman" w:eastAsia="Times New Roman" w:hAnsi="Times New Roman" w:cs="Times New Roman"/>
          <w:iCs/>
          <w:kern w:val="0"/>
          <w:sz w:val="22"/>
          <w:szCs w:val="22"/>
          <w14:ligatures w14:val="none"/>
        </w:rPr>
        <w:t>arterinis Botalo latakas</w:t>
      </w:r>
      <w:r w:rsidR="00913E59" w:rsidRPr="00913E59">
        <w:rPr>
          <w:rFonts w:ascii="Times New Roman" w:eastAsia="Times New Roman" w:hAnsi="Times New Roman" w:cs="Times New Roman"/>
          <w:kern w:val="0"/>
          <w:sz w:val="22"/>
          <w:szCs w:val="22"/>
          <w14:ligatures w14:val="none"/>
        </w:rPr>
        <w:t>). Gydymas leidžia sutrumpinti laikotarpį, kol bus atlikta operacija, kuri yra būtina išgyvenimui.</w:t>
      </w:r>
    </w:p>
    <w:p w14:paraId="717A71FC"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0173BDA6"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r w:rsidRPr="00913E59">
        <w:rPr>
          <w:rFonts w:ascii="Times New Roman" w:eastAsia="Times New Roman" w:hAnsi="Times New Roman" w:cs="Times New Roman"/>
          <w:bCs/>
          <w:kern w:val="0"/>
          <w:sz w:val="22"/>
          <w:szCs w:val="22"/>
          <w14:ligatures w14:val="none"/>
        </w:rPr>
        <w:t>Įgimtos širdies ydos:</w:t>
      </w:r>
    </w:p>
    <w:p w14:paraId="503F2866" w14:textId="77777777" w:rsidR="00913E59" w:rsidRPr="00913E59" w:rsidRDefault="00913E59" w:rsidP="00416D40">
      <w:pPr>
        <w:numPr>
          <w:ilvl w:val="0"/>
          <w:numId w:val="14"/>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apsigimimai su ribota plaučių kraujotaka, pvz., plaučių arterijos atrezija, plaučių arterijos stenozė, triburio vožtuvo atrezija, Falo (</w:t>
      </w:r>
      <w:r w:rsidRPr="00913E59">
        <w:rPr>
          <w:rFonts w:ascii="Times New Roman" w:eastAsia="Times New Roman" w:hAnsi="Times New Roman" w:cs="Times New Roman"/>
          <w:i/>
          <w:iCs/>
          <w:kern w:val="0"/>
          <w:sz w:val="22"/>
          <w:szCs w:val="22"/>
          <w14:ligatures w14:val="none"/>
        </w:rPr>
        <w:t>Fallot</w:t>
      </w:r>
      <w:r w:rsidRPr="00913E59">
        <w:rPr>
          <w:rFonts w:ascii="Times New Roman" w:eastAsia="Times New Roman" w:hAnsi="Times New Roman" w:cs="Times New Roman"/>
          <w:kern w:val="0"/>
          <w:sz w:val="22"/>
          <w:szCs w:val="22"/>
          <w14:ligatures w14:val="none"/>
        </w:rPr>
        <w:t>) tetrada;</w:t>
      </w:r>
    </w:p>
    <w:p w14:paraId="21FDB982" w14:textId="77777777" w:rsidR="00913E59" w:rsidRPr="00913E59" w:rsidRDefault="00913E59" w:rsidP="00416D40">
      <w:pPr>
        <w:numPr>
          <w:ilvl w:val="0"/>
          <w:numId w:val="14"/>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apsigimimai su ribota sistemine kraujotaka, pvz., aortos koarktacija, aortos lanko nutrūkimas su vožtuvo stenoze arba kairiosios širdies pusės atrezija;</w:t>
      </w:r>
    </w:p>
    <w:p w14:paraId="1DC2771C" w14:textId="77777777" w:rsidR="00913E59" w:rsidRPr="00913E59" w:rsidRDefault="00913E59" w:rsidP="00416D40">
      <w:pPr>
        <w:numPr>
          <w:ilvl w:val="0"/>
          <w:numId w:val="14"/>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stambiųjų kraujagyslių transpozicija (padėties anomalijos) su kitomis ydomis (apsigimimais) arba be jų.</w:t>
      </w:r>
    </w:p>
    <w:p w14:paraId="48604091"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2F99DAE3" w14:textId="1C414751"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r w:rsidRPr="00913E59">
        <w:rPr>
          <w:rFonts w:ascii="Times New Roman" w:eastAsia="Times New Roman" w:hAnsi="Times New Roman" w:cs="Times New Roman"/>
          <w:b/>
          <w:bCs/>
          <w:kern w:val="0"/>
          <w:sz w:val="22"/>
          <w:szCs w:val="22"/>
          <w14:ligatures w14:val="none"/>
        </w:rPr>
        <w:t>2.</w:t>
      </w:r>
      <w:r w:rsidRPr="00913E59">
        <w:rPr>
          <w:rFonts w:ascii="Times New Roman" w:eastAsia="Times New Roman" w:hAnsi="Times New Roman" w:cs="Times New Roman"/>
          <w:b/>
          <w:bCs/>
          <w:kern w:val="0"/>
          <w:sz w:val="22"/>
          <w:szCs w:val="22"/>
          <w14:ligatures w14:val="none"/>
        </w:rPr>
        <w:tab/>
        <w:t xml:space="preserve">Kas žinotina prieš vartojant </w:t>
      </w:r>
      <w:r w:rsidR="00C8455D">
        <w:rPr>
          <w:rFonts w:ascii="Times New Roman" w:eastAsia="Times New Roman" w:hAnsi="Times New Roman" w:cs="Times New Roman"/>
          <w:b/>
          <w:bCs/>
          <w:kern w:val="0"/>
          <w:sz w:val="22"/>
          <w:szCs w:val="22"/>
          <w14:ligatures w14:val="none"/>
        </w:rPr>
        <w:t>PROSTIN VR</w:t>
      </w:r>
    </w:p>
    <w:p w14:paraId="3C6EF2A2"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075F0539" w14:textId="7FBE48E4" w:rsidR="00913E59" w:rsidRPr="00913E59" w:rsidRDefault="00C8455D" w:rsidP="00913E59">
      <w:pPr>
        <w:keepNext/>
        <w:tabs>
          <w:tab w:val="left" w:pos="567"/>
        </w:tabs>
        <w:suppressAutoHyphens/>
        <w:autoSpaceDN w:val="0"/>
        <w:spacing w:after="0" w:line="240" w:lineRule="auto"/>
        <w:textAlignment w:val="baseline"/>
        <w:outlineLvl w:val="1"/>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PROSTIN VR</w:t>
      </w:r>
      <w:r w:rsidR="00913E59" w:rsidRPr="00913E59">
        <w:rPr>
          <w:rFonts w:ascii="Times New Roman" w:eastAsia="Times New Roman" w:hAnsi="Times New Roman" w:cs="Times New Roman"/>
          <w:b/>
          <w:bCs/>
          <w:kern w:val="0"/>
          <w:sz w:val="22"/>
          <w:szCs w:val="22"/>
          <w14:ligatures w14:val="none"/>
        </w:rPr>
        <w:t xml:space="preserve"> Jūsų vaikui vartoti draudžiama:</w:t>
      </w:r>
    </w:p>
    <w:p w14:paraId="63582369" w14:textId="77777777" w:rsidR="00913E59" w:rsidRPr="00913E59" w:rsidRDefault="00913E59" w:rsidP="00416D40">
      <w:pPr>
        <w:numPr>
          <w:ilvl w:val="0"/>
          <w:numId w:val="13"/>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jeigu yra alergija alprostadiliui arba bet kuriai pagalbinei šio vaisto medžiagai (jos išvardytos 6 skyriuje);</w:t>
      </w:r>
    </w:p>
    <w:p w14:paraId="47536CD4" w14:textId="77777777" w:rsidR="00913E59" w:rsidRPr="00913E59" w:rsidRDefault="00913E59" w:rsidP="00416D40">
      <w:pPr>
        <w:numPr>
          <w:ilvl w:val="0"/>
          <w:numId w:val="13"/>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jeigu yra kvėpavimo sutrikimo (distreso) sindromas;</w:t>
      </w:r>
    </w:p>
    <w:p w14:paraId="6682DA41" w14:textId="77777777" w:rsidR="00913E59" w:rsidRPr="00913E59" w:rsidRDefault="00913E59" w:rsidP="00416D40">
      <w:pPr>
        <w:numPr>
          <w:ilvl w:val="0"/>
          <w:numId w:val="13"/>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jeigu yra labai sumažėjęs kraujospūdis;</w:t>
      </w:r>
    </w:p>
    <w:p w14:paraId="44FBD644" w14:textId="77777777" w:rsidR="00913E59" w:rsidRPr="00913E59" w:rsidRDefault="00913E59" w:rsidP="00416D40">
      <w:pPr>
        <w:numPr>
          <w:ilvl w:val="0"/>
          <w:numId w:val="13"/>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jeigu yra spontaniškai atviras Botalo latakas (kraujagyslė, jungianti vaisiaus plaučių arteriją ir aortos lanką).</w:t>
      </w:r>
    </w:p>
    <w:p w14:paraId="0C57C2B4" w14:textId="77777777" w:rsidR="00913E59" w:rsidRPr="00913E59" w:rsidRDefault="00913E59" w:rsidP="00913E59">
      <w:pPr>
        <w:tabs>
          <w:tab w:val="left" w:pos="567"/>
        </w:tabs>
        <w:suppressAutoHyphens/>
        <w:autoSpaceDN w:val="0"/>
        <w:spacing w:after="0" w:line="240" w:lineRule="auto"/>
        <w:ind w:left="720"/>
        <w:textAlignment w:val="baseline"/>
        <w:rPr>
          <w:rFonts w:ascii="Times New Roman" w:eastAsia="Times New Roman" w:hAnsi="Times New Roman" w:cs="Times New Roman"/>
          <w:kern w:val="0"/>
          <w:sz w:val="22"/>
          <w:szCs w:val="22"/>
          <w14:ligatures w14:val="none"/>
        </w:rPr>
      </w:pPr>
    </w:p>
    <w:p w14:paraId="1DD51842"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r w:rsidRPr="00913E59">
        <w:rPr>
          <w:rFonts w:ascii="Times New Roman" w:eastAsia="Times New Roman" w:hAnsi="Times New Roman" w:cs="Times New Roman"/>
          <w:b/>
          <w:bCs/>
          <w:kern w:val="0"/>
          <w:sz w:val="22"/>
          <w:szCs w:val="22"/>
          <w14:ligatures w14:val="none"/>
        </w:rPr>
        <w:t>Įspėjimai ir atsargumo priemonės</w:t>
      </w:r>
    </w:p>
    <w:p w14:paraId="13105D8B" w14:textId="7D155526" w:rsidR="00913E59" w:rsidRPr="00913E59" w:rsidRDefault="00C8455D"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PROSTIN VR</w:t>
      </w:r>
      <w:r w:rsidR="00913E59" w:rsidRPr="00913E59">
        <w:rPr>
          <w:rFonts w:ascii="Times New Roman" w:eastAsia="Times New Roman" w:hAnsi="Times New Roman" w:cs="Times New Roman"/>
          <w:kern w:val="0"/>
          <w:sz w:val="22"/>
          <w:szCs w:val="22"/>
          <w14:ligatures w14:val="none"/>
        </w:rPr>
        <w:t xml:space="preserve"> gali skirti tik patyrę gydytojai arba gerai apmokyti sveikatos priežiūros specialistai, prižiūrint gydytojui pediatrijos klinikose, kuriose galima kardiologinė diagnostika ir vaikų intensyvioji terapija.</w:t>
      </w:r>
    </w:p>
    <w:p w14:paraId="75E14E7F"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Vaikams, kuriems yra įgimtų širdies ydų, reikia reguliariai stebėti šiuos parametrus:</w:t>
      </w:r>
    </w:p>
    <w:p w14:paraId="5F8D5665" w14:textId="77777777" w:rsidR="00913E59" w:rsidRPr="00913E59" w:rsidRDefault="00913E59" w:rsidP="00C15956">
      <w:pPr>
        <w:numPr>
          <w:ilvl w:val="0"/>
          <w:numId w:val="12"/>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deguonies ir anglies dioksido pasiskirstymo kraujyje matavimus (arterinio kraujo dujų pO</w:t>
      </w:r>
      <w:r w:rsidRPr="00913E59">
        <w:rPr>
          <w:rFonts w:ascii="Times New Roman" w:eastAsia="Times New Roman" w:hAnsi="Times New Roman" w:cs="Times New Roman"/>
          <w:kern w:val="0"/>
          <w:sz w:val="22"/>
          <w:szCs w:val="22"/>
          <w:vertAlign w:val="subscript"/>
          <w14:ligatures w14:val="none"/>
        </w:rPr>
        <w:t>2</w:t>
      </w:r>
      <w:r w:rsidRPr="00913E59">
        <w:rPr>
          <w:rFonts w:ascii="Times New Roman" w:eastAsia="Times New Roman" w:hAnsi="Times New Roman" w:cs="Times New Roman"/>
          <w:kern w:val="0"/>
          <w:sz w:val="22"/>
          <w:szCs w:val="22"/>
          <w14:ligatures w14:val="none"/>
        </w:rPr>
        <w:t>, pCO</w:t>
      </w:r>
      <w:r w:rsidRPr="00913E59">
        <w:rPr>
          <w:rFonts w:ascii="Times New Roman" w:eastAsia="Times New Roman" w:hAnsi="Times New Roman" w:cs="Times New Roman"/>
          <w:kern w:val="0"/>
          <w:sz w:val="22"/>
          <w:szCs w:val="22"/>
          <w:vertAlign w:val="subscript"/>
          <w14:ligatures w14:val="none"/>
        </w:rPr>
        <w:t>2 </w:t>
      </w:r>
      <w:r w:rsidRPr="00913E59">
        <w:rPr>
          <w:rFonts w:ascii="Times New Roman" w:eastAsia="Times New Roman" w:hAnsi="Times New Roman" w:cs="Times New Roman"/>
          <w:kern w:val="0"/>
          <w:sz w:val="22"/>
          <w:szCs w:val="22"/>
          <w14:ligatures w14:val="none"/>
        </w:rPr>
        <w:t>rodiklius);</w:t>
      </w:r>
    </w:p>
    <w:p w14:paraId="4C384F0F" w14:textId="77777777" w:rsidR="00913E59" w:rsidRPr="00913E59" w:rsidRDefault="00913E59" w:rsidP="00C15956">
      <w:pPr>
        <w:numPr>
          <w:ilvl w:val="0"/>
          <w:numId w:val="12"/>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pH vertės kraujyje (arterinio kraujo pH) matavimus;</w:t>
      </w:r>
    </w:p>
    <w:p w14:paraId="273DE1A5" w14:textId="77777777" w:rsidR="00913E59" w:rsidRPr="00913E59" w:rsidRDefault="00913E59" w:rsidP="00C15956">
      <w:pPr>
        <w:numPr>
          <w:ilvl w:val="0"/>
          <w:numId w:val="12"/>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kraujo spaudimą;</w:t>
      </w:r>
    </w:p>
    <w:p w14:paraId="0C063FB3" w14:textId="77777777" w:rsidR="00913E59" w:rsidRPr="00913E59" w:rsidRDefault="00913E59" w:rsidP="00C15956">
      <w:pPr>
        <w:numPr>
          <w:ilvl w:val="0"/>
          <w:numId w:val="12"/>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elektrokardiogramą</w:t>
      </w:r>
      <w:r w:rsidRPr="00913E59">
        <w:rPr>
          <w:rFonts w:ascii="Times New Roman" w:eastAsia="Times New Roman" w:hAnsi="Times New Roman" w:cs="Times New Roman"/>
          <w:iCs/>
          <w:kern w:val="0"/>
          <w:sz w:val="22"/>
          <w:szCs w:val="22"/>
          <w14:ligatures w14:val="none"/>
        </w:rPr>
        <w:t>;</w:t>
      </w:r>
    </w:p>
    <w:p w14:paraId="66C677D0" w14:textId="77777777" w:rsidR="00913E59" w:rsidRPr="00913E59" w:rsidRDefault="00913E59" w:rsidP="00C15956">
      <w:pPr>
        <w:numPr>
          <w:ilvl w:val="0"/>
          <w:numId w:val="12"/>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širdies ritmą;</w:t>
      </w:r>
    </w:p>
    <w:p w14:paraId="66EF52D5" w14:textId="77777777" w:rsidR="00913E59" w:rsidRPr="00913E59" w:rsidRDefault="00913E59" w:rsidP="00C15956">
      <w:pPr>
        <w:numPr>
          <w:ilvl w:val="0"/>
          <w:numId w:val="12"/>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kvėpavimo dažnį;</w:t>
      </w:r>
    </w:p>
    <w:p w14:paraId="0649A148" w14:textId="77777777" w:rsidR="00913E59" w:rsidRPr="00913E59" w:rsidRDefault="00913E59" w:rsidP="00C15956">
      <w:pPr>
        <w:numPr>
          <w:ilvl w:val="0"/>
          <w:numId w:val="12"/>
        </w:numPr>
        <w:suppressAutoHyphens/>
        <w:autoSpaceDN w:val="0"/>
        <w:spacing w:after="0" w:line="240" w:lineRule="auto"/>
        <w:ind w:left="567"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nuolat stebėti kvėpavimą (kvėpavimo būklę).</w:t>
      </w:r>
    </w:p>
    <w:p w14:paraId="51BCE9D9"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5764077E"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Vaikams, kurių aortos lankas (pagrindinės arterijos dalis) išsivysto nenormaliai, be pirmiau išvardytų parametrų, reikia stebėti šiuos parametrus:</w:t>
      </w:r>
    </w:p>
    <w:p w14:paraId="33804890" w14:textId="77777777" w:rsidR="00913E59" w:rsidRPr="00913E59" w:rsidRDefault="00913E59" w:rsidP="00C15956">
      <w:pPr>
        <w:numPr>
          <w:ilvl w:val="0"/>
          <w:numId w:val="11"/>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kraujo spaudimą (matuojamas nusileidžiančioje aortoje arba apatinėje galūnėje);</w:t>
      </w:r>
    </w:p>
    <w:p w14:paraId="5B6C8358" w14:textId="77777777" w:rsidR="00913E59" w:rsidRPr="00913E59" w:rsidRDefault="00913E59" w:rsidP="00C15956">
      <w:pPr>
        <w:numPr>
          <w:ilvl w:val="0"/>
          <w:numId w:val="11"/>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šlaunies arterijos pulsą;</w:t>
      </w:r>
    </w:p>
    <w:p w14:paraId="6CF7A84C" w14:textId="77777777" w:rsidR="00913E59" w:rsidRPr="00913E59" w:rsidRDefault="00913E59" w:rsidP="00C15956">
      <w:pPr>
        <w:numPr>
          <w:ilvl w:val="0"/>
          <w:numId w:val="11"/>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inkstų ekskrecijos matavimus.</w:t>
      </w:r>
    </w:p>
    <w:p w14:paraId="740069F0"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4EECFF9E"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Vaikams, kurių plaučių kraujotaka susilpnėjusi, deguonies kiekio padidėjimas yra atvirkščiai proporcingas iš pradžių išmatuotoms kraujo deguonies vertėms (pradinės pO</w:t>
      </w:r>
      <w:r w:rsidRPr="00913E59">
        <w:rPr>
          <w:rFonts w:ascii="Times New Roman" w:eastAsia="Times New Roman" w:hAnsi="Times New Roman" w:cs="Times New Roman"/>
          <w:kern w:val="0"/>
          <w:sz w:val="22"/>
          <w:szCs w:val="22"/>
          <w:vertAlign w:val="subscript"/>
          <w14:ligatures w14:val="none"/>
        </w:rPr>
        <w:t>2 </w:t>
      </w:r>
      <w:r w:rsidRPr="00913E59">
        <w:rPr>
          <w:rFonts w:ascii="Times New Roman" w:eastAsia="Times New Roman" w:hAnsi="Times New Roman" w:cs="Times New Roman"/>
          <w:kern w:val="0"/>
          <w:sz w:val="22"/>
          <w:szCs w:val="22"/>
          <w14:ligatures w14:val="none"/>
        </w:rPr>
        <w:t>vertės). Pacientai, kurių pradinė pO</w:t>
      </w:r>
      <w:r w:rsidRPr="00913E59">
        <w:rPr>
          <w:rFonts w:ascii="Times New Roman" w:eastAsia="Times New Roman" w:hAnsi="Times New Roman" w:cs="Times New Roman"/>
          <w:kern w:val="0"/>
          <w:sz w:val="22"/>
          <w:szCs w:val="22"/>
          <w:vertAlign w:val="subscript"/>
          <w14:ligatures w14:val="none"/>
        </w:rPr>
        <w:t>2 </w:t>
      </w:r>
      <w:r w:rsidRPr="00913E59">
        <w:rPr>
          <w:rFonts w:ascii="Times New Roman" w:eastAsia="Times New Roman" w:hAnsi="Times New Roman" w:cs="Times New Roman"/>
          <w:kern w:val="0"/>
          <w:sz w:val="22"/>
          <w:szCs w:val="22"/>
          <w14:ligatures w14:val="none"/>
        </w:rPr>
        <w:t>vertė buvo maža (&lt;40 mmHg), geriau reagavo į gydymą. Pacientų, kurių pradinė pO</w:t>
      </w:r>
      <w:r w:rsidRPr="00913E59">
        <w:rPr>
          <w:rFonts w:ascii="Times New Roman" w:eastAsia="Times New Roman" w:hAnsi="Times New Roman" w:cs="Times New Roman"/>
          <w:kern w:val="0"/>
          <w:sz w:val="22"/>
          <w:szCs w:val="22"/>
          <w:vertAlign w:val="subscript"/>
          <w14:ligatures w14:val="none"/>
        </w:rPr>
        <w:t>2 </w:t>
      </w:r>
      <w:r w:rsidRPr="00913E59">
        <w:rPr>
          <w:rFonts w:ascii="Times New Roman" w:eastAsia="Times New Roman" w:hAnsi="Times New Roman" w:cs="Times New Roman"/>
          <w:kern w:val="0"/>
          <w:sz w:val="22"/>
          <w:szCs w:val="22"/>
          <w14:ligatures w14:val="none"/>
        </w:rPr>
        <w:t>vertė buvo didelė (&gt;40 mmHg) organizmo atsakas į gydymą buvo nežymus.</w:t>
      </w:r>
    </w:p>
    <w:p w14:paraId="75172BBC"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14F5B540"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bookmarkStart w:id="0" w:name="_Hlk151020121"/>
      <w:r w:rsidRPr="00913E59">
        <w:rPr>
          <w:rFonts w:ascii="Times New Roman" w:eastAsia="Times New Roman" w:hAnsi="Times New Roman" w:cs="Times New Roman"/>
          <w:bCs/>
          <w:kern w:val="0"/>
          <w:sz w:val="22"/>
          <w:szCs w:val="22"/>
          <w14:ligatures w14:val="none"/>
        </w:rPr>
        <w:t>Klinikiniai tyrimai rodo, kad didėjant naujagimių ir kūdikių amžiui gydymo sėkmė mažėja.</w:t>
      </w:r>
    </w:p>
    <w:bookmarkEnd w:id="0"/>
    <w:p w14:paraId="313705BC"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26E3BA97"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r w:rsidRPr="00913E59">
        <w:rPr>
          <w:rFonts w:ascii="Times New Roman" w:eastAsia="Times New Roman" w:hAnsi="Times New Roman" w:cs="Times New Roman"/>
          <w:bCs/>
          <w:kern w:val="0"/>
          <w:sz w:val="22"/>
          <w:szCs w:val="22"/>
          <w14:ligatures w14:val="none"/>
        </w:rPr>
        <w:t>Kvėpavimo sutrikimas (apnėja) gali pasireikšti maždaug 10</w:t>
      </w:r>
      <w:r w:rsidRPr="00913E59">
        <w:rPr>
          <w:rFonts w:ascii="Times New Roman" w:eastAsia="Times New Roman" w:hAnsi="Times New Roman" w:cs="Times New Roman"/>
          <w:bCs/>
          <w:kern w:val="0"/>
          <w:sz w:val="22"/>
          <w:szCs w:val="22"/>
          <w14:ligatures w14:val="none"/>
        </w:rPr>
        <w:noBreakHyphen/>
        <w:t>12% naujagimių, kuriems yra įgimtų širdies ydų ir kuriems skiriama alprostadilio (PGE</w:t>
      </w:r>
      <w:r w:rsidRPr="00913E59">
        <w:rPr>
          <w:rFonts w:ascii="Times New Roman" w:eastAsia="Times New Roman" w:hAnsi="Times New Roman" w:cs="Times New Roman"/>
          <w:bCs/>
          <w:kern w:val="0"/>
          <w:sz w:val="22"/>
          <w:szCs w:val="22"/>
          <w:vertAlign w:val="subscript"/>
          <w14:ligatures w14:val="none"/>
        </w:rPr>
        <w:t>1</w:t>
      </w:r>
      <w:r w:rsidRPr="00913E59">
        <w:rPr>
          <w:rFonts w:ascii="Times New Roman" w:eastAsia="Times New Roman" w:hAnsi="Times New Roman" w:cs="Times New Roman"/>
          <w:bCs/>
          <w:kern w:val="0"/>
          <w:sz w:val="22"/>
          <w:szCs w:val="22"/>
          <w14:ligatures w14:val="none"/>
        </w:rPr>
        <w:t>). Kvėpavimo sutrikimas dažniausiai pasireiškia melsvos odos (cianotiniams) naujagimiams, kurie gimę sveria mažiau kaip 2 kg, ir paprastai pasireiškia per pirmąją vaisto infuzijos valandą.</w:t>
      </w:r>
      <w:r w:rsidRPr="00913E59">
        <w:rPr>
          <w:rFonts w:ascii="Calibri" w:eastAsia="Calibri" w:hAnsi="Calibri" w:cs="Times New Roman"/>
          <w:kern w:val="0"/>
          <w:sz w:val="22"/>
          <w:szCs w:val="22"/>
          <w14:ligatures w14:val="none"/>
        </w:rPr>
        <w:t xml:space="preserve"> </w:t>
      </w:r>
      <w:r w:rsidRPr="00913E59">
        <w:rPr>
          <w:rFonts w:ascii="Times New Roman" w:eastAsia="Times New Roman" w:hAnsi="Times New Roman" w:cs="Times New Roman"/>
          <w:bCs/>
          <w:kern w:val="0"/>
          <w:sz w:val="22"/>
          <w:szCs w:val="22"/>
          <w14:ligatures w14:val="none"/>
        </w:rPr>
        <w:t>Galimybė nedelsiant atlikti intubaciją ir ilgalaikę ventiliaciją turi būti prieinama. Tai taip pat taikoma bet kokio transportavimo metu. Jei dozės mažinimas prieš transportavimą netoleruojamas, reikia apsvarstyti planinę intubaciją prieš transportavimą.</w:t>
      </w:r>
    </w:p>
    <w:p w14:paraId="0979FCAA"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p>
    <w:p w14:paraId="27DEB603"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r w:rsidRPr="00913E59">
        <w:rPr>
          <w:rFonts w:ascii="Times New Roman" w:eastAsia="Times New Roman" w:hAnsi="Times New Roman" w:cs="Times New Roman"/>
          <w:bCs/>
          <w:kern w:val="0"/>
          <w:sz w:val="22"/>
          <w:szCs w:val="22"/>
          <w14:ligatures w14:val="none"/>
        </w:rPr>
        <w:t>Vaikai, kurie gimė sverdami mažiau kaip 2 kg, dažniau patiria šių šalutinio poveikio reiškinių: širdies ir kraujagyslių sistemos sutrikimų, kvėpavimo slopinimą (paviršutinis kvėpavimas); melsvos odos (cianotiniams) vaikams yra būdingas paviršutinis kvėpavimas (kvėpavimo slopinimas). Taip pat tokia pati rizika pastebima, kai infuzija trunka ilgiau kaip 48 valandas ir pasireiškia šalutinis poveikis širdžiai, kraujotakai ir centrinei nervų sistemai, o kai pH yra 7,1 arba mažesnis, šalutinio poveikio reiškinių pasireiškia ir centrinei nervų sistemai (žr. 4 skyrių).</w:t>
      </w:r>
    </w:p>
    <w:p w14:paraId="25F96A08"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p>
    <w:p w14:paraId="6C657FAF"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r w:rsidRPr="00913E59">
        <w:rPr>
          <w:rFonts w:ascii="Times New Roman" w:eastAsia="Times New Roman" w:hAnsi="Times New Roman" w:cs="Times New Roman"/>
          <w:bCs/>
          <w:kern w:val="0"/>
          <w:sz w:val="22"/>
          <w:szCs w:val="22"/>
          <w14:ligatures w14:val="none"/>
        </w:rPr>
        <w:t xml:space="preserve">Naujagimiai, kuriems alprostadilio skiriama ilgiau kaip 5 dienas, turi būti atidžiai stebimi dėl skrandžio gleivinės sustorėjimo </w:t>
      </w:r>
      <w:r w:rsidRPr="00913E59">
        <w:rPr>
          <w:rFonts w:ascii="Times New Roman" w:eastAsia="Times New Roman" w:hAnsi="Times New Roman" w:cs="Times New Roman"/>
          <w:kern w:val="0"/>
          <w:sz w:val="22"/>
          <w:szCs w:val="22"/>
          <w14:ligatures w14:val="none"/>
        </w:rPr>
        <w:t>su skrandžio išeinamosios angos obstrukcija</w:t>
      </w:r>
      <w:r w:rsidRPr="00913E59">
        <w:rPr>
          <w:rFonts w:ascii="Times New Roman" w:eastAsia="Times New Roman" w:hAnsi="Times New Roman" w:cs="Times New Roman"/>
          <w:bCs/>
          <w:kern w:val="0"/>
          <w:sz w:val="22"/>
          <w:szCs w:val="22"/>
          <w14:ligatures w14:val="none"/>
        </w:rPr>
        <w:t>. Pranešta, kad šių šalutinio poveikio reiškinių pasireiškė 7 % pacientų (žr. 4 skyrių).</w:t>
      </w:r>
    </w:p>
    <w:p w14:paraId="0CE0410E"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p>
    <w:p w14:paraId="122C7FE5"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r w:rsidRPr="00913E59">
        <w:rPr>
          <w:rFonts w:ascii="Times New Roman" w:eastAsia="Times New Roman" w:hAnsi="Times New Roman" w:cs="Times New Roman"/>
          <w:bCs/>
          <w:kern w:val="0"/>
          <w:sz w:val="22"/>
          <w:szCs w:val="22"/>
          <w14:ligatures w14:val="none"/>
        </w:rPr>
        <w:t>Klinikinių tyrimų metu buvo pranešta, kad 50</w:t>
      </w:r>
      <w:r w:rsidRPr="00913E59">
        <w:rPr>
          <w:rFonts w:ascii="Times New Roman" w:eastAsia="Times New Roman" w:hAnsi="Times New Roman" w:cs="Times New Roman"/>
          <w:bCs/>
          <w:kern w:val="0"/>
          <w:sz w:val="22"/>
          <w:szCs w:val="22"/>
          <w14:ligatures w14:val="none"/>
        </w:rPr>
        <w:noBreakHyphen/>
        <w:t>60 % pacientų, gydomų ilgai, išsivysto ilgųjų rankų ir kojų kaulų augimas (hiperostozė), dengiamųjų kaulų (smegenų ir veido jungiamojo audinio kaulų) mineralizacijos sutrikimai ir šarminės fosfatazės (fermento, galinčio rodyti kepenų ir skeleto ligų požymius) aktyvumo padidėjimas, kuris išnyko nutraukus vaisto vartojimą. Dauguma pokyčių išnyko per 6</w:t>
      </w:r>
      <w:r w:rsidRPr="00913E59">
        <w:rPr>
          <w:rFonts w:ascii="Times New Roman" w:eastAsia="Times New Roman" w:hAnsi="Times New Roman" w:cs="Times New Roman"/>
          <w:bCs/>
          <w:kern w:val="0"/>
          <w:sz w:val="22"/>
          <w:szCs w:val="22"/>
          <w14:ligatures w14:val="none"/>
        </w:rPr>
        <w:noBreakHyphen/>
        <w:t>12 savaičių, o kai kuriais atvejais išliko 38 savaites. Kaulų formavimosi dažnis ir sunkumas buvo susiję su gydymo trukme ir bendra doze; nebuvo jokio ryšio su doze.</w:t>
      </w:r>
    </w:p>
    <w:p w14:paraId="50332472"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p>
    <w:p w14:paraId="550A025A"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r w:rsidRPr="00913E59">
        <w:rPr>
          <w:rFonts w:ascii="Times New Roman" w:eastAsia="Times New Roman" w:hAnsi="Times New Roman" w:cs="Times New Roman"/>
          <w:bCs/>
          <w:kern w:val="0"/>
          <w:sz w:val="22"/>
          <w:szCs w:val="22"/>
          <w14:ligatures w14:val="none"/>
        </w:rPr>
        <w:t>Patologiniai alprostadiliu gydytų vaikų tyrimai parodė arterinio latako, plaučių arterijos arba aortos histologinį pažeidimą (sienos susilpnėjimą, susidarius edemai, plyšimui ir (arba) aneurizmoms) (žr. 4 skyrių). Šie pokyčiai pasireiškė ilgalaikio gydymo metu ir rodo ryšį su doze. Šių rezultatų specifiškumas ar klinikinė reikšmė nežinoma.</w:t>
      </w:r>
    </w:p>
    <w:p w14:paraId="7C0927D5"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p>
    <w:p w14:paraId="064A213A" w14:textId="77777777" w:rsidR="00913E59" w:rsidRPr="00913E59" w:rsidRDefault="00913E59" w:rsidP="00913E59">
      <w:pPr>
        <w:tabs>
          <w:tab w:val="left" w:pos="567"/>
        </w:tabs>
        <w:suppressAutoHyphens/>
        <w:autoSpaceDN w:val="0"/>
        <w:spacing w:after="0" w:line="240" w:lineRule="auto"/>
        <w:textAlignment w:val="baseline"/>
        <w:outlineLvl w:val="3"/>
        <w:rPr>
          <w:rFonts w:ascii="Times New Roman" w:eastAsia="Calibri" w:hAnsi="Times New Roman" w:cs="Times New Roman"/>
          <w:kern w:val="0"/>
          <w:sz w:val="22"/>
          <w:szCs w:val="22"/>
          <w14:ligatures w14:val="none"/>
        </w:rPr>
      </w:pPr>
      <w:r w:rsidRPr="00913E59">
        <w:rPr>
          <w:rFonts w:ascii="Times New Roman" w:eastAsia="Calibri" w:hAnsi="Times New Roman" w:cs="Times New Roman"/>
          <w:kern w:val="0"/>
          <w:sz w:val="22"/>
          <w:szCs w:val="22"/>
          <w14:ligatures w14:val="none"/>
        </w:rPr>
        <w:t>Be to, ilgai gydant buvo pastebėtas gydymui atsparus viduriavimas (žr. 4 skyrių). Šis pokytis taip pat rodo ryšį su doze.</w:t>
      </w:r>
    </w:p>
    <w:p w14:paraId="64E95182" w14:textId="77777777" w:rsidR="00913E59" w:rsidRPr="00913E59" w:rsidRDefault="00913E59" w:rsidP="00913E59">
      <w:pPr>
        <w:tabs>
          <w:tab w:val="left" w:pos="567"/>
        </w:tabs>
        <w:suppressAutoHyphens/>
        <w:autoSpaceDN w:val="0"/>
        <w:spacing w:after="0" w:line="240" w:lineRule="auto"/>
        <w:textAlignment w:val="baseline"/>
        <w:outlineLvl w:val="3"/>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Naujagimiams, sergantiems kvėpavimo sutrikimo (distreso) sindromu, alprostadilio vartoti draudžiama. Visada reikia diferencijuoti kvėpavimo sutrikimo (distreso) sindromą ir įgimtą širdies ydą. Kai nėra iš karto prieinamos visos diagnostikos priemonės, diagnozė turi būti pagrįsta cianoze (pO</w:t>
      </w:r>
      <w:r w:rsidRPr="00913E59">
        <w:rPr>
          <w:rFonts w:ascii="Times New Roman" w:eastAsia="Times New Roman" w:hAnsi="Times New Roman" w:cs="Times New Roman"/>
          <w:kern w:val="0"/>
          <w:sz w:val="22"/>
          <w:szCs w:val="22"/>
          <w:vertAlign w:val="subscript"/>
          <w14:ligatures w14:val="none"/>
        </w:rPr>
        <w:t>2 </w:t>
      </w:r>
      <w:r w:rsidRPr="00913E59">
        <w:rPr>
          <w:rFonts w:ascii="Times New Roman" w:eastAsia="Times New Roman" w:hAnsi="Times New Roman" w:cs="Times New Roman"/>
          <w:kern w:val="0"/>
          <w:sz w:val="22"/>
          <w:szCs w:val="22"/>
          <w14:ligatures w14:val="none"/>
        </w:rPr>
        <w:t>mažesnis kaip 40 torų) ir rentgeno tyrimų parodymais, kad plaučių kraujotaka yra ribota.</w:t>
      </w:r>
    </w:p>
    <w:p w14:paraId="65E8E534" w14:textId="77777777" w:rsidR="00913E59" w:rsidRPr="00913E59" w:rsidRDefault="00913E59" w:rsidP="00913E59">
      <w:pPr>
        <w:tabs>
          <w:tab w:val="left" w:pos="567"/>
        </w:tabs>
        <w:suppressAutoHyphens/>
        <w:autoSpaceDN w:val="0"/>
        <w:spacing w:after="0" w:line="240" w:lineRule="auto"/>
        <w:textAlignment w:val="baseline"/>
        <w:outlineLvl w:val="3"/>
        <w:rPr>
          <w:rFonts w:ascii="Times New Roman" w:eastAsia="Times New Roman" w:hAnsi="Times New Roman" w:cs="Times New Roman"/>
          <w:kern w:val="0"/>
          <w:sz w:val="22"/>
          <w:szCs w:val="22"/>
          <w14:ligatures w14:val="none"/>
        </w:rPr>
      </w:pPr>
    </w:p>
    <w:p w14:paraId="32ADFB32" w14:textId="77777777" w:rsidR="00913E59" w:rsidRPr="00913E59" w:rsidRDefault="00913E59" w:rsidP="00913E59">
      <w:pPr>
        <w:tabs>
          <w:tab w:val="left" w:pos="567"/>
        </w:tabs>
        <w:suppressAutoHyphens/>
        <w:autoSpaceDN w:val="0"/>
        <w:spacing w:after="0" w:line="240" w:lineRule="auto"/>
        <w:textAlignment w:val="baseline"/>
        <w:outlineLvl w:val="3"/>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Naujagimius, kuriems anksčiau buvo polinkis kraujuoti, reikia atidžiai stebėti. Alprostadilio reikia vartoti atsargiai, nes jis sumažina trombocitų agregaciją.</w:t>
      </w:r>
    </w:p>
    <w:p w14:paraId="578A77F1" w14:textId="77777777" w:rsidR="00913E59" w:rsidRPr="00913E59" w:rsidRDefault="00913E59" w:rsidP="00913E59">
      <w:pPr>
        <w:tabs>
          <w:tab w:val="left" w:pos="567"/>
        </w:tabs>
        <w:suppressAutoHyphens/>
        <w:autoSpaceDN w:val="0"/>
        <w:spacing w:after="0" w:line="240" w:lineRule="auto"/>
        <w:textAlignment w:val="baseline"/>
        <w:outlineLvl w:val="3"/>
        <w:rPr>
          <w:rFonts w:ascii="Times New Roman" w:eastAsia="Times New Roman" w:hAnsi="Times New Roman" w:cs="Times New Roman"/>
          <w:kern w:val="0"/>
          <w:sz w:val="22"/>
          <w:szCs w:val="22"/>
          <w14:ligatures w14:val="none"/>
        </w:rPr>
      </w:pPr>
    </w:p>
    <w:p w14:paraId="76283D07"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Gydymo metu arterinis kraujospūdis turi būti atidžiai stebimas bambos arterijos kateteriu, radialinės arterijos kateteriu, auskultacija arba Doplerio keitikliu. Jei arterinis kraujospūdis smarkiai sumažėja, infuzijos greitį reikia nedelsiant sumažinti.</w:t>
      </w:r>
    </w:p>
    <w:p w14:paraId="00BA25A4"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0042ADDE" w14:textId="14C507EE" w:rsidR="00913E59" w:rsidRPr="00913E59" w:rsidRDefault="00913E59" w:rsidP="00913E59">
      <w:pPr>
        <w:tabs>
          <w:tab w:val="left" w:pos="567"/>
        </w:tabs>
        <w:suppressAutoHyphens/>
        <w:autoSpaceDN w:val="0"/>
        <w:spacing w:after="0" w:line="240" w:lineRule="auto"/>
        <w:textAlignment w:val="baseline"/>
        <w:outlineLvl w:val="3"/>
        <w:rPr>
          <w:rFonts w:ascii="Times New Roman" w:eastAsia="Times New Roman" w:hAnsi="Times New Roman" w:cs="Times New Roman"/>
          <w:kern w:val="0"/>
          <w:sz w:val="22"/>
          <w:szCs w:val="22"/>
          <w14:ligatures w14:val="none"/>
        </w:rPr>
      </w:pPr>
      <w:bookmarkStart w:id="1" w:name="_Hlk151022984"/>
      <w:r w:rsidRPr="00913E59">
        <w:rPr>
          <w:rFonts w:ascii="Times New Roman" w:eastAsia="Times New Roman" w:hAnsi="Times New Roman" w:cs="Times New Roman"/>
          <w:kern w:val="0"/>
          <w:sz w:val="22"/>
          <w:szCs w:val="22"/>
          <w14:ligatures w14:val="none"/>
        </w:rPr>
        <w:t xml:space="preserve">Dėl padidėjusio infekcijų dažnio </w:t>
      </w:r>
      <w:r w:rsidR="00C8455D">
        <w:rPr>
          <w:rFonts w:ascii="Times New Roman" w:eastAsia="Times New Roman" w:hAnsi="Times New Roman" w:cs="Times New Roman"/>
          <w:kern w:val="0"/>
          <w:sz w:val="22"/>
          <w:szCs w:val="22"/>
          <w14:ligatures w14:val="none"/>
        </w:rPr>
        <w:t>PROSTIN VR</w:t>
      </w:r>
      <w:r w:rsidRPr="00913E59">
        <w:rPr>
          <w:rFonts w:ascii="Times New Roman" w:eastAsia="Times New Roman" w:hAnsi="Times New Roman" w:cs="Times New Roman"/>
          <w:kern w:val="0"/>
          <w:sz w:val="22"/>
          <w:szCs w:val="22"/>
          <w14:ligatures w14:val="none"/>
        </w:rPr>
        <w:t xml:space="preserve"> gydymo metu rekomenduojama profilaktiškai vartoti antibiotikų.</w:t>
      </w:r>
    </w:p>
    <w:p w14:paraId="1914D45A" w14:textId="77777777" w:rsidR="00913E59" w:rsidRPr="00913E59" w:rsidRDefault="00913E59" w:rsidP="00913E59">
      <w:pPr>
        <w:tabs>
          <w:tab w:val="left" w:pos="567"/>
        </w:tabs>
        <w:suppressAutoHyphens/>
        <w:autoSpaceDN w:val="0"/>
        <w:spacing w:after="0" w:line="240" w:lineRule="auto"/>
        <w:textAlignment w:val="baseline"/>
        <w:outlineLvl w:val="3"/>
        <w:rPr>
          <w:rFonts w:ascii="Times New Roman" w:eastAsia="Times New Roman" w:hAnsi="Times New Roman" w:cs="Times New Roman"/>
          <w:kern w:val="0"/>
          <w:sz w:val="22"/>
          <w:szCs w:val="22"/>
          <w14:ligatures w14:val="none"/>
        </w:rPr>
      </w:pPr>
    </w:p>
    <w:bookmarkEnd w:id="1"/>
    <w:p w14:paraId="4F23303C" w14:textId="77777777" w:rsidR="00913E59" w:rsidRPr="00913E59" w:rsidRDefault="00913E59" w:rsidP="00913E59">
      <w:pPr>
        <w:tabs>
          <w:tab w:val="left" w:pos="567"/>
        </w:tabs>
        <w:suppressAutoHyphens/>
        <w:autoSpaceDN w:val="0"/>
        <w:spacing w:after="0" w:line="240" w:lineRule="auto"/>
        <w:textAlignment w:val="baseline"/>
        <w:outlineLvl w:val="3"/>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Dauguma šalutinio poveikio reiškinių priklauso nuo vaisto dozės. Sutrikęs kvėpavimas, paraudusi oda, karščiavimas, per didelis susijaudinimas, sulėtėjęs širdies ritmas ir (arba) sumažėjęs kraujospūdis rodo, kad alprostadilis yra pernelyg veiksmingas ir būtina sumažinti jo dozę.</w:t>
      </w:r>
    </w:p>
    <w:p w14:paraId="13FE5055" w14:textId="77777777" w:rsidR="00913E59" w:rsidRPr="00913E59" w:rsidRDefault="00913E59" w:rsidP="00913E59">
      <w:pPr>
        <w:tabs>
          <w:tab w:val="left" w:pos="567"/>
        </w:tabs>
        <w:suppressAutoHyphens/>
        <w:autoSpaceDN w:val="0"/>
        <w:spacing w:after="0" w:line="240" w:lineRule="auto"/>
        <w:textAlignment w:val="baseline"/>
        <w:outlineLvl w:val="3"/>
        <w:rPr>
          <w:rFonts w:ascii="Times New Roman" w:eastAsia="Times New Roman" w:hAnsi="Times New Roman" w:cs="Times New Roman"/>
          <w:kern w:val="0"/>
          <w:sz w:val="22"/>
          <w:szCs w:val="22"/>
          <w14:ligatures w14:val="none"/>
        </w:rPr>
      </w:pPr>
    </w:p>
    <w:p w14:paraId="1E5C7AE3" w14:textId="0DA89A34" w:rsidR="00913E59" w:rsidRPr="00913E59" w:rsidRDefault="00913E59" w:rsidP="00913E59">
      <w:pPr>
        <w:keepNext/>
        <w:tabs>
          <w:tab w:val="left" w:pos="567"/>
        </w:tabs>
        <w:suppressAutoHyphens/>
        <w:autoSpaceDN w:val="0"/>
        <w:spacing w:after="0" w:line="240" w:lineRule="auto"/>
        <w:textAlignment w:val="baseline"/>
        <w:outlineLvl w:val="3"/>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 xml:space="preserve">Kiti vaistai ir </w:t>
      </w:r>
      <w:r w:rsidR="00C8455D">
        <w:rPr>
          <w:rFonts w:ascii="Times New Roman" w:eastAsia="Times New Roman" w:hAnsi="Times New Roman" w:cs="Times New Roman"/>
          <w:b/>
          <w:kern w:val="0"/>
          <w:sz w:val="22"/>
          <w:szCs w:val="22"/>
          <w14:ligatures w14:val="none"/>
        </w:rPr>
        <w:t>PROSTIN VR</w:t>
      </w:r>
    </w:p>
    <w:p w14:paraId="5CE31E2B" w14:textId="77777777" w:rsidR="00913E59" w:rsidRPr="00913E59" w:rsidRDefault="00913E59" w:rsidP="00913E59">
      <w:pPr>
        <w:tabs>
          <w:tab w:val="left" w:pos="567"/>
        </w:tabs>
        <w:suppressAutoHyphens/>
        <w:autoSpaceDN w:val="0"/>
        <w:spacing w:after="0" w:line="240" w:lineRule="auto"/>
        <w:textAlignment w:val="baseline"/>
        <w:outlineLvl w:val="3"/>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noProof/>
          <w:snapToGrid w:val="0"/>
          <w:kern w:val="0"/>
          <w:sz w:val="22"/>
          <w14:ligatures w14:val="none"/>
        </w:rPr>
        <w:t>Jeigu Jūsų vaikas vartoja ar neseniai vartojo kitų vaistų arba dėl to nesate tikri, apie tai pasakykite gydytojui arba vaistininkui</w:t>
      </w:r>
      <w:r w:rsidRPr="00913E59">
        <w:rPr>
          <w:rFonts w:ascii="Times New Roman" w:eastAsia="Times New Roman" w:hAnsi="Times New Roman" w:cs="Times New Roman"/>
          <w:kern w:val="0"/>
          <w:sz w:val="22"/>
          <w:szCs w:val="22"/>
          <w14:ligatures w14:val="none"/>
        </w:rPr>
        <w:t>.</w:t>
      </w:r>
    </w:p>
    <w:p w14:paraId="1009514F" w14:textId="77777777" w:rsidR="00913E59" w:rsidRPr="00913E59" w:rsidRDefault="00913E59" w:rsidP="00913E59">
      <w:pPr>
        <w:tabs>
          <w:tab w:val="left" w:pos="567"/>
        </w:tabs>
        <w:suppressAutoHyphens/>
        <w:autoSpaceDN w:val="0"/>
        <w:spacing w:after="0" w:line="240" w:lineRule="auto"/>
        <w:textAlignment w:val="baseline"/>
        <w:outlineLvl w:val="3"/>
        <w:rPr>
          <w:rFonts w:ascii="Times New Roman" w:eastAsia="Times New Roman" w:hAnsi="Times New Roman" w:cs="Times New Roman"/>
          <w:kern w:val="0"/>
          <w:sz w:val="22"/>
          <w:szCs w:val="22"/>
          <w14:ligatures w14:val="none"/>
        </w:rPr>
      </w:pPr>
    </w:p>
    <w:p w14:paraId="5080F693" w14:textId="17AF3CAA" w:rsidR="00913E59" w:rsidRPr="00913E59" w:rsidRDefault="00C8455D" w:rsidP="00913E59">
      <w:pPr>
        <w:keepNext/>
        <w:tabs>
          <w:tab w:val="left" w:pos="567"/>
        </w:tabs>
        <w:suppressAutoHyphens/>
        <w:autoSpaceDN w:val="0"/>
        <w:spacing w:after="0" w:line="240" w:lineRule="auto"/>
        <w:textAlignment w:val="baseline"/>
        <w:outlineLvl w:val="3"/>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PROSTIN VR</w:t>
      </w:r>
      <w:r w:rsidR="00913E59" w:rsidRPr="00913E59">
        <w:rPr>
          <w:rFonts w:ascii="Times New Roman" w:eastAsia="Times New Roman" w:hAnsi="Times New Roman" w:cs="Times New Roman"/>
          <w:kern w:val="0"/>
          <w:sz w:val="22"/>
          <w:szCs w:val="22"/>
          <w14:ligatures w14:val="none"/>
        </w:rPr>
        <w:t xml:space="preserve"> gali sustiprinti šių vaistų poveikį:</w:t>
      </w:r>
    </w:p>
    <w:p w14:paraId="7E804C0D" w14:textId="77777777" w:rsidR="00913E59" w:rsidRPr="00913E59" w:rsidRDefault="00913E59" w:rsidP="00C15956">
      <w:pPr>
        <w:numPr>
          <w:ilvl w:val="0"/>
          <w:numId w:val="10"/>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vaistų aukštam kraujospūdžiui gydyti;</w:t>
      </w:r>
    </w:p>
    <w:p w14:paraId="1AF28915" w14:textId="77777777" w:rsidR="00913E59" w:rsidRPr="00913E59" w:rsidRDefault="00913E59" w:rsidP="00C15956">
      <w:pPr>
        <w:numPr>
          <w:ilvl w:val="0"/>
          <w:numId w:val="10"/>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vaistų, apsaugančių nuo arterinio kraujo krešulių susidarymo arba vaistų kraujo krešulių (trombų) tirpinimui;</w:t>
      </w:r>
    </w:p>
    <w:p w14:paraId="6581B5EE" w14:textId="60FCA804" w:rsidR="00913E59" w:rsidRPr="00913E59" w:rsidRDefault="00913E59" w:rsidP="00C15956">
      <w:pPr>
        <w:numPr>
          <w:ilvl w:val="0"/>
          <w:numId w:val="10"/>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 xml:space="preserve">kraujagysles plečiančių vaistų (kartu su </w:t>
      </w:r>
      <w:r w:rsidR="00C8455D">
        <w:rPr>
          <w:rFonts w:ascii="Times New Roman" w:eastAsia="Times New Roman" w:hAnsi="Times New Roman" w:cs="Times New Roman"/>
          <w:kern w:val="0"/>
          <w:sz w:val="22"/>
          <w:szCs w:val="22"/>
          <w14:ligatures w14:val="none"/>
        </w:rPr>
        <w:t>PROSTIN VR</w:t>
      </w:r>
      <w:r w:rsidRPr="00913E59">
        <w:rPr>
          <w:rFonts w:ascii="Times New Roman" w:eastAsia="Times New Roman" w:hAnsi="Times New Roman" w:cs="Times New Roman"/>
          <w:kern w:val="0"/>
          <w:sz w:val="22"/>
          <w:szCs w:val="22"/>
          <w14:ligatures w14:val="none"/>
        </w:rPr>
        <w:t xml:space="preserve"> jų galima vartoti tik intensyviai stebint širdį ir kraujotaką).</w:t>
      </w:r>
    </w:p>
    <w:p w14:paraId="3C2D5A5B"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32F0284E" w14:textId="767FE661"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 xml:space="preserve">Kraujagysles plečiantį </w:t>
      </w:r>
      <w:r w:rsidR="00C8455D">
        <w:rPr>
          <w:rFonts w:ascii="Times New Roman" w:eastAsia="Times New Roman" w:hAnsi="Times New Roman" w:cs="Times New Roman"/>
          <w:kern w:val="0"/>
          <w:sz w:val="22"/>
          <w:szCs w:val="22"/>
          <w14:ligatures w14:val="none"/>
        </w:rPr>
        <w:t>PROSTIN VR</w:t>
      </w:r>
      <w:r w:rsidRPr="00913E59">
        <w:rPr>
          <w:rFonts w:ascii="Times New Roman" w:eastAsia="Times New Roman" w:hAnsi="Times New Roman" w:cs="Times New Roman"/>
          <w:kern w:val="0"/>
          <w:sz w:val="22"/>
          <w:szCs w:val="22"/>
          <w14:ligatures w14:val="none"/>
        </w:rPr>
        <w:t xml:space="preserve"> poveikį gali susilpninti kraujagysles sutraukiantys vaistai (metaraminolis, epinefrinas, fenilefrinas).</w:t>
      </w:r>
    </w:p>
    <w:p w14:paraId="42470A9B"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3A6EC715" w14:textId="1872410C"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 xml:space="preserve">Nebuvo pranešta apie sąveiką tarp </w:t>
      </w:r>
      <w:r w:rsidR="00C8455D">
        <w:rPr>
          <w:rFonts w:ascii="Times New Roman" w:eastAsia="Times New Roman" w:hAnsi="Times New Roman" w:cs="Times New Roman"/>
          <w:kern w:val="0"/>
          <w:sz w:val="22"/>
          <w:szCs w:val="22"/>
          <w14:ligatures w14:val="none"/>
        </w:rPr>
        <w:t>PROSTIN VR</w:t>
      </w:r>
      <w:r w:rsidRPr="00913E59">
        <w:rPr>
          <w:rFonts w:ascii="Times New Roman" w:eastAsia="Times New Roman" w:hAnsi="Times New Roman" w:cs="Times New Roman"/>
          <w:kern w:val="0"/>
          <w:sz w:val="22"/>
          <w:szCs w:val="22"/>
          <w14:ligatures w14:val="none"/>
        </w:rPr>
        <w:t xml:space="preserve"> ir standartinių vaistų, vartojamų naujagimiams (ir mažiems vaikams), kuriems yra įgimtų širdies ydų. Standartinė terapija apima antibiotikus, tokius kaip penicilinas ar gentamicinas, kraujospūdį palaikančius vaistus, tokius kaip dopaminas arba izoproterenolis, taip pat širdies funkciją palaikančius ir dehidratuojančius vaistus, tokius kaip furozemidas.</w:t>
      </w:r>
    </w:p>
    <w:p w14:paraId="46D84440"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71BF19FF" w14:textId="77777777" w:rsidR="00913E59" w:rsidRPr="00913E59" w:rsidRDefault="00913E59" w:rsidP="00913E59">
      <w:pPr>
        <w:keepNext/>
        <w:tabs>
          <w:tab w:val="left" w:pos="567"/>
        </w:tabs>
        <w:spacing w:after="0" w:line="240" w:lineRule="auto"/>
        <w:outlineLvl w:val="3"/>
        <w:rPr>
          <w:rFonts w:ascii="Times New Roman" w:eastAsia="Calibri" w:hAnsi="Times New Roman" w:cs="Times New Roman"/>
          <w:b/>
          <w:kern w:val="0"/>
          <w:sz w:val="22"/>
          <w:szCs w:val="22"/>
          <w:lang w:eastAsia="lt-LT"/>
          <w14:ligatures w14:val="none"/>
        </w:rPr>
      </w:pPr>
      <w:r w:rsidRPr="00913E59">
        <w:rPr>
          <w:rFonts w:ascii="Times New Roman" w:eastAsia="Calibri" w:hAnsi="Times New Roman" w:cs="Times New Roman"/>
          <w:b/>
          <w:kern w:val="0"/>
          <w:sz w:val="22"/>
          <w:szCs w:val="22"/>
          <w:lang w:eastAsia="lt-LT"/>
          <w14:ligatures w14:val="none"/>
        </w:rPr>
        <w:t>Vaikams</w:t>
      </w:r>
    </w:p>
    <w:p w14:paraId="4B55482B" w14:textId="598D16CD" w:rsidR="00913E59" w:rsidRPr="00913E59" w:rsidRDefault="00C8455D"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PROSTIN VR</w:t>
      </w:r>
      <w:r w:rsidR="00913E59" w:rsidRPr="00913E59">
        <w:rPr>
          <w:rFonts w:ascii="Times New Roman" w:eastAsia="Times New Roman" w:hAnsi="Times New Roman" w:cs="Times New Roman"/>
          <w:kern w:val="0"/>
          <w:sz w:val="22"/>
          <w:szCs w:val="22"/>
          <w14:ligatures w14:val="none"/>
        </w:rPr>
        <w:t xml:space="preserve"> sudėtyje yra alkoholio (etanolio), kuris gali daryti poveikį vaikams (žr. „</w:t>
      </w:r>
      <w:r>
        <w:rPr>
          <w:rFonts w:ascii="Times New Roman" w:eastAsia="Times New Roman" w:hAnsi="Times New Roman" w:cs="Times New Roman"/>
          <w:kern w:val="0"/>
          <w:sz w:val="22"/>
          <w:szCs w:val="22"/>
          <w14:ligatures w14:val="none"/>
        </w:rPr>
        <w:t>PROSTIN VR</w:t>
      </w:r>
      <w:r w:rsidR="00913E59" w:rsidRPr="00913E59">
        <w:rPr>
          <w:rFonts w:ascii="Times New Roman" w:eastAsia="Times New Roman" w:hAnsi="Times New Roman" w:cs="Times New Roman"/>
          <w:kern w:val="0"/>
          <w:sz w:val="22"/>
          <w:szCs w:val="22"/>
          <w14:ligatures w14:val="none"/>
        </w:rPr>
        <w:t xml:space="preserve"> sudėtyje yra alkoholio [etanolio]“).</w:t>
      </w:r>
    </w:p>
    <w:p w14:paraId="21BE6F44"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21BF4EC9" w14:textId="575A7F2D" w:rsidR="00913E59" w:rsidRPr="00913E59" w:rsidRDefault="00C8455D" w:rsidP="00913E59">
      <w:pPr>
        <w:keepNext/>
        <w:tabs>
          <w:tab w:val="left" w:pos="567"/>
        </w:tabs>
        <w:suppressAutoHyphens/>
        <w:autoSpaceDN w:val="0"/>
        <w:spacing w:after="0" w:line="240" w:lineRule="auto"/>
        <w:textAlignment w:val="baseline"/>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PROSTIN VR</w:t>
      </w:r>
      <w:r w:rsidR="00913E59" w:rsidRPr="00913E59">
        <w:rPr>
          <w:rFonts w:ascii="Times New Roman" w:eastAsia="Times New Roman" w:hAnsi="Times New Roman" w:cs="Times New Roman"/>
          <w:b/>
          <w:kern w:val="0"/>
          <w:sz w:val="22"/>
          <w:szCs w:val="22"/>
          <w14:ligatures w14:val="none"/>
        </w:rPr>
        <w:t xml:space="preserve"> sudėtyje yra alkoholio (etanolio)</w:t>
      </w:r>
    </w:p>
    <w:p w14:paraId="433E28A5"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bookmarkStart w:id="2" w:name="_Hlk151023116"/>
      <w:r w:rsidRPr="00913E59">
        <w:rPr>
          <w:rFonts w:ascii="Times New Roman" w:eastAsia="Times New Roman" w:hAnsi="Times New Roman" w:cs="Times New Roman"/>
          <w:kern w:val="0"/>
          <w:sz w:val="22"/>
          <w:szCs w:val="22"/>
          <w14:ligatures w14:val="none"/>
        </w:rPr>
        <w:t>Kiekvienoje šio vaisto 1 ml ampulėje yra 790 mg alkoholio (etanolio), tai atitinka 790 mg/ml (79 % svorio/tūrio). Toks 1 ml ampulėje esantis alkoholio kiekis atitinka mažiau kaip 20 ml alaus ar 8 ml vyno.</w:t>
      </w:r>
    </w:p>
    <w:bookmarkEnd w:id="2"/>
    <w:p w14:paraId="42AA218D"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Alkoholis, esantis šio vaisto sudėtyje, gali daryti poveikį vaikams ir sukelti mieguistumą bei elgesio pokyčius.</w:t>
      </w:r>
    </w:p>
    <w:p w14:paraId="13D5EF5F"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Kadangi šis vaistas suvartojamas iš lėto per 24 valandas, alkoholio poveikis gali būti silpnesnis.</w:t>
      </w:r>
    </w:p>
    <w:p w14:paraId="114CDE7D"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Vartojimas su vaistais, kurių sudėtyje yra propilenglikolio arba etanolio, gali sukelti etanolio kaupimąsi ir šalutinį poveikį, ypač mažiems vaikams, kurių medžiagų apykaita yra nepakankamai susiformavusi.</w:t>
      </w:r>
    </w:p>
    <w:p w14:paraId="4D00261E"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Jeigu Jūsų vaikas serga epilepsija arba kepenų ligomis, prieš skirdami vaikui šio vaisto, pasitarkite su gydytoju arba vaistininku.</w:t>
      </w:r>
    </w:p>
    <w:p w14:paraId="19C33C65"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Alkoholio kiekis, esantis šio vaisto sudėtyje, gali keisti kitų vaistų poveikį. Jeigu Jūsų vaikas vartoja kitų vaistų, pasitarkite su gydytoju arba vaistininku.</w:t>
      </w:r>
    </w:p>
    <w:p w14:paraId="71F0ACF4"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39280AAC"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502E300A" w14:textId="050AFEA4" w:rsidR="00913E59" w:rsidRPr="00913E59" w:rsidRDefault="00913E59" w:rsidP="00913E59">
      <w:pPr>
        <w:keepNext/>
        <w:tabs>
          <w:tab w:val="left" w:pos="567"/>
        </w:tabs>
        <w:suppressAutoHyphens/>
        <w:autoSpaceDN w:val="0"/>
        <w:spacing w:after="0" w:line="240" w:lineRule="auto"/>
        <w:textAlignment w:val="baseline"/>
        <w:outlineLvl w:val="1"/>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3.</w:t>
      </w:r>
      <w:r w:rsidRPr="00913E59">
        <w:rPr>
          <w:rFonts w:ascii="Times New Roman" w:eastAsia="Times New Roman" w:hAnsi="Times New Roman" w:cs="Times New Roman"/>
          <w:b/>
          <w:kern w:val="0"/>
          <w:sz w:val="22"/>
          <w:szCs w:val="22"/>
          <w14:ligatures w14:val="none"/>
        </w:rPr>
        <w:tab/>
        <w:t xml:space="preserve">Kaip vartoti </w:t>
      </w:r>
      <w:r w:rsidR="00C8455D">
        <w:rPr>
          <w:rFonts w:ascii="Times New Roman" w:eastAsia="Times New Roman" w:hAnsi="Times New Roman" w:cs="Times New Roman"/>
          <w:b/>
          <w:kern w:val="0"/>
          <w:sz w:val="22"/>
          <w:szCs w:val="22"/>
          <w14:ligatures w14:val="none"/>
        </w:rPr>
        <w:t>PROSTIN VR</w:t>
      </w:r>
    </w:p>
    <w:p w14:paraId="16F5DB62" w14:textId="77777777" w:rsidR="00913E59" w:rsidRPr="00913E59" w:rsidRDefault="00913E59" w:rsidP="00913E59">
      <w:pPr>
        <w:keepNext/>
        <w:tabs>
          <w:tab w:val="left" w:pos="567"/>
        </w:tabs>
        <w:suppressAutoHyphens/>
        <w:autoSpaceDN w:val="0"/>
        <w:spacing w:after="0" w:line="240" w:lineRule="auto"/>
        <w:textAlignment w:val="baseline"/>
        <w:outlineLvl w:val="1"/>
        <w:rPr>
          <w:rFonts w:ascii="Times New Roman" w:eastAsia="Times New Roman" w:hAnsi="Times New Roman" w:cs="Times New Roman"/>
          <w:bCs/>
          <w:kern w:val="0"/>
          <w:sz w:val="22"/>
          <w:szCs w:val="22"/>
          <w14:ligatures w14:val="none"/>
        </w:rPr>
      </w:pPr>
    </w:p>
    <w:p w14:paraId="70EDF9B8" w14:textId="16A4143E" w:rsidR="00913E59" w:rsidRPr="00913E59" w:rsidRDefault="00C8455D"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PROSTIN VR</w:t>
      </w:r>
      <w:r w:rsidR="00913E59" w:rsidRPr="00913E59">
        <w:rPr>
          <w:rFonts w:ascii="Times New Roman" w:eastAsia="Times New Roman" w:hAnsi="Times New Roman" w:cs="Times New Roman"/>
          <w:kern w:val="0"/>
          <w:sz w:val="22"/>
          <w:szCs w:val="22"/>
          <w14:ligatures w14:val="none"/>
        </w:rPr>
        <w:t xml:space="preserve"> gali skirti tik patyrę gydytojai arba gerai apmokyti sveikatos priežiūros specialistai, prižiūrint gydytojui.</w:t>
      </w:r>
    </w:p>
    <w:p w14:paraId="7491EDBE"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1D5A936D"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Rekomenduojama dozė</w:t>
      </w:r>
    </w:p>
    <w:p w14:paraId="36D68AC0"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Infuzija pradedama 0,05</w:t>
      </w:r>
      <w:r w:rsidRPr="00913E59">
        <w:rPr>
          <w:rFonts w:ascii="Times New Roman" w:eastAsia="Times New Roman" w:hAnsi="Times New Roman" w:cs="Times New Roman"/>
          <w:kern w:val="0"/>
          <w:sz w:val="22"/>
          <w:szCs w:val="22"/>
          <w14:ligatures w14:val="none"/>
        </w:rPr>
        <w:noBreakHyphen/>
        <w:t>0,1 mikrogramo alprostadilio/kg kūno svorio per minutę greičiu.</w:t>
      </w:r>
    </w:p>
    <w:p w14:paraId="5F95AC88"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0C08D3DF"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Pasiekus terapinį atsaką, kuris padidina deguonies tiekimą esant ribotai plaučių kraujotakai ir padidina sisteminį kraujospūdį bei kraujo pH, kai sisteminė kraujotaka yra ribota, infuzijos greitis turi būti sumažintas iki mažiausios įmanomos dozės, kad būtų išlaikytas norimas atsakas. Tai galima pasiekti sumažinus dozę iki 0,01</w:t>
      </w:r>
      <w:r w:rsidRPr="00913E59">
        <w:rPr>
          <w:rFonts w:ascii="Times New Roman" w:eastAsia="Times New Roman" w:hAnsi="Times New Roman" w:cs="Times New Roman"/>
          <w:kern w:val="0"/>
          <w:sz w:val="22"/>
          <w:szCs w:val="22"/>
          <w14:ligatures w14:val="none"/>
        </w:rPr>
        <w:noBreakHyphen/>
        <w:t>0,025 mikrogramų/kg kūno svorio per minutę.</w:t>
      </w:r>
    </w:p>
    <w:p w14:paraId="49B4CC28"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3808F293"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 xml:space="preserve">Siekiant išvengti </w:t>
      </w:r>
      <w:r w:rsidRPr="00913E59">
        <w:rPr>
          <w:rFonts w:ascii="Times New Roman" w:eastAsia="Times New Roman" w:hAnsi="Times New Roman" w:cs="Times New Roman"/>
          <w:iCs/>
          <w:kern w:val="0"/>
          <w:sz w:val="22"/>
          <w:szCs w:val="22"/>
          <w14:ligatures w14:val="none"/>
        </w:rPr>
        <w:t>Botalo</w:t>
      </w:r>
      <w:r w:rsidRPr="00913E59">
        <w:rPr>
          <w:rFonts w:ascii="Times New Roman" w:eastAsia="Times New Roman" w:hAnsi="Times New Roman" w:cs="Times New Roman"/>
          <w:kern w:val="0"/>
          <w:sz w:val="22"/>
          <w:szCs w:val="22"/>
          <w14:ligatures w14:val="none"/>
        </w:rPr>
        <w:t xml:space="preserve"> latako užsidarymo, rekomenduojama vaisto skirti anksti, nes užsidarius latakui, jį vėl atverti galima tik skiriant didesnę dozę (&gt; 0,1 mikrogramo/kg kūno svorio per minutę).</w:t>
      </w:r>
    </w:p>
    <w:p w14:paraId="4A4EB549"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488DA116"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Jei po 0,05</w:t>
      </w:r>
      <w:r w:rsidRPr="00913E59">
        <w:rPr>
          <w:rFonts w:ascii="Times New Roman" w:eastAsia="Times New Roman" w:hAnsi="Times New Roman" w:cs="Times New Roman"/>
          <w:kern w:val="0"/>
          <w:sz w:val="22"/>
          <w:szCs w:val="22"/>
          <w14:ligatures w14:val="none"/>
        </w:rPr>
        <w:noBreakHyphen/>
        <w:t>0,1 mikrogramo/kg kūno svorio per minutę vartojimo gydomasis poveikis nėra pakankamas, dozę galima didinti iki didžiausios 0,4 mikrogramo/kg kūno svorio per minutę. Tačiau didinant infuzijos greitį retai kada pasiekiamas ryškesnis poveikis ir paprastai pasireiškia sunkesnis šalutinis poveikis.</w:t>
      </w:r>
    </w:p>
    <w:p w14:paraId="7C69B496"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7E41D866"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 xml:space="preserve">Vaikams, sergantiems cianotine širdies liga, galima tikėtis, kad </w:t>
      </w:r>
      <w:r w:rsidRPr="00913E59">
        <w:rPr>
          <w:rFonts w:ascii="Times New Roman" w:eastAsia="Times New Roman" w:hAnsi="Times New Roman" w:cs="Times New Roman"/>
          <w:iCs/>
          <w:kern w:val="0"/>
          <w:sz w:val="22"/>
          <w:szCs w:val="22"/>
          <w14:ligatures w14:val="none"/>
        </w:rPr>
        <w:t>Botal</w:t>
      </w:r>
      <w:r w:rsidRPr="00913E59">
        <w:rPr>
          <w:rFonts w:ascii="Times New Roman" w:eastAsia="Times New Roman" w:hAnsi="Times New Roman" w:cs="Times New Roman"/>
          <w:kern w:val="0"/>
          <w:sz w:val="22"/>
          <w:szCs w:val="22"/>
          <w14:ligatures w14:val="none"/>
        </w:rPr>
        <w:t>o latakas atsivers 30 min.</w:t>
      </w:r>
      <w:r w:rsidRPr="00913E59">
        <w:rPr>
          <w:rFonts w:ascii="Times New Roman" w:eastAsia="Times New Roman" w:hAnsi="Times New Roman" w:cs="Times New Roman"/>
          <w:kern w:val="0"/>
          <w:sz w:val="22"/>
          <w:szCs w:val="22"/>
          <w14:ligatures w14:val="none"/>
        </w:rPr>
        <w:noBreakHyphen/>
        <w:t>3 val. laikotarpyje nuo gydymo alprostadiliu pradžios, o dalinis deguonies slėgis (kraujyje ištirpusio deguonies dalinis slėgis) padidės vidutiniškai 20</w:t>
      </w:r>
      <w:r w:rsidRPr="00913E59">
        <w:rPr>
          <w:rFonts w:ascii="Times New Roman" w:eastAsia="Times New Roman" w:hAnsi="Times New Roman" w:cs="Times New Roman"/>
          <w:kern w:val="0"/>
          <w:sz w:val="22"/>
          <w:szCs w:val="22"/>
          <w14:ligatures w14:val="none"/>
        </w:rPr>
        <w:noBreakHyphen/>
        <w:t>30 mmHg.</w:t>
      </w:r>
    </w:p>
    <w:p w14:paraId="3F17AF46"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0AABF1C4"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Vartojimo būdas</w:t>
      </w:r>
    </w:p>
    <w:p w14:paraId="01669DCF" w14:textId="0BE58536" w:rsidR="00913E59" w:rsidRPr="00913E59" w:rsidRDefault="00C8455D"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PROSTIN VR</w:t>
      </w:r>
      <w:r w:rsidR="00913E59" w:rsidRPr="00913E59">
        <w:rPr>
          <w:rFonts w:ascii="Times New Roman" w:eastAsia="Times New Roman" w:hAnsi="Times New Roman" w:cs="Times New Roman"/>
          <w:kern w:val="0"/>
          <w:sz w:val="22"/>
          <w:szCs w:val="22"/>
          <w14:ligatures w14:val="none"/>
        </w:rPr>
        <w:t xml:space="preserve"> vartojamas sistemiškai, pageidautina nepertraukiama infuzija į didžiąją veną, naudojant tinkamą automatinę infuzinę pompą.</w:t>
      </w:r>
    </w:p>
    <w:p w14:paraId="58C0CB1D"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773D0B39" w14:textId="0AF32FBE"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 xml:space="preserve">Prieš naudodami </w:t>
      </w:r>
      <w:r w:rsidR="00C8455D">
        <w:rPr>
          <w:rFonts w:ascii="Times New Roman" w:eastAsia="Times New Roman" w:hAnsi="Times New Roman" w:cs="Times New Roman"/>
          <w:kern w:val="0"/>
          <w:sz w:val="22"/>
          <w:szCs w:val="22"/>
          <w14:ligatures w14:val="none"/>
        </w:rPr>
        <w:t>PROSTIN VR</w:t>
      </w:r>
      <w:r w:rsidRPr="00913E59">
        <w:rPr>
          <w:rFonts w:ascii="Times New Roman" w:eastAsia="Times New Roman" w:hAnsi="Times New Roman" w:cs="Times New Roman"/>
          <w:kern w:val="0"/>
          <w:sz w:val="22"/>
          <w:szCs w:val="22"/>
          <w14:ligatures w14:val="none"/>
        </w:rPr>
        <w:t xml:space="preserve"> praskieskite! Tinkami skiedikliai yra natrio chlorido 9 mg/ml (0,9 %) infuzinis arba 5 % gliukozės tirpalas.</w:t>
      </w:r>
    </w:p>
    <w:p w14:paraId="7BE48064"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081E71BF"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Infuzinio tirpalo paruošimas</w:t>
      </w:r>
    </w:p>
    <w:p w14:paraId="12FE51C7"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Informaciją sveikatos priežiūros specialistams žr. lapelio pabaigoje.</w:t>
      </w:r>
    </w:p>
    <w:p w14:paraId="41940B45"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678136F2"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Vartojimo trukmė</w:t>
      </w:r>
    </w:p>
    <w:p w14:paraId="6325DCCB" w14:textId="4984E011" w:rsidR="00913E59" w:rsidRPr="00913E59" w:rsidRDefault="00C8455D"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PROSTIN VR</w:t>
      </w:r>
      <w:r w:rsidR="00913E59" w:rsidRPr="00913E59">
        <w:rPr>
          <w:rFonts w:ascii="Times New Roman" w:eastAsia="Times New Roman" w:hAnsi="Times New Roman" w:cs="Times New Roman"/>
          <w:kern w:val="0"/>
          <w:sz w:val="22"/>
          <w:szCs w:val="22"/>
          <w14:ligatures w14:val="none"/>
        </w:rPr>
        <w:t xml:space="preserve"> paprastai galima vartoti tik prieš operaciją 2</w:t>
      </w:r>
      <w:r w:rsidR="00913E59" w:rsidRPr="00913E59">
        <w:rPr>
          <w:rFonts w:ascii="Times New Roman" w:eastAsia="Times New Roman" w:hAnsi="Times New Roman" w:cs="Times New Roman"/>
          <w:kern w:val="0"/>
          <w:sz w:val="22"/>
          <w:szCs w:val="22"/>
          <w14:ligatures w14:val="none"/>
        </w:rPr>
        <w:noBreakHyphen/>
        <w:t>3 dienas. Išimtiniais atvejais, gydytojui atidžiai įvertinus rizikos ir naudos santykį, vartojimas gali būti pratęstas (iki 3 savaičių).</w:t>
      </w:r>
    </w:p>
    <w:p w14:paraId="3E9453C1"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5B5DDE31" w14:textId="2DD8FDF8"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 xml:space="preserve">Ką daryti pavartojus per didelę </w:t>
      </w:r>
      <w:r w:rsidR="00C8455D">
        <w:rPr>
          <w:rFonts w:ascii="Times New Roman" w:eastAsia="Times New Roman" w:hAnsi="Times New Roman" w:cs="Times New Roman"/>
          <w:b/>
          <w:kern w:val="0"/>
          <w:sz w:val="22"/>
          <w:szCs w:val="22"/>
          <w14:ligatures w14:val="none"/>
        </w:rPr>
        <w:t>PROSTIN VR</w:t>
      </w:r>
      <w:r w:rsidRPr="00913E59">
        <w:rPr>
          <w:rFonts w:ascii="Times New Roman" w:eastAsia="Times New Roman" w:hAnsi="Times New Roman" w:cs="Times New Roman"/>
          <w:b/>
          <w:kern w:val="0"/>
          <w:sz w:val="22"/>
          <w:szCs w:val="22"/>
          <w14:ligatures w14:val="none"/>
        </w:rPr>
        <w:t xml:space="preserve"> dozę</w:t>
      </w:r>
    </w:p>
    <w:p w14:paraId="3B21D7CA"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Kvėpavimo sutrikimas, lėtas širdies plakimas, karščiavimas, žemas kraujospūdis ir paraudimas gali būti perdozavimo požymiai. Jei pacientas nustoja kvėpuoti ir sulėtėja širdies plakimas, infuziją reikia nutraukti ir pradėti tinkamą gydymą. Infuziją pradedant iš naujo, reikia laikytis atsargumo priemonių. Jei atsiranda karščiavimas arba žemas kraujospūdis, infuzijos greitį reikia mažinti, kol šie simptomai išnyks.</w:t>
      </w:r>
    </w:p>
    <w:p w14:paraId="1C603FFE"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Odos paraudimas dažniausiai priskiriamas netinkamai įdėtam kateteriui ir paprastai palengvėja perkėlus kateterio galiuką.</w:t>
      </w:r>
    </w:p>
    <w:p w14:paraId="3383C46C"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61133235" w14:textId="5AAE0442"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 xml:space="preserve">Pamiršus pavartoti </w:t>
      </w:r>
      <w:r w:rsidR="00C8455D">
        <w:rPr>
          <w:rFonts w:ascii="Times New Roman" w:eastAsia="Times New Roman" w:hAnsi="Times New Roman" w:cs="Times New Roman"/>
          <w:b/>
          <w:kern w:val="0"/>
          <w:sz w:val="22"/>
          <w:szCs w:val="22"/>
          <w14:ligatures w14:val="none"/>
        </w:rPr>
        <w:t>PROSTIN VR</w:t>
      </w:r>
    </w:p>
    <w:p w14:paraId="387A0654"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Gali pablogėti paciento širdies ir kraujotakos būklė. Tokiu atveju būtina nedelsiant kreiptis į gydytoją.</w:t>
      </w:r>
    </w:p>
    <w:p w14:paraId="3C518DA5"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1FB3D793" w14:textId="7C22D8CC"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 xml:space="preserve">Nustojus vartoti </w:t>
      </w:r>
      <w:r w:rsidR="00C8455D">
        <w:rPr>
          <w:rFonts w:ascii="Times New Roman" w:eastAsia="Times New Roman" w:hAnsi="Times New Roman" w:cs="Times New Roman"/>
          <w:b/>
          <w:kern w:val="0"/>
          <w:sz w:val="22"/>
          <w:szCs w:val="22"/>
          <w14:ligatures w14:val="none"/>
        </w:rPr>
        <w:t>PROSTIN VR</w:t>
      </w:r>
    </w:p>
    <w:p w14:paraId="5161D3B4"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Gali pablogėti paciento širdies ir kraujotakos būklė. Tokiu atveju būtina nedelsiant kreiptis į gydytoją.</w:t>
      </w:r>
    </w:p>
    <w:p w14:paraId="31038E29"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707198B4"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50FC1B1D"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72A90CC3"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r w:rsidRPr="00913E59">
        <w:rPr>
          <w:rFonts w:ascii="Times New Roman" w:eastAsia="Times New Roman" w:hAnsi="Times New Roman" w:cs="Times New Roman"/>
          <w:b/>
          <w:bCs/>
          <w:kern w:val="0"/>
          <w:sz w:val="22"/>
          <w:szCs w:val="22"/>
          <w14:ligatures w14:val="none"/>
        </w:rPr>
        <w:t>4.</w:t>
      </w:r>
      <w:r w:rsidRPr="00913E59">
        <w:rPr>
          <w:rFonts w:ascii="Times New Roman" w:eastAsia="Times New Roman" w:hAnsi="Times New Roman" w:cs="Times New Roman"/>
          <w:b/>
          <w:bCs/>
          <w:kern w:val="0"/>
          <w:sz w:val="22"/>
          <w:szCs w:val="22"/>
          <w14:ligatures w14:val="none"/>
        </w:rPr>
        <w:tab/>
        <w:t>Galimas šalutinis poveikis</w:t>
      </w:r>
    </w:p>
    <w:p w14:paraId="5A5B7DE3"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02F960C9"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3402A10A"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 xml:space="preserve">Dažniausi šalutinio poveikio reiškiniai naujagimiams, kuriems reikalingas </w:t>
      </w:r>
      <w:r w:rsidRPr="00913E59">
        <w:rPr>
          <w:rFonts w:ascii="Times New Roman" w:eastAsia="Times New Roman" w:hAnsi="Times New Roman" w:cs="Times New Roman"/>
          <w:iCs/>
          <w:kern w:val="0"/>
          <w:sz w:val="22"/>
          <w:szCs w:val="22"/>
          <w14:ligatures w14:val="none"/>
        </w:rPr>
        <w:t>Botalo</w:t>
      </w:r>
      <w:r w:rsidRPr="00913E59">
        <w:rPr>
          <w:rFonts w:ascii="Times New Roman" w:eastAsia="Times New Roman" w:hAnsi="Times New Roman" w:cs="Times New Roman"/>
          <w:kern w:val="0"/>
          <w:sz w:val="22"/>
          <w:szCs w:val="22"/>
          <w14:ligatures w14:val="none"/>
        </w:rPr>
        <w:t xml:space="preserve"> arterinio latako praeinamumas, atliekant alprostadilio infuziją, yra susiję su žinomu alprostadilio farmakologiniu poveikiu.</w:t>
      </w:r>
    </w:p>
    <w:p w14:paraId="63E8C1F1"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73652C10"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Pasakykite gydytojui arba vaistininkui, jeigu kuris nors iš išvardytų šalutinio poveikio reiškinių sukelė sunkų sutrikimą arba pastebėjote šiame lapelyje nenurodytą šalutinio poveikio reiškinį.</w:t>
      </w:r>
    </w:p>
    <w:p w14:paraId="0B586923"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59C618FD"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Labai dažni ir dažni šalutinio poveikio reiškiniai, tokie kaip kvėpavimo sutrikimas, odos paraudimas, karščiavimas, sulėtėjęs širdies plakimas ir žemas kraujospūdis, priklauso nuo dozės (žr. 2 skyrių).</w:t>
      </w:r>
    </w:p>
    <w:p w14:paraId="1FB9815F"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2AA4DCB9"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i/>
          <w:iCs/>
          <w:kern w:val="0"/>
          <w:sz w:val="22"/>
          <w:szCs w:val="22"/>
          <w14:ligatures w14:val="none"/>
        </w:rPr>
      </w:pPr>
      <w:r w:rsidRPr="00913E59">
        <w:rPr>
          <w:rFonts w:ascii="Times New Roman" w:eastAsia="Times New Roman" w:hAnsi="Times New Roman" w:cs="Times New Roman"/>
          <w:b/>
          <w:i/>
          <w:iCs/>
          <w:kern w:val="0"/>
          <w:sz w:val="22"/>
          <w:szCs w:val="22"/>
          <w14:ligatures w14:val="none"/>
        </w:rPr>
        <w:t>Vaikams, kuriems yra sunkių įgimtų širdies ydų, pastebėta tokių šalutinio poveikio reiškinių:</w:t>
      </w:r>
    </w:p>
    <w:p w14:paraId="11B47C6D"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iCs/>
          <w:kern w:val="0"/>
          <w:sz w:val="22"/>
          <w:szCs w:val="22"/>
          <w14:ligatures w14:val="none"/>
        </w:rPr>
      </w:pPr>
      <w:r w:rsidRPr="00913E59">
        <w:rPr>
          <w:rFonts w:ascii="Times New Roman" w:eastAsia="Times New Roman" w:hAnsi="Times New Roman" w:cs="Times New Roman"/>
          <w:b/>
          <w:iCs/>
          <w:kern w:val="0"/>
          <w:sz w:val="22"/>
          <w:szCs w:val="22"/>
          <w14:ligatures w14:val="none"/>
        </w:rPr>
        <w:t xml:space="preserve">Labai dažni šalutinio poveikio reiškiniai (gali pasireikšti </w:t>
      </w:r>
      <w:r w:rsidRPr="00913E59">
        <w:rPr>
          <w:rFonts w:ascii="Times New Roman" w:eastAsia="Times New Roman" w:hAnsi="Times New Roman" w:cs="Times New Roman"/>
          <w:b/>
          <w:bCs/>
          <w:noProof/>
          <w:snapToGrid w:val="0"/>
          <w:kern w:val="0"/>
          <w:sz w:val="22"/>
          <w:szCs w:val="22"/>
          <w14:ligatures w14:val="none"/>
        </w:rPr>
        <w:t>ne rečiau kaip 1 iš 10 asmenų</w:t>
      </w:r>
      <w:r w:rsidRPr="00913E59">
        <w:rPr>
          <w:rFonts w:ascii="Times New Roman" w:eastAsia="Times New Roman" w:hAnsi="Times New Roman" w:cs="Times New Roman"/>
          <w:b/>
          <w:iCs/>
          <w:kern w:val="0"/>
          <w:sz w:val="22"/>
          <w:szCs w:val="22"/>
          <w14:ligatures w14:val="none"/>
        </w:rPr>
        <w:t>):</w:t>
      </w:r>
    </w:p>
    <w:p w14:paraId="5416258F" w14:textId="77777777" w:rsidR="00913E59" w:rsidRPr="00913E59" w:rsidRDefault="00913E59" w:rsidP="00C15956">
      <w:pPr>
        <w:numPr>
          <w:ilvl w:val="0"/>
          <w:numId w:val="9"/>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šarminės fosfatazės (fermento, randamo skeleto sistemoje, kepenyse ir tulžies latakuose) suaktyvėjimas ilgai gydant;</w:t>
      </w:r>
    </w:p>
    <w:p w14:paraId="70ABAF1F" w14:textId="77777777" w:rsidR="00913E59" w:rsidRPr="00913E59" w:rsidRDefault="00913E59" w:rsidP="00C15956">
      <w:pPr>
        <w:numPr>
          <w:ilvl w:val="0"/>
          <w:numId w:val="9"/>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kūno perkaitimas;</w:t>
      </w:r>
    </w:p>
    <w:p w14:paraId="056A1FBE" w14:textId="77777777" w:rsidR="00913E59" w:rsidRPr="00913E59" w:rsidRDefault="00913E59" w:rsidP="00C15956">
      <w:pPr>
        <w:numPr>
          <w:ilvl w:val="0"/>
          <w:numId w:val="9"/>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sutrikęs kvėpavimas (priklauso nuo dozės) (žr. 2 skyrių);</w:t>
      </w:r>
    </w:p>
    <w:p w14:paraId="535069A7" w14:textId="77777777" w:rsidR="00913E59" w:rsidRPr="00913E59" w:rsidRDefault="00913E59" w:rsidP="00C15956">
      <w:pPr>
        <w:numPr>
          <w:ilvl w:val="0"/>
          <w:numId w:val="9"/>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ilgųjų kaulų padidėjimas, dengiamųjų kaulų (kaukolės ir veido skeleto jungiamojo audinio kaulų) mineralizacijos sutrikimai ilgalaikio gydymo metu (žr. 2 skyrių);</w:t>
      </w:r>
    </w:p>
    <w:p w14:paraId="4EF21D42" w14:textId="77777777" w:rsidR="00913E59" w:rsidRPr="00913E59" w:rsidRDefault="00913E59" w:rsidP="00C15956">
      <w:pPr>
        <w:numPr>
          <w:ilvl w:val="0"/>
          <w:numId w:val="9"/>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laikinas karščiavimas.</w:t>
      </w:r>
    </w:p>
    <w:p w14:paraId="395954E7"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331AF949"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iCs/>
          <w:kern w:val="0"/>
          <w:sz w:val="22"/>
          <w:szCs w:val="22"/>
          <w14:ligatures w14:val="none"/>
        </w:rPr>
      </w:pPr>
      <w:r w:rsidRPr="00913E59">
        <w:rPr>
          <w:rFonts w:ascii="Times New Roman" w:eastAsia="Times New Roman" w:hAnsi="Times New Roman" w:cs="Times New Roman"/>
          <w:b/>
          <w:iCs/>
          <w:kern w:val="0"/>
          <w:sz w:val="22"/>
          <w:szCs w:val="22"/>
          <w14:ligatures w14:val="none"/>
        </w:rPr>
        <w:t>Dažni šalutinio poveikio reiškiniai (gali pasireikšti rečiau kaip 1 iš 10 asmenų):</w:t>
      </w:r>
    </w:p>
    <w:p w14:paraId="2CDA376B" w14:textId="77777777" w:rsidR="00913E59" w:rsidRPr="00913E59" w:rsidRDefault="00913E59" w:rsidP="00C15956">
      <w:pPr>
        <w:numPr>
          <w:ilvl w:val="0"/>
          <w:numId w:val="8"/>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per stiprus kraujo krešėjimas, dėl kurio sumažėja krešėjimo faktorių ir galiausiai atsiranda polinkis kraujuoti (diseminuota intravaskulinė koaguliacija);</w:t>
      </w:r>
    </w:p>
    <w:p w14:paraId="4A8CCBCD" w14:textId="77777777" w:rsidR="00913E59" w:rsidRPr="00913E59" w:rsidRDefault="00913E59" w:rsidP="00C15956">
      <w:pPr>
        <w:numPr>
          <w:ilvl w:val="0"/>
          <w:numId w:val="8"/>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traukuliai: smegenų kilmės (cerebriniai) traukuliai, konvulsinis raumenų trūkčiojimas, galvos skausmas;</w:t>
      </w:r>
    </w:p>
    <w:p w14:paraId="16735FB3" w14:textId="77777777" w:rsidR="00913E59" w:rsidRPr="00913E59" w:rsidRDefault="00913E59" w:rsidP="00C15956">
      <w:pPr>
        <w:numPr>
          <w:ilvl w:val="0"/>
          <w:numId w:val="8"/>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žemas kraujospūdis, lėtas arba greitas širdies plakimas, širdies sustojimas;</w:t>
      </w:r>
    </w:p>
    <w:p w14:paraId="632B22E7" w14:textId="77777777" w:rsidR="00913E59" w:rsidRPr="00913E59" w:rsidRDefault="00913E59" w:rsidP="00C15956">
      <w:pPr>
        <w:numPr>
          <w:ilvl w:val="0"/>
          <w:numId w:val="8"/>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mažas kalio kiekis kraujyje (kalio trūkumas);</w:t>
      </w:r>
    </w:p>
    <w:p w14:paraId="08E6DFB3" w14:textId="77777777" w:rsidR="00913E59" w:rsidRPr="00913E59" w:rsidRDefault="00913E59" w:rsidP="00C15956">
      <w:pPr>
        <w:numPr>
          <w:ilvl w:val="0"/>
          <w:numId w:val="8"/>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viduriavimas, skrandžio gleivinės sustorėjimas su skrandžio išeinamosios angos obstrukcija ilgalaikio gydymo metu (priklausomai nuo dozės) (žr. 2 skyrių);</w:t>
      </w:r>
    </w:p>
    <w:p w14:paraId="1C207919" w14:textId="77777777" w:rsidR="00913E59" w:rsidRPr="00913E59" w:rsidRDefault="00913E59" w:rsidP="00C15956">
      <w:pPr>
        <w:numPr>
          <w:ilvl w:val="0"/>
          <w:numId w:val="8"/>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paraudimas, patinimas;</w:t>
      </w:r>
    </w:p>
    <w:p w14:paraId="24D267DC" w14:textId="77777777" w:rsidR="00913E59" w:rsidRPr="00913E59" w:rsidRDefault="00913E59" w:rsidP="00C15956">
      <w:pPr>
        <w:numPr>
          <w:ilvl w:val="0"/>
          <w:numId w:val="8"/>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odos paraudimas, kraujo užkrėtimas (sepsis).</w:t>
      </w:r>
    </w:p>
    <w:p w14:paraId="36E72A1B"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5D4716B6"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iCs/>
          <w:kern w:val="0"/>
          <w:sz w:val="22"/>
          <w:szCs w:val="22"/>
          <w14:ligatures w14:val="none"/>
        </w:rPr>
      </w:pPr>
      <w:r w:rsidRPr="00913E59">
        <w:rPr>
          <w:rFonts w:ascii="Times New Roman" w:eastAsia="Times New Roman" w:hAnsi="Times New Roman" w:cs="Times New Roman"/>
          <w:b/>
          <w:iCs/>
          <w:kern w:val="0"/>
          <w:sz w:val="22"/>
          <w:szCs w:val="22"/>
          <w14:ligatures w14:val="none"/>
        </w:rPr>
        <w:t>Nedažni šalutinio poveikio reiškiniai (gali pasireikšti rečiau kaip 1 iš 100 asmenų):</w:t>
      </w:r>
    </w:p>
    <w:p w14:paraId="0B3F3A35"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anemija, padidėjęs kraujo tūris, sumažėjęs trombocitų kiekis kraujyje, kraujavimas, padidėjęs C</w:t>
      </w:r>
      <w:r w:rsidRPr="00913E59">
        <w:rPr>
          <w:rFonts w:ascii="Times New Roman" w:eastAsia="Times New Roman" w:hAnsi="Times New Roman" w:cs="Times New Roman"/>
          <w:kern w:val="0"/>
          <w:sz w:val="22"/>
          <w:szCs w:val="22"/>
          <w14:ligatures w14:val="none"/>
        </w:rPr>
        <w:noBreakHyphen/>
        <w:t>reaktyviojo baltymo kiekis (uždegiminės ligos požymis);</w:t>
      </w:r>
    </w:p>
    <w:p w14:paraId="13A8C0EC"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padidėjęs anglies dioksido kiekis kraujyje, padidėjęs kalio kiekis kraujyje, sumažėjęs kalcio kiekis kraujyje, sumažėjęs cukraus kiekis kraujyje, padidėjęs cukraus kiekis kraujyje, padidėjus ketoninių kūnų kiekiui (ketoniniai kūnai yra tam tikrų medžiagų terminas, pvz. acetonas ir acetoacto rūgštis, kurie susidaro kaip tarpiniai produktai skaidant riebalus)*;</w:t>
      </w:r>
    </w:p>
    <w:p w14:paraId="4BFDE404" w14:textId="77777777" w:rsidR="00913E59" w:rsidRPr="00C15956" w:rsidRDefault="00913E59" w:rsidP="00C15956">
      <w:pPr>
        <w:pStyle w:val="ListParagraph"/>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C15956">
        <w:rPr>
          <w:rFonts w:ascii="Times New Roman" w:eastAsia="Times New Roman" w:hAnsi="Times New Roman" w:cs="Times New Roman"/>
          <w:kern w:val="0"/>
          <w:sz w:val="22"/>
          <w:szCs w:val="22"/>
          <w14:ligatures w14:val="none"/>
        </w:rPr>
        <w:t>*Skirta diabetu sergančios pacientės naujagimiui.</w:t>
      </w:r>
    </w:p>
    <w:p w14:paraId="662155D4"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kaklo hiperekstenzija, padidėjęs jaudrumas, nervingumas, vangumas, svaigulys, nenormalūs pojūčiai (pvz., dilgčiojimas) rankose ir kojose;</w:t>
      </w:r>
    </w:p>
    <w:p w14:paraId="27E680D5"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šokas, stazinis širdies nepakankamumas, nereguliarus širdies plakimas, skysčių kaupimasis plaučiuose dėl širdies nepakankamumo, krūtinės skausmas, stiprus bei greitas širdies plakimas (palpitacijos), svaigulys;</w:t>
      </w:r>
    </w:p>
    <w:p w14:paraId="50E9248C"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bookmarkStart w:id="3" w:name="_Hlk150858934"/>
      <w:r w:rsidRPr="00913E59">
        <w:rPr>
          <w:rFonts w:ascii="Times New Roman" w:eastAsia="Times New Roman" w:hAnsi="Times New Roman" w:cs="Times New Roman"/>
          <w:kern w:val="0"/>
          <w:sz w:val="22"/>
          <w:szCs w:val="22"/>
          <w14:ligatures w14:val="none"/>
        </w:rPr>
        <w:t>kraujagyslių sienelių silpnumas: arterinio Botalo latako, plaučių arterijos arba aortos pažeidimas (sienos silpnumas, kai kaupiasi skysčiai, plyšta ir išsipūtusios kraujagyslės) taikant ilgalaikį gydymą (žr. 2 skyrių);</w:t>
      </w:r>
    </w:p>
    <w:bookmarkEnd w:id="3"/>
    <w:p w14:paraId="1B2BFF67"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staigus skysčių susikaupimas plaučiuose, lėtas arba greitas kvėpavimas, švokštimas, dusulys, įskaitant paviršutinišką kvėpavimą;</w:t>
      </w:r>
    </w:p>
    <w:p w14:paraId="01F1E584"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uždegiminė stemplės liga, kurią sukelia neįprastai ilgas skrandžio rūgšties tekėjimas atgal (refliuksas), kurios dažniausiai pasireiškiantis simptomas yra rėmuo, peritonitas, nekrozinis enterokolitas (uždegiminė plonosios ir storosios žarnos liga su žarnyno gleivinės pažeidimu);</w:t>
      </w:r>
    </w:p>
    <w:p w14:paraId="37FEBD4A"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kepenų funkcijos rodiklių (bilirubino kiekio ir transaminazių aktyvumo) padidėjimas;</w:t>
      </w:r>
    </w:p>
    <w:p w14:paraId="42B08C89"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sąnarių problemos;</w:t>
      </w:r>
    </w:p>
    <w:p w14:paraId="0A0C4DA6"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inkstų nepakankamumas, labai sumažėjęs šlapimo išsiskyrimas arba jo nebuvimas, kraujo išsiskyrimas su šlapimu;</w:t>
      </w:r>
    </w:p>
    <w:p w14:paraId="150B7FAC"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 xml:space="preserve">infekcija, žema kūno temperatūra, dilgėlinė, tolerancijos išsivystymas, šiluma, patinimas, skausmas, vietinis patinimas infuzijos vietoje, </w:t>
      </w:r>
      <w:bookmarkStart w:id="4" w:name="_Hlk151025002"/>
      <w:r w:rsidRPr="00913E59">
        <w:rPr>
          <w:rFonts w:ascii="Times New Roman" w:eastAsia="Times New Roman" w:hAnsi="Times New Roman" w:cs="Times New Roman"/>
          <w:kern w:val="0"/>
          <w:sz w:val="22"/>
          <w:szCs w:val="22"/>
          <w14:ligatures w14:val="none"/>
        </w:rPr>
        <w:t xml:space="preserve">suleidimo vietoje esantis </w:t>
      </w:r>
      <w:bookmarkEnd w:id="4"/>
      <w:r w:rsidRPr="00913E59">
        <w:rPr>
          <w:rFonts w:ascii="Times New Roman" w:eastAsia="Times New Roman" w:hAnsi="Times New Roman" w:cs="Times New Roman"/>
          <w:kern w:val="0"/>
          <w:sz w:val="22"/>
          <w:szCs w:val="22"/>
          <w14:ligatures w14:val="none"/>
        </w:rPr>
        <w:t>venos paraudimas ir uždegimas, kraujagyslių skausmas ir uždegimas. Dauguma šių šalutinio poveikio reiškinių yra grįžtami ir gali būti palengvinti sumažinus dozę.</w:t>
      </w:r>
    </w:p>
    <w:p w14:paraId="752D9CF5"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71EB5B09"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Reti šalutinio poveikio reiškiniai (gali pasireikšti rečiau kaip 1 iš 1 000 asmenų):</w:t>
      </w:r>
    </w:p>
    <w:p w14:paraId="6D10682B"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baltųjų kraujo kūnelių skaičiaus pokyčiai, trombocitų kiekio padidėjimas kraujyje;</w:t>
      </w:r>
    </w:p>
    <w:p w14:paraId="29793C39"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sumišimas</w:t>
      </w:r>
    </w:p>
    <w:p w14:paraId="2B082143"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alerginės reakcijos (pvz., odos išbėrimas, niežulys, karščiavimas, paraudimas, šaltkrėtis, prakaitavimas)</w:t>
      </w:r>
    </w:p>
    <w:p w14:paraId="71F0D6E9"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kraujo krešuliai (trombozė) kateterio gale ir vietinis kraujavimas</w:t>
      </w:r>
    </w:p>
    <w:p w14:paraId="3F71A51A"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05D7A50D"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kern w:val="0"/>
          <w:sz w:val="22"/>
          <w:szCs w:val="22"/>
          <w14:ligatures w14:val="none"/>
        </w:rPr>
      </w:pPr>
      <w:r w:rsidRPr="00913E59">
        <w:rPr>
          <w:rFonts w:ascii="Times New Roman" w:eastAsia="Times New Roman" w:hAnsi="Times New Roman" w:cs="Times New Roman"/>
          <w:b/>
          <w:kern w:val="0"/>
          <w:sz w:val="22"/>
          <w:szCs w:val="22"/>
          <w14:ligatures w14:val="none"/>
        </w:rPr>
        <w:t>Labai reti šalutinio poveikio reiškiniai (gali pasireikšti rečiau kaip 1 iš 10 000 asmenų):</w:t>
      </w:r>
    </w:p>
    <w:p w14:paraId="3CE38597" w14:textId="77777777" w:rsidR="00913E59" w:rsidRPr="00913E59" w:rsidRDefault="00913E59" w:rsidP="00C15956">
      <w:pPr>
        <w:numPr>
          <w:ilvl w:val="0"/>
          <w:numId w:val="7"/>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alerginės (padidėjusio jautrumo) reakcijos, kurias gali lydėti kraujospūdžio sumažėjimas, svaigulys ir pykinimas.</w:t>
      </w:r>
    </w:p>
    <w:p w14:paraId="7F88CF96"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3E90B69D"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r w:rsidRPr="00913E59">
        <w:rPr>
          <w:rFonts w:ascii="Times New Roman" w:eastAsia="Times New Roman" w:hAnsi="Times New Roman" w:cs="Times New Roman"/>
          <w:bCs/>
          <w:kern w:val="0"/>
          <w:sz w:val="22"/>
          <w:szCs w:val="22"/>
          <w14:ligatures w14:val="none"/>
        </w:rPr>
        <w:t xml:space="preserve">Vaikai, kurie gimė sveriantys mažiau kaip 2 kg, dažniau patiria šių šalutinio poveikio reiškinių: širdies ir kraujagyslių sistemos sutrikimų, kvėpavimo slopinimą (paviršutinį kvėpavimą); melsvos odos (cianotiniai) vaikai yra linkę patirti kvėpavimo slopinimą. Taip pat tokia pati rizika pastebima, kai infuzija trunka ilgiau kaip 48 valandas ir pasireiškia šalutinis poveikis širdžiai, kraujotakai ir centrinei nervų sistemai, o kai pH yra 7,1 arba mažesnis šalutinio poveikio reiškinių pasireiškia ir centrinei nervų sistemai. </w:t>
      </w:r>
      <w:r w:rsidRPr="00913E59">
        <w:rPr>
          <w:rFonts w:ascii="Times New Roman" w:eastAsia="Times New Roman" w:hAnsi="Times New Roman" w:cs="Times New Roman"/>
          <w:kern w:val="0"/>
          <w:sz w:val="22"/>
          <w:szCs w:val="22"/>
          <w14:ligatures w14:val="none"/>
        </w:rPr>
        <w:t>Žr. 2 skyrių</w:t>
      </w:r>
      <w:r w:rsidRPr="00913E59">
        <w:rPr>
          <w:rFonts w:ascii="Times New Roman" w:eastAsia="Times New Roman" w:hAnsi="Times New Roman" w:cs="Times New Roman"/>
          <w:bCs/>
          <w:kern w:val="0"/>
          <w:sz w:val="22"/>
          <w:szCs w:val="22"/>
          <w14:ligatures w14:val="none"/>
        </w:rPr>
        <w:t>.</w:t>
      </w:r>
    </w:p>
    <w:p w14:paraId="50BA6818"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Cs/>
          <w:kern w:val="0"/>
          <w:sz w:val="22"/>
          <w:szCs w:val="22"/>
          <w14:ligatures w14:val="none"/>
        </w:rPr>
      </w:pPr>
    </w:p>
    <w:p w14:paraId="1A38505D"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r w:rsidRPr="00913E59">
        <w:rPr>
          <w:rFonts w:ascii="Times New Roman" w:eastAsia="Times New Roman" w:hAnsi="Times New Roman" w:cs="Times New Roman"/>
          <w:b/>
          <w:bCs/>
          <w:kern w:val="0"/>
          <w:sz w:val="22"/>
          <w:szCs w:val="22"/>
          <w14:ligatures w14:val="none"/>
        </w:rPr>
        <w:t>Ilgalaikis naudojimas</w:t>
      </w:r>
    </w:p>
    <w:p w14:paraId="7D6FCBFC"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Ilgalaikio gydymo metu pasireiškė padidėjęs kaulinio audinio susidarymas ilguose kauluose (hiperostozė), dengiamųjų kaulų (smegenų ir veido skeleto jungiamojo audinio kaulų) mineralizacijos sutrikimų ir tam tikrų laboratorinių rodiklių (šarminės fosfatazės aktyvumo) padidėjimas, kurie išnyksta nutraukus vaisto vartojimą 50</w:t>
      </w:r>
      <w:r w:rsidRPr="00913E59">
        <w:rPr>
          <w:rFonts w:ascii="Times New Roman" w:eastAsia="Times New Roman" w:hAnsi="Times New Roman" w:cs="Times New Roman"/>
          <w:kern w:val="0"/>
          <w:sz w:val="22"/>
          <w:szCs w:val="22"/>
          <w14:ligatures w14:val="none"/>
        </w:rPr>
        <w:noBreakHyphen/>
        <w:t>60 % pacientų.</w:t>
      </w:r>
    </w:p>
    <w:p w14:paraId="44F17856"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 xml:space="preserve">Be to, ilgalaikio gydymo metu buvo pastebėtas </w:t>
      </w:r>
      <w:r w:rsidRPr="00913E59">
        <w:rPr>
          <w:rFonts w:ascii="Times New Roman" w:eastAsia="Times New Roman" w:hAnsi="Times New Roman" w:cs="Times New Roman"/>
          <w:iCs/>
          <w:kern w:val="0"/>
          <w:sz w:val="22"/>
          <w:szCs w:val="22"/>
          <w14:ligatures w14:val="none"/>
        </w:rPr>
        <w:t>Botalo</w:t>
      </w:r>
      <w:r w:rsidRPr="00913E59">
        <w:rPr>
          <w:rFonts w:ascii="Times New Roman" w:eastAsia="Times New Roman" w:hAnsi="Times New Roman" w:cs="Times New Roman"/>
          <w:kern w:val="0"/>
          <w:sz w:val="22"/>
          <w:szCs w:val="22"/>
          <w14:ligatures w14:val="none"/>
        </w:rPr>
        <w:t xml:space="preserve"> latako, plaučių arterijos ar aortos pažeidimas (sienos susilpnėjimas dėl skysčių kaupimosi, plyšimas ir (arba) sienelės patinimas) ir viduriavimas, kuris nereaguoja į gydymą.</w:t>
      </w:r>
    </w:p>
    <w:p w14:paraId="7EA24365"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Atskirais atvejais ilgalaikis gydymas gali sukelti skrandžio išeinamosios angos obstrukciją dėl nuo dozės priklausomo skrandžio gleivinės sustorėjimo. Šis šalutinis poveikis pasireiškė 7 % pacientų (žr. 2 skyrių).</w:t>
      </w:r>
    </w:p>
    <w:p w14:paraId="320076D3"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56DB3D50" w14:textId="77777777" w:rsidR="00913E59" w:rsidRPr="00913E59" w:rsidRDefault="00913E59" w:rsidP="00913E59">
      <w:pPr>
        <w:keepNext/>
        <w:tabs>
          <w:tab w:val="left" w:pos="567"/>
        </w:tabs>
        <w:suppressAutoHyphens/>
        <w:spacing w:after="0" w:line="240" w:lineRule="auto"/>
        <w:rPr>
          <w:rFonts w:ascii="Times New Roman" w:eastAsia="Times New Roman" w:hAnsi="Times New Roman" w:cs="Times New Roman"/>
          <w:b/>
          <w:bCs/>
          <w:kern w:val="0"/>
          <w:sz w:val="22"/>
          <w:szCs w:val="22"/>
          <w14:ligatures w14:val="none"/>
        </w:rPr>
      </w:pPr>
      <w:r w:rsidRPr="00913E59">
        <w:rPr>
          <w:rFonts w:ascii="Times New Roman" w:eastAsia="Times New Roman" w:hAnsi="Times New Roman" w:cs="Times New Roman"/>
          <w:b/>
          <w:bCs/>
          <w:kern w:val="0"/>
          <w:sz w:val="22"/>
          <w:szCs w:val="22"/>
          <w14:ligatures w14:val="none"/>
        </w:rPr>
        <w:t>Pranešimas apie šalutinį poveikį</w:t>
      </w:r>
    </w:p>
    <w:p w14:paraId="387D808B" w14:textId="63918EE3" w:rsidR="00913E59" w:rsidRDefault="00C15956" w:rsidP="00913E59">
      <w:pPr>
        <w:tabs>
          <w:tab w:val="left" w:pos="567"/>
        </w:tabs>
        <w:suppressAutoHyphens/>
        <w:autoSpaceDN w:val="0"/>
        <w:spacing w:after="0" w:line="240" w:lineRule="auto"/>
        <w:textAlignment w:val="baseline"/>
        <w:rPr>
          <w:rFonts w:ascii="Times New Roman" w:eastAsia="Calibri" w:hAnsi="Times New Roman" w:cs="Times New Roman"/>
          <w:noProof/>
          <w:snapToGrid w:val="0"/>
          <w:kern w:val="0"/>
          <w:sz w:val="22"/>
          <w14:ligatures w14:val="none"/>
        </w:rPr>
      </w:pPr>
      <w:r w:rsidRPr="00C15956">
        <w:rPr>
          <w:rFonts w:ascii="Times New Roman" w:eastAsia="Calibri" w:hAnsi="Times New Roman" w:cs="Times New Roman"/>
          <w:noProof/>
          <w:snapToGrid w:val="0"/>
          <w:kern w:val="0"/>
          <w:sz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3C1BF1">
        <w:rPr>
          <w:rFonts w:ascii="Times New Roman" w:eastAsia="Calibri" w:hAnsi="Times New Roman" w:cs="Times New Roman"/>
          <w:noProof/>
          <w:snapToGrid w:val="0"/>
          <w:kern w:val="0"/>
          <w:sz w:val="22"/>
          <w14:ligatures w14:val="none"/>
        </w:rPr>
        <w:t>+370</w:t>
      </w:r>
      <w:r w:rsidRPr="00C15956">
        <w:rPr>
          <w:rFonts w:ascii="Times New Roman" w:eastAsia="Calibri" w:hAnsi="Times New Roman" w:cs="Times New Roman"/>
          <w:noProof/>
          <w:snapToGrid w:val="0"/>
          <w:kern w:val="0"/>
          <w:sz w:val="22"/>
          <w14:ligatures w14:val="none"/>
        </w:rPr>
        <w:t xml:space="preserve"> 800 73 568. Pranešdami apie šalutinį poveikį galite mums padėti gauti daugiau informacijos apie šio vaisto saugumą.</w:t>
      </w:r>
    </w:p>
    <w:p w14:paraId="4EC894B7" w14:textId="77777777" w:rsidR="00C15956" w:rsidRPr="00913E59" w:rsidRDefault="00C15956" w:rsidP="00913E59">
      <w:pPr>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p>
    <w:p w14:paraId="41B917EF"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p>
    <w:p w14:paraId="74D7F194" w14:textId="4BB42211"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r w:rsidRPr="00913E59">
        <w:rPr>
          <w:rFonts w:ascii="Times New Roman" w:eastAsia="Times New Roman" w:hAnsi="Times New Roman" w:cs="Times New Roman"/>
          <w:b/>
          <w:bCs/>
          <w:kern w:val="0"/>
          <w:sz w:val="22"/>
          <w:szCs w:val="22"/>
          <w14:ligatures w14:val="none"/>
        </w:rPr>
        <w:t>5.</w:t>
      </w:r>
      <w:r w:rsidRPr="00913E59">
        <w:rPr>
          <w:rFonts w:ascii="Times New Roman" w:eastAsia="Times New Roman" w:hAnsi="Times New Roman" w:cs="Times New Roman"/>
          <w:b/>
          <w:bCs/>
          <w:kern w:val="0"/>
          <w:sz w:val="22"/>
          <w:szCs w:val="22"/>
          <w14:ligatures w14:val="none"/>
        </w:rPr>
        <w:tab/>
        <w:t xml:space="preserve">Kaip laikyti </w:t>
      </w:r>
      <w:r w:rsidR="00C8455D">
        <w:rPr>
          <w:rFonts w:ascii="Times New Roman" w:eastAsia="Times New Roman" w:hAnsi="Times New Roman" w:cs="Times New Roman"/>
          <w:b/>
          <w:bCs/>
          <w:kern w:val="0"/>
          <w:sz w:val="22"/>
          <w:szCs w:val="22"/>
          <w14:ligatures w14:val="none"/>
        </w:rPr>
        <w:t>PROSTIN VR</w:t>
      </w:r>
    </w:p>
    <w:p w14:paraId="1B5BBF17"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1211F153"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381C26F4" w14:textId="77777777" w:rsidR="0034728C"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34728C">
        <w:rPr>
          <w:rFonts w:ascii="Times New Roman" w:eastAsia="Times New Roman" w:hAnsi="Times New Roman" w:cs="Times New Roman"/>
          <w:kern w:val="0"/>
          <w:sz w:val="22"/>
          <w:szCs w:val="22"/>
          <w14:ligatures w14:val="none"/>
        </w:rPr>
        <w:t xml:space="preserve">Šį vaistą laikykite vaikams nepastebimoje ir nepasiekiamoje vietoje. </w:t>
      </w:r>
    </w:p>
    <w:p w14:paraId="7227D6A6" w14:textId="77777777" w:rsidR="0034728C"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47658138" w14:textId="77777777" w:rsidR="0034728C"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34728C">
        <w:rPr>
          <w:rFonts w:ascii="Times New Roman" w:eastAsia="Times New Roman" w:hAnsi="Times New Roman" w:cs="Times New Roman"/>
          <w:kern w:val="0"/>
          <w:sz w:val="22"/>
          <w:szCs w:val="22"/>
          <w14:ligatures w14:val="none"/>
        </w:rPr>
        <w:t xml:space="preserve">Laikyti šaldytuve (2 °C-8 °C). </w:t>
      </w:r>
    </w:p>
    <w:p w14:paraId="5539BF67" w14:textId="77777777" w:rsidR="0034728C"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03C1E7A6" w14:textId="77777777" w:rsidR="0034728C"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34728C">
        <w:rPr>
          <w:rFonts w:ascii="Times New Roman" w:eastAsia="Times New Roman" w:hAnsi="Times New Roman" w:cs="Times New Roman"/>
          <w:kern w:val="0"/>
          <w:sz w:val="22"/>
          <w:szCs w:val="22"/>
          <w14:ligatures w14:val="none"/>
        </w:rPr>
        <w:t>Neatidarytas ampules galima laikyti iki 3 metų</w:t>
      </w:r>
      <w:r>
        <w:rPr>
          <w:rFonts w:ascii="Times New Roman" w:eastAsia="Times New Roman" w:hAnsi="Times New Roman" w:cs="Times New Roman"/>
          <w:kern w:val="0"/>
          <w:sz w:val="22"/>
          <w:szCs w:val="22"/>
          <w14:ligatures w14:val="none"/>
        </w:rPr>
        <w:t>.</w:t>
      </w:r>
      <w:r w:rsidRPr="0034728C">
        <w:rPr>
          <w:rFonts w:ascii="Times New Roman" w:eastAsia="Times New Roman" w:hAnsi="Times New Roman" w:cs="Times New Roman"/>
          <w:kern w:val="0"/>
          <w:sz w:val="22"/>
          <w:szCs w:val="22"/>
          <w14:ligatures w14:val="none"/>
        </w:rPr>
        <w:t xml:space="preserve"> </w:t>
      </w:r>
    </w:p>
    <w:p w14:paraId="7EC8B7B2" w14:textId="77777777" w:rsidR="0034728C"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2C4EDB24" w14:textId="77777777" w:rsidR="0034728C"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34728C">
        <w:rPr>
          <w:rFonts w:ascii="Times New Roman" w:eastAsia="Times New Roman" w:hAnsi="Times New Roman" w:cs="Times New Roman"/>
          <w:kern w:val="0"/>
          <w:sz w:val="22"/>
          <w:szCs w:val="22"/>
          <w14:ligatures w14:val="none"/>
        </w:rPr>
        <w:t xml:space="preserve">Praskiestas tirpalas kambario temperatūroje gali būti laikomas 24 valandas. </w:t>
      </w:r>
    </w:p>
    <w:p w14:paraId="0AA9588D" w14:textId="77777777" w:rsidR="0034728C"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070055EA" w14:textId="77777777" w:rsidR="0034728C"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34728C">
        <w:rPr>
          <w:rFonts w:ascii="Times New Roman" w:eastAsia="Times New Roman" w:hAnsi="Times New Roman" w:cs="Times New Roman"/>
          <w:kern w:val="0"/>
          <w:sz w:val="22"/>
          <w:szCs w:val="22"/>
          <w14:ligatures w14:val="none"/>
        </w:rPr>
        <w:t xml:space="preserve">Ant dėžutės ir ampulės etiketės po „EXP“ nurodytam tinkamumo laikui pasibaigus, šio vaisto vartoti negalima. Vaistas tinkamas vartoti iki paskutinės nurodyto mėnesio dienos. </w:t>
      </w:r>
    </w:p>
    <w:p w14:paraId="3950B1D8" w14:textId="77777777" w:rsidR="0034728C"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6E0C921C" w14:textId="77777777" w:rsidR="0034728C"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34728C">
        <w:rPr>
          <w:rFonts w:ascii="Times New Roman" w:eastAsia="Times New Roman" w:hAnsi="Times New Roman" w:cs="Times New Roman"/>
          <w:kern w:val="0"/>
          <w:sz w:val="22"/>
          <w:szCs w:val="22"/>
          <w14:ligatures w14:val="none"/>
        </w:rPr>
        <w:t xml:space="preserve">Pastebėjus, kad tirpalas drumstas arba pakitusi talpyklė, šio vaisto vartoti negalima. </w:t>
      </w:r>
    </w:p>
    <w:p w14:paraId="6A50FBDD" w14:textId="77777777" w:rsidR="00D6661C" w:rsidRDefault="00D6661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1A120C03" w14:textId="5AA440A6" w:rsidR="0034728C" w:rsidRPr="00913E59" w:rsidRDefault="0034728C"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34728C">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61AE134F"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p>
    <w:p w14:paraId="6E27B176"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b/>
          <w:bCs/>
          <w:kern w:val="0"/>
          <w:sz w:val="22"/>
          <w:szCs w:val="22"/>
          <w14:ligatures w14:val="none"/>
        </w:rPr>
      </w:pPr>
      <w:r w:rsidRPr="00913E59">
        <w:rPr>
          <w:rFonts w:ascii="Times New Roman" w:eastAsia="Times New Roman" w:hAnsi="Times New Roman" w:cs="Times New Roman"/>
          <w:b/>
          <w:bCs/>
          <w:kern w:val="0"/>
          <w:sz w:val="22"/>
          <w:szCs w:val="22"/>
          <w14:ligatures w14:val="none"/>
        </w:rPr>
        <w:t>6.</w:t>
      </w:r>
      <w:r w:rsidRPr="00913E59">
        <w:rPr>
          <w:rFonts w:ascii="Times New Roman" w:eastAsia="Times New Roman" w:hAnsi="Times New Roman" w:cs="Times New Roman"/>
          <w:b/>
          <w:bCs/>
          <w:kern w:val="0"/>
          <w:sz w:val="22"/>
          <w:szCs w:val="22"/>
          <w14:ligatures w14:val="none"/>
        </w:rPr>
        <w:tab/>
        <w:t>Pakuotės turinys ir kita informacija</w:t>
      </w:r>
    </w:p>
    <w:p w14:paraId="03CFEE10" w14:textId="77777777" w:rsidR="00913E59" w:rsidRPr="00913E59" w:rsidRDefault="00913E59" w:rsidP="00913E59">
      <w:pPr>
        <w:keepNext/>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5AEC8865" w14:textId="03E2102C" w:rsidR="00913E59" w:rsidRPr="00913E59" w:rsidRDefault="00C8455D" w:rsidP="00913E59">
      <w:pPr>
        <w:keepNext/>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PROSTIN VR</w:t>
      </w:r>
      <w:r w:rsidR="00913E59" w:rsidRPr="00913E59">
        <w:rPr>
          <w:rFonts w:ascii="Times New Roman" w:eastAsia="Times New Roman" w:hAnsi="Times New Roman" w:cs="Times New Roman"/>
          <w:b/>
          <w:bCs/>
          <w:kern w:val="0"/>
          <w:sz w:val="22"/>
          <w:szCs w:val="22"/>
          <w14:ligatures w14:val="none"/>
        </w:rPr>
        <w:t xml:space="preserve"> sudėtis</w:t>
      </w:r>
    </w:p>
    <w:p w14:paraId="3F396774" w14:textId="77777777" w:rsidR="00913E59" w:rsidRPr="00913E59" w:rsidRDefault="00913E59" w:rsidP="00B3078C">
      <w:pPr>
        <w:numPr>
          <w:ilvl w:val="0"/>
          <w:numId w:val="6"/>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Veiklioji medžiaga yra alprostadilis. 1 ml skaidraus koncentrato infuziniam tirpalui (sterilaus koncentrato) yra 500 mikrogramų alprostadilio.</w:t>
      </w:r>
    </w:p>
    <w:p w14:paraId="1842A20A" w14:textId="3196E3C6" w:rsidR="00913E59" w:rsidRPr="00913E59" w:rsidRDefault="00913E59" w:rsidP="00B3078C">
      <w:pPr>
        <w:numPr>
          <w:ilvl w:val="0"/>
          <w:numId w:val="6"/>
        </w:numPr>
        <w:suppressAutoHyphens/>
        <w:autoSpaceDN w:val="0"/>
        <w:spacing w:after="0" w:line="240" w:lineRule="auto"/>
        <w:ind w:hanging="283"/>
        <w:textAlignment w:val="baseline"/>
        <w:rPr>
          <w:rFonts w:ascii="Times New Roman" w:eastAsia="Times New Roman" w:hAnsi="Times New Roman" w:cs="Times New Roman"/>
          <w:kern w:val="0"/>
          <w:sz w:val="22"/>
          <w:szCs w:val="22"/>
          <w14:ligatures w14:val="none"/>
        </w:rPr>
      </w:pPr>
      <w:r w:rsidRPr="00913E59">
        <w:rPr>
          <w:rFonts w:ascii="Times New Roman" w:eastAsia="Times New Roman" w:hAnsi="Times New Roman" w:cs="Times New Roman"/>
          <w:kern w:val="0"/>
          <w:sz w:val="22"/>
          <w:szCs w:val="22"/>
          <w14:ligatures w14:val="none"/>
        </w:rPr>
        <w:t>Pagalbinė medžiaga yra bevandenis etanolis (žr. 2 skyrių „</w:t>
      </w:r>
      <w:r w:rsidR="00C8455D">
        <w:rPr>
          <w:rFonts w:ascii="Times New Roman" w:eastAsia="Times New Roman" w:hAnsi="Times New Roman" w:cs="Times New Roman"/>
          <w:kern w:val="0"/>
          <w:sz w:val="22"/>
          <w:szCs w:val="22"/>
          <w14:ligatures w14:val="none"/>
        </w:rPr>
        <w:t>PROSTIN VR</w:t>
      </w:r>
      <w:r w:rsidRPr="00913E59">
        <w:rPr>
          <w:rFonts w:ascii="Times New Roman" w:eastAsia="Times New Roman" w:hAnsi="Times New Roman" w:cs="Times New Roman"/>
          <w:kern w:val="0"/>
          <w:sz w:val="22"/>
          <w:szCs w:val="22"/>
          <w14:ligatures w14:val="none"/>
        </w:rPr>
        <w:t xml:space="preserve"> sudėtyje yra alkoholio (etanolio)“).</w:t>
      </w:r>
    </w:p>
    <w:p w14:paraId="4F4F0564"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258EAA2B" w14:textId="76E3775B" w:rsidR="00913E59" w:rsidRPr="00913E59" w:rsidRDefault="00C8455D" w:rsidP="00913E59">
      <w:pPr>
        <w:keepNext/>
        <w:tabs>
          <w:tab w:val="left" w:pos="567"/>
        </w:tabs>
        <w:suppressAutoHyphens/>
        <w:autoSpaceDN w:val="0"/>
        <w:spacing w:after="0" w:line="240" w:lineRule="auto"/>
        <w:textAlignment w:val="baseline"/>
        <w:rPr>
          <w:rFonts w:ascii="Times New Roman" w:eastAsia="Calibri" w:hAnsi="Times New Roman" w:cs="Times New Roman"/>
          <w:kern w:val="0"/>
          <w:sz w:val="22"/>
          <w:szCs w:val="22"/>
          <w14:ligatures w14:val="none"/>
        </w:rPr>
      </w:pPr>
      <w:r>
        <w:rPr>
          <w:rFonts w:ascii="Times New Roman" w:eastAsia="Times New Roman" w:hAnsi="Times New Roman" w:cs="Times New Roman"/>
          <w:b/>
          <w:bCs/>
          <w:kern w:val="0"/>
          <w:sz w:val="22"/>
          <w:szCs w:val="22"/>
          <w14:ligatures w14:val="none"/>
        </w:rPr>
        <w:t>PROSTIN VR</w:t>
      </w:r>
      <w:r w:rsidR="00913E59" w:rsidRPr="00913E59">
        <w:rPr>
          <w:rFonts w:ascii="Times New Roman" w:eastAsia="Times New Roman" w:hAnsi="Times New Roman" w:cs="Times New Roman"/>
          <w:b/>
          <w:bCs/>
          <w:kern w:val="0"/>
          <w:sz w:val="22"/>
          <w:szCs w:val="22"/>
          <w14:ligatures w14:val="none"/>
        </w:rPr>
        <w:t xml:space="preserve"> išvaizda ir kiekis pakuotėje</w:t>
      </w:r>
    </w:p>
    <w:p w14:paraId="5D230720" w14:textId="7444D1E1" w:rsidR="00D34678" w:rsidRDefault="00C8455D"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PROSTIN VR</w:t>
      </w:r>
      <w:r w:rsidR="00913E59" w:rsidRPr="00913E59">
        <w:rPr>
          <w:rFonts w:ascii="Times New Roman" w:eastAsia="Times New Roman" w:hAnsi="Times New Roman" w:cs="Times New Roman"/>
          <w:kern w:val="0"/>
          <w:sz w:val="22"/>
          <w:szCs w:val="22"/>
          <w14:ligatures w14:val="none"/>
        </w:rPr>
        <w:t xml:space="preserve"> yra skaidrus, permatomas koncentratas infuziniam tirpalui</w:t>
      </w:r>
      <w:r w:rsidR="00D34678">
        <w:rPr>
          <w:rFonts w:ascii="Times New Roman" w:eastAsia="Times New Roman" w:hAnsi="Times New Roman" w:cs="Times New Roman"/>
          <w:kern w:val="0"/>
          <w:sz w:val="22"/>
          <w:szCs w:val="22"/>
          <w14:ligatures w14:val="none"/>
        </w:rPr>
        <w:t>.</w:t>
      </w:r>
    </w:p>
    <w:p w14:paraId="47C00673" w14:textId="22D86D28" w:rsidR="0043580F" w:rsidRPr="00913E59" w:rsidRDefault="0043580F"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r w:rsidRPr="0043580F">
        <w:rPr>
          <w:rFonts w:ascii="Times New Roman" w:eastAsia="Times New Roman" w:hAnsi="Times New Roman" w:cs="Times New Roman"/>
          <w:kern w:val="0"/>
          <w:sz w:val="22"/>
          <w:szCs w:val="22"/>
          <w14:ligatures w14:val="none"/>
        </w:rPr>
        <w:t>PROSTIN VR tiekiamas pakuotėmis, kuriose yra viena 1 ml stiklinė ampulė</w:t>
      </w:r>
      <w:r>
        <w:rPr>
          <w:rFonts w:ascii="Times New Roman" w:eastAsia="Times New Roman" w:hAnsi="Times New Roman" w:cs="Times New Roman"/>
          <w:kern w:val="0"/>
          <w:sz w:val="22"/>
          <w:szCs w:val="22"/>
          <w14:ligatures w14:val="none"/>
        </w:rPr>
        <w:t>.</w:t>
      </w:r>
    </w:p>
    <w:p w14:paraId="54ED9FA0" w14:textId="77777777" w:rsidR="00913E59" w:rsidRPr="00913E59" w:rsidRDefault="00913E59" w:rsidP="00913E59">
      <w:pPr>
        <w:tabs>
          <w:tab w:val="left" w:pos="567"/>
        </w:tabs>
        <w:suppressAutoHyphens/>
        <w:autoSpaceDN w:val="0"/>
        <w:spacing w:after="0" w:line="240" w:lineRule="auto"/>
        <w:textAlignment w:val="baseline"/>
        <w:rPr>
          <w:rFonts w:ascii="Times New Roman" w:eastAsia="Times New Roman" w:hAnsi="Times New Roman" w:cs="Times New Roman"/>
          <w:kern w:val="0"/>
          <w:sz w:val="22"/>
          <w:szCs w:val="22"/>
          <w14:ligatures w14:val="none"/>
        </w:rPr>
      </w:pPr>
    </w:p>
    <w:p w14:paraId="3A2196A0" w14:textId="77777777" w:rsidR="00B3078C" w:rsidRPr="00B3078C" w:rsidRDefault="00B3078C" w:rsidP="00B3078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B3078C">
        <w:rPr>
          <w:rFonts w:ascii="Times New Roman" w:eastAsia="Times New Roman" w:hAnsi="Times New Roman" w:cs="Times New Roman"/>
          <w:b/>
          <w:noProof/>
          <w:kern w:val="0"/>
          <w:sz w:val="22"/>
          <w:szCs w:val="22"/>
          <w14:ligatures w14:val="none"/>
        </w:rPr>
        <w:t>Registruotojas eksportuojančioje valstybėje</w:t>
      </w:r>
    </w:p>
    <w:p w14:paraId="79435D21" w14:textId="77777777" w:rsidR="00B3078C" w:rsidRPr="00B3078C" w:rsidRDefault="00B3078C" w:rsidP="00B3078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3078C">
        <w:rPr>
          <w:rFonts w:ascii="Times New Roman" w:eastAsia="Aptos" w:hAnsi="Times New Roman" w:cs="Times New Roman"/>
          <w:bCs/>
          <w:color w:val="000000"/>
          <w:kern w:val="0"/>
          <w:sz w:val="22"/>
          <w:szCs w:val="22"/>
          <w14:ligatures w14:val="none"/>
        </w:rPr>
        <w:t>Pfizer bv</w:t>
      </w:r>
    </w:p>
    <w:p w14:paraId="2858C11D" w14:textId="77777777" w:rsidR="00B3078C" w:rsidRPr="00B3078C" w:rsidRDefault="00B3078C" w:rsidP="00B3078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3078C">
        <w:rPr>
          <w:rFonts w:ascii="Times New Roman" w:eastAsia="Aptos" w:hAnsi="Times New Roman" w:cs="Times New Roman"/>
          <w:bCs/>
          <w:color w:val="000000"/>
          <w:kern w:val="0"/>
          <w:sz w:val="22"/>
          <w:szCs w:val="22"/>
          <w14:ligatures w14:val="none"/>
        </w:rPr>
        <w:t>Rivium Westlaan 142</w:t>
      </w:r>
    </w:p>
    <w:p w14:paraId="6FF52E67" w14:textId="77777777" w:rsidR="00B3078C" w:rsidRPr="00B3078C" w:rsidRDefault="00B3078C" w:rsidP="00B3078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3078C">
        <w:rPr>
          <w:rFonts w:ascii="Times New Roman" w:eastAsia="Aptos" w:hAnsi="Times New Roman" w:cs="Times New Roman"/>
          <w:bCs/>
          <w:color w:val="000000"/>
          <w:kern w:val="0"/>
          <w:sz w:val="22"/>
          <w:szCs w:val="22"/>
          <w14:ligatures w14:val="none"/>
        </w:rPr>
        <w:t>2909 LD Capelle a/d IJssel</w:t>
      </w:r>
    </w:p>
    <w:p w14:paraId="359C5B55" w14:textId="2C022074" w:rsidR="00B3078C" w:rsidRPr="00B3078C" w:rsidRDefault="00B3078C" w:rsidP="00B3078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3078C">
        <w:rPr>
          <w:rFonts w:ascii="Times New Roman" w:eastAsia="Aptos" w:hAnsi="Times New Roman" w:cs="Times New Roman"/>
          <w:bCs/>
          <w:color w:val="000000"/>
          <w:kern w:val="0"/>
          <w:sz w:val="22"/>
          <w:szCs w:val="22"/>
          <w14:ligatures w14:val="none"/>
        </w:rPr>
        <w:t>Nyderlandai</w:t>
      </w:r>
    </w:p>
    <w:p w14:paraId="4A68923C" w14:textId="77777777" w:rsidR="00B3078C" w:rsidRPr="00B3078C" w:rsidRDefault="00B3078C" w:rsidP="00B3078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8BEF724" w14:textId="77777777" w:rsidR="00B3078C" w:rsidRPr="00B3078C" w:rsidRDefault="00B3078C" w:rsidP="00B3078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B3078C">
        <w:rPr>
          <w:rFonts w:ascii="Times New Roman" w:eastAsia="Aptos" w:hAnsi="Times New Roman" w:cs="Times New Roman"/>
          <w:b/>
          <w:color w:val="000000"/>
          <w:kern w:val="0"/>
          <w:sz w:val="22"/>
          <w:szCs w:val="22"/>
          <w14:ligatures w14:val="none"/>
        </w:rPr>
        <w:t>Gamintojas</w:t>
      </w:r>
    </w:p>
    <w:p w14:paraId="34A9CA64" w14:textId="77777777" w:rsidR="00B3078C" w:rsidRPr="00B3078C" w:rsidRDefault="00B3078C" w:rsidP="00B3078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3078C">
        <w:rPr>
          <w:rFonts w:ascii="Times New Roman" w:eastAsia="Aptos" w:hAnsi="Times New Roman" w:cs="Times New Roman"/>
          <w:bCs/>
          <w:color w:val="000000"/>
          <w:kern w:val="0"/>
          <w:sz w:val="22"/>
          <w:szCs w:val="22"/>
          <w14:ligatures w14:val="none"/>
        </w:rPr>
        <w:t>Pfizer Manufacturing Belgium NV</w:t>
      </w:r>
    </w:p>
    <w:p w14:paraId="70C62834" w14:textId="77777777" w:rsidR="00B3078C" w:rsidRPr="00B3078C" w:rsidRDefault="00B3078C" w:rsidP="00B3078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3078C">
        <w:rPr>
          <w:rFonts w:ascii="Times New Roman" w:eastAsia="Aptos" w:hAnsi="Times New Roman" w:cs="Times New Roman"/>
          <w:bCs/>
          <w:color w:val="000000"/>
          <w:kern w:val="0"/>
          <w:sz w:val="22"/>
          <w:szCs w:val="22"/>
          <w14:ligatures w14:val="none"/>
        </w:rPr>
        <w:t>Rijksweg 12</w:t>
      </w:r>
    </w:p>
    <w:p w14:paraId="7D0156D6" w14:textId="77777777" w:rsidR="00B3078C" w:rsidRPr="00B3078C" w:rsidRDefault="00B3078C" w:rsidP="00B3078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3078C">
        <w:rPr>
          <w:rFonts w:ascii="Times New Roman" w:eastAsia="Aptos" w:hAnsi="Times New Roman" w:cs="Times New Roman"/>
          <w:bCs/>
          <w:color w:val="000000"/>
          <w:kern w:val="0"/>
          <w:sz w:val="22"/>
          <w:szCs w:val="22"/>
          <w14:ligatures w14:val="none"/>
        </w:rPr>
        <w:t>2870 Puurs</w:t>
      </w:r>
    </w:p>
    <w:p w14:paraId="411BF6C5" w14:textId="376D4B00" w:rsidR="00B3078C" w:rsidRPr="00B3078C" w:rsidRDefault="00B3078C" w:rsidP="00B3078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3078C">
        <w:rPr>
          <w:rFonts w:ascii="Times New Roman" w:eastAsia="Aptos" w:hAnsi="Times New Roman" w:cs="Times New Roman"/>
          <w:bCs/>
          <w:color w:val="000000"/>
          <w:kern w:val="0"/>
          <w:sz w:val="22"/>
          <w:szCs w:val="22"/>
          <w14:ligatures w14:val="none"/>
        </w:rPr>
        <w:t>Belgija</w:t>
      </w:r>
    </w:p>
    <w:p w14:paraId="68D6C379" w14:textId="77777777" w:rsidR="00B3078C" w:rsidRPr="00B3078C" w:rsidRDefault="00B3078C" w:rsidP="00B3078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215E5FB" w14:textId="77777777" w:rsidR="00B3078C" w:rsidRPr="00B3078C" w:rsidRDefault="00B3078C" w:rsidP="00B3078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3078C">
        <w:rPr>
          <w:rFonts w:ascii="Times New Roman" w:eastAsia="Aptos" w:hAnsi="Times New Roman" w:cs="Times New Roman"/>
          <w:b/>
          <w:color w:val="000000"/>
          <w:kern w:val="0"/>
          <w:sz w:val="22"/>
          <w:szCs w:val="22"/>
          <w14:ligatures w14:val="none"/>
        </w:rPr>
        <w:t xml:space="preserve">Lygiagretus importuotojas </w:t>
      </w:r>
      <w:r w:rsidRPr="00B3078C">
        <w:rPr>
          <w:rFonts w:ascii="Times New Roman" w:eastAsia="Aptos" w:hAnsi="Times New Roman" w:cs="Times New Roman"/>
          <w:b/>
          <w:color w:val="000000"/>
          <w:kern w:val="0"/>
          <w:sz w:val="22"/>
          <w:szCs w:val="22"/>
          <w14:ligatures w14:val="none"/>
        </w:rPr>
        <w:br/>
      </w:r>
      <w:r w:rsidRPr="00B3078C">
        <w:rPr>
          <w:rFonts w:ascii="Times New Roman" w:eastAsia="TimesNewRoman" w:hAnsi="Times New Roman" w:cs="Times New Roman"/>
          <w:color w:val="000000"/>
          <w:kern w:val="0"/>
          <w:sz w:val="22"/>
          <w:szCs w:val="22"/>
          <w14:ligatures w14:val="none"/>
        </w:rPr>
        <w:t>UAB „Niromed“</w:t>
      </w:r>
      <w:r w:rsidRPr="00B3078C">
        <w:rPr>
          <w:rFonts w:ascii="Times New Roman" w:eastAsia="Aptos" w:hAnsi="Times New Roman" w:cs="Times New Roman"/>
          <w:b/>
          <w:color w:val="000000"/>
          <w:kern w:val="0"/>
          <w:sz w:val="22"/>
          <w:szCs w:val="22"/>
          <w14:ligatures w14:val="none"/>
        </w:rPr>
        <w:br/>
      </w:r>
      <w:r w:rsidRPr="00B3078C">
        <w:rPr>
          <w:rFonts w:ascii="Times New Roman" w:eastAsia="TimesNewRoman" w:hAnsi="Times New Roman" w:cs="Times New Roman"/>
          <w:color w:val="000000"/>
          <w:kern w:val="0"/>
          <w:sz w:val="22"/>
          <w:szCs w:val="22"/>
          <w14:ligatures w14:val="none"/>
        </w:rPr>
        <w:t>Žirmūnų g. 139A</w:t>
      </w:r>
      <w:r w:rsidRPr="00B3078C">
        <w:rPr>
          <w:rFonts w:ascii="Times New Roman" w:eastAsia="Aptos" w:hAnsi="Times New Roman" w:cs="Times New Roman"/>
          <w:b/>
          <w:color w:val="000000"/>
          <w:kern w:val="0"/>
          <w:sz w:val="22"/>
          <w:szCs w:val="22"/>
          <w14:ligatures w14:val="none"/>
        </w:rPr>
        <w:br/>
      </w:r>
      <w:r w:rsidRPr="00B3078C">
        <w:rPr>
          <w:rFonts w:ascii="Times New Roman" w:eastAsia="TimesNewRoman" w:hAnsi="Times New Roman" w:cs="Times New Roman"/>
          <w:color w:val="000000"/>
          <w:kern w:val="0"/>
          <w:sz w:val="22"/>
          <w:szCs w:val="22"/>
          <w14:ligatures w14:val="none"/>
        </w:rPr>
        <w:t>LT-09120 Vilnius</w:t>
      </w:r>
      <w:r w:rsidRPr="00B3078C">
        <w:rPr>
          <w:rFonts w:ascii="Times New Roman" w:eastAsia="TimesNewRoman" w:hAnsi="Times New Roman" w:cs="Times New Roman"/>
          <w:color w:val="000000"/>
          <w:kern w:val="0"/>
          <w:sz w:val="22"/>
          <w:szCs w:val="22"/>
          <w14:ligatures w14:val="none"/>
        </w:rPr>
        <w:br/>
        <w:t>Lietuva</w:t>
      </w:r>
    </w:p>
    <w:p w14:paraId="6D248CAC" w14:textId="77777777" w:rsidR="00B3078C" w:rsidRPr="00B3078C" w:rsidRDefault="00B3078C" w:rsidP="00B3078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E358F0F" w14:textId="77777777" w:rsidR="00B3078C" w:rsidRPr="00B3078C" w:rsidRDefault="00B3078C" w:rsidP="00B3078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3078C">
        <w:rPr>
          <w:rFonts w:ascii="Times New Roman" w:eastAsia="Times New Roman" w:hAnsi="Times New Roman" w:cs="Times New Roman"/>
          <w:b/>
          <w:bCs/>
          <w:kern w:val="0"/>
          <w:sz w:val="22"/>
          <w:szCs w:val="22"/>
          <w14:ligatures w14:val="none"/>
        </w:rPr>
        <w:t>Perpakavo</w:t>
      </w:r>
    </w:p>
    <w:p w14:paraId="57BDED91" w14:textId="77777777" w:rsidR="00B3078C" w:rsidRPr="00B3078C" w:rsidRDefault="00B3078C" w:rsidP="00B307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3078C">
        <w:rPr>
          <w:rFonts w:ascii="Times New Roman" w:eastAsia="TimesNewRoman" w:hAnsi="Times New Roman" w:cs="Times New Roman"/>
          <w:color w:val="000000"/>
          <w:kern w:val="0"/>
          <w:sz w:val="22"/>
          <w:szCs w:val="22"/>
          <w14:ligatures w14:val="none"/>
        </w:rPr>
        <w:t>LABOR Przedsiębiorstwo Farmaceutyczno-Chemiczne sp. z o.o.</w:t>
      </w:r>
    </w:p>
    <w:p w14:paraId="2C4FB994" w14:textId="77777777" w:rsidR="00B3078C" w:rsidRPr="00B3078C" w:rsidRDefault="00B3078C" w:rsidP="00B307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3078C">
        <w:rPr>
          <w:rFonts w:ascii="Times New Roman" w:eastAsia="TimesNewRoman" w:hAnsi="Times New Roman" w:cs="Times New Roman"/>
          <w:color w:val="000000"/>
          <w:kern w:val="0"/>
          <w:sz w:val="22"/>
          <w:szCs w:val="22"/>
          <w14:ligatures w14:val="none"/>
        </w:rPr>
        <w:t>Ul. Długosza 49,</w:t>
      </w:r>
    </w:p>
    <w:p w14:paraId="098F3DCF" w14:textId="77777777" w:rsidR="00B3078C" w:rsidRPr="00B3078C" w:rsidRDefault="00B3078C" w:rsidP="00B307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3078C">
        <w:rPr>
          <w:rFonts w:ascii="Times New Roman" w:eastAsia="TimesNewRoman" w:hAnsi="Times New Roman" w:cs="Times New Roman"/>
          <w:color w:val="000000"/>
          <w:kern w:val="0"/>
          <w:sz w:val="22"/>
          <w:szCs w:val="22"/>
          <w14:ligatures w14:val="none"/>
        </w:rPr>
        <w:t>51-162 Wrocław,</w:t>
      </w:r>
    </w:p>
    <w:p w14:paraId="5742D5E9" w14:textId="77777777" w:rsidR="00B3078C" w:rsidRPr="00B3078C" w:rsidRDefault="00B3078C" w:rsidP="00B307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3078C">
        <w:rPr>
          <w:rFonts w:ascii="Times New Roman" w:eastAsia="TimesNewRoman" w:hAnsi="Times New Roman" w:cs="Times New Roman"/>
          <w:color w:val="000000"/>
          <w:kern w:val="0"/>
          <w:sz w:val="22"/>
          <w:szCs w:val="22"/>
          <w14:ligatures w14:val="none"/>
        </w:rPr>
        <w:t>Lenkija</w:t>
      </w:r>
    </w:p>
    <w:p w14:paraId="3A152FD3" w14:textId="77777777" w:rsidR="00B3078C" w:rsidRPr="00B3078C" w:rsidRDefault="00B3078C" w:rsidP="00B307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9D885DF" w14:textId="77777777" w:rsidR="00B3078C" w:rsidRPr="00B3078C" w:rsidRDefault="00B3078C" w:rsidP="00B307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3078C">
        <w:rPr>
          <w:rFonts w:ascii="Times New Roman" w:eastAsia="TimesNewRoman" w:hAnsi="Times New Roman" w:cs="Times New Roman"/>
          <w:color w:val="000000"/>
          <w:kern w:val="0"/>
          <w:sz w:val="22"/>
          <w:szCs w:val="22"/>
          <w14:ligatures w14:val="none"/>
        </w:rPr>
        <w:t>arba</w:t>
      </w:r>
    </w:p>
    <w:p w14:paraId="62949C25" w14:textId="77777777" w:rsidR="00B3078C" w:rsidRPr="00B3078C" w:rsidRDefault="00B3078C" w:rsidP="00B3078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A371300" w14:textId="77777777" w:rsidR="00B3078C" w:rsidRPr="00B3078C" w:rsidRDefault="00B3078C" w:rsidP="00B3078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3078C">
        <w:rPr>
          <w:rFonts w:ascii="Times New Roman" w:eastAsia="TimesNewRoman" w:hAnsi="Times New Roman" w:cs="Times New Roman"/>
          <w:color w:val="000000"/>
          <w:kern w:val="0"/>
          <w:sz w:val="22"/>
          <w:szCs w:val="22"/>
          <w14:ligatures w14:val="none"/>
        </w:rPr>
        <w:t>UAB „Entafarma“</w:t>
      </w:r>
    </w:p>
    <w:p w14:paraId="2DE0E5DB" w14:textId="77777777" w:rsidR="00B3078C" w:rsidRPr="00B3078C" w:rsidRDefault="00B3078C" w:rsidP="00B3078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3078C">
        <w:rPr>
          <w:rFonts w:ascii="Times New Roman" w:eastAsia="TimesNewRoman" w:hAnsi="Times New Roman" w:cs="Times New Roman"/>
          <w:color w:val="000000"/>
          <w:kern w:val="0"/>
          <w:sz w:val="22"/>
          <w:szCs w:val="22"/>
          <w14:ligatures w14:val="none"/>
        </w:rPr>
        <w:t>Klonėnų vs. 1,</w:t>
      </w:r>
    </w:p>
    <w:p w14:paraId="27DEC9F8" w14:textId="77777777" w:rsidR="00B3078C" w:rsidRPr="00B3078C" w:rsidRDefault="00B3078C" w:rsidP="00B3078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3078C">
        <w:rPr>
          <w:rFonts w:ascii="Times New Roman" w:eastAsia="TimesNewRoman" w:hAnsi="Times New Roman" w:cs="Times New Roman"/>
          <w:color w:val="000000"/>
          <w:kern w:val="0"/>
          <w:sz w:val="22"/>
          <w:szCs w:val="22"/>
          <w14:ligatures w14:val="none"/>
        </w:rPr>
        <w:t>LT-19156 Širvintų r. sav.</w:t>
      </w:r>
    </w:p>
    <w:p w14:paraId="28F6E68B" w14:textId="77777777" w:rsidR="00B3078C" w:rsidRPr="00B3078C" w:rsidRDefault="00B3078C" w:rsidP="00B3078C">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B3078C">
        <w:rPr>
          <w:rFonts w:ascii="Times New Roman" w:eastAsia="TimesNewRoman" w:hAnsi="Times New Roman" w:cs="Times New Roman"/>
          <w:color w:val="000000"/>
          <w:kern w:val="0"/>
          <w:sz w:val="22"/>
          <w:szCs w:val="22"/>
          <w14:ligatures w14:val="none"/>
        </w:rPr>
        <w:t>Lietuva</w:t>
      </w:r>
    </w:p>
    <w:p w14:paraId="5B348ACD" w14:textId="77777777" w:rsidR="00913E59" w:rsidRPr="00913E59" w:rsidRDefault="00913E59" w:rsidP="00913E59">
      <w:pPr>
        <w:tabs>
          <w:tab w:val="left" w:pos="567"/>
        </w:tabs>
        <w:spacing w:after="0" w:line="240" w:lineRule="auto"/>
        <w:rPr>
          <w:rFonts w:ascii="Times New Roman" w:eastAsia="Calibri" w:hAnsi="Times New Roman" w:cs="Times New Roman"/>
          <w:kern w:val="0"/>
          <w:sz w:val="22"/>
          <w:szCs w:val="22"/>
          <w:lang w:val="lv-LV"/>
          <w14:ligatures w14:val="none"/>
        </w:rPr>
      </w:pPr>
    </w:p>
    <w:p w14:paraId="09BDCE77" w14:textId="03F6D0C2" w:rsidR="00913E59" w:rsidRDefault="00913E59" w:rsidP="00913E59">
      <w:pPr>
        <w:tabs>
          <w:tab w:val="left" w:pos="567"/>
        </w:tabs>
        <w:spacing w:after="0" w:line="240" w:lineRule="auto"/>
        <w:rPr>
          <w:rFonts w:ascii="Times New Roman" w:eastAsia="Calibri" w:hAnsi="Times New Roman" w:cs="Times New Roman"/>
          <w:b/>
          <w:kern w:val="0"/>
          <w:sz w:val="22"/>
          <w:szCs w:val="22"/>
          <w:lang w:val="lv-LV"/>
          <w14:ligatures w14:val="none"/>
        </w:rPr>
      </w:pPr>
      <w:r w:rsidRPr="00913E59">
        <w:rPr>
          <w:rFonts w:ascii="Times New Roman" w:eastAsia="Calibri" w:hAnsi="Times New Roman" w:cs="Times New Roman"/>
          <w:b/>
          <w:kern w:val="0"/>
          <w:sz w:val="22"/>
          <w:szCs w:val="22"/>
          <w:lang w:val="lv-LV"/>
          <w14:ligatures w14:val="none"/>
        </w:rPr>
        <w:t>Šis pakuot</w:t>
      </w:r>
      <w:r w:rsidRPr="00913E59">
        <w:rPr>
          <w:rFonts w:ascii="Times New Roman" w:eastAsia="Calibri" w:hAnsi="Times New Roman" w:cs="Times New Roman"/>
          <w:b/>
          <w:kern w:val="0"/>
          <w:sz w:val="22"/>
          <w:szCs w:val="22"/>
          <w14:ligatures w14:val="none"/>
        </w:rPr>
        <w:t>ės</w:t>
      </w:r>
      <w:r w:rsidRPr="00913E59">
        <w:rPr>
          <w:rFonts w:ascii="Times New Roman" w:eastAsia="Calibri" w:hAnsi="Times New Roman" w:cs="Times New Roman"/>
          <w:b/>
          <w:kern w:val="0"/>
          <w:sz w:val="22"/>
          <w:szCs w:val="22"/>
          <w:lang w:val="lv-LV"/>
          <w14:ligatures w14:val="none"/>
        </w:rPr>
        <w:t xml:space="preserve"> lapelis paskutinį kartą peržiūrėtas</w:t>
      </w:r>
      <w:r w:rsidR="00ED3D78">
        <w:rPr>
          <w:rFonts w:ascii="Times New Roman" w:eastAsia="Calibri" w:hAnsi="Times New Roman" w:cs="Times New Roman"/>
          <w:b/>
          <w:kern w:val="0"/>
          <w:sz w:val="22"/>
          <w:szCs w:val="22"/>
          <w:lang w:val="lv-LV"/>
          <w14:ligatures w14:val="none"/>
        </w:rPr>
        <w:t xml:space="preserve"> 2025-09-09</w:t>
      </w:r>
      <w:bookmarkStart w:id="5" w:name="_GoBack"/>
      <w:bookmarkEnd w:id="5"/>
    </w:p>
    <w:p w14:paraId="2EE60FB1" w14:textId="77777777" w:rsidR="00913E59" w:rsidRDefault="00913E59" w:rsidP="00913E59">
      <w:pPr>
        <w:tabs>
          <w:tab w:val="left" w:pos="567"/>
        </w:tabs>
        <w:spacing w:after="0" w:line="240" w:lineRule="auto"/>
        <w:rPr>
          <w:rFonts w:ascii="Times New Roman" w:eastAsia="Calibri" w:hAnsi="Times New Roman" w:cs="Times New Roman"/>
          <w:b/>
          <w:kern w:val="0"/>
          <w:sz w:val="22"/>
          <w:szCs w:val="22"/>
          <w:lang w:val="lv-LV"/>
          <w14:ligatures w14:val="none"/>
        </w:rPr>
      </w:pPr>
    </w:p>
    <w:p w14:paraId="5603ACA0" w14:textId="77777777" w:rsidR="00B42844" w:rsidRPr="00B42844" w:rsidRDefault="00B42844" w:rsidP="00B42844">
      <w:pPr>
        <w:spacing w:after="0" w:line="240" w:lineRule="auto"/>
        <w:rPr>
          <w:rFonts w:ascii="Times New Roman" w:eastAsia="Times New Roman" w:hAnsi="Times New Roman" w:cs="Times New Roman"/>
          <w:kern w:val="0"/>
          <w:sz w:val="22"/>
          <w:szCs w:val="20"/>
          <w14:ligatures w14:val="none"/>
        </w:rPr>
      </w:pPr>
    </w:p>
    <w:p w14:paraId="6602488B" w14:textId="549982D1" w:rsidR="00B42844" w:rsidRDefault="00B42844" w:rsidP="00B42844">
      <w:pPr>
        <w:spacing w:after="0" w:line="240" w:lineRule="auto"/>
        <w:rPr>
          <w:rFonts w:ascii="Times New Roman" w:eastAsia="Times New Roman" w:hAnsi="Times New Roman" w:cs="Times New Roman"/>
          <w:kern w:val="0"/>
          <w:sz w:val="22"/>
          <w:szCs w:val="20"/>
          <w:lang w:eastAsia="lt-LT" w:bidi="lt-LT"/>
          <w14:ligatures w14:val="none"/>
        </w:rPr>
      </w:pPr>
      <w:r w:rsidRPr="00B4284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B42844">
          <w:rPr>
            <w:rStyle w:val="Hyperlink"/>
            <w:rFonts w:ascii="Times New Roman" w:eastAsia="Times New Roman" w:hAnsi="Times New Roman" w:cs="Times New Roman"/>
            <w:kern w:val="0"/>
            <w:sz w:val="22"/>
            <w:szCs w:val="20"/>
            <w:lang w:eastAsia="lt-LT" w:bidi="lt-LT"/>
            <w14:ligatures w14:val="none"/>
          </w:rPr>
          <w:t>https://vvkt.lrv.lt/lt/</w:t>
        </w:r>
      </w:hyperlink>
      <w:r w:rsidRPr="00B42844">
        <w:rPr>
          <w:rFonts w:ascii="Times New Roman" w:eastAsia="Times New Roman" w:hAnsi="Times New Roman" w:cs="Times New Roman"/>
          <w:kern w:val="0"/>
          <w:sz w:val="22"/>
          <w:szCs w:val="20"/>
          <w:lang w:eastAsia="lt-LT" w:bidi="lt-LT"/>
          <w14:ligatures w14:val="none"/>
        </w:rPr>
        <w:t>.</w:t>
      </w:r>
    </w:p>
    <w:p w14:paraId="6C135E6F" w14:textId="77777777" w:rsidR="000C57B1" w:rsidRDefault="000C57B1" w:rsidP="00B42844">
      <w:pPr>
        <w:spacing w:after="0" w:line="240" w:lineRule="auto"/>
        <w:rPr>
          <w:rFonts w:ascii="Times New Roman" w:eastAsia="Times New Roman" w:hAnsi="Times New Roman" w:cs="Times New Roman"/>
          <w:kern w:val="0"/>
          <w:sz w:val="22"/>
          <w:szCs w:val="20"/>
          <w:lang w:eastAsia="lt-LT" w:bidi="lt-LT"/>
          <w14:ligatures w14:val="none"/>
        </w:rPr>
      </w:pPr>
    </w:p>
    <w:p w14:paraId="213E9AD0" w14:textId="53677D8F" w:rsidR="000C57B1" w:rsidRDefault="000C57B1" w:rsidP="00B42844">
      <w:pPr>
        <w:spacing w:after="0" w:line="240" w:lineRule="auto"/>
        <w:rPr>
          <w:rFonts w:ascii="Times New Roman" w:eastAsia="Times New Roman" w:hAnsi="Times New Roman" w:cs="Times New Roman"/>
          <w:kern w:val="0"/>
          <w:sz w:val="22"/>
          <w:szCs w:val="20"/>
          <w:lang w:eastAsia="lt-LT" w:bidi="lt-LT"/>
          <w14:ligatures w14:val="none"/>
        </w:rPr>
      </w:pPr>
      <w:r w:rsidRPr="000C57B1">
        <w:rPr>
          <w:rFonts w:ascii="Times New Roman" w:eastAsia="Aptos" w:hAnsi="Times New Roman" w:cs="Times New Roman"/>
          <w:i/>
          <w:iCs/>
          <w:sz w:val="22"/>
          <w:szCs w:val="22"/>
        </w:rPr>
        <w:t>Lygiagrečiai importuojamas vaistas nuo referencinio vaisto skiriasi tinkamumo laiku: referencinio vaisto – 2 metai, lygiagrečiai importuojamo – 3 metai; pakuotės dydžiu: referencinio vaisto – N5, lygiagrečiai importuojamo – N1</w:t>
      </w:r>
      <w:r w:rsidR="00D6661C">
        <w:rPr>
          <w:rFonts w:ascii="Times New Roman" w:eastAsia="Aptos" w:hAnsi="Times New Roman" w:cs="Times New Roman"/>
          <w:i/>
          <w:iCs/>
          <w:sz w:val="22"/>
          <w:szCs w:val="22"/>
        </w:rPr>
        <w:t xml:space="preserve">; laikymo sąlygomis po praskiedimo: </w:t>
      </w:r>
      <w:r w:rsidR="00D6661C" w:rsidRPr="00D6661C">
        <w:rPr>
          <w:rFonts w:ascii="Times New Roman" w:eastAsia="Aptos" w:hAnsi="Times New Roman" w:cs="Times New Roman"/>
          <w:i/>
          <w:iCs/>
          <w:sz w:val="22"/>
          <w:szCs w:val="22"/>
        </w:rPr>
        <w:t>referencinis vaistinis preparatas praskiestas papildomai laikomas vėsioje vietoje (šaldytuve) ir apsaugotoje nuo šviesos.</w:t>
      </w:r>
    </w:p>
    <w:p w14:paraId="2BFC0446" w14:textId="77777777" w:rsidR="00913E59" w:rsidRPr="00913E59" w:rsidRDefault="00913E59" w:rsidP="00913E59">
      <w:pPr>
        <w:tabs>
          <w:tab w:val="left" w:pos="567"/>
        </w:tabs>
        <w:spacing w:after="0" w:line="240" w:lineRule="auto"/>
        <w:rPr>
          <w:rFonts w:ascii="Times New Roman" w:eastAsia="Calibri" w:hAnsi="Times New Roman" w:cs="Times New Roman"/>
          <w:b/>
          <w:kern w:val="0"/>
          <w:sz w:val="22"/>
          <w:szCs w:val="22"/>
          <w:lang w:val="lv-LV"/>
          <w14:ligatures w14:val="none"/>
        </w:rPr>
      </w:pPr>
    </w:p>
    <w:p w14:paraId="51A66599" w14:textId="77777777" w:rsidR="00913E59" w:rsidRPr="00913E59" w:rsidRDefault="00913E59" w:rsidP="00913E59">
      <w:pPr>
        <w:numPr>
          <w:ilvl w:val="12"/>
          <w:numId w:val="0"/>
        </w:numPr>
        <w:tabs>
          <w:tab w:val="left" w:pos="567"/>
        </w:tabs>
        <w:spacing w:after="0" w:line="240" w:lineRule="auto"/>
        <w:ind w:right="-2"/>
        <w:rPr>
          <w:rFonts w:ascii="Calibri" w:eastAsia="Calibri" w:hAnsi="Calibri" w:cs="Times New Roman"/>
          <w:noProof/>
          <w:kern w:val="0"/>
          <w:sz w:val="22"/>
          <w:szCs w:val="22"/>
          <w14:ligatures w14:val="none"/>
        </w:rPr>
      </w:pPr>
      <w:r w:rsidRPr="00913E59">
        <w:rPr>
          <w:rFonts w:ascii="Calibri" w:eastAsia="Calibri" w:hAnsi="Calibri" w:cs="Times New Roman"/>
          <w:noProof/>
          <w:kern w:val="0"/>
          <w:sz w:val="22"/>
          <w:szCs w:val="22"/>
          <w14:ligatures w14:val="none"/>
        </w:rPr>
        <w:t>--------------------------------------------------------------------------------------------------------------------------</w:t>
      </w:r>
    </w:p>
    <w:p w14:paraId="77948B86" w14:textId="77777777" w:rsidR="00913E59" w:rsidRPr="00913E59" w:rsidRDefault="00913E59" w:rsidP="00913E59">
      <w:pPr>
        <w:tabs>
          <w:tab w:val="left" w:pos="567"/>
        </w:tabs>
        <w:spacing w:after="0" w:line="240" w:lineRule="auto"/>
        <w:rPr>
          <w:rFonts w:ascii="Times New Roman" w:eastAsia="Calibri" w:hAnsi="Times New Roman" w:cs="Times New Roman"/>
          <w:kern w:val="0"/>
          <w:sz w:val="22"/>
          <w:szCs w:val="22"/>
          <w:lang w:val="lv-LV"/>
          <w14:ligatures w14:val="none"/>
        </w:rPr>
      </w:pPr>
      <w:r w:rsidRPr="00913E59">
        <w:rPr>
          <w:rFonts w:ascii="Times New Roman" w:eastAsia="Calibri" w:hAnsi="Times New Roman" w:cs="Times New Roman"/>
          <w:kern w:val="0"/>
          <w:sz w:val="22"/>
          <w:szCs w:val="22"/>
          <w:lang w:val="lv-LV"/>
          <w14:ligatures w14:val="none"/>
        </w:rPr>
        <w:t>Toliau pateikta informacija skirta tik sveikatos priežiūros specialistams.</w:t>
      </w:r>
    </w:p>
    <w:p w14:paraId="18B997EE" w14:textId="77777777" w:rsidR="00913E59" w:rsidRPr="00913E59" w:rsidRDefault="00913E59" w:rsidP="00913E59">
      <w:pPr>
        <w:tabs>
          <w:tab w:val="left" w:pos="567"/>
        </w:tabs>
        <w:spacing w:after="0" w:line="240" w:lineRule="auto"/>
        <w:rPr>
          <w:rFonts w:ascii="Times New Roman" w:eastAsia="Calibri" w:hAnsi="Times New Roman" w:cs="Times New Roman"/>
          <w:b/>
          <w:kern w:val="0"/>
          <w:sz w:val="22"/>
          <w:szCs w:val="22"/>
          <w:lang w:val="lv-LV"/>
          <w14:ligatures w14:val="none"/>
        </w:rPr>
      </w:pPr>
    </w:p>
    <w:p w14:paraId="23064FDE" w14:textId="77777777" w:rsidR="00913E59" w:rsidRPr="00913E59" w:rsidRDefault="00913E59" w:rsidP="00913E59">
      <w:pPr>
        <w:keepNext/>
        <w:tabs>
          <w:tab w:val="left" w:pos="567"/>
        </w:tabs>
        <w:suppressAutoHyphens/>
        <w:spacing w:after="0" w:line="240" w:lineRule="auto"/>
        <w:rPr>
          <w:rFonts w:ascii="Times New Roman" w:eastAsia="Calibri" w:hAnsi="Times New Roman" w:cs="Times New Roman"/>
          <w:b/>
          <w:kern w:val="0"/>
          <w:sz w:val="22"/>
          <w:szCs w:val="22"/>
          <w:lang w:val="lv-LV"/>
          <w14:ligatures w14:val="none"/>
        </w:rPr>
      </w:pPr>
      <w:r w:rsidRPr="00913E59">
        <w:rPr>
          <w:rFonts w:ascii="Times New Roman" w:eastAsia="Calibri" w:hAnsi="Times New Roman" w:cs="Times New Roman"/>
          <w:b/>
          <w:kern w:val="0"/>
          <w:sz w:val="22"/>
          <w:szCs w:val="22"/>
          <w:lang w:val="lv-LV"/>
          <w14:ligatures w14:val="none"/>
        </w:rPr>
        <w:t>Perdozavimo gydymas:</w:t>
      </w:r>
    </w:p>
    <w:p w14:paraId="4432B949" w14:textId="4DC2FF39" w:rsidR="00913E59" w:rsidRPr="00913E59" w:rsidRDefault="00913E59" w:rsidP="00913E59">
      <w:pPr>
        <w:tabs>
          <w:tab w:val="left" w:pos="567"/>
        </w:tabs>
        <w:spacing w:after="0" w:line="240" w:lineRule="auto"/>
        <w:rPr>
          <w:rFonts w:ascii="Times New Roman" w:eastAsia="Calibri" w:hAnsi="Times New Roman" w:cs="Times New Roman"/>
          <w:kern w:val="0"/>
          <w:sz w:val="22"/>
          <w:szCs w:val="22"/>
          <w:lang w:val="lv-LV"/>
          <w14:ligatures w14:val="none"/>
        </w:rPr>
      </w:pPr>
      <w:r w:rsidRPr="00913E59">
        <w:rPr>
          <w:rFonts w:ascii="Times New Roman" w:eastAsia="Calibri" w:hAnsi="Times New Roman" w:cs="Times New Roman"/>
          <w:kern w:val="0"/>
          <w:sz w:val="22"/>
          <w:szCs w:val="22"/>
          <w:lang w:val="lv-LV"/>
          <w14:ligatures w14:val="none"/>
        </w:rPr>
        <w:t xml:space="preserve">Jei pasireiškia perdozavimo simptomų, </w:t>
      </w:r>
      <w:r w:rsidR="00C8455D">
        <w:rPr>
          <w:rFonts w:ascii="Times New Roman" w:eastAsia="Calibri" w:hAnsi="Times New Roman" w:cs="Times New Roman"/>
          <w:kern w:val="0"/>
          <w:sz w:val="22"/>
          <w:szCs w:val="22"/>
          <w:lang w:val="lv-LV"/>
          <w14:ligatures w14:val="none"/>
        </w:rPr>
        <w:t>PROSTIN VR</w:t>
      </w:r>
      <w:r w:rsidRPr="00913E59">
        <w:rPr>
          <w:rFonts w:ascii="Times New Roman" w:eastAsia="Calibri" w:hAnsi="Times New Roman" w:cs="Times New Roman"/>
          <w:kern w:val="0"/>
          <w:sz w:val="22"/>
          <w:szCs w:val="22"/>
          <w:lang w:val="lv-LV"/>
          <w14:ligatures w14:val="none"/>
        </w:rPr>
        <w:t xml:space="preserve"> dozę reikia sumažinti arba gydymą nutraukti.</w:t>
      </w:r>
    </w:p>
    <w:p w14:paraId="68FB03DA" w14:textId="77777777" w:rsidR="00913E59" w:rsidRPr="00913E59" w:rsidRDefault="00913E59" w:rsidP="00913E59">
      <w:pPr>
        <w:tabs>
          <w:tab w:val="left" w:pos="567"/>
        </w:tabs>
        <w:spacing w:after="0" w:line="240" w:lineRule="auto"/>
        <w:rPr>
          <w:rFonts w:ascii="Times New Roman" w:eastAsia="Calibri" w:hAnsi="Times New Roman" w:cs="Times New Roman"/>
          <w:kern w:val="0"/>
          <w:sz w:val="22"/>
          <w:szCs w:val="22"/>
          <w:lang w:val="lv-LV"/>
          <w14:ligatures w14:val="none"/>
        </w:rPr>
      </w:pPr>
      <w:r w:rsidRPr="00913E59">
        <w:rPr>
          <w:rFonts w:ascii="Times New Roman" w:eastAsia="Calibri" w:hAnsi="Times New Roman" w:cs="Times New Roman"/>
          <w:kern w:val="0"/>
          <w:sz w:val="22"/>
          <w:szCs w:val="22"/>
          <w:lang w:val="lv-LV"/>
          <w14:ligatures w14:val="none"/>
        </w:rPr>
        <w:t>Perdozavimo simptomų gydymas yra simptominis, bet paprastai nėra būtinas dėl greito vaisto metabolizmo.</w:t>
      </w:r>
    </w:p>
    <w:p w14:paraId="00CFB657" w14:textId="77777777" w:rsidR="00913E59" w:rsidRPr="00913E59" w:rsidRDefault="00913E59" w:rsidP="00913E59">
      <w:pPr>
        <w:tabs>
          <w:tab w:val="left" w:pos="567"/>
        </w:tabs>
        <w:spacing w:after="0" w:line="240" w:lineRule="auto"/>
        <w:rPr>
          <w:rFonts w:ascii="Times New Roman" w:eastAsia="Calibri" w:hAnsi="Times New Roman" w:cs="Times New Roman"/>
          <w:kern w:val="0"/>
          <w:sz w:val="22"/>
          <w:szCs w:val="22"/>
          <w:lang w:val="lv-LV"/>
          <w14:ligatures w14:val="none"/>
        </w:rPr>
      </w:pPr>
    </w:p>
    <w:p w14:paraId="3B92C98C" w14:textId="77777777" w:rsidR="00913E59" w:rsidRPr="00913E59" w:rsidRDefault="00913E59" w:rsidP="00913E59">
      <w:pPr>
        <w:keepNext/>
        <w:tabs>
          <w:tab w:val="left" w:pos="567"/>
        </w:tabs>
        <w:suppressAutoHyphens/>
        <w:spacing w:after="0" w:line="240" w:lineRule="auto"/>
        <w:rPr>
          <w:rFonts w:ascii="Times New Roman" w:eastAsia="Calibri" w:hAnsi="Times New Roman" w:cs="Times New Roman"/>
          <w:b/>
          <w:kern w:val="0"/>
          <w:sz w:val="22"/>
          <w:szCs w:val="22"/>
          <w:lang w:val="lv-LV"/>
          <w14:ligatures w14:val="none"/>
        </w:rPr>
      </w:pPr>
      <w:r w:rsidRPr="00913E59">
        <w:rPr>
          <w:rFonts w:ascii="Times New Roman" w:eastAsia="Calibri" w:hAnsi="Times New Roman" w:cs="Times New Roman"/>
          <w:b/>
          <w:kern w:val="0"/>
          <w:sz w:val="22"/>
          <w:szCs w:val="22"/>
          <w:lang w:val="lv-LV"/>
          <w14:ligatures w14:val="none"/>
        </w:rPr>
        <w:t>Infuzinio tirpalo paruošimas:</w:t>
      </w:r>
    </w:p>
    <w:p w14:paraId="094AE491" w14:textId="66D6D81A" w:rsidR="00913E59" w:rsidRPr="00913E59" w:rsidRDefault="00913E59" w:rsidP="00913E59">
      <w:pPr>
        <w:tabs>
          <w:tab w:val="left" w:pos="567"/>
        </w:tabs>
        <w:spacing w:after="0" w:line="240" w:lineRule="auto"/>
        <w:rPr>
          <w:rFonts w:ascii="Times New Roman" w:eastAsia="Calibri" w:hAnsi="Times New Roman" w:cs="Times New Roman"/>
          <w:kern w:val="0"/>
          <w:sz w:val="22"/>
          <w:szCs w:val="22"/>
          <w:lang w:val="lv-LV"/>
          <w14:ligatures w14:val="none"/>
        </w:rPr>
      </w:pPr>
      <w:r w:rsidRPr="00913E59">
        <w:rPr>
          <w:rFonts w:ascii="Times New Roman" w:eastAsia="Calibri" w:hAnsi="Times New Roman" w:cs="Times New Roman"/>
          <w:kern w:val="0"/>
          <w:sz w:val="22"/>
          <w:szCs w:val="22"/>
          <w:lang w:val="lv-LV"/>
          <w14:ligatures w14:val="none"/>
        </w:rPr>
        <w:t xml:space="preserve">1 ml </w:t>
      </w:r>
      <w:r w:rsidR="00C8455D">
        <w:rPr>
          <w:rFonts w:ascii="Times New Roman" w:eastAsia="Calibri" w:hAnsi="Times New Roman" w:cs="Times New Roman"/>
          <w:kern w:val="0"/>
          <w:sz w:val="22"/>
          <w:szCs w:val="22"/>
          <w:lang w:val="lv-LV"/>
          <w14:ligatures w14:val="none"/>
        </w:rPr>
        <w:t>PROSTIN VR</w:t>
      </w:r>
      <w:r w:rsidRPr="00913E59">
        <w:rPr>
          <w:rFonts w:ascii="Times New Roman" w:eastAsia="Calibri" w:hAnsi="Times New Roman" w:cs="Times New Roman"/>
          <w:kern w:val="0"/>
          <w:sz w:val="22"/>
          <w:szCs w:val="22"/>
          <w:lang w:val="lv-LV"/>
          <w14:ligatures w14:val="none"/>
        </w:rPr>
        <w:t xml:space="preserve"> aseptiškai skiedžiamas 100–250 ml natrio chlorido 9 mg/ml (0,9 %) infuziniu tirpalu arba 5 % vandeniniu gliukozės tirpalu. Paruoštame tirpale yra 500 mikrogramų alprostadilio.</w:t>
      </w:r>
    </w:p>
    <w:p w14:paraId="192F526A" w14:textId="77777777" w:rsidR="00913E59" w:rsidRPr="00913E59" w:rsidRDefault="00913E59" w:rsidP="00913E59">
      <w:pPr>
        <w:tabs>
          <w:tab w:val="left" w:pos="567"/>
        </w:tabs>
        <w:spacing w:after="0" w:line="240" w:lineRule="auto"/>
        <w:rPr>
          <w:rFonts w:ascii="Times New Roman" w:eastAsia="Calibri" w:hAnsi="Times New Roman" w:cs="Times New Roman"/>
          <w:kern w:val="0"/>
          <w:sz w:val="22"/>
          <w:szCs w:val="22"/>
          <w:lang w:val="lv-LV"/>
          <w14:ligatures w14:val="none"/>
        </w:rPr>
      </w:pPr>
    </w:p>
    <w:p w14:paraId="477967C7" w14:textId="77777777" w:rsidR="00913E59" w:rsidRPr="00913E59" w:rsidRDefault="00913E59" w:rsidP="00913E59">
      <w:pPr>
        <w:keepNext/>
        <w:tabs>
          <w:tab w:val="left" w:pos="567"/>
        </w:tabs>
        <w:suppressAutoHyphens/>
        <w:spacing w:after="0" w:line="240" w:lineRule="auto"/>
        <w:rPr>
          <w:rFonts w:ascii="Times New Roman" w:eastAsia="Calibri" w:hAnsi="Times New Roman" w:cs="Times New Roman"/>
          <w:kern w:val="0"/>
          <w:sz w:val="22"/>
          <w:szCs w:val="22"/>
          <w:lang w:val="lv-LV"/>
          <w14:ligatures w14:val="none"/>
        </w:rPr>
      </w:pPr>
      <w:r w:rsidRPr="00913E59">
        <w:rPr>
          <w:rFonts w:ascii="Times New Roman" w:eastAsia="Calibri" w:hAnsi="Times New Roman" w:cs="Times New Roman"/>
          <w:kern w:val="0"/>
          <w:sz w:val="22"/>
          <w:szCs w:val="22"/>
          <w:lang w:val="lv-LV"/>
          <w14:ligatures w14:val="none"/>
        </w:rPr>
        <w:t>Jei infuzijos greitis yra 50 nanogramų alprostadilio/kg/min.:</w:t>
      </w:r>
    </w:p>
    <w:p w14:paraId="178F0AC6" w14:textId="77777777" w:rsidR="00913E59" w:rsidRPr="00913E59" w:rsidRDefault="00913E59" w:rsidP="00913E59">
      <w:pPr>
        <w:keepNext/>
        <w:tabs>
          <w:tab w:val="left" w:pos="567"/>
        </w:tabs>
        <w:suppressAutoHyphens/>
        <w:spacing w:after="0" w:line="240" w:lineRule="auto"/>
        <w:rPr>
          <w:rFonts w:ascii="Times New Roman" w:eastAsia="Calibri" w:hAnsi="Times New Roman" w:cs="Times New Roman"/>
          <w:kern w:val="0"/>
          <w:sz w:val="22"/>
          <w:szCs w:val="22"/>
          <w:lang w:val="lv-LV"/>
          <w14:ligatures w14:val="none"/>
        </w:rPr>
      </w:pPr>
    </w:p>
    <w:tbl>
      <w:tblPr>
        <w:tblStyle w:val="TableGrid"/>
        <w:tblW w:w="0" w:type="auto"/>
        <w:tblLook w:val="04A0" w:firstRow="1" w:lastRow="0" w:firstColumn="1" w:lastColumn="0" w:noHBand="0" w:noVBand="1"/>
      </w:tblPr>
      <w:tblGrid>
        <w:gridCol w:w="3019"/>
        <w:gridCol w:w="3020"/>
        <w:gridCol w:w="3021"/>
      </w:tblGrid>
      <w:tr w:rsidR="00913E59" w:rsidRPr="00913E59" w14:paraId="4E0A0F92" w14:textId="77777777" w:rsidTr="00CD3F43">
        <w:tc>
          <w:tcPr>
            <w:tcW w:w="3020" w:type="dxa"/>
          </w:tcPr>
          <w:p w14:paraId="659CFA5C" w14:textId="77777777" w:rsidR="00913E59" w:rsidRPr="00913E59" w:rsidRDefault="00913E59" w:rsidP="00913E59">
            <w:pPr>
              <w:keepNext/>
              <w:tabs>
                <w:tab w:val="left" w:pos="567"/>
              </w:tabs>
              <w:jc w:val="center"/>
              <w:rPr>
                <w:rFonts w:eastAsia="Calibri"/>
                <w:color w:val="000000"/>
                <w:sz w:val="22"/>
                <w:szCs w:val="22"/>
              </w:rPr>
            </w:pPr>
            <w:r w:rsidRPr="00913E59">
              <w:rPr>
                <w:rFonts w:eastAsia="Calibri"/>
                <w:color w:val="000000"/>
                <w:sz w:val="22"/>
                <w:szCs w:val="22"/>
              </w:rPr>
              <w:t>Infuzinis tirpalas, įskaitant ampulės tūrį (ml)</w:t>
            </w:r>
          </w:p>
        </w:tc>
        <w:tc>
          <w:tcPr>
            <w:tcW w:w="3020" w:type="dxa"/>
          </w:tcPr>
          <w:p w14:paraId="523D909C" w14:textId="77777777" w:rsidR="00913E59" w:rsidRPr="00913E59" w:rsidRDefault="00913E59" w:rsidP="00913E59">
            <w:pPr>
              <w:keepNext/>
              <w:tabs>
                <w:tab w:val="left" w:pos="567"/>
              </w:tabs>
              <w:jc w:val="center"/>
              <w:rPr>
                <w:rFonts w:eastAsia="Calibri"/>
                <w:color w:val="000000"/>
                <w:sz w:val="22"/>
                <w:szCs w:val="22"/>
              </w:rPr>
            </w:pPr>
            <w:r w:rsidRPr="00913E59">
              <w:rPr>
                <w:rFonts w:eastAsia="Calibri"/>
                <w:color w:val="000000"/>
                <w:sz w:val="22"/>
                <w:szCs w:val="22"/>
              </w:rPr>
              <w:t>Alprostadilio koncentracija tirpale (mikrogramai/ml)</w:t>
            </w:r>
          </w:p>
        </w:tc>
        <w:tc>
          <w:tcPr>
            <w:tcW w:w="3021" w:type="dxa"/>
          </w:tcPr>
          <w:p w14:paraId="1EE18DCF" w14:textId="77777777" w:rsidR="00913E59" w:rsidRPr="00913E59" w:rsidRDefault="00913E59" w:rsidP="00913E59">
            <w:pPr>
              <w:keepNext/>
              <w:tabs>
                <w:tab w:val="left" w:pos="567"/>
              </w:tabs>
              <w:jc w:val="center"/>
              <w:rPr>
                <w:rFonts w:eastAsia="Calibri"/>
                <w:color w:val="000000"/>
                <w:sz w:val="22"/>
                <w:szCs w:val="22"/>
              </w:rPr>
            </w:pPr>
            <w:r w:rsidRPr="00913E59">
              <w:rPr>
                <w:rFonts w:eastAsia="Calibri"/>
                <w:color w:val="000000"/>
                <w:sz w:val="22"/>
                <w:szCs w:val="22"/>
              </w:rPr>
              <w:t>Infuzijos greitis (ml/kg/val.)</w:t>
            </w:r>
          </w:p>
        </w:tc>
      </w:tr>
      <w:tr w:rsidR="00913E59" w:rsidRPr="00913E59" w14:paraId="6F7EE42A" w14:textId="77777777" w:rsidTr="00CD3F43">
        <w:tc>
          <w:tcPr>
            <w:tcW w:w="3020" w:type="dxa"/>
          </w:tcPr>
          <w:p w14:paraId="730437EA" w14:textId="77777777" w:rsidR="00913E59" w:rsidRPr="00913E59" w:rsidRDefault="00913E59" w:rsidP="00913E59">
            <w:pPr>
              <w:keepNext/>
              <w:tabs>
                <w:tab w:val="left" w:pos="567"/>
              </w:tabs>
              <w:jc w:val="center"/>
              <w:rPr>
                <w:rFonts w:eastAsia="Calibri"/>
                <w:sz w:val="22"/>
                <w:szCs w:val="22"/>
              </w:rPr>
            </w:pPr>
            <w:r w:rsidRPr="00913E59">
              <w:rPr>
                <w:rFonts w:eastAsia="Calibri"/>
                <w:sz w:val="22"/>
                <w:szCs w:val="22"/>
              </w:rPr>
              <w:t>250</w:t>
            </w:r>
          </w:p>
        </w:tc>
        <w:tc>
          <w:tcPr>
            <w:tcW w:w="3020" w:type="dxa"/>
          </w:tcPr>
          <w:p w14:paraId="03E21116" w14:textId="77777777" w:rsidR="00913E59" w:rsidRPr="00913E59" w:rsidRDefault="00913E59" w:rsidP="00913E59">
            <w:pPr>
              <w:keepNext/>
              <w:tabs>
                <w:tab w:val="left" w:pos="567"/>
              </w:tabs>
              <w:jc w:val="center"/>
              <w:rPr>
                <w:rFonts w:eastAsia="Calibri"/>
                <w:sz w:val="22"/>
                <w:szCs w:val="22"/>
              </w:rPr>
            </w:pPr>
            <w:r w:rsidRPr="00913E59">
              <w:rPr>
                <w:rFonts w:eastAsia="Calibri"/>
                <w:sz w:val="22"/>
                <w:szCs w:val="22"/>
              </w:rPr>
              <w:t>2</w:t>
            </w:r>
          </w:p>
        </w:tc>
        <w:tc>
          <w:tcPr>
            <w:tcW w:w="3021" w:type="dxa"/>
          </w:tcPr>
          <w:p w14:paraId="12B61CE3" w14:textId="77777777" w:rsidR="00913E59" w:rsidRPr="00913E59" w:rsidRDefault="00913E59" w:rsidP="00913E59">
            <w:pPr>
              <w:keepNext/>
              <w:tabs>
                <w:tab w:val="left" w:pos="567"/>
              </w:tabs>
              <w:jc w:val="center"/>
              <w:rPr>
                <w:rFonts w:eastAsia="Calibri"/>
                <w:sz w:val="22"/>
                <w:szCs w:val="22"/>
              </w:rPr>
            </w:pPr>
            <w:r w:rsidRPr="00913E59">
              <w:rPr>
                <w:rFonts w:eastAsia="Calibri"/>
                <w:sz w:val="22"/>
                <w:szCs w:val="22"/>
              </w:rPr>
              <w:t>1,5</w:t>
            </w:r>
          </w:p>
        </w:tc>
      </w:tr>
      <w:tr w:rsidR="00913E59" w:rsidRPr="00913E59" w14:paraId="456E2D52" w14:textId="77777777" w:rsidTr="00CD3F43">
        <w:tc>
          <w:tcPr>
            <w:tcW w:w="3020" w:type="dxa"/>
          </w:tcPr>
          <w:p w14:paraId="720405D5" w14:textId="77777777" w:rsidR="00913E59" w:rsidRPr="00913E59" w:rsidRDefault="00913E59" w:rsidP="00913E59">
            <w:pPr>
              <w:tabs>
                <w:tab w:val="left" w:pos="567"/>
              </w:tabs>
              <w:jc w:val="center"/>
              <w:rPr>
                <w:rFonts w:eastAsia="Calibri"/>
                <w:sz w:val="22"/>
                <w:szCs w:val="22"/>
              </w:rPr>
            </w:pPr>
            <w:r w:rsidRPr="00913E59">
              <w:rPr>
                <w:rFonts w:eastAsia="Calibri"/>
                <w:sz w:val="22"/>
                <w:szCs w:val="22"/>
              </w:rPr>
              <w:t>100</w:t>
            </w:r>
          </w:p>
        </w:tc>
        <w:tc>
          <w:tcPr>
            <w:tcW w:w="3020" w:type="dxa"/>
          </w:tcPr>
          <w:p w14:paraId="1F60AFD9" w14:textId="77777777" w:rsidR="00913E59" w:rsidRPr="00913E59" w:rsidRDefault="00913E59" w:rsidP="00913E59">
            <w:pPr>
              <w:tabs>
                <w:tab w:val="left" w:pos="567"/>
              </w:tabs>
              <w:jc w:val="center"/>
              <w:rPr>
                <w:rFonts w:eastAsia="Calibri"/>
                <w:sz w:val="22"/>
                <w:szCs w:val="22"/>
              </w:rPr>
            </w:pPr>
            <w:r w:rsidRPr="00913E59">
              <w:rPr>
                <w:rFonts w:eastAsia="Calibri"/>
                <w:sz w:val="22"/>
                <w:szCs w:val="22"/>
              </w:rPr>
              <w:t>5</w:t>
            </w:r>
          </w:p>
        </w:tc>
        <w:tc>
          <w:tcPr>
            <w:tcW w:w="3021" w:type="dxa"/>
          </w:tcPr>
          <w:p w14:paraId="5B46C7DC" w14:textId="77777777" w:rsidR="00913E59" w:rsidRPr="00913E59" w:rsidRDefault="00913E59" w:rsidP="00913E59">
            <w:pPr>
              <w:tabs>
                <w:tab w:val="left" w:pos="567"/>
              </w:tabs>
              <w:jc w:val="center"/>
              <w:rPr>
                <w:rFonts w:eastAsia="Calibri"/>
                <w:sz w:val="22"/>
                <w:szCs w:val="22"/>
              </w:rPr>
            </w:pPr>
            <w:r w:rsidRPr="00913E59">
              <w:rPr>
                <w:rFonts w:eastAsia="Calibri"/>
                <w:sz w:val="22"/>
                <w:szCs w:val="22"/>
              </w:rPr>
              <w:t>0,6</w:t>
            </w:r>
          </w:p>
        </w:tc>
      </w:tr>
    </w:tbl>
    <w:p w14:paraId="2ECD79EF" w14:textId="77777777" w:rsidR="00913E59" w:rsidRPr="00913E59" w:rsidRDefault="00913E59" w:rsidP="00913E59">
      <w:pPr>
        <w:tabs>
          <w:tab w:val="left" w:pos="567"/>
        </w:tabs>
        <w:spacing w:after="0" w:line="240" w:lineRule="auto"/>
        <w:rPr>
          <w:rFonts w:ascii="Times New Roman" w:eastAsia="Calibri" w:hAnsi="Times New Roman" w:cs="Times New Roman"/>
          <w:kern w:val="0"/>
          <w:sz w:val="22"/>
          <w:szCs w:val="22"/>
          <w14:ligatures w14:val="none"/>
        </w:rPr>
      </w:pPr>
    </w:p>
    <w:p w14:paraId="1BCB82D2" w14:textId="75C4E29B" w:rsidR="00913E59" w:rsidRPr="00913E59" w:rsidRDefault="00C8455D" w:rsidP="00913E59">
      <w:pPr>
        <w:tabs>
          <w:tab w:val="left" w:pos="567"/>
        </w:tabs>
        <w:spacing w:after="0" w:line="240" w:lineRule="auto"/>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PROSTIN VR</w:t>
      </w:r>
      <w:r w:rsidR="00913E59" w:rsidRPr="00913E59">
        <w:rPr>
          <w:rFonts w:ascii="Times New Roman" w:eastAsia="Calibri" w:hAnsi="Times New Roman" w:cs="Times New Roman"/>
          <w:kern w:val="0"/>
          <w:sz w:val="22"/>
          <w:szCs w:val="22"/>
          <w14:ligatures w14:val="none"/>
        </w:rPr>
        <w:t xml:space="preserve"> negalima laikyti neatskiesto plastikiniuose induose. Jei koncentratas tiesiogiai liečiasi su plastikiniais paviršiais, plastifikatoriai gali būti išplauti. Dėl to tirpalas gali tapti drumstas, o talpyklė </w:t>
      </w:r>
      <w:r w:rsidR="00913E59" w:rsidRPr="00913E59">
        <w:rPr>
          <w:rFonts w:ascii="Times New Roman" w:eastAsia="Calibri" w:hAnsi="Times New Roman" w:cs="Times New Roman"/>
          <w:kern w:val="0"/>
          <w:sz w:val="22"/>
          <w:szCs w:val="22"/>
          <w14:ligatures w14:val="none"/>
        </w:rPr>
        <w:noBreakHyphen/>
        <w:t xml:space="preserve"> pakeisti spalvą. Tokiu atveju, vaistą ir talpyklę reikia išmesti. Tai yra nuo koncentracijos priklausomas reiškinys. Norint to išvengti, rekomenduojama koncentratą pilti į jau paruoštą infuzinį tirpalą, vengiant tiesioginio kontakto su talpyklės sienelėmis.</w:t>
      </w:r>
    </w:p>
    <w:p w14:paraId="69666038" w14:textId="77777777" w:rsidR="00913E59" w:rsidRPr="00913E59" w:rsidRDefault="00913E59" w:rsidP="00913E59">
      <w:pPr>
        <w:tabs>
          <w:tab w:val="left" w:pos="567"/>
        </w:tabs>
        <w:spacing w:after="0" w:line="240" w:lineRule="auto"/>
        <w:rPr>
          <w:rFonts w:ascii="Times New Roman" w:eastAsia="Calibri" w:hAnsi="Times New Roman" w:cs="Times New Roman"/>
          <w:kern w:val="0"/>
          <w:sz w:val="22"/>
          <w:szCs w:val="22"/>
          <w14:ligatures w14:val="none"/>
        </w:rPr>
      </w:pPr>
    </w:p>
    <w:p w14:paraId="6B740D08" w14:textId="53B5D7F3" w:rsidR="000E75BE" w:rsidRPr="00913E59" w:rsidRDefault="00913E59" w:rsidP="00913E59">
      <w:pPr>
        <w:tabs>
          <w:tab w:val="left" w:pos="567"/>
        </w:tabs>
        <w:suppressAutoHyphens/>
        <w:autoSpaceDN w:val="0"/>
        <w:spacing w:after="0" w:line="240" w:lineRule="auto"/>
        <w:textAlignment w:val="baseline"/>
        <w:rPr>
          <w:rFonts w:ascii="Times New Roman" w:eastAsia="Calibri" w:hAnsi="Times New Roman" w:cs="Times New Roman"/>
          <w:kern w:val="0"/>
          <w:sz w:val="22"/>
          <w:szCs w:val="22"/>
          <w14:ligatures w14:val="none"/>
        </w:rPr>
      </w:pPr>
      <w:r w:rsidRPr="00913E59">
        <w:rPr>
          <w:rFonts w:ascii="Times New Roman" w:eastAsia="Calibri" w:hAnsi="Times New Roman" w:cs="Times New Roman"/>
          <w:kern w:val="0"/>
          <w:sz w:val="22"/>
          <w:szCs w:val="22"/>
          <w14:ligatures w14:val="none"/>
        </w:rPr>
        <w:t>Išmeskite bet kokį senesnį kaip 24 valandų tirpalą!</w:t>
      </w:r>
    </w:p>
    <w:sectPr w:rsidR="000E75BE" w:rsidRPr="00913E59" w:rsidSect="00913E59">
      <w:headerReference w:type="default" r:id="rId8"/>
      <w:footerReference w:type="default" r:id="rId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C4762" w14:textId="77777777" w:rsidR="009653E2" w:rsidRDefault="009653E2">
      <w:pPr>
        <w:spacing w:after="0" w:line="240" w:lineRule="auto"/>
      </w:pPr>
      <w:r>
        <w:separator/>
      </w:r>
    </w:p>
  </w:endnote>
  <w:endnote w:type="continuationSeparator" w:id="0">
    <w:p w14:paraId="53F6C041" w14:textId="77777777" w:rsidR="009653E2" w:rsidRDefault="0096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6B87F" w14:textId="77777777" w:rsidR="00416D40" w:rsidRDefault="0041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FF74" w14:textId="77777777" w:rsidR="009653E2" w:rsidRDefault="009653E2">
      <w:pPr>
        <w:spacing w:after="0" w:line="240" w:lineRule="auto"/>
      </w:pPr>
      <w:r>
        <w:separator/>
      </w:r>
    </w:p>
  </w:footnote>
  <w:footnote w:type="continuationSeparator" w:id="0">
    <w:p w14:paraId="5E5C84D1" w14:textId="77777777" w:rsidR="009653E2" w:rsidRDefault="00965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FE68" w14:textId="77777777" w:rsidR="00416D40" w:rsidRDefault="00416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C29EF"/>
    <w:multiLevelType w:val="hybridMultilevel"/>
    <w:tmpl w:val="68BA3CF0"/>
    <w:lvl w:ilvl="0" w:tplc="FFFFFFFF">
      <w:start w:val="1"/>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E2599D"/>
    <w:multiLevelType w:val="hybridMultilevel"/>
    <w:tmpl w:val="6FEADAD0"/>
    <w:lvl w:ilvl="0" w:tplc="FFFFFFFF">
      <w:start w:val="1"/>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5A0DE8"/>
    <w:multiLevelType w:val="hybridMultilevel"/>
    <w:tmpl w:val="609217D2"/>
    <w:lvl w:ilvl="0" w:tplc="2E18DE0E">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7866A4"/>
    <w:multiLevelType w:val="multilevel"/>
    <w:tmpl w:val="238AEEE6"/>
    <w:lvl w:ilvl="0">
      <w:start w:val="1"/>
      <w:numFmt w:val="bullet"/>
      <w:lvlText w:val="-"/>
      <w:lvlJc w:val="left"/>
      <w:pPr>
        <w:ind w:left="567" w:hanging="567"/>
      </w:pPr>
      <w:rPr>
        <w:rFonts w:hint="default"/>
      </w:rPr>
    </w:lvl>
    <w:lvl w:ilvl="1">
      <w:start w:val="1"/>
      <w:numFmt w:val="decimal"/>
      <w:lvlText w:val="%2."/>
      <w:lvlJc w:val="left"/>
      <w:pPr>
        <w:ind w:left="1440" w:hanging="360"/>
      </w:pPr>
      <w:rPr>
        <w:rFonts w:hint="default"/>
      </w:rPr>
    </w:lvl>
    <w:lvl w:ilvl="2">
      <w:numFmt w:val="bullet"/>
      <w:lvlText w:val=""/>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hint="default"/>
      </w:rPr>
    </w:lvl>
  </w:abstractNum>
  <w:abstractNum w:abstractNumId="4" w15:restartNumberingAfterBreak="0">
    <w:nsid w:val="28602880"/>
    <w:multiLevelType w:val="hybridMultilevel"/>
    <w:tmpl w:val="F528BF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D40BAE"/>
    <w:multiLevelType w:val="hybridMultilevel"/>
    <w:tmpl w:val="5A6C7CF2"/>
    <w:lvl w:ilvl="0" w:tplc="FFFFFFFF">
      <w:start w:val="1"/>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682C62"/>
    <w:multiLevelType w:val="hybridMultilevel"/>
    <w:tmpl w:val="530EDA16"/>
    <w:lvl w:ilvl="0" w:tplc="FFFFFFFF">
      <w:start w:val="1"/>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1A1F97"/>
    <w:multiLevelType w:val="hybridMultilevel"/>
    <w:tmpl w:val="1B9232E6"/>
    <w:lvl w:ilvl="0" w:tplc="FFFFFFFF">
      <w:start w:val="1"/>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2CC5E27"/>
    <w:multiLevelType w:val="multilevel"/>
    <w:tmpl w:val="2C46F27C"/>
    <w:lvl w:ilvl="0">
      <w:start w:val="1"/>
      <w:numFmt w:val="bullet"/>
      <w:lvlText w:val="-"/>
      <w:lvlJc w:val="left"/>
      <w:pPr>
        <w:ind w:left="567" w:hanging="567"/>
      </w:pPr>
      <w:rPr>
        <w:rFonts w:hint="default"/>
      </w:rPr>
    </w:lvl>
    <w:lvl w:ilvl="1">
      <w:start w:val="1"/>
      <w:numFmt w:val="decimal"/>
      <w:lvlText w:val="%2."/>
      <w:lvlJc w:val="left"/>
      <w:pPr>
        <w:ind w:left="1440" w:hanging="360"/>
      </w:pPr>
      <w:rPr>
        <w:rFonts w:hint="default"/>
      </w:rPr>
    </w:lvl>
    <w:lvl w:ilvl="2">
      <w:numFmt w:val="bullet"/>
      <w:lvlText w:val=""/>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hint="default"/>
      </w:rPr>
    </w:lvl>
  </w:abstractNum>
  <w:abstractNum w:abstractNumId="9" w15:restartNumberingAfterBreak="0">
    <w:nsid w:val="55C77998"/>
    <w:multiLevelType w:val="hybridMultilevel"/>
    <w:tmpl w:val="0724580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2B1B07"/>
    <w:multiLevelType w:val="hybridMultilevel"/>
    <w:tmpl w:val="A3986D1E"/>
    <w:lvl w:ilvl="0" w:tplc="FB44282C">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530394D"/>
    <w:multiLevelType w:val="hybridMultilevel"/>
    <w:tmpl w:val="5184B752"/>
    <w:lvl w:ilvl="0" w:tplc="360A67A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A03039"/>
    <w:multiLevelType w:val="hybridMultilevel"/>
    <w:tmpl w:val="2FA2D662"/>
    <w:lvl w:ilvl="0" w:tplc="FFFFFFFF">
      <w:start w:val="1"/>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C13AB1"/>
    <w:multiLevelType w:val="hybridMultilevel"/>
    <w:tmpl w:val="7A161570"/>
    <w:lvl w:ilvl="0" w:tplc="FFFFFFFF">
      <w:start w:val="1"/>
      <w:numFmt w:val="bullet"/>
      <w:lvlText w:val="-"/>
      <w:lvlJc w:val="left"/>
      <w:pPr>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9664C0"/>
    <w:multiLevelType w:val="multilevel"/>
    <w:tmpl w:val="C01C818C"/>
    <w:lvl w:ilvl="0">
      <w:start w:val="1"/>
      <w:numFmt w:val="bullet"/>
      <w:lvlText w:val=""/>
      <w:lvlJc w:val="left"/>
      <w:pPr>
        <w:ind w:left="567" w:hanging="567"/>
      </w:pPr>
      <w:rPr>
        <w:rFonts w:ascii="Symbol" w:hAnsi="Symbol" w:hint="default"/>
      </w:rPr>
    </w:lvl>
    <w:lvl w:ilvl="1">
      <w:start w:val="1"/>
      <w:numFmt w:val="decimal"/>
      <w:lvlText w:val="%2."/>
      <w:lvlJc w:val="left"/>
      <w:pPr>
        <w:ind w:left="1440" w:hanging="360"/>
      </w:pPr>
      <w:rPr>
        <w:rFonts w:hint="default"/>
      </w:rPr>
    </w:lvl>
    <w:lvl w:ilvl="2">
      <w:numFmt w:val="bullet"/>
      <w:lvlText w:val=""/>
      <w:lvlJc w:val="left"/>
      <w:pPr>
        <w:ind w:left="2160" w:hanging="360"/>
      </w:pPr>
      <w:rPr>
        <w:rFont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hint="default"/>
      </w:rPr>
    </w:lvl>
  </w:abstractNum>
  <w:num w:numId="1">
    <w:abstractNumId w:val="14"/>
  </w:num>
  <w:num w:numId="2">
    <w:abstractNumId w:val="2"/>
  </w:num>
  <w:num w:numId="3">
    <w:abstractNumId w:val="14"/>
    <w:lvlOverride w:ilvl="0">
      <w:lvl w:ilvl="0">
        <w:start w:val="1"/>
        <w:numFmt w:val="bullet"/>
        <w:lvlText w:val=""/>
        <w:lvlJc w:val="left"/>
        <w:pPr>
          <w:ind w:left="567" w:hanging="567"/>
        </w:pPr>
        <w:rPr>
          <w:rFonts w:ascii="Symbol" w:hAnsi="Symbol" w:hint="default"/>
        </w:rPr>
      </w:lvl>
    </w:lvlOverride>
    <w:lvlOverride w:ilvl="1">
      <w:lvl w:ilvl="1">
        <w:start w:val="1"/>
        <w:numFmt w:val="decimal"/>
        <w:lvlText w:val="%2."/>
        <w:lvlJc w:val="left"/>
        <w:pPr>
          <w:ind w:left="1440" w:hanging="360"/>
        </w:pPr>
        <w:rPr>
          <w:rFonts w:hint="default"/>
        </w:rPr>
      </w:lvl>
    </w:lvlOverride>
    <w:lvlOverride w:ilvl="2">
      <w:lvl w:ilvl="2">
        <w:numFmt w:val="bullet"/>
        <w:lvlText w:val=""/>
        <w:lvlJc w:val="left"/>
        <w:pPr>
          <w:ind w:left="2160" w:hanging="360"/>
        </w:pPr>
        <w:rPr>
          <w:rFonts w:hint="default"/>
        </w:rPr>
      </w:lvl>
    </w:lvlOverride>
    <w:lvlOverride w:ilvl="3">
      <w:lvl w:ilvl="3">
        <w:numFmt w:val="bullet"/>
        <w:lvlText w:val=""/>
        <w:lvlJc w:val="left"/>
        <w:pPr>
          <w:ind w:left="2880" w:hanging="360"/>
        </w:pPr>
        <w:rPr>
          <w:rFonts w:ascii="Symbol" w:hAnsi="Symbol" w:hint="default"/>
        </w:rPr>
      </w:lvl>
    </w:lvlOverride>
    <w:lvlOverride w:ilvl="4">
      <w:lvl w:ilvl="4">
        <w:numFmt w:val="bullet"/>
        <w:lvlText w:val="o"/>
        <w:lvlJc w:val="left"/>
        <w:pPr>
          <w:ind w:left="3600" w:hanging="360"/>
        </w:pPr>
        <w:rPr>
          <w:rFonts w:ascii="Courier New" w:hAnsi="Courier New" w:hint="default"/>
        </w:rPr>
      </w:lvl>
    </w:lvlOverride>
    <w:lvlOverride w:ilvl="5">
      <w:lvl w:ilvl="5">
        <w:numFmt w:val="bullet"/>
        <w:lvlText w:val=""/>
        <w:lvlJc w:val="left"/>
        <w:pPr>
          <w:ind w:left="4320" w:hanging="360"/>
        </w:pPr>
        <w:rPr>
          <w:rFonts w:hint="default"/>
        </w:rPr>
      </w:lvl>
    </w:lvlOverride>
    <w:lvlOverride w:ilvl="6">
      <w:lvl w:ilvl="6">
        <w:numFmt w:val="bullet"/>
        <w:lvlText w:val=""/>
        <w:lvlJc w:val="left"/>
        <w:pPr>
          <w:ind w:left="5040" w:hanging="360"/>
        </w:pPr>
        <w:rPr>
          <w:rFonts w:ascii="Symbol" w:hAnsi="Symbol" w:hint="default"/>
        </w:rPr>
      </w:lvl>
    </w:lvlOverride>
    <w:lvlOverride w:ilvl="7">
      <w:lvl w:ilvl="7">
        <w:numFmt w:val="bullet"/>
        <w:lvlText w:val="o"/>
        <w:lvlJc w:val="left"/>
        <w:pPr>
          <w:ind w:left="5760" w:hanging="360"/>
        </w:pPr>
        <w:rPr>
          <w:rFonts w:ascii="Courier New" w:hAnsi="Courier New" w:hint="default"/>
        </w:rPr>
      </w:lvl>
    </w:lvlOverride>
    <w:lvlOverride w:ilvl="8">
      <w:lvl w:ilvl="8">
        <w:numFmt w:val="bullet"/>
        <w:lvlText w:val=""/>
        <w:lvlJc w:val="left"/>
        <w:pPr>
          <w:ind w:left="6480" w:hanging="360"/>
        </w:pPr>
        <w:rPr>
          <w:rFonts w:hint="default"/>
        </w:rPr>
      </w:lvl>
    </w:lvlOverride>
  </w:num>
  <w:num w:numId="4">
    <w:abstractNumId w:val="14"/>
    <w:lvlOverride w:ilvl="0">
      <w:lvl w:ilvl="0">
        <w:start w:val="1"/>
        <w:numFmt w:val="bullet"/>
        <w:lvlText w:val=""/>
        <w:lvlJc w:val="left"/>
        <w:pPr>
          <w:ind w:left="567" w:hanging="567"/>
        </w:pPr>
        <w:rPr>
          <w:rFonts w:ascii="Symbol" w:hAnsi="Symbol" w:hint="default"/>
        </w:rPr>
      </w:lvl>
    </w:lvlOverride>
    <w:lvlOverride w:ilvl="1">
      <w:lvl w:ilvl="1">
        <w:start w:val="1"/>
        <w:numFmt w:val="decimal"/>
        <w:lvlText w:val="%2."/>
        <w:lvlJc w:val="left"/>
        <w:pPr>
          <w:ind w:left="1440" w:hanging="360"/>
        </w:pPr>
        <w:rPr>
          <w:rFonts w:hint="default"/>
        </w:rPr>
      </w:lvl>
    </w:lvlOverride>
    <w:lvlOverride w:ilvl="2">
      <w:lvl w:ilvl="2">
        <w:numFmt w:val="bullet"/>
        <w:lvlText w:val=""/>
        <w:lvlJc w:val="left"/>
        <w:pPr>
          <w:ind w:left="2160" w:hanging="360"/>
        </w:pPr>
        <w:rPr>
          <w:rFonts w:hint="default"/>
        </w:rPr>
      </w:lvl>
    </w:lvlOverride>
    <w:lvlOverride w:ilvl="3">
      <w:lvl w:ilvl="3">
        <w:numFmt w:val="bullet"/>
        <w:lvlText w:val=""/>
        <w:lvlJc w:val="left"/>
        <w:pPr>
          <w:ind w:left="2880" w:hanging="360"/>
        </w:pPr>
        <w:rPr>
          <w:rFonts w:ascii="Symbol" w:hAnsi="Symbol" w:hint="default"/>
        </w:rPr>
      </w:lvl>
    </w:lvlOverride>
    <w:lvlOverride w:ilvl="4">
      <w:lvl w:ilvl="4">
        <w:numFmt w:val="bullet"/>
        <w:lvlText w:val="o"/>
        <w:lvlJc w:val="left"/>
        <w:pPr>
          <w:ind w:left="3600" w:hanging="360"/>
        </w:pPr>
        <w:rPr>
          <w:rFonts w:ascii="Courier New" w:hAnsi="Courier New" w:hint="default"/>
        </w:rPr>
      </w:lvl>
    </w:lvlOverride>
    <w:lvlOverride w:ilvl="5">
      <w:lvl w:ilvl="5">
        <w:numFmt w:val="bullet"/>
        <w:lvlText w:val=""/>
        <w:lvlJc w:val="left"/>
        <w:pPr>
          <w:ind w:left="4320" w:hanging="360"/>
        </w:pPr>
        <w:rPr>
          <w:rFonts w:hint="default"/>
        </w:rPr>
      </w:lvl>
    </w:lvlOverride>
    <w:lvlOverride w:ilvl="6">
      <w:lvl w:ilvl="6">
        <w:numFmt w:val="bullet"/>
        <w:lvlText w:val=""/>
        <w:lvlJc w:val="left"/>
        <w:pPr>
          <w:ind w:left="5040" w:hanging="360"/>
        </w:pPr>
        <w:rPr>
          <w:rFonts w:ascii="Symbol" w:hAnsi="Symbol" w:hint="default"/>
        </w:rPr>
      </w:lvl>
    </w:lvlOverride>
    <w:lvlOverride w:ilvl="7">
      <w:lvl w:ilvl="7">
        <w:numFmt w:val="bullet"/>
        <w:lvlText w:val="o"/>
        <w:lvlJc w:val="left"/>
        <w:pPr>
          <w:ind w:left="5760" w:hanging="360"/>
        </w:pPr>
        <w:rPr>
          <w:rFonts w:ascii="Courier New" w:hAnsi="Courier New" w:hint="default"/>
        </w:rPr>
      </w:lvl>
    </w:lvlOverride>
    <w:lvlOverride w:ilvl="8">
      <w:lvl w:ilvl="8">
        <w:numFmt w:val="bullet"/>
        <w:lvlText w:val=""/>
        <w:lvlJc w:val="left"/>
        <w:pPr>
          <w:ind w:left="6480" w:hanging="360"/>
        </w:pPr>
        <w:rPr>
          <w:rFonts w:hint="default"/>
        </w:rPr>
      </w:lvl>
    </w:lvlOverride>
  </w:num>
  <w:num w:numId="5">
    <w:abstractNumId w:val="10"/>
  </w:num>
  <w:num w:numId="6">
    <w:abstractNumId w:val="12"/>
  </w:num>
  <w:num w:numId="7">
    <w:abstractNumId w:val="1"/>
  </w:num>
  <w:num w:numId="8">
    <w:abstractNumId w:val="7"/>
  </w:num>
  <w:num w:numId="9">
    <w:abstractNumId w:val="5"/>
  </w:num>
  <w:num w:numId="10">
    <w:abstractNumId w:val="8"/>
  </w:num>
  <w:num w:numId="11">
    <w:abstractNumId w:val="3"/>
  </w:num>
  <w:num w:numId="12">
    <w:abstractNumId w:val="9"/>
  </w:num>
  <w:num w:numId="13">
    <w:abstractNumId w:val="6"/>
  </w:num>
  <w:num w:numId="14">
    <w:abstractNumId w:val="0"/>
  </w:num>
  <w:num w:numId="15">
    <w:abstractNumId w:val="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8C"/>
    <w:rsid w:val="00090DCA"/>
    <w:rsid w:val="000C57B1"/>
    <w:rsid w:val="000E75BE"/>
    <w:rsid w:val="00166FE8"/>
    <w:rsid w:val="001C21B5"/>
    <w:rsid w:val="002705EF"/>
    <w:rsid w:val="0034728C"/>
    <w:rsid w:val="003C1BF1"/>
    <w:rsid w:val="00416D40"/>
    <w:rsid w:val="0043580F"/>
    <w:rsid w:val="00490E8C"/>
    <w:rsid w:val="0069173A"/>
    <w:rsid w:val="007723F1"/>
    <w:rsid w:val="00913E59"/>
    <w:rsid w:val="009653E2"/>
    <w:rsid w:val="00A66F5F"/>
    <w:rsid w:val="00B2472E"/>
    <w:rsid w:val="00B3078C"/>
    <w:rsid w:val="00B42844"/>
    <w:rsid w:val="00B529D6"/>
    <w:rsid w:val="00C15956"/>
    <w:rsid w:val="00C8455D"/>
    <w:rsid w:val="00D34678"/>
    <w:rsid w:val="00D6661C"/>
    <w:rsid w:val="00D87AD6"/>
    <w:rsid w:val="00ED3D78"/>
    <w:rsid w:val="00F855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374F"/>
  <w15:chartTrackingRefBased/>
  <w15:docId w15:val="{D8FE6271-8381-4A37-847B-50E84D13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0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E8C"/>
    <w:rPr>
      <w:rFonts w:eastAsiaTheme="majorEastAsia" w:cstheme="majorBidi"/>
      <w:color w:val="272727" w:themeColor="text1" w:themeTint="D8"/>
    </w:rPr>
  </w:style>
  <w:style w:type="paragraph" w:styleId="Title">
    <w:name w:val="Title"/>
    <w:basedOn w:val="Normal"/>
    <w:next w:val="Normal"/>
    <w:link w:val="TitleChar"/>
    <w:uiPriority w:val="10"/>
    <w:qFormat/>
    <w:rsid w:val="00490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E8C"/>
    <w:pPr>
      <w:spacing w:before="160"/>
      <w:jc w:val="center"/>
    </w:pPr>
    <w:rPr>
      <w:i/>
      <w:iCs/>
      <w:color w:val="404040" w:themeColor="text1" w:themeTint="BF"/>
    </w:rPr>
  </w:style>
  <w:style w:type="character" w:customStyle="1" w:styleId="QuoteChar">
    <w:name w:val="Quote Char"/>
    <w:basedOn w:val="DefaultParagraphFont"/>
    <w:link w:val="Quote"/>
    <w:uiPriority w:val="29"/>
    <w:rsid w:val="00490E8C"/>
    <w:rPr>
      <w:i/>
      <w:iCs/>
      <w:color w:val="404040" w:themeColor="text1" w:themeTint="BF"/>
    </w:rPr>
  </w:style>
  <w:style w:type="paragraph" w:styleId="ListParagraph">
    <w:name w:val="List Paragraph"/>
    <w:basedOn w:val="Normal"/>
    <w:uiPriority w:val="34"/>
    <w:qFormat/>
    <w:rsid w:val="00490E8C"/>
    <w:pPr>
      <w:ind w:left="720"/>
      <w:contextualSpacing/>
    </w:pPr>
  </w:style>
  <w:style w:type="character" w:styleId="IntenseEmphasis">
    <w:name w:val="Intense Emphasis"/>
    <w:basedOn w:val="DefaultParagraphFont"/>
    <w:uiPriority w:val="21"/>
    <w:qFormat/>
    <w:rsid w:val="00490E8C"/>
    <w:rPr>
      <w:i/>
      <w:iCs/>
      <w:color w:val="0F4761" w:themeColor="accent1" w:themeShade="BF"/>
    </w:rPr>
  </w:style>
  <w:style w:type="paragraph" w:styleId="IntenseQuote">
    <w:name w:val="Intense Quote"/>
    <w:basedOn w:val="Normal"/>
    <w:next w:val="Normal"/>
    <w:link w:val="IntenseQuoteChar"/>
    <w:uiPriority w:val="30"/>
    <w:qFormat/>
    <w:rsid w:val="00490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E8C"/>
    <w:rPr>
      <w:i/>
      <w:iCs/>
      <w:color w:val="0F4761" w:themeColor="accent1" w:themeShade="BF"/>
    </w:rPr>
  </w:style>
  <w:style w:type="character" w:styleId="IntenseReference">
    <w:name w:val="Intense Reference"/>
    <w:basedOn w:val="DefaultParagraphFont"/>
    <w:uiPriority w:val="32"/>
    <w:qFormat/>
    <w:rsid w:val="00490E8C"/>
    <w:rPr>
      <w:b/>
      <w:bCs/>
      <w:smallCaps/>
      <w:color w:val="0F4761" w:themeColor="accent1" w:themeShade="BF"/>
      <w:spacing w:val="5"/>
    </w:rPr>
  </w:style>
  <w:style w:type="paragraph" w:styleId="Header">
    <w:name w:val="header"/>
    <w:basedOn w:val="Normal"/>
    <w:link w:val="HeaderChar"/>
    <w:uiPriority w:val="99"/>
    <w:semiHidden/>
    <w:unhideWhenUsed/>
    <w:rsid w:val="00913E5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13E59"/>
  </w:style>
  <w:style w:type="paragraph" w:styleId="Footer">
    <w:name w:val="footer"/>
    <w:basedOn w:val="Normal"/>
    <w:link w:val="FooterChar"/>
    <w:uiPriority w:val="99"/>
    <w:semiHidden/>
    <w:unhideWhenUsed/>
    <w:rsid w:val="00913E5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13E59"/>
  </w:style>
  <w:style w:type="table" w:styleId="TableGrid">
    <w:name w:val="Table Grid"/>
    <w:basedOn w:val="TableNormal"/>
    <w:rsid w:val="00913E59"/>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2844"/>
    <w:rPr>
      <w:color w:val="467886" w:themeColor="hyperlink"/>
      <w:u w:val="single"/>
    </w:rPr>
  </w:style>
  <w:style w:type="character" w:customStyle="1" w:styleId="UnresolvedMention">
    <w:name w:val="Unresolved Mention"/>
    <w:basedOn w:val="DefaultParagraphFont"/>
    <w:uiPriority w:val="99"/>
    <w:semiHidden/>
    <w:unhideWhenUsed/>
    <w:rsid w:val="00B4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1084</TotalTime>
  <Pages>1</Pages>
  <Words>14456</Words>
  <Characters>8241</Characters>
  <Application>Microsoft Office Word</Application>
  <DocSecurity>0</DocSecurity>
  <Lines>68</Lines>
  <Paragraphs>45</Paragraphs>
  <ScaleCrop>false</ScaleCrop>
  <Company/>
  <LinksUpToDate>false</LinksUpToDate>
  <CharactersWithSpaces>22652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18</cp:revision>
  <dcterms:created xsi:type="dcterms:W3CDTF">2025-02-17T21:01:00Z</dcterms:created>
  <dcterms:modified xsi:type="dcterms:W3CDTF">2025-09-10T12:48:00Z</dcterms:modified>
</cp:coreProperties>
</file>