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7971" w14:textId="443B2E43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CBCED2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CA485A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465421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1628A5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21ED54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9A7502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87B5D7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57CEAD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A086F5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66431D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298EC5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56F03D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4B1161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bookmarkStart w:id="0" w:name="_Toc129243262"/>
      <w:bookmarkStart w:id="1" w:name="_Toc129243137"/>
    </w:p>
    <w:p w14:paraId="1BE67914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73BFA8A3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1AB57425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3E357DE4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252B747D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0F209F07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71818B2F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11C57A65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5FF532F5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5CB0B8AB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B. PAKUOTĖS LAPELIS</w:t>
      </w:r>
      <w:bookmarkEnd w:id="0"/>
      <w:bookmarkEnd w:id="1"/>
    </w:p>
    <w:p w14:paraId="02A965E5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br w:type="page"/>
      </w:r>
    </w:p>
    <w:p w14:paraId="37B6B9A4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7FC8BF0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Pakuotės lapelis: informacija vartotojui</w:t>
      </w:r>
    </w:p>
    <w:p w14:paraId="2E91725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DC7310" w14:textId="204D8B37" w:rsidR="00741650" w:rsidRPr="00741650" w:rsidRDefault="001C2CBF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="00741650"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50 mg/ml injekcinis tirpalas</w:t>
      </w:r>
    </w:p>
    <w:p w14:paraId="5036DF2A" w14:textId="77777777" w:rsidR="00741650" w:rsidRPr="00741650" w:rsidRDefault="00741650" w:rsidP="007416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efedrino hidrochloridas</w:t>
      </w:r>
    </w:p>
    <w:p w14:paraId="641C2A7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97149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Atidžiai perskaitykite visą šį lapelį, prieš pradėdami vartoti vaistą, nes jame pateikiama Jums svarbi informacija.</w:t>
      </w:r>
    </w:p>
    <w:p w14:paraId="69FEBA00" w14:textId="77777777" w:rsidR="00741650" w:rsidRPr="00741650" w:rsidRDefault="00741650" w:rsidP="00741650">
      <w:pPr>
        <w:widowControl w:val="0"/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Neišmeskite šio lapelio, nes vėl gali prireikti jį perskaityti.</w:t>
      </w:r>
    </w:p>
    <w:p w14:paraId="6C329293" w14:textId="77777777" w:rsidR="00741650" w:rsidRPr="00741650" w:rsidRDefault="00741650" w:rsidP="00741650">
      <w:pPr>
        <w:widowControl w:val="0"/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Jeigu kiltų daugiau klausimų, kreipkitės į gydytoją.</w:t>
      </w:r>
    </w:p>
    <w:p w14:paraId="6B2E05EA" w14:textId="77777777" w:rsidR="00741650" w:rsidRPr="00741650" w:rsidRDefault="00741650" w:rsidP="00741650">
      <w:pPr>
        <w:widowControl w:val="0"/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Jeigu pasireiškė šalutinis poveikis (net jeigu jis šiame lapelyje nenurodytas), kreipkitės į gydytoją. Žr. 4 skyrių.</w:t>
      </w:r>
    </w:p>
    <w:p w14:paraId="5FA5CD3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BF2792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Apie ką rašoma šiame lapelyje?</w:t>
      </w:r>
    </w:p>
    <w:p w14:paraId="1E5E15C2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A7587EC" w14:textId="649CB4F9" w:rsidR="00741650" w:rsidRPr="00741650" w:rsidRDefault="00741650" w:rsidP="00741650">
      <w:pPr>
        <w:widowControl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1.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Kas yra </w:t>
      </w:r>
      <w:r w:rsidR="001C2CBF">
        <w:rPr>
          <w:rFonts w:ascii="Times New Roman" w:eastAsia="Times New Roman" w:hAnsi="Times New Roman" w:cs="Times New Roman"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ir kam jis vartojamas</w:t>
      </w:r>
    </w:p>
    <w:p w14:paraId="29EC3769" w14:textId="25428DAC" w:rsidR="00741650" w:rsidRPr="00741650" w:rsidRDefault="00741650" w:rsidP="00741650">
      <w:pPr>
        <w:widowControl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2.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Kas žinotina prieš vartojant </w:t>
      </w:r>
      <w:r w:rsidR="001C2CBF">
        <w:rPr>
          <w:rFonts w:ascii="Times New Roman" w:eastAsia="Times New Roman" w:hAnsi="Times New Roman" w:cs="Times New Roman"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6168657" w14:textId="2B6E49EF" w:rsidR="00741650" w:rsidRPr="00741650" w:rsidRDefault="00741650" w:rsidP="00741650">
      <w:pPr>
        <w:widowControl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3.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Kaip vartoti </w:t>
      </w:r>
      <w:r w:rsidR="001C2CBF">
        <w:rPr>
          <w:rFonts w:ascii="Times New Roman" w:eastAsia="Times New Roman" w:hAnsi="Times New Roman" w:cs="Times New Roman"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92CB796" w14:textId="77777777" w:rsidR="00741650" w:rsidRPr="00741650" w:rsidRDefault="00741650" w:rsidP="00741650">
      <w:pPr>
        <w:widowControl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4.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ab/>
        <w:t>Galimas šalutinis poveikis</w:t>
      </w:r>
    </w:p>
    <w:p w14:paraId="138BB243" w14:textId="015EA1D4" w:rsidR="00741650" w:rsidRPr="00741650" w:rsidRDefault="00741650" w:rsidP="00741650">
      <w:pPr>
        <w:widowControl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5.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Kaip laikyti </w:t>
      </w:r>
      <w:r w:rsidR="001C2CBF">
        <w:rPr>
          <w:rFonts w:ascii="Times New Roman" w:eastAsia="Times New Roman" w:hAnsi="Times New Roman" w:cs="Times New Roman"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14273BA" w14:textId="77777777" w:rsidR="00741650" w:rsidRPr="00741650" w:rsidRDefault="00741650" w:rsidP="00741650">
      <w:pPr>
        <w:widowControl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6.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ab/>
        <w:t>Pakuotės turinys ir kita informacija</w:t>
      </w:r>
    </w:p>
    <w:p w14:paraId="1D5E9A0A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4821A9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403ACB" w14:textId="37BC59AD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2" w:name="_Toc129243264"/>
      <w:bookmarkStart w:id="3" w:name="_Toc129243139"/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1.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 xml:space="preserve">Kas yra </w:t>
      </w:r>
      <w:r w:rsidR="001C2CBF"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ir kam jis vartojamas</w:t>
      </w:r>
      <w:bookmarkEnd w:id="2"/>
      <w:bookmarkEnd w:id="3"/>
    </w:p>
    <w:p w14:paraId="31294E6B" w14:textId="77777777" w:rsidR="001C2CBF" w:rsidRDefault="001C2CBF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1C54E3" w14:textId="35BB4710" w:rsidR="00741650" w:rsidRPr="00741650" w:rsidRDefault="001C2CBF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EPHEDRINE HCL STEROP</w:t>
      </w:r>
      <w:r w:rsidR="00741650"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sudėtyje yra veikliosios medžiagos efedrino hidrochlorido.</w:t>
      </w:r>
    </w:p>
    <w:p w14:paraId="17F16BD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Efedrinas yra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simpatomimetikas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ir sukelia širdį stimuliuojantį poveikį (jis nėra širdį veikiantis glikozidas).</w:t>
      </w:r>
    </w:p>
    <w:p w14:paraId="23C22B96" w14:textId="556F602C" w:rsidR="00741650" w:rsidRPr="00741650" w:rsidRDefault="001C2CBF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EPHEDRINE HCL STEROP</w:t>
      </w:r>
      <w:r w:rsidR="00741650"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yra injekcinis tirpalas ampulėje, vartojamas mažam kraujospūdžiui koreguoti bendrosios ir vietinės / regioninės (tiek </w:t>
      </w:r>
      <w:proofErr w:type="spellStart"/>
      <w:r w:rsidR="00741650" w:rsidRPr="00741650">
        <w:rPr>
          <w:rFonts w:ascii="Times New Roman" w:eastAsia="Times New Roman" w:hAnsi="Times New Roman" w:cs="Times New Roman"/>
          <w:kern w:val="0"/>
          <w14:ligatures w14:val="none"/>
        </w:rPr>
        <w:t>spinalinės</w:t>
      </w:r>
      <w:proofErr w:type="spellEnd"/>
      <w:r w:rsidR="00741650"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, tiek </w:t>
      </w:r>
      <w:proofErr w:type="spellStart"/>
      <w:r w:rsidR="00741650" w:rsidRPr="00741650">
        <w:rPr>
          <w:rFonts w:ascii="Times New Roman" w:eastAsia="Times New Roman" w:hAnsi="Times New Roman" w:cs="Times New Roman"/>
          <w:kern w:val="0"/>
          <w14:ligatures w14:val="none"/>
        </w:rPr>
        <w:t>epidurinės</w:t>
      </w:r>
      <w:proofErr w:type="spellEnd"/>
      <w:r w:rsidR="00741650" w:rsidRPr="00741650">
        <w:rPr>
          <w:rFonts w:ascii="Times New Roman" w:eastAsia="Times New Roman" w:hAnsi="Times New Roman" w:cs="Times New Roman"/>
          <w:kern w:val="0"/>
          <w14:ligatures w14:val="none"/>
        </w:rPr>
        <w:t>) nejautros metu suaugusiesiems ir vyresniems kaip 12 metų paaugliams.</w:t>
      </w:r>
    </w:p>
    <w:p w14:paraId="6B0EDA3A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Šis vaistas turi būti leidžiamas tik anesteziologo arba jam prižiūrint.</w:t>
      </w:r>
    </w:p>
    <w:p w14:paraId="33D6E0E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7DCA5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C75034" w14:textId="01E854E0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4" w:name="_Toc129243265"/>
      <w:bookmarkStart w:id="5" w:name="_Toc129243140"/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2.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 xml:space="preserve">Kas žinotina prieš vartojant </w:t>
      </w:r>
      <w:bookmarkEnd w:id="4"/>
      <w:bookmarkEnd w:id="5"/>
      <w:r w:rsidR="001C2CBF"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p w14:paraId="5A5CBF5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326693E" w14:textId="030AF7A2" w:rsidR="00741650" w:rsidRPr="00741650" w:rsidRDefault="001C2CBF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="00741650"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vartoti draudžiama:</w:t>
      </w:r>
    </w:p>
    <w:p w14:paraId="63A03F2C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jeigu yra alergija efedrinui arba bet kuriai pagalbinei šio vaisto medžiagai (jos išvardytos 6 skyriuje);</w:t>
      </w:r>
    </w:p>
    <w:p w14:paraId="15A4580C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jeigu yra padidėjęs jaudrumas;</w:t>
      </w:r>
    </w:p>
    <w:p w14:paraId="5CD28EC3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jeigu yra navikas, kuris išskiria kraujospūdį didinančias medžiagas (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feochromocitoma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14BBB6D8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deriniu su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fenilpropanolaminu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fenilefrinu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pseudoefedrinu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metilfenidatu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(kitais netiesioginio poveikio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simpatomimetikais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00623472" w14:textId="2079D5FC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jei vartojate ar vartojote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monoaminooksidazės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inhibitorių (</w:t>
      </w:r>
      <w:r w:rsidR="001C2CBF">
        <w:rPr>
          <w:rFonts w:ascii="Times New Roman" w:eastAsia="Times New Roman" w:hAnsi="Times New Roman" w:cs="Times New Roman"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negalima vartoti 14 parų po tokio gydymo nutraukimo).</w:t>
      </w:r>
    </w:p>
    <w:p w14:paraId="5282A0D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60AD52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Įspėjimai ir atsargumo priemonės</w:t>
      </w:r>
    </w:p>
    <w:p w14:paraId="2FE615E1" w14:textId="430D0990" w:rsidR="00741650" w:rsidRPr="00741650" w:rsidRDefault="00741650" w:rsidP="00741650">
      <w:pPr>
        <w:widowControl w:val="0"/>
        <w:numPr>
          <w:ilvl w:val="12"/>
          <w:numId w:val="0"/>
        </w:numPr>
        <w:spacing w:after="0" w:line="240" w:lineRule="auto"/>
        <w:ind w:right="2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Pasitarkite su gydytoju, prieš pradėdami vartoti </w:t>
      </w:r>
      <w:r w:rsidR="001C2CBF">
        <w:rPr>
          <w:rFonts w:ascii="Times New Roman" w:eastAsia="Times New Roman" w:hAnsi="Times New Roman" w:cs="Times New Roman"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E23294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BB297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Atsargumas rekomenduojamas, jeigu:</w:t>
      </w:r>
    </w:p>
    <w:p w14:paraId="0F318715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sergate cukriniu diabetu;</w:t>
      </w:r>
    </w:p>
    <w:p w14:paraId="7A17D87D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yra labai padidėjęs kraujospūdis (hipertenzija), neritmiškas širdies plakimas (aritmija) arba dažnas širdies plakimas (tachikardija);</w:t>
      </w:r>
    </w:p>
    <w:p w14:paraId="7FD92586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yra padidėjusi prostata (prostatos hiperplazija);</w:t>
      </w:r>
    </w:p>
    <w:p w14:paraId="48817818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yra nenormaliai ar nekontroliuojamai padidėjęs skydliaukės aktyvumas (nekontroliuojama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hipertirozė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29E918A5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sergate išemine širdies liga, krūtinės angina;</w:t>
      </w:r>
    </w:p>
    <w:p w14:paraId="6E63494E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yra kraujagyslės sienelės susilpnėjimas, dėl kurio ji išsipučia (aneurizma);</w:t>
      </w:r>
    </w:p>
    <w:p w14:paraId="72002D98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yra kraujagyslių susiaurėjimas ir (arba) užsikimšimas (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okliuzinė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kraujagyslių liga);</w:t>
      </w:r>
    </w:p>
    <w:p w14:paraId="0BE20E97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sergate glaukoma (yra padidėjęs akispūdis);</w:t>
      </w:r>
    </w:p>
    <w:p w14:paraId="7A567FC2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yra lėtinis nerimo arba psichikos sutrikimas.</w:t>
      </w:r>
    </w:p>
    <w:p w14:paraId="63702B9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441757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Efedrinas turi būti skiriamas atsargiai, jei esate sirgę širdies liga.</w:t>
      </w:r>
    </w:p>
    <w:p w14:paraId="0C40514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79ECA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Pasitarkite su gydytoju, jeigu Jums tinka ar kada nors tiko bet kuris paminėtas įspėjimas.</w:t>
      </w:r>
    </w:p>
    <w:p w14:paraId="527790F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0026B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Vaikams</w:t>
      </w:r>
    </w:p>
    <w:p w14:paraId="30DA516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Šio vaisto nerekomenduojama skirti jaunesniems kaip 12 metų vaikams, nes duomenų apie veiksmingumą ir saugumą nepakanka.</w:t>
      </w:r>
    </w:p>
    <w:p w14:paraId="4271160F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682827" w14:textId="27988E4B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Kiti vaistai ir </w:t>
      </w:r>
      <w:r w:rsidR="001C2CBF"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p w14:paraId="41D90675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Jeigu vartojate ar neseniai vartojote kitų vaistų, įskaitant ir įsigyjamus be recepto, arba dėl to nesate tikri, apie tai pasakykite gydytojui. </w:t>
      </w:r>
    </w:p>
    <w:p w14:paraId="3DD9896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77FDA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Tai ypač svarbu, jei vartojate šių vaistų: </w:t>
      </w:r>
    </w:p>
    <w:p w14:paraId="5F4B6222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</w:t>
      </w: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etilfenidato, vartojamo aktyvumo ir dėmesio sutrikimui (ADS) gydyti;</w:t>
      </w:r>
    </w:p>
    <w:p w14:paraId="6A00AA76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netiesioginių simpatinės nervų sistemos stimuliatorių, tokių kaip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fenilpropanolaminas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ar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pseudoefedrinas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(vaistai, vartojami nuo nosies gleivinės paburkimo),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fenilefrinas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(vaistas, vartojamas mažam kraujospūdžiui koreguoti); </w:t>
      </w:r>
    </w:p>
    <w:p w14:paraId="3698513A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2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alfa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adrenoreceptorius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blokuojančių vaistų (pvz.,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fentolaminas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) ir beta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adrenoreceptorius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blokuojančių vaistų, vartojamų kraujospūdžiui sureguliuoti;</w:t>
      </w:r>
    </w:p>
    <w:p w14:paraId="0C70E82E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vaistų depresijai gydyti;</w:t>
      </w:r>
    </w:p>
    <w:p w14:paraId="6287D279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įkvepiamųjų anestetikų, tokių kaip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halotanas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0FA25AC7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klonidino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guanetidino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ir susijusių vaistų, vartojamų dideliam kraujospūdžiui mažinti;</w:t>
      </w:r>
    </w:p>
    <w:p w14:paraId="62815091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sibutramino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(vaisto, vartojamo apetitui mažinti);</w:t>
      </w:r>
    </w:p>
    <w:p w14:paraId="15FCC76F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skalsių alkaloidų, t. y. tam tikro tipo vaistų, vartojamų kaip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vazokonstriktoriai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(kraujagysles siaurinantys vaistai) ar dėl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dopaminerginio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poveikio (didina su dopaminu susijusį aktyvumą smegenyse);</w:t>
      </w:r>
    </w:p>
    <w:p w14:paraId="1D7BB15D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linezolido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(vartojamo infekcijoms gydyti);</w:t>
      </w:r>
    </w:p>
    <w:p w14:paraId="2D4FED91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rezerpino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metildopos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ir susijusių vaistų, vartojamų dideliam kraujospūdžiui mažinti;</w:t>
      </w:r>
    </w:p>
    <w:p w14:paraId="6E5990AA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vaistų astmai gydyti, tokių kaip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teofilinas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D0FC469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šlapimo pH keičiančių medžiagų;</w:t>
      </w:r>
    </w:p>
    <w:p w14:paraId="60EEFDAF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kortikosteroidų (vaistų, vartojamų esant uždegimui ir alerginėms reakcijoms);</w:t>
      </w:r>
    </w:p>
    <w:p w14:paraId="4B87010F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atropino (vaisto, vartojamo apsinuodijus tam tikromis nervų sistemą veikiančiomis medžiagomis ir pesticidais arba esant tam tikro tipo širdies plakimo suretėjimui);</w:t>
      </w:r>
    </w:p>
    <w:p w14:paraId="1540782A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vaistų nuo epilepsijos;</w:t>
      </w:r>
    </w:p>
    <w:p w14:paraId="654EA352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oksitocino (gimdymo metu vartojamo vaisto);</w:t>
      </w:r>
    </w:p>
    <w:p w14:paraId="14DC663F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aminofilino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ar kitų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ksantinų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(vaistų, vartojamų nuo kvėpavimo sutrikimų); </w:t>
      </w:r>
    </w:p>
    <w:p w14:paraId="664B301D" w14:textId="77777777" w:rsidR="00741650" w:rsidRPr="00741650" w:rsidRDefault="00741650" w:rsidP="00741650">
      <w:pPr>
        <w:widowControl w:val="0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širdį veikiančių glikozidų, vartojamų širdies nepakankamumui gydyti.</w:t>
      </w:r>
    </w:p>
    <w:p w14:paraId="6D81AF56" w14:textId="77777777" w:rsidR="00741650" w:rsidRPr="00741650" w:rsidRDefault="00741650" w:rsidP="00741650">
      <w:pPr>
        <w:widowControl w:val="0"/>
        <w:spacing w:after="0" w:line="240" w:lineRule="auto"/>
        <w:ind w:right="2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30582D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Nėštumas, žindymo laikotarpis ir vaisingumas</w:t>
      </w:r>
    </w:p>
    <w:p w14:paraId="10B37969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0457A6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Nėštumas</w:t>
      </w:r>
    </w:p>
    <w:p w14:paraId="147673CD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Nėštumo laikotarpiu šį vaistą galima vartoti tik jei būtina.</w:t>
      </w:r>
    </w:p>
    <w:p w14:paraId="1F454EE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Prieš vartodama bet kokį vaistą, pasitarkite su gydytoju.</w:t>
      </w:r>
    </w:p>
    <w:p w14:paraId="40F095B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AC3DE2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Žindymas</w:t>
      </w:r>
    </w:p>
    <w:p w14:paraId="32CEEDF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Nors specifinių duomenų trūksta, manoma, kad efedrinas prasiskverbia pro placentą ir jo patenka į motinos pieną. Po pavartojimo žindymą reikia sustabdyti dviem paroms.</w:t>
      </w:r>
    </w:p>
    <w:p w14:paraId="478C78B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001012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Prieš vartodama bet kokį vaistą, pasitarkite su gydytoju.</w:t>
      </w:r>
    </w:p>
    <w:p w14:paraId="64756B9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AD4CD0" w14:textId="77777777" w:rsidR="00741650" w:rsidRPr="00741650" w:rsidRDefault="00741650" w:rsidP="00741650">
      <w:pPr>
        <w:keepNext/>
        <w:keepLines/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lastRenderedPageBreak/>
        <w:t>Vairavimas ir mechanizmų valdymas</w:t>
      </w:r>
    </w:p>
    <w:p w14:paraId="1E686995" w14:textId="77777777" w:rsidR="00741650" w:rsidRPr="00741650" w:rsidRDefault="00741650" w:rsidP="00741650">
      <w:pPr>
        <w:keepNext/>
        <w:keepLines/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Duomenys neaktualūs.</w:t>
      </w:r>
    </w:p>
    <w:p w14:paraId="26A73E7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13293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20738C" w14:textId="779D5414" w:rsidR="00741650" w:rsidRPr="00741650" w:rsidRDefault="00741650" w:rsidP="00741650">
      <w:pPr>
        <w:keepNext/>
        <w:keepLines/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6" w:name="_Toc129243266"/>
      <w:bookmarkStart w:id="7" w:name="_Toc129243141"/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3.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 xml:space="preserve">Kaip vartoti </w:t>
      </w:r>
      <w:bookmarkEnd w:id="6"/>
      <w:bookmarkEnd w:id="7"/>
      <w:r w:rsidR="001C2CBF"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p w14:paraId="4AFDC2F6" w14:textId="77777777" w:rsidR="00741650" w:rsidRPr="00741650" w:rsidRDefault="00741650" w:rsidP="00741650">
      <w:pPr>
        <w:keepNext/>
        <w:keepLines/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42D3003" w14:textId="77777777" w:rsidR="00741650" w:rsidRPr="00741650" w:rsidRDefault="00741650" w:rsidP="00741650">
      <w:pPr>
        <w:keepNext/>
        <w:keepLines/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Vartojimo metodas</w:t>
      </w:r>
    </w:p>
    <w:p w14:paraId="549791F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Leisti į veną.</w:t>
      </w:r>
    </w:p>
    <w:p w14:paraId="55C8B23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6A9665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Dozavimas</w:t>
      </w:r>
    </w:p>
    <w:p w14:paraId="0718581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Turi būti skiriama mažiausia veiksminga efedrino dozė ir jo vartojama kiek įmanoma trumpiau.</w:t>
      </w:r>
    </w:p>
    <w:p w14:paraId="4BF7409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</w:p>
    <w:p w14:paraId="6774E3F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Suaugusiesiems ir paaugliams</w:t>
      </w:r>
    </w:p>
    <w:p w14:paraId="0A59C2FD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Į veną lėtai leidžiama 5 mg (ne daugiau kaip 10 mg) dozė, ją pagal reikalą galima kartotinai leisti kas 3–4 min. Bendroji 24 valandų laikotarpiu suvartota dozė negali būti didesnė kaip 150 mg.</w:t>
      </w:r>
    </w:p>
    <w:p w14:paraId="309A11F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21B10BF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Vaikų populiacija</w:t>
      </w:r>
    </w:p>
    <w:p w14:paraId="2024387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Efedrino saugumas ir veiksmingumas vaikams nuo 0 iki 12 metų (įskaitant 12 metų) amžiaus neištirti.</w:t>
      </w:r>
    </w:p>
    <w:p w14:paraId="289779F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2DA8F4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Senyviems pacientams</w:t>
      </w:r>
    </w:p>
    <w:p w14:paraId="30B77E65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Kaip ir suaugusiesiems, pradinė smūginė dozė yra 5 mg. Labai senyviems pacientams gali reikėti padidinti dozę.</w:t>
      </w:r>
    </w:p>
    <w:p w14:paraId="0A78B5C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E30310" w14:textId="39E537BA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Ką daryti pavartojus per didelę </w:t>
      </w:r>
      <w:r w:rsidR="001C2CBF"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dozę</w:t>
      </w:r>
    </w:p>
    <w:p w14:paraId="46F9603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Perdozavus pastebėtas toliau išvardytas poveikis: migrena, pykinimas, vėmimas, labai didelis kraujospūdis (hipertenzija), dažnesnis nei įprasta širdies plakimas (tachikardija), karščiavimas, paranoidinė psichozė, haliucinacijos,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skilveliniai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ir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supraventrikuliniai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širdies ritmo sutrikimai, kvėpavimo slopinimas, traukuliai ir koma.</w:t>
      </w:r>
    </w:p>
    <w:p w14:paraId="67EE05C9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60D30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Jeigu kiltų daugiau klausimų dėl šio vaisto vartojimo, kreipkitės į gydytoją.</w:t>
      </w:r>
    </w:p>
    <w:p w14:paraId="6A8B7ED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8CED4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7745A3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8" w:name="_Toc129243267"/>
      <w:bookmarkStart w:id="9" w:name="_Toc129243142"/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4.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Galimas šalutinis poveikis</w:t>
      </w:r>
      <w:bookmarkEnd w:id="8"/>
      <w:bookmarkEnd w:id="9"/>
    </w:p>
    <w:p w14:paraId="53B74253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878484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Šis vaistas, kaip ir visi kiti, gali sukelti šalutinį poveikį, nors jis pasireiškia ne visiems žmonėms.</w:t>
      </w:r>
    </w:p>
    <w:p w14:paraId="79791192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A40913" w14:textId="7BD56B79" w:rsidR="00741650" w:rsidRPr="00741650" w:rsidRDefault="00741650" w:rsidP="00741650">
      <w:pPr>
        <w:widowControl w:val="0"/>
        <w:numPr>
          <w:ilvl w:val="12"/>
          <w:numId w:val="0"/>
        </w:numPr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Gydymo </w:t>
      </w:r>
      <w:r w:rsidR="001C2CBF">
        <w:rPr>
          <w:rFonts w:ascii="Times New Roman" w:eastAsia="Times New Roman" w:hAnsi="Times New Roman" w:cs="Times New Roman"/>
          <w:bCs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metu gali pasireikšti toliau išvardytas šalutinis poveikis. </w:t>
      </w:r>
    </w:p>
    <w:p w14:paraId="13FCDB46" w14:textId="77777777" w:rsidR="00741650" w:rsidRPr="00741650" w:rsidRDefault="00741650" w:rsidP="00741650">
      <w:pPr>
        <w:widowControl w:val="0"/>
        <w:numPr>
          <w:ilvl w:val="12"/>
          <w:numId w:val="0"/>
        </w:numPr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674B6D6" w14:textId="77777777" w:rsidR="00741650" w:rsidRPr="00741650" w:rsidRDefault="00741650" w:rsidP="00741650">
      <w:pPr>
        <w:widowControl w:val="0"/>
        <w:numPr>
          <w:ilvl w:val="12"/>
          <w:numId w:val="0"/>
        </w:numPr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Labai dažni šalutinio poveikio reiškiniai (gali pasireikšti ne rečiau kaip 1 iš 10 asmenų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):</w:t>
      </w:r>
    </w:p>
    <w:p w14:paraId="2697289A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uždaro kampo glaukomos (akispūdžio padidėjimo) epizodai pacientams, kuriems yra anatominis polinkis.</w:t>
      </w:r>
    </w:p>
    <w:p w14:paraId="0FFD7543" w14:textId="77777777" w:rsidR="00741650" w:rsidRPr="00741650" w:rsidRDefault="00741650" w:rsidP="00741650">
      <w:pPr>
        <w:widowControl w:val="0"/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988529A" w14:textId="77777777" w:rsidR="00741650" w:rsidRPr="00741650" w:rsidRDefault="00741650" w:rsidP="00741650">
      <w:pPr>
        <w:widowControl w:val="0"/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Dažni šalutinio poveikio reiškiniai (gali pasireikšti rečiau kaip 1 iš 10 asmenų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):</w:t>
      </w:r>
    </w:p>
    <w:p w14:paraId="4DD58774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nemiga, nervingumas.</w:t>
      </w:r>
    </w:p>
    <w:p w14:paraId="13BA5F1C" w14:textId="77777777" w:rsidR="00741650" w:rsidRPr="00741650" w:rsidRDefault="00741650" w:rsidP="00741650">
      <w:pPr>
        <w:widowControl w:val="0"/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FDF7336" w14:textId="77777777" w:rsidR="00741650" w:rsidRPr="00741650" w:rsidRDefault="00741650" w:rsidP="00741650">
      <w:pPr>
        <w:widowControl w:val="0"/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Nedažni šalutinio poveikio reiškiniai (gali pasireikšti rečiau kaip 1 iš 100 asmenų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): </w:t>
      </w:r>
    </w:p>
    <w:p w14:paraId="6A53C7BD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drebulys, prakaitavimas;</w:t>
      </w:r>
    </w:p>
    <w:p w14:paraId="2B2297DF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dažnas širdies plakimas (tachikardija), širdies plakimo pojūtis (palpitacijos);</w:t>
      </w:r>
    </w:p>
    <w:p w14:paraId="6929034D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pykinimas, vėmimas;</w:t>
      </w:r>
    </w:p>
    <w:p w14:paraId="65709123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negalėjimas pasišlapinti (ūminis šlapimo susilaikymas);</w:t>
      </w:r>
    </w:p>
    <w:p w14:paraId="2A7CE8B2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migrena.</w:t>
      </w:r>
    </w:p>
    <w:p w14:paraId="14F7CD9B" w14:textId="77777777" w:rsidR="00741650" w:rsidRPr="00741650" w:rsidRDefault="00741650" w:rsidP="00741650">
      <w:pPr>
        <w:widowControl w:val="0"/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1977E17" w14:textId="77777777" w:rsidR="00741650" w:rsidRPr="00741650" w:rsidRDefault="00741650" w:rsidP="00741650">
      <w:pPr>
        <w:widowControl w:val="0"/>
        <w:spacing w:after="0" w:line="240" w:lineRule="auto"/>
        <w:ind w:right="11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Reti šalutinio poveikio reiškiniai (gali pasireikšti rečiau kaip 1 iš 1 000 asmenų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):</w:t>
      </w:r>
    </w:p>
    <w:p w14:paraId="2BCCF679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nerimas;</w:t>
      </w:r>
    </w:p>
    <w:p w14:paraId="711849AF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širdies ritmo sutrikimai, labai didelis kraujospūdis (hipertenzija), skausmas priekinėje krūtinės dalyje (krūtinės skausmas).</w:t>
      </w:r>
    </w:p>
    <w:p w14:paraId="4BCFC01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C08F7D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Šalutinio poveikio reiškiniai, kurių dažnis nežinomas (negali būti apskaičiuotas pagal turimus duomenis</w:t>
      </w:r>
      <w:r w:rsidRPr="00741650">
        <w:rPr>
          <w:rFonts w:ascii="Times New Roman" w:eastAsia="Calibri" w:hAnsi="Times New Roman" w:cs="Times New Roman"/>
          <w:b/>
          <w:bCs/>
          <w:kern w:val="0"/>
          <w14:ligatures w14:val="none"/>
        </w:rPr>
        <w:t>):</w:t>
      </w:r>
    </w:p>
    <w:p w14:paraId="7F17CF02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kraujo krešėjimo rodmenų (pirminės hemostazės) pokyčiai;</w:t>
      </w:r>
    </w:p>
    <w:p w14:paraId="4F6D8805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alergija (padidėjusio jautrumo reakcijos);</w:t>
      </w:r>
    </w:p>
    <w:p w14:paraId="3808113E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dirglumas;</w:t>
      </w:r>
    </w:p>
    <w:p w14:paraId="288A40CE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minčių susipainiojimas, depresija;</w:t>
      </w:r>
    </w:p>
    <w:p w14:paraId="5AE4EB09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raumenų silpnumas;</w:t>
      </w:r>
    </w:p>
    <w:p w14:paraId="1B19AE0F" w14:textId="77777777" w:rsidR="00741650" w:rsidRPr="00741650" w:rsidRDefault="00741650" w:rsidP="00741650">
      <w:pPr>
        <w:widowControl w:val="0"/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odos išbėrimas.</w:t>
      </w:r>
    </w:p>
    <w:p w14:paraId="43373D9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9433A14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Pranešimas apie šalutinį poveikį</w:t>
      </w:r>
    </w:p>
    <w:p w14:paraId="6317D1C7" w14:textId="77777777" w:rsidR="00741650" w:rsidRPr="00741650" w:rsidRDefault="00741650" w:rsidP="00741650">
      <w:pPr>
        <w:widowControl w:val="0"/>
        <w:tabs>
          <w:tab w:val="left" w:pos="567"/>
        </w:tabs>
        <w:snapToGrid w:val="0"/>
        <w:spacing w:after="0" w:line="240" w:lineRule="auto"/>
        <w:ind w:right="-271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D7A832" w14:textId="458908E0" w:rsidR="00741650" w:rsidRPr="00741650" w:rsidRDefault="00741650" w:rsidP="00741650">
      <w:pPr>
        <w:tabs>
          <w:tab w:val="left" w:pos="567"/>
        </w:tabs>
        <w:spacing w:after="0" w:line="260" w:lineRule="exact"/>
        <w:ind w:right="1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Jeigu pasireiškė šalutinis poveikis, įskaitant šiame lapelyje nenurodytą, pasakykite gydytojui, vaistininkui arba slaugytojui. </w:t>
      </w: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Pranešimą apie šalutinį poveikį galite užpildyti ir pateikti Valstybinės vaistų kontrolės tarnybos prie Lietuvos Respublikos sveikatos apsaugos ministerijos tinklalapyje </w:t>
      </w:r>
      <w:r w:rsidRPr="00741650">
        <w:rPr>
          <w:rFonts w:ascii="Times New Roman" w:eastAsia="Times New Roman" w:hAnsi="Times New Roman" w:cs="Times New Roman"/>
          <w:color w:val="0000EE"/>
          <w:kern w:val="0"/>
          <w:u w:val="single"/>
          <w:lang w:eastAsia="lt-LT"/>
          <w14:ligatures w14:val="none"/>
        </w:rPr>
        <w:t>https://vvkt.lrv.lt/lt/</w:t>
      </w: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nurodytais būdais arba paskambinti nemokamu telefonu</w:t>
      </w:r>
      <w:r w:rsidR="00BD3AE3" w:rsidRPr="009566D7">
        <w:rPr>
          <w:rFonts w:asciiTheme="majorBidi" w:hAnsiTheme="majorBidi" w:cstheme="majorBidi"/>
          <w:shd w:val="clear" w:color="auto" w:fill="FFFFFF"/>
        </w:rPr>
        <w:t>+370 800 73568</w:t>
      </w:r>
      <w:r w:rsidR="00BD3AE3">
        <w:rPr>
          <w:rFonts w:asciiTheme="majorBidi" w:hAnsiTheme="majorBidi" w:cstheme="majorBidi"/>
          <w:shd w:val="clear" w:color="auto" w:fill="FFFFFF"/>
        </w:rPr>
        <w:t xml:space="preserve"> </w:t>
      </w: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Pranešdami apie šalutinį poveikį galite mums padėti gauti daugiau informacijos apie šio vaisto saugumą</w:t>
      </w:r>
      <w:r w:rsidRPr="00741650">
        <w:rPr>
          <w:rFonts w:ascii="Times New Roman" w:eastAsia="Times New Roman" w:hAnsi="Times New Roman" w:cs="Times New Roman"/>
          <w:kern w:val="0"/>
          <w:szCs w:val="20"/>
          <w14:ligatures w14:val="none"/>
        </w:rPr>
        <w:t>.</w:t>
      </w:r>
    </w:p>
    <w:p w14:paraId="235C450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D1069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F6C205" w14:textId="4BCE6211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10" w:name="_Toc129243268"/>
      <w:bookmarkStart w:id="11" w:name="_Toc129243143"/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5.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 xml:space="preserve">Kaip laikyti </w:t>
      </w:r>
      <w:bookmarkEnd w:id="10"/>
      <w:bookmarkEnd w:id="11"/>
      <w:r w:rsidR="001C2CBF"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p w14:paraId="3B7E1AA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D039A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Šį vaistą laikykite vaikams nepastebimoje ir nepasiekiamoje vietoje.</w:t>
      </w:r>
    </w:p>
    <w:p w14:paraId="22417B9D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3000E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Ant dėžutės po „EXP“ ir ampulės nurodytam tinkamumo laikui pasibaigus, šio vaisto vartoti negalima. Vaistas tinkamas vartoti iki paskutinės nurodyto mėnesio dienos.</w:t>
      </w:r>
    </w:p>
    <w:p w14:paraId="5D9EEFE9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66A99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Šiam vaistui specialių laikymo sąlygų nereikia.</w:t>
      </w:r>
    </w:p>
    <w:p w14:paraId="3E85E26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4C22C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Šiame vaiste konservantų nėra, po ampulės atidarymo jį būtina vartoti nedelsiant.</w:t>
      </w:r>
    </w:p>
    <w:p w14:paraId="50DEE217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94763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Jei ampulėje esančiame tirpale yra dalelių ar nuosėdų, jo vartoti negalima.</w:t>
      </w:r>
    </w:p>
    <w:p w14:paraId="0788822A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F638B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Vaistų negalima išmesti į kanalizaciją arba su buitinėmis atliekomis. Kaip išmesti nereikalingus vaistus, klauskite vaistininko. Šios priemonės padės apsaugoti aplinką.</w:t>
      </w:r>
    </w:p>
    <w:p w14:paraId="72EB55F7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4DE47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433759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12" w:name="_Toc129243269"/>
      <w:bookmarkStart w:id="13" w:name="_Toc129243144"/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6.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Pakuotės turinys ir kita informacija</w:t>
      </w:r>
      <w:bookmarkEnd w:id="12"/>
      <w:bookmarkEnd w:id="13"/>
    </w:p>
    <w:p w14:paraId="49AF240D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F06F4F1" w14:textId="23984AF9" w:rsidR="00741650" w:rsidRPr="00741650" w:rsidRDefault="001C2CBF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="00741650"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sudėtis</w:t>
      </w:r>
    </w:p>
    <w:p w14:paraId="28EFA2CF" w14:textId="77777777" w:rsidR="00741650" w:rsidRPr="00741650" w:rsidRDefault="00741650" w:rsidP="00741650">
      <w:pPr>
        <w:widowControl w:val="0"/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Veiklioji medžiaga yra efedrino hidrochloridas. </w:t>
      </w:r>
    </w:p>
    <w:p w14:paraId="0C45B033" w14:textId="77777777" w:rsidR="00741650" w:rsidRPr="00741650" w:rsidRDefault="00741650" w:rsidP="00741650">
      <w:pPr>
        <w:widowControl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Kiekvienoje 1 ml ampulėje yra 50 mg efedrino hidrochlorido.</w:t>
      </w:r>
    </w:p>
    <w:p w14:paraId="68855590" w14:textId="77777777" w:rsidR="00741650" w:rsidRPr="00741650" w:rsidRDefault="00741650" w:rsidP="00741650">
      <w:pPr>
        <w:widowControl w:val="0"/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Pagalbinė medžiaga yra injekcinis vanduo.</w:t>
      </w:r>
    </w:p>
    <w:p w14:paraId="5E3068A0" w14:textId="77777777" w:rsidR="00741650" w:rsidRPr="00741650" w:rsidRDefault="00741650" w:rsidP="00741650">
      <w:pPr>
        <w:widowControl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2AB0E0" w14:textId="25604E43" w:rsidR="00741650" w:rsidRPr="00741650" w:rsidRDefault="001C2CBF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EPHEDRINE HCL STEROP</w:t>
      </w:r>
      <w:r w:rsidR="00741650"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išvaizda ir kiekis pakuotėje</w:t>
      </w:r>
    </w:p>
    <w:p w14:paraId="3AD02052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Šis vaistas yra injekcinis tirpalas. Tirpalas yra skaidrus, bespalvis, be matomų dalelių.</w:t>
      </w:r>
    </w:p>
    <w:p w14:paraId="5D74C44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9BBEFF" w14:textId="44CDD098" w:rsidR="00741650" w:rsidRPr="00741650" w:rsidRDefault="001C2CBF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>EPHEDRINE HCL STEROP</w:t>
      </w:r>
      <w:r w:rsidR="00741650" w:rsidRPr="0074165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5</w:t>
      </w:r>
      <w:r w:rsidR="00741650" w:rsidRPr="00741650">
        <w:rPr>
          <w:rFonts w:ascii="Times New Roman" w:eastAsia="Times New Roman" w:hAnsi="Times New Roman" w:cs="Times New Roman"/>
          <w:kern w:val="0"/>
          <w14:ligatures w14:val="none"/>
        </w:rPr>
        <w:t>0 mg/ml injekcinis tirpalas tiekiamas permatomose bespalvio stiklo ampulėse.</w:t>
      </w:r>
    </w:p>
    <w:p w14:paraId="68FB349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Dėžutėje yra 100 ampulių, kurių kiekvienoje yra 1 ml injekcinio tirpalo.</w:t>
      </w:r>
    </w:p>
    <w:p w14:paraId="081DA402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298CB5" w14:textId="77777777" w:rsidR="00741650" w:rsidRPr="00741650" w:rsidRDefault="00741650" w:rsidP="00741650">
      <w:pPr>
        <w:tabs>
          <w:tab w:val="left" w:pos="284"/>
        </w:tabs>
        <w:spacing w:after="0" w:line="240" w:lineRule="auto"/>
        <w:rPr>
          <w:rFonts w:ascii="Times New Roman" w:eastAsia="Batang" w:hAnsi="Times New Roman" w:cs="Times New Roman"/>
          <w:b/>
          <w:bCs/>
          <w:iCs/>
          <w:noProof/>
          <w:kern w:val="0"/>
          <w14:ligatures w14:val="none"/>
        </w:rPr>
      </w:pPr>
      <w:r w:rsidRPr="00741650">
        <w:rPr>
          <w:rFonts w:ascii="Times New Roman" w:eastAsia="Batang" w:hAnsi="Times New Roman" w:cs="Times New Roman"/>
          <w:b/>
          <w:bCs/>
          <w:iCs/>
          <w:noProof/>
          <w:kern w:val="0"/>
          <w14:ligatures w14:val="none"/>
        </w:rPr>
        <w:t>Registruotojas eksportuojančioje valstybėje ir gamintojas</w:t>
      </w:r>
    </w:p>
    <w:p w14:paraId="7907ED7E" w14:textId="26C84298" w:rsidR="00741650" w:rsidRPr="00741650" w:rsidRDefault="00741650" w:rsidP="00741650">
      <w:pPr>
        <w:tabs>
          <w:tab w:val="left" w:pos="284"/>
        </w:tabs>
        <w:spacing w:after="0" w:line="240" w:lineRule="auto"/>
        <w:rPr>
          <w:rFonts w:ascii="Times New Roman" w:eastAsia="Batang" w:hAnsi="Times New Roman" w:cs="Times New Roman"/>
          <w:iCs/>
          <w:noProof/>
          <w:kern w:val="0"/>
          <w14:ligatures w14:val="none"/>
        </w:rPr>
      </w:pPr>
      <w:r w:rsidRPr="00741650">
        <w:rPr>
          <w:rFonts w:ascii="Times New Roman" w:eastAsia="Batang" w:hAnsi="Times New Roman" w:cs="Times New Roman"/>
          <w:iCs/>
          <w:noProof/>
          <w:kern w:val="0"/>
          <w14:ligatures w14:val="none"/>
        </w:rPr>
        <w:t>LABORATOIRES STEROP NV</w:t>
      </w:r>
    </w:p>
    <w:p w14:paraId="402EF0C9" w14:textId="77777777" w:rsidR="00741650" w:rsidRPr="00741650" w:rsidRDefault="00741650" w:rsidP="00741650">
      <w:pPr>
        <w:tabs>
          <w:tab w:val="left" w:pos="284"/>
        </w:tabs>
        <w:spacing w:after="0" w:line="240" w:lineRule="auto"/>
        <w:rPr>
          <w:rFonts w:ascii="Times New Roman" w:eastAsia="Batang" w:hAnsi="Times New Roman" w:cs="Times New Roman"/>
          <w:iCs/>
          <w:noProof/>
          <w:kern w:val="0"/>
          <w14:ligatures w14:val="none"/>
        </w:rPr>
      </w:pPr>
      <w:r w:rsidRPr="00741650">
        <w:rPr>
          <w:rFonts w:ascii="Times New Roman" w:eastAsia="Batang" w:hAnsi="Times New Roman" w:cs="Times New Roman"/>
          <w:iCs/>
          <w:noProof/>
          <w:kern w:val="0"/>
          <w14:ligatures w14:val="none"/>
        </w:rPr>
        <w:t>Scheutlaan 46-50</w:t>
      </w:r>
    </w:p>
    <w:p w14:paraId="63D82C27" w14:textId="77777777" w:rsidR="00741650" w:rsidRPr="00741650" w:rsidRDefault="00741650" w:rsidP="00741650">
      <w:pPr>
        <w:tabs>
          <w:tab w:val="left" w:pos="284"/>
        </w:tabs>
        <w:spacing w:after="0" w:line="240" w:lineRule="auto"/>
        <w:rPr>
          <w:rFonts w:ascii="Times New Roman" w:eastAsia="Batang" w:hAnsi="Times New Roman" w:cs="Times New Roman"/>
          <w:iCs/>
          <w:noProof/>
          <w:kern w:val="0"/>
          <w14:ligatures w14:val="none"/>
        </w:rPr>
      </w:pPr>
      <w:r w:rsidRPr="00741650">
        <w:rPr>
          <w:rFonts w:ascii="Times New Roman" w:eastAsia="Batang" w:hAnsi="Times New Roman" w:cs="Times New Roman"/>
          <w:iCs/>
          <w:noProof/>
          <w:kern w:val="0"/>
          <w14:ligatures w14:val="none"/>
        </w:rPr>
        <w:t xml:space="preserve">1070 Brussel </w:t>
      </w:r>
    </w:p>
    <w:p w14:paraId="7722CBE6" w14:textId="77777777" w:rsidR="00741650" w:rsidRPr="00741650" w:rsidRDefault="00741650" w:rsidP="00741650">
      <w:pPr>
        <w:tabs>
          <w:tab w:val="left" w:pos="284"/>
        </w:tabs>
        <w:spacing w:after="0" w:line="240" w:lineRule="auto"/>
        <w:rPr>
          <w:rFonts w:ascii="Times New Roman" w:eastAsia="Batang" w:hAnsi="Times New Roman" w:cs="Times New Roman"/>
          <w:iCs/>
          <w:noProof/>
          <w:kern w:val="0"/>
          <w14:ligatures w14:val="none"/>
        </w:rPr>
      </w:pPr>
      <w:r w:rsidRPr="00741650">
        <w:rPr>
          <w:rFonts w:ascii="Times New Roman" w:eastAsia="Batang" w:hAnsi="Times New Roman" w:cs="Times New Roman"/>
          <w:iCs/>
          <w:noProof/>
          <w:kern w:val="0"/>
          <w14:ligatures w14:val="none"/>
        </w:rPr>
        <w:t>Belgija</w:t>
      </w:r>
    </w:p>
    <w:p w14:paraId="0CF540CD" w14:textId="77777777" w:rsidR="00741650" w:rsidRPr="00741650" w:rsidRDefault="00741650" w:rsidP="00741650">
      <w:pPr>
        <w:tabs>
          <w:tab w:val="left" w:pos="284"/>
        </w:tabs>
        <w:spacing w:after="0" w:line="240" w:lineRule="auto"/>
        <w:rPr>
          <w:rFonts w:ascii="Times New Roman" w:eastAsia="Batang" w:hAnsi="Times New Roman" w:cs="Times New Roman"/>
          <w:iCs/>
          <w:noProof/>
          <w:kern w:val="0"/>
          <w14:ligatures w14:val="none"/>
        </w:rPr>
      </w:pPr>
    </w:p>
    <w:p w14:paraId="37C3B0E5" w14:textId="77777777" w:rsidR="00741650" w:rsidRPr="00741650" w:rsidRDefault="00741650" w:rsidP="00741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fr-FR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:lang w:eastAsia="fr-FR"/>
          <w14:ligatures w14:val="none"/>
        </w:rPr>
        <w:t>Lygiagretus importuotojas</w:t>
      </w:r>
    </w:p>
    <w:p w14:paraId="69661269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UAB „Ideal Trade Links“</w:t>
      </w:r>
    </w:p>
    <w:p w14:paraId="0BDD4274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Kerupės</w:t>
      </w:r>
      <w:proofErr w:type="spellEnd"/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g. 17, Zapyškis</w:t>
      </w:r>
    </w:p>
    <w:p w14:paraId="424B1CBB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LT-53431 Kauno r.</w:t>
      </w:r>
    </w:p>
    <w:p w14:paraId="5699FB70" w14:textId="77777777" w:rsidR="00741650" w:rsidRPr="00741650" w:rsidRDefault="00741650" w:rsidP="007416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Lietuva</w:t>
      </w:r>
    </w:p>
    <w:p w14:paraId="6C4FD8CB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</w:p>
    <w:p w14:paraId="4E3CCD2B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 xml:space="preserve">Perpakavo </w:t>
      </w:r>
    </w:p>
    <w:p w14:paraId="0D97DA58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UAB „Entafarma“</w:t>
      </w:r>
    </w:p>
    <w:p w14:paraId="15A00EC7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Klonėnų</w:t>
      </w:r>
      <w:proofErr w:type="spellEnd"/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vs. 1</w:t>
      </w:r>
    </w:p>
    <w:p w14:paraId="3863B399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LT-19156 Širvintų r. sav. </w:t>
      </w:r>
    </w:p>
    <w:p w14:paraId="63EDBD1C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Lietuva</w:t>
      </w:r>
    </w:p>
    <w:p w14:paraId="327CD4C8" w14:textId="77777777" w:rsidR="00741650" w:rsidRPr="00741650" w:rsidRDefault="00741650" w:rsidP="00741650">
      <w:pPr>
        <w:numPr>
          <w:ilvl w:val="12"/>
          <w:numId w:val="0"/>
        </w:numPr>
        <w:spacing w:after="0" w:line="240" w:lineRule="auto"/>
        <w:ind w:right="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FBCEED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arba</w:t>
      </w:r>
    </w:p>
    <w:p w14:paraId="4C3E44DF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BE4F2B6" w14:textId="77777777" w:rsidR="00741650" w:rsidRPr="00741650" w:rsidRDefault="00741650" w:rsidP="007416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Medezin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sp. z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o.o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3FDF78" w14:textId="77777777" w:rsidR="00741650" w:rsidRPr="00741650" w:rsidRDefault="00741650" w:rsidP="007416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Księdza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Kazimierza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Janika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14</w:t>
      </w:r>
    </w:p>
    <w:p w14:paraId="526CF701" w14:textId="77777777" w:rsidR="00741650" w:rsidRPr="00741650" w:rsidRDefault="00741650" w:rsidP="007416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Konstantynów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bookmarkStart w:id="14" w:name="_Hlk123635316"/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Ł</w:t>
      </w:r>
      <w:bookmarkEnd w:id="14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ódzki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Łódzkie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, 95-050</w:t>
      </w:r>
    </w:p>
    <w:p w14:paraId="394CB73B" w14:textId="77777777" w:rsidR="00741650" w:rsidRPr="00741650" w:rsidRDefault="00741650" w:rsidP="007416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Lenkija</w:t>
      </w:r>
    </w:p>
    <w:p w14:paraId="4F1E326B" w14:textId="77777777" w:rsidR="00741650" w:rsidRDefault="00741650" w:rsidP="0074165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EED325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 xml:space="preserve">arba </w:t>
      </w:r>
    </w:p>
    <w:p w14:paraId="242712A7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</w:p>
    <w:p w14:paraId="0A034CD7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UAB „Santamed LT“</w:t>
      </w:r>
    </w:p>
    <w:p w14:paraId="3BA7821D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Kauno r. sav.</w:t>
      </w:r>
    </w:p>
    <w:p w14:paraId="24375A3E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Linksmakalnio sen., Linksmakalnio km.</w:t>
      </w:r>
    </w:p>
    <w:p w14:paraId="7A8DCFD7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LT-53290</w:t>
      </w:r>
    </w:p>
    <w:p w14:paraId="2D6B6AB6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Liepų g. 9</w:t>
      </w:r>
    </w:p>
    <w:p w14:paraId="0CE9887C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Lietuva</w:t>
      </w:r>
    </w:p>
    <w:p w14:paraId="7625B1A5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szCs w:val="24"/>
          <w:lang w:val="fi-FI"/>
        </w:rPr>
      </w:pPr>
    </w:p>
    <w:p w14:paraId="1F1CF46A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 xml:space="preserve">arba </w:t>
      </w:r>
    </w:p>
    <w:p w14:paraId="34D94885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</w:p>
    <w:p w14:paraId="0EBFF122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UAB „Armila“</w:t>
      </w:r>
    </w:p>
    <w:p w14:paraId="74925E85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Molėtų pl. 75</w:t>
      </w:r>
    </w:p>
    <w:p w14:paraId="2E4104DC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LT-14259 Vilnius</w:t>
      </w:r>
    </w:p>
    <w:p w14:paraId="0F643F2C" w14:textId="77777777" w:rsidR="00E41A27" w:rsidRPr="00E151E8" w:rsidRDefault="00E41A27" w:rsidP="00E41A27">
      <w:pPr>
        <w:spacing w:after="0" w:line="240" w:lineRule="auto"/>
        <w:rPr>
          <w:rFonts w:asciiTheme="majorBidi" w:eastAsia="Times New Roman" w:hAnsiTheme="majorBidi" w:cs="Times New Roman"/>
          <w:bCs/>
          <w:szCs w:val="24"/>
          <w:lang w:val="fi-FI"/>
        </w:rPr>
      </w:pPr>
      <w:r w:rsidRPr="00E151E8">
        <w:rPr>
          <w:rFonts w:asciiTheme="majorBidi" w:eastAsia="Times New Roman" w:hAnsiTheme="majorBidi" w:cs="Times New Roman"/>
          <w:bCs/>
          <w:szCs w:val="24"/>
          <w:lang w:val="fi-FI"/>
        </w:rPr>
        <w:t>Lietuva</w:t>
      </w:r>
    </w:p>
    <w:p w14:paraId="5141B88D" w14:textId="77777777" w:rsidR="00E41A27" w:rsidRDefault="00E41A27" w:rsidP="0074165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2CB63D" w14:textId="77777777" w:rsidR="004A2A8E" w:rsidRPr="00741650" w:rsidRDefault="004A2A8E" w:rsidP="0074165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81007F" w14:textId="2BA8DC8F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Šis pakuotės lapelis paskutinį kartą peržiūrėtas</w:t>
      </w:r>
      <w:r w:rsidR="00371B0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2025-09-24</w:t>
      </w:r>
      <w:r w:rsidRPr="007416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73FCE8D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7E7998" w14:textId="0241DB72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Išsami informacija apie šį vaistą pateikiama Valstybinės vaistų kontrolės tarnybos prie Lietuvos Respublikos sveikatos apsaugos ministerijos interneto tinklalapyje</w:t>
      </w:r>
      <w:r>
        <w:rPr>
          <w:rFonts w:ascii="Times New Roman" w:eastAsia="Times New Roman" w:hAnsi="Times New Roman" w:cs="Times New Roman"/>
          <w:color w:val="0000EE"/>
          <w:kern w:val="0"/>
          <w:u w:val="single"/>
          <w:lang w:eastAsia="lt-LT"/>
          <w14:ligatures w14:val="none"/>
        </w:rPr>
        <w:t xml:space="preserve"> </w:t>
      </w:r>
      <w:r w:rsidRPr="00741650">
        <w:rPr>
          <w:rFonts w:ascii="Times New Roman" w:eastAsia="Times New Roman" w:hAnsi="Times New Roman" w:cs="Times New Roman"/>
          <w:color w:val="0000EE"/>
          <w:kern w:val="0"/>
          <w:u w:val="single"/>
          <w:lang w:eastAsia="lt-LT"/>
          <w14:ligatures w14:val="none"/>
        </w:rPr>
        <w:t>https://vvkt.lrv.lt/lt</w:t>
      </w:r>
      <w:r>
        <w:rPr>
          <w:rFonts w:ascii="Times New Roman" w:eastAsia="Times New Roman" w:hAnsi="Times New Roman" w:cs="Times New Roman"/>
          <w:color w:val="0000EE"/>
          <w:kern w:val="0"/>
          <w:u w:val="single"/>
          <w:lang w:eastAsia="lt-LT"/>
          <w14:ligatures w14:val="none"/>
        </w:rPr>
        <w:t>.</w:t>
      </w:r>
    </w:p>
    <w:p w14:paraId="370B9A4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</w:p>
    <w:p w14:paraId="532987E1" w14:textId="1E6A02B0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kern w:val="0"/>
          <w:highlight w:val="lightGray"/>
          <w14:ligatures w14:val="none"/>
        </w:rPr>
      </w:pPr>
      <w:bookmarkStart w:id="15" w:name="_Hlk93578454"/>
      <w:r w:rsidRPr="00741650">
        <w:rPr>
          <w:rFonts w:ascii="Times New Roman" w:eastAsia="Calibri" w:hAnsi="Times New Roman" w:cs="Times New Roman"/>
          <w:i/>
          <w:iCs/>
          <w:kern w:val="0"/>
          <w14:ligatures w14:val="none"/>
        </w:rPr>
        <w:t>Lygiagrečiai importuojamas vaistas nuo referencinio vaisto skiriasi sudėtimi (referencinio vaisto sudėtyje yra natrio hidroksido ir vandenilio chlorido rūgšties), tinkamu</w:t>
      </w:r>
      <w:r>
        <w:rPr>
          <w:rFonts w:ascii="Times New Roman" w:eastAsia="Calibri" w:hAnsi="Times New Roman" w:cs="Times New Roman"/>
          <w:i/>
          <w:iCs/>
          <w:kern w:val="0"/>
          <w14:ligatures w14:val="none"/>
        </w:rPr>
        <w:t>m</w:t>
      </w:r>
      <w:r w:rsidRPr="00741650">
        <w:rPr>
          <w:rFonts w:ascii="Times New Roman" w:eastAsia="Calibri" w:hAnsi="Times New Roman" w:cs="Times New Roman"/>
          <w:i/>
          <w:iCs/>
          <w:kern w:val="0"/>
          <w14:ligatures w14:val="none"/>
        </w:rPr>
        <w:t>o laiku (lygiagrečiai importuojamo vaisto tinkamumo laikas yra 5 metai, o referencinio – 2 metai), laikymo sąlygomis (referencinio vaisto negalima užšaldyti) bei pakuotės dydžiu (lygiagrečiai importuojamo vaisto papildoma pakuotė – N100).</w:t>
      </w:r>
    </w:p>
    <w:bookmarkEnd w:id="15"/>
    <w:p w14:paraId="7B4E9B8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</w:p>
    <w:p w14:paraId="11B16D40" w14:textId="77777777" w:rsidR="00741650" w:rsidRPr="00741650" w:rsidRDefault="00741650" w:rsidP="00741650">
      <w:pPr>
        <w:widowControl w:val="0"/>
        <w:numPr>
          <w:ilvl w:val="12"/>
          <w:numId w:val="0"/>
        </w:numPr>
        <w:spacing w:after="0" w:line="240" w:lineRule="auto"/>
        <w:ind w:right="2"/>
        <w:contextualSpacing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noProof/>
          <w:kern w:val="0"/>
          <w14:ligatures w14:val="none"/>
        </w:rPr>
        <w:t>---------------------------------------------------------------------------------------------------------------------------</w:t>
      </w:r>
    </w:p>
    <w:p w14:paraId="5EB8F69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</w:p>
    <w:p w14:paraId="78D987A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Toliau pateikta informacija skirta tik sveikatos priežiūros specialistams.</w:t>
      </w:r>
    </w:p>
    <w:p w14:paraId="4C35E85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1FF16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Kokybinė ir kiekybinė sudėtis</w:t>
      </w:r>
    </w:p>
    <w:p w14:paraId="237CF069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1 ml injekcinio tirpalo yra 50 mg efedrino hidrochlorido.</w:t>
      </w:r>
    </w:p>
    <w:p w14:paraId="0B1FA684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Kiekvienoje 1 ml tirpalo ampulėje yra 50 mg efedrino hidrochlorido.</w:t>
      </w:r>
    </w:p>
    <w:p w14:paraId="5843DC89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7051A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Terapinės indikacijos</w:t>
      </w:r>
    </w:p>
    <w:p w14:paraId="75F9645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Spinalinės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ar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epidurinės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anestezijos sukeltos ar bendrinės anestezijos metu pasireiškusios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hipotenzijos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gydymas suaugusiesiems ir vyresniems kaip 12 metų paaugliams.</w:t>
      </w:r>
    </w:p>
    <w:p w14:paraId="7B8BFE7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4AD8AA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Dozavimas ir vartojimo metodas</w:t>
      </w:r>
    </w:p>
    <w:p w14:paraId="50ADBCE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435C52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Reikia skirti mažiausią veiksmingą efedrino dozę ir jo vartoti kiek įmanoma trumpiau.</w:t>
      </w:r>
    </w:p>
    <w:p w14:paraId="0DD89EE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55509F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Suaugusiesiems ir paaugliams</w:t>
      </w:r>
    </w:p>
    <w:p w14:paraId="4602C6E4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Į veną lėtai leidžiama 5 mg (ne daugiau kaip 10 mg) dozė, ją pagal reikalą galima kartotinai leisti kas 3–4 min. Bendroji 24 valandų laikotarpiu suvartota dozė negali būti didesnė kaip 150 mg.</w:t>
      </w:r>
    </w:p>
    <w:p w14:paraId="7394FE94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5F7673B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Vaikų populiacija</w:t>
      </w:r>
    </w:p>
    <w:p w14:paraId="6F4018D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Efedrino saugumas ir veiksmingumas vaikams nuo 0 iki 12 metų (įskaitant 12 metų) amžiaus neištirti.</w:t>
      </w:r>
    </w:p>
    <w:p w14:paraId="0905410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Duomenų nėra.</w:t>
      </w:r>
    </w:p>
    <w:p w14:paraId="299D66D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800FA5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Senyviems pacientams</w:t>
      </w:r>
    </w:p>
    <w:p w14:paraId="49E4DADF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Kaip ir suaugusiesiems, pradinė smūginė dozė yra 5 mg. Labai senyviems pacientams gali reikėti padidinti dozę.</w:t>
      </w:r>
    </w:p>
    <w:p w14:paraId="6BAD841C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7AB223F9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Vartojimo metodas</w:t>
      </w:r>
    </w:p>
    <w:p w14:paraId="1F1B06C3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Efedrinas turi būti leidžiamas į veną tik anesteziologo arba jam prižiūrint.</w:t>
      </w:r>
    </w:p>
    <w:p w14:paraId="6ADF31B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F823EC0" w14:textId="77777777" w:rsidR="00741650" w:rsidRPr="00741650" w:rsidRDefault="00741650" w:rsidP="00741650">
      <w:pPr>
        <w:keepNext/>
        <w:keepLines/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Perdozavimas</w:t>
      </w:r>
    </w:p>
    <w:p w14:paraId="12AE1183" w14:textId="77777777" w:rsidR="00741650" w:rsidRPr="00741650" w:rsidRDefault="00741650" w:rsidP="00741650">
      <w:pPr>
        <w:keepNext/>
        <w:keepLines/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AE28630" w14:textId="77777777" w:rsidR="00741650" w:rsidRPr="00741650" w:rsidRDefault="00741650" w:rsidP="00741650">
      <w:pPr>
        <w:keepNext/>
        <w:keepLines/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Simptomai</w:t>
      </w:r>
    </w:p>
    <w:p w14:paraId="1F42B0BD" w14:textId="77777777" w:rsidR="00741650" w:rsidRPr="00741650" w:rsidRDefault="00741650" w:rsidP="00741650">
      <w:pPr>
        <w:keepNext/>
        <w:keepLines/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Perdozavus pastebėtas toliau išvardytas poveikis: migrena, pykinimas, vėmimas, hipertenzija, tachikardija, karščiavimas, paranoidinė psichozė, haliucinacijos,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skilveliniai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ir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supraventrikuliniai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širdies ritmo sutrikimai, kvėpavimo slopinimas, traukuliai ir koma.</w:t>
      </w:r>
    </w:p>
    <w:p w14:paraId="5C82F935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Žmogui mirtina dozė yra maždaug 2 g, ji atitinka maždaug 3,5–20 mg/l koncentraciją kraujyje.</w:t>
      </w:r>
    </w:p>
    <w:p w14:paraId="279F491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C39AE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Gydymas</w:t>
      </w:r>
    </w:p>
    <w:p w14:paraId="7F193A9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Perdozavimui gydyti bei centrinės nervų sistemos stimuliavimui ir traukuliams kontroliuoti galima skirti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diazepamą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, leidžiant 0,1–0,2 mg/kg kūno svorio dozes. Į veną galima iš karto lėtai suleisti 10–20 mg dozę.</w:t>
      </w:r>
    </w:p>
    <w:p w14:paraId="05E9D468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Sujaudinimui, haliucinacijoms ir hipertenzijai gydyti reikia skirti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chlorpromaziną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863E9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Gydant sunkią hipertenziją, galima skirti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fentolaminą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ar kitokį alfa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adrenoreceptorius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blokuojantį vaistinį preparatą.</w:t>
      </w:r>
    </w:p>
    <w:p w14:paraId="171B4800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Gydant hipertenziją ar sunkią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tachiaritmiją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gali būti naudinga skirti beta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adrenoreceptorius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 blokuojančių vaistinių preparatų, tokių kaip </w:t>
      </w:r>
      <w:proofErr w:type="spellStart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propranololis</w:t>
      </w:r>
      <w:proofErr w:type="spellEnd"/>
      <w:r w:rsidRPr="007416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A5DD47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226A5E3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2"/>
        <w:rPr>
          <w:rFonts w:ascii="Times New Roman" w:eastAsia="Times New Roman" w:hAnsi="Times New Roman" w:cs="Times New Roman"/>
          <w:b/>
          <w:kern w:val="28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28"/>
          <w14:ligatures w14:val="none"/>
        </w:rPr>
        <w:t>Nesuderinamumas</w:t>
      </w:r>
    </w:p>
    <w:p w14:paraId="2FB6DF0A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Suderinamumo tyrimų neatlikta, todėl šio vaistinio preparato maišyti su kitais negalima.</w:t>
      </w:r>
    </w:p>
    <w:p w14:paraId="159759DA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A5EC427" w14:textId="77777777" w:rsidR="00741650" w:rsidRPr="00741650" w:rsidRDefault="00741650" w:rsidP="00741650">
      <w:pPr>
        <w:widowControl w:val="0"/>
        <w:tabs>
          <w:tab w:val="left" w:pos="567"/>
        </w:tabs>
        <w:spacing w:after="0" w:line="240" w:lineRule="auto"/>
        <w:ind w:left="567" w:hanging="567"/>
        <w:contextualSpacing/>
        <w:outlineLvl w:val="2"/>
        <w:rPr>
          <w:rFonts w:ascii="Times New Roman" w:eastAsia="Times New Roman" w:hAnsi="Times New Roman" w:cs="Times New Roman"/>
          <w:b/>
          <w:kern w:val="28"/>
          <w14:ligatures w14:val="none"/>
        </w:rPr>
      </w:pPr>
      <w:r w:rsidRPr="00741650">
        <w:rPr>
          <w:rFonts w:ascii="Times New Roman" w:eastAsia="Times New Roman" w:hAnsi="Times New Roman" w:cs="Times New Roman"/>
          <w:b/>
          <w:kern w:val="28"/>
          <w14:ligatures w14:val="none"/>
        </w:rPr>
        <w:t>Specialūs reikalavimai atliekoms tvarkyti ir vaistiniam preparatui ruošti</w:t>
      </w:r>
    </w:p>
    <w:p w14:paraId="509802B4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AC9ADD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Vartojimo instrukcijos:</w:t>
      </w:r>
    </w:p>
    <w:p w14:paraId="62BE0A91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Ampulė yra skirta naudoti tik vieną kartą.</w:t>
      </w:r>
    </w:p>
    <w:p w14:paraId="2FA8474D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 xml:space="preserve">Po panaudojimo ampulę reikia išmesti. KARTOTINAI NAUDOTI NEGALIMA. </w:t>
      </w:r>
    </w:p>
    <w:p w14:paraId="65C41AA7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Neatidarytos ir nepažeistos ampulės turinys yra sterilus, ampulės negalima atidaryti iki vartojimo.</w:t>
      </w:r>
    </w:p>
    <w:p w14:paraId="2F3F7606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Vaistinį preparatą prieš vartojimą reikia apžiūrėti, ar nėra dalelių ir ar nepakito spalva. Galima vartoti tik skaidrų bespalvį tirpalą, kuriame nėra dalelių ar nuosėdų.</w:t>
      </w:r>
    </w:p>
    <w:p w14:paraId="309F9999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D45F1E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741650">
        <w:rPr>
          <w:rFonts w:ascii="Times New Roman" w:eastAsia="Times New Roman" w:hAnsi="Times New Roman" w:cs="Times New Roman"/>
          <w:kern w:val="0"/>
          <w14:ligatures w14:val="none"/>
        </w:rPr>
        <w:t>Nesuvartotą vaistinį preparatą ar atliekas reikia tvarkyti laikantis vietinių reikalavimų.</w:t>
      </w:r>
    </w:p>
    <w:p w14:paraId="6F51E83F" w14:textId="77777777" w:rsidR="00741650" w:rsidRPr="00741650" w:rsidRDefault="00741650" w:rsidP="0074165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4102DB5" w14:textId="77777777" w:rsidR="00867275" w:rsidRDefault="00867275"/>
    <w:sectPr w:rsidR="00867275" w:rsidSect="00741650">
      <w:headerReference w:type="default" r:id="rId10"/>
      <w:footerReference w:type="even" r:id="rId11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F039" w14:textId="77777777" w:rsidR="00BC453B" w:rsidRDefault="00BC453B">
      <w:pPr>
        <w:spacing w:after="0" w:line="240" w:lineRule="auto"/>
      </w:pPr>
      <w:r>
        <w:separator/>
      </w:r>
    </w:p>
  </w:endnote>
  <w:endnote w:type="continuationSeparator" w:id="0">
    <w:p w14:paraId="15285353" w14:textId="77777777" w:rsidR="00BC453B" w:rsidRDefault="00BC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33CE" w14:textId="77777777" w:rsidR="00741650" w:rsidRDefault="00741650" w:rsidP="001575C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7D47EB" w14:textId="77777777" w:rsidR="00741650" w:rsidRDefault="00741650" w:rsidP="00AE420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C554" w14:textId="77777777" w:rsidR="00BC453B" w:rsidRDefault="00BC453B">
      <w:pPr>
        <w:spacing w:after="0" w:line="240" w:lineRule="auto"/>
      </w:pPr>
      <w:r>
        <w:separator/>
      </w:r>
    </w:p>
  </w:footnote>
  <w:footnote w:type="continuationSeparator" w:id="0">
    <w:p w14:paraId="0628026B" w14:textId="77777777" w:rsidR="00BC453B" w:rsidRDefault="00BC4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BDE3" w14:textId="77777777" w:rsidR="00741650" w:rsidRPr="00766E95" w:rsidRDefault="00741650" w:rsidP="00766E95">
    <w:pPr>
      <w:pStyle w:val="Antrats"/>
    </w:pPr>
    <w:bookmarkStart w:id="16" w:name="TableTag1"/>
    <w:bookmarkEnd w:id="1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2687"/>
    <w:multiLevelType w:val="hybridMultilevel"/>
    <w:tmpl w:val="942E356C"/>
    <w:lvl w:ilvl="0" w:tplc="5BECE9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03FB4"/>
    <w:multiLevelType w:val="hybridMultilevel"/>
    <w:tmpl w:val="385231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3E3EA3"/>
    <w:multiLevelType w:val="hybridMultilevel"/>
    <w:tmpl w:val="85404EC0"/>
    <w:lvl w:ilvl="0" w:tplc="BF06C69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B1E71"/>
    <w:multiLevelType w:val="hybridMultilevel"/>
    <w:tmpl w:val="3D843B26"/>
    <w:lvl w:ilvl="0" w:tplc="BF06C694">
      <w:start w:val="1"/>
      <w:numFmt w:val="bullet"/>
      <w:lvlText w:val="-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804309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7352381">
    <w:abstractNumId w:val="0"/>
  </w:num>
  <w:num w:numId="3" w16cid:durableId="2113161640">
    <w:abstractNumId w:val="1"/>
  </w:num>
  <w:num w:numId="4" w16cid:durableId="1029061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50"/>
    <w:rsid w:val="00072232"/>
    <w:rsid w:val="00076A66"/>
    <w:rsid w:val="000B4F35"/>
    <w:rsid w:val="00123517"/>
    <w:rsid w:val="0013158C"/>
    <w:rsid w:val="001C2CBF"/>
    <w:rsid w:val="001E64D6"/>
    <w:rsid w:val="00371B07"/>
    <w:rsid w:val="00387EF9"/>
    <w:rsid w:val="003C518A"/>
    <w:rsid w:val="004160D7"/>
    <w:rsid w:val="004A2A8E"/>
    <w:rsid w:val="004F24B0"/>
    <w:rsid w:val="005702CD"/>
    <w:rsid w:val="005F2B9C"/>
    <w:rsid w:val="006B710F"/>
    <w:rsid w:val="006C1A8A"/>
    <w:rsid w:val="00741650"/>
    <w:rsid w:val="00836A68"/>
    <w:rsid w:val="00867275"/>
    <w:rsid w:val="00BA0294"/>
    <w:rsid w:val="00BC453B"/>
    <w:rsid w:val="00BD3AE3"/>
    <w:rsid w:val="00BF39A9"/>
    <w:rsid w:val="00C07170"/>
    <w:rsid w:val="00C60E15"/>
    <w:rsid w:val="00DA7DD5"/>
    <w:rsid w:val="00E41A27"/>
    <w:rsid w:val="00E55B34"/>
    <w:rsid w:val="00EB663D"/>
    <w:rsid w:val="00F06D6A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4188"/>
  <w15:chartTrackingRefBased/>
  <w15:docId w15:val="{0CE09F6F-DC00-4949-B66D-B86B21F0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41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41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41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41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41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41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41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41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41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41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41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41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4165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4165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4165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4165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4165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4165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41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41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41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41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41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4165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4165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4165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41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4165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41650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semiHidden/>
    <w:unhideWhenUsed/>
    <w:rsid w:val="00741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41650"/>
  </w:style>
  <w:style w:type="paragraph" w:styleId="Porat">
    <w:name w:val="footer"/>
    <w:basedOn w:val="prastasis"/>
    <w:link w:val="PoratDiagrama"/>
    <w:uiPriority w:val="99"/>
    <w:semiHidden/>
    <w:unhideWhenUsed/>
    <w:rsid w:val="00741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741650"/>
  </w:style>
  <w:style w:type="character" w:styleId="Puslapionumeris">
    <w:name w:val="page number"/>
    <w:basedOn w:val="Numatytasispastraiposriftas"/>
    <w:rsid w:val="00741650"/>
  </w:style>
  <w:style w:type="paragraph" w:styleId="Pataisymai">
    <w:name w:val="Revision"/>
    <w:hidden/>
    <w:uiPriority w:val="99"/>
    <w:semiHidden/>
    <w:rsid w:val="003C518A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C518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C518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C518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518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51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586d48669e688892321388d597b9898b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f2a1db3136f6ed406d766fe06976f2b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8B936-2BC9-490B-A000-02FBF1B4F2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7DFBD9-0BC4-4EBB-A880-8864E0BFC631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customXml/itemProps3.xml><?xml version="1.0" encoding="utf-8"?>
<ds:datastoreItem xmlns:ds="http://schemas.openxmlformats.org/officeDocument/2006/customXml" ds:itemID="{F9B0CCB3-7BFA-4993-B645-0656F9BB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8580</Words>
  <Characters>4891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0218</dc:creator>
  <cp:keywords/>
  <dc:description/>
  <cp:lastModifiedBy>Karolina Kontrauskaitė</cp:lastModifiedBy>
  <cp:revision>4</cp:revision>
  <dcterms:created xsi:type="dcterms:W3CDTF">2025-09-02T13:30:00Z</dcterms:created>
  <dcterms:modified xsi:type="dcterms:W3CDTF">2025-10-03T05:45:00Z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