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A240E" w14:textId="77777777" w:rsidR="000E192C" w:rsidRPr="00507EDE" w:rsidRDefault="000E192C" w:rsidP="000E192C">
      <w:pPr>
        <w:rPr>
          <w:rFonts w:eastAsia="Times New Roman"/>
          <w:b/>
          <w:bCs/>
          <w:lang w:eastAsia="lt-LT"/>
        </w:rPr>
      </w:pPr>
    </w:p>
    <w:p w14:paraId="1285F4F2" w14:textId="77777777" w:rsidR="000E192C" w:rsidRPr="00507EDE" w:rsidRDefault="000E192C" w:rsidP="000E192C">
      <w:pPr>
        <w:rPr>
          <w:rFonts w:eastAsia="Times New Roman"/>
          <w:b/>
          <w:bCs/>
          <w:lang w:eastAsia="lt-LT"/>
        </w:rPr>
      </w:pPr>
    </w:p>
    <w:p w14:paraId="3812A2CF" w14:textId="77777777" w:rsidR="000E192C" w:rsidRPr="00507EDE" w:rsidRDefault="000E192C" w:rsidP="000E192C">
      <w:pPr>
        <w:rPr>
          <w:rFonts w:eastAsia="Times New Roman"/>
          <w:b/>
          <w:bCs/>
          <w:lang w:eastAsia="lt-LT"/>
        </w:rPr>
      </w:pPr>
    </w:p>
    <w:p w14:paraId="3DFCB032" w14:textId="77777777" w:rsidR="000E192C" w:rsidRPr="00507EDE" w:rsidRDefault="000E192C" w:rsidP="000E192C">
      <w:pPr>
        <w:rPr>
          <w:rFonts w:eastAsia="Times New Roman"/>
          <w:b/>
          <w:bCs/>
          <w:lang w:eastAsia="lt-LT"/>
        </w:rPr>
      </w:pPr>
    </w:p>
    <w:p w14:paraId="22005591" w14:textId="77777777" w:rsidR="000E192C" w:rsidRPr="00507EDE" w:rsidRDefault="000E192C" w:rsidP="000E192C">
      <w:pPr>
        <w:rPr>
          <w:rFonts w:eastAsia="Times New Roman"/>
          <w:b/>
          <w:bCs/>
        </w:rPr>
      </w:pPr>
    </w:p>
    <w:p w14:paraId="01DF68A2" w14:textId="77777777" w:rsidR="000E192C" w:rsidRPr="00507EDE" w:rsidRDefault="000E192C" w:rsidP="000E192C">
      <w:pPr>
        <w:rPr>
          <w:rFonts w:eastAsia="Times New Roman"/>
          <w:b/>
          <w:bCs/>
        </w:rPr>
      </w:pPr>
    </w:p>
    <w:p w14:paraId="72BDB0DE" w14:textId="77777777" w:rsidR="000E192C" w:rsidRPr="00507EDE" w:rsidRDefault="000E192C" w:rsidP="000E192C">
      <w:pPr>
        <w:rPr>
          <w:rFonts w:eastAsia="Times New Roman"/>
          <w:b/>
          <w:bCs/>
        </w:rPr>
      </w:pPr>
    </w:p>
    <w:p w14:paraId="72372052" w14:textId="77777777" w:rsidR="000E192C" w:rsidRPr="00507EDE" w:rsidRDefault="000E192C" w:rsidP="000E192C">
      <w:pPr>
        <w:rPr>
          <w:rFonts w:eastAsia="Times New Roman"/>
          <w:b/>
          <w:bCs/>
        </w:rPr>
      </w:pPr>
    </w:p>
    <w:p w14:paraId="47DFDB4E" w14:textId="77777777" w:rsidR="000E192C" w:rsidRPr="00507EDE" w:rsidRDefault="000E192C" w:rsidP="000E192C">
      <w:pPr>
        <w:rPr>
          <w:rFonts w:eastAsia="Times New Roman"/>
          <w:b/>
          <w:bCs/>
        </w:rPr>
      </w:pPr>
    </w:p>
    <w:p w14:paraId="71ED205E" w14:textId="77777777" w:rsidR="000E192C" w:rsidRPr="00507EDE" w:rsidRDefault="000E192C" w:rsidP="000E192C">
      <w:pPr>
        <w:rPr>
          <w:rFonts w:eastAsia="Times New Roman"/>
          <w:b/>
          <w:bCs/>
        </w:rPr>
      </w:pPr>
    </w:p>
    <w:p w14:paraId="30FF989B" w14:textId="77777777" w:rsidR="000E192C" w:rsidRPr="00507EDE" w:rsidRDefault="000E192C" w:rsidP="000E192C">
      <w:pPr>
        <w:rPr>
          <w:rFonts w:eastAsia="Times New Roman"/>
          <w:b/>
          <w:bCs/>
        </w:rPr>
      </w:pPr>
    </w:p>
    <w:p w14:paraId="588E3FDC" w14:textId="77777777" w:rsidR="000E192C" w:rsidRPr="00507EDE" w:rsidRDefault="000E192C" w:rsidP="000E192C">
      <w:pPr>
        <w:rPr>
          <w:rFonts w:eastAsia="Times New Roman"/>
          <w:b/>
          <w:bCs/>
        </w:rPr>
      </w:pPr>
    </w:p>
    <w:p w14:paraId="6434B4AF" w14:textId="77777777" w:rsidR="000E192C" w:rsidRPr="00507EDE" w:rsidRDefault="000E192C" w:rsidP="000E192C">
      <w:pPr>
        <w:rPr>
          <w:rFonts w:eastAsia="Times New Roman"/>
          <w:b/>
          <w:bCs/>
        </w:rPr>
      </w:pPr>
    </w:p>
    <w:p w14:paraId="55048EA4" w14:textId="77777777" w:rsidR="000E192C" w:rsidRPr="00507EDE" w:rsidRDefault="000E192C" w:rsidP="000E192C">
      <w:pPr>
        <w:rPr>
          <w:rFonts w:eastAsia="Times New Roman"/>
          <w:b/>
          <w:bCs/>
        </w:rPr>
      </w:pPr>
    </w:p>
    <w:p w14:paraId="2AE10717" w14:textId="77777777" w:rsidR="000E192C" w:rsidRPr="00507EDE" w:rsidRDefault="000E192C" w:rsidP="000E192C">
      <w:pPr>
        <w:rPr>
          <w:rFonts w:eastAsia="Times New Roman"/>
          <w:b/>
          <w:bCs/>
        </w:rPr>
      </w:pPr>
    </w:p>
    <w:p w14:paraId="15D9CB35" w14:textId="77777777" w:rsidR="000E192C" w:rsidRPr="00507EDE" w:rsidRDefault="000E192C" w:rsidP="000E192C">
      <w:pPr>
        <w:rPr>
          <w:rFonts w:eastAsia="Times New Roman"/>
          <w:b/>
          <w:bCs/>
        </w:rPr>
      </w:pPr>
    </w:p>
    <w:p w14:paraId="5F557F87" w14:textId="77777777" w:rsidR="000E192C" w:rsidRPr="00507EDE" w:rsidRDefault="000E192C" w:rsidP="000E192C">
      <w:pPr>
        <w:rPr>
          <w:rFonts w:eastAsia="Times New Roman"/>
          <w:b/>
          <w:bCs/>
        </w:rPr>
      </w:pPr>
    </w:p>
    <w:p w14:paraId="6E0A3EA0" w14:textId="77777777" w:rsidR="000E192C" w:rsidRPr="00507EDE" w:rsidRDefault="000E192C" w:rsidP="000E192C">
      <w:pPr>
        <w:rPr>
          <w:rFonts w:eastAsia="Times New Roman"/>
          <w:b/>
          <w:bCs/>
        </w:rPr>
      </w:pPr>
    </w:p>
    <w:p w14:paraId="1A115F23" w14:textId="77777777" w:rsidR="000E192C" w:rsidRPr="00507EDE" w:rsidRDefault="000E192C" w:rsidP="000E192C">
      <w:pPr>
        <w:rPr>
          <w:rFonts w:eastAsia="Times New Roman"/>
          <w:b/>
          <w:bCs/>
        </w:rPr>
      </w:pPr>
    </w:p>
    <w:p w14:paraId="277B817B" w14:textId="77777777" w:rsidR="000E192C" w:rsidRPr="00507EDE" w:rsidRDefault="000E192C" w:rsidP="000E192C">
      <w:pPr>
        <w:rPr>
          <w:rFonts w:eastAsia="Times New Roman"/>
          <w:b/>
          <w:bCs/>
        </w:rPr>
      </w:pPr>
    </w:p>
    <w:p w14:paraId="48231543" w14:textId="77777777" w:rsidR="000E192C" w:rsidRPr="00507EDE" w:rsidRDefault="000E192C" w:rsidP="000E192C">
      <w:pPr>
        <w:rPr>
          <w:rFonts w:eastAsia="Times New Roman"/>
          <w:b/>
          <w:bCs/>
        </w:rPr>
      </w:pPr>
    </w:p>
    <w:p w14:paraId="04F3936B" w14:textId="77777777" w:rsidR="000E192C" w:rsidRPr="00507EDE" w:rsidRDefault="000E192C" w:rsidP="000E192C">
      <w:pPr>
        <w:keepNext/>
        <w:tabs>
          <w:tab w:val="left" w:pos="567"/>
        </w:tabs>
        <w:jc w:val="center"/>
        <w:outlineLvl w:val="1"/>
        <w:rPr>
          <w:b/>
          <w:sz w:val="22"/>
          <w:szCs w:val="22"/>
        </w:rPr>
      </w:pPr>
    </w:p>
    <w:p w14:paraId="0F6B2ED0" w14:textId="77777777" w:rsidR="000E192C" w:rsidRPr="00507EDE" w:rsidRDefault="000E192C" w:rsidP="000E192C">
      <w:pPr>
        <w:keepNext/>
        <w:tabs>
          <w:tab w:val="left" w:pos="567"/>
        </w:tabs>
        <w:jc w:val="center"/>
        <w:outlineLvl w:val="1"/>
        <w:rPr>
          <w:b/>
          <w:sz w:val="22"/>
          <w:szCs w:val="22"/>
        </w:rPr>
      </w:pPr>
    </w:p>
    <w:p w14:paraId="1DEFAB38" w14:textId="77777777" w:rsidR="000E192C" w:rsidRPr="00507EDE" w:rsidRDefault="000E192C" w:rsidP="000E192C">
      <w:pPr>
        <w:keepNext/>
        <w:tabs>
          <w:tab w:val="left" w:pos="567"/>
        </w:tabs>
        <w:jc w:val="center"/>
        <w:outlineLvl w:val="1"/>
        <w:rPr>
          <w:i/>
          <w:sz w:val="22"/>
          <w:szCs w:val="22"/>
        </w:rPr>
      </w:pPr>
      <w:r w:rsidRPr="00507EDE">
        <w:rPr>
          <w:b/>
          <w:sz w:val="22"/>
          <w:szCs w:val="22"/>
        </w:rPr>
        <w:t>I PRIEDAS</w:t>
      </w:r>
    </w:p>
    <w:p w14:paraId="0E884C07" w14:textId="77777777" w:rsidR="000E192C" w:rsidRPr="00507EDE" w:rsidRDefault="000E192C" w:rsidP="000E192C">
      <w:pPr>
        <w:tabs>
          <w:tab w:val="left" w:pos="567"/>
        </w:tabs>
        <w:rPr>
          <w:sz w:val="22"/>
          <w:szCs w:val="22"/>
        </w:rPr>
      </w:pPr>
    </w:p>
    <w:p w14:paraId="1DD9635D" w14:textId="77777777" w:rsidR="000E192C" w:rsidRPr="00507EDE" w:rsidRDefault="000E192C" w:rsidP="000E192C">
      <w:pPr>
        <w:tabs>
          <w:tab w:val="left" w:pos="-1440"/>
          <w:tab w:val="left" w:pos="-720"/>
          <w:tab w:val="left" w:pos="567"/>
        </w:tabs>
        <w:jc w:val="center"/>
        <w:rPr>
          <w:b/>
          <w:sz w:val="22"/>
          <w:szCs w:val="22"/>
        </w:rPr>
      </w:pPr>
      <w:r w:rsidRPr="00507EDE">
        <w:rPr>
          <w:b/>
          <w:sz w:val="22"/>
          <w:szCs w:val="22"/>
        </w:rPr>
        <w:t>PREPARATO CHARAKTERISTIKŲ SANTRAUKA</w:t>
      </w:r>
    </w:p>
    <w:p w14:paraId="37C5B0D1" w14:textId="77777777" w:rsidR="000E192C" w:rsidRPr="00507EDE" w:rsidRDefault="000E192C" w:rsidP="000E192C">
      <w:pPr>
        <w:keepNext/>
        <w:keepLines/>
        <w:tabs>
          <w:tab w:val="left" w:pos="567"/>
        </w:tabs>
        <w:outlineLvl w:val="2"/>
        <w:rPr>
          <w:sz w:val="22"/>
          <w:szCs w:val="22"/>
        </w:rPr>
      </w:pPr>
      <w:r w:rsidRPr="00507EDE">
        <w:rPr>
          <w:sz w:val="22"/>
          <w:szCs w:val="22"/>
        </w:rPr>
        <w:br w:type="page"/>
      </w:r>
      <w:r w:rsidRPr="00507EDE">
        <w:rPr>
          <w:b/>
          <w:sz w:val="22"/>
          <w:szCs w:val="22"/>
        </w:rPr>
        <w:lastRenderedPageBreak/>
        <w:t>1.</w:t>
      </w:r>
      <w:r w:rsidRPr="00507EDE">
        <w:rPr>
          <w:b/>
          <w:sz w:val="22"/>
          <w:szCs w:val="22"/>
        </w:rPr>
        <w:tab/>
        <w:t>VAISTINIO PREPARATO PAVADINIMAS</w:t>
      </w:r>
    </w:p>
    <w:p w14:paraId="361D0716" w14:textId="77777777" w:rsidR="000E192C" w:rsidRPr="00507EDE" w:rsidRDefault="000E192C" w:rsidP="000E192C">
      <w:pPr>
        <w:tabs>
          <w:tab w:val="left" w:pos="-1440"/>
          <w:tab w:val="left" w:pos="-720"/>
          <w:tab w:val="left" w:pos="567"/>
        </w:tabs>
        <w:rPr>
          <w:b/>
          <w:sz w:val="22"/>
          <w:szCs w:val="22"/>
        </w:rPr>
      </w:pPr>
    </w:p>
    <w:p w14:paraId="12A5A392" w14:textId="711FC78D" w:rsidR="000E192C" w:rsidRPr="00507EDE" w:rsidRDefault="000E192C" w:rsidP="000E192C">
      <w:pPr>
        <w:jc w:val="both"/>
        <w:rPr>
          <w:bCs/>
          <w:sz w:val="22"/>
          <w:szCs w:val="22"/>
        </w:rPr>
      </w:pPr>
      <w:r w:rsidRPr="00507EDE">
        <w:rPr>
          <w:bCs/>
          <w:sz w:val="22"/>
          <w:szCs w:val="22"/>
        </w:rPr>
        <w:t xml:space="preserve">Paracetamol </w:t>
      </w:r>
      <w:r w:rsidR="00F5364E">
        <w:rPr>
          <w:bCs/>
          <w:sz w:val="22"/>
          <w:szCs w:val="22"/>
        </w:rPr>
        <w:t>Hiltrex</w:t>
      </w:r>
      <w:r w:rsidRPr="00507EDE">
        <w:rPr>
          <w:bCs/>
          <w:sz w:val="22"/>
          <w:szCs w:val="22"/>
        </w:rPr>
        <w:t xml:space="preserve"> 500 mg tabletės</w:t>
      </w:r>
    </w:p>
    <w:p w14:paraId="7780E3F0" w14:textId="77777777" w:rsidR="000E192C" w:rsidRPr="00507EDE" w:rsidRDefault="000E192C" w:rsidP="000E192C">
      <w:pPr>
        <w:jc w:val="both"/>
        <w:rPr>
          <w:sz w:val="22"/>
          <w:szCs w:val="22"/>
        </w:rPr>
      </w:pPr>
    </w:p>
    <w:p w14:paraId="26B56E77" w14:textId="77777777" w:rsidR="000E192C" w:rsidRPr="00507EDE" w:rsidRDefault="000E192C" w:rsidP="000E192C">
      <w:pPr>
        <w:jc w:val="both"/>
        <w:rPr>
          <w:sz w:val="22"/>
          <w:szCs w:val="22"/>
        </w:rPr>
      </w:pPr>
    </w:p>
    <w:p w14:paraId="195BA3E0" w14:textId="77777777" w:rsidR="000E192C" w:rsidRPr="00507EDE" w:rsidRDefault="000E192C" w:rsidP="000E192C">
      <w:pPr>
        <w:keepNext/>
        <w:keepLines/>
        <w:tabs>
          <w:tab w:val="left" w:pos="567"/>
        </w:tabs>
        <w:outlineLvl w:val="2"/>
        <w:rPr>
          <w:sz w:val="22"/>
          <w:szCs w:val="22"/>
        </w:rPr>
      </w:pPr>
      <w:r w:rsidRPr="00507EDE">
        <w:rPr>
          <w:b/>
          <w:sz w:val="22"/>
          <w:szCs w:val="22"/>
        </w:rPr>
        <w:t>2.</w:t>
      </w:r>
      <w:r w:rsidRPr="00507EDE">
        <w:rPr>
          <w:b/>
          <w:sz w:val="22"/>
          <w:szCs w:val="22"/>
        </w:rPr>
        <w:tab/>
        <w:t>KOKYBINĖ IR KIEKYBINĖ SUDĖTIS</w:t>
      </w:r>
    </w:p>
    <w:p w14:paraId="6BAA7747" w14:textId="77777777" w:rsidR="000E192C" w:rsidRPr="00507EDE" w:rsidRDefault="000E192C" w:rsidP="000E192C">
      <w:pPr>
        <w:jc w:val="both"/>
        <w:rPr>
          <w:sz w:val="22"/>
          <w:szCs w:val="22"/>
        </w:rPr>
      </w:pPr>
    </w:p>
    <w:p w14:paraId="05AED3C3" w14:textId="60741F8C" w:rsidR="000E192C" w:rsidRPr="00507EDE" w:rsidRDefault="000E192C" w:rsidP="000E192C">
      <w:pPr>
        <w:jc w:val="both"/>
        <w:rPr>
          <w:sz w:val="22"/>
          <w:szCs w:val="22"/>
        </w:rPr>
      </w:pPr>
      <w:r w:rsidRPr="00507EDE">
        <w:rPr>
          <w:sz w:val="22"/>
          <w:szCs w:val="22"/>
        </w:rPr>
        <w:t>Kiekvienoje tabletėje yra 500 mg paracetamolio.</w:t>
      </w:r>
    </w:p>
    <w:p w14:paraId="340CC653" w14:textId="77777777" w:rsidR="004371E8" w:rsidRPr="00507EDE" w:rsidRDefault="004371E8" w:rsidP="000E192C">
      <w:pPr>
        <w:jc w:val="both"/>
        <w:rPr>
          <w:sz w:val="22"/>
          <w:szCs w:val="22"/>
        </w:rPr>
      </w:pPr>
    </w:p>
    <w:p w14:paraId="4BD3DC90" w14:textId="658AAC82" w:rsidR="004371E8" w:rsidRPr="00507EDE" w:rsidRDefault="002624E8" w:rsidP="000E192C">
      <w:pPr>
        <w:jc w:val="both"/>
        <w:rPr>
          <w:sz w:val="22"/>
          <w:szCs w:val="22"/>
        </w:rPr>
      </w:pPr>
      <w:r w:rsidRPr="00507EDE">
        <w:rPr>
          <w:sz w:val="22"/>
          <w:szCs w:val="22"/>
          <w:u w:val="single"/>
        </w:rPr>
        <w:t>Pagalbinės medžiagos, kurių poveikis žinomas</w:t>
      </w:r>
      <w:r w:rsidRPr="00507EDE">
        <w:rPr>
          <w:sz w:val="22"/>
          <w:szCs w:val="22"/>
        </w:rPr>
        <w:t xml:space="preserve"> </w:t>
      </w:r>
    </w:p>
    <w:p w14:paraId="6DFD7E04" w14:textId="605057E2" w:rsidR="002624E8" w:rsidRPr="00507EDE" w:rsidRDefault="004371E8" w:rsidP="000E192C">
      <w:pPr>
        <w:jc w:val="both"/>
        <w:rPr>
          <w:sz w:val="22"/>
          <w:szCs w:val="22"/>
        </w:rPr>
      </w:pPr>
      <w:r w:rsidRPr="00507EDE">
        <w:rPr>
          <w:sz w:val="22"/>
          <w:szCs w:val="22"/>
        </w:rPr>
        <w:t xml:space="preserve">Kiekvienoje tabletėje yra </w:t>
      </w:r>
      <w:r w:rsidR="00373100" w:rsidRPr="00507EDE">
        <w:rPr>
          <w:sz w:val="22"/>
          <w:szCs w:val="22"/>
        </w:rPr>
        <w:t>36 </w:t>
      </w:r>
      <w:r w:rsidRPr="00507EDE">
        <w:rPr>
          <w:sz w:val="22"/>
          <w:szCs w:val="22"/>
        </w:rPr>
        <w:t xml:space="preserve">mg </w:t>
      </w:r>
      <w:r w:rsidR="002624E8" w:rsidRPr="00507EDE">
        <w:rPr>
          <w:sz w:val="22"/>
          <w:szCs w:val="22"/>
        </w:rPr>
        <w:t>kviečių krakmol</w:t>
      </w:r>
      <w:r w:rsidRPr="00507EDE">
        <w:rPr>
          <w:sz w:val="22"/>
          <w:szCs w:val="22"/>
        </w:rPr>
        <w:t xml:space="preserve">o ir </w:t>
      </w:r>
      <w:r w:rsidR="0081476F">
        <w:rPr>
          <w:sz w:val="22"/>
          <w:szCs w:val="22"/>
        </w:rPr>
        <w:t>58</w:t>
      </w:r>
      <w:r w:rsidR="00373100" w:rsidRPr="00507EDE">
        <w:rPr>
          <w:sz w:val="22"/>
          <w:szCs w:val="22"/>
        </w:rPr>
        <w:t> </w:t>
      </w:r>
      <w:r w:rsidRPr="00507EDE">
        <w:rPr>
          <w:sz w:val="22"/>
          <w:szCs w:val="22"/>
        </w:rPr>
        <w:t>mg</w:t>
      </w:r>
      <w:r w:rsidR="002624E8" w:rsidRPr="00507EDE">
        <w:rPr>
          <w:sz w:val="22"/>
          <w:szCs w:val="22"/>
        </w:rPr>
        <w:t xml:space="preserve"> laktozės </w:t>
      </w:r>
      <w:r w:rsidR="003A6946">
        <w:rPr>
          <w:sz w:val="22"/>
          <w:szCs w:val="22"/>
        </w:rPr>
        <w:t xml:space="preserve">(laktozės </w:t>
      </w:r>
      <w:r w:rsidR="002624E8" w:rsidRPr="00507EDE">
        <w:rPr>
          <w:sz w:val="22"/>
          <w:szCs w:val="22"/>
        </w:rPr>
        <w:t>monohidrat</w:t>
      </w:r>
      <w:r w:rsidRPr="00507EDE">
        <w:rPr>
          <w:sz w:val="22"/>
          <w:szCs w:val="22"/>
        </w:rPr>
        <w:t>o</w:t>
      </w:r>
      <w:r w:rsidR="003A6946">
        <w:rPr>
          <w:sz w:val="22"/>
          <w:szCs w:val="22"/>
        </w:rPr>
        <w:t xml:space="preserve"> pavidalu)</w:t>
      </w:r>
      <w:r w:rsidR="002624E8" w:rsidRPr="00507EDE">
        <w:rPr>
          <w:sz w:val="22"/>
          <w:szCs w:val="22"/>
        </w:rPr>
        <w:t>.</w:t>
      </w:r>
    </w:p>
    <w:p w14:paraId="1A13EC3A" w14:textId="77777777" w:rsidR="002624E8" w:rsidRPr="00507EDE" w:rsidRDefault="002624E8" w:rsidP="000E192C">
      <w:pPr>
        <w:jc w:val="both"/>
        <w:rPr>
          <w:sz w:val="22"/>
          <w:szCs w:val="22"/>
        </w:rPr>
      </w:pPr>
    </w:p>
    <w:p w14:paraId="24C5BA5D" w14:textId="77777777" w:rsidR="000E192C" w:rsidRPr="00507EDE" w:rsidRDefault="000E192C" w:rsidP="000E192C">
      <w:pPr>
        <w:jc w:val="both"/>
        <w:rPr>
          <w:b/>
          <w:sz w:val="22"/>
          <w:szCs w:val="22"/>
        </w:rPr>
      </w:pPr>
      <w:r w:rsidRPr="00507EDE">
        <w:rPr>
          <w:sz w:val="22"/>
          <w:szCs w:val="22"/>
        </w:rPr>
        <w:t>Visos pagalbinės medžiagos išvardytos 6.1 skyriuje.</w:t>
      </w:r>
    </w:p>
    <w:p w14:paraId="508B3A0E" w14:textId="77777777" w:rsidR="000E192C" w:rsidRPr="00507EDE" w:rsidRDefault="000E192C" w:rsidP="000E192C">
      <w:pPr>
        <w:jc w:val="both"/>
        <w:rPr>
          <w:sz w:val="22"/>
          <w:szCs w:val="22"/>
        </w:rPr>
      </w:pPr>
    </w:p>
    <w:p w14:paraId="083F14BD" w14:textId="77777777" w:rsidR="000E192C" w:rsidRPr="00507EDE" w:rsidRDefault="000E192C" w:rsidP="000E192C">
      <w:pPr>
        <w:jc w:val="both"/>
        <w:rPr>
          <w:sz w:val="22"/>
          <w:szCs w:val="22"/>
        </w:rPr>
      </w:pPr>
    </w:p>
    <w:p w14:paraId="770B4E7B" w14:textId="77777777" w:rsidR="000E192C" w:rsidRPr="00507EDE" w:rsidRDefault="000E192C" w:rsidP="000E192C">
      <w:pPr>
        <w:keepNext/>
        <w:keepLines/>
        <w:tabs>
          <w:tab w:val="left" w:pos="567"/>
        </w:tabs>
        <w:outlineLvl w:val="2"/>
        <w:rPr>
          <w:sz w:val="22"/>
          <w:szCs w:val="22"/>
        </w:rPr>
      </w:pPr>
      <w:r w:rsidRPr="00507EDE">
        <w:rPr>
          <w:b/>
          <w:sz w:val="22"/>
          <w:szCs w:val="22"/>
        </w:rPr>
        <w:t>3.</w:t>
      </w:r>
      <w:r w:rsidRPr="00507EDE">
        <w:rPr>
          <w:b/>
          <w:sz w:val="22"/>
          <w:szCs w:val="22"/>
        </w:rPr>
        <w:tab/>
        <w:t>FARMACINĖ FORMA</w:t>
      </w:r>
    </w:p>
    <w:p w14:paraId="07CEAAE4" w14:textId="77777777" w:rsidR="000E192C" w:rsidRPr="00507EDE" w:rsidRDefault="000E192C" w:rsidP="000E192C">
      <w:pPr>
        <w:jc w:val="both"/>
        <w:rPr>
          <w:sz w:val="22"/>
          <w:szCs w:val="22"/>
        </w:rPr>
      </w:pPr>
    </w:p>
    <w:p w14:paraId="3F6D828B" w14:textId="165A38C6" w:rsidR="004371E8" w:rsidRDefault="000E192C" w:rsidP="000E192C">
      <w:pPr>
        <w:jc w:val="both"/>
        <w:rPr>
          <w:sz w:val="22"/>
          <w:szCs w:val="22"/>
        </w:rPr>
      </w:pPr>
      <w:r w:rsidRPr="00507EDE">
        <w:rPr>
          <w:sz w:val="22"/>
          <w:szCs w:val="22"/>
        </w:rPr>
        <w:t>Tabletė.</w:t>
      </w:r>
    </w:p>
    <w:p w14:paraId="30BBBC7F" w14:textId="77777777" w:rsidR="00C63A68" w:rsidRPr="00507EDE" w:rsidRDefault="00C63A68" w:rsidP="000E192C">
      <w:pPr>
        <w:jc w:val="both"/>
        <w:rPr>
          <w:sz w:val="22"/>
          <w:szCs w:val="22"/>
        </w:rPr>
      </w:pPr>
    </w:p>
    <w:p w14:paraId="4F4A05FB" w14:textId="3477ADF2" w:rsidR="002624E8" w:rsidRPr="00507EDE" w:rsidRDefault="008E738D" w:rsidP="00B804A9">
      <w:pPr>
        <w:rPr>
          <w:sz w:val="22"/>
          <w:szCs w:val="22"/>
        </w:rPr>
      </w:pPr>
      <w:r w:rsidRPr="00507EDE">
        <w:rPr>
          <w:sz w:val="22"/>
          <w:szCs w:val="22"/>
        </w:rPr>
        <w:t>B</w:t>
      </w:r>
      <w:r w:rsidR="002624E8" w:rsidRPr="00507EDE">
        <w:rPr>
          <w:sz w:val="22"/>
          <w:szCs w:val="22"/>
        </w:rPr>
        <w:t xml:space="preserve">altos arba beveik baltos, </w:t>
      </w:r>
      <w:r w:rsidR="004371E8" w:rsidRPr="00507EDE">
        <w:rPr>
          <w:sz w:val="22"/>
          <w:szCs w:val="22"/>
        </w:rPr>
        <w:t xml:space="preserve">apvalios, </w:t>
      </w:r>
      <w:r w:rsidR="002624E8" w:rsidRPr="00507EDE">
        <w:rPr>
          <w:sz w:val="22"/>
          <w:szCs w:val="22"/>
        </w:rPr>
        <w:t>plokščios,</w:t>
      </w:r>
      <w:r w:rsidR="004371E8" w:rsidRPr="00507EDE">
        <w:rPr>
          <w:sz w:val="22"/>
          <w:szCs w:val="22"/>
        </w:rPr>
        <w:t xml:space="preserve"> 13 mm skersmens,</w:t>
      </w:r>
      <w:r w:rsidR="002624E8" w:rsidRPr="00507EDE">
        <w:rPr>
          <w:sz w:val="22"/>
          <w:szCs w:val="22"/>
        </w:rPr>
        <w:t xml:space="preserve"> tabletės su dalomąja vagele vienoje pusėje</w:t>
      </w:r>
      <w:r w:rsidR="004371E8" w:rsidRPr="00507EDE">
        <w:rPr>
          <w:sz w:val="22"/>
          <w:szCs w:val="22"/>
        </w:rPr>
        <w:t>.</w:t>
      </w:r>
      <w:r w:rsidR="002624E8" w:rsidRPr="00507EDE">
        <w:rPr>
          <w:sz w:val="22"/>
          <w:szCs w:val="22"/>
        </w:rPr>
        <w:t xml:space="preserve"> </w:t>
      </w:r>
    </w:p>
    <w:p w14:paraId="7535520D" w14:textId="65D454FC" w:rsidR="002624E8" w:rsidRPr="00507EDE" w:rsidRDefault="002624E8" w:rsidP="00B804A9">
      <w:pPr>
        <w:rPr>
          <w:sz w:val="22"/>
          <w:szCs w:val="22"/>
        </w:rPr>
      </w:pPr>
      <w:r w:rsidRPr="00507EDE">
        <w:rPr>
          <w:sz w:val="22"/>
          <w:szCs w:val="22"/>
        </w:rPr>
        <w:t>Tabletę galima padalyti į lygias dozes.</w:t>
      </w:r>
    </w:p>
    <w:p w14:paraId="79B0B5AC" w14:textId="77777777" w:rsidR="000E192C" w:rsidRPr="00507EDE" w:rsidRDefault="000E192C" w:rsidP="000E192C">
      <w:pPr>
        <w:jc w:val="both"/>
        <w:rPr>
          <w:sz w:val="22"/>
          <w:szCs w:val="22"/>
        </w:rPr>
      </w:pPr>
    </w:p>
    <w:p w14:paraId="0B36740F" w14:textId="77777777" w:rsidR="000E192C" w:rsidRPr="00507EDE" w:rsidRDefault="000E192C" w:rsidP="000E192C">
      <w:pPr>
        <w:jc w:val="both"/>
        <w:rPr>
          <w:sz w:val="22"/>
          <w:szCs w:val="22"/>
        </w:rPr>
      </w:pPr>
    </w:p>
    <w:p w14:paraId="430F1E91" w14:textId="77777777" w:rsidR="000E192C" w:rsidRPr="00507EDE" w:rsidRDefault="000E192C" w:rsidP="000E192C">
      <w:pPr>
        <w:keepNext/>
        <w:keepLines/>
        <w:tabs>
          <w:tab w:val="left" w:pos="567"/>
        </w:tabs>
        <w:outlineLvl w:val="2"/>
        <w:rPr>
          <w:sz w:val="22"/>
          <w:szCs w:val="22"/>
        </w:rPr>
      </w:pPr>
      <w:r w:rsidRPr="00507EDE">
        <w:rPr>
          <w:b/>
          <w:sz w:val="22"/>
          <w:szCs w:val="22"/>
        </w:rPr>
        <w:t>4.</w:t>
      </w:r>
      <w:r w:rsidRPr="00507EDE">
        <w:rPr>
          <w:b/>
          <w:sz w:val="22"/>
          <w:szCs w:val="22"/>
        </w:rPr>
        <w:tab/>
        <w:t>KLINIKINĖ INFORMACIJA</w:t>
      </w:r>
    </w:p>
    <w:p w14:paraId="36148694" w14:textId="77777777" w:rsidR="000E192C" w:rsidRPr="00507EDE" w:rsidRDefault="000E192C" w:rsidP="000E192C">
      <w:pPr>
        <w:tabs>
          <w:tab w:val="left" w:pos="567"/>
        </w:tabs>
        <w:rPr>
          <w:sz w:val="22"/>
          <w:szCs w:val="22"/>
        </w:rPr>
      </w:pPr>
    </w:p>
    <w:p w14:paraId="4C7BB6CE" w14:textId="77777777" w:rsidR="000E192C" w:rsidRPr="00507EDE" w:rsidRDefault="000E192C" w:rsidP="000E192C">
      <w:pPr>
        <w:keepNext/>
        <w:tabs>
          <w:tab w:val="left" w:pos="567"/>
        </w:tabs>
        <w:jc w:val="both"/>
        <w:outlineLvl w:val="3"/>
        <w:rPr>
          <w:sz w:val="22"/>
          <w:szCs w:val="22"/>
        </w:rPr>
      </w:pPr>
      <w:r w:rsidRPr="00507EDE">
        <w:rPr>
          <w:b/>
          <w:sz w:val="22"/>
          <w:szCs w:val="22"/>
        </w:rPr>
        <w:t>4.1</w:t>
      </w:r>
      <w:r w:rsidRPr="00507EDE">
        <w:rPr>
          <w:b/>
          <w:sz w:val="22"/>
          <w:szCs w:val="22"/>
        </w:rPr>
        <w:tab/>
        <w:t>Terapinės indikacijos</w:t>
      </w:r>
    </w:p>
    <w:p w14:paraId="4120CAE9" w14:textId="77777777" w:rsidR="000E192C" w:rsidRPr="00507EDE" w:rsidRDefault="000E192C" w:rsidP="000E192C">
      <w:pPr>
        <w:jc w:val="both"/>
        <w:rPr>
          <w:sz w:val="22"/>
          <w:szCs w:val="22"/>
        </w:rPr>
      </w:pPr>
    </w:p>
    <w:p w14:paraId="6C48AC06" w14:textId="44760F51" w:rsidR="001C061F" w:rsidRPr="00507EDE" w:rsidRDefault="001C061F" w:rsidP="00B804A9">
      <w:pPr>
        <w:rPr>
          <w:sz w:val="22"/>
          <w:szCs w:val="22"/>
        </w:rPr>
      </w:pPr>
      <w:r w:rsidRPr="00507EDE">
        <w:rPr>
          <w:sz w:val="22"/>
          <w:szCs w:val="22"/>
        </w:rPr>
        <w:t xml:space="preserve">Paracetamol </w:t>
      </w:r>
      <w:r w:rsidR="00F5364E">
        <w:rPr>
          <w:sz w:val="22"/>
          <w:szCs w:val="22"/>
        </w:rPr>
        <w:t>Hiltrex</w:t>
      </w:r>
      <w:r w:rsidRPr="00507EDE">
        <w:rPr>
          <w:sz w:val="22"/>
          <w:szCs w:val="22"/>
        </w:rPr>
        <w:t xml:space="preserve"> skirtas trumpalaikiam silpno ar vidutinio stiprumo skausmo </w:t>
      </w:r>
      <w:r w:rsidR="00464610">
        <w:rPr>
          <w:sz w:val="22"/>
          <w:szCs w:val="22"/>
        </w:rPr>
        <w:t>malšinimui</w:t>
      </w:r>
      <w:r w:rsidRPr="00507EDE">
        <w:rPr>
          <w:sz w:val="22"/>
          <w:szCs w:val="22"/>
        </w:rPr>
        <w:t xml:space="preserve"> ir aukštos temperatūros </w:t>
      </w:r>
      <w:r w:rsidR="00464610">
        <w:rPr>
          <w:sz w:val="22"/>
          <w:szCs w:val="22"/>
        </w:rPr>
        <w:t>mažinimui</w:t>
      </w:r>
      <w:r w:rsidRPr="00507EDE">
        <w:rPr>
          <w:sz w:val="22"/>
          <w:szCs w:val="22"/>
        </w:rPr>
        <w:t>.</w:t>
      </w:r>
    </w:p>
    <w:p w14:paraId="4A526525" w14:textId="77777777" w:rsidR="000E192C" w:rsidRPr="00507EDE" w:rsidRDefault="000E192C" w:rsidP="000E192C">
      <w:pPr>
        <w:jc w:val="both"/>
        <w:rPr>
          <w:b/>
          <w:sz w:val="22"/>
          <w:szCs w:val="22"/>
        </w:rPr>
      </w:pPr>
    </w:p>
    <w:p w14:paraId="55FF1801" w14:textId="77777777" w:rsidR="000E192C" w:rsidRPr="00507EDE" w:rsidRDefault="000E192C" w:rsidP="000E192C">
      <w:pPr>
        <w:keepNext/>
        <w:tabs>
          <w:tab w:val="left" w:pos="567"/>
        </w:tabs>
        <w:jc w:val="both"/>
        <w:outlineLvl w:val="3"/>
        <w:rPr>
          <w:sz w:val="22"/>
          <w:szCs w:val="22"/>
        </w:rPr>
      </w:pPr>
      <w:bookmarkStart w:id="0" w:name="_Hlk40884229"/>
      <w:r w:rsidRPr="00507EDE">
        <w:rPr>
          <w:b/>
          <w:sz w:val="22"/>
          <w:szCs w:val="22"/>
        </w:rPr>
        <w:t>4.2</w:t>
      </w:r>
      <w:r w:rsidRPr="00507EDE">
        <w:rPr>
          <w:b/>
          <w:sz w:val="22"/>
          <w:szCs w:val="22"/>
        </w:rPr>
        <w:tab/>
        <w:t>Dozavimas ir vartojimo metodas</w:t>
      </w:r>
    </w:p>
    <w:p w14:paraId="3648B6DB" w14:textId="77777777" w:rsidR="000E192C" w:rsidRPr="00507EDE" w:rsidRDefault="000E192C" w:rsidP="000E192C">
      <w:pPr>
        <w:tabs>
          <w:tab w:val="left" w:pos="567"/>
        </w:tabs>
        <w:rPr>
          <w:sz w:val="22"/>
          <w:szCs w:val="22"/>
        </w:rPr>
      </w:pPr>
    </w:p>
    <w:p w14:paraId="1E9BB6E5" w14:textId="77777777" w:rsidR="000E192C" w:rsidRPr="00507EDE" w:rsidRDefault="000E192C" w:rsidP="000E192C">
      <w:pPr>
        <w:tabs>
          <w:tab w:val="left" w:pos="567"/>
        </w:tabs>
        <w:rPr>
          <w:sz w:val="22"/>
          <w:szCs w:val="22"/>
          <w:u w:val="single"/>
        </w:rPr>
      </w:pPr>
      <w:r w:rsidRPr="00507EDE">
        <w:rPr>
          <w:sz w:val="22"/>
          <w:szCs w:val="22"/>
          <w:u w:val="single"/>
        </w:rPr>
        <w:t>Dozavimas</w:t>
      </w:r>
    </w:p>
    <w:p w14:paraId="370CA421" w14:textId="3D2CCF92" w:rsidR="00B804A9" w:rsidRPr="00507EDE" w:rsidRDefault="00B804A9" w:rsidP="00B804A9">
      <w:pPr>
        <w:rPr>
          <w:sz w:val="22"/>
          <w:szCs w:val="22"/>
        </w:rPr>
      </w:pPr>
      <w:r w:rsidRPr="00507EDE">
        <w:rPr>
          <w:i/>
          <w:iCs/>
          <w:sz w:val="22"/>
          <w:szCs w:val="22"/>
        </w:rPr>
        <w:t>Suaugusiesiems</w:t>
      </w:r>
      <w:r w:rsidRPr="00507EDE">
        <w:rPr>
          <w:sz w:val="22"/>
          <w:szCs w:val="22"/>
        </w:rPr>
        <w:t>: 500</w:t>
      </w:r>
      <w:r w:rsidR="00E13D0F">
        <w:rPr>
          <w:sz w:val="22"/>
          <w:szCs w:val="22"/>
        </w:rPr>
        <w:t>-</w:t>
      </w:r>
      <w:r w:rsidRPr="00507EDE">
        <w:rPr>
          <w:sz w:val="22"/>
          <w:szCs w:val="22"/>
        </w:rPr>
        <w:t>1</w:t>
      </w:r>
      <w:r w:rsidR="000F0E49">
        <w:rPr>
          <w:sz w:val="22"/>
          <w:szCs w:val="22"/>
        </w:rPr>
        <w:t> </w:t>
      </w:r>
      <w:r w:rsidRPr="00507EDE">
        <w:rPr>
          <w:sz w:val="22"/>
          <w:szCs w:val="22"/>
        </w:rPr>
        <w:t>000 mg 3</w:t>
      </w:r>
      <w:r w:rsidR="00F23E68" w:rsidRPr="00507EDE">
        <w:rPr>
          <w:sz w:val="22"/>
          <w:szCs w:val="22"/>
        </w:rPr>
        <w:t xml:space="preserve"> – </w:t>
      </w:r>
      <w:r w:rsidRPr="00507EDE">
        <w:rPr>
          <w:sz w:val="22"/>
          <w:szCs w:val="22"/>
        </w:rPr>
        <w:t xml:space="preserve">4 kartus per </w:t>
      </w:r>
      <w:r w:rsidR="00F23E68" w:rsidRPr="00507EDE">
        <w:rPr>
          <w:sz w:val="22"/>
          <w:szCs w:val="22"/>
        </w:rPr>
        <w:t>parą</w:t>
      </w:r>
      <w:r w:rsidRPr="00507EDE">
        <w:rPr>
          <w:sz w:val="22"/>
          <w:szCs w:val="22"/>
        </w:rPr>
        <w:t xml:space="preserve">. </w:t>
      </w:r>
    </w:p>
    <w:p w14:paraId="7B01520A" w14:textId="724C0977" w:rsidR="00B804A9" w:rsidRPr="00507EDE" w:rsidRDefault="00B804A9" w:rsidP="00B804A9">
      <w:pPr>
        <w:rPr>
          <w:sz w:val="22"/>
          <w:szCs w:val="22"/>
        </w:rPr>
      </w:pPr>
      <w:r w:rsidRPr="00507EDE">
        <w:rPr>
          <w:sz w:val="22"/>
          <w:szCs w:val="22"/>
        </w:rPr>
        <w:t>Didžiausia paros dozė suaugusiesiems</w:t>
      </w:r>
      <w:r w:rsidR="00F23E68" w:rsidRPr="00507EDE">
        <w:rPr>
          <w:sz w:val="22"/>
          <w:szCs w:val="22"/>
        </w:rPr>
        <w:t> </w:t>
      </w:r>
      <w:r w:rsidRPr="00507EDE">
        <w:rPr>
          <w:sz w:val="22"/>
          <w:szCs w:val="22"/>
        </w:rPr>
        <w:t>–</w:t>
      </w:r>
      <w:r w:rsidR="00F23E68" w:rsidRPr="00507EDE">
        <w:rPr>
          <w:sz w:val="22"/>
          <w:szCs w:val="22"/>
        </w:rPr>
        <w:t> </w:t>
      </w:r>
      <w:r w:rsidRPr="00507EDE">
        <w:rPr>
          <w:sz w:val="22"/>
          <w:szCs w:val="22"/>
        </w:rPr>
        <w:t>4</w:t>
      </w:r>
      <w:r w:rsidR="000F0E49">
        <w:rPr>
          <w:sz w:val="22"/>
          <w:szCs w:val="22"/>
        </w:rPr>
        <w:t> </w:t>
      </w:r>
      <w:r w:rsidRPr="00507EDE">
        <w:rPr>
          <w:sz w:val="22"/>
          <w:szCs w:val="22"/>
        </w:rPr>
        <w:t>000 mg (8 tabletės).</w:t>
      </w:r>
    </w:p>
    <w:p w14:paraId="3790D5C0" w14:textId="77777777" w:rsidR="00B804A9" w:rsidRPr="00507EDE" w:rsidRDefault="00B804A9" w:rsidP="000E192C">
      <w:pPr>
        <w:rPr>
          <w:sz w:val="22"/>
          <w:szCs w:val="22"/>
        </w:rPr>
      </w:pPr>
    </w:p>
    <w:p w14:paraId="00A1E9F5" w14:textId="169AC457" w:rsidR="00B804A9" w:rsidRPr="00507EDE" w:rsidRDefault="00B804A9" w:rsidP="000E192C">
      <w:pPr>
        <w:rPr>
          <w:i/>
          <w:iCs/>
          <w:sz w:val="22"/>
          <w:szCs w:val="22"/>
          <w:u w:val="single"/>
        </w:rPr>
      </w:pPr>
      <w:r w:rsidRPr="00507EDE">
        <w:rPr>
          <w:i/>
          <w:iCs/>
          <w:sz w:val="22"/>
          <w:szCs w:val="22"/>
          <w:u w:val="single"/>
        </w:rPr>
        <w:t>Vaikų populiacija</w:t>
      </w:r>
    </w:p>
    <w:p w14:paraId="47D63361" w14:textId="77777777" w:rsidR="001553C1" w:rsidRDefault="001553C1" w:rsidP="00B804A9">
      <w:pPr>
        <w:rPr>
          <w:i/>
          <w:iCs/>
          <w:sz w:val="22"/>
          <w:szCs w:val="22"/>
        </w:rPr>
      </w:pPr>
    </w:p>
    <w:p w14:paraId="628DAD64" w14:textId="69B69D61" w:rsidR="001553C1" w:rsidRDefault="00CE68DB" w:rsidP="00B804A9">
      <w:pPr>
        <w:rPr>
          <w:sz w:val="22"/>
          <w:szCs w:val="22"/>
        </w:rPr>
      </w:pPr>
      <w:bookmarkStart w:id="1" w:name="_Hlk190248154"/>
      <w:r>
        <w:rPr>
          <w:i/>
          <w:iCs/>
          <w:sz w:val="22"/>
          <w:szCs w:val="22"/>
        </w:rPr>
        <w:t>Paaugliams ir vaikams, kurių kūno svoris yra 50 kg ar daugiau</w:t>
      </w:r>
      <w:r w:rsidR="009425B2">
        <w:rPr>
          <w:i/>
          <w:iCs/>
          <w:sz w:val="22"/>
          <w:szCs w:val="22"/>
        </w:rPr>
        <w:t xml:space="preserve">: </w:t>
      </w:r>
      <w:r w:rsidR="009425B2">
        <w:rPr>
          <w:sz w:val="22"/>
          <w:szCs w:val="22"/>
        </w:rPr>
        <w:t>5</w:t>
      </w:r>
      <w:r w:rsidR="001553C1" w:rsidRPr="00507EDE">
        <w:rPr>
          <w:sz w:val="22"/>
          <w:szCs w:val="22"/>
        </w:rPr>
        <w:t>00</w:t>
      </w:r>
      <w:r w:rsidR="00E13D0F">
        <w:rPr>
          <w:sz w:val="22"/>
          <w:szCs w:val="22"/>
        </w:rPr>
        <w:t>-</w:t>
      </w:r>
      <w:r w:rsidR="009425B2" w:rsidRPr="00507EDE">
        <w:rPr>
          <w:sz w:val="22"/>
          <w:szCs w:val="22"/>
        </w:rPr>
        <w:t>1</w:t>
      </w:r>
      <w:r w:rsidR="00E13D0F">
        <w:rPr>
          <w:sz w:val="22"/>
          <w:szCs w:val="22"/>
        </w:rPr>
        <w:t> </w:t>
      </w:r>
      <w:r w:rsidR="009425B2" w:rsidRPr="00507EDE">
        <w:rPr>
          <w:sz w:val="22"/>
          <w:szCs w:val="22"/>
        </w:rPr>
        <w:t>000</w:t>
      </w:r>
      <w:r w:rsidR="009425B2">
        <w:rPr>
          <w:sz w:val="22"/>
          <w:szCs w:val="22"/>
        </w:rPr>
        <w:t> </w:t>
      </w:r>
      <w:r w:rsidR="001553C1" w:rsidRPr="00507EDE">
        <w:rPr>
          <w:sz w:val="22"/>
          <w:szCs w:val="22"/>
        </w:rPr>
        <w:t xml:space="preserve">mg </w:t>
      </w:r>
      <w:r w:rsidR="00A261D6">
        <w:rPr>
          <w:sz w:val="22"/>
          <w:szCs w:val="22"/>
        </w:rPr>
        <w:t xml:space="preserve">(1-2 tabletės) </w:t>
      </w:r>
      <w:r w:rsidR="001553C1" w:rsidRPr="00507EDE">
        <w:rPr>
          <w:sz w:val="22"/>
          <w:szCs w:val="22"/>
        </w:rPr>
        <w:t>3</w:t>
      </w:r>
      <w:r w:rsidR="00E13D0F">
        <w:rPr>
          <w:sz w:val="22"/>
          <w:szCs w:val="22"/>
        </w:rPr>
        <w:t>-</w:t>
      </w:r>
      <w:r w:rsidR="001553C1" w:rsidRPr="00507EDE">
        <w:rPr>
          <w:sz w:val="22"/>
          <w:szCs w:val="22"/>
        </w:rPr>
        <w:t>4 kartus per parą.</w:t>
      </w:r>
    </w:p>
    <w:p w14:paraId="4CA03DBC" w14:textId="77777777" w:rsidR="00F24BE3" w:rsidRDefault="00F24BE3" w:rsidP="00B804A9">
      <w:pPr>
        <w:rPr>
          <w:sz w:val="22"/>
          <w:szCs w:val="22"/>
        </w:rPr>
      </w:pPr>
    </w:p>
    <w:p w14:paraId="501FEDF3" w14:textId="242EA119" w:rsidR="00A261D6" w:rsidRDefault="00A261D6" w:rsidP="00A261D6">
      <w:pPr>
        <w:rPr>
          <w:i/>
          <w:iCs/>
          <w:sz w:val="22"/>
          <w:szCs w:val="22"/>
        </w:rPr>
      </w:pPr>
      <w:r>
        <w:rPr>
          <w:i/>
          <w:iCs/>
          <w:sz w:val="22"/>
          <w:szCs w:val="22"/>
        </w:rPr>
        <w:t>Paaugliams ir vaikams, kurių kūno svoris yra nuo 40</w:t>
      </w:r>
      <w:r w:rsidR="004101D8">
        <w:rPr>
          <w:i/>
          <w:iCs/>
          <w:sz w:val="22"/>
          <w:szCs w:val="22"/>
        </w:rPr>
        <w:t> kg iki 50 kg</w:t>
      </w:r>
      <w:r>
        <w:rPr>
          <w:i/>
          <w:iCs/>
          <w:sz w:val="22"/>
          <w:szCs w:val="22"/>
        </w:rPr>
        <w:t xml:space="preserve"> : </w:t>
      </w:r>
      <w:r>
        <w:rPr>
          <w:sz w:val="22"/>
          <w:szCs w:val="22"/>
        </w:rPr>
        <w:t>5</w:t>
      </w:r>
      <w:r w:rsidRPr="00507EDE">
        <w:rPr>
          <w:sz w:val="22"/>
          <w:szCs w:val="22"/>
        </w:rPr>
        <w:t>00</w:t>
      </w:r>
      <w:r w:rsidR="00E13D0F">
        <w:rPr>
          <w:sz w:val="22"/>
          <w:szCs w:val="22"/>
        </w:rPr>
        <w:t> </w:t>
      </w:r>
      <w:r w:rsidR="004101D8">
        <w:rPr>
          <w:sz w:val="22"/>
          <w:szCs w:val="22"/>
        </w:rPr>
        <w:t>mg</w:t>
      </w:r>
      <w:r w:rsidRPr="00507EDE">
        <w:rPr>
          <w:sz w:val="22"/>
          <w:szCs w:val="22"/>
        </w:rPr>
        <w:t xml:space="preserve"> </w:t>
      </w:r>
      <w:r>
        <w:rPr>
          <w:sz w:val="22"/>
          <w:szCs w:val="22"/>
        </w:rPr>
        <w:t>(1</w:t>
      </w:r>
      <w:r w:rsidR="004101D8">
        <w:rPr>
          <w:sz w:val="22"/>
          <w:szCs w:val="22"/>
        </w:rPr>
        <w:t xml:space="preserve"> </w:t>
      </w:r>
      <w:r>
        <w:rPr>
          <w:sz w:val="22"/>
          <w:szCs w:val="22"/>
        </w:rPr>
        <w:t xml:space="preserve">tabletė) </w:t>
      </w:r>
      <w:r w:rsidR="004101D8">
        <w:rPr>
          <w:sz w:val="22"/>
          <w:szCs w:val="22"/>
        </w:rPr>
        <w:t>kas 4</w:t>
      </w:r>
      <w:r w:rsidR="00E13D0F">
        <w:rPr>
          <w:sz w:val="22"/>
          <w:szCs w:val="22"/>
        </w:rPr>
        <w:t>-</w:t>
      </w:r>
      <w:r w:rsidR="004101D8">
        <w:rPr>
          <w:sz w:val="22"/>
          <w:szCs w:val="22"/>
        </w:rPr>
        <w:t>6 valandas</w:t>
      </w:r>
      <w:r w:rsidRPr="00507EDE">
        <w:rPr>
          <w:sz w:val="22"/>
          <w:szCs w:val="22"/>
        </w:rPr>
        <w:t>.</w:t>
      </w:r>
    </w:p>
    <w:p w14:paraId="4726BA14" w14:textId="77777777" w:rsidR="00A261D6" w:rsidRDefault="00A261D6" w:rsidP="00B804A9">
      <w:pPr>
        <w:rPr>
          <w:i/>
          <w:iCs/>
          <w:sz w:val="22"/>
          <w:szCs w:val="22"/>
        </w:rPr>
      </w:pPr>
    </w:p>
    <w:p w14:paraId="683F5878" w14:textId="33B3ABD7" w:rsidR="00F24BE3" w:rsidRDefault="00F24BE3" w:rsidP="00B804A9">
      <w:pPr>
        <w:rPr>
          <w:i/>
          <w:iCs/>
          <w:sz w:val="22"/>
          <w:szCs w:val="22"/>
        </w:rPr>
      </w:pPr>
      <w:r>
        <w:rPr>
          <w:i/>
          <w:iCs/>
          <w:sz w:val="22"/>
          <w:szCs w:val="22"/>
        </w:rPr>
        <w:t xml:space="preserve">Vaikams, kurių kūno svoris yra nuo 30 kg iki 40 kg (apytikris amžius 8-12 metų): </w:t>
      </w:r>
      <w:r>
        <w:rPr>
          <w:sz w:val="22"/>
          <w:szCs w:val="22"/>
        </w:rPr>
        <w:t>5</w:t>
      </w:r>
      <w:r w:rsidRPr="00507EDE">
        <w:rPr>
          <w:sz w:val="22"/>
          <w:szCs w:val="22"/>
        </w:rPr>
        <w:t>00</w:t>
      </w:r>
      <w:r>
        <w:rPr>
          <w:sz w:val="22"/>
          <w:szCs w:val="22"/>
        </w:rPr>
        <w:t xml:space="preserve"> mg</w:t>
      </w:r>
      <w:r w:rsidRPr="00507EDE">
        <w:rPr>
          <w:sz w:val="22"/>
          <w:szCs w:val="22"/>
        </w:rPr>
        <w:t xml:space="preserve"> </w:t>
      </w:r>
      <w:r>
        <w:rPr>
          <w:sz w:val="22"/>
          <w:szCs w:val="22"/>
        </w:rPr>
        <w:t xml:space="preserve">(1 tabletė) </w:t>
      </w:r>
      <w:r w:rsidR="00BC6D63">
        <w:rPr>
          <w:sz w:val="22"/>
          <w:szCs w:val="22"/>
        </w:rPr>
        <w:t>3 – 4 kartus per parą</w:t>
      </w:r>
      <w:r w:rsidRPr="00507EDE">
        <w:rPr>
          <w:sz w:val="22"/>
          <w:szCs w:val="22"/>
        </w:rPr>
        <w:t>.</w:t>
      </w:r>
    </w:p>
    <w:p w14:paraId="57B3E602" w14:textId="47C9D749" w:rsidR="00BC6D63" w:rsidRDefault="00BC6D63" w:rsidP="00B804A9">
      <w:pPr>
        <w:rPr>
          <w:i/>
          <w:iCs/>
          <w:sz w:val="22"/>
          <w:szCs w:val="22"/>
        </w:rPr>
      </w:pPr>
      <w:r w:rsidRPr="00BC6D63">
        <w:rPr>
          <w:sz w:val="22"/>
          <w:szCs w:val="22"/>
        </w:rPr>
        <w:t>Didžiausia paros dozė neturi viršyti 2</w:t>
      </w:r>
      <w:r w:rsidR="00E13D0F">
        <w:rPr>
          <w:sz w:val="22"/>
          <w:szCs w:val="22"/>
        </w:rPr>
        <w:t> </w:t>
      </w:r>
      <w:r w:rsidRPr="00BC6D63">
        <w:rPr>
          <w:sz w:val="22"/>
          <w:szCs w:val="22"/>
        </w:rPr>
        <w:t>000</w:t>
      </w:r>
      <w:r w:rsidR="00E13D0F">
        <w:rPr>
          <w:sz w:val="22"/>
          <w:szCs w:val="22"/>
        </w:rPr>
        <w:t> </w:t>
      </w:r>
      <w:r w:rsidRPr="00BC6D63">
        <w:rPr>
          <w:sz w:val="22"/>
          <w:szCs w:val="22"/>
        </w:rPr>
        <w:t>mg (4 tablečių) per 24 valandas.</w:t>
      </w:r>
    </w:p>
    <w:p w14:paraId="21EFD352" w14:textId="77777777" w:rsidR="001553C1" w:rsidRDefault="001553C1" w:rsidP="00B804A9">
      <w:pPr>
        <w:rPr>
          <w:i/>
          <w:iCs/>
          <w:sz w:val="22"/>
          <w:szCs w:val="22"/>
        </w:rPr>
      </w:pPr>
    </w:p>
    <w:p w14:paraId="2B5CBDEF" w14:textId="7B0504B3" w:rsidR="001E5723" w:rsidRDefault="00BE52E3" w:rsidP="00B804A9">
      <w:pPr>
        <w:rPr>
          <w:sz w:val="22"/>
          <w:szCs w:val="22"/>
        </w:rPr>
      </w:pPr>
      <w:r>
        <w:rPr>
          <w:i/>
          <w:iCs/>
          <w:sz w:val="22"/>
          <w:szCs w:val="22"/>
        </w:rPr>
        <w:t xml:space="preserve">Vaikams, kurių </w:t>
      </w:r>
      <w:r w:rsidR="00963CDE">
        <w:rPr>
          <w:i/>
          <w:iCs/>
          <w:sz w:val="22"/>
          <w:szCs w:val="22"/>
        </w:rPr>
        <w:t xml:space="preserve">kūno svoris yra nuo </w:t>
      </w:r>
      <w:r w:rsidR="003165F7">
        <w:rPr>
          <w:i/>
          <w:iCs/>
          <w:sz w:val="22"/>
          <w:szCs w:val="22"/>
        </w:rPr>
        <w:t>20</w:t>
      </w:r>
      <w:r w:rsidR="004101D8">
        <w:rPr>
          <w:i/>
          <w:iCs/>
          <w:sz w:val="22"/>
          <w:szCs w:val="22"/>
        </w:rPr>
        <w:t> kg</w:t>
      </w:r>
      <w:r w:rsidR="003165F7">
        <w:rPr>
          <w:i/>
          <w:iCs/>
          <w:sz w:val="22"/>
          <w:szCs w:val="22"/>
        </w:rPr>
        <w:t xml:space="preserve"> iki 30 kg </w:t>
      </w:r>
      <w:r w:rsidR="006323D1">
        <w:rPr>
          <w:i/>
          <w:iCs/>
          <w:sz w:val="22"/>
          <w:szCs w:val="22"/>
        </w:rPr>
        <w:t xml:space="preserve">(apytikris amžius </w:t>
      </w:r>
      <w:r w:rsidR="00F23E68" w:rsidRPr="00507EDE">
        <w:rPr>
          <w:i/>
          <w:iCs/>
          <w:sz w:val="22"/>
          <w:szCs w:val="22"/>
        </w:rPr>
        <w:t>6-1</w:t>
      </w:r>
      <w:r w:rsidR="006323D1">
        <w:rPr>
          <w:i/>
          <w:iCs/>
          <w:sz w:val="22"/>
          <w:szCs w:val="22"/>
        </w:rPr>
        <w:t>0</w:t>
      </w:r>
      <w:r w:rsidR="00F23E68" w:rsidRPr="00507EDE">
        <w:rPr>
          <w:i/>
          <w:iCs/>
          <w:sz w:val="22"/>
          <w:szCs w:val="22"/>
        </w:rPr>
        <w:t> metų</w:t>
      </w:r>
      <w:r w:rsidR="006323D1">
        <w:rPr>
          <w:i/>
          <w:iCs/>
          <w:sz w:val="22"/>
          <w:szCs w:val="22"/>
        </w:rPr>
        <w:t>):</w:t>
      </w:r>
      <w:r w:rsidR="00B804A9" w:rsidRPr="00507EDE">
        <w:rPr>
          <w:sz w:val="22"/>
          <w:szCs w:val="22"/>
        </w:rPr>
        <w:t xml:space="preserve"> 250</w:t>
      </w:r>
      <w:r w:rsidR="001E5723">
        <w:rPr>
          <w:sz w:val="22"/>
          <w:szCs w:val="22"/>
        </w:rPr>
        <w:t> mg</w:t>
      </w:r>
      <w:r w:rsidR="00B804A9" w:rsidRPr="00507EDE">
        <w:rPr>
          <w:sz w:val="22"/>
          <w:szCs w:val="22"/>
        </w:rPr>
        <w:t xml:space="preserve"> 3</w:t>
      </w:r>
      <w:r w:rsidR="00E13D0F">
        <w:rPr>
          <w:sz w:val="22"/>
          <w:szCs w:val="22"/>
        </w:rPr>
        <w:t>-</w:t>
      </w:r>
      <w:r w:rsidR="00B804A9" w:rsidRPr="00507EDE">
        <w:rPr>
          <w:sz w:val="22"/>
          <w:szCs w:val="22"/>
        </w:rPr>
        <w:t xml:space="preserve">4 kartus per parą. </w:t>
      </w:r>
    </w:p>
    <w:p w14:paraId="3DCADB92" w14:textId="77777777" w:rsidR="00CE68DB" w:rsidRDefault="00CE68DB" w:rsidP="00B804A9">
      <w:pPr>
        <w:rPr>
          <w:sz w:val="22"/>
          <w:szCs w:val="22"/>
        </w:rPr>
      </w:pPr>
      <w:r w:rsidRPr="00CE68DB">
        <w:rPr>
          <w:sz w:val="22"/>
          <w:szCs w:val="22"/>
        </w:rPr>
        <w:t>Vartojimo intervalas turi būti ne trumpesnis kaip 4 valandos.</w:t>
      </w:r>
    </w:p>
    <w:p w14:paraId="29A1F18B" w14:textId="7020B92C" w:rsidR="00B804A9" w:rsidRDefault="00B804A9" w:rsidP="00B804A9">
      <w:pPr>
        <w:rPr>
          <w:sz w:val="22"/>
          <w:szCs w:val="22"/>
        </w:rPr>
      </w:pPr>
      <w:r w:rsidRPr="00507EDE">
        <w:rPr>
          <w:sz w:val="22"/>
          <w:szCs w:val="22"/>
        </w:rPr>
        <w:t xml:space="preserve">Didžiausia paros dozė neturi viršyti </w:t>
      </w:r>
      <w:r w:rsidR="00CE68DB">
        <w:rPr>
          <w:sz w:val="22"/>
          <w:szCs w:val="22"/>
        </w:rPr>
        <w:t>2</w:t>
      </w:r>
      <w:r w:rsidR="00CE68DB" w:rsidRPr="00507EDE">
        <w:rPr>
          <w:sz w:val="22"/>
          <w:szCs w:val="22"/>
        </w:rPr>
        <w:t> </w:t>
      </w:r>
      <w:r w:rsidRPr="00507EDE">
        <w:rPr>
          <w:sz w:val="22"/>
          <w:szCs w:val="22"/>
        </w:rPr>
        <w:t xml:space="preserve">tablečių </w:t>
      </w:r>
      <w:r w:rsidR="0072413B" w:rsidRPr="00507EDE">
        <w:rPr>
          <w:sz w:val="22"/>
          <w:szCs w:val="22"/>
        </w:rPr>
        <w:t>(</w:t>
      </w:r>
      <w:r w:rsidR="00CE68DB">
        <w:rPr>
          <w:sz w:val="22"/>
          <w:szCs w:val="22"/>
        </w:rPr>
        <w:t>1</w:t>
      </w:r>
      <w:r w:rsidR="00CE68DB" w:rsidRPr="00507EDE">
        <w:rPr>
          <w:sz w:val="22"/>
          <w:szCs w:val="22"/>
        </w:rPr>
        <w:t> </w:t>
      </w:r>
      <w:r w:rsidR="0072413B" w:rsidRPr="00507EDE">
        <w:rPr>
          <w:sz w:val="22"/>
          <w:szCs w:val="22"/>
        </w:rPr>
        <w:t xml:space="preserve">000 mg) </w:t>
      </w:r>
      <w:r w:rsidRPr="00507EDE">
        <w:rPr>
          <w:sz w:val="22"/>
          <w:szCs w:val="22"/>
        </w:rPr>
        <w:t>per 24 valandas.</w:t>
      </w:r>
    </w:p>
    <w:p w14:paraId="44F7FB59" w14:textId="77777777" w:rsidR="00BA3BA7" w:rsidRPr="00507EDE" w:rsidRDefault="00BA3BA7" w:rsidP="00B804A9">
      <w:pPr>
        <w:rPr>
          <w:sz w:val="22"/>
          <w:szCs w:val="22"/>
        </w:rPr>
      </w:pPr>
    </w:p>
    <w:p w14:paraId="1E5BE379" w14:textId="4607B1EB" w:rsidR="00B804A9" w:rsidRPr="00507EDE" w:rsidRDefault="00B804A9" w:rsidP="00B804A9">
      <w:pPr>
        <w:rPr>
          <w:sz w:val="22"/>
          <w:szCs w:val="22"/>
        </w:rPr>
      </w:pPr>
      <w:r w:rsidRPr="00507EDE">
        <w:rPr>
          <w:i/>
          <w:iCs/>
          <w:sz w:val="22"/>
          <w:szCs w:val="22"/>
        </w:rPr>
        <w:t>Vaikams iki 6</w:t>
      </w:r>
      <w:r w:rsidR="00F23E68" w:rsidRPr="00507EDE">
        <w:rPr>
          <w:i/>
          <w:iCs/>
          <w:sz w:val="22"/>
          <w:szCs w:val="22"/>
        </w:rPr>
        <w:t> </w:t>
      </w:r>
      <w:r w:rsidRPr="00507EDE">
        <w:rPr>
          <w:i/>
          <w:iCs/>
          <w:sz w:val="22"/>
          <w:szCs w:val="22"/>
        </w:rPr>
        <w:t>metų</w:t>
      </w:r>
      <w:r w:rsidR="005C6D2D">
        <w:rPr>
          <w:i/>
          <w:iCs/>
          <w:sz w:val="22"/>
          <w:szCs w:val="22"/>
        </w:rPr>
        <w:t xml:space="preserve"> arba </w:t>
      </w:r>
      <w:r w:rsidR="00BC47B7">
        <w:rPr>
          <w:i/>
          <w:iCs/>
          <w:sz w:val="22"/>
          <w:szCs w:val="22"/>
        </w:rPr>
        <w:t>vaikams, kurių kūno svoris</w:t>
      </w:r>
      <w:r w:rsidR="006C66FF">
        <w:rPr>
          <w:i/>
          <w:iCs/>
          <w:sz w:val="22"/>
          <w:szCs w:val="22"/>
        </w:rPr>
        <w:t xml:space="preserve"> yra</w:t>
      </w:r>
      <w:r w:rsidR="005C6D2D" w:rsidRPr="005C6D2D">
        <w:rPr>
          <w:i/>
          <w:iCs/>
          <w:sz w:val="22"/>
          <w:szCs w:val="22"/>
        </w:rPr>
        <w:t xml:space="preserve"> maž</w:t>
      </w:r>
      <w:r w:rsidR="006C66FF">
        <w:rPr>
          <w:i/>
          <w:iCs/>
          <w:sz w:val="22"/>
          <w:szCs w:val="22"/>
        </w:rPr>
        <w:t>esnis</w:t>
      </w:r>
      <w:r w:rsidR="005C6D2D" w:rsidRPr="005C6D2D">
        <w:rPr>
          <w:i/>
          <w:iCs/>
          <w:sz w:val="22"/>
          <w:szCs w:val="22"/>
        </w:rPr>
        <w:t xml:space="preserve"> nei 20</w:t>
      </w:r>
      <w:r w:rsidR="00E13D0F">
        <w:rPr>
          <w:i/>
          <w:iCs/>
          <w:sz w:val="22"/>
          <w:szCs w:val="22"/>
        </w:rPr>
        <w:t> </w:t>
      </w:r>
      <w:r w:rsidR="005C6D2D" w:rsidRPr="005C6D2D">
        <w:rPr>
          <w:i/>
          <w:iCs/>
          <w:sz w:val="22"/>
          <w:szCs w:val="22"/>
        </w:rPr>
        <w:t>kg</w:t>
      </w:r>
      <w:r w:rsidRPr="00507EDE">
        <w:rPr>
          <w:sz w:val="22"/>
          <w:szCs w:val="22"/>
        </w:rPr>
        <w:t>:</w:t>
      </w:r>
      <w:r w:rsidR="00BE52E3">
        <w:rPr>
          <w:sz w:val="22"/>
          <w:szCs w:val="22"/>
        </w:rPr>
        <w:t xml:space="preserve"> </w:t>
      </w:r>
      <w:r w:rsidR="00F23E68" w:rsidRPr="00507EDE">
        <w:rPr>
          <w:sz w:val="22"/>
          <w:szCs w:val="22"/>
        </w:rPr>
        <w:t>jaunesniems kaip 6 metų vaikams</w:t>
      </w:r>
      <w:r w:rsidR="00BC47B7">
        <w:rPr>
          <w:sz w:val="22"/>
          <w:szCs w:val="22"/>
        </w:rPr>
        <w:t xml:space="preserve"> </w:t>
      </w:r>
      <w:r w:rsidR="00BC47B7" w:rsidRPr="00BC47B7">
        <w:rPr>
          <w:sz w:val="22"/>
          <w:szCs w:val="22"/>
        </w:rPr>
        <w:t xml:space="preserve">arba vaikams, kurių kūno svoris </w:t>
      </w:r>
      <w:r w:rsidR="006C66FF">
        <w:rPr>
          <w:sz w:val="22"/>
          <w:szCs w:val="22"/>
        </w:rPr>
        <w:t xml:space="preserve">yra </w:t>
      </w:r>
      <w:r w:rsidR="00BC47B7" w:rsidRPr="00BC47B7">
        <w:rPr>
          <w:sz w:val="22"/>
          <w:szCs w:val="22"/>
        </w:rPr>
        <w:t>mažesnis nei 20</w:t>
      </w:r>
      <w:r w:rsidR="00E13D0F">
        <w:rPr>
          <w:sz w:val="22"/>
          <w:szCs w:val="22"/>
        </w:rPr>
        <w:t> </w:t>
      </w:r>
      <w:r w:rsidR="00BC47B7" w:rsidRPr="00BC47B7">
        <w:rPr>
          <w:sz w:val="22"/>
          <w:szCs w:val="22"/>
        </w:rPr>
        <w:t>kg</w:t>
      </w:r>
      <w:r w:rsidR="00DE09B1">
        <w:rPr>
          <w:sz w:val="22"/>
          <w:szCs w:val="22"/>
        </w:rPr>
        <w:t>,</w:t>
      </w:r>
      <w:r w:rsidR="00F23E68" w:rsidRPr="00507EDE">
        <w:rPr>
          <w:sz w:val="22"/>
          <w:szCs w:val="22"/>
        </w:rPr>
        <w:t xml:space="preserve"> ši farmacinė forma vartoti netinka</w:t>
      </w:r>
      <w:r w:rsidR="008B414F" w:rsidRPr="00507EDE">
        <w:rPr>
          <w:sz w:val="22"/>
          <w:szCs w:val="22"/>
        </w:rPr>
        <w:t>ma</w:t>
      </w:r>
      <w:r w:rsidRPr="00507EDE">
        <w:rPr>
          <w:sz w:val="22"/>
          <w:szCs w:val="22"/>
        </w:rPr>
        <w:t>.</w:t>
      </w:r>
    </w:p>
    <w:bookmarkEnd w:id="1"/>
    <w:p w14:paraId="13042BFD" w14:textId="77777777" w:rsidR="00B804A9" w:rsidRPr="00507EDE" w:rsidRDefault="00B804A9" w:rsidP="000E192C">
      <w:pPr>
        <w:rPr>
          <w:sz w:val="22"/>
          <w:szCs w:val="22"/>
        </w:rPr>
      </w:pPr>
    </w:p>
    <w:p w14:paraId="16A9FC3F" w14:textId="05486EE5" w:rsidR="00F23E68" w:rsidRPr="00507EDE" w:rsidRDefault="00F23E68" w:rsidP="00F23E68">
      <w:pPr>
        <w:rPr>
          <w:sz w:val="22"/>
          <w:szCs w:val="22"/>
        </w:rPr>
      </w:pPr>
      <w:r w:rsidRPr="00507EDE">
        <w:rPr>
          <w:sz w:val="22"/>
          <w:szCs w:val="22"/>
        </w:rPr>
        <w:t>Rekomenduojamas 4</w:t>
      </w:r>
      <w:r w:rsidR="00E13D0F">
        <w:rPr>
          <w:sz w:val="22"/>
          <w:szCs w:val="22"/>
        </w:rPr>
        <w:t>-</w:t>
      </w:r>
      <w:r w:rsidRPr="00507EDE">
        <w:rPr>
          <w:sz w:val="22"/>
          <w:szCs w:val="22"/>
        </w:rPr>
        <w:t>6 valandų intervalas tarp vartojimo. Jei reikia, vaistini</w:t>
      </w:r>
      <w:r w:rsidR="00A96C34" w:rsidRPr="00507EDE">
        <w:rPr>
          <w:sz w:val="22"/>
          <w:szCs w:val="22"/>
        </w:rPr>
        <w:t>s</w:t>
      </w:r>
      <w:r w:rsidRPr="00507EDE">
        <w:rPr>
          <w:sz w:val="22"/>
          <w:szCs w:val="22"/>
        </w:rPr>
        <w:t xml:space="preserve"> prepara</w:t>
      </w:r>
      <w:r w:rsidR="00A96C34" w:rsidRPr="00507EDE">
        <w:rPr>
          <w:sz w:val="22"/>
          <w:szCs w:val="22"/>
        </w:rPr>
        <w:t>tas</w:t>
      </w:r>
      <w:r w:rsidRPr="00507EDE">
        <w:rPr>
          <w:sz w:val="22"/>
          <w:szCs w:val="22"/>
        </w:rPr>
        <w:t xml:space="preserve"> gali</w:t>
      </w:r>
      <w:r w:rsidR="00A96C34" w:rsidRPr="00507EDE">
        <w:rPr>
          <w:sz w:val="22"/>
          <w:szCs w:val="22"/>
        </w:rPr>
        <w:t xml:space="preserve"> būti skiriamas</w:t>
      </w:r>
      <w:r w:rsidRPr="00507EDE">
        <w:rPr>
          <w:sz w:val="22"/>
          <w:szCs w:val="22"/>
        </w:rPr>
        <w:t xml:space="preserve"> kas 4 valandas iki 4 dozių per parą. </w:t>
      </w:r>
      <w:r w:rsidR="0081476F">
        <w:rPr>
          <w:sz w:val="22"/>
          <w:szCs w:val="22"/>
        </w:rPr>
        <w:t>Negalima viršyti</w:t>
      </w:r>
      <w:r w:rsidR="0081476F" w:rsidRPr="00507EDE">
        <w:rPr>
          <w:sz w:val="22"/>
          <w:szCs w:val="22"/>
        </w:rPr>
        <w:t xml:space="preserve"> </w:t>
      </w:r>
      <w:r w:rsidRPr="00507EDE">
        <w:rPr>
          <w:sz w:val="22"/>
          <w:szCs w:val="22"/>
        </w:rPr>
        <w:t xml:space="preserve">rekomenduojamos paros dozės. </w:t>
      </w:r>
    </w:p>
    <w:p w14:paraId="1A9A280E" w14:textId="0FC98F01" w:rsidR="00B804A9" w:rsidRPr="00507EDE" w:rsidRDefault="00F23E68" w:rsidP="00F23E68">
      <w:pPr>
        <w:rPr>
          <w:sz w:val="22"/>
          <w:szCs w:val="22"/>
        </w:rPr>
      </w:pPr>
      <w:r w:rsidRPr="00507EDE">
        <w:rPr>
          <w:sz w:val="22"/>
          <w:szCs w:val="22"/>
        </w:rPr>
        <w:t>Maksimali gydymo be gydytojo konsultacijos trukmė neturi viršyti 3 dienų.</w:t>
      </w:r>
    </w:p>
    <w:p w14:paraId="23B91968" w14:textId="77777777" w:rsidR="00F23E68" w:rsidRPr="00507EDE" w:rsidRDefault="00F23E68" w:rsidP="000E192C">
      <w:pPr>
        <w:rPr>
          <w:sz w:val="22"/>
          <w:szCs w:val="22"/>
        </w:rPr>
      </w:pPr>
    </w:p>
    <w:p w14:paraId="5DCA2378" w14:textId="5FC394A3" w:rsidR="000728A1" w:rsidRPr="00507EDE" w:rsidRDefault="000728A1" w:rsidP="000728A1">
      <w:pPr>
        <w:rPr>
          <w:sz w:val="22"/>
        </w:rPr>
      </w:pPr>
      <w:r w:rsidRPr="00507EDE">
        <w:rPr>
          <w:sz w:val="22"/>
        </w:rPr>
        <w:t>Pacientams, kuriems yra vidutinio sunkumo inkstų nepakankamumas (GFG = 10–50 ml/min.), intervalą tarp dozavimo rekomenduojama didinti iki kas 6 val., o sunkiu inkstų nepakankamumu sergantiems pacientams (GFG = mažiau nei 10 ml/min.) – kas 8 val.</w:t>
      </w:r>
    </w:p>
    <w:p w14:paraId="6D2A1218" w14:textId="77777777" w:rsidR="000728A1" w:rsidRPr="00507EDE" w:rsidRDefault="000728A1" w:rsidP="000728A1">
      <w:pPr>
        <w:rPr>
          <w:sz w:val="22"/>
        </w:rPr>
      </w:pPr>
    </w:p>
    <w:p w14:paraId="2309DA59" w14:textId="5AEA72EF" w:rsidR="000728A1" w:rsidRPr="00507EDE" w:rsidRDefault="000728A1" w:rsidP="000E192C">
      <w:pPr>
        <w:rPr>
          <w:sz w:val="22"/>
          <w:szCs w:val="22"/>
        </w:rPr>
      </w:pPr>
      <w:r w:rsidRPr="00507EDE">
        <w:rPr>
          <w:sz w:val="22"/>
        </w:rPr>
        <w:t xml:space="preserve">Silpniems, senyviems pacientams ir mažiau nei 50 kg sveriantiems suaugusiesiems, turintiems valgymo sutrikimų ar lėtinių ligų, paracetamolio dozė turi būti koreguojama atsižvelgiant į jų svorį, 15 mg/kg/dozė kas 4–6 valandas iki 4 kartų per </w:t>
      </w:r>
      <w:r w:rsidR="008F5754" w:rsidRPr="00507EDE">
        <w:rPr>
          <w:sz w:val="22"/>
        </w:rPr>
        <w:t>parą.</w:t>
      </w:r>
      <w:r w:rsidRPr="00507EDE">
        <w:rPr>
          <w:sz w:val="20"/>
          <w:szCs w:val="22"/>
        </w:rPr>
        <w:t xml:space="preserve"> </w:t>
      </w:r>
    </w:p>
    <w:p w14:paraId="4EDFA109" w14:textId="77777777" w:rsidR="00554719" w:rsidRPr="00507EDE" w:rsidRDefault="00554719" w:rsidP="000E192C">
      <w:pPr>
        <w:tabs>
          <w:tab w:val="left" w:pos="567"/>
        </w:tabs>
        <w:rPr>
          <w:sz w:val="22"/>
          <w:szCs w:val="22"/>
          <w:u w:val="single"/>
        </w:rPr>
      </w:pPr>
    </w:p>
    <w:bookmarkEnd w:id="0"/>
    <w:p w14:paraId="773DDAFC" w14:textId="77777777" w:rsidR="000E192C" w:rsidRPr="00507EDE" w:rsidRDefault="000E192C" w:rsidP="000E192C">
      <w:pPr>
        <w:tabs>
          <w:tab w:val="left" w:pos="567"/>
        </w:tabs>
        <w:rPr>
          <w:sz w:val="22"/>
          <w:szCs w:val="22"/>
          <w:u w:val="single"/>
        </w:rPr>
      </w:pPr>
      <w:r w:rsidRPr="00507EDE">
        <w:rPr>
          <w:sz w:val="22"/>
          <w:szCs w:val="22"/>
          <w:u w:val="single"/>
        </w:rPr>
        <w:t xml:space="preserve">Vartojimo metodas </w:t>
      </w:r>
    </w:p>
    <w:p w14:paraId="1B06EE42" w14:textId="77777777" w:rsidR="000E192C" w:rsidRPr="00507EDE" w:rsidRDefault="000E192C" w:rsidP="000E192C">
      <w:pPr>
        <w:jc w:val="both"/>
        <w:rPr>
          <w:sz w:val="22"/>
          <w:szCs w:val="22"/>
        </w:rPr>
      </w:pPr>
      <w:r w:rsidRPr="00507EDE">
        <w:rPr>
          <w:sz w:val="22"/>
          <w:szCs w:val="22"/>
        </w:rPr>
        <w:t>Vartoti per burną.</w:t>
      </w:r>
    </w:p>
    <w:p w14:paraId="387BC36E" w14:textId="77777777" w:rsidR="000E192C" w:rsidRPr="00507EDE" w:rsidRDefault="000E192C" w:rsidP="000E192C">
      <w:pPr>
        <w:jc w:val="both"/>
        <w:rPr>
          <w:b/>
          <w:sz w:val="22"/>
          <w:szCs w:val="22"/>
        </w:rPr>
      </w:pPr>
    </w:p>
    <w:p w14:paraId="7F051E1C" w14:textId="77777777" w:rsidR="000E192C" w:rsidRPr="00507EDE" w:rsidRDefault="000E192C" w:rsidP="000E192C">
      <w:pPr>
        <w:keepNext/>
        <w:tabs>
          <w:tab w:val="left" w:pos="567"/>
        </w:tabs>
        <w:jc w:val="both"/>
        <w:outlineLvl w:val="3"/>
        <w:rPr>
          <w:sz w:val="22"/>
          <w:szCs w:val="22"/>
        </w:rPr>
      </w:pPr>
      <w:r w:rsidRPr="00507EDE">
        <w:rPr>
          <w:b/>
          <w:sz w:val="22"/>
          <w:szCs w:val="22"/>
        </w:rPr>
        <w:t>4.3</w:t>
      </w:r>
      <w:r w:rsidRPr="00507EDE">
        <w:rPr>
          <w:b/>
          <w:sz w:val="22"/>
          <w:szCs w:val="22"/>
        </w:rPr>
        <w:tab/>
        <w:t>Kontraindikacijos</w:t>
      </w:r>
    </w:p>
    <w:p w14:paraId="02611F7F" w14:textId="77777777" w:rsidR="000E192C" w:rsidRPr="00507EDE" w:rsidRDefault="000E192C" w:rsidP="000E192C">
      <w:pPr>
        <w:jc w:val="both"/>
        <w:rPr>
          <w:sz w:val="22"/>
          <w:szCs w:val="22"/>
        </w:rPr>
      </w:pPr>
    </w:p>
    <w:p w14:paraId="63020069" w14:textId="77777777" w:rsidR="000E192C" w:rsidRPr="00507EDE" w:rsidRDefault="000E192C" w:rsidP="000E192C">
      <w:pPr>
        <w:numPr>
          <w:ilvl w:val="0"/>
          <w:numId w:val="3"/>
        </w:numPr>
        <w:tabs>
          <w:tab w:val="left" w:pos="567"/>
        </w:tabs>
        <w:ind w:left="426" w:hanging="426"/>
        <w:jc w:val="both"/>
        <w:rPr>
          <w:sz w:val="22"/>
          <w:szCs w:val="22"/>
        </w:rPr>
      </w:pPr>
      <w:r w:rsidRPr="00507EDE">
        <w:rPr>
          <w:sz w:val="22"/>
          <w:szCs w:val="22"/>
        </w:rPr>
        <w:t>Padidėjęs jautrumas veikliajai arba bet kuriai 6.1 skyriuje nurodytai pagalbinei medžiagai.</w:t>
      </w:r>
    </w:p>
    <w:p w14:paraId="5ED69B9B" w14:textId="56F9F4D1" w:rsidR="000E192C" w:rsidRPr="00507EDE" w:rsidRDefault="000E192C" w:rsidP="000E192C">
      <w:pPr>
        <w:numPr>
          <w:ilvl w:val="0"/>
          <w:numId w:val="3"/>
        </w:numPr>
        <w:tabs>
          <w:tab w:val="left" w:pos="567"/>
        </w:tabs>
        <w:ind w:left="426" w:hanging="426"/>
        <w:jc w:val="both"/>
        <w:rPr>
          <w:sz w:val="22"/>
          <w:szCs w:val="22"/>
        </w:rPr>
      </w:pPr>
      <w:r w:rsidRPr="00507EDE">
        <w:rPr>
          <w:sz w:val="22"/>
          <w:szCs w:val="22"/>
        </w:rPr>
        <w:t>Sunkus kepenų nepakankamumas.</w:t>
      </w:r>
    </w:p>
    <w:p w14:paraId="5E22D9D4" w14:textId="77777777" w:rsidR="000E192C" w:rsidRPr="00507EDE" w:rsidRDefault="000E192C" w:rsidP="000E192C">
      <w:pPr>
        <w:jc w:val="both"/>
        <w:rPr>
          <w:sz w:val="22"/>
          <w:szCs w:val="22"/>
        </w:rPr>
      </w:pPr>
    </w:p>
    <w:p w14:paraId="7A0B8529" w14:textId="77777777" w:rsidR="000E192C" w:rsidRPr="00507EDE" w:rsidRDefault="000E192C" w:rsidP="000E192C">
      <w:pPr>
        <w:jc w:val="both"/>
        <w:rPr>
          <w:sz w:val="22"/>
          <w:szCs w:val="22"/>
        </w:rPr>
      </w:pPr>
      <w:r w:rsidRPr="00507EDE">
        <w:rPr>
          <w:b/>
          <w:sz w:val="22"/>
          <w:szCs w:val="22"/>
        </w:rPr>
        <w:t>4.4</w:t>
      </w:r>
      <w:r w:rsidRPr="00507EDE">
        <w:rPr>
          <w:b/>
          <w:sz w:val="22"/>
          <w:szCs w:val="22"/>
        </w:rPr>
        <w:tab/>
        <w:t>Specialūs įspėjimai ir atsargumo priemonės</w:t>
      </w:r>
    </w:p>
    <w:p w14:paraId="27006C5C" w14:textId="77777777" w:rsidR="000E192C" w:rsidRPr="00507EDE" w:rsidRDefault="000E192C" w:rsidP="000E192C">
      <w:pPr>
        <w:jc w:val="both"/>
        <w:rPr>
          <w:sz w:val="22"/>
          <w:szCs w:val="22"/>
        </w:rPr>
      </w:pPr>
    </w:p>
    <w:p w14:paraId="31D65830" w14:textId="682438F3" w:rsidR="0064159D" w:rsidRPr="00507EDE" w:rsidRDefault="00982CE7" w:rsidP="00213107">
      <w:pPr>
        <w:rPr>
          <w:sz w:val="22"/>
          <w:szCs w:val="22"/>
        </w:rPr>
      </w:pPr>
      <w:r w:rsidRPr="00507EDE">
        <w:rPr>
          <w:sz w:val="22"/>
          <w:szCs w:val="22"/>
        </w:rPr>
        <w:t xml:space="preserve">Sergant kepenų ir inkstų ligomis paracetamolio reikia skirti atsargiai, stebint kepenų ir inkstų funkciją. Perdozavimo </w:t>
      </w:r>
      <w:r w:rsidR="00F92DDF" w:rsidRPr="00507EDE">
        <w:rPr>
          <w:sz w:val="22"/>
          <w:szCs w:val="22"/>
        </w:rPr>
        <w:t>rizika</w:t>
      </w:r>
      <w:r w:rsidRPr="00507EDE">
        <w:rPr>
          <w:sz w:val="22"/>
          <w:szCs w:val="22"/>
        </w:rPr>
        <w:t xml:space="preserve"> yra didesn</w:t>
      </w:r>
      <w:r w:rsidR="00F92DDF" w:rsidRPr="00507EDE">
        <w:rPr>
          <w:sz w:val="22"/>
          <w:szCs w:val="22"/>
        </w:rPr>
        <w:t>ė tiems asmenims, kurie</w:t>
      </w:r>
      <w:r w:rsidRPr="00507EDE">
        <w:rPr>
          <w:sz w:val="22"/>
          <w:szCs w:val="22"/>
        </w:rPr>
        <w:t xml:space="preserve"> serga </w:t>
      </w:r>
      <w:r w:rsidR="00F92DDF" w:rsidRPr="00507EDE">
        <w:rPr>
          <w:sz w:val="22"/>
          <w:szCs w:val="22"/>
        </w:rPr>
        <w:t xml:space="preserve">kepenų liga, nesusijusia </w:t>
      </w:r>
      <w:r w:rsidR="00213107" w:rsidRPr="00507EDE">
        <w:rPr>
          <w:sz w:val="22"/>
          <w:szCs w:val="22"/>
        </w:rPr>
        <w:t>su ciroze</w:t>
      </w:r>
      <w:r w:rsidRPr="00507EDE">
        <w:rPr>
          <w:sz w:val="22"/>
          <w:szCs w:val="22"/>
        </w:rPr>
        <w:t>.</w:t>
      </w:r>
      <w:r w:rsidR="008B414F" w:rsidRPr="00507EDE">
        <w:rPr>
          <w:sz w:val="22"/>
          <w:szCs w:val="22"/>
        </w:rPr>
        <w:t xml:space="preserve"> </w:t>
      </w:r>
    </w:p>
    <w:p w14:paraId="3DF25BF6" w14:textId="5D52AA93" w:rsidR="00554719" w:rsidRPr="00507EDE" w:rsidRDefault="00213107" w:rsidP="00213107">
      <w:pPr>
        <w:rPr>
          <w:sz w:val="22"/>
        </w:rPr>
      </w:pPr>
      <w:r w:rsidRPr="00507EDE">
        <w:rPr>
          <w:sz w:val="22"/>
          <w:szCs w:val="22"/>
        </w:rPr>
        <w:t>Jeigu inkstų funkcija sutrikusi, vaistinis preparatas turi būti vartojamas prižiūrint gydytojui ir stebint kreatinino klirenso reikšmes. Jei kreatinino klirensas yra mažesnis nei 10 ml/min, intervalas tarp dviejų dozių turi būti ne trumpesnis kaip 8 valandos.</w:t>
      </w:r>
    </w:p>
    <w:p w14:paraId="3DC94A8B" w14:textId="5991A19C" w:rsidR="00982CE7" w:rsidRPr="00507EDE" w:rsidRDefault="00792A15" w:rsidP="00213107">
      <w:pPr>
        <w:rPr>
          <w:sz w:val="22"/>
          <w:szCs w:val="22"/>
        </w:rPr>
      </w:pPr>
      <w:r w:rsidRPr="00507EDE">
        <w:rPr>
          <w:sz w:val="22"/>
          <w:szCs w:val="22"/>
        </w:rPr>
        <w:t>Jokių kitų vaistinių preparatų, kurių sudėtyje yra paracetamolio, kartu vartoti negalima, kad būtų išvengta perdozavimo ar apsinuodijimo paracetamoliu rizikos.</w:t>
      </w:r>
    </w:p>
    <w:p w14:paraId="50F40D6A" w14:textId="4CAB405D" w:rsidR="00792A15" w:rsidRPr="00507EDE" w:rsidRDefault="00792A15" w:rsidP="00213107">
      <w:pPr>
        <w:rPr>
          <w:sz w:val="22"/>
          <w:szCs w:val="22"/>
        </w:rPr>
      </w:pPr>
      <w:r w:rsidRPr="00507EDE">
        <w:rPr>
          <w:sz w:val="22"/>
          <w:szCs w:val="22"/>
        </w:rPr>
        <w:t>Jeigu po 3 dienų gydymo būklė nepagerėja arba pablogėja, gydymą reikia įvertinti iš naujo.</w:t>
      </w:r>
    </w:p>
    <w:p w14:paraId="1A325F55" w14:textId="77777777" w:rsidR="00E445CB" w:rsidRPr="00507EDE" w:rsidRDefault="00E445CB" w:rsidP="00213107">
      <w:pPr>
        <w:rPr>
          <w:sz w:val="22"/>
          <w:szCs w:val="22"/>
        </w:rPr>
      </w:pPr>
    </w:p>
    <w:p w14:paraId="7B86A594" w14:textId="4C70529D" w:rsidR="002D6C2C" w:rsidRPr="00507EDE" w:rsidRDefault="00F92DDF" w:rsidP="00213107">
      <w:pPr>
        <w:rPr>
          <w:sz w:val="22"/>
          <w:szCs w:val="22"/>
        </w:rPr>
      </w:pPr>
      <w:r w:rsidRPr="00507EDE">
        <w:rPr>
          <w:sz w:val="22"/>
          <w:szCs w:val="22"/>
        </w:rPr>
        <w:t>Lėtiniu alkoholizmu sergantiems asmenims paracetamolio reikia vartoti atsargiai.</w:t>
      </w:r>
      <w:r w:rsidR="00E445CB" w:rsidRPr="00507EDE">
        <w:rPr>
          <w:sz w:val="22"/>
          <w:szCs w:val="22"/>
        </w:rPr>
        <w:t xml:space="preserve"> </w:t>
      </w:r>
    </w:p>
    <w:p w14:paraId="69D22BA1" w14:textId="77777777" w:rsidR="002D6C2C" w:rsidRPr="00507EDE" w:rsidRDefault="002D6C2C" w:rsidP="00213107">
      <w:pPr>
        <w:rPr>
          <w:sz w:val="22"/>
          <w:szCs w:val="22"/>
        </w:rPr>
      </w:pPr>
    </w:p>
    <w:p w14:paraId="212DEF98" w14:textId="4CB9610E" w:rsidR="009D5CD6" w:rsidRPr="00507EDE" w:rsidRDefault="00507EDE" w:rsidP="00213107">
      <w:pPr>
        <w:rPr>
          <w:sz w:val="22"/>
          <w:szCs w:val="22"/>
        </w:rPr>
      </w:pPr>
      <w:r w:rsidRPr="00620184">
        <w:rPr>
          <w:sz w:val="22"/>
          <w:szCs w:val="22"/>
        </w:rPr>
        <w:t>Gauta pranešimų apie padidėjusį anijoninį tarpą esant metabolinei acidozei (PATMA) dėl piroglutamato acidozės</w:t>
      </w:r>
      <w:r w:rsidRPr="00507EDE">
        <w:rPr>
          <w:sz w:val="22"/>
          <w:szCs w:val="22"/>
        </w:rPr>
        <w:t xml:space="preserve">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w:t>
      </w:r>
      <w:r w:rsidR="009D5CD6">
        <w:rPr>
          <w:sz w:val="22"/>
          <w:szCs w:val="22"/>
        </w:rPr>
        <w:t xml:space="preserve">. </w:t>
      </w:r>
      <w:r w:rsidR="009D5CD6" w:rsidRPr="009D5CD6">
        <w:rPr>
          <w:sz w:val="22"/>
          <w:szCs w:val="22"/>
        </w:rPr>
        <w:t>Nustatytas 5</w:t>
      </w:r>
      <w:r w:rsidR="0029796E">
        <w:rPr>
          <w:sz w:val="22"/>
          <w:szCs w:val="22"/>
        </w:rPr>
        <w:t> - </w:t>
      </w:r>
      <w:r w:rsidR="009D5CD6" w:rsidRPr="009D5CD6">
        <w:rPr>
          <w:sz w:val="22"/>
          <w:szCs w:val="22"/>
        </w:rPr>
        <w:t>oksoprolino kiekis šlapime gali padėti nustatyti, ar piroglutamato acidozė yra pagrindinė PATMA priežastis pacientams, kuriems nustatyti keli rizikos veiksniai.</w:t>
      </w:r>
    </w:p>
    <w:p w14:paraId="67539857" w14:textId="77777777" w:rsidR="00F12C2A" w:rsidRPr="00507EDE" w:rsidRDefault="00F12C2A" w:rsidP="00213107">
      <w:pPr>
        <w:rPr>
          <w:sz w:val="22"/>
          <w:szCs w:val="22"/>
        </w:rPr>
      </w:pPr>
    </w:p>
    <w:p w14:paraId="10697F28" w14:textId="0344923E" w:rsidR="00F12C2A" w:rsidRPr="006943D5" w:rsidRDefault="00F12C2A" w:rsidP="00213107">
      <w:pPr>
        <w:rPr>
          <w:sz w:val="22"/>
          <w:szCs w:val="22"/>
          <w:u w:val="single"/>
        </w:rPr>
      </w:pPr>
      <w:r w:rsidRPr="006943D5">
        <w:rPr>
          <w:sz w:val="22"/>
          <w:szCs w:val="22"/>
          <w:u w:val="single"/>
        </w:rPr>
        <w:t>Pagalbinės medžiagos</w:t>
      </w:r>
    </w:p>
    <w:p w14:paraId="7F9C148A" w14:textId="77777777" w:rsidR="00F12C2A" w:rsidRPr="00507EDE" w:rsidRDefault="00F12C2A" w:rsidP="00213107">
      <w:pPr>
        <w:rPr>
          <w:sz w:val="22"/>
          <w:szCs w:val="22"/>
        </w:rPr>
      </w:pPr>
    </w:p>
    <w:p w14:paraId="789F5D63" w14:textId="6C900B55" w:rsidR="00F12C2A" w:rsidRPr="006943D5" w:rsidRDefault="00F12C2A" w:rsidP="00213107">
      <w:pPr>
        <w:rPr>
          <w:i/>
          <w:iCs/>
          <w:sz w:val="22"/>
          <w:szCs w:val="22"/>
        </w:rPr>
      </w:pPr>
      <w:r w:rsidRPr="00507EDE">
        <w:rPr>
          <w:i/>
          <w:iCs/>
          <w:sz w:val="22"/>
          <w:szCs w:val="22"/>
        </w:rPr>
        <w:t>Kviečių krakmolas</w:t>
      </w:r>
    </w:p>
    <w:p w14:paraId="7BC4BBEC" w14:textId="7EFF4C62" w:rsidR="00A2008D" w:rsidRPr="00507EDE" w:rsidRDefault="00F12C2A" w:rsidP="00213107">
      <w:pPr>
        <w:rPr>
          <w:sz w:val="22"/>
          <w:szCs w:val="22"/>
        </w:rPr>
      </w:pPr>
      <w:r w:rsidRPr="00507EDE">
        <w:rPr>
          <w:sz w:val="22"/>
          <w:szCs w:val="22"/>
        </w:rPr>
        <w:t>Šio v</w:t>
      </w:r>
      <w:r w:rsidR="00A2008D" w:rsidRPr="00507EDE">
        <w:rPr>
          <w:sz w:val="22"/>
          <w:szCs w:val="22"/>
        </w:rPr>
        <w:t>aistinio preparato sudėtyje yra</w:t>
      </w:r>
      <w:r w:rsidRPr="00507EDE">
        <w:rPr>
          <w:sz w:val="22"/>
          <w:szCs w:val="22"/>
        </w:rPr>
        <w:t xml:space="preserve"> labai mažas</w:t>
      </w:r>
      <w:r w:rsidR="00A2008D" w:rsidRPr="00507EDE">
        <w:rPr>
          <w:sz w:val="22"/>
          <w:szCs w:val="22"/>
        </w:rPr>
        <w:t xml:space="preserve"> </w:t>
      </w:r>
      <w:r w:rsidR="00341CC8" w:rsidRPr="00507EDE">
        <w:rPr>
          <w:sz w:val="22"/>
          <w:szCs w:val="22"/>
        </w:rPr>
        <w:t xml:space="preserve">glitimo (esančio </w:t>
      </w:r>
      <w:r w:rsidR="00A2008D" w:rsidRPr="00507EDE">
        <w:rPr>
          <w:sz w:val="22"/>
          <w:szCs w:val="22"/>
        </w:rPr>
        <w:t>kviečių krakmol</w:t>
      </w:r>
      <w:r w:rsidR="00341CC8" w:rsidRPr="00507EDE">
        <w:rPr>
          <w:sz w:val="22"/>
          <w:szCs w:val="22"/>
        </w:rPr>
        <w:t>e) kiekis</w:t>
      </w:r>
      <w:r w:rsidR="004C3526" w:rsidRPr="00507EDE">
        <w:rPr>
          <w:sz w:val="22"/>
          <w:szCs w:val="22"/>
        </w:rPr>
        <w:t>. Šis vaistinis preparatas laikytinas neturinčiu glitimo,</w:t>
      </w:r>
      <w:r w:rsidR="00341CC8" w:rsidRPr="00507EDE">
        <w:rPr>
          <w:sz w:val="22"/>
          <w:szCs w:val="22"/>
        </w:rPr>
        <w:t xml:space="preserve"> </w:t>
      </w:r>
      <w:r w:rsidR="00A2008D" w:rsidRPr="00507EDE">
        <w:rPr>
          <w:sz w:val="22"/>
          <w:szCs w:val="22"/>
        </w:rPr>
        <w:t xml:space="preserve">todėl </w:t>
      </w:r>
      <w:r w:rsidR="00341CC8" w:rsidRPr="00507EDE">
        <w:rPr>
          <w:sz w:val="22"/>
          <w:szCs w:val="22"/>
        </w:rPr>
        <w:t xml:space="preserve">jei sergate celiakija, mažai tikėtina, kad Jums pakenks. </w:t>
      </w:r>
    </w:p>
    <w:p w14:paraId="6A1C49CB" w14:textId="77777777" w:rsidR="004C3526" w:rsidRPr="00507EDE" w:rsidRDefault="004C3526" w:rsidP="00213107">
      <w:pPr>
        <w:rPr>
          <w:sz w:val="22"/>
          <w:szCs w:val="22"/>
        </w:rPr>
      </w:pPr>
    </w:p>
    <w:p w14:paraId="6B51E8B4" w14:textId="6E72B303" w:rsidR="004C3526" w:rsidRPr="00507EDE" w:rsidRDefault="004C3526" w:rsidP="00213107">
      <w:pPr>
        <w:rPr>
          <w:sz w:val="22"/>
          <w:szCs w:val="22"/>
        </w:rPr>
      </w:pPr>
      <w:r w:rsidRPr="00507EDE">
        <w:rPr>
          <w:sz w:val="22"/>
          <w:szCs w:val="22"/>
        </w:rPr>
        <w:t xml:space="preserve">Vienoje tabletėje yra </w:t>
      </w:r>
      <w:r w:rsidR="003627D8">
        <w:rPr>
          <w:sz w:val="22"/>
          <w:szCs w:val="22"/>
        </w:rPr>
        <w:t xml:space="preserve">ne daugiau kaip </w:t>
      </w:r>
      <w:r w:rsidRPr="00507EDE">
        <w:rPr>
          <w:sz w:val="22"/>
          <w:szCs w:val="22"/>
        </w:rPr>
        <w:t>3,6 mikrogramo glitimo.</w:t>
      </w:r>
    </w:p>
    <w:p w14:paraId="6CBE26E0" w14:textId="77777777" w:rsidR="00341CC8" w:rsidRPr="00507EDE" w:rsidRDefault="00341CC8" w:rsidP="00213107">
      <w:pPr>
        <w:rPr>
          <w:sz w:val="22"/>
          <w:szCs w:val="22"/>
        </w:rPr>
      </w:pPr>
    </w:p>
    <w:p w14:paraId="60289E98" w14:textId="43F08432" w:rsidR="00341CC8" w:rsidRPr="00507EDE" w:rsidRDefault="00341CC8" w:rsidP="00213107">
      <w:pPr>
        <w:rPr>
          <w:sz w:val="22"/>
          <w:szCs w:val="22"/>
        </w:rPr>
      </w:pPr>
      <w:r w:rsidRPr="00507EDE">
        <w:rPr>
          <w:sz w:val="22"/>
          <w:szCs w:val="22"/>
        </w:rPr>
        <w:t>Jeigu esate alergiškas (alergiška) kviečiams (ši liga skiriasi nuo celiakijos), Jums šio vaistinio preparato vartoti negalima.</w:t>
      </w:r>
    </w:p>
    <w:p w14:paraId="013E1077" w14:textId="77777777" w:rsidR="00F12C2A" w:rsidRPr="00507EDE" w:rsidRDefault="00F12C2A" w:rsidP="00213107">
      <w:pPr>
        <w:rPr>
          <w:sz w:val="22"/>
          <w:szCs w:val="22"/>
        </w:rPr>
      </w:pPr>
    </w:p>
    <w:p w14:paraId="4BFFFEA2" w14:textId="16C82CAB" w:rsidR="00F12C2A" w:rsidRPr="006943D5" w:rsidRDefault="00F12C2A" w:rsidP="00213107">
      <w:pPr>
        <w:rPr>
          <w:i/>
          <w:iCs/>
          <w:sz w:val="22"/>
          <w:szCs w:val="22"/>
        </w:rPr>
      </w:pPr>
      <w:r w:rsidRPr="006943D5">
        <w:rPr>
          <w:i/>
          <w:iCs/>
          <w:sz w:val="22"/>
          <w:szCs w:val="22"/>
        </w:rPr>
        <w:t>Laktozė</w:t>
      </w:r>
    </w:p>
    <w:p w14:paraId="39B455B4" w14:textId="50D411A3" w:rsidR="00F92DDF" w:rsidRPr="00507EDE" w:rsidRDefault="00A2008D" w:rsidP="00A2008D">
      <w:pPr>
        <w:rPr>
          <w:sz w:val="22"/>
          <w:szCs w:val="22"/>
        </w:rPr>
      </w:pPr>
      <w:r w:rsidRPr="00507EDE">
        <w:rPr>
          <w:sz w:val="22"/>
          <w:szCs w:val="22"/>
        </w:rPr>
        <w:t>Šio vaistinio preparato sudėtyje yra pagalbinės medžiagos</w:t>
      </w:r>
      <w:r w:rsidR="00F12C2A" w:rsidRPr="00507EDE">
        <w:rPr>
          <w:sz w:val="22"/>
          <w:szCs w:val="22"/>
        </w:rPr>
        <w:t xml:space="preserve"> -</w:t>
      </w:r>
      <w:r w:rsidRPr="00507EDE">
        <w:rPr>
          <w:sz w:val="22"/>
          <w:szCs w:val="22"/>
        </w:rPr>
        <w:t xml:space="preserve"> laktozės </w:t>
      </w:r>
      <w:r w:rsidR="006E45F2">
        <w:rPr>
          <w:sz w:val="22"/>
          <w:szCs w:val="22"/>
        </w:rPr>
        <w:t>(</w:t>
      </w:r>
      <w:r w:rsidRPr="00507EDE">
        <w:rPr>
          <w:sz w:val="22"/>
          <w:szCs w:val="22"/>
        </w:rPr>
        <w:t>monohidrato</w:t>
      </w:r>
      <w:r w:rsidR="006E45F2">
        <w:rPr>
          <w:sz w:val="22"/>
          <w:szCs w:val="22"/>
        </w:rPr>
        <w:t xml:space="preserve"> pavidalu)</w:t>
      </w:r>
      <w:r w:rsidRPr="00507EDE">
        <w:rPr>
          <w:sz w:val="22"/>
          <w:szCs w:val="22"/>
        </w:rPr>
        <w:t>. Šio vaistinio preparato negalima vartoti pacientams, kuriems nustatytas retas paveldimas sutrikimas – galaktozės netoleravimas, visiškas laktazės stygius arba gliukozės ir galaktozės malabsorbcija.</w:t>
      </w:r>
    </w:p>
    <w:p w14:paraId="3092D21B" w14:textId="77777777" w:rsidR="00A2008D" w:rsidRPr="00507EDE" w:rsidRDefault="00A2008D" w:rsidP="00A2008D">
      <w:pPr>
        <w:rPr>
          <w:sz w:val="22"/>
          <w:szCs w:val="22"/>
        </w:rPr>
      </w:pPr>
    </w:p>
    <w:p w14:paraId="0C2EE724" w14:textId="77777777" w:rsidR="000E192C" w:rsidRPr="00507EDE" w:rsidRDefault="000E192C" w:rsidP="000E192C">
      <w:pPr>
        <w:keepNext/>
        <w:tabs>
          <w:tab w:val="left" w:pos="567"/>
        </w:tabs>
        <w:jc w:val="both"/>
        <w:outlineLvl w:val="3"/>
        <w:rPr>
          <w:sz w:val="22"/>
          <w:szCs w:val="22"/>
        </w:rPr>
      </w:pPr>
      <w:r w:rsidRPr="00507EDE">
        <w:rPr>
          <w:b/>
          <w:sz w:val="22"/>
          <w:szCs w:val="22"/>
        </w:rPr>
        <w:t>4.5</w:t>
      </w:r>
      <w:r w:rsidRPr="00507EDE">
        <w:rPr>
          <w:b/>
          <w:sz w:val="22"/>
          <w:szCs w:val="22"/>
        </w:rPr>
        <w:tab/>
        <w:t>Sąveika su kitais vaistiniais preparatais ir kitokia sąveika</w:t>
      </w:r>
    </w:p>
    <w:p w14:paraId="7E6600A1" w14:textId="77777777" w:rsidR="000E192C" w:rsidRPr="00507EDE" w:rsidRDefault="000E192C" w:rsidP="000E192C">
      <w:pPr>
        <w:keepNext/>
        <w:jc w:val="both"/>
        <w:rPr>
          <w:sz w:val="22"/>
          <w:szCs w:val="22"/>
        </w:rPr>
      </w:pPr>
    </w:p>
    <w:p w14:paraId="25FDFE16" w14:textId="77777777" w:rsidR="0070255D" w:rsidRPr="00507EDE" w:rsidRDefault="000E192C" w:rsidP="0070255D">
      <w:pPr>
        <w:pStyle w:val="BT-EMEASMCA"/>
        <w:ind w:left="567" w:hanging="567"/>
        <w:rPr>
          <w:sz w:val="22"/>
          <w:szCs w:val="22"/>
        </w:rPr>
      </w:pPr>
      <w:r w:rsidRPr="00507EDE">
        <w:rPr>
          <w:sz w:val="22"/>
          <w:szCs w:val="22"/>
        </w:rPr>
        <w:t xml:space="preserve">Metoklopramidas </w:t>
      </w:r>
      <w:r w:rsidR="0070255D" w:rsidRPr="00507EDE">
        <w:rPr>
          <w:sz w:val="22"/>
          <w:szCs w:val="22"/>
        </w:rPr>
        <w:t>ir</w:t>
      </w:r>
      <w:r w:rsidRPr="00507EDE">
        <w:rPr>
          <w:sz w:val="22"/>
          <w:szCs w:val="22"/>
        </w:rPr>
        <w:t xml:space="preserve"> domperidonas gali padidinti paracetamolio absorbcijos greitį.</w:t>
      </w:r>
    </w:p>
    <w:p w14:paraId="77049ED9" w14:textId="77777777" w:rsidR="00606A28" w:rsidRDefault="0070255D" w:rsidP="0070255D">
      <w:pPr>
        <w:pStyle w:val="BT-EMEASMCA"/>
        <w:ind w:left="567" w:hanging="567"/>
        <w:rPr>
          <w:sz w:val="22"/>
          <w:szCs w:val="22"/>
        </w:rPr>
      </w:pPr>
      <w:r w:rsidRPr="00507EDE">
        <w:rPr>
          <w:sz w:val="22"/>
          <w:szCs w:val="22"/>
        </w:rPr>
        <w:t>Paracetamolis pailgina chloramfenikolio pusinės eliminacijos laiką, konkurenciniu būdu slopindamas jo metabolizmą, todėl padidėja mielotoksinio poveikio rizika.</w:t>
      </w:r>
    </w:p>
    <w:p w14:paraId="74BD59AE" w14:textId="7D048791" w:rsidR="0070255D" w:rsidRPr="00507EDE" w:rsidRDefault="00606A28" w:rsidP="0070255D">
      <w:pPr>
        <w:pStyle w:val="BT-EMEASMCA"/>
        <w:ind w:left="567" w:hanging="567"/>
        <w:rPr>
          <w:sz w:val="22"/>
          <w:szCs w:val="22"/>
        </w:rPr>
      </w:pPr>
      <w:r w:rsidRPr="00606A28">
        <w:rPr>
          <w:sz w:val="22"/>
          <w:szCs w:val="22"/>
        </w:rPr>
        <w:t>Ilgalaikis reguliarus paracetamolio vartojimas stiprina kumarino antikoaguliantų poveikį ir gali padidinti kraujavimo riziką, jei vartojamas kartu.</w:t>
      </w:r>
      <w:r w:rsidR="000E192C" w:rsidRPr="00507EDE">
        <w:rPr>
          <w:sz w:val="22"/>
          <w:szCs w:val="22"/>
        </w:rPr>
        <w:t xml:space="preserve"> </w:t>
      </w:r>
    </w:p>
    <w:p w14:paraId="0C0D48B5" w14:textId="312ACD18" w:rsidR="00053444" w:rsidRPr="00507EDE" w:rsidRDefault="00053444" w:rsidP="0070255D">
      <w:pPr>
        <w:pStyle w:val="BT-EMEASMCA"/>
        <w:ind w:left="567" w:hanging="567"/>
        <w:rPr>
          <w:sz w:val="22"/>
          <w:szCs w:val="22"/>
        </w:rPr>
      </w:pPr>
      <w:r w:rsidRPr="00507EDE">
        <w:rPr>
          <w:sz w:val="22"/>
          <w:szCs w:val="22"/>
        </w:rPr>
        <w:t>Kartu vartojant paracetamolio ir alkoholio arba kepenų fermentus indukuojančių vaistinių preparatų, tokių kaip fenitoinas, karbamazepinas, fenobarbitalis, rifampicinas, izoniazidas, gali s</w:t>
      </w:r>
      <w:r w:rsidR="00554719" w:rsidRPr="00507EDE">
        <w:rPr>
          <w:sz w:val="22"/>
          <w:szCs w:val="22"/>
        </w:rPr>
        <w:t>ustiprėti</w:t>
      </w:r>
      <w:r w:rsidRPr="00507EDE">
        <w:rPr>
          <w:sz w:val="22"/>
          <w:szCs w:val="22"/>
        </w:rPr>
        <w:t xml:space="preserve"> toksin</w:t>
      </w:r>
      <w:r w:rsidR="00554719" w:rsidRPr="00507EDE">
        <w:rPr>
          <w:sz w:val="22"/>
          <w:szCs w:val="22"/>
        </w:rPr>
        <w:t>is</w:t>
      </w:r>
      <w:r w:rsidRPr="00507EDE">
        <w:rPr>
          <w:sz w:val="22"/>
          <w:szCs w:val="22"/>
        </w:rPr>
        <w:t xml:space="preserve"> paracetamolio poveik</w:t>
      </w:r>
      <w:r w:rsidR="00554719" w:rsidRPr="00507EDE">
        <w:rPr>
          <w:sz w:val="22"/>
          <w:szCs w:val="22"/>
        </w:rPr>
        <w:t>is</w:t>
      </w:r>
      <w:r w:rsidRPr="00507EDE">
        <w:rPr>
          <w:sz w:val="22"/>
          <w:szCs w:val="22"/>
        </w:rPr>
        <w:t xml:space="preserve"> kepenims.</w:t>
      </w:r>
    </w:p>
    <w:p w14:paraId="2B40466C" w14:textId="7B389844" w:rsidR="00053444" w:rsidRPr="00507EDE" w:rsidRDefault="00053444" w:rsidP="0070255D">
      <w:pPr>
        <w:pStyle w:val="BT-EMEASMCA"/>
        <w:ind w:left="567" w:hanging="567"/>
        <w:rPr>
          <w:sz w:val="22"/>
          <w:szCs w:val="22"/>
        </w:rPr>
      </w:pPr>
      <w:r w:rsidRPr="00507EDE">
        <w:rPr>
          <w:sz w:val="22"/>
          <w:szCs w:val="22"/>
        </w:rPr>
        <w:t xml:space="preserve">Ilgalaikis reguliarus paracetamolio vartojimas kartu su acetilsalicilo rūgštimi arba kitais </w:t>
      </w:r>
      <w:r w:rsidR="00714BB7" w:rsidRPr="00507EDE">
        <w:rPr>
          <w:sz w:val="22"/>
          <w:szCs w:val="22"/>
        </w:rPr>
        <w:t>nesteroidiniais vaistiniais preparatais nuo uždegimo (</w:t>
      </w:r>
      <w:r w:rsidRPr="00507EDE">
        <w:rPr>
          <w:sz w:val="22"/>
          <w:szCs w:val="22"/>
        </w:rPr>
        <w:t>NV</w:t>
      </w:r>
      <w:r w:rsidR="00714BB7" w:rsidRPr="00507EDE">
        <w:rPr>
          <w:sz w:val="22"/>
          <w:szCs w:val="22"/>
        </w:rPr>
        <w:t>P</w:t>
      </w:r>
      <w:r w:rsidRPr="00507EDE">
        <w:rPr>
          <w:sz w:val="22"/>
          <w:szCs w:val="22"/>
        </w:rPr>
        <w:t>NU</w:t>
      </w:r>
      <w:r w:rsidR="00714BB7" w:rsidRPr="00507EDE">
        <w:rPr>
          <w:sz w:val="22"/>
          <w:szCs w:val="22"/>
        </w:rPr>
        <w:t>)</w:t>
      </w:r>
      <w:r w:rsidRPr="00507EDE">
        <w:rPr>
          <w:sz w:val="22"/>
          <w:szCs w:val="22"/>
        </w:rPr>
        <w:t xml:space="preserve"> didin</w:t>
      </w:r>
      <w:r w:rsidR="00714BB7" w:rsidRPr="00507EDE">
        <w:rPr>
          <w:sz w:val="22"/>
          <w:szCs w:val="22"/>
        </w:rPr>
        <w:t>a</w:t>
      </w:r>
      <w:r w:rsidRPr="00507EDE">
        <w:rPr>
          <w:sz w:val="22"/>
          <w:szCs w:val="22"/>
        </w:rPr>
        <w:t xml:space="preserve"> inkstų funkcijos sutrikimo riziką.</w:t>
      </w:r>
    </w:p>
    <w:p w14:paraId="068AE8E1" w14:textId="77777777" w:rsidR="00714BB7" w:rsidRPr="00507EDE" w:rsidRDefault="00714BB7" w:rsidP="000E192C">
      <w:pPr>
        <w:pStyle w:val="BT-EMEASMCA"/>
        <w:ind w:left="567" w:hanging="567"/>
        <w:rPr>
          <w:sz w:val="22"/>
          <w:szCs w:val="22"/>
        </w:rPr>
      </w:pPr>
      <w:r w:rsidRPr="00507EDE">
        <w:rPr>
          <w:sz w:val="22"/>
          <w:szCs w:val="22"/>
        </w:rPr>
        <w:t>Cholestiraminas ir antacidiniai vaistiniai preparatai gali sumažinti paracetamolio absorbciją.</w:t>
      </w:r>
    </w:p>
    <w:p w14:paraId="0BEEEA81" w14:textId="74B585B6" w:rsidR="00540D0E" w:rsidRPr="00507EDE" w:rsidRDefault="00540D0E" w:rsidP="000E192C">
      <w:pPr>
        <w:pStyle w:val="BT-EMEASMCA"/>
        <w:ind w:left="567" w:hanging="567"/>
        <w:rPr>
          <w:sz w:val="22"/>
          <w:szCs w:val="22"/>
        </w:rPr>
      </w:pPr>
      <w:r w:rsidRPr="00ED373A">
        <w:rPr>
          <w:sz w:val="22"/>
          <w:szCs w:val="22"/>
        </w:rPr>
        <w:t>Reikia imtis atsargumo priemonių, kai paracetamolis vartojamas kartu su flukloksacilinu, nes vienu metu vartojant šį vaistinį preparatą, dėl piroglutamato acidozės susidaro didelis anijoninis tarpas esant metabolinei acidozei, ypač pacientams, kuriems nustatyt</w:t>
      </w:r>
      <w:r w:rsidR="00046E76">
        <w:rPr>
          <w:sz w:val="22"/>
          <w:szCs w:val="22"/>
        </w:rPr>
        <w:t>a</w:t>
      </w:r>
      <w:r w:rsidRPr="00ED373A">
        <w:rPr>
          <w:sz w:val="22"/>
          <w:szCs w:val="22"/>
        </w:rPr>
        <w:t xml:space="preserve"> rizikos veiksni</w:t>
      </w:r>
      <w:r w:rsidR="00046E76">
        <w:rPr>
          <w:sz w:val="22"/>
          <w:szCs w:val="22"/>
        </w:rPr>
        <w:t>ų</w:t>
      </w:r>
      <w:r w:rsidRPr="00ED373A">
        <w:rPr>
          <w:sz w:val="22"/>
          <w:szCs w:val="22"/>
        </w:rPr>
        <w:t xml:space="preserve"> (žr. 4.4 skyrių).</w:t>
      </w:r>
    </w:p>
    <w:p w14:paraId="4EE8D616" w14:textId="49AA827E" w:rsidR="00EA63D6" w:rsidRPr="00507EDE" w:rsidRDefault="00EA63D6" w:rsidP="000E192C">
      <w:pPr>
        <w:pStyle w:val="BT-EMEASMCA"/>
        <w:ind w:left="567" w:hanging="567"/>
        <w:rPr>
          <w:sz w:val="22"/>
          <w:szCs w:val="22"/>
        </w:rPr>
      </w:pPr>
      <w:r w:rsidRPr="00507EDE">
        <w:rPr>
          <w:sz w:val="22"/>
          <w:szCs w:val="22"/>
        </w:rPr>
        <w:t>Paracetamolis gali turėti įtakos šlapimo rūgšties ir cukraus kiekio kraujyje tyrimų rezultatams.</w:t>
      </w:r>
    </w:p>
    <w:p w14:paraId="4163E917" w14:textId="77777777" w:rsidR="0070255D" w:rsidRPr="00507EDE" w:rsidRDefault="0070255D" w:rsidP="000E192C">
      <w:pPr>
        <w:rPr>
          <w:sz w:val="22"/>
          <w:szCs w:val="22"/>
        </w:rPr>
      </w:pPr>
    </w:p>
    <w:p w14:paraId="17432E9B" w14:textId="77777777" w:rsidR="000E192C" w:rsidRPr="00507EDE" w:rsidRDefault="000E192C" w:rsidP="000E192C">
      <w:pPr>
        <w:keepNext/>
        <w:tabs>
          <w:tab w:val="left" w:pos="567"/>
        </w:tabs>
        <w:jc w:val="both"/>
        <w:outlineLvl w:val="3"/>
        <w:rPr>
          <w:sz w:val="22"/>
          <w:szCs w:val="22"/>
        </w:rPr>
      </w:pPr>
      <w:r w:rsidRPr="00507EDE">
        <w:rPr>
          <w:b/>
          <w:sz w:val="22"/>
          <w:szCs w:val="22"/>
        </w:rPr>
        <w:t>4.6</w:t>
      </w:r>
      <w:r w:rsidRPr="00507EDE">
        <w:rPr>
          <w:b/>
          <w:sz w:val="22"/>
          <w:szCs w:val="22"/>
        </w:rPr>
        <w:tab/>
        <w:t>Vaisingumas, nėštumo ir žindymo laikotarpis</w:t>
      </w:r>
    </w:p>
    <w:p w14:paraId="075FB253" w14:textId="77777777" w:rsidR="000E192C" w:rsidRPr="00507EDE" w:rsidRDefault="000E192C" w:rsidP="000E192C">
      <w:pPr>
        <w:jc w:val="both"/>
        <w:rPr>
          <w:sz w:val="22"/>
          <w:szCs w:val="22"/>
        </w:rPr>
      </w:pPr>
    </w:p>
    <w:p w14:paraId="7D48CE99" w14:textId="77777777" w:rsidR="000E192C" w:rsidRPr="00507EDE" w:rsidRDefault="000E192C" w:rsidP="000E192C">
      <w:pPr>
        <w:jc w:val="both"/>
        <w:rPr>
          <w:color w:val="0D0D0D"/>
          <w:sz w:val="22"/>
          <w:szCs w:val="22"/>
          <w:u w:val="single"/>
        </w:rPr>
      </w:pPr>
      <w:r w:rsidRPr="00507EDE">
        <w:rPr>
          <w:color w:val="0D0D0D"/>
          <w:sz w:val="22"/>
          <w:szCs w:val="22"/>
          <w:u w:val="single"/>
        </w:rPr>
        <w:t>Nėštumas</w:t>
      </w:r>
    </w:p>
    <w:p w14:paraId="0040BEF6" w14:textId="6231A952" w:rsidR="00671C02" w:rsidRPr="00507EDE" w:rsidRDefault="00671C02" w:rsidP="000E192C">
      <w:pPr>
        <w:autoSpaceDE w:val="0"/>
        <w:autoSpaceDN w:val="0"/>
        <w:adjustRightInd w:val="0"/>
        <w:rPr>
          <w:bCs/>
          <w:iCs/>
          <w:color w:val="000000" w:themeColor="text1"/>
          <w:sz w:val="22"/>
          <w:szCs w:val="22"/>
        </w:rPr>
      </w:pPr>
      <w:r w:rsidRPr="00507EDE">
        <w:rPr>
          <w:bCs/>
          <w:iCs/>
          <w:sz w:val="22"/>
          <w:szCs w:val="22"/>
        </w:rPr>
        <w:t xml:space="preserve">Didelis kiekis nėščių moterų tyrimų duomenų nerodo paracetamolio poveikio įgimtoms formavimosi ydoms ar toksinio poveikio vaisiui (ar) naujagimiui. </w:t>
      </w:r>
      <w:r w:rsidRPr="00507EDE">
        <w:rPr>
          <w:bCs/>
          <w:iCs/>
          <w:color w:val="000000" w:themeColor="text1"/>
          <w:sz w:val="22"/>
          <w:szCs w:val="22"/>
        </w:rPr>
        <w:t xml:space="preserve">Vaikų, kurie buvo paveikti paracetamolio </w:t>
      </w:r>
      <w:r w:rsidRPr="00507EDE">
        <w:rPr>
          <w:bCs/>
          <w:i/>
          <w:color w:val="000000" w:themeColor="text1"/>
          <w:sz w:val="22"/>
          <w:szCs w:val="22"/>
        </w:rPr>
        <w:t>in utero</w:t>
      </w:r>
      <w:r w:rsidRPr="00507EDE">
        <w:rPr>
          <w:bCs/>
          <w:iCs/>
          <w:color w:val="000000" w:themeColor="text1"/>
          <w:sz w:val="22"/>
          <w:szCs w:val="22"/>
        </w:rPr>
        <w:t>, nervų sistemos vystymosi epidemiologinių tyrimų rezultatų nepakanka išvadoms padaryti. Jei kliniškai reikalinga, paracetamolis gali būti vartojamas nėštumo metu, tačiau jį reik</w:t>
      </w:r>
      <w:r w:rsidR="003D66A0" w:rsidRPr="00507EDE">
        <w:rPr>
          <w:bCs/>
          <w:iCs/>
          <w:color w:val="000000" w:themeColor="text1"/>
          <w:sz w:val="22"/>
          <w:szCs w:val="22"/>
        </w:rPr>
        <w:t>ia</w:t>
      </w:r>
      <w:r w:rsidRPr="00507EDE">
        <w:rPr>
          <w:bCs/>
          <w:iCs/>
          <w:color w:val="000000" w:themeColor="text1"/>
          <w:sz w:val="22"/>
          <w:szCs w:val="22"/>
        </w:rPr>
        <w:t xml:space="preserve"> vartoti mažiausiomis veiksmingomis dozėmis, kuo trumpesnį laiką ir kuo rečiau.</w:t>
      </w:r>
    </w:p>
    <w:p w14:paraId="1D803DF1" w14:textId="77777777" w:rsidR="000E192C" w:rsidRPr="00507EDE" w:rsidRDefault="000E192C" w:rsidP="000E192C">
      <w:pPr>
        <w:jc w:val="both"/>
        <w:rPr>
          <w:sz w:val="22"/>
          <w:szCs w:val="22"/>
        </w:rPr>
      </w:pPr>
    </w:p>
    <w:p w14:paraId="5BD4FA53" w14:textId="77777777" w:rsidR="000E192C" w:rsidRPr="00507EDE" w:rsidRDefault="000E192C" w:rsidP="000E192C">
      <w:pPr>
        <w:rPr>
          <w:sz w:val="22"/>
          <w:szCs w:val="22"/>
          <w:u w:val="single"/>
        </w:rPr>
      </w:pPr>
      <w:r w:rsidRPr="00507EDE">
        <w:rPr>
          <w:color w:val="0D0D0D"/>
          <w:sz w:val="22"/>
          <w:szCs w:val="22"/>
          <w:u w:val="single"/>
        </w:rPr>
        <w:t>Žindymas</w:t>
      </w:r>
    </w:p>
    <w:p w14:paraId="30A071A7" w14:textId="258421C8" w:rsidR="0050413E" w:rsidRPr="00507EDE" w:rsidRDefault="0050413E" w:rsidP="000E192C">
      <w:pPr>
        <w:autoSpaceDE w:val="0"/>
        <w:autoSpaceDN w:val="0"/>
        <w:adjustRightInd w:val="0"/>
        <w:rPr>
          <w:color w:val="000000" w:themeColor="text1"/>
          <w:sz w:val="22"/>
          <w:szCs w:val="22"/>
        </w:rPr>
      </w:pPr>
      <w:r w:rsidRPr="00507EDE">
        <w:rPr>
          <w:color w:val="000000" w:themeColor="text1"/>
          <w:sz w:val="22"/>
          <w:szCs w:val="22"/>
        </w:rPr>
        <w:t xml:space="preserve">Vartojant gydomąsias vaistinio preparato dozes, paracetamolio į </w:t>
      </w:r>
      <w:r w:rsidR="00B1112A">
        <w:rPr>
          <w:color w:val="000000" w:themeColor="text1"/>
          <w:sz w:val="22"/>
          <w:szCs w:val="22"/>
        </w:rPr>
        <w:t>žindančios moters</w:t>
      </w:r>
      <w:r w:rsidRPr="00507EDE">
        <w:rPr>
          <w:color w:val="000000" w:themeColor="text1"/>
          <w:sz w:val="22"/>
          <w:szCs w:val="22"/>
        </w:rPr>
        <w:t xml:space="preserve"> pieną išsiskiria nedideli, kliniškai nereikšmingi kiekiai. Žindymo laikotarpiu paracetamolio galima vartoti, jei griežtai laikomasi paros gydomosios dozės ir gydymo kurso trukmės.</w:t>
      </w:r>
    </w:p>
    <w:p w14:paraId="227F9D30" w14:textId="77777777" w:rsidR="000E192C" w:rsidRPr="00507EDE" w:rsidRDefault="000E192C" w:rsidP="000E192C">
      <w:pPr>
        <w:jc w:val="both"/>
        <w:rPr>
          <w:sz w:val="22"/>
          <w:szCs w:val="22"/>
        </w:rPr>
      </w:pPr>
    </w:p>
    <w:p w14:paraId="14BE036C" w14:textId="77777777" w:rsidR="000E192C" w:rsidRPr="00507EDE" w:rsidRDefault="000E192C" w:rsidP="000E192C">
      <w:pPr>
        <w:keepNext/>
        <w:tabs>
          <w:tab w:val="left" w:pos="567"/>
        </w:tabs>
        <w:jc w:val="both"/>
        <w:outlineLvl w:val="3"/>
        <w:rPr>
          <w:sz w:val="22"/>
          <w:szCs w:val="22"/>
        </w:rPr>
      </w:pPr>
      <w:r w:rsidRPr="00507EDE">
        <w:rPr>
          <w:b/>
          <w:sz w:val="22"/>
          <w:szCs w:val="22"/>
        </w:rPr>
        <w:t>4.7</w:t>
      </w:r>
      <w:r w:rsidRPr="00507EDE">
        <w:rPr>
          <w:b/>
          <w:sz w:val="22"/>
          <w:szCs w:val="22"/>
        </w:rPr>
        <w:tab/>
        <w:t>Poveikis gebėjimui vairuoti ir valdyti mechanizmus</w:t>
      </w:r>
    </w:p>
    <w:p w14:paraId="5895F690" w14:textId="77777777" w:rsidR="000E192C" w:rsidRPr="00507EDE" w:rsidRDefault="000E192C" w:rsidP="000E192C">
      <w:pPr>
        <w:jc w:val="both"/>
        <w:rPr>
          <w:sz w:val="22"/>
          <w:szCs w:val="22"/>
        </w:rPr>
      </w:pPr>
    </w:p>
    <w:p w14:paraId="0C20D239" w14:textId="41BD468D" w:rsidR="000E192C" w:rsidRPr="00507EDE" w:rsidRDefault="000E192C" w:rsidP="000E192C">
      <w:pPr>
        <w:rPr>
          <w:sz w:val="22"/>
          <w:szCs w:val="22"/>
        </w:rPr>
      </w:pPr>
      <w:r w:rsidRPr="00507EDE">
        <w:rPr>
          <w:sz w:val="22"/>
          <w:szCs w:val="22"/>
        </w:rPr>
        <w:t xml:space="preserve">Paracetamol </w:t>
      </w:r>
      <w:r w:rsidR="00F5364E">
        <w:rPr>
          <w:sz w:val="22"/>
          <w:szCs w:val="22"/>
        </w:rPr>
        <w:t>Hiltrex</w:t>
      </w:r>
      <w:r w:rsidRPr="00507EDE">
        <w:rPr>
          <w:sz w:val="22"/>
          <w:szCs w:val="22"/>
        </w:rPr>
        <w:t xml:space="preserve"> gebėjimo vairuoti ir valdyti mechanizmus neveikia</w:t>
      </w:r>
      <w:r w:rsidR="0050413E" w:rsidRPr="00507EDE">
        <w:rPr>
          <w:sz w:val="22"/>
          <w:szCs w:val="22"/>
        </w:rPr>
        <w:t xml:space="preserve"> arba veikia nereikšmingai</w:t>
      </w:r>
      <w:r w:rsidRPr="00507EDE">
        <w:rPr>
          <w:sz w:val="22"/>
          <w:szCs w:val="22"/>
        </w:rPr>
        <w:t>.</w:t>
      </w:r>
    </w:p>
    <w:p w14:paraId="622D9B5D" w14:textId="77777777" w:rsidR="000E192C" w:rsidRPr="00507EDE" w:rsidRDefault="000E192C" w:rsidP="000E192C">
      <w:pPr>
        <w:jc w:val="both"/>
        <w:rPr>
          <w:b/>
          <w:bCs/>
          <w:sz w:val="22"/>
          <w:szCs w:val="22"/>
        </w:rPr>
      </w:pPr>
    </w:p>
    <w:p w14:paraId="0AAE23A4" w14:textId="77777777" w:rsidR="000E192C" w:rsidRPr="00507EDE" w:rsidRDefault="000E192C" w:rsidP="000E192C">
      <w:pPr>
        <w:tabs>
          <w:tab w:val="left" w:pos="567"/>
        </w:tabs>
        <w:rPr>
          <w:sz w:val="22"/>
          <w:szCs w:val="22"/>
          <w:u w:val="single"/>
        </w:rPr>
      </w:pPr>
      <w:r w:rsidRPr="00507EDE">
        <w:rPr>
          <w:b/>
          <w:sz w:val="22"/>
          <w:szCs w:val="22"/>
        </w:rPr>
        <w:t>4.8</w:t>
      </w:r>
      <w:r w:rsidRPr="00507EDE">
        <w:rPr>
          <w:b/>
          <w:sz w:val="22"/>
          <w:szCs w:val="22"/>
        </w:rPr>
        <w:tab/>
        <w:t>Nepageidaujamas poveikis</w:t>
      </w:r>
    </w:p>
    <w:p w14:paraId="559A10C9" w14:textId="77777777" w:rsidR="000E192C" w:rsidRPr="00507EDE" w:rsidRDefault="000E192C" w:rsidP="000E192C">
      <w:pPr>
        <w:jc w:val="both"/>
        <w:rPr>
          <w:sz w:val="22"/>
          <w:szCs w:val="22"/>
        </w:rPr>
      </w:pPr>
    </w:p>
    <w:p w14:paraId="20899444" w14:textId="77777777" w:rsidR="006124D8" w:rsidRPr="00507EDE" w:rsidRDefault="006124D8" w:rsidP="006124D8">
      <w:pPr>
        <w:widowControl w:val="0"/>
        <w:autoSpaceDE w:val="0"/>
        <w:autoSpaceDN w:val="0"/>
        <w:adjustRightInd w:val="0"/>
        <w:rPr>
          <w:rFonts w:eastAsia="Times New Roman"/>
          <w:sz w:val="22"/>
          <w:szCs w:val="22"/>
          <w:lang w:eastAsia="en-US"/>
        </w:rPr>
      </w:pPr>
      <w:r w:rsidRPr="00507EDE">
        <w:rPr>
          <w:rFonts w:eastAsia="Times New Roman"/>
          <w:sz w:val="22"/>
          <w:szCs w:val="22"/>
          <w:lang w:eastAsia="en-US"/>
        </w:rPr>
        <w:t>Nepageidaujamos reakcijos išvardytos toliau pagal organų sistemų klases ir dažnį.</w:t>
      </w:r>
    </w:p>
    <w:p w14:paraId="5909B6B7" w14:textId="77777777" w:rsidR="006124D8" w:rsidRPr="00507EDE" w:rsidRDefault="006124D8" w:rsidP="006124D8">
      <w:pPr>
        <w:rPr>
          <w:rFonts w:eastAsia="Times New Roman"/>
          <w:iCs/>
          <w:sz w:val="22"/>
          <w:szCs w:val="22"/>
          <w:lang w:eastAsia="en-US"/>
        </w:rPr>
      </w:pPr>
      <w:r w:rsidRPr="00507EDE">
        <w:rPr>
          <w:rFonts w:eastAsia="Times New Roman"/>
          <w:iCs/>
          <w:sz w:val="22"/>
          <w:szCs w:val="22"/>
          <w:lang w:eastAsia="en-US"/>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9D55F68" w14:textId="5BD77827" w:rsidR="000C6461" w:rsidRPr="00507EDE" w:rsidRDefault="000C6461" w:rsidP="006124D8">
      <w:pPr>
        <w:rPr>
          <w:rFonts w:eastAsia="Times New Roman"/>
          <w:iCs/>
          <w:sz w:val="22"/>
          <w:szCs w:val="22"/>
          <w:lang w:eastAsia="en-US"/>
        </w:rPr>
      </w:pPr>
      <w:r w:rsidRPr="00507EDE">
        <w:rPr>
          <w:rFonts w:eastAsia="Times New Roman"/>
          <w:iCs/>
          <w:sz w:val="22"/>
          <w:szCs w:val="22"/>
          <w:lang w:eastAsia="en-US"/>
        </w:rPr>
        <w:t>Nepageidaujamų reakcijų dažnis buvo apskaičiuotas remiantis spontani</w:t>
      </w:r>
      <w:r w:rsidR="00E94346">
        <w:rPr>
          <w:rFonts w:eastAsia="Times New Roman"/>
          <w:iCs/>
          <w:sz w:val="22"/>
          <w:szCs w:val="22"/>
          <w:lang w:eastAsia="en-US"/>
        </w:rPr>
        <w:t>niais</w:t>
      </w:r>
      <w:r w:rsidRPr="00507EDE">
        <w:rPr>
          <w:rFonts w:eastAsia="Times New Roman"/>
          <w:iCs/>
          <w:sz w:val="22"/>
          <w:szCs w:val="22"/>
          <w:lang w:eastAsia="en-US"/>
        </w:rPr>
        <w:t xml:space="preserve"> po </w:t>
      </w:r>
      <w:r w:rsidR="003D66A0" w:rsidRPr="00507EDE">
        <w:rPr>
          <w:rFonts w:eastAsia="Times New Roman"/>
          <w:iCs/>
          <w:sz w:val="22"/>
          <w:szCs w:val="22"/>
          <w:lang w:eastAsia="en-US"/>
        </w:rPr>
        <w:t xml:space="preserve">vaistinio preparato </w:t>
      </w:r>
      <w:r w:rsidRPr="00507EDE">
        <w:rPr>
          <w:rFonts w:eastAsia="Times New Roman"/>
          <w:iCs/>
          <w:sz w:val="22"/>
          <w:szCs w:val="22"/>
          <w:lang w:eastAsia="en-US"/>
        </w:rPr>
        <w:t>pateikimo į rinką gautais pranešimais.</w:t>
      </w:r>
    </w:p>
    <w:p w14:paraId="2FC612D5" w14:textId="77777777" w:rsidR="000C6461" w:rsidRPr="00507EDE" w:rsidRDefault="000C6461" w:rsidP="006124D8">
      <w:pPr>
        <w:rPr>
          <w:rFonts w:eastAsia="Times New Roman"/>
          <w:iCs/>
          <w:sz w:val="22"/>
          <w:szCs w:val="22"/>
          <w:lang w:eastAsia="en-US"/>
        </w:rPr>
      </w:pPr>
    </w:p>
    <w:p w14:paraId="14858E44" w14:textId="77777777"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Kraujo ir limfinės sistemos sutrikimai</w:t>
      </w:r>
    </w:p>
    <w:p w14:paraId="47D891E2" w14:textId="62AF826B"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trombocitopenija, anemija, agranulocitozė, leukopenija.</w:t>
      </w:r>
    </w:p>
    <w:p w14:paraId="4F62F0F7" w14:textId="77777777" w:rsidR="000C6461" w:rsidRPr="00507EDE" w:rsidRDefault="000C6461" w:rsidP="000C6461">
      <w:pPr>
        <w:rPr>
          <w:rFonts w:eastAsia="Times New Roman"/>
          <w:iCs/>
          <w:sz w:val="22"/>
          <w:szCs w:val="22"/>
          <w:lang w:eastAsia="en-US"/>
        </w:rPr>
      </w:pPr>
    </w:p>
    <w:p w14:paraId="5F0A12AA" w14:textId="77777777"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Imuninės sistemos sutrikimai</w:t>
      </w:r>
    </w:p>
    <w:p w14:paraId="519C31D8" w14:textId="4E44CBC2"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anafilaksi</w:t>
      </w:r>
      <w:r w:rsidR="00FF5D40" w:rsidRPr="00507EDE">
        <w:rPr>
          <w:rFonts w:eastAsia="Times New Roman"/>
          <w:iCs/>
          <w:sz w:val="22"/>
          <w:szCs w:val="22"/>
          <w:lang w:eastAsia="en-US"/>
        </w:rPr>
        <w:t>nės</w:t>
      </w:r>
      <w:r w:rsidRPr="00507EDE">
        <w:rPr>
          <w:rFonts w:eastAsia="Times New Roman"/>
          <w:iCs/>
          <w:sz w:val="22"/>
          <w:szCs w:val="22"/>
          <w:lang w:eastAsia="en-US"/>
        </w:rPr>
        <w:t xml:space="preserve">, padidėjusio jautrumo reakcijos, įskaitant odos </w:t>
      </w:r>
      <w:r w:rsidR="00FF5D40" w:rsidRPr="00507EDE">
        <w:rPr>
          <w:rFonts w:eastAsia="Times New Roman"/>
          <w:iCs/>
          <w:sz w:val="22"/>
          <w:szCs w:val="22"/>
          <w:lang w:eastAsia="en-US"/>
        </w:rPr>
        <w:t>iš</w:t>
      </w:r>
      <w:r w:rsidRPr="00507EDE">
        <w:rPr>
          <w:rFonts w:eastAsia="Times New Roman"/>
          <w:iCs/>
          <w:sz w:val="22"/>
          <w:szCs w:val="22"/>
          <w:lang w:eastAsia="en-US"/>
        </w:rPr>
        <w:t>bėrimą, angioneurozinę edemą.</w:t>
      </w:r>
    </w:p>
    <w:p w14:paraId="4B526259" w14:textId="77777777" w:rsidR="000C6461" w:rsidRDefault="000C6461" w:rsidP="000C6461">
      <w:pPr>
        <w:rPr>
          <w:rFonts w:eastAsia="Times New Roman"/>
          <w:iCs/>
          <w:sz w:val="22"/>
          <w:szCs w:val="22"/>
          <w:lang w:eastAsia="en-US"/>
        </w:rPr>
      </w:pPr>
    </w:p>
    <w:p w14:paraId="4859214B" w14:textId="2C4AA4B2" w:rsidR="00274DCE" w:rsidRPr="00424A8C" w:rsidRDefault="00274DCE" w:rsidP="000C6461">
      <w:pPr>
        <w:rPr>
          <w:rFonts w:eastAsia="Times New Roman"/>
          <w:iCs/>
          <w:sz w:val="22"/>
          <w:szCs w:val="22"/>
          <w:u w:val="single"/>
          <w:lang w:eastAsia="en-US"/>
        </w:rPr>
      </w:pPr>
      <w:r w:rsidRPr="00424A8C">
        <w:rPr>
          <w:rFonts w:eastAsia="Times New Roman"/>
          <w:iCs/>
          <w:sz w:val="22"/>
          <w:szCs w:val="22"/>
          <w:u w:val="single"/>
          <w:lang w:eastAsia="en-US"/>
        </w:rPr>
        <w:t>Metabolizmo ir mitybos sutrikimai</w:t>
      </w:r>
    </w:p>
    <w:p w14:paraId="67B5FE10" w14:textId="2EEBC5C7" w:rsidR="00274DCE" w:rsidRDefault="004C7C9D" w:rsidP="000C6461">
      <w:pPr>
        <w:rPr>
          <w:rFonts w:eastAsia="Times New Roman"/>
          <w:iCs/>
          <w:sz w:val="22"/>
          <w:szCs w:val="22"/>
          <w:lang w:eastAsia="en-US"/>
        </w:rPr>
      </w:pPr>
      <w:r>
        <w:rPr>
          <w:rFonts w:eastAsia="Times New Roman"/>
          <w:i/>
          <w:sz w:val="22"/>
          <w:szCs w:val="22"/>
          <w:lang w:eastAsia="en-US"/>
        </w:rPr>
        <w:t>Dažnis n</w:t>
      </w:r>
      <w:r w:rsidR="0053322C" w:rsidRPr="00424A8C">
        <w:rPr>
          <w:rFonts w:eastAsia="Times New Roman"/>
          <w:i/>
          <w:sz w:val="22"/>
          <w:szCs w:val="22"/>
          <w:lang w:eastAsia="en-US"/>
        </w:rPr>
        <w:t>ežinomas</w:t>
      </w:r>
      <w:r w:rsidR="0053322C">
        <w:rPr>
          <w:rFonts w:eastAsia="Times New Roman"/>
          <w:iCs/>
          <w:sz w:val="22"/>
          <w:szCs w:val="22"/>
          <w:lang w:eastAsia="en-US"/>
        </w:rPr>
        <w:t>: p</w:t>
      </w:r>
      <w:r w:rsidR="0053322C" w:rsidRPr="0053322C">
        <w:rPr>
          <w:rFonts w:eastAsia="Times New Roman"/>
          <w:iCs/>
          <w:sz w:val="22"/>
          <w:szCs w:val="22"/>
          <w:lang w:eastAsia="en-US"/>
        </w:rPr>
        <w:t>adidėjęs anijoninis tarpas esant metabolinei acidozei</w:t>
      </w:r>
      <w:r w:rsidR="0053322C">
        <w:rPr>
          <w:rFonts w:eastAsia="Times New Roman"/>
          <w:iCs/>
          <w:sz w:val="22"/>
          <w:szCs w:val="22"/>
          <w:lang w:eastAsia="en-US"/>
        </w:rPr>
        <w:t>.</w:t>
      </w:r>
    </w:p>
    <w:p w14:paraId="6199FCAA" w14:textId="77777777" w:rsidR="0053322C" w:rsidRPr="00507EDE" w:rsidRDefault="0053322C" w:rsidP="000C6461">
      <w:pPr>
        <w:rPr>
          <w:rFonts w:eastAsia="Times New Roman"/>
          <w:iCs/>
          <w:sz w:val="22"/>
          <w:szCs w:val="22"/>
          <w:lang w:eastAsia="en-US"/>
        </w:rPr>
      </w:pPr>
    </w:p>
    <w:p w14:paraId="03BC5E2C" w14:textId="77777777" w:rsidR="00FF5D40" w:rsidRPr="00507EDE" w:rsidRDefault="00FF5D40" w:rsidP="000C6461">
      <w:pPr>
        <w:rPr>
          <w:rFonts w:eastAsia="Times New Roman"/>
          <w:iCs/>
          <w:sz w:val="22"/>
          <w:szCs w:val="22"/>
          <w:u w:val="single"/>
          <w:lang w:eastAsia="en-US"/>
        </w:rPr>
      </w:pPr>
      <w:r w:rsidRPr="00507EDE">
        <w:rPr>
          <w:rFonts w:eastAsia="Times New Roman"/>
          <w:iCs/>
          <w:sz w:val="22"/>
          <w:szCs w:val="22"/>
          <w:u w:val="single"/>
          <w:lang w:eastAsia="en-US"/>
        </w:rPr>
        <w:t xml:space="preserve">Kvėpavimo sistemos, krūtinės ląstos ir tarpuplaučio sutrikimai </w:t>
      </w:r>
    </w:p>
    <w:p w14:paraId="694CFC56" w14:textId="49C26013"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bronchų spazma</w:t>
      </w:r>
      <w:r w:rsidR="00FF5D40" w:rsidRPr="00507EDE">
        <w:rPr>
          <w:rFonts w:eastAsia="Times New Roman"/>
          <w:iCs/>
          <w:sz w:val="22"/>
          <w:szCs w:val="22"/>
          <w:lang w:eastAsia="en-US"/>
        </w:rPr>
        <w:t>i</w:t>
      </w:r>
      <w:r w:rsidRPr="00507EDE">
        <w:rPr>
          <w:rFonts w:eastAsia="Times New Roman"/>
          <w:iCs/>
          <w:sz w:val="22"/>
          <w:szCs w:val="22"/>
          <w:lang w:eastAsia="en-US"/>
        </w:rPr>
        <w:t>, dusulys pacientams, jautriems acetilsalicilo rūgščiai ir kitiems NV</w:t>
      </w:r>
      <w:r w:rsidR="00FF5D40" w:rsidRPr="00507EDE">
        <w:rPr>
          <w:rFonts w:eastAsia="Times New Roman"/>
          <w:iCs/>
          <w:sz w:val="22"/>
          <w:szCs w:val="22"/>
          <w:lang w:eastAsia="en-US"/>
        </w:rPr>
        <w:t>P</w:t>
      </w:r>
      <w:r w:rsidRPr="00507EDE">
        <w:rPr>
          <w:rFonts w:eastAsia="Times New Roman"/>
          <w:iCs/>
          <w:sz w:val="22"/>
          <w:szCs w:val="22"/>
          <w:lang w:eastAsia="en-US"/>
        </w:rPr>
        <w:t>NU.</w:t>
      </w:r>
    </w:p>
    <w:p w14:paraId="4C19D585" w14:textId="77777777" w:rsidR="000C6461" w:rsidRPr="00507EDE" w:rsidRDefault="000C6461" w:rsidP="000C6461">
      <w:pPr>
        <w:rPr>
          <w:rFonts w:eastAsia="Times New Roman"/>
          <w:iCs/>
          <w:sz w:val="22"/>
          <w:szCs w:val="22"/>
          <w:lang w:eastAsia="en-US"/>
        </w:rPr>
      </w:pPr>
    </w:p>
    <w:p w14:paraId="2219E07C" w14:textId="77777777"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Virškinimo trakto sutrikimai</w:t>
      </w:r>
    </w:p>
    <w:p w14:paraId="55C5B70F" w14:textId="77777777"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Reti</w:t>
      </w:r>
      <w:r w:rsidRPr="00507EDE">
        <w:rPr>
          <w:rFonts w:eastAsia="Times New Roman"/>
          <w:iCs/>
          <w:sz w:val="22"/>
          <w:szCs w:val="22"/>
          <w:lang w:eastAsia="en-US"/>
        </w:rPr>
        <w:t>: pykinimas, vėmimas, pilvo skausmai, viduriavimas.</w:t>
      </w:r>
    </w:p>
    <w:p w14:paraId="1D0C9544" w14:textId="77777777" w:rsidR="000C6461" w:rsidRPr="00507EDE" w:rsidRDefault="000C6461" w:rsidP="000C6461">
      <w:pPr>
        <w:rPr>
          <w:rFonts w:eastAsia="Times New Roman"/>
          <w:iCs/>
          <w:sz w:val="22"/>
          <w:szCs w:val="22"/>
          <w:lang w:eastAsia="en-US"/>
        </w:rPr>
      </w:pPr>
    </w:p>
    <w:p w14:paraId="1CAB98BA" w14:textId="77777777" w:rsidR="00FF5D40" w:rsidRPr="00507EDE" w:rsidRDefault="00FF5D40" w:rsidP="000C6461">
      <w:pPr>
        <w:rPr>
          <w:rFonts w:eastAsia="Times New Roman"/>
          <w:iCs/>
          <w:sz w:val="22"/>
          <w:szCs w:val="22"/>
          <w:u w:val="single"/>
          <w:lang w:eastAsia="en-US"/>
        </w:rPr>
      </w:pPr>
      <w:r w:rsidRPr="00507EDE">
        <w:rPr>
          <w:rFonts w:eastAsia="Times New Roman"/>
          <w:iCs/>
          <w:sz w:val="22"/>
          <w:szCs w:val="22"/>
          <w:u w:val="single"/>
          <w:lang w:eastAsia="en-US"/>
        </w:rPr>
        <w:t>Kepenų, tulžies pūslės ir latakų sutrikimai</w:t>
      </w:r>
    </w:p>
    <w:p w14:paraId="1CF8FD8E" w14:textId="093346B6"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kepenų funkcijos sutrikimas</w:t>
      </w:r>
      <w:r w:rsidR="00FF5D40" w:rsidRPr="00507EDE">
        <w:rPr>
          <w:rFonts w:eastAsia="Times New Roman"/>
          <w:iCs/>
          <w:sz w:val="22"/>
          <w:szCs w:val="22"/>
          <w:lang w:eastAsia="en-US"/>
        </w:rPr>
        <w:t>;</w:t>
      </w:r>
      <w:r w:rsidRPr="00507EDE">
        <w:rPr>
          <w:rFonts w:eastAsia="Times New Roman"/>
          <w:iCs/>
          <w:sz w:val="22"/>
          <w:szCs w:val="22"/>
          <w:lang w:eastAsia="en-US"/>
        </w:rPr>
        <w:t xml:space="preserve"> ilgalaikis didelių dozių vartojimas gali sukelti toksinį hepatitą.</w:t>
      </w:r>
    </w:p>
    <w:p w14:paraId="172403AF" w14:textId="77777777" w:rsidR="000C6461" w:rsidRPr="00507EDE" w:rsidRDefault="000C6461" w:rsidP="000C6461">
      <w:pPr>
        <w:rPr>
          <w:rFonts w:eastAsia="Times New Roman"/>
          <w:iCs/>
          <w:sz w:val="22"/>
          <w:szCs w:val="22"/>
          <w:lang w:eastAsia="en-US"/>
        </w:rPr>
      </w:pPr>
    </w:p>
    <w:p w14:paraId="5BAE14E8" w14:textId="77777777"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Odos ir poodinio audinio sutrikimai</w:t>
      </w:r>
    </w:p>
    <w:p w14:paraId="11E12D72" w14:textId="4064FB4C"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pranešta apie sunkių odos reakcijų atvejus.</w:t>
      </w:r>
    </w:p>
    <w:p w14:paraId="2AC7A0BD" w14:textId="77777777" w:rsidR="000C6461" w:rsidRPr="00507EDE" w:rsidRDefault="000C6461" w:rsidP="000C6461">
      <w:pPr>
        <w:rPr>
          <w:rFonts w:eastAsia="Times New Roman"/>
          <w:iCs/>
          <w:sz w:val="22"/>
          <w:szCs w:val="22"/>
          <w:lang w:eastAsia="en-US"/>
        </w:rPr>
      </w:pPr>
    </w:p>
    <w:p w14:paraId="7DC8DB77" w14:textId="0F668F29"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 xml:space="preserve">Inkstų ir šlapimo </w:t>
      </w:r>
      <w:r w:rsidR="00FF5D40" w:rsidRPr="00507EDE">
        <w:rPr>
          <w:rFonts w:eastAsia="Times New Roman"/>
          <w:iCs/>
          <w:sz w:val="22"/>
          <w:szCs w:val="22"/>
          <w:u w:val="single"/>
          <w:lang w:eastAsia="en-US"/>
        </w:rPr>
        <w:t xml:space="preserve">takų </w:t>
      </w:r>
      <w:r w:rsidRPr="00507EDE">
        <w:rPr>
          <w:rFonts w:eastAsia="Times New Roman"/>
          <w:iCs/>
          <w:sz w:val="22"/>
          <w:szCs w:val="22"/>
          <w:u w:val="single"/>
          <w:lang w:eastAsia="en-US"/>
        </w:rPr>
        <w:t>sutrikimai</w:t>
      </w:r>
    </w:p>
    <w:p w14:paraId="6DEC96FF" w14:textId="1D984D0F"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inkstų funkcijos sutrikimas (analgezinė nefropatija), ilgai vartojant dideles dozes.</w:t>
      </w:r>
    </w:p>
    <w:p w14:paraId="58202D97" w14:textId="77777777" w:rsidR="006124D8" w:rsidRDefault="006124D8" w:rsidP="000E192C">
      <w:pPr>
        <w:jc w:val="both"/>
        <w:rPr>
          <w:sz w:val="22"/>
          <w:szCs w:val="22"/>
        </w:rPr>
      </w:pPr>
    </w:p>
    <w:p w14:paraId="395614CA" w14:textId="44F527A7" w:rsidR="00897CD1" w:rsidRPr="0063271C" w:rsidRDefault="00897CD1" w:rsidP="000E192C">
      <w:pPr>
        <w:jc w:val="both"/>
        <w:rPr>
          <w:i/>
          <w:iCs/>
          <w:sz w:val="22"/>
          <w:szCs w:val="22"/>
          <w:u w:val="single"/>
        </w:rPr>
      </w:pPr>
      <w:r w:rsidRPr="0063271C">
        <w:rPr>
          <w:i/>
          <w:iCs/>
          <w:sz w:val="22"/>
          <w:szCs w:val="22"/>
          <w:u w:val="single"/>
        </w:rPr>
        <w:t>Atrinktų nepageidaujamų reakcijų apibūdinimas</w:t>
      </w:r>
    </w:p>
    <w:p w14:paraId="1E870C39" w14:textId="77777777" w:rsidR="00897CD1" w:rsidRPr="0063271C" w:rsidRDefault="00897CD1" w:rsidP="000E192C">
      <w:pPr>
        <w:jc w:val="both"/>
        <w:rPr>
          <w:b/>
          <w:bCs/>
          <w:sz w:val="22"/>
          <w:szCs w:val="22"/>
        </w:rPr>
      </w:pPr>
      <w:r w:rsidRPr="0063271C">
        <w:rPr>
          <w:b/>
          <w:bCs/>
          <w:sz w:val="22"/>
          <w:szCs w:val="22"/>
        </w:rPr>
        <w:t>Padidėjęs anijoninis tarpas esant metabolinei acidozei</w:t>
      </w:r>
    </w:p>
    <w:p w14:paraId="77FF8C7C" w14:textId="127873AC" w:rsidR="00897CD1" w:rsidRDefault="00897CD1" w:rsidP="000E192C">
      <w:pPr>
        <w:jc w:val="both"/>
        <w:rPr>
          <w:sz w:val="22"/>
          <w:szCs w:val="22"/>
        </w:rPr>
      </w:pPr>
      <w:r w:rsidRPr="00897CD1">
        <w:rPr>
          <w:sz w:val="22"/>
          <w:szCs w:val="22"/>
        </w:rPr>
        <w:t>Pacientams, kuriems nustatyta rizikos veiksnių vartojant paracetamolį, nustatyta piroglutamato acidozės sukeliamo padidėjusio anijoninio tarpo esant metabolinei acidozei atvejų (žr. 4.4</w:t>
      </w:r>
      <w:r>
        <w:rPr>
          <w:sz w:val="22"/>
          <w:szCs w:val="22"/>
        </w:rPr>
        <w:t> </w:t>
      </w:r>
      <w:r w:rsidRPr="00897CD1">
        <w:rPr>
          <w:sz w:val="22"/>
          <w:szCs w:val="22"/>
        </w:rPr>
        <w:t>skyrių). Piroglutamato acidozė šiems pacientams gali pasireikšti dėl sumažėjusio glutationo kiekio.</w:t>
      </w:r>
    </w:p>
    <w:p w14:paraId="48956104" w14:textId="77777777" w:rsidR="00897CD1" w:rsidRPr="00507EDE" w:rsidRDefault="00897CD1" w:rsidP="000E192C">
      <w:pPr>
        <w:jc w:val="both"/>
        <w:rPr>
          <w:sz w:val="22"/>
          <w:szCs w:val="22"/>
        </w:rPr>
      </w:pPr>
    </w:p>
    <w:p w14:paraId="1CD45EA0" w14:textId="77777777" w:rsidR="000E192C" w:rsidRPr="00507EDE" w:rsidRDefault="000E192C" w:rsidP="000E192C">
      <w:pPr>
        <w:tabs>
          <w:tab w:val="left" w:pos="567"/>
        </w:tabs>
        <w:rPr>
          <w:sz w:val="22"/>
          <w:szCs w:val="22"/>
          <w:u w:val="single"/>
        </w:rPr>
      </w:pPr>
      <w:r w:rsidRPr="00507EDE">
        <w:rPr>
          <w:sz w:val="22"/>
          <w:szCs w:val="22"/>
          <w:u w:val="single"/>
        </w:rPr>
        <w:t>Pranešimas apie įtariamas nepageidaujamas reakcijas</w:t>
      </w:r>
    </w:p>
    <w:p w14:paraId="1A3ED04E" w14:textId="393B93CE" w:rsidR="000E192C" w:rsidRDefault="00F5794B" w:rsidP="000E192C">
      <w:pPr>
        <w:rPr>
          <w:sz w:val="22"/>
        </w:rPr>
      </w:pPr>
      <w:r w:rsidRPr="00F5794B">
        <w:rPr>
          <w:sz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903138">
          <w:rPr>
            <w:rStyle w:val="Hipersaitas"/>
            <w:sz w:val="22"/>
          </w:rPr>
          <w:t>https://vvkt.lrv.lt/lt/</w:t>
        </w:r>
      </w:hyperlink>
      <w:r w:rsidRPr="00F5794B">
        <w:rPr>
          <w:sz w:val="22"/>
        </w:rPr>
        <w:t xml:space="preserve"> nurodytais būdais.</w:t>
      </w:r>
    </w:p>
    <w:p w14:paraId="76CA124E" w14:textId="77777777" w:rsidR="000E192C" w:rsidRPr="00507EDE" w:rsidRDefault="000E192C" w:rsidP="000E192C">
      <w:pPr>
        <w:rPr>
          <w:sz w:val="22"/>
          <w:szCs w:val="22"/>
        </w:rPr>
      </w:pPr>
    </w:p>
    <w:p w14:paraId="412D2F99" w14:textId="77777777" w:rsidR="000E192C" w:rsidRPr="00507EDE" w:rsidRDefault="000E192C" w:rsidP="000E192C">
      <w:pPr>
        <w:keepNext/>
        <w:tabs>
          <w:tab w:val="left" w:pos="567"/>
        </w:tabs>
        <w:outlineLvl w:val="3"/>
        <w:rPr>
          <w:sz w:val="22"/>
          <w:szCs w:val="22"/>
        </w:rPr>
      </w:pPr>
      <w:r w:rsidRPr="00507EDE">
        <w:rPr>
          <w:b/>
          <w:sz w:val="22"/>
          <w:szCs w:val="22"/>
        </w:rPr>
        <w:t>4.9</w:t>
      </w:r>
      <w:r w:rsidRPr="00507EDE">
        <w:rPr>
          <w:b/>
          <w:sz w:val="22"/>
          <w:szCs w:val="22"/>
        </w:rPr>
        <w:tab/>
        <w:t>Perdozavimas</w:t>
      </w:r>
    </w:p>
    <w:p w14:paraId="7D87E4C2" w14:textId="77777777" w:rsidR="000E192C" w:rsidRPr="00507EDE" w:rsidRDefault="000E192C" w:rsidP="000E192C">
      <w:pPr>
        <w:rPr>
          <w:sz w:val="22"/>
          <w:szCs w:val="22"/>
        </w:rPr>
      </w:pPr>
    </w:p>
    <w:p w14:paraId="4AA01BB1" w14:textId="77777777" w:rsidR="000E192C" w:rsidRPr="00507EDE" w:rsidRDefault="000E192C" w:rsidP="000E192C">
      <w:pPr>
        <w:rPr>
          <w:sz w:val="22"/>
          <w:szCs w:val="22"/>
          <w:u w:val="single"/>
        </w:rPr>
      </w:pPr>
      <w:r w:rsidRPr="00507EDE">
        <w:rPr>
          <w:sz w:val="22"/>
          <w:szCs w:val="22"/>
          <w:u w:val="single"/>
        </w:rPr>
        <w:t>Simptomai</w:t>
      </w:r>
    </w:p>
    <w:p w14:paraId="4411C6B4" w14:textId="1EE7474B" w:rsidR="00803908" w:rsidRPr="00507EDE" w:rsidRDefault="00803908" w:rsidP="00FD4D09">
      <w:pPr>
        <w:rPr>
          <w:sz w:val="22"/>
          <w:szCs w:val="22"/>
        </w:rPr>
      </w:pPr>
      <w:r w:rsidRPr="00507EDE">
        <w:rPr>
          <w:sz w:val="22"/>
          <w:szCs w:val="22"/>
        </w:rPr>
        <w:t xml:space="preserve">Ankstyvieji simptomai, pasireiškiantys per pirmąsias 24 valandas nuo paracetamolio perdozavimo (daugiau kaip </w:t>
      </w:r>
      <w:r w:rsidR="00C52A96" w:rsidRPr="00507EDE">
        <w:rPr>
          <w:sz w:val="22"/>
          <w:szCs w:val="22"/>
        </w:rPr>
        <w:t>7,5</w:t>
      </w:r>
      <w:r w:rsidRPr="00507EDE">
        <w:rPr>
          <w:sz w:val="22"/>
          <w:szCs w:val="22"/>
        </w:rPr>
        <w:t> g paracetamolio suaugusiesiems ir daugiau kaip 150 mg/kg vaikams), yra sunkumas ir skausmai pilvo srityje, blyškumas, pykinimas, vėmimas, anoreksija, neramumas, bendras negalavimas. Kai kuriais atvejais ankstyvųjų simptomų gali nebūti. Kepenų pažeidimas gali pasireikšti praėjus 12</w:t>
      </w:r>
      <w:r w:rsidR="00B1112A">
        <w:rPr>
          <w:sz w:val="22"/>
          <w:szCs w:val="22"/>
        </w:rPr>
        <w:t>-</w:t>
      </w:r>
      <w:r w:rsidRPr="00507EDE">
        <w:rPr>
          <w:sz w:val="22"/>
          <w:szCs w:val="22"/>
        </w:rPr>
        <w:t>48 valandoms po vartojimo. Sunkiais atvejais pasireiškė hepatocitų citolizė, progresuojanti iki visiškos ir negrįžtamos nekrozės, kraujavimo, hipoglikemijos, metabolinės acidozės, smegenų edemos, encefalopatijos, komos ir mirties.</w:t>
      </w:r>
    </w:p>
    <w:p w14:paraId="5EF8A467" w14:textId="0A93CD8D" w:rsidR="00803908" w:rsidRPr="00507EDE" w:rsidRDefault="00803908" w:rsidP="00FD4D09">
      <w:pPr>
        <w:rPr>
          <w:sz w:val="22"/>
          <w:szCs w:val="22"/>
        </w:rPr>
      </w:pPr>
      <w:r w:rsidRPr="00507EDE">
        <w:rPr>
          <w:sz w:val="22"/>
          <w:szCs w:val="22"/>
        </w:rPr>
        <w:t>Taip pat nustatytas kepenų transaminazių, laktato dehidrogenazės ir bilirubino kiekio padidėjimas bei protrombino kiekio sumažėjimas.</w:t>
      </w:r>
    </w:p>
    <w:p w14:paraId="1FC05868" w14:textId="53FCB89B" w:rsidR="00803908" w:rsidRPr="00507EDE" w:rsidRDefault="00803908" w:rsidP="00FD4D09">
      <w:pPr>
        <w:rPr>
          <w:sz w:val="22"/>
          <w:szCs w:val="22"/>
        </w:rPr>
      </w:pPr>
      <w:r w:rsidRPr="00507EDE">
        <w:rPr>
          <w:sz w:val="22"/>
          <w:szCs w:val="22"/>
        </w:rPr>
        <w:t>Ūminis inkstų nepakankamumas su ūmine kanalėlių nekroze, apie kurią aiškiai byloja juosmens skausmas, hematurija ir proteinurija, gali išsivystyti net ir nesant sunkaus kepenų pažeidimo. Buvo gauta pranešimų apie širdies aritmiją ir pankreatitą.</w:t>
      </w:r>
    </w:p>
    <w:p w14:paraId="5F448A7D" w14:textId="77777777" w:rsidR="000E192C" w:rsidRPr="00507EDE" w:rsidRDefault="000E192C" w:rsidP="000E192C">
      <w:pPr>
        <w:rPr>
          <w:sz w:val="22"/>
          <w:szCs w:val="22"/>
        </w:rPr>
      </w:pPr>
    </w:p>
    <w:p w14:paraId="6381D7D7" w14:textId="77777777" w:rsidR="000E192C" w:rsidRPr="00507EDE" w:rsidRDefault="000E192C" w:rsidP="000E192C">
      <w:pPr>
        <w:rPr>
          <w:sz w:val="22"/>
          <w:szCs w:val="22"/>
          <w:u w:val="single"/>
        </w:rPr>
      </w:pPr>
      <w:r w:rsidRPr="00507EDE">
        <w:rPr>
          <w:sz w:val="22"/>
          <w:szCs w:val="22"/>
          <w:u w:val="single"/>
        </w:rPr>
        <w:t>Gydymas</w:t>
      </w:r>
    </w:p>
    <w:p w14:paraId="155D9C91" w14:textId="709F8AB4" w:rsidR="000E192C" w:rsidRPr="00507EDE" w:rsidRDefault="00AE4DEC" w:rsidP="00AE4DEC">
      <w:pPr>
        <w:rPr>
          <w:sz w:val="22"/>
          <w:szCs w:val="22"/>
        </w:rPr>
      </w:pPr>
      <w:r w:rsidRPr="00507EDE">
        <w:rPr>
          <w:sz w:val="22"/>
          <w:szCs w:val="22"/>
        </w:rPr>
        <w:t>Būtina skubiai hospitalizuoti pacientą, skiriama aktyvuota anglis, skrandžio plovimas, izotoniniai tirpalai, simptominis gydymas ir, jei reikia, kvėpavimo ir širdies ir kraujagyslių sistemos palaikymas. Paracetamolio koncentracija plazmoje tur</w:t>
      </w:r>
      <w:r w:rsidR="00BF615F" w:rsidRPr="00507EDE">
        <w:rPr>
          <w:sz w:val="22"/>
          <w:szCs w:val="22"/>
        </w:rPr>
        <w:t>i</w:t>
      </w:r>
      <w:r w:rsidRPr="00507EDE">
        <w:rPr>
          <w:sz w:val="22"/>
          <w:szCs w:val="22"/>
        </w:rPr>
        <w:t xml:space="preserve"> būti matuojama praėjus 4 valandoms ar vėliau po pavartojimo (ankstesnės koncentracijos yra nepatikimos). Specifinis priešnuodis N-acetilcisteinas skiriamas į veną arba per burną, jei įmanoma, per 24 valandas po paracetamolio perdozavimo, tačiau maksimalus apsauginis poveikis pasireiškia praėjus 8 valandoms po vartojimo. Ambulatorinėmis sąlygomis, kai nevemiama, metioninas gali būti skiriamas per burną, 10</w:t>
      </w:r>
      <w:r w:rsidR="00B1112A">
        <w:rPr>
          <w:sz w:val="22"/>
          <w:szCs w:val="22"/>
        </w:rPr>
        <w:t>-</w:t>
      </w:r>
      <w:r w:rsidRPr="00507EDE">
        <w:rPr>
          <w:sz w:val="22"/>
          <w:szCs w:val="22"/>
        </w:rPr>
        <w:t>12 valandų laikotarpiu po perdozavimo.</w:t>
      </w:r>
    </w:p>
    <w:p w14:paraId="6005924A" w14:textId="77777777" w:rsidR="00AE4DEC" w:rsidRPr="00507EDE" w:rsidRDefault="00AE4DEC" w:rsidP="00AE4DEC">
      <w:pPr>
        <w:rPr>
          <w:sz w:val="22"/>
          <w:szCs w:val="22"/>
        </w:rPr>
      </w:pPr>
    </w:p>
    <w:p w14:paraId="434C180E" w14:textId="77777777" w:rsidR="000E192C" w:rsidRPr="00507EDE" w:rsidRDefault="000E192C" w:rsidP="000E192C">
      <w:pPr>
        <w:jc w:val="both"/>
        <w:rPr>
          <w:sz w:val="22"/>
          <w:szCs w:val="22"/>
        </w:rPr>
      </w:pPr>
    </w:p>
    <w:p w14:paraId="59439F76" w14:textId="77777777" w:rsidR="000E192C" w:rsidRPr="00507EDE" w:rsidRDefault="000E192C" w:rsidP="000E192C">
      <w:pPr>
        <w:keepNext/>
        <w:keepLines/>
        <w:tabs>
          <w:tab w:val="left" w:pos="567"/>
        </w:tabs>
        <w:outlineLvl w:val="2"/>
        <w:rPr>
          <w:sz w:val="22"/>
          <w:szCs w:val="22"/>
        </w:rPr>
      </w:pPr>
      <w:r w:rsidRPr="00507EDE">
        <w:rPr>
          <w:b/>
          <w:sz w:val="22"/>
          <w:szCs w:val="22"/>
        </w:rPr>
        <w:t>5.</w:t>
      </w:r>
      <w:r w:rsidRPr="00507EDE">
        <w:rPr>
          <w:b/>
          <w:sz w:val="22"/>
          <w:szCs w:val="22"/>
        </w:rPr>
        <w:tab/>
        <w:t>FARMAKOLOGINĖS SAVYBĖS</w:t>
      </w:r>
    </w:p>
    <w:p w14:paraId="12494B8F" w14:textId="77777777" w:rsidR="000E192C" w:rsidRPr="00507EDE" w:rsidRDefault="000E192C" w:rsidP="000E192C">
      <w:pPr>
        <w:tabs>
          <w:tab w:val="left" w:pos="567"/>
        </w:tabs>
        <w:rPr>
          <w:sz w:val="22"/>
          <w:szCs w:val="22"/>
        </w:rPr>
      </w:pPr>
    </w:p>
    <w:p w14:paraId="20E470B0" w14:textId="77777777" w:rsidR="000E192C" w:rsidRPr="00507EDE" w:rsidRDefault="000E192C" w:rsidP="000E192C">
      <w:pPr>
        <w:keepNext/>
        <w:tabs>
          <w:tab w:val="left" w:pos="567"/>
        </w:tabs>
        <w:jc w:val="both"/>
        <w:outlineLvl w:val="3"/>
        <w:rPr>
          <w:sz w:val="22"/>
          <w:szCs w:val="22"/>
        </w:rPr>
      </w:pPr>
      <w:r w:rsidRPr="00507EDE">
        <w:rPr>
          <w:b/>
          <w:sz w:val="22"/>
          <w:szCs w:val="22"/>
        </w:rPr>
        <w:t xml:space="preserve">5.1 </w:t>
      </w:r>
      <w:r w:rsidRPr="00507EDE">
        <w:rPr>
          <w:b/>
          <w:sz w:val="22"/>
          <w:szCs w:val="22"/>
        </w:rPr>
        <w:tab/>
        <w:t>Farmakodinaminės savybės</w:t>
      </w:r>
    </w:p>
    <w:p w14:paraId="76C3CB34" w14:textId="77777777" w:rsidR="000E192C" w:rsidRPr="00507EDE" w:rsidRDefault="000E192C" w:rsidP="000E192C">
      <w:pPr>
        <w:jc w:val="both"/>
        <w:rPr>
          <w:sz w:val="22"/>
          <w:szCs w:val="22"/>
        </w:rPr>
      </w:pPr>
    </w:p>
    <w:p w14:paraId="50577DBB" w14:textId="32578FA8" w:rsidR="000E192C" w:rsidRPr="00507EDE" w:rsidRDefault="000E192C" w:rsidP="000E192C">
      <w:pPr>
        <w:rPr>
          <w:sz w:val="22"/>
          <w:szCs w:val="22"/>
        </w:rPr>
      </w:pPr>
      <w:r w:rsidRPr="00507EDE">
        <w:rPr>
          <w:sz w:val="22"/>
          <w:szCs w:val="22"/>
        </w:rPr>
        <w:t xml:space="preserve">Farmakoterapinė grupė – </w:t>
      </w:r>
      <w:r w:rsidR="007709C3" w:rsidRPr="00507EDE">
        <w:rPr>
          <w:sz w:val="22"/>
          <w:szCs w:val="22"/>
        </w:rPr>
        <w:t>kiti skausmą ir karščiavimą maž</w:t>
      </w:r>
      <w:r w:rsidR="00201416">
        <w:rPr>
          <w:sz w:val="22"/>
          <w:szCs w:val="22"/>
        </w:rPr>
        <w:t>i</w:t>
      </w:r>
      <w:r w:rsidR="007709C3" w:rsidRPr="00507EDE">
        <w:rPr>
          <w:sz w:val="22"/>
          <w:szCs w:val="22"/>
        </w:rPr>
        <w:t>nantys vaistiniai preparatai, anilidai.</w:t>
      </w:r>
      <w:r w:rsidRPr="00507EDE">
        <w:rPr>
          <w:sz w:val="22"/>
          <w:szCs w:val="22"/>
        </w:rPr>
        <w:t xml:space="preserve"> ATC kodas – N02BE01.</w:t>
      </w:r>
    </w:p>
    <w:p w14:paraId="477F41E1" w14:textId="77777777" w:rsidR="000E192C" w:rsidRPr="00507EDE" w:rsidRDefault="000E192C" w:rsidP="000E192C">
      <w:pPr>
        <w:rPr>
          <w:sz w:val="22"/>
          <w:szCs w:val="22"/>
        </w:rPr>
      </w:pPr>
    </w:p>
    <w:p w14:paraId="365197F7" w14:textId="3FA6E37B" w:rsidR="007709C3" w:rsidRPr="00507EDE" w:rsidRDefault="007709C3" w:rsidP="000E192C">
      <w:pPr>
        <w:rPr>
          <w:sz w:val="22"/>
          <w:szCs w:val="22"/>
          <w:u w:val="single"/>
        </w:rPr>
      </w:pPr>
      <w:r w:rsidRPr="00507EDE">
        <w:rPr>
          <w:sz w:val="22"/>
          <w:szCs w:val="22"/>
          <w:u w:val="single"/>
        </w:rPr>
        <w:t>Veikimo mechanizmas</w:t>
      </w:r>
    </w:p>
    <w:p w14:paraId="251B3CE2" w14:textId="7B9D50D8" w:rsidR="007709C3" w:rsidRPr="00507EDE" w:rsidRDefault="007709C3" w:rsidP="000E192C">
      <w:pPr>
        <w:rPr>
          <w:sz w:val="22"/>
          <w:szCs w:val="22"/>
        </w:rPr>
      </w:pPr>
      <w:r w:rsidRPr="00507EDE">
        <w:rPr>
          <w:sz w:val="22"/>
          <w:szCs w:val="22"/>
        </w:rPr>
        <w:t>Paracetamolis pasižymi analgetiniu ir antipiretiniu poveikiu. Jo priešuždegiminis poveikis neturi klinikinės reikšmės. Jo veikimo mechanizmas susijęs su prostaglandinų sintezės slopinimu slopinant ciklooksigenazes (jis šiek tiek slopina СОХ-1 ir СОХ-2 bei selektyviai COX-3) galvos ir nugaros smegenyse</w:t>
      </w:r>
      <w:r w:rsidR="00BD6B62">
        <w:rPr>
          <w:sz w:val="22"/>
          <w:szCs w:val="22"/>
        </w:rPr>
        <w:t>.</w:t>
      </w:r>
    </w:p>
    <w:p w14:paraId="404984E3" w14:textId="77777777" w:rsidR="000E192C" w:rsidRPr="00507EDE" w:rsidRDefault="000E192C" w:rsidP="000E192C">
      <w:pPr>
        <w:rPr>
          <w:sz w:val="22"/>
          <w:szCs w:val="22"/>
        </w:rPr>
      </w:pPr>
    </w:p>
    <w:p w14:paraId="5F7BDC58" w14:textId="77777777" w:rsidR="000E192C" w:rsidRPr="00507EDE" w:rsidRDefault="000E192C" w:rsidP="000E192C">
      <w:pPr>
        <w:keepNext/>
        <w:tabs>
          <w:tab w:val="left" w:pos="567"/>
        </w:tabs>
        <w:outlineLvl w:val="3"/>
        <w:rPr>
          <w:sz w:val="22"/>
          <w:szCs w:val="22"/>
        </w:rPr>
      </w:pPr>
      <w:r w:rsidRPr="00507EDE">
        <w:rPr>
          <w:b/>
          <w:sz w:val="22"/>
          <w:szCs w:val="22"/>
        </w:rPr>
        <w:t>5.2</w:t>
      </w:r>
      <w:r w:rsidRPr="00507EDE">
        <w:rPr>
          <w:b/>
          <w:sz w:val="22"/>
          <w:szCs w:val="22"/>
        </w:rPr>
        <w:tab/>
        <w:t>Farmakokinetinės savybės</w:t>
      </w:r>
    </w:p>
    <w:p w14:paraId="2DC0FAAE" w14:textId="77777777" w:rsidR="000E192C" w:rsidRPr="0063271C" w:rsidRDefault="000E192C" w:rsidP="000E192C">
      <w:pPr>
        <w:rPr>
          <w:sz w:val="22"/>
          <w:szCs w:val="22"/>
          <w:lang w:val="en-US"/>
        </w:rPr>
      </w:pPr>
    </w:p>
    <w:p w14:paraId="5F5DAF77" w14:textId="77777777" w:rsidR="000E192C" w:rsidRPr="00507EDE" w:rsidRDefault="000E192C" w:rsidP="000E192C">
      <w:pPr>
        <w:ind w:right="50"/>
        <w:rPr>
          <w:sz w:val="22"/>
          <w:szCs w:val="22"/>
          <w:lang w:eastAsia="en-US"/>
        </w:rPr>
      </w:pPr>
      <w:r w:rsidRPr="00507EDE">
        <w:rPr>
          <w:sz w:val="22"/>
          <w:szCs w:val="22"/>
          <w:u w:val="single"/>
        </w:rPr>
        <w:t>Absorbcija</w:t>
      </w:r>
    </w:p>
    <w:p w14:paraId="7888C8FA" w14:textId="5AEE478D" w:rsidR="0094664F" w:rsidRPr="00507EDE" w:rsidRDefault="0094664F" w:rsidP="000E192C">
      <w:pPr>
        <w:numPr>
          <w:ilvl w:val="12"/>
          <w:numId w:val="0"/>
        </w:numPr>
        <w:rPr>
          <w:rFonts w:eastAsia="Batang"/>
          <w:sz w:val="22"/>
          <w:szCs w:val="22"/>
        </w:rPr>
      </w:pPr>
      <w:r w:rsidRPr="00507EDE">
        <w:rPr>
          <w:rFonts w:eastAsia="Batang"/>
          <w:sz w:val="22"/>
          <w:szCs w:val="22"/>
        </w:rPr>
        <w:t>Paracetamolis greitai ir beveik visiškai absorbuojamas virškinimo trakte. Vegetarams jo absorbcija gali būti lėtesnė ir nevisiška. I</w:t>
      </w:r>
      <w:r w:rsidRPr="00507EDE">
        <w:rPr>
          <w:sz w:val="22"/>
          <w:szCs w:val="22"/>
        </w:rPr>
        <w:t>šgėrus šio vaistinio preparato, didžiausia jo koncentracija kraujo plazmoje susidaro po 30</w:t>
      </w:r>
      <w:r w:rsidR="00B1112A">
        <w:rPr>
          <w:sz w:val="22"/>
          <w:szCs w:val="22"/>
        </w:rPr>
        <w:t>-</w:t>
      </w:r>
      <w:r w:rsidRPr="00507EDE">
        <w:rPr>
          <w:sz w:val="22"/>
          <w:szCs w:val="22"/>
        </w:rPr>
        <w:t>60 minučių.</w:t>
      </w:r>
    </w:p>
    <w:p w14:paraId="1EF91DD3" w14:textId="77777777" w:rsidR="000E192C" w:rsidRPr="00507EDE" w:rsidRDefault="000E192C" w:rsidP="000E192C">
      <w:pPr>
        <w:rPr>
          <w:sz w:val="22"/>
          <w:szCs w:val="22"/>
        </w:rPr>
      </w:pPr>
    </w:p>
    <w:p w14:paraId="55F9F4AD" w14:textId="77777777" w:rsidR="000E192C" w:rsidRPr="00507EDE" w:rsidRDefault="000E192C" w:rsidP="000E192C">
      <w:pPr>
        <w:ind w:right="50"/>
        <w:rPr>
          <w:sz w:val="22"/>
          <w:szCs w:val="22"/>
          <w:lang w:eastAsia="en-US"/>
        </w:rPr>
      </w:pPr>
      <w:r w:rsidRPr="00507EDE">
        <w:rPr>
          <w:sz w:val="22"/>
          <w:szCs w:val="22"/>
          <w:u w:val="single"/>
        </w:rPr>
        <w:t>Pasiskirstymas</w:t>
      </w:r>
    </w:p>
    <w:p w14:paraId="0B9D898D" w14:textId="59843577" w:rsidR="00F25D8F" w:rsidRPr="00507EDE" w:rsidRDefault="00F25D8F" w:rsidP="000E192C">
      <w:pPr>
        <w:rPr>
          <w:sz w:val="22"/>
          <w:szCs w:val="22"/>
        </w:rPr>
      </w:pPr>
      <w:r w:rsidRPr="00507EDE">
        <w:rPr>
          <w:sz w:val="22"/>
          <w:szCs w:val="22"/>
        </w:rPr>
        <w:t>Jis greitai pasiskirsto organizmo skysčiuose ir audiniuose ir šiek tiek jungiasi prie kraujo plazmos baltymų.</w:t>
      </w:r>
    </w:p>
    <w:p w14:paraId="54330380" w14:textId="77777777" w:rsidR="000E192C" w:rsidRPr="00507EDE" w:rsidRDefault="000E192C" w:rsidP="000E192C">
      <w:pPr>
        <w:rPr>
          <w:sz w:val="22"/>
          <w:szCs w:val="22"/>
        </w:rPr>
      </w:pPr>
    </w:p>
    <w:p w14:paraId="441A208A" w14:textId="41AEEFBC" w:rsidR="000E192C" w:rsidRPr="00507EDE" w:rsidRDefault="000E192C" w:rsidP="000E192C">
      <w:pPr>
        <w:ind w:right="50"/>
        <w:rPr>
          <w:sz w:val="22"/>
          <w:szCs w:val="22"/>
          <w:lang w:eastAsia="en-US"/>
        </w:rPr>
      </w:pPr>
      <w:r w:rsidRPr="00507EDE">
        <w:rPr>
          <w:rFonts w:eastAsia="Times New Roman"/>
          <w:sz w:val="22"/>
          <w:szCs w:val="22"/>
          <w:u w:val="single"/>
        </w:rPr>
        <w:t>Biotransformacija</w:t>
      </w:r>
    </w:p>
    <w:p w14:paraId="193F8A2D" w14:textId="312DFBD9" w:rsidR="00F25D8F" w:rsidRPr="00507EDE" w:rsidRDefault="00F25D8F" w:rsidP="000E192C">
      <w:pPr>
        <w:rPr>
          <w:sz w:val="22"/>
          <w:szCs w:val="22"/>
        </w:rPr>
      </w:pPr>
      <w:r w:rsidRPr="00507EDE">
        <w:rPr>
          <w:sz w:val="22"/>
          <w:szCs w:val="22"/>
        </w:rPr>
        <w:t xml:space="preserve">Kepenyse </w:t>
      </w:r>
      <w:r w:rsidR="00266417" w:rsidRPr="00507EDE">
        <w:rPr>
          <w:sz w:val="22"/>
          <w:szCs w:val="22"/>
        </w:rPr>
        <w:t>jis</w:t>
      </w:r>
      <w:r w:rsidRPr="00507EDE">
        <w:rPr>
          <w:sz w:val="22"/>
          <w:szCs w:val="22"/>
        </w:rPr>
        <w:t xml:space="preserve"> metabolizuojamas dviem pagrindiniais būdais – gliukuronidacijos ir sulfonacijos.</w:t>
      </w:r>
    </w:p>
    <w:p w14:paraId="530ED207" w14:textId="77777777" w:rsidR="00F25D8F" w:rsidRPr="00507EDE" w:rsidRDefault="00F25D8F" w:rsidP="000E192C">
      <w:pPr>
        <w:rPr>
          <w:sz w:val="22"/>
          <w:szCs w:val="22"/>
        </w:rPr>
      </w:pPr>
    </w:p>
    <w:p w14:paraId="059419A8" w14:textId="463427D6" w:rsidR="00F25D8F" w:rsidRPr="00507EDE" w:rsidRDefault="00F25D8F" w:rsidP="000E192C">
      <w:pPr>
        <w:rPr>
          <w:sz w:val="22"/>
          <w:szCs w:val="22"/>
        </w:rPr>
      </w:pPr>
      <w:r w:rsidRPr="00507EDE">
        <w:rPr>
          <w:sz w:val="22"/>
          <w:szCs w:val="22"/>
          <w:u w:val="single"/>
        </w:rPr>
        <w:t>Eliminacija</w:t>
      </w:r>
    </w:p>
    <w:p w14:paraId="5BA73FBC" w14:textId="649ADC76" w:rsidR="00F25D8F" w:rsidRPr="00507EDE" w:rsidRDefault="00266417" w:rsidP="000E192C">
      <w:pPr>
        <w:rPr>
          <w:sz w:val="22"/>
          <w:szCs w:val="22"/>
        </w:rPr>
      </w:pPr>
      <w:r w:rsidRPr="00507EDE">
        <w:rPr>
          <w:sz w:val="22"/>
          <w:szCs w:val="22"/>
        </w:rPr>
        <w:t>Paracetamolis išsiskiria su šlapimu daugiausia gliukuronidų pavidalu (60</w:t>
      </w:r>
      <w:r w:rsidR="00B1112A">
        <w:rPr>
          <w:sz w:val="22"/>
          <w:szCs w:val="22"/>
        </w:rPr>
        <w:t>-</w:t>
      </w:r>
      <w:r w:rsidRPr="00507EDE">
        <w:rPr>
          <w:sz w:val="22"/>
          <w:szCs w:val="22"/>
        </w:rPr>
        <w:t>80 %), su sulfo junginiais (20</w:t>
      </w:r>
      <w:r w:rsidR="00B1112A">
        <w:rPr>
          <w:sz w:val="22"/>
          <w:szCs w:val="22"/>
        </w:rPr>
        <w:t>-</w:t>
      </w:r>
      <w:r w:rsidRPr="00507EDE">
        <w:rPr>
          <w:sz w:val="22"/>
          <w:szCs w:val="22"/>
        </w:rPr>
        <w:t xml:space="preserve">30 %) ir nedideliu kiekiu nepakitusio paracetamolio formoje (5 %). Jo </w:t>
      </w:r>
      <w:r w:rsidR="006D1276">
        <w:rPr>
          <w:sz w:val="22"/>
          <w:szCs w:val="22"/>
        </w:rPr>
        <w:t xml:space="preserve">pusinės </w:t>
      </w:r>
      <w:r w:rsidRPr="00507EDE">
        <w:rPr>
          <w:sz w:val="22"/>
          <w:szCs w:val="22"/>
        </w:rPr>
        <w:t xml:space="preserve">eliminacijos </w:t>
      </w:r>
      <w:r w:rsidR="001437D2">
        <w:rPr>
          <w:sz w:val="22"/>
          <w:szCs w:val="22"/>
        </w:rPr>
        <w:t>laikas</w:t>
      </w:r>
      <w:r w:rsidR="001437D2" w:rsidRPr="00507EDE">
        <w:rPr>
          <w:sz w:val="22"/>
          <w:szCs w:val="22"/>
        </w:rPr>
        <w:t xml:space="preserve"> </w:t>
      </w:r>
      <w:r w:rsidRPr="00507EDE">
        <w:rPr>
          <w:sz w:val="22"/>
          <w:szCs w:val="22"/>
        </w:rPr>
        <w:t xml:space="preserve">svyruoja nuo </w:t>
      </w:r>
      <w:r w:rsidR="00304126" w:rsidRPr="00507EDE">
        <w:rPr>
          <w:sz w:val="22"/>
          <w:szCs w:val="22"/>
        </w:rPr>
        <w:t>2</w:t>
      </w:r>
      <w:r w:rsidRPr="00507EDE">
        <w:rPr>
          <w:sz w:val="22"/>
          <w:szCs w:val="22"/>
        </w:rPr>
        <w:t xml:space="preserve"> iki </w:t>
      </w:r>
      <w:r w:rsidR="00304126" w:rsidRPr="00507EDE">
        <w:rPr>
          <w:sz w:val="22"/>
          <w:szCs w:val="22"/>
        </w:rPr>
        <w:t>4</w:t>
      </w:r>
      <w:r w:rsidRPr="00507EDE">
        <w:rPr>
          <w:sz w:val="22"/>
          <w:szCs w:val="22"/>
        </w:rPr>
        <w:t xml:space="preserve"> valandų.</w:t>
      </w:r>
    </w:p>
    <w:p w14:paraId="10CA0170" w14:textId="77777777" w:rsidR="000E192C" w:rsidRPr="00507EDE" w:rsidRDefault="000E192C" w:rsidP="000E192C">
      <w:pPr>
        <w:rPr>
          <w:sz w:val="22"/>
          <w:szCs w:val="22"/>
        </w:rPr>
      </w:pPr>
    </w:p>
    <w:p w14:paraId="30A5D38B" w14:textId="77777777" w:rsidR="000E192C" w:rsidRPr="00507EDE" w:rsidRDefault="000E192C" w:rsidP="000E192C">
      <w:pPr>
        <w:keepNext/>
        <w:tabs>
          <w:tab w:val="left" w:pos="567"/>
        </w:tabs>
        <w:outlineLvl w:val="3"/>
        <w:rPr>
          <w:sz w:val="22"/>
          <w:szCs w:val="22"/>
        </w:rPr>
      </w:pPr>
      <w:bookmarkStart w:id="2" w:name="_Hlk77077973"/>
      <w:r w:rsidRPr="00507EDE">
        <w:rPr>
          <w:b/>
          <w:sz w:val="22"/>
          <w:szCs w:val="22"/>
        </w:rPr>
        <w:t>5.3</w:t>
      </w:r>
      <w:r w:rsidRPr="00507EDE">
        <w:rPr>
          <w:b/>
          <w:sz w:val="22"/>
          <w:szCs w:val="22"/>
        </w:rPr>
        <w:tab/>
        <w:t>Ikiklinikinių saugumo tyrimų duomenys</w:t>
      </w:r>
    </w:p>
    <w:p w14:paraId="64B15BA1" w14:textId="77777777" w:rsidR="000E192C" w:rsidRPr="00507EDE" w:rsidRDefault="000E192C" w:rsidP="00266417">
      <w:pPr>
        <w:rPr>
          <w:b/>
          <w:sz w:val="22"/>
          <w:szCs w:val="22"/>
        </w:rPr>
      </w:pPr>
    </w:p>
    <w:p w14:paraId="5955CA36" w14:textId="39036A1B" w:rsidR="000E192C" w:rsidRPr="00507EDE" w:rsidRDefault="00266417" w:rsidP="00266417">
      <w:pPr>
        <w:rPr>
          <w:sz w:val="22"/>
          <w:szCs w:val="22"/>
        </w:rPr>
      </w:pPr>
      <w:r w:rsidRPr="00507EDE">
        <w:rPr>
          <w:sz w:val="22"/>
          <w:szCs w:val="22"/>
        </w:rPr>
        <w:t xml:space="preserve">Įprastų farmakologinio saugumo, </w:t>
      </w:r>
      <w:r w:rsidRPr="00201416">
        <w:rPr>
          <w:sz w:val="22"/>
          <w:szCs w:val="22"/>
        </w:rPr>
        <w:t>kartotinių dozių toksiškumo, genotoksiškumo, galimo kancerogeniškumo ir toksinio poveikio reprodukcijai ikiklinikinių tyrimų duomenys specifinio</w:t>
      </w:r>
      <w:r w:rsidRPr="00507EDE">
        <w:rPr>
          <w:sz w:val="22"/>
          <w:szCs w:val="22"/>
        </w:rPr>
        <w:t xml:space="preserve"> pavojaus žmogui nerodo. Įprastinių tyrimų, atliktų taikant šiuo metu pripažintus toksiškumo reprodukcijai ir vystymuisi vertinimo standartus, nėra.</w:t>
      </w:r>
    </w:p>
    <w:bookmarkEnd w:id="2"/>
    <w:p w14:paraId="4B3B6750" w14:textId="791F2CD8" w:rsidR="000E192C" w:rsidRDefault="000E192C" w:rsidP="00266417">
      <w:pPr>
        <w:rPr>
          <w:sz w:val="22"/>
          <w:szCs w:val="22"/>
        </w:rPr>
      </w:pPr>
    </w:p>
    <w:p w14:paraId="3C0848C4" w14:textId="77777777" w:rsidR="00B1112A" w:rsidRPr="00507EDE" w:rsidRDefault="00B1112A" w:rsidP="00266417">
      <w:pPr>
        <w:rPr>
          <w:sz w:val="22"/>
          <w:szCs w:val="22"/>
        </w:rPr>
      </w:pPr>
    </w:p>
    <w:p w14:paraId="40F755E8" w14:textId="77777777" w:rsidR="000E192C" w:rsidRPr="00507EDE" w:rsidRDefault="000E192C" w:rsidP="000E192C">
      <w:pPr>
        <w:keepNext/>
        <w:keepLines/>
        <w:tabs>
          <w:tab w:val="left" w:pos="567"/>
        </w:tabs>
        <w:outlineLvl w:val="2"/>
        <w:rPr>
          <w:sz w:val="22"/>
          <w:szCs w:val="22"/>
        </w:rPr>
      </w:pPr>
      <w:r w:rsidRPr="00507EDE">
        <w:rPr>
          <w:b/>
          <w:sz w:val="22"/>
          <w:szCs w:val="22"/>
        </w:rPr>
        <w:t>6.</w:t>
      </w:r>
      <w:r w:rsidRPr="00507EDE">
        <w:rPr>
          <w:b/>
          <w:sz w:val="22"/>
          <w:szCs w:val="22"/>
        </w:rPr>
        <w:tab/>
        <w:t>FARMACINĖ INFORMACIJA</w:t>
      </w:r>
    </w:p>
    <w:p w14:paraId="6BA78A0F" w14:textId="77777777" w:rsidR="000E192C" w:rsidRPr="00507EDE" w:rsidRDefault="000E192C" w:rsidP="000E192C">
      <w:pPr>
        <w:rPr>
          <w:sz w:val="22"/>
          <w:szCs w:val="22"/>
        </w:rPr>
      </w:pPr>
    </w:p>
    <w:p w14:paraId="1568470E" w14:textId="77777777" w:rsidR="000E192C" w:rsidRPr="00507EDE" w:rsidRDefault="000E192C" w:rsidP="000E192C">
      <w:pPr>
        <w:keepNext/>
        <w:tabs>
          <w:tab w:val="left" w:pos="567"/>
        </w:tabs>
        <w:jc w:val="both"/>
        <w:outlineLvl w:val="3"/>
        <w:rPr>
          <w:sz w:val="22"/>
          <w:szCs w:val="22"/>
        </w:rPr>
      </w:pPr>
      <w:r w:rsidRPr="00507EDE">
        <w:rPr>
          <w:b/>
          <w:sz w:val="22"/>
          <w:szCs w:val="22"/>
        </w:rPr>
        <w:t>6.1</w:t>
      </w:r>
      <w:r w:rsidRPr="00507EDE">
        <w:rPr>
          <w:b/>
          <w:sz w:val="22"/>
          <w:szCs w:val="22"/>
        </w:rPr>
        <w:tab/>
        <w:t>Pagalbinių medžiagų sąrašas</w:t>
      </w:r>
    </w:p>
    <w:p w14:paraId="5C7AA340" w14:textId="77777777" w:rsidR="000E192C" w:rsidRPr="00507EDE" w:rsidRDefault="000E192C" w:rsidP="000E192C">
      <w:pPr>
        <w:jc w:val="both"/>
        <w:rPr>
          <w:sz w:val="22"/>
          <w:szCs w:val="22"/>
        </w:rPr>
      </w:pPr>
    </w:p>
    <w:p w14:paraId="5EB13D22" w14:textId="2D3B1507" w:rsidR="00266417" w:rsidRPr="00507EDE" w:rsidRDefault="00266417" w:rsidP="00266417">
      <w:pPr>
        <w:jc w:val="both"/>
        <w:rPr>
          <w:sz w:val="22"/>
          <w:szCs w:val="22"/>
        </w:rPr>
      </w:pPr>
      <w:r w:rsidRPr="00507EDE">
        <w:rPr>
          <w:sz w:val="22"/>
          <w:szCs w:val="22"/>
        </w:rPr>
        <w:t>Povidonas K30</w:t>
      </w:r>
    </w:p>
    <w:p w14:paraId="5371790C" w14:textId="56ECE442" w:rsidR="00266417" w:rsidRPr="00507EDE" w:rsidRDefault="00266417" w:rsidP="000E192C">
      <w:pPr>
        <w:jc w:val="both"/>
        <w:rPr>
          <w:sz w:val="22"/>
          <w:szCs w:val="22"/>
        </w:rPr>
      </w:pPr>
      <w:r w:rsidRPr="00507EDE">
        <w:rPr>
          <w:sz w:val="22"/>
          <w:szCs w:val="22"/>
        </w:rPr>
        <w:t>Laktozė monohidratas</w:t>
      </w:r>
    </w:p>
    <w:p w14:paraId="3D7C9FFD" w14:textId="5F821384" w:rsidR="00266417" w:rsidRPr="00507EDE" w:rsidRDefault="00266417" w:rsidP="000E192C">
      <w:pPr>
        <w:jc w:val="both"/>
        <w:rPr>
          <w:sz w:val="22"/>
          <w:szCs w:val="22"/>
        </w:rPr>
      </w:pPr>
      <w:r w:rsidRPr="00507EDE">
        <w:rPr>
          <w:sz w:val="22"/>
          <w:szCs w:val="22"/>
        </w:rPr>
        <w:t>Kviečių krakmolas</w:t>
      </w:r>
    </w:p>
    <w:p w14:paraId="6CB75D37" w14:textId="60D71962" w:rsidR="00266417" w:rsidRPr="00507EDE" w:rsidRDefault="00266417" w:rsidP="000E192C">
      <w:pPr>
        <w:jc w:val="both"/>
        <w:rPr>
          <w:sz w:val="22"/>
          <w:szCs w:val="22"/>
        </w:rPr>
      </w:pPr>
      <w:r w:rsidRPr="00507EDE">
        <w:rPr>
          <w:sz w:val="22"/>
          <w:szCs w:val="22"/>
        </w:rPr>
        <w:t>Magnio stearatas</w:t>
      </w:r>
    </w:p>
    <w:p w14:paraId="0C163553" w14:textId="7ADF144C" w:rsidR="00266417" w:rsidRPr="00507EDE" w:rsidRDefault="00266417" w:rsidP="000E192C">
      <w:pPr>
        <w:jc w:val="both"/>
        <w:rPr>
          <w:sz w:val="22"/>
          <w:szCs w:val="22"/>
        </w:rPr>
      </w:pPr>
      <w:r w:rsidRPr="00507EDE">
        <w:rPr>
          <w:sz w:val="22"/>
          <w:szCs w:val="22"/>
        </w:rPr>
        <w:t>Talkas</w:t>
      </w:r>
    </w:p>
    <w:p w14:paraId="4D65ED67" w14:textId="77777777" w:rsidR="000E192C" w:rsidRPr="00507EDE" w:rsidRDefault="000E192C" w:rsidP="000E192C">
      <w:pPr>
        <w:jc w:val="both"/>
        <w:rPr>
          <w:sz w:val="22"/>
          <w:szCs w:val="22"/>
        </w:rPr>
      </w:pPr>
    </w:p>
    <w:p w14:paraId="5A516C39" w14:textId="77777777" w:rsidR="000E192C" w:rsidRPr="00507EDE" w:rsidRDefault="000E192C" w:rsidP="000E192C">
      <w:pPr>
        <w:keepNext/>
        <w:tabs>
          <w:tab w:val="left" w:pos="567"/>
        </w:tabs>
        <w:jc w:val="both"/>
        <w:outlineLvl w:val="3"/>
        <w:rPr>
          <w:sz w:val="22"/>
          <w:szCs w:val="22"/>
        </w:rPr>
      </w:pPr>
      <w:r w:rsidRPr="00507EDE">
        <w:rPr>
          <w:b/>
          <w:sz w:val="22"/>
          <w:szCs w:val="22"/>
        </w:rPr>
        <w:t>6.2</w:t>
      </w:r>
      <w:r w:rsidRPr="00507EDE">
        <w:rPr>
          <w:b/>
          <w:sz w:val="22"/>
          <w:szCs w:val="22"/>
        </w:rPr>
        <w:tab/>
        <w:t>Nesuderinamumas</w:t>
      </w:r>
    </w:p>
    <w:p w14:paraId="00B19E74" w14:textId="77777777" w:rsidR="000E192C" w:rsidRPr="00507EDE" w:rsidRDefault="000E192C" w:rsidP="000E192C">
      <w:pPr>
        <w:jc w:val="both"/>
        <w:rPr>
          <w:sz w:val="22"/>
          <w:szCs w:val="22"/>
        </w:rPr>
      </w:pPr>
    </w:p>
    <w:p w14:paraId="39187027" w14:textId="77777777" w:rsidR="000E192C" w:rsidRPr="00507EDE" w:rsidRDefault="000E192C" w:rsidP="000E192C">
      <w:pPr>
        <w:rPr>
          <w:sz w:val="22"/>
          <w:szCs w:val="22"/>
        </w:rPr>
      </w:pPr>
      <w:r w:rsidRPr="00507EDE">
        <w:rPr>
          <w:sz w:val="22"/>
          <w:szCs w:val="22"/>
        </w:rPr>
        <w:t>Duomenys nebūtini.</w:t>
      </w:r>
    </w:p>
    <w:p w14:paraId="799361DB" w14:textId="77777777" w:rsidR="000E192C" w:rsidRPr="00507EDE" w:rsidRDefault="000E192C" w:rsidP="000E192C">
      <w:pPr>
        <w:jc w:val="both"/>
        <w:rPr>
          <w:b/>
          <w:sz w:val="22"/>
          <w:szCs w:val="22"/>
        </w:rPr>
      </w:pPr>
    </w:p>
    <w:p w14:paraId="261E041F" w14:textId="77777777" w:rsidR="000E192C" w:rsidRPr="00507EDE" w:rsidRDefault="000E192C" w:rsidP="000E192C">
      <w:pPr>
        <w:keepNext/>
        <w:tabs>
          <w:tab w:val="left" w:pos="567"/>
        </w:tabs>
        <w:jc w:val="both"/>
        <w:outlineLvl w:val="3"/>
        <w:rPr>
          <w:sz w:val="22"/>
          <w:szCs w:val="22"/>
        </w:rPr>
      </w:pPr>
      <w:r w:rsidRPr="00507EDE">
        <w:rPr>
          <w:b/>
          <w:sz w:val="22"/>
          <w:szCs w:val="22"/>
        </w:rPr>
        <w:t>6.3</w:t>
      </w:r>
      <w:r w:rsidRPr="00507EDE">
        <w:rPr>
          <w:b/>
          <w:sz w:val="22"/>
          <w:szCs w:val="22"/>
        </w:rPr>
        <w:tab/>
        <w:t>Tinkamumo laikas</w:t>
      </w:r>
    </w:p>
    <w:p w14:paraId="6890F2F3" w14:textId="77777777" w:rsidR="000E192C" w:rsidRPr="00507EDE" w:rsidRDefault="000E192C" w:rsidP="000E192C">
      <w:pPr>
        <w:jc w:val="both"/>
        <w:rPr>
          <w:sz w:val="22"/>
          <w:szCs w:val="22"/>
        </w:rPr>
      </w:pPr>
    </w:p>
    <w:p w14:paraId="1BC53E61" w14:textId="0092F2FD" w:rsidR="000E192C" w:rsidRPr="00507EDE" w:rsidRDefault="00921378" w:rsidP="000E192C">
      <w:pPr>
        <w:jc w:val="both"/>
        <w:rPr>
          <w:sz w:val="22"/>
          <w:szCs w:val="22"/>
        </w:rPr>
      </w:pPr>
      <w:r w:rsidRPr="00507EDE">
        <w:rPr>
          <w:sz w:val="22"/>
          <w:szCs w:val="22"/>
        </w:rPr>
        <w:t>5</w:t>
      </w:r>
      <w:r w:rsidR="000E192C" w:rsidRPr="00507EDE">
        <w:rPr>
          <w:sz w:val="22"/>
          <w:szCs w:val="22"/>
        </w:rPr>
        <w:t> metai.</w:t>
      </w:r>
    </w:p>
    <w:p w14:paraId="78F6CA81" w14:textId="77777777" w:rsidR="000E192C" w:rsidRPr="00507EDE" w:rsidRDefault="000E192C" w:rsidP="000E192C">
      <w:pPr>
        <w:jc w:val="both"/>
        <w:rPr>
          <w:b/>
          <w:sz w:val="22"/>
          <w:szCs w:val="22"/>
        </w:rPr>
      </w:pPr>
    </w:p>
    <w:p w14:paraId="2EC3AAB4" w14:textId="77777777" w:rsidR="000E192C" w:rsidRPr="00507EDE" w:rsidRDefault="000E192C" w:rsidP="000E192C">
      <w:pPr>
        <w:keepNext/>
        <w:tabs>
          <w:tab w:val="left" w:pos="567"/>
        </w:tabs>
        <w:jc w:val="both"/>
        <w:outlineLvl w:val="3"/>
        <w:rPr>
          <w:sz w:val="22"/>
          <w:szCs w:val="22"/>
        </w:rPr>
      </w:pPr>
      <w:r w:rsidRPr="00507EDE">
        <w:rPr>
          <w:b/>
          <w:sz w:val="22"/>
          <w:szCs w:val="22"/>
        </w:rPr>
        <w:t>6.4</w:t>
      </w:r>
      <w:r w:rsidRPr="00507EDE">
        <w:rPr>
          <w:b/>
          <w:sz w:val="22"/>
          <w:szCs w:val="22"/>
        </w:rPr>
        <w:tab/>
        <w:t>Specialios laikymo sąlygos</w:t>
      </w:r>
    </w:p>
    <w:p w14:paraId="23788E57" w14:textId="77777777" w:rsidR="000E192C" w:rsidRPr="00507EDE" w:rsidRDefault="000E192C" w:rsidP="000E192C">
      <w:pPr>
        <w:jc w:val="both"/>
        <w:rPr>
          <w:sz w:val="22"/>
          <w:szCs w:val="22"/>
        </w:rPr>
      </w:pPr>
    </w:p>
    <w:p w14:paraId="62F95600" w14:textId="77777777" w:rsidR="000E192C" w:rsidRPr="00507EDE" w:rsidRDefault="000E192C" w:rsidP="000E192C">
      <w:pPr>
        <w:tabs>
          <w:tab w:val="left" w:pos="567"/>
        </w:tabs>
        <w:rPr>
          <w:sz w:val="22"/>
          <w:szCs w:val="22"/>
          <w:lang w:eastAsia="en-US"/>
        </w:rPr>
      </w:pPr>
      <w:r w:rsidRPr="00507EDE">
        <w:rPr>
          <w:sz w:val="22"/>
          <w:szCs w:val="22"/>
          <w:lang w:eastAsia="en-US"/>
        </w:rPr>
        <w:t>Šiam vaistiniam preparatui specialių laikymo sąlygų nereikia.</w:t>
      </w:r>
    </w:p>
    <w:p w14:paraId="12653943" w14:textId="77777777" w:rsidR="000E192C" w:rsidRPr="00507EDE" w:rsidRDefault="000E192C" w:rsidP="000E192C">
      <w:pPr>
        <w:jc w:val="both"/>
        <w:rPr>
          <w:sz w:val="22"/>
          <w:szCs w:val="22"/>
        </w:rPr>
      </w:pPr>
    </w:p>
    <w:p w14:paraId="50526B19" w14:textId="77777777" w:rsidR="000E192C" w:rsidRPr="00507EDE" w:rsidRDefault="000E192C" w:rsidP="000E192C">
      <w:pPr>
        <w:tabs>
          <w:tab w:val="left" w:pos="567"/>
        </w:tabs>
        <w:jc w:val="both"/>
        <w:rPr>
          <w:b/>
          <w:sz w:val="22"/>
          <w:szCs w:val="22"/>
        </w:rPr>
      </w:pPr>
      <w:r w:rsidRPr="00507EDE">
        <w:rPr>
          <w:b/>
          <w:sz w:val="22"/>
          <w:szCs w:val="22"/>
        </w:rPr>
        <w:t>6.5</w:t>
      </w:r>
      <w:r w:rsidRPr="00507EDE">
        <w:rPr>
          <w:b/>
          <w:sz w:val="22"/>
          <w:szCs w:val="22"/>
        </w:rPr>
        <w:tab/>
        <w:t>Talpyklės pobūdis ir jos turinys</w:t>
      </w:r>
    </w:p>
    <w:p w14:paraId="04E37AEC" w14:textId="77777777" w:rsidR="000E192C" w:rsidRPr="00507EDE" w:rsidRDefault="000E192C" w:rsidP="000E192C">
      <w:pPr>
        <w:jc w:val="both"/>
        <w:rPr>
          <w:sz w:val="22"/>
          <w:szCs w:val="22"/>
        </w:rPr>
      </w:pPr>
    </w:p>
    <w:p w14:paraId="3FEAD121" w14:textId="58FDA898" w:rsidR="000E192C" w:rsidRPr="00507EDE" w:rsidRDefault="00921378" w:rsidP="000E192C">
      <w:pPr>
        <w:rPr>
          <w:sz w:val="22"/>
          <w:szCs w:val="22"/>
        </w:rPr>
      </w:pPr>
      <w:r w:rsidRPr="00507EDE">
        <w:rPr>
          <w:sz w:val="22"/>
          <w:szCs w:val="22"/>
        </w:rPr>
        <w:t>10 tablečių PVC</w:t>
      </w:r>
      <w:r w:rsidR="00341CC8" w:rsidRPr="00507EDE">
        <w:rPr>
          <w:sz w:val="22"/>
          <w:szCs w:val="22"/>
        </w:rPr>
        <w:t xml:space="preserve"> / </w:t>
      </w:r>
      <w:r w:rsidRPr="00507EDE">
        <w:rPr>
          <w:sz w:val="22"/>
          <w:szCs w:val="22"/>
        </w:rPr>
        <w:t xml:space="preserve">aliuminio folijos lizdinėje plokštelėje. 2 lizdinės plokštelės supakuotos į kartono dėžutę su pakuotės lapeliu. </w:t>
      </w:r>
    </w:p>
    <w:p w14:paraId="2E65BEBF" w14:textId="77777777" w:rsidR="000E192C" w:rsidRPr="00507EDE" w:rsidRDefault="000E192C" w:rsidP="000E192C">
      <w:pPr>
        <w:jc w:val="both"/>
        <w:rPr>
          <w:b/>
          <w:sz w:val="22"/>
          <w:szCs w:val="22"/>
        </w:rPr>
      </w:pPr>
    </w:p>
    <w:p w14:paraId="10538479" w14:textId="77777777" w:rsidR="000E192C" w:rsidRPr="00507EDE" w:rsidRDefault="000E192C" w:rsidP="000E192C">
      <w:pPr>
        <w:jc w:val="both"/>
        <w:rPr>
          <w:b/>
          <w:sz w:val="22"/>
          <w:szCs w:val="22"/>
        </w:rPr>
      </w:pPr>
      <w:r w:rsidRPr="00507EDE">
        <w:rPr>
          <w:b/>
          <w:sz w:val="22"/>
          <w:szCs w:val="22"/>
        </w:rPr>
        <w:t>6.6</w:t>
      </w:r>
      <w:r w:rsidRPr="00507EDE">
        <w:rPr>
          <w:b/>
          <w:sz w:val="22"/>
          <w:szCs w:val="22"/>
        </w:rPr>
        <w:tab/>
        <w:t>Specialūs reikalavimai atliekoms tvarkyti</w:t>
      </w:r>
    </w:p>
    <w:p w14:paraId="6F0DDCB0" w14:textId="77777777" w:rsidR="000E192C" w:rsidRPr="00507EDE" w:rsidRDefault="000E192C" w:rsidP="000E192C">
      <w:pPr>
        <w:jc w:val="both"/>
        <w:rPr>
          <w:sz w:val="22"/>
          <w:szCs w:val="22"/>
        </w:rPr>
      </w:pPr>
    </w:p>
    <w:p w14:paraId="5EDFF600" w14:textId="74C16FD5" w:rsidR="000E192C" w:rsidRPr="00507EDE" w:rsidRDefault="00921378" w:rsidP="000E192C">
      <w:pPr>
        <w:jc w:val="both"/>
        <w:rPr>
          <w:sz w:val="22"/>
          <w:szCs w:val="22"/>
        </w:rPr>
      </w:pPr>
      <w:r w:rsidRPr="00507EDE">
        <w:rPr>
          <w:sz w:val="22"/>
          <w:szCs w:val="22"/>
        </w:rPr>
        <w:t>Nesuvartotą vaistinį preparatą ar atliekas reikia tvarkyti laikantis vietinių reikalavimų.</w:t>
      </w:r>
    </w:p>
    <w:p w14:paraId="724EDEAF" w14:textId="77777777" w:rsidR="00921378" w:rsidRPr="00507EDE" w:rsidRDefault="00921378" w:rsidP="000E192C">
      <w:pPr>
        <w:jc w:val="both"/>
        <w:rPr>
          <w:sz w:val="22"/>
          <w:szCs w:val="22"/>
        </w:rPr>
      </w:pPr>
    </w:p>
    <w:p w14:paraId="50ED46C0" w14:textId="77777777" w:rsidR="000E192C" w:rsidRPr="00507EDE" w:rsidRDefault="000E192C" w:rsidP="000E192C">
      <w:pPr>
        <w:jc w:val="both"/>
        <w:rPr>
          <w:sz w:val="22"/>
          <w:szCs w:val="22"/>
        </w:rPr>
      </w:pPr>
    </w:p>
    <w:p w14:paraId="39C0220C" w14:textId="77777777" w:rsidR="000E192C" w:rsidRPr="00507EDE" w:rsidRDefault="000E192C" w:rsidP="000E192C">
      <w:pPr>
        <w:keepNext/>
        <w:keepLines/>
        <w:tabs>
          <w:tab w:val="left" w:pos="567"/>
        </w:tabs>
        <w:outlineLvl w:val="2"/>
        <w:rPr>
          <w:sz w:val="22"/>
          <w:szCs w:val="22"/>
        </w:rPr>
      </w:pPr>
      <w:r w:rsidRPr="00507EDE">
        <w:rPr>
          <w:b/>
          <w:sz w:val="22"/>
          <w:szCs w:val="22"/>
        </w:rPr>
        <w:t>7.</w:t>
      </w:r>
      <w:r w:rsidRPr="00507EDE">
        <w:rPr>
          <w:b/>
          <w:sz w:val="22"/>
          <w:szCs w:val="22"/>
        </w:rPr>
        <w:tab/>
        <w:t>REGISTRUOTOJAS</w:t>
      </w:r>
    </w:p>
    <w:p w14:paraId="1AE6E839" w14:textId="77777777" w:rsidR="000E192C" w:rsidRPr="00507EDE" w:rsidRDefault="000E192C" w:rsidP="000E192C">
      <w:pPr>
        <w:rPr>
          <w:sz w:val="22"/>
          <w:szCs w:val="22"/>
        </w:rPr>
      </w:pPr>
    </w:p>
    <w:p w14:paraId="78F79A3C" w14:textId="77777777" w:rsidR="00676576" w:rsidRPr="00676576" w:rsidRDefault="00676576" w:rsidP="00676576">
      <w:pPr>
        <w:jc w:val="both"/>
        <w:rPr>
          <w:sz w:val="22"/>
          <w:szCs w:val="22"/>
        </w:rPr>
      </w:pPr>
      <w:r w:rsidRPr="00676576">
        <w:rPr>
          <w:sz w:val="22"/>
          <w:szCs w:val="22"/>
        </w:rPr>
        <w:t>UAB „NVT“</w:t>
      </w:r>
    </w:p>
    <w:p w14:paraId="4DE4EC7A" w14:textId="77777777" w:rsidR="00676576" w:rsidRPr="00676576" w:rsidRDefault="00676576" w:rsidP="00676576">
      <w:pPr>
        <w:jc w:val="both"/>
        <w:rPr>
          <w:sz w:val="22"/>
          <w:szCs w:val="22"/>
        </w:rPr>
      </w:pPr>
      <w:r w:rsidRPr="00676576">
        <w:rPr>
          <w:sz w:val="22"/>
          <w:szCs w:val="22"/>
        </w:rPr>
        <w:t>Sodų g. 1, Linksmakalnio k.</w:t>
      </w:r>
    </w:p>
    <w:p w14:paraId="6250E7C0" w14:textId="77777777" w:rsidR="00676576" w:rsidRPr="00676576" w:rsidRDefault="00676576" w:rsidP="00676576">
      <w:pPr>
        <w:jc w:val="both"/>
        <w:rPr>
          <w:sz w:val="22"/>
          <w:szCs w:val="22"/>
        </w:rPr>
      </w:pPr>
      <w:r w:rsidRPr="00676576">
        <w:rPr>
          <w:sz w:val="22"/>
          <w:szCs w:val="22"/>
        </w:rPr>
        <w:t>Kauno raj., 53290</w:t>
      </w:r>
    </w:p>
    <w:p w14:paraId="372F8FEF" w14:textId="54D78C03" w:rsidR="00C86AAA" w:rsidRPr="00507EDE" w:rsidRDefault="00676576" w:rsidP="00676576">
      <w:pPr>
        <w:jc w:val="both"/>
        <w:rPr>
          <w:sz w:val="22"/>
          <w:szCs w:val="22"/>
        </w:rPr>
      </w:pPr>
      <w:r w:rsidRPr="00676576">
        <w:rPr>
          <w:sz w:val="22"/>
          <w:szCs w:val="22"/>
        </w:rPr>
        <w:t>Lietuva</w:t>
      </w:r>
    </w:p>
    <w:p w14:paraId="48DAC745" w14:textId="77777777" w:rsidR="000E192C" w:rsidRDefault="000E192C" w:rsidP="000E192C">
      <w:pPr>
        <w:jc w:val="both"/>
        <w:rPr>
          <w:sz w:val="22"/>
          <w:szCs w:val="22"/>
        </w:rPr>
      </w:pPr>
    </w:p>
    <w:p w14:paraId="1D44B45C" w14:textId="77777777" w:rsidR="00676576" w:rsidRPr="00507EDE" w:rsidRDefault="00676576" w:rsidP="000E192C">
      <w:pPr>
        <w:jc w:val="both"/>
        <w:rPr>
          <w:sz w:val="22"/>
          <w:szCs w:val="22"/>
        </w:rPr>
      </w:pPr>
    </w:p>
    <w:p w14:paraId="0C1B8D11" w14:textId="77777777" w:rsidR="000E192C" w:rsidRPr="00507EDE" w:rsidRDefault="000E192C" w:rsidP="000E192C">
      <w:pPr>
        <w:keepNext/>
        <w:keepLines/>
        <w:tabs>
          <w:tab w:val="left" w:pos="567"/>
        </w:tabs>
        <w:outlineLvl w:val="2"/>
        <w:rPr>
          <w:sz w:val="22"/>
          <w:szCs w:val="22"/>
        </w:rPr>
      </w:pPr>
      <w:r w:rsidRPr="00507EDE">
        <w:rPr>
          <w:b/>
          <w:sz w:val="22"/>
          <w:szCs w:val="22"/>
        </w:rPr>
        <w:t>8.</w:t>
      </w:r>
      <w:r w:rsidRPr="00507EDE">
        <w:rPr>
          <w:b/>
          <w:sz w:val="22"/>
          <w:szCs w:val="22"/>
        </w:rPr>
        <w:tab/>
        <w:t xml:space="preserve">REGISTRACIJOS PAŽYMĖJIMO NUMERIS (-IAI) </w:t>
      </w:r>
    </w:p>
    <w:p w14:paraId="17FF8757" w14:textId="22246140" w:rsidR="000E192C" w:rsidRDefault="000E192C" w:rsidP="000E192C">
      <w:pPr>
        <w:jc w:val="both"/>
        <w:rPr>
          <w:sz w:val="22"/>
          <w:szCs w:val="22"/>
        </w:rPr>
      </w:pPr>
    </w:p>
    <w:p w14:paraId="68B3930A" w14:textId="5AEF8104" w:rsidR="00673877" w:rsidRDefault="00673877" w:rsidP="000E192C">
      <w:pPr>
        <w:jc w:val="both"/>
        <w:rPr>
          <w:sz w:val="22"/>
          <w:szCs w:val="22"/>
        </w:rPr>
      </w:pPr>
      <w:r w:rsidRPr="00673877">
        <w:rPr>
          <w:sz w:val="22"/>
          <w:szCs w:val="22"/>
        </w:rPr>
        <w:t>LT/1/25/5869/001</w:t>
      </w:r>
    </w:p>
    <w:p w14:paraId="31355A7C" w14:textId="77777777" w:rsidR="00673877" w:rsidRPr="00507EDE" w:rsidRDefault="00673877" w:rsidP="000E192C">
      <w:pPr>
        <w:jc w:val="both"/>
        <w:rPr>
          <w:sz w:val="22"/>
          <w:szCs w:val="22"/>
        </w:rPr>
      </w:pPr>
    </w:p>
    <w:p w14:paraId="65B17DD3" w14:textId="77777777" w:rsidR="000E192C" w:rsidRPr="00507EDE" w:rsidRDefault="000E192C" w:rsidP="000E192C">
      <w:pPr>
        <w:jc w:val="both"/>
        <w:rPr>
          <w:sz w:val="22"/>
          <w:szCs w:val="22"/>
        </w:rPr>
      </w:pPr>
    </w:p>
    <w:p w14:paraId="6534F366" w14:textId="77777777" w:rsidR="000E192C" w:rsidRPr="00507EDE" w:rsidRDefault="000E192C" w:rsidP="000E192C">
      <w:pPr>
        <w:keepNext/>
        <w:keepLines/>
        <w:tabs>
          <w:tab w:val="left" w:pos="567"/>
        </w:tabs>
        <w:outlineLvl w:val="2"/>
        <w:rPr>
          <w:sz w:val="22"/>
          <w:szCs w:val="22"/>
        </w:rPr>
      </w:pPr>
      <w:r w:rsidRPr="00507EDE">
        <w:rPr>
          <w:b/>
          <w:sz w:val="22"/>
          <w:szCs w:val="22"/>
        </w:rPr>
        <w:t>9.</w:t>
      </w:r>
      <w:r w:rsidRPr="00507EDE">
        <w:rPr>
          <w:b/>
          <w:sz w:val="22"/>
          <w:szCs w:val="22"/>
        </w:rPr>
        <w:tab/>
        <w:t>REGISTRAVIMO / PERREGISTRAVIMO DATA</w:t>
      </w:r>
    </w:p>
    <w:p w14:paraId="3B6A7189" w14:textId="77777777" w:rsidR="000E192C" w:rsidRPr="00507EDE" w:rsidRDefault="000E192C" w:rsidP="000E192C">
      <w:pPr>
        <w:rPr>
          <w:sz w:val="22"/>
          <w:szCs w:val="22"/>
        </w:rPr>
      </w:pPr>
    </w:p>
    <w:p w14:paraId="7D927AAB" w14:textId="5265D865" w:rsidR="000E192C" w:rsidRPr="00507EDE" w:rsidRDefault="005D1A6C" w:rsidP="000E192C">
      <w:pPr>
        <w:rPr>
          <w:sz w:val="22"/>
          <w:szCs w:val="22"/>
        </w:rPr>
      </w:pPr>
      <w:r w:rsidRPr="00507EDE">
        <w:rPr>
          <w:sz w:val="22"/>
          <w:szCs w:val="22"/>
        </w:rPr>
        <w:t xml:space="preserve">Registravimo data </w:t>
      </w:r>
      <w:r w:rsidR="00673877">
        <w:rPr>
          <w:sz w:val="22"/>
          <w:szCs w:val="22"/>
        </w:rPr>
        <w:t>2025 m. rugsėjo 26 d.</w:t>
      </w:r>
    </w:p>
    <w:p w14:paraId="7778F385" w14:textId="77777777" w:rsidR="000E192C" w:rsidRPr="00507EDE" w:rsidRDefault="000E192C" w:rsidP="000E192C">
      <w:pPr>
        <w:jc w:val="both"/>
        <w:rPr>
          <w:sz w:val="22"/>
          <w:szCs w:val="22"/>
        </w:rPr>
      </w:pPr>
    </w:p>
    <w:p w14:paraId="762329D4" w14:textId="77777777" w:rsidR="000E192C" w:rsidRPr="00507EDE" w:rsidRDefault="000E192C" w:rsidP="000E192C">
      <w:pPr>
        <w:jc w:val="both"/>
        <w:rPr>
          <w:sz w:val="22"/>
          <w:szCs w:val="22"/>
        </w:rPr>
      </w:pPr>
    </w:p>
    <w:p w14:paraId="3E08953D" w14:textId="77777777" w:rsidR="000E192C" w:rsidRPr="00507EDE" w:rsidRDefault="000E192C" w:rsidP="000E192C">
      <w:pPr>
        <w:keepNext/>
        <w:keepLines/>
        <w:tabs>
          <w:tab w:val="left" w:pos="567"/>
        </w:tabs>
        <w:outlineLvl w:val="2"/>
        <w:rPr>
          <w:sz w:val="22"/>
          <w:szCs w:val="22"/>
        </w:rPr>
      </w:pPr>
      <w:r w:rsidRPr="00507EDE">
        <w:rPr>
          <w:b/>
          <w:sz w:val="22"/>
          <w:szCs w:val="22"/>
        </w:rPr>
        <w:t>10.</w:t>
      </w:r>
      <w:r w:rsidRPr="00507EDE">
        <w:rPr>
          <w:b/>
          <w:sz w:val="22"/>
          <w:szCs w:val="22"/>
        </w:rPr>
        <w:tab/>
        <w:t>TEKSTO PERŽIŪROS DATA</w:t>
      </w:r>
    </w:p>
    <w:p w14:paraId="6A521C4D" w14:textId="77777777" w:rsidR="000E192C" w:rsidRPr="00507EDE" w:rsidRDefault="000E192C" w:rsidP="000E192C">
      <w:pPr>
        <w:rPr>
          <w:sz w:val="22"/>
          <w:szCs w:val="22"/>
        </w:rPr>
      </w:pPr>
    </w:p>
    <w:p w14:paraId="104AFFD0" w14:textId="54E54522" w:rsidR="000E192C" w:rsidRDefault="00673877" w:rsidP="000E192C">
      <w:pPr>
        <w:rPr>
          <w:sz w:val="22"/>
          <w:szCs w:val="22"/>
        </w:rPr>
      </w:pPr>
      <w:r>
        <w:rPr>
          <w:sz w:val="22"/>
          <w:szCs w:val="22"/>
        </w:rPr>
        <w:t>2025 m. rugsėjo 26 d.</w:t>
      </w:r>
    </w:p>
    <w:p w14:paraId="79C2C205" w14:textId="77777777" w:rsidR="00673877" w:rsidRPr="00B52069" w:rsidRDefault="00673877" w:rsidP="000E192C">
      <w:pPr>
        <w:rPr>
          <w:sz w:val="22"/>
          <w:szCs w:val="22"/>
        </w:rPr>
      </w:pPr>
    </w:p>
    <w:p w14:paraId="51CB0801" w14:textId="77777777" w:rsidR="005D1A6C" w:rsidRPr="00507EDE" w:rsidRDefault="005D1A6C" w:rsidP="000E192C">
      <w:pPr>
        <w:rPr>
          <w:sz w:val="22"/>
          <w:szCs w:val="22"/>
        </w:rPr>
      </w:pPr>
    </w:p>
    <w:p w14:paraId="28448F61" w14:textId="15922E3A" w:rsidR="000E192C" w:rsidRPr="00507EDE" w:rsidRDefault="000E192C" w:rsidP="000E192C">
      <w:pPr>
        <w:tabs>
          <w:tab w:val="left" w:pos="5954"/>
          <w:tab w:val="left" w:pos="6237"/>
          <w:tab w:val="left" w:pos="6663"/>
          <w:tab w:val="left" w:pos="6946"/>
        </w:tabs>
        <w:rPr>
          <w:sz w:val="22"/>
          <w:szCs w:val="22"/>
        </w:rPr>
      </w:pPr>
      <w:r w:rsidRPr="00507EDE">
        <w:rPr>
          <w:sz w:val="22"/>
          <w:szCs w:val="22"/>
        </w:rPr>
        <w:t>Išsami informacija apie šį vaistinį preparatą pateikiama Valstybinės vaistų kontrolės tarnybos prie Lietuvos Respublikos sveikatos apsaugos ministerijos tinklalapyje</w:t>
      </w:r>
      <w:r w:rsidRPr="00507EDE">
        <w:rPr>
          <w:i/>
          <w:sz w:val="22"/>
          <w:szCs w:val="22"/>
        </w:rPr>
        <w:t xml:space="preserve"> </w:t>
      </w:r>
      <w:hyperlink r:id="rId8" w:history="1">
        <w:r w:rsidR="00341CC8" w:rsidRPr="00507EDE">
          <w:rPr>
            <w:rStyle w:val="Hipersaitas"/>
            <w:sz w:val="22"/>
            <w:szCs w:val="22"/>
          </w:rPr>
          <w:t>https://vvkt.lrv.lt/lt</w:t>
        </w:r>
      </w:hyperlink>
      <w:r w:rsidR="00E727D6">
        <w:t>.</w:t>
      </w:r>
    </w:p>
    <w:p w14:paraId="693D3448" w14:textId="77777777" w:rsidR="000E192C" w:rsidRPr="00507EDE" w:rsidRDefault="000E192C" w:rsidP="000E192C">
      <w:pPr>
        <w:rPr>
          <w:sz w:val="22"/>
          <w:szCs w:val="22"/>
        </w:rPr>
      </w:pPr>
    </w:p>
    <w:p w14:paraId="6C0BA943" w14:textId="77777777" w:rsidR="000E192C" w:rsidRPr="00507EDE" w:rsidRDefault="000E192C" w:rsidP="000E192C">
      <w:pPr>
        <w:tabs>
          <w:tab w:val="left" w:pos="567"/>
        </w:tabs>
        <w:rPr>
          <w:sz w:val="22"/>
          <w:szCs w:val="22"/>
        </w:rPr>
      </w:pPr>
      <w:r w:rsidRPr="00507EDE">
        <w:rPr>
          <w:iCs/>
          <w:sz w:val="22"/>
          <w:szCs w:val="22"/>
        </w:rPr>
        <w:br w:type="page"/>
      </w:r>
    </w:p>
    <w:p w14:paraId="166959E4" w14:textId="77777777" w:rsidR="000E192C" w:rsidRPr="00507EDE" w:rsidRDefault="000E192C" w:rsidP="000E192C">
      <w:pPr>
        <w:tabs>
          <w:tab w:val="left" w:pos="567"/>
        </w:tabs>
        <w:rPr>
          <w:sz w:val="22"/>
          <w:szCs w:val="22"/>
        </w:rPr>
      </w:pPr>
    </w:p>
    <w:p w14:paraId="62AA3EB1" w14:textId="77777777" w:rsidR="000E192C" w:rsidRPr="00507EDE" w:rsidRDefault="000E192C" w:rsidP="000E192C">
      <w:pPr>
        <w:tabs>
          <w:tab w:val="left" w:pos="567"/>
        </w:tabs>
        <w:rPr>
          <w:sz w:val="22"/>
          <w:szCs w:val="22"/>
        </w:rPr>
      </w:pPr>
    </w:p>
    <w:p w14:paraId="3833F55A" w14:textId="77777777" w:rsidR="000E192C" w:rsidRPr="00507EDE" w:rsidRDefault="000E192C" w:rsidP="000E192C">
      <w:pPr>
        <w:tabs>
          <w:tab w:val="left" w:pos="567"/>
        </w:tabs>
        <w:rPr>
          <w:sz w:val="22"/>
          <w:szCs w:val="22"/>
        </w:rPr>
      </w:pPr>
    </w:p>
    <w:p w14:paraId="3C584A7F" w14:textId="77777777" w:rsidR="000E192C" w:rsidRPr="00507EDE" w:rsidRDefault="000E192C" w:rsidP="000E192C">
      <w:pPr>
        <w:tabs>
          <w:tab w:val="left" w:pos="567"/>
        </w:tabs>
        <w:rPr>
          <w:sz w:val="22"/>
          <w:szCs w:val="22"/>
        </w:rPr>
      </w:pPr>
    </w:p>
    <w:p w14:paraId="222ECAF2" w14:textId="77777777" w:rsidR="000E192C" w:rsidRPr="00507EDE" w:rsidRDefault="000E192C" w:rsidP="000E192C">
      <w:pPr>
        <w:tabs>
          <w:tab w:val="left" w:pos="567"/>
        </w:tabs>
        <w:rPr>
          <w:sz w:val="22"/>
          <w:szCs w:val="22"/>
        </w:rPr>
      </w:pPr>
    </w:p>
    <w:p w14:paraId="782C7376" w14:textId="77777777" w:rsidR="000E192C" w:rsidRPr="00507EDE" w:rsidRDefault="000E192C" w:rsidP="000E192C">
      <w:pPr>
        <w:tabs>
          <w:tab w:val="left" w:pos="567"/>
        </w:tabs>
        <w:rPr>
          <w:sz w:val="22"/>
          <w:szCs w:val="22"/>
        </w:rPr>
      </w:pPr>
    </w:p>
    <w:p w14:paraId="5C5675FE" w14:textId="77777777" w:rsidR="000E192C" w:rsidRPr="00507EDE" w:rsidRDefault="000E192C" w:rsidP="000E192C">
      <w:pPr>
        <w:tabs>
          <w:tab w:val="left" w:pos="567"/>
        </w:tabs>
        <w:rPr>
          <w:sz w:val="22"/>
          <w:szCs w:val="22"/>
        </w:rPr>
      </w:pPr>
    </w:p>
    <w:p w14:paraId="7BF9827D" w14:textId="77777777" w:rsidR="000E192C" w:rsidRPr="00507EDE" w:rsidRDefault="000E192C" w:rsidP="000E192C">
      <w:pPr>
        <w:tabs>
          <w:tab w:val="left" w:pos="567"/>
        </w:tabs>
        <w:rPr>
          <w:sz w:val="22"/>
          <w:szCs w:val="22"/>
        </w:rPr>
      </w:pPr>
    </w:p>
    <w:p w14:paraId="2E0FE0DC" w14:textId="77777777" w:rsidR="000E192C" w:rsidRPr="00507EDE" w:rsidRDefault="000E192C" w:rsidP="000E192C">
      <w:pPr>
        <w:tabs>
          <w:tab w:val="left" w:pos="567"/>
        </w:tabs>
        <w:rPr>
          <w:sz w:val="22"/>
          <w:szCs w:val="22"/>
        </w:rPr>
      </w:pPr>
    </w:p>
    <w:p w14:paraId="32321DAE" w14:textId="77777777" w:rsidR="000E192C" w:rsidRPr="00507EDE" w:rsidRDefault="000E192C" w:rsidP="000E192C">
      <w:pPr>
        <w:tabs>
          <w:tab w:val="left" w:pos="567"/>
        </w:tabs>
        <w:rPr>
          <w:sz w:val="22"/>
          <w:szCs w:val="22"/>
        </w:rPr>
      </w:pPr>
    </w:p>
    <w:p w14:paraId="47A97A2C" w14:textId="77777777" w:rsidR="000E192C" w:rsidRPr="00507EDE" w:rsidRDefault="000E192C" w:rsidP="000E192C">
      <w:pPr>
        <w:tabs>
          <w:tab w:val="left" w:pos="567"/>
        </w:tabs>
        <w:rPr>
          <w:sz w:val="22"/>
          <w:szCs w:val="22"/>
        </w:rPr>
      </w:pPr>
    </w:p>
    <w:p w14:paraId="4BC0BB48" w14:textId="77777777" w:rsidR="000E192C" w:rsidRPr="00507EDE" w:rsidRDefault="000E192C" w:rsidP="000E192C">
      <w:pPr>
        <w:tabs>
          <w:tab w:val="left" w:pos="567"/>
        </w:tabs>
        <w:rPr>
          <w:sz w:val="22"/>
          <w:szCs w:val="22"/>
        </w:rPr>
      </w:pPr>
    </w:p>
    <w:p w14:paraId="3BDD9611" w14:textId="77777777" w:rsidR="000E192C" w:rsidRPr="00507EDE" w:rsidRDefault="000E192C" w:rsidP="000E192C">
      <w:pPr>
        <w:tabs>
          <w:tab w:val="left" w:pos="567"/>
        </w:tabs>
        <w:jc w:val="center"/>
        <w:rPr>
          <w:b/>
          <w:sz w:val="22"/>
          <w:szCs w:val="22"/>
        </w:rPr>
      </w:pPr>
    </w:p>
    <w:p w14:paraId="3ED2ED02" w14:textId="77777777" w:rsidR="000E192C" w:rsidRPr="00507EDE" w:rsidRDefault="000E192C" w:rsidP="000E192C">
      <w:pPr>
        <w:tabs>
          <w:tab w:val="left" w:pos="567"/>
        </w:tabs>
        <w:jc w:val="center"/>
        <w:rPr>
          <w:b/>
          <w:sz w:val="22"/>
          <w:szCs w:val="22"/>
        </w:rPr>
      </w:pPr>
    </w:p>
    <w:p w14:paraId="3CDB2F9B" w14:textId="77777777" w:rsidR="000E192C" w:rsidRPr="00507EDE" w:rsidRDefault="000E192C" w:rsidP="000E192C">
      <w:pPr>
        <w:tabs>
          <w:tab w:val="left" w:pos="567"/>
        </w:tabs>
        <w:jc w:val="center"/>
        <w:rPr>
          <w:b/>
          <w:sz w:val="22"/>
          <w:szCs w:val="22"/>
        </w:rPr>
      </w:pPr>
    </w:p>
    <w:p w14:paraId="3FBE2AE5" w14:textId="77777777" w:rsidR="000E192C" w:rsidRPr="00507EDE" w:rsidRDefault="000E192C" w:rsidP="000E192C">
      <w:pPr>
        <w:tabs>
          <w:tab w:val="left" w:pos="567"/>
        </w:tabs>
        <w:jc w:val="center"/>
        <w:rPr>
          <w:b/>
          <w:sz w:val="22"/>
          <w:szCs w:val="22"/>
        </w:rPr>
      </w:pPr>
    </w:p>
    <w:p w14:paraId="7D806802" w14:textId="77777777" w:rsidR="000E192C" w:rsidRPr="00507EDE" w:rsidRDefault="000E192C" w:rsidP="000E192C">
      <w:pPr>
        <w:tabs>
          <w:tab w:val="left" w:pos="567"/>
        </w:tabs>
        <w:jc w:val="center"/>
        <w:rPr>
          <w:b/>
          <w:sz w:val="22"/>
          <w:szCs w:val="22"/>
        </w:rPr>
      </w:pPr>
    </w:p>
    <w:p w14:paraId="4223063E" w14:textId="77777777" w:rsidR="000E192C" w:rsidRPr="00507EDE" w:rsidRDefault="000E192C" w:rsidP="000E192C">
      <w:pPr>
        <w:tabs>
          <w:tab w:val="left" w:pos="567"/>
        </w:tabs>
        <w:jc w:val="center"/>
        <w:rPr>
          <w:b/>
          <w:sz w:val="22"/>
          <w:szCs w:val="22"/>
        </w:rPr>
      </w:pPr>
    </w:p>
    <w:p w14:paraId="54B3598E" w14:textId="77777777" w:rsidR="000E192C" w:rsidRPr="00507EDE" w:rsidRDefault="000E192C" w:rsidP="000E192C">
      <w:pPr>
        <w:tabs>
          <w:tab w:val="left" w:pos="567"/>
        </w:tabs>
        <w:jc w:val="center"/>
        <w:rPr>
          <w:b/>
          <w:sz w:val="22"/>
          <w:szCs w:val="22"/>
        </w:rPr>
      </w:pPr>
    </w:p>
    <w:p w14:paraId="7F7F7F0A" w14:textId="77777777" w:rsidR="000E192C" w:rsidRPr="00507EDE" w:rsidRDefault="000E192C" w:rsidP="000E192C">
      <w:pPr>
        <w:tabs>
          <w:tab w:val="left" w:pos="567"/>
        </w:tabs>
        <w:jc w:val="center"/>
        <w:rPr>
          <w:b/>
          <w:sz w:val="22"/>
          <w:szCs w:val="22"/>
        </w:rPr>
      </w:pPr>
    </w:p>
    <w:p w14:paraId="59399665" w14:textId="77777777" w:rsidR="000E192C" w:rsidRPr="00507EDE" w:rsidRDefault="000E192C" w:rsidP="000E192C">
      <w:pPr>
        <w:tabs>
          <w:tab w:val="left" w:pos="567"/>
        </w:tabs>
        <w:jc w:val="center"/>
        <w:rPr>
          <w:b/>
          <w:sz w:val="22"/>
          <w:szCs w:val="22"/>
        </w:rPr>
      </w:pPr>
    </w:p>
    <w:p w14:paraId="114B92F6" w14:textId="77777777" w:rsidR="000E192C" w:rsidRPr="00507EDE" w:rsidRDefault="000E192C" w:rsidP="000E192C">
      <w:pPr>
        <w:tabs>
          <w:tab w:val="left" w:pos="567"/>
        </w:tabs>
        <w:jc w:val="center"/>
        <w:rPr>
          <w:b/>
          <w:sz w:val="22"/>
          <w:szCs w:val="22"/>
        </w:rPr>
      </w:pPr>
    </w:p>
    <w:p w14:paraId="1B519AEC" w14:textId="77777777" w:rsidR="000E192C" w:rsidRPr="00507EDE" w:rsidRDefault="000E192C" w:rsidP="000E192C">
      <w:pPr>
        <w:tabs>
          <w:tab w:val="left" w:pos="567"/>
        </w:tabs>
        <w:jc w:val="center"/>
        <w:rPr>
          <w:b/>
          <w:sz w:val="22"/>
          <w:szCs w:val="22"/>
        </w:rPr>
      </w:pPr>
      <w:r w:rsidRPr="00507EDE">
        <w:rPr>
          <w:b/>
          <w:sz w:val="22"/>
          <w:szCs w:val="22"/>
        </w:rPr>
        <w:t>II PRIEDAS</w:t>
      </w:r>
    </w:p>
    <w:p w14:paraId="24B10203" w14:textId="77777777" w:rsidR="000E192C" w:rsidRPr="00507EDE" w:rsidRDefault="000E192C" w:rsidP="000E192C">
      <w:pPr>
        <w:tabs>
          <w:tab w:val="left" w:pos="567"/>
        </w:tabs>
        <w:ind w:left="1701" w:right="1416" w:hanging="567"/>
        <w:rPr>
          <w:sz w:val="22"/>
          <w:szCs w:val="22"/>
        </w:rPr>
      </w:pPr>
    </w:p>
    <w:p w14:paraId="35A7025C" w14:textId="77777777" w:rsidR="000E192C" w:rsidRPr="00507EDE" w:rsidRDefault="000E192C" w:rsidP="000E192C">
      <w:pPr>
        <w:tabs>
          <w:tab w:val="left" w:pos="567"/>
        </w:tabs>
        <w:jc w:val="center"/>
        <w:rPr>
          <w:i/>
          <w:sz w:val="22"/>
          <w:szCs w:val="22"/>
        </w:rPr>
      </w:pPr>
      <w:r w:rsidRPr="00507EDE">
        <w:rPr>
          <w:b/>
          <w:sz w:val="22"/>
          <w:szCs w:val="22"/>
        </w:rPr>
        <w:t>REGISTRACIJOS SĄLYGOS</w:t>
      </w:r>
    </w:p>
    <w:p w14:paraId="63125205" w14:textId="77777777" w:rsidR="000E192C" w:rsidRPr="00507EDE" w:rsidRDefault="000E192C" w:rsidP="000E192C">
      <w:pPr>
        <w:tabs>
          <w:tab w:val="left" w:pos="567"/>
        </w:tabs>
        <w:rPr>
          <w:sz w:val="22"/>
          <w:szCs w:val="22"/>
        </w:rPr>
      </w:pPr>
    </w:p>
    <w:p w14:paraId="50E17869" w14:textId="02305FD6" w:rsidR="000E192C" w:rsidRPr="00507EDE" w:rsidRDefault="000E192C" w:rsidP="000E192C">
      <w:pPr>
        <w:tabs>
          <w:tab w:val="left" w:pos="1701"/>
        </w:tabs>
        <w:ind w:left="1701" w:right="567" w:hanging="567"/>
        <w:rPr>
          <w:b/>
          <w:sz w:val="22"/>
          <w:szCs w:val="22"/>
        </w:rPr>
      </w:pPr>
      <w:r w:rsidRPr="00507EDE">
        <w:rPr>
          <w:b/>
          <w:sz w:val="22"/>
          <w:szCs w:val="22"/>
        </w:rPr>
        <w:t>A.</w:t>
      </w:r>
      <w:r w:rsidRPr="00507EDE">
        <w:rPr>
          <w:b/>
          <w:sz w:val="22"/>
          <w:szCs w:val="22"/>
        </w:rPr>
        <w:tab/>
        <w:t>GAMINTOJAS, ATSAKINGAS UŽ SERIJŲ IŠLEIDIMĄ</w:t>
      </w:r>
    </w:p>
    <w:p w14:paraId="74D531E0" w14:textId="77777777" w:rsidR="000E192C" w:rsidRPr="00507EDE" w:rsidRDefault="000E192C" w:rsidP="000E192C">
      <w:pPr>
        <w:tabs>
          <w:tab w:val="left" w:pos="1701"/>
        </w:tabs>
        <w:ind w:left="567" w:right="567" w:hanging="567"/>
        <w:rPr>
          <w:sz w:val="22"/>
          <w:szCs w:val="22"/>
        </w:rPr>
      </w:pPr>
    </w:p>
    <w:p w14:paraId="31E7677F" w14:textId="77777777" w:rsidR="000E192C" w:rsidRPr="00507EDE" w:rsidRDefault="000E192C" w:rsidP="000E192C">
      <w:pPr>
        <w:tabs>
          <w:tab w:val="left" w:pos="1701"/>
        </w:tabs>
        <w:ind w:left="1701" w:right="567" w:hanging="567"/>
        <w:rPr>
          <w:b/>
          <w:sz w:val="22"/>
          <w:szCs w:val="22"/>
        </w:rPr>
      </w:pPr>
      <w:r w:rsidRPr="00507EDE">
        <w:rPr>
          <w:b/>
          <w:sz w:val="22"/>
          <w:szCs w:val="22"/>
        </w:rPr>
        <w:t>B.</w:t>
      </w:r>
      <w:r w:rsidRPr="00507EDE">
        <w:rPr>
          <w:b/>
          <w:sz w:val="22"/>
          <w:szCs w:val="22"/>
        </w:rPr>
        <w:tab/>
        <w:t>TIEKIMO IR VARTOJIMO SĄLYGOS AR APRIBOJIMAI</w:t>
      </w:r>
    </w:p>
    <w:p w14:paraId="157A3633" w14:textId="77777777" w:rsidR="000E192C" w:rsidRPr="00507EDE" w:rsidRDefault="000E192C" w:rsidP="000E192C">
      <w:pPr>
        <w:tabs>
          <w:tab w:val="left" w:pos="1701"/>
        </w:tabs>
        <w:ind w:left="567" w:right="567" w:hanging="567"/>
        <w:rPr>
          <w:sz w:val="22"/>
          <w:szCs w:val="22"/>
        </w:rPr>
      </w:pPr>
    </w:p>
    <w:p w14:paraId="0C7E0BD0" w14:textId="310E27B3" w:rsidR="000E192C" w:rsidRPr="00507EDE" w:rsidRDefault="000E192C" w:rsidP="000E192C">
      <w:pPr>
        <w:tabs>
          <w:tab w:val="left" w:pos="567"/>
        </w:tabs>
        <w:ind w:left="567" w:hanging="567"/>
        <w:rPr>
          <w:b/>
          <w:sz w:val="22"/>
          <w:szCs w:val="22"/>
        </w:rPr>
      </w:pPr>
      <w:r w:rsidRPr="00507EDE">
        <w:rPr>
          <w:sz w:val="22"/>
          <w:szCs w:val="22"/>
        </w:rPr>
        <w:br w:type="page"/>
      </w:r>
      <w:r w:rsidRPr="00507EDE">
        <w:rPr>
          <w:b/>
          <w:sz w:val="22"/>
          <w:szCs w:val="22"/>
        </w:rPr>
        <w:t>A.</w:t>
      </w:r>
      <w:r w:rsidRPr="00507EDE">
        <w:rPr>
          <w:b/>
          <w:sz w:val="22"/>
          <w:szCs w:val="22"/>
        </w:rPr>
        <w:tab/>
        <w:t>GAMINTOJAS, ATSAKINGAS UŽ SERIJŲ IŠLEIDIMĄ</w:t>
      </w:r>
    </w:p>
    <w:p w14:paraId="5A97D066" w14:textId="77777777" w:rsidR="000E192C" w:rsidRPr="00507EDE" w:rsidRDefault="000E192C" w:rsidP="000E192C">
      <w:pPr>
        <w:tabs>
          <w:tab w:val="left" w:pos="567"/>
        </w:tabs>
        <w:rPr>
          <w:sz w:val="22"/>
          <w:szCs w:val="22"/>
        </w:rPr>
      </w:pPr>
    </w:p>
    <w:p w14:paraId="0D22CED8" w14:textId="5CD37FAA" w:rsidR="000E192C" w:rsidRPr="00507EDE" w:rsidRDefault="000E192C" w:rsidP="000E192C">
      <w:pPr>
        <w:tabs>
          <w:tab w:val="left" w:pos="567"/>
        </w:tabs>
        <w:jc w:val="both"/>
        <w:rPr>
          <w:sz w:val="22"/>
          <w:szCs w:val="22"/>
        </w:rPr>
      </w:pPr>
      <w:r w:rsidRPr="00507EDE">
        <w:rPr>
          <w:sz w:val="22"/>
          <w:szCs w:val="22"/>
          <w:u w:val="single"/>
        </w:rPr>
        <w:t>Gamintojo, atsakingo už serijų išleidimą, pavadinimas ir adresas</w:t>
      </w:r>
    </w:p>
    <w:p w14:paraId="0B65FCA1" w14:textId="77777777" w:rsidR="000E192C" w:rsidRPr="00507EDE" w:rsidRDefault="000E192C" w:rsidP="000E192C">
      <w:pPr>
        <w:tabs>
          <w:tab w:val="left" w:pos="567"/>
        </w:tabs>
        <w:rPr>
          <w:sz w:val="22"/>
          <w:szCs w:val="22"/>
        </w:rPr>
      </w:pPr>
    </w:p>
    <w:p w14:paraId="4B5918FE" w14:textId="77777777" w:rsidR="005768B3" w:rsidRPr="00507EDE" w:rsidRDefault="005768B3" w:rsidP="005768B3">
      <w:pPr>
        <w:numPr>
          <w:ilvl w:val="12"/>
          <w:numId w:val="0"/>
        </w:numPr>
        <w:ind w:right="-2"/>
        <w:rPr>
          <w:sz w:val="22"/>
          <w:szCs w:val="22"/>
        </w:rPr>
      </w:pPr>
      <w:r w:rsidRPr="00507EDE">
        <w:rPr>
          <w:sz w:val="22"/>
          <w:szCs w:val="22"/>
        </w:rPr>
        <w:t>SOPHARMA AD</w:t>
      </w:r>
    </w:p>
    <w:p w14:paraId="3420A1F7" w14:textId="77777777" w:rsidR="005768B3" w:rsidRPr="00507EDE" w:rsidRDefault="005768B3" w:rsidP="005768B3">
      <w:pPr>
        <w:rPr>
          <w:sz w:val="22"/>
          <w:szCs w:val="22"/>
        </w:rPr>
      </w:pPr>
      <w:r w:rsidRPr="00507EDE">
        <w:rPr>
          <w:sz w:val="22"/>
          <w:szCs w:val="22"/>
        </w:rPr>
        <w:t>16 Iliensko shosse Str.</w:t>
      </w:r>
    </w:p>
    <w:p w14:paraId="62F24477" w14:textId="77777777" w:rsidR="005768B3" w:rsidRPr="00507EDE" w:rsidRDefault="005768B3" w:rsidP="005768B3">
      <w:pPr>
        <w:rPr>
          <w:sz w:val="22"/>
          <w:szCs w:val="22"/>
        </w:rPr>
      </w:pPr>
      <w:r w:rsidRPr="00507EDE">
        <w:rPr>
          <w:sz w:val="22"/>
          <w:szCs w:val="22"/>
        </w:rPr>
        <w:t>1220 Sofia</w:t>
      </w:r>
    </w:p>
    <w:p w14:paraId="03396ADE" w14:textId="53E0811C" w:rsidR="005768B3" w:rsidRPr="00507EDE" w:rsidRDefault="005768B3" w:rsidP="005768B3">
      <w:pPr>
        <w:rPr>
          <w:sz w:val="22"/>
          <w:szCs w:val="22"/>
        </w:rPr>
      </w:pPr>
      <w:r w:rsidRPr="00507EDE">
        <w:rPr>
          <w:sz w:val="22"/>
          <w:szCs w:val="22"/>
        </w:rPr>
        <w:t>Bulgari</w:t>
      </w:r>
      <w:r w:rsidR="00341CC8" w:rsidRPr="00507EDE">
        <w:rPr>
          <w:sz w:val="22"/>
          <w:szCs w:val="22"/>
        </w:rPr>
        <w:t>j</w:t>
      </w:r>
      <w:r w:rsidRPr="00507EDE">
        <w:rPr>
          <w:sz w:val="22"/>
          <w:szCs w:val="22"/>
        </w:rPr>
        <w:t>a</w:t>
      </w:r>
    </w:p>
    <w:p w14:paraId="67C58A38" w14:textId="77777777" w:rsidR="000E192C" w:rsidRPr="00507EDE" w:rsidRDefault="000E192C" w:rsidP="000E192C">
      <w:pPr>
        <w:tabs>
          <w:tab w:val="left" w:pos="567"/>
        </w:tabs>
        <w:rPr>
          <w:sz w:val="22"/>
          <w:szCs w:val="22"/>
        </w:rPr>
      </w:pPr>
    </w:p>
    <w:p w14:paraId="20547983" w14:textId="77777777" w:rsidR="000E192C" w:rsidRPr="00507EDE" w:rsidRDefault="000E192C" w:rsidP="000E192C">
      <w:pPr>
        <w:tabs>
          <w:tab w:val="left" w:pos="567"/>
        </w:tabs>
        <w:rPr>
          <w:sz w:val="22"/>
          <w:szCs w:val="22"/>
        </w:rPr>
      </w:pPr>
    </w:p>
    <w:p w14:paraId="63C65108" w14:textId="77777777" w:rsidR="000E192C" w:rsidRPr="00507EDE" w:rsidRDefault="000E192C" w:rsidP="000E192C">
      <w:pPr>
        <w:tabs>
          <w:tab w:val="left" w:pos="567"/>
        </w:tabs>
        <w:ind w:left="567" w:hanging="567"/>
        <w:rPr>
          <w:sz w:val="22"/>
          <w:szCs w:val="22"/>
        </w:rPr>
      </w:pPr>
      <w:r w:rsidRPr="00507EDE">
        <w:rPr>
          <w:b/>
          <w:sz w:val="22"/>
          <w:szCs w:val="22"/>
        </w:rPr>
        <w:t>B.</w:t>
      </w:r>
      <w:r w:rsidRPr="00507EDE">
        <w:rPr>
          <w:b/>
          <w:sz w:val="22"/>
          <w:szCs w:val="22"/>
        </w:rPr>
        <w:tab/>
        <w:t>TIEKIMO IR VARTOJIMO SĄLYGOS AR APRIBOJIMAI</w:t>
      </w:r>
    </w:p>
    <w:p w14:paraId="4A1F93D2" w14:textId="77777777" w:rsidR="000E192C" w:rsidRPr="00507EDE" w:rsidRDefault="000E192C" w:rsidP="000E192C">
      <w:pPr>
        <w:tabs>
          <w:tab w:val="left" w:pos="567"/>
        </w:tabs>
        <w:rPr>
          <w:sz w:val="22"/>
          <w:szCs w:val="22"/>
        </w:rPr>
      </w:pPr>
    </w:p>
    <w:p w14:paraId="3876B90E" w14:textId="77777777" w:rsidR="000E192C" w:rsidRPr="00507EDE" w:rsidRDefault="000E192C" w:rsidP="000E192C">
      <w:pPr>
        <w:tabs>
          <w:tab w:val="left" w:pos="567"/>
        </w:tabs>
        <w:rPr>
          <w:sz w:val="22"/>
          <w:szCs w:val="22"/>
        </w:rPr>
      </w:pPr>
      <w:r w:rsidRPr="00507EDE">
        <w:rPr>
          <w:sz w:val="22"/>
          <w:szCs w:val="22"/>
        </w:rPr>
        <w:t>Nereceptinis vaistinis preparatas.</w:t>
      </w:r>
    </w:p>
    <w:p w14:paraId="3DA618CA" w14:textId="77777777" w:rsidR="000E192C" w:rsidRPr="00507EDE" w:rsidRDefault="000E192C" w:rsidP="000E192C">
      <w:pPr>
        <w:tabs>
          <w:tab w:val="left" w:pos="567"/>
        </w:tabs>
        <w:rPr>
          <w:sz w:val="22"/>
          <w:szCs w:val="22"/>
        </w:rPr>
      </w:pPr>
    </w:p>
    <w:p w14:paraId="2811DAE5" w14:textId="77777777" w:rsidR="000E192C" w:rsidRPr="00507EDE" w:rsidRDefault="000E192C" w:rsidP="000E192C">
      <w:pPr>
        <w:jc w:val="both"/>
        <w:rPr>
          <w:iCs/>
          <w:sz w:val="22"/>
          <w:szCs w:val="22"/>
        </w:rPr>
      </w:pPr>
    </w:p>
    <w:p w14:paraId="5007510B" w14:textId="77777777" w:rsidR="000E192C" w:rsidRPr="00507EDE" w:rsidRDefault="000E192C" w:rsidP="000E192C">
      <w:pPr>
        <w:tabs>
          <w:tab w:val="left" w:pos="4962"/>
        </w:tabs>
        <w:rPr>
          <w:sz w:val="22"/>
          <w:szCs w:val="22"/>
        </w:rPr>
      </w:pPr>
      <w:r w:rsidRPr="00507EDE">
        <w:rPr>
          <w:iCs/>
          <w:sz w:val="22"/>
          <w:szCs w:val="22"/>
        </w:rPr>
        <w:br w:type="page"/>
      </w:r>
    </w:p>
    <w:p w14:paraId="43BCE245" w14:textId="77777777" w:rsidR="000E192C" w:rsidRPr="00507EDE" w:rsidRDefault="000E192C" w:rsidP="000E192C">
      <w:pPr>
        <w:tabs>
          <w:tab w:val="left" w:pos="567"/>
        </w:tabs>
        <w:rPr>
          <w:sz w:val="22"/>
          <w:szCs w:val="22"/>
        </w:rPr>
      </w:pPr>
    </w:p>
    <w:p w14:paraId="404151A6" w14:textId="77777777" w:rsidR="000E192C" w:rsidRPr="00507EDE" w:rsidRDefault="000E192C" w:rsidP="000E192C">
      <w:pPr>
        <w:tabs>
          <w:tab w:val="left" w:pos="567"/>
        </w:tabs>
        <w:rPr>
          <w:sz w:val="22"/>
          <w:szCs w:val="22"/>
        </w:rPr>
      </w:pPr>
    </w:p>
    <w:p w14:paraId="24E62C51" w14:textId="77777777" w:rsidR="000E192C" w:rsidRPr="00507EDE" w:rsidRDefault="000E192C" w:rsidP="000E192C">
      <w:pPr>
        <w:tabs>
          <w:tab w:val="left" w:pos="567"/>
        </w:tabs>
        <w:rPr>
          <w:sz w:val="22"/>
          <w:szCs w:val="22"/>
        </w:rPr>
      </w:pPr>
    </w:p>
    <w:p w14:paraId="2D3EDF31" w14:textId="77777777" w:rsidR="000E192C" w:rsidRPr="00507EDE" w:rsidRDefault="000E192C" w:rsidP="000E192C">
      <w:pPr>
        <w:tabs>
          <w:tab w:val="left" w:pos="567"/>
        </w:tabs>
        <w:rPr>
          <w:sz w:val="22"/>
          <w:szCs w:val="22"/>
        </w:rPr>
      </w:pPr>
    </w:p>
    <w:p w14:paraId="60052461" w14:textId="77777777" w:rsidR="000E192C" w:rsidRPr="00507EDE" w:rsidRDefault="000E192C" w:rsidP="000E192C">
      <w:pPr>
        <w:tabs>
          <w:tab w:val="left" w:pos="567"/>
        </w:tabs>
        <w:rPr>
          <w:sz w:val="22"/>
          <w:szCs w:val="22"/>
        </w:rPr>
      </w:pPr>
    </w:p>
    <w:p w14:paraId="40518550" w14:textId="77777777" w:rsidR="000E192C" w:rsidRPr="00507EDE" w:rsidRDefault="000E192C" w:rsidP="000E192C">
      <w:pPr>
        <w:tabs>
          <w:tab w:val="left" w:pos="567"/>
        </w:tabs>
        <w:rPr>
          <w:sz w:val="22"/>
          <w:szCs w:val="22"/>
        </w:rPr>
      </w:pPr>
    </w:p>
    <w:p w14:paraId="1274335E" w14:textId="77777777" w:rsidR="000E192C" w:rsidRPr="00507EDE" w:rsidRDefault="000E192C" w:rsidP="000E192C">
      <w:pPr>
        <w:tabs>
          <w:tab w:val="left" w:pos="567"/>
        </w:tabs>
        <w:rPr>
          <w:sz w:val="22"/>
          <w:szCs w:val="22"/>
        </w:rPr>
      </w:pPr>
    </w:p>
    <w:p w14:paraId="0EE366CE" w14:textId="77777777" w:rsidR="000E192C" w:rsidRPr="00507EDE" w:rsidRDefault="000E192C" w:rsidP="000E192C">
      <w:pPr>
        <w:tabs>
          <w:tab w:val="left" w:pos="567"/>
        </w:tabs>
        <w:rPr>
          <w:sz w:val="22"/>
          <w:szCs w:val="22"/>
        </w:rPr>
      </w:pPr>
    </w:p>
    <w:p w14:paraId="44EBB584" w14:textId="77777777" w:rsidR="000E192C" w:rsidRPr="00507EDE" w:rsidRDefault="000E192C" w:rsidP="000E192C">
      <w:pPr>
        <w:tabs>
          <w:tab w:val="left" w:pos="567"/>
        </w:tabs>
        <w:rPr>
          <w:sz w:val="22"/>
          <w:szCs w:val="22"/>
        </w:rPr>
      </w:pPr>
    </w:p>
    <w:p w14:paraId="219F6A23" w14:textId="77777777" w:rsidR="000E192C" w:rsidRPr="00507EDE" w:rsidRDefault="000E192C" w:rsidP="000E192C">
      <w:pPr>
        <w:tabs>
          <w:tab w:val="left" w:pos="567"/>
        </w:tabs>
        <w:rPr>
          <w:sz w:val="22"/>
          <w:szCs w:val="22"/>
        </w:rPr>
      </w:pPr>
    </w:p>
    <w:p w14:paraId="7BB78ABE" w14:textId="77777777" w:rsidR="000E192C" w:rsidRPr="00507EDE" w:rsidRDefault="000E192C" w:rsidP="000E192C">
      <w:pPr>
        <w:tabs>
          <w:tab w:val="left" w:pos="567"/>
        </w:tabs>
        <w:rPr>
          <w:sz w:val="22"/>
          <w:szCs w:val="22"/>
        </w:rPr>
      </w:pPr>
    </w:p>
    <w:p w14:paraId="4B52868C" w14:textId="77777777" w:rsidR="000E192C" w:rsidRPr="00507EDE" w:rsidRDefault="000E192C" w:rsidP="000E192C">
      <w:pPr>
        <w:tabs>
          <w:tab w:val="left" w:pos="567"/>
        </w:tabs>
        <w:rPr>
          <w:sz w:val="22"/>
          <w:szCs w:val="22"/>
        </w:rPr>
      </w:pPr>
    </w:p>
    <w:p w14:paraId="38007583" w14:textId="77777777" w:rsidR="000E192C" w:rsidRPr="00507EDE" w:rsidRDefault="000E192C" w:rsidP="000E192C">
      <w:pPr>
        <w:tabs>
          <w:tab w:val="left" w:pos="567"/>
        </w:tabs>
        <w:rPr>
          <w:sz w:val="22"/>
          <w:szCs w:val="22"/>
        </w:rPr>
      </w:pPr>
    </w:p>
    <w:p w14:paraId="04A8F577" w14:textId="77777777" w:rsidR="000E192C" w:rsidRPr="00507EDE" w:rsidRDefault="000E192C" w:rsidP="000E192C">
      <w:pPr>
        <w:tabs>
          <w:tab w:val="left" w:pos="567"/>
        </w:tabs>
        <w:rPr>
          <w:sz w:val="22"/>
          <w:szCs w:val="22"/>
        </w:rPr>
      </w:pPr>
    </w:p>
    <w:p w14:paraId="60DD85A9" w14:textId="77777777" w:rsidR="000E192C" w:rsidRPr="00507EDE" w:rsidRDefault="000E192C" w:rsidP="000E192C">
      <w:pPr>
        <w:tabs>
          <w:tab w:val="left" w:pos="567"/>
        </w:tabs>
        <w:rPr>
          <w:sz w:val="22"/>
          <w:szCs w:val="22"/>
        </w:rPr>
      </w:pPr>
    </w:p>
    <w:p w14:paraId="2D5D7D69" w14:textId="77777777" w:rsidR="000E192C" w:rsidRPr="00507EDE" w:rsidRDefault="000E192C" w:rsidP="000E192C">
      <w:pPr>
        <w:tabs>
          <w:tab w:val="left" w:pos="567"/>
        </w:tabs>
        <w:rPr>
          <w:sz w:val="22"/>
          <w:szCs w:val="22"/>
        </w:rPr>
      </w:pPr>
    </w:p>
    <w:p w14:paraId="76A0F6E3" w14:textId="77777777" w:rsidR="000E192C" w:rsidRPr="00507EDE" w:rsidRDefault="000E192C" w:rsidP="000E192C">
      <w:pPr>
        <w:tabs>
          <w:tab w:val="left" w:pos="567"/>
        </w:tabs>
        <w:rPr>
          <w:b/>
          <w:sz w:val="22"/>
          <w:szCs w:val="22"/>
        </w:rPr>
      </w:pPr>
    </w:p>
    <w:p w14:paraId="182C6930" w14:textId="77777777" w:rsidR="000E192C" w:rsidRPr="00507EDE" w:rsidRDefault="000E192C" w:rsidP="000E192C">
      <w:pPr>
        <w:tabs>
          <w:tab w:val="left" w:pos="567"/>
        </w:tabs>
        <w:rPr>
          <w:b/>
          <w:sz w:val="22"/>
          <w:szCs w:val="22"/>
        </w:rPr>
      </w:pPr>
    </w:p>
    <w:p w14:paraId="7ACC20B0" w14:textId="77777777" w:rsidR="000E192C" w:rsidRPr="00507EDE" w:rsidRDefault="000E192C" w:rsidP="000E192C">
      <w:pPr>
        <w:tabs>
          <w:tab w:val="left" w:pos="567"/>
        </w:tabs>
        <w:rPr>
          <w:b/>
          <w:sz w:val="22"/>
          <w:szCs w:val="22"/>
        </w:rPr>
      </w:pPr>
    </w:p>
    <w:p w14:paraId="040F005E" w14:textId="77777777" w:rsidR="000E192C" w:rsidRPr="00507EDE" w:rsidRDefault="000E192C" w:rsidP="000E192C">
      <w:pPr>
        <w:tabs>
          <w:tab w:val="left" w:pos="567"/>
        </w:tabs>
        <w:rPr>
          <w:b/>
          <w:sz w:val="22"/>
          <w:szCs w:val="22"/>
        </w:rPr>
      </w:pPr>
    </w:p>
    <w:p w14:paraId="4E8DD683" w14:textId="77777777" w:rsidR="000E192C" w:rsidRPr="00507EDE" w:rsidRDefault="000E192C" w:rsidP="000E192C">
      <w:pPr>
        <w:tabs>
          <w:tab w:val="left" w:pos="567"/>
        </w:tabs>
        <w:rPr>
          <w:b/>
          <w:sz w:val="22"/>
          <w:szCs w:val="22"/>
        </w:rPr>
      </w:pPr>
    </w:p>
    <w:p w14:paraId="326B3A8E" w14:textId="77777777" w:rsidR="000E192C" w:rsidRPr="00507EDE" w:rsidRDefault="000E192C" w:rsidP="000E192C">
      <w:pPr>
        <w:tabs>
          <w:tab w:val="left" w:pos="567"/>
        </w:tabs>
        <w:rPr>
          <w:b/>
          <w:sz w:val="22"/>
          <w:szCs w:val="22"/>
        </w:rPr>
      </w:pPr>
    </w:p>
    <w:p w14:paraId="56B220B1" w14:textId="77777777" w:rsidR="000E192C" w:rsidRPr="00507EDE" w:rsidRDefault="000E192C" w:rsidP="000E192C">
      <w:pPr>
        <w:keepNext/>
        <w:tabs>
          <w:tab w:val="left" w:pos="567"/>
        </w:tabs>
        <w:jc w:val="center"/>
        <w:outlineLvl w:val="1"/>
        <w:rPr>
          <w:i/>
          <w:sz w:val="22"/>
          <w:szCs w:val="22"/>
        </w:rPr>
      </w:pPr>
      <w:r w:rsidRPr="00507EDE">
        <w:rPr>
          <w:b/>
          <w:sz w:val="22"/>
          <w:szCs w:val="22"/>
        </w:rPr>
        <w:t>III PRIEDAS</w:t>
      </w:r>
    </w:p>
    <w:p w14:paraId="0A9D0E9B" w14:textId="77777777" w:rsidR="000E192C" w:rsidRPr="00507EDE" w:rsidRDefault="000E192C" w:rsidP="000E192C">
      <w:pPr>
        <w:tabs>
          <w:tab w:val="left" w:pos="567"/>
        </w:tabs>
        <w:rPr>
          <w:sz w:val="22"/>
          <w:szCs w:val="22"/>
        </w:rPr>
      </w:pPr>
    </w:p>
    <w:p w14:paraId="4645FDCA" w14:textId="77777777" w:rsidR="000E192C" w:rsidRPr="00507EDE" w:rsidRDefault="000E192C" w:rsidP="000E192C">
      <w:pPr>
        <w:keepNext/>
        <w:tabs>
          <w:tab w:val="left" w:pos="567"/>
        </w:tabs>
        <w:jc w:val="center"/>
        <w:outlineLvl w:val="1"/>
        <w:rPr>
          <w:i/>
          <w:sz w:val="22"/>
          <w:szCs w:val="22"/>
        </w:rPr>
      </w:pPr>
      <w:r w:rsidRPr="00507EDE">
        <w:rPr>
          <w:b/>
          <w:sz w:val="22"/>
          <w:szCs w:val="22"/>
        </w:rPr>
        <w:t>ŽENKLINIMAS IR PAKUOTĖS LAPELIS</w:t>
      </w:r>
    </w:p>
    <w:p w14:paraId="0626120B" w14:textId="77777777" w:rsidR="000E192C" w:rsidRPr="00507EDE" w:rsidRDefault="000E192C" w:rsidP="000E192C">
      <w:pPr>
        <w:tabs>
          <w:tab w:val="left" w:pos="567"/>
        </w:tabs>
        <w:rPr>
          <w:sz w:val="22"/>
          <w:szCs w:val="22"/>
        </w:rPr>
      </w:pPr>
      <w:r w:rsidRPr="00507EDE">
        <w:rPr>
          <w:sz w:val="22"/>
          <w:szCs w:val="22"/>
        </w:rPr>
        <w:br w:type="page"/>
      </w:r>
    </w:p>
    <w:p w14:paraId="7D8ED36F" w14:textId="77777777" w:rsidR="000E192C" w:rsidRPr="00507EDE" w:rsidRDefault="000E192C" w:rsidP="000E192C">
      <w:pPr>
        <w:tabs>
          <w:tab w:val="left" w:pos="567"/>
        </w:tabs>
        <w:rPr>
          <w:sz w:val="22"/>
          <w:szCs w:val="22"/>
        </w:rPr>
      </w:pPr>
    </w:p>
    <w:p w14:paraId="6B52464D" w14:textId="77777777" w:rsidR="000E192C" w:rsidRPr="00507EDE" w:rsidRDefault="000E192C" w:rsidP="000E192C">
      <w:pPr>
        <w:tabs>
          <w:tab w:val="left" w:pos="567"/>
        </w:tabs>
        <w:rPr>
          <w:sz w:val="22"/>
          <w:szCs w:val="22"/>
        </w:rPr>
      </w:pPr>
    </w:p>
    <w:p w14:paraId="4E5FF746" w14:textId="77777777" w:rsidR="000E192C" w:rsidRPr="00507EDE" w:rsidRDefault="000E192C" w:rsidP="000E192C">
      <w:pPr>
        <w:tabs>
          <w:tab w:val="left" w:pos="567"/>
        </w:tabs>
        <w:rPr>
          <w:sz w:val="22"/>
          <w:szCs w:val="22"/>
        </w:rPr>
      </w:pPr>
    </w:p>
    <w:p w14:paraId="529E29A5" w14:textId="77777777" w:rsidR="000E192C" w:rsidRPr="00507EDE" w:rsidRDefault="000E192C" w:rsidP="000E192C">
      <w:pPr>
        <w:tabs>
          <w:tab w:val="left" w:pos="567"/>
        </w:tabs>
        <w:rPr>
          <w:sz w:val="22"/>
          <w:szCs w:val="22"/>
        </w:rPr>
      </w:pPr>
    </w:p>
    <w:p w14:paraId="18B08A64" w14:textId="77777777" w:rsidR="000E192C" w:rsidRPr="00507EDE" w:rsidRDefault="000E192C" w:rsidP="000E192C">
      <w:pPr>
        <w:tabs>
          <w:tab w:val="left" w:pos="567"/>
        </w:tabs>
        <w:rPr>
          <w:sz w:val="22"/>
          <w:szCs w:val="22"/>
        </w:rPr>
      </w:pPr>
    </w:p>
    <w:p w14:paraId="47B9E3F0" w14:textId="77777777" w:rsidR="000E192C" w:rsidRPr="00507EDE" w:rsidRDefault="000E192C" w:rsidP="000E192C">
      <w:pPr>
        <w:tabs>
          <w:tab w:val="left" w:pos="567"/>
        </w:tabs>
        <w:rPr>
          <w:sz w:val="22"/>
          <w:szCs w:val="22"/>
        </w:rPr>
      </w:pPr>
    </w:p>
    <w:p w14:paraId="416A3E36" w14:textId="77777777" w:rsidR="000E192C" w:rsidRPr="00507EDE" w:rsidRDefault="000E192C" w:rsidP="000E192C">
      <w:pPr>
        <w:tabs>
          <w:tab w:val="left" w:pos="567"/>
        </w:tabs>
        <w:rPr>
          <w:sz w:val="22"/>
          <w:szCs w:val="22"/>
        </w:rPr>
      </w:pPr>
    </w:p>
    <w:p w14:paraId="23E17729" w14:textId="77777777" w:rsidR="000E192C" w:rsidRPr="00507EDE" w:rsidRDefault="000E192C" w:rsidP="000E192C">
      <w:pPr>
        <w:tabs>
          <w:tab w:val="left" w:pos="567"/>
        </w:tabs>
        <w:rPr>
          <w:sz w:val="22"/>
          <w:szCs w:val="22"/>
        </w:rPr>
      </w:pPr>
    </w:p>
    <w:p w14:paraId="1BA515B2" w14:textId="77777777" w:rsidR="000E192C" w:rsidRPr="00507EDE" w:rsidRDefault="000E192C" w:rsidP="000E192C">
      <w:pPr>
        <w:tabs>
          <w:tab w:val="left" w:pos="567"/>
        </w:tabs>
        <w:rPr>
          <w:sz w:val="22"/>
          <w:szCs w:val="22"/>
        </w:rPr>
      </w:pPr>
    </w:p>
    <w:p w14:paraId="273E112D" w14:textId="77777777" w:rsidR="000E192C" w:rsidRPr="00507EDE" w:rsidRDefault="000E192C" w:rsidP="000E192C">
      <w:pPr>
        <w:tabs>
          <w:tab w:val="left" w:pos="567"/>
        </w:tabs>
        <w:rPr>
          <w:sz w:val="22"/>
          <w:szCs w:val="22"/>
        </w:rPr>
      </w:pPr>
    </w:p>
    <w:p w14:paraId="1325B814" w14:textId="77777777" w:rsidR="000E192C" w:rsidRPr="00507EDE" w:rsidRDefault="000E192C" w:rsidP="000E192C">
      <w:pPr>
        <w:tabs>
          <w:tab w:val="left" w:pos="567"/>
        </w:tabs>
        <w:rPr>
          <w:sz w:val="22"/>
          <w:szCs w:val="22"/>
        </w:rPr>
      </w:pPr>
    </w:p>
    <w:p w14:paraId="29138ABE" w14:textId="77777777" w:rsidR="000E192C" w:rsidRPr="00507EDE" w:rsidRDefault="000E192C" w:rsidP="000E192C">
      <w:pPr>
        <w:tabs>
          <w:tab w:val="left" w:pos="567"/>
        </w:tabs>
        <w:rPr>
          <w:sz w:val="22"/>
          <w:szCs w:val="22"/>
        </w:rPr>
      </w:pPr>
    </w:p>
    <w:p w14:paraId="6DBE6CB1" w14:textId="77777777" w:rsidR="000E192C" w:rsidRPr="00507EDE" w:rsidRDefault="000E192C" w:rsidP="000E192C">
      <w:pPr>
        <w:tabs>
          <w:tab w:val="left" w:pos="567"/>
        </w:tabs>
        <w:rPr>
          <w:sz w:val="22"/>
          <w:szCs w:val="22"/>
        </w:rPr>
      </w:pPr>
    </w:p>
    <w:p w14:paraId="3D5CC20E" w14:textId="77777777" w:rsidR="000E192C" w:rsidRPr="00507EDE" w:rsidRDefault="000E192C" w:rsidP="000E192C">
      <w:pPr>
        <w:tabs>
          <w:tab w:val="left" w:pos="567"/>
        </w:tabs>
        <w:rPr>
          <w:sz w:val="22"/>
          <w:szCs w:val="22"/>
        </w:rPr>
      </w:pPr>
    </w:p>
    <w:p w14:paraId="2A8D6163" w14:textId="77777777" w:rsidR="000E192C" w:rsidRPr="00507EDE" w:rsidRDefault="000E192C" w:rsidP="000E192C">
      <w:pPr>
        <w:tabs>
          <w:tab w:val="left" w:pos="567"/>
        </w:tabs>
        <w:rPr>
          <w:sz w:val="22"/>
          <w:szCs w:val="22"/>
        </w:rPr>
      </w:pPr>
    </w:p>
    <w:p w14:paraId="0CDDE5B0" w14:textId="77777777" w:rsidR="000E192C" w:rsidRPr="00507EDE" w:rsidRDefault="000E192C" w:rsidP="000E192C">
      <w:pPr>
        <w:tabs>
          <w:tab w:val="left" w:pos="567"/>
        </w:tabs>
        <w:rPr>
          <w:sz w:val="22"/>
          <w:szCs w:val="22"/>
        </w:rPr>
      </w:pPr>
    </w:p>
    <w:p w14:paraId="37C158CB" w14:textId="77777777" w:rsidR="000E192C" w:rsidRPr="00507EDE" w:rsidRDefault="000E192C" w:rsidP="000E192C">
      <w:pPr>
        <w:tabs>
          <w:tab w:val="left" w:pos="567"/>
        </w:tabs>
        <w:rPr>
          <w:sz w:val="22"/>
          <w:szCs w:val="22"/>
        </w:rPr>
      </w:pPr>
    </w:p>
    <w:p w14:paraId="0F784502" w14:textId="77777777" w:rsidR="000E192C" w:rsidRPr="00507EDE" w:rsidRDefault="000E192C" w:rsidP="000E192C">
      <w:pPr>
        <w:tabs>
          <w:tab w:val="left" w:pos="567"/>
        </w:tabs>
        <w:rPr>
          <w:sz w:val="22"/>
          <w:szCs w:val="22"/>
        </w:rPr>
      </w:pPr>
    </w:p>
    <w:p w14:paraId="13FC085D" w14:textId="77777777" w:rsidR="000E192C" w:rsidRPr="00507EDE" w:rsidRDefault="000E192C" w:rsidP="000E192C">
      <w:pPr>
        <w:tabs>
          <w:tab w:val="left" w:pos="567"/>
        </w:tabs>
        <w:rPr>
          <w:sz w:val="22"/>
          <w:szCs w:val="22"/>
        </w:rPr>
      </w:pPr>
    </w:p>
    <w:p w14:paraId="46D998D3" w14:textId="77777777" w:rsidR="000E192C" w:rsidRPr="00507EDE" w:rsidRDefault="000E192C" w:rsidP="000E192C">
      <w:pPr>
        <w:tabs>
          <w:tab w:val="left" w:pos="567"/>
        </w:tabs>
        <w:rPr>
          <w:sz w:val="22"/>
          <w:szCs w:val="22"/>
        </w:rPr>
      </w:pPr>
    </w:p>
    <w:p w14:paraId="24C8A39B" w14:textId="77777777" w:rsidR="000E192C" w:rsidRPr="00507EDE" w:rsidRDefault="000E192C" w:rsidP="000E192C">
      <w:pPr>
        <w:tabs>
          <w:tab w:val="left" w:pos="567"/>
        </w:tabs>
        <w:rPr>
          <w:sz w:val="22"/>
          <w:szCs w:val="22"/>
        </w:rPr>
      </w:pPr>
    </w:p>
    <w:p w14:paraId="403939B1" w14:textId="77777777" w:rsidR="000E192C" w:rsidRPr="00507EDE" w:rsidRDefault="000E192C" w:rsidP="000E192C">
      <w:pPr>
        <w:keepNext/>
        <w:tabs>
          <w:tab w:val="left" w:pos="567"/>
        </w:tabs>
        <w:jc w:val="center"/>
        <w:outlineLvl w:val="1"/>
        <w:rPr>
          <w:b/>
          <w:sz w:val="22"/>
          <w:szCs w:val="22"/>
        </w:rPr>
      </w:pPr>
    </w:p>
    <w:p w14:paraId="6E67009B" w14:textId="77777777" w:rsidR="000E192C" w:rsidRPr="00507EDE" w:rsidRDefault="000E192C" w:rsidP="000E192C">
      <w:pPr>
        <w:keepNext/>
        <w:tabs>
          <w:tab w:val="left" w:pos="567"/>
        </w:tabs>
        <w:jc w:val="center"/>
        <w:outlineLvl w:val="1"/>
        <w:rPr>
          <w:i/>
          <w:sz w:val="22"/>
          <w:szCs w:val="22"/>
        </w:rPr>
      </w:pPr>
      <w:r w:rsidRPr="00507EDE">
        <w:rPr>
          <w:b/>
          <w:sz w:val="22"/>
          <w:szCs w:val="22"/>
        </w:rPr>
        <w:t>A. ŽENKLINIMAS</w:t>
      </w:r>
    </w:p>
    <w:p w14:paraId="008F3B30"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sz w:val="22"/>
          <w:szCs w:val="22"/>
        </w:rPr>
        <w:br w:type="page"/>
      </w:r>
      <w:r w:rsidRPr="00507EDE">
        <w:rPr>
          <w:b/>
          <w:sz w:val="22"/>
          <w:szCs w:val="22"/>
        </w:rPr>
        <w:t>INFORMACIJA ANT IŠORINĖS PAKUOTĖS</w:t>
      </w:r>
    </w:p>
    <w:p w14:paraId="11DE641A"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1BB2EDC0" w14:textId="77777777" w:rsidR="000E192C" w:rsidRPr="00917350" w:rsidRDefault="000E192C" w:rsidP="000E192C">
      <w:pPr>
        <w:pBdr>
          <w:top w:val="single" w:sz="4" w:space="1" w:color="auto"/>
          <w:left w:val="single" w:sz="4" w:space="4" w:color="auto"/>
          <w:bottom w:val="single" w:sz="4" w:space="1" w:color="auto"/>
          <w:right w:val="single" w:sz="4" w:space="4" w:color="auto"/>
        </w:pBdr>
        <w:tabs>
          <w:tab w:val="left" w:pos="567"/>
        </w:tabs>
        <w:rPr>
          <w:b/>
          <w:caps/>
          <w:sz w:val="22"/>
        </w:rPr>
      </w:pPr>
      <w:r w:rsidRPr="00917350">
        <w:rPr>
          <w:b/>
          <w:caps/>
          <w:sz w:val="22"/>
        </w:rPr>
        <w:t>Kartono dėžutė</w:t>
      </w:r>
    </w:p>
    <w:p w14:paraId="3A57957C" w14:textId="77777777" w:rsidR="000E192C" w:rsidRPr="00507EDE" w:rsidRDefault="000E192C" w:rsidP="000E192C">
      <w:pPr>
        <w:tabs>
          <w:tab w:val="left" w:pos="567"/>
        </w:tabs>
        <w:rPr>
          <w:sz w:val="22"/>
          <w:szCs w:val="22"/>
        </w:rPr>
      </w:pPr>
    </w:p>
    <w:p w14:paraId="4D0E971E" w14:textId="77777777" w:rsidR="000E192C" w:rsidRPr="00507EDE" w:rsidRDefault="000E192C" w:rsidP="000E192C">
      <w:pPr>
        <w:tabs>
          <w:tab w:val="left" w:pos="567"/>
        </w:tabs>
        <w:rPr>
          <w:sz w:val="22"/>
          <w:szCs w:val="22"/>
        </w:rPr>
      </w:pPr>
    </w:p>
    <w:p w14:paraId="43C82C9F"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1.</w:t>
      </w:r>
      <w:r w:rsidRPr="00507EDE">
        <w:rPr>
          <w:b/>
          <w:sz w:val="22"/>
          <w:szCs w:val="22"/>
        </w:rPr>
        <w:tab/>
      </w:r>
      <w:r w:rsidRPr="00507EDE">
        <w:rPr>
          <w:b/>
          <w:caps/>
          <w:sz w:val="22"/>
          <w:szCs w:val="22"/>
        </w:rPr>
        <w:t>VAISTINIO</w:t>
      </w:r>
      <w:r w:rsidRPr="00507EDE">
        <w:rPr>
          <w:b/>
          <w:sz w:val="22"/>
          <w:szCs w:val="22"/>
        </w:rPr>
        <w:t xml:space="preserve"> PREPARATO PAVADINIMAS</w:t>
      </w:r>
    </w:p>
    <w:p w14:paraId="7164979E" w14:textId="77777777" w:rsidR="000E192C" w:rsidRPr="00507EDE" w:rsidRDefault="000E192C" w:rsidP="000E192C">
      <w:pPr>
        <w:tabs>
          <w:tab w:val="left" w:pos="567"/>
        </w:tabs>
        <w:rPr>
          <w:sz w:val="22"/>
          <w:szCs w:val="22"/>
        </w:rPr>
      </w:pPr>
    </w:p>
    <w:p w14:paraId="3B1969A8" w14:textId="147DBBB0" w:rsidR="000E192C" w:rsidRPr="00507EDE" w:rsidRDefault="000E192C" w:rsidP="000E192C">
      <w:pPr>
        <w:jc w:val="both"/>
        <w:rPr>
          <w:bCs/>
          <w:sz w:val="22"/>
          <w:szCs w:val="22"/>
        </w:rPr>
      </w:pPr>
      <w:r w:rsidRPr="00507EDE">
        <w:rPr>
          <w:bCs/>
          <w:sz w:val="22"/>
          <w:szCs w:val="22"/>
        </w:rPr>
        <w:t xml:space="preserve">Paracetamol </w:t>
      </w:r>
      <w:r w:rsidR="00F5364E">
        <w:rPr>
          <w:bCs/>
          <w:sz w:val="22"/>
          <w:szCs w:val="22"/>
        </w:rPr>
        <w:t>Hiltrex</w:t>
      </w:r>
      <w:r w:rsidRPr="00507EDE">
        <w:rPr>
          <w:bCs/>
          <w:sz w:val="22"/>
          <w:szCs w:val="22"/>
        </w:rPr>
        <w:t xml:space="preserve"> 500</w:t>
      </w:r>
      <w:r w:rsidR="00D4123F" w:rsidRPr="00507EDE">
        <w:rPr>
          <w:bCs/>
          <w:sz w:val="22"/>
          <w:szCs w:val="22"/>
        </w:rPr>
        <w:t> </w:t>
      </w:r>
      <w:r w:rsidRPr="00507EDE">
        <w:rPr>
          <w:bCs/>
          <w:sz w:val="22"/>
          <w:szCs w:val="22"/>
        </w:rPr>
        <w:t>mg tabletės</w:t>
      </w:r>
    </w:p>
    <w:p w14:paraId="58F7232D" w14:textId="10C1AD42" w:rsidR="000E192C" w:rsidRPr="00917350" w:rsidRDefault="000E192C" w:rsidP="000E192C">
      <w:pPr>
        <w:jc w:val="both"/>
        <w:rPr>
          <w:sz w:val="22"/>
        </w:rPr>
      </w:pPr>
      <w:r w:rsidRPr="00507EDE">
        <w:rPr>
          <w:sz w:val="22"/>
          <w:szCs w:val="22"/>
        </w:rPr>
        <w:t>paracetamol</w:t>
      </w:r>
      <w:r w:rsidR="00D4123F" w:rsidRPr="00507EDE">
        <w:rPr>
          <w:sz w:val="22"/>
          <w:szCs w:val="22"/>
        </w:rPr>
        <w:t>is</w:t>
      </w:r>
    </w:p>
    <w:p w14:paraId="1C0D6AB0" w14:textId="77777777" w:rsidR="000E192C" w:rsidRPr="00507EDE" w:rsidRDefault="000E192C" w:rsidP="000E192C">
      <w:pPr>
        <w:jc w:val="both"/>
        <w:rPr>
          <w:sz w:val="22"/>
          <w:szCs w:val="22"/>
        </w:rPr>
      </w:pPr>
    </w:p>
    <w:p w14:paraId="49C2A6A5" w14:textId="77777777" w:rsidR="000E192C" w:rsidRPr="00507EDE" w:rsidRDefault="000E192C" w:rsidP="000E192C">
      <w:pPr>
        <w:tabs>
          <w:tab w:val="left" w:pos="567"/>
        </w:tabs>
        <w:rPr>
          <w:sz w:val="22"/>
          <w:szCs w:val="22"/>
        </w:rPr>
      </w:pPr>
    </w:p>
    <w:p w14:paraId="4B7FF76F"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07EDE">
        <w:rPr>
          <w:b/>
          <w:sz w:val="22"/>
          <w:szCs w:val="22"/>
        </w:rPr>
        <w:t>2.</w:t>
      </w:r>
      <w:r w:rsidRPr="00507EDE">
        <w:rPr>
          <w:b/>
          <w:sz w:val="22"/>
          <w:szCs w:val="22"/>
        </w:rPr>
        <w:tab/>
        <w:t>VEIKLIOJI (-IOS) MEDŽIAGA (-OS) IR JOS (-Ų) KIEKIS (-IAI)</w:t>
      </w:r>
    </w:p>
    <w:p w14:paraId="074441F5" w14:textId="77777777" w:rsidR="000E192C" w:rsidRPr="00507EDE" w:rsidRDefault="000E192C" w:rsidP="000E192C">
      <w:pPr>
        <w:tabs>
          <w:tab w:val="left" w:pos="567"/>
        </w:tabs>
        <w:rPr>
          <w:sz w:val="22"/>
          <w:szCs w:val="22"/>
        </w:rPr>
      </w:pPr>
    </w:p>
    <w:p w14:paraId="60A3054E" w14:textId="4785B368" w:rsidR="000E192C" w:rsidRPr="00507EDE" w:rsidRDefault="000E192C" w:rsidP="000E192C">
      <w:pPr>
        <w:tabs>
          <w:tab w:val="left" w:pos="567"/>
        </w:tabs>
        <w:rPr>
          <w:sz w:val="22"/>
          <w:szCs w:val="22"/>
        </w:rPr>
      </w:pPr>
      <w:r w:rsidRPr="00507EDE">
        <w:rPr>
          <w:sz w:val="22"/>
          <w:szCs w:val="22"/>
        </w:rPr>
        <w:t>Kiekvienoje tabletėje yra 500 mg</w:t>
      </w:r>
      <w:r w:rsidR="00D4123F" w:rsidRPr="00507EDE">
        <w:rPr>
          <w:sz w:val="22"/>
          <w:szCs w:val="22"/>
        </w:rPr>
        <w:t xml:space="preserve"> </w:t>
      </w:r>
      <w:r w:rsidRPr="00507EDE">
        <w:rPr>
          <w:sz w:val="22"/>
          <w:szCs w:val="22"/>
        </w:rPr>
        <w:t>paracetamolio.</w:t>
      </w:r>
    </w:p>
    <w:p w14:paraId="690F6F1B" w14:textId="77777777" w:rsidR="000E192C" w:rsidRPr="00507EDE" w:rsidRDefault="000E192C" w:rsidP="000E192C">
      <w:pPr>
        <w:tabs>
          <w:tab w:val="left" w:pos="567"/>
        </w:tabs>
        <w:rPr>
          <w:sz w:val="22"/>
          <w:szCs w:val="22"/>
        </w:rPr>
      </w:pPr>
    </w:p>
    <w:p w14:paraId="10263C9F" w14:textId="77777777" w:rsidR="000E192C" w:rsidRPr="00507EDE" w:rsidRDefault="000E192C" w:rsidP="000E192C">
      <w:pPr>
        <w:tabs>
          <w:tab w:val="left" w:pos="567"/>
        </w:tabs>
        <w:rPr>
          <w:sz w:val="22"/>
          <w:szCs w:val="22"/>
        </w:rPr>
      </w:pPr>
    </w:p>
    <w:p w14:paraId="25F06320"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3.</w:t>
      </w:r>
      <w:r w:rsidRPr="00507EDE">
        <w:rPr>
          <w:b/>
          <w:sz w:val="22"/>
          <w:szCs w:val="22"/>
        </w:rPr>
        <w:tab/>
        <w:t>PAGALBINIŲ MEDŽIAGŲ SĄRAŠAS</w:t>
      </w:r>
    </w:p>
    <w:p w14:paraId="1217816B" w14:textId="77777777" w:rsidR="000E192C" w:rsidRPr="00507EDE" w:rsidRDefault="000E192C" w:rsidP="000E192C">
      <w:pPr>
        <w:tabs>
          <w:tab w:val="left" w:pos="567"/>
        </w:tabs>
        <w:rPr>
          <w:sz w:val="22"/>
          <w:szCs w:val="22"/>
        </w:rPr>
      </w:pPr>
    </w:p>
    <w:p w14:paraId="09D7D976" w14:textId="32F3DEA4" w:rsidR="004C3526" w:rsidRPr="00917350" w:rsidRDefault="004C3526" w:rsidP="004C3526">
      <w:pPr>
        <w:rPr>
          <w:sz w:val="22"/>
          <w:szCs w:val="22"/>
        </w:rPr>
      </w:pPr>
      <w:r w:rsidRPr="00507EDE">
        <w:rPr>
          <w:sz w:val="22"/>
          <w:szCs w:val="22"/>
        </w:rPr>
        <w:t>Sudėtyje yra</w:t>
      </w:r>
      <w:r w:rsidR="00D4123F" w:rsidRPr="00507EDE">
        <w:rPr>
          <w:sz w:val="22"/>
          <w:szCs w:val="22"/>
        </w:rPr>
        <w:t xml:space="preserve"> laktozės</w:t>
      </w:r>
      <w:r w:rsidRPr="00507EDE">
        <w:rPr>
          <w:sz w:val="22"/>
          <w:szCs w:val="22"/>
        </w:rPr>
        <w:t xml:space="preserve"> ir</w:t>
      </w:r>
      <w:r w:rsidR="00D4123F" w:rsidRPr="00507EDE">
        <w:rPr>
          <w:sz w:val="22"/>
          <w:szCs w:val="22"/>
        </w:rPr>
        <w:t xml:space="preserve"> kviečių krakmol</w:t>
      </w:r>
      <w:r w:rsidRPr="00507EDE">
        <w:rPr>
          <w:sz w:val="22"/>
          <w:szCs w:val="22"/>
        </w:rPr>
        <w:t xml:space="preserve">o. </w:t>
      </w:r>
      <w:r w:rsidRPr="00917350">
        <w:rPr>
          <w:sz w:val="22"/>
          <w:szCs w:val="22"/>
        </w:rPr>
        <w:t>Daugiau informacijos žr. pakuotės lapelyje.</w:t>
      </w:r>
    </w:p>
    <w:p w14:paraId="171B75A6" w14:textId="77777777" w:rsidR="00D4123F" w:rsidRDefault="00D4123F" w:rsidP="000E192C">
      <w:pPr>
        <w:tabs>
          <w:tab w:val="left" w:pos="567"/>
        </w:tabs>
        <w:rPr>
          <w:sz w:val="22"/>
          <w:szCs w:val="22"/>
        </w:rPr>
      </w:pPr>
    </w:p>
    <w:p w14:paraId="57DBED0E" w14:textId="77777777" w:rsidR="00B21272" w:rsidRPr="00507EDE" w:rsidRDefault="00B21272" w:rsidP="000E192C">
      <w:pPr>
        <w:tabs>
          <w:tab w:val="left" w:pos="567"/>
        </w:tabs>
        <w:rPr>
          <w:sz w:val="22"/>
          <w:szCs w:val="22"/>
        </w:rPr>
      </w:pPr>
    </w:p>
    <w:p w14:paraId="075FEEC8"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4.</w:t>
      </w:r>
      <w:r w:rsidRPr="00507EDE">
        <w:rPr>
          <w:b/>
          <w:sz w:val="22"/>
          <w:szCs w:val="22"/>
        </w:rPr>
        <w:tab/>
        <w:t>FARMACINĖ FORMA IR KIEKIS PAKUOTĖJE</w:t>
      </w:r>
    </w:p>
    <w:p w14:paraId="065828BB" w14:textId="77777777" w:rsidR="000E192C" w:rsidRPr="00507EDE" w:rsidRDefault="000E192C" w:rsidP="000E192C">
      <w:pPr>
        <w:tabs>
          <w:tab w:val="left" w:pos="567"/>
        </w:tabs>
        <w:rPr>
          <w:sz w:val="22"/>
          <w:szCs w:val="22"/>
        </w:rPr>
      </w:pPr>
    </w:p>
    <w:p w14:paraId="7F1F38A4" w14:textId="77777777" w:rsidR="000E192C" w:rsidRPr="00507EDE" w:rsidRDefault="000E192C" w:rsidP="000E192C">
      <w:pPr>
        <w:jc w:val="both"/>
        <w:rPr>
          <w:sz w:val="22"/>
          <w:szCs w:val="22"/>
        </w:rPr>
      </w:pPr>
      <w:r w:rsidRPr="00507EDE">
        <w:rPr>
          <w:sz w:val="22"/>
          <w:highlight w:val="lightGray"/>
        </w:rPr>
        <w:t>Tabletė</w:t>
      </w:r>
    </w:p>
    <w:p w14:paraId="6BCCD9F2" w14:textId="77777777" w:rsidR="000E192C" w:rsidRPr="00507EDE" w:rsidRDefault="000E192C" w:rsidP="000E192C">
      <w:pPr>
        <w:jc w:val="both"/>
        <w:rPr>
          <w:sz w:val="22"/>
          <w:szCs w:val="22"/>
        </w:rPr>
      </w:pPr>
    </w:p>
    <w:p w14:paraId="730D0470" w14:textId="45C13B5A" w:rsidR="000E192C" w:rsidRPr="00507EDE" w:rsidRDefault="00FE2918" w:rsidP="000E192C">
      <w:pPr>
        <w:jc w:val="both"/>
        <w:rPr>
          <w:bCs/>
          <w:sz w:val="22"/>
          <w:szCs w:val="22"/>
          <w:highlight w:val="lightGray"/>
        </w:rPr>
      </w:pPr>
      <w:bookmarkStart w:id="3" w:name="_Hlk61270911"/>
      <w:bookmarkStart w:id="4" w:name="_Hlk65075669"/>
      <w:r w:rsidRPr="00507EDE">
        <w:rPr>
          <w:bCs/>
          <w:sz w:val="22"/>
          <w:szCs w:val="22"/>
        </w:rPr>
        <w:t>20 tablečių</w:t>
      </w:r>
      <w:r w:rsidR="003627D8">
        <w:rPr>
          <w:bCs/>
          <w:sz w:val="22"/>
          <w:szCs w:val="22"/>
        </w:rPr>
        <w:t>.</w:t>
      </w:r>
    </w:p>
    <w:p w14:paraId="55703BFD" w14:textId="77777777" w:rsidR="000E192C" w:rsidRPr="00507EDE" w:rsidRDefault="000E192C" w:rsidP="000E192C">
      <w:pPr>
        <w:jc w:val="both"/>
        <w:rPr>
          <w:bCs/>
          <w:sz w:val="22"/>
          <w:szCs w:val="22"/>
          <w:highlight w:val="lightGray"/>
        </w:rPr>
      </w:pPr>
    </w:p>
    <w:bookmarkEnd w:id="3"/>
    <w:bookmarkEnd w:id="4"/>
    <w:p w14:paraId="4DBA4A20" w14:textId="77777777" w:rsidR="000E192C" w:rsidRPr="00507EDE" w:rsidRDefault="000E192C" w:rsidP="000E192C">
      <w:pPr>
        <w:tabs>
          <w:tab w:val="left" w:pos="567"/>
        </w:tabs>
        <w:rPr>
          <w:sz w:val="22"/>
          <w:szCs w:val="22"/>
        </w:rPr>
      </w:pPr>
    </w:p>
    <w:p w14:paraId="7EBA9912"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5.</w:t>
      </w:r>
      <w:r w:rsidRPr="00507EDE">
        <w:rPr>
          <w:b/>
          <w:sz w:val="22"/>
          <w:szCs w:val="22"/>
        </w:rPr>
        <w:tab/>
        <w:t>VARTOJIMO METODAS IR BŪDAS (-AI)</w:t>
      </w:r>
    </w:p>
    <w:p w14:paraId="578F3382" w14:textId="77777777" w:rsidR="000E192C" w:rsidRPr="00507EDE" w:rsidRDefault="000E192C" w:rsidP="000E192C">
      <w:pPr>
        <w:tabs>
          <w:tab w:val="left" w:pos="567"/>
        </w:tabs>
        <w:rPr>
          <w:sz w:val="22"/>
          <w:szCs w:val="22"/>
        </w:rPr>
      </w:pPr>
    </w:p>
    <w:p w14:paraId="2BB7F8B1" w14:textId="77777777" w:rsidR="000E192C" w:rsidRPr="00507EDE" w:rsidRDefault="000E192C" w:rsidP="000E192C">
      <w:pPr>
        <w:jc w:val="both"/>
        <w:rPr>
          <w:sz w:val="22"/>
          <w:szCs w:val="22"/>
        </w:rPr>
      </w:pPr>
      <w:r w:rsidRPr="00507EDE">
        <w:rPr>
          <w:sz w:val="22"/>
          <w:szCs w:val="22"/>
        </w:rPr>
        <w:t>Vartoti per burną.</w:t>
      </w:r>
    </w:p>
    <w:p w14:paraId="4BCC5872" w14:textId="77777777" w:rsidR="000E192C" w:rsidRPr="00507EDE" w:rsidRDefault="000E192C" w:rsidP="000E192C">
      <w:pPr>
        <w:jc w:val="both"/>
        <w:rPr>
          <w:sz w:val="22"/>
          <w:szCs w:val="22"/>
        </w:rPr>
      </w:pPr>
      <w:r w:rsidRPr="00507EDE">
        <w:rPr>
          <w:sz w:val="22"/>
          <w:szCs w:val="22"/>
        </w:rPr>
        <w:t>Prieš vartojimą perskaitykite pakuotės lapelį.</w:t>
      </w:r>
    </w:p>
    <w:p w14:paraId="7969E574" w14:textId="77777777" w:rsidR="000E192C" w:rsidRPr="00507EDE" w:rsidRDefault="000E192C" w:rsidP="000E192C">
      <w:pPr>
        <w:jc w:val="both"/>
        <w:rPr>
          <w:sz w:val="22"/>
          <w:szCs w:val="22"/>
        </w:rPr>
      </w:pPr>
    </w:p>
    <w:p w14:paraId="6E947D63" w14:textId="77777777" w:rsidR="000E192C" w:rsidRPr="00507EDE" w:rsidRDefault="000E192C" w:rsidP="000E192C">
      <w:pPr>
        <w:tabs>
          <w:tab w:val="left" w:pos="567"/>
        </w:tabs>
        <w:rPr>
          <w:sz w:val="22"/>
          <w:szCs w:val="22"/>
        </w:rPr>
      </w:pPr>
    </w:p>
    <w:p w14:paraId="519B2EAF"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6.</w:t>
      </w:r>
      <w:r w:rsidRPr="00507EDE">
        <w:rPr>
          <w:b/>
          <w:sz w:val="22"/>
          <w:szCs w:val="22"/>
        </w:rPr>
        <w:tab/>
        <w:t>SPECIALUS ĮSPĖJIMAS, KAD VAISTINĮ PREPARATĄ BŪTINA LAIKYTI VAIKAMS NEPASTEBIMOJE IR NEPASIEKIAMOJE VIETOJE</w:t>
      </w:r>
    </w:p>
    <w:p w14:paraId="495AC2D2" w14:textId="77777777" w:rsidR="000E192C" w:rsidRPr="00507EDE" w:rsidRDefault="000E192C" w:rsidP="000E192C">
      <w:pPr>
        <w:tabs>
          <w:tab w:val="left" w:pos="567"/>
        </w:tabs>
        <w:rPr>
          <w:sz w:val="22"/>
          <w:szCs w:val="22"/>
        </w:rPr>
      </w:pPr>
    </w:p>
    <w:p w14:paraId="39F0C490" w14:textId="77777777" w:rsidR="000E192C" w:rsidRPr="00507EDE" w:rsidRDefault="000E192C" w:rsidP="000E192C">
      <w:pPr>
        <w:tabs>
          <w:tab w:val="left" w:pos="567"/>
        </w:tabs>
        <w:rPr>
          <w:sz w:val="22"/>
          <w:szCs w:val="22"/>
        </w:rPr>
      </w:pPr>
      <w:r w:rsidRPr="00507EDE">
        <w:rPr>
          <w:sz w:val="22"/>
          <w:szCs w:val="22"/>
        </w:rPr>
        <w:t>Laikyti vaikams nepastebimoje ir nepasiekiamoje vietoje.</w:t>
      </w:r>
    </w:p>
    <w:p w14:paraId="64B18CB8" w14:textId="77777777" w:rsidR="000E192C" w:rsidRPr="00507EDE" w:rsidRDefault="000E192C" w:rsidP="000E192C">
      <w:pPr>
        <w:tabs>
          <w:tab w:val="left" w:pos="567"/>
        </w:tabs>
        <w:rPr>
          <w:sz w:val="22"/>
          <w:szCs w:val="22"/>
        </w:rPr>
      </w:pPr>
    </w:p>
    <w:p w14:paraId="0A7068D5" w14:textId="77777777" w:rsidR="000E192C" w:rsidRPr="00507EDE" w:rsidRDefault="000E192C" w:rsidP="000E192C">
      <w:pPr>
        <w:tabs>
          <w:tab w:val="left" w:pos="567"/>
        </w:tabs>
        <w:rPr>
          <w:sz w:val="22"/>
          <w:szCs w:val="22"/>
        </w:rPr>
      </w:pPr>
    </w:p>
    <w:p w14:paraId="15725BC5"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7.</w:t>
      </w:r>
      <w:r w:rsidRPr="00507EDE">
        <w:rPr>
          <w:b/>
          <w:sz w:val="22"/>
          <w:szCs w:val="22"/>
        </w:rPr>
        <w:tab/>
        <w:t>KITAS (-I) SPECIALUS (-ŪS) ĮSPĖJIMAS (-AI) (JEI REIKIA)</w:t>
      </w:r>
    </w:p>
    <w:p w14:paraId="5F37445E" w14:textId="77777777" w:rsidR="000E192C" w:rsidRPr="00507EDE" w:rsidRDefault="000E192C" w:rsidP="000E192C">
      <w:pPr>
        <w:tabs>
          <w:tab w:val="left" w:pos="567"/>
        </w:tabs>
        <w:rPr>
          <w:sz w:val="22"/>
          <w:szCs w:val="22"/>
        </w:rPr>
      </w:pPr>
    </w:p>
    <w:p w14:paraId="0358ECC7" w14:textId="77777777" w:rsidR="000E192C" w:rsidRPr="00507EDE" w:rsidRDefault="000E192C" w:rsidP="000E192C">
      <w:pPr>
        <w:tabs>
          <w:tab w:val="left" w:pos="567"/>
        </w:tabs>
        <w:rPr>
          <w:sz w:val="22"/>
          <w:szCs w:val="22"/>
        </w:rPr>
      </w:pPr>
    </w:p>
    <w:p w14:paraId="058039C1" w14:textId="77777777" w:rsidR="000E192C" w:rsidRPr="00507EDE" w:rsidRDefault="000E192C" w:rsidP="000E192C">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8.</w:t>
      </w:r>
      <w:r w:rsidRPr="00507EDE">
        <w:rPr>
          <w:b/>
          <w:sz w:val="22"/>
          <w:szCs w:val="22"/>
        </w:rPr>
        <w:tab/>
        <w:t>TINKAMUMO LAIKAS</w:t>
      </w:r>
    </w:p>
    <w:p w14:paraId="23346214" w14:textId="77777777" w:rsidR="000E192C" w:rsidRPr="00507EDE" w:rsidRDefault="000E192C" w:rsidP="000E192C">
      <w:pPr>
        <w:keepNext/>
        <w:keepLines/>
        <w:tabs>
          <w:tab w:val="left" w:pos="567"/>
        </w:tabs>
        <w:rPr>
          <w:sz w:val="22"/>
          <w:szCs w:val="22"/>
        </w:rPr>
      </w:pPr>
    </w:p>
    <w:p w14:paraId="2BA35F40" w14:textId="22CA7402" w:rsidR="000E192C" w:rsidRPr="00507EDE" w:rsidRDefault="00FE2918" w:rsidP="000E192C">
      <w:pPr>
        <w:keepNext/>
        <w:keepLines/>
        <w:jc w:val="both"/>
        <w:rPr>
          <w:sz w:val="22"/>
          <w:szCs w:val="22"/>
        </w:rPr>
      </w:pPr>
      <w:r w:rsidRPr="00507EDE">
        <w:rPr>
          <w:sz w:val="22"/>
          <w:szCs w:val="22"/>
        </w:rPr>
        <w:t>Tinka iki</w:t>
      </w:r>
      <w:r w:rsidRPr="00507EDE">
        <w:rPr>
          <w:sz w:val="22"/>
          <w:szCs w:val="22"/>
          <w:highlight w:val="lightGray"/>
        </w:rPr>
        <w:t>:</w:t>
      </w:r>
      <w:r w:rsidR="000E192C" w:rsidRPr="00507EDE">
        <w:rPr>
          <w:sz w:val="22"/>
          <w:szCs w:val="22"/>
        </w:rPr>
        <w:t xml:space="preserve"> </w:t>
      </w:r>
      <w:r w:rsidR="000E192C" w:rsidRPr="00507EDE">
        <w:rPr>
          <w:sz w:val="22"/>
          <w:szCs w:val="22"/>
          <w:lang w:eastAsia="en-US"/>
        </w:rPr>
        <w:t>{mm/MMMM}</w:t>
      </w:r>
    </w:p>
    <w:p w14:paraId="3589E6C1" w14:textId="77777777" w:rsidR="000E192C" w:rsidRPr="00507EDE" w:rsidRDefault="000E192C" w:rsidP="000E192C">
      <w:pPr>
        <w:tabs>
          <w:tab w:val="left" w:pos="567"/>
        </w:tabs>
        <w:rPr>
          <w:sz w:val="22"/>
          <w:szCs w:val="22"/>
        </w:rPr>
      </w:pPr>
    </w:p>
    <w:p w14:paraId="06663F0D" w14:textId="77777777" w:rsidR="000E192C" w:rsidRPr="00507EDE" w:rsidRDefault="000E192C" w:rsidP="000E192C">
      <w:pPr>
        <w:tabs>
          <w:tab w:val="left" w:pos="567"/>
        </w:tabs>
        <w:rPr>
          <w:sz w:val="22"/>
          <w:szCs w:val="22"/>
        </w:rPr>
      </w:pPr>
    </w:p>
    <w:p w14:paraId="1B8D8D66" w14:textId="77777777" w:rsidR="000E192C" w:rsidRPr="00507EDE" w:rsidRDefault="000E192C" w:rsidP="000E192C">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9.</w:t>
      </w:r>
      <w:r w:rsidRPr="00507EDE">
        <w:rPr>
          <w:b/>
          <w:sz w:val="22"/>
          <w:szCs w:val="22"/>
        </w:rPr>
        <w:tab/>
        <w:t>SPECIALIOS LAIKYMO SĄLYGOS</w:t>
      </w:r>
    </w:p>
    <w:p w14:paraId="207633F6" w14:textId="77777777" w:rsidR="000E192C" w:rsidRPr="00507EDE" w:rsidRDefault="000E192C" w:rsidP="000E192C">
      <w:pPr>
        <w:tabs>
          <w:tab w:val="left" w:pos="567"/>
        </w:tabs>
        <w:rPr>
          <w:sz w:val="22"/>
          <w:szCs w:val="22"/>
        </w:rPr>
      </w:pPr>
    </w:p>
    <w:p w14:paraId="71B416CB" w14:textId="77777777" w:rsidR="000E192C" w:rsidRPr="00507EDE" w:rsidRDefault="000E192C" w:rsidP="000E192C">
      <w:pPr>
        <w:tabs>
          <w:tab w:val="left" w:pos="567"/>
        </w:tabs>
        <w:rPr>
          <w:sz w:val="22"/>
          <w:szCs w:val="22"/>
        </w:rPr>
      </w:pPr>
    </w:p>
    <w:p w14:paraId="24DB4CF4"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07EDE">
        <w:rPr>
          <w:b/>
          <w:sz w:val="22"/>
          <w:szCs w:val="22"/>
        </w:rPr>
        <w:t>10.</w:t>
      </w:r>
      <w:r w:rsidRPr="00507EDE">
        <w:rPr>
          <w:b/>
          <w:sz w:val="22"/>
          <w:szCs w:val="22"/>
        </w:rPr>
        <w:tab/>
        <w:t>SPECIALIOS ATSARGUMO PRIEMONĖS DĖL NESUVARTOTO VAISTINIO PREPARATO AR JO ATLIEKŲ TVARKYMO (JEI REIKIA)</w:t>
      </w:r>
    </w:p>
    <w:p w14:paraId="0C23F300" w14:textId="77777777" w:rsidR="000E192C" w:rsidRPr="00507EDE" w:rsidRDefault="000E192C" w:rsidP="000E192C">
      <w:pPr>
        <w:tabs>
          <w:tab w:val="left" w:pos="567"/>
        </w:tabs>
        <w:rPr>
          <w:sz w:val="22"/>
          <w:szCs w:val="22"/>
        </w:rPr>
      </w:pPr>
    </w:p>
    <w:p w14:paraId="5A2E0FFB" w14:textId="77777777" w:rsidR="000E192C" w:rsidRPr="00507EDE" w:rsidRDefault="000E192C" w:rsidP="000E192C">
      <w:pPr>
        <w:tabs>
          <w:tab w:val="left" w:pos="567"/>
        </w:tabs>
        <w:rPr>
          <w:sz w:val="22"/>
          <w:szCs w:val="22"/>
        </w:rPr>
      </w:pPr>
    </w:p>
    <w:p w14:paraId="3427E6E0"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11.</w:t>
      </w:r>
      <w:r w:rsidRPr="00507EDE">
        <w:rPr>
          <w:b/>
          <w:sz w:val="22"/>
          <w:szCs w:val="22"/>
        </w:rPr>
        <w:tab/>
      </w:r>
      <w:r w:rsidRPr="00507EDE">
        <w:rPr>
          <w:b/>
          <w:caps/>
          <w:sz w:val="22"/>
          <w:szCs w:val="22"/>
        </w:rPr>
        <w:t xml:space="preserve"> REGISTRUOTOJO PAVADINIMAS IR ADRESAS</w:t>
      </w:r>
    </w:p>
    <w:p w14:paraId="79D0FF48" w14:textId="77777777" w:rsidR="000E192C" w:rsidRPr="00507EDE" w:rsidRDefault="000E192C" w:rsidP="000E192C">
      <w:pPr>
        <w:tabs>
          <w:tab w:val="left" w:pos="567"/>
        </w:tabs>
        <w:rPr>
          <w:sz w:val="22"/>
          <w:szCs w:val="22"/>
        </w:rPr>
      </w:pPr>
    </w:p>
    <w:p w14:paraId="217CBE00" w14:textId="4B309525" w:rsidR="000E192C" w:rsidRPr="00507EDE" w:rsidRDefault="000F5804" w:rsidP="000F5804">
      <w:pPr>
        <w:tabs>
          <w:tab w:val="left" w:pos="567"/>
        </w:tabs>
        <w:rPr>
          <w:sz w:val="22"/>
          <w:szCs w:val="22"/>
        </w:rPr>
      </w:pPr>
      <w:r w:rsidRPr="000F5804">
        <w:rPr>
          <w:sz w:val="22"/>
          <w:szCs w:val="22"/>
        </w:rPr>
        <w:t>UAB „NVT“</w:t>
      </w:r>
      <w:r w:rsidR="00164E9B">
        <w:rPr>
          <w:sz w:val="22"/>
          <w:szCs w:val="22"/>
        </w:rPr>
        <w:t>,</w:t>
      </w:r>
      <w:r w:rsidR="00E41279">
        <w:rPr>
          <w:sz w:val="22"/>
          <w:szCs w:val="22"/>
        </w:rPr>
        <w:t xml:space="preserve"> </w:t>
      </w:r>
      <w:r w:rsidRPr="000F5804">
        <w:rPr>
          <w:sz w:val="22"/>
          <w:szCs w:val="22"/>
        </w:rPr>
        <w:t>Sodų g. 1,</w:t>
      </w:r>
      <w:r w:rsidR="00E41279">
        <w:rPr>
          <w:sz w:val="22"/>
          <w:szCs w:val="22"/>
        </w:rPr>
        <w:t xml:space="preserve"> </w:t>
      </w:r>
      <w:r w:rsidRPr="000F5804">
        <w:rPr>
          <w:sz w:val="22"/>
          <w:szCs w:val="22"/>
        </w:rPr>
        <w:t>Linksmakalnio k.</w:t>
      </w:r>
      <w:r w:rsidR="00164E9B">
        <w:rPr>
          <w:sz w:val="22"/>
          <w:szCs w:val="22"/>
        </w:rPr>
        <w:t>,</w:t>
      </w:r>
      <w:r w:rsidR="00E41279">
        <w:rPr>
          <w:sz w:val="22"/>
          <w:szCs w:val="22"/>
        </w:rPr>
        <w:t xml:space="preserve"> </w:t>
      </w:r>
      <w:r w:rsidRPr="000F5804">
        <w:rPr>
          <w:sz w:val="22"/>
          <w:szCs w:val="22"/>
        </w:rPr>
        <w:t>Kauno raj., 53290</w:t>
      </w:r>
      <w:r w:rsidR="00164E9B">
        <w:rPr>
          <w:sz w:val="22"/>
          <w:szCs w:val="22"/>
        </w:rPr>
        <w:t>,</w:t>
      </w:r>
      <w:r w:rsidR="00E41279">
        <w:rPr>
          <w:sz w:val="22"/>
          <w:szCs w:val="22"/>
        </w:rPr>
        <w:t xml:space="preserve"> </w:t>
      </w:r>
      <w:r w:rsidRPr="000F5804">
        <w:rPr>
          <w:sz w:val="22"/>
          <w:szCs w:val="22"/>
        </w:rPr>
        <w:t>Lietuva</w:t>
      </w:r>
    </w:p>
    <w:p w14:paraId="4991CDC8" w14:textId="77777777" w:rsidR="000E192C" w:rsidRDefault="000E192C" w:rsidP="000E192C">
      <w:pPr>
        <w:tabs>
          <w:tab w:val="left" w:pos="567"/>
        </w:tabs>
        <w:rPr>
          <w:sz w:val="22"/>
          <w:szCs w:val="22"/>
        </w:rPr>
      </w:pPr>
    </w:p>
    <w:p w14:paraId="3CED5536" w14:textId="77777777" w:rsidR="00E41279" w:rsidRPr="00507EDE" w:rsidRDefault="00E41279" w:rsidP="000E192C">
      <w:pPr>
        <w:tabs>
          <w:tab w:val="left" w:pos="567"/>
        </w:tabs>
        <w:rPr>
          <w:sz w:val="22"/>
          <w:szCs w:val="22"/>
        </w:rPr>
      </w:pPr>
    </w:p>
    <w:p w14:paraId="79904BF1"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sz w:val="22"/>
          <w:szCs w:val="22"/>
        </w:rPr>
      </w:pPr>
      <w:r w:rsidRPr="00507EDE">
        <w:rPr>
          <w:b/>
          <w:sz w:val="22"/>
          <w:szCs w:val="22"/>
        </w:rPr>
        <w:t>12.</w:t>
      </w:r>
      <w:r w:rsidRPr="00507EDE">
        <w:rPr>
          <w:b/>
          <w:sz w:val="22"/>
          <w:szCs w:val="22"/>
        </w:rPr>
        <w:tab/>
        <w:t xml:space="preserve">REGISTRACIJOS PAŽYMĖJIMO NUMERIS (-IAI) </w:t>
      </w:r>
    </w:p>
    <w:p w14:paraId="2FBE5809" w14:textId="77777777" w:rsidR="000E192C" w:rsidRPr="00507EDE" w:rsidRDefault="000E192C" w:rsidP="000E192C">
      <w:pPr>
        <w:tabs>
          <w:tab w:val="left" w:pos="567"/>
        </w:tabs>
        <w:rPr>
          <w:sz w:val="22"/>
          <w:szCs w:val="22"/>
        </w:rPr>
      </w:pPr>
    </w:p>
    <w:p w14:paraId="53D1CA15" w14:textId="5122688C" w:rsidR="000E192C" w:rsidRDefault="00673877" w:rsidP="000E192C">
      <w:pPr>
        <w:tabs>
          <w:tab w:val="left" w:pos="567"/>
        </w:tabs>
        <w:rPr>
          <w:sz w:val="22"/>
          <w:szCs w:val="22"/>
        </w:rPr>
      </w:pPr>
      <w:r w:rsidRPr="00673877">
        <w:rPr>
          <w:sz w:val="22"/>
          <w:szCs w:val="22"/>
        </w:rPr>
        <w:t>LT/1/25/5869/001</w:t>
      </w:r>
    </w:p>
    <w:p w14:paraId="30119BF3" w14:textId="77777777" w:rsidR="00673877" w:rsidRPr="00507EDE" w:rsidRDefault="00673877" w:rsidP="000E192C">
      <w:pPr>
        <w:tabs>
          <w:tab w:val="left" w:pos="567"/>
        </w:tabs>
        <w:rPr>
          <w:sz w:val="22"/>
          <w:szCs w:val="22"/>
        </w:rPr>
      </w:pPr>
    </w:p>
    <w:p w14:paraId="3242648B" w14:textId="77777777" w:rsidR="000E192C" w:rsidRPr="00507EDE" w:rsidRDefault="000E192C" w:rsidP="000E192C">
      <w:pPr>
        <w:tabs>
          <w:tab w:val="left" w:pos="567"/>
        </w:tabs>
        <w:rPr>
          <w:sz w:val="22"/>
          <w:szCs w:val="22"/>
        </w:rPr>
      </w:pPr>
    </w:p>
    <w:p w14:paraId="3817E4F7"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sz w:val="22"/>
          <w:szCs w:val="22"/>
        </w:rPr>
      </w:pPr>
      <w:r w:rsidRPr="00507EDE">
        <w:rPr>
          <w:b/>
          <w:sz w:val="22"/>
          <w:szCs w:val="22"/>
        </w:rPr>
        <w:t>13.</w:t>
      </w:r>
      <w:r w:rsidRPr="00507EDE">
        <w:rPr>
          <w:b/>
          <w:sz w:val="22"/>
          <w:szCs w:val="22"/>
        </w:rPr>
        <w:tab/>
        <w:t xml:space="preserve">SERIJOS NUMERIS </w:t>
      </w:r>
    </w:p>
    <w:p w14:paraId="07B7A19D" w14:textId="77777777" w:rsidR="000E192C" w:rsidRPr="00507EDE" w:rsidRDefault="000E192C" w:rsidP="000E192C">
      <w:pPr>
        <w:tabs>
          <w:tab w:val="left" w:pos="567"/>
        </w:tabs>
        <w:rPr>
          <w:sz w:val="22"/>
          <w:szCs w:val="22"/>
        </w:rPr>
      </w:pPr>
    </w:p>
    <w:p w14:paraId="2ABFBB42" w14:textId="5DA40BDF" w:rsidR="000E192C" w:rsidRPr="00507EDE" w:rsidRDefault="00FE2918" w:rsidP="000E192C">
      <w:pPr>
        <w:jc w:val="both"/>
        <w:rPr>
          <w:sz w:val="22"/>
          <w:szCs w:val="22"/>
        </w:rPr>
      </w:pPr>
      <w:r w:rsidRPr="00507EDE">
        <w:rPr>
          <w:sz w:val="22"/>
          <w:szCs w:val="22"/>
        </w:rPr>
        <w:t>Serija</w:t>
      </w:r>
      <w:r w:rsidRPr="00507EDE">
        <w:rPr>
          <w:sz w:val="22"/>
          <w:szCs w:val="22"/>
          <w:highlight w:val="lightGray"/>
        </w:rPr>
        <w:t>:</w:t>
      </w:r>
      <w:r w:rsidRPr="00507EDE">
        <w:rPr>
          <w:sz w:val="22"/>
          <w:szCs w:val="22"/>
        </w:rPr>
        <w:t xml:space="preserve"> {numeris}</w:t>
      </w:r>
    </w:p>
    <w:p w14:paraId="187FA7CC" w14:textId="77777777" w:rsidR="000E192C" w:rsidRPr="00507EDE" w:rsidRDefault="000E192C" w:rsidP="000E192C">
      <w:pPr>
        <w:jc w:val="both"/>
        <w:rPr>
          <w:sz w:val="22"/>
          <w:szCs w:val="22"/>
        </w:rPr>
      </w:pPr>
    </w:p>
    <w:p w14:paraId="74550842" w14:textId="77777777" w:rsidR="000E192C" w:rsidRPr="00507EDE" w:rsidRDefault="000E192C" w:rsidP="000E192C">
      <w:pPr>
        <w:tabs>
          <w:tab w:val="left" w:pos="567"/>
        </w:tabs>
        <w:rPr>
          <w:sz w:val="22"/>
          <w:szCs w:val="22"/>
        </w:rPr>
      </w:pPr>
    </w:p>
    <w:p w14:paraId="7D2AD34B"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sz w:val="22"/>
          <w:szCs w:val="22"/>
        </w:rPr>
      </w:pPr>
      <w:r w:rsidRPr="00507EDE">
        <w:rPr>
          <w:b/>
          <w:sz w:val="22"/>
          <w:szCs w:val="22"/>
        </w:rPr>
        <w:t>14.</w:t>
      </w:r>
      <w:r w:rsidRPr="00507EDE">
        <w:rPr>
          <w:b/>
          <w:sz w:val="22"/>
          <w:szCs w:val="22"/>
        </w:rPr>
        <w:tab/>
        <w:t>PARDAVIMO (IŠDAVIMO) TVARKA</w:t>
      </w:r>
    </w:p>
    <w:p w14:paraId="6EF8E63F" w14:textId="77777777" w:rsidR="000E192C" w:rsidRPr="00507EDE" w:rsidRDefault="000E192C" w:rsidP="000E192C">
      <w:pPr>
        <w:tabs>
          <w:tab w:val="left" w:pos="567"/>
        </w:tabs>
        <w:rPr>
          <w:sz w:val="22"/>
          <w:szCs w:val="22"/>
        </w:rPr>
      </w:pPr>
    </w:p>
    <w:p w14:paraId="5DA5DE6B" w14:textId="77777777" w:rsidR="000E192C" w:rsidRPr="00507EDE" w:rsidRDefault="000E192C" w:rsidP="000E192C">
      <w:pPr>
        <w:tabs>
          <w:tab w:val="left" w:pos="567"/>
        </w:tabs>
        <w:rPr>
          <w:sz w:val="22"/>
          <w:szCs w:val="22"/>
        </w:rPr>
      </w:pPr>
      <w:r w:rsidRPr="00507EDE">
        <w:rPr>
          <w:sz w:val="22"/>
          <w:szCs w:val="22"/>
        </w:rPr>
        <w:t>Nereceptinis vaistas.</w:t>
      </w:r>
    </w:p>
    <w:p w14:paraId="3F529F7D" w14:textId="77777777" w:rsidR="000E192C" w:rsidRPr="00507EDE" w:rsidRDefault="000E192C" w:rsidP="000E192C">
      <w:pPr>
        <w:tabs>
          <w:tab w:val="left" w:pos="567"/>
        </w:tabs>
        <w:rPr>
          <w:sz w:val="22"/>
          <w:szCs w:val="22"/>
        </w:rPr>
      </w:pPr>
    </w:p>
    <w:p w14:paraId="5FBD5879" w14:textId="77777777" w:rsidR="000E192C" w:rsidRPr="00507EDE" w:rsidRDefault="000E192C" w:rsidP="000E192C">
      <w:pPr>
        <w:tabs>
          <w:tab w:val="left" w:pos="567"/>
        </w:tabs>
        <w:rPr>
          <w:sz w:val="22"/>
          <w:szCs w:val="22"/>
        </w:rPr>
      </w:pPr>
    </w:p>
    <w:p w14:paraId="7DF80088" w14:textId="77777777" w:rsidR="000E192C" w:rsidRPr="00507EDE" w:rsidRDefault="000E192C" w:rsidP="000E192C">
      <w:pPr>
        <w:pBdr>
          <w:top w:val="single" w:sz="4" w:space="2" w:color="auto"/>
          <w:left w:val="single" w:sz="4" w:space="4" w:color="auto"/>
          <w:bottom w:val="single" w:sz="4" w:space="1" w:color="auto"/>
          <w:right w:val="single" w:sz="4" w:space="4" w:color="auto"/>
        </w:pBdr>
        <w:tabs>
          <w:tab w:val="left" w:pos="567"/>
        </w:tabs>
        <w:rPr>
          <w:sz w:val="22"/>
          <w:szCs w:val="22"/>
        </w:rPr>
      </w:pPr>
      <w:r w:rsidRPr="00507EDE">
        <w:rPr>
          <w:b/>
          <w:sz w:val="22"/>
          <w:szCs w:val="22"/>
        </w:rPr>
        <w:t>15.</w:t>
      </w:r>
      <w:r w:rsidRPr="00507EDE">
        <w:rPr>
          <w:b/>
          <w:sz w:val="22"/>
          <w:szCs w:val="22"/>
        </w:rPr>
        <w:tab/>
        <w:t>VARTOJIMO INSTRUKCIJA</w:t>
      </w:r>
    </w:p>
    <w:p w14:paraId="2E3954CC" w14:textId="77777777" w:rsidR="000E192C" w:rsidRPr="00507EDE" w:rsidRDefault="000E192C" w:rsidP="00C86AAA">
      <w:pPr>
        <w:tabs>
          <w:tab w:val="left" w:pos="567"/>
        </w:tabs>
        <w:rPr>
          <w:sz w:val="22"/>
          <w:szCs w:val="22"/>
        </w:rPr>
      </w:pPr>
    </w:p>
    <w:p w14:paraId="558FAF22" w14:textId="342AAD9C" w:rsidR="00147E80" w:rsidRPr="00507EDE" w:rsidRDefault="00147E80" w:rsidP="00C86AAA">
      <w:pPr>
        <w:rPr>
          <w:sz w:val="22"/>
          <w:szCs w:val="22"/>
        </w:rPr>
      </w:pPr>
      <w:r>
        <w:rPr>
          <w:sz w:val="22"/>
          <w:szCs w:val="22"/>
        </w:rPr>
        <w:t>T</w:t>
      </w:r>
      <w:r w:rsidRPr="00147E80">
        <w:rPr>
          <w:sz w:val="22"/>
          <w:szCs w:val="22"/>
        </w:rPr>
        <w:t>rumpalaikiam silpno ir vidutinio stiprumo skausmo malšinimui ir aukšt</w:t>
      </w:r>
      <w:r w:rsidR="006730CE">
        <w:rPr>
          <w:sz w:val="22"/>
          <w:szCs w:val="22"/>
        </w:rPr>
        <w:t>os</w:t>
      </w:r>
      <w:r w:rsidRPr="00147E80">
        <w:rPr>
          <w:sz w:val="22"/>
          <w:szCs w:val="22"/>
        </w:rPr>
        <w:t xml:space="preserve"> temperatūr</w:t>
      </w:r>
      <w:r w:rsidR="006730CE">
        <w:rPr>
          <w:sz w:val="22"/>
          <w:szCs w:val="22"/>
        </w:rPr>
        <w:t>os</w:t>
      </w:r>
      <w:r w:rsidRPr="00147E80">
        <w:rPr>
          <w:sz w:val="22"/>
          <w:szCs w:val="22"/>
        </w:rPr>
        <w:t xml:space="preserve"> mažin</w:t>
      </w:r>
      <w:r w:rsidR="006730CE">
        <w:rPr>
          <w:sz w:val="22"/>
          <w:szCs w:val="22"/>
        </w:rPr>
        <w:t>imui</w:t>
      </w:r>
      <w:r w:rsidRPr="00147E80">
        <w:rPr>
          <w:sz w:val="22"/>
          <w:szCs w:val="22"/>
        </w:rPr>
        <w:t xml:space="preserve">. </w:t>
      </w:r>
    </w:p>
    <w:p w14:paraId="737C57CC" w14:textId="21503F4E" w:rsidR="00674281" w:rsidRDefault="00C86AAA" w:rsidP="00C86AAA">
      <w:pPr>
        <w:rPr>
          <w:sz w:val="22"/>
          <w:szCs w:val="22"/>
        </w:rPr>
      </w:pPr>
      <w:r w:rsidRPr="00507EDE">
        <w:rPr>
          <w:i/>
          <w:iCs/>
          <w:sz w:val="22"/>
          <w:szCs w:val="22"/>
        </w:rPr>
        <w:t>Suaugusiesiems</w:t>
      </w:r>
      <w:r w:rsidRPr="00507EDE">
        <w:rPr>
          <w:sz w:val="22"/>
          <w:szCs w:val="22"/>
        </w:rPr>
        <w:t>: įprastinė paros dozė yra 1-2 tabletės 3-4 kartus per parą.</w:t>
      </w:r>
    </w:p>
    <w:p w14:paraId="0E7CC920" w14:textId="58675C97" w:rsidR="00F94B78" w:rsidRPr="00A603F5" w:rsidRDefault="00F94B78" w:rsidP="00A603F5">
      <w:pPr>
        <w:rPr>
          <w:sz w:val="22"/>
          <w:szCs w:val="22"/>
        </w:rPr>
      </w:pPr>
      <w:r>
        <w:rPr>
          <w:i/>
          <w:iCs/>
          <w:sz w:val="22"/>
          <w:szCs w:val="22"/>
        </w:rPr>
        <w:t>Paaugliams ir vaikams</w:t>
      </w:r>
      <w:r w:rsidR="00A603F5">
        <w:rPr>
          <w:i/>
          <w:iCs/>
          <w:sz w:val="22"/>
          <w:szCs w:val="22"/>
        </w:rPr>
        <w:t xml:space="preserve"> nuo 6 metų:</w:t>
      </w:r>
      <w:r w:rsidR="00A603F5">
        <w:rPr>
          <w:sz w:val="22"/>
          <w:szCs w:val="22"/>
        </w:rPr>
        <w:t xml:space="preserve"> žr. pakuotės lapelyje.</w:t>
      </w:r>
    </w:p>
    <w:p w14:paraId="79C48877" w14:textId="6CBE0719" w:rsidR="00C86AAA" w:rsidRPr="00507EDE" w:rsidRDefault="00C86AAA" w:rsidP="00674281">
      <w:pPr>
        <w:rPr>
          <w:sz w:val="22"/>
          <w:szCs w:val="22"/>
        </w:rPr>
      </w:pPr>
      <w:r w:rsidRPr="00507EDE">
        <w:rPr>
          <w:sz w:val="22"/>
          <w:szCs w:val="22"/>
        </w:rPr>
        <w:t>Gydymo trukmė ne ilgesnė kaip 3 dienos.</w:t>
      </w:r>
    </w:p>
    <w:p w14:paraId="362ED6DA" w14:textId="77777777" w:rsidR="000E192C" w:rsidRPr="00507EDE" w:rsidRDefault="000E192C" w:rsidP="00C86AAA">
      <w:pPr>
        <w:tabs>
          <w:tab w:val="left" w:pos="567"/>
        </w:tabs>
        <w:rPr>
          <w:sz w:val="22"/>
          <w:szCs w:val="22"/>
        </w:rPr>
      </w:pPr>
    </w:p>
    <w:p w14:paraId="3F6669FF" w14:textId="77777777" w:rsidR="00C86AAA" w:rsidRPr="00507EDE" w:rsidRDefault="00C86AAA" w:rsidP="00C86AAA">
      <w:pPr>
        <w:tabs>
          <w:tab w:val="left" w:pos="567"/>
        </w:tabs>
        <w:rPr>
          <w:sz w:val="22"/>
          <w:szCs w:val="22"/>
        </w:rPr>
      </w:pPr>
    </w:p>
    <w:p w14:paraId="3DF52DFB" w14:textId="77777777" w:rsidR="000E192C" w:rsidRPr="00507EDE" w:rsidRDefault="000E192C" w:rsidP="000E192C">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507EDE">
        <w:rPr>
          <w:b/>
          <w:sz w:val="22"/>
          <w:szCs w:val="22"/>
        </w:rPr>
        <w:t>16.</w:t>
      </w:r>
      <w:r w:rsidRPr="00507EDE">
        <w:rPr>
          <w:b/>
          <w:sz w:val="22"/>
          <w:szCs w:val="22"/>
        </w:rPr>
        <w:tab/>
        <w:t>INFORMACIJA BRAILIO RAŠTU</w:t>
      </w:r>
    </w:p>
    <w:p w14:paraId="01F1C649" w14:textId="77777777" w:rsidR="000E192C" w:rsidRPr="00507EDE" w:rsidRDefault="000E192C" w:rsidP="000E192C">
      <w:pPr>
        <w:tabs>
          <w:tab w:val="left" w:pos="567"/>
        </w:tabs>
        <w:rPr>
          <w:sz w:val="22"/>
          <w:szCs w:val="22"/>
        </w:rPr>
      </w:pPr>
    </w:p>
    <w:p w14:paraId="335098AA" w14:textId="6390ECE8" w:rsidR="000E192C" w:rsidRPr="00507EDE" w:rsidRDefault="00C86AAA" w:rsidP="000E192C">
      <w:pPr>
        <w:jc w:val="both"/>
        <w:rPr>
          <w:bCs/>
          <w:sz w:val="22"/>
          <w:szCs w:val="22"/>
        </w:rPr>
      </w:pPr>
      <w:r w:rsidRPr="00507EDE">
        <w:rPr>
          <w:bCs/>
          <w:sz w:val="22"/>
          <w:szCs w:val="22"/>
        </w:rPr>
        <w:t xml:space="preserve">paracetamol </w:t>
      </w:r>
      <w:r w:rsidR="00F5364E">
        <w:rPr>
          <w:bCs/>
          <w:sz w:val="22"/>
          <w:szCs w:val="22"/>
        </w:rPr>
        <w:t>hiltrex</w:t>
      </w:r>
    </w:p>
    <w:p w14:paraId="35FD89CD" w14:textId="77777777" w:rsidR="000E192C" w:rsidRPr="00507EDE" w:rsidRDefault="000E192C" w:rsidP="000E192C">
      <w:pPr>
        <w:jc w:val="both"/>
        <w:rPr>
          <w:sz w:val="22"/>
          <w:szCs w:val="22"/>
        </w:rPr>
      </w:pPr>
    </w:p>
    <w:p w14:paraId="5A9C585C" w14:textId="77777777" w:rsidR="000E192C" w:rsidRPr="00507EDE" w:rsidRDefault="000E192C" w:rsidP="000E192C">
      <w:pPr>
        <w:tabs>
          <w:tab w:val="left" w:pos="567"/>
        </w:tabs>
        <w:rPr>
          <w:sz w:val="22"/>
          <w:szCs w:val="22"/>
          <w:shd w:val="clear" w:color="auto" w:fill="CCCCCC"/>
        </w:rPr>
      </w:pPr>
    </w:p>
    <w:p w14:paraId="3AF6A7ED" w14:textId="77777777" w:rsidR="000E192C" w:rsidRPr="00507EDE" w:rsidRDefault="000E192C" w:rsidP="000E192C">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507EDE">
        <w:rPr>
          <w:b/>
          <w:sz w:val="22"/>
          <w:szCs w:val="22"/>
        </w:rPr>
        <w:t>17.</w:t>
      </w:r>
      <w:r w:rsidRPr="00507EDE">
        <w:rPr>
          <w:b/>
          <w:sz w:val="22"/>
          <w:szCs w:val="22"/>
        </w:rPr>
        <w:tab/>
        <w:t>UNIKALUS IDENTIFIKATORIUS – 2D BRŪKŠNINIS KODAS</w:t>
      </w:r>
    </w:p>
    <w:p w14:paraId="2394F528" w14:textId="77777777" w:rsidR="000E192C" w:rsidRPr="00507EDE" w:rsidRDefault="000E192C" w:rsidP="000E192C">
      <w:pPr>
        <w:tabs>
          <w:tab w:val="left" w:pos="567"/>
        </w:tabs>
        <w:rPr>
          <w:sz w:val="22"/>
          <w:szCs w:val="22"/>
        </w:rPr>
      </w:pPr>
    </w:p>
    <w:p w14:paraId="248DD301" w14:textId="77777777" w:rsidR="000E192C" w:rsidRPr="00507EDE" w:rsidRDefault="000E192C" w:rsidP="000E192C">
      <w:pPr>
        <w:rPr>
          <w:sz w:val="22"/>
          <w:szCs w:val="22"/>
          <w:lang w:eastAsia="en-US"/>
        </w:rPr>
      </w:pPr>
      <w:r w:rsidRPr="00507EDE">
        <w:rPr>
          <w:sz w:val="22"/>
          <w:szCs w:val="22"/>
          <w:highlight w:val="lightGray"/>
        </w:rPr>
        <w:t>Duomenys nebūtini.</w:t>
      </w:r>
    </w:p>
    <w:p w14:paraId="6FE48E2C" w14:textId="77777777" w:rsidR="000E192C" w:rsidRPr="00507EDE" w:rsidRDefault="000E192C" w:rsidP="000E192C">
      <w:pPr>
        <w:jc w:val="both"/>
        <w:rPr>
          <w:rFonts w:eastAsia="MS Mincho"/>
          <w:sz w:val="22"/>
          <w:szCs w:val="22"/>
          <w:lang w:eastAsia="fr-FR"/>
        </w:rPr>
      </w:pPr>
    </w:p>
    <w:p w14:paraId="2E2F32C2" w14:textId="77777777" w:rsidR="000E192C" w:rsidRPr="00507EDE" w:rsidRDefault="000E192C" w:rsidP="000E192C">
      <w:pPr>
        <w:tabs>
          <w:tab w:val="left" w:pos="567"/>
        </w:tabs>
        <w:rPr>
          <w:sz w:val="22"/>
          <w:szCs w:val="22"/>
        </w:rPr>
      </w:pPr>
    </w:p>
    <w:p w14:paraId="63BB1138" w14:textId="77777777" w:rsidR="000E192C" w:rsidRPr="00507EDE" w:rsidRDefault="000E192C" w:rsidP="000E192C">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507EDE">
        <w:rPr>
          <w:b/>
          <w:sz w:val="22"/>
          <w:szCs w:val="22"/>
        </w:rPr>
        <w:t>18.</w:t>
      </w:r>
      <w:r w:rsidRPr="00507EDE">
        <w:rPr>
          <w:b/>
          <w:sz w:val="22"/>
          <w:szCs w:val="22"/>
        </w:rPr>
        <w:tab/>
        <w:t>UNIKALUS IDENTIFIKATORIUS – ŽMONĖMS SUPRANTAMI DUOMENYS</w:t>
      </w:r>
    </w:p>
    <w:p w14:paraId="1A907BE5" w14:textId="77777777" w:rsidR="000E192C" w:rsidRPr="00507EDE" w:rsidRDefault="000E192C" w:rsidP="000E192C">
      <w:pPr>
        <w:tabs>
          <w:tab w:val="left" w:pos="567"/>
        </w:tabs>
        <w:rPr>
          <w:sz w:val="22"/>
          <w:szCs w:val="22"/>
        </w:rPr>
      </w:pPr>
    </w:p>
    <w:p w14:paraId="33EDBEE8" w14:textId="77777777" w:rsidR="000E192C" w:rsidRPr="00507EDE" w:rsidRDefault="000E192C" w:rsidP="000E192C">
      <w:pPr>
        <w:rPr>
          <w:sz w:val="22"/>
          <w:szCs w:val="22"/>
          <w:lang w:eastAsia="en-US"/>
        </w:rPr>
      </w:pPr>
      <w:r w:rsidRPr="00507EDE">
        <w:rPr>
          <w:sz w:val="22"/>
          <w:szCs w:val="22"/>
          <w:highlight w:val="lightGray"/>
          <w:shd w:val="clear" w:color="auto" w:fill="CCCCCC"/>
        </w:rPr>
        <w:t>Duomenys nebūtini.</w:t>
      </w:r>
    </w:p>
    <w:p w14:paraId="42C1A565" w14:textId="77777777" w:rsidR="000E192C" w:rsidRPr="00507EDE" w:rsidRDefault="000E192C" w:rsidP="000E192C">
      <w:pPr>
        <w:jc w:val="both"/>
        <w:rPr>
          <w:rFonts w:eastAsia="MS Mincho"/>
          <w:sz w:val="22"/>
          <w:szCs w:val="22"/>
          <w:lang w:eastAsia="fr-FR"/>
        </w:rPr>
      </w:pPr>
    </w:p>
    <w:p w14:paraId="19F2E8BD" w14:textId="77777777" w:rsidR="000E192C" w:rsidRPr="00507EDE" w:rsidRDefault="000E192C" w:rsidP="000E192C">
      <w:pPr>
        <w:jc w:val="both"/>
        <w:rPr>
          <w:rFonts w:eastAsia="MS Mincho"/>
          <w:sz w:val="22"/>
          <w:szCs w:val="22"/>
          <w:lang w:eastAsia="fr-FR"/>
        </w:rPr>
      </w:pPr>
    </w:p>
    <w:p w14:paraId="16D7545C" w14:textId="77777777" w:rsidR="000E192C" w:rsidRPr="00507EDE" w:rsidRDefault="000E192C" w:rsidP="000E192C">
      <w:pPr>
        <w:jc w:val="both"/>
        <w:rPr>
          <w:i/>
          <w:sz w:val="22"/>
          <w:szCs w:val="22"/>
        </w:rPr>
      </w:pPr>
      <w:r w:rsidRPr="00507EDE">
        <w:rPr>
          <w:sz w:val="22"/>
          <w:szCs w:val="22"/>
        </w:rPr>
        <w:br w:type="page"/>
      </w:r>
    </w:p>
    <w:p w14:paraId="5DCBFBA7"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0"/>
        </w:tabs>
        <w:rPr>
          <w:b/>
          <w:sz w:val="22"/>
          <w:szCs w:val="22"/>
        </w:rPr>
      </w:pPr>
      <w:r w:rsidRPr="00507EDE">
        <w:rPr>
          <w:b/>
          <w:sz w:val="22"/>
          <w:szCs w:val="22"/>
        </w:rPr>
        <w:t>MINIMALI INFORMACIJA ANT LIZDINIŲ PLOKŠTELIŲ ARBA DVISLUOKSNIŲ JUOSTELIŲ</w:t>
      </w:r>
    </w:p>
    <w:p w14:paraId="75821247"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1A041B1E" w14:textId="77777777" w:rsidR="000E192C" w:rsidRPr="00B21272"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caps/>
          <w:sz w:val="22"/>
        </w:rPr>
      </w:pPr>
      <w:r w:rsidRPr="00B21272">
        <w:rPr>
          <w:b/>
          <w:caps/>
          <w:sz w:val="22"/>
        </w:rPr>
        <w:t>Lizdinė plokštelė</w:t>
      </w:r>
    </w:p>
    <w:p w14:paraId="2A9101FA" w14:textId="77777777" w:rsidR="000E192C" w:rsidRPr="00507EDE" w:rsidRDefault="000E192C" w:rsidP="000E192C">
      <w:pPr>
        <w:tabs>
          <w:tab w:val="left" w:pos="567"/>
        </w:tabs>
        <w:rPr>
          <w:sz w:val="22"/>
          <w:szCs w:val="22"/>
        </w:rPr>
      </w:pPr>
    </w:p>
    <w:p w14:paraId="18059084" w14:textId="77777777" w:rsidR="000E192C" w:rsidRPr="00507EDE" w:rsidRDefault="000E192C" w:rsidP="000E192C">
      <w:pPr>
        <w:tabs>
          <w:tab w:val="left" w:pos="567"/>
        </w:tabs>
        <w:rPr>
          <w:sz w:val="22"/>
          <w:szCs w:val="22"/>
        </w:rPr>
      </w:pPr>
    </w:p>
    <w:p w14:paraId="2885D060"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1.</w:t>
      </w:r>
      <w:r w:rsidRPr="00507EDE">
        <w:rPr>
          <w:b/>
          <w:sz w:val="22"/>
          <w:szCs w:val="22"/>
        </w:rPr>
        <w:tab/>
      </w:r>
      <w:r w:rsidRPr="00507EDE">
        <w:rPr>
          <w:b/>
          <w:caps/>
          <w:sz w:val="22"/>
          <w:szCs w:val="22"/>
        </w:rPr>
        <w:t>VAISTINIO</w:t>
      </w:r>
      <w:r w:rsidRPr="00507EDE">
        <w:rPr>
          <w:b/>
          <w:sz w:val="22"/>
          <w:szCs w:val="22"/>
        </w:rPr>
        <w:t xml:space="preserve"> PREPARATO PAVADINIMAS</w:t>
      </w:r>
    </w:p>
    <w:p w14:paraId="3097C419" w14:textId="77777777" w:rsidR="000E192C" w:rsidRPr="00507EDE" w:rsidRDefault="000E192C" w:rsidP="000E192C">
      <w:pPr>
        <w:jc w:val="both"/>
        <w:rPr>
          <w:sz w:val="22"/>
          <w:szCs w:val="22"/>
          <w:lang w:eastAsia="en-US"/>
        </w:rPr>
      </w:pPr>
    </w:p>
    <w:p w14:paraId="494AC906" w14:textId="6C2085D3" w:rsidR="000E192C" w:rsidRPr="00507EDE" w:rsidRDefault="000E192C" w:rsidP="000E192C">
      <w:pPr>
        <w:jc w:val="both"/>
        <w:rPr>
          <w:bCs/>
          <w:sz w:val="22"/>
          <w:szCs w:val="22"/>
        </w:rPr>
      </w:pPr>
      <w:r w:rsidRPr="00507EDE">
        <w:rPr>
          <w:bCs/>
          <w:sz w:val="22"/>
          <w:szCs w:val="22"/>
        </w:rPr>
        <w:t xml:space="preserve">Paracetamol </w:t>
      </w:r>
      <w:r w:rsidR="00F5364E">
        <w:rPr>
          <w:bCs/>
          <w:sz w:val="22"/>
          <w:szCs w:val="22"/>
        </w:rPr>
        <w:t>Hiltrex</w:t>
      </w:r>
      <w:r w:rsidRPr="00507EDE">
        <w:rPr>
          <w:bCs/>
          <w:sz w:val="22"/>
          <w:szCs w:val="22"/>
        </w:rPr>
        <w:t xml:space="preserve"> 500 mg tabletės</w:t>
      </w:r>
    </w:p>
    <w:p w14:paraId="550ED221" w14:textId="2500E571" w:rsidR="000E192C" w:rsidRPr="00507EDE" w:rsidRDefault="000E192C" w:rsidP="000E192C">
      <w:pPr>
        <w:jc w:val="both"/>
        <w:rPr>
          <w:sz w:val="22"/>
          <w:szCs w:val="22"/>
        </w:rPr>
      </w:pPr>
      <w:r w:rsidRPr="00507EDE">
        <w:rPr>
          <w:sz w:val="22"/>
          <w:szCs w:val="22"/>
        </w:rPr>
        <w:t>paracetamol</w:t>
      </w:r>
      <w:r w:rsidR="00D46C11" w:rsidRPr="00507EDE">
        <w:rPr>
          <w:sz w:val="22"/>
          <w:szCs w:val="22"/>
        </w:rPr>
        <w:t>is</w:t>
      </w:r>
    </w:p>
    <w:p w14:paraId="34A02BDB" w14:textId="77777777" w:rsidR="000E192C" w:rsidRPr="00507EDE" w:rsidRDefault="000E192C" w:rsidP="000E192C">
      <w:pPr>
        <w:jc w:val="both"/>
        <w:rPr>
          <w:b/>
          <w:sz w:val="22"/>
          <w:szCs w:val="22"/>
        </w:rPr>
      </w:pPr>
    </w:p>
    <w:p w14:paraId="7FBF51A9" w14:textId="77777777" w:rsidR="000E192C" w:rsidRPr="00507EDE" w:rsidRDefault="000E192C" w:rsidP="000E192C">
      <w:pPr>
        <w:tabs>
          <w:tab w:val="left" w:pos="567"/>
        </w:tabs>
        <w:rPr>
          <w:sz w:val="22"/>
          <w:szCs w:val="22"/>
        </w:rPr>
      </w:pPr>
    </w:p>
    <w:p w14:paraId="69ACD02E"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2.</w:t>
      </w:r>
      <w:r w:rsidRPr="00507EDE">
        <w:rPr>
          <w:b/>
          <w:sz w:val="22"/>
          <w:szCs w:val="22"/>
        </w:rPr>
        <w:tab/>
      </w:r>
      <w:r w:rsidRPr="00507EDE">
        <w:rPr>
          <w:b/>
          <w:caps/>
          <w:sz w:val="22"/>
          <w:szCs w:val="22"/>
        </w:rPr>
        <w:t>REGISTRUOTOJO pavadinimas</w:t>
      </w:r>
    </w:p>
    <w:p w14:paraId="25BB646E" w14:textId="77777777" w:rsidR="000E192C" w:rsidRPr="00507EDE" w:rsidRDefault="000E192C" w:rsidP="000E192C">
      <w:pPr>
        <w:tabs>
          <w:tab w:val="left" w:pos="567"/>
        </w:tabs>
        <w:rPr>
          <w:sz w:val="22"/>
          <w:szCs w:val="22"/>
        </w:rPr>
      </w:pPr>
    </w:p>
    <w:p w14:paraId="2108A322" w14:textId="6AFE95CD" w:rsidR="000E192C" w:rsidRPr="00507EDE" w:rsidRDefault="0094492F" w:rsidP="000E192C">
      <w:pPr>
        <w:jc w:val="both"/>
        <w:rPr>
          <w:b/>
          <w:sz w:val="22"/>
          <w:szCs w:val="22"/>
        </w:rPr>
      </w:pPr>
      <w:r>
        <w:rPr>
          <w:sz w:val="22"/>
          <w:szCs w:val="22"/>
        </w:rPr>
        <w:t xml:space="preserve">UAB </w:t>
      </w:r>
      <w:r w:rsidR="003627D8">
        <w:rPr>
          <w:sz w:val="22"/>
          <w:szCs w:val="22"/>
        </w:rPr>
        <w:t>,,</w:t>
      </w:r>
      <w:r w:rsidR="003B7666">
        <w:rPr>
          <w:sz w:val="22"/>
          <w:szCs w:val="22"/>
        </w:rPr>
        <w:t>NVT</w:t>
      </w:r>
      <w:r w:rsidR="003627D8">
        <w:rPr>
          <w:sz w:val="22"/>
          <w:szCs w:val="22"/>
        </w:rPr>
        <w:t>“</w:t>
      </w:r>
    </w:p>
    <w:p w14:paraId="63671AA7" w14:textId="77777777" w:rsidR="000E192C" w:rsidRPr="00507EDE" w:rsidRDefault="000E192C" w:rsidP="000E192C">
      <w:pPr>
        <w:jc w:val="both"/>
        <w:rPr>
          <w:b/>
          <w:sz w:val="22"/>
          <w:szCs w:val="22"/>
        </w:rPr>
      </w:pPr>
    </w:p>
    <w:p w14:paraId="05766791" w14:textId="77777777" w:rsidR="000E192C" w:rsidRPr="00507EDE" w:rsidRDefault="000E192C" w:rsidP="000E192C">
      <w:pPr>
        <w:tabs>
          <w:tab w:val="left" w:pos="567"/>
        </w:tabs>
        <w:rPr>
          <w:sz w:val="22"/>
          <w:szCs w:val="22"/>
        </w:rPr>
      </w:pPr>
    </w:p>
    <w:p w14:paraId="2A6FD28F" w14:textId="77777777" w:rsidR="000E192C" w:rsidRPr="00507EDE" w:rsidRDefault="000E192C" w:rsidP="000E192C">
      <w:pPr>
        <w:pBdr>
          <w:top w:val="single" w:sz="4" w:space="1" w:color="auto"/>
          <w:left w:val="single" w:sz="4" w:space="4" w:color="auto"/>
          <w:bottom w:val="single" w:sz="4" w:space="2" w:color="auto"/>
          <w:right w:val="single" w:sz="4" w:space="4" w:color="auto"/>
        </w:pBdr>
        <w:tabs>
          <w:tab w:val="left" w:pos="567"/>
        </w:tabs>
        <w:rPr>
          <w:b/>
          <w:sz w:val="22"/>
          <w:szCs w:val="22"/>
        </w:rPr>
      </w:pPr>
      <w:r w:rsidRPr="00507EDE">
        <w:rPr>
          <w:b/>
          <w:sz w:val="22"/>
          <w:szCs w:val="22"/>
        </w:rPr>
        <w:t>3.</w:t>
      </w:r>
      <w:r w:rsidRPr="00507EDE">
        <w:rPr>
          <w:b/>
          <w:sz w:val="22"/>
          <w:szCs w:val="22"/>
        </w:rPr>
        <w:tab/>
        <w:t>TINKAMUMO LAIKAS</w:t>
      </w:r>
    </w:p>
    <w:p w14:paraId="1EED8A39" w14:textId="77777777" w:rsidR="000E192C" w:rsidRPr="00507EDE" w:rsidRDefault="000E192C" w:rsidP="000E192C">
      <w:pPr>
        <w:tabs>
          <w:tab w:val="left" w:pos="567"/>
        </w:tabs>
        <w:rPr>
          <w:sz w:val="22"/>
          <w:szCs w:val="22"/>
        </w:rPr>
      </w:pPr>
    </w:p>
    <w:p w14:paraId="19DC711F" w14:textId="65886B20" w:rsidR="000E192C" w:rsidRPr="00507EDE" w:rsidRDefault="000E192C" w:rsidP="000E192C">
      <w:pPr>
        <w:jc w:val="both"/>
        <w:rPr>
          <w:sz w:val="22"/>
          <w:szCs w:val="22"/>
          <w:lang w:eastAsia="en-US"/>
        </w:rPr>
      </w:pPr>
      <w:r w:rsidRPr="00507EDE">
        <w:rPr>
          <w:sz w:val="22"/>
          <w:szCs w:val="22"/>
          <w:highlight w:val="lightGray"/>
        </w:rPr>
        <w:t>EXP</w:t>
      </w:r>
      <w:r w:rsidR="00D46C11" w:rsidRPr="00507EDE">
        <w:rPr>
          <w:sz w:val="22"/>
          <w:szCs w:val="22"/>
          <w:highlight w:val="lightGray"/>
        </w:rPr>
        <w:t>:</w:t>
      </w:r>
      <w:r w:rsidRPr="00507EDE">
        <w:rPr>
          <w:sz w:val="22"/>
          <w:szCs w:val="22"/>
        </w:rPr>
        <w:t xml:space="preserve"> {mm/MMMM} </w:t>
      </w:r>
    </w:p>
    <w:p w14:paraId="38EC5F85" w14:textId="77777777" w:rsidR="000E192C" w:rsidRPr="00507EDE" w:rsidRDefault="000E192C" w:rsidP="000E192C">
      <w:pPr>
        <w:jc w:val="both"/>
        <w:rPr>
          <w:sz w:val="22"/>
          <w:szCs w:val="22"/>
        </w:rPr>
      </w:pPr>
    </w:p>
    <w:p w14:paraId="5F194011" w14:textId="77777777" w:rsidR="000E192C" w:rsidRPr="00507EDE" w:rsidRDefault="000E192C" w:rsidP="000E192C">
      <w:pPr>
        <w:tabs>
          <w:tab w:val="left" w:pos="567"/>
        </w:tabs>
        <w:rPr>
          <w:sz w:val="22"/>
          <w:szCs w:val="22"/>
        </w:rPr>
      </w:pPr>
    </w:p>
    <w:p w14:paraId="66BBA257" w14:textId="77777777" w:rsidR="000E192C" w:rsidRPr="00507EDE" w:rsidRDefault="000E192C" w:rsidP="000E192C">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4.</w:t>
      </w:r>
      <w:r w:rsidRPr="00507EDE">
        <w:rPr>
          <w:b/>
          <w:sz w:val="22"/>
          <w:szCs w:val="22"/>
        </w:rPr>
        <w:tab/>
        <w:t>SERIJOS NUMERIS</w:t>
      </w:r>
    </w:p>
    <w:p w14:paraId="474FDF76" w14:textId="77777777" w:rsidR="000E192C" w:rsidRPr="00507EDE" w:rsidRDefault="000E192C" w:rsidP="000E192C">
      <w:pPr>
        <w:tabs>
          <w:tab w:val="left" w:pos="567"/>
        </w:tabs>
        <w:rPr>
          <w:sz w:val="22"/>
          <w:szCs w:val="22"/>
        </w:rPr>
      </w:pPr>
    </w:p>
    <w:p w14:paraId="5E3C955F" w14:textId="6B6EF460" w:rsidR="000E192C" w:rsidRPr="00507EDE" w:rsidRDefault="000E192C" w:rsidP="000E192C">
      <w:pPr>
        <w:jc w:val="both"/>
        <w:rPr>
          <w:sz w:val="22"/>
          <w:szCs w:val="22"/>
          <w:lang w:eastAsia="en-US"/>
        </w:rPr>
      </w:pPr>
      <w:r w:rsidRPr="00507EDE">
        <w:rPr>
          <w:sz w:val="22"/>
          <w:szCs w:val="22"/>
          <w:highlight w:val="lightGray"/>
        </w:rPr>
        <w:t>Lot</w:t>
      </w:r>
      <w:r w:rsidR="00D46C11" w:rsidRPr="00507EDE">
        <w:rPr>
          <w:sz w:val="22"/>
          <w:szCs w:val="22"/>
          <w:highlight w:val="lightGray"/>
        </w:rPr>
        <w:t>:</w:t>
      </w:r>
      <w:r w:rsidR="00D46C11" w:rsidRPr="00507EDE">
        <w:rPr>
          <w:sz w:val="22"/>
          <w:szCs w:val="22"/>
        </w:rPr>
        <w:t xml:space="preserve"> {numeris}</w:t>
      </w:r>
    </w:p>
    <w:p w14:paraId="553B3FBE" w14:textId="77777777" w:rsidR="000E192C" w:rsidRPr="00507EDE" w:rsidRDefault="000E192C" w:rsidP="000E192C">
      <w:pPr>
        <w:jc w:val="both"/>
        <w:rPr>
          <w:sz w:val="22"/>
          <w:szCs w:val="22"/>
        </w:rPr>
      </w:pPr>
    </w:p>
    <w:p w14:paraId="5D093AE2" w14:textId="77777777" w:rsidR="000E192C" w:rsidRPr="00507EDE" w:rsidRDefault="000E192C" w:rsidP="000E192C">
      <w:pPr>
        <w:tabs>
          <w:tab w:val="left" w:pos="567"/>
        </w:tabs>
        <w:rPr>
          <w:sz w:val="22"/>
          <w:szCs w:val="22"/>
        </w:rPr>
      </w:pPr>
    </w:p>
    <w:p w14:paraId="4624C84B"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5.</w:t>
      </w:r>
      <w:r w:rsidRPr="00507EDE">
        <w:rPr>
          <w:b/>
          <w:sz w:val="22"/>
          <w:szCs w:val="22"/>
        </w:rPr>
        <w:tab/>
        <w:t>KITA</w:t>
      </w:r>
    </w:p>
    <w:p w14:paraId="0C24B712" w14:textId="77777777" w:rsidR="000E192C" w:rsidRPr="00507EDE" w:rsidRDefault="000E192C" w:rsidP="000E192C">
      <w:pPr>
        <w:tabs>
          <w:tab w:val="left" w:pos="567"/>
        </w:tabs>
        <w:rPr>
          <w:sz w:val="22"/>
          <w:szCs w:val="22"/>
        </w:rPr>
      </w:pPr>
    </w:p>
    <w:p w14:paraId="778FEE80" w14:textId="77777777" w:rsidR="000E192C" w:rsidRPr="00507EDE" w:rsidRDefault="000E192C" w:rsidP="000E192C">
      <w:pPr>
        <w:tabs>
          <w:tab w:val="left" w:pos="567"/>
        </w:tabs>
        <w:rPr>
          <w:sz w:val="22"/>
          <w:szCs w:val="22"/>
        </w:rPr>
      </w:pPr>
      <w:r w:rsidRPr="00507EDE">
        <w:rPr>
          <w:sz w:val="22"/>
          <w:szCs w:val="22"/>
        </w:rPr>
        <w:br w:type="page"/>
      </w:r>
    </w:p>
    <w:p w14:paraId="67BD90D8" w14:textId="77777777" w:rsidR="000E192C" w:rsidRPr="00507EDE" w:rsidRDefault="000E192C" w:rsidP="000E192C">
      <w:pPr>
        <w:tabs>
          <w:tab w:val="left" w:pos="567"/>
        </w:tabs>
        <w:rPr>
          <w:sz w:val="22"/>
          <w:szCs w:val="22"/>
        </w:rPr>
      </w:pPr>
    </w:p>
    <w:p w14:paraId="6E6AA17B" w14:textId="77777777" w:rsidR="000E192C" w:rsidRPr="00507EDE" w:rsidRDefault="000E192C" w:rsidP="000E192C">
      <w:pPr>
        <w:tabs>
          <w:tab w:val="left" w:pos="567"/>
        </w:tabs>
        <w:rPr>
          <w:sz w:val="22"/>
          <w:szCs w:val="22"/>
        </w:rPr>
      </w:pPr>
    </w:p>
    <w:p w14:paraId="0BC1E4EC" w14:textId="77777777" w:rsidR="000E192C" w:rsidRPr="00507EDE" w:rsidRDefault="000E192C" w:rsidP="000E192C">
      <w:pPr>
        <w:tabs>
          <w:tab w:val="left" w:pos="567"/>
        </w:tabs>
        <w:rPr>
          <w:sz w:val="22"/>
          <w:szCs w:val="22"/>
        </w:rPr>
      </w:pPr>
    </w:p>
    <w:p w14:paraId="2877E151" w14:textId="77777777" w:rsidR="000E192C" w:rsidRPr="00507EDE" w:rsidRDefault="000E192C" w:rsidP="000E192C">
      <w:pPr>
        <w:tabs>
          <w:tab w:val="left" w:pos="567"/>
        </w:tabs>
        <w:rPr>
          <w:sz w:val="22"/>
          <w:szCs w:val="22"/>
        </w:rPr>
      </w:pPr>
    </w:p>
    <w:p w14:paraId="1A0BA104" w14:textId="77777777" w:rsidR="000E192C" w:rsidRPr="00507EDE" w:rsidRDefault="000E192C" w:rsidP="000E192C">
      <w:pPr>
        <w:tabs>
          <w:tab w:val="left" w:pos="567"/>
        </w:tabs>
        <w:rPr>
          <w:sz w:val="22"/>
          <w:szCs w:val="22"/>
        </w:rPr>
      </w:pPr>
    </w:p>
    <w:p w14:paraId="4B2CDFF5" w14:textId="77777777" w:rsidR="000E192C" w:rsidRPr="00507EDE" w:rsidRDefault="000E192C" w:rsidP="000E192C">
      <w:pPr>
        <w:tabs>
          <w:tab w:val="left" w:pos="567"/>
        </w:tabs>
        <w:rPr>
          <w:sz w:val="22"/>
          <w:szCs w:val="22"/>
        </w:rPr>
      </w:pPr>
    </w:p>
    <w:p w14:paraId="13989B1D" w14:textId="77777777" w:rsidR="000E192C" w:rsidRPr="00507EDE" w:rsidRDefault="000E192C" w:rsidP="000E192C">
      <w:pPr>
        <w:tabs>
          <w:tab w:val="left" w:pos="567"/>
        </w:tabs>
        <w:rPr>
          <w:sz w:val="22"/>
          <w:szCs w:val="22"/>
        </w:rPr>
      </w:pPr>
    </w:p>
    <w:p w14:paraId="60836A98" w14:textId="77777777" w:rsidR="000E192C" w:rsidRPr="00507EDE" w:rsidRDefault="000E192C" w:rsidP="000E192C">
      <w:pPr>
        <w:tabs>
          <w:tab w:val="left" w:pos="567"/>
        </w:tabs>
        <w:rPr>
          <w:sz w:val="22"/>
          <w:szCs w:val="22"/>
        </w:rPr>
      </w:pPr>
    </w:p>
    <w:p w14:paraId="2C9D38DD" w14:textId="77777777" w:rsidR="000E192C" w:rsidRPr="00507EDE" w:rsidRDefault="000E192C" w:rsidP="000E192C">
      <w:pPr>
        <w:tabs>
          <w:tab w:val="left" w:pos="567"/>
        </w:tabs>
        <w:rPr>
          <w:sz w:val="22"/>
          <w:szCs w:val="22"/>
        </w:rPr>
      </w:pPr>
    </w:p>
    <w:p w14:paraId="269B427D" w14:textId="77777777" w:rsidR="000E192C" w:rsidRPr="00507EDE" w:rsidRDefault="000E192C" w:rsidP="000E192C">
      <w:pPr>
        <w:tabs>
          <w:tab w:val="left" w:pos="567"/>
        </w:tabs>
        <w:rPr>
          <w:sz w:val="22"/>
          <w:szCs w:val="22"/>
        </w:rPr>
      </w:pPr>
    </w:p>
    <w:p w14:paraId="2D5284D6" w14:textId="77777777" w:rsidR="000E192C" w:rsidRPr="00507EDE" w:rsidRDefault="000E192C" w:rsidP="000E192C">
      <w:pPr>
        <w:tabs>
          <w:tab w:val="left" w:pos="567"/>
        </w:tabs>
        <w:rPr>
          <w:sz w:val="22"/>
          <w:szCs w:val="22"/>
        </w:rPr>
      </w:pPr>
    </w:p>
    <w:p w14:paraId="51BECDE6" w14:textId="77777777" w:rsidR="000E192C" w:rsidRPr="00507EDE" w:rsidRDefault="000E192C" w:rsidP="000E192C">
      <w:pPr>
        <w:tabs>
          <w:tab w:val="left" w:pos="567"/>
        </w:tabs>
        <w:rPr>
          <w:sz w:val="22"/>
          <w:szCs w:val="22"/>
        </w:rPr>
      </w:pPr>
    </w:p>
    <w:p w14:paraId="1FEDC753" w14:textId="77777777" w:rsidR="000E192C" w:rsidRPr="00507EDE" w:rsidRDefault="000E192C" w:rsidP="000E192C">
      <w:pPr>
        <w:tabs>
          <w:tab w:val="left" w:pos="567"/>
        </w:tabs>
        <w:rPr>
          <w:sz w:val="22"/>
          <w:szCs w:val="22"/>
        </w:rPr>
      </w:pPr>
    </w:p>
    <w:p w14:paraId="00047BAB" w14:textId="77777777" w:rsidR="000E192C" w:rsidRPr="00507EDE" w:rsidRDefault="000E192C" w:rsidP="000E192C">
      <w:pPr>
        <w:tabs>
          <w:tab w:val="left" w:pos="567"/>
        </w:tabs>
        <w:rPr>
          <w:sz w:val="22"/>
          <w:szCs w:val="22"/>
        </w:rPr>
      </w:pPr>
    </w:p>
    <w:p w14:paraId="470911A8" w14:textId="77777777" w:rsidR="000E192C" w:rsidRPr="00507EDE" w:rsidRDefault="000E192C" w:rsidP="000E192C">
      <w:pPr>
        <w:tabs>
          <w:tab w:val="left" w:pos="567"/>
        </w:tabs>
        <w:rPr>
          <w:sz w:val="22"/>
          <w:szCs w:val="22"/>
        </w:rPr>
      </w:pPr>
    </w:p>
    <w:p w14:paraId="41F73F43" w14:textId="77777777" w:rsidR="000E192C" w:rsidRPr="00507EDE" w:rsidRDefault="000E192C" w:rsidP="000E192C">
      <w:pPr>
        <w:tabs>
          <w:tab w:val="left" w:pos="567"/>
        </w:tabs>
        <w:rPr>
          <w:sz w:val="22"/>
          <w:szCs w:val="22"/>
        </w:rPr>
      </w:pPr>
    </w:p>
    <w:p w14:paraId="4542BDE3" w14:textId="77777777" w:rsidR="000E192C" w:rsidRPr="00507EDE" w:rsidRDefault="000E192C" w:rsidP="000E192C">
      <w:pPr>
        <w:tabs>
          <w:tab w:val="left" w:pos="567"/>
        </w:tabs>
        <w:rPr>
          <w:sz w:val="22"/>
          <w:szCs w:val="22"/>
        </w:rPr>
      </w:pPr>
    </w:p>
    <w:p w14:paraId="2C7B916C" w14:textId="77777777" w:rsidR="000E192C" w:rsidRPr="00507EDE" w:rsidRDefault="000E192C" w:rsidP="000E192C">
      <w:pPr>
        <w:tabs>
          <w:tab w:val="left" w:pos="567"/>
        </w:tabs>
        <w:rPr>
          <w:sz w:val="22"/>
          <w:szCs w:val="22"/>
        </w:rPr>
      </w:pPr>
    </w:p>
    <w:p w14:paraId="1B869B8D" w14:textId="77777777" w:rsidR="000E192C" w:rsidRPr="00507EDE" w:rsidRDefault="000E192C" w:rsidP="000E192C">
      <w:pPr>
        <w:tabs>
          <w:tab w:val="left" w:pos="567"/>
        </w:tabs>
        <w:rPr>
          <w:sz w:val="22"/>
          <w:szCs w:val="22"/>
        </w:rPr>
      </w:pPr>
    </w:p>
    <w:p w14:paraId="160A365C" w14:textId="77777777" w:rsidR="000E192C" w:rsidRPr="00507EDE" w:rsidRDefault="000E192C" w:rsidP="000E192C">
      <w:pPr>
        <w:tabs>
          <w:tab w:val="left" w:pos="567"/>
        </w:tabs>
        <w:rPr>
          <w:sz w:val="22"/>
          <w:szCs w:val="22"/>
        </w:rPr>
      </w:pPr>
    </w:p>
    <w:p w14:paraId="20D41B80" w14:textId="77777777" w:rsidR="000E192C" w:rsidRPr="00507EDE" w:rsidRDefault="000E192C" w:rsidP="000E192C">
      <w:pPr>
        <w:tabs>
          <w:tab w:val="left" w:pos="567"/>
        </w:tabs>
        <w:rPr>
          <w:sz w:val="22"/>
          <w:szCs w:val="22"/>
        </w:rPr>
      </w:pPr>
    </w:p>
    <w:p w14:paraId="042FBA32" w14:textId="77777777" w:rsidR="000E192C" w:rsidRPr="00507EDE" w:rsidRDefault="000E192C" w:rsidP="000E192C">
      <w:pPr>
        <w:tabs>
          <w:tab w:val="left" w:pos="567"/>
        </w:tabs>
        <w:jc w:val="center"/>
        <w:rPr>
          <w:b/>
          <w:sz w:val="22"/>
          <w:szCs w:val="22"/>
        </w:rPr>
      </w:pPr>
    </w:p>
    <w:p w14:paraId="3606C896" w14:textId="77777777" w:rsidR="000E192C" w:rsidRPr="00507EDE" w:rsidRDefault="000E192C" w:rsidP="000E192C">
      <w:pPr>
        <w:tabs>
          <w:tab w:val="left" w:pos="567"/>
        </w:tabs>
        <w:jc w:val="center"/>
        <w:rPr>
          <w:b/>
          <w:sz w:val="22"/>
          <w:szCs w:val="22"/>
        </w:rPr>
      </w:pPr>
      <w:r w:rsidRPr="00507EDE">
        <w:rPr>
          <w:b/>
          <w:sz w:val="22"/>
          <w:szCs w:val="22"/>
        </w:rPr>
        <w:t>B. PAKUOTĖS LAPELIS</w:t>
      </w:r>
    </w:p>
    <w:p w14:paraId="3D49F3B7" w14:textId="77777777" w:rsidR="000E192C" w:rsidRPr="00507EDE" w:rsidRDefault="000E192C" w:rsidP="000E192C">
      <w:pPr>
        <w:jc w:val="center"/>
        <w:rPr>
          <w:sz w:val="22"/>
          <w:szCs w:val="22"/>
        </w:rPr>
      </w:pPr>
      <w:r w:rsidRPr="00507EDE">
        <w:rPr>
          <w:b/>
          <w:sz w:val="22"/>
          <w:szCs w:val="22"/>
        </w:rPr>
        <w:br w:type="page"/>
        <w:t>Pakuotės lapelis: informacija vartotojui</w:t>
      </w:r>
    </w:p>
    <w:p w14:paraId="5917896C" w14:textId="77777777" w:rsidR="000E192C" w:rsidRPr="00507EDE" w:rsidRDefault="000E192C" w:rsidP="000E192C">
      <w:pPr>
        <w:jc w:val="center"/>
        <w:rPr>
          <w:sz w:val="22"/>
          <w:szCs w:val="22"/>
        </w:rPr>
      </w:pPr>
    </w:p>
    <w:p w14:paraId="76FFDB2F" w14:textId="3AE70972" w:rsidR="000E192C" w:rsidRPr="00507EDE" w:rsidRDefault="000E192C" w:rsidP="000E192C">
      <w:pPr>
        <w:jc w:val="center"/>
        <w:rPr>
          <w:b/>
          <w:sz w:val="22"/>
          <w:szCs w:val="22"/>
        </w:rPr>
      </w:pPr>
      <w:r w:rsidRPr="00507EDE">
        <w:rPr>
          <w:b/>
          <w:sz w:val="22"/>
          <w:szCs w:val="22"/>
        </w:rPr>
        <w:t xml:space="preserve">Paracetamol </w:t>
      </w:r>
      <w:r w:rsidR="00F5364E">
        <w:rPr>
          <w:b/>
          <w:sz w:val="22"/>
          <w:szCs w:val="22"/>
        </w:rPr>
        <w:t>Hiltrex</w:t>
      </w:r>
      <w:r w:rsidRPr="00507EDE">
        <w:rPr>
          <w:b/>
          <w:sz w:val="22"/>
          <w:szCs w:val="22"/>
        </w:rPr>
        <w:t xml:space="preserve"> 500 mg tabletės</w:t>
      </w:r>
    </w:p>
    <w:p w14:paraId="508889F1" w14:textId="77777777" w:rsidR="000E192C" w:rsidRPr="00507EDE" w:rsidRDefault="000E192C" w:rsidP="000E192C">
      <w:pPr>
        <w:jc w:val="center"/>
        <w:rPr>
          <w:sz w:val="22"/>
          <w:szCs w:val="22"/>
        </w:rPr>
      </w:pPr>
      <w:r w:rsidRPr="00507EDE">
        <w:rPr>
          <w:sz w:val="22"/>
          <w:szCs w:val="22"/>
        </w:rPr>
        <w:t>paracetamolis</w:t>
      </w:r>
    </w:p>
    <w:p w14:paraId="2120C3BC" w14:textId="77777777" w:rsidR="000E192C" w:rsidRPr="00507EDE" w:rsidRDefault="000E192C" w:rsidP="000E192C">
      <w:pPr>
        <w:jc w:val="both"/>
        <w:rPr>
          <w:sz w:val="22"/>
          <w:szCs w:val="22"/>
        </w:rPr>
      </w:pPr>
    </w:p>
    <w:p w14:paraId="0101CD55" w14:textId="77777777" w:rsidR="000E192C" w:rsidRPr="00507EDE" w:rsidRDefault="000E192C" w:rsidP="00CC4E13">
      <w:pPr>
        <w:numPr>
          <w:ilvl w:val="12"/>
          <w:numId w:val="0"/>
        </w:numPr>
        <w:ind w:right="-2"/>
        <w:rPr>
          <w:b/>
          <w:sz w:val="22"/>
          <w:szCs w:val="22"/>
        </w:rPr>
      </w:pPr>
      <w:r w:rsidRPr="00507EDE">
        <w:rPr>
          <w:b/>
          <w:sz w:val="22"/>
          <w:szCs w:val="22"/>
        </w:rPr>
        <w:t>Atidžiai perskaitykite visą šį lapelį, prieš pradėdami vartoti šį vaistą, nes jame pateikiama Jums svarbi informacija.</w:t>
      </w:r>
    </w:p>
    <w:p w14:paraId="3D2ED4AD" w14:textId="77777777" w:rsidR="000E192C" w:rsidRPr="00507EDE" w:rsidRDefault="000E192C" w:rsidP="00CC4E13">
      <w:pPr>
        <w:numPr>
          <w:ilvl w:val="12"/>
          <w:numId w:val="0"/>
        </w:numPr>
        <w:rPr>
          <w:sz w:val="22"/>
          <w:szCs w:val="22"/>
        </w:rPr>
      </w:pPr>
      <w:r w:rsidRPr="00507EDE">
        <w:rPr>
          <w:sz w:val="22"/>
          <w:szCs w:val="22"/>
        </w:rPr>
        <w:t>Visada vartokite šį vaistą tiksliai kaip aprašyta šiame lapelyje arba kaip nurodė gydytojas arba vaistininkas.</w:t>
      </w:r>
    </w:p>
    <w:p w14:paraId="1FACC7CD" w14:textId="77777777" w:rsidR="00CC4E13" w:rsidRPr="00507EDE" w:rsidRDefault="00CC4E13" w:rsidP="00CC4E13">
      <w:pPr>
        <w:numPr>
          <w:ilvl w:val="0"/>
          <w:numId w:val="39"/>
        </w:numPr>
        <w:tabs>
          <w:tab w:val="left" w:pos="567"/>
        </w:tabs>
        <w:ind w:left="567" w:hanging="567"/>
        <w:rPr>
          <w:sz w:val="22"/>
          <w:szCs w:val="22"/>
        </w:rPr>
      </w:pPr>
      <w:r w:rsidRPr="00507EDE">
        <w:rPr>
          <w:sz w:val="22"/>
          <w:szCs w:val="22"/>
        </w:rPr>
        <w:t xml:space="preserve">Neišmeskite šio lapelio, nes vėl gali prireikti jį perskaityti. </w:t>
      </w:r>
    </w:p>
    <w:p w14:paraId="4279BFF1" w14:textId="77777777" w:rsidR="00CC4E13" w:rsidRPr="00507EDE" w:rsidRDefault="00CC4E13" w:rsidP="00CC4E13">
      <w:pPr>
        <w:numPr>
          <w:ilvl w:val="0"/>
          <w:numId w:val="39"/>
        </w:numPr>
        <w:tabs>
          <w:tab w:val="left" w:pos="567"/>
        </w:tabs>
        <w:ind w:left="567" w:hanging="567"/>
        <w:rPr>
          <w:sz w:val="22"/>
          <w:szCs w:val="22"/>
        </w:rPr>
      </w:pPr>
      <w:r w:rsidRPr="00507EDE">
        <w:rPr>
          <w:sz w:val="22"/>
          <w:szCs w:val="22"/>
        </w:rPr>
        <w:t>Jeigu norite sužinoti daugiau arba pasitarti, kreipkitės į vaistininką.</w:t>
      </w:r>
    </w:p>
    <w:p w14:paraId="53C54A6E" w14:textId="37C1F249" w:rsidR="00CC4E13" w:rsidRPr="00507EDE" w:rsidRDefault="00CC4E13" w:rsidP="00CC4E13">
      <w:pPr>
        <w:numPr>
          <w:ilvl w:val="0"/>
          <w:numId w:val="39"/>
        </w:numPr>
        <w:tabs>
          <w:tab w:val="left" w:pos="567"/>
        </w:tabs>
        <w:ind w:left="567" w:hanging="567"/>
        <w:rPr>
          <w:sz w:val="22"/>
          <w:szCs w:val="22"/>
        </w:rPr>
      </w:pPr>
      <w:r w:rsidRPr="00507EDE">
        <w:rPr>
          <w:sz w:val="22"/>
          <w:szCs w:val="22"/>
        </w:rPr>
        <w:t>Jeigu pasireiškė šalutinis poveikis (net jeigu jis šiame lapelyje nenurodytas), kreipkitės į gydytoją arba vaistininką. Žr. 4 skyrių.</w:t>
      </w:r>
    </w:p>
    <w:p w14:paraId="52C53B8C" w14:textId="3966934D" w:rsidR="00CC4E13" w:rsidRPr="00507EDE" w:rsidRDefault="00CC4E13" w:rsidP="00CC4E13">
      <w:pPr>
        <w:numPr>
          <w:ilvl w:val="0"/>
          <w:numId w:val="39"/>
        </w:numPr>
        <w:tabs>
          <w:tab w:val="left" w:pos="567"/>
        </w:tabs>
        <w:ind w:left="567" w:hanging="567"/>
        <w:rPr>
          <w:sz w:val="22"/>
          <w:szCs w:val="22"/>
        </w:rPr>
      </w:pPr>
      <w:r w:rsidRPr="00507EDE">
        <w:rPr>
          <w:sz w:val="22"/>
          <w:szCs w:val="22"/>
        </w:rPr>
        <w:t>Jeigu per 3 dienas Jūsų savijauta nepagerėjo arba net pablogėjo, kreipkitės į gydytoją.</w:t>
      </w:r>
    </w:p>
    <w:p w14:paraId="3550B8DA" w14:textId="77777777" w:rsidR="000E192C" w:rsidRPr="00507EDE" w:rsidRDefault="000E192C" w:rsidP="000E192C">
      <w:pPr>
        <w:jc w:val="both"/>
        <w:rPr>
          <w:sz w:val="22"/>
          <w:szCs w:val="22"/>
        </w:rPr>
      </w:pPr>
    </w:p>
    <w:p w14:paraId="74D044FB" w14:textId="77777777" w:rsidR="000E192C" w:rsidRPr="00507EDE" w:rsidRDefault="000E192C" w:rsidP="000E192C">
      <w:pPr>
        <w:keepNext/>
        <w:tabs>
          <w:tab w:val="left" w:pos="567"/>
        </w:tabs>
        <w:jc w:val="both"/>
        <w:outlineLvl w:val="3"/>
        <w:rPr>
          <w:sz w:val="22"/>
          <w:szCs w:val="22"/>
        </w:rPr>
      </w:pPr>
      <w:r w:rsidRPr="00507EDE">
        <w:rPr>
          <w:b/>
          <w:sz w:val="22"/>
          <w:szCs w:val="22"/>
        </w:rPr>
        <w:t>Apie ką rašoma šiame lapelyje?</w:t>
      </w:r>
    </w:p>
    <w:p w14:paraId="74F33D74" w14:textId="77777777" w:rsidR="000E192C" w:rsidRPr="00507EDE" w:rsidRDefault="000E192C" w:rsidP="000E192C">
      <w:pPr>
        <w:numPr>
          <w:ilvl w:val="12"/>
          <w:numId w:val="0"/>
        </w:numPr>
        <w:ind w:left="426" w:right="-2" w:hanging="426"/>
        <w:rPr>
          <w:sz w:val="22"/>
          <w:szCs w:val="22"/>
        </w:rPr>
      </w:pPr>
    </w:p>
    <w:p w14:paraId="3289771D" w14:textId="6EE00EC2" w:rsidR="000E192C" w:rsidRPr="00507EDE" w:rsidRDefault="000E192C" w:rsidP="000E192C">
      <w:pPr>
        <w:numPr>
          <w:ilvl w:val="12"/>
          <w:numId w:val="0"/>
        </w:numPr>
        <w:tabs>
          <w:tab w:val="left" w:pos="709"/>
        </w:tabs>
        <w:ind w:right="-2"/>
        <w:rPr>
          <w:sz w:val="22"/>
          <w:szCs w:val="22"/>
        </w:rPr>
      </w:pPr>
      <w:r w:rsidRPr="00507EDE">
        <w:rPr>
          <w:sz w:val="22"/>
          <w:szCs w:val="22"/>
        </w:rPr>
        <w:t>1.</w:t>
      </w:r>
      <w:r w:rsidRPr="00507EDE">
        <w:rPr>
          <w:sz w:val="22"/>
          <w:szCs w:val="22"/>
        </w:rPr>
        <w:tab/>
        <w:t xml:space="preserve">Kas yra </w:t>
      </w:r>
      <w:r w:rsidRPr="00507EDE">
        <w:rPr>
          <w:bCs/>
          <w:sz w:val="22"/>
          <w:szCs w:val="22"/>
        </w:rPr>
        <w:t xml:space="preserve">Paracetamol </w:t>
      </w:r>
      <w:r w:rsidR="00F5364E">
        <w:rPr>
          <w:bCs/>
          <w:sz w:val="22"/>
          <w:szCs w:val="22"/>
        </w:rPr>
        <w:t>Hiltrex</w:t>
      </w:r>
      <w:r w:rsidRPr="00507EDE">
        <w:rPr>
          <w:bCs/>
          <w:sz w:val="22"/>
          <w:szCs w:val="22"/>
        </w:rPr>
        <w:t xml:space="preserve"> </w:t>
      </w:r>
      <w:r w:rsidRPr="00507EDE">
        <w:rPr>
          <w:sz w:val="22"/>
          <w:szCs w:val="22"/>
        </w:rPr>
        <w:t xml:space="preserve">ir kam jis vartojamas </w:t>
      </w:r>
    </w:p>
    <w:p w14:paraId="5EAB63A2" w14:textId="1DECFFF8" w:rsidR="000E192C" w:rsidRPr="00507EDE" w:rsidRDefault="000E192C" w:rsidP="000E192C">
      <w:pPr>
        <w:numPr>
          <w:ilvl w:val="12"/>
          <w:numId w:val="0"/>
        </w:numPr>
        <w:tabs>
          <w:tab w:val="left" w:pos="709"/>
        </w:tabs>
        <w:ind w:right="-2"/>
        <w:rPr>
          <w:sz w:val="22"/>
          <w:szCs w:val="22"/>
        </w:rPr>
      </w:pPr>
      <w:r w:rsidRPr="00507EDE">
        <w:rPr>
          <w:sz w:val="22"/>
          <w:szCs w:val="22"/>
        </w:rPr>
        <w:t>2.</w:t>
      </w:r>
      <w:r w:rsidRPr="00507EDE">
        <w:rPr>
          <w:sz w:val="22"/>
          <w:szCs w:val="22"/>
        </w:rPr>
        <w:tab/>
        <w:t xml:space="preserve">Kas žinotina prieš vartojant </w:t>
      </w:r>
      <w:r w:rsidRPr="00507EDE">
        <w:rPr>
          <w:bCs/>
          <w:sz w:val="22"/>
          <w:szCs w:val="22"/>
        </w:rPr>
        <w:t xml:space="preserve">Paracetamol </w:t>
      </w:r>
      <w:r w:rsidR="00F5364E">
        <w:rPr>
          <w:bCs/>
          <w:sz w:val="22"/>
          <w:szCs w:val="22"/>
        </w:rPr>
        <w:t>Hiltrex</w:t>
      </w:r>
    </w:p>
    <w:p w14:paraId="701A1E5B" w14:textId="1DCF36E9" w:rsidR="000E192C" w:rsidRPr="00507EDE" w:rsidRDefault="000E192C" w:rsidP="000E192C">
      <w:pPr>
        <w:numPr>
          <w:ilvl w:val="12"/>
          <w:numId w:val="0"/>
        </w:numPr>
        <w:tabs>
          <w:tab w:val="left" w:pos="709"/>
        </w:tabs>
        <w:ind w:right="-2"/>
        <w:rPr>
          <w:sz w:val="22"/>
          <w:szCs w:val="22"/>
        </w:rPr>
      </w:pPr>
      <w:r w:rsidRPr="00507EDE">
        <w:rPr>
          <w:sz w:val="22"/>
          <w:szCs w:val="22"/>
        </w:rPr>
        <w:t>3.</w:t>
      </w:r>
      <w:r w:rsidRPr="00507EDE">
        <w:rPr>
          <w:sz w:val="22"/>
          <w:szCs w:val="22"/>
        </w:rPr>
        <w:tab/>
        <w:t xml:space="preserve">Kaip vartoti </w:t>
      </w:r>
      <w:r w:rsidRPr="00507EDE">
        <w:rPr>
          <w:bCs/>
          <w:sz w:val="22"/>
          <w:szCs w:val="22"/>
        </w:rPr>
        <w:t xml:space="preserve">Paracetamol </w:t>
      </w:r>
      <w:r w:rsidR="00F5364E">
        <w:rPr>
          <w:bCs/>
          <w:sz w:val="22"/>
          <w:szCs w:val="22"/>
        </w:rPr>
        <w:t>Hiltrex</w:t>
      </w:r>
    </w:p>
    <w:p w14:paraId="350B8777" w14:textId="77777777" w:rsidR="000E192C" w:rsidRPr="00507EDE" w:rsidRDefault="000E192C" w:rsidP="000E192C">
      <w:pPr>
        <w:numPr>
          <w:ilvl w:val="12"/>
          <w:numId w:val="0"/>
        </w:numPr>
        <w:tabs>
          <w:tab w:val="left" w:pos="709"/>
        </w:tabs>
        <w:ind w:right="-2"/>
        <w:rPr>
          <w:sz w:val="22"/>
          <w:szCs w:val="22"/>
        </w:rPr>
      </w:pPr>
      <w:r w:rsidRPr="00507EDE">
        <w:rPr>
          <w:sz w:val="22"/>
          <w:szCs w:val="22"/>
        </w:rPr>
        <w:t>4.</w:t>
      </w:r>
      <w:r w:rsidRPr="00507EDE">
        <w:rPr>
          <w:sz w:val="22"/>
          <w:szCs w:val="22"/>
        </w:rPr>
        <w:tab/>
        <w:t xml:space="preserve">Galimas šalutinis poveikis </w:t>
      </w:r>
    </w:p>
    <w:p w14:paraId="1658A431" w14:textId="38C32A0C" w:rsidR="000E192C" w:rsidRPr="00507EDE" w:rsidRDefault="000E192C" w:rsidP="000E192C">
      <w:pPr>
        <w:numPr>
          <w:ilvl w:val="12"/>
          <w:numId w:val="0"/>
        </w:numPr>
        <w:tabs>
          <w:tab w:val="left" w:pos="709"/>
        </w:tabs>
        <w:ind w:right="-2"/>
        <w:rPr>
          <w:sz w:val="22"/>
          <w:szCs w:val="22"/>
        </w:rPr>
      </w:pPr>
      <w:r w:rsidRPr="00507EDE">
        <w:rPr>
          <w:sz w:val="22"/>
          <w:szCs w:val="22"/>
        </w:rPr>
        <w:t>5.</w:t>
      </w:r>
      <w:r w:rsidRPr="00507EDE">
        <w:rPr>
          <w:sz w:val="22"/>
          <w:szCs w:val="22"/>
        </w:rPr>
        <w:tab/>
        <w:t xml:space="preserve">Kaip laikyti </w:t>
      </w:r>
      <w:r w:rsidRPr="00507EDE">
        <w:rPr>
          <w:bCs/>
          <w:sz w:val="22"/>
          <w:szCs w:val="22"/>
        </w:rPr>
        <w:t xml:space="preserve">Paracetamol </w:t>
      </w:r>
      <w:r w:rsidR="00F5364E">
        <w:rPr>
          <w:bCs/>
          <w:sz w:val="22"/>
          <w:szCs w:val="22"/>
        </w:rPr>
        <w:t>Hiltrex</w:t>
      </w:r>
    </w:p>
    <w:p w14:paraId="619FBBF9" w14:textId="77777777" w:rsidR="000E192C" w:rsidRPr="00507EDE" w:rsidRDefault="000E192C" w:rsidP="000E192C">
      <w:pPr>
        <w:numPr>
          <w:ilvl w:val="12"/>
          <w:numId w:val="0"/>
        </w:numPr>
        <w:tabs>
          <w:tab w:val="left" w:pos="709"/>
        </w:tabs>
        <w:ind w:right="-2"/>
        <w:rPr>
          <w:sz w:val="22"/>
          <w:szCs w:val="22"/>
        </w:rPr>
      </w:pPr>
      <w:r w:rsidRPr="00507EDE">
        <w:rPr>
          <w:sz w:val="22"/>
          <w:szCs w:val="22"/>
        </w:rPr>
        <w:t>6.</w:t>
      </w:r>
      <w:r w:rsidRPr="00507EDE">
        <w:rPr>
          <w:sz w:val="22"/>
          <w:szCs w:val="22"/>
        </w:rPr>
        <w:tab/>
        <w:t>Pakuotės turinys ir kita informacija</w:t>
      </w:r>
    </w:p>
    <w:p w14:paraId="47FB26EF" w14:textId="77777777" w:rsidR="000E192C" w:rsidRPr="00507EDE" w:rsidRDefault="000E192C" w:rsidP="000E192C">
      <w:pPr>
        <w:jc w:val="both"/>
        <w:rPr>
          <w:sz w:val="22"/>
          <w:szCs w:val="22"/>
        </w:rPr>
      </w:pPr>
    </w:p>
    <w:p w14:paraId="091172BF" w14:textId="77777777" w:rsidR="000E192C" w:rsidRPr="00507EDE" w:rsidRDefault="000E192C" w:rsidP="000E192C">
      <w:pPr>
        <w:jc w:val="both"/>
        <w:rPr>
          <w:sz w:val="22"/>
          <w:szCs w:val="22"/>
        </w:rPr>
      </w:pPr>
    </w:p>
    <w:p w14:paraId="7D6BCDA5" w14:textId="18B0650E" w:rsidR="000E192C" w:rsidRPr="00507EDE" w:rsidRDefault="000E192C" w:rsidP="000E192C">
      <w:pPr>
        <w:keepNext/>
        <w:tabs>
          <w:tab w:val="left" w:pos="567"/>
        </w:tabs>
        <w:jc w:val="both"/>
        <w:outlineLvl w:val="3"/>
        <w:rPr>
          <w:sz w:val="22"/>
          <w:szCs w:val="22"/>
        </w:rPr>
      </w:pPr>
      <w:r w:rsidRPr="00507EDE">
        <w:rPr>
          <w:b/>
          <w:sz w:val="22"/>
          <w:szCs w:val="22"/>
        </w:rPr>
        <w:t>1.</w:t>
      </w:r>
      <w:r w:rsidRPr="00507EDE">
        <w:rPr>
          <w:b/>
          <w:sz w:val="22"/>
          <w:szCs w:val="22"/>
        </w:rPr>
        <w:tab/>
        <w:t xml:space="preserve">Kas yra Paracetamol </w:t>
      </w:r>
      <w:r w:rsidR="00F5364E">
        <w:rPr>
          <w:b/>
          <w:sz w:val="22"/>
          <w:szCs w:val="22"/>
        </w:rPr>
        <w:t>Hiltrex</w:t>
      </w:r>
      <w:r w:rsidR="00DB7081" w:rsidRPr="00507EDE">
        <w:rPr>
          <w:b/>
          <w:sz w:val="22"/>
          <w:szCs w:val="22"/>
        </w:rPr>
        <w:t xml:space="preserve"> </w:t>
      </w:r>
      <w:r w:rsidRPr="00507EDE">
        <w:rPr>
          <w:b/>
          <w:sz w:val="22"/>
          <w:szCs w:val="22"/>
        </w:rPr>
        <w:t>ir kam jis vartojamas</w:t>
      </w:r>
    </w:p>
    <w:p w14:paraId="2BBD1EFD" w14:textId="77777777" w:rsidR="000E192C" w:rsidRPr="00507EDE" w:rsidRDefault="000E192C" w:rsidP="000E192C">
      <w:pPr>
        <w:keepNext/>
        <w:jc w:val="both"/>
        <w:rPr>
          <w:sz w:val="22"/>
          <w:szCs w:val="22"/>
        </w:rPr>
      </w:pPr>
    </w:p>
    <w:p w14:paraId="161C3451" w14:textId="1DC601DA" w:rsidR="00260FE7" w:rsidRPr="00507EDE" w:rsidRDefault="00260FE7" w:rsidP="000E192C">
      <w:pPr>
        <w:rPr>
          <w:sz w:val="22"/>
          <w:szCs w:val="22"/>
        </w:rPr>
      </w:pPr>
      <w:r w:rsidRPr="00507EDE">
        <w:rPr>
          <w:sz w:val="22"/>
          <w:szCs w:val="22"/>
        </w:rPr>
        <w:t xml:space="preserve">Paracetamol </w:t>
      </w:r>
      <w:r w:rsidR="00F5364E">
        <w:rPr>
          <w:sz w:val="22"/>
          <w:szCs w:val="22"/>
        </w:rPr>
        <w:t>Hiltrex</w:t>
      </w:r>
      <w:r w:rsidRPr="00507EDE">
        <w:rPr>
          <w:sz w:val="22"/>
          <w:szCs w:val="22"/>
        </w:rPr>
        <w:t xml:space="preserve"> sudėtyje yra veikliosios medžiagos paracetamolio, kuris pasižymi ryškiu skausmą malšinančiu ir temperatūrą mažinančiu poveikiu.</w:t>
      </w:r>
    </w:p>
    <w:p w14:paraId="0B8E901D" w14:textId="07A6862F" w:rsidR="00E62199" w:rsidRPr="00507EDE" w:rsidRDefault="00E62199" w:rsidP="000E192C">
      <w:pPr>
        <w:rPr>
          <w:sz w:val="22"/>
          <w:szCs w:val="22"/>
        </w:rPr>
      </w:pPr>
      <w:r w:rsidRPr="00E62199">
        <w:rPr>
          <w:sz w:val="22"/>
          <w:szCs w:val="22"/>
        </w:rPr>
        <w:t xml:space="preserve">Paracetamol </w:t>
      </w:r>
      <w:r w:rsidR="00F5364E">
        <w:rPr>
          <w:sz w:val="22"/>
          <w:szCs w:val="22"/>
        </w:rPr>
        <w:t>Hiltrex</w:t>
      </w:r>
      <w:r w:rsidRPr="00E62199">
        <w:rPr>
          <w:sz w:val="22"/>
          <w:szCs w:val="22"/>
        </w:rPr>
        <w:t xml:space="preserve"> skirtas trumpalaikiam silpno ir vidutinio stiprumo skaus</w:t>
      </w:r>
      <w:r>
        <w:rPr>
          <w:sz w:val="22"/>
          <w:szCs w:val="22"/>
        </w:rPr>
        <w:t>m</w:t>
      </w:r>
      <w:r w:rsidR="00FE4CF4">
        <w:rPr>
          <w:sz w:val="22"/>
          <w:szCs w:val="22"/>
        </w:rPr>
        <w:t>o</w:t>
      </w:r>
      <w:r>
        <w:rPr>
          <w:sz w:val="22"/>
          <w:szCs w:val="22"/>
        </w:rPr>
        <w:t xml:space="preserve"> malšin</w:t>
      </w:r>
      <w:r w:rsidR="00FE4CF4">
        <w:rPr>
          <w:sz w:val="22"/>
          <w:szCs w:val="22"/>
        </w:rPr>
        <w:t>imui</w:t>
      </w:r>
      <w:r w:rsidRPr="00E62199">
        <w:rPr>
          <w:sz w:val="22"/>
          <w:szCs w:val="22"/>
        </w:rPr>
        <w:t xml:space="preserve"> ir aukšt</w:t>
      </w:r>
      <w:r w:rsidR="00FE4CF4">
        <w:rPr>
          <w:sz w:val="22"/>
          <w:szCs w:val="22"/>
        </w:rPr>
        <w:t xml:space="preserve">os </w:t>
      </w:r>
      <w:r w:rsidRPr="00E62199">
        <w:rPr>
          <w:sz w:val="22"/>
          <w:szCs w:val="22"/>
        </w:rPr>
        <w:t>temperatūr</w:t>
      </w:r>
      <w:r w:rsidR="00FE4CF4">
        <w:rPr>
          <w:sz w:val="22"/>
          <w:szCs w:val="22"/>
        </w:rPr>
        <w:t>os</w:t>
      </w:r>
      <w:r w:rsidRPr="00E62199">
        <w:rPr>
          <w:sz w:val="22"/>
          <w:szCs w:val="22"/>
        </w:rPr>
        <w:t xml:space="preserve"> mažin</w:t>
      </w:r>
      <w:r w:rsidR="00FE4CF4">
        <w:rPr>
          <w:sz w:val="22"/>
          <w:szCs w:val="22"/>
        </w:rPr>
        <w:t>imui</w:t>
      </w:r>
      <w:r w:rsidRPr="00E62199">
        <w:rPr>
          <w:sz w:val="22"/>
          <w:szCs w:val="22"/>
        </w:rPr>
        <w:t>.</w:t>
      </w:r>
    </w:p>
    <w:p w14:paraId="71BF72FC" w14:textId="77777777" w:rsidR="00260FE7" w:rsidRPr="00507EDE" w:rsidRDefault="00260FE7" w:rsidP="000E192C">
      <w:pPr>
        <w:rPr>
          <w:sz w:val="22"/>
          <w:szCs w:val="22"/>
        </w:rPr>
      </w:pPr>
    </w:p>
    <w:p w14:paraId="7512B332" w14:textId="5153DF71" w:rsidR="000E192C" w:rsidRPr="00507EDE" w:rsidRDefault="00260FE7" w:rsidP="000E192C">
      <w:pPr>
        <w:rPr>
          <w:sz w:val="22"/>
          <w:szCs w:val="22"/>
        </w:rPr>
      </w:pPr>
      <w:r w:rsidRPr="00507EDE">
        <w:rPr>
          <w:sz w:val="22"/>
          <w:szCs w:val="22"/>
        </w:rPr>
        <w:t>Jeigu per 3 dienas Jūsų savijauta nepagerėjo arba net pablogėjo, kreipkitės į gydytoją.</w:t>
      </w:r>
    </w:p>
    <w:p w14:paraId="09898BDB" w14:textId="77777777" w:rsidR="00260FE7" w:rsidRPr="00507EDE" w:rsidRDefault="00260FE7" w:rsidP="000E192C">
      <w:pPr>
        <w:rPr>
          <w:sz w:val="22"/>
          <w:szCs w:val="22"/>
        </w:rPr>
      </w:pPr>
    </w:p>
    <w:p w14:paraId="69717661" w14:textId="77777777" w:rsidR="000E192C" w:rsidRPr="00507EDE" w:rsidRDefault="000E192C" w:rsidP="000E192C">
      <w:pPr>
        <w:rPr>
          <w:sz w:val="22"/>
          <w:szCs w:val="22"/>
        </w:rPr>
      </w:pPr>
    </w:p>
    <w:p w14:paraId="40D752C3" w14:textId="49DC29AA" w:rsidR="000E192C" w:rsidRPr="00507EDE" w:rsidRDefault="000E192C" w:rsidP="000E192C">
      <w:pPr>
        <w:keepNext/>
        <w:tabs>
          <w:tab w:val="left" w:pos="567"/>
        </w:tabs>
        <w:jc w:val="both"/>
        <w:outlineLvl w:val="3"/>
        <w:rPr>
          <w:sz w:val="22"/>
          <w:szCs w:val="22"/>
        </w:rPr>
      </w:pPr>
      <w:r w:rsidRPr="00507EDE">
        <w:rPr>
          <w:b/>
          <w:sz w:val="22"/>
          <w:szCs w:val="22"/>
        </w:rPr>
        <w:t>2.</w:t>
      </w:r>
      <w:r w:rsidRPr="00507EDE">
        <w:rPr>
          <w:b/>
          <w:sz w:val="22"/>
          <w:szCs w:val="22"/>
        </w:rPr>
        <w:tab/>
        <w:t xml:space="preserve">Kas žinotina prieš vartojant Paracetamol </w:t>
      </w:r>
      <w:r w:rsidR="00F5364E">
        <w:rPr>
          <w:b/>
          <w:sz w:val="22"/>
          <w:szCs w:val="22"/>
        </w:rPr>
        <w:t>Hiltrex</w:t>
      </w:r>
    </w:p>
    <w:p w14:paraId="1F8ECF6B" w14:textId="77777777" w:rsidR="000E192C" w:rsidRPr="00507EDE" w:rsidRDefault="000E192C" w:rsidP="000E192C">
      <w:pPr>
        <w:jc w:val="both"/>
        <w:rPr>
          <w:b/>
          <w:sz w:val="22"/>
          <w:szCs w:val="22"/>
        </w:rPr>
      </w:pPr>
    </w:p>
    <w:p w14:paraId="44B807C6" w14:textId="48CDA862" w:rsidR="000E192C" w:rsidRPr="00507EDE" w:rsidRDefault="000E192C" w:rsidP="000E192C">
      <w:pPr>
        <w:keepNext/>
        <w:tabs>
          <w:tab w:val="left" w:pos="567"/>
        </w:tabs>
        <w:jc w:val="both"/>
        <w:outlineLvl w:val="3"/>
        <w:rPr>
          <w:sz w:val="22"/>
          <w:szCs w:val="22"/>
        </w:rPr>
      </w:pPr>
      <w:r w:rsidRPr="00507EDE">
        <w:rPr>
          <w:b/>
          <w:sz w:val="22"/>
          <w:szCs w:val="22"/>
        </w:rPr>
        <w:t xml:space="preserve">Paracetamol </w:t>
      </w:r>
      <w:r w:rsidR="00F5364E">
        <w:rPr>
          <w:b/>
          <w:sz w:val="22"/>
          <w:szCs w:val="22"/>
        </w:rPr>
        <w:t>Hiltrex</w:t>
      </w:r>
      <w:r w:rsidR="00260FE7" w:rsidRPr="00507EDE">
        <w:rPr>
          <w:b/>
          <w:sz w:val="22"/>
          <w:szCs w:val="22"/>
        </w:rPr>
        <w:t xml:space="preserve"> </w:t>
      </w:r>
      <w:r w:rsidRPr="00507EDE">
        <w:rPr>
          <w:b/>
          <w:sz w:val="22"/>
          <w:szCs w:val="22"/>
        </w:rPr>
        <w:t xml:space="preserve">vartoti </w:t>
      </w:r>
      <w:r w:rsidRPr="00507EDE">
        <w:rPr>
          <w:b/>
          <w:bCs/>
          <w:sz w:val="22"/>
          <w:szCs w:val="22"/>
          <w:lang w:eastAsia="x-none"/>
        </w:rPr>
        <w:t>draudžiama</w:t>
      </w:r>
    </w:p>
    <w:p w14:paraId="630F10D8" w14:textId="77777777" w:rsidR="000E192C" w:rsidRPr="00507EDE" w:rsidRDefault="000E192C" w:rsidP="00260FE7">
      <w:pPr>
        <w:pStyle w:val="BT-EMEASMCA"/>
        <w:ind w:left="567" w:hanging="567"/>
        <w:rPr>
          <w:sz w:val="22"/>
          <w:szCs w:val="22"/>
        </w:rPr>
      </w:pPr>
      <w:r w:rsidRPr="00507EDE">
        <w:rPr>
          <w:sz w:val="22"/>
          <w:szCs w:val="22"/>
        </w:rPr>
        <w:t>jeigu yra alergija paracetamoliui arba bet kuriai pagalbinei šio vaisto medžiagai (jos išvardytos 6 skyriuje);</w:t>
      </w:r>
    </w:p>
    <w:p w14:paraId="5406071C" w14:textId="2486F003" w:rsidR="000E192C" w:rsidRPr="00507EDE" w:rsidRDefault="000E192C" w:rsidP="00260FE7">
      <w:pPr>
        <w:pStyle w:val="BT-EMEASMCA"/>
        <w:ind w:left="567" w:hanging="567"/>
        <w:rPr>
          <w:sz w:val="22"/>
          <w:szCs w:val="22"/>
        </w:rPr>
      </w:pPr>
      <w:r w:rsidRPr="00507EDE">
        <w:rPr>
          <w:sz w:val="22"/>
          <w:szCs w:val="22"/>
        </w:rPr>
        <w:t xml:space="preserve">jeigu </w:t>
      </w:r>
      <w:r w:rsidR="00C26136" w:rsidRPr="00507EDE">
        <w:rPr>
          <w:sz w:val="22"/>
          <w:szCs w:val="22"/>
        </w:rPr>
        <w:t>sergate sunkia kepenų liga.</w:t>
      </w:r>
    </w:p>
    <w:p w14:paraId="1C3DC7A7" w14:textId="77777777" w:rsidR="000E192C" w:rsidRPr="00507EDE" w:rsidRDefault="000E192C" w:rsidP="000E192C">
      <w:pPr>
        <w:jc w:val="both"/>
        <w:rPr>
          <w:sz w:val="22"/>
          <w:szCs w:val="22"/>
        </w:rPr>
      </w:pPr>
    </w:p>
    <w:p w14:paraId="092119E7" w14:textId="77777777" w:rsidR="000E192C" w:rsidRPr="00507EDE" w:rsidRDefault="000E192C" w:rsidP="000E192C">
      <w:pPr>
        <w:keepNext/>
        <w:tabs>
          <w:tab w:val="left" w:pos="567"/>
        </w:tabs>
        <w:jc w:val="both"/>
        <w:outlineLvl w:val="3"/>
        <w:rPr>
          <w:sz w:val="22"/>
          <w:szCs w:val="22"/>
        </w:rPr>
      </w:pPr>
      <w:r w:rsidRPr="00507EDE">
        <w:rPr>
          <w:b/>
          <w:sz w:val="22"/>
          <w:szCs w:val="22"/>
        </w:rPr>
        <w:t xml:space="preserve">Įspėjimai ir atsargumo priemonės </w:t>
      </w:r>
    </w:p>
    <w:p w14:paraId="09E476DF" w14:textId="5EDBE5E8" w:rsidR="005665A3" w:rsidRPr="00507EDE" w:rsidRDefault="005665A3" w:rsidP="000E192C">
      <w:pPr>
        <w:jc w:val="both"/>
        <w:rPr>
          <w:sz w:val="22"/>
          <w:szCs w:val="22"/>
        </w:rPr>
      </w:pPr>
      <w:r w:rsidRPr="00507EDE">
        <w:rPr>
          <w:sz w:val="22"/>
          <w:szCs w:val="22"/>
        </w:rPr>
        <w:t xml:space="preserve">Pasitarkite su gydytoju arba vaistininku, prieš pradėdami vartoti Paracetamol </w:t>
      </w:r>
      <w:r w:rsidR="00F5364E">
        <w:rPr>
          <w:sz w:val="22"/>
          <w:szCs w:val="22"/>
        </w:rPr>
        <w:t>Hiltrex</w:t>
      </w:r>
      <w:r w:rsidRPr="00507EDE">
        <w:rPr>
          <w:sz w:val="22"/>
          <w:szCs w:val="22"/>
        </w:rPr>
        <w:t>.</w:t>
      </w:r>
    </w:p>
    <w:p w14:paraId="7711CEAC" w14:textId="115C9AF2" w:rsidR="00A81469" w:rsidRPr="00507EDE" w:rsidRDefault="00A81469" w:rsidP="00A81469">
      <w:pPr>
        <w:pStyle w:val="BT-EMEASMCA"/>
        <w:ind w:left="567" w:hanging="567"/>
        <w:rPr>
          <w:sz w:val="22"/>
          <w:szCs w:val="22"/>
        </w:rPr>
      </w:pPr>
      <w:r w:rsidRPr="00507EDE">
        <w:rPr>
          <w:sz w:val="22"/>
          <w:szCs w:val="22"/>
        </w:rPr>
        <w:t>sergate kepenų ar inkstų liga;</w:t>
      </w:r>
    </w:p>
    <w:p w14:paraId="6DD58293" w14:textId="3BE60DCB" w:rsidR="00DD1BBD" w:rsidRPr="00507EDE" w:rsidRDefault="00DD1BBD" w:rsidP="00A81469">
      <w:pPr>
        <w:pStyle w:val="BT-EMEASMCA"/>
        <w:ind w:left="567" w:hanging="567"/>
        <w:rPr>
          <w:sz w:val="22"/>
          <w:szCs w:val="22"/>
        </w:rPr>
      </w:pPr>
      <w:r w:rsidRPr="00507EDE">
        <w:rPr>
          <w:sz w:val="22"/>
          <w:szCs w:val="22"/>
        </w:rPr>
        <w:t>jeigu turite per mažą svorį arba nepakankamai maitinatės;</w:t>
      </w:r>
    </w:p>
    <w:p w14:paraId="2BB42C63" w14:textId="74C0E8BA" w:rsidR="00AC4637" w:rsidRPr="00507EDE" w:rsidRDefault="00DD1BBD" w:rsidP="00A81469">
      <w:pPr>
        <w:pStyle w:val="BT-EMEASMCA"/>
        <w:ind w:left="567" w:hanging="567"/>
        <w:rPr>
          <w:sz w:val="22"/>
          <w:szCs w:val="22"/>
        </w:rPr>
      </w:pPr>
      <w:r w:rsidRPr="00507EDE">
        <w:rPr>
          <w:sz w:val="22"/>
          <w:szCs w:val="22"/>
        </w:rPr>
        <w:t>jeigu reguliariai vartojate alkoholį arba sergate lėtiniu alkoholizmu;</w:t>
      </w:r>
    </w:p>
    <w:p w14:paraId="03E39A24" w14:textId="3421FF31" w:rsidR="00D6059C" w:rsidRPr="00507EDE" w:rsidRDefault="00D6059C" w:rsidP="00D6059C">
      <w:pPr>
        <w:pStyle w:val="BT-EMEASMCA"/>
        <w:ind w:left="567" w:hanging="567"/>
        <w:rPr>
          <w:sz w:val="22"/>
          <w:szCs w:val="22"/>
        </w:rPr>
      </w:pPr>
      <w:r w:rsidRPr="00507EDE">
        <w:rPr>
          <w:sz w:val="22"/>
          <w:szCs w:val="22"/>
        </w:rPr>
        <w:t>jei skausmas ar karščiavimas trunka ilgiau nei 3 dienas, simptomai stiprėja arba atsiranda kitų simptomų, netęskite gydymo nepasitarę su gydytoju.</w:t>
      </w:r>
    </w:p>
    <w:p w14:paraId="1E943354" w14:textId="1C7E5DC7" w:rsidR="00DD1BBD" w:rsidRPr="00507EDE" w:rsidRDefault="00D6059C" w:rsidP="00D6059C">
      <w:pPr>
        <w:pStyle w:val="BT-EMEASMCA"/>
        <w:ind w:left="567" w:hanging="567"/>
        <w:rPr>
          <w:sz w:val="22"/>
          <w:szCs w:val="22"/>
        </w:rPr>
      </w:pPr>
      <w:r w:rsidRPr="00507EDE">
        <w:rPr>
          <w:sz w:val="22"/>
          <w:szCs w:val="22"/>
        </w:rPr>
        <w:t>šio vaisto sudėtyje yra paracetamolio. Kitų vaistų sudėtyje taip pat yra šios veikliosios medžiagos. Negalima kartu vartoti šių vaistų, kad neviršytumėte rekomenduojamos paros dozės.</w:t>
      </w:r>
    </w:p>
    <w:p w14:paraId="3EF96BF5" w14:textId="77777777" w:rsidR="005665A3" w:rsidRPr="00507EDE" w:rsidRDefault="005665A3" w:rsidP="000E192C">
      <w:pPr>
        <w:jc w:val="both"/>
        <w:rPr>
          <w:b/>
          <w:bCs/>
          <w:sz w:val="22"/>
          <w:szCs w:val="22"/>
        </w:rPr>
      </w:pPr>
    </w:p>
    <w:p w14:paraId="26EB01E9" w14:textId="3AF9C4E4" w:rsidR="00F437C3" w:rsidRDefault="00F437C3" w:rsidP="00DE5F41">
      <w:pPr>
        <w:rPr>
          <w:sz w:val="22"/>
          <w:szCs w:val="22"/>
        </w:rPr>
      </w:pPr>
      <w:r w:rsidRPr="00F437C3">
        <w:rPr>
          <w:sz w:val="22"/>
          <w:szCs w:val="22"/>
        </w:rPr>
        <w:t xml:space="preserve">Gydymo </w:t>
      </w:r>
      <w:r>
        <w:rPr>
          <w:sz w:val="22"/>
          <w:szCs w:val="22"/>
        </w:rPr>
        <w:t xml:space="preserve">Paracetamol </w:t>
      </w:r>
      <w:r w:rsidR="00F5364E">
        <w:rPr>
          <w:sz w:val="22"/>
          <w:szCs w:val="22"/>
        </w:rPr>
        <w:t>Hiltrex</w:t>
      </w:r>
      <w:r>
        <w:rPr>
          <w:sz w:val="22"/>
          <w:szCs w:val="22"/>
        </w:rPr>
        <w:t xml:space="preserve"> </w:t>
      </w:r>
      <w:r w:rsidRPr="00F437C3">
        <w:rPr>
          <w:sz w:val="22"/>
          <w:szCs w:val="22"/>
        </w:rPr>
        <w:t xml:space="preserve">laikotarpiu nedelsdami pasakykite gydytojui, jeigu: </w:t>
      </w:r>
    </w:p>
    <w:p w14:paraId="15D08052" w14:textId="73D64FAC" w:rsidR="002260A7" w:rsidRDefault="00F437C3" w:rsidP="00DE5F41">
      <w:pPr>
        <w:rPr>
          <w:sz w:val="22"/>
          <w:szCs w:val="22"/>
        </w:rPr>
      </w:pPr>
      <w:r>
        <w:rPr>
          <w:sz w:val="22"/>
          <w:szCs w:val="22"/>
        </w:rPr>
        <w:t>S</w:t>
      </w:r>
      <w:r w:rsidRPr="00F437C3">
        <w:rPr>
          <w:sz w:val="22"/>
          <w:szCs w:val="22"/>
        </w:rPr>
        <w:t>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7FEAF6D9" w14:textId="77777777" w:rsidR="002260A7" w:rsidRPr="00F437C3" w:rsidRDefault="002260A7" w:rsidP="00DE5F41">
      <w:pPr>
        <w:rPr>
          <w:b/>
          <w:bCs/>
          <w:sz w:val="22"/>
          <w:szCs w:val="22"/>
        </w:rPr>
      </w:pPr>
    </w:p>
    <w:p w14:paraId="7FFB93CE" w14:textId="6479B71D" w:rsidR="000E192C" w:rsidRPr="00507EDE" w:rsidRDefault="000E192C" w:rsidP="000E192C">
      <w:pPr>
        <w:keepNext/>
        <w:tabs>
          <w:tab w:val="left" w:pos="567"/>
        </w:tabs>
        <w:jc w:val="both"/>
        <w:outlineLvl w:val="3"/>
        <w:rPr>
          <w:sz w:val="22"/>
          <w:szCs w:val="22"/>
        </w:rPr>
      </w:pPr>
      <w:r w:rsidRPr="00507EDE">
        <w:rPr>
          <w:b/>
          <w:sz w:val="22"/>
          <w:szCs w:val="22"/>
        </w:rPr>
        <w:t xml:space="preserve">Kiti vaistai ir </w:t>
      </w:r>
      <w:r w:rsidRPr="00507EDE">
        <w:rPr>
          <w:b/>
          <w:bCs/>
          <w:sz w:val="22"/>
          <w:szCs w:val="22"/>
        </w:rPr>
        <w:t xml:space="preserve">Paracetamol </w:t>
      </w:r>
      <w:r w:rsidR="00F5364E">
        <w:rPr>
          <w:b/>
          <w:bCs/>
          <w:sz w:val="22"/>
          <w:szCs w:val="22"/>
        </w:rPr>
        <w:t>Hiltrex</w:t>
      </w:r>
    </w:p>
    <w:p w14:paraId="716255B2" w14:textId="77777777" w:rsidR="000E192C" w:rsidRPr="00507EDE" w:rsidRDefault="000E192C" w:rsidP="000E192C">
      <w:pPr>
        <w:jc w:val="both"/>
        <w:rPr>
          <w:sz w:val="22"/>
          <w:szCs w:val="22"/>
        </w:rPr>
      </w:pPr>
      <w:r w:rsidRPr="00507EDE">
        <w:rPr>
          <w:sz w:val="22"/>
          <w:szCs w:val="22"/>
        </w:rPr>
        <w:t>Jeigu vartojate ar neseniai vartojote kitų vaistų arba dėl to nesate tikri, apie tai pasakykite gydytojui arba vaistininkui.</w:t>
      </w:r>
    </w:p>
    <w:p w14:paraId="300429DB" w14:textId="7F5A0FB1" w:rsidR="00E315EB" w:rsidRPr="00507EDE" w:rsidRDefault="00E315EB" w:rsidP="000E192C">
      <w:pPr>
        <w:jc w:val="both"/>
        <w:rPr>
          <w:sz w:val="22"/>
          <w:szCs w:val="22"/>
        </w:rPr>
      </w:pPr>
      <w:r w:rsidRPr="00507EDE">
        <w:rPr>
          <w:sz w:val="22"/>
          <w:szCs w:val="22"/>
        </w:rPr>
        <w:t>Pasakykite gydytojui, jei vartojate bet kurį iš toliau išvardytų vaistų:</w:t>
      </w:r>
    </w:p>
    <w:p w14:paraId="08EAF26A" w14:textId="77777777" w:rsidR="007D27CB" w:rsidRPr="00507EDE" w:rsidRDefault="00E315EB" w:rsidP="007D27CB">
      <w:pPr>
        <w:pStyle w:val="BT-EMEASMCA"/>
        <w:ind w:left="567" w:hanging="567"/>
        <w:rPr>
          <w:sz w:val="22"/>
          <w:szCs w:val="22"/>
        </w:rPr>
      </w:pPr>
      <w:r w:rsidRPr="00507EDE">
        <w:rPr>
          <w:sz w:val="22"/>
          <w:szCs w:val="22"/>
        </w:rPr>
        <w:t>kumarino antikoaguliantų (vaistų, skystinančių kraują ir apsaugančių nuo kraujo krešėjimo);</w:t>
      </w:r>
    </w:p>
    <w:p w14:paraId="1202B172" w14:textId="4C63E837" w:rsidR="007D27CB" w:rsidRPr="00507EDE" w:rsidRDefault="00E315EB" w:rsidP="007D27CB">
      <w:pPr>
        <w:pStyle w:val="BT-EMEASMCA"/>
        <w:ind w:left="567" w:hanging="567"/>
        <w:rPr>
          <w:sz w:val="22"/>
          <w:szCs w:val="22"/>
        </w:rPr>
      </w:pPr>
      <w:r w:rsidRPr="00507EDE">
        <w:rPr>
          <w:sz w:val="22"/>
          <w:szCs w:val="22"/>
        </w:rPr>
        <w:t>aspirin</w:t>
      </w:r>
      <w:r w:rsidR="007D27CB" w:rsidRPr="00507EDE">
        <w:rPr>
          <w:sz w:val="22"/>
          <w:szCs w:val="22"/>
        </w:rPr>
        <w:t>o</w:t>
      </w:r>
      <w:r w:rsidRPr="00507EDE">
        <w:rPr>
          <w:sz w:val="22"/>
          <w:szCs w:val="22"/>
        </w:rPr>
        <w:t xml:space="preserve"> (acetilsalicilo rūgšti</w:t>
      </w:r>
      <w:r w:rsidR="007D27CB" w:rsidRPr="00507EDE">
        <w:rPr>
          <w:sz w:val="22"/>
          <w:szCs w:val="22"/>
        </w:rPr>
        <w:t>e</w:t>
      </w:r>
      <w:r w:rsidRPr="00507EDE">
        <w:rPr>
          <w:sz w:val="22"/>
          <w:szCs w:val="22"/>
        </w:rPr>
        <w:t>s) arba kit</w:t>
      </w:r>
      <w:r w:rsidR="007D27CB" w:rsidRPr="00507EDE">
        <w:rPr>
          <w:sz w:val="22"/>
          <w:szCs w:val="22"/>
        </w:rPr>
        <w:t>ų</w:t>
      </w:r>
      <w:r w:rsidRPr="00507EDE">
        <w:rPr>
          <w:sz w:val="22"/>
          <w:szCs w:val="22"/>
        </w:rPr>
        <w:t xml:space="preserve"> nesteroidini</w:t>
      </w:r>
      <w:r w:rsidR="007D27CB" w:rsidRPr="00507EDE">
        <w:rPr>
          <w:sz w:val="22"/>
          <w:szCs w:val="22"/>
        </w:rPr>
        <w:t>ų</w:t>
      </w:r>
      <w:r w:rsidRPr="00507EDE">
        <w:rPr>
          <w:sz w:val="22"/>
          <w:szCs w:val="22"/>
        </w:rPr>
        <w:t xml:space="preserve"> vaist</w:t>
      </w:r>
      <w:r w:rsidR="007D27CB" w:rsidRPr="00507EDE">
        <w:rPr>
          <w:sz w:val="22"/>
          <w:szCs w:val="22"/>
        </w:rPr>
        <w:t>ų</w:t>
      </w:r>
      <w:r w:rsidRPr="00507EDE">
        <w:rPr>
          <w:sz w:val="22"/>
          <w:szCs w:val="22"/>
        </w:rPr>
        <w:t xml:space="preserve"> nuo uždegimo (NVNU); </w:t>
      </w:r>
    </w:p>
    <w:p w14:paraId="6C455DA9" w14:textId="117FC299" w:rsidR="007D27CB" w:rsidRPr="00507EDE" w:rsidRDefault="00E315EB" w:rsidP="007D27CB">
      <w:pPr>
        <w:pStyle w:val="BT-EMEASMCA"/>
        <w:ind w:left="567" w:hanging="567"/>
        <w:rPr>
          <w:sz w:val="22"/>
          <w:szCs w:val="22"/>
        </w:rPr>
      </w:pPr>
      <w:r w:rsidRPr="00507EDE">
        <w:rPr>
          <w:sz w:val="22"/>
          <w:szCs w:val="22"/>
        </w:rPr>
        <w:t>vaist</w:t>
      </w:r>
      <w:r w:rsidR="007D27CB" w:rsidRPr="00507EDE">
        <w:rPr>
          <w:sz w:val="22"/>
          <w:szCs w:val="22"/>
        </w:rPr>
        <w:t>ų nuo vėmimo</w:t>
      </w:r>
      <w:r w:rsidRPr="00507EDE">
        <w:rPr>
          <w:sz w:val="22"/>
          <w:szCs w:val="22"/>
        </w:rPr>
        <w:t xml:space="preserve"> (metokloprami</w:t>
      </w:r>
      <w:r w:rsidR="00E770FE">
        <w:rPr>
          <w:sz w:val="22"/>
          <w:szCs w:val="22"/>
        </w:rPr>
        <w:t>d</w:t>
      </w:r>
      <w:r w:rsidR="007D27CB" w:rsidRPr="00507EDE">
        <w:rPr>
          <w:sz w:val="22"/>
          <w:szCs w:val="22"/>
        </w:rPr>
        <w:t>o</w:t>
      </w:r>
      <w:r w:rsidRPr="00507EDE">
        <w:rPr>
          <w:sz w:val="22"/>
          <w:szCs w:val="22"/>
        </w:rPr>
        <w:t xml:space="preserve"> ir domperidon</w:t>
      </w:r>
      <w:r w:rsidR="007D27CB" w:rsidRPr="00507EDE">
        <w:rPr>
          <w:sz w:val="22"/>
          <w:szCs w:val="22"/>
        </w:rPr>
        <w:t>o</w:t>
      </w:r>
      <w:r w:rsidRPr="00507EDE">
        <w:rPr>
          <w:sz w:val="22"/>
          <w:szCs w:val="22"/>
        </w:rPr>
        <w:t>);</w:t>
      </w:r>
    </w:p>
    <w:p w14:paraId="762FE67F" w14:textId="77777777" w:rsidR="007D27CB" w:rsidRPr="00507EDE" w:rsidRDefault="00E315EB" w:rsidP="007D27CB">
      <w:pPr>
        <w:pStyle w:val="BT-EMEASMCA"/>
        <w:ind w:left="567" w:hanging="567"/>
        <w:rPr>
          <w:sz w:val="22"/>
          <w:szCs w:val="22"/>
        </w:rPr>
      </w:pPr>
      <w:r w:rsidRPr="00507EDE">
        <w:rPr>
          <w:sz w:val="22"/>
          <w:szCs w:val="22"/>
        </w:rPr>
        <w:t>vaistų, vartojamų traukuliams gydyti (fenitoino, karbamazepino, fenobarbitalio);</w:t>
      </w:r>
    </w:p>
    <w:p w14:paraId="60CAE514" w14:textId="5872FE79" w:rsidR="007D27CB" w:rsidRPr="00507EDE" w:rsidRDefault="00E315EB" w:rsidP="007D27CB">
      <w:pPr>
        <w:pStyle w:val="BT-EMEASMCA"/>
        <w:ind w:left="567" w:hanging="567"/>
        <w:rPr>
          <w:sz w:val="22"/>
          <w:szCs w:val="22"/>
        </w:rPr>
      </w:pPr>
      <w:r w:rsidRPr="00507EDE">
        <w:rPr>
          <w:sz w:val="22"/>
          <w:szCs w:val="22"/>
        </w:rPr>
        <w:t>antibakterini</w:t>
      </w:r>
      <w:r w:rsidR="007D27CB" w:rsidRPr="00507EDE">
        <w:rPr>
          <w:sz w:val="22"/>
          <w:szCs w:val="22"/>
        </w:rPr>
        <w:t>ų</w:t>
      </w:r>
      <w:r w:rsidRPr="00507EDE">
        <w:rPr>
          <w:sz w:val="22"/>
          <w:szCs w:val="22"/>
        </w:rPr>
        <w:t xml:space="preserve"> vaist</w:t>
      </w:r>
      <w:r w:rsidR="007D27CB" w:rsidRPr="00507EDE">
        <w:rPr>
          <w:sz w:val="22"/>
          <w:szCs w:val="22"/>
        </w:rPr>
        <w:t>ų</w:t>
      </w:r>
      <w:r w:rsidRPr="00507EDE">
        <w:rPr>
          <w:sz w:val="22"/>
          <w:szCs w:val="22"/>
        </w:rPr>
        <w:t xml:space="preserve"> (rifampicin</w:t>
      </w:r>
      <w:r w:rsidR="007D27CB" w:rsidRPr="00507EDE">
        <w:rPr>
          <w:sz w:val="22"/>
          <w:szCs w:val="22"/>
        </w:rPr>
        <w:t>o</w:t>
      </w:r>
      <w:r w:rsidRPr="00507EDE">
        <w:rPr>
          <w:sz w:val="22"/>
          <w:szCs w:val="22"/>
        </w:rPr>
        <w:t>, izoniazid</w:t>
      </w:r>
      <w:r w:rsidR="007D27CB" w:rsidRPr="00507EDE">
        <w:rPr>
          <w:sz w:val="22"/>
          <w:szCs w:val="22"/>
        </w:rPr>
        <w:t>o</w:t>
      </w:r>
      <w:r w:rsidR="00E770FE">
        <w:rPr>
          <w:sz w:val="22"/>
          <w:szCs w:val="22"/>
        </w:rPr>
        <w:t>,</w:t>
      </w:r>
      <w:r w:rsidRPr="00507EDE">
        <w:rPr>
          <w:sz w:val="22"/>
          <w:szCs w:val="22"/>
        </w:rPr>
        <w:t xml:space="preserve"> chloramfenikoli</w:t>
      </w:r>
      <w:r w:rsidR="007D27CB" w:rsidRPr="00507EDE">
        <w:rPr>
          <w:sz w:val="22"/>
          <w:szCs w:val="22"/>
        </w:rPr>
        <w:t>o</w:t>
      </w:r>
      <w:r w:rsidRPr="00507EDE">
        <w:rPr>
          <w:sz w:val="22"/>
          <w:szCs w:val="22"/>
        </w:rPr>
        <w:t>);</w:t>
      </w:r>
    </w:p>
    <w:p w14:paraId="0B746017" w14:textId="321999AC" w:rsidR="00E315EB" w:rsidRPr="00507EDE" w:rsidRDefault="00E315EB" w:rsidP="007D27CB">
      <w:pPr>
        <w:pStyle w:val="BT-EMEASMCA"/>
        <w:ind w:left="567" w:hanging="567"/>
        <w:rPr>
          <w:sz w:val="22"/>
          <w:szCs w:val="22"/>
        </w:rPr>
      </w:pPr>
      <w:r w:rsidRPr="00507EDE">
        <w:rPr>
          <w:sz w:val="22"/>
          <w:szCs w:val="22"/>
        </w:rPr>
        <w:t>vaist</w:t>
      </w:r>
      <w:r w:rsidR="007D27CB" w:rsidRPr="00507EDE">
        <w:rPr>
          <w:sz w:val="22"/>
          <w:szCs w:val="22"/>
        </w:rPr>
        <w:t>ų</w:t>
      </w:r>
      <w:r w:rsidRPr="00507EDE">
        <w:rPr>
          <w:sz w:val="22"/>
          <w:szCs w:val="22"/>
        </w:rPr>
        <w:t>, veikian</w:t>
      </w:r>
      <w:r w:rsidR="007D27CB" w:rsidRPr="00507EDE">
        <w:rPr>
          <w:sz w:val="22"/>
          <w:szCs w:val="22"/>
        </w:rPr>
        <w:t>čių</w:t>
      </w:r>
      <w:r w:rsidRPr="00507EDE">
        <w:rPr>
          <w:sz w:val="22"/>
          <w:szCs w:val="22"/>
        </w:rPr>
        <w:t xml:space="preserve"> skrandžio rūgšties kiekį, ir vaist</w:t>
      </w:r>
      <w:r w:rsidR="007D27CB" w:rsidRPr="00507EDE">
        <w:rPr>
          <w:sz w:val="22"/>
          <w:szCs w:val="22"/>
        </w:rPr>
        <w:t>ų</w:t>
      </w:r>
      <w:r w:rsidRPr="00507EDE">
        <w:rPr>
          <w:sz w:val="22"/>
          <w:szCs w:val="22"/>
        </w:rPr>
        <w:t>, vartojam</w:t>
      </w:r>
      <w:r w:rsidR="007D27CB" w:rsidRPr="00507EDE">
        <w:rPr>
          <w:sz w:val="22"/>
          <w:szCs w:val="22"/>
        </w:rPr>
        <w:t>ų</w:t>
      </w:r>
      <w:r w:rsidRPr="00507EDE">
        <w:rPr>
          <w:sz w:val="22"/>
          <w:szCs w:val="22"/>
        </w:rPr>
        <w:t xml:space="preserve"> cholesterolio kiekiui mažinti;</w:t>
      </w:r>
    </w:p>
    <w:p w14:paraId="2517A3A8" w14:textId="77777777" w:rsidR="00AB42E9" w:rsidRDefault="00AB42E9" w:rsidP="007D27CB">
      <w:pPr>
        <w:rPr>
          <w:sz w:val="22"/>
          <w:szCs w:val="22"/>
        </w:rPr>
      </w:pPr>
    </w:p>
    <w:p w14:paraId="2401E429" w14:textId="174AA138" w:rsidR="00BA534F" w:rsidRPr="00BA534F" w:rsidRDefault="00BA534F" w:rsidP="007D27CB">
      <w:pPr>
        <w:rPr>
          <w:sz w:val="22"/>
          <w:szCs w:val="22"/>
        </w:rPr>
      </w:pPr>
      <w:r w:rsidRPr="00BA534F">
        <w:rPr>
          <w:sz w:val="22"/>
          <w:szCs w:val="22"/>
        </w:rPr>
        <w:t xml:space="preserve">Pasakykite gydytojui arba vaistininkui, jeigu vartojate: </w:t>
      </w:r>
    </w:p>
    <w:p w14:paraId="42164AD8" w14:textId="318F96BC" w:rsidR="00BA534F" w:rsidRPr="00A07D73" w:rsidRDefault="00BA534F" w:rsidP="00A07D73">
      <w:pPr>
        <w:pStyle w:val="BT-EMEASMCA"/>
        <w:ind w:left="567" w:hanging="567"/>
        <w:rPr>
          <w:sz w:val="22"/>
          <w:szCs w:val="22"/>
        </w:rPr>
      </w:pPr>
      <w:r w:rsidRPr="00A07D73">
        <w:rPr>
          <w:sz w:val="22"/>
          <w:szCs w:val="22"/>
        </w:rPr>
        <w:t>flukloksaciliną (antibiotiką) dėl didelės kraujo ir skysčių tyrimų nenormalių rodiklių (vadinamos metabolinės acidozės) rizikos (žr. 2 skyrių), kurią reikia skubiai gydyti.</w:t>
      </w:r>
    </w:p>
    <w:p w14:paraId="3F3DF2C3" w14:textId="77777777" w:rsidR="00AC4637" w:rsidRDefault="00AC4637" w:rsidP="007D27CB">
      <w:pPr>
        <w:rPr>
          <w:sz w:val="22"/>
          <w:szCs w:val="22"/>
        </w:rPr>
      </w:pPr>
    </w:p>
    <w:p w14:paraId="1C682435" w14:textId="6148C1C1" w:rsidR="00E315EB" w:rsidRPr="00BA534F" w:rsidRDefault="007D27CB" w:rsidP="007D27CB">
      <w:pPr>
        <w:rPr>
          <w:sz w:val="22"/>
          <w:szCs w:val="22"/>
        </w:rPr>
      </w:pPr>
      <w:r w:rsidRPr="00BA534F">
        <w:rPr>
          <w:sz w:val="22"/>
          <w:szCs w:val="22"/>
        </w:rPr>
        <w:t>Jei gydytojas Jums skiria šlapimo rūgšties ar cukraus kiekio kraujyje tyrimą, turite jį informuoti, kad vartojate šį vaistą.</w:t>
      </w:r>
    </w:p>
    <w:p w14:paraId="1CCD6B2D" w14:textId="77777777" w:rsidR="007D27CB" w:rsidRPr="00507EDE" w:rsidRDefault="007D27CB" w:rsidP="000E192C">
      <w:pPr>
        <w:jc w:val="both"/>
        <w:rPr>
          <w:sz w:val="22"/>
          <w:szCs w:val="22"/>
        </w:rPr>
      </w:pPr>
    </w:p>
    <w:p w14:paraId="60737268" w14:textId="46BFAA0E" w:rsidR="000E192C" w:rsidRPr="00507EDE" w:rsidRDefault="000E192C" w:rsidP="000E192C">
      <w:pPr>
        <w:keepNext/>
        <w:tabs>
          <w:tab w:val="left" w:pos="567"/>
        </w:tabs>
        <w:outlineLvl w:val="3"/>
        <w:rPr>
          <w:sz w:val="22"/>
          <w:szCs w:val="22"/>
        </w:rPr>
      </w:pPr>
      <w:r w:rsidRPr="00507EDE">
        <w:rPr>
          <w:b/>
          <w:bCs/>
          <w:sz w:val="22"/>
          <w:szCs w:val="22"/>
        </w:rPr>
        <w:t xml:space="preserve">Paracetamol </w:t>
      </w:r>
      <w:r w:rsidR="00F5364E">
        <w:rPr>
          <w:b/>
          <w:bCs/>
          <w:sz w:val="22"/>
          <w:szCs w:val="22"/>
        </w:rPr>
        <w:t>Hiltrex</w:t>
      </w:r>
      <w:r w:rsidRPr="00507EDE">
        <w:rPr>
          <w:b/>
          <w:sz w:val="22"/>
          <w:szCs w:val="22"/>
        </w:rPr>
        <w:t xml:space="preserve"> vartojimas su maistu, gėrimais ir alkoholiu</w:t>
      </w:r>
    </w:p>
    <w:p w14:paraId="30AD5B57" w14:textId="0B0A13F4" w:rsidR="000E192C" w:rsidRPr="00507EDE" w:rsidRDefault="007D27CB" w:rsidP="007D27CB">
      <w:pPr>
        <w:rPr>
          <w:sz w:val="22"/>
          <w:szCs w:val="22"/>
        </w:rPr>
      </w:pPr>
      <w:r w:rsidRPr="00507EDE">
        <w:rPr>
          <w:sz w:val="22"/>
          <w:szCs w:val="22"/>
        </w:rPr>
        <w:t xml:space="preserve">Paracetamol </w:t>
      </w:r>
      <w:r w:rsidR="00F5364E">
        <w:rPr>
          <w:sz w:val="22"/>
          <w:szCs w:val="22"/>
        </w:rPr>
        <w:t>Hiltrex</w:t>
      </w:r>
      <w:r w:rsidRPr="00507EDE">
        <w:rPr>
          <w:sz w:val="22"/>
          <w:szCs w:val="22"/>
        </w:rPr>
        <w:t xml:space="preserve"> negalima vartoti kartu su alkoholiu, nes tokiu atveju kepenų pažeidimo rizika gali būti didesnė.</w:t>
      </w:r>
    </w:p>
    <w:p w14:paraId="447055F7" w14:textId="77777777" w:rsidR="007D27CB" w:rsidRPr="00507EDE" w:rsidRDefault="007D27CB" w:rsidP="007D27CB">
      <w:pPr>
        <w:rPr>
          <w:b/>
          <w:sz w:val="22"/>
          <w:szCs w:val="22"/>
        </w:rPr>
      </w:pPr>
    </w:p>
    <w:p w14:paraId="0595E87C" w14:textId="77777777" w:rsidR="000E192C" w:rsidRPr="00507EDE" w:rsidRDefault="000E192C" w:rsidP="000E192C">
      <w:pPr>
        <w:rPr>
          <w:b/>
          <w:sz w:val="22"/>
          <w:szCs w:val="22"/>
        </w:rPr>
      </w:pPr>
      <w:r w:rsidRPr="00507EDE">
        <w:rPr>
          <w:b/>
          <w:sz w:val="22"/>
          <w:szCs w:val="22"/>
        </w:rPr>
        <w:t>Nėštumas ir žindymo laikotarpis</w:t>
      </w:r>
    </w:p>
    <w:p w14:paraId="63048249" w14:textId="4583E699" w:rsidR="000E192C" w:rsidRPr="00507EDE" w:rsidRDefault="000E192C" w:rsidP="000E192C">
      <w:pPr>
        <w:numPr>
          <w:ilvl w:val="12"/>
          <w:numId w:val="0"/>
        </w:numPr>
        <w:rPr>
          <w:sz w:val="22"/>
          <w:szCs w:val="22"/>
        </w:rPr>
      </w:pPr>
      <w:r w:rsidRPr="00507EDE">
        <w:rPr>
          <w:sz w:val="22"/>
          <w:szCs w:val="22"/>
        </w:rPr>
        <w:t>Jeigu esate nėščia, žindote kūdikį, manote, kad galbūt esate nėščia, arba planuojate pastoti, tai prieš vartodama šį vaistą pasitarkite su gydytoju arba vaistininku.</w:t>
      </w:r>
    </w:p>
    <w:p w14:paraId="2922AEFC" w14:textId="77777777" w:rsidR="00EC2485" w:rsidRPr="00507EDE" w:rsidRDefault="00EC2485" w:rsidP="000E192C">
      <w:pPr>
        <w:numPr>
          <w:ilvl w:val="12"/>
          <w:numId w:val="0"/>
        </w:numPr>
        <w:rPr>
          <w:sz w:val="22"/>
          <w:szCs w:val="22"/>
        </w:rPr>
      </w:pPr>
    </w:p>
    <w:p w14:paraId="36864545" w14:textId="6787FABC" w:rsidR="00EC2485" w:rsidRPr="00507EDE" w:rsidRDefault="00EC2485" w:rsidP="000E192C">
      <w:pPr>
        <w:numPr>
          <w:ilvl w:val="12"/>
          <w:numId w:val="0"/>
        </w:numPr>
        <w:rPr>
          <w:sz w:val="22"/>
          <w:szCs w:val="22"/>
        </w:rPr>
      </w:pPr>
      <w:r w:rsidRPr="00507EDE">
        <w:rPr>
          <w:sz w:val="22"/>
          <w:szCs w:val="22"/>
        </w:rPr>
        <w:t>Paracetamolio galima vartoti nėštumo metu. Tur</w:t>
      </w:r>
      <w:r w:rsidR="00746155" w:rsidRPr="00507EDE">
        <w:rPr>
          <w:sz w:val="22"/>
          <w:szCs w:val="22"/>
        </w:rPr>
        <w:t>ite</w:t>
      </w:r>
      <w:r w:rsidRPr="00507EDE">
        <w:rPr>
          <w:sz w:val="22"/>
          <w:szCs w:val="22"/>
        </w:rPr>
        <w:t xml:space="preserve"> vartoti mažiausią galimą vaisto dozę, kuri sumažintų skausmą ir (arba) karščiavimą, ir vartoti vaistą kuo trumpesnį laiką. Jeigu skausmas ir (arba) karščiavimas nesumažėja arba jei vaisto reikia vartoti dažniau, kreipkitės į savo gydytoją.</w:t>
      </w:r>
    </w:p>
    <w:p w14:paraId="4DDFE10D" w14:textId="77777777" w:rsidR="00EC2485" w:rsidRPr="00507EDE" w:rsidRDefault="00EC2485" w:rsidP="000E192C">
      <w:pPr>
        <w:numPr>
          <w:ilvl w:val="12"/>
          <w:numId w:val="0"/>
        </w:numPr>
        <w:rPr>
          <w:sz w:val="22"/>
          <w:szCs w:val="22"/>
        </w:rPr>
      </w:pPr>
    </w:p>
    <w:p w14:paraId="6CF19F07" w14:textId="4476E36D" w:rsidR="00EC2485" w:rsidRPr="00507EDE" w:rsidRDefault="00EC2485" w:rsidP="000E192C">
      <w:pPr>
        <w:numPr>
          <w:ilvl w:val="12"/>
          <w:numId w:val="0"/>
        </w:numPr>
        <w:rPr>
          <w:sz w:val="22"/>
          <w:szCs w:val="22"/>
        </w:rPr>
      </w:pPr>
      <w:r w:rsidRPr="00507EDE">
        <w:rPr>
          <w:sz w:val="22"/>
          <w:szCs w:val="22"/>
        </w:rPr>
        <w:t xml:space="preserve">Vartojant gydomąsias paracetamolio dozes, į </w:t>
      </w:r>
      <w:r w:rsidR="00735115">
        <w:rPr>
          <w:sz w:val="22"/>
          <w:szCs w:val="22"/>
        </w:rPr>
        <w:t>žindančios moters</w:t>
      </w:r>
      <w:r w:rsidRPr="00507EDE">
        <w:rPr>
          <w:sz w:val="22"/>
          <w:szCs w:val="22"/>
        </w:rPr>
        <w:t xml:space="preserve"> pieną jo patenka nereikšmingas kiekis. Duomenų, patvirtinančių žalingą poveikį kūdikiui, nėra. Žindymo laikotarpiu vaisto galima vartoti griežtai laikantis paros gydomosios dozės ir gydymo kurso trukmės.</w:t>
      </w:r>
    </w:p>
    <w:p w14:paraId="49FB37B1" w14:textId="77777777" w:rsidR="000E192C" w:rsidRPr="00507EDE" w:rsidRDefault="000E192C" w:rsidP="000E192C">
      <w:pPr>
        <w:rPr>
          <w:b/>
          <w:bCs/>
          <w:sz w:val="22"/>
          <w:szCs w:val="22"/>
        </w:rPr>
      </w:pPr>
    </w:p>
    <w:p w14:paraId="45945DFD" w14:textId="77777777" w:rsidR="000E192C" w:rsidRPr="00507EDE" w:rsidRDefault="000E192C" w:rsidP="000E192C">
      <w:pPr>
        <w:keepNext/>
        <w:tabs>
          <w:tab w:val="left" w:pos="567"/>
        </w:tabs>
        <w:outlineLvl w:val="3"/>
        <w:rPr>
          <w:sz w:val="22"/>
          <w:szCs w:val="22"/>
        </w:rPr>
      </w:pPr>
      <w:r w:rsidRPr="00507EDE">
        <w:rPr>
          <w:b/>
          <w:sz w:val="22"/>
          <w:szCs w:val="22"/>
        </w:rPr>
        <w:t>Vairavimas ir mechanizmų valdymas</w:t>
      </w:r>
    </w:p>
    <w:p w14:paraId="10E967FD" w14:textId="14E2055B" w:rsidR="000E192C" w:rsidRPr="00507EDE" w:rsidRDefault="00EC2485" w:rsidP="000E192C">
      <w:pPr>
        <w:rPr>
          <w:sz w:val="22"/>
          <w:szCs w:val="22"/>
        </w:rPr>
      </w:pPr>
      <w:r w:rsidRPr="00507EDE">
        <w:rPr>
          <w:sz w:val="22"/>
          <w:szCs w:val="22"/>
        </w:rPr>
        <w:t xml:space="preserve">Duomenų, kad Paracetamol </w:t>
      </w:r>
      <w:r w:rsidR="00F5364E">
        <w:rPr>
          <w:sz w:val="22"/>
          <w:szCs w:val="22"/>
        </w:rPr>
        <w:t>Hiltrex</w:t>
      </w:r>
      <w:r w:rsidRPr="00507EDE">
        <w:rPr>
          <w:sz w:val="22"/>
          <w:szCs w:val="22"/>
        </w:rPr>
        <w:t xml:space="preserve"> neigiamai veiktų gebėjimą sutelkti dėmesį, vairuoti ir valdyti mechanizmus, nėra.</w:t>
      </w:r>
    </w:p>
    <w:p w14:paraId="495473B5" w14:textId="77777777" w:rsidR="00EC2485" w:rsidRPr="00507EDE" w:rsidRDefault="00EC2485" w:rsidP="000E192C">
      <w:pPr>
        <w:rPr>
          <w:sz w:val="22"/>
          <w:szCs w:val="22"/>
        </w:rPr>
      </w:pPr>
    </w:p>
    <w:p w14:paraId="0E694B89" w14:textId="1FFFB710" w:rsidR="00EC2485" w:rsidRPr="00507EDE" w:rsidRDefault="00EC2485" w:rsidP="00EC2485">
      <w:pPr>
        <w:rPr>
          <w:sz w:val="22"/>
          <w:szCs w:val="22"/>
        </w:rPr>
      </w:pPr>
      <w:r w:rsidRPr="00507EDE">
        <w:rPr>
          <w:b/>
          <w:bCs/>
          <w:sz w:val="22"/>
          <w:szCs w:val="22"/>
        </w:rPr>
        <w:t xml:space="preserve">Paracetamol </w:t>
      </w:r>
      <w:r w:rsidR="00F5364E">
        <w:rPr>
          <w:b/>
          <w:bCs/>
          <w:sz w:val="22"/>
          <w:szCs w:val="22"/>
        </w:rPr>
        <w:t>Hiltrex</w:t>
      </w:r>
      <w:r w:rsidRPr="00507EDE">
        <w:rPr>
          <w:b/>
          <w:bCs/>
          <w:sz w:val="22"/>
          <w:szCs w:val="22"/>
        </w:rPr>
        <w:t xml:space="preserve"> sudėtyje yra kviečių krakmolo</w:t>
      </w:r>
      <w:r w:rsidR="00575A1D" w:rsidRPr="00507EDE">
        <w:t xml:space="preserve"> </w:t>
      </w:r>
    </w:p>
    <w:p w14:paraId="72D2136D" w14:textId="77777777" w:rsidR="004C3526" w:rsidRPr="003776E4" w:rsidRDefault="004C3526" w:rsidP="004C3526">
      <w:pPr>
        <w:rPr>
          <w:sz w:val="22"/>
          <w:szCs w:val="22"/>
        </w:rPr>
      </w:pPr>
      <w:r w:rsidRPr="003776E4">
        <w:rPr>
          <w:sz w:val="22"/>
          <w:szCs w:val="22"/>
        </w:rPr>
        <w:t>Šio vaisto sudėtyje yra labai mažas glitimo (esančio kviečių krakmole) kiekis. Šis vaistas laikytinas neturinčiu glitimo, todėl jei sergate celiakija, mažai tikėtina, kad Jums pakenks.</w:t>
      </w:r>
    </w:p>
    <w:p w14:paraId="00402906" w14:textId="77777777" w:rsidR="004C3526" w:rsidRPr="003776E4" w:rsidRDefault="004C3526" w:rsidP="004C3526">
      <w:pPr>
        <w:ind w:left="567" w:hanging="567"/>
        <w:rPr>
          <w:sz w:val="22"/>
          <w:szCs w:val="22"/>
        </w:rPr>
      </w:pPr>
    </w:p>
    <w:p w14:paraId="3872785D" w14:textId="77777777" w:rsidR="004C3526" w:rsidRPr="003776E4" w:rsidRDefault="004C3526" w:rsidP="004C3526">
      <w:pPr>
        <w:rPr>
          <w:sz w:val="22"/>
          <w:szCs w:val="22"/>
        </w:rPr>
      </w:pPr>
      <w:r w:rsidRPr="003776E4">
        <w:rPr>
          <w:sz w:val="22"/>
          <w:szCs w:val="22"/>
        </w:rPr>
        <w:t>Jeigu esate alergiškas (alergiška) kviečiams (ši liga skiriasi nuo celiakijos), Jums šio vaisto vartoti negalima.</w:t>
      </w:r>
    </w:p>
    <w:p w14:paraId="7C523BE8" w14:textId="77777777" w:rsidR="00EC2485" w:rsidRPr="00507EDE" w:rsidRDefault="00EC2485" w:rsidP="00EC2485">
      <w:pPr>
        <w:rPr>
          <w:sz w:val="22"/>
          <w:szCs w:val="22"/>
        </w:rPr>
      </w:pPr>
    </w:p>
    <w:p w14:paraId="343E250B" w14:textId="301EAFA3" w:rsidR="007D26E1" w:rsidRPr="00507EDE" w:rsidRDefault="00EC2485" w:rsidP="00EC2485">
      <w:pPr>
        <w:rPr>
          <w:sz w:val="22"/>
          <w:szCs w:val="22"/>
        </w:rPr>
      </w:pPr>
      <w:r w:rsidRPr="00507EDE">
        <w:rPr>
          <w:b/>
          <w:bCs/>
          <w:sz w:val="22"/>
          <w:szCs w:val="22"/>
        </w:rPr>
        <w:t xml:space="preserve">Paracetamol </w:t>
      </w:r>
      <w:r w:rsidR="00F5364E">
        <w:rPr>
          <w:b/>
          <w:bCs/>
          <w:sz w:val="22"/>
          <w:szCs w:val="22"/>
        </w:rPr>
        <w:t>Hiltrex</w:t>
      </w:r>
      <w:r w:rsidRPr="00507EDE">
        <w:rPr>
          <w:b/>
          <w:bCs/>
          <w:sz w:val="22"/>
          <w:szCs w:val="22"/>
        </w:rPr>
        <w:t xml:space="preserve"> sudėtyje yra laktozės</w:t>
      </w:r>
      <w:r w:rsidRPr="00507EDE">
        <w:rPr>
          <w:sz w:val="22"/>
          <w:szCs w:val="22"/>
        </w:rPr>
        <w:t xml:space="preserve"> </w:t>
      </w:r>
    </w:p>
    <w:p w14:paraId="7883785E" w14:textId="2763A1AD" w:rsidR="00EC2485" w:rsidRPr="00507EDE" w:rsidRDefault="00EC2485" w:rsidP="00EC2485">
      <w:pPr>
        <w:rPr>
          <w:sz w:val="22"/>
          <w:szCs w:val="22"/>
        </w:rPr>
      </w:pPr>
      <w:r w:rsidRPr="00507EDE">
        <w:rPr>
          <w:sz w:val="22"/>
          <w:szCs w:val="22"/>
        </w:rPr>
        <w:t>Jeigu gydytojas Jums yra sakęs, kad netoleruojate kokių nors angliavandenių, kreipkitės į jį prieš pradėdami vartoti šį vaistą.</w:t>
      </w:r>
    </w:p>
    <w:p w14:paraId="66ADB7CA" w14:textId="77777777" w:rsidR="00EC2485" w:rsidRPr="00507EDE" w:rsidRDefault="00EC2485" w:rsidP="00EC2485">
      <w:pPr>
        <w:rPr>
          <w:sz w:val="22"/>
          <w:szCs w:val="22"/>
        </w:rPr>
      </w:pPr>
    </w:p>
    <w:p w14:paraId="65470B02" w14:textId="77777777" w:rsidR="000E192C" w:rsidRPr="00507EDE" w:rsidRDefault="000E192C" w:rsidP="000E192C">
      <w:pPr>
        <w:rPr>
          <w:sz w:val="22"/>
          <w:szCs w:val="22"/>
        </w:rPr>
      </w:pPr>
    </w:p>
    <w:p w14:paraId="717E2B1C" w14:textId="5C3455CA" w:rsidR="000E192C" w:rsidRPr="00507EDE" w:rsidRDefault="000E192C" w:rsidP="000E192C">
      <w:pPr>
        <w:keepNext/>
        <w:keepLines/>
        <w:tabs>
          <w:tab w:val="left" w:pos="567"/>
        </w:tabs>
        <w:outlineLvl w:val="2"/>
        <w:rPr>
          <w:sz w:val="22"/>
          <w:szCs w:val="22"/>
        </w:rPr>
      </w:pPr>
      <w:r w:rsidRPr="00507EDE">
        <w:rPr>
          <w:b/>
          <w:sz w:val="22"/>
          <w:szCs w:val="22"/>
        </w:rPr>
        <w:t>3.</w:t>
      </w:r>
      <w:r w:rsidRPr="00507EDE">
        <w:rPr>
          <w:b/>
          <w:sz w:val="22"/>
          <w:szCs w:val="22"/>
        </w:rPr>
        <w:tab/>
        <w:t xml:space="preserve">Kaip vartoti </w:t>
      </w:r>
      <w:r w:rsidRPr="00507EDE">
        <w:rPr>
          <w:b/>
          <w:bCs/>
          <w:sz w:val="22"/>
          <w:szCs w:val="22"/>
        </w:rPr>
        <w:t xml:space="preserve">Paracetamol </w:t>
      </w:r>
      <w:r w:rsidR="00F5364E">
        <w:rPr>
          <w:b/>
          <w:bCs/>
          <w:sz w:val="22"/>
          <w:szCs w:val="22"/>
        </w:rPr>
        <w:t>Hiltrex</w:t>
      </w:r>
    </w:p>
    <w:p w14:paraId="1048B3C8" w14:textId="77777777" w:rsidR="000E192C" w:rsidRPr="00507EDE" w:rsidRDefault="000E192C" w:rsidP="000E192C">
      <w:pPr>
        <w:rPr>
          <w:i/>
          <w:sz w:val="22"/>
          <w:szCs w:val="22"/>
        </w:rPr>
      </w:pPr>
    </w:p>
    <w:p w14:paraId="5025B4A1" w14:textId="77777777" w:rsidR="000E192C" w:rsidRPr="00507EDE" w:rsidRDefault="000E192C" w:rsidP="000E192C">
      <w:pPr>
        <w:ind w:right="-2"/>
        <w:rPr>
          <w:sz w:val="22"/>
          <w:szCs w:val="22"/>
        </w:rPr>
      </w:pPr>
      <w:r w:rsidRPr="00507EDE">
        <w:rPr>
          <w:sz w:val="22"/>
          <w:szCs w:val="22"/>
        </w:rPr>
        <w:t>Visada vartokite šį vaistą tiksliai, kaip aprašyta šiame lapelyje arba kaip nurodė gydytojas arba vaistininkas. Jeigu abejojate, kreipkitės į gydytoją arba vaistininką.</w:t>
      </w:r>
    </w:p>
    <w:p w14:paraId="75AA6E7B" w14:textId="77777777" w:rsidR="00611477" w:rsidRPr="00507EDE" w:rsidRDefault="00611477" w:rsidP="00611477">
      <w:pPr>
        <w:rPr>
          <w:sz w:val="22"/>
          <w:szCs w:val="22"/>
        </w:rPr>
      </w:pPr>
      <w:r w:rsidRPr="00507EDE">
        <w:rPr>
          <w:sz w:val="22"/>
          <w:szCs w:val="22"/>
        </w:rPr>
        <w:t xml:space="preserve">Tabletes nurykite užgerdami pakankamu kiekiu vandens. </w:t>
      </w:r>
    </w:p>
    <w:p w14:paraId="59D88F51" w14:textId="265D4844" w:rsidR="000E192C" w:rsidRDefault="00611477" w:rsidP="00611477">
      <w:pPr>
        <w:rPr>
          <w:sz w:val="22"/>
          <w:szCs w:val="22"/>
        </w:rPr>
      </w:pPr>
      <w:r w:rsidRPr="00507EDE">
        <w:rPr>
          <w:sz w:val="22"/>
          <w:szCs w:val="22"/>
        </w:rPr>
        <w:t>Tabletę galima padalyti į dvi lygias dozes.</w:t>
      </w:r>
    </w:p>
    <w:p w14:paraId="215B5BC3" w14:textId="77777777" w:rsidR="006A5E53" w:rsidRPr="00507EDE" w:rsidRDefault="006A5E53" w:rsidP="00611477">
      <w:pPr>
        <w:rPr>
          <w:sz w:val="22"/>
          <w:szCs w:val="22"/>
        </w:rPr>
      </w:pPr>
    </w:p>
    <w:p w14:paraId="0FF237BF" w14:textId="108D8469" w:rsidR="00611477" w:rsidRPr="00F75CC2" w:rsidRDefault="00FB45AC" w:rsidP="00611477">
      <w:pPr>
        <w:rPr>
          <w:sz w:val="22"/>
          <w:szCs w:val="22"/>
        </w:rPr>
      </w:pPr>
      <w:r w:rsidRPr="00F75CC2">
        <w:rPr>
          <w:sz w:val="22"/>
          <w:szCs w:val="22"/>
        </w:rPr>
        <w:t>Įprastinė dozė yra:</w:t>
      </w:r>
    </w:p>
    <w:p w14:paraId="5497C56E" w14:textId="4A0BE5AB" w:rsidR="00FB45AC" w:rsidRPr="00F75CC2" w:rsidRDefault="00FB45AC" w:rsidP="00FB45AC">
      <w:pPr>
        <w:rPr>
          <w:sz w:val="22"/>
          <w:szCs w:val="22"/>
        </w:rPr>
      </w:pPr>
      <w:r w:rsidRPr="00F75CC2">
        <w:rPr>
          <w:i/>
          <w:iCs/>
          <w:sz w:val="22"/>
          <w:szCs w:val="22"/>
        </w:rPr>
        <w:t>Suaugusiesiems</w:t>
      </w:r>
      <w:r w:rsidRPr="00F75CC2">
        <w:rPr>
          <w:sz w:val="22"/>
          <w:szCs w:val="22"/>
        </w:rPr>
        <w:t>: 500</w:t>
      </w:r>
      <w:r w:rsidR="00735115">
        <w:rPr>
          <w:sz w:val="22"/>
          <w:szCs w:val="22"/>
        </w:rPr>
        <w:t>-</w:t>
      </w:r>
      <w:r w:rsidRPr="00F75CC2">
        <w:rPr>
          <w:sz w:val="22"/>
          <w:szCs w:val="22"/>
        </w:rPr>
        <w:t>1</w:t>
      </w:r>
      <w:r w:rsidR="00735115">
        <w:rPr>
          <w:sz w:val="22"/>
          <w:szCs w:val="22"/>
        </w:rPr>
        <w:t> </w:t>
      </w:r>
      <w:r w:rsidRPr="00F75CC2">
        <w:rPr>
          <w:sz w:val="22"/>
          <w:szCs w:val="22"/>
        </w:rPr>
        <w:t>000 mg</w:t>
      </w:r>
      <w:r w:rsidR="004374C7" w:rsidRPr="00F75CC2">
        <w:rPr>
          <w:sz w:val="22"/>
          <w:szCs w:val="22"/>
        </w:rPr>
        <w:t xml:space="preserve"> (1-2 tabletės)</w:t>
      </w:r>
      <w:r w:rsidRPr="00F75CC2">
        <w:rPr>
          <w:sz w:val="22"/>
          <w:szCs w:val="22"/>
        </w:rPr>
        <w:t xml:space="preserve"> 3</w:t>
      </w:r>
      <w:r w:rsidR="00735115">
        <w:rPr>
          <w:sz w:val="22"/>
          <w:szCs w:val="22"/>
        </w:rPr>
        <w:t>-</w:t>
      </w:r>
      <w:r w:rsidRPr="00F75CC2">
        <w:rPr>
          <w:sz w:val="22"/>
          <w:szCs w:val="22"/>
        </w:rPr>
        <w:t xml:space="preserve">4 kartus per parą. </w:t>
      </w:r>
    </w:p>
    <w:p w14:paraId="43090CC4" w14:textId="0CE48A6E" w:rsidR="00FB45AC" w:rsidRPr="00F75CC2" w:rsidRDefault="00FB45AC" w:rsidP="00FB45AC">
      <w:pPr>
        <w:rPr>
          <w:sz w:val="22"/>
          <w:szCs w:val="22"/>
        </w:rPr>
      </w:pPr>
      <w:r w:rsidRPr="00F75CC2">
        <w:rPr>
          <w:sz w:val="22"/>
          <w:szCs w:val="22"/>
        </w:rPr>
        <w:t>Didžiausia paros dozė suaugusiesiems – 4</w:t>
      </w:r>
      <w:r w:rsidR="00735115">
        <w:rPr>
          <w:sz w:val="22"/>
          <w:szCs w:val="22"/>
        </w:rPr>
        <w:t> </w:t>
      </w:r>
      <w:r w:rsidRPr="00F75CC2">
        <w:rPr>
          <w:sz w:val="22"/>
          <w:szCs w:val="22"/>
        </w:rPr>
        <w:t>000 mg (8 tabletės).</w:t>
      </w:r>
    </w:p>
    <w:p w14:paraId="4D3B8335" w14:textId="77777777" w:rsidR="00FB45AC" w:rsidRPr="00F75CC2" w:rsidRDefault="00FB45AC" w:rsidP="00FB45AC">
      <w:pPr>
        <w:rPr>
          <w:sz w:val="22"/>
          <w:szCs w:val="22"/>
        </w:rPr>
      </w:pPr>
    </w:p>
    <w:p w14:paraId="7F257772" w14:textId="71DE8485" w:rsidR="00FB45AC" w:rsidRPr="00F75CC2" w:rsidRDefault="00FB45AC" w:rsidP="00FB45AC">
      <w:pPr>
        <w:rPr>
          <w:i/>
          <w:iCs/>
          <w:sz w:val="22"/>
          <w:szCs w:val="22"/>
          <w:u w:val="single"/>
        </w:rPr>
      </w:pPr>
      <w:r w:rsidRPr="00F75CC2">
        <w:rPr>
          <w:i/>
          <w:iCs/>
          <w:sz w:val="22"/>
          <w:szCs w:val="22"/>
          <w:u w:val="single"/>
        </w:rPr>
        <w:t>Vaik</w:t>
      </w:r>
      <w:r w:rsidR="00C574EA" w:rsidRPr="00F75CC2">
        <w:rPr>
          <w:i/>
          <w:iCs/>
          <w:sz w:val="22"/>
          <w:szCs w:val="22"/>
          <w:u w:val="single"/>
        </w:rPr>
        <w:t>ams ir paaugliams</w:t>
      </w:r>
    </w:p>
    <w:p w14:paraId="24ADD015" w14:textId="7538C926" w:rsidR="00F40649" w:rsidRDefault="00F40649" w:rsidP="00F40649">
      <w:pPr>
        <w:rPr>
          <w:sz w:val="22"/>
          <w:szCs w:val="22"/>
        </w:rPr>
      </w:pPr>
      <w:r>
        <w:rPr>
          <w:i/>
          <w:iCs/>
          <w:sz w:val="22"/>
          <w:szCs w:val="22"/>
        </w:rPr>
        <w:t xml:space="preserve">Paaugliams ir vaikams, kurių kūno svoris yra 50 kg ar daugiau: </w:t>
      </w:r>
      <w:r>
        <w:rPr>
          <w:sz w:val="22"/>
          <w:szCs w:val="22"/>
        </w:rPr>
        <w:t>1-2 tabletės</w:t>
      </w:r>
      <w:r w:rsidRPr="00507EDE">
        <w:rPr>
          <w:sz w:val="22"/>
          <w:szCs w:val="22"/>
        </w:rPr>
        <w:t xml:space="preserve"> </w:t>
      </w:r>
      <w:r>
        <w:rPr>
          <w:sz w:val="22"/>
          <w:szCs w:val="22"/>
        </w:rPr>
        <w:t>(500-1</w:t>
      </w:r>
      <w:r w:rsidR="00735115">
        <w:rPr>
          <w:sz w:val="22"/>
          <w:szCs w:val="22"/>
        </w:rPr>
        <w:t> </w:t>
      </w:r>
      <w:r>
        <w:rPr>
          <w:sz w:val="22"/>
          <w:szCs w:val="22"/>
        </w:rPr>
        <w:t>000</w:t>
      </w:r>
      <w:r w:rsidR="00735115">
        <w:rPr>
          <w:sz w:val="22"/>
          <w:szCs w:val="22"/>
        </w:rPr>
        <w:t> </w:t>
      </w:r>
      <w:r>
        <w:rPr>
          <w:sz w:val="22"/>
          <w:szCs w:val="22"/>
        </w:rPr>
        <w:t xml:space="preserve">mg) </w:t>
      </w:r>
      <w:r w:rsidRPr="00507EDE">
        <w:rPr>
          <w:sz w:val="22"/>
          <w:szCs w:val="22"/>
        </w:rPr>
        <w:t>3</w:t>
      </w:r>
      <w:r w:rsidR="00735115">
        <w:rPr>
          <w:sz w:val="22"/>
          <w:szCs w:val="22"/>
        </w:rPr>
        <w:t>-</w:t>
      </w:r>
      <w:r w:rsidRPr="00507EDE">
        <w:rPr>
          <w:sz w:val="22"/>
          <w:szCs w:val="22"/>
        </w:rPr>
        <w:t>4 kartus per parą.</w:t>
      </w:r>
    </w:p>
    <w:p w14:paraId="3B148C2C" w14:textId="77777777" w:rsidR="00F40649" w:rsidRDefault="00F40649" w:rsidP="00F40649">
      <w:pPr>
        <w:rPr>
          <w:sz w:val="22"/>
          <w:szCs w:val="22"/>
        </w:rPr>
      </w:pPr>
    </w:p>
    <w:p w14:paraId="1E5245F5" w14:textId="1E89A15B" w:rsidR="00F40649" w:rsidRDefault="00F40649" w:rsidP="00F40649">
      <w:pPr>
        <w:rPr>
          <w:i/>
          <w:iCs/>
          <w:sz w:val="22"/>
          <w:szCs w:val="22"/>
        </w:rPr>
      </w:pPr>
      <w:r>
        <w:rPr>
          <w:i/>
          <w:iCs/>
          <w:sz w:val="22"/>
          <w:szCs w:val="22"/>
        </w:rPr>
        <w:t xml:space="preserve">Paaugliams ir vaikams, kurių kūno svoris yra nuo 40 kg iki 50 kg : </w:t>
      </w:r>
      <w:r>
        <w:rPr>
          <w:sz w:val="22"/>
          <w:szCs w:val="22"/>
        </w:rPr>
        <w:t>1 tabletė</w:t>
      </w:r>
      <w:r w:rsidRPr="00507EDE">
        <w:rPr>
          <w:sz w:val="22"/>
          <w:szCs w:val="22"/>
        </w:rPr>
        <w:t xml:space="preserve"> </w:t>
      </w:r>
      <w:r>
        <w:rPr>
          <w:sz w:val="22"/>
          <w:szCs w:val="22"/>
        </w:rPr>
        <w:t>(500</w:t>
      </w:r>
      <w:r w:rsidR="005A30B9">
        <w:rPr>
          <w:sz w:val="22"/>
          <w:szCs w:val="22"/>
        </w:rPr>
        <w:t> </w:t>
      </w:r>
      <w:r>
        <w:rPr>
          <w:sz w:val="22"/>
          <w:szCs w:val="22"/>
        </w:rPr>
        <w:t>mg) kas 4</w:t>
      </w:r>
      <w:r w:rsidR="00735115">
        <w:rPr>
          <w:sz w:val="22"/>
          <w:szCs w:val="22"/>
        </w:rPr>
        <w:t>-</w:t>
      </w:r>
      <w:r>
        <w:rPr>
          <w:sz w:val="22"/>
          <w:szCs w:val="22"/>
        </w:rPr>
        <w:t>6 valandas</w:t>
      </w:r>
      <w:r w:rsidRPr="00507EDE">
        <w:rPr>
          <w:sz w:val="22"/>
          <w:szCs w:val="22"/>
        </w:rPr>
        <w:t>.</w:t>
      </w:r>
    </w:p>
    <w:p w14:paraId="555296E7" w14:textId="77777777" w:rsidR="00F40649" w:rsidRDefault="00F40649" w:rsidP="00F40649">
      <w:pPr>
        <w:rPr>
          <w:i/>
          <w:iCs/>
          <w:sz w:val="22"/>
          <w:szCs w:val="22"/>
        </w:rPr>
      </w:pPr>
    </w:p>
    <w:p w14:paraId="5C740005" w14:textId="20FFDEED" w:rsidR="00F40649" w:rsidRDefault="00F40649" w:rsidP="00F40649">
      <w:pPr>
        <w:rPr>
          <w:i/>
          <w:iCs/>
          <w:sz w:val="22"/>
          <w:szCs w:val="22"/>
        </w:rPr>
      </w:pPr>
      <w:r>
        <w:rPr>
          <w:i/>
          <w:iCs/>
          <w:sz w:val="22"/>
          <w:szCs w:val="22"/>
        </w:rPr>
        <w:t xml:space="preserve">Vaikams, kurių kūno svoris yra nuo 30 kg iki 40 kg (apytikris amžius 8-12 metų): </w:t>
      </w:r>
      <w:r w:rsidR="005A30B9">
        <w:rPr>
          <w:sz w:val="22"/>
          <w:szCs w:val="22"/>
        </w:rPr>
        <w:t xml:space="preserve">1 tabletė </w:t>
      </w:r>
      <w:r>
        <w:rPr>
          <w:sz w:val="22"/>
          <w:szCs w:val="22"/>
        </w:rPr>
        <w:t>(</w:t>
      </w:r>
      <w:r w:rsidR="005A30B9">
        <w:rPr>
          <w:sz w:val="22"/>
          <w:szCs w:val="22"/>
        </w:rPr>
        <w:t>500 mg</w:t>
      </w:r>
      <w:r>
        <w:rPr>
          <w:sz w:val="22"/>
          <w:szCs w:val="22"/>
        </w:rPr>
        <w:t>) 3</w:t>
      </w:r>
      <w:r w:rsidR="00735115">
        <w:rPr>
          <w:sz w:val="22"/>
          <w:szCs w:val="22"/>
        </w:rPr>
        <w:t>-</w:t>
      </w:r>
      <w:r>
        <w:rPr>
          <w:sz w:val="22"/>
          <w:szCs w:val="22"/>
        </w:rPr>
        <w:t>4 kartus per parą</w:t>
      </w:r>
      <w:r w:rsidRPr="00507EDE">
        <w:rPr>
          <w:sz w:val="22"/>
          <w:szCs w:val="22"/>
        </w:rPr>
        <w:t>.</w:t>
      </w:r>
    </w:p>
    <w:p w14:paraId="6931B36E" w14:textId="1317ECC9" w:rsidR="00F40649" w:rsidRDefault="005A30B9" w:rsidP="00F40649">
      <w:pPr>
        <w:rPr>
          <w:i/>
          <w:iCs/>
          <w:sz w:val="22"/>
          <w:szCs w:val="22"/>
        </w:rPr>
      </w:pPr>
      <w:r w:rsidRPr="005A30B9">
        <w:rPr>
          <w:sz w:val="22"/>
          <w:szCs w:val="22"/>
        </w:rPr>
        <w:t>Nevartokite daugiau kaip 4 tablečių (2</w:t>
      </w:r>
      <w:r w:rsidR="00735115">
        <w:rPr>
          <w:sz w:val="22"/>
          <w:szCs w:val="22"/>
        </w:rPr>
        <w:t> </w:t>
      </w:r>
      <w:r w:rsidRPr="005A30B9">
        <w:rPr>
          <w:sz w:val="22"/>
          <w:szCs w:val="22"/>
        </w:rPr>
        <w:t>000</w:t>
      </w:r>
      <w:r w:rsidR="00735115">
        <w:rPr>
          <w:sz w:val="22"/>
          <w:szCs w:val="22"/>
        </w:rPr>
        <w:t> </w:t>
      </w:r>
      <w:r w:rsidRPr="005A30B9">
        <w:rPr>
          <w:sz w:val="22"/>
          <w:szCs w:val="22"/>
        </w:rPr>
        <w:t>mg) per 24 valandas.</w:t>
      </w:r>
    </w:p>
    <w:p w14:paraId="32BD6737" w14:textId="77777777" w:rsidR="00F40649" w:rsidRDefault="00F40649" w:rsidP="00F40649">
      <w:pPr>
        <w:rPr>
          <w:i/>
          <w:iCs/>
          <w:sz w:val="22"/>
          <w:szCs w:val="22"/>
        </w:rPr>
      </w:pPr>
    </w:p>
    <w:p w14:paraId="272D842C" w14:textId="17E3A7D3" w:rsidR="00F40649" w:rsidRDefault="00F40649" w:rsidP="00F40649">
      <w:pPr>
        <w:rPr>
          <w:sz w:val="22"/>
          <w:szCs w:val="22"/>
        </w:rPr>
      </w:pPr>
      <w:r>
        <w:rPr>
          <w:i/>
          <w:iCs/>
          <w:sz w:val="22"/>
          <w:szCs w:val="22"/>
        </w:rPr>
        <w:t xml:space="preserve">Vaikams, kurių kūno svoris yra nuo 20 kg iki 30 kg (apytikris amžius </w:t>
      </w:r>
      <w:r w:rsidRPr="00507EDE">
        <w:rPr>
          <w:i/>
          <w:iCs/>
          <w:sz w:val="22"/>
          <w:szCs w:val="22"/>
        </w:rPr>
        <w:t>6-1</w:t>
      </w:r>
      <w:r>
        <w:rPr>
          <w:i/>
          <w:iCs/>
          <w:sz w:val="22"/>
          <w:szCs w:val="22"/>
        </w:rPr>
        <w:t>0</w:t>
      </w:r>
      <w:r w:rsidRPr="00507EDE">
        <w:rPr>
          <w:i/>
          <w:iCs/>
          <w:sz w:val="22"/>
          <w:szCs w:val="22"/>
        </w:rPr>
        <w:t> metų</w:t>
      </w:r>
      <w:r>
        <w:rPr>
          <w:i/>
          <w:iCs/>
          <w:sz w:val="22"/>
          <w:szCs w:val="22"/>
        </w:rPr>
        <w:t>):</w:t>
      </w:r>
      <w:r w:rsidRPr="00507EDE">
        <w:rPr>
          <w:sz w:val="22"/>
          <w:szCs w:val="22"/>
        </w:rPr>
        <w:t xml:space="preserve"> </w:t>
      </w:r>
      <w:r w:rsidR="005A30B9">
        <w:rPr>
          <w:sz w:val="22"/>
          <w:szCs w:val="22"/>
        </w:rPr>
        <w:t>pusė tabletės (</w:t>
      </w:r>
      <w:r w:rsidRPr="00507EDE">
        <w:rPr>
          <w:sz w:val="22"/>
          <w:szCs w:val="22"/>
        </w:rPr>
        <w:t>250</w:t>
      </w:r>
      <w:r>
        <w:rPr>
          <w:sz w:val="22"/>
          <w:szCs w:val="22"/>
        </w:rPr>
        <w:t> mg</w:t>
      </w:r>
      <w:r w:rsidR="005A30B9">
        <w:rPr>
          <w:sz w:val="22"/>
          <w:szCs w:val="22"/>
        </w:rPr>
        <w:t>)</w:t>
      </w:r>
      <w:r w:rsidRPr="00507EDE">
        <w:rPr>
          <w:sz w:val="22"/>
          <w:szCs w:val="22"/>
        </w:rPr>
        <w:t xml:space="preserve"> 3</w:t>
      </w:r>
      <w:r w:rsidR="00735115">
        <w:rPr>
          <w:sz w:val="22"/>
          <w:szCs w:val="22"/>
        </w:rPr>
        <w:t>-</w:t>
      </w:r>
      <w:r w:rsidRPr="00507EDE">
        <w:rPr>
          <w:sz w:val="22"/>
          <w:szCs w:val="22"/>
        </w:rPr>
        <w:t xml:space="preserve">4 kartus per parą. </w:t>
      </w:r>
    </w:p>
    <w:p w14:paraId="183441A3" w14:textId="77777777" w:rsidR="00F40649" w:rsidRDefault="00F40649" w:rsidP="00F40649">
      <w:pPr>
        <w:rPr>
          <w:sz w:val="22"/>
          <w:szCs w:val="22"/>
        </w:rPr>
      </w:pPr>
      <w:r w:rsidRPr="00CE68DB">
        <w:rPr>
          <w:sz w:val="22"/>
          <w:szCs w:val="22"/>
        </w:rPr>
        <w:t>Vartojimo intervalas turi būti ne trumpesnis kaip 4 valandos.</w:t>
      </w:r>
    </w:p>
    <w:p w14:paraId="27C6BFCA" w14:textId="45F6C729" w:rsidR="00F40649" w:rsidRDefault="00292F25" w:rsidP="00F40649">
      <w:pPr>
        <w:rPr>
          <w:sz w:val="22"/>
          <w:szCs w:val="22"/>
        </w:rPr>
      </w:pPr>
      <w:r w:rsidRPr="00292F25">
        <w:rPr>
          <w:sz w:val="22"/>
          <w:szCs w:val="22"/>
        </w:rPr>
        <w:t>Nevartokite daugiau kaip 2 tablečių (1</w:t>
      </w:r>
      <w:r w:rsidR="00735115">
        <w:rPr>
          <w:sz w:val="22"/>
          <w:szCs w:val="22"/>
        </w:rPr>
        <w:t> </w:t>
      </w:r>
      <w:r w:rsidRPr="00292F25">
        <w:rPr>
          <w:sz w:val="22"/>
          <w:szCs w:val="22"/>
        </w:rPr>
        <w:t>000 mg) per 24 valandas.</w:t>
      </w:r>
    </w:p>
    <w:p w14:paraId="151880BE" w14:textId="77777777" w:rsidR="00F40649" w:rsidRPr="00F75CC2" w:rsidRDefault="00F40649" w:rsidP="00FB45AC">
      <w:pPr>
        <w:rPr>
          <w:sz w:val="22"/>
          <w:szCs w:val="22"/>
        </w:rPr>
      </w:pPr>
    </w:p>
    <w:p w14:paraId="2FE62CA2" w14:textId="7C6C00A1" w:rsidR="00FB45AC" w:rsidRPr="00F75CC2" w:rsidRDefault="00FB45AC" w:rsidP="00FB45AC">
      <w:pPr>
        <w:rPr>
          <w:sz w:val="22"/>
          <w:szCs w:val="22"/>
        </w:rPr>
      </w:pPr>
      <w:r w:rsidRPr="00F75CC2">
        <w:rPr>
          <w:i/>
          <w:iCs/>
          <w:sz w:val="22"/>
          <w:szCs w:val="22"/>
        </w:rPr>
        <w:t>Vaikams iki 6 metų</w:t>
      </w:r>
      <w:r w:rsidR="00937AE2" w:rsidRPr="00F75CC2">
        <w:rPr>
          <w:i/>
          <w:iCs/>
          <w:sz w:val="22"/>
          <w:szCs w:val="22"/>
        </w:rPr>
        <w:t xml:space="preserve"> </w:t>
      </w:r>
      <w:r w:rsidR="00937AE2" w:rsidRPr="00E21990">
        <w:rPr>
          <w:i/>
          <w:iCs/>
          <w:sz w:val="22"/>
          <w:szCs w:val="22"/>
        </w:rPr>
        <w:t>arba vaikams, kurių kūno svoris yra mažesnis nei 20</w:t>
      </w:r>
      <w:r w:rsidR="00735115">
        <w:rPr>
          <w:i/>
          <w:iCs/>
          <w:sz w:val="22"/>
          <w:szCs w:val="22"/>
        </w:rPr>
        <w:t> </w:t>
      </w:r>
      <w:r w:rsidR="00937AE2" w:rsidRPr="00E21990">
        <w:rPr>
          <w:i/>
          <w:iCs/>
          <w:sz w:val="22"/>
          <w:szCs w:val="22"/>
        </w:rPr>
        <w:t>kg</w:t>
      </w:r>
      <w:r w:rsidRPr="00F75CC2">
        <w:rPr>
          <w:sz w:val="22"/>
          <w:szCs w:val="22"/>
        </w:rPr>
        <w:t>: jaunesniems kaip 6 metų vaikams</w:t>
      </w:r>
      <w:r w:rsidR="00937AE2" w:rsidRPr="00F75CC2">
        <w:rPr>
          <w:sz w:val="22"/>
          <w:szCs w:val="22"/>
        </w:rPr>
        <w:t xml:space="preserve"> </w:t>
      </w:r>
      <w:bookmarkStart w:id="5" w:name="_Hlk190250616"/>
      <w:r w:rsidR="00937AE2" w:rsidRPr="00E21990">
        <w:rPr>
          <w:sz w:val="22"/>
          <w:szCs w:val="22"/>
        </w:rPr>
        <w:t>arba vaikams, kurių kūno svoris yra mažesnis nei 20</w:t>
      </w:r>
      <w:r w:rsidR="00735115">
        <w:rPr>
          <w:sz w:val="22"/>
          <w:szCs w:val="22"/>
        </w:rPr>
        <w:t> </w:t>
      </w:r>
      <w:r w:rsidR="00937AE2" w:rsidRPr="00E21990">
        <w:rPr>
          <w:sz w:val="22"/>
          <w:szCs w:val="22"/>
        </w:rPr>
        <w:t>kg,</w:t>
      </w:r>
      <w:bookmarkEnd w:id="5"/>
      <w:r w:rsidRPr="00F75CC2">
        <w:rPr>
          <w:sz w:val="22"/>
          <w:szCs w:val="22"/>
        </w:rPr>
        <w:t xml:space="preserve"> ši farmacinė forma vartoti netinka.</w:t>
      </w:r>
      <w:r w:rsidR="00F75CC2" w:rsidRPr="00F75CC2">
        <w:rPr>
          <w:sz w:val="22"/>
          <w:szCs w:val="22"/>
        </w:rPr>
        <w:t xml:space="preserve"> Pasitarkite su gydytoju arba vaistininku.</w:t>
      </w:r>
    </w:p>
    <w:p w14:paraId="70114840" w14:textId="77777777" w:rsidR="002C0333" w:rsidRPr="00507EDE" w:rsidRDefault="002C0333" w:rsidP="002C0333">
      <w:pPr>
        <w:rPr>
          <w:sz w:val="22"/>
        </w:rPr>
      </w:pPr>
    </w:p>
    <w:p w14:paraId="023C585D" w14:textId="0E3EC4D8" w:rsidR="002C0333" w:rsidRPr="00507EDE" w:rsidRDefault="002C0333" w:rsidP="002C0333">
      <w:pPr>
        <w:rPr>
          <w:sz w:val="22"/>
        </w:rPr>
      </w:pPr>
      <w:r w:rsidRPr="00507EDE">
        <w:rPr>
          <w:sz w:val="22"/>
        </w:rPr>
        <w:t>Pacientams, kuriems yra vidutinio sunkumo inkstų nepakankamumas (glomerulų filtracijos greitis (GFG) = 10–50 ml/min.), intervalą tarp dozavimo rekomenduojama didinti iki kas 6 val., o sunkiu inkstų nepakankamumu sergantiems pacientams (GFG = mažiau nei 10 ml/min.) – kas 8 val.</w:t>
      </w:r>
    </w:p>
    <w:p w14:paraId="60168C20" w14:textId="77777777" w:rsidR="002C0333" w:rsidRPr="00507EDE" w:rsidRDefault="002C0333" w:rsidP="002C0333">
      <w:pPr>
        <w:rPr>
          <w:sz w:val="22"/>
        </w:rPr>
      </w:pPr>
    </w:p>
    <w:p w14:paraId="5C0A8523" w14:textId="6379AC0A" w:rsidR="002C0333" w:rsidRPr="00507EDE" w:rsidRDefault="002C0333" w:rsidP="002C0333">
      <w:pPr>
        <w:rPr>
          <w:sz w:val="22"/>
          <w:szCs w:val="22"/>
        </w:rPr>
      </w:pPr>
      <w:r w:rsidRPr="00507EDE">
        <w:rPr>
          <w:sz w:val="22"/>
        </w:rPr>
        <w:t xml:space="preserve">Silpniems, senyviems pacientams ir mažiau nei 50 kg sveriantiems suaugusiesiems, turintiems valgymo sutrikimų ar lėtinių ligų, paracetamolio dozė turi būti koreguojama atsižvelgiant į jų </w:t>
      </w:r>
      <w:r w:rsidR="00AD11E3">
        <w:rPr>
          <w:sz w:val="22"/>
        </w:rPr>
        <w:t xml:space="preserve">kūno </w:t>
      </w:r>
      <w:r w:rsidRPr="00507EDE">
        <w:rPr>
          <w:sz w:val="22"/>
        </w:rPr>
        <w:t>svorį, 15 mg/kg/dozė kas 4–6 valandas iki 4 kartų per parą</w:t>
      </w:r>
      <w:r w:rsidRPr="00507EDE">
        <w:rPr>
          <w:sz w:val="20"/>
          <w:szCs w:val="22"/>
        </w:rPr>
        <w:t xml:space="preserve"> </w:t>
      </w:r>
    </w:p>
    <w:p w14:paraId="2C4B0FBB" w14:textId="77777777" w:rsidR="00FB45AC" w:rsidRPr="00507EDE" w:rsidRDefault="00FB45AC" w:rsidP="00FB45AC">
      <w:pPr>
        <w:rPr>
          <w:sz w:val="22"/>
          <w:szCs w:val="22"/>
        </w:rPr>
      </w:pPr>
    </w:p>
    <w:p w14:paraId="56A73A58" w14:textId="680E189A" w:rsidR="00FB45AC" w:rsidRPr="00507EDE" w:rsidRDefault="00FB45AC" w:rsidP="00FB45AC">
      <w:pPr>
        <w:rPr>
          <w:sz w:val="22"/>
          <w:szCs w:val="22"/>
        </w:rPr>
      </w:pPr>
      <w:r w:rsidRPr="00507EDE">
        <w:rPr>
          <w:sz w:val="22"/>
          <w:szCs w:val="22"/>
        </w:rPr>
        <w:t>Rekomenduojamas 4</w:t>
      </w:r>
      <w:r w:rsidR="00735115">
        <w:rPr>
          <w:sz w:val="22"/>
          <w:szCs w:val="22"/>
        </w:rPr>
        <w:t>-</w:t>
      </w:r>
      <w:r w:rsidRPr="00507EDE">
        <w:rPr>
          <w:sz w:val="22"/>
          <w:szCs w:val="22"/>
        </w:rPr>
        <w:t xml:space="preserve">6 valandų intervalas tarp vartojimo. Jei reikia, vaistinis preparatas gali būti skiriamas kas 4 valandas iki 4 dozių per parą. Neviršykite rekomenduojamos paros dozės. </w:t>
      </w:r>
    </w:p>
    <w:p w14:paraId="687631C2" w14:textId="59C2D47D" w:rsidR="00FB45AC" w:rsidRPr="00507EDE" w:rsidRDefault="00AD11E3" w:rsidP="00FB45AC">
      <w:pPr>
        <w:rPr>
          <w:sz w:val="22"/>
          <w:szCs w:val="22"/>
        </w:rPr>
      </w:pPr>
      <w:r>
        <w:rPr>
          <w:sz w:val="22"/>
          <w:szCs w:val="22"/>
        </w:rPr>
        <w:t>Didžiausia</w:t>
      </w:r>
      <w:r w:rsidRPr="00507EDE">
        <w:rPr>
          <w:sz w:val="22"/>
          <w:szCs w:val="22"/>
        </w:rPr>
        <w:t xml:space="preserve"> </w:t>
      </w:r>
      <w:r w:rsidR="00FB45AC" w:rsidRPr="00507EDE">
        <w:rPr>
          <w:sz w:val="22"/>
          <w:szCs w:val="22"/>
        </w:rPr>
        <w:t>gydymo be gydytojo konsultacijos trukmė neturi viršyti 3 dienų.</w:t>
      </w:r>
    </w:p>
    <w:p w14:paraId="240A8AD9" w14:textId="77777777" w:rsidR="00FB45AC" w:rsidRPr="00507EDE" w:rsidRDefault="00FB45AC" w:rsidP="00611477">
      <w:pPr>
        <w:rPr>
          <w:sz w:val="22"/>
          <w:szCs w:val="22"/>
        </w:rPr>
      </w:pPr>
    </w:p>
    <w:p w14:paraId="72244981" w14:textId="57674BE1" w:rsidR="000E192C" w:rsidRPr="00507EDE" w:rsidRDefault="000E192C" w:rsidP="000E192C">
      <w:pPr>
        <w:rPr>
          <w:b/>
          <w:sz w:val="22"/>
          <w:szCs w:val="22"/>
        </w:rPr>
      </w:pPr>
      <w:r w:rsidRPr="00507EDE">
        <w:rPr>
          <w:b/>
          <w:sz w:val="22"/>
          <w:szCs w:val="22"/>
        </w:rPr>
        <w:t xml:space="preserve">Ką daryti pavartojus per didelę Paracetamol </w:t>
      </w:r>
      <w:r w:rsidR="00F5364E">
        <w:rPr>
          <w:b/>
          <w:sz w:val="22"/>
          <w:szCs w:val="22"/>
        </w:rPr>
        <w:t>Hiltrex</w:t>
      </w:r>
      <w:r w:rsidRPr="00507EDE">
        <w:rPr>
          <w:b/>
          <w:sz w:val="22"/>
          <w:szCs w:val="22"/>
        </w:rPr>
        <w:t xml:space="preserve"> dozę</w:t>
      </w:r>
    </w:p>
    <w:p w14:paraId="60B3A2B9" w14:textId="77777777" w:rsidR="00FB45AC" w:rsidRPr="00507EDE" w:rsidRDefault="00FB45AC" w:rsidP="00FB45AC">
      <w:pPr>
        <w:jc w:val="both"/>
        <w:rPr>
          <w:bCs/>
          <w:sz w:val="22"/>
          <w:szCs w:val="22"/>
        </w:rPr>
      </w:pPr>
      <w:r w:rsidRPr="00507EDE">
        <w:rPr>
          <w:bCs/>
          <w:sz w:val="22"/>
          <w:szCs w:val="22"/>
        </w:rPr>
        <w:t>Jei išgėrėte didesnę dozę nei rekomenduojama, gali pasireikšti ankstyvieji apsinuodijimo simptomai - skrandžio skausmas, pykinimas, vėmimas, apetito praradimas, nervingumas, bloga savijauta.</w:t>
      </w:r>
    </w:p>
    <w:p w14:paraId="1DEEDC9E" w14:textId="66768997" w:rsidR="000E192C" w:rsidRPr="00507EDE" w:rsidRDefault="00FB45AC" w:rsidP="00FB45AC">
      <w:pPr>
        <w:jc w:val="both"/>
        <w:rPr>
          <w:bCs/>
          <w:sz w:val="22"/>
          <w:szCs w:val="22"/>
        </w:rPr>
      </w:pPr>
      <w:r w:rsidRPr="00507EDE">
        <w:rPr>
          <w:bCs/>
          <w:sz w:val="22"/>
          <w:szCs w:val="22"/>
        </w:rPr>
        <w:t>Jeigu įtariate, kad išgėrėte didesnę paracetamolio dozę, nedelsdami pasakykite gydytojui, net jeigu jaučiatės gerai.</w:t>
      </w:r>
    </w:p>
    <w:p w14:paraId="6E119FA3" w14:textId="77777777" w:rsidR="00FB45AC" w:rsidRPr="00507EDE" w:rsidRDefault="00FB45AC" w:rsidP="00FB45AC">
      <w:pPr>
        <w:jc w:val="both"/>
        <w:rPr>
          <w:bCs/>
          <w:sz w:val="22"/>
          <w:szCs w:val="22"/>
        </w:rPr>
      </w:pPr>
    </w:p>
    <w:p w14:paraId="6F925CC2" w14:textId="401A40C0" w:rsidR="000E192C" w:rsidRPr="00507EDE" w:rsidRDefault="000E192C" w:rsidP="000E192C">
      <w:pPr>
        <w:keepNext/>
        <w:tabs>
          <w:tab w:val="left" w:pos="567"/>
        </w:tabs>
        <w:jc w:val="both"/>
        <w:outlineLvl w:val="3"/>
        <w:rPr>
          <w:sz w:val="22"/>
          <w:szCs w:val="22"/>
        </w:rPr>
      </w:pPr>
      <w:r w:rsidRPr="00507EDE">
        <w:rPr>
          <w:b/>
          <w:sz w:val="22"/>
          <w:szCs w:val="22"/>
        </w:rPr>
        <w:t xml:space="preserve">Pamiršus pavartoti Paracetamol </w:t>
      </w:r>
      <w:r w:rsidR="00F5364E">
        <w:rPr>
          <w:b/>
          <w:sz w:val="22"/>
          <w:szCs w:val="22"/>
        </w:rPr>
        <w:t>Hiltrex</w:t>
      </w:r>
    </w:p>
    <w:p w14:paraId="7FE3F9B7" w14:textId="77A602DB" w:rsidR="000E192C" w:rsidRPr="00507EDE" w:rsidRDefault="00FB45AC" w:rsidP="000E192C">
      <w:pPr>
        <w:rPr>
          <w:sz w:val="22"/>
          <w:szCs w:val="22"/>
        </w:rPr>
      </w:pPr>
      <w:r w:rsidRPr="00507EDE">
        <w:rPr>
          <w:sz w:val="22"/>
          <w:szCs w:val="22"/>
        </w:rPr>
        <w:t>Jei praleidote dozę, išgerkite ją kuo greičiau. Jei jau beveik atėjo laikas vartoti kitą dozę, išgerkite ją kaip įprastai. Negalima vartoti dvigubos dozės norint kompensuoti praleistą dozę.</w:t>
      </w:r>
    </w:p>
    <w:p w14:paraId="428D58DE" w14:textId="77777777" w:rsidR="00FB45AC" w:rsidRPr="00507EDE" w:rsidRDefault="00FB45AC" w:rsidP="000E192C">
      <w:pPr>
        <w:rPr>
          <w:sz w:val="22"/>
          <w:szCs w:val="22"/>
        </w:rPr>
      </w:pPr>
    </w:p>
    <w:p w14:paraId="67EFE6B3" w14:textId="77777777" w:rsidR="000E192C" w:rsidRPr="00507EDE" w:rsidRDefault="000E192C" w:rsidP="000E192C">
      <w:pPr>
        <w:rPr>
          <w:sz w:val="22"/>
          <w:szCs w:val="22"/>
        </w:rPr>
      </w:pPr>
      <w:r w:rsidRPr="00507EDE">
        <w:rPr>
          <w:sz w:val="22"/>
          <w:szCs w:val="22"/>
        </w:rPr>
        <w:t>Jeigu kiltų daugiau klausimų dėl šio vaisto vartojimo, kreipkitės į gydytoją arba vaistininką.</w:t>
      </w:r>
    </w:p>
    <w:p w14:paraId="79725FBA" w14:textId="77777777" w:rsidR="000E192C" w:rsidRPr="00507EDE" w:rsidRDefault="000E192C" w:rsidP="000E192C">
      <w:pPr>
        <w:rPr>
          <w:b/>
          <w:caps/>
          <w:sz w:val="22"/>
          <w:szCs w:val="22"/>
        </w:rPr>
      </w:pPr>
    </w:p>
    <w:p w14:paraId="33CF68B1" w14:textId="77777777" w:rsidR="000E192C" w:rsidRPr="00507EDE" w:rsidRDefault="000E192C" w:rsidP="000E192C">
      <w:pPr>
        <w:rPr>
          <w:b/>
          <w:caps/>
          <w:sz w:val="22"/>
          <w:szCs w:val="22"/>
        </w:rPr>
      </w:pPr>
    </w:p>
    <w:p w14:paraId="36F02D89" w14:textId="77777777" w:rsidR="000E192C" w:rsidRPr="00507EDE" w:rsidRDefault="000E192C" w:rsidP="000E192C">
      <w:pPr>
        <w:keepNext/>
        <w:keepLines/>
        <w:tabs>
          <w:tab w:val="left" w:pos="567"/>
        </w:tabs>
        <w:outlineLvl w:val="2"/>
        <w:rPr>
          <w:sz w:val="22"/>
          <w:szCs w:val="22"/>
        </w:rPr>
      </w:pPr>
      <w:r w:rsidRPr="00507EDE">
        <w:rPr>
          <w:b/>
          <w:sz w:val="22"/>
          <w:szCs w:val="22"/>
        </w:rPr>
        <w:t>4.</w:t>
      </w:r>
      <w:r w:rsidRPr="00507EDE">
        <w:rPr>
          <w:b/>
          <w:sz w:val="22"/>
          <w:szCs w:val="22"/>
        </w:rPr>
        <w:tab/>
        <w:t>Galimas šalutinis poveikis</w:t>
      </w:r>
    </w:p>
    <w:p w14:paraId="370FB570" w14:textId="77777777" w:rsidR="000E192C" w:rsidRPr="00507EDE" w:rsidRDefault="000E192C" w:rsidP="000E192C">
      <w:pPr>
        <w:rPr>
          <w:rFonts w:eastAsia="MS Mincho"/>
          <w:sz w:val="22"/>
          <w:szCs w:val="22"/>
          <w:lang w:eastAsia="fr-FR"/>
        </w:rPr>
      </w:pPr>
    </w:p>
    <w:p w14:paraId="70B06D44" w14:textId="77777777" w:rsidR="000E192C" w:rsidRPr="00507EDE" w:rsidRDefault="000E192C" w:rsidP="000E192C">
      <w:pPr>
        <w:ind w:right="-29"/>
        <w:rPr>
          <w:sz w:val="22"/>
          <w:szCs w:val="22"/>
        </w:rPr>
      </w:pPr>
      <w:r w:rsidRPr="00507EDE">
        <w:rPr>
          <w:sz w:val="22"/>
          <w:szCs w:val="22"/>
        </w:rPr>
        <w:t>Šis vaistas, kaip ir visi kiti, gali sukelti šalutinį poveikį, nors jis pasireiškia ne visiems žmonėms.</w:t>
      </w:r>
    </w:p>
    <w:p w14:paraId="4BDD8D05" w14:textId="77777777" w:rsidR="00863667" w:rsidRPr="00507EDE" w:rsidRDefault="00863667" w:rsidP="000E192C">
      <w:pPr>
        <w:ind w:right="-29"/>
        <w:rPr>
          <w:sz w:val="22"/>
          <w:szCs w:val="22"/>
        </w:rPr>
      </w:pPr>
    </w:p>
    <w:p w14:paraId="7AD81FF8" w14:textId="30D97329" w:rsidR="00C52785" w:rsidRDefault="00C52785" w:rsidP="000E192C">
      <w:pPr>
        <w:ind w:right="-29"/>
        <w:rPr>
          <w:sz w:val="22"/>
          <w:szCs w:val="22"/>
        </w:rPr>
      </w:pPr>
      <w:r w:rsidRPr="00B80741">
        <w:rPr>
          <w:bCs/>
          <w:i/>
          <w:sz w:val="22"/>
          <w:szCs w:val="22"/>
          <w:lang w:eastAsia="lt-LT"/>
        </w:rPr>
        <w:t>Reti šalutinio poveikio reiškiniai (gali pasireikšti rečiau kaip 1 iš 1 000 asmenų)</w:t>
      </w:r>
      <w:r w:rsidR="00735115">
        <w:rPr>
          <w:bCs/>
          <w:i/>
          <w:sz w:val="22"/>
          <w:szCs w:val="22"/>
          <w:lang w:eastAsia="lt-LT"/>
        </w:rPr>
        <w:t>:</w:t>
      </w:r>
      <w:r w:rsidR="00863667" w:rsidRPr="00507EDE">
        <w:rPr>
          <w:sz w:val="22"/>
          <w:szCs w:val="22"/>
        </w:rPr>
        <w:t xml:space="preserve"> gali pasireikšti lengvi virškinimo trakto sutrikimai (pykinimas, vėmimas, pilvo skausmas, viduriavimas).</w:t>
      </w:r>
    </w:p>
    <w:p w14:paraId="65BB32C3" w14:textId="77777777" w:rsidR="00801C49" w:rsidRPr="00507EDE" w:rsidRDefault="00801C49" w:rsidP="000E192C">
      <w:pPr>
        <w:ind w:right="-29"/>
        <w:rPr>
          <w:sz w:val="22"/>
          <w:szCs w:val="22"/>
        </w:rPr>
      </w:pPr>
    </w:p>
    <w:p w14:paraId="3CAD3D23" w14:textId="52E09724" w:rsidR="004549C7" w:rsidRDefault="00C52785" w:rsidP="004549C7">
      <w:pPr>
        <w:ind w:right="-29"/>
        <w:rPr>
          <w:sz w:val="22"/>
          <w:szCs w:val="22"/>
        </w:rPr>
      </w:pPr>
      <w:r w:rsidRPr="00B80741">
        <w:rPr>
          <w:bCs/>
          <w:i/>
          <w:sz w:val="22"/>
          <w:szCs w:val="22"/>
          <w:lang w:eastAsia="lt-LT"/>
        </w:rPr>
        <w:t>Labai reti šalutinio poveikio reiškiniai (gali pasireikšti rečiau kaip 1 iš 10 000 asmenų)</w:t>
      </w:r>
      <w:r w:rsidR="00735115">
        <w:rPr>
          <w:bCs/>
          <w:i/>
          <w:sz w:val="22"/>
          <w:szCs w:val="22"/>
          <w:lang w:eastAsia="lt-LT"/>
        </w:rPr>
        <w:t>:</w:t>
      </w:r>
      <w:r w:rsidRPr="00507EDE">
        <w:rPr>
          <w:b/>
          <w:bCs/>
          <w:sz w:val="22"/>
          <w:szCs w:val="22"/>
          <w:lang w:eastAsia="lt-LT"/>
        </w:rPr>
        <w:t xml:space="preserve"> </w:t>
      </w:r>
      <w:r w:rsidR="004823AB" w:rsidRPr="00507EDE">
        <w:rPr>
          <w:sz w:val="22"/>
          <w:szCs w:val="22"/>
        </w:rPr>
        <w:t>buvo pranešta apie sumažėjusį trombocitų kiekį kraujyje, sumažėjusį leukocitų kiekį ir padidėjusį infekcijų dažnį, anemiją, sunkias alergines reakcijas, pasireiškiančias pasunkėjusiu kvėpavimu ir svaig</w:t>
      </w:r>
      <w:r w:rsidR="00735115">
        <w:rPr>
          <w:sz w:val="22"/>
          <w:szCs w:val="22"/>
        </w:rPr>
        <w:t>uliu</w:t>
      </w:r>
      <w:r w:rsidR="004823AB" w:rsidRPr="00507EDE">
        <w:rPr>
          <w:sz w:val="22"/>
          <w:szCs w:val="22"/>
        </w:rPr>
        <w:t>, padidėjusį odos jautrumą - niežulį ir įvairaus pobūdžio išbėrimus.</w:t>
      </w:r>
      <w:r w:rsidR="004549C7" w:rsidRPr="00507EDE">
        <w:rPr>
          <w:sz w:val="22"/>
          <w:szCs w:val="22"/>
        </w:rPr>
        <w:t xml:space="preserve"> </w:t>
      </w:r>
      <w:r w:rsidRPr="00507EDE">
        <w:rPr>
          <w:sz w:val="22"/>
          <w:szCs w:val="22"/>
        </w:rPr>
        <w:t>P</w:t>
      </w:r>
      <w:r w:rsidR="004549C7" w:rsidRPr="00507EDE">
        <w:rPr>
          <w:sz w:val="22"/>
          <w:szCs w:val="22"/>
        </w:rPr>
        <w:t>asunkėjęs kvėpavimas pacientams, turintiems polinkį į alergiją acetilsalicilo rūgščiai (aspirinui) ir kitiems NVNU. Ilgalaikis didelių dozių vartojimas gali sukelti kepenų pažeidimą, kurio ankstyvieji simptomai yra pykinimas, vėmimas, prakaitavimas ir bendras negalavimas. Vartojant dideles dozes, gali sutrikti inkstų funkcija.</w:t>
      </w:r>
    </w:p>
    <w:p w14:paraId="0F2F5CA8" w14:textId="77777777" w:rsidR="00801C49" w:rsidRPr="00507EDE" w:rsidRDefault="00801C49" w:rsidP="004549C7">
      <w:pPr>
        <w:ind w:right="-29"/>
        <w:rPr>
          <w:sz w:val="22"/>
          <w:szCs w:val="22"/>
        </w:rPr>
      </w:pPr>
    </w:p>
    <w:p w14:paraId="5D0F3B7C" w14:textId="77777777" w:rsidR="004549C7" w:rsidRDefault="004549C7" w:rsidP="004549C7">
      <w:pPr>
        <w:ind w:right="-29"/>
        <w:rPr>
          <w:sz w:val="22"/>
          <w:szCs w:val="22"/>
        </w:rPr>
      </w:pPr>
      <w:r w:rsidRPr="008D6CC4">
        <w:rPr>
          <w:i/>
          <w:iCs/>
          <w:sz w:val="22"/>
          <w:szCs w:val="22"/>
        </w:rPr>
        <w:t>Labai retai</w:t>
      </w:r>
      <w:r w:rsidRPr="00507EDE">
        <w:rPr>
          <w:sz w:val="22"/>
          <w:szCs w:val="22"/>
        </w:rPr>
        <w:t xml:space="preserve"> buvo pranešta apie sunkias odos reakcijas.</w:t>
      </w:r>
    </w:p>
    <w:p w14:paraId="5CB2D380" w14:textId="77777777" w:rsidR="00801C49" w:rsidRPr="00507EDE" w:rsidRDefault="00801C49" w:rsidP="004549C7">
      <w:pPr>
        <w:ind w:right="-29"/>
        <w:rPr>
          <w:sz w:val="22"/>
          <w:szCs w:val="22"/>
        </w:rPr>
      </w:pPr>
    </w:p>
    <w:p w14:paraId="503BE7D5" w14:textId="0D1332CC" w:rsidR="00863667" w:rsidRDefault="00EF2804" w:rsidP="00863667">
      <w:pPr>
        <w:jc w:val="both"/>
        <w:rPr>
          <w:sz w:val="22"/>
          <w:szCs w:val="22"/>
        </w:rPr>
      </w:pPr>
      <w:r w:rsidRPr="00174C9D">
        <w:rPr>
          <w:i/>
          <w:iCs/>
          <w:sz w:val="22"/>
          <w:szCs w:val="22"/>
        </w:rPr>
        <w:t>Dažnis nežinomas (negali būti apskaičiuotas pagal turimus duomenis)</w:t>
      </w:r>
      <w:r w:rsidRPr="00EF2804">
        <w:rPr>
          <w:sz w:val="22"/>
          <w:szCs w:val="22"/>
        </w:rPr>
        <w:t xml:space="preserve">: </w:t>
      </w:r>
      <w:r w:rsidR="00735115">
        <w:rPr>
          <w:sz w:val="22"/>
          <w:szCs w:val="22"/>
        </w:rPr>
        <w:t>s</w:t>
      </w:r>
      <w:r w:rsidRPr="00EF2804">
        <w:rPr>
          <w:sz w:val="22"/>
          <w:szCs w:val="22"/>
        </w:rPr>
        <w:t>unkus sutrikimas, dėl kurio gali padidėti kraujo rūgštingumas (vadinamas metaboline acidoze) sunkia liga sergantiems pacientams, vartojantiems paracetamolį (žr. 2 skyrių).</w:t>
      </w:r>
    </w:p>
    <w:p w14:paraId="29D41F79" w14:textId="77777777" w:rsidR="00AE44FB" w:rsidRPr="00507EDE" w:rsidRDefault="00AE44FB" w:rsidP="00863667">
      <w:pPr>
        <w:jc w:val="both"/>
        <w:rPr>
          <w:sz w:val="22"/>
          <w:szCs w:val="22"/>
        </w:rPr>
      </w:pPr>
    </w:p>
    <w:p w14:paraId="52BE283F" w14:textId="77777777" w:rsidR="000E192C" w:rsidRPr="00507EDE" w:rsidRDefault="000E192C" w:rsidP="000E192C">
      <w:pPr>
        <w:tabs>
          <w:tab w:val="left" w:pos="567"/>
        </w:tabs>
        <w:rPr>
          <w:b/>
          <w:sz w:val="22"/>
          <w:szCs w:val="22"/>
        </w:rPr>
      </w:pPr>
      <w:r w:rsidRPr="00507EDE">
        <w:rPr>
          <w:b/>
          <w:sz w:val="22"/>
          <w:szCs w:val="22"/>
        </w:rPr>
        <w:t>Pranešimas apie šalutinį poveikį</w:t>
      </w:r>
    </w:p>
    <w:p w14:paraId="641ACE27" w14:textId="3490731C" w:rsidR="000E192C" w:rsidRPr="00507EDE" w:rsidRDefault="000E192C" w:rsidP="000E192C">
      <w:pPr>
        <w:tabs>
          <w:tab w:val="left" w:pos="567"/>
        </w:tabs>
        <w:ind w:right="-1"/>
        <w:rPr>
          <w:sz w:val="22"/>
          <w:szCs w:val="22"/>
        </w:rPr>
      </w:pPr>
      <w:r w:rsidRPr="00507EDE">
        <w:rPr>
          <w:sz w:val="22"/>
          <w:szCs w:val="22"/>
        </w:rPr>
        <w:t xml:space="preserve">Jeigu pasireiškė šalutinis poveikis, įskaitant šiame lapelyje nenurodytą, pasakykite gydytojui arba vaistininkui. </w:t>
      </w:r>
      <w:r w:rsidR="007D26E1" w:rsidRPr="00507EDE">
        <w:rPr>
          <w:sz w:val="22"/>
          <w:szCs w:val="22"/>
          <w:lang w:eastAsia="lt-LT"/>
        </w:rPr>
        <w:t xml:space="preserve">Pranešimą apie šalutinį poveikį galite užpildyti ir pateikti Valstybinės vaistų kontrolės tarnybos prie Lietuvos Respublikos sveikatos apsaugos ministerijos tinklalapyje </w:t>
      </w:r>
      <w:r w:rsidR="007D26E1" w:rsidRPr="00507EDE">
        <w:rPr>
          <w:color w:val="0000EE"/>
          <w:sz w:val="22"/>
          <w:szCs w:val="22"/>
          <w:u w:val="single"/>
          <w:lang w:eastAsia="lt-LT"/>
        </w:rPr>
        <w:t>https://vvkt.lrv.lt/lt/</w:t>
      </w:r>
      <w:r w:rsidR="007D26E1" w:rsidRPr="00507EDE">
        <w:rPr>
          <w:sz w:val="22"/>
          <w:szCs w:val="22"/>
          <w:lang w:eastAsia="lt-LT"/>
        </w:rPr>
        <w:t xml:space="preserve"> nurodytais būdais arba paskambinti nemokamu telefonu </w:t>
      </w:r>
      <w:r w:rsidR="00801C49">
        <w:rPr>
          <w:sz w:val="22"/>
          <w:szCs w:val="22"/>
          <w:lang w:val="en-US" w:eastAsia="lt-LT"/>
        </w:rPr>
        <w:t>+370</w:t>
      </w:r>
      <w:r w:rsidR="007D26E1" w:rsidRPr="00507EDE">
        <w:rPr>
          <w:sz w:val="22"/>
          <w:szCs w:val="22"/>
          <w:lang w:eastAsia="lt-LT"/>
        </w:rPr>
        <w:t xml:space="preserve"> 800 73 568. </w:t>
      </w:r>
      <w:r w:rsidR="007D26E1" w:rsidRPr="00507EDE">
        <w:rPr>
          <w:sz w:val="22"/>
        </w:rPr>
        <w:t>Pranešdami apie šalutinį poveikį galite mums padėti gauti daugiau informacijos apie šio vaisto saugumą.</w:t>
      </w:r>
    </w:p>
    <w:p w14:paraId="7363A321" w14:textId="77777777" w:rsidR="000E192C" w:rsidRPr="00507EDE" w:rsidRDefault="000E192C" w:rsidP="000E192C">
      <w:pPr>
        <w:jc w:val="both"/>
        <w:rPr>
          <w:sz w:val="22"/>
          <w:szCs w:val="22"/>
        </w:rPr>
      </w:pPr>
    </w:p>
    <w:p w14:paraId="50761795" w14:textId="77777777" w:rsidR="000E192C" w:rsidRPr="00507EDE" w:rsidRDefault="000E192C" w:rsidP="000E192C">
      <w:pPr>
        <w:jc w:val="both"/>
        <w:rPr>
          <w:sz w:val="22"/>
          <w:szCs w:val="22"/>
        </w:rPr>
      </w:pPr>
    </w:p>
    <w:p w14:paraId="5D738CDD" w14:textId="1DEC07B1" w:rsidR="000E192C" w:rsidRPr="00507EDE" w:rsidRDefault="000E192C" w:rsidP="000E192C">
      <w:pPr>
        <w:keepNext/>
        <w:keepLines/>
        <w:tabs>
          <w:tab w:val="left" w:pos="567"/>
        </w:tabs>
        <w:outlineLvl w:val="2"/>
        <w:rPr>
          <w:sz w:val="22"/>
          <w:szCs w:val="22"/>
        </w:rPr>
      </w:pPr>
      <w:r w:rsidRPr="00507EDE">
        <w:rPr>
          <w:b/>
          <w:sz w:val="22"/>
          <w:szCs w:val="22"/>
        </w:rPr>
        <w:t>5.</w:t>
      </w:r>
      <w:r w:rsidRPr="00507EDE">
        <w:rPr>
          <w:b/>
          <w:sz w:val="22"/>
          <w:szCs w:val="22"/>
        </w:rPr>
        <w:tab/>
        <w:t xml:space="preserve">Kaip laikyti Paracetamol </w:t>
      </w:r>
      <w:r w:rsidR="00F5364E">
        <w:rPr>
          <w:b/>
          <w:sz w:val="22"/>
          <w:szCs w:val="22"/>
        </w:rPr>
        <w:t>Hiltrex</w:t>
      </w:r>
    </w:p>
    <w:p w14:paraId="34EFDD0B" w14:textId="77777777" w:rsidR="000E192C" w:rsidRPr="00507EDE" w:rsidRDefault="000E192C" w:rsidP="000E192C">
      <w:pPr>
        <w:numPr>
          <w:ilvl w:val="12"/>
          <w:numId w:val="0"/>
        </w:numPr>
        <w:ind w:right="-2"/>
        <w:rPr>
          <w:sz w:val="22"/>
          <w:szCs w:val="22"/>
        </w:rPr>
      </w:pPr>
    </w:p>
    <w:p w14:paraId="70FFB1E8" w14:textId="77777777" w:rsidR="000E192C" w:rsidRPr="00507EDE" w:rsidRDefault="000E192C" w:rsidP="000E192C">
      <w:pPr>
        <w:numPr>
          <w:ilvl w:val="12"/>
          <w:numId w:val="0"/>
        </w:numPr>
        <w:ind w:right="-2"/>
        <w:rPr>
          <w:sz w:val="22"/>
          <w:szCs w:val="22"/>
        </w:rPr>
      </w:pPr>
      <w:r w:rsidRPr="00507EDE">
        <w:rPr>
          <w:sz w:val="22"/>
          <w:szCs w:val="22"/>
        </w:rPr>
        <w:t>Šį vaistą laikykite vaikams nepastebimoje ir nepasiekiamoje vietoje.</w:t>
      </w:r>
    </w:p>
    <w:p w14:paraId="27B40C11" w14:textId="77777777" w:rsidR="007D26E1" w:rsidRPr="00507EDE" w:rsidRDefault="007D26E1" w:rsidP="000E192C">
      <w:pPr>
        <w:numPr>
          <w:ilvl w:val="12"/>
          <w:numId w:val="0"/>
        </w:numPr>
        <w:ind w:right="-2"/>
        <w:rPr>
          <w:sz w:val="22"/>
          <w:szCs w:val="22"/>
        </w:rPr>
      </w:pPr>
    </w:p>
    <w:p w14:paraId="1C58F2FE" w14:textId="6A1E40F0" w:rsidR="000E192C" w:rsidRPr="00507EDE" w:rsidRDefault="000E192C" w:rsidP="000E192C">
      <w:pPr>
        <w:numPr>
          <w:ilvl w:val="12"/>
          <w:numId w:val="0"/>
        </w:numPr>
        <w:ind w:right="-2"/>
        <w:rPr>
          <w:sz w:val="22"/>
          <w:szCs w:val="22"/>
        </w:rPr>
      </w:pPr>
      <w:r w:rsidRPr="00507EDE">
        <w:rPr>
          <w:sz w:val="22"/>
          <w:szCs w:val="22"/>
        </w:rPr>
        <w:t xml:space="preserve">Ant dėžutės </w:t>
      </w:r>
      <w:r w:rsidR="000425BE" w:rsidRPr="00507EDE">
        <w:rPr>
          <w:sz w:val="22"/>
          <w:szCs w:val="22"/>
        </w:rPr>
        <w:t xml:space="preserve">po „Tinka iki“ </w:t>
      </w:r>
      <w:r w:rsidRPr="00507EDE">
        <w:rPr>
          <w:sz w:val="22"/>
          <w:szCs w:val="22"/>
        </w:rPr>
        <w:t>ir lizdinės plokštelės po „EXP“ nurodytam tinkamumo laikui pasibaigus, šio vaisto vartoti negalima. Vaistas tinkamas vartoti iki paskutinės nurodyto mėnesio dienos.</w:t>
      </w:r>
    </w:p>
    <w:p w14:paraId="12FC8D25" w14:textId="77777777" w:rsidR="007D26E1" w:rsidRPr="00507EDE" w:rsidRDefault="007D26E1" w:rsidP="000E192C">
      <w:pPr>
        <w:numPr>
          <w:ilvl w:val="12"/>
          <w:numId w:val="0"/>
        </w:numPr>
        <w:ind w:right="-2"/>
        <w:rPr>
          <w:sz w:val="22"/>
          <w:szCs w:val="22"/>
        </w:rPr>
      </w:pPr>
    </w:p>
    <w:p w14:paraId="1B6EA85B" w14:textId="77777777" w:rsidR="000E192C" w:rsidRPr="00507EDE" w:rsidRDefault="000E192C" w:rsidP="000E192C">
      <w:pPr>
        <w:tabs>
          <w:tab w:val="left" w:pos="567"/>
        </w:tabs>
        <w:rPr>
          <w:sz w:val="22"/>
          <w:szCs w:val="22"/>
          <w:lang w:eastAsia="en-US"/>
        </w:rPr>
      </w:pPr>
      <w:r w:rsidRPr="00507EDE">
        <w:rPr>
          <w:sz w:val="22"/>
          <w:szCs w:val="22"/>
          <w:lang w:eastAsia="en-US"/>
        </w:rPr>
        <w:t>Šiam vaistui specialių laikymo sąlygų nereikia.</w:t>
      </w:r>
    </w:p>
    <w:p w14:paraId="2531444A" w14:textId="77777777" w:rsidR="000425BE" w:rsidRPr="00507EDE" w:rsidRDefault="000425BE" w:rsidP="000E192C">
      <w:pPr>
        <w:tabs>
          <w:tab w:val="left" w:pos="567"/>
        </w:tabs>
        <w:rPr>
          <w:sz w:val="22"/>
          <w:szCs w:val="22"/>
          <w:lang w:eastAsia="en-US"/>
        </w:rPr>
      </w:pPr>
    </w:p>
    <w:p w14:paraId="7F3D79BB" w14:textId="77777777" w:rsidR="000E192C" w:rsidRPr="00507EDE" w:rsidRDefault="000E192C" w:rsidP="000E192C">
      <w:pPr>
        <w:numPr>
          <w:ilvl w:val="12"/>
          <w:numId w:val="0"/>
        </w:numPr>
        <w:ind w:right="-2"/>
        <w:rPr>
          <w:i/>
          <w:sz w:val="22"/>
          <w:szCs w:val="22"/>
        </w:rPr>
      </w:pPr>
      <w:r w:rsidRPr="00507EDE">
        <w:rPr>
          <w:sz w:val="22"/>
          <w:szCs w:val="22"/>
        </w:rPr>
        <w:t>Vaistų negalima išmesti į kanalizaciją arba su buitinėmis atliekomis. Kaip išmesti nereikalingus vaistus, klauskite vaistininko. Šios priemonės padės apsaugoti aplinką.</w:t>
      </w:r>
    </w:p>
    <w:p w14:paraId="7473F07E" w14:textId="77777777" w:rsidR="000E192C" w:rsidRPr="00507EDE" w:rsidRDefault="000E192C" w:rsidP="000E192C">
      <w:pPr>
        <w:jc w:val="both"/>
        <w:rPr>
          <w:b/>
          <w:caps/>
          <w:sz w:val="22"/>
          <w:szCs w:val="22"/>
        </w:rPr>
      </w:pPr>
    </w:p>
    <w:p w14:paraId="1EDE11D4" w14:textId="77777777" w:rsidR="000E192C" w:rsidRPr="00507EDE" w:rsidRDefault="000E192C" w:rsidP="000E192C">
      <w:pPr>
        <w:jc w:val="both"/>
        <w:rPr>
          <w:b/>
          <w:caps/>
          <w:sz w:val="22"/>
          <w:szCs w:val="22"/>
        </w:rPr>
      </w:pPr>
    </w:p>
    <w:p w14:paraId="485EB5D3" w14:textId="77777777" w:rsidR="000E192C" w:rsidRPr="00507EDE" w:rsidRDefault="000E192C" w:rsidP="000E192C">
      <w:pPr>
        <w:keepNext/>
        <w:keepLines/>
        <w:tabs>
          <w:tab w:val="left" w:pos="567"/>
        </w:tabs>
        <w:outlineLvl w:val="2"/>
        <w:rPr>
          <w:sz w:val="22"/>
          <w:szCs w:val="22"/>
        </w:rPr>
      </w:pPr>
      <w:r w:rsidRPr="00507EDE">
        <w:rPr>
          <w:b/>
          <w:sz w:val="22"/>
          <w:szCs w:val="22"/>
        </w:rPr>
        <w:t>6.</w:t>
      </w:r>
      <w:r w:rsidRPr="00507EDE">
        <w:rPr>
          <w:sz w:val="22"/>
          <w:szCs w:val="22"/>
        </w:rPr>
        <w:tab/>
      </w:r>
      <w:r w:rsidRPr="00507EDE">
        <w:rPr>
          <w:b/>
          <w:sz w:val="22"/>
          <w:szCs w:val="22"/>
        </w:rPr>
        <w:t>Pakuotės turinys ir kita informacija</w:t>
      </w:r>
    </w:p>
    <w:p w14:paraId="74724840" w14:textId="77777777" w:rsidR="000E192C" w:rsidRPr="00507EDE" w:rsidRDefault="000E192C" w:rsidP="000E192C">
      <w:pPr>
        <w:keepNext/>
        <w:jc w:val="both"/>
        <w:rPr>
          <w:rFonts w:eastAsia="MS Mincho"/>
          <w:sz w:val="22"/>
          <w:szCs w:val="22"/>
          <w:lang w:eastAsia="fr-FR"/>
        </w:rPr>
      </w:pPr>
    </w:p>
    <w:p w14:paraId="5F4AAEF7" w14:textId="4634173F" w:rsidR="000E192C" w:rsidRPr="00507EDE" w:rsidRDefault="000E192C" w:rsidP="000E192C">
      <w:pPr>
        <w:keepNext/>
        <w:tabs>
          <w:tab w:val="left" w:pos="567"/>
        </w:tabs>
        <w:jc w:val="both"/>
        <w:outlineLvl w:val="3"/>
        <w:rPr>
          <w:b/>
          <w:sz w:val="22"/>
          <w:szCs w:val="22"/>
        </w:rPr>
      </w:pPr>
      <w:r w:rsidRPr="00507EDE">
        <w:rPr>
          <w:b/>
          <w:sz w:val="22"/>
          <w:szCs w:val="22"/>
        </w:rPr>
        <w:t xml:space="preserve">Paracetamol </w:t>
      </w:r>
      <w:r w:rsidR="00F5364E">
        <w:rPr>
          <w:b/>
          <w:sz w:val="22"/>
          <w:szCs w:val="22"/>
        </w:rPr>
        <w:t>Hiltrex</w:t>
      </w:r>
      <w:r w:rsidRPr="00507EDE">
        <w:rPr>
          <w:b/>
          <w:sz w:val="22"/>
          <w:szCs w:val="22"/>
        </w:rPr>
        <w:t xml:space="preserve"> sudėtis</w:t>
      </w:r>
    </w:p>
    <w:p w14:paraId="4F273357" w14:textId="5F258F4A" w:rsidR="000E192C" w:rsidRPr="00507EDE" w:rsidRDefault="000E192C" w:rsidP="0017682B">
      <w:pPr>
        <w:pStyle w:val="BT-EMEASMCA"/>
        <w:ind w:left="567" w:hanging="567"/>
        <w:rPr>
          <w:sz w:val="22"/>
          <w:szCs w:val="22"/>
        </w:rPr>
      </w:pPr>
      <w:r w:rsidRPr="00507EDE">
        <w:rPr>
          <w:sz w:val="22"/>
          <w:szCs w:val="22"/>
        </w:rPr>
        <w:t>Veiklioji medžiaga yra paracetamolis. Kiekvienoje tabletėje yra 500 mg</w:t>
      </w:r>
      <w:r w:rsidR="0017682B" w:rsidRPr="00507EDE">
        <w:rPr>
          <w:sz w:val="22"/>
          <w:szCs w:val="22"/>
        </w:rPr>
        <w:t xml:space="preserve"> </w:t>
      </w:r>
      <w:r w:rsidRPr="00507EDE">
        <w:rPr>
          <w:sz w:val="22"/>
          <w:szCs w:val="22"/>
        </w:rPr>
        <w:t>paracetamolio.</w:t>
      </w:r>
    </w:p>
    <w:p w14:paraId="2E7EC63D" w14:textId="3EF6F0C2" w:rsidR="0017682B" w:rsidRPr="00507EDE" w:rsidRDefault="000E192C" w:rsidP="0017682B">
      <w:pPr>
        <w:pStyle w:val="BT-EMEASMCA"/>
        <w:ind w:left="567" w:hanging="567"/>
        <w:rPr>
          <w:sz w:val="22"/>
          <w:szCs w:val="22"/>
        </w:rPr>
      </w:pPr>
      <w:r w:rsidRPr="00507EDE">
        <w:rPr>
          <w:sz w:val="22"/>
          <w:szCs w:val="22"/>
        </w:rPr>
        <w:t xml:space="preserve">Pagalbinės medžiagos yra </w:t>
      </w:r>
      <w:r w:rsidR="0017682B" w:rsidRPr="00507EDE">
        <w:rPr>
          <w:sz w:val="22"/>
          <w:szCs w:val="22"/>
        </w:rPr>
        <w:t>povidonas K30, laktozė monohidratas, kviečių krakmolas, magnio stearatas, talkas.</w:t>
      </w:r>
    </w:p>
    <w:p w14:paraId="6D831625" w14:textId="77777777" w:rsidR="000E192C" w:rsidRPr="00507EDE" w:rsidRDefault="000E192C" w:rsidP="000E192C">
      <w:pPr>
        <w:keepNext/>
        <w:tabs>
          <w:tab w:val="left" w:pos="567"/>
        </w:tabs>
        <w:jc w:val="both"/>
        <w:outlineLvl w:val="3"/>
        <w:rPr>
          <w:sz w:val="22"/>
          <w:szCs w:val="22"/>
        </w:rPr>
      </w:pPr>
    </w:p>
    <w:p w14:paraId="58F5836C" w14:textId="7D07E5C9" w:rsidR="000E192C" w:rsidRPr="00507EDE" w:rsidRDefault="000E192C" w:rsidP="000E192C">
      <w:pPr>
        <w:keepNext/>
        <w:tabs>
          <w:tab w:val="left" w:pos="567"/>
        </w:tabs>
        <w:jc w:val="both"/>
        <w:outlineLvl w:val="3"/>
        <w:rPr>
          <w:sz w:val="22"/>
          <w:szCs w:val="22"/>
        </w:rPr>
      </w:pPr>
      <w:r w:rsidRPr="00507EDE">
        <w:rPr>
          <w:b/>
          <w:sz w:val="22"/>
          <w:szCs w:val="22"/>
        </w:rPr>
        <w:t xml:space="preserve">Paracetamol </w:t>
      </w:r>
      <w:r w:rsidR="00F5364E">
        <w:rPr>
          <w:b/>
          <w:sz w:val="22"/>
          <w:szCs w:val="22"/>
        </w:rPr>
        <w:t>Hiltrex</w:t>
      </w:r>
      <w:r w:rsidRPr="00507EDE">
        <w:rPr>
          <w:b/>
          <w:sz w:val="22"/>
          <w:szCs w:val="22"/>
        </w:rPr>
        <w:t xml:space="preserve"> išvaizda ir kiekis pakuotėje</w:t>
      </w:r>
    </w:p>
    <w:p w14:paraId="7CCA275B" w14:textId="3B9A6113" w:rsidR="00222495" w:rsidRDefault="00222495" w:rsidP="00222495">
      <w:pPr>
        <w:rPr>
          <w:sz w:val="22"/>
          <w:szCs w:val="22"/>
        </w:rPr>
      </w:pPr>
      <w:r w:rsidRPr="00507EDE">
        <w:rPr>
          <w:sz w:val="22"/>
          <w:szCs w:val="22"/>
        </w:rPr>
        <w:t xml:space="preserve">Paracetamol </w:t>
      </w:r>
      <w:r w:rsidR="00F5364E">
        <w:rPr>
          <w:sz w:val="22"/>
          <w:szCs w:val="22"/>
        </w:rPr>
        <w:t>Hiltrex</w:t>
      </w:r>
      <w:r w:rsidRPr="00507EDE">
        <w:rPr>
          <w:sz w:val="22"/>
          <w:szCs w:val="22"/>
        </w:rPr>
        <w:t xml:space="preserve"> yra baltos arba beveik baltos, </w:t>
      </w:r>
      <w:r w:rsidR="007D26E1" w:rsidRPr="00507EDE">
        <w:rPr>
          <w:sz w:val="22"/>
          <w:szCs w:val="22"/>
        </w:rPr>
        <w:t xml:space="preserve">apvalios, </w:t>
      </w:r>
      <w:r w:rsidRPr="00507EDE">
        <w:rPr>
          <w:sz w:val="22"/>
          <w:szCs w:val="22"/>
        </w:rPr>
        <w:t xml:space="preserve">plokščios, </w:t>
      </w:r>
      <w:r w:rsidR="007D26E1" w:rsidRPr="00507EDE">
        <w:rPr>
          <w:sz w:val="22"/>
          <w:szCs w:val="22"/>
        </w:rPr>
        <w:t>13 mm skersmens,</w:t>
      </w:r>
      <w:r w:rsidRPr="00507EDE">
        <w:rPr>
          <w:sz w:val="22"/>
          <w:szCs w:val="22"/>
        </w:rPr>
        <w:t xml:space="preserve"> tabletės su dalomąja vagele vienoje pusėje</w:t>
      </w:r>
      <w:r w:rsidR="007D26E1" w:rsidRPr="00507EDE">
        <w:rPr>
          <w:sz w:val="22"/>
          <w:szCs w:val="22"/>
        </w:rPr>
        <w:t>.</w:t>
      </w:r>
      <w:r w:rsidRPr="00507EDE">
        <w:rPr>
          <w:sz w:val="22"/>
          <w:szCs w:val="22"/>
        </w:rPr>
        <w:t xml:space="preserve"> Tabletę galima padalyti į lygias dozes.</w:t>
      </w:r>
    </w:p>
    <w:p w14:paraId="2123B19B" w14:textId="77777777" w:rsidR="00013420" w:rsidRPr="00507EDE" w:rsidRDefault="00013420" w:rsidP="00222495">
      <w:pPr>
        <w:rPr>
          <w:sz w:val="22"/>
          <w:szCs w:val="22"/>
        </w:rPr>
      </w:pPr>
    </w:p>
    <w:p w14:paraId="658AC145" w14:textId="677B5072" w:rsidR="00222495" w:rsidRPr="00507EDE" w:rsidRDefault="00A90604" w:rsidP="00222495">
      <w:pPr>
        <w:rPr>
          <w:sz w:val="22"/>
          <w:szCs w:val="22"/>
        </w:rPr>
      </w:pPr>
      <w:r>
        <w:rPr>
          <w:sz w:val="22"/>
          <w:szCs w:val="22"/>
        </w:rPr>
        <w:t xml:space="preserve">Paracetamol </w:t>
      </w:r>
      <w:r w:rsidR="00F5364E">
        <w:rPr>
          <w:sz w:val="22"/>
          <w:szCs w:val="22"/>
        </w:rPr>
        <w:t>Hiltrex</w:t>
      </w:r>
      <w:r>
        <w:rPr>
          <w:sz w:val="22"/>
          <w:szCs w:val="22"/>
        </w:rPr>
        <w:t xml:space="preserve"> tiekiamas</w:t>
      </w:r>
      <w:r w:rsidR="00222495" w:rsidRPr="00507EDE">
        <w:rPr>
          <w:sz w:val="22"/>
          <w:szCs w:val="22"/>
        </w:rPr>
        <w:t xml:space="preserve"> lizdinėje plokštelėje</w:t>
      </w:r>
      <w:r>
        <w:rPr>
          <w:sz w:val="22"/>
          <w:szCs w:val="22"/>
        </w:rPr>
        <w:t>, kurioje yra 10 tablečių</w:t>
      </w:r>
      <w:r w:rsidR="00222495" w:rsidRPr="00507EDE">
        <w:rPr>
          <w:sz w:val="22"/>
          <w:szCs w:val="22"/>
        </w:rPr>
        <w:t xml:space="preserve">. 2 lizdinės plokštelės supakuotos į kartono dėžutę su pakuotės lapeliu. </w:t>
      </w:r>
    </w:p>
    <w:p w14:paraId="7BD80C0C" w14:textId="77777777" w:rsidR="000E192C" w:rsidRPr="00507EDE" w:rsidRDefault="000E192C" w:rsidP="000E192C">
      <w:pPr>
        <w:jc w:val="both"/>
        <w:rPr>
          <w:sz w:val="22"/>
          <w:szCs w:val="22"/>
        </w:rPr>
      </w:pPr>
    </w:p>
    <w:p w14:paraId="2A5316A8" w14:textId="77777777" w:rsidR="000E192C" w:rsidRDefault="000E192C" w:rsidP="000E192C">
      <w:pPr>
        <w:keepNext/>
        <w:tabs>
          <w:tab w:val="left" w:pos="567"/>
        </w:tabs>
        <w:jc w:val="both"/>
        <w:outlineLvl w:val="3"/>
        <w:rPr>
          <w:b/>
          <w:sz w:val="22"/>
          <w:szCs w:val="22"/>
        </w:rPr>
      </w:pPr>
      <w:r w:rsidRPr="00507EDE">
        <w:rPr>
          <w:b/>
          <w:sz w:val="22"/>
          <w:szCs w:val="22"/>
        </w:rPr>
        <w:t>Registruotojas ir gamintojas</w:t>
      </w:r>
    </w:p>
    <w:p w14:paraId="1720EC44" w14:textId="77777777" w:rsidR="00801C49" w:rsidRPr="00507EDE" w:rsidRDefault="00801C49" w:rsidP="000E192C">
      <w:pPr>
        <w:keepNext/>
        <w:tabs>
          <w:tab w:val="left" w:pos="567"/>
        </w:tabs>
        <w:jc w:val="both"/>
        <w:outlineLvl w:val="3"/>
        <w:rPr>
          <w:sz w:val="22"/>
          <w:szCs w:val="22"/>
        </w:rPr>
      </w:pPr>
    </w:p>
    <w:p w14:paraId="15C4DA12" w14:textId="77777777" w:rsidR="000E192C" w:rsidRPr="00507EDE" w:rsidRDefault="000E192C" w:rsidP="000E192C">
      <w:pPr>
        <w:rPr>
          <w:i/>
          <w:iCs/>
          <w:sz w:val="22"/>
          <w:szCs w:val="22"/>
        </w:rPr>
      </w:pPr>
      <w:r w:rsidRPr="00507EDE">
        <w:rPr>
          <w:i/>
          <w:iCs/>
          <w:sz w:val="22"/>
          <w:szCs w:val="22"/>
        </w:rPr>
        <w:t>Registruotojas</w:t>
      </w:r>
    </w:p>
    <w:p w14:paraId="73F09B66" w14:textId="77777777" w:rsidR="00FC26DD" w:rsidRPr="00676576" w:rsidRDefault="00FC26DD" w:rsidP="00FC26DD">
      <w:pPr>
        <w:jc w:val="both"/>
        <w:rPr>
          <w:sz w:val="22"/>
          <w:szCs w:val="22"/>
        </w:rPr>
      </w:pPr>
      <w:r w:rsidRPr="00676576">
        <w:rPr>
          <w:sz w:val="22"/>
          <w:szCs w:val="22"/>
        </w:rPr>
        <w:t>UAB „NVT“</w:t>
      </w:r>
    </w:p>
    <w:p w14:paraId="70867F61" w14:textId="77777777" w:rsidR="00FC26DD" w:rsidRPr="00676576" w:rsidRDefault="00FC26DD" w:rsidP="00FC26DD">
      <w:pPr>
        <w:jc w:val="both"/>
        <w:rPr>
          <w:sz w:val="22"/>
          <w:szCs w:val="22"/>
        </w:rPr>
      </w:pPr>
      <w:r w:rsidRPr="00676576">
        <w:rPr>
          <w:sz w:val="22"/>
          <w:szCs w:val="22"/>
        </w:rPr>
        <w:t>Sodų g. 1, Linksmakalnio k.</w:t>
      </w:r>
    </w:p>
    <w:p w14:paraId="72D198A8" w14:textId="77777777" w:rsidR="00FC26DD" w:rsidRPr="00676576" w:rsidRDefault="00FC26DD" w:rsidP="00FC26DD">
      <w:pPr>
        <w:jc w:val="both"/>
        <w:rPr>
          <w:sz w:val="22"/>
          <w:szCs w:val="22"/>
        </w:rPr>
      </w:pPr>
      <w:r w:rsidRPr="00676576">
        <w:rPr>
          <w:sz w:val="22"/>
          <w:szCs w:val="22"/>
        </w:rPr>
        <w:t>Kauno raj., 53290</w:t>
      </w:r>
    </w:p>
    <w:p w14:paraId="6DDA5EF0" w14:textId="77777777" w:rsidR="00FC26DD" w:rsidRPr="00507EDE" w:rsidRDefault="00FC26DD" w:rsidP="00FC26DD">
      <w:pPr>
        <w:jc w:val="both"/>
        <w:rPr>
          <w:sz w:val="22"/>
          <w:szCs w:val="22"/>
        </w:rPr>
      </w:pPr>
      <w:r w:rsidRPr="00676576">
        <w:rPr>
          <w:sz w:val="22"/>
          <w:szCs w:val="22"/>
        </w:rPr>
        <w:t>Lietuva</w:t>
      </w:r>
    </w:p>
    <w:p w14:paraId="6B7304D6" w14:textId="77777777" w:rsidR="00C86AAA" w:rsidRPr="00507EDE" w:rsidRDefault="00C86AAA" w:rsidP="00C86AAA">
      <w:pPr>
        <w:rPr>
          <w:sz w:val="22"/>
          <w:szCs w:val="22"/>
        </w:rPr>
      </w:pPr>
    </w:p>
    <w:p w14:paraId="78CABD5D" w14:textId="77777777" w:rsidR="000E192C" w:rsidRPr="00507EDE" w:rsidRDefault="000E192C" w:rsidP="000E192C">
      <w:pPr>
        <w:numPr>
          <w:ilvl w:val="12"/>
          <w:numId w:val="0"/>
        </w:numPr>
        <w:ind w:right="-2"/>
        <w:rPr>
          <w:i/>
          <w:iCs/>
          <w:sz w:val="22"/>
          <w:szCs w:val="22"/>
        </w:rPr>
      </w:pPr>
      <w:r w:rsidRPr="00507EDE">
        <w:rPr>
          <w:i/>
          <w:iCs/>
          <w:sz w:val="22"/>
          <w:szCs w:val="22"/>
        </w:rPr>
        <w:t>Gamintojas</w:t>
      </w:r>
    </w:p>
    <w:p w14:paraId="6E4D8F4C"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SOPHARMA AD,</w:t>
      </w:r>
    </w:p>
    <w:p w14:paraId="307F44C1"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16, Iliensko Shosse Str.,</w:t>
      </w:r>
    </w:p>
    <w:p w14:paraId="1D7D7A8E"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Sofia 1220,</w:t>
      </w:r>
    </w:p>
    <w:p w14:paraId="71D35646"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Bulgarija</w:t>
      </w:r>
    </w:p>
    <w:p w14:paraId="3052EB65" w14:textId="77777777" w:rsidR="000E192C" w:rsidRPr="00507EDE" w:rsidRDefault="000E192C" w:rsidP="000E192C">
      <w:pPr>
        <w:jc w:val="both"/>
        <w:rPr>
          <w:sz w:val="22"/>
          <w:szCs w:val="22"/>
        </w:rPr>
      </w:pPr>
    </w:p>
    <w:p w14:paraId="7D769F6C" w14:textId="59C8D3AF" w:rsidR="000E192C" w:rsidRPr="00240198" w:rsidRDefault="000E192C" w:rsidP="00240198">
      <w:pPr>
        <w:jc w:val="both"/>
        <w:rPr>
          <w:sz w:val="22"/>
          <w:szCs w:val="22"/>
        </w:rPr>
      </w:pPr>
      <w:r w:rsidRPr="00507EDE">
        <w:rPr>
          <w:b/>
          <w:sz w:val="22"/>
          <w:szCs w:val="22"/>
        </w:rPr>
        <w:t xml:space="preserve">Šis pakuotės lapelis paskutinį kartą peržiūrėtas </w:t>
      </w:r>
      <w:r w:rsidR="00673877">
        <w:rPr>
          <w:b/>
          <w:sz w:val="22"/>
          <w:szCs w:val="22"/>
        </w:rPr>
        <w:t>2025-09-26.</w:t>
      </w:r>
      <w:bookmarkStart w:id="6" w:name="_GoBack"/>
      <w:bookmarkEnd w:id="6"/>
    </w:p>
    <w:p w14:paraId="4ACEE65F" w14:textId="77777777" w:rsidR="000E192C" w:rsidRPr="00507EDE" w:rsidRDefault="000E192C" w:rsidP="000E192C">
      <w:pPr>
        <w:numPr>
          <w:ilvl w:val="12"/>
          <w:numId w:val="0"/>
        </w:numPr>
        <w:tabs>
          <w:tab w:val="left" w:pos="567"/>
        </w:tabs>
        <w:ind w:right="-2"/>
        <w:rPr>
          <w:i/>
          <w:sz w:val="22"/>
          <w:szCs w:val="22"/>
        </w:rPr>
      </w:pPr>
    </w:p>
    <w:p w14:paraId="7E68B954" w14:textId="0616D551" w:rsidR="000E192C" w:rsidRPr="00507EDE" w:rsidRDefault="000E192C" w:rsidP="000E192C">
      <w:pPr>
        <w:numPr>
          <w:ilvl w:val="12"/>
          <w:numId w:val="0"/>
        </w:numPr>
        <w:tabs>
          <w:tab w:val="left" w:pos="567"/>
        </w:tabs>
        <w:ind w:right="-2"/>
        <w:rPr>
          <w:sz w:val="22"/>
          <w:szCs w:val="22"/>
        </w:rPr>
      </w:pPr>
      <w:r w:rsidRPr="00507EDE">
        <w:rPr>
          <w:sz w:val="22"/>
          <w:szCs w:val="22"/>
        </w:rPr>
        <w:t>Išsami informacija apie šį vaistą pateikiama Valstybinės vaistų kontrolės tarnybos prie Lietuvos Respublikos sveikatos apsaugos ministerijos tinklalapyje</w:t>
      </w:r>
      <w:r w:rsidRPr="00507EDE">
        <w:rPr>
          <w:i/>
          <w:sz w:val="22"/>
          <w:szCs w:val="22"/>
        </w:rPr>
        <w:t xml:space="preserve"> </w:t>
      </w:r>
      <w:r w:rsidRPr="004A5E03">
        <w:rPr>
          <w:color w:val="0000FF"/>
          <w:sz w:val="22"/>
          <w:u w:val="single"/>
        </w:rPr>
        <w:t>http</w:t>
      </w:r>
      <w:r w:rsidR="007D26E1" w:rsidRPr="004A5E03">
        <w:rPr>
          <w:color w:val="0000FF"/>
          <w:sz w:val="22"/>
          <w:u w:val="single"/>
        </w:rPr>
        <w:t>s</w:t>
      </w:r>
      <w:r w:rsidRPr="004A5E03">
        <w:rPr>
          <w:color w:val="0000FF"/>
          <w:sz w:val="22"/>
          <w:u w:val="single"/>
        </w:rPr>
        <w:t>://vvkt.</w:t>
      </w:r>
      <w:r w:rsidR="007D26E1" w:rsidRPr="004A5E03">
        <w:rPr>
          <w:color w:val="0000FF"/>
          <w:sz w:val="22"/>
          <w:u w:val="single"/>
        </w:rPr>
        <w:t>lrv.lt/</w:t>
      </w:r>
      <w:r w:rsidRPr="004A5E03">
        <w:rPr>
          <w:color w:val="0000FF"/>
          <w:sz w:val="22"/>
          <w:u w:val="single"/>
        </w:rPr>
        <w:t>lt/</w:t>
      </w:r>
      <w:r w:rsidRPr="00507EDE">
        <w:rPr>
          <w:sz w:val="22"/>
        </w:rPr>
        <w:t>.</w:t>
      </w:r>
    </w:p>
    <w:p w14:paraId="69F722C5" w14:textId="77777777" w:rsidR="00627DA1" w:rsidRPr="00507EDE" w:rsidRDefault="00627DA1"/>
    <w:sectPr w:rsidR="00627DA1" w:rsidRPr="00507EDE" w:rsidSect="006109EE">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6C446" w14:textId="77777777" w:rsidR="00D61987" w:rsidRPr="00507EDE" w:rsidRDefault="00D61987">
      <w:r w:rsidRPr="00507EDE">
        <w:separator/>
      </w:r>
    </w:p>
  </w:endnote>
  <w:endnote w:type="continuationSeparator" w:id="0">
    <w:p w14:paraId="48164548" w14:textId="77777777" w:rsidR="00D61987" w:rsidRPr="00507EDE" w:rsidRDefault="00D61987">
      <w:r w:rsidRPr="00507EDE">
        <w:continuationSeparator/>
      </w:r>
    </w:p>
  </w:endnote>
  <w:endnote w:type="continuationNotice" w:id="1">
    <w:p w14:paraId="7A1ACFCC" w14:textId="77777777" w:rsidR="00D61987" w:rsidRPr="00507EDE" w:rsidRDefault="00D61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B1547" w14:textId="77777777" w:rsidR="00E13D0F" w:rsidRPr="00507EDE" w:rsidRDefault="00E13D0F" w:rsidP="00E13D0F">
    <w:pPr>
      <w:pStyle w:val="Porat"/>
      <w:framePr w:wrap="around" w:vAnchor="text" w:hAnchor="margin" w:xAlign="center" w:y="1"/>
      <w:rPr>
        <w:rStyle w:val="Puslapionumeris"/>
      </w:rPr>
    </w:pPr>
    <w:r w:rsidRPr="00507EDE">
      <w:rPr>
        <w:rStyle w:val="Puslapionumeris"/>
      </w:rPr>
      <w:fldChar w:fldCharType="begin"/>
    </w:r>
    <w:r w:rsidRPr="00507EDE">
      <w:rPr>
        <w:rStyle w:val="Puslapionumeris"/>
      </w:rPr>
      <w:instrText xml:space="preserve">PAGE  </w:instrText>
    </w:r>
    <w:r w:rsidRPr="00507EDE">
      <w:rPr>
        <w:rStyle w:val="Puslapionumeris"/>
      </w:rPr>
      <w:fldChar w:fldCharType="end"/>
    </w:r>
  </w:p>
  <w:p w14:paraId="028C028A" w14:textId="77777777" w:rsidR="00E13D0F" w:rsidRPr="00507EDE" w:rsidRDefault="00E13D0F">
    <w:pPr>
      <w:pStyle w:val="Porat"/>
    </w:pPr>
  </w:p>
  <w:p w14:paraId="504A0F05" w14:textId="77777777" w:rsidR="00E13D0F" w:rsidRPr="00507EDE" w:rsidRDefault="00E13D0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FFBA" w14:textId="5F6AF53B" w:rsidR="00E13D0F" w:rsidRPr="00507EDE" w:rsidRDefault="00E13D0F" w:rsidP="00E13D0F">
    <w:pPr>
      <w:pStyle w:val="Porat"/>
      <w:framePr w:wrap="around" w:vAnchor="text" w:hAnchor="margin" w:xAlign="center" w:y="1"/>
      <w:rPr>
        <w:rStyle w:val="Puslapionumeris"/>
      </w:rPr>
    </w:pPr>
    <w:r w:rsidRPr="00507EDE">
      <w:rPr>
        <w:rStyle w:val="Puslapionumeris"/>
      </w:rPr>
      <w:fldChar w:fldCharType="begin"/>
    </w:r>
    <w:r w:rsidRPr="00507EDE">
      <w:rPr>
        <w:rStyle w:val="Puslapionumeris"/>
      </w:rPr>
      <w:instrText xml:space="preserve">PAGE  </w:instrText>
    </w:r>
    <w:r w:rsidRPr="00507EDE">
      <w:rPr>
        <w:rStyle w:val="Puslapionumeris"/>
      </w:rPr>
      <w:fldChar w:fldCharType="separate"/>
    </w:r>
    <w:r w:rsidR="00673877">
      <w:rPr>
        <w:rStyle w:val="Puslapionumeris"/>
        <w:noProof/>
      </w:rPr>
      <w:t>20</w:t>
    </w:r>
    <w:r w:rsidRPr="00507EDE">
      <w:rPr>
        <w:rStyle w:val="Puslapionumeris"/>
      </w:rPr>
      <w:fldChar w:fldCharType="end"/>
    </w:r>
  </w:p>
  <w:p w14:paraId="38237BE1" w14:textId="77777777" w:rsidR="00E13D0F" w:rsidRPr="00507EDE" w:rsidRDefault="00E13D0F" w:rsidP="00E13D0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F647E" w14:textId="77777777" w:rsidR="00D61987" w:rsidRPr="00507EDE" w:rsidRDefault="00D61987">
      <w:r w:rsidRPr="00507EDE">
        <w:separator/>
      </w:r>
    </w:p>
  </w:footnote>
  <w:footnote w:type="continuationSeparator" w:id="0">
    <w:p w14:paraId="0FDC567D" w14:textId="77777777" w:rsidR="00D61987" w:rsidRPr="00507EDE" w:rsidRDefault="00D61987">
      <w:r w:rsidRPr="00507EDE">
        <w:continuationSeparator/>
      </w:r>
    </w:p>
  </w:footnote>
  <w:footnote w:type="continuationNotice" w:id="1">
    <w:p w14:paraId="6B345D92" w14:textId="77777777" w:rsidR="00D61987" w:rsidRPr="00507EDE" w:rsidRDefault="00D619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DB13" w14:textId="77777777" w:rsidR="00E13D0F" w:rsidRPr="00507EDE" w:rsidRDefault="00E13D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1431F"/>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3" w15:restartNumberingAfterBreak="0">
    <w:nsid w:val="1320551C"/>
    <w:multiLevelType w:val="hybridMultilevel"/>
    <w:tmpl w:val="A7224EE2"/>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1F1DA8"/>
    <w:multiLevelType w:val="hybridMultilevel"/>
    <w:tmpl w:val="EE9C8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412E38"/>
    <w:multiLevelType w:val="hybridMultilevel"/>
    <w:tmpl w:val="D2EC3EDC"/>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66367"/>
    <w:multiLevelType w:val="hybridMultilevel"/>
    <w:tmpl w:val="83E212E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C9E0FDF"/>
    <w:multiLevelType w:val="hybridMultilevel"/>
    <w:tmpl w:val="7894578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053AC"/>
    <w:multiLevelType w:val="hybridMultilevel"/>
    <w:tmpl w:val="7D64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E17AE"/>
    <w:multiLevelType w:val="hybridMultilevel"/>
    <w:tmpl w:val="F764740E"/>
    <w:lvl w:ilvl="0" w:tplc="0409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3B5B3C"/>
    <w:multiLevelType w:val="hybridMultilevel"/>
    <w:tmpl w:val="3C88BBD2"/>
    <w:lvl w:ilvl="0" w:tplc="E398C8F6">
      <w:start w:val="4"/>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D5FC8"/>
    <w:multiLevelType w:val="hybridMultilevel"/>
    <w:tmpl w:val="9B4C543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189"/>
    <w:multiLevelType w:val="hybridMultilevel"/>
    <w:tmpl w:val="AF1653B2"/>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1C30F8"/>
    <w:multiLevelType w:val="hybridMultilevel"/>
    <w:tmpl w:val="C9520A4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7B3169"/>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15" w15:restartNumberingAfterBreak="0">
    <w:nsid w:val="3C0257F4"/>
    <w:multiLevelType w:val="hybridMultilevel"/>
    <w:tmpl w:val="E1E0E5DC"/>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C14AA"/>
    <w:multiLevelType w:val="hybridMultilevel"/>
    <w:tmpl w:val="3D962464"/>
    <w:lvl w:ilvl="0" w:tplc="3D38D5E2">
      <w:start w:val="4"/>
      <w:numFmt w:val="bullet"/>
      <w:lvlText w:val="‒"/>
      <w:lvlJc w:val="left"/>
      <w:pPr>
        <w:ind w:left="720" w:hanging="360"/>
      </w:pPr>
      <w:rPr>
        <w:rFonts w:ascii="Times New Roman" w:hAnsi="Times New Roman" w:cs="Times New Roman" w:hint="default"/>
      </w:rPr>
    </w:lvl>
    <w:lvl w:ilvl="1" w:tplc="862CEF22">
      <w:numFmt w:val="bullet"/>
      <w:lvlText w:val="-"/>
      <w:lvlJc w:val="left"/>
      <w:pPr>
        <w:ind w:left="1440" w:hanging="360"/>
      </w:pPr>
      <w:rPr>
        <w:rFonts w:ascii="Times New Roman" w:eastAsia="SimSu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61A16"/>
    <w:multiLevelType w:val="hybridMultilevel"/>
    <w:tmpl w:val="15ACBCD8"/>
    <w:lvl w:ilvl="0" w:tplc="29ECAFFC">
      <w:start w:val="1"/>
      <w:numFmt w:val="bullet"/>
      <w:lvlText w:val="-"/>
      <w:lvlJc w:val="left"/>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A74E6D"/>
    <w:multiLevelType w:val="hybridMultilevel"/>
    <w:tmpl w:val="E9DC5CC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8865CC"/>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1" w15:restartNumberingAfterBreak="0">
    <w:nsid w:val="497146AC"/>
    <w:multiLevelType w:val="hybridMultilevel"/>
    <w:tmpl w:val="069E434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F04B08"/>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3" w15:restartNumberingAfterBreak="0">
    <w:nsid w:val="4FF40BAD"/>
    <w:multiLevelType w:val="hybridMultilevel"/>
    <w:tmpl w:val="01488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248AD"/>
    <w:multiLevelType w:val="hybridMultilevel"/>
    <w:tmpl w:val="59B6FD78"/>
    <w:lvl w:ilvl="0" w:tplc="09F6854E">
      <w:start w:val="1"/>
      <w:numFmt w:val="bullet"/>
      <w:lvlText w:val="-"/>
      <w:lvlJc w:val="left"/>
      <w:pPr>
        <w:ind w:left="2629"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996B84"/>
    <w:multiLevelType w:val="hybridMultilevel"/>
    <w:tmpl w:val="D4C8BF3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387ACD"/>
    <w:multiLevelType w:val="hybridMultilevel"/>
    <w:tmpl w:val="CEF0744C"/>
    <w:lvl w:ilvl="0" w:tplc="127A1C4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2D3720"/>
    <w:multiLevelType w:val="hybridMultilevel"/>
    <w:tmpl w:val="9ABA6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5808E4"/>
    <w:multiLevelType w:val="hybridMultilevel"/>
    <w:tmpl w:val="A5460D58"/>
    <w:lvl w:ilvl="0" w:tplc="0405000B">
      <w:start w:val="1"/>
      <w:numFmt w:val="bullet"/>
      <w:lvlText w:val=""/>
      <w:lvlJc w:val="left"/>
      <w:pPr>
        <w:tabs>
          <w:tab w:val="num" w:pos="644"/>
        </w:tabs>
        <w:ind w:left="64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E84C49"/>
    <w:multiLevelType w:val="hybridMultilevel"/>
    <w:tmpl w:val="A9603AC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8F718F0"/>
    <w:multiLevelType w:val="hybridMultilevel"/>
    <w:tmpl w:val="EBB297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4A0770"/>
    <w:multiLevelType w:val="hybridMultilevel"/>
    <w:tmpl w:val="4D44B66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CA1E51"/>
    <w:multiLevelType w:val="multilevel"/>
    <w:tmpl w:val="A58A2658"/>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1A171C"/>
        <w:spacing w:val="0"/>
        <w:w w:val="100"/>
        <w:position w:val="0"/>
        <w:sz w:val="19"/>
        <w:szCs w:val="19"/>
        <w:u w:val="none"/>
        <w:effect w:val="none"/>
      </w:rPr>
    </w:lvl>
    <w:lvl w:ilvl="1">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2">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3">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4">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5">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6">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7">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8">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abstractNum>
  <w:abstractNum w:abstractNumId="34" w15:restartNumberingAfterBreak="0">
    <w:nsid w:val="6F81711F"/>
    <w:multiLevelType w:val="hybridMultilevel"/>
    <w:tmpl w:val="20164D3A"/>
    <w:lvl w:ilvl="0" w:tplc="3D38D5E2">
      <w:start w:val="4"/>
      <w:numFmt w:val="bullet"/>
      <w:lvlText w:val="‒"/>
      <w:lvlJc w:val="left"/>
      <w:pPr>
        <w:ind w:left="785" w:hanging="360"/>
      </w:pPr>
      <w:rPr>
        <w:rFonts w:ascii="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5" w15:restartNumberingAfterBreak="0">
    <w:nsid w:val="6FC3573C"/>
    <w:multiLevelType w:val="hybridMultilevel"/>
    <w:tmpl w:val="B5F282BA"/>
    <w:lvl w:ilvl="0" w:tplc="3D38D5E2">
      <w:start w:val="4"/>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6A5A94"/>
    <w:multiLevelType w:val="hybridMultilevel"/>
    <w:tmpl w:val="5D1A1972"/>
    <w:lvl w:ilvl="0" w:tplc="54C6CA18">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7" w15:restartNumberingAfterBreak="0">
    <w:nsid w:val="72810A73"/>
    <w:multiLevelType w:val="hybridMultilevel"/>
    <w:tmpl w:val="2088670A"/>
    <w:lvl w:ilvl="0" w:tplc="09F6854E">
      <w:start w:val="1"/>
      <w:numFmt w:val="bullet"/>
      <w:lvlText w:val="-"/>
      <w:lvlJc w:val="left"/>
      <w:pPr>
        <w:ind w:left="2629"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A402C5"/>
    <w:multiLevelType w:val="hybridMultilevel"/>
    <w:tmpl w:val="DF2667E4"/>
    <w:lvl w:ilvl="0" w:tplc="54C6CA18">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AA1A91"/>
    <w:multiLevelType w:val="hybridMultilevel"/>
    <w:tmpl w:val="AD0C4FD6"/>
    <w:lvl w:ilvl="0" w:tplc="0409000F">
      <w:start w:val="1"/>
      <w:numFmt w:val="decimal"/>
      <w:lvlText w:val="%1."/>
      <w:lvlJc w:val="left"/>
      <w:pPr>
        <w:ind w:left="617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A160C"/>
    <w:multiLevelType w:val="hybridMultilevel"/>
    <w:tmpl w:val="EBE443B0"/>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87B6948"/>
    <w:multiLevelType w:val="hybridMultilevel"/>
    <w:tmpl w:val="9AE0E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39"/>
  </w:num>
  <w:num w:numId="3">
    <w:abstractNumId w:val="31"/>
  </w:num>
  <w:num w:numId="4">
    <w:abstractNumId w:val="1"/>
  </w:num>
  <w:num w:numId="5">
    <w:abstractNumId w:val="3"/>
  </w:num>
  <w:num w:numId="6">
    <w:abstractNumId w:val="29"/>
  </w:num>
  <w:num w:numId="7">
    <w:abstractNumId w:val="27"/>
  </w:num>
  <w:num w:numId="8">
    <w:abstractNumId w:val="23"/>
  </w:num>
  <w:num w:numId="9">
    <w:abstractNumId w:val="40"/>
  </w:num>
  <w:num w:numId="10">
    <w:abstractNumId w:val="7"/>
  </w:num>
  <w:num w:numId="11">
    <w:abstractNumId w:val="28"/>
  </w:num>
  <w:num w:numId="12">
    <w:abstractNumId w:val="12"/>
  </w:num>
  <w:num w:numId="13">
    <w:abstractNumId w:val="8"/>
  </w:num>
  <w:num w:numId="14">
    <w:abstractNumId w:val="15"/>
  </w:num>
  <w:num w:numId="15">
    <w:abstractNumId w:val="13"/>
  </w:num>
  <w:num w:numId="16">
    <w:abstractNumId w:val="21"/>
  </w:num>
  <w:num w:numId="17">
    <w:abstractNumId w:val="9"/>
  </w:num>
  <w:num w:numId="18">
    <w:abstractNumId w:val="41"/>
  </w:num>
  <w:num w:numId="19">
    <w:abstractNumId w:val="25"/>
  </w:num>
  <w:num w:numId="20">
    <w:abstractNumId w:val="34"/>
  </w:num>
  <w:num w:numId="21">
    <w:abstractNumId w:val="2"/>
  </w:num>
  <w:num w:numId="22">
    <w:abstractNumId w:val="22"/>
  </w:num>
  <w:num w:numId="23">
    <w:abstractNumId w:val="20"/>
  </w:num>
  <w:num w:numId="24">
    <w:abstractNumId w:val="16"/>
  </w:num>
  <w:num w:numId="25">
    <w:abstractNumId w:val="6"/>
  </w:num>
  <w:num w:numId="26">
    <w:abstractNumId w:val="36"/>
  </w:num>
  <w:num w:numId="27">
    <w:abstractNumId w:val="33"/>
  </w:num>
  <w:num w:numId="28">
    <w:abstractNumId w:val="35"/>
  </w:num>
  <w:num w:numId="29">
    <w:abstractNumId w:val="4"/>
  </w:num>
  <w:num w:numId="30">
    <w:abstractNumId w:val="10"/>
  </w:num>
  <w:num w:numId="31">
    <w:abstractNumId w:val="11"/>
  </w:num>
  <w:num w:numId="32">
    <w:abstractNumId w:val="30"/>
  </w:num>
  <w:num w:numId="33">
    <w:abstractNumId w:val="38"/>
  </w:num>
  <w:num w:numId="34">
    <w:abstractNumId w:val="19"/>
  </w:num>
  <w:num w:numId="35">
    <w:abstractNumId w:val="26"/>
  </w:num>
  <w:num w:numId="36">
    <w:abstractNumId w:val="18"/>
  </w:num>
  <w:num w:numId="37">
    <w:abstractNumId w:val="17"/>
  </w:num>
  <w:num w:numId="38">
    <w:abstractNumId w:val="32"/>
  </w:num>
  <w:num w:numId="39">
    <w:abstractNumId w:val="0"/>
    <w:lvlOverride w:ilvl="0">
      <w:lvl w:ilvl="0">
        <w:start w:val="1"/>
        <w:numFmt w:val="bullet"/>
        <w:lvlText w:val="-"/>
        <w:legacy w:legacy="1" w:legacySpace="0" w:legacyIndent="360"/>
        <w:lvlJc w:val="left"/>
        <w:pPr>
          <w:ind w:left="360" w:hanging="360"/>
        </w:pPr>
      </w:lvl>
    </w:lvlOverride>
  </w:num>
  <w:num w:numId="40">
    <w:abstractNumId w:val="37"/>
  </w:num>
  <w:num w:numId="41">
    <w:abstractNumId w:val="24"/>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2C"/>
    <w:rsid w:val="00013420"/>
    <w:rsid w:val="000173D2"/>
    <w:rsid w:val="00017B0D"/>
    <w:rsid w:val="00036D81"/>
    <w:rsid w:val="000425BE"/>
    <w:rsid w:val="00044570"/>
    <w:rsid w:val="00046E76"/>
    <w:rsid w:val="00053444"/>
    <w:rsid w:val="00060D10"/>
    <w:rsid w:val="000728A1"/>
    <w:rsid w:val="00082B8E"/>
    <w:rsid w:val="00093EC6"/>
    <w:rsid w:val="0009484D"/>
    <w:rsid w:val="00097412"/>
    <w:rsid w:val="000A13E1"/>
    <w:rsid w:val="000A1D5D"/>
    <w:rsid w:val="000C6461"/>
    <w:rsid w:val="000E192C"/>
    <w:rsid w:val="000E78B5"/>
    <w:rsid w:val="000F0CD7"/>
    <w:rsid w:val="000F0E49"/>
    <w:rsid w:val="000F5804"/>
    <w:rsid w:val="0010792E"/>
    <w:rsid w:val="001121A8"/>
    <w:rsid w:val="001243CC"/>
    <w:rsid w:val="001437D2"/>
    <w:rsid w:val="00146E5C"/>
    <w:rsid w:val="00147E80"/>
    <w:rsid w:val="001553C1"/>
    <w:rsid w:val="001624A2"/>
    <w:rsid w:val="001637C4"/>
    <w:rsid w:val="00164E9B"/>
    <w:rsid w:val="00174C9D"/>
    <w:rsid w:val="0017682B"/>
    <w:rsid w:val="00183F71"/>
    <w:rsid w:val="00185E33"/>
    <w:rsid w:val="001A0AE0"/>
    <w:rsid w:val="001B62E7"/>
    <w:rsid w:val="001C061F"/>
    <w:rsid w:val="001C067D"/>
    <w:rsid w:val="001C1489"/>
    <w:rsid w:val="001C7DA5"/>
    <w:rsid w:val="001E32B0"/>
    <w:rsid w:val="001E5723"/>
    <w:rsid w:val="00201416"/>
    <w:rsid w:val="00213107"/>
    <w:rsid w:val="00222495"/>
    <w:rsid w:val="002260A7"/>
    <w:rsid w:val="0023132E"/>
    <w:rsid w:val="00231630"/>
    <w:rsid w:val="00240198"/>
    <w:rsid w:val="002454F5"/>
    <w:rsid w:val="00246D8A"/>
    <w:rsid w:val="00251E41"/>
    <w:rsid w:val="00256D2F"/>
    <w:rsid w:val="00260FE7"/>
    <w:rsid w:val="002624E8"/>
    <w:rsid w:val="00266417"/>
    <w:rsid w:val="00274DCE"/>
    <w:rsid w:val="002847BC"/>
    <w:rsid w:val="00292F25"/>
    <w:rsid w:val="0029796E"/>
    <w:rsid w:val="002A375C"/>
    <w:rsid w:val="002C0333"/>
    <w:rsid w:val="002D6C2C"/>
    <w:rsid w:val="002E37AA"/>
    <w:rsid w:val="002F79FD"/>
    <w:rsid w:val="00304126"/>
    <w:rsid w:val="00305599"/>
    <w:rsid w:val="003058A2"/>
    <w:rsid w:val="00313408"/>
    <w:rsid w:val="00314285"/>
    <w:rsid w:val="003165F7"/>
    <w:rsid w:val="00324FEF"/>
    <w:rsid w:val="00341CC8"/>
    <w:rsid w:val="003627D8"/>
    <w:rsid w:val="00366DB0"/>
    <w:rsid w:val="00373100"/>
    <w:rsid w:val="0037409B"/>
    <w:rsid w:val="00376A55"/>
    <w:rsid w:val="003776E4"/>
    <w:rsid w:val="00384D41"/>
    <w:rsid w:val="00390644"/>
    <w:rsid w:val="003A6946"/>
    <w:rsid w:val="003B4E40"/>
    <w:rsid w:val="003B7666"/>
    <w:rsid w:val="003D3326"/>
    <w:rsid w:val="003D66A0"/>
    <w:rsid w:val="003E7A4D"/>
    <w:rsid w:val="003F1000"/>
    <w:rsid w:val="004068B8"/>
    <w:rsid w:val="004101D8"/>
    <w:rsid w:val="00424A8C"/>
    <w:rsid w:val="00425ABB"/>
    <w:rsid w:val="004371E8"/>
    <w:rsid w:val="004374C7"/>
    <w:rsid w:val="0044146E"/>
    <w:rsid w:val="00452C92"/>
    <w:rsid w:val="004549C7"/>
    <w:rsid w:val="00464610"/>
    <w:rsid w:val="00472B54"/>
    <w:rsid w:val="00473684"/>
    <w:rsid w:val="00474683"/>
    <w:rsid w:val="00475913"/>
    <w:rsid w:val="004823AB"/>
    <w:rsid w:val="00482BF5"/>
    <w:rsid w:val="0048307D"/>
    <w:rsid w:val="004A5E03"/>
    <w:rsid w:val="004B48C0"/>
    <w:rsid w:val="004C3526"/>
    <w:rsid w:val="004C671F"/>
    <w:rsid w:val="004C7C9D"/>
    <w:rsid w:val="004D7D87"/>
    <w:rsid w:val="004F4AF1"/>
    <w:rsid w:val="0050413E"/>
    <w:rsid w:val="00507EDE"/>
    <w:rsid w:val="005100BA"/>
    <w:rsid w:val="00513400"/>
    <w:rsid w:val="00516572"/>
    <w:rsid w:val="005241F7"/>
    <w:rsid w:val="0053008E"/>
    <w:rsid w:val="00531EE2"/>
    <w:rsid w:val="0053322C"/>
    <w:rsid w:val="005363E0"/>
    <w:rsid w:val="00540D0E"/>
    <w:rsid w:val="0054146D"/>
    <w:rsid w:val="00554719"/>
    <w:rsid w:val="005665A3"/>
    <w:rsid w:val="005747FD"/>
    <w:rsid w:val="00575A1D"/>
    <w:rsid w:val="005768B3"/>
    <w:rsid w:val="0058085A"/>
    <w:rsid w:val="005A30B9"/>
    <w:rsid w:val="005A3DD8"/>
    <w:rsid w:val="005B4684"/>
    <w:rsid w:val="005B66E4"/>
    <w:rsid w:val="005B7018"/>
    <w:rsid w:val="005C5E34"/>
    <w:rsid w:val="005C6D2D"/>
    <w:rsid w:val="005D1A6C"/>
    <w:rsid w:val="005E728C"/>
    <w:rsid w:val="006045A0"/>
    <w:rsid w:val="00605DA1"/>
    <w:rsid w:val="00606A28"/>
    <w:rsid w:val="006109EE"/>
    <w:rsid w:val="00611477"/>
    <w:rsid w:val="006124D8"/>
    <w:rsid w:val="00620184"/>
    <w:rsid w:val="0062751E"/>
    <w:rsid w:val="00627DA1"/>
    <w:rsid w:val="006323D1"/>
    <w:rsid w:val="0063271C"/>
    <w:rsid w:val="0064159D"/>
    <w:rsid w:val="00647D98"/>
    <w:rsid w:val="00661ACB"/>
    <w:rsid w:val="00671C02"/>
    <w:rsid w:val="006730CE"/>
    <w:rsid w:val="00673877"/>
    <w:rsid w:val="00674281"/>
    <w:rsid w:val="00676576"/>
    <w:rsid w:val="00685AA0"/>
    <w:rsid w:val="006943D5"/>
    <w:rsid w:val="006A4051"/>
    <w:rsid w:val="006A5E53"/>
    <w:rsid w:val="006B79F3"/>
    <w:rsid w:val="006C4A50"/>
    <w:rsid w:val="006C66FF"/>
    <w:rsid w:val="006C75E4"/>
    <w:rsid w:val="006D1276"/>
    <w:rsid w:val="006E45F2"/>
    <w:rsid w:val="006E7466"/>
    <w:rsid w:val="006F1045"/>
    <w:rsid w:val="0070255D"/>
    <w:rsid w:val="00714BB7"/>
    <w:rsid w:val="0072413B"/>
    <w:rsid w:val="00732F80"/>
    <w:rsid w:val="00735115"/>
    <w:rsid w:val="00736F2C"/>
    <w:rsid w:val="007427A2"/>
    <w:rsid w:val="00746155"/>
    <w:rsid w:val="00750C50"/>
    <w:rsid w:val="00764C82"/>
    <w:rsid w:val="007709C3"/>
    <w:rsid w:val="00773822"/>
    <w:rsid w:val="00792A15"/>
    <w:rsid w:val="007A2592"/>
    <w:rsid w:val="007B635B"/>
    <w:rsid w:val="007B66B8"/>
    <w:rsid w:val="007B6B83"/>
    <w:rsid w:val="007D26E1"/>
    <w:rsid w:val="007D27CB"/>
    <w:rsid w:val="007F0DDE"/>
    <w:rsid w:val="007F2DD5"/>
    <w:rsid w:val="00801C49"/>
    <w:rsid w:val="00803908"/>
    <w:rsid w:val="0081476F"/>
    <w:rsid w:val="008202F9"/>
    <w:rsid w:val="00825DB0"/>
    <w:rsid w:val="00851731"/>
    <w:rsid w:val="00853A36"/>
    <w:rsid w:val="00863472"/>
    <w:rsid w:val="00863667"/>
    <w:rsid w:val="00872196"/>
    <w:rsid w:val="008738B4"/>
    <w:rsid w:val="00876839"/>
    <w:rsid w:val="00897CD1"/>
    <w:rsid w:val="008A4A16"/>
    <w:rsid w:val="008B414F"/>
    <w:rsid w:val="008B664B"/>
    <w:rsid w:val="008C5E25"/>
    <w:rsid w:val="008D19D8"/>
    <w:rsid w:val="008D26EC"/>
    <w:rsid w:val="008D5A87"/>
    <w:rsid w:val="008D6CC4"/>
    <w:rsid w:val="008E016A"/>
    <w:rsid w:val="008E738D"/>
    <w:rsid w:val="008F533B"/>
    <w:rsid w:val="008F5754"/>
    <w:rsid w:val="00917350"/>
    <w:rsid w:val="00921378"/>
    <w:rsid w:val="0092203F"/>
    <w:rsid w:val="00922F9E"/>
    <w:rsid w:val="0093711B"/>
    <w:rsid w:val="00937AE2"/>
    <w:rsid w:val="009425B2"/>
    <w:rsid w:val="0094492F"/>
    <w:rsid w:val="0094664F"/>
    <w:rsid w:val="009626A2"/>
    <w:rsid w:val="00963CDE"/>
    <w:rsid w:val="00972727"/>
    <w:rsid w:val="00977EB3"/>
    <w:rsid w:val="00982CE7"/>
    <w:rsid w:val="009853CC"/>
    <w:rsid w:val="00986FD2"/>
    <w:rsid w:val="00991AD1"/>
    <w:rsid w:val="0099401C"/>
    <w:rsid w:val="00995B52"/>
    <w:rsid w:val="009A4BD9"/>
    <w:rsid w:val="009C58C0"/>
    <w:rsid w:val="009D5CD6"/>
    <w:rsid w:val="00A07D73"/>
    <w:rsid w:val="00A11713"/>
    <w:rsid w:val="00A15998"/>
    <w:rsid w:val="00A2008D"/>
    <w:rsid w:val="00A261D6"/>
    <w:rsid w:val="00A54210"/>
    <w:rsid w:val="00A603F5"/>
    <w:rsid w:val="00A67616"/>
    <w:rsid w:val="00A70683"/>
    <w:rsid w:val="00A757A5"/>
    <w:rsid w:val="00A81469"/>
    <w:rsid w:val="00A90604"/>
    <w:rsid w:val="00A96C34"/>
    <w:rsid w:val="00AA6B24"/>
    <w:rsid w:val="00AB42E9"/>
    <w:rsid w:val="00AB4F0C"/>
    <w:rsid w:val="00AC4637"/>
    <w:rsid w:val="00AC6585"/>
    <w:rsid w:val="00AD1105"/>
    <w:rsid w:val="00AD11E3"/>
    <w:rsid w:val="00AD1D10"/>
    <w:rsid w:val="00AD5DDC"/>
    <w:rsid w:val="00AE44FB"/>
    <w:rsid w:val="00AE4DEC"/>
    <w:rsid w:val="00AE4ECD"/>
    <w:rsid w:val="00AF3AEF"/>
    <w:rsid w:val="00B07277"/>
    <w:rsid w:val="00B1112A"/>
    <w:rsid w:val="00B12208"/>
    <w:rsid w:val="00B21272"/>
    <w:rsid w:val="00B22E0E"/>
    <w:rsid w:val="00B36F59"/>
    <w:rsid w:val="00B52069"/>
    <w:rsid w:val="00B70146"/>
    <w:rsid w:val="00B73F9A"/>
    <w:rsid w:val="00B804A9"/>
    <w:rsid w:val="00B80741"/>
    <w:rsid w:val="00BA3B84"/>
    <w:rsid w:val="00BA3BA7"/>
    <w:rsid w:val="00BA534F"/>
    <w:rsid w:val="00BC47B7"/>
    <w:rsid w:val="00BC6D63"/>
    <w:rsid w:val="00BD1F7B"/>
    <w:rsid w:val="00BD5405"/>
    <w:rsid w:val="00BD60B5"/>
    <w:rsid w:val="00BD6A08"/>
    <w:rsid w:val="00BD6B62"/>
    <w:rsid w:val="00BE52E3"/>
    <w:rsid w:val="00BF615F"/>
    <w:rsid w:val="00BF6CE5"/>
    <w:rsid w:val="00C12F58"/>
    <w:rsid w:val="00C26136"/>
    <w:rsid w:val="00C52785"/>
    <w:rsid w:val="00C52A96"/>
    <w:rsid w:val="00C5304A"/>
    <w:rsid w:val="00C574EA"/>
    <w:rsid w:val="00C62F82"/>
    <w:rsid w:val="00C63A68"/>
    <w:rsid w:val="00C74090"/>
    <w:rsid w:val="00C7750F"/>
    <w:rsid w:val="00C86AAA"/>
    <w:rsid w:val="00C90A70"/>
    <w:rsid w:val="00C9237F"/>
    <w:rsid w:val="00C925EF"/>
    <w:rsid w:val="00C94499"/>
    <w:rsid w:val="00CA4D87"/>
    <w:rsid w:val="00CC2688"/>
    <w:rsid w:val="00CC3D46"/>
    <w:rsid w:val="00CC4E13"/>
    <w:rsid w:val="00CD162F"/>
    <w:rsid w:val="00CE68DB"/>
    <w:rsid w:val="00D12FB5"/>
    <w:rsid w:val="00D164F1"/>
    <w:rsid w:val="00D21730"/>
    <w:rsid w:val="00D24A08"/>
    <w:rsid w:val="00D261A6"/>
    <w:rsid w:val="00D32222"/>
    <w:rsid w:val="00D3233D"/>
    <w:rsid w:val="00D4123F"/>
    <w:rsid w:val="00D44718"/>
    <w:rsid w:val="00D46C11"/>
    <w:rsid w:val="00D56DEE"/>
    <w:rsid w:val="00D573A6"/>
    <w:rsid w:val="00D5754C"/>
    <w:rsid w:val="00D5799F"/>
    <w:rsid w:val="00D6059C"/>
    <w:rsid w:val="00D61987"/>
    <w:rsid w:val="00D87563"/>
    <w:rsid w:val="00D9669E"/>
    <w:rsid w:val="00DA3658"/>
    <w:rsid w:val="00DB7081"/>
    <w:rsid w:val="00DC0C86"/>
    <w:rsid w:val="00DC105A"/>
    <w:rsid w:val="00DC4D96"/>
    <w:rsid w:val="00DD1BBD"/>
    <w:rsid w:val="00DD796E"/>
    <w:rsid w:val="00DE09B1"/>
    <w:rsid w:val="00DE5F41"/>
    <w:rsid w:val="00DF02BF"/>
    <w:rsid w:val="00E103B7"/>
    <w:rsid w:val="00E13D0F"/>
    <w:rsid w:val="00E27C46"/>
    <w:rsid w:val="00E315EB"/>
    <w:rsid w:val="00E36C86"/>
    <w:rsid w:val="00E41279"/>
    <w:rsid w:val="00E445CB"/>
    <w:rsid w:val="00E45052"/>
    <w:rsid w:val="00E52395"/>
    <w:rsid w:val="00E62199"/>
    <w:rsid w:val="00E64134"/>
    <w:rsid w:val="00E727D6"/>
    <w:rsid w:val="00E73508"/>
    <w:rsid w:val="00E7484F"/>
    <w:rsid w:val="00E770FE"/>
    <w:rsid w:val="00E94346"/>
    <w:rsid w:val="00E9437F"/>
    <w:rsid w:val="00EA63D6"/>
    <w:rsid w:val="00EC000A"/>
    <w:rsid w:val="00EC14C7"/>
    <w:rsid w:val="00EC2485"/>
    <w:rsid w:val="00ED1C09"/>
    <w:rsid w:val="00ED373A"/>
    <w:rsid w:val="00EE0D26"/>
    <w:rsid w:val="00EF0B24"/>
    <w:rsid w:val="00EF2804"/>
    <w:rsid w:val="00EF3001"/>
    <w:rsid w:val="00F06986"/>
    <w:rsid w:val="00F12C2A"/>
    <w:rsid w:val="00F23E68"/>
    <w:rsid w:val="00F24BE3"/>
    <w:rsid w:val="00F25D8F"/>
    <w:rsid w:val="00F274DF"/>
    <w:rsid w:val="00F33579"/>
    <w:rsid w:val="00F40649"/>
    <w:rsid w:val="00F437C3"/>
    <w:rsid w:val="00F5364E"/>
    <w:rsid w:val="00F55A0A"/>
    <w:rsid w:val="00F5794B"/>
    <w:rsid w:val="00F579B6"/>
    <w:rsid w:val="00F6217D"/>
    <w:rsid w:val="00F659DF"/>
    <w:rsid w:val="00F70AA2"/>
    <w:rsid w:val="00F73917"/>
    <w:rsid w:val="00F75CC2"/>
    <w:rsid w:val="00F83D65"/>
    <w:rsid w:val="00F84314"/>
    <w:rsid w:val="00F92DDF"/>
    <w:rsid w:val="00F94B78"/>
    <w:rsid w:val="00FB45AC"/>
    <w:rsid w:val="00FC26DD"/>
    <w:rsid w:val="00FC523B"/>
    <w:rsid w:val="00FD4D09"/>
    <w:rsid w:val="00FE2918"/>
    <w:rsid w:val="00FE4CF4"/>
    <w:rsid w:val="00FF5D40"/>
    <w:rsid w:val="00FF6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8229"/>
  <w15:chartTrackingRefBased/>
  <w15:docId w15:val="{E0BB45DF-6F37-4073-BD82-04FA97B5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192C"/>
    <w:pPr>
      <w:spacing w:after="0" w:line="240" w:lineRule="auto"/>
    </w:pPr>
    <w:rPr>
      <w:rFonts w:ascii="Times New Roman" w:eastAsia="SimSun" w:hAnsi="Times New Roman" w:cs="Times New Roman"/>
      <w:kern w:val="0"/>
      <w:sz w:val="24"/>
      <w:szCs w:val="24"/>
      <w:lang w:val="lt-LT" w:eastAsia="zh-CN"/>
      <w14:ligatures w14:val="none"/>
    </w:rPr>
  </w:style>
  <w:style w:type="paragraph" w:styleId="Antrat1">
    <w:name w:val="heading 1"/>
    <w:basedOn w:val="prastasis"/>
    <w:next w:val="prastasis"/>
    <w:link w:val="Antrat1Diagrama"/>
    <w:qFormat/>
    <w:rsid w:val="000E1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0E1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E19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E19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E19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E192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192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192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192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19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0E19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19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19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19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E19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19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19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19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192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19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19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19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19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192C"/>
    <w:rPr>
      <w:i/>
      <w:iCs/>
      <w:color w:val="404040" w:themeColor="text1" w:themeTint="BF"/>
    </w:rPr>
  </w:style>
  <w:style w:type="paragraph" w:styleId="Sraopastraipa">
    <w:name w:val="List Paragraph"/>
    <w:basedOn w:val="prastasis"/>
    <w:uiPriority w:val="34"/>
    <w:qFormat/>
    <w:rsid w:val="000E192C"/>
    <w:pPr>
      <w:ind w:left="720"/>
      <w:contextualSpacing/>
    </w:pPr>
  </w:style>
  <w:style w:type="character" w:styleId="Rykuspabraukimas">
    <w:name w:val="Intense Emphasis"/>
    <w:basedOn w:val="Numatytasispastraiposriftas"/>
    <w:uiPriority w:val="21"/>
    <w:qFormat/>
    <w:rsid w:val="000E192C"/>
    <w:rPr>
      <w:i/>
      <w:iCs/>
      <w:color w:val="0F4761" w:themeColor="accent1" w:themeShade="BF"/>
    </w:rPr>
  </w:style>
  <w:style w:type="paragraph" w:styleId="Iskirtacitata">
    <w:name w:val="Intense Quote"/>
    <w:basedOn w:val="prastasis"/>
    <w:next w:val="prastasis"/>
    <w:link w:val="IskirtacitataDiagrama"/>
    <w:uiPriority w:val="30"/>
    <w:qFormat/>
    <w:rsid w:val="000E1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E192C"/>
    <w:rPr>
      <w:i/>
      <w:iCs/>
      <w:color w:val="0F4761" w:themeColor="accent1" w:themeShade="BF"/>
    </w:rPr>
  </w:style>
  <w:style w:type="character" w:styleId="Rykinuoroda">
    <w:name w:val="Intense Reference"/>
    <w:basedOn w:val="Numatytasispastraiposriftas"/>
    <w:uiPriority w:val="32"/>
    <w:qFormat/>
    <w:rsid w:val="000E192C"/>
    <w:rPr>
      <w:b/>
      <w:bCs/>
      <w:smallCaps/>
      <w:color w:val="0F4761" w:themeColor="accent1" w:themeShade="BF"/>
      <w:spacing w:val="5"/>
    </w:rPr>
  </w:style>
  <w:style w:type="paragraph" w:styleId="Turinys5">
    <w:name w:val="toc 5"/>
    <w:basedOn w:val="prastasis"/>
    <w:next w:val="prastasis"/>
    <w:autoRedefine/>
    <w:semiHidden/>
    <w:rsid w:val="000E192C"/>
    <w:pPr>
      <w:ind w:left="960"/>
    </w:pPr>
    <w:rPr>
      <w:sz w:val="22"/>
    </w:rPr>
  </w:style>
  <w:style w:type="paragraph" w:styleId="Turinys4">
    <w:name w:val="toc 4"/>
    <w:basedOn w:val="prastasis"/>
    <w:next w:val="prastasis"/>
    <w:autoRedefine/>
    <w:semiHidden/>
    <w:rsid w:val="000E192C"/>
    <w:pPr>
      <w:ind w:left="720"/>
    </w:pPr>
    <w:rPr>
      <w:sz w:val="22"/>
    </w:rPr>
  </w:style>
  <w:style w:type="paragraph" w:styleId="Pagrindinistekstas">
    <w:name w:val="Body Text"/>
    <w:basedOn w:val="prastasis"/>
    <w:link w:val="PagrindinistekstasDiagrama"/>
    <w:rsid w:val="000E192C"/>
    <w:pPr>
      <w:widowControl w:val="0"/>
      <w:snapToGrid w:val="0"/>
    </w:pPr>
    <w:rPr>
      <w:rFonts w:eastAsia="Times New Roman"/>
      <w:color w:val="000000"/>
      <w:szCs w:val="20"/>
      <w:lang w:val="cs-CZ" w:eastAsia="cs-CZ"/>
    </w:rPr>
  </w:style>
  <w:style w:type="character" w:customStyle="1" w:styleId="PagrindinistekstasDiagrama">
    <w:name w:val="Pagrindinis tekstas Diagrama"/>
    <w:basedOn w:val="Numatytasispastraiposriftas"/>
    <w:link w:val="Pagrindinistekstas"/>
    <w:rsid w:val="000E192C"/>
    <w:rPr>
      <w:rFonts w:ascii="Times New Roman" w:eastAsia="Times New Roman" w:hAnsi="Times New Roman" w:cs="Times New Roman"/>
      <w:color w:val="000000"/>
      <w:kern w:val="0"/>
      <w:sz w:val="24"/>
      <w:szCs w:val="20"/>
      <w:lang w:val="cs-CZ" w:eastAsia="cs-CZ"/>
      <w14:ligatures w14:val="none"/>
    </w:rPr>
  </w:style>
  <w:style w:type="paragraph" w:styleId="Antrats">
    <w:name w:val="header"/>
    <w:basedOn w:val="prastasis"/>
    <w:link w:val="AntratsDiagrama"/>
    <w:rsid w:val="000E192C"/>
    <w:pPr>
      <w:tabs>
        <w:tab w:val="center" w:pos="4536"/>
        <w:tab w:val="right" w:pos="9072"/>
      </w:tabs>
    </w:pPr>
  </w:style>
  <w:style w:type="character" w:customStyle="1" w:styleId="AntratsDiagrama">
    <w:name w:val="Antraštės Diagrama"/>
    <w:basedOn w:val="Numatytasispastraiposriftas"/>
    <w:link w:val="Antrats"/>
    <w:rsid w:val="000E192C"/>
    <w:rPr>
      <w:rFonts w:ascii="Times New Roman" w:eastAsia="SimSun" w:hAnsi="Times New Roman" w:cs="Times New Roman"/>
      <w:noProof/>
      <w:kern w:val="0"/>
      <w:sz w:val="24"/>
      <w:szCs w:val="24"/>
      <w:lang w:eastAsia="zh-CN"/>
      <w14:ligatures w14:val="none"/>
    </w:rPr>
  </w:style>
  <w:style w:type="paragraph" w:styleId="Porat">
    <w:name w:val="footer"/>
    <w:basedOn w:val="prastasis"/>
    <w:link w:val="PoratDiagrama"/>
    <w:rsid w:val="000E192C"/>
    <w:pPr>
      <w:tabs>
        <w:tab w:val="center" w:pos="4536"/>
        <w:tab w:val="right" w:pos="9072"/>
      </w:tabs>
    </w:pPr>
  </w:style>
  <w:style w:type="character" w:customStyle="1" w:styleId="PoratDiagrama">
    <w:name w:val="Poraštė Diagrama"/>
    <w:basedOn w:val="Numatytasispastraiposriftas"/>
    <w:link w:val="Porat"/>
    <w:rsid w:val="000E192C"/>
    <w:rPr>
      <w:rFonts w:ascii="Times New Roman" w:eastAsia="SimSun" w:hAnsi="Times New Roman" w:cs="Times New Roman"/>
      <w:noProof/>
      <w:kern w:val="0"/>
      <w:sz w:val="24"/>
      <w:szCs w:val="24"/>
      <w:lang w:eastAsia="zh-CN"/>
      <w14:ligatures w14:val="none"/>
    </w:rPr>
  </w:style>
  <w:style w:type="paragraph" w:styleId="Debesliotekstas">
    <w:name w:val="Balloon Text"/>
    <w:basedOn w:val="prastasis"/>
    <w:link w:val="DebesliotekstasDiagrama"/>
    <w:semiHidden/>
    <w:rsid w:val="000E192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192C"/>
    <w:rPr>
      <w:rFonts w:ascii="Tahoma" w:eastAsia="SimSun" w:hAnsi="Tahoma" w:cs="Tahoma"/>
      <w:noProof/>
      <w:kern w:val="0"/>
      <w:sz w:val="16"/>
      <w:szCs w:val="16"/>
      <w:lang w:eastAsia="zh-CN"/>
      <w14:ligatures w14:val="none"/>
    </w:rPr>
  </w:style>
  <w:style w:type="paragraph" w:customStyle="1" w:styleId="Texttabulky1">
    <w:name w:val="Text tabulky 1"/>
    <w:autoRedefine/>
    <w:rsid w:val="000E192C"/>
    <w:pPr>
      <w:spacing w:after="0" w:line="240" w:lineRule="auto"/>
      <w:ind w:left="72"/>
      <w:jc w:val="both"/>
    </w:pPr>
    <w:rPr>
      <w:rFonts w:ascii="Times New Roman" w:eastAsia="Times New Roman" w:hAnsi="Times New Roman" w:cs="Times New Roman"/>
      <w:noProof/>
      <w:kern w:val="0"/>
      <w:sz w:val="24"/>
      <w:szCs w:val="20"/>
      <w:lang w:val="cs-CZ" w:eastAsia="cs-CZ"/>
      <w14:ligatures w14:val="none"/>
    </w:rPr>
  </w:style>
  <w:style w:type="paragraph" w:styleId="Pagrindinistekstas2">
    <w:name w:val="Body Text 2"/>
    <w:basedOn w:val="prastasis"/>
    <w:link w:val="Pagrindinistekstas2Diagrama"/>
    <w:rsid w:val="000E192C"/>
    <w:pPr>
      <w:spacing w:after="120" w:line="480" w:lineRule="auto"/>
    </w:pPr>
  </w:style>
  <w:style w:type="character" w:customStyle="1" w:styleId="Pagrindinistekstas2Diagrama">
    <w:name w:val="Pagrindinis tekstas 2 Diagrama"/>
    <w:basedOn w:val="Numatytasispastraiposriftas"/>
    <w:link w:val="Pagrindinistekstas2"/>
    <w:rsid w:val="000E192C"/>
    <w:rPr>
      <w:rFonts w:ascii="Times New Roman" w:eastAsia="SimSun" w:hAnsi="Times New Roman" w:cs="Times New Roman"/>
      <w:noProof/>
      <w:kern w:val="0"/>
      <w:sz w:val="24"/>
      <w:szCs w:val="24"/>
      <w:lang w:eastAsia="zh-CN"/>
      <w14:ligatures w14:val="none"/>
    </w:rPr>
  </w:style>
  <w:style w:type="paragraph" w:customStyle="1" w:styleId="Paragraph">
    <w:name w:val="Paragraph"/>
    <w:basedOn w:val="prastasis"/>
    <w:rsid w:val="000E192C"/>
    <w:pPr>
      <w:spacing w:after="120" w:line="300" w:lineRule="atLeast"/>
    </w:pPr>
    <w:rPr>
      <w:rFonts w:ascii="Arial" w:eastAsia="Times New Roman" w:hAnsi="Arial" w:cs="Arial"/>
      <w:sz w:val="22"/>
      <w:szCs w:val="22"/>
      <w:lang w:val="en-GB" w:eastAsia="nl-NL"/>
    </w:rPr>
  </w:style>
  <w:style w:type="table" w:styleId="Lentelstinklelis">
    <w:name w:val="Table Grid"/>
    <w:basedOn w:val="prastojilentel"/>
    <w:rsid w:val="000E192C"/>
    <w:pPr>
      <w:spacing w:after="0" w:line="240" w:lineRule="auto"/>
    </w:pPr>
    <w:rPr>
      <w:rFonts w:ascii="Times New Roman" w:eastAsia="SimSu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E192C"/>
    <w:rPr>
      <w:sz w:val="16"/>
      <w:szCs w:val="16"/>
    </w:rPr>
  </w:style>
  <w:style w:type="paragraph" w:styleId="Komentarotekstas">
    <w:name w:val="annotation text"/>
    <w:basedOn w:val="prastasis"/>
    <w:link w:val="KomentarotekstasDiagrama"/>
    <w:uiPriority w:val="99"/>
    <w:qFormat/>
    <w:rsid w:val="000E192C"/>
    <w:rPr>
      <w:sz w:val="20"/>
      <w:szCs w:val="20"/>
    </w:rPr>
  </w:style>
  <w:style w:type="character" w:customStyle="1" w:styleId="KomentarotekstasDiagrama">
    <w:name w:val="Komentaro tekstas Diagrama"/>
    <w:basedOn w:val="Numatytasispastraiposriftas"/>
    <w:link w:val="Komentarotekstas"/>
    <w:uiPriority w:val="99"/>
    <w:qFormat/>
    <w:rsid w:val="000E192C"/>
    <w:rPr>
      <w:rFonts w:ascii="Times New Roman" w:eastAsia="SimSun" w:hAnsi="Times New Roman" w:cs="Times New Roman"/>
      <w:noProof/>
      <w:kern w:val="0"/>
      <w:sz w:val="20"/>
      <w:szCs w:val="20"/>
      <w:lang w:eastAsia="zh-CN"/>
      <w14:ligatures w14:val="none"/>
    </w:rPr>
  </w:style>
  <w:style w:type="paragraph" w:styleId="Komentarotema">
    <w:name w:val="annotation subject"/>
    <w:basedOn w:val="Komentarotekstas"/>
    <w:next w:val="Komentarotekstas"/>
    <w:link w:val="KomentarotemaDiagrama"/>
    <w:semiHidden/>
    <w:rsid w:val="000E192C"/>
    <w:rPr>
      <w:b/>
      <w:bCs/>
    </w:rPr>
  </w:style>
  <w:style w:type="character" w:customStyle="1" w:styleId="KomentarotemaDiagrama">
    <w:name w:val="Komentaro tema Diagrama"/>
    <w:basedOn w:val="KomentarotekstasDiagrama"/>
    <w:link w:val="Komentarotema"/>
    <w:semiHidden/>
    <w:rsid w:val="000E192C"/>
    <w:rPr>
      <w:rFonts w:ascii="Times New Roman" w:eastAsia="SimSun" w:hAnsi="Times New Roman" w:cs="Times New Roman"/>
      <w:b/>
      <w:bCs/>
      <w:noProof/>
      <w:kern w:val="0"/>
      <w:sz w:val="20"/>
      <w:szCs w:val="20"/>
      <w:lang w:eastAsia="zh-CN"/>
      <w14:ligatures w14:val="none"/>
    </w:rPr>
  </w:style>
  <w:style w:type="character" w:styleId="Puslapionumeris">
    <w:name w:val="page number"/>
    <w:basedOn w:val="Numatytasispastraiposriftas"/>
    <w:rsid w:val="000E192C"/>
  </w:style>
  <w:style w:type="paragraph" w:styleId="Pataisymai">
    <w:name w:val="Revision"/>
    <w:hidden/>
    <w:uiPriority w:val="99"/>
    <w:semiHidden/>
    <w:rsid w:val="000E192C"/>
    <w:pPr>
      <w:spacing w:after="0" w:line="240" w:lineRule="auto"/>
    </w:pPr>
    <w:rPr>
      <w:rFonts w:ascii="Times New Roman" w:eastAsia="SimSun" w:hAnsi="Times New Roman" w:cs="Times New Roman"/>
      <w:noProof/>
      <w:kern w:val="0"/>
      <w:sz w:val="24"/>
      <w:szCs w:val="24"/>
      <w:lang w:eastAsia="zh-CN"/>
      <w14:ligatures w14:val="none"/>
    </w:rPr>
  </w:style>
  <w:style w:type="paragraph" w:customStyle="1" w:styleId="Default">
    <w:name w:val="Default"/>
    <w:rsid w:val="000E192C"/>
    <w:pPr>
      <w:autoSpaceDE w:val="0"/>
      <w:autoSpaceDN w:val="0"/>
      <w:adjustRightInd w:val="0"/>
      <w:spacing w:after="0" w:line="240" w:lineRule="auto"/>
    </w:pPr>
    <w:rPr>
      <w:rFonts w:ascii="Times New Roman" w:eastAsia="Times New Roman" w:hAnsi="Times New Roman" w:cs="Times New Roman"/>
      <w:color w:val="000000"/>
      <w:kern w:val="0"/>
      <w:sz w:val="24"/>
      <w:szCs w:val="24"/>
      <w:lang w:val="cs-CZ" w:eastAsia="cs-CZ"/>
      <w14:ligatures w14:val="none"/>
    </w:rPr>
  </w:style>
  <w:style w:type="paragraph" w:customStyle="1" w:styleId="Fliesstext">
    <w:name w:val="Fliesstext"/>
    <w:basedOn w:val="prastasis"/>
    <w:uiPriority w:val="99"/>
    <w:rsid w:val="000E192C"/>
    <w:pPr>
      <w:jc w:val="both"/>
    </w:pPr>
    <w:rPr>
      <w:rFonts w:eastAsia="Arial Unicode MS"/>
      <w:bCs/>
      <w:lang w:val="de-DE" w:eastAsia="de-DE"/>
    </w:rPr>
  </w:style>
  <w:style w:type="paragraph" w:customStyle="1" w:styleId="2PIL">
    <w:name w:val="2 PIL"/>
    <w:basedOn w:val="Antrat2"/>
    <w:link w:val="2PILChar"/>
    <w:autoRedefine/>
    <w:uiPriority w:val="4"/>
    <w:qFormat/>
    <w:rsid w:val="000E192C"/>
    <w:pPr>
      <w:keepLines w:val="0"/>
      <w:spacing w:before="0" w:after="60"/>
      <w:ind w:left="567" w:hanging="567"/>
      <w:jc w:val="both"/>
    </w:pPr>
    <w:rPr>
      <w:rFonts w:ascii="Times New Roman" w:eastAsia="MS Mincho" w:hAnsi="Times New Roman" w:cs="Arial"/>
      <w:b/>
      <w:bCs/>
      <w:color w:val="auto"/>
      <w:sz w:val="24"/>
      <w:szCs w:val="24"/>
      <w:lang w:val="en-GB" w:eastAsia="de-DE"/>
    </w:rPr>
  </w:style>
  <w:style w:type="character" w:customStyle="1" w:styleId="2PILChar">
    <w:name w:val="2 PIL Char"/>
    <w:link w:val="2PIL"/>
    <w:uiPriority w:val="4"/>
    <w:rsid w:val="000E192C"/>
    <w:rPr>
      <w:rFonts w:ascii="Times New Roman" w:eastAsia="MS Mincho" w:hAnsi="Times New Roman" w:cs="Arial"/>
      <w:b/>
      <w:bCs/>
      <w:noProof/>
      <w:kern w:val="0"/>
      <w:sz w:val="24"/>
      <w:szCs w:val="24"/>
      <w:lang w:val="en-GB" w:eastAsia="de-DE"/>
      <w14:ligatures w14:val="none"/>
    </w:rPr>
  </w:style>
  <w:style w:type="paragraph" w:customStyle="1" w:styleId="2LAB">
    <w:name w:val="2 LAB"/>
    <w:basedOn w:val="Antrat2"/>
    <w:link w:val="2LABChar"/>
    <w:uiPriority w:val="3"/>
    <w:qFormat/>
    <w:rsid w:val="000E192C"/>
    <w:pPr>
      <w:keepLines w:val="0"/>
      <w:pBdr>
        <w:top w:val="single" w:sz="4" w:space="1" w:color="auto"/>
        <w:left w:val="single" w:sz="4" w:space="4" w:color="auto"/>
        <w:bottom w:val="single" w:sz="4" w:space="1" w:color="auto"/>
        <w:right w:val="single" w:sz="4" w:space="4" w:color="auto"/>
      </w:pBdr>
      <w:spacing w:before="0" w:after="0"/>
      <w:jc w:val="both"/>
    </w:pPr>
    <w:rPr>
      <w:rFonts w:ascii="Cambria" w:eastAsia="MS Mincho" w:hAnsi="Cambria" w:cs="Arial"/>
      <w:b/>
      <w:bCs/>
      <w:caps/>
      <w:color w:val="auto"/>
      <w:sz w:val="24"/>
      <w:szCs w:val="24"/>
      <w:lang w:eastAsia="de-DE"/>
    </w:rPr>
  </w:style>
  <w:style w:type="character" w:customStyle="1" w:styleId="2LABChar">
    <w:name w:val="2 LAB Char"/>
    <w:link w:val="2LAB"/>
    <w:uiPriority w:val="3"/>
    <w:rsid w:val="000E192C"/>
    <w:rPr>
      <w:rFonts w:ascii="Cambria" w:eastAsia="MS Mincho" w:hAnsi="Cambria" w:cs="Arial"/>
      <w:b/>
      <w:bCs/>
      <w:caps/>
      <w:noProof/>
      <w:kern w:val="0"/>
      <w:sz w:val="24"/>
      <w:szCs w:val="24"/>
      <w:lang w:eastAsia="de-DE"/>
      <w14:ligatures w14:val="none"/>
    </w:rPr>
  </w:style>
  <w:style w:type="paragraph" w:customStyle="1" w:styleId="Normln">
    <w:name w:val="Norm‡ln’"/>
    <w:rsid w:val="000E192C"/>
    <w:pPr>
      <w:spacing w:after="200" w:line="276" w:lineRule="auto"/>
    </w:pPr>
    <w:rPr>
      <w:rFonts w:ascii="Times New Roman" w:eastAsia="MS Mincho" w:hAnsi="Times New Roman" w:cs="Times New Roman"/>
      <w:kern w:val="0"/>
      <w:lang w:val="cs-CZ" w:eastAsia="cs-CZ"/>
      <w14:ligatures w14:val="none"/>
    </w:rPr>
  </w:style>
  <w:style w:type="paragraph" w:customStyle="1" w:styleId="TableParagraph">
    <w:name w:val="Table Paragraph"/>
    <w:basedOn w:val="prastasis"/>
    <w:uiPriority w:val="1"/>
    <w:qFormat/>
    <w:rsid w:val="000E192C"/>
    <w:pPr>
      <w:widowControl w:val="0"/>
      <w:autoSpaceDE w:val="0"/>
      <w:autoSpaceDN w:val="0"/>
      <w:spacing w:line="252" w:lineRule="exact"/>
      <w:ind w:left="68"/>
    </w:pPr>
    <w:rPr>
      <w:rFonts w:eastAsia="Times New Roman"/>
      <w:sz w:val="22"/>
      <w:szCs w:val="22"/>
      <w:lang w:val="de-DE" w:eastAsia="de-DE" w:bidi="de-DE"/>
    </w:rPr>
  </w:style>
  <w:style w:type="paragraph" w:styleId="Pagrindiniotekstotrauka2">
    <w:name w:val="Body Text Indent 2"/>
    <w:basedOn w:val="prastasis"/>
    <w:link w:val="Pagrindiniotekstotrauka2Diagrama"/>
    <w:semiHidden/>
    <w:unhideWhenUsed/>
    <w:rsid w:val="000E192C"/>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192C"/>
    <w:rPr>
      <w:rFonts w:ascii="Times New Roman" w:eastAsia="SimSun" w:hAnsi="Times New Roman" w:cs="Times New Roman"/>
      <w:noProof/>
      <w:kern w:val="0"/>
      <w:sz w:val="24"/>
      <w:szCs w:val="24"/>
      <w:lang w:eastAsia="zh-CN"/>
      <w14:ligatures w14:val="none"/>
    </w:rPr>
  </w:style>
  <w:style w:type="character" w:customStyle="1" w:styleId="BTEMEASMCAChar">
    <w:name w:val="BT EMEA_SMCA Char"/>
    <w:link w:val="BTEMEASMCA"/>
    <w:locked/>
    <w:rsid w:val="000E192C"/>
    <w:rPr>
      <w:rFonts w:eastAsia="Times New Roman"/>
      <w:noProof/>
    </w:rPr>
  </w:style>
  <w:style w:type="paragraph" w:customStyle="1" w:styleId="BTEMEASMCA">
    <w:name w:val="BT EMEA_SMCA"/>
    <w:basedOn w:val="prastasis"/>
    <w:link w:val="BTEMEASMCAChar"/>
    <w:autoRedefine/>
    <w:rsid w:val="000E192C"/>
    <w:pPr>
      <w:ind w:right="-569"/>
    </w:pPr>
    <w:rPr>
      <w:rFonts w:asciiTheme="minorHAnsi" w:eastAsia="Times New Roman" w:hAnsiTheme="minorHAnsi" w:cstheme="minorBidi"/>
      <w:kern w:val="2"/>
      <w:sz w:val="22"/>
      <w:szCs w:val="22"/>
      <w:lang w:eastAsia="en-US"/>
      <w14:ligatures w14:val="standardContextual"/>
    </w:rPr>
  </w:style>
  <w:style w:type="paragraph" w:customStyle="1" w:styleId="Spalvotassraas1parykinimas1">
    <w:name w:val="Spalvotas sąrašas – 1 paryškinimas1"/>
    <w:basedOn w:val="prastasis"/>
    <w:uiPriority w:val="34"/>
    <w:qFormat/>
    <w:rsid w:val="000E192C"/>
    <w:pPr>
      <w:ind w:left="720"/>
      <w:contextualSpacing/>
    </w:pPr>
    <w:rPr>
      <w:rFonts w:eastAsia="Times New Roman"/>
      <w:lang w:val="en-GB" w:eastAsia="en-US"/>
    </w:rPr>
  </w:style>
  <w:style w:type="character" w:styleId="Hipersaitas">
    <w:name w:val="Hyperlink"/>
    <w:unhideWhenUsed/>
    <w:rsid w:val="000E192C"/>
    <w:rPr>
      <w:color w:val="0563C1"/>
      <w:u w:val="single"/>
    </w:rPr>
  </w:style>
  <w:style w:type="character" w:customStyle="1" w:styleId="UnresolvedMention1">
    <w:name w:val="Unresolved Mention1"/>
    <w:uiPriority w:val="99"/>
    <w:semiHidden/>
    <w:unhideWhenUsed/>
    <w:rsid w:val="000E192C"/>
    <w:rPr>
      <w:color w:val="605E5C"/>
      <w:shd w:val="clear" w:color="auto" w:fill="E1DFDD"/>
    </w:rPr>
  </w:style>
  <w:style w:type="character" w:customStyle="1" w:styleId="UnresolvedMention2">
    <w:name w:val="Unresolved Mention2"/>
    <w:uiPriority w:val="99"/>
    <w:semiHidden/>
    <w:unhideWhenUsed/>
    <w:rsid w:val="000E192C"/>
    <w:rPr>
      <w:color w:val="605E5C"/>
      <w:shd w:val="clear" w:color="auto" w:fill="E1DFDD"/>
    </w:rPr>
  </w:style>
  <w:style w:type="paragraph" w:customStyle="1" w:styleId="BT-EMEASMCA">
    <w:name w:val="BT- EMEA_SMCA"/>
    <w:basedOn w:val="prastasis"/>
    <w:rsid w:val="0070255D"/>
    <w:pPr>
      <w:numPr>
        <w:numId w:val="42"/>
      </w:numPr>
    </w:pPr>
  </w:style>
  <w:style w:type="character" w:customStyle="1" w:styleId="Neapdorotaspaminjimas1">
    <w:name w:val="Neapdorotas paminėjimas1"/>
    <w:basedOn w:val="Numatytasispastraiposriftas"/>
    <w:uiPriority w:val="99"/>
    <w:semiHidden/>
    <w:unhideWhenUsed/>
    <w:rsid w:val="00341CC8"/>
    <w:rPr>
      <w:color w:val="605E5C"/>
      <w:shd w:val="clear" w:color="auto" w:fill="E1DFDD"/>
    </w:rPr>
  </w:style>
  <w:style w:type="character" w:customStyle="1" w:styleId="UnresolvedMention">
    <w:name w:val="Unresolved Mention"/>
    <w:basedOn w:val="Numatytasispastraiposriftas"/>
    <w:uiPriority w:val="99"/>
    <w:semiHidden/>
    <w:unhideWhenUsed/>
    <w:rsid w:val="00F5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18436</Words>
  <Characters>10509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2025-09-29T11:05:00Z</dcterms:created>
  <dcterms:modified xsi:type="dcterms:W3CDTF">2025-09-29T11:05:00Z</dcterms:modified>
</cp:coreProperties>
</file>