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29A6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4FF9F5A6"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4351BCCB"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31C4894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5BD2E78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4508AFC9"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794C7D05"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06652234"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70DDE241"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t>B. PAKUOTĖS LAPELIS</w:t>
      </w:r>
    </w:p>
    <w:p w14:paraId="0B3DCEC1"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br w:type="page"/>
        <w:t>Pakuotės</w:t>
      </w:r>
      <w:r w:rsidRPr="00844554" w:rsidDel="00060D21">
        <w:rPr>
          <w:rFonts w:ascii="Times New Roman" w:eastAsia="Times New Roman" w:hAnsi="Times New Roman" w:cs="Times New Roman"/>
          <w:b/>
          <w:bCs/>
          <w:kern w:val="0"/>
          <w:sz w:val="22"/>
          <w:szCs w:val="22"/>
          <w14:ligatures w14:val="none"/>
        </w:rPr>
        <w:t xml:space="preserve"> </w:t>
      </w:r>
      <w:r w:rsidRPr="00844554">
        <w:rPr>
          <w:rFonts w:ascii="Times New Roman" w:eastAsia="Times New Roman" w:hAnsi="Times New Roman" w:cs="Times New Roman"/>
          <w:b/>
          <w:bCs/>
          <w:kern w:val="0"/>
          <w:sz w:val="22"/>
          <w:szCs w:val="22"/>
          <w14:ligatures w14:val="none"/>
        </w:rPr>
        <w:t>lapelis:</w:t>
      </w:r>
      <w:r w:rsidRPr="00844554" w:rsidDel="00060D21">
        <w:rPr>
          <w:rFonts w:ascii="Times New Roman" w:eastAsia="Times New Roman" w:hAnsi="Times New Roman" w:cs="Times New Roman"/>
          <w:b/>
          <w:bCs/>
          <w:kern w:val="0"/>
          <w:sz w:val="22"/>
          <w:szCs w:val="22"/>
          <w14:ligatures w14:val="none"/>
        </w:rPr>
        <w:t xml:space="preserve"> </w:t>
      </w:r>
      <w:r w:rsidRPr="00844554">
        <w:rPr>
          <w:rFonts w:ascii="Times New Roman" w:eastAsia="Times New Roman" w:hAnsi="Times New Roman" w:cs="Times New Roman"/>
          <w:b/>
          <w:bCs/>
          <w:kern w:val="0"/>
          <w:sz w:val="22"/>
          <w:szCs w:val="22"/>
          <w14:ligatures w14:val="none"/>
        </w:rPr>
        <w:t>informacija</w:t>
      </w:r>
      <w:r w:rsidRPr="00844554" w:rsidDel="00060D21">
        <w:rPr>
          <w:rFonts w:ascii="Times New Roman" w:eastAsia="Times New Roman" w:hAnsi="Times New Roman" w:cs="Times New Roman"/>
          <w:b/>
          <w:bCs/>
          <w:kern w:val="0"/>
          <w:sz w:val="22"/>
          <w:szCs w:val="22"/>
          <w14:ligatures w14:val="none"/>
        </w:rPr>
        <w:t xml:space="preserve"> </w:t>
      </w:r>
      <w:r w:rsidRPr="00844554">
        <w:rPr>
          <w:rFonts w:ascii="Times New Roman" w:eastAsia="Times New Roman" w:hAnsi="Times New Roman" w:cs="Times New Roman"/>
          <w:b/>
          <w:bCs/>
          <w:kern w:val="0"/>
          <w:sz w:val="22"/>
          <w:szCs w:val="22"/>
          <w14:ligatures w14:val="none"/>
        </w:rPr>
        <w:t>vartotojui</w:t>
      </w:r>
    </w:p>
    <w:p w14:paraId="5D316E65"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4C64FFF1" w14:textId="3713231A" w:rsidR="00844554" w:rsidRPr="00844554" w:rsidRDefault="00840D4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200 mg tabletės</w:t>
      </w:r>
    </w:p>
    <w:p w14:paraId="59BBA5ED" w14:textId="6947B5F9" w:rsidR="00844554" w:rsidRPr="00844554" w:rsidRDefault="00840D4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400 mg tabletės</w:t>
      </w:r>
    </w:p>
    <w:p w14:paraId="0ED96C16" w14:textId="166132EB" w:rsidR="00844554" w:rsidRPr="00844554" w:rsidRDefault="00840D44" w:rsidP="00844554">
      <w:pPr>
        <w:tabs>
          <w:tab w:val="left" w:pos="567"/>
        </w:tabs>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800 mg tabletės</w:t>
      </w:r>
    </w:p>
    <w:p w14:paraId="46144C8D" w14:textId="77777777" w:rsidR="00844554" w:rsidRPr="00844554" w:rsidRDefault="00844554" w:rsidP="00844554">
      <w:pPr>
        <w:tabs>
          <w:tab w:val="left" w:pos="567"/>
        </w:tabs>
        <w:spacing w:after="0" w:line="240" w:lineRule="auto"/>
        <w:jc w:val="center"/>
        <w:rPr>
          <w:rFonts w:ascii="Times New Roman" w:eastAsia="Times New Roman" w:hAnsi="Times New Roman" w:cs="Times New Roman"/>
          <w:bCs/>
          <w:iCs/>
          <w:kern w:val="0"/>
          <w:sz w:val="22"/>
          <w:szCs w:val="22"/>
          <w14:ligatures w14:val="none"/>
        </w:rPr>
      </w:pPr>
      <w:r w:rsidRPr="00844554">
        <w:rPr>
          <w:rFonts w:ascii="Times New Roman" w:eastAsia="Times New Roman" w:hAnsi="Times New Roman" w:cs="Times New Roman"/>
          <w:bCs/>
          <w:iCs/>
          <w:kern w:val="0"/>
          <w:sz w:val="22"/>
          <w:szCs w:val="22"/>
          <w14:ligatures w14:val="none"/>
        </w:rPr>
        <w:t>acikloviras</w:t>
      </w:r>
    </w:p>
    <w:p w14:paraId="13C99EC8"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38DD252A" w14:textId="77777777" w:rsidR="00844554" w:rsidRPr="00844554" w:rsidRDefault="00844554" w:rsidP="00844554">
      <w:pPr>
        <w:tabs>
          <w:tab w:val="left" w:pos="567"/>
        </w:tabs>
        <w:spacing w:after="0" w:line="240" w:lineRule="auto"/>
        <w:rPr>
          <w:rFonts w:ascii="Times New Roman" w:eastAsia="Times New Roman" w:hAnsi="Times New Roman" w:cs="Times New Roman"/>
          <w:b/>
          <w:bCs/>
          <w:kern w:val="0"/>
          <w:sz w:val="22"/>
          <w:szCs w:val="22"/>
          <w:lang w:eastAsia="x-none"/>
          <w14:ligatures w14:val="none"/>
        </w:rPr>
      </w:pPr>
      <w:r w:rsidRPr="00844554">
        <w:rPr>
          <w:rFonts w:ascii="Times New Roman" w:eastAsia="Times New Roman" w:hAnsi="Times New Roman" w:cs="Times New Roman"/>
          <w:b/>
          <w:bCs/>
          <w:kern w:val="0"/>
          <w:sz w:val="22"/>
          <w:szCs w:val="22"/>
          <w:lang w:eastAsia="x-none"/>
          <w14:ligatures w14:val="none"/>
        </w:rPr>
        <w:t>Atidžiai perskaitykite visą šį lapelį, prieš pradėdami vartoti vaistą, nes jame pateikiama Jums svarbi informacija.</w:t>
      </w:r>
    </w:p>
    <w:p w14:paraId="16E7932D" w14:textId="325EECAA" w:rsidR="00844554" w:rsidRPr="005D4379" w:rsidRDefault="00844554" w:rsidP="005D4379">
      <w:pPr>
        <w:pStyle w:val="ListParagraph"/>
        <w:numPr>
          <w:ilvl w:val="0"/>
          <w:numId w:val="17"/>
        </w:numPr>
        <w:spacing w:after="0" w:line="240" w:lineRule="auto"/>
        <w:ind w:left="567" w:hanging="283"/>
        <w:rPr>
          <w:rFonts w:ascii="Times New Roman" w:eastAsia="Times New Roman" w:hAnsi="Times New Roman" w:cs="Times New Roman"/>
          <w:bCs/>
          <w:kern w:val="0"/>
          <w:sz w:val="22"/>
          <w:szCs w:val="22"/>
          <w:lang w:eastAsia="x-none"/>
          <w14:ligatures w14:val="none"/>
        </w:rPr>
      </w:pPr>
      <w:r w:rsidRPr="005D4379">
        <w:rPr>
          <w:rFonts w:ascii="Times New Roman" w:eastAsia="Times New Roman" w:hAnsi="Times New Roman" w:cs="Times New Roman"/>
          <w:bCs/>
          <w:kern w:val="0"/>
          <w:sz w:val="22"/>
          <w:szCs w:val="22"/>
          <w:lang w:eastAsia="x-none"/>
          <w14:ligatures w14:val="none"/>
        </w:rPr>
        <w:t>Neišmeskite šio lapelio, nes vėl gali prireikti jį perskaityti.</w:t>
      </w:r>
    </w:p>
    <w:p w14:paraId="4D05F3CC" w14:textId="3DA33064" w:rsidR="00844554" w:rsidRPr="005D4379" w:rsidRDefault="00844554" w:rsidP="005D4379">
      <w:pPr>
        <w:pStyle w:val="ListParagraph"/>
        <w:numPr>
          <w:ilvl w:val="0"/>
          <w:numId w:val="17"/>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Jeigu kiltų daugiau klausimų, kreipkitės į gydytoją, vaistininką arba slaugytoją.</w:t>
      </w:r>
    </w:p>
    <w:p w14:paraId="7866B9C4" w14:textId="79B86D87" w:rsidR="00844554" w:rsidRPr="005D4379" w:rsidRDefault="00844554" w:rsidP="005D4379">
      <w:pPr>
        <w:pStyle w:val="ListParagraph"/>
        <w:numPr>
          <w:ilvl w:val="0"/>
          <w:numId w:val="17"/>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Šis vaistas skirtas tik Jums, todėl kitiems žmonėms jo duoti negalima. Vaistas gali jiems pakenkti (net tiems, kurių ligos požymiai yra tokie patys kaip Jūsų).</w:t>
      </w:r>
    </w:p>
    <w:p w14:paraId="17F17A2F" w14:textId="77777777" w:rsidR="00844554" w:rsidRPr="00844554" w:rsidRDefault="00844554" w:rsidP="005D4379">
      <w:pPr>
        <w:numPr>
          <w:ilvl w:val="0"/>
          <w:numId w:val="17"/>
        </w:numPr>
        <w:spacing w:after="0" w:line="240" w:lineRule="auto"/>
        <w:ind w:left="567" w:hanging="283"/>
        <w:rPr>
          <w:rFonts w:ascii="Times New Roman" w:eastAsia="Times New Roman" w:hAnsi="Times New Roman" w:cs="Times New Roman"/>
          <w:bCs/>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 xml:space="preserve">Jeigu pasireiškė šalutinis poveikis (net jeigu jis šiame lapelyje nenurodytas), kreipkitės į gydytoją, vaistininką arba slaugytoją. Žr. 4 skyrių. </w:t>
      </w:r>
    </w:p>
    <w:p w14:paraId="25E918CB" w14:textId="77777777" w:rsidR="00844554" w:rsidRPr="00844554" w:rsidRDefault="00844554" w:rsidP="00844554">
      <w:pPr>
        <w:tabs>
          <w:tab w:val="left" w:pos="567"/>
        </w:tabs>
        <w:spacing w:after="0" w:line="240" w:lineRule="auto"/>
        <w:ind w:left="540" w:hanging="540"/>
        <w:rPr>
          <w:rFonts w:ascii="Times New Roman" w:eastAsia="Times New Roman" w:hAnsi="Times New Roman" w:cs="Times New Roman"/>
          <w:b/>
          <w:kern w:val="0"/>
          <w:sz w:val="22"/>
          <w:szCs w:val="22"/>
          <w14:ligatures w14:val="none"/>
        </w:rPr>
      </w:pPr>
    </w:p>
    <w:p w14:paraId="7A68F4AA"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Apie ką rašoma šiame lapelyje?</w:t>
      </w:r>
    </w:p>
    <w:p w14:paraId="277F248E"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53AA2CBB" w14:textId="3C1E0866"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D4379">
        <w:rPr>
          <w:rFonts w:ascii="Times New Roman" w:eastAsia="Times New Roman" w:hAnsi="Times New Roman" w:cs="Times New Roman"/>
          <w:kern w:val="0"/>
          <w:sz w:val="22"/>
          <w:szCs w:val="22"/>
          <w:lang w:eastAsia="x-none"/>
          <w14:ligatures w14:val="none"/>
        </w:rPr>
        <w:t xml:space="preserve">Kas yra </w:t>
      </w:r>
      <w:bookmarkStart w:id="0" w:name="_Hlk164085862"/>
      <w:r w:rsidR="00840D44">
        <w:rPr>
          <w:rFonts w:ascii="Times New Roman" w:eastAsia="Times New Roman" w:hAnsi="Times New Roman" w:cs="Times New Roman"/>
          <w:bCs/>
          <w:kern w:val="0"/>
          <w:sz w:val="22"/>
          <w:szCs w:val="22"/>
          <w:lang w:eastAsia="x-none"/>
          <w14:ligatures w14:val="none"/>
        </w:rPr>
        <w:t>Aciclovir toLife</w:t>
      </w:r>
      <w:r w:rsidRPr="005D4379">
        <w:rPr>
          <w:rFonts w:ascii="Times New Roman" w:eastAsia="Times New Roman" w:hAnsi="Times New Roman" w:cs="Times New Roman"/>
          <w:b/>
          <w:bCs/>
          <w:kern w:val="0"/>
          <w:sz w:val="22"/>
          <w:szCs w:val="22"/>
          <w:lang w:eastAsia="x-none"/>
          <w14:ligatures w14:val="none"/>
        </w:rPr>
        <w:t xml:space="preserve"> </w:t>
      </w:r>
      <w:bookmarkEnd w:id="0"/>
      <w:r w:rsidRPr="005D4379">
        <w:rPr>
          <w:rFonts w:ascii="Times New Roman" w:eastAsia="Times New Roman" w:hAnsi="Times New Roman" w:cs="Times New Roman"/>
          <w:kern w:val="0"/>
          <w:sz w:val="22"/>
          <w:szCs w:val="22"/>
          <w:lang w:eastAsia="x-none"/>
          <w14:ligatures w14:val="none"/>
        </w:rPr>
        <w:t>ir kam jis vartojamas</w:t>
      </w:r>
    </w:p>
    <w:p w14:paraId="4282F745" w14:textId="54D15701"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lang w:eastAsia="x-none"/>
          <w14:ligatures w14:val="none"/>
        </w:rPr>
      </w:pPr>
      <w:r w:rsidRPr="005D4379">
        <w:rPr>
          <w:rFonts w:ascii="Times New Roman" w:eastAsia="Times New Roman" w:hAnsi="Times New Roman" w:cs="Times New Roman"/>
          <w:bCs/>
          <w:kern w:val="0"/>
          <w:sz w:val="22"/>
          <w:szCs w:val="22"/>
          <w:lang w:eastAsia="x-none"/>
          <w14:ligatures w14:val="none"/>
        </w:rPr>
        <w:t xml:space="preserve">Kas žinotina prieš vartojant </w:t>
      </w:r>
      <w:r w:rsidR="00840D44">
        <w:rPr>
          <w:rFonts w:ascii="Times New Roman" w:eastAsia="Times New Roman" w:hAnsi="Times New Roman" w:cs="Times New Roman"/>
          <w:bCs/>
          <w:kern w:val="0"/>
          <w:sz w:val="22"/>
          <w:szCs w:val="22"/>
          <w:lang w:eastAsia="x-none"/>
          <w14:ligatures w14:val="none"/>
        </w:rPr>
        <w:t>Aciclovir toLife</w:t>
      </w:r>
      <w:r w:rsidRPr="005D4379">
        <w:rPr>
          <w:rFonts w:ascii="Times New Roman" w:eastAsia="Times New Roman" w:hAnsi="Times New Roman" w:cs="Times New Roman"/>
          <w:b/>
          <w:bCs/>
          <w:kern w:val="0"/>
          <w:sz w:val="22"/>
          <w:szCs w:val="22"/>
          <w:lang w:eastAsia="x-none"/>
          <w14:ligatures w14:val="none"/>
        </w:rPr>
        <w:t xml:space="preserve"> </w:t>
      </w:r>
    </w:p>
    <w:p w14:paraId="3554FD24" w14:textId="6F4B5EAF"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 xml:space="preserve">Kaip vartoti </w:t>
      </w:r>
      <w:r w:rsidR="00840D44">
        <w:rPr>
          <w:rFonts w:ascii="Times New Roman" w:eastAsia="Times New Roman" w:hAnsi="Times New Roman" w:cs="Times New Roman"/>
          <w:bCs/>
          <w:kern w:val="0"/>
          <w:sz w:val="22"/>
          <w:szCs w:val="22"/>
          <w14:ligatures w14:val="none"/>
        </w:rPr>
        <w:t>Aciclovir toLife</w:t>
      </w:r>
      <w:r w:rsidRPr="005D4379">
        <w:rPr>
          <w:rFonts w:ascii="Times New Roman" w:eastAsia="Times New Roman" w:hAnsi="Times New Roman" w:cs="Times New Roman"/>
          <w:b/>
          <w:bCs/>
          <w:kern w:val="0"/>
          <w:sz w:val="22"/>
          <w:szCs w:val="22"/>
          <w14:ligatures w14:val="none"/>
        </w:rPr>
        <w:t xml:space="preserve"> </w:t>
      </w:r>
    </w:p>
    <w:p w14:paraId="18801736" w14:textId="3BC6CF64"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Galimas šalutinis poveikis</w:t>
      </w:r>
    </w:p>
    <w:p w14:paraId="050730E3" w14:textId="71CF79EB"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 xml:space="preserve">Kaip laikyti </w:t>
      </w:r>
      <w:r w:rsidR="00840D44">
        <w:rPr>
          <w:rFonts w:ascii="Times New Roman" w:eastAsia="Times New Roman" w:hAnsi="Times New Roman" w:cs="Times New Roman"/>
          <w:bCs/>
          <w:kern w:val="0"/>
          <w:sz w:val="22"/>
          <w:szCs w:val="22"/>
          <w14:ligatures w14:val="none"/>
        </w:rPr>
        <w:t>Aciclovir toLife</w:t>
      </w:r>
      <w:r w:rsidRPr="005D4379">
        <w:rPr>
          <w:rFonts w:ascii="Times New Roman" w:eastAsia="Times New Roman" w:hAnsi="Times New Roman" w:cs="Times New Roman"/>
          <w:b/>
          <w:bCs/>
          <w:kern w:val="0"/>
          <w:sz w:val="22"/>
          <w:szCs w:val="22"/>
          <w14:ligatures w14:val="none"/>
        </w:rPr>
        <w:t xml:space="preserve"> </w:t>
      </w:r>
    </w:p>
    <w:p w14:paraId="7FEB25C4" w14:textId="37C55831" w:rsidR="00844554" w:rsidRPr="005D4379" w:rsidRDefault="00844554" w:rsidP="005D4379">
      <w:pPr>
        <w:pStyle w:val="ListParagraph"/>
        <w:numPr>
          <w:ilvl w:val="0"/>
          <w:numId w:val="16"/>
        </w:numPr>
        <w:spacing w:after="0" w:line="240" w:lineRule="auto"/>
        <w:ind w:left="567" w:hanging="283"/>
        <w:rPr>
          <w:rFonts w:ascii="Times New Roman" w:eastAsia="Times New Roman" w:hAnsi="Times New Roman" w:cs="Times New Roman"/>
          <w:bCs/>
          <w:kern w:val="0"/>
          <w:sz w:val="22"/>
          <w:szCs w:val="22"/>
          <w14:ligatures w14:val="none"/>
        </w:rPr>
      </w:pPr>
      <w:r w:rsidRPr="005D4379">
        <w:rPr>
          <w:rFonts w:ascii="Times New Roman" w:eastAsia="Times New Roman" w:hAnsi="Times New Roman" w:cs="Times New Roman"/>
          <w:bCs/>
          <w:kern w:val="0"/>
          <w:sz w:val="22"/>
          <w:szCs w:val="22"/>
          <w14:ligatures w14:val="none"/>
        </w:rPr>
        <w:t>Pakuotės turinys ir kita informacija</w:t>
      </w:r>
    </w:p>
    <w:p w14:paraId="7B14BDF8"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65C8D757"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64FA155F" w14:textId="72343EC5" w:rsidR="00844554" w:rsidRPr="00844554" w:rsidRDefault="00844554" w:rsidP="00844554">
      <w:pPr>
        <w:numPr>
          <w:ilvl w:val="0"/>
          <w:numId w:val="1"/>
        </w:numPr>
        <w:tabs>
          <w:tab w:val="left" w:pos="567"/>
        </w:tabs>
        <w:spacing w:after="0" w:line="240" w:lineRule="auto"/>
        <w:ind w:left="540" w:hanging="540"/>
        <w:rPr>
          <w:rFonts w:ascii="Times New Roman" w:eastAsia="Times New Roman" w:hAnsi="Times New Roman" w:cs="Times New Roman"/>
          <w:b/>
          <w:caps/>
          <w:kern w:val="0"/>
          <w:sz w:val="22"/>
          <w:szCs w:val="22"/>
          <w:lang w:eastAsia="x-none"/>
          <w14:ligatures w14:val="none"/>
        </w:rPr>
      </w:pPr>
      <w:r w:rsidRPr="00844554">
        <w:rPr>
          <w:rFonts w:ascii="Times New Roman" w:eastAsia="Times New Roman" w:hAnsi="Times New Roman" w:cs="Times New Roman"/>
          <w:b/>
          <w:caps/>
          <w:kern w:val="0"/>
          <w:sz w:val="22"/>
          <w:szCs w:val="22"/>
          <w:lang w:eastAsia="x-none"/>
          <w14:ligatures w14:val="none"/>
        </w:rPr>
        <w:t>K</w:t>
      </w:r>
      <w:r w:rsidRPr="00844554">
        <w:rPr>
          <w:rFonts w:ascii="Times New Roman" w:eastAsia="Times New Roman" w:hAnsi="Times New Roman" w:cs="Times New Roman"/>
          <w:b/>
          <w:bCs/>
          <w:kern w:val="0"/>
          <w:sz w:val="22"/>
          <w:szCs w:val="22"/>
          <w:lang w:eastAsia="x-none"/>
          <w14:ligatures w14:val="none"/>
        </w:rPr>
        <w:t>as yra</w:t>
      </w:r>
      <w:r w:rsidRPr="00844554">
        <w:rPr>
          <w:rFonts w:ascii="Times New Roman" w:eastAsia="Times New Roman" w:hAnsi="Times New Roman" w:cs="Times New Roman"/>
          <w:b/>
          <w:kern w:val="0"/>
          <w:sz w:val="22"/>
          <w:szCs w:val="22"/>
          <w:lang w:eastAsia="x-none"/>
          <w14:ligatures w14:val="none"/>
        </w:rPr>
        <w:t xml:space="preserve"> </w:t>
      </w:r>
      <w:r w:rsidR="00840D44">
        <w:rPr>
          <w:rFonts w:ascii="Times New Roman" w:eastAsia="Times New Roman" w:hAnsi="Times New Roman" w:cs="Times New Roman"/>
          <w:b/>
          <w:bCs/>
          <w:kern w:val="0"/>
          <w:sz w:val="22"/>
          <w:szCs w:val="22"/>
          <w:lang w:eastAsia="x-none"/>
          <w14:ligatures w14:val="none"/>
        </w:rPr>
        <w:t>Aciclovir toLife</w:t>
      </w:r>
      <w:r w:rsidRPr="00844554">
        <w:rPr>
          <w:rFonts w:ascii="Times New Roman" w:eastAsia="Times New Roman" w:hAnsi="Times New Roman" w:cs="Times New Roman"/>
          <w:b/>
          <w:caps/>
          <w:kern w:val="0"/>
          <w:sz w:val="22"/>
          <w:szCs w:val="22"/>
          <w:lang w:eastAsia="x-none"/>
          <w14:ligatures w14:val="none"/>
        </w:rPr>
        <w:t xml:space="preserve"> </w:t>
      </w:r>
      <w:r w:rsidRPr="00844554">
        <w:rPr>
          <w:rFonts w:ascii="Times New Roman" w:eastAsia="Times New Roman" w:hAnsi="Times New Roman" w:cs="Times New Roman"/>
          <w:b/>
          <w:bCs/>
          <w:kern w:val="0"/>
          <w:sz w:val="22"/>
          <w:szCs w:val="22"/>
          <w:lang w:eastAsia="x-none"/>
          <w14:ligatures w14:val="none"/>
        </w:rPr>
        <w:t>ir kam jis vartojamas</w:t>
      </w:r>
    </w:p>
    <w:p w14:paraId="6912C583"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lang w:eastAsia="x-none"/>
          <w14:ligatures w14:val="none"/>
        </w:rPr>
      </w:pPr>
    </w:p>
    <w:p w14:paraId="103010EE" w14:textId="4867736A" w:rsidR="00844554" w:rsidRPr="00844554" w:rsidRDefault="00840D44" w:rsidP="00844554">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Aciclovir toLife</w:t>
      </w:r>
      <w:r w:rsidR="00844554" w:rsidRPr="00844554">
        <w:rPr>
          <w:rFonts w:ascii="Times New Roman" w:eastAsia="Times New Roman" w:hAnsi="Times New Roman" w:cs="Times New Roman"/>
          <w:kern w:val="0"/>
          <w:sz w:val="22"/>
          <w:szCs w:val="22"/>
          <w:lang w:eastAsia="lt-LT"/>
          <w14:ligatures w14:val="none"/>
        </w:rPr>
        <w:t xml:space="preserve"> sudėtyje yra veikliosios medžiagos acikloviro, kuris priklauso vaistų, vadinamų antivirusiniais vaistais, grupei. Jis veikia stabdydamas tam tikrų virusų augimą.</w:t>
      </w:r>
    </w:p>
    <w:p w14:paraId="1F0621E0"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p>
    <w:p w14:paraId="494E56AE" w14:textId="3DE366E5" w:rsidR="00844554" w:rsidRPr="00844554" w:rsidRDefault="00840D44" w:rsidP="00844554">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Aciclovir toLife</w:t>
      </w:r>
      <w:r w:rsidR="00844554" w:rsidRPr="00844554">
        <w:rPr>
          <w:rFonts w:ascii="Times New Roman" w:eastAsia="Times New Roman" w:hAnsi="Times New Roman" w:cs="Times New Roman"/>
          <w:kern w:val="0"/>
          <w:sz w:val="22"/>
          <w:szCs w:val="22"/>
          <w:lang w:eastAsia="lt-LT"/>
          <w14:ligatures w14:val="none"/>
        </w:rPr>
        <w:t xml:space="preserve"> 200 mg ir 400 mg gali būti vartojamas:</w:t>
      </w:r>
    </w:p>
    <w:p w14:paraId="5D6035EA"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vėjaraupiams ir juosiančiajai pūslelinei gydyti; juosiančiosios pūslelinės atveju jis taip pat padeda sumažinti nervų skausmą, kuris gali išlikti išnykus išbėrimui;</w:t>
      </w:r>
    </w:p>
    <w:p w14:paraId="4F0130A4"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lūpų pūslelinei, lytinių organų pūslelinei ir kitoms </w:t>
      </w:r>
      <w:r w:rsidRPr="00844554">
        <w:rPr>
          <w:rFonts w:ascii="Times New Roman" w:eastAsia="Times New Roman" w:hAnsi="Times New Roman" w:cs="Times New Roman"/>
          <w:i/>
          <w:iCs/>
          <w:kern w:val="0"/>
          <w:sz w:val="22"/>
          <w:szCs w:val="22"/>
          <w:lang w:eastAsia="lt-LT"/>
          <w14:ligatures w14:val="none"/>
        </w:rPr>
        <w:t>herpes simplex</w:t>
      </w:r>
      <w:r w:rsidRPr="00844554">
        <w:rPr>
          <w:rFonts w:ascii="Times New Roman" w:eastAsia="Times New Roman" w:hAnsi="Times New Roman" w:cs="Times New Roman"/>
          <w:kern w:val="0"/>
          <w:sz w:val="22"/>
          <w:szCs w:val="22"/>
          <w:lang w:eastAsia="lt-LT"/>
          <w14:ligatures w14:val="none"/>
        </w:rPr>
        <w:t xml:space="preserve"> viruso sukeltoms infekcijoms gydyti;</w:t>
      </w:r>
    </w:p>
    <w:p w14:paraId="7BB3ED39"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lūpų pūslelinės, lytinių organų pūslelinės ir kitų </w:t>
      </w:r>
      <w:r w:rsidRPr="00844554">
        <w:rPr>
          <w:rFonts w:ascii="Times New Roman" w:eastAsia="Times New Roman" w:hAnsi="Times New Roman" w:cs="Times New Roman"/>
          <w:i/>
          <w:iCs/>
          <w:kern w:val="0"/>
          <w:sz w:val="22"/>
          <w:szCs w:val="22"/>
          <w:lang w:eastAsia="lt-LT"/>
          <w14:ligatures w14:val="none"/>
        </w:rPr>
        <w:t>herpes simplex</w:t>
      </w:r>
      <w:r w:rsidRPr="00844554">
        <w:rPr>
          <w:rFonts w:ascii="Times New Roman" w:eastAsia="Times New Roman" w:hAnsi="Times New Roman" w:cs="Times New Roman"/>
          <w:kern w:val="0"/>
          <w:sz w:val="22"/>
          <w:szCs w:val="22"/>
          <w:lang w:eastAsia="lt-LT"/>
          <w14:ligatures w14:val="none"/>
        </w:rPr>
        <w:t xml:space="preserve"> viruso sukeltų infekcijų pasikartojimo profilaktikai;</w:t>
      </w:r>
    </w:p>
    <w:p w14:paraId="40A0A841"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i/>
          <w:iCs/>
          <w:kern w:val="0"/>
          <w:sz w:val="22"/>
          <w:szCs w:val="22"/>
          <w:lang w:eastAsia="lt-LT"/>
          <w14:ligatures w14:val="none"/>
        </w:rPr>
        <w:t>herpes</w:t>
      </w:r>
      <w:r w:rsidRPr="00844554">
        <w:rPr>
          <w:rFonts w:ascii="Times New Roman" w:eastAsia="Times New Roman" w:hAnsi="Times New Roman" w:cs="Times New Roman"/>
          <w:kern w:val="0"/>
          <w:sz w:val="22"/>
          <w:szCs w:val="22"/>
          <w:lang w:eastAsia="lt-LT"/>
          <w14:ligatures w14:val="none"/>
        </w:rPr>
        <w:t xml:space="preserve"> virusų sukeltų infekcijų profilaktikai asmenims, kurių imuninė sistema nusilpusi, todėl jų organizmas mažiau pajėgus kovoti su infekcijomis.</w:t>
      </w:r>
    </w:p>
    <w:p w14:paraId="6E63ABE3"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p>
    <w:p w14:paraId="00C62159" w14:textId="0CC837F9" w:rsidR="00844554" w:rsidRPr="00844554" w:rsidRDefault="00840D44" w:rsidP="00844554">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Aciclovir toLife</w:t>
      </w:r>
      <w:r w:rsidR="00844554" w:rsidRPr="00844554">
        <w:rPr>
          <w:rFonts w:ascii="Times New Roman" w:eastAsia="Times New Roman" w:hAnsi="Times New Roman" w:cs="Times New Roman"/>
          <w:kern w:val="0"/>
          <w:sz w:val="22"/>
          <w:szCs w:val="22"/>
          <w:lang w:eastAsia="lt-LT"/>
          <w14:ligatures w14:val="none"/>
        </w:rPr>
        <w:t xml:space="preserve"> 800 mg gali būti vartojamas:</w:t>
      </w:r>
    </w:p>
    <w:p w14:paraId="4BFA0CCD"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juosiančiajai pūslelinei (</w:t>
      </w:r>
      <w:r w:rsidRPr="00844554">
        <w:rPr>
          <w:rFonts w:ascii="Times New Roman" w:eastAsia="Times New Roman" w:hAnsi="Times New Roman" w:cs="Times New Roman"/>
          <w:i/>
          <w:iCs/>
          <w:kern w:val="0"/>
          <w:sz w:val="22"/>
          <w:szCs w:val="22"/>
          <w:lang w:eastAsia="lt-LT"/>
          <w14:ligatures w14:val="none"/>
        </w:rPr>
        <w:t>herpes zoster</w:t>
      </w:r>
      <w:r w:rsidRPr="00844554">
        <w:rPr>
          <w:rFonts w:ascii="Times New Roman" w:eastAsia="Times New Roman" w:hAnsi="Times New Roman" w:cs="Times New Roman"/>
          <w:kern w:val="0"/>
          <w:sz w:val="22"/>
          <w:szCs w:val="22"/>
          <w:lang w:eastAsia="lt-LT"/>
          <w14:ligatures w14:val="none"/>
        </w:rPr>
        <w:t>) gydyti;</w:t>
      </w:r>
    </w:p>
    <w:p w14:paraId="52C9FA86"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vėjaraupiams gydyti;</w:t>
      </w:r>
    </w:p>
    <w:p w14:paraId="299CDB1F" w14:textId="77777777" w:rsidR="00844554" w:rsidRPr="00844554" w:rsidRDefault="00844554" w:rsidP="00844554">
      <w:pPr>
        <w:numPr>
          <w:ilvl w:val="0"/>
          <w:numId w:val="5"/>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juosiančiosios pūslelinės (</w:t>
      </w:r>
      <w:r w:rsidRPr="00844554">
        <w:rPr>
          <w:rFonts w:ascii="Times New Roman" w:eastAsia="Times New Roman" w:hAnsi="Times New Roman" w:cs="Times New Roman"/>
          <w:i/>
          <w:iCs/>
          <w:kern w:val="0"/>
          <w:sz w:val="22"/>
          <w:szCs w:val="22"/>
          <w:lang w:eastAsia="lt-LT"/>
          <w14:ligatures w14:val="none"/>
        </w:rPr>
        <w:t>herpes zoster</w:t>
      </w:r>
      <w:r w:rsidRPr="00844554">
        <w:rPr>
          <w:rFonts w:ascii="Times New Roman" w:eastAsia="Times New Roman" w:hAnsi="Times New Roman" w:cs="Times New Roman"/>
          <w:kern w:val="0"/>
          <w:sz w:val="22"/>
          <w:szCs w:val="22"/>
          <w:lang w:eastAsia="lt-LT"/>
          <w14:ligatures w14:val="none"/>
        </w:rPr>
        <w:t>) ir vėjaraupių (</w:t>
      </w:r>
      <w:r w:rsidRPr="00844554">
        <w:rPr>
          <w:rFonts w:ascii="Times New Roman" w:eastAsia="Times New Roman" w:hAnsi="Times New Roman" w:cs="Times New Roman"/>
          <w:i/>
          <w:iCs/>
          <w:kern w:val="0"/>
          <w:sz w:val="22"/>
          <w:szCs w:val="22"/>
          <w:lang w:eastAsia="lt-LT"/>
          <w14:ligatures w14:val="none"/>
        </w:rPr>
        <w:t>varicella zoster</w:t>
      </w:r>
      <w:r w:rsidRPr="00844554">
        <w:rPr>
          <w:rFonts w:ascii="Times New Roman" w:eastAsia="Times New Roman" w:hAnsi="Times New Roman" w:cs="Times New Roman"/>
          <w:kern w:val="0"/>
          <w:sz w:val="22"/>
          <w:szCs w:val="22"/>
          <w:lang w:eastAsia="lt-LT"/>
          <w14:ligatures w14:val="none"/>
        </w:rPr>
        <w:t>) profilaktikai asmenims su labai susilpnėjusiu imunitetu.</w:t>
      </w:r>
    </w:p>
    <w:p w14:paraId="018EF215"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p>
    <w:p w14:paraId="63E9BD7C" w14:textId="4CF1F91B" w:rsidR="00844554" w:rsidRPr="00844554" w:rsidRDefault="00844554" w:rsidP="00844554">
      <w:pPr>
        <w:numPr>
          <w:ilvl w:val="0"/>
          <w:numId w:val="1"/>
        </w:numPr>
        <w:tabs>
          <w:tab w:val="left" w:pos="567"/>
        </w:tabs>
        <w:spacing w:after="0" w:line="240" w:lineRule="auto"/>
        <w:ind w:left="540" w:hanging="540"/>
        <w:rPr>
          <w:rFonts w:ascii="Times New Roman" w:eastAsia="Times New Roman" w:hAnsi="Times New Roman" w:cs="Times New Roman"/>
          <w:b/>
          <w:bCs/>
          <w:kern w:val="0"/>
          <w:sz w:val="22"/>
          <w:szCs w:val="22"/>
          <w:lang w:eastAsia="x-none"/>
          <w14:ligatures w14:val="none"/>
        </w:rPr>
      </w:pPr>
      <w:r w:rsidRPr="00844554">
        <w:rPr>
          <w:rFonts w:ascii="Times New Roman" w:eastAsia="Times New Roman" w:hAnsi="Times New Roman" w:cs="Times New Roman"/>
          <w:b/>
          <w:kern w:val="0"/>
          <w:sz w:val="22"/>
          <w:szCs w:val="22"/>
          <w:lang w:eastAsia="x-none"/>
          <w14:ligatures w14:val="none"/>
        </w:rPr>
        <w:t>Kas žinotina prieš vartojant</w:t>
      </w:r>
      <w:r w:rsidRPr="00844554">
        <w:rPr>
          <w:rFonts w:ascii="Times New Roman" w:eastAsia="Times New Roman" w:hAnsi="Times New Roman" w:cs="Times New Roman"/>
          <w:bCs/>
          <w:kern w:val="0"/>
          <w:sz w:val="22"/>
          <w:szCs w:val="22"/>
          <w:lang w:eastAsia="x-none"/>
          <w14:ligatures w14:val="none"/>
        </w:rPr>
        <w:t xml:space="preserve"> </w:t>
      </w:r>
      <w:r w:rsidR="00840D44">
        <w:rPr>
          <w:rFonts w:ascii="Times New Roman" w:eastAsia="Times New Roman" w:hAnsi="Times New Roman" w:cs="Times New Roman"/>
          <w:b/>
          <w:bCs/>
          <w:kern w:val="0"/>
          <w:sz w:val="22"/>
          <w:szCs w:val="22"/>
          <w:lang w:eastAsia="x-none"/>
          <w14:ligatures w14:val="none"/>
        </w:rPr>
        <w:t>Aciclovir toLife</w:t>
      </w:r>
      <w:r w:rsidRPr="00844554">
        <w:rPr>
          <w:rFonts w:ascii="Times New Roman" w:eastAsia="Times New Roman" w:hAnsi="Times New Roman" w:cs="Times New Roman"/>
          <w:b/>
          <w:bCs/>
          <w:kern w:val="0"/>
          <w:sz w:val="22"/>
          <w:szCs w:val="22"/>
          <w:lang w:eastAsia="x-none"/>
          <w14:ligatures w14:val="none"/>
        </w:rPr>
        <w:t xml:space="preserve"> </w:t>
      </w:r>
    </w:p>
    <w:p w14:paraId="19171E2F"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6EDB1BD" w14:textId="49491645" w:rsidR="00844554" w:rsidRPr="00844554" w:rsidRDefault="00840D44" w:rsidP="00844554">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bCs/>
          <w:kern w:val="0"/>
          <w:sz w:val="22"/>
          <w:szCs w:val="22"/>
          <w14:ligatures w14:val="none"/>
        </w:rPr>
        <w:t xml:space="preserve"> </w:t>
      </w:r>
      <w:r w:rsidR="00844554" w:rsidRPr="00844554">
        <w:rPr>
          <w:rFonts w:ascii="Times New Roman" w:eastAsia="Times New Roman" w:hAnsi="Times New Roman" w:cs="Times New Roman"/>
          <w:b/>
          <w:kern w:val="0"/>
          <w:sz w:val="22"/>
          <w:szCs w:val="22"/>
          <w14:ligatures w14:val="none"/>
        </w:rPr>
        <w:t>vartoti draudžiama:</w:t>
      </w:r>
    </w:p>
    <w:p w14:paraId="07C87023" w14:textId="77777777" w:rsidR="00844554" w:rsidRPr="00844554" w:rsidRDefault="00844554" w:rsidP="00844554">
      <w:pPr>
        <w:numPr>
          <w:ilvl w:val="0"/>
          <w:numId w:val="6"/>
        </w:numPr>
        <w:tabs>
          <w:tab w:val="left" w:pos="0"/>
        </w:tabs>
        <w:spacing w:after="0" w:line="240" w:lineRule="auto"/>
        <w:ind w:left="567" w:hanging="567"/>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jeigu yra alergija aciklovirui, valaciklovirui arba bet kuriai pagalbinei šio vaisto medžiagai (jos išvardytos 6 skyriuje).</w:t>
      </w:r>
    </w:p>
    <w:p w14:paraId="2F82A557"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420DBE0B" w14:textId="06C37CC5"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Jei tai tinka Jums,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nevartokite. Jei nesate tikri, prieš pradėdami vartoti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pasitarkite su gydytoju arba vaistininku.</w:t>
      </w:r>
    </w:p>
    <w:p w14:paraId="244071C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5758D712" w14:textId="77777777" w:rsidR="00844554" w:rsidRPr="00844554" w:rsidRDefault="00844554" w:rsidP="00844554">
      <w:pPr>
        <w:keepNext/>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Įspėjimai ir atsargumo priemonės</w:t>
      </w:r>
    </w:p>
    <w:p w14:paraId="063FC534" w14:textId="65F470DF"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Pasitarkite</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su</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gydytoju,</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prieš</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pradėdami</w:t>
      </w:r>
      <w:r w:rsidRPr="00844554" w:rsidDel="00060D21">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vartoti</w:t>
      </w:r>
      <w:r w:rsidRPr="00844554" w:rsidDel="00060D21">
        <w:rPr>
          <w:rFonts w:ascii="Times New Roman" w:eastAsia="Times New Roman" w:hAnsi="Times New Roman" w:cs="Times New Roman"/>
          <w:kern w:val="0"/>
          <w:sz w:val="22"/>
          <w:szCs w:val="22"/>
          <w14:ligatures w14:val="none"/>
        </w:rPr>
        <w:t xml:space="preserve"> </w:t>
      </w:r>
      <w:r w:rsidR="00840D44">
        <w:rPr>
          <w:rFonts w:ascii="Times New Roman" w:eastAsia="Times New Roman" w:hAnsi="Times New Roman" w:cs="Times New Roman"/>
          <w:bCs/>
          <w:kern w:val="0"/>
          <w:sz w:val="22"/>
          <w:szCs w:val="22"/>
          <w14:ligatures w14:val="none"/>
        </w:rPr>
        <w:t>Aciclovir toLife</w:t>
      </w:r>
      <w:r w:rsidRPr="00844554">
        <w:rPr>
          <w:rFonts w:ascii="Times New Roman" w:eastAsia="Times New Roman" w:hAnsi="Times New Roman" w:cs="Times New Roman"/>
          <w:kern w:val="0"/>
          <w:sz w:val="22"/>
          <w:szCs w:val="22"/>
          <w14:ligatures w14:val="none"/>
        </w:rPr>
        <w:t>, jeigu:</w:t>
      </w:r>
    </w:p>
    <w:p w14:paraId="577D1270" w14:textId="77777777" w:rsidR="00844554" w:rsidRPr="00844554" w:rsidRDefault="00844554" w:rsidP="00844554">
      <w:pPr>
        <w:numPr>
          <w:ilvl w:val="0"/>
          <w:numId w:val="7"/>
        </w:numPr>
        <w:tabs>
          <w:tab w:val="left" w:pos="567"/>
        </w:tabs>
        <w:spacing w:after="0" w:line="240" w:lineRule="auto"/>
        <w:ind w:left="567" w:hanging="567"/>
        <w:contextualSpacing/>
        <w:rPr>
          <w:rFonts w:ascii="Times New Roman" w:eastAsia="Times New Roman" w:hAnsi="Times New Roman" w:cs="Times New Roman"/>
          <w:bCs/>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turite inkstų funkcijos sutrikimų;</w:t>
      </w:r>
    </w:p>
    <w:p w14:paraId="74393584" w14:textId="77777777" w:rsidR="00844554" w:rsidRPr="00844554" w:rsidRDefault="00844554" w:rsidP="00844554">
      <w:pPr>
        <w:widowControl w:val="0"/>
        <w:numPr>
          <w:ilvl w:val="0"/>
          <w:numId w:val="7"/>
        </w:numPr>
        <w:spacing w:after="0" w:line="240" w:lineRule="auto"/>
        <w:ind w:left="567" w:hanging="567"/>
        <w:rPr>
          <w:rFonts w:ascii="Times New Roman" w:eastAsia="Times New Roman" w:hAnsi="Times New Roman" w:cs="Times New Roman"/>
          <w:bCs/>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esate vyresni nei 65 metų.</w:t>
      </w:r>
    </w:p>
    <w:p w14:paraId="51C6F93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5952D0E6" w14:textId="6DF7D21F"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Pasitarkite su gydytoju, ar Jums tinka kuris nors iš pirmiau išvardytų atvejų. Gydytojas gali sumažinti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dozę.</w:t>
      </w:r>
    </w:p>
    <w:p w14:paraId="5924EA4F" w14:textId="09280B0D"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Svarbu gerti pakankamai skysčių, jei vartojate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w:t>
      </w:r>
    </w:p>
    <w:p w14:paraId="783DC1F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74474F29" w14:textId="139CF00E"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Pasitarkite su gydytoju arba vaistininku, prieš pradėdami vartoti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jei nesate tikri, ar tai Jums tinka.</w:t>
      </w:r>
    </w:p>
    <w:p w14:paraId="6EB4D2B3"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A041224" w14:textId="73D161E3"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 xml:space="preserve">Kiti vaistai ir </w:t>
      </w:r>
      <w:r w:rsidR="00840D44">
        <w:rPr>
          <w:rFonts w:ascii="Times New Roman" w:eastAsia="Times New Roman" w:hAnsi="Times New Roman" w:cs="Times New Roman"/>
          <w:b/>
          <w:bCs/>
          <w:kern w:val="0"/>
          <w:sz w:val="22"/>
          <w:szCs w:val="22"/>
          <w14:ligatures w14:val="none"/>
        </w:rPr>
        <w:t>Aciclovir toLife</w:t>
      </w:r>
      <w:r w:rsidRPr="00844554">
        <w:rPr>
          <w:rFonts w:ascii="Times New Roman" w:eastAsia="Times New Roman" w:hAnsi="Times New Roman" w:cs="Times New Roman"/>
          <w:b/>
          <w:bCs/>
          <w:kern w:val="0"/>
          <w:sz w:val="22"/>
          <w:szCs w:val="22"/>
          <w14:ligatures w14:val="none"/>
        </w:rPr>
        <w:t xml:space="preserve"> </w:t>
      </w:r>
    </w:p>
    <w:p w14:paraId="7938C551"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Pasakykite gydytojui arba vaistininkui, jei vartojate bet kurį iš toliau išvardytų vaistų:</w:t>
      </w:r>
    </w:p>
    <w:p w14:paraId="11F6B741"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probenecido, vartojamo podagrai gydyti;</w:t>
      </w:r>
    </w:p>
    <w:p w14:paraId="40E0F1C9"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cimetidino, vartojamo skrandžio opoms gydyti;</w:t>
      </w:r>
    </w:p>
    <w:p w14:paraId="10A87634"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mikofenolato mofetilio, vartojamo organų atmetimo prevencijai po organų transplantacijos;</w:t>
      </w:r>
    </w:p>
    <w:p w14:paraId="29CB55A0"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valproato ir fenitoino, vartojamų traukuliams gydyti;</w:t>
      </w:r>
    </w:p>
    <w:p w14:paraId="78A09F75" w14:textId="77777777" w:rsidR="00844554" w:rsidRPr="00844554" w:rsidRDefault="00844554" w:rsidP="00844554">
      <w:pPr>
        <w:numPr>
          <w:ilvl w:val="0"/>
          <w:numId w:val="8"/>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teofilino, vaisto nuo bronchų ligų.</w:t>
      </w:r>
    </w:p>
    <w:p w14:paraId="45123E85"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14:ligatures w14:val="none"/>
        </w:rPr>
      </w:pPr>
    </w:p>
    <w:p w14:paraId="67F54743"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Nėštumas ir žindymo laikotarpis</w:t>
      </w:r>
    </w:p>
    <w:p w14:paraId="47BBB21A" w14:textId="12E7349C" w:rsidR="00844554" w:rsidRPr="00844554" w:rsidRDefault="00840D44" w:rsidP="00844554">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paprastai nerekomenduojamas nėštumo metu. Jeigu esate nėščia, žindote kūdikį, manote, kad galbūt esate nėščia arba planuojate pastoti, tai prieš vartodama šį vaistą pasitarkite su gydytoju arba vaistininku. Gydytojas įvertins </w:t>
      </w:r>
      <w:r>
        <w:rPr>
          <w:rFonts w:ascii="Times New Roman" w:eastAsia="Times New Roman" w:hAnsi="Times New Roman" w:cs="Times New Roman"/>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vartojimo nėštumo metu naudą Jums ir riziką Jūsų vaikui.</w:t>
      </w:r>
    </w:p>
    <w:p w14:paraId="06AC645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E922FBB" w14:textId="32BA68D3"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Veiklioji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medžiaga gali patekti į motinos pieną. Jei žindote kūdikį, prieš pradėdama vartoti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turite pasitarti su gydytoju.</w:t>
      </w:r>
    </w:p>
    <w:p w14:paraId="693DCF67"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034AA4A6"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Acikloviro poveikis moterų vaisingumui nežinomas.</w:t>
      </w:r>
    </w:p>
    <w:p w14:paraId="619B1BF1"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68BC9C4"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Vairavimas ir mechanizmų valdymas</w:t>
      </w:r>
    </w:p>
    <w:p w14:paraId="0BC82D30"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Tam tikras šalutinis poveikis, pvz., mieguistumas, gali turėti įtakos Jūsų gebėjimui susikaupti ir reaguoti. Prieš vairuodami ar valdydami mechanizmus, įsitikinkite, kad Jums šie nepageidaujami poveikiai nepasireiškia.</w:t>
      </w:r>
    </w:p>
    <w:p w14:paraId="197A3AC5"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012D511E" w14:textId="1B91DD9C" w:rsidR="00844554" w:rsidRPr="00844554" w:rsidRDefault="00840D44" w:rsidP="00844554">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Aciclovir toLife</w:t>
      </w:r>
      <w:r w:rsidR="00844554" w:rsidRPr="00844554">
        <w:rPr>
          <w:rFonts w:ascii="Times New Roman" w:eastAsia="Times New Roman" w:hAnsi="Times New Roman" w:cs="Times New Roman"/>
          <w:b/>
          <w:kern w:val="0"/>
          <w:sz w:val="22"/>
          <w:szCs w:val="22"/>
          <w14:ligatures w14:val="none"/>
        </w:rPr>
        <w:t xml:space="preserve"> sudėtyje yra natrio</w:t>
      </w:r>
    </w:p>
    <w:p w14:paraId="428D8C31"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Šio vaisto tabletėje yra mažiau kaip 1 mmol (23 mg) natrio, t. y. jis beveik neturi reikšmės.</w:t>
      </w:r>
    </w:p>
    <w:p w14:paraId="4B4818A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7E6B6B4"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58FBF0C7" w14:textId="0AE0CBF6"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lang w:eastAsia="x-none"/>
          <w14:ligatures w14:val="none"/>
        </w:rPr>
      </w:pPr>
      <w:r w:rsidRPr="00844554">
        <w:rPr>
          <w:rFonts w:ascii="Times New Roman" w:eastAsia="Times New Roman" w:hAnsi="Times New Roman" w:cs="Times New Roman"/>
          <w:b/>
          <w:kern w:val="0"/>
          <w:sz w:val="22"/>
          <w:szCs w:val="22"/>
          <w:lang w:eastAsia="x-none"/>
          <w14:ligatures w14:val="none"/>
        </w:rPr>
        <w:t>3.</w:t>
      </w:r>
      <w:r w:rsidRPr="00844554">
        <w:rPr>
          <w:rFonts w:ascii="Times New Roman" w:eastAsia="Times New Roman" w:hAnsi="Times New Roman" w:cs="Times New Roman"/>
          <w:b/>
          <w:kern w:val="0"/>
          <w:sz w:val="22"/>
          <w:szCs w:val="22"/>
          <w:lang w:eastAsia="x-none"/>
          <w14:ligatures w14:val="none"/>
        </w:rPr>
        <w:tab/>
        <w:t xml:space="preserve">Kaip vartoti </w:t>
      </w:r>
      <w:r w:rsidR="00840D44">
        <w:rPr>
          <w:rFonts w:ascii="Times New Roman" w:eastAsia="Times New Roman" w:hAnsi="Times New Roman" w:cs="Times New Roman"/>
          <w:b/>
          <w:bCs/>
          <w:kern w:val="0"/>
          <w:sz w:val="22"/>
          <w:szCs w:val="22"/>
          <w:lang w:eastAsia="x-none"/>
          <w14:ligatures w14:val="none"/>
        </w:rPr>
        <w:t>Aciclovir toLife</w:t>
      </w:r>
      <w:r w:rsidRPr="00844554">
        <w:rPr>
          <w:rFonts w:ascii="Times New Roman" w:eastAsia="Times New Roman" w:hAnsi="Times New Roman" w:cs="Times New Roman"/>
          <w:kern w:val="0"/>
          <w:sz w:val="22"/>
          <w:szCs w:val="22"/>
          <w:lang w:eastAsia="x-none"/>
          <w14:ligatures w14:val="none"/>
        </w:rPr>
        <w:t xml:space="preserve"> </w:t>
      </w:r>
    </w:p>
    <w:p w14:paraId="5450F6E1"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lang w:eastAsia="x-none"/>
          <w14:ligatures w14:val="none"/>
        </w:rPr>
      </w:pPr>
    </w:p>
    <w:p w14:paraId="411C07DB"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bCs/>
          <w:kern w:val="0"/>
          <w:sz w:val="22"/>
          <w:szCs w:val="22"/>
          <w:lang w:eastAsia="x-none"/>
          <w14:ligatures w14:val="none"/>
        </w:rPr>
        <w:t>V</w:t>
      </w:r>
      <w:r w:rsidRPr="00844554">
        <w:rPr>
          <w:rFonts w:ascii="Times New Roman" w:eastAsia="Times New Roman" w:hAnsi="Times New Roman" w:cs="Times New Roman"/>
          <w:kern w:val="0"/>
          <w:sz w:val="22"/>
          <w:szCs w:val="22"/>
          <w:lang w:eastAsia="x-none"/>
          <w14:ligatures w14:val="none"/>
        </w:rPr>
        <w:t>isada vartokite šį vaistą tiksliai, kaip nurodė gydytojas. Jeigu abejojate, kreipkitės į gydytoją arba vaistininką.</w:t>
      </w:r>
    </w:p>
    <w:p w14:paraId="6B662889"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492DF0A7"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Gydytojas nurodys tinkamą dozę, kaip vartoti vaistą ir kiek laiko jį vartoti:</w:t>
      </w:r>
    </w:p>
    <w:p w14:paraId="02760B44" w14:textId="77777777" w:rsidR="00844554" w:rsidRPr="00844554" w:rsidRDefault="00844554" w:rsidP="00844554">
      <w:pPr>
        <w:numPr>
          <w:ilvl w:val="1"/>
          <w:numId w:val="9"/>
        </w:numPr>
        <w:tabs>
          <w:tab w:val="left" w:pos="567"/>
          <w:tab w:val="center" w:pos="4153"/>
          <w:tab w:val="right" w:pos="8306"/>
        </w:tabs>
        <w:spacing w:after="0" w:line="240" w:lineRule="auto"/>
        <w:ind w:left="567" w:hanging="567"/>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pagal infekcijos tipą;</w:t>
      </w:r>
    </w:p>
    <w:p w14:paraId="059AE5F5" w14:textId="77777777" w:rsidR="00844554" w:rsidRPr="00844554" w:rsidRDefault="00844554" w:rsidP="00844554">
      <w:pPr>
        <w:numPr>
          <w:ilvl w:val="1"/>
          <w:numId w:val="9"/>
        </w:numPr>
        <w:tabs>
          <w:tab w:val="left" w:pos="567"/>
          <w:tab w:val="center" w:pos="4153"/>
          <w:tab w:val="right" w:pos="8306"/>
        </w:tabs>
        <w:spacing w:after="0" w:line="240" w:lineRule="auto"/>
        <w:ind w:left="567" w:hanging="567"/>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pagal tai, ar infekciją reikia gydyti, ar neleisti jai sugrįžti.</w:t>
      </w:r>
    </w:p>
    <w:p w14:paraId="2274889A"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6BA946F0"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 xml:space="preserve">Įprastinė dozė </w:t>
      </w:r>
      <w:r w:rsidRPr="00844554">
        <w:rPr>
          <w:rFonts w:ascii="Times New Roman" w:eastAsia="Times New Roman" w:hAnsi="Times New Roman" w:cs="Times New Roman"/>
          <w:i/>
          <w:iCs/>
          <w:kern w:val="0"/>
          <w:sz w:val="22"/>
          <w:szCs w:val="22"/>
          <w:lang w:eastAsia="x-none"/>
          <w14:ligatures w14:val="none"/>
        </w:rPr>
        <w:t>herpes simplex</w:t>
      </w:r>
      <w:r w:rsidRPr="00844554">
        <w:rPr>
          <w:rFonts w:ascii="Times New Roman" w:eastAsia="Times New Roman" w:hAnsi="Times New Roman" w:cs="Times New Roman"/>
          <w:kern w:val="0"/>
          <w:sz w:val="22"/>
          <w:szCs w:val="22"/>
          <w:lang w:eastAsia="x-none"/>
          <w14:ligatures w14:val="none"/>
        </w:rPr>
        <w:t xml:space="preserve"> infekcijoms gydyti suaugusiesiems yra 200 mg, 5 kartus per parą, maždaug kas 4 valandas, praleidžiant naktinę dozę. Gydymas paprastai turi būti tęsiamas 5 dienas, tačiau sunkios infekcijos atveju gydymas gali būti pratęstas.</w:t>
      </w:r>
    </w:p>
    <w:p w14:paraId="58134F53"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Tokią pačią dozę, kaip ir suaugusiesiems, paprastai reikia skirti 2 metų ir vyresniems vaikams.</w:t>
      </w:r>
    </w:p>
    <w:p w14:paraId="77D6F532"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0C897B66"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 xml:space="preserve">Įprastinė dozė </w:t>
      </w:r>
      <w:r w:rsidRPr="00844554">
        <w:rPr>
          <w:rFonts w:ascii="Times New Roman" w:eastAsia="Times New Roman" w:hAnsi="Times New Roman" w:cs="Times New Roman"/>
          <w:i/>
          <w:iCs/>
          <w:kern w:val="0"/>
          <w:sz w:val="22"/>
          <w:szCs w:val="22"/>
          <w:lang w:eastAsia="x-none"/>
          <w14:ligatures w14:val="none"/>
        </w:rPr>
        <w:t>herpes simplex</w:t>
      </w:r>
      <w:r w:rsidRPr="00844554">
        <w:rPr>
          <w:rFonts w:ascii="Times New Roman" w:eastAsia="Times New Roman" w:hAnsi="Times New Roman" w:cs="Times New Roman"/>
          <w:kern w:val="0"/>
          <w:sz w:val="22"/>
          <w:szCs w:val="22"/>
          <w:lang w:eastAsia="x-none"/>
          <w14:ligatures w14:val="none"/>
        </w:rPr>
        <w:t xml:space="preserve"> infekcijų pasikartojimo profilaktikai suaugusiesiems yra 200 mg, 4 kartus per parą, maždaug kas 4 valandas, praleidžiant naktinę dozę.</w:t>
      </w:r>
    </w:p>
    <w:p w14:paraId="114FB1D4"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p>
    <w:p w14:paraId="3965C737"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Įprastinė dozė vėjaraupiams ir juosiančiajai pūslelinei gydyti suaugusiesiems yra 800 mg, 5 kartus per parą, maždaug kas 4 valandas, praleidžiant naktinę dozę. Gydymą paprastai reikia tęsti 7 dienas.</w:t>
      </w:r>
    </w:p>
    <w:p w14:paraId="10986179" w14:textId="77777777" w:rsidR="00844554" w:rsidRPr="00844554" w:rsidRDefault="00844554" w:rsidP="00844554">
      <w:pPr>
        <w:tabs>
          <w:tab w:val="left" w:pos="567"/>
          <w:tab w:val="center" w:pos="4153"/>
          <w:tab w:val="right" w:pos="8306"/>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Vyresniems nei 6 metų vaikams paprastai reikia skirti po 800 mg 4 kartus per parą, vaikams nuo 2 iki 6 metų – 400 mg 4 kartus per parą, o jaunesniems nei 2 metų vaikams – 200 mg 4 kartus per parą.</w:t>
      </w:r>
    </w:p>
    <w:p w14:paraId="40E0264A"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7229BBB9"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r w:rsidRPr="00844554">
        <w:rPr>
          <w:rFonts w:ascii="Times New Roman" w:eastAsia="Times New Roman" w:hAnsi="Times New Roman" w:cs="Times New Roman"/>
          <w:kern w:val="0"/>
          <w:sz w:val="22"/>
          <w:szCs w:val="22"/>
          <w:lang w:eastAsia="x-none"/>
          <w14:ligatures w14:val="none"/>
        </w:rPr>
        <w:t>Jeigu Jums yra inkstų funkcijos sutrikimų, gydytojas Jums pritaikys dozę.</w:t>
      </w:r>
    </w:p>
    <w:p w14:paraId="4613960D"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lang w:eastAsia="x-none"/>
          <w14:ligatures w14:val="none"/>
        </w:rPr>
      </w:pPr>
    </w:p>
    <w:p w14:paraId="787055A6"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Šio vaisto vartojimas</w:t>
      </w:r>
    </w:p>
    <w:p w14:paraId="0892B4D9" w14:textId="7777777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Vartokite šį vaistą per burną.</w:t>
      </w:r>
    </w:p>
    <w:p w14:paraId="7F309FE7" w14:textId="7777777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Nurykite visą tabletę, užgerdami pakankamu kiekiu vandens.</w:t>
      </w:r>
    </w:p>
    <w:p w14:paraId="07734E2B" w14:textId="5022FE2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 xml:space="preserve">Vartokite </w:t>
      </w:r>
      <w:r w:rsidR="00840D44">
        <w:rPr>
          <w:rFonts w:ascii="Times New Roman" w:eastAsia="Times New Roman" w:hAnsi="Times New Roman" w:cs="Times New Roman"/>
          <w:bCs/>
          <w:kern w:val="0"/>
          <w:sz w:val="22"/>
          <w:szCs w:val="22"/>
          <w14:ligatures w14:val="none"/>
        </w:rPr>
        <w:t>Aciclovir toLife</w:t>
      </w:r>
      <w:r w:rsidRPr="00844554">
        <w:rPr>
          <w:rFonts w:ascii="Times New Roman" w:eastAsia="Times New Roman" w:hAnsi="Times New Roman" w:cs="Times New Roman"/>
          <w:bCs/>
          <w:kern w:val="0"/>
          <w:sz w:val="22"/>
          <w:szCs w:val="22"/>
          <w14:ligatures w14:val="none"/>
        </w:rPr>
        <w:t xml:space="preserve"> kiekvieną dieną tuo pačiu laiku.</w:t>
      </w:r>
    </w:p>
    <w:p w14:paraId="6D8A74CD" w14:textId="7BCA24CF"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 xml:space="preserve">Vartokite </w:t>
      </w:r>
      <w:r w:rsidR="00840D44">
        <w:rPr>
          <w:rFonts w:ascii="Times New Roman" w:eastAsia="Times New Roman" w:hAnsi="Times New Roman" w:cs="Times New Roman"/>
          <w:bCs/>
          <w:kern w:val="0"/>
          <w:sz w:val="22"/>
          <w:szCs w:val="22"/>
          <w14:ligatures w14:val="none"/>
        </w:rPr>
        <w:t>Aciclovir toLife</w:t>
      </w:r>
      <w:r w:rsidRPr="00844554">
        <w:rPr>
          <w:rFonts w:ascii="Times New Roman" w:eastAsia="Times New Roman" w:hAnsi="Times New Roman" w:cs="Times New Roman"/>
          <w:bCs/>
          <w:kern w:val="0"/>
          <w:sz w:val="22"/>
          <w:szCs w:val="22"/>
          <w14:ligatures w14:val="none"/>
        </w:rPr>
        <w:t xml:space="preserve"> taip, kaip nurodė gydytojas arba vaistininkas.</w:t>
      </w:r>
    </w:p>
    <w:p w14:paraId="73AFCA9D" w14:textId="77777777" w:rsidR="00844554" w:rsidRPr="00844554" w:rsidRDefault="00844554" w:rsidP="00844554">
      <w:pPr>
        <w:numPr>
          <w:ilvl w:val="1"/>
          <w:numId w:val="10"/>
        </w:numPr>
        <w:tabs>
          <w:tab w:val="left" w:pos="567"/>
        </w:tabs>
        <w:spacing w:after="0" w:line="240" w:lineRule="auto"/>
        <w:ind w:left="567" w:hanging="567"/>
        <w:contextualSpacing/>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Jei Jums sunku nuryti tabletes, ištirpinkite tabletę mažiausiai 50 ml vandens, kurį prieš geriant reikia išmaišyti.</w:t>
      </w:r>
    </w:p>
    <w:p w14:paraId="39FCE9D6"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36A399E0" w14:textId="49903F4A" w:rsidR="00844554" w:rsidRPr="00844554" w:rsidRDefault="00844554" w:rsidP="00844554">
      <w:pPr>
        <w:spacing w:after="0" w:line="240" w:lineRule="auto"/>
        <w:rPr>
          <w:rFonts w:ascii="Times New Roman" w:eastAsia="Times New Roman" w:hAnsi="Times New Roman" w:cs="Times New Roman"/>
          <w:b/>
          <w:kern w:val="0"/>
          <w:sz w:val="22"/>
          <w:szCs w:val="22"/>
          <w:lang w:eastAsia="lt-LT"/>
          <w14:ligatures w14:val="none"/>
        </w:rPr>
      </w:pPr>
      <w:r w:rsidRPr="00844554">
        <w:rPr>
          <w:rFonts w:ascii="Times New Roman" w:eastAsia="Times New Roman" w:hAnsi="Times New Roman" w:cs="Times New Roman"/>
          <w:b/>
          <w:kern w:val="0"/>
          <w:sz w:val="22"/>
          <w:szCs w:val="22"/>
          <w:lang w:eastAsia="lt-LT"/>
          <w14:ligatures w14:val="none"/>
        </w:rPr>
        <w:t xml:space="preserve">Ką daryti pavartojus per didelę </w:t>
      </w:r>
      <w:r w:rsidR="00840D44">
        <w:rPr>
          <w:rFonts w:ascii="Times New Roman" w:eastAsia="Times New Roman" w:hAnsi="Times New Roman" w:cs="Times New Roman"/>
          <w:b/>
          <w:kern w:val="0"/>
          <w:sz w:val="22"/>
          <w:szCs w:val="22"/>
          <w:lang w:eastAsia="lt-LT"/>
          <w14:ligatures w14:val="none"/>
        </w:rPr>
        <w:t>Aciclovir toLife</w:t>
      </w:r>
      <w:r w:rsidRPr="00844554">
        <w:rPr>
          <w:rFonts w:ascii="Times New Roman" w:eastAsia="Times New Roman" w:hAnsi="Times New Roman" w:cs="Times New Roman"/>
          <w:b/>
          <w:kern w:val="0"/>
          <w:sz w:val="22"/>
          <w:szCs w:val="22"/>
          <w:lang w:eastAsia="lt-LT"/>
          <w14:ligatures w14:val="none"/>
        </w:rPr>
        <w:t xml:space="preserve"> dozę</w:t>
      </w:r>
    </w:p>
    <w:p w14:paraId="3D52E5C4" w14:textId="4BADD87B" w:rsidR="00844554" w:rsidRPr="00844554" w:rsidRDefault="00840D44" w:rsidP="00844554">
      <w:pPr>
        <w:tabs>
          <w:tab w:val="left" w:pos="567"/>
        </w:tab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bCs/>
          <w:kern w:val="0"/>
          <w:sz w:val="22"/>
          <w:szCs w:val="22"/>
          <w14:ligatures w14:val="none"/>
        </w:rPr>
        <w:t xml:space="preserve"> paprastai nėra kenksmingas, nebent vartojamas didelis kiekis kelias dienas. Pasakykite gydytojui, jei išgėrėte per daug </w:t>
      </w: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bCs/>
          <w:kern w:val="0"/>
          <w:sz w:val="22"/>
          <w:szCs w:val="22"/>
          <w14:ligatures w14:val="none"/>
        </w:rPr>
        <w:t>. Pasiimkite pakuotę su savimi.</w:t>
      </w:r>
    </w:p>
    <w:p w14:paraId="30455D4E"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p>
    <w:p w14:paraId="70194FA7" w14:textId="06D3FE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 xml:space="preserve">Pamiršus pavartoti </w:t>
      </w:r>
      <w:r w:rsidR="00840D44">
        <w:rPr>
          <w:rFonts w:ascii="Times New Roman" w:eastAsia="Times New Roman" w:hAnsi="Times New Roman" w:cs="Times New Roman"/>
          <w:b/>
          <w:bCs/>
          <w:kern w:val="0"/>
          <w:sz w:val="22"/>
          <w:szCs w:val="22"/>
          <w14:ligatures w14:val="none"/>
        </w:rPr>
        <w:t>Aciclovir toLife</w:t>
      </w:r>
      <w:r w:rsidRPr="00844554">
        <w:rPr>
          <w:rFonts w:ascii="Times New Roman" w:eastAsia="Times New Roman" w:hAnsi="Times New Roman" w:cs="Times New Roman"/>
          <w:kern w:val="0"/>
          <w:sz w:val="22"/>
          <w:szCs w:val="22"/>
          <w14:ligatures w14:val="none"/>
        </w:rPr>
        <w:t xml:space="preserve"> </w:t>
      </w:r>
    </w:p>
    <w:p w14:paraId="16119D1A" w14:textId="60E8CA96"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Jei pamiršote išgerti </w:t>
      </w:r>
      <w:r w:rsidR="00840D44">
        <w:rPr>
          <w:rFonts w:ascii="Times New Roman" w:eastAsia="Times New Roman" w:hAnsi="Times New Roman" w:cs="Times New Roman"/>
          <w:kern w:val="0"/>
          <w:sz w:val="22"/>
          <w:szCs w:val="22"/>
          <w14:ligatures w14:val="none"/>
        </w:rPr>
        <w:t>Aciclovir toLife</w:t>
      </w:r>
      <w:r w:rsidRPr="00844554">
        <w:rPr>
          <w:rFonts w:ascii="Times New Roman" w:eastAsia="Times New Roman" w:hAnsi="Times New Roman" w:cs="Times New Roman"/>
          <w:kern w:val="0"/>
          <w:sz w:val="22"/>
          <w:szCs w:val="22"/>
          <w14:ligatures w14:val="none"/>
        </w:rPr>
        <w:t>, išgerkite jį, kai tik prisiminsite, tačiau pamirštą dozę praleiskite, jei jau beveik laikas vartoti kitą dozę.</w:t>
      </w:r>
    </w:p>
    <w:p w14:paraId="3CC4A36C"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Negalima vartoti dvigubos dozės norint kompensuoti praleistą dozę.</w:t>
      </w:r>
    </w:p>
    <w:p w14:paraId="5EBE29D1"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405730FC" w14:textId="77777777" w:rsidR="00844554" w:rsidRPr="00844554" w:rsidRDefault="00844554" w:rsidP="00844554">
      <w:pPr>
        <w:tabs>
          <w:tab w:val="left" w:pos="567"/>
        </w:tabs>
        <w:spacing w:after="0" w:line="240" w:lineRule="auto"/>
        <w:rPr>
          <w:rFonts w:ascii="Times New Roman" w:eastAsia="Times New Roman" w:hAnsi="Times New Roman" w:cs="Times New Roman"/>
          <w:b/>
          <w:caps/>
          <w:kern w:val="0"/>
          <w:sz w:val="22"/>
          <w:szCs w:val="22"/>
          <w:lang w:eastAsia="x-none"/>
          <w14:ligatures w14:val="none"/>
        </w:rPr>
      </w:pPr>
      <w:r w:rsidRPr="00844554">
        <w:rPr>
          <w:rFonts w:ascii="Times New Roman" w:eastAsia="Times New Roman" w:hAnsi="Times New Roman" w:cs="Times New Roman"/>
          <w:b/>
          <w:caps/>
          <w:kern w:val="0"/>
          <w:sz w:val="22"/>
          <w:szCs w:val="22"/>
          <w:lang w:eastAsia="x-none"/>
          <w14:ligatures w14:val="none"/>
        </w:rPr>
        <w:t>4.</w:t>
      </w:r>
      <w:r w:rsidRPr="00844554">
        <w:rPr>
          <w:rFonts w:ascii="Times New Roman" w:eastAsia="Times New Roman" w:hAnsi="Times New Roman" w:cs="Times New Roman"/>
          <w:b/>
          <w:caps/>
          <w:kern w:val="0"/>
          <w:sz w:val="22"/>
          <w:szCs w:val="22"/>
          <w:lang w:eastAsia="x-none"/>
          <w14:ligatures w14:val="none"/>
        </w:rPr>
        <w:tab/>
        <w:t>G</w:t>
      </w:r>
      <w:r w:rsidRPr="00844554">
        <w:rPr>
          <w:rFonts w:ascii="Times New Roman" w:eastAsia="Times New Roman" w:hAnsi="Times New Roman" w:cs="Times New Roman"/>
          <w:b/>
          <w:bCs/>
          <w:kern w:val="0"/>
          <w:sz w:val="22"/>
          <w:szCs w:val="22"/>
          <w:lang w:eastAsia="x-none"/>
          <w14:ligatures w14:val="none"/>
        </w:rPr>
        <w:t>alimas šalutinis poveikis</w:t>
      </w:r>
    </w:p>
    <w:p w14:paraId="6BFF0943" w14:textId="7777777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lang w:eastAsia="x-none"/>
          <w14:ligatures w14:val="none"/>
        </w:rPr>
      </w:pPr>
    </w:p>
    <w:p w14:paraId="321347C0"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28B466B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BD47B41" w14:textId="77777777" w:rsidR="00844554" w:rsidRPr="00844554" w:rsidRDefault="00844554" w:rsidP="00844554">
      <w:pPr>
        <w:spacing w:after="0" w:line="240" w:lineRule="auto"/>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b/>
          <w:bCs/>
          <w:kern w:val="0"/>
          <w:sz w:val="22"/>
          <w:szCs w:val="22"/>
          <w:lang w:eastAsia="lt-LT"/>
          <w14:ligatures w14:val="none"/>
        </w:rPr>
        <w:t>Simptomai, į kuriuos reikia atkreipti dėmesį</w:t>
      </w:r>
    </w:p>
    <w:p w14:paraId="1189361F" w14:textId="5F808A5A" w:rsidR="00844554" w:rsidRPr="00844554" w:rsidRDefault="00844554" w:rsidP="00844554">
      <w:pPr>
        <w:numPr>
          <w:ilvl w:val="0"/>
          <w:numId w:val="11"/>
        </w:numPr>
        <w:spacing w:after="0" w:line="240" w:lineRule="auto"/>
        <w:ind w:left="567" w:hanging="567"/>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sunkios alerginės reakcijos (anafilaksija). Jos retai pasitaiko žmonėms, vartojantiems </w:t>
      </w:r>
      <w:r w:rsidR="00840D44">
        <w:rPr>
          <w:rFonts w:ascii="Times New Roman" w:eastAsia="Times New Roman" w:hAnsi="Times New Roman" w:cs="Times New Roman"/>
          <w:kern w:val="0"/>
          <w:sz w:val="22"/>
          <w:szCs w:val="22"/>
          <w:lang w:eastAsia="lt-LT"/>
          <w14:ligatures w14:val="none"/>
        </w:rPr>
        <w:t>Aciclovir toLife</w:t>
      </w:r>
      <w:r w:rsidRPr="00844554">
        <w:rPr>
          <w:rFonts w:ascii="Times New Roman" w:eastAsia="Times New Roman" w:hAnsi="Times New Roman" w:cs="Times New Roman"/>
          <w:kern w:val="0"/>
          <w:sz w:val="22"/>
          <w:szCs w:val="22"/>
          <w:lang w:eastAsia="lt-LT"/>
          <w14:ligatures w14:val="none"/>
        </w:rPr>
        <w:t xml:space="preserve"> (gali pasireikšti rečiau kaip 1 iš 1 000 asmenų). Staiga pasireiškiantys simptomai, įskaitant:</w:t>
      </w:r>
    </w:p>
    <w:p w14:paraId="57EDFE01" w14:textId="77777777"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niežtintį odos išbėrimą (dilgėlinė);</w:t>
      </w:r>
    </w:p>
    <w:p w14:paraId="603655C9" w14:textId="77777777"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lūpų, veido, kaklo ir gerklės patinimą, dėl kurio sunku kvėpuoti </w:t>
      </w:r>
      <w:r w:rsidRPr="00844554">
        <w:rPr>
          <w:rFonts w:ascii="Times New Roman" w:eastAsia="Times New Roman" w:hAnsi="Times New Roman" w:cs="Times New Roman"/>
          <w:iCs/>
          <w:kern w:val="0"/>
          <w:sz w:val="22"/>
          <w:szCs w:val="22"/>
          <w:lang w:eastAsia="lt-LT"/>
          <w14:ligatures w14:val="none"/>
        </w:rPr>
        <w:t>(angioneurozinė edema)</w:t>
      </w:r>
      <w:r w:rsidRPr="00844554">
        <w:rPr>
          <w:rFonts w:ascii="Times New Roman" w:eastAsia="Times New Roman" w:hAnsi="Times New Roman" w:cs="Times New Roman"/>
          <w:kern w:val="0"/>
          <w:sz w:val="22"/>
          <w:szCs w:val="22"/>
          <w:lang w:eastAsia="lt-LT"/>
          <w14:ligatures w14:val="none"/>
        </w:rPr>
        <w:t>;</w:t>
      </w:r>
    </w:p>
    <w:p w14:paraId="1F85EFAA" w14:textId="77777777"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kraujospūdžio kritimą, sukeliantį kolapsą;</w:t>
      </w:r>
    </w:p>
    <w:p w14:paraId="704818F5" w14:textId="353386B5" w:rsidR="00844554" w:rsidRPr="00844554" w:rsidRDefault="00844554" w:rsidP="00844554">
      <w:pPr>
        <w:numPr>
          <w:ilvl w:val="1"/>
          <w:numId w:val="12"/>
        </w:numPr>
        <w:spacing w:after="0" w:line="240" w:lineRule="auto"/>
        <w:ind w:left="851" w:hanging="284"/>
        <w:rPr>
          <w:rFonts w:ascii="Times New Roman" w:eastAsia="Times New Roman" w:hAnsi="Times New Roman" w:cs="Times New Roman"/>
          <w:kern w:val="0"/>
          <w:sz w:val="22"/>
          <w:szCs w:val="22"/>
          <w:lang w:eastAsia="lt-LT"/>
          <w14:ligatures w14:val="none"/>
        </w:rPr>
      </w:pPr>
      <w:r w:rsidRPr="00844554">
        <w:rPr>
          <w:rFonts w:ascii="Times New Roman" w:eastAsia="Times New Roman" w:hAnsi="Times New Roman" w:cs="Times New Roman"/>
          <w:kern w:val="0"/>
          <w:sz w:val="22"/>
          <w:szCs w:val="22"/>
          <w:lang w:eastAsia="lt-LT"/>
          <w14:ligatures w14:val="none"/>
        </w:rPr>
        <w:t xml:space="preserve">jeigu pasireiškė alerginė reakcija, nutraukite </w:t>
      </w:r>
      <w:r w:rsidR="00840D44">
        <w:rPr>
          <w:rFonts w:ascii="Times New Roman" w:eastAsia="Times New Roman" w:hAnsi="Times New Roman" w:cs="Times New Roman"/>
          <w:kern w:val="0"/>
          <w:sz w:val="22"/>
          <w:szCs w:val="22"/>
          <w:lang w:eastAsia="lt-LT"/>
          <w14:ligatures w14:val="none"/>
        </w:rPr>
        <w:t>Aciclovir toLife</w:t>
      </w:r>
      <w:r w:rsidRPr="00844554">
        <w:rPr>
          <w:rFonts w:ascii="Times New Roman" w:eastAsia="Times New Roman" w:hAnsi="Times New Roman" w:cs="Times New Roman"/>
          <w:kern w:val="0"/>
          <w:sz w:val="22"/>
          <w:szCs w:val="22"/>
          <w:lang w:eastAsia="lt-LT"/>
          <w14:ligatures w14:val="none"/>
        </w:rPr>
        <w:t xml:space="preserve"> vartojimą ir nedelsdami kreipkitės į gydytoją.</w:t>
      </w:r>
    </w:p>
    <w:p w14:paraId="18F264CB"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61187E7"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Dažni šalutinio poveikio reiškiniai </w:t>
      </w:r>
      <w:r w:rsidRPr="00844554">
        <w:rPr>
          <w:rFonts w:ascii="Times New Roman" w:eastAsia="Times New Roman" w:hAnsi="Times New Roman" w:cs="Times New Roman"/>
          <w:kern w:val="0"/>
          <w:sz w:val="22"/>
          <w:szCs w:val="22"/>
          <w14:ligatures w14:val="none"/>
        </w:rPr>
        <w:t>(gali pasireikšti rečiau kaip 1 iš 10 asmenų):</w:t>
      </w:r>
    </w:p>
    <w:p w14:paraId="09977FB0"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galvos skausmas;</w:t>
      </w:r>
    </w:p>
    <w:p w14:paraId="140A4374"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svaigulys;</w:t>
      </w:r>
    </w:p>
    <w:p w14:paraId="68CA7BAD"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pykinimas arba vėmimas;</w:t>
      </w:r>
    </w:p>
    <w:p w14:paraId="3AF78114"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viduriavimas;</w:t>
      </w:r>
    </w:p>
    <w:p w14:paraId="441F9EF4"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skrandžio skausmas;</w:t>
      </w:r>
    </w:p>
    <w:p w14:paraId="0C21C372"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niežėjimas;</w:t>
      </w:r>
    </w:p>
    <w:p w14:paraId="0653A6DD"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odos reakcija po saulės spindulių poveikio (jautrumas šviesai);</w:t>
      </w:r>
    </w:p>
    <w:p w14:paraId="52351379"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nuovargis;</w:t>
      </w:r>
    </w:p>
    <w:p w14:paraId="5938E2B8" w14:textId="77777777" w:rsidR="00844554" w:rsidRPr="00844554" w:rsidRDefault="00844554" w:rsidP="00844554">
      <w:pPr>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padidėjusi temperatūra (karščiavimas).</w:t>
      </w:r>
    </w:p>
    <w:p w14:paraId="765E9DE8"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6DCD128"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Nedažni šalutinio poveikio reiškiniai </w:t>
      </w:r>
      <w:r w:rsidRPr="00844554">
        <w:rPr>
          <w:rFonts w:ascii="Times New Roman" w:eastAsia="Times New Roman" w:hAnsi="Times New Roman" w:cs="Times New Roman"/>
          <w:kern w:val="0"/>
          <w:sz w:val="22"/>
          <w:szCs w:val="22"/>
          <w14:ligatures w14:val="none"/>
        </w:rPr>
        <w:t>(gali pasireikšti rečiau kaip 1 iš 100 asmenų):</w:t>
      </w:r>
    </w:p>
    <w:p w14:paraId="0050B963"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niežtintis išbėrimas (dilgėlinė);</w:t>
      </w:r>
    </w:p>
    <w:p w14:paraId="33E4B3E0"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plaukų slinkimas.</w:t>
      </w:r>
    </w:p>
    <w:p w14:paraId="67D578F5"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038E3C67"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Reti šalutinio poveikio reiškiniai </w:t>
      </w:r>
      <w:r w:rsidRPr="00844554">
        <w:rPr>
          <w:rFonts w:ascii="Times New Roman" w:eastAsia="Times New Roman" w:hAnsi="Times New Roman" w:cs="Times New Roman"/>
          <w:kern w:val="0"/>
          <w:sz w:val="22"/>
          <w:szCs w:val="22"/>
          <w14:ligatures w14:val="none"/>
        </w:rPr>
        <w:t>(gali pasireikšti rečiau kaip 1 iš 1 000 asmenų):</w:t>
      </w:r>
    </w:p>
    <w:p w14:paraId="02AFF664"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dusulys (dispnėja);</w:t>
      </w:r>
    </w:p>
    <w:p w14:paraId="338C0BEF"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kraujo tyrimų rezultatų pokyčiai;</w:t>
      </w:r>
    </w:p>
    <w:p w14:paraId="1EB28CBF"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lūpų, veido, kaklo ir gerklės patinimas, dėl kurio sunku kvėpuoti (angioneurozinė edema);</w:t>
      </w:r>
    </w:p>
    <w:p w14:paraId="42CE395A" w14:textId="77777777" w:rsidR="00844554" w:rsidRPr="00844554" w:rsidRDefault="00844554" w:rsidP="00844554">
      <w:pPr>
        <w:keepNext/>
        <w:numPr>
          <w:ilvl w:val="0"/>
          <w:numId w:val="3"/>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padidėjęs kepenų fermentų aktyvumas.</w:t>
      </w:r>
    </w:p>
    <w:p w14:paraId="7C7B13D9"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p>
    <w:p w14:paraId="18B56A17" w14:textId="77777777" w:rsidR="00844554" w:rsidRPr="00844554" w:rsidRDefault="00844554" w:rsidP="00844554">
      <w:pPr>
        <w:keepNext/>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kern w:val="0"/>
          <w:sz w:val="22"/>
          <w:szCs w:val="22"/>
          <w14:ligatures w14:val="none"/>
        </w:rPr>
        <w:t>Labai reti šalutinio poveikio reiškiniai</w:t>
      </w:r>
      <w:r w:rsidRPr="00844554">
        <w:rPr>
          <w:rFonts w:ascii="Times New Roman" w:eastAsia="Times New Roman" w:hAnsi="Times New Roman" w:cs="Times New Roman"/>
          <w:kern w:val="0"/>
          <w:sz w:val="22"/>
          <w:szCs w:val="22"/>
          <w14:ligatures w14:val="none"/>
        </w:rPr>
        <w:t xml:space="preserve"> (gali pasireikšti rečiau kaip </w:t>
      </w:r>
      <w:r w:rsidRPr="00844554">
        <w:rPr>
          <w:rFonts w:ascii="Times New Roman" w:eastAsia="Times New Roman" w:hAnsi="Times New Roman" w:cs="Times New Roman"/>
          <w:kern w:val="0"/>
          <w:sz w:val="22"/>
          <w:szCs w:val="22"/>
          <w:lang w:val="en-GB"/>
          <w14:ligatures w14:val="none"/>
        </w:rPr>
        <w:t>1 iš 10 000 asmen</w:t>
      </w:r>
      <w:r w:rsidRPr="00844554">
        <w:rPr>
          <w:rFonts w:ascii="Times New Roman" w:eastAsia="Times New Roman" w:hAnsi="Times New Roman" w:cs="Times New Roman"/>
          <w:kern w:val="0"/>
          <w:sz w:val="22"/>
          <w:szCs w:val="22"/>
          <w14:ligatures w14:val="none"/>
        </w:rPr>
        <w:t>ų):</w:t>
      </w:r>
    </w:p>
    <w:p w14:paraId="02B3AA62" w14:textId="77777777" w:rsidR="00844554" w:rsidRPr="00844554" w:rsidRDefault="00844554" w:rsidP="00844554">
      <w:pPr>
        <w:keepNext/>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sumišimas ar susijaudinimas;</w:t>
      </w:r>
    </w:p>
    <w:p w14:paraId="419C23A7"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drebulys;</w:t>
      </w:r>
    </w:p>
    <w:p w14:paraId="1E10A466"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nestabilumas vaikštant ir koordinacijos stoka (</w:t>
      </w:r>
      <w:r w:rsidRPr="00844554">
        <w:rPr>
          <w:rFonts w:ascii="Times New Roman" w:eastAsia="Times New Roman" w:hAnsi="Times New Roman" w:cs="Times New Roman"/>
          <w:iCs/>
          <w:kern w:val="0"/>
          <w:sz w:val="22"/>
          <w:szCs w:val="22"/>
          <w14:ligatures w14:val="none"/>
        </w:rPr>
        <w:t>ataksija</w:t>
      </w:r>
      <w:r w:rsidRPr="00844554">
        <w:rPr>
          <w:rFonts w:ascii="Times New Roman" w:eastAsia="Times New Roman" w:hAnsi="Times New Roman" w:cs="Times New Roman"/>
          <w:kern w:val="0"/>
          <w:sz w:val="22"/>
          <w:szCs w:val="22"/>
          <w14:ligatures w14:val="none"/>
        </w:rPr>
        <w:t>);</w:t>
      </w:r>
    </w:p>
    <w:p w14:paraId="7F7FA8A7"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lėta, nerišli kalba (</w:t>
      </w:r>
      <w:r w:rsidRPr="00844554">
        <w:rPr>
          <w:rFonts w:ascii="Times New Roman" w:eastAsia="Times New Roman" w:hAnsi="Times New Roman" w:cs="Times New Roman"/>
          <w:iCs/>
          <w:kern w:val="0"/>
          <w:sz w:val="22"/>
          <w:szCs w:val="22"/>
          <w14:ligatures w14:val="none"/>
        </w:rPr>
        <w:t>dizartrija</w:t>
      </w:r>
      <w:r w:rsidRPr="00844554">
        <w:rPr>
          <w:rFonts w:ascii="Times New Roman" w:eastAsia="Times New Roman" w:hAnsi="Times New Roman" w:cs="Times New Roman"/>
          <w:kern w:val="0"/>
          <w:sz w:val="22"/>
          <w:szCs w:val="22"/>
          <w14:ligatures w14:val="none"/>
        </w:rPr>
        <w:t>);</w:t>
      </w:r>
    </w:p>
    <w:p w14:paraId="5F76196F"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girdėti ar matyti tai, ko nėra (</w:t>
      </w:r>
      <w:r w:rsidRPr="00844554">
        <w:rPr>
          <w:rFonts w:ascii="Times New Roman" w:eastAsia="Times New Roman" w:hAnsi="Times New Roman" w:cs="Times New Roman"/>
          <w:iCs/>
          <w:kern w:val="0"/>
          <w:sz w:val="22"/>
          <w:szCs w:val="22"/>
          <w14:ligatures w14:val="none"/>
        </w:rPr>
        <w:t>haliucinacijos</w:t>
      </w:r>
      <w:r w:rsidRPr="00844554">
        <w:rPr>
          <w:rFonts w:ascii="Times New Roman" w:eastAsia="Times New Roman" w:hAnsi="Times New Roman" w:cs="Times New Roman"/>
          <w:kern w:val="0"/>
          <w:sz w:val="22"/>
          <w:szCs w:val="22"/>
          <w14:ligatures w14:val="none"/>
        </w:rPr>
        <w:t>);</w:t>
      </w:r>
    </w:p>
    <w:p w14:paraId="50BAA073"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psichoziniai sutrikimai;</w:t>
      </w:r>
    </w:p>
    <w:p w14:paraId="22AA2F8D"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priepuoliai (traukulių priepuoliai);</w:t>
      </w:r>
    </w:p>
    <w:p w14:paraId="75EEEA8B"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mieguistumas;</w:t>
      </w:r>
    </w:p>
    <w:p w14:paraId="69A8CAC8"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pakitusi smegenų funkcija (</w:t>
      </w:r>
      <w:r w:rsidRPr="00844554">
        <w:rPr>
          <w:rFonts w:ascii="Times New Roman" w:eastAsia="Times New Roman" w:hAnsi="Times New Roman" w:cs="Times New Roman"/>
          <w:iCs/>
          <w:kern w:val="0"/>
          <w:sz w:val="22"/>
          <w:szCs w:val="22"/>
          <w14:ligatures w14:val="none"/>
        </w:rPr>
        <w:t>encefalopatija</w:t>
      </w:r>
      <w:r w:rsidRPr="00844554">
        <w:rPr>
          <w:rFonts w:ascii="Times New Roman" w:eastAsia="Times New Roman" w:hAnsi="Times New Roman" w:cs="Times New Roman"/>
          <w:kern w:val="0"/>
          <w:sz w:val="22"/>
          <w:szCs w:val="22"/>
          <w14:ligatures w14:val="none"/>
        </w:rPr>
        <w:t>);</w:t>
      </w:r>
    </w:p>
    <w:p w14:paraId="0B785744"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sąmonės netekimas (</w:t>
      </w:r>
      <w:r w:rsidRPr="00844554">
        <w:rPr>
          <w:rFonts w:ascii="Times New Roman" w:eastAsia="Times New Roman" w:hAnsi="Times New Roman" w:cs="Times New Roman"/>
          <w:iCs/>
          <w:kern w:val="0"/>
          <w:sz w:val="22"/>
          <w:szCs w:val="22"/>
          <w14:ligatures w14:val="none"/>
        </w:rPr>
        <w:t>koma</w:t>
      </w:r>
      <w:r w:rsidRPr="00844554">
        <w:rPr>
          <w:rFonts w:ascii="Times New Roman" w:eastAsia="Times New Roman" w:hAnsi="Times New Roman" w:cs="Times New Roman"/>
          <w:kern w:val="0"/>
          <w:sz w:val="22"/>
          <w:szCs w:val="22"/>
          <w14:ligatures w14:val="none"/>
        </w:rPr>
        <w:t>);</w:t>
      </w:r>
    </w:p>
    <w:p w14:paraId="22B881CE"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odos ir akių baltymų pageltimas (gelta), kepenų uždegimas (</w:t>
      </w:r>
      <w:r w:rsidRPr="00844554">
        <w:rPr>
          <w:rFonts w:ascii="Times New Roman" w:eastAsia="Times New Roman" w:hAnsi="Times New Roman" w:cs="Times New Roman"/>
          <w:iCs/>
          <w:kern w:val="0"/>
          <w:sz w:val="22"/>
          <w:szCs w:val="22"/>
          <w14:ligatures w14:val="none"/>
        </w:rPr>
        <w:t>hepatitas</w:t>
      </w:r>
      <w:r w:rsidRPr="00844554">
        <w:rPr>
          <w:rFonts w:ascii="Times New Roman" w:eastAsia="Times New Roman" w:hAnsi="Times New Roman" w:cs="Times New Roman"/>
          <w:kern w:val="0"/>
          <w:sz w:val="22"/>
          <w:szCs w:val="22"/>
          <w14:ligatures w14:val="none"/>
        </w:rPr>
        <w:t>);</w:t>
      </w:r>
    </w:p>
    <w:p w14:paraId="1B5874DC"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skausmas apatinėje nugaros dalyje, inkstų srityje arba šiek tiek aukščiau klubo (inkstų skausmas);</w:t>
      </w:r>
    </w:p>
    <w:p w14:paraId="2B87D82A"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inkstų nepakankamumas.</w:t>
      </w:r>
    </w:p>
    <w:p w14:paraId="157C9E99" w14:textId="77777777" w:rsidR="00844554" w:rsidRPr="00844554" w:rsidRDefault="00844554" w:rsidP="00844554">
      <w:pPr>
        <w:tabs>
          <w:tab w:val="left" w:pos="567"/>
        </w:tabs>
        <w:spacing w:after="0" w:line="240" w:lineRule="auto"/>
        <w:rPr>
          <w:rFonts w:ascii="Times New Roman" w:eastAsia="Calibri" w:hAnsi="Times New Roman" w:cs="Times New Roman"/>
          <w:kern w:val="0"/>
          <w:sz w:val="22"/>
          <w:szCs w:val="22"/>
          <w14:ligatures w14:val="none"/>
        </w:rPr>
      </w:pPr>
    </w:p>
    <w:p w14:paraId="68DD172A"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b/>
          <w:bCs/>
          <w:kern w:val="0"/>
          <w:sz w:val="22"/>
          <w:szCs w:val="22"/>
          <w14:ligatures w14:val="none"/>
        </w:rPr>
        <w:t xml:space="preserve">Labai reti šalutinio poveikio reiškiniai, stebimi kraujo tyrimuose </w:t>
      </w:r>
      <w:r w:rsidRPr="00844554">
        <w:rPr>
          <w:rFonts w:ascii="Times New Roman" w:eastAsia="Times New Roman" w:hAnsi="Times New Roman" w:cs="Times New Roman"/>
          <w:kern w:val="0"/>
          <w:sz w:val="22"/>
          <w:szCs w:val="22"/>
          <w14:ligatures w14:val="none"/>
        </w:rPr>
        <w:t>(gali pasireikšti rečiau kaip 1 iš 10 000 asmenų):</w:t>
      </w:r>
    </w:p>
    <w:p w14:paraId="04CEA052"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bCs/>
          <w:kern w:val="0"/>
          <w:sz w:val="22"/>
          <w:szCs w:val="22"/>
          <w:lang w:eastAsia="lt-LT"/>
          <w14:ligatures w14:val="none"/>
        </w:rPr>
      </w:pPr>
      <w:r w:rsidRPr="00844554">
        <w:rPr>
          <w:rFonts w:ascii="Times New Roman" w:eastAsia="Times New Roman" w:hAnsi="Times New Roman" w:cs="Times New Roman"/>
          <w:bCs/>
          <w:kern w:val="0"/>
          <w:sz w:val="22"/>
          <w:szCs w:val="22"/>
          <w14:ligatures w14:val="none"/>
        </w:rPr>
        <w:t>sumažėjęs raudonųjų kraujo kūnelių skaičius (</w:t>
      </w:r>
      <w:r w:rsidRPr="00844554">
        <w:rPr>
          <w:rFonts w:ascii="Times New Roman" w:eastAsia="Times New Roman" w:hAnsi="Times New Roman" w:cs="Times New Roman"/>
          <w:bCs/>
          <w:iCs/>
          <w:kern w:val="0"/>
          <w:sz w:val="22"/>
          <w:szCs w:val="22"/>
          <w14:ligatures w14:val="none"/>
        </w:rPr>
        <w:t>anemija</w:t>
      </w:r>
      <w:r w:rsidRPr="00844554">
        <w:rPr>
          <w:rFonts w:ascii="Times New Roman" w:eastAsia="Times New Roman" w:hAnsi="Times New Roman" w:cs="Times New Roman"/>
          <w:bCs/>
          <w:kern w:val="0"/>
          <w:sz w:val="22"/>
          <w:szCs w:val="22"/>
          <w14:ligatures w14:val="none"/>
        </w:rPr>
        <w:t>);</w:t>
      </w:r>
    </w:p>
    <w:p w14:paraId="05E91926"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sumažėjęs baltųjų kraujo kūnelių skaičius (</w:t>
      </w:r>
      <w:r w:rsidRPr="00844554">
        <w:rPr>
          <w:rFonts w:ascii="Times New Roman" w:eastAsia="Times New Roman" w:hAnsi="Times New Roman" w:cs="Times New Roman"/>
          <w:bCs/>
          <w:iCs/>
          <w:kern w:val="0"/>
          <w:sz w:val="22"/>
          <w:szCs w:val="22"/>
          <w14:ligatures w14:val="none"/>
        </w:rPr>
        <w:t>leukocitopenija</w:t>
      </w:r>
      <w:r w:rsidRPr="00844554">
        <w:rPr>
          <w:rFonts w:ascii="Times New Roman" w:eastAsia="Times New Roman" w:hAnsi="Times New Roman" w:cs="Times New Roman"/>
          <w:bCs/>
          <w:kern w:val="0"/>
          <w:sz w:val="22"/>
          <w:szCs w:val="22"/>
          <w14:ligatures w14:val="none"/>
        </w:rPr>
        <w:t>);</w:t>
      </w:r>
    </w:p>
    <w:p w14:paraId="5A76727D" w14:textId="77777777" w:rsidR="00844554" w:rsidRPr="00844554" w:rsidRDefault="00844554" w:rsidP="00844554">
      <w:pPr>
        <w:numPr>
          <w:ilvl w:val="0"/>
          <w:numId w:val="3"/>
        </w:numPr>
        <w:spacing w:after="0" w:line="240" w:lineRule="auto"/>
        <w:ind w:left="567" w:hanging="567"/>
        <w:rPr>
          <w:rFonts w:ascii="Times New Roman" w:eastAsia="Times New Roman" w:hAnsi="Times New Roman" w:cs="Times New Roman"/>
          <w:bCs/>
          <w:kern w:val="0"/>
          <w:sz w:val="22"/>
          <w:szCs w:val="22"/>
          <w14:ligatures w14:val="none"/>
        </w:rPr>
      </w:pPr>
      <w:r w:rsidRPr="00844554">
        <w:rPr>
          <w:rFonts w:ascii="Times New Roman" w:eastAsia="Times New Roman" w:hAnsi="Times New Roman" w:cs="Times New Roman"/>
          <w:bCs/>
          <w:kern w:val="0"/>
          <w:sz w:val="22"/>
          <w:szCs w:val="22"/>
          <w14:ligatures w14:val="none"/>
        </w:rPr>
        <w:t>sumažėjęs trombocitų (ląstelių, padedančių krešėti kraujui) skaičius (</w:t>
      </w:r>
      <w:r w:rsidRPr="00844554">
        <w:rPr>
          <w:rFonts w:ascii="Times New Roman" w:eastAsia="Times New Roman" w:hAnsi="Times New Roman" w:cs="Times New Roman"/>
          <w:bCs/>
          <w:iCs/>
          <w:kern w:val="0"/>
          <w:sz w:val="22"/>
          <w:szCs w:val="22"/>
          <w14:ligatures w14:val="none"/>
        </w:rPr>
        <w:t>trombocitopenija</w:t>
      </w:r>
      <w:r w:rsidRPr="00844554">
        <w:rPr>
          <w:rFonts w:ascii="Times New Roman" w:eastAsia="Times New Roman" w:hAnsi="Times New Roman" w:cs="Times New Roman"/>
          <w:bCs/>
          <w:kern w:val="0"/>
          <w:sz w:val="22"/>
          <w:szCs w:val="22"/>
          <w14:ligatures w14:val="none"/>
        </w:rPr>
        <w:t>).</w:t>
      </w:r>
    </w:p>
    <w:p w14:paraId="0D12FB48" w14:textId="77777777" w:rsidR="00844554" w:rsidRPr="00844554" w:rsidRDefault="00844554" w:rsidP="00844554">
      <w:pPr>
        <w:tabs>
          <w:tab w:val="left" w:pos="567"/>
        </w:tabs>
        <w:spacing w:after="0" w:line="240" w:lineRule="auto"/>
        <w:rPr>
          <w:rFonts w:ascii="Times New Roman" w:eastAsia="Calibri" w:hAnsi="Times New Roman" w:cs="Times New Roman"/>
          <w:kern w:val="0"/>
          <w:sz w:val="22"/>
          <w:szCs w:val="22"/>
          <w14:ligatures w14:val="none"/>
        </w:rPr>
      </w:pPr>
    </w:p>
    <w:p w14:paraId="2C3EB2C7" w14:textId="77777777" w:rsidR="00844554" w:rsidRPr="00844554" w:rsidRDefault="00844554" w:rsidP="00844554">
      <w:pPr>
        <w:keepNext/>
        <w:keepLines/>
        <w:spacing w:after="0" w:line="240" w:lineRule="auto"/>
        <w:ind w:left="567" w:hanging="567"/>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t>Pranešimas apie įtariamas nepageidaujamas reakcijas</w:t>
      </w:r>
    </w:p>
    <w:p w14:paraId="6ABF8C97" w14:textId="77777777" w:rsidR="001D2E31" w:rsidRPr="001D2E31" w:rsidRDefault="001D2E31" w:rsidP="001D2E31">
      <w:pPr>
        <w:spacing w:after="0" w:line="240" w:lineRule="auto"/>
        <w:rPr>
          <w:rFonts w:ascii="Times New Roman" w:eastAsia="Times New Roman" w:hAnsi="Times New Roman" w:cs="Times New Roman"/>
          <w:kern w:val="0"/>
          <w:sz w:val="22"/>
          <w:szCs w:val="20"/>
          <w14:ligatures w14:val="none"/>
        </w:rPr>
      </w:pPr>
      <w:r w:rsidRPr="001D2E31">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1D2E31">
          <w:rPr>
            <w:rFonts w:ascii="Times New Roman" w:eastAsia="Times New Roman" w:hAnsi="Times New Roman" w:cs="Times New Roman"/>
            <w:color w:val="467886"/>
            <w:kern w:val="0"/>
            <w:sz w:val="22"/>
            <w:szCs w:val="20"/>
            <w:u w:val="single"/>
            <w:lang w:eastAsia="lt-LT"/>
            <w14:ligatures w14:val="none"/>
          </w:rPr>
          <w:t>https://vvkt.lrv.lt/lt/</w:t>
        </w:r>
      </w:hyperlink>
      <w:r w:rsidRPr="001D2E31">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1D2E31">
        <w:rPr>
          <w:rFonts w:ascii="Times New Roman" w:eastAsia="Times New Roman" w:hAnsi="Times New Roman" w:cs="Times New Roman"/>
          <w:kern w:val="0"/>
          <w:sz w:val="22"/>
          <w:szCs w:val="20"/>
          <w14:ligatures w14:val="none"/>
        </w:rPr>
        <w:t>.</w:t>
      </w:r>
    </w:p>
    <w:p w14:paraId="21E99D1B"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A3CDB78"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BBC4916" w14:textId="316B9F1B" w:rsidR="00844554" w:rsidRPr="00844554" w:rsidRDefault="00844554" w:rsidP="00844554">
      <w:pPr>
        <w:widowControl w:val="0"/>
        <w:tabs>
          <w:tab w:val="left" w:pos="567"/>
        </w:tabs>
        <w:spacing w:after="0" w:line="240" w:lineRule="auto"/>
        <w:ind w:left="600" w:hanging="600"/>
        <w:rPr>
          <w:rFonts w:ascii="Times New Roman" w:eastAsia="Times New Roman" w:hAnsi="Times New Roman" w:cs="Times New Roman"/>
          <w:b/>
          <w:bCs/>
          <w:kern w:val="0"/>
          <w:sz w:val="22"/>
          <w:szCs w:val="22"/>
          <w14:ligatures w14:val="none"/>
        </w:rPr>
      </w:pPr>
      <w:r w:rsidRPr="00844554">
        <w:rPr>
          <w:rFonts w:ascii="Times New Roman" w:eastAsia="Times New Roman" w:hAnsi="Times New Roman" w:cs="Times New Roman"/>
          <w:b/>
          <w:bCs/>
          <w:kern w:val="0"/>
          <w:sz w:val="22"/>
          <w:szCs w:val="22"/>
          <w14:ligatures w14:val="none"/>
        </w:rPr>
        <w:t>5.</w:t>
      </w:r>
      <w:r w:rsidRPr="00844554">
        <w:rPr>
          <w:rFonts w:ascii="Times New Roman" w:eastAsia="Times New Roman" w:hAnsi="Times New Roman" w:cs="Times New Roman"/>
          <w:b/>
          <w:bCs/>
          <w:kern w:val="0"/>
          <w:sz w:val="22"/>
          <w:szCs w:val="22"/>
          <w14:ligatures w14:val="none"/>
        </w:rPr>
        <w:tab/>
        <w:t xml:space="preserve">Kaip laikyti </w:t>
      </w:r>
      <w:r w:rsidR="00840D44">
        <w:rPr>
          <w:rFonts w:ascii="Times New Roman" w:eastAsia="Times New Roman" w:hAnsi="Times New Roman" w:cs="Times New Roman"/>
          <w:b/>
          <w:bCs/>
          <w:kern w:val="0"/>
          <w:sz w:val="22"/>
          <w:szCs w:val="22"/>
          <w14:ligatures w14:val="none"/>
        </w:rPr>
        <w:t>Aciclovir toLife</w:t>
      </w:r>
      <w:r w:rsidRPr="00844554">
        <w:rPr>
          <w:rFonts w:ascii="Times New Roman" w:eastAsia="Times New Roman" w:hAnsi="Times New Roman" w:cs="Times New Roman"/>
          <w:b/>
          <w:kern w:val="0"/>
          <w:sz w:val="22"/>
          <w:szCs w:val="22"/>
          <w14:ligatures w14:val="none"/>
        </w:rPr>
        <w:t xml:space="preserve"> </w:t>
      </w:r>
    </w:p>
    <w:p w14:paraId="714C9733"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25160F0" w14:textId="77777777" w:rsidR="00844554" w:rsidRDefault="0084455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Šį vaistą laikykite vaikams nepastebimoje ir nepasiekiamoje vietoje.</w:t>
      </w:r>
    </w:p>
    <w:p w14:paraId="140D6E25" w14:textId="77777777" w:rsidR="006A6184" w:rsidRPr="00844554" w:rsidRDefault="006A618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p>
    <w:p w14:paraId="27008FC3" w14:textId="69B39391" w:rsidR="00844554" w:rsidRDefault="008616EC"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r w:rsidRPr="008616EC">
        <w:rPr>
          <w:rFonts w:ascii="Times New Roman" w:eastAsia="Times New Roman" w:hAnsi="Times New Roman" w:cs="Times New Roman"/>
          <w:kern w:val="0"/>
          <w:sz w:val="22"/>
          <w:szCs w:val="22"/>
          <w14:ligatures w14:val="none"/>
        </w:rPr>
        <w:t>Laikyti ne aukštesnėje kaip 30</w:t>
      </w:r>
      <w:r>
        <w:rPr>
          <w:rFonts w:ascii="Times New Roman" w:eastAsia="Times New Roman" w:hAnsi="Times New Roman" w:cs="Times New Roman"/>
          <w:kern w:val="0"/>
          <w:sz w:val="22"/>
          <w:szCs w:val="22"/>
          <w14:ligatures w14:val="none"/>
        </w:rPr>
        <w:t xml:space="preserve"> </w:t>
      </w:r>
      <w:r w:rsidRPr="008616EC">
        <w:rPr>
          <w:rFonts w:ascii="Times New Roman" w:eastAsia="Times New Roman" w:hAnsi="Times New Roman" w:cs="Times New Roman"/>
          <w:kern w:val="0"/>
          <w:sz w:val="22"/>
          <w:szCs w:val="22"/>
          <w14:ligatures w14:val="none"/>
        </w:rPr>
        <w:t>ºC temperatūroje.</w:t>
      </w:r>
    </w:p>
    <w:p w14:paraId="6169C5AB" w14:textId="77777777" w:rsidR="006A6184" w:rsidRPr="00844554" w:rsidRDefault="006A618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p>
    <w:p w14:paraId="5B97E4A2" w14:textId="77777777" w:rsidR="00844554" w:rsidRPr="00844554" w:rsidRDefault="00844554" w:rsidP="006A6184">
      <w:pPr>
        <w:widowControl w:val="0"/>
        <w:tabs>
          <w:tab w:val="left" w:pos="567"/>
        </w:tabs>
        <w:spacing w:after="0" w:line="240" w:lineRule="auto"/>
        <w:contextualSpacing/>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 xml:space="preserve">Ant dėžutės ir lizdinės plokštelės po „EXP“ nurodytam tinkamumo laikui pasibaigus, šio vaisto vartoti negalima. </w:t>
      </w:r>
    </w:p>
    <w:p w14:paraId="6D2B0EEA"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7E80EB6"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Vaistų negalima išmesti į kanalizaciją arba kartu su buitinėmis atliekomis. Kaip išmesti nereikalingus vaistus, klauskite vaistininko. Šios priemonės padės apsaugoti aplinką.</w:t>
      </w:r>
    </w:p>
    <w:p w14:paraId="0C891E95"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366F208"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F5FBD5A"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b/>
          <w:caps/>
          <w:kern w:val="0"/>
          <w:sz w:val="22"/>
          <w:szCs w:val="22"/>
          <w:lang w:eastAsia="x-none"/>
          <w14:ligatures w14:val="none"/>
        </w:rPr>
      </w:pPr>
      <w:r w:rsidRPr="00844554">
        <w:rPr>
          <w:rFonts w:ascii="Times New Roman" w:eastAsia="Times New Roman" w:hAnsi="Times New Roman" w:cs="Times New Roman"/>
          <w:b/>
          <w:caps/>
          <w:kern w:val="0"/>
          <w:sz w:val="22"/>
          <w:szCs w:val="22"/>
          <w:lang w:eastAsia="x-none"/>
          <w14:ligatures w14:val="none"/>
        </w:rPr>
        <w:t>6.</w:t>
      </w:r>
      <w:r w:rsidRPr="00844554">
        <w:rPr>
          <w:rFonts w:ascii="Times New Roman" w:eastAsia="Times New Roman" w:hAnsi="Times New Roman" w:cs="Times New Roman"/>
          <w:b/>
          <w:caps/>
          <w:kern w:val="0"/>
          <w:sz w:val="22"/>
          <w:szCs w:val="22"/>
          <w:lang w:eastAsia="x-none"/>
          <w14:ligatures w14:val="none"/>
        </w:rPr>
        <w:tab/>
      </w:r>
      <w:r w:rsidRPr="00844554">
        <w:rPr>
          <w:rFonts w:ascii="Times New Roman" w:eastAsia="Times New Roman" w:hAnsi="Times New Roman" w:cs="Times New Roman"/>
          <w:b/>
          <w:kern w:val="0"/>
          <w:sz w:val="22"/>
          <w:szCs w:val="22"/>
          <w:lang w:eastAsia="x-none"/>
          <w14:ligatures w14:val="none"/>
        </w:rPr>
        <w:t>Pakuotės</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turinys</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ir</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kita</w:t>
      </w:r>
      <w:r w:rsidRPr="00844554" w:rsidDel="00060D21">
        <w:rPr>
          <w:rFonts w:ascii="Times New Roman" w:eastAsia="Times New Roman" w:hAnsi="Times New Roman" w:cs="Times New Roman"/>
          <w:b/>
          <w:kern w:val="0"/>
          <w:sz w:val="22"/>
          <w:szCs w:val="22"/>
          <w:lang w:eastAsia="x-none"/>
          <w14:ligatures w14:val="none"/>
        </w:rPr>
        <w:t xml:space="preserve"> </w:t>
      </w:r>
      <w:r w:rsidRPr="00844554">
        <w:rPr>
          <w:rFonts w:ascii="Times New Roman" w:eastAsia="Times New Roman" w:hAnsi="Times New Roman" w:cs="Times New Roman"/>
          <w:b/>
          <w:kern w:val="0"/>
          <w:sz w:val="22"/>
          <w:szCs w:val="22"/>
          <w:lang w:eastAsia="x-none"/>
          <w14:ligatures w14:val="none"/>
        </w:rPr>
        <w:t>informacija</w:t>
      </w:r>
    </w:p>
    <w:p w14:paraId="36EFF220" w14:textId="77777777" w:rsidR="00844554" w:rsidRPr="00844554" w:rsidRDefault="00844554" w:rsidP="00844554">
      <w:pPr>
        <w:widowControl w:val="0"/>
        <w:tabs>
          <w:tab w:val="left" w:pos="567"/>
        </w:tabs>
        <w:spacing w:after="0" w:line="240" w:lineRule="auto"/>
        <w:rPr>
          <w:rFonts w:ascii="Times New Roman" w:eastAsia="Times New Roman" w:hAnsi="Times New Roman" w:cs="Times New Roman"/>
          <w:b/>
          <w:kern w:val="0"/>
          <w:sz w:val="22"/>
          <w:szCs w:val="22"/>
          <w:lang w:eastAsia="x-none"/>
          <w14:ligatures w14:val="none"/>
        </w:rPr>
      </w:pPr>
    </w:p>
    <w:p w14:paraId="60E74A03" w14:textId="553DD912" w:rsidR="00844554" w:rsidRPr="00844554" w:rsidRDefault="00840D44" w:rsidP="00844554">
      <w:pPr>
        <w:widowControl w:val="0"/>
        <w:tabs>
          <w:tab w:val="left" w:pos="567"/>
        </w:tabs>
        <w:spacing w:after="0" w:line="240" w:lineRule="auto"/>
        <w:ind w:left="540" w:hanging="54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kern w:val="0"/>
          <w:sz w:val="22"/>
          <w:szCs w:val="22"/>
          <w14:ligatures w14:val="none"/>
        </w:rPr>
        <w:t xml:space="preserve"> sudėtis</w:t>
      </w:r>
    </w:p>
    <w:p w14:paraId="240F2CFC" w14:textId="353F2BDB" w:rsidR="00844554" w:rsidRPr="006A6184" w:rsidRDefault="00844554" w:rsidP="006A6184">
      <w:pPr>
        <w:pStyle w:val="ListParagraph"/>
        <w:numPr>
          <w:ilvl w:val="0"/>
          <w:numId w:val="14"/>
        </w:numPr>
        <w:spacing w:after="0" w:line="240" w:lineRule="auto"/>
        <w:ind w:left="567" w:hanging="283"/>
        <w:rPr>
          <w:rFonts w:ascii="Times New Roman" w:eastAsia="Times New Roman" w:hAnsi="Times New Roman" w:cs="Times New Roman"/>
          <w:bCs/>
          <w:kern w:val="0"/>
          <w:sz w:val="22"/>
          <w:szCs w:val="22"/>
          <w14:ligatures w14:val="none"/>
        </w:rPr>
      </w:pPr>
      <w:r w:rsidRPr="006A6184">
        <w:rPr>
          <w:rFonts w:ascii="Times New Roman" w:eastAsia="Times New Roman" w:hAnsi="Times New Roman" w:cs="Times New Roman"/>
          <w:bCs/>
          <w:kern w:val="0"/>
          <w:sz w:val="22"/>
          <w:szCs w:val="22"/>
          <w14:ligatures w14:val="none"/>
        </w:rPr>
        <w:t>Veiklioji medžiaga yra acikloviras, kiekvienoje tabletėje jo yra 200 mg, 400 mg arba 800 mg.</w:t>
      </w:r>
    </w:p>
    <w:p w14:paraId="753D757E" w14:textId="2E547BA5" w:rsidR="00844554" w:rsidRPr="006A6184" w:rsidRDefault="00844554" w:rsidP="006A6184">
      <w:pPr>
        <w:pStyle w:val="ListParagraph"/>
        <w:numPr>
          <w:ilvl w:val="0"/>
          <w:numId w:val="14"/>
        </w:numPr>
        <w:autoSpaceDE w:val="0"/>
        <w:autoSpaceDN w:val="0"/>
        <w:adjustRightInd w:val="0"/>
        <w:spacing w:after="0" w:line="240" w:lineRule="auto"/>
        <w:ind w:left="567" w:hanging="283"/>
        <w:rPr>
          <w:rFonts w:ascii="Times New Roman" w:eastAsia="Times New Roman" w:hAnsi="Times New Roman" w:cs="Times New Roman"/>
          <w:bCs/>
          <w:kern w:val="0"/>
          <w:sz w:val="22"/>
          <w:szCs w:val="22"/>
          <w14:ligatures w14:val="none"/>
        </w:rPr>
      </w:pPr>
      <w:r w:rsidRPr="006A6184">
        <w:rPr>
          <w:rFonts w:ascii="Times New Roman" w:eastAsia="Times New Roman" w:hAnsi="Times New Roman" w:cs="Times New Roman"/>
          <w:bCs/>
          <w:kern w:val="0"/>
          <w:sz w:val="22"/>
          <w:szCs w:val="22"/>
          <w14:ligatures w14:val="none"/>
        </w:rPr>
        <w:t>Pagalbinės medžiagos yra mikrokristalinė celiuliozė (PH 101) (E460), karboksimetilkrakmolo A natrio druska, povidonas K</w:t>
      </w:r>
      <w:r w:rsidR="00DA4659">
        <w:rPr>
          <w:rFonts w:ascii="Times New Roman" w:eastAsia="Times New Roman" w:hAnsi="Times New Roman" w:cs="Times New Roman"/>
          <w:bCs/>
          <w:kern w:val="0"/>
          <w:sz w:val="22"/>
          <w:szCs w:val="22"/>
          <w14:ligatures w14:val="none"/>
        </w:rPr>
        <w:t>-30</w:t>
      </w:r>
      <w:r w:rsidRPr="006A6184">
        <w:rPr>
          <w:rFonts w:ascii="Times New Roman" w:eastAsia="Times New Roman" w:hAnsi="Times New Roman" w:cs="Times New Roman"/>
          <w:bCs/>
          <w:kern w:val="0"/>
          <w:sz w:val="22"/>
          <w:szCs w:val="22"/>
          <w14:ligatures w14:val="none"/>
        </w:rPr>
        <w:t>, magnio stearatas (E470b).</w:t>
      </w:r>
    </w:p>
    <w:p w14:paraId="51D15A95" w14:textId="77777777" w:rsidR="00844554" w:rsidRDefault="00844554" w:rsidP="00844554">
      <w:pPr>
        <w:tabs>
          <w:tab w:val="left" w:pos="567"/>
        </w:tabs>
        <w:spacing w:after="0" w:line="240" w:lineRule="auto"/>
        <w:ind w:left="540" w:hanging="540"/>
        <w:rPr>
          <w:rFonts w:ascii="Times New Roman" w:eastAsia="Times New Roman" w:hAnsi="Times New Roman" w:cs="Times New Roman"/>
          <w:b/>
          <w:bCs/>
          <w:kern w:val="0"/>
          <w:sz w:val="22"/>
          <w:szCs w:val="22"/>
          <w14:ligatures w14:val="none"/>
        </w:rPr>
      </w:pPr>
    </w:p>
    <w:p w14:paraId="42C65D2E" w14:textId="77777777" w:rsidR="00AC1BDB" w:rsidRPr="00844554" w:rsidRDefault="00AC1BDB" w:rsidP="00844554">
      <w:pPr>
        <w:tabs>
          <w:tab w:val="left" w:pos="567"/>
        </w:tabs>
        <w:spacing w:after="0" w:line="240" w:lineRule="auto"/>
        <w:ind w:left="540" w:hanging="540"/>
        <w:rPr>
          <w:rFonts w:ascii="Times New Roman" w:eastAsia="Times New Roman" w:hAnsi="Times New Roman" w:cs="Times New Roman"/>
          <w:b/>
          <w:bCs/>
          <w:kern w:val="0"/>
          <w:sz w:val="22"/>
          <w:szCs w:val="22"/>
          <w14:ligatures w14:val="none"/>
        </w:rPr>
      </w:pPr>
    </w:p>
    <w:p w14:paraId="678CF10D" w14:textId="3DA96843" w:rsidR="00844554" w:rsidRPr="00844554" w:rsidRDefault="00840D44" w:rsidP="00844554">
      <w:pPr>
        <w:tabs>
          <w:tab w:val="left" w:pos="567"/>
        </w:tabs>
        <w:spacing w:after="0" w:line="240" w:lineRule="auto"/>
        <w:ind w:left="540" w:hanging="54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bCs/>
          <w:kern w:val="0"/>
          <w:sz w:val="22"/>
          <w:szCs w:val="22"/>
          <w14:ligatures w14:val="none"/>
        </w:rPr>
        <w:t>Aciclovir toLife</w:t>
      </w:r>
      <w:r w:rsidR="00844554" w:rsidRPr="00844554">
        <w:rPr>
          <w:rFonts w:ascii="Times New Roman" w:eastAsia="Times New Roman" w:hAnsi="Times New Roman" w:cs="Times New Roman"/>
          <w:b/>
          <w:kern w:val="0"/>
          <w:sz w:val="22"/>
          <w:szCs w:val="22"/>
          <w14:ligatures w14:val="none"/>
        </w:rPr>
        <w:t xml:space="preserve"> išvaizda ir kiekis pakuotėje</w:t>
      </w:r>
    </w:p>
    <w:p w14:paraId="25086148" w14:textId="6BF8D307" w:rsidR="00844554" w:rsidRPr="00844554" w:rsidRDefault="00840D44" w:rsidP="00844554">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200 mg, 400 mg ir 800 mg tabletės supakuotos PVC/aliuminio lizdinėse plokštelėse.</w:t>
      </w:r>
    </w:p>
    <w:p w14:paraId="4D88CDAA"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1446C9AD" w14:textId="6975F77C" w:rsidR="00844554" w:rsidRPr="00844554" w:rsidRDefault="00840D44" w:rsidP="00844554">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Aciclovir toLife</w:t>
      </w:r>
      <w:r w:rsidR="00844554" w:rsidRPr="00844554">
        <w:rPr>
          <w:rFonts w:ascii="Times New Roman" w:eastAsia="Times New Roman" w:hAnsi="Times New Roman" w:cs="Times New Roman"/>
          <w:kern w:val="0"/>
          <w:sz w:val="22"/>
          <w:szCs w:val="22"/>
          <w14:ligatures w14:val="none"/>
        </w:rPr>
        <w:t xml:space="preserve"> tabletės tiekiamos kartoninėse dėžutėse, kuriose yra:</w:t>
      </w:r>
    </w:p>
    <w:p w14:paraId="7AB3C04B" w14:textId="24677529"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200 mg: 25 table</w:t>
      </w:r>
      <w:r w:rsidR="00871624">
        <w:rPr>
          <w:rFonts w:ascii="Times New Roman" w:eastAsia="Times New Roman" w:hAnsi="Times New Roman" w:cs="Times New Roman"/>
          <w:kern w:val="0"/>
          <w:sz w:val="22"/>
          <w:szCs w:val="22"/>
          <w14:ligatures w14:val="none"/>
        </w:rPr>
        <w:t>tės</w:t>
      </w:r>
      <w:r w:rsidRPr="00844554">
        <w:rPr>
          <w:rFonts w:ascii="Times New Roman" w:eastAsia="Times New Roman" w:hAnsi="Times New Roman" w:cs="Times New Roman"/>
          <w:kern w:val="0"/>
          <w:sz w:val="22"/>
          <w:szCs w:val="22"/>
          <w14:ligatures w14:val="none"/>
        </w:rPr>
        <w:t xml:space="preserve"> lizdinėse plokštelėse;</w:t>
      </w:r>
    </w:p>
    <w:p w14:paraId="5CE50444" w14:textId="56FBD1DE"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400 mg: 25</w:t>
      </w:r>
      <w:r w:rsidR="00871624">
        <w:rPr>
          <w:rFonts w:ascii="Times New Roman" w:eastAsia="Times New Roman" w:hAnsi="Times New Roman" w:cs="Times New Roman"/>
          <w:kern w:val="0"/>
          <w:sz w:val="22"/>
          <w:szCs w:val="22"/>
          <w14:ligatures w14:val="none"/>
        </w:rPr>
        <w:t xml:space="preserve"> </w:t>
      </w:r>
      <w:r w:rsidRPr="00844554">
        <w:rPr>
          <w:rFonts w:ascii="Times New Roman" w:eastAsia="Times New Roman" w:hAnsi="Times New Roman" w:cs="Times New Roman"/>
          <w:kern w:val="0"/>
          <w:sz w:val="22"/>
          <w:szCs w:val="22"/>
          <w14:ligatures w14:val="none"/>
        </w:rPr>
        <w:t>table</w:t>
      </w:r>
      <w:r w:rsidR="00871624">
        <w:rPr>
          <w:rFonts w:ascii="Times New Roman" w:eastAsia="Times New Roman" w:hAnsi="Times New Roman" w:cs="Times New Roman"/>
          <w:kern w:val="0"/>
          <w:sz w:val="22"/>
          <w:szCs w:val="22"/>
          <w14:ligatures w14:val="none"/>
        </w:rPr>
        <w:t>tės</w:t>
      </w:r>
      <w:r w:rsidRPr="00844554">
        <w:rPr>
          <w:rFonts w:ascii="Times New Roman" w:eastAsia="Times New Roman" w:hAnsi="Times New Roman" w:cs="Times New Roman"/>
          <w:kern w:val="0"/>
          <w:sz w:val="22"/>
          <w:szCs w:val="22"/>
          <w14:ligatures w14:val="none"/>
        </w:rPr>
        <w:t xml:space="preserve"> lizdinėse plokštelėse;</w:t>
      </w:r>
    </w:p>
    <w:p w14:paraId="58E18AD4" w14:textId="15AF1B4D"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r w:rsidRPr="00844554">
        <w:rPr>
          <w:rFonts w:ascii="Times New Roman" w:eastAsia="Times New Roman" w:hAnsi="Times New Roman" w:cs="Times New Roman"/>
          <w:kern w:val="0"/>
          <w:sz w:val="22"/>
          <w:szCs w:val="22"/>
          <w14:ligatures w14:val="none"/>
        </w:rPr>
        <w:t>800 mg: 35 tabletės lizdinėse plokštelėse.</w:t>
      </w:r>
    </w:p>
    <w:p w14:paraId="2AE5AD92" w14:textId="77777777" w:rsidR="00844554" w:rsidRP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6E090C58" w14:textId="48F8848A" w:rsidR="00844554" w:rsidRPr="00844554" w:rsidRDefault="00547EFC"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547EFC">
        <w:rPr>
          <w:rFonts w:ascii="Times New Roman" w:eastAsia="Times New Roman" w:hAnsi="Times New Roman" w:cs="Times New Roman"/>
          <w:bCs/>
          <w:kern w:val="0"/>
          <w:sz w:val="22"/>
          <w:szCs w:val="22"/>
          <w14:ligatures w14:val="none"/>
        </w:rPr>
        <w:t>Aciclovir toLife 200 mg tabletės yra baltos spalvos, apvalios, abipus išgaubtos. Vienoje pusėje įspausta „200“</w:t>
      </w:r>
      <w:r w:rsidR="00844554" w:rsidRPr="00844554">
        <w:rPr>
          <w:rFonts w:ascii="Times New Roman" w:eastAsia="Times New Roman" w:hAnsi="Times New Roman" w:cs="Times New Roman"/>
          <w:bCs/>
          <w:kern w:val="0"/>
          <w:sz w:val="22"/>
          <w:szCs w:val="22"/>
          <w14:ligatures w14:val="none"/>
        </w:rPr>
        <w:t>.</w:t>
      </w:r>
    </w:p>
    <w:p w14:paraId="59073B45" w14:textId="03638148" w:rsidR="00844554" w:rsidRPr="00844554" w:rsidRDefault="00547EFC"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547EFC">
        <w:rPr>
          <w:rFonts w:ascii="Times New Roman" w:eastAsia="Times New Roman" w:hAnsi="Times New Roman" w:cs="Times New Roman"/>
          <w:bCs/>
          <w:kern w:val="0"/>
          <w:sz w:val="22"/>
          <w:szCs w:val="22"/>
          <w14:ligatures w14:val="none"/>
        </w:rPr>
        <w:t>Aciclovir toLife 400 mg tabletės yra baltos spalvos, apvalios, abipus išgaubtos</w:t>
      </w:r>
      <w:r w:rsidR="00844554" w:rsidRPr="00844554">
        <w:rPr>
          <w:rFonts w:ascii="Times New Roman" w:eastAsia="Times New Roman" w:hAnsi="Times New Roman" w:cs="Times New Roman"/>
          <w:bCs/>
          <w:kern w:val="0"/>
          <w:sz w:val="22"/>
          <w:szCs w:val="22"/>
          <w14:ligatures w14:val="none"/>
        </w:rPr>
        <w:t>.</w:t>
      </w:r>
    </w:p>
    <w:p w14:paraId="0579B8A3" w14:textId="557D64B0" w:rsidR="00844554" w:rsidRPr="00844554" w:rsidRDefault="006A7E1A" w:rsidP="00844554">
      <w:pPr>
        <w:tabs>
          <w:tab w:val="left" w:pos="567"/>
        </w:tabs>
        <w:spacing w:after="0" w:line="240" w:lineRule="auto"/>
        <w:rPr>
          <w:rFonts w:ascii="Times New Roman" w:eastAsia="Times New Roman" w:hAnsi="Times New Roman" w:cs="Times New Roman"/>
          <w:bCs/>
          <w:kern w:val="0"/>
          <w:sz w:val="22"/>
          <w:szCs w:val="22"/>
          <w14:ligatures w14:val="none"/>
        </w:rPr>
      </w:pPr>
      <w:r w:rsidRPr="006A7E1A">
        <w:rPr>
          <w:rFonts w:ascii="Times New Roman" w:eastAsia="Times New Roman" w:hAnsi="Times New Roman" w:cs="Times New Roman"/>
          <w:bCs/>
          <w:kern w:val="0"/>
          <w:sz w:val="22"/>
          <w:szCs w:val="22"/>
          <w14:ligatures w14:val="none"/>
        </w:rPr>
        <w:t>Aciclovir toLife 800 mg tabletės yra baltos spalvos, pailgos, abipus išgaubtos, su vagele vienoje pusėje.</w:t>
      </w:r>
      <w:r w:rsidR="00844554" w:rsidRPr="00844554">
        <w:rPr>
          <w:rFonts w:ascii="Times New Roman" w:eastAsia="Times New Roman" w:hAnsi="Times New Roman" w:cs="Times New Roman"/>
          <w:bCs/>
          <w:kern w:val="0"/>
          <w:sz w:val="22"/>
          <w:szCs w:val="22"/>
          <w14:ligatures w14:val="none"/>
        </w:rPr>
        <w:t>.</w:t>
      </w:r>
    </w:p>
    <w:p w14:paraId="29ACEE47" w14:textId="77777777" w:rsidR="00844554" w:rsidRPr="00844554" w:rsidRDefault="00844554" w:rsidP="00844554">
      <w:pPr>
        <w:tabs>
          <w:tab w:val="left" w:pos="567"/>
        </w:tabs>
        <w:spacing w:after="0" w:line="240" w:lineRule="auto"/>
        <w:rPr>
          <w:rFonts w:ascii="Times New Roman" w:eastAsia="Times New Roman" w:hAnsi="Times New Roman" w:cs="Times New Roman"/>
          <w:bCs/>
          <w:kern w:val="0"/>
          <w:sz w:val="22"/>
          <w:szCs w:val="22"/>
          <w14:ligatures w14:val="none"/>
        </w:rPr>
      </w:pPr>
    </w:p>
    <w:p w14:paraId="6A3DE1F2" w14:textId="01018A83" w:rsidR="00844554" w:rsidRPr="00844554" w:rsidRDefault="00840D44" w:rsidP="00844554">
      <w:pPr>
        <w:tabs>
          <w:tab w:val="left" w:pos="567"/>
        </w:tab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Aciclovir toLife</w:t>
      </w:r>
      <w:r w:rsidR="00844554" w:rsidRPr="00844554">
        <w:rPr>
          <w:rFonts w:ascii="Times New Roman" w:eastAsia="Times New Roman" w:hAnsi="Times New Roman" w:cs="Times New Roman"/>
          <w:bCs/>
          <w:kern w:val="0"/>
          <w:sz w:val="22"/>
          <w:szCs w:val="22"/>
          <w14:ligatures w14:val="none"/>
        </w:rPr>
        <w:t xml:space="preserve"> 800 mg: Laužimo vagelė skirta tik tam, kad būtų lengviau perlaužti ir lengviau nuryti, o ne padalyti į lygias dozes.</w:t>
      </w:r>
    </w:p>
    <w:p w14:paraId="6311FE0B" w14:textId="77777777" w:rsid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2DFCCB1F" w14:textId="77777777" w:rsidR="006D0055" w:rsidRPr="00844554" w:rsidRDefault="006D0055"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73879F28" w14:textId="77777777" w:rsidR="006A6184" w:rsidRPr="006A6184" w:rsidRDefault="006A6184" w:rsidP="006A618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A6184">
        <w:rPr>
          <w:rFonts w:ascii="Times New Roman" w:eastAsia="Times New Roman" w:hAnsi="Times New Roman" w:cs="Times New Roman"/>
          <w:b/>
          <w:noProof/>
          <w:kern w:val="0"/>
          <w:sz w:val="22"/>
          <w:szCs w:val="22"/>
          <w14:ligatures w14:val="none"/>
        </w:rPr>
        <w:t>Registruotojas eksportuojančioje valstybėje ir gamintojas</w:t>
      </w:r>
    </w:p>
    <w:p w14:paraId="34F1AD5B"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6943E39"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A6184">
        <w:rPr>
          <w:rFonts w:ascii="Times New Roman" w:eastAsia="Aptos" w:hAnsi="Times New Roman" w:cs="Times New Roman"/>
          <w:b/>
          <w:color w:val="000000"/>
          <w:kern w:val="0"/>
          <w:sz w:val="22"/>
          <w:szCs w:val="22"/>
          <w14:ligatures w14:val="none"/>
        </w:rPr>
        <w:t>Registruotojas</w:t>
      </w:r>
    </w:p>
    <w:p w14:paraId="4A557DA8"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Towa Pharmaceutical, S.A.</w:t>
      </w:r>
    </w:p>
    <w:p w14:paraId="4CC28154"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Av. do Forte, 3, Edif. Suécia IV, Piso 0</w:t>
      </w:r>
    </w:p>
    <w:p w14:paraId="5CE8518D"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2794-093 Carnaxide</w:t>
      </w:r>
    </w:p>
    <w:p w14:paraId="7023D317" w14:textId="578D667D"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Portugalija</w:t>
      </w:r>
    </w:p>
    <w:p w14:paraId="29661703"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C8D9918"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A6184">
        <w:rPr>
          <w:rFonts w:ascii="Times New Roman" w:eastAsia="Aptos" w:hAnsi="Times New Roman" w:cs="Times New Roman"/>
          <w:b/>
          <w:color w:val="000000"/>
          <w:kern w:val="0"/>
          <w:sz w:val="22"/>
          <w:szCs w:val="22"/>
          <w14:ligatures w14:val="none"/>
        </w:rPr>
        <w:t>Gamintojas</w:t>
      </w:r>
    </w:p>
    <w:p w14:paraId="282B3184"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Zakłady Farmaceutyczne Polpharma S.A.</w:t>
      </w:r>
    </w:p>
    <w:p w14:paraId="1C176BA6"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(Pharmaceutical Works Polpharma S.A.)</w:t>
      </w:r>
    </w:p>
    <w:p w14:paraId="498978D9"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19 Pelplińska Str.</w:t>
      </w:r>
    </w:p>
    <w:p w14:paraId="39EE09DA"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83-200 Starogard Gdański</w:t>
      </w:r>
    </w:p>
    <w:p w14:paraId="6F3700BD" w14:textId="7BFCD50C"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A6184">
        <w:rPr>
          <w:rFonts w:ascii="Times New Roman" w:eastAsia="Aptos" w:hAnsi="Times New Roman" w:cs="Times New Roman"/>
          <w:bCs/>
          <w:color w:val="000000"/>
          <w:kern w:val="0"/>
          <w:sz w:val="22"/>
          <w:szCs w:val="22"/>
          <w14:ligatures w14:val="none"/>
        </w:rPr>
        <w:t>Lenkija</w:t>
      </w:r>
    </w:p>
    <w:p w14:paraId="2C243664" w14:textId="77777777" w:rsidR="006A6184" w:rsidRPr="006A6184" w:rsidRDefault="006A6184" w:rsidP="006A618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4476B2E" w14:textId="77777777" w:rsidR="006A6184" w:rsidRPr="006A6184" w:rsidRDefault="006A6184" w:rsidP="006A618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Aptos" w:hAnsi="Times New Roman" w:cs="Times New Roman"/>
          <w:b/>
          <w:color w:val="000000"/>
          <w:kern w:val="0"/>
          <w:sz w:val="22"/>
          <w:szCs w:val="22"/>
          <w14:ligatures w14:val="none"/>
        </w:rPr>
        <w:t xml:space="preserve">Lygiagretus importuotojas </w:t>
      </w:r>
      <w:r w:rsidRPr="006A6184">
        <w:rPr>
          <w:rFonts w:ascii="Times New Roman" w:eastAsia="Aptos" w:hAnsi="Times New Roman" w:cs="Times New Roman"/>
          <w:b/>
          <w:color w:val="000000"/>
          <w:kern w:val="0"/>
          <w:sz w:val="22"/>
          <w:szCs w:val="22"/>
          <w14:ligatures w14:val="none"/>
        </w:rPr>
        <w:br/>
      </w:r>
      <w:r w:rsidRPr="006A6184">
        <w:rPr>
          <w:rFonts w:ascii="Times New Roman" w:eastAsia="TimesNewRoman" w:hAnsi="Times New Roman" w:cs="Times New Roman"/>
          <w:color w:val="000000"/>
          <w:kern w:val="0"/>
          <w:sz w:val="22"/>
          <w:szCs w:val="22"/>
          <w14:ligatures w14:val="none"/>
        </w:rPr>
        <w:t>UAB „Niromed“</w:t>
      </w:r>
      <w:r w:rsidRPr="006A6184">
        <w:rPr>
          <w:rFonts w:ascii="Times New Roman" w:eastAsia="Aptos" w:hAnsi="Times New Roman" w:cs="Times New Roman"/>
          <w:b/>
          <w:color w:val="000000"/>
          <w:kern w:val="0"/>
          <w:sz w:val="22"/>
          <w:szCs w:val="22"/>
          <w14:ligatures w14:val="none"/>
        </w:rPr>
        <w:br/>
      </w:r>
      <w:r w:rsidRPr="006A6184">
        <w:rPr>
          <w:rFonts w:ascii="Times New Roman" w:eastAsia="TimesNewRoman" w:hAnsi="Times New Roman" w:cs="Times New Roman"/>
          <w:color w:val="000000"/>
          <w:kern w:val="0"/>
          <w:sz w:val="22"/>
          <w:szCs w:val="22"/>
          <w14:ligatures w14:val="none"/>
        </w:rPr>
        <w:t>Žirmūnų g. 139A</w:t>
      </w:r>
      <w:r w:rsidRPr="006A6184">
        <w:rPr>
          <w:rFonts w:ascii="Times New Roman" w:eastAsia="Aptos" w:hAnsi="Times New Roman" w:cs="Times New Roman"/>
          <w:b/>
          <w:color w:val="000000"/>
          <w:kern w:val="0"/>
          <w:sz w:val="22"/>
          <w:szCs w:val="22"/>
          <w14:ligatures w14:val="none"/>
        </w:rPr>
        <w:br/>
      </w:r>
      <w:r w:rsidRPr="006A6184">
        <w:rPr>
          <w:rFonts w:ascii="Times New Roman" w:eastAsia="TimesNewRoman" w:hAnsi="Times New Roman" w:cs="Times New Roman"/>
          <w:color w:val="000000"/>
          <w:kern w:val="0"/>
          <w:sz w:val="22"/>
          <w:szCs w:val="22"/>
          <w14:ligatures w14:val="none"/>
        </w:rPr>
        <w:t>LT-09120 Vilnius</w:t>
      </w:r>
      <w:r w:rsidRPr="006A6184">
        <w:rPr>
          <w:rFonts w:ascii="Times New Roman" w:eastAsia="TimesNewRoman" w:hAnsi="Times New Roman" w:cs="Times New Roman"/>
          <w:color w:val="000000"/>
          <w:kern w:val="0"/>
          <w:sz w:val="22"/>
          <w:szCs w:val="22"/>
          <w14:ligatures w14:val="none"/>
        </w:rPr>
        <w:br/>
        <w:t>Lietuva</w:t>
      </w:r>
    </w:p>
    <w:p w14:paraId="42E776D0" w14:textId="77777777" w:rsidR="006A6184" w:rsidRPr="006A6184" w:rsidRDefault="006A6184" w:rsidP="006A618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4C5DEC2" w14:textId="77777777" w:rsidR="006A6184" w:rsidRPr="006A6184" w:rsidRDefault="006A6184" w:rsidP="006A618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A6184">
        <w:rPr>
          <w:rFonts w:ascii="Times New Roman" w:eastAsia="Times New Roman" w:hAnsi="Times New Roman" w:cs="Times New Roman"/>
          <w:b/>
          <w:bCs/>
          <w:kern w:val="0"/>
          <w:sz w:val="22"/>
          <w:szCs w:val="22"/>
          <w14:ligatures w14:val="none"/>
        </w:rPr>
        <w:t>Perpakavo</w:t>
      </w:r>
    </w:p>
    <w:p w14:paraId="75FF801B"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LABOR Przedsiębiorstwo Farmaceutyczno-Chemiczne sp. z o.o.</w:t>
      </w:r>
    </w:p>
    <w:p w14:paraId="65E27E86"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Ul. Długosza 49,</w:t>
      </w:r>
    </w:p>
    <w:p w14:paraId="3D1CB81E"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51-162 Wrocław,</w:t>
      </w:r>
    </w:p>
    <w:p w14:paraId="11D01DC9"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Lenkija</w:t>
      </w:r>
    </w:p>
    <w:p w14:paraId="7813550C"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8B2B3EF"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arba</w:t>
      </w:r>
    </w:p>
    <w:p w14:paraId="1AAD93FF" w14:textId="77777777" w:rsidR="006A6184" w:rsidRPr="006A6184" w:rsidRDefault="006A6184" w:rsidP="006A618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0134BA5" w14:textId="77777777" w:rsidR="006A6184" w:rsidRPr="006A6184" w:rsidRDefault="006A6184" w:rsidP="006A618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UAB „Entafarma“</w:t>
      </w:r>
    </w:p>
    <w:p w14:paraId="4F49C0A6" w14:textId="77777777" w:rsidR="006A6184" w:rsidRPr="006A6184" w:rsidRDefault="006A6184" w:rsidP="006A618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Klonėnų vs. 1,</w:t>
      </w:r>
    </w:p>
    <w:p w14:paraId="5B7073A0" w14:textId="77777777" w:rsidR="006A6184" w:rsidRPr="006A6184" w:rsidRDefault="006A6184" w:rsidP="006A618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A6184">
        <w:rPr>
          <w:rFonts w:ascii="Times New Roman" w:eastAsia="TimesNewRoman" w:hAnsi="Times New Roman" w:cs="Times New Roman"/>
          <w:color w:val="000000"/>
          <w:kern w:val="0"/>
          <w:sz w:val="22"/>
          <w:szCs w:val="22"/>
          <w14:ligatures w14:val="none"/>
        </w:rPr>
        <w:t>LT-19156 Širvintų r. sav.</w:t>
      </w:r>
    </w:p>
    <w:p w14:paraId="04109A5E" w14:textId="77777777" w:rsidR="006A6184" w:rsidRPr="006A6184" w:rsidRDefault="006A6184" w:rsidP="006A6184">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6A6184">
        <w:rPr>
          <w:rFonts w:ascii="Times New Roman" w:eastAsia="TimesNewRoman" w:hAnsi="Times New Roman" w:cs="Times New Roman"/>
          <w:color w:val="000000"/>
          <w:kern w:val="0"/>
          <w:sz w:val="22"/>
          <w:szCs w:val="22"/>
          <w14:ligatures w14:val="none"/>
        </w:rPr>
        <w:t>Lietuva</w:t>
      </w:r>
    </w:p>
    <w:p w14:paraId="0BD370DA" w14:textId="77777777" w:rsidR="00844554" w:rsidRDefault="00844554" w:rsidP="00844554">
      <w:pPr>
        <w:tabs>
          <w:tab w:val="left" w:pos="567"/>
        </w:tabs>
        <w:spacing w:after="0" w:line="240" w:lineRule="auto"/>
        <w:rPr>
          <w:rFonts w:ascii="Times New Roman" w:eastAsia="Times New Roman" w:hAnsi="Times New Roman" w:cs="Times New Roman"/>
          <w:kern w:val="0"/>
          <w:sz w:val="22"/>
          <w:szCs w:val="22"/>
          <w14:ligatures w14:val="none"/>
        </w:rPr>
      </w:pPr>
    </w:p>
    <w:p w14:paraId="499D1890" w14:textId="7CDD6E27" w:rsidR="00844554" w:rsidRPr="00844554" w:rsidRDefault="00844554" w:rsidP="00844554">
      <w:pPr>
        <w:tabs>
          <w:tab w:val="left" w:pos="567"/>
        </w:tabs>
        <w:spacing w:after="0" w:line="240" w:lineRule="auto"/>
        <w:rPr>
          <w:rFonts w:ascii="Times New Roman" w:eastAsia="Times New Roman" w:hAnsi="Times New Roman" w:cs="Times New Roman"/>
          <w:b/>
          <w:kern w:val="0"/>
          <w:sz w:val="22"/>
          <w:szCs w:val="22"/>
          <w14:ligatures w14:val="none"/>
        </w:rPr>
      </w:pPr>
      <w:r w:rsidRPr="00844554">
        <w:rPr>
          <w:rFonts w:ascii="Times New Roman" w:eastAsia="Times New Roman" w:hAnsi="Times New Roman" w:cs="Times New Roman"/>
          <w:b/>
          <w:kern w:val="0"/>
          <w:sz w:val="22"/>
          <w:szCs w:val="22"/>
          <w14:ligatures w14:val="none"/>
        </w:rPr>
        <w:t xml:space="preserve">Šis pakuotės lapelis paskutinį kartą peržiūrėtas </w:t>
      </w:r>
      <w:r w:rsidR="00E54686">
        <w:rPr>
          <w:rFonts w:ascii="Times New Roman" w:eastAsia="Times New Roman" w:hAnsi="Times New Roman" w:cs="Times New Roman"/>
          <w:b/>
          <w:kern w:val="0"/>
          <w:sz w:val="22"/>
          <w:szCs w:val="22"/>
          <w14:ligatures w14:val="none"/>
        </w:rPr>
        <w:t>2025-10-03</w:t>
      </w:r>
      <w:bookmarkStart w:id="1" w:name="_GoBack"/>
      <w:bookmarkEnd w:id="1"/>
    </w:p>
    <w:p w14:paraId="2AC41D16" w14:textId="77777777" w:rsidR="00844554" w:rsidRPr="00844554" w:rsidRDefault="00844554" w:rsidP="00844554">
      <w:pPr>
        <w:tabs>
          <w:tab w:val="left" w:pos="567"/>
        </w:tabs>
        <w:spacing w:after="0" w:line="240" w:lineRule="auto"/>
        <w:rPr>
          <w:rFonts w:ascii="Times New Roman" w:eastAsia="Times New Roman" w:hAnsi="Times New Roman" w:cs="Times New Roman"/>
          <w:i/>
          <w:kern w:val="0"/>
          <w:sz w:val="22"/>
          <w:szCs w:val="22"/>
          <w14:ligatures w14:val="none"/>
        </w:rPr>
      </w:pPr>
    </w:p>
    <w:p w14:paraId="04C7BD1F" w14:textId="173E7D29" w:rsidR="00D02D26" w:rsidRDefault="00D02D26" w:rsidP="00D02D26">
      <w:pPr>
        <w:spacing w:after="0" w:line="240" w:lineRule="auto"/>
        <w:rPr>
          <w:rFonts w:ascii="Times New Roman" w:eastAsia="Times New Roman" w:hAnsi="Times New Roman" w:cs="Times New Roman"/>
          <w:kern w:val="0"/>
          <w:sz w:val="22"/>
          <w:szCs w:val="20"/>
          <w:lang w:eastAsia="lt-LT" w:bidi="lt-LT"/>
          <w14:ligatures w14:val="none"/>
        </w:rPr>
      </w:pPr>
      <w:r w:rsidRPr="00D02D2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D02D26">
          <w:rPr>
            <w:rStyle w:val="Hyperlink"/>
            <w:rFonts w:ascii="Times New Roman" w:eastAsia="Times New Roman" w:hAnsi="Times New Roman" w:cs="Times New Roman"/>
            <w:kern w:val="0"/>
            <w:sz w:val="22"/>
            <w:szCs w:val="20"/>
            <w:lang w:eastAsia="lt-LT" w:bidi="lt-LT"/>
            <w14:ligatures w14:val="none"/>
          </w:rPr>
          <w:t>https://vvkt.lrv.lt/lt/</w:t>
        </w:r>
      </w:hyperlink>
      <w:r w:rsidRPr="00D02D26">
        <w:rPr>
          <w:rFonts w:ascii="Times New Roman" w:eastAsia="Times New Roman" w:hAnsi="Times New Roman" w:cs="Times New Roman"/>
          <w:kern w:val="0"/>
          <w:sz w:val="22"/>
          <w:szCs w:val="20"/>
          <w:lang w:eastAsia="lt-LT" w:bidi="lt-LT"/>
          <w14:ligatures w14:val="none"/>
        </w:rPr>
        <w:t>.</w:t>
      </w:r>
    </w:p>
    <w:p w14:paraId="7FCD12CC" w14:textId="77777777" w:rsidR="00D02D26" w:rsidRDefault="00D02D26" w:rsidP="00D02D26">
      <w:pPr>
        <w:spacing w:after="0" w:line="240" w:lineRule="auto"/>
        <w:rPr>
          <w:rFonts w:ascii="Times New Roman" w:eastAsia="Times New Roman" w:hAnsi="Times New Roman" w:cs="Times New Roman"/>
          <w:kern w:val="0"/>
          <w:sz w:val="22"/>
          <w:szCs w:val="20"/>
          <w:lang w:eastAsia="lt-LT" w:bidi="lt-LT"/>
          <w14:ligatures w14:val="none"/>
        </w:rPr>
      </w:pPr>
    </w:p>
    <w:p w14:paraId="04DF7EAE"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Aciclovir toLife 200 mg tabletės</w:t>
      </w:r>
    </w:p>
    <w:p w14:paraId="0D0B8D4A"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Lygiagrečiai importuojamas vaistas nuo referencinio vaisto skiriasi išvaizda: referencinio vaisto tablečių vienoje pusėje įspausta „LG1“, lygiagrečiai importuojamo vaisto tablečių vienoje pusėje įspausta „200“; pagalbinėmis medžiagomis: referencinio vaisto sudėtyje yra povidonas K25 (E1201), bevandenis koloidinis silicio dioksidas, lygiagrečiai importuojamo vaisto sudėtyje yra povidonas K-30; laikymo sąlygomis: referenciniam vaistui specialių laikymo sąlygų nereikia, lygiagrečiai importuojamą laikyti ne aukštesnėje kaip 30 ºC temperatūroje.</w:t>
      </w:r>
    </w:p>
    <w:p w14:paraId="0F380C94" w14:textId="77777777" w:rsidR="006D0055" w:rsidRPr="006D0055" w:rsidRDefault="006D0055" w:rsidP="006D0055">
      <w:pPr>
        <w:spacing w:line="259" w:lineRule="auto"/>
        <w:rPr>
          <w:rFonts w:ascii="Times New Roman" w:eastAsia="Aptos" w:hAnsi="Times New Roman" w:cs="Times New Roman"/>
          <w:i/>
          <w:iCs/>
          <w:sz w:val="22"/>
          <w:szCs w:val="22"/>
        </w:rPr>
      </w:pPr>
    </w:p>
    <w:p w14:paraId="7447422F"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Aciclovir toLife 400 mg tabletės</w:t>
      </w:r>
    </w:p>
    <w:p w14:paraId="6CC2FCA8"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Lygiagrečiai importuojamas vaistas nuo referencinio vaisto skiriasi išvaizda: referencinio vaisto tablečių vienoje pusėje įspausta „LG“ virš ir „2“ po laužimo vagele; pagalbinėmis medžiagomis: referencinio vaisto sudėtyje yra povidonas K25 (E1201), bevandenis koloidinis silicio dioksidas, lygiagrečiai importuojamo vaisto sudėtyje yra povidonas K-30; laikymo sąlygomis: referenciniam vaistui specialių laikymo sąlygų nereikia, lygiagrečiai importuojamą laikyti ne aukštesnėje kaip 30 ºC temperatūroje.</w:t>
      </w:r>
    </w:p>
    <w:p w14:paraId="0F63B557" w14:textId="77777777" w:rsidR="006D0055" w:rsidRPr="006D0055" w:rsidRDefault="006D0055" w:rsidP="006D0055">
      <w:pPr>
        <w:spacing w:line="259" w:lineRule="auto"/>
        <w:rPr>
          <w:rFonts w:ascii="Times New Roman" w:eastAsia="Aptos" w:hAnsi="Times New Roman" w:cs="Times New Roman"/>
          <w:i/>
          <w:iCs/>
          <w:sz w:val="22"/>
          <w:szCs w:val="22"/>
        </w:rPr>
      </w:pPr>
    </w:p>
    <w:p w14:paraId="7F308B44" w14:textId="77777777" w:rsidR="006D0055" w:rsidRPr="006D0055" w:rsidRDefault="006D0055" w:rsidP="006D0055">
      <w:pPr>
        <w:spacing w:line="259" w:lineRule="auto"/>
        <w:rPr>
          <w:rFonts w:ascii="Times New Roman" w:eastAsia="Aptos" w:hAnsi="Times New Roman" w:cs="Times New Roman"/>
          <w:i/>
          <w:iCs/>
          <w:sz w:val="22"/>
          <w:szCs w:val="22"/>
        </w:rPr>
      </w:pPr>
      <w:r w:rsidRPr="006D0055">
        <w:rPr>
          <w:rFonts w:ascii="Times New Roman" w:eastAsia="Aptos" w:hAnsi="Times New Roman" w:cs="Times New Roman"/>
          <w:i/>
          <w:iCs/>
          <w:sz w:val="22"/>
          <w:szCs w:val="22"/>
        </w:rPr>
        <w:t>Aciclovir toLife 800 mg tabletės</w:t>
      </w:r>
    </w:p>
    <w:p w14:paraId="21299212" w14:textId="2A85CED0" w:rsidR="00AC1BDB" w:rsidRPr="006D0055" w:rsidRDefault="006D0055" w:rsidP="006D0055">
      <w:pPr>
        <w:spacing w:line="259" w:lineRule="auto"/>
        <w:rPr>
          <w:rFonts w:ascii="Times New Roman" w:eastAsia="Aptos" w:hAnsi="Times New Roman" w:cs="Times New Roman"/>
          <w:sz w:val="22"/>
          <w:szCs w:val="22"/>
        </w:rPr>
      </w:pPr>
      <w:r w:rsidRPr="006D0055">
        <w:rPr>
          <w:rFonts w:ascii="Times New Roman" w:eastAsia="Aptos" w:hAnsi="Times New Roman" w:cs="Times New Roman"/>
          <w:i/>
          <w:iCs/>
          <w:sz w:val="22"/>
          <w:szCs w:val="22"/>
        </w:rPr>
        <w:t>Lygiagrečiai importuojamas vaistas nuo referencinio vaisto skiriasi išvaizda: referencinio vaisto tablečių vienoje pusėje abipus laužimo vagelės įspausta „LG“ ir „3“; pagalbinėmis medžiagomis: referencinio vaisto sudėtyje yra povidonas K25 (E1201), bevandenis koloidinis silicio dioksidas, lygiagrečiai importuojamo vaisto sudėtyje yra povidonas K-30; laikymo sąlygomis: referenciniam vaistui specialių laikymo sąlygų nereikia, lygiagrečiai importuojamą laikyti ne aukštesnėje kaip 30 ºC temperatūroje.</w:t>
      </w:r>
    </w:p>
    <w:sectPr w:rsidR="00AC1BDB" w:rsidRPr="006D0055" w:rsidSect="00844554">
      <w:footerReference w:type="even" r:id="rId9"/>
      <w:footerReference w:type="default" r:id="rId10"/>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F9992" w14:textId="77777777" w:rsidR="00604F12" w:rsidRDefault="00604F12">
      <w:pPr>
        <w:spacing w:after="0" w:line="240" w:lineRule="auto"/>
      </w:pPr>
      <w:r>
        <w:separator/>
      </w:r>
    </w:p>
  </w:endnote>
  <w:endnote w:type="continuationSeparator" w:id="0">
    <w:p w14:paraId="485966F1" w14:textId="77777777" w:rsidR="00604F12" w:rsidRDefault="0060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MS Mincho"/>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23FB9" w14:textId="77777777" w:rsidR="005D4379" w:rsidRDefault="005D4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E389D4" w14:textId="77777777" w:rsidR="005D4379" w:rsidRDefault="005D4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44B6F" w14:textId="77777777" w:rsidR="005D4379" w:rsidRDefault="005D4379">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Pr>
        <w:rStyle w:val="PageNumber"/>
        <w:rFonts w:ascii="Arial" w:hAnsi="Arial" w:cs="Arial"/>
        <w:noProof/>
        <w:sz w:val="16"/>
      </w:rPr>
      <w:t>26</w:t>
    </w:r>
    <w:r>
      <w:rPr>
        <w:rStyle w:val="PageNumber"/>
        <w:rFonts w:ascii="Arial" w:hAnsi="Arial" w:cs="Arial"/>
        <w:sz w:val="16"/>
      </w:rPr>
      <w:fldChar w:fldCharType="end"/>
    </w:r>
  </w:p>
  <w:p w14:paraId="716E9F5D" w14:textId="77777777" w:rsidR="005D4379" w:rsidRDefault="005D4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8A9D8" w14:textId="77777777" w:rsidR="00604F12" w:rsidRDefault="00604F12">
      <w:pPr>
        <w:spacing w:after="0" w:line="240" w:lineRule="auto"/>
      </w:pPr>
      <w:r>
        <w:separator/>
      </w:r>
    </w:p>
  </w:footnote>
  <w:footnote w:type="continuationSeparator" w:id="0">
    <w:p w14:paraId="1D657964" w14:textId="77777777" w:rsidR="00604F12" w:rsidRDefault="00604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2414"/>
    <w:multiLevelType w:val="hybridMultilevel"/>
    <w:tmpl w:val="9FFC128C"/>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76EC"/>
    <w:multiLevelType w:val="hybridMultilevel"/>
    <w:tmpl w:val="089EF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302968"/>
    <w:multiLevelType w:val="hybridMultilevel"/>
    <w:tmpl w:val="69DC8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901FF4"/>
    <w:multiLevelType w:val="hybridMultilevel"/>
    <w:tmpl w:val="04FEE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112E62"/>
    <w:multiLevelType w:val="hybridMultilevel"/>
    <w:tmpl w:val="5C70BE94"/>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2E9431D7"/>
    <w:multiLevelType w:val="hybridMultilevel"/>
    <w:tmpl w:val="A9F6DB12"/>
    <w:lvl w:ilvl="0" w:tplc="81DA0A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5D162E"/>
    <w:multiLevelType w:val="hybridMultilevel"/>
    <w:tmpl w:val="4934B8AE"/>
    <w:lvl w:ilvl="0" w:tplc="81DA0A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CA0F44"/>
    <w:multiLevelType w:val="hybridMultilevel"/>
    <w:tmpl w:val="DA0CB7A4"/>
    <w:lvl w:ilvl="0" w:tplc="C868E38A">
      <w:start w:val="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6A1882"/>
    <w:multiLevelType w:val="hybridMultilevel"/>
    <w:tmpl w:val="170440F4"/>
    <w:lvl w:ilvl="0" w:tplc="C304F8E6">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CD309E"/>
    <w:multiLevelType w:val="hybridMultilevel"/>
    <w:tmpl w:val="AFB2A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3C7C54"/>
    <w:multiLevelType w:val="hybridMultilevel"/>
    <w:tmpl w:val="EF5C4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614644"/>
    <w:multiLevelType w:val="hybridMultilevel"/>
    <w:tmpl w:val="B2F2806A"/>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EC3248"/>
    <w:multiLevelType w:val="hybridMultilevel"/>
    <w:tmpl w:val="ACEC64FA"/>
    <w:lvl w:ilvl="0" w:tplc="04270001">
      <w:start w:val="1"/>
      <w:numFmt w:val="bullet"/>
      <w:lvlText w:val=""/>
      <w:lvlJc w:val="left"/>
      <w:pPr>
        <w:ind w:left="720" w:hanging="360"/>
      </w:pPr>
      <w:rPr>
        <w:rFonts w:ascii="Symbol" w:hAnsi="Symbol" w:hint="default"/>
      </w:rPr>
    </w:lvl>
    <w:lvl w:ilvl="1" w:tplc="6BA8770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A360A8"/>
    <w:multiLevelType w:val="hybridMultilevel"/>
    <w:tmpl w:val="95846792"/>
    <w:lvl w:ilvl="0" w:tplc="FFFFFFFF">
      <w:start w:val="1"/>
      <w:numFmt w:val="bullet"/>
      <w:lvlText w:val="­"/>
      <w:lvlJc w:val="left"/>
      <w:pPr>
        <w:ind w:left="720" w:hanging="360"/>
      </w:pPr>
      <w:rPr>
        <w:rFonts w:ascii="Times New Roman" w:hAnsi="Times New Roman" w:cs="Times New Roman" w:hint="default"/>
        <w:b w:val="0"/>
        <w:i w:val="0"/>
        <w:sz w:val="24"/>
        <w:szCs w:val="24"/>
      </w:rPr>
    </w:lvl>
    <w:lvl w:ilvl="1" w:tplc="494A0656">
      <w:start w:val="1"/>
      <w:numFmt w:val="bullet"/>
      <w:lvlText w:val="­"/>
      <w:lvlJc w:val="left"/>
      <w:pPr>
        <w:ind w:left="720" w:hanging="360"/>
      </w:pPr>
      <w:rPr>
        <w:rFonts w:ascii="Times New Roman" w:hAnsi="Times New Roman" w:cs="Times New Roman" w:hint="default"/>
        <w:b w:val="0"/>
        <w:i w:val="0"/>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B07EA"/>
    <w:multiLevelType w:val="hybridMultilevel"/>
    <w:tmpl w:val="887A31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CC6813"/>
    <w:multiLevelType w:val="hybridMultilevel"/>
    <w:tmpl w:val="AC68A18E"/>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221B3E"/>
    <w:multiLevelType w:val="hybridMultilevel"/>
    <w:tmpl w:val="2B001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B316075"/>
    <w:multiLevelType w:val="hybridMultilevel"/>
    <w:tmpl w:val="69EE6E2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7"/>
  </w:num>
  <w:num w:numId="5">
    <w:abstractNumId w:val="12"/>
  </w:num>
  <w:num w:numId="6">
    <w:abstractNumId w:val="1"/>
  </w:num>
  <w:num w:numId="7">
    <w:abstractNumId w:val="9"/>
  </w:num>
  <w:num w:numId="8">
    <w:abstractNumId w:val="2"/>
  </w:num>
  <w:num w:numId="9">
    <w:abstractNumId w:val="11"/>
  </w:num>
  <w:num w:numId="10">
    <w:abstractNumId w:val="15"/>
  </w:num>
  <w:num w:numId="11">
    <w:abstractNumId w:val="10"/>
  </w:num>
  <w:num w:numId="12">
    <w:abstractNumId w:val="13"/>
  </w:num>
  <w:num w:numId="13">
    <w:abstractNumId w:val="3"/>
  </w:num>
  <w:num w:numId="14">
    <w:abstractNumId w:val="6"/>
  </w:num>
  <w:num w:numId="15">
    <w:abstractNumId w:val="14"/>
  </w:num>
  <w:num w:numId="16">
    <w:abstractNumId w:val="8"/>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1A"/>
    <w:rsid w:val="000211BD"/>
    <w:rsid w:val="00090DCA"/>
    <w:rsid w:val="000E75BE"/>
    <w:rsid w:val="00107FF1"/>
    <w:rsid w:val="001D2E31"/>
    <w:rsid w:val="002002B3"/>
    <w:rsid w:val="00231C85"/>
    <w:rsid w:val="002F6F87"/>
    <w:rsid w:val="004D4C8C"/>
    <w:rsid w:val="00547EFC"/>
    <w:rsid w:val="005A0F09"/>
    <w:rsid w:val="005D4379"/>
    <w:rsid w:val="00604F12"/>
    <w:rsid w:val="006A6184"/>
    <w:rsid w:val="006A7E1A"/>
    <w:rsid w:val="006D0055"/>
    <w:rsid w:val="00840D44"/>
    <w:rsid w:val="00844554"/>
    <w:rsid w:val="008616EC"/>
    <w:rsid w:val="00871624"/>
    <w:rsid w:val="009377AD"/>
    <w:rsid w:val="00AC1BDB"/>
    <w:rsid w:val="00B41B52"/>
    <w:rsid w:val="00CD5F1A"/>
    <w:rsid w:val="00D02D26"/>
    <w:rsid w:val="00DA4659"/>
    <w:rsid w:val="00E54686"/>
    <w:rsid w:val="00ED4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CC8A"/>
  <w15:chartTrackingRefBased/>
  <w15:docId w15:val="{4C82D3D4-75C1-42B1-9862-36129F90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5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F1A"/>
    <w:rPr>
      <w:rFonts w:eastAsiaTheme="majorEastAsia" w:cstheme="majorBidi"/>
      <w:color w:val="272727" w:themeColor="text1" w:themeTint="D8"/>
    </w:rPr>
  </w:style>
  <w:style w:type="paragraph" w:styleId="Title">
    <w:name w:val="Title"/>
    <w:basedOn w:val="Normal"/>
    <w:next w:val="Normal"/>
    <w:link w:val="TitleChar"/>
    <w:uiPriority w:val="10"/>
    <w:qFormat/>
    <w:rsid w:val="00CD5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F1A"/>
    <w:pPr>
      <w:spacing w:before="160"/>
      <w:jc w:val="center"/>
    </w:pPr>
    <w:rPr>
      <w:i/>
      <w:iCs/>
      <w:color w:val="404040" w:themeColor="text1" w:themeTint="BF"/>
    </w:rPr>
  </w:style>
  <w:style w:type="character" w:customStyle="1" w:styleId="QuoteChar">
    <w:name w:val="Quote Char"/>
    <w:basedOn w:val="DefaultParagraphFont"/>
    <w:link w:val="Quote"/>
    <w:uiPriority w:val="29"/>
    <w:rsid w:val="00CD5F1A"/>
    <w:rPr>
      <w:i/>
      <w:iCs/>
      <w:color w:val="404040" w:themeColor="text1" w:themeTint="BF"/>
    </w:rPr>
  </w:style>
  <w:style w:type="paragraph" w:styleId="ListParagraph">
    <w:name w:val="List Paragraph"/>
    <w:basedOn w:val="Normal"/>
    <w:uiPriority w:val="34"/>
    <w:qFormat/>
    <w:rsid w:val="00CD5F1A"/>
    <w:pPr>
      <w:ind w:left="720"/>
      <w:contextualSpacing/>
    </w:pPr>
  </w:style>
  <w:style w:type="character" w:styleId="IntenseEmphasis">
    <w:name w:val="Intense Emphasis"/>
    <w:basedOn w:val="DefaultParagraphFont"/>
    <w:uiPriority w:val="21"/>
    <w:qFormat/>
    <w:rsid w:val="00CD5F1A"/>
    <w:rPr>
      <w:i/>
      <w:iCs/>
      <w:color w:val="0F4761" w:themeColor="accent1" w:themeShade="BF"/>
    </w:rPr>
  </w:style>
  <w:style w:type="paragraph" w:styleId="IntenseQuote">
    <w:name w:val="Intense Quote"/>
    <w:basedOn w:val="Normal"/>
    <w:next w:val="Normal"/>
    <w:link w:val="IntenseQuoteChar"/>
    <w:uiPriority w:val="30"/>
    <w:qFormat/>
    <w:rsid w:val="00CD5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F1A"/>
    <w:rPr>
      <w:i/>
      <w:iCs/>
      <w:color w:val="0F4761" w:themeColor="accent1" w:themeShade="BF"/>
    </w:rPr>
  </w:style>
  <w:style w:type="character" w:styleId="IntenseReference">
    <w:name w:val="Intense Reference"/>
    <w:basedOn w:val="DefaultParagraphFont"/>
    <w:uiPriority w:val="32"/>
    <w:qFormat/>
    <w:rsid w:val="00CD5F1A"/>
    <w:rPr>
      <w:b/>
      <w:bCs/>
      <w:smallCaps/>
      <w:color w:val="0F4761" w:themeColor="accent1" w:themeShade="BF"/>
      <w:spacing w:val="5"/>
    </w:rPr>
  </w:style>
  <w:style w:type="paragraph" w:styleId="Footer">
    <w:name w:val="footer"/>
    <w:basedOn w:val="Normal"/>
    <w:link w:val="FooterChar"/>
    <w:uiPriority w:val="99"/>
    <w:semiHidden/>
    <w:unhideWhenUsed/>
    <w:rsid w:val="0084455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44554"/>
  </w:style>
  <w:style w:type="character" w:styleId="PageNumber">
    <w:name w:val="page number"/>
    <w:basedOn w:val="DefaultParagraphFont"/>
    <w:rsid w:val="00844554"/>
  </w:style>
  <w:style w:type="table" w:styleId="TableGrid">
    <w:name w:val="Table Grid"/>
    <w:basedOn w:val="TableNormal"/>
    <w:rsid w:val="00844554"/>
    <w:pPr>
      <w:spacing w:after="0" w:line="240" w:lineRule="auto"/>
    </w:pPr>
    <w:rPr>
      <w:rFonts w:ascii="Times New Roman" w:eastAsia="Times New Roman" w:hAnsi="Times New Roman"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D26"/>
    <w:rPr>
      <w:color w:val="467886" w:themeColor="hyperlink"/>
      <w:u w:val="single"/>
    </w:rPr>
  </w:style>
  <w:style w:type="character" w:customStyle="1" w:styleId="UnresolvedMention">
    <w:name w:val="Unresolved Mention"/>
    <w:basedOn w:val="DefaultParagraphFont"/>
    <w:uiPriority w:val="99"/>
    <w:semiHidden/>
    <w:unhideWhenUsed/>
    <w:rsid w:val="00D02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8513</Words>
  <Characters>4853</Characters>
  <Application>Microsoft Office Word</Application>
  <DocSecurity>0</DocSecurity>
  <Lines>40</Lines>
  <Paragraphs>26</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20</cp:revision>
  <dcterms:created xsi:type="dcterms:W3CDTF">2025-03-30T18:18:00Z</dcterms:created>
  <dcterms:modified xsi:type="dcterms:W3CDTF">2025-10-03T08:21:00Z</dcterms:modified>
</cp:coreProperties>
</file>