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9A6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FF9F5A6"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351BCCB"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31C4894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5BD2E78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508AFC9"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94C7D0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06652234"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0DDE24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B. PAKUOTĖS LAPELIS</w:t>
      </w:r>
    </w:p>
    <w:p w14:paraId="0B3DCEC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br w:type="page"/>
        <w:t>Pakuotės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lapelis: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informacija</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vartotojui</w:t>
      </w:r>
    </w:p>
    <w:p w14:paraId="5D316E65"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4C64FFF1" w14:textId="3713231A"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200 mg tabletės</w:t>
      </w:r>
    </w:p>
    <w:p w14:paraId="59BBA5ED" w14:textId="6947B5F9"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400 mg tabletės</w:t>
      </w:r>
    </w:p>
    <w:p w14:paraId="0ED96C16" w14:textId="166132EB"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800 mg tabletės</w:t>
      </w:r>
    </w:p>
    <w:p w14:paraId="46144C8D"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Cs/>
          <w:iCs/>
          <w:kern w:val="0"/>
          <w:sz w:val="22"/>
          <w:szCs w:val="22"/>
          <w14:ligatures w14:val="none"/>
        </w:rPr>
      </w:pPr>
      <w:r w:rsidRPr="00844554">
        <w:rPr>
          <w:rFonts w:ascii="Times New Roman" w:eastAsia="Times New Roman" w:hAnsi="Times New Roman" w:cs="Times New Roman"/>
          <w:bCs/>
          <w:iCs/>
          <w:kern w:val="0"/>
          <w:sz w:val="22"/>
          <w:szCs w:val="22"/>
          <w14:ligatures w14:val="none"/>
        </w:rPr>
        <w:t>acikloviras</w:t>
      </w:r>
    </w:p>
    <w:p w14:paraId="13C99EC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8DD252A" w14:textId="77777777" w:rsidR="00844554" w:rsidRPr="00844554" w:rsidRDefault="00844554" w:rsidP="00844554">
      <w:pPr>
        <w:tabs>
          <w:tab w:val="left" w:pos="567"/>
        </w:tabs>
        <w:spacing w:after="0" w:line="240" w:lineRule="auto"/>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bCs/>
          <w:kern w:val="0"/>
          <w:sz w:val="22"/>
          <w:szCs w:val="22"/>
          <w:lang w:eastAsia="x-none"/>
          <w14:ligatures w14:val="none"/>
        </w:rPr>
        <w:t>Atidžiai perskaitykite visą šį lapelį, prieš pradėdami vartoti vaistą, nes jame pateikiama Jums svarbi informacija.</w:t>
      </w:r>
    </w:p>
    <w:p w14:paraId="16E7932D" w14:textId="325EECAA"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Neišmeskite šio lapelio, nes vėl gali prireikti jį perskaityti.</w:t>
      </w:r>
    </w:p>
    <w:p w14:paraId="4D05F3CC" w14:textId="3DA33064"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Jeigu kiltų daugiau klausimų, kreipkitės į gydytoją, vaistininką arba slaugytoją.</w:t>
      </w:r>
    </w:p>
    <w:p w14:paraId="7866B9C4" w14:textId="79B86D87"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Šis vaistas skirtas tik Jums, todėl kitiems žmonėms jo duoti negalima. Vaistas gali jiems pakenkti (net tiems, kurių ligos požymiai yra tokie patys kaip Jūsų).</w:t>
      </w:r>
    </w:p>
    <w:p w14:paraId="17F17A2F" w14:textId="77777777" w:rsidR="00844554" w:rsidRPr="00844554" w:rsidRDefault="00844554" w:rsidP="005D4379">
      <w:pPr>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 xml:space="preserve">Jeigu pasireiškė šalutinis poveikis (net jeigu jis šiame lapelyje nenurodytas), kreipkitės į gydytoją, vaistininką arba slaugytoją. Žr. 4 skyrių. </w:t>
      </w:r>
    </w:p>
    <w:p w14:paraId="25E918CB" w14:textId="77777777" w:rsidR="00844554" w:rsidRPr="00844554" w:rsidRDefault="0084455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7A68F4AA"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Apie ką rašoma šiame lapelyje?</w:t>
      </w:r>
    </w:p>
    <w:p w14:paraId="277F248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53AA2CBB" w14:textId="3C1E0866"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D4379">
        <w:rPr>
          <w:rFonts w:ascii="Times New Roman" w:eastAsia="Times New Roman" w:hAnsi="Times New Roman" w:cs="Times New Roman"/>
          <w:kern w:val="0"/>
          <w:sz w:val="22"/>
          <w:szCs w:val="22"/>
          <w:lang w:eastAsia="x-none"/>
          <w14:ligatures w14:val="none"/>
        </w:rPr>
        <w:t xml:space="preserve">Kas yra </w:t>
      </w:r>
      <w:bookmarkStart w:id="0" w:name="_Hlk164085862"/>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bookmarkEnd w:id="0"/>
      <w:r w:rsidRPr="005D4379">
        <w:rPr>
          <w:rFonts w:ascii="Times New Roman" w:eastAsia="Times New Roman" w:hAnsi="Times New Roman" w:cs="Times New Roman"/>
          <w:kern w:val="0"/>
          <w:sz w:val="22"/>
          <w:szCs w:val="22"/>
          <w:lang w:eastAsia="x-none"/>
          <w14:ligatures w14:val="none"/>
        </w:rPr>
        <w:t>ir kam jis vartojamas</w:t>
      </w:r>
    </w:p>
    <w:p w14:paraId="4282F745" w14:textId="54D1570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 xml:space="preserve">Kas žinotina prieš vartojant </w:t>
      </w:r>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p>
    <w:p w14:paraId="3554FD24" w14:textId="6F4B5EAF"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vartoti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18801736" w14:textId="3BC6CF64"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Galimas šalutinis poveikis</w:t>
      </w:r>
    </w:p>
    <w:p w14:paraId="050730E3" w14:textId="71CF79EB"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laikyti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7FEB25C4" w14:textId="37C5583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Pakuotės turinys ir kita informacija</w:t>
      </w:r>
    </w:p>
    <w:p w14:paraId="7B14BDF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5C8D757"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4FA155F" w14:textId="72343EC5"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K</w:t>
      </w:r>
      <w:r w:rsidRPr="00844554">
        <w:rPr>
          <w:rFonts w:ascii="Times New Roman" w:eastAsia="Times New Roman" w:hAnsi="Times New Roman" w:cs="Times New Roman"/>
          <w:b/>
          <w:bCs/>
          <w:kern w:val="0"/>
          <w:sz w:val="22"/>
          <w:szCs w:val="22"/>
          <w:lang w:eastAsia="x-none"/>
          <w14:ligatures w14:val="none"/>
        </w:rPr>
        <w:t>as yra</w:t>
      </w:r>
      <w:r w:rsidRPr="00844554">
        <w:rPr>
          <w:rFonts w:ascii="Times New Roman" w:eastAsia="Times New Roman" w:hAnsi="Times New Roman" w:cs="Times New Roman"/>
          <w:b/>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caps/>
          <w:kern w:val="0"/>
          <w:sz w:val="22"/>
          <w:szCs w:val="22"/>
          <w:lang w:eastAsia="x-none"/>
          <w14:ligatures w14:val="none"/>
        </w:rPr>
        <w:t xml:space="preserve"> </w:t>
      </w:r>
      <w:r w:rsidRPr="00844554">
        <w:rPr>
          <w:rFonts w:ascii="Times New Roman" w:eastAsia="Times New Roman" w:hAnsi="Times New Roman" w:cs="Times New Roman"/>
          <w:b/>
          <w:bCs/>
          <w:kern w:val="0"/>
          <w:sz w:val="22"/>
          <w:szCs w:val="22"/>
          <w:lang w:eastAsia="x-none"/>
          <w14:ligatures w14:val="none"/>
        </w:rPr>
        <w:t>ir kam jis vartojamas</w:t>
      </w:r>
    </w:p>
    <w:p w14:paraId="6912C583"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lang w:eastAsia="x-none"/>
          <w14:ligatures w14:val="none"/>
        </w:rPr>
      </w:pPr>
    </w:p>
    <w:p w14:paraId="103010EE" w14:textId="4867736A"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sudėtyje yra veikliosios medžiagos acikloviro, kuris priklauso vaistų, vadinamų antivirusiniais vaistais, grupei. Jis veikia stabdydamas tam tikrų virusų augimą.</w:t>
      </w:r>
    </w:p>
    <w:p w14:paraId="1F0621E0"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494E56AE" w14:textId="3DE366E5"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200 mg ir 400 mg gali būti vartojamas:</w:t>
      </w:r>
    </w:p>
    <w:p w14:paraId="5D6035EA"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ir juosiančiajai pūslelinei gydyti; juosiančiosios pūslelinės atveju jis taip pat padeda sumažinti nervų skausmą, kuris gali išlikti išnykus išbėrimui;</w:t>
      </w:r>
    </w:p>
    <w:p w14:paraId="4F0130A4"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pūslelinei, lytinių organų pūslelinei ir kitoms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sukeltoms infekcijoms gydyti;</w:t>
      </w:r>
    </w:p>
    <w:p w14:paraId="7BB3ED39"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pūslelinės, lytinių organų pūslelinės ir kitų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sukeltų infekcijų pasikartojimo profilaktikai;</w:t>
      </w:r>
    </w:p>
    <w:p w14:paraId="40A0A841"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i/>
          <w:iCs/>
          <w:kern w:val="0"/>
          <w:sz w:val="22"/>
          <w:szCs w:val="22"/>
          <w:lang w:eastAsia="lt-LT"/>
          <w14:ligatures w14:val="none"/>
        </w:rPr>
        <w:t>herpes</w:t>
      </w:r>
      <w:r w:rsidRPr="00844554">
        <w:rPr>
          <w:rFonts w:ascii="Times New Roman" w:eastAsia="Times New Roman" w:hAnsi="Times New Roman" w:cs="Times New Roman"/>
          <w:kern w:val="0"/>
          <w:sz w:val="22"/>
          <w:szCs w:val="22"/>
          <w:lang w:eastAsia="lt-LT"/>
          <w14:ligatures w14:val="none"/>
        </w:rPr>
        <w:t xml:space="preserve"> virusų sukeltų infekcijų profilaktikai asmenims, kurių imuninė sistema nusilpusi, todėl jų organizmas mažiau pajėgus kovoti su infekcijomis.</w:t>
      </w:r>
    </w:p>
    <w:p w14:paraId="6E63ABE3"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00C62159" w14:textId="0CC837F9"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800 mg gali būti vartojamas:</w:t>
      </w:r>
    </w:p>
    <w:p w14:paraId="4BFA0CCD"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juosiančiajai pūslelinei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gydyti;</w:t>
      </w:r>
    </w:p>
    <w:p w14:paraId="52C9FA86"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gydyti;</w:t>
      </w:r>
    </w:p>
    <w:p w14:paraId="299CDB1F"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juosiančiosios pūslelinės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ir vėjaraupių (</w:t>
      </w:r>
      <w:r w:rsidRPr="00844554">
        <w:rPr>
          <w:rFonts w:ascii="Times New Roman" w:eastAsia="Times New Roman" w:hAnsi="Times New Roman" w:cs="Times New Roman"/>
          <w:i/>
          <w:iCs/>
          <w:kern w:val="0"/>
          <w:sz w:val="22"/>
          <w:szCs w:val="22"/>
          <w:lang w:eastAsia="lt-LT"/>
          <w14:ligatures w14:val="none"/>
        </w:rPr>
        <w:t>varicella zoster</w:t>
      </w:r>
      <w:r w:rsidRPr="00844554">
        <w:rPr>
          <w:rFonts w:ascii="Times New Roman" w:eastAsia="Times New Roman" w:hAnsi="Times New Roman" w:cs="Times New Roman"/>
          <w:kern w:val="0"/>
          <w:sz w:val="22"/>
          <w:szCs w:val="22"/>
          <w:lang w:eastAsia="lt-LT"/>
          <w14:ligatures w14:val="none"/>
        </w:rPr>
        <w:t>) profilaktikai asmenims su labai susilpnėjusiu imunitetu.</w:t>
      </w:r>
    </w:p>
    <w:p w14:paraId="018EF215"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63E9BD7C" w14:textId="4CF1F91B"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Kas žinotina prieš vartojant</w:t>
      </w:r>
      <w:r w:rsidRPr="00844554">
        <w:rPr>
          <w:rFonts w:ascii="Times New Roman" w:eastAsia="Times New Roman" w:hAnsi="Times New Roman" w:cs="Times New Roman"/>
          <w:bCs/>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bCs/>
          <w:kern w:val="0"/>
          <w:sz w:val="22"/>
          <w:szCs w:val="22"/>
          <w:lang w:eastAsia="x-none"/>
          <w14:ligatures w14:val="none"/>
        </w:rPr>
        <w:t xml:space="preserve"> </w:t>
      </w:r>
    </w:p>
    <w:p w14:paraId="19171E2F"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EDB1BD" w14:textId="49491645"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w:t>
      </w:r>
      <w:r w:rsidR="00844554" w:rsidRPr="00844554">
        <w:rPr>
          <w:rFonts w:ascii="Times New Roman" w:eastAsia="Times New Roman" w:hAnsi="Times New Roman" w:cs="Times New Roman"/>
          <w:b/>
          <w:kern w:val="0"/>
          <w:sz w:val="22"/>
          <w:szCs w:val="22"/>
          <w14:ligatures w14:val="none"/>
        </w:rPr>
        <w:t>vartoti draudžiama:</w:t>
      </w:r>
    </w:p>
    <w:p w14:paraId="07C87023" w14:textId="77777777" w:rsidR="00844554" w:rsidRPr="00844554" w:rsidRDefault="00844554" w:rsidP="00844554">
      <w:pPr>
        <w:numPr>
          <w:ilvl w:val="0"/>
          <w:numId w:val="6"/>
        </w:numPr>
        <w:tabs>
          <w:tab w:val="left" w:pos="0"/>
        </w:tabs>
        <w:spacing w:after="0" w:line="240" w:lineRule="auto"/>
        <w:ind w:left="567" w:hanging="567"/>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jeigu yra alergija aciklovirui, valaciklovirui arba bet kuriai pagalbinei šio vaisto medžiagai (jos išvardytos 6 skyriuje).</w:t>
      </w:r>
    </w:p>
    <w:p w14:paraId="2F82A55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20DBE0B" w14:textId="06C37CC5"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tai tinka Jums,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nevartokite. Jei nesate tikri,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pasitarkite su gydytoju arba vaistininku.</w:t>
      </w:r>
    </w:p>
    <w:p w14:paraId="244071C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758D712" w14:textId="77777777" w:rsidR="00844554" w:rsidRPr="00844554" w:rsidRDefault="00844554" w:rsidP="00844554">
      <w:pPr>
        <w:keepNext/>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Įspėjimai ir atsargumo priemonės</w:t>
      </w:r>
    </w:p>
    <w:p w14:paraId="063FC534" w14:textId="65F470DF"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Pasitarkite</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su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gydytoju,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prieš</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pradėdami</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vartoti</w:t>
      </w:r>
      <w:r w:rsidRPr="00844554" w:rsidDel="00060D21">
        <w:rPr>
          <w:rFonts w:ascii="Times New Roman" w:eastAsia="Times New Roman" w:hAnsi="Times New Roman" w:cs="Times New Roman"/>
          <w:kern w:val="0"/>
          <w:sz w:val="22"/>
          <w:szCs w:val="22"/>
          <w14:ligatures w14:val="none"/>
        </w:rPr>
        <w:t xml:space="preserv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jeigu:</w:t>
      </w:r>
    </w:p>
    <w:p w14:paraId="577D1270" w14:textId="77777777" w:rsidR="00844554" w:rsidRPr="00844554" w:rsidRDefault="00844554" w:rsidP="00844554">
      <w:pPr>
        <w:numPr>
          <w:ilvl w:val="0"/>
          <w:numId w:val="7"/>
        </w:numPr>
        <w:tabs>
          <w:tab w:val="left" w:pos="567"/>
        </w:tabs>
        <w:spacing w:after="0" w:line="240" w:lineRule="auto"/>
        <w:ind w:left="567" w:hanging="567"/>
        <w:contextualSpacing/>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turite inkstų funkcijos sutrikimų;</w:t>
      </w:r>
    </w:p>
    <w:p w14:paraId="74393584" w14:textId="77777777" w:rsidR="00844554" w:rsidRPr="00844554" w:rsidRDefault="00844554" w:rsidP="00844554">
      <w:pPr>
        <w:widowControl w:val="0"/>
        <w:numPr>
          <w:ilvl w:val="0"/>
          <w:numId w:val="7"/>
        </w:numPr>
        <w:spacing w:after="0" w:line="240" w:lineRule="auto"/>
        <w:ind w:left="567" w:hanging="567"/>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esate vyresni nei 65 metų.</w:t>
      </w:r>
    </w:p>
    <w:p w14:paraId="51C6F93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952D0E6" w14:textId="6DF7D21F"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 Jums tinka kuris nors iš pirmiau išvardytų atvejų. Gydytojas gali sumažinti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dozę.</w:t>
      </w:r>
    </w:p>
    <w:p w14:paraId="5924EA4F" w14:textId="09280B0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Svarbu gerti pakankamai skysčių, jei vartojate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w:t>
      </w:r>
    </w:p>
    <w:p w14:paraId="783DC1F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4474F29" w14:textId="139CF00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arba vaistininku,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 nesate tikri, ar tai Jums tinka.</w:t>
      </w:r>
    </w:p>
    <w:p w14:paraId="6EB4D2B3"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A041224" w14:textId="73D161E3"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Kiti vaistai ir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bCs/>
          <w:kern w:val="0"/>
          <w:sz w:val="22"/>
          <w:szCs w:val="22"/>
          <w14:ligatures w14:val="none"/>
        </w:rPr>
        <w:t xml:space="preserve"> </w:t>
      </w:r>
    </w:p>
    <w:p w14:paraId="7938C551"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Pasakykite gydytojui arba vaistininkui, jei vartojate bet kurį iš toliau išvardytų vaistų:</w:t>
      </w:r>
    </w:p>
    <w:p w14:paraId="11F6B741"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probenecido, vartojamo podagrai gydyti;</w:t>
      </w:r>
    </w:p>
    <w:p w14:paraId="40E0F1C9"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cimetidino, vartojamo skrandžio opoms gydyti;</w:t>
      </w:r>
    </w:p>
    <w:p w14:paraId="10A87634"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mikofenolato mofetilio, vartojamo organų atmetimo prevencijai po organų transplantacijos;</w:t>
      </w:r>
    </w:p>
    <w:p w14:paraId="29CB55A0"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valproato ir fenitoino, vartojamų traukuliams gydyti;</w:t>
      </w:r>
    </w:p>
    <w:p w14:paraId="78A09F75"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teofilino, vaisto nuo bronchų ligų.</w:t>
      </w:r>
    </w:p>
    <w:p w14:paraId="45123E85"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7F547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Nėštumas ir žindymo laikotarpis</w:t>
      </w:r>
    </w:p>
    <w:p w14:paraId="47BBB21A" w14:textId="12E7349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paprastai nerekomenduojamas nėštumo metu. Jeigu esate nėščia, žindote kūdikį, manote, kad galbūt esate nėščia arba planuojate pastoti, tai prieš vartodama šį vaistą pasitarkite su gydytoju arba vaistininku. Gydytojas įvertins </w:t>
      </w: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vartojimo nėštumo metu naudą Jums ir riziką Jūsų vaikui.</w:t>
      </w:r>
    </w:p>
    <w:p w14:paraId="06AC645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E922FBB" w14:textId="32BA68D3"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Veiklioji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medžiaga gali patekti į motinos pieną. Jei žindote kūdikį, prieš pradėdama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turite pasitarti su gydytoju.</w:t>
      </w:r>
    </w:p>
    <w:p w14:paraId="693DCF6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4AA4A6"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Acikloviro poveikis moterų vaisingumui nežinomas.</w:t>
      </w:r>
    </w:p>
    <w:p w14:paraId="619B1BF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68BC9C4"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Vairavimas ir mechanizmų valdymas</w:t>
      </w:r>
    </w:p>
    <w:p w14:paraId="0BC82D3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Tam tikras šalutinis poveikis, pvz., mieguistumas, gali turėti įtakos Jūsų gebėjimui susikaupti ir reaguoti. Prieš vairuodami ar valdydami mechanizmus, įsitikinkite, kad Jums šie nepageidaujami poveikiai nepasireiškia.</w:t>
      </w:r>
    </w:p>
    <w:p w14:paraId="197A3AC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12D511E" w14:textId="1B91DD9C"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sudėtyje yra natrio</w:t>
      </w:r>
    </w:p>
    <w:p w14:paraId="428D8C3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Šio vaisto tabletėje yra mažiau kaip 1 mmol (23 mg) natrio, t. y. jis beveik neturi reikšmės.</w:t>
      </w:r>
    </w:p>
    <w:p w14:paraId="4B4818A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7E6B6B4"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8FBF0C7" w14:textId="0AE0CBF6"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3.</w:t>
      </w:r>
      <w:r w:rsidRPr="00844554">
        <w:rPr>
          <w:rFonts w:ascii="Times New Roman" w:eastAsia="Times New Roman" w:hAnsi="Times New Roman" w:cs="Times New Roman"/>
          <w:b/>
          <w:kern w:val="0"/>
          <w:sz w:val="22"/>
          <w:szCs w:val="22"/>
          <w:lang w:eastAsia="x-none"/>
          <w14:ligatures w14:val="none"/>
        </w:rPr>
        <w:tab/>
        <w:t xml:space="preserve">Kaip vartoti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kern w:val="0"/>
          <w:sz w:val="22"/>
          <w:szCs w:val="22"/>
          <w:lang w:eastAsia="x-none"/>
          <w14:ligatures w14:val="none"/>
        </w:rPr>
        <w:t xml:space="preserve"> </w:t>
      </w:r>
    </w:p>
    <w:p w14:paraId="5450F6E1"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411C07D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V</w:t>
      </w:r>
      <w:r w:rsidRPr="00844554">
        <w:rPr>
          <w:rFonts w:ascii="Times New Roman" w:eastAsia="Times New Roman" w:hAnsi="Times New Roman" w:cs="Times New Roman"/>
          <w:kern w:val="0"/>
          <w:sz w:val="22"/>
          <w:szCs w:val="22"/>
          <w:lang w:eastAsia="x-none"/>
          <w14:ligatures w14:val="none"/>
        </w:rPr>
        <w:t>isada vartokite šį vaistą tiksliai, kaip nurodė gydytojas. Jeigu abejojate, kreipkitės į gydytoją arba vaistininką.</w:t>
      </w:r>
    </w:p>
    <w:p w14:paraId="6B66288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492DF0A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Gydytojas nurodys tinkamą dozę, kaip vartoti vaistą ir kiek laiko jį vartoti:</w:t>
      </w:r>
    </w:p>
    <w:p w14:paraId="02760B44"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infekcijos tipą;</w:t>
      </w:r>
    </w:p>
    <w:p w14:paraId="059AE5F5"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tai, ar infekciją reikia gydyti, ar neleisti jai sugrįžti.</w:t>
      </w:r>
    </w:p>
    <w:p w14:paraId="2274889A"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6BA946F0"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infekcijoms gydyti suaugusiesiems yra 200 mg, 5 kartus per parą, maždaug kas 4 valandas, praleidžiant naktinę dozę. Gydymas paprastai turi būti tęsiamas 5 dienas, tačiau sunkios infekcijos atveju gydymas gali būti pratęstas.</w:t>
      </w:r>
    </w:p>
    <w:p w14:paraId="58134F53"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Tokią pačią dozę, kaip ir suaugusiesiems, paprastai reikia skirti 2 metų ir vyresniems vaikams.</w:t>
      </w:r>
    </w:p>
    <w:p w14:paraId="77D6F532"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0C897B66"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infekcijų pasikartojimo profilaktikai suaugusiesiems yra 200 mg, 4 kartus per parą, maždaug kas 4 valandas, praleidžiant naktinę dozę.</w:t>
      </w:r>
    </w:p>
    <w:p w14:paraId="114FB1D4"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3965C73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Įprastinė dozė vėjaraupiams ir juosiančiajai pūslelinei gydyti suaugusiesiems yra 800 mg, 5 kartus per parą, maždaug kas 4 valandas, praleidžiant naktinę dozę. Gydymą paprastai reikia tęsti 7 dienas.</w:t>
      </w:r>
    </w:p>
    <w:p w14:paraId="1098617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Vyresniems nei 6 metų vaikams paprastai reikia skirti po 800 mg 4 kartus per parą, vaikams nuo 2 iki 6 metų – 400 mg 4 kartus per parą, o jaunesniems nei 2 metų vaikams – 200 mg 4 kartus per parą.</w:t>
      </w:r>
    </w:p>
    <w:p w14:paraId="40E0264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229BBB9"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Jeigu Jums yra inkstų funkcijos sutrikimų, gydytojas Jums pritaikys dozę.</w:t>
      </w:r>
    </w:p>
    <w:p w14:paraId="4613960D"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87055A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Šio vaisto vartojimas</w:t>
      </w:r>
    </w:p>
    <w:p w14:paraId="0892B4D9"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Vartokite šį vaistą per burną.</w:t>
      </w:r>
    </w:p>
    <w:p w14:paraId="7F309FE7"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Nurykite visą tabletę, užgerdami pakankamu kiekiu vandens.</w:t>
      </w:r>
    </w:p>
    <w:p w14:paraId="07734E2B" w14:textId="5022FE2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kiekvieną dieną tuo pačiu laiku.</w:t>
      </w:r>
    </w:p>
    <w:p w14:paraId="6D8A74CD" w14:textId="7BCA24CF"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taip, kaip nurodė gydytojas arba vaistininkas.</w:t>
      </w:r>
    </w:p>
    <w:p w14:paraId="73AFCA9D"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Jei Jums sunku nuryti tabletes, ištirpinkite tabletę mažiausiai 50 ml vandens, kurį prieš geriant reikia išmaišyti.</w:t>
      </w:r>
    </w:p>
    <w:p w14:paraId="39FCE9D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6A399E0" w14:textId="49903F4A" w:rsidR="00844554" w:rsidRPr="00844554" w:rsidRDefault="00844554" w:rsidP="00844554">
      <w:pPr>
        <w:spacing w:after="0" w:line="240" w:lineRule="auto"/>
        <w:rPr>
          <w:rFonts w:ascii="Times New Roman" w:eastAsia="Times New Roman" w:hAnsi="Times New Roman" w:cs="Times New Roman"/>
          <w:b/>
          <w:kern w:val="0"/>
          <w:sz w:val="22"/>
          <w:szCs w:val="22"/>
          <w:lang w:eastAsia="lt-LT"/>
          <w14:ligatures w14:val="none"/>
        </w:rPr>
      </w:pPr>
      <w:r w:rsidRPr="00844554">
        <w:rPr>
          <w:rFonts w:ascii="Times New Roman" w:eastAsia="Times New Roman" w:hAnsi="Times New Roman" w:cs="Times New Roman"/>
          <w:b/>
          <w:kern w:val="0"/>
          <w:sz w:val="22"/>
          <w:szCs w:val="22"/>
          <w:lang w:eastAsia="lt-LT"/>
          <w14:ligatures w14:val="none"/>
        </w:rPr>
        <w:t xml:space="preserve">Ką daryti pavartojus per didelę </w:t>
      </w:r>
      <w:r w:rsidR="00840D44">
        <w:rPr>
          <w:rFonts w:ascii="Times New Roman" w:eastAsia="Times New Roman" w:hAnsi="Times New Roman" w:cs="Times New Roman"/>
          <w:b/>
          <w:kern w:val="0"/>
          <w:sz w:val="22"/>
          <w:szCs w:val="22"/>
          <w:lang w:eastAsia="lt-LT"/>
          <w14:ligatures w14:val="none"/>
        </w:rPr>
        <w:t>Aciclovir toLife</w:t>
      </w:r>
      <w:r w:rsidRPr="00844554">
        <w:rPr>
          <w:rFonts w:ascii="Times New Roman" w:eastAsia="Times New Roman" w:hAnsi="Times New Roman" w:cs="Times New Roman"/>
          <w:b/>
          <w:kern w:val="0"/>
          <w:sz w:val="22"/>
          <w:szCs w:val="22"/>
          <w:lang w:eastAsia="lt-LT"/>
          <w14:ligatures w14:val="none"/>
        </w:rPr>
        <w:t xml:space="preserve"> dozę</w:t>
      </w:r>
    </w:p>
    <w:p w14:paraId="3D52E5C4" w14:textId="4BADD87B"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paprastai nėra kenksmingas, nebent vartojamas didelis kiekis kelias dienas. Pasakykite gydytojui, jei išgėrėte per daug </w:t>
      </w: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Pasiimkite pakuotę su savimi.</w:t>
      </w:r>
    </w:p>
    <w:p w14:paraId="30455D4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70194FA7" w14:textId="06D3FE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Pamiršus pavartoti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w:t>
      </w:r>
    </w:p>
    <w:p w14:paraId="16119D1A" w14:textId="60E8CA96"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pamiršote išgerti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išgerkite jį, kai tik prisiminsite, tačiau pamirštą dozę praleiskite, jei jau beveik laikas vartoti kitą dozę.</w:t>
      </w:r>
    </w:p>
    <w:p w14:paraId="3CC4A36C"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Negalima vartoti dvigubos dozės norint kompensuoti praleistą dozę.</w:t>
      </w:r>
    </w:p>
    <w:p w14:paraId="5EBE29D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05730FC" w14:textId="77777777" w:rsidR="00844554" w:rsidRPr="00844554" w:rsidRDefault="00844554" w:rsidP="00844554">
      <w:pPr>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4.</w:t>
      </w:r>
      <w:r w:rsidRPr="00844554">
        <w:rPr>
          <w:rFonts w:ascii="Times New Roman" w:eastAsia="Times New Roman" w:hAnsi="Times New Roman" w:cs="Times New Roman"/>
          <w:b/>
          <w:caps/>
          <w:kern w:val="0"/>
          <w:sz w:val="22"/>
          <w:szCs w:val="22"/>
          <w:lang w:eastAsia="x-none"/>
          <w14:ligatures w14:val="none"/>
        </w:rPr>
        <w:tab/>
        <w:t>G</w:t>
      </w:r>
      <w:r w:rsidRPr="00844554">
        <w:rPr>
          <w:rFonts w:ascii="Times New Roman" w:eastAsia="Times New Roman" w:hAnsi="Times New Roman" w:cs="Times New Roman"/>
          <w:b/>
          <w:bCs/>
          <w:kern w:val="0"/>
          <w:sz w:val="22"/>
          <w:szCs w:val="22"/>
          <w:lang w:eastAsia="x-none"/>
          <w14:ligatures w14:val="none"/>
        </w:rPr>
        <w:t>alimas šalutinis poveikis</w:t>
      </w:r>
    </w:p>
    <w:p w14:paraId="6BFF09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321347C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8B466B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BD47B41"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b/>
          <w:bCs/>
          <w:kern w:val="0"/>
          <w:sz w:val="22"/>
          <w:szCs w:val="22"/>
          <w:lang w:eastAsia="lt-LT"/>
          <w14:ligatures w14:val="none"/>
        </w:rPr>
        <w:t>Simptomai, į kuriuos reikia atkreipti dėmesį</w:t>
      </w:r>
    </w:p>
    <w:p w14:paraId="1189361F" w14:textId="5F808A5A" w:rsidR="00844554" w:rsidRPr="00844554" w:rsidRDefault="00844554" w:rsidP="00844554">
      <w:pPr>
        <w:numPr>
          <w:ilvl w:val="0"/>
          <w:numId w:val="11"/>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sunkios alerginės reakcijos (anafilaksija). Jos retai pasitaiko žmonėms, vartojantiems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(gali pasireikšti rečiau kaip 1 iš 1 000 asmenų). Staiga pasireiškiantys simptomai, įskaitant:</w:t>
      </w:r>
    </w:p>
    <w:p w14:paraId="57EDFE01"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niežtintį odos išbėrimą (dilgėlinė);</w:t>
      </w:r>
    </w:p>
    <w:p w14:paraId="603655C9"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veido, kaklo ir gerklės patinimą, dėl kurio sunku kvėpuoti </w:t>
      </w:r>
      <w:r w:rsidRPr="00844554">
        <w:rPr>
          <w:rFonts w:ascii="Times New Roman" w:eastAsia="Times New Roman" w:hAnsi="Times New Roman" w:cs="Times New Roman"/>
          <w:iCs/>
          <w:kern w:val="0"/>
          <w:sz w:val="22"/>
          <w:szCs w:val="22"/>
          <w:lang w:eastAsia="lt-LT"/>
          <w14:ligatures w14:val="none"/>
        </w:rPr>
        <w:t>(angioneurozinė edema)</w:t>
      </w:r>
      <w:r w:rsidRPr="00844554">
        <w:rPr>
          <w:rFonts w:ascii="Times New Roman" w:eastAsia="Times New Roman" w:hAnsi="Times New Roman" w:cs="Times New Roman"/>
          <w:kern w:val="0"/>
          <w:sz w:val="22"/>
          <w:szCs w:val="22"/>
          <w:lang w:eastAsia="lt-LT"/>
          <w14:ligatures w14:val="none"/>
        </w:rPr>
        <w:t>;</w:t>
      </w:r>
    </w:p>
    <w:p w14:paraId="1F85EFAA"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kraujospūdžio kritimą, sukeliantį kolapsą;</w:t>
      </w:r>
    </w:p>
    <w:p w14:paraId="704818F5" w14:textId="353386B5"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jeigu pasireiškė alerginė reakcija, nutraukite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vartojimą ir nedelsdami kreipkitės į gydytoją.</w:t>
      </w:r>
    </w:p>
    <w:p w14:paraId="18F264C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1187E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Dažni šalutinio poveikio reiškiniai </w:t>
      </w:r>
      <w:r w:rsidRPr="00844554">
        <w:rPr>
          <w:rFonts w:ascii="Times New Roman" w:eastAsia="Times New Roman" w:hAnsi="Times New Roman" w:cs="Times New Roman"/>
          <w:kern w:val="0"/>
          <w:sz w:val="22"/>
          <w:szCs w:val="22"/>
          <w14:ligatures w14:val="none"/>
        </w:rPr>
        <w:t>(gali pasireikšti rečiau kaip 1 iš 10 asmenų):</w:t>
      </w:r>
    </w:p>
    <w:p w14:paraId="09977FB0"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galvos skausmas;</w:t>
      </w:r>
    </w:p>
    <w:p w14:paraId="140A437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svaigulys;</w:t>
      </w:r>
    </w:p>
    <w:p w14:paraId="68CA7BA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pykinimas arba vėmimas;</w:t>
      </w:r>
    </w:p>
    <w:p w14:paraId="3AF7811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viduriavimas;</w:t>
      </w:r>
    </w:p>
    <w:p w14:paraId="441F9EF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skrandžio skausmas;</w:t>
      </w:r>
    </w:p>
    <w:p w14:paraId="0C21C372"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niežėjimas;</w:t>
      </w:r>
    </w:p>
    <w:p w14:paraId="0653A6D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reakcija po saulės spindulių poveikio (jautrumas šviesai);</w:t>
      </w:r>
    </w:p>
    <w:p w14:paraId="52351379"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nuovargis;</w:t>
      </w:r>
    </w:p>
    <w:p w14:paraId="5938E2B8"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padidėjusi temperatūra (karščiavimas).</w:t>
      </w:r>
    </w:p>
    <w:p w14:paraId="765E9DE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DCD128"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Nedažni šalutinio poveikio reiškiniai </w:t>
      </w:r>
      <w:r w:rsidRPr="00844554">
        <w:rPr>
          <w:rFonts w:ascii="Times New Roman" w:eastAsia="Times New Roman" w:hAnsi="Times New Roman" w:cs="Times New Roman"/>
          <w:kern w:val="0"/>
          <w:sz w:val="22"/>
          <w:szCs w:val="22"/>
          <w14:ligatures w14:val="none"/>
        </w:rPr>
        <w:t>(gali pasireikšti rečiau kaip 1 iš 100 asmenų):</w:t>
      </w:r>
    </w:p>
    <w:p w14:paraId="0050B96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niežtintis išbėrimas (dilgėlinė);</w:t>
      </w:r>
    </w:p>
    <w:p w14:paraId="33E4B3E0"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plaukų slinkimas.</w:t>
      </w:r>
    </w:p>
    <w:p w14:paraId="67D578F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8E3C6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Reti šalutinio poveikio reiškiniai </w:t>
      </w:r>
      <w:r w:rsidRPr="00844554">
        <w:rPr>
          <w:rFonts w:ascii="Times New Roman" w:eastAsia="Times New Roman" w:hAnsi="Times New Roman" w:cs="Times New Roman"/>
          <w:kern w:val="0"/>
          <w:sz w:val="22"/>
          <w:szCs w:val="22"/>
          <w14:ligatures w14:val="none"/>
        </w:rPr>
        <w:t>(gali pasireikšti rečiau kaip 1 iš 1 000 asmenų):</w:t>
      </w:r>
    </w:p>
    <w:p w14:paraId="02AFF664"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dusulys (dispnėja);</w:t>
      </w:r>
    </w:p>
    <w:p w14:paraId="338C0BE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kraujo tyrimų rezultatų pokyčiai;</w:t>
      </w:r>
    </w:p>
    <w:p w14:paraId="1EB28CB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lūpų, veido, kaklo ir gerklės patinimas, dėl kurio sunku kvėpuoti (angioneurozinė edema);</w:t>
      </w:r>
    </w:p>
    <w:p w14:paraId="42CE395A"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padidėjęs kepenų fermentų aktyvumas.</w:t>
      </w:r>
    </w:p>
    <w:p w14:paraId="7C7B13D9"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p>
    <w:p w14:paraId="18B56A1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kern w:val="0"/>
          <w:sz w:val="22"/>
          <w:szCs w:val="22"/>
          <w14:ligatures w14:val="none"/>
        </w:rPr>
        <w:t>Labai reti šalutinio poveikio reiškiniai</w:t>
      </w:r>
      <w:r w:rsidRPr="00844554">
        <w:rPr>
          <w:rFonts w:ascii="Times New Roman" w:eastAsia="Times New Roman" w:hAnsi="Times New Roman" w:cs="Times New Roman"/>
          <w:kern w:val="0"/>
          <w:sz w:val="22"/>
          <w:szCs w:val="22"/>
          <w14:ligatures w14:val="none"/>
        </w:rPr>
        <w:t xml:space="preserve"> (gali pasireikšti rečiau kaip </w:t>
      </w:r>
      <w:r w:rsidRPr="00844554">
        <w:rPr>
          <w:rFonts w:ascii="Times New Roman" w:eastAsia="Times New Roman" w:hAnsi="Times New Roman" w:cs="Times New Roman"/>
          <w:kern w:val="0"/>
          <w:sz w:val="22"/>
          <w:szCs w:val="22"/>
          <w:lang w:val="en-GB"/>
          <w14:ligatures w14:val="none"/>
        </w:rPr>
        <w:t>1 iš 10 000 asmen</w:t>
      </w:r>
      <w:r w:rsidRPr="00844554">
        <w:rPr>
          <w:rFonts w:ascii="Times New Roman" w:eastAsia="Times New Roman" w:hAnsi="Times New Roman" w:cs="Times New Roman"/>
          <w:kern w:val="0"/>
          <w:sz w:val="22"/>
          <w:szCs w:val="22"/>
          <w14:ligatures w14:val="none"/>
        </w:rPr>
        <w:t>ų):</w:t>
      </w:r>
    </w:p>
    <w:p w14:paraId="02B3AA62" w14:textId="77777777" w:rsidR="00844554" w:rsidRPr="00844554" w:rsidRDefault="00844554" w:rsidP="00844554">
      <w:pPr>
        <w:keepNext/>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sumišimas ar susijaudinimas;</w:t>
      </w:r>
    </w:p>
    <w:p w14:paraId="419C23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drebulys;</w:t>
      </w:r>
    </w:p>
    <w:p w14:paraId="1E10A46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nestabilumas vaikštant ir koordinacijos stoka (</w:t>
      </w:r>
      <w:r w:rsidRPr="00844554">
        <w:rPr>
          <w:rFonts w:ascii="Times New Roman" w:eastAsia="Times New Roman" w:hAnsi="Times New Roman" w:cs="Times New Roman"/>
          <w:iCs/>
          <w:kern w:val="0"/>
          <w:sz w:val="22"/>
          <w:szCs w:val="22"/>
          <w14:ligatures w14:val="none"/>
        </w:rPr>
        <w:t>ataksija</w:t>
      </w:r>
      <w:r w:rsidRPr="00844554">
        <w:rPr>
          <w:rFonts w:ascii="Times New Roman" w:eastAsia="Times New Roman" w:hAnsi="Times New Roman" w:cs="Times New Roman"/>
          <w:kern w:val="0"/>
          <w:sz w:val="22"/>
          <w:szCs w:val="22"/>
          <w14:ligatures w14:val="none"/>
        </w:rPr>
        <w:t>);</w:t>
      </w:r>
    </w:p>
    <w:p w14:paraId="7F7FA8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lėta, nerišli kalba (</w:t>
      </w:r>
      <w:r w:rsidRPr="00844554">
        <w:rPr>
          <w:rFonts w:ascii="Times New Roman" w:eastAsia="Times New Roman" w:hAnsi="Times New Roman" w:cs="Times New Roman"/>
          <w:iCs/>
          <w:kern w:val="0"/>
          <w:sz w:val="22"/>
          <w:szCs w:val="22"/>
          <w14:ligatures w14:val="none"/>
        </w:rPr>
        <w:t>dizartrija</w:t>
      </w:r>
      <w:r w:rsidRPr="00844554">
        <w:rPr>
          <w:rFonts w:ascii="Times New Roman" w:eastAsia="Times New Roman" w:hAnsi="Times New Roman" w:cs="Times New Roman"/>
          <w:kern w:val="0"/>
          <w:sz w:val="22"/>
          <w:szCs w:val="22"/>
          <w14:ligatures w14:val="none"/>
        </w:rPr>
        <w:t>);</w:t>
      </w:r>
    </w:p>
    <w:p w14:paraId="5F76196F"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girdėti ar matyti tai, ko nėra (</w:t>
      </w:r>
      <w:r w:rsidRPr="00844554">
        <w:rPr>
          <w:rFonts w:ascii="Times New Roman" w:eastAsia="Times New Roman" w:hAnsi="Times New Roman" w:cs="Times New Roman"/>
          <w:iCs/>
          <w:kern w:val="0"/>
          <w:sz w:val="22"/>
          <w:szCs w:val="22"/>
          <w14:ligatures w14:val="none"/>
        </w:rPr>
        <w:t>haliucinacijos</w:t>
      </w:r>
      <w:r w:rsidRPr="00844554">
        <w:rPr>
          <w:rFonts w:ascii="Times New Roman" w:eastAsia="Times New Roman" w:hAnsi="Times New Roman" w:cs="Times New Roman"/>
          <w:kern w:val="0"/>
          <w:sz w:val="22"/>
          <w:szCs w:val="22"/>
          <w14:ligatures w14:val="none"/>
        </w:rPr>
        <w:t>);</w:t>
      </w:r>
    </w:p>
    <w:p w14:paraId="50BAA07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psichoziniai sutrikimai;</w:t>
      </w:r>
    </w:p>
    <w:p w14:paraId="22AA2F8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priepuoliai (traukulių priepuoliai);</w:t>
      </w:r>
    </w:p>
    <w:p w14:paraId="75EEEA8B"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mieguistumas;</w:t>
      </w:r>
    </w:p>
    <w:p w14:paraId="69A8CAC8"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pakitusi smegenų funkcija (</w:t>
      </w:r>
      <w:r w:rsidRPr="00844554">
        <w:rPr>
          <w:rFonts w:ascii="Times New Roman" w:eastAsia="Times New Roman" w:hAnsi="Times New Roman" w:cs="Times New Roman"/>
          <w:iCs/>
          <w:kern w:val="0"/>
          <w:sz w:val="22"/>
          <w:szCs w:val="22"/>
          <w14:ligatures w14:val="none"/>
        </w:rPr>
        <w:t>encefalopatija</w:t>
      </w:r>
      <w:r w:rsidRPr="00844554">
        <w:rPr>
          <w:rFonts w:ascii="Times New Roman" w:eastAsia="Times New Roman" w:hAnsi="Times New Roman" w:cs="Times New Roman"/>
          <w:kern w:val="0"/>
          <w:sz w:val="22"/>
          <w:szCs w:val="22"/>
          <w14:ligatures w14:val="none"/>
        </w:rPr>
        <w:t>);</w:t>
      </w:r>
    </w:p>
    <w:p w14:paraId="0B785744"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sąmonės netekimas (</w:t>
      </w:r>
      <w:r w:rsidRPr="00844554">
        <w:rPr>
          <w:rFonts w:ascii="Times New Roman" w:eastAsia="Times New Roman" w:hAnsi="Times New Roman" w:cs="Times New Roman"/>
          <w:iCs/>
          <w:kern w:val="0"/>
          <w:sz w:val="22"/>
          <w:szCs w:val="22"/>
          <w14:ligatures w14:val="none"/>
        </w:rPr>
        <w:t>koma</w:t>
      </w:r>
      <w:r w:rsidRPr="00844554">
        <w:rPr>
          <w:rFonts w:ascii="Times New Roman" w:eastAsia="Times New Roman" w:hAnsi="Times New Roman" w:cs="Times New Roman"/>
          <w:kern w:val="0"/>
          <w:sz w:val="22"/>
          <w:szCs w:val="22"/>
          <w14:ligatures w14:val="none"/>
        </w:rPr>
        <w:t>);</w:t>
      </w:r>
    </w:p>
    <w:p w14:paraId="22B881CE"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ir akių baltymų pageltimas (gelta), kepenų uždegimas (</w:t>
      </w:r>
      <w:r w:rsidRPr="00844554">
        <w:rPr>
          <w:rFonts w:ascii="Times New Roman" w:eastAsia="Times New Roman" w:hAnsi="Times New Roman" w:cs="Times New Roman"/>
          <w:iCs/>
          <w:kern w:val="0"/>
          <w:sz w:val="22"/>
          <w:szCs w:val="22"/>
          <w14:ligatures w14:val="none"/>
        </w:rPr>
        <w:t>hepatitas</w:t>
      </w:r>
      <w:r w:rsidRPr="00844554">
        <w:rPr>
          <w:rFonts w:ascii="Times New Roman" w:eastAsia="Times New Roman" w:hAnsi="Times New Roman" w:cs="Times New Roman"/>
          <w:kern w:val="0"/>
          <w:sz w:val="22"/>
          <w:szCs w:val="22"/>
          <w14:ligatures w14:val="none"/>
        </w:rPr>
        <w:t>);</w:t>
      </w:r>
    </w:p>
    <w:p w14:paraId="1B5874DC"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skausmas apatinėje nugaros dalyje, inkstų srityje arba šiek tiek aukščiau klubo (inkstų skausmas);</w:t>
      </w:r>
    </w:p>
    <w:p w14:paraId="2B87D82A"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inkstų nepakankamumas.</w:t>
      </w:r>
    </w:p>
    <w:p w14:paraId="157C9E99"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68DD172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Labai reti šalutinio poveikio reiškiniai, stebimi kraujo tyrimuose </w:t>
      </w:r>
      <w:r w:rsidRPr="00844554">
        <w:rPr>
          <w:rFonts w:ascii="Times New Roman" w:eastAsia="Times New Roman" w:hAnsi="Times New Roman" w:cs="Times New Roman"/>
          <w:kern w:val="0"/>
          <w:sz w:val="22"/>
          <w:szCs w:val="22"/>
          <w14:ligatures w14:val="none"/>
        </w:rPr>
        <w:t>(gali pasireikšti rečiau kaip 1 iš 10 000 asmenų):</w:t>
      </w:r>
    </w:p>
    <w:p w14:paraId="04CEA052"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lang w:eastAsia="lt-LT"/>
          <w14:ligatures w14:val="none"/>
        </w:rPr>
      </w:pPr>
      <w:r w:rsidRPr="00844554">
        <w:rPr>
          <w:rFonts w:ascii="Times New Roman" w:eastAsia="Times New Roman" w:hAnsi="Times New Roman" w:cs="Times New Roman"/>
          <w:bCs/>
          <w:kern w:val="0"/>
          <w:sz w:val="22"/>
          <w:szCs w:val="22"/>
          <w14:ligatures w14:val="none"/>
        </w:rPr>
        <w:t>sumažėjęs raudonųjų kraujo kūnelių skaičius (</w:t>
      </w:r>
      <w:r w:rsidRPr="00844554">
        <w:rPr>
          <w:rFonts w:ascii="Times New Roman" w:eastAsia="Times New Roman" w:hAnsi="Times New Roman" w:cs="Times New Roman"/>
          <w:bCs/>
          <w:iCs/>
          <w:kern w:val="0"/>
          <w:sz w:val="22"/>
          <w:szCs w:val="22"/>
          <w14:ligatures w14:val="none"/>
        </w:rPr>
        <w:t>anemija</w:t>
      </w:r>
      <w:r w:rsidRPr="00844554">
        <w:rPr>
          <w:rFonts w:ascii="Times New Roman" w:eastAsia="Times New Roman" w:hAnsi="Times New Roman" w:cs="Times New Roman"/>
          <w:bCs/>
          <w:kern w:val="0"/>
          <w:sz w:val="22"/>
          <w:szCs w:val="22"/>
          <w14:ligatures w14:val="none"/>
        </w:rPr>
        <w:t>);</w:t>
      </w:r>
    </w:p>
    <w:p w14:paraId="05E9192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baltųjų kraujo kūnelių skaičius (</w:t>
      </w:r>
      <w:r w:rsidRPr="00844554">
        <w:rPr>
          <w:rFonts w:ascii="Times New Roman" w:eastAsia="Times New Roman" w:hAnsi="Times New Roman" w:cs="Times New Roman"/>
          <w:bCs/>
          <w:iCs/>
          <w:kern w:val="0"/>
          <w:sz w:val="22"/>
          <w:szCs w:val="22"/>
          <w14:ligatures w14:val="none"/>
        </w:rPr>
        <w:t>leukocitopenija</w:t>
      </w:r>
      <w:r w:rsidRPr="00844554">
        <w:rPr>
          <w:rFonts w:ascii="Times New Roman" w:eastAsia="Times New Roman" w:hAnsi="Times New Roman" w:cs="Times New Roman"/>
          <w:bCs/>
          <w:kern w:val="0"/>
          <w:sz w:val="22"/>
          <w:szCs w:val="22"/>
          <w14:ligatures w14:val="none"/>
        </w:rPr>
        <w:t>);</w:t>
      </w:r>
    </w:p>
    <w:p w14:paraId="5A76727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trombocitų (ląstelių, padedančių krešėti kraujui) skaičius (</w:t>
      </w:r>
      <w:r w:rsidRPr="00844554">
        <w:rPr>
          <w:rFonts w:ascii="Times New Roman" w:eastAsia="Times New Roman" w:hAnsi="Times New Roman" w:cs="Times New Roman"/>
          <w:bCs/>
          <w:iCs/>
          <w:kern w:val="0"/>
          <w:sz w:val="22"/>
          <w:szCs w:val="22"/>
          <w14:ligatures w14:val="none"/>
        </w:rPr>
        <w:t>trombocitopenija</w:t>
      </w:r>
      <w:r w:rsidRPr="00844554">
        <w:rPr>
          <w:rFonts w:ascii="Times New Roman" w:eastAsia="Times New Roman" w:hAnsi="Times New Roman" w:cs="Times New Roman"/>
          <w:bCs/>
          <w:kern w:val="0"/>
          <w:sz w:val="22"/>
          <w:szCs w:val="22"/>
          <w14:ligatures w14:val="none"/>
        </w:rPr>
        <w:t>).</w:t>
      </w:r>
    </w:p>
    <w:p w14:paraId="0D12FB48"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2C3EB2C7" w14:textId="77777777" w:rsidR="00844554" w:rsidRPr="00844554" w:rsidRDefault="00844554" w:rsidP="00844554">
      <w:pPr>
        <w:keepNext/>
        <w:keepLines/>
        <w:spacing w:after="0" w:line="240" w:lineRule="auto"/>
        <w:ind w:left="567" w:hanging="567"/>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Pranešimas apie įtariamas nepageidaujamas reakcijas</w:t>
      </w:r>
    </w:p>
    <w:p w14:paraId="6ABF8C97" w14:textId="77777777" w:rsidR="001D2E31" w:rsidRPr="001D2E31" w:rsidRDefault="001D2E31" w:rsidP="001D2E31">
      <w:pPr>
        <w:spacing w:after="0" w:line="240" w:lineRule="auto"/>
        <w:rPr>
          <w:rFonts w:ascii="Times New Roman" w:eastAsia="Times New Roman" w:hAnsi="Times New Roman" w:cs="Times New Roman"/>
          <w:kern w:val="0"/>
          <w:sz w:val="22"/>
          <w:szCs w:val="20"/>
          <w14:ligatures w14:val="none"/>
        </w:rPr>
      </w:pPr>
      <w:r w:rsidRPr="001D2E3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D2E31">
          <w:rPr>
            <w:rFonts w:ascii="Times New Roman" w:eastAsia="Times New Roman" w:hAnsi="Times New Roman" w:cs="Times New Roman"/>
            <w:color w:val="467886"/>
            <w:kern w:val="0"/>
            <w:sz w:val="22"/>
            <w:szCs w:val="20"/>
            <w:u w:val="single"/>
            <w:lang w:eastAsia="lt-LT"/>
            <w14:ligatures w14:val="none"/>
          </w:rPr>
          <w:t>https://vvkt.lrv.lt/lt/</w:t>
        </w:r>
      </w:hyperlink>
      <w:r w:rsidRPr="001D2E31">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D2E31">
        <w:rPr>
          <w:rFonts w:ascii="Times New Roman" w:eastAsia="Times New Roman" w:hAnsi="Times New Roman" w:cs="Times New Roman"/>
          <w:kern w:val="0"/>
          <w:sz w:val="22"/>
          <w:szCs w:val="20"/>
          <w14:ligatures w14:val="none"/>
        </w:rPr>
        <w:t>.</w:t>
      </w:r>
    </w:p>
    <w:p w14:paraId="21E99D1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A3CDB7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BBC4916" w14:textId="316B9F1B" w:rsidR="00844554" w:rsidRPr="00844554" w:rsidRDefault="00844554" w:rsidP="00844554">
      <w:pPr>
        <w:widowControl w:val="0"/>
        <w:tabs>
          <w:tab w:val="left" w:pos="567"/>
        </w:tabs>
        <w:spacing w:after="0" w:line="240" w:lineRule="auto"/>
        <w:ind w:left="600" w:hanging="600"/>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5.</w:t>
      </w:r>
      <w:r w:rsidRPr="00844554">
        <w:rPr>
          <w:rFonts w:ascii="Times New Roman" w:eastAsia="Times New Roman" w:hAnsi="Times New Roman" w:cs="Times New Roman"/>
          <w:b/>
          <w:bCs/>
          <w:kern w:val="0"/>
          <w:sz w:val="22"/>
          <w:szCs w:val="22"/>
          <w14:ligatures w14:val="none"/>
        </w:rPr>
        <w:tab/>
        <w:t xml:space="preserve">Kaip laikyti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kern w:val="0"/>
          <w:sz w:val="22"/>
          <w:szCs w:val="22"/>
          <w14:ligatures w14:val="none"/>
        </w:rPr>
        <w:t xml:space="preserve"> </w:t>
      </w:r>
    </w:p>
    <w:p w14:paraId="714C9733"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25160F0" w14:textId="77777777" w:rsid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Šį vaistą laikykite vaikams nepastebimoje ir nepasiekiamoje vietoje.</w:t>
      </w:r>
    </w:p>
    <w:p w14:paraId="140D6E25"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27008FC3" w14:textId="69B39391" w:rsidR="00844554" w:rsidRDefault="008616EC"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616EC">
        <w:rPr>
          <w:rFonts w:ascii="Times New Roman" w:eastAsia="Times New Roman" w:hAnsi="Times New Roman" w:cs="Times New Roman"/>
          <w:kern w:val="0"/>
          <w:sz w:val="22"/>
          <w:szCs w:val="22"/>
          <w14:ligatures w14:val="none"/>
        </w:rPr>
        <w:t>Laikyti ne aukštesnėje kaip 30</w:t>
      </w:r>
      <w:r>
        <w:rPr>
          <w:rFonts w:ascii="Times New Roman" w:eastAsia="Times New Roman" w:hAnsi="Times New Roman" w:cs="Times New Roman"/>
          <w:kern w:val="0"/>
          <w:sz w:val="22"/>
          <w:szCs w:val="22"/>
          <w14:ligatures w14:val="none"/>
        </w:rPr>
        <w:t xml:space="preserve"> </w:t>
      </w:r>
      <w:r w:rsidRPr="008616EC">
        <w:rPr>
          <w:rFonts w:ascii="Times New Roman" w:eastAsia="Times New Roman" w:hAnsi="Times New Roman" w:cs="Times New Roman"/>
          <w:kern w:val="0"/>
          <w:sz w:val="22"/>
          <w:szCs w:val="22"/>
          <w14:ligatures w14:val="none"/>
        </w:rPr>
        <w:t>ºC temperatūroje.</w:t>
      </w:r>
    </w:p>
    <w:p w14:paraId="6169C5AB"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5B97E4A2" w14:textId="77777777" w:rsidR="00844554" w:rsidRP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Ant dėžutės ir lizdinės plokštelės po „EXP“ nurodytam tinkamumo laikui pasibaigus, šio vaisto vartoti negalima. </w:t>
      </w:r>
    </w:p>
    <w:p w14:paraId="6D2B0EE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7E80EB6"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Vaistų negalima išmesti į kanalizaciją arba kartu su buitinėmis atliekomis. Kaip išmesti nereikalingus vaistus, klauskite vaistininko. Šios priemonės padės apsaugoti aplinką.</w:t>
      </w:r>
    </w:p>
    <w:p w14:paraId="0C891E95"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366F20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F5FBD5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6.</w:t>
      </w:r>
      <w:r w:rsidRPr="00844554">
        <w:rPr>
          <w:rFonts w:ascii="Times New Roman" w:eastAsia="Times New Roman" w:hAnsi="Times New Roman" w:cs="Times New Roman"/>
          <w:b/>
          <w:caps/>
          <w:kern w:val="0"/>
          <w:sz w:val="22"/>
          <w:szCs w:val="22"/>
          <w:lang w:eastAsia="x-none"/>
          <w14:ligatures w14:val="none"/>
        </w:rPr>
        <w:tab/>
      </w:r>
      <w:r w:rsidRPr="00844554">
        <w:rPr>
          <w:rFonts w:ascii="Times New Roman" w:eastAsia="Times New Roman" w:hAnsi="Times New Roman" w:cs="Times New Roman"/>
          <w:b/>
          <w:kern w:val="0"/>
          <w:sz w:val="22"/>
          <w:szCs w:val="22"/>
          <w:lang w:eastAsia="x-none"/>
          <w14:ligatures w14:val="none"/>
        </w:rPr>
        <w:t>Pakuotės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turinys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ir</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kita</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informacija</w:t>
      </w:r>
    </w:p>
    <w:p w14:paraId="36EFF220"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60E74A03" w14:textId="553DD912" w:rsidR="00844554" w:rsidRPr="00844554" w:rsidRDefault="00840D44" w:rsidP="00844554">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sudėtis</w:t>
      </w:r>
    </w:p>
    <w:p w14:paraId="240F2CFC" w14:textId="353F2BDB" w:rsidR="00844554" w:rsidRPr="006A6184" w:rsidRDefault="00844554" w:rsidP="006A6184">
      <w:pPr>
        <w:pStyle w:val="ListParagraph"/>
        <w:numPr>
          <w:ilvl w:val="0"/>
          <w:numId w:val="14"/>
        </w:numPr>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Veiklioji medžiaga yra acikloviras, kiekvienoje tabletėje jo yra 200 mg, 400 mg arba 800 mg.</w:t>
      </w:r>
    </w:p>
    <w:p w14:paraId="753D757E" w14:textId="2E547BA5" w:rsidR="00844554" w:rsidRPr="006A6184" w:rsidRDefault="00844554" w:rsidP="006A6184">
      <w:pPr>
        <w:pStyle w:val="ListParagraph"/>
        <w:numPr>
          <w:ilvl w:val="0"/>
          <w:numId w:val="14"/>
        </w:numPr>
        <w:autoSpaceDE w:val="0"/>
        <w:autoSpaceDN w:val="0"/>
        <w:adjustRightInd w:val="0"/>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Pagalbinės medžiagos yra mikrokristalinė celiuliozė (PH 101) (E460), karboksimetilkrakmolo A natrio druska, povidonas K</w:t>
      </w:r>
      <w:r w:rsidR="00DA4659">
        <w:rPr>
          <w:rFonts w:ascii="Times New Roman" w:eastAsia="Times New Roman" w:hAnsi="Times New Roman" w:cs="Times New Roman"/>
          <w:bCs/>
          <w:kern w:val="0"/>
          <w:sz w:val="22"/>
          <w:szCs w:val="22"/>
          <w14:ligatures w14:val="none"/>
        </w:rPr>
        <w:t>-30</w:t>
      </w:r>
      <w:r w:rsidRPr="006A6184">
        <w:rPr>
          <w:rFonts w:ascii="Times New Roman" w:eastAsia="Times New Roman" w:hAnsi="Times New Roman" w:cs="Times New Roman"/>
          <w:bCs/>
          <w:kern w:val="0"/>
          <w:sz w:val="22"/>
          <w:szCs w:val="22"/>
          <w14:ligatures w14:val="none"/>
        </w:rPr>
        <w:t>, magnio stearatas (E470b).</w:t>
      </w:r>
    </w:p>
    <w:p w14:paraId="51D15A95" w14:textId="77777777" w:rsidR="00844554" w:rsidRDefault="00844554"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42C65D2E" w14:textId="77777777" w:rsidR="00AC1BDB" w:rsidRPr="00844554" w:rsidRDefault="00AC1BDB"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678CF10D" w14:textId="3DA96843" w:rsidR="00844554" w:rsidRPr="00844554" w:rsidRDefault="00840D4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išvaizda ir kiekis pakuotėje</w:t>
      </w:r>
    </w:p>
    <w:p w14:paraId="25086148" w14:textId="6BF8D307"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200 mg, 400 mg ir 800 mg tabletės supakuotos PVC/aliuminio lizdinėse plokštelėse.</w:t>
      </w:r>
    </w:p>
    <w:p w14:paraId="4D88CDA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446C9AD" w14:textId="6975F77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tabletės tiekiamos kartoninėse dėžutėse, kuriose yra:</w:t>
      </w:r>
    </w:p>
    <w:p w14:paraId="7AB3C04B" w14:textId="24677529"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200 mg: 25 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CE50444" w14:textId="56FBD1D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400 mg: 25</w:t>
      </w:r>
      <w:r w:rsidR="00871624">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8E18AD4" w14:textId="15AF1B4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800 mg: 35 tabletės lizdinėse plokštelėse.</w:t>
      </w:r>
    </w:p>
    <w:p w14:paraId="2AE5AD9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6E090C58" w14:textId="48F8848A"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200 mg tabletės yra baltos spalvos, apvalios, abipus išgaubtos. Vienoje pusėje įspausta „200“</w:t>
      </w:r>
      <w:r w:rsidR="00844554" w:rsidRPr="00844554">
        <w:rPr>
          <w:rFonts w:ascii="Times New Roman" w:eastAsia="Times New Roman" w:hAnsi="Times New Roman" w:cs="Times New Roman"/>
          <w:bCs/>
          <w:kern w:val="0"/>
          <w:sz w:val="22"/>
          <w:szCs w:val="22"/>
          <w14:ligatures w14:val="none"/>
        </w:rPr>
        <w:t>.</w:t>
      </w:r>
    </w:p>
    <w:p w14:paraId="59073B45" w14:textId="03638148"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400 mg tabletės yra baltos spalvos, apvalios, abipus išgaubtos</w:t>
      </w:r>
      <w:r w:rsidR="00844554" w:rsidRPr="00844554">
        <w:rPr>
          <w:rFonts w:ascii="Times New Roman" w:eastAsia="Times New Roman" w:hAnsi="Times New Roman" w:cs="Times New Roman"/>
          <w:bCs/>
          <w:kern w:val="0"/>
          <w:sz w:val="22"/>
          <w:szCs w:val="22"/>
          <w14:ligatures w14:val="none"/>
        </w:rPr>
        <w:t>.</w:t>
      </w:r>
    </w:p>
    <w:p w14:paraId="0579B8A3" w14:textId="557D64B0" w:rsidR="00844554" w:rsidRPr="00844554" w:rsidRDefault="006A7E1A"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6A7E1A">
        <w:rPr>
          <w:rFonts w:ascii="Times New Roman" w:eastAsia="Times New Roman" w:hAnsi="Times New Roman" w:cs="Times New Roman"/>
          <w:bCs/>
          <w:kern w:val="0"/>
          <w:sz w:val="22"/>
          <w:szCs w:val="22"/>
          <w14:ligatures w14:val="none"/>
        </w:rPr>
        <w:t>Aciclovir toLife 800 mg tabletės yra baltos spalvos, pailgos, abipus išgaubtos, su vagele vienoje pusėje.</w:t>
      </w:r>
      <w:r w:rsidR="00844554" w:rsidRPr="00844554">
        <w:rPr>
          <w:rFonts w:ascii="Times New Roman" w:eastAsia="Times New Roman" w:hAnsi="Times New Roman" w:cs="Times New Roman"/>
          <w:bCs/>
          <w:kern w:val="0"/>
          <w:sz w:val="22"/>
          <w:szCs w:val="22"/>
          <w14:ligatures w14:val="none"/>
        </w:rPr>
        <w:t>.</w:t>
      </w:r>
    </w:p>
    <w:p w14:paraId="29ACEE47"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A3DE1F2" w14:textId="01018A83"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800 mg: Laužimo vagelė skirta tik tam, kad būtų lengviau perlaužti ir lengviau nuryti, o ne padalyti į lygias dozes.</w:t>
      </w:r>
    </w:p>
    <w:p w14:paraId="6311FE0B"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DFCCB1F" w14:textId="77777777" w:rsidR="006D0055" w:rsidRPr="00844554" w:rsidRDefault="006D0055"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3879F28" w14:textId="77777777" w:rsidR="006A6184" w:rsidRPr="006A6184" w:rsidRDefault="006A6184" w:rsidP="006A618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A6184">
        <w:rPr>
          <w:rFonts w:ascii="Times New Roman" w:eastAsia="Times New Roman" w:hAnsi="Times New Roman" w:cs="Times New Roman"/>
          <w:b/>
          <w:noProof/>
          <w:kern w:val="0"/>
          <w:sz w:val="22"/>
          <w:szCs w:val="22"/>
          <w14:ligatures w14:val="none"/>
        </w:rPr>
        <w:t>Registruotojas eksportuojančioje valstybėje ir gamintojas</w:t>
      </w:r>
    </w:p>
    <w:p w14:paraId="34F1AD5B"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943E3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Registruotojas</w:t>
      </w:r>
    </w:p>
    <w:p w14:paraId="4A557DA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Towa Pharmaceutical, S.A.</w:t>
      </w:r>
    </w:p>
    <w:p w14:paraId="4CC2815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Av. do Forte, 3, Edif. Suécia IV, Piso 0</w:t>
      </w:r>
    </w:p>
    <w:p w14:paraId="5CE8518D"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2794-093 Carnaxide</w:t>
      </w:r>
    </w:p>
    <w:p w14:paraId="7023D317" w14:textId="578D667D"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Portugalija</w:t>
      </w:r>
    </w:p>
    <w:p w14:paraId="29661703"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8D991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Gamintojas</w:t>
      </w:r>
    </w:p>
    <w:p w14:paraId="282B318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Zakłady Farmaceutyczne Polpharma S.A.</w:t>
      </w:r>
    </w:p>
    <w:p w14:paraId="1C176BA6"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(Pharmaceutical Works Polpharma S.A.)</w:t>
      </w:r>
    </w:p>
    <w:p w14:paraId="498978D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19 Pelplińska Str.</w:t>
      </w:r>
    </w:p>
    <w:p w14:paraId="39EE09DA"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83-200 Starogard Gdański</w:t>
      </w:r>
    </w:p>
    <w:p w14:paraId="6F3700BD" w14:textId="7BFCD50C"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Lenkija</w:t>
      </w:r>
    </w:p>
    <w:p w14:paraId="2C24366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476B2E" w14:textId="77777777" w:rsidR="006A6184" w:rsidRPr="006A6184" w:rsidRDefault="006A6184" w:rsidP="006A618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 xml:space="preserve">Lygiagretus importuotojas </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UAB „Niromed“</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Žirmūnų g. 139A</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LT-09120 Vilnius</w:t>
      </w:r>
      <w:r w:rsidRPr="006A6184">
        <w:rPr>
          <w:rFonts w:ascii="Times New Roman" w:eastAsia="TimesNewRoman" w:hAnsi="Times New Roman" w:cs="Times New Roman"/>
          <w:color w:val="000000"/>
          <w:kern w:val="0"/>
          <w:sz w:val="22"/>
          <w:szCs w:val="22"/>
          <w14:ligatures w14:val="none"/>
        </w:rPr>
        <w:br/>
        <w:t>Lietuva</w:t>
      </w:r>
    </w:p>
    <w:p w14:paraId="42E776D0" w14:textId="77777777" w:rsidR="006A6184" w:rsidRPr="006A6184" w:rsidRDefault="006A6184" w:rsidP="006A618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4C5DEC2" w14:textId="77777777" w:rsidR="006A6184" w:rsidRPr="006A6184" w:rsidRDefault="006A6184" w:rsidP="006A618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A6184">
        <w:rPr>
          <w:rFonts w:ascii="Times New Roman" w:eastAsia="Times New Roman" w:hAnsi="Times New Roman" w:cs="Times New Roman"/>
          <w:b/>
          <w:bCs/>
          <w:kern w:val="0"/>
          <w:sz w:val="22"/>
          <w:szCs w:val="22"/>
          <w14:ligatures w14:val="none"/>
        </w:rPr>
        <w:t>Perpakavo</w:t>
      </w:r>
    </w:p>
    <w:p w14:paraId="75FF801B"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LABOR Przedsiębiorstwo Farmaceutyczno-Chemiczne sp. z o.o.</w:t>
      </w:r>
    </w:p>
    <w:p w14:paraId="65E27E86"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Ul. Długosza 49,</w:t>
      </w:r>
    </w:p>
    <w:p w14:paraId="3D1CB81E"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51-162 Wrocław,</w:t>
      </w:r>
    </w:p>
    <w:p w14:paraId="11D01DC9"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Lenkija</w:t>
      </w:r>
    </w:p>
    <w:p w14:paraId="7813550C"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8B2B3E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arba</w:t>
      </w:r>
    </w:p>
    <w:p w14:paraId="1AAD93F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134BA5"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UAB „Entafarma“</w:t>
      </w:r>
    </w:p>
    <w:p w14:paraId="4F49C0A6"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Klonėnų vs. 1,</w:t>
      </w:r>
    </w:p>
    <w:p w14:paraId="5B7073A0"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LT-19156 Širvintų r. sav.</w:t>
      </w:r>
    </w:p>
    <w:p w14:paraId="04109A5E" w14:textId="77777777" w:rsidR="006A6184" w:rsidRPr="006A6184" w:rsidRDefault="006A6184" w:rsidP="006A618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A6184">
        <w:rPr>
          <w:rFonts w:ascii="Times New Roman" w:eastAsia="TimesNewRoman" w:hAnsi="Times New Roman" w:cs="Times New Roman"/>
          <w:color w:val="000000"/>
          <w:kern w:val="0"/>
          <w:sz w:val="22"/>
          <w:szCs w:val="22"/>
          <w14:ligatures w14:val="none"/>
        </w:rPr>
        <w:t>Lietuva</w:t>
      </w:r>
    </w:p>
    <w:p w14:paraId="0BD370DA"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99D1890" w14:textId="147E4D3C"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Šis pakuotės lapelis paskutinį kartą peržiūrėtas </w:t>
      </w:r>
      <w:r w:rsidR="00580EC0">
        <w:rPr>
          <w:rFonts w:ascii="Times New Roman" w:eastAsia="Times New Roman" w:hAnsi="Times New Roman" w:cs="Times New Roman"/>
          <w:b/>
          <w:kern w:val="0"/>
          <w:sz w:val="22"/>
          <w:szCs w:val="22"/>
          <w14:ligatures w14:val="none"/>
        </w:rPr>
        <w:t>2025-10-03</w:t>
      </w:r>
      <w:bookmarkStart w:id="1" w:name="_GoBack"/>
      <w:bookmarkEnd w:id="1"/>
    </w:p>
    <w:p w14:paraId="2AC41D16" w14:textId="77777777" w:rsidR="00844554" w:rsidRPr="00844554" w:rsidRDefault="00844554" w:rsidP="00844554">
      <w:pPr>
        <w:tabs>
          <w:tab w:val="left" w:pos="567"/>
        </w:tabs>
        <w:spacing w:after="0" w:line="240" w:lineRule="auto"/>
        <w:rPr>
          <w:rFonts w:ascii="Times New Roman" w:eastAsia="Times New Roman" w:hAnsi="Times New Roman" w:cs="Times New Roman"/>
          <w:i/>
          <w:kern w:val="0"/>
          <w:sz w:val="22"/>
          <w:szCs w:val="22"/>
          <w14:ligatures w14:val="none"/>
        </w:rPr>
      </w:pPr>
    </w:p>
    <w:p w14:paraId="04C7BD1F" w14:textId="173E7D29"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r w:rsidRPr="00D02D2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02D26">
          <w:rPr>
            <w:rStyle w:val="Hyperlink"/>
            <w:rFonts w:ascii="Times New Roman" w:eastAsia="Times New Roman" w:hAnsi="Times New Roman" w:cs="Times New Roman"/>
            <w:kern w:val="0"/>
            <w:sz w:val="22"/>
            <w:szCs w:val="20"/>
            <w:lang w:eastAsia="lt-LT" w:bidi="lt-LT"/>
            <w14:ligatures w14:val="none"/>
          </w:rPr>
          <w:t>https://vvkt.lrv.lt/lt/</w:t>
        </w:r>
      </w:hyperlink>
      <w:r w:rsidRPr="00D02D26">
        <w:rPr>
          <w:rFonts w:ascii="Times New Roman" w:eastAsia="Times New Roman" w:hAnsi="Times New Roman" w:cs="Times New Roman"/>
          <w:kern w:val="0"/>
          <w:sz w:val="22"/>
          <w:szCs w:val="20"/>
          <w:lang w:eastAsia="lt-LT" w:bidi="lt-LT"/>
          <w14:ligatures w14:val="none"/>
        </w:rPr>
        <w:t>.</w:t>
      </w:r>
    </w:p>
    <w:p w14:paraId="7FCD12CC" w14:textId="77777777"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p>
    <w:p w14:paraId="04DF7EAE"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200 mg tabletės</w:t>
      </w:r>
    </w:p>
    <w:p w14:paraId="0D0B8D4A"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„LG1“, lygiagrečiai importuojamo vaisto tablečių vienoje pusėje įspausta „200“;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380C94" w14:textId="77777777" w:rsidR="006D0055" w:rsidRPr="006D0055" w:rsidRDefault="006D0055" w:rsidP="006D0055">
      <w:pPr>
        <w:spacing w:line="259" w:lineRule="auto"/>
        <w:rPr>
          <w:rFonts w:ascii="Times New Roman" w:eastAsia="Aptos" w:hAnsi="Times New Roman" w:cs="Times New Roman"/>
          <w:i/>
          <w:iCs/>
          <w:sz w:val="22"/>
          <w:szCs w:val="22"/>
        </w:rPr>
      </w:pPr>
    </w:p>
    <w:p w14:paraId="7447422F"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400 mg tabletės</w:t>
      </w:r>
    </w:p>
    <w:p w14:paraId="6CC2FCA8"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 virš ir „2“ po laužimo vagele;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63B557" w14:textId="77777777" w:rsidR="006D0055" w:rsidRPr="006D0055" w:rsidRDefault="006D0055" w:rsidP="006D0055">
      <w:pPr>
        <w:spacing w:line="259" w:lineRule="auto"/>
        <w:rPr>
          <w:rFonts w:ascii="Times New Roman" w:eastAsia="Aptos" w:hAnsi="Times New Roman" w:cs="Times New Roman"/>
          <w:i/>
          <w:iCs/>
          <w:sz w:val="22"/>
          <w:szCs w:val="22"/>
        </w:rPr>
      </w:pPr>
    </w:p>
    <w:p w14:paraId="7F308B44"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800 mg tabletės</w:t>
      </w:r>
    </w:p>
    <w:p w14:paraId="21299212" w14:textId="2A85CED0" w:rsidR="00AC1BDB" w:rsidRPr="006D0055" w:rsidRDefault="006D0055" w:rsidP="006D0055">
      <w:pPr>
        <w:spacing w:line="259" w:lineRule="auto"/>
        <w:rPr>
          <w:rFonts w:ascii="Times New Roman" w:eastAsia="Aptos" w:hAnsi="Times New Roman" w:cs="Times New Roman"/>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abipus laužimo vagelės įspausta „LG“ ir „3“;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sectPr w:rsidR="00AC1BDB" w:rsidRPr="006D0055" w:rsidSect="00844554">
      <w:footerReference w:type="even" r:id="rId9"/>
      <w:footerReference w:type="default" r:id="rId10"/>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D6B64" w14:textId="77777777" w:rsidR="00EE0435" w:rsidRDefault="00EE0435">
      <w:pPr>
        <w:spacing w:after="0" w:line="240" w:lineRule="auto"/>
      </w:pPr>
      <w:r>
        <w:separator/>
      </w:r>
    </w:p>
  </w:endnote>
  <w:endnote w:type="continuationSeparator" w:id="0">
    <w:p w14:paraId="7C84BEDC" w14:textId="77777777" w:rsidR="00EE0435" w:rsidRDefault="00EE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3FB9" w14:textId="77777777" w:rsidR="005D4379" w:rsidRDefault="005D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389D4" w14:textId="77777777" w:rsidR="005D4379" w:rsidRDefault="005D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4B6F" w14:textId="77777777" w:rsidR="005D4379" w:rsidRDefault="005D4379">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26</w:t>
    </w:r>
    <w:r>
      <w:rPr>
        <w:rStyle w:val="PageNumber"/>
        <w:rFonts w:ascii="Arial" w:hAnsi="Arial" w:cs="Arial"/>
        <w:sz w:val="16"/>
      </w:rPr>
      <w:fldChar w:fldCharType="end"/>
    </w:r>
  </w:p>
  <w:p w14:paraId="716E9F5D" w14:textId="77777777" w:rsidR="005D4379" w:rsidRDefault="005D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F64C" w14:textId="77777777" w:rsidR="00EE0435" w:rsidRDefault="00EE0435">
      <w:pPr>
        <w:spacing w:after="0" w:line="240" w:lineRule="auto"/>
      </w:pPr>
      <w:r>
        <w:separator/>
      </w:r>
    </w:p>
  </w:footnote>
  <w:footnote w:type="continuationSeparator" w:id="0">
    <w:p w14:paraId="015011CB" w14:textId="77777777" w:rsidR="00EE0435" w:rsidRDefault="00EE0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6EC"/>
    <w:multiLevelType w:val="hybridMultilevel"/>
    <w:tmpl w:val="089EF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302968"/>
    <w:multiLevelType w:val="hybridMultilevel"/>
    <w:tmpl w:val="69DC8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901FF4"/>
    <w:multiLevelType w:val="hybridMultilevel"/>
    <w:tmpl w:val="04FEE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E9431D7"/>
    <w:multiLevelType w:val="hybridMultilevel"/>
    <w:tmpl w:val="A9F6DB12"/>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5D162E"/>
    <w:multiLevelType w:val="hybridMultilevel"/>
    <w:tmpl w:val="4934B8AE"/>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CA0F44"/>
    <w:multiLevelType w:val="hybridMultilevel"/>
    <w:tmpl w:val="DA0CB7A4"/>
    <w:lvl w:ilvl="0" w:tplc="C868E38A">
      <w:start w:val="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6A1882"/>
    <w:multiLevelType w:val="hybridMultilevel"/>
    <w:tmpl w:val="170440F4"/>
    <w:lvl w:ilvl="0" w:tplc="C304F8E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CD309E"/>
    <w:multiLevelType w:val="hybridMultilevel"/>
    <w:tmpl w:val="AFB2A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3C7C54"/>
    <w:multiLevelType w:val="hybridMultilevel"/>
    <w:tmpl w:val="EF5C4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614644"/>
    <w:multiLevelType w:val="hybridMultilevel"/>
    <w:tmpl w:val="B2F2806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EC3248"/>
    <w:multiLevelType w:val="hybridMultilevel"/>
    <w:tmpl w:val="ACEC64FA"/>
    <w:lvl w:ilvl="0" w:tplc="04270001">
      <w:start w:val="1"/>
      <w:numFmt w:val="bullet"/>
      <w:lvlText w:val=""/>
      <w:lvlJc w:val="left"/>
      <w:pPr>
        <w:ind w:left="720" w:hanging="360"/>
      </w:pPr>
      <w:rPr>
        <w:rFonts w:ascii="Symbol" w:hAnsi="Symbol" w:hint="default"/>
      </w:rPr>
    </w:lvl>
    <w:lvl w:ilvl="1" w:tplc="6BA877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A360A8"/>
    <w:multiLevelType w:val="hybridMultilevel"/>
    <w:tmpl w:val="95846792"/>
    <w:lvl w:ilvl="0" w:tplc="FFFFFFFF">
      <w:start w:val="1"/>
      <w:numFmt w:val="bullet"/>
      <w:lvlText w:val="­"/>
      <w:lvlJc w:val="left"/>
      <w:pPr>
        <w:ind w:left="720" w:hanging="360"/>
      </w:pPr>
      <w:rPr>
        <w:rFonts w:ascii="Times New Roman" w:hAnsi="Times New Roman" w:cs="Times New Roman" w:hint="default"/>
        <w:b w:val="0"/>
        <w:i w:val="0"/>
        <w:sz w:val="24"/>
        <w:szCs w:val="24"/>
      </w:rPr>
    </w:lvl>
    <w:lvl w:ilvl="1" w:tplc="494A0656">
      <w:start w:val="1"/>
      <w:numFmt w:val="bullet"/>
      <w:lvlText w:val="­"/>
      <w:lvlJc w:val="left"/>
      <w:pPr>
        <w:ind w:left="720" w:hanging="360"/>
      </w:pPr>
      <w:rPr>
        <w:rFonts w:ascii="Times New Roman" w:hAnsi="Times New Roman" w:cs="Times New Roman" w:hint="default"/>
        <w:b w:val="0"/>
        <w:i w:val="0"/>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B07EA"/>
    <w:multiLevelType w:val="hybridMultilevel"/>
    <w:tmpl w:val="887A31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C6813"/>
    <w:multiLevelType w:val="hybridMultilevel"/>
    <w:tmpl w:val="AC68A18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B316075"/>
    <w:multiLevelType w:val="hybridMultilevel"/>
    <w:tmpl w:val="69EE6E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7"/>
  </w:num>
  <w:num w:numId="5">
    <w:abstractNumId w:val="12"/>
  </w:num>
  <w:num w:numId="6">
    <w:abstractNumId w:val="1"/>
  </w:num>
  <w:num w:numId="7">
    <w:abstractNumId w:val="9"/>
  </w:num>
  <w:num w:numId="8">
    <w:abstractNumId w:val="2"/>
  </w:num>
  <w:num w:numId="9">
    <w:abstractNumId w:val="11"/>
  </w:num>
  <w:num w:numId="10">
    <w:abstractNumId w:val="15"/>
  </w:num>
  <w:num w:numId="11">
    <w:abstractNumId w:val="10"/>
  </w:num>
  <w:num w:numId="12">
    <w:abstractNumId w:val="13"/>
  </w:num>
  <w:num w:numId="13">
    <w:abstractNumId w:val="3"/>
  </w:num>
  <w:num w:numId="14">
    <w:abstractNumId w:val="6"/>
  </w:num>
  <w:num w:numId="15">
    <w:abstractNumId w:val="14"/>
  </w:num>
  <w:num w:numId="16">
    <w:abstractNumId w:val="8"/>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1A"/>
    <w:rsid w:val="000211BD"/>
    <w:rsid w:val="00090DCA"/>
    <w:rsid w:val="000E75BE"/>
    <w:rsid w:val="00107FF1"/>
    <w:rsid w:val="001D2E31"/>
    <w:rsid w:val="002002B3"/>
    <w:rsid w:val="00231C85"/>
    <w:rsid w:val="002F6F87"/>
    <w:rsid w:val="004D4C8C"/>
    <w:rsid w:val="00547EFC"/>
    <w:rsid w:val="00580EC0"/>
    <w:rsid w:val="005A0F09"/>
    <w:rsid w:val="005D4379"/>
    <w:rsid w:val="006A6184"/>
    <w:rsid w:val="006A7E1A"/>
    <w:rsid w:val="006D0055"/>
    <w:rsid w:val="00840D44"/>
    <w:rsid w:val="00844554"/>
    <w:rsid w:val="008616EC"/>
    <w:rsid w:val="00871624"/>
    <w:rsid w:val="009377AD"/>
    <w:rsid w:val="00AC1BDB"/>
    <w:rsid w:val="00B41B52"/>
    <w:rsid w:val="00CD5F1A"/>
    <w:rsid w:val="00D02D26"/>
    <w:rsid w:val="00DA4659"/>
    <w:rsid w:val="00ED41F9"/>
    <w:rsid w:val="00EE0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CC8A"/>
  <w15:chartTrackingRefBased/>
  <w15:docId w15:val="{4C82D3D4-75C1-42B1-9862-36129F9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F1A"/>
    <w:rPr>
      <w:rFonts w:eastAsiaTheme="majorEastAsia" w:cstheme="majorBidi"/>
      <w:color w:val="272727" w:themeColor="text1" w:themeTint="D8"/>
    </w:rPr>
  </w:style>
  <w:style w:type="paragraph" w:styleId="Title">
    <w:name w:val="Title"/>
    <w:basedOn w:val="Normal"/>
    <w:next w:val="Normal"/>
    <w:link w:val="TitleChar"/>
    <w:uiPriority w:val="10"/>
    <w:qFormat/>
    <w:rsid w:val="00CD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F1A"/>
    <w:pPr>
      <w:spacing w:before="160"/>
      <w:jc w:val="center"/>
    </w:pPr>
    <w:rPr>
      <w:i/>
      <w:iCs/>
      <w:color w:val="404040" w:themeColor="text1" w:themeTint="BF"/>
    </w:rPr>
  </w:style>
  <w:style w:type="character" w:customStyle="1" w:styleId="QuoteChar">
    <w:name w:val="Quote Char"/>
    <w:basedOn w:val="DefaultParagraphFont"/>
    <w:link w:val="Quote"/>
    <w:uiPriority w:val="29"/>
    <w:rsid w:val="00CD5F1A"/>
    <w:rPr>
      <w:i/>
      <w:iCs/>
      <w:color w:val="404040" w:themeColor="text1" w:themeTint="BF"/>
    </w:rPr>
  </w:style>
  <w:style w:type="paragraph" w:styleId="ListParagraph">
    <w:name w:val="List Paragraph"/>
    <w:basedOn w:val="Normal"/>
    <w:uiPriority w:val="34"/>
    <w:qFormat/>
    <w:rsid w:val="00CD5F1A"/>
    <w:pPr>
      <w:ind w:left="720"/>
      <w:contextualSpacing/>
    </w:pPr>
  </w:style>
  <w:style w:type="character" w:styleId="IntenseEmphasis">
    <w:name w:val="Intense Emphasis"/>
    <w:basedOn w:val="DefaultParagraphFont"/>
    <w:uiPriority w:val="21"/>
    <w:qFormat/>
    <w:rsid w:val="00CD5F1A"/>
    <w:rPr>
      <w:i/>
      <w:iCs/>
      <w:color w:val="0F4761" w:themeColor="accent1" w:themeShade="BF"/>
    </w:rPr>
  </w:style>
  <w:style w:type="paragraph" w:styleId="IntenseQuote">
    <w:name w:val="Intense Quote"/>
    <w:basedOn w:val="Normal"/>
    <w:next w:val="Normal"/>
    <w:link w:val="IntenseQuoteChar"/>
    <w:uiPriority w:val="30"/>
    <w:qFormat/>
    <w:rsid w:val="00CD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F1A"/>
    <w:rPr>
      <w:i/>
      <w:iCs/>
      <w:color w:val="0F4761" w:themeColor="accent1" w:themeShade="BF"/>
    </w:rPr>
  </w:style>
  <w:style w:type="character" w:styleId="IntenseReference">
    <w:name w:val="Intense Reference"/>
    <w:basedOn w:val="DefaultParagraphFont"/>
    <w:uiPriority w:val="32"/>
    <w:qFormat/>
    <w:rsid w:val="00CD5F1A"/>
    <w:rPr>
      <w:b/>
      <w:bCs/>
      <w:smallCaps/>
      <w:color w:val="0F4761" w:themeColor="accent1" w:themeShade="BF"/>
      <w:spacing w:val="5"/>
    </w:rPr>
  </w:style>
  <w:style w:type="paragraph" w:styleId="Footer">
    <w:name w:val="footer"/>
    <w:basedOn w:val="Normal"/>
    <w:link w:val="FooterChar"/>
    <w:uiPriority w:val="99"/>
    <w:semiHidden/>
    <w:unhideWhenUsed/>
    <w:rsid w:val="008445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44554"/>
  </w:style>
  <w:style w:type="character" w:styleId="PageNumber">
    <w:name w:val="page number"/>
    <w:basedOn w:val="DefaultParagraphFont"/>
    <w:rsid w:val="00844554"/>
  </w:style>
  <w:style w:type="table" w:styleId="TableGrid">
    <w:name w:val="Table Grid"/>
    <w:basedOn w:val="TableNormal"/>
    <w:rsid w:val="00844554"/>
    <w:pPr>
      <w:spacing w:after="0" w:line="240" w:lineRule="auto"/>
    </w:pPr>
    <w:rPr>
      <w:rFonts w:ascii="Times New Roman" w:eastAsia="Times New Roma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D26"/>
    <w:rPr>
      <w:color w:val="467886" w:themeColor="hyperlink"/>
      <w:u w:val="single"/>
    </w:rPr>
  </w:style>
  <w:style w:type="character" w:customStyle="1" w:styleId="UnresolvedMention">
    <w:name w:val="Unresolved Mention"/>
    <w:basedOn w:val="DefaultParagraphFont"/>
    <w:uiPriority w:val="99"/>
    <w:semiHidden/>
    <w:unhideWhenUsed/>
    <w:rsid w:val="00D0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8513</Words>
  <Characters>4853</Characters>
  <Application>Microsoft Office Word</Application>
  <DocSecurity>0</DocSecurity>
  <Lines>40</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2025-03-30T18:18:00Z</dcterms:created>
  <dcterms:modified xsi:type="dcterms:W3CDTF">2025-10-03T08:15:00Z</dcterms:modified>
</cp:coreProperties>
</file>