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03CF" w14:textId="77777777" w:rsidR="00AA471E" w:rsidRPr="00C07A3C" w:rsidRDefault="00AA471E" w:rsidP="00AA471E">
      <w:pPr>
        <w:jc w:val="center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>Pakuotės lapelis: informacija vartotojui</w:t>
      </w:r>
    </w:p>
    <w:p w14:paraId="19F40554" w14:textId="77777777" w:rsidR="00AA471E" w:rsidRPr="009C0DB0" w:rsidRDefault="00AA471E" w:rsidP="00AA471E">
      <w:pPr>
        <w:jc w:val="center"/>
        <w:outlineLvl w:val="0"/>
        <w:rPr>
          <w:rFonts w:eastAsia="Calibri"/>
        </w:rPr>
      </w:pPr>
    </w:p>
    <w:p w14:paraId="417D14EC" w14:textId="239E5B02" w:rsidR="00AA471E" w:rsidRPr="00C07A3C" w:rsidRDefault="00CF62BF" w:rsidP="00AA471E">
      <w:pPr>
        <w:numPr>
          <w:ilvl w:val="12"/>
          <w:numId w:val="0"/>
        </w:numPr>
        <w:jc w:val="center"/>
        <w:rPr>
          <w:rFonts w:eastAsia="Calibri"/>
          <w:b/>
        </w:rPr>
      </w:pPr>
      <w:bookmarkStart w:id="0" w:name="_Hlk819300"/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125</w:t>
      </w:r>
      <w:r w:rsidR="00AA471E">
        <w:rPr>
          <w:rFonts w:eastAsia="Calibri"/>
          <w:b/>
        </w:rPr>
        <w:t> </w:t>
      </w:r>
      <w:r w:rsidR="00AA471E" w:rsidRPr="00C07A3C">
        <w:rPr>
          <w:rFonts w:eastAsia="Calibri"/>
          <w:b/>
        </w:rPr>
        <w:t>mg/5</w:t>
      </w:r>
      <w:r w:rsidR="00AA471E">
        <w:rPr>
          <w:rFonts w:eastAsia="Calibri"/>
          <w:b/>
        </w:rPr>
        <w:t> </w:t>
      </w:r>
      <w:r w:rsidR="00AA471E" w:rsidRPr="00C07A3C">
        <w:rPr>
          <w:rFonts w:eastAsia="Calibri"/>
          <w:b/>
        </w:rPr>
        <w:t>ml granulės geriamajai suspensijai</w:t>
      </w:r>
    </w:p>
    <w:p w14:paraId="76987E6B" w14:textId="63A386C9" w:rsidR="00AA471E" w:rsidRPr="00C07A3C" w:rsidRDefault="00316243" w:rsidP="00AA471E">
      <w:pPr>
        <w:numPr>
          <w:ilvl w:val="12"/>
          <w:numId w:val="0"/>
        </w:numPr>
        <w:jc w:val="center"/>
        <w:rPr>
          <w:rFonts w:eastAsia="Calibri"/>
        </w:rPr>
      </w:pPr>
      <w:r>
        <w:rPr>
          <w:rFonts w:eastAsia="Calibri"/>
        </w:rPr>
        <w:t>c</w:t>
      </w:r>
      <w:r w:rsidRPr="00C07A3C">
        <w:rPr>
          <w:rFonts w:eastAsia="Calibri"/>
        </w:rPr>
        <w:t>efuroksimas</w:t>
      </w:r>
    </w:p>
    <w:bookmarkEnd w:id="0"/>
    <w:p w14:paraId="5336C329" w14:textId="77777777" w:rsidR="00AA471E" w:rsidRPr="00C07A3C" w:rsidRDefault="00AA471E" w:rsidP="00AA471E">
      <w:pPr>
        <w:jc w:val="center"/>
        <w:rPr>
          <w:rFonts w:eastAsia="Calibri"/>
        </w:rPr>
      </w:pPr>
    </w:p>
    <w:p w14:paraId="76E9D222" w14:textId="77777777" w:rsidR="00AA471E" w:rsidRPr="00C07A3C" w:rsidRDefault="00AA471E" w:rsidP="00AA471E">
      <w:pPr>
        <w:rPr>
          <w:rFonts w:eastAsia="Calibri"/>
          <w:b/>
        </w:rPr>
      </w:pPr>
      <w:r w:rsidRPr="00C07A3C">
        <w:rPr>
          <w:rFonts w:eastAsia="Calibri"/>
          <w:b/>
        </w:rPr>
        <w:t>Atidžiai perskaitykite visą šį lapelį, prieš pradėdami vartoti vaistą, nes jame pateikiama Jums svarbi informacija.</w:t>
      </w:r>
    </w:p>
    <w:p w14:paraId="032F652E" w14:textId="77777777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-</w:t>
      </w:r>
      <w:r w:rsidRPr="00C07A3C">
        <w:rPr>
          <w:rFonts w:eastAsia="Calibri"/>
        </w:rPr>
        <w:tab/>
        <w:t>Neišmeskite šio lapelio, nes vėl gali prireikti jį perskaityti.</w:t>
      </w:r>
    </w:p>
    <w:p w14:paraId="4C494EE1" w14:textId="77777777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-</w:t>
      </w:r>
      <w:r w:rsidRPr="00C07A3C">
        <w:rPr>
          <w:rFonts w:eastAsia="Calibri"/>
        </w:rPr>
        <w:tab/>
        <w:t>Jeigu kiltų daugiau klausimų, kreipkitės į gydytoją, vaistininką arba slaugytoją.</w:t>
      </w:r>
    </w:p>
    <w:p w14:paraId="3363FE49" w14:textId="77777777" w:rsidR="00AA471E" w:rsidRPr="00C07A3C" w:rsidRDefault="00AA471E" w:rsidP="00AA471E">
      <w:pPr>
        <w:numPr>
          <w:ilvl w:val="0"/>
          <w:numId w:val="1"/>
        </w:numPr>
        <w:ind w:left="567" w:hanging="567"/>
        <w:rPr>
          <w:rFonts w:eastAsia="Calibri"/>
        </w:rPr>
      </w:pPr>
      <w:r w:rsidRPr="00C07A3C">
        <w:rPr>
          <w:rFonts w:eastAsia="Calibri"/>
        </w:rPr>
        <w:t>Šis vaistas skirtas tik Jums, todėl kitiems žmonėms jo duoti negalima. Vaistas gali jiems pakenkti (net tiems, kurių ligos požymiai yra tokie patys kaip Jūsų).</w:t>
      </w:r>
    </w:p>
    <w:p w14:paraId="1E1EFA42" w14:textId="77777777" w:rsidR="00AA471E" w:rsidRPr="00C07A3C" w:rsidRDefault="00AA471E" w:rsidP="00AA471E">
      <w:pPr>
        <w:numPr>
          <w:ilvl w:val="0"/>
          <w:numId w:val="1"/>
        </w:numPr>
        <w:ind w:left="567" w:hanging="567"/>
        <w:rPr>
          <w:rFonts w:eastAsia="Calibri"/>
        </w:rPr>
      </w:pPr>
      <w:r w:rsidRPr="00C07A3C">
        <w:rPr>
          <w:rFonts w:eastAsia="Calibri"/>
        </w:rPr>
        <w:t>Jeigu pasireiškė šalutinis poveikis (net jeigu jis šiame lapelyje nenurodytas), kreipkitės į gydytoją, vaistininką arba slaugytoją. Žr. 4 skyrių.</w:t>
      </w:r>
    </w:p>
    <w:p w14:paraId="2573713F" w14:textId="77777777" w:rsidR="00AA471E" w:rsidRPr="00C07A3C" w:rsidRDefault="00AA471E" w:rsidP="00AA471E">
      <w:pPr>
        <w:ind w:right="-2"/>
        <w:rPr>
          <w:rFonts w:eastAsia="Calibri"/>
        </w:rPr>
      </w:pPr>
    </w:p>
    <w:p w14:paraId="58CC4B5D" w14:textId="77777777" w:rsidR="00AA471E" w:rsidRPr="00C07A3C" w:rsidRDefault="00AA471E" w:rsidP="00AA471E">
      <w:pPr>
        <w:ind w:left="567" w:hanging="567"/>
        <w:rPr>
          <w:rFonts w:eastAsia="Calibri"/>
          <w:b/>
        </w:rPr>
      </w:pPr>
      <w:r w:rsidRPr="00C07A3C">
        <w:rPr>
          <w:rFonts w:eastAsia="Calibri"/>
          <w:b/>
        </w:rPr>
        <w:t>Apie ką rašoma šiame lapelyje?</w:t>
      </w:r>
    </w:p>
    <w:p w14:paraId="30740195" w14:textId="77777777" w:rsidR="00AA471E" w:rsidRPr="009C0DB0" w:rsidRDefault="00AA471E" w:rsidP="00AA471E">
      <w:pPr>
        <w:ind w:left="567" w:hanging="567"/>
        <w:rPr>
          <w:rFonts w:eastAsia="Calibri"/>
        </w:rPr>
      </w:pPr>
    </w:p>
    <w:p w14:paraId="6D6D7FF3" w14:textId="238E4157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1.</w:t>
      </w:r>
      <w:r w:rsidRPr="00C07A3C">
        <w:rPr>
          <w:rFonts w:eastAsia="Calibri"/>
        </w:rPr>
        <w:tab/>
        <w:t xml:space="preserve">Kas yra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ir kam jis vartojamas</w:t>
      </w:r>
    </w:p>
    <w:p w14:paraId="1CD290C7" w14:textId="62C4DF32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2.</w:t>
      </w:r>
      <w:r w:rsidRPr="00C07A3C">
        <w:rPr>
          <w:rFonts w:eastAsia="Calibri"/>
        </w:rPr>
        <w:tab/>
        <w:t xml:space="preserve">Kas žinotina prieš vartojant </w:t>
      </w:r>
      <w:r w:rsidR="00CF62BF">
        <w:rPr>
          <w:rFonts w:eastAsia="Calibri"/>
        </w:rPr>
        <w:t>CEFUROX BASICS</w:t>
      </w:r>
    </w:p>
    <w:p w14:paraId="5508F3BD" w14:textId="40C1D87A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3.</w:t>
      </w:r>
      <w:r w:rsidRPr="00C07A3C">
        <w:rPr>
          <w:rFonts w:eastAsia="Calibri"/>
        </w:rPr>
        <w:tab/>
        <w:t xml:space="preserve">Kaip vartoti </w:t>
      </w:r>
      <w:r w:rsidR="00CF62BF">
        <w:rPr>
          <w:rFonts w:eastAsia="Calibri"/>
        </w:rPr>
        <w:t>CEFUROX BASICS</w:t>
      </w:r>
    </w:p>
    <w:p w14:paraId="537B8482" w14:textId="77777777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4.</w:t>
      </w:r>
      <w:r w:rsidRPr="00C07A3C">
        <w:rPr>
          <w:rFonts w:eastAsia="Calibri"/>
        </w:rPr>
        <w:tab/>
        <w:t>Galimas šalutinis poveikis</w:t>
      </w:r>
    </w:p>
    <w:p w14:paraId="449749D1" w14:textId="32EA939E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5.</w:t>
      </w:r>
      <w:r w:rsidRPr="00C07A3C">
        <w:rPr>
          <w:rFonts w:eastAsia="Calibri"/>
        </w:rPr>
        <w:tab/>
        <w:t xml:space="preserve">Kaip laikyti </w:t>
      </w:r>
      <w:r w:rsidR="00CF62BF">
        <w:rPr>
          <w:rFonts w:eastAsia="Calibri"/>
        </w:rPr>
        <w:t>CEFUROX BASICS</w:t>
      </w:r>
    </w:p>
    <w:p w14:paraId="7AF7A18D" w14:textId="77777777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6.</w:t>
      </w:r>
      <w:r w:rsidRPr="00C07A3C">
        <w:rPr>
          <w:rFonts w:eastAsia="Calibri"/>
        </w:rPr>
        <w:tab/>
        <w:t>Pakuotės turinys ir kita informacija</w:t>
      </w:r>
    </w:p>
    <w:p w14:paraId="08FD9B22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0435130A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03281624" w14:textId="36B80740" w:rsidR="00AA471E" w:rsidRPr="00C07A3C" w:rsidRDefault="00AA471E" w:rsidP="00AA471E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C07A3C">
        <w:rPr>
          <w:rFonts w:eastAsia="Calibri"/>
          <w:b/>
        </w:rPr>
        <w:t>1.</w:t>
      </w:r>
      <w:r w:rsidRPr="00C07A3C">
        <w:rPr>
          <w:rFonts w:eastAsia="Calibri"/>
          <w:b/>
        </w:rPr>
        <w:tab/>
        <w:t xml:space="preserve">Kas yra </w:t>
      </w:r>
      <w:r w:rsidR="00CF62BF">
        <w:rPr>
          <w:rFonts w:eastAsia="Calibri"/>
          <w:b/>
        </w:rPr>
        <w:t>CEFUROX BASICS</w:t>
      </w:r>
      <w:r w:rsidRPr="00C07A3C">
        <w:rPr>
          <w:rFonts w:eastAsia="Calibri"/>
          <w:b/>
        </w:rPr>
        <w:t xml:space="preserve"> ir kam jis vartojamas</w:t>
      </w:r>
    </w:p>
    <w:p w14:paraId="33E61CB3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1DE7CCA8" w14:textId="524CDF8C" w:rsidR="00AA471E" w:rsidRPr="00C07A3C" w:rsidRDefault="00CF62BF" w:rsidP="00AA471E">
      <w:pPr>
        <w:numPr>
          <w:ilvl w:val="12"/>
          <w:numId w:val="0"/>
        </w:numPr>
        <w:ind w:right="-2"/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yra antibiotikas, kuriuo gydomi suaugusieji ir vaikai. Jis naikina infekcines ligas sukeliančias bakterijas. Jis priklauso vaistų, vadinamų </w:t>
      </w:r>
      <w:r w:rsidR="00AA471E" w:rsidRPr="00C07A3C">
        <w:rPr>
          <w:rFonts w:eastAsia="Calibri"/>
          <w:i/>
        </w:rPr>
        <w:t>cefalosporinais</w:t>
      </w:r>
      <w:r w:rsidR="00AA471E" w:rsidRPr="00C07A3C">
        <w:rPr>
          <w:rFonts w:eastAsia="Calibri"/>
        </w:rPr>
        <w:t>, grupei.</w:t>
      </w:r>
    </w:p>
    <w:p w14:paraId="60A31A67" w14:textId="77777777" w:rsidR="00AA471E" w:rsidRPr="009C0DB0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6C38C54C" w14:textId="3B3587B8" w:rsidR="00AA471E" w:rsidRPr="00C07A3C" w:rsidRDefault="00CF62BF" w:rsidP="00AA471E">
      <w:pPr>
        <w:numPr>
          <w:ilvl w:val="12"/>
          <w:numId w:val="0"/>
        </w:numPr>
        <w:ind w:right="-2"/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gydomos sunkios infekcinės ligos:</w:t>
      </w:r>
    </w:p>
    <w:p w14:paraId="58F5D351" w14:textId="57D326B9" w:rsidR="00AA471E" w:rsidRPr="00C07A3C" w:rsidRDefault="00966BED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>
        <w:rPr>
          <w:rFonts w:eastAsia="Calibri"/>
        </w:rPr>
        <w:t>g</w:t>
      </w:r>
      <w:r w:rsidR="00AA471E" w:rsidRPr="00C07A3C">
        <w:rPr>
          <w:rFonts w:eastAsia="Calibri"/>
        </w:rPr>
        <w:t>erklės</w:t>
      </w:r>
      <w:r w:rsidR="00B90A3E">
        <w:rPr>
          <w:rFonts w:eastAsia="Calibri"/>
        </w:rPr>
        <w:t xml:space="preserve"> (ryklės)</w:t>
      </w:r>
      <w:r w:rsidR="00AA471E" w:rsidRPr="00C07A3C">
        <w:rPr>
          <w:rFonts w:eastAsia="Calibri"/>
        </w:rPr>
        <w:t>;</w:t>
      </w:r>
    </w:p>
    <w:p w14:paraId="69B8BB0A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nosies ančių;</w:t>
      </w:r>
    </w:p>
    <w:p w14:paraId="6EEC6F0F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vidurinės ausies;</w:t>
      </w:r>
    </w:p>
    <w:p w14:paraId="7F6D7906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plaučių ar krūtinės ląstos;</w:t>
      </w:r>
    </w:p>
    <w:p w14:paraId="25C8CEA5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šlapimo takų;</w:t>
      </w:r>
    </w:p>
    <w:p w14:paraId="23AC6656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odos ir poodinio audinio.</w:t>
      </w:r>
    </w:p>
    <w:p w14:paraId="27DEB547" w14:textId="77777777" w:rsidR="00AA471E" w:rsidRPr="00C07A3C" w:rsidRDefault="00AA471E" w:rsidP="009C0DB0">
      <w:pPr>
        <w:ind w:right="-2"/>
        <w:rPr>
          <w:rFonts w:eastAsia="Calibri"/>
        </w:rPr>
      </w:pPr>
    </w:p>
    <w:p w14:paraId="25DD3BF0" w14:textId="318ADD8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 xml:space="preserve">Be to,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galima vartoti:</w:t>
      </w:r>
    </w:p>
    <w:p w14:paraId="3351232E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Laimo ligai gydyti (tai yra infekcinė liga, kurią perneša parazitai, vadinami erkėmis).</w:t>
      </w:r>
    </w:p>
    <w:p w14:paraId="4ABF7001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2D38BD77" w14:textId="2978E586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  <w:r w:rsidRPr="00C07A3C">
        <w:rPr>
          <w:rFonts w:eastAsia="Calibri"/>
        </w:rPr>
        <w:t xml:space="preserve">Jūsų gydytojas gali ištirti, kokia bakterija sukėlė infekcinę ligą, ir stebėti, ar bakterijos yra jautrios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gydymo metu.</w:t>
      </w:r>
    </w:p>
    <w:p w14:paraId="74C955AB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6AE88059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7490C0A7" w14:textId="008E3ADC" w:rsidR="00AA471E" w:rsidRPr="00C07A3C" w:rsidRDefault="00AA471E" w:rsidP="00AA471E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C07A3C">
        <w:rPr>
          <w:rFonts w:eastAsia="Calibri"/>
          <w:b/>
        </w:rPr>
        <w:t>2.</w:t>
      </w:r>
      <w:r w:rsidRPr="00C07A3C">
        <w:rPr>
          <w:rFonts w:eastAsia="Calibri"/>
          <w:b/>
        </w:rPr>
        <w:tab/>
        <w:t xml:space="preserve">Kas žinotina prieš vartojant </w:t>
      </w:r>
      <w:r w:rsidR="00CF62BF">
        <w:rPr>
          <w:rFonts w:eastAsia="Calibri"/>
          <w:b/>
        </w:rPr>
        <w:t>CEFUROX BASICS</w:t>
      </w:r>
    </w:p>
    <w:p w14:paraId="703BBD47" w14:textId="77777777" w:rsidR="00AA471E" w:rsidRPr="00C07A3C" w:rsidRDefault="00AA471E" w:rsidP="00AA471E">
      <w:pPr>
        <w:ind w:left="567" w:hanging="567"/>
        <w:rPr>
          <w:rFonts w:eastAsia="Calibri"/>
        </w:rPr>
      </w:pPr>
    </w:p>
    <w:p w14:paraId="2EC542E8" w14:textId="76F03F55" w:rsidR="00AA471E" w:rsidRPr="00527034" w:rsidRDefault="00CF62BF" w:rsidP="00527034">
      <w:pPr>
        <w:ind w:left="567" w:hanging="567"/>
        <w:rPr>
          <w:rFonts w:eastAsia="Calibri"/>
          <w:b/>
          <w:caps/>
        </w:rPr>
      </w:pPr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vartoti </w:t>
      </w:r>
      <w:r w:rsidR="007906B1">
        <w:rPr>
          <w:rFonts w:eastAsia="Calibri"/>
          <w:b/>
        </w:rPr>
        <w:t>draudžiama</w:t>
      </w:r>
      <w:r w:rsidR="00527034">
        <w:rPr>
          <w:rFonts w:eastAsia="Calibri"/>
          <w:b/>
        </w:rPr>
        <w:t>:</w:t>
      </w:r>
    </w:p>
    <w:p w14:paraId="60A485C3" w14:textId="77777777" w:rsidR="00AA471E" w:rsidRPr="00C07A3C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  <w:b/>
        </w:rPr>
        <w:t>jeigu yra alergija</w:t>
      </w:r>
      <w:r w:rsidRPr="00C07A3C">
        <w:rPr>
          <w:rFonts w:eastAsia="Calibri"/>
        </w:rPr>
        <w:t xml:space="preserve"> cefuroksimo aksetilui arba </w:t>
      </w:r>
      <w:r w:rsidRPr="00C07A3C">
        <w:rPr>
          <w:rFonts w:eastAsia="Calibri"/>
          <w:b/>
        </w:rPr>
        <w:t>kuriam nors cefalosporinų grupės antibiotikui,</w:t>
      </w:r>
      <w:r w:rsidRPr="00C07A3C">
        <w:rPr>
          <w:rFonts w:eastAsia="Calibri"/>
        </w:rPr>
        <w:t xml:space="preserve"> arba bet kuriai pagalbinei šio vaisto medžiagai (jos išvardytos 6 skyriuje);</w:t>
      </w:r>
    </w:p>
    <w:p w14:paraId="2BF7E5D4" w14:textId="09AB7920" w:rsidR="00316243" w:rsidRDefault="00AA471E" w:rsidP="00AA471E">
      <w:pPr>
        <w:numPr>
          <w:ilvl w:val="0"/>
          <w:numId w:val="8"/>
        </w:numPr>
        <w:ind w:left="567" w:right="-2" w:hanging="567"/>
        <w:rPr>
          <w:rFonts w:eastAsia="Calibri"/>
        </w:rPr>
      </w:pPr>
      <w:r w:rsidRPr="00C07A3C">
        <w:rPr>
          <w:rFonts w:eastAsia="Calibri"/>
        </w:rPr>
        <w:t>jeigu Jums buvo pasireiškusi sunki alergija (</w:t>
      </w:r>
      <w:r w:rsidRPr="00C07A3C">
        <w:rPr>
          <w:rFonts w:eastAsia="Calibri"/>
          <w:i/>
        </w:rPr>
        <w:t>padidėjęs jautrumas</w:t>
      </w:r>
      <w:r w:rsidRPr="00C07A3C">
        <w:rPr>
          <w:rFonts w:eastAsia="Calibri"/>
        </w:rPr>
        <w:t>) kuriam nors kitokiam beta laktaminiam antibiotikui (penicilinams, monobaktamams, karbapenemams)</w:t>
      </w:r>
      <w:r w:rsidR="00316243">
        <w:rPr>
          <w:rFonts w:eastAsia="Calibri"/>
        </w:rPr>
        <w:t>;</w:t>
      </w:r>
    </w:p>
    <w:p w14:paraId="1770BBFA" w14:textId="77777777" w:rsidR="00316243" w:rsidRPr="00773389" w:rsidRDefault="00316243" w:rsidP="00316243">
      <w:pPr>
        <w:pStyle w:val="Sraopastraipa"/>
        <w:numPr>
          <w:ilvl w:val="0"/>
          <w:numId w:val="8"/>
        </w:numPr>
        <w:ind w:left="567" w:hanging="567"/>
      </w:pPr>
      <w:r w:rsidRPr="00773389">
        <w:t xml:space="preserve">jeigu po gydymo cefuroksimu arba bet kuriuo kitu cefalosporinų grupės antibiotiku pasireiškė sunkus odos išbėrimas arba odos lupimasis, pūslės ir (arba) burnos opos. </w:t>
      </w:r>
    </w:p>
    <w:p w14:paraId="4C1C8900" w14:textId="227093B6" w:rsidR="00AA471E" w:rsidRPr="00316243" w:rsidRDefault="00AA471E" w:rsidP="00857812">
      <w:pPr>
        <w:numPr>
          <w:ilvl w:val="0"/>
          <w:numId w:val="9"/>
        </w:numPr>
        <w:spacing w:before="120"/>
        <w:ind w:hanging="720"/>
        <w:rPr>
          <w:rFonts w:eastAsia="Calibri"/>
        </w:rPr>
      </w:pPr>
      <w:r w:rsidRPr="00316243">
        <w:rPr>
          <w:rFonts w:eastAsia="Calibri"/>
          <w:color w:val="000000"/>
        </w:rPr>
        <w:t xml:space="preserve">Jeigu </w:t>
      </w:r>
      <w:r w:rsidR="00316243">
        <w:rPr>
          <w:rFonts w:eastAsia="Calibri"/>
          <w:color w:val="000000"/>
        </w:rPr>
        <w:t>manote</w:t>
      </w:r>
      <w:r w:rsidRPr="00316243">
        <w:rPr>
          <w:rFonts w:eastAsia="Calibri"/>
          <w:color w:val="000000"/>
        </w:rPr>
        <w:t xml:space="preserve">, kad yra tokių aplinkybių, </w:t>
      </w:r>
      <w:r w:rsidR="00CF62BF">
        <w:rPr>
          <w:rFonts w:eastAsia="Calibri"/>
          <w:b/>
          <w:color w:val="000000"/>
        </w:rPr>
        <w:t>CEFUROX BASICS</w:t>
      </w:r>
      <w:r w:rsidRPr="00316243">
        <w:rPr>
          <w:rFonts w:eastAsia="Calibri"/>
          <w:b/>
          <w:color w:val="000000"/>
        </w:rPr>
        <w:t xml:space="preserve"> nevartokite </w:t>
      </w:r>
      <w:r w:rsidRPr="00316243">
        <w:rPr>
          <w:rFonts w:eastAsia="Calibri"/>
          <w:color w:val="000000"/>
        </w:rPr>
        <w:t>tol, kol Jūsų neištirs gydytojas.</w:t>
      </w:r>
    </w:p>
    <w:p w14:paraId="3CCD90D7" w14:textId="77777777" w:rsidR="00316243" w:rsidRDefault="00316243" w:rsidP="00316243">
      <w:pPr>
        <w:ind w:left="567" w:hanging="567"/>
      </w:pPr>
    </w:p>
    <w:p w14:paraId="353A4E3D" w14:textId="18A4C097" w:rsidR="00316243" w:rsidRDefault="00316243" w:rsidP="00316243">
      <w:pPr>
        <w:ind w:left="567" w:hanging="567"/>
      </w:pPr>
      <w:r>
        <w:lastRenderedPageBreak/>
        <w:t xml:space="preserve">Vartojant </w:t>
      </w:r>
      <w:r w:rsidR="00CF62BF">
        <w:t>CEFUROX BASICS</w:t>
      </w:r>
      <w:r>
        <w:t>, reikia imtis specialių atsargumo priemonių</w:t>
      </w:r>
      <w:r w:rsidR="00527034">
        <w:t>.</w:t>
      </w:r>
    </w:p>
    <w:p w14:paraId="18D8549A" w14:textId="77777777" w:rsidR="00316243" w:rsidRDefault="00316243" w:rsidP="00316243">
      <w:pPr>
        <w:ind w:left="567" w:hanging="567"/>
      </w:pPr>
    </w:p>
    <w:p w14:paraId="3E3254A3" w14:textId="77777777" w:rsidR="00316243" w:rsidRPr="004707B7" w:rsidRDefault="00316243" w:rsidP="00316243">
      <w:r>
        <w:t>Gauta pranešimų apie su gydymu cefuroksimu susijusias pavojingas odos reakcijas, įskaitant Stivenso-Džonsono (Stevens-Johnson) sindromą, toksinę epidermio nekrolizę, vaisto sukeltą reakciją su eozinofilija ir sisteminiais simptomais (DRESS). Pastebėję bet kurį iš 4 skyriuje aprašytų simptomų, susijusių su pavojingomis odos reakcijomis, nedelsdami kreipkitės į gydytoją (žr. 4 skyrių).</w:t>
      </w:r>
    </w:p>
    <w:p w14:paraId="35D329BA" w14:textId="77777777" w:rsidR="00316243" w:rsidRPr="00C07A3C" w:rsidRDefault="00316243" w:rsidP="00AA471E">
      <w:pPr>
        <w:ind w:left="567" w:hanging="567"/>
        <w:rPr>
          <w:rFonts w:eastAsia="Calibri"/>
        </w:rPr>
      </w:pPr>
    </w:p>
    <w:p w14:paraId="635ADB9A" w14:textId="77777777" w:rsidR="00AA471E" w:rsidRPr="00C07A3C" w:rsidRDefault="00AA471E" w:rsidP="00AA471E">
      <w:pPr>
        <w:keepNext/>
        <w:tabs>
          <w:tab w:val="left" w:pos="567"/>
        </w:tabs>
        <w:rPr>
          <w:rFonts w:eastAsia="Calibri"/>
          <w:b/>
        </w:rPr>
      </w:pPr>
      <w:r w:rsidRPr="00C07A3C">
        <w:rPr>
          <w:rFonts w:eastAsia="Calibri"/>
          <w:b/>
        </w:rPr>
        <w:t>Įspėjimai ir atsargumo priemonės</w:t>
      </w:r>
    </w:p>
    <w:p w14:paraId="2FA785C7" w14:textId="77777777" w:rsidR="00AA471E" w:rsidRPr="009C0DB0" w:rsidRDefault="00AA471E" w:rsidP="00AA471E">
      <w:pPr>
        <w:keepNext/>
        <w:tabs>
          <w:tab w:val="left" w:pos="567"/>
        </w:tabs>
        <w:rPr>
          <w:rFonts w:eastAsia="Calibri"/>
        </w:rPr>
      </w:pPr>
    </w:p>
    <w:p w14:paraId="48C3ED2C" w14:textId="0879BA34" w:rsidR="00AA471E" w:rsidRPr="00C07A3C" w:rsidRDefault="00AA471E" w:rsidP="00AA471E">
      <w:pPr>
        <w:keepNext/>
        <w:tabs>
          <w:tab w:val="left" w:pos="567"/>
        </w:tabs>
        <w:rPr>
          <w:rFonts w:eastAsia="Calibri"/>
        </w:rPr>
      </w:pPr>
      <w:r w:rsidRPr="00C07A3C">
        <w:rPr>
          <w:rFonts w:eastAsia="Calibri"/>
        </w:rPr>
        <w:t xml:space="preserve">Pasitarkite su gydytoju arba vaistininku, prieš pradėdami vartoti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>.</w:t>
      </w:r>
    </w:p>
    <w:p w14:paraId="1F6E8E92" w14:textId="77777777" w:rsidR="00AA471E" w:rsidRPr="009C0DB0" w:rsidRDefault="00AA471E" w:rsidP="00AA471E">
      <w:pPr>
        <w:keepNext/>
        <w:tabs>
          <w:tab w:val="left" w:pos="567"/>
        </w:tabs>
        <w:rPr>
          <w:rFonts w:eastAsia="Calibri"/>
        </w:rPr>
      </w:pPr>
    </w:p>
    <w:p w14:paraId="6F604BDB" w14:textId="77777777" w:rsidR="00AA471E" w:rsidRPr="00C07A3C" w:rsidRDefault="00AA471E" w:rsidP="00AA471E">
      <w:pPr>
        <w:keepNext/>
        <w:tabs>
          <w:tab w:val="left" w:pos="567"/>
        </w:tabs>
        <w:rPr>
          <w:rFonts w:eastAsia="Calibri"/>
          <w:b/>
        </w:rPr>
      </w:pPr>
      <w:r w:rsidRPr="00C07A3C">
        <w:rPr>
          <w:rFonts w:eastAsia="Calibri"/>
          <w:b/>
        </w:rPr>
        <w:t>Vaikams</w:t>
      </w:r>
    </w:p>
    <w:p w14:paraId="5C4B0213" w14:textId="77777777" w:rsidR="00AA471E" w:rsidRPr="009C0DB0" w:rsidRDefault="00AA471E" w:rsidP="00AA471E">
      <w:pPr>
        <w:keepNext/>
        <w:tabs>
          <w:tab w:val="left" w:pos="567"/>
        </w:tabs>
        <w:rPr>
          <w:rFonts w:eastAsia="Calibri"/>
        </w:rPr>
      </w:pPr>
    </w:p>
    <w:p w14:paraId="449B73EF" w14:textId="4A677DD3" w:rsidR="00AA471E" w:rsidRPr="00C07A3C" w:rsidRDefault="00CF62BF" w:rsidP="00AA471E">
      <w:pPr>
        <w:numPr>
          <w:ilvl w:val="12"/>
          <w:numId w:val="0"/>
        </w:numPr>
        <w:rPr>
          <w:rFonts w:eastAsia="Calibri"/>
        </w:rPr>
      </w:pPr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nerekomenduojama vartoti jaunesniems kaip 3 mėnesių kūdikiams</w:t>
      </w:r>
      <w:r w:rsidR="00AA471E" w:rsidRPr="00C07A3C">
        <w:rPr>
          <w:rFonts w:eastAsia="Calibri"/>
        </w:rPr>
        <w:t>, nes saugumas ir veiksmingumas šios grupės pacientams nežinomas.</w:t>
      </w:r>
    </w:p>
    <w:p w14:paraId="1ABB7A48" w14:textId="77777777" w:rsidR="00AA471E" w:rsidRPr="009C0DB0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254EE98F" w14:textId="2BE8F632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  <w:r w:rsidRPr="00C07A3C">
        <w:rPr>
          <w:rFonts w:eastAsia="Calibri"/>
        </w:rPr>
        <w:t xml:space="preserve">Turite stebėti, ar vartojant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, neatsiranda tam tikrų simptomų, pavyzdžiui: alerginės reakcijos, grybelių (pvz., </w:t>
      </w:r>
      <w:r w:rsidRPr="00C07A3C">
        <w:rPr>
          <w:rFonts w:eastAsia="Calibri"/>
          <w:i/>
        </w:rPr>
        <w:t>mieliagrybių</w:t>
      </w:r>
      <w:r w:rsidRPr="00C07A3C">
        <w:rPr>
          <w:rFonts w:eastAsia="Calibri"/>
        </w:rPr>
        <w:t>) sukeltos infekcinės ligos, sunkaus viduriavimo (</w:t>
      </w:r>
      <w:r w:rsidRPr="00C07A3C">
        <w:rPr>
          <w:rFonts w:eastAsia="Calibri"/>
          <w:i/>
        </w:rPr>
        <w:t>pseudomembraninio kolito</w:t>
      </w:r>
      <w:r w:rsidRPr="00C07A3C">
        <w:rPr>
          <w:rFonts w:eastAsia="Calibri"/>
        </w:rPr>
        <w:t>). Taip galima sumažinti bet kurių sutrikimų riziką. Žr. 4 skyriuje skyrelį ,,</w:t>
      </w:r>
      <w:r w:rsidRPr="00C07A3C">
        <w:rPr>
          <w:rFonts w:eastAsia="Calibri"/>
          <w:i/>
        </w:rPr>
        <w:t>Būklės, į kurias reikia atkreipti dėmes</w:t>
      </w:r>
      <w:r w:rsidRPr="00C07A3C">
        <w:rPr>
          <w:rFonts w:eastAsia="Calibri"/>
        </w:rPr>
        <w:t>į“.</w:t>
      </w:r>
    </w:p>
    <w:p w14:paraId="5F62DEC6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6F094B3C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Jeigu reikia atlikti kraujo tyrimą</w:t>
      </w:r>
    </w:p>
    <w:p w14:paraId="52983FEC" w14:textId="77777777" w:rsidR="00AA471E" w:rsidRPr="009C0DB0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35D915C7" w14:textId="73568C17" w:rsidR="00AA471E" w:rsidRPr="009C0DB0" w:rsidRDefault="00CF62BF" w:rsidP="00AA471E">
      <w:pPr>
        <w:numPr>
          <w:ilvl w:val="12"/>
          <w:numId w:val="0"/>
        </w:numPr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gali veikti kraujo tyrimo gliukozei nustatyti arba kraujo tyrimo, kuris vadinamas </w:t>
      </w:r>
      <w:r w:rsidR="00AA471E" w:rsidRPr="00C07A3C">
        <w:rPr>
          <w:rFonts w:eastAsia="Calibri"/>
          <w:i/>
        </w:rPr>
        <w:t>Kumbso mėginiu</w:t>
      </w:r>
      <w:r w:rsidR="00AA471E" w:rsidRPr="00C07A3C">
        <w:rPr>
          <w:rFonts w:eastAsia="Calibri"/>
        </w:rPr>
        <w:t xml:space="preserve">, rezultatus. Jeigu reikia atlikti kraujo </w:t>
      </w:r>
      <w:r w:rsidR="00AA471E" w:rsidRPr="00114810">
        <w:rPr>
          <w:rFonts w:eastAsia="Calibri"/>
        </w:rPr>
        <w:t>tyrimą:</w:t>
      </w:r>
    </w:p>
    <w:p w14:paraId="64255359" w14:textId="48B69CF0" w:rsidR="00AA471E" w:rsidRPr="009C0DB0" w:rsidRDefault="00AA471E" w:rsidP="00AA471E">
      <w:pPr>
        <w:numPr>
          <w:ilvl w:val="0"/>
          <w:numId w:val="9"/>
        </w:numPr>
        <w:ind w:left="567" w:hanging="567"/>
        <w:rPr>
          <w:rFonts w:eastAsia="Calibri"/>
        </w:rPr>
      </w:pPr>
      <w:r w:rsidRPr="00C07A3C">
        <w:rPr>
          <w:rFonts w:eastAsia="Calibri"/>
          <w:b/>
        </w:rPr>
        <w:t xml:space="preserve">mėginį imančiam asmeniui pasakykite, </w:t>
      </w:r>
      <w:r w:rsidRPr="00C07A3C">
        <w:rPr>
          <w:rFonts w:eastAsia="Calibri"/>
        </w:rPr>
        <w:t xml:space="preserve">kad vartojate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>.</w:t>
      </w:r>
    </w:p>
    <w:p w14:paraId="06FB784B" w14:textId="77777777" w:rsidR="00AA471E" w:rsidRPr="00C07A3C" w:rsidRDefault="00AA471E" w:rsidP="00AA471E">
      <w:pPr>
        <w:numPr>
          <w:ilvl w:val="12"/>
          <w:numId w:val="0"/>
        </w:numPr>
        <w:rPr>
          <w:rFonts w:eastAsia="Calibri"/>
        </w:rPr>
      </w:pPr>
    </w:p>
    <w:p w14:paraId="78428B7E" w14:textId="086D5AEF" w:rsidR="00AA471E" w:rsidRPr="00C07A3C" w:rsidRDefault="00AA471E" w:rsidP="00AA471E">
      <w:pPr>
        <w:ind w:left="567" w:hanging="567"/>
        <w:rPr>
          <w:rFonts w:eastAsia="Calibri"/>
          <w:b/>
        </w:rPr>
      </w:pPr>
      <w:r w:rsidRPr="00C07A3C">
        <w:rPr>
          <w:rFonts w:eastAsia="Calibri"/>
          <w:b/>
        </w:rPr>
        <w:t xml:space="preserve">Kiti vaistai ir </w:t>
      </w:r>
      <w:r w:rsidR="00CF62BF">
        <w:rPr>
          <w:rFonts w:eastAsia="Calibri"/>
          <w:b/>
        </w:rPr>
        <w:t>CEFUROX BASICS</w:t>
      </w:r>
    </w:p>
    <w:p w14:paraId="2BEE4E18" w14:textId="77777777" w:rsidR="00AA471E" w:rsidRPr="00C07A3C" w:rsidRDefault="00AA471E" w:rsidP="00AA471E">
      <w:pPr>
        <w:rPr>
          <w:rFonts w:eastAsia="Calibri"/>
        </w:rPr>
      </w:pPr>
    </w:p>
    <w:p w14:paraId="00CFE697" w14:textId="78012110" w:rsidR="00AA471E" w:rsidRPr="00C07A3C" w:rsidRDefault="00AA471E" w:rsidP="00527034">
      <w:pPr>
        <w:rPr>
          <w:rFonts w:eastAsia="Calibri"/>
        </w:rPr>
      </w:pPr>
      <w:r w:rsidRPr="00C07A3C">
        <w:rPr>
          <w:rFonts w:eastAsia="Calibri"/>
        </w:rPr>
        <w:t>Jeigu vartojate, neseniai vartojote kitų vaistų arba dėl to nesate tikri, apie tai pasakykite gydytojui arba vaistininkui.</w:t>
      </w:r>
    </w:p>
    <w:p w14:paraId="42CDE76D" w14:textId="2D5EE800" w:rsidR="00AA471E" w:rsidRPr="00527034" w:rsidRDefault="00AA471E" w:rsidP="00527034">
      <w:pPr>
        <w:pStyle w:val="Sraopastraipa"/>
        <w:keepNext/>
        <w:numPr>
          <w:ilvl w:val="0"/>
          <w:numId w:val="37"/>
        </w:numPr>
        <w:ind w:left="562" w:hanging="562"/>
        <w:rPr>
          <w:rFonts w:eastAsia="Calibri"/>
          <w:color w:val="000000"/>
        </w:rPr>
      </w:pPr>
      <w:r w:rsidRPr="00527034">
        <w:rPr>
          <w:rFonts w:eastAsia="Calibri"/>
        </w:rPr>
        <w:t>Vaistai, kurie vartojami</w:t>
      </w:r>
      <w:r w:rsidRPr="00527034">
        <w:rPr>
          <w:rFonts w:eastAsia="Calibri"/>
          <w:color w:val="000000"/>
        </w:rPr>
        <w:t xml:space="preserve"> </w:t>
      </w:r>
      <w:r w:rsidRPr="00527034">
        <w:rPr>
          <w:rFonts w:eastAsia="Calibri"/>
          <w:b/>
          <w:color w:val="000000"/>
        </w:rPr>
        <w:t xml:space="preserve">skrandžio rūgštingumui mažinti </w:t>
      </w:r>
      <w:r w:rsidRPr="00527034">
        <w:rPr>
          <w:rFonts w:eastAsia="Calibri"/>
          <w:color w:val="000000"/>
        </w:rPr>
        <w:t xml:space="preserve">(pvz., </w:t>
      </w:r>
      <w:r w:rsidRPr="00527034">
        <w:rPr>
          <w:rFonts w:eastAsia="Calibri"/>
          <w:i/>
          <w:color w:val="000000"/>
        </w:rPr>
        <w:t>antacidiniai vaistai</w:t>
      </w:r>
      <w:r w:rsidRPr="00527034">
        <w:rPr>
          <w:rFonts w:eastAsia="Calibri"/>
          <w:color w:val="000000"/>
        </w:rPr>
        <w:t xml:space="preserve">, kuriais gydomas </w:t>
      </w:r>
      <w:r w:rsidRPr="00527034">
        <w:rPr>
          <w:rFonts w:eastAsia="Calibri"/>
          <w:b/>
          <w:color w:val="000000"/>
        </w:rPr>
        <w:t>rėmuo</w:t>
      </w:r>
      <w:r w:rsidRPr="00527034">
        <w:rPr>
          <w:rFonts w:eastAsia="Calibri"/>
          <w:color w:val="000000"/>
        </w:rPr>
        <w:t xml:space="preserve">), gali keisti </w:t>
      </w:r>
      <w:r w:rsidR="00CF62BF" w:rsidRPr="00527034">
        <w:rPr>
          <w:rFonts w:eastAsia="Calibri"/>
          <w:color w:val="000000"/>
        </w:rPr>
        <w:t>CEFUROX BASICS</w:t>
      </w:r>
      <w:r w:rsidRPr="00527034">
        <w:rPr>
          <w:rFonts w:eastAsia="Calibri"/>
          <w:color w:val="000000"/>
        </w:rPr>
        <w:t xml:space="preserve"> veikimą. </w:t>
      </w:r>
    </w:p>
    <w:p w14:paraId="70341FC1" w14:textId="77777777" w:rsidR="00AA471E" w:rsidRPr="00527034" w:rsidRDefault="00AA471E" w:rsidP="00527034">
      <w:pPr>
        <w:pStyle w:val="Sraopastraipa"/>
        <w:keepNext/>
        <w:numPr>
          <w:ilvl w:val="0"/>
          <w:numId w:val="37"/>
        </w:numPr>
        <w:ind w:left="562" w:hanging="562"/>
        <w:rPr>
          <w:rFonts w:eastAsia="Calibri"/>
          <w:color w:val="000000"/>
        </w:rPr>
      </w:pPr>
      <w:r w:rsidRPr="00527034">
        <w:rPr>
          <w:rFonts w:eastAsia="Calibri"/>
          <w:color w:val="000000"/>
        </w:rPr>
        <w:t>Probenecidas.</w:t>
      </w:r>
    </w:p>
    <w:p w14:paraId="1AB32EA5" w14:textId="77777777" w:rsidR="00AA471E" w:rsidRPr="00527034" w:rsidRDefault="00AA471E" w:rsidP="00527034">
      <w:pPr>
        <w:pStyle w:val="Sraopastraipa"/>
        <w:keepNext/>
        <w:numPr>
          <w:ilvl w:val="0"/>
          <w:numId w:val="37"/>
        </w:numPr>
        <w:ind w:left="562" w:hanging="562"/>
        <w:rPr>
          <w:rFonts w:eastAsia="Calibri"/>
          <w:color w:val="000000"/>
        </w:rPr>
      </w:pPr>
      <w:r w:rsidRPr="00527034">
        <w:rPr>
          <w:rFonts w:eastAsia="Calibri"/>
          <w:color w:val="000000"/>
        </w:rPr>
        <w:t>Geriamieji antikoaguliantai.</w:t>
      </w:r>
    </w:p>
    <w:p w14:paraId="67112969" w14:textId="77777777" w:rsidR="00AA471E" w:rsidRPr="00C07A3C" w:rsidRDefault="00AA471E" w:rsidP="00AA471E">
      <w:pPr>
        <w:numPr>
          <w:ilvl w:val="0"/>
          <w:numId w:val="9"/>
        </w:numPr>
        <w:tabs>
          <w:tab w:val="left" w:pos="0"/>
          <w:tab w:val="num" w:pos="142"/>
          <w:tab w:val="left" w:pos="567"/>
          <w:tab w:val="left" w:pos="2977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 xml:space="preserve">Jeigu vartojate kokių nors panašių vaistų, </w:t>
      </w:r>
      <w:r w:rsidRPr="00C07A3C">
        <w:rPr>
          <w:rFonts w:eastAsia="Calibri"/>
          <w:b/>
          <w:color w:val="000000"/>
        </w:rPr>
        <w:t>pasakykite gydytojui arba vaistininkui</w:t>
      </w:r>
      <w:r w:rsidRPr="00C07A3C">
        <w:rPr>
          <w:rFonts w:eastAsia="Calibri"/>
          <w:color w:val="000000"/>
        </w:rPr>
        <w:t>.</w:t>
      </w:r>
    </w:p>
    <w:p w14:paraId="67B59392" w14:textId="58E28265" w:rsidR="00AA471E" w:rsidRPr="00C07A3C" w:rsidRDefault="00AA471E" w:rsidP="00AA471E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</w:p>
    <w:p w14:paraId="3BEB3BA7" w14:textId="77777777" w:rsidR="00AA471E" w:rsidRPr="00C07A3C" w:rsidRDefault="00AA471E" w:rsidP="00AA471E">
      <w:pPr>
        <w:numPr>
          <w:ilvl w:val="12"/>
          <w:numId w:val="0"/>
        </w:numPr>
        <w:tabs>
          <w:tab w:val="left" w:pos="1290"/>
        </w:tabs>
        <w:ind w:right="-2"/>
        <w:rPr>
          <w:rFonts w:eastAsia="Calibri"/>
        </w:rPr>
      </w:pPr>
    </w:p>
    <w:p w14:paraId="4A5C59EC" w14:textId="77777777" w:rsidR="00AA471E" w:rsidRPr="00C07A3C" w:rsidRDefault="00AA471E" w:rsidP="00AA471E">
      <w:pPr>
        <w:rPr>
          <w:rFonts w:eastAsia="Calibri"/>
          <w:b/>
        </w:rPr>
      </w:pPr>
      <w:r w:rsidRPr="00C07A3C">
        <w:rPr>
          <w:rFonts w:eastAsia="Calibri"/>
          <w:b/>
        </w:rPr>
        <w:t>Nėštumas, žindymo laikotarpis ir</w:t>
      </w:r>
      <w:r w:rsidRPr="00C07A3C">
        <w:rPr>
          <w:rFonts w:eastAsia="Calibri"/>
        </w:rPr>
        <w:t xml:space="preserve"> </w:t>
      </w:r>
      <w:r w:rsidRPr="00C07A3C">
        <w:rPr>
          <w:rFonts w:eastAsia="Calibri"/>
          <w:b/>
        </w:rPr>
        <w:t>vaisingumas</w:t>
      </w:r>
    </w:p>
    <w:p w14:paraId="53F28DEC" w14:textId="77777777" w:rsidR="00AA471E" w:rsidRPr="009C0DB0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1B3B72C0" w14:textId="08E48811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>Jeigu esate nėščia, žindote kūdikį, manote, kad galbūt esate nėščia, arba planuojate pastoti, tai prieš vartodama šį vaistą, pasitarkite su gydytoju arba vaistininku.</w:t>
      </w:r>
    </w:p>
    <w:p w14:paraId="52ADE553" w14:textId="77777777" w:rsidR="00AA471E" w:rsidRPr="009C0DB0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7443761E" w14:textId="77777777" w:rsidR="00AA471E" w:rsidRPr="00C07A3C" w:rsidRDefault="00AA471E" w:rsidP="00AA471E">
      <w:pPr>
        <w:rPr>
          <w:rFonts w:eastAsia="Calibri"/>
          <w:b/>
        </w:rPr>
      </w:pPr>
      <w:r w:rsidRPr="00C07A3C">
        <w:rPr>
          <w:rFonts w:eastAsia="Calibri"/>
          <w:b/>
        </w:rPr>
        <w:t>Vairavimas ir mechanizmų valdymas</w:t>
      </w:r>
    </w:p>
    <w:p w14:paraId="5B175C5A" w14:textId="77777777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2A3EC17D" w14:textId="1F58AC99" w:rsidR="00AA471E" w:rsidRPr="00C07A3C" w:rsidRDefault="00CF62BF" w:rsidP="00AA471E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  <w:b/>
          <w:color w:val="000000"/>
        </w:rPr>
        <w:t xml:space="preserve"> gali sukelti galvos svaigimą</w:t>
      </w:r>
      <w:r w:rsidR="00AA471E" w:rsidRPr="00C07A3C">
        <w:rPr>
          <w:rFonts w:eastAsia="Calibri"/>
          <w:color w:val="000000"/>
        </w:rPr>
        <w:t xml:space="preserve"> ir kitą šalutinį poveikį, dėl kurio gali sumažėti Jūsų budrumas.</w:t>
      </w:r>
    </w:p>
    <w:p w14:paraId="44919541" w14:textId="77777777" w:rsidR="00AA471E" w:rsidRPr="00C07A3C" w:rsidRDefault="00AA471E" w:rsidP="00AA471E">
      <w:pPr>
        <w:numPr>
          <w:ilvl w:val="0"/>
          <w:numId w:val="9"/>
        </w:numPr>
        <w:tabs>
          <w:tab w:val="left" w:pos="-720"/>
          <w:tab w:val="left" w:pos="0"/>
          <w:tab w:val="left" w:pos="567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 xml:space="preserve">jeigu jaučiatės blogai, </w:t>
      </w:r>
      <w:r w:rsidRPr="00C07A3C">
        <w:rPr>
          <w:rFonts w:eastAsia="Calibri"/>
          <w:b/>
          <w:color w:val="000000"/>
        </w:rPr>
        <w:t>negalima vairuoti ir valdyti mechanizmų</w:t>
      </w:r>
      <w:r w:rsidRPr="00C07A3C">
        <w:rPr>
          <w:rFonts w:eastAsia="Calibri"/>
          <w:color w:val="000000"/>
        </w:rPr>
        <w:t>.</w:t>
      </w:r>
    </w:p>
    <w:p w14:paraId="2017A4F9" w14:textId="77777777" w:rsidR="00AA471E" w:rsidRPr="00C07A3C" w:rsidRDefault="00AA471E" w:rsidP="00AA471E">
      <w:pPr>
        <w:tabs>
          <w:tab w:val="left" w:pos="-720"/>
          <w:tab w:val="left" w:pos="0"/>
          <w:tab w:val="left" w:pos="1418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</w:p>
    <w:p w14:paraId="4620AD70" w14:textId="2D3BC3AD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 xml:space="preserve">Svarbi informacija apie kai kurias pagalbines </w:t>
      </w:r>
      <w:r w:rsidR="00CF62BF">
        <w:rPr>
          <w:rFonts w:eastAsia="Calibri"/>
          <w:b/>
        </w:rPr>
        <w:t>CEFUROX BASICS</w:t>
      </w:r>
      <w:r w:rsidRPr="00C07A3C">
        <w:rPr>
          <w:rFonts w:eastAsia="Calibri"/>
          <w:b/>
        </w:rPr>
        <w:t xml:space="preserve"> medžiagas</w:t>
      </w:r>
    </w:p>
    <w:p w14:paraId="6EAA7861" w14:textId="77777777" w:rsidR="00AA471E" w:rsidRPr="009C0DB0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1CD90126" w14:textId="58286A42" w:rsidR="00AA471E" w:rsidRPr="00C07A3C" w:rsidRDefault="00CF62BF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suspensijos sudėtyje yra cukraus (sacharozės). Jeigu sergate diabetu, turite į tai atsižvelgti.</w:t>
      </w:r>
      <w:r w:rsidR="002B35AB">
        <w:rPr>
          <w:rFonts w:eastAsia="Calibri"/>
        </w:rPr>
        <w:t xml:space="preserve"> </w:t>
      </w:r>
      <w:r w:rsidR="002B35AB" w:rsidRPr="002B35AB">
        <w:rPr>
          <w:rFonts w:eastAsia="Calibri"/>
        </w:rPr>
        <w:t>Jeigu gydytojas Jums yra sakęs, kad netoleruojate kai kurių cukrų, kreipkitės į gydytoją prieš pradėdami vartoti šį vaistą.</w:t>
      </w:r>
    </w:p>
    <w:p w14:paraId="4C0DD576" w14:textId="77777777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49C2F4B8" w14:textId="6AE4BA0B" w:rsidR="00AA471E" w:rsidRPr="00AA08CA" w:rsidRDefault="00AA471E" w:rsidP="00AA08CA">
      <w:pPr>
        <w:autoSpaceDE w:val="0"/>
        <w:autoSpaceDN w:val="0"/>
        <w:adjustRightInd w:val="0"/>
        <w:rPr>
          <w:rFonts w:ascii="Verdana" w:eastAsiaTheme="minorHAnsi" w:hAnsi="Verdana" w:cs="Verdana"/>
          <w:sz w:val="16"/>
          <w:szCs w:val="16"/>
        </w:rPr>
      </w:pPr>
      <w:r w:rsidRPr="00C07A3C">
        <w:rPr>
          <w:rFonts w:eastAsia="Calibri"/>
        </w:rPr>
        <w:t xml:space="preserve">Be to,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suspensijos sudėtyje yra</w:t>
      </w:r>
      <w:r w:rsidRPr="00C07A3C">
        <w:rPr>
          <w:rFonts w:eastAsia="Calibri"/>
          <w:b/>
        </w:rPr>
        <w:t xml:space="preserve"> aspartamo</w:t>
      </w:r>
      <w:r w:rsidRPr="00C07A3C">
        <w:rPr>
          <w:rFonts w:eastAsia="Calibri"/>
        </w:rPr>
        <w:t xml:space="preserve">, </w:t>
      </w:r>
      <w:r w:rsidR="00E657AC">
        <w:rPr>
          <w:rFonts w:eastAsia="Calibri"/>
        </w:rPr>
        <w:t>kuris yra fenilalanino šaltinis</w:t>
      </w:r>
      <w:r w:rsidRPr="00C07A3C">
        <w:rPr>
          <w:rFonts w:eastAsia="Calibri"/>
        </w:rPr>
        <w:t xml:space="preserve">. Jis gali būti Jums kenksmingas, jeigu yra būklė, vadinama fenilketonurija (FKU). Tai yra retas genetinis </w:t>
      </w:r>
      <w:r w:rsidRPr="00C07A3C">
        <w:rPr>
          <w:rFonts w:eastAsia="Calibri"/>
        </w:rPr>
        <w:lastRenderedPageBreak/>
        <w:t>sutrikimas, kuriam esant, organizme kaupiasi fenilalaninas, nes organizmas negali jo tinkamai pašalinti</w:t>
      </w:r>
      <w:r w:rsidR="007B748C">
        <w:rPr>
          <w:rFonts w:eastAsia="Calibri"/>
        </w:rPr>
        <w:t>.</w:t>
      </w:r>
    </w:p>
    <w:p w14:paraId="5733236A" w14:textId="77777777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031053D0" w14:textId="24E6F180" w:rsidR="000E6FA3" w:rsidRDefault="00CF62BF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suspensijos sudėtyje</w:t>
      </w:r>
      <w:r w:rsidR="00E657AC">
        <w:rPr>
          <w:rFonts w:eastAsia="Calibri"/>
        </w:rPr>
        <w:t xml:space="preserve"> taip pat</w:t>
      </w:r>
      <w:r w:rsidR="00AA471E" w:rsidRPr="00C07A3C">
        <w:rPr>
          <w:rFonts w:eastAsia="Calibri"/>
        </w:rPr>
        <w:t xml:space="preserve"> yra </w:t>
      </w:r>
      <w:r w:rsidR="000E6FA3">
        <w:rPr>
          <w:rFonts w:eastAsia="Calibri"/>
        </w:rPr>
        <w:t>natrio benzoato</w:t>
      </w:r>
      <w:r w:rsidR="002000A3">
        <w:rPr>
          <w:rFonts w:eastAsia="Calibri"/>
        </w:rPr>
        <w:t xml:space="preserve"> </w:t>
      </w:r>
      <w:r w:rsidR="002000A3" w:rsidRPr="002000A3">
        <w:rPr>
          <w:rFonts w:eastAsia="Calibri"/>
        </w:rPr>
        <w:t>(E 211)</w:t>
      </w:r>
      <w:r w:rsidR="002000A3">
        <w:rPr>
          <w:rFonts w:eastAsia="Calibri"/>
        </w:rPr>
        <w:t xml:space="preserve">. Kiekvienuose </w:t>
      </w:r>
      <w:r w:rsidR="002000A3" w:rsidRPr="002000A3">
        <w:rPr>
          <w:rFonts w:eastAsia="Calibri"/>
        </w:rPr>
        <w:t>5 ml paruoštos CEFUROX BASICS suspensijos yra 5,0 mg natrio benzoato, tai atitinka 1 mg/ml.</w:t>
      </w:r>
    </w:p>
    <w:p w14:paraId="29D96763" w14:textId="71B4875C" w:rsidR="00231F1F" w:rsidRDefault="00231F1F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35B9B65B" w14:textId="6A365FBB" w:rsidR="00231F1F" w:rsidRPr="00231F1F" w:rsidRDefault="00CF62BF" w:rsidP="001D5FF7">
      <w:pPr>
        <w:numPr>
          <w:ilvl w:val="12"/>
          <w:numId w:val="0"/>
        </w:numPr>
        <w:rPr>
          <w:rFonts w:eastAsia="Calibri"/>
        </w:rPr>
      </w:pPr>
      <w:r>
        <w:rPr>
          <w:rFonts w:eastAsia="Calibri"/>
        </w:rPr>
        <w:t>CEFUROX BASICS</w:t>
      </w:r>
      <w:r w:rsidR="00231F1F" w:rsidRPr="001D5FF7">
        <w:rPr>
          <w:rFonts w:eastAsia="Calibri"/>
        </w:rPr>
        <w:t xml:space="preserve"> 125 mg/5 ml granulės geriamajai suspensijai</w:t>
      </w:r>
    </w:p>
    <w:p w14:paraId="0E9241F2" w14:textId="2FEBFD99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>Šio vaisto 5 ml dozėje yra</w:t>
      </w:r>
      <w:r w:rsidR="002000A3">
        <w:rPr>
          <w:rFonts w:eastAsia="Calibri"/>
        </w:rPr>
        <w:t xml:space="preserve"> 8,0 mg </w:t>
      </w:r>
      <w:r w:rsidRPr="00C07A3C">
        <w:rPr>
          <w:rFonts w:eastAsia="Calibri"/>
        </w:rPr>
        <w:t>aspartamo.</w:t>
      </w:r>
    </w:p>
    <w:p w14:paraId="1BF899B6" w14:textId="3C08573C" w:rsidR="00AA471E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 xml:space="preserve">Šio vaisto 5 ml dozėje yra </w:t>
      </w:r>
      <w:r w:rsidR="002000A3">
        <w:rPr>
          <w:rFonts w:eastAsia="Calibri"/>
        </w:rPr>
        <w:t>2,78</w:t>
      </w:r>
      <w:r w:rsidRPr="00C07A3C">
        <w:rPr>
          <w:rFonts w:eastAsia="Calibri"/>
        </w:rPr>
        <w:t> g sacharozės (cukraus).</w:t>
      </w:r>
    </w:p>
    <w:p w14:paraId="192DB0CA" w14:textId="1DEEC644" w:rsidR="006F718E" w:rsidRPr="00C07A3C" w:rsidRDefault="006F718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>Šio vaisto 5 ml dozėje yra</w:t>
      </w:r>
      <w:r>
        <w:rPr>
          <w:rFonts w:eastAsia="Calibri"/>
        </w:rPr>
        <w:t xml:space="preserve"> </w:t>
      </w:r>
      <w:r w:rsidRPr="002000A3">
        <w:rPr>
          <w:rFonts w:eastAsia="Calibri"/>
        </w:rPr>
        <w:t>5,0 mg natrio benzoato</w:t>
      </w:r>
      <w:r>
        <w:rPr>
          <w:rFonts w:eastAsia="Calibri"/>
        </w:rPr>
        <w:t>.</w:t>
      </w:r>
    </w:p>
    <w:p w14:paraId="7E8C7FF2" w14:textId="77777777" w:rsidR="00AA471E" w:rsidRPr="009C0DB0" w:rsidRDefault="00AA471E" w:rsidP="00AA471E">
      <w:pPr>
        <w:keepNext/>
        <w:rPr>
          <w:rFonts w:eastAsia="Calibri"/>
        </w:rPr>
      </w:pPr>
      <w:bookmarkStart w:id="1" w:name="_Hlk820253"/>
    </w:p>
    <w:p w14:paraId="6F156B89" w14:textId="5D8FDCD3" w:rsidR="00AA471E" w:rsidRPr="00C07A3C" w:rsidRDefault="00AA471E" w:rsidP="00AA471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hanging="720"/>
        <w:rPr>
          <w:rFonts w:eastAsia="Calibri"/>
        </w:rPr>
      </w:pPr>
      <w:r w:rsidRPr="00C07A3C">
        <w:rPr>
          <w:rFonts w:eastAsia="Calibri"/>
          <w:b/>
        </w:rPr>
        <w:t xml:space="preserve">         Pasitarkite su gydytoju, </w:t>
      </w:r>
      <w:r w:rsidRPr="00C07A3C">
        <w:rPr>
          <w:rFonts w:eastAsia="Calibri"/>
        </w:rPr>
        <w:t xml:space="preserve">ar Jums tinka vartoti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>.</w:t>
      </w:r>
    </w:p>
    <w:p w14:paraId="23CB5418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bookmarkEnd w:id="1"/>
    <w:p w14:paraId="4A65D0CB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3F07DECD" w14:textId="67007EB5" w:rsidR="00AA471E" w:rsidRPr="00C07A3C" w:rsidRDefault="00AA471E" w:rsidP="00AA471E">
      <w:pPr>
        <w:keepNext/>
        <w:ind w:left="540" w:hanging="540"/>
        <w:rPr>
          <w:rFonts w:eastAsia="Calibri"/>
          <w:b/>
          <w:caps/>
        </w:rPr>
      </w:pPr>
      <w:r w:rsidRPr="00C07A3C">
        <w:rPr>
          <w:rFonts w:eastAsia="Calibri"/>
          <w:b/>
        </w:rPr>
        <w:t>3.</w:t>
      </w:r>
      <w:r w:rsidRPr="00C07A3C">
        <w:rPr>
          <w:rFonts w:eastAsia="Calibri"/>
          <w:b/>
        </w:rPr>
        <w:tab/>
        <w:t xml:space="preserve">Kaip vartoti </w:t>
      </w:r>
      <w:r w:rsidR="00CF62BF">
        <w:rPr>
          <w:rFonts w:eastAsia="Calibri"/>
          <w:b/>
        </w:rPr>
        <w:t>CEFUROX BASICS</w:t>
      </w:r>
    </w:p>
    <w:p w14:paraId="2BFB3D42" w14:textId="77777777" w:rsidR="00AA471E" w:rsidRPr="00C07A3C" w:rsidRDefault="00AA471E" w:rsidP="00AA471E">
      <w:pPr>
        <w:keepNext/>
        <w:rPr>
          <w:rFonts w:eastAsia="Calibri"/>
        </w:rPr>
      </w:pPr>
    </w:p>
    <w:p w14:paraId="6069DE32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  <w:b/>
        </w:rPr>
        <w:t>Visada vartokite šį vaistą tiksliai kaip nurodė gydytojas arba vaistininkas</w:t>
      </w:r>
      <w:r w:rsidRPr="00C07A3C">
        <w:rPr>
          <w:rFonts w:eastAsia="Calibri"/>
        </w:rPr>
        <w:t>. Jeigu abejojate, kreipkitės į gydytoją arba vaistininką.</w:t>
      </w:r>
    </w:p>
    <w:p w14:paraId="587E2078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79B0828B" w14:textId="26E831CE" w:rsidR="00AA471E" w:rsidRPr="00C07A3C" w:rsidRDefault="00CF62BF" w:rsidP="00AA471E">
      <w:pPr>
        <w:keepNext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vartokite po valgio. </w:t>
      </w:r>
      <w:r w:rsidR="00AA471E" w:rsidRPr="00C07A3C">
        <w:rPr>
          <w:rFonts w:eastAsia="Calibri"/>
        </w:rPr>
        <w:t>Tai padės padidinti gydymo veiksmingumą.</w:t>
      </w:r>
    </w:p>
    <w:p w14:paraId="038CFE5E" w14:textId="77777777" w:rsidR="00AA471E" w:rsidRPr="00C07A3C" w:rsidRDefault="00AA471E" w:rsidP="00AA471E">
      <w:pPr>
        <w:autoSpaceDE w:val="0"/>
        <w:autoSpaceDN w:val="0"/>
        <w:adjustRightInd w:val="0"/>
        <w:rPr>
          <w:rFonts w:eastAsia="Calibri"/>
        </w:rPr>
      </w:pPr>
    </w:p>
    <w:p w14:paraId="530716F7" w14:textId="77777777" w:rsidR="00AA471E" w:rsidRPr="00C07A3C" w:rsidRDefault="00AA471E" w:rsidP="00AA471E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Prieš vartojimą buteliuką pakratykite.</w:t>
      </w:r>
    </w:p>
    <w:p w14:paraId="5208F21F" w14:textId="77777777" w:rsidR="00AA471E" w:rsidRPr="00C07A3C" w:rsidRDefault="00AA471E" w:rsidP="00AA471E">
      <w:pPr>
        <w:keepNext/>
        <w:autoSpaceDE w:val="0"/>
        <w:autoSpaceDN w:val="0"/>
        <w:adjustRightInd w:val="0"/>
        <w:rPr>
          <w:rFonts w:eastAsia="Calibri"/>
        </w:rPr>
      </w:pPr>
    </w:p>
    <w:p w14:paraId="3C3D7AC9" w14:textId="7C952962" w:rsidR="00AA471E" w:rsidRPr="00C07A3C" w:rsidRDefault="00CF62BF" w:rsidP="00AA471E">
      <w:pPr>
        <w:keepNext/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suspensijos vienkartinę dozę galima praskiesti šaltomis vaisių sultimis arba pieno gėrimu, bet po to reikia nedelsiant išgerti.</w:t>
      </w:r>
    </w:p>
    <w:p w14:paraId="1D9C3D99" w14:textId="77777777" w:rsidR="00AA471E" w:rsidRPr="00C07A3C" w:rsidRDefault="00AA471E" w:rsidP="00AA471E">
      <w:pPr>
        <w:keepNext/>
        <w:rPr>
          <w:rFonts w:eastAsia="Calibri"/>
        </w:rPr>
      </w:pPr>
    </w:p>
    <w:p w14:paraId="0DF3E27D" w14:textId="148E5781" w:rsidR="00AA471E" w:rsidRPr="00C07A3C" w:rsidRDefault="00CF62BF" w:rsidP="00AA471E">
      <w:pPr>
        <w:keepNext/>
        <w:rPr>
          <w:rFonts w:eastAsia="Calibri"/>
        </w:rPr>
      </w:pPr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negalima maišyti su karštais skysčiais.</w:t>
      </w:r>
    </w:p>
    <w:p w14:paraId="604488F6" w14:textId="77777777" w:rsidR="00AA471E" w:rsidRPr="00C07A3C" w:rsidRDefault="00AA471E" w:rsidP="009C0DB0">
      <w:pPr>
        <w:keepNext/>
        <w:rPr>
          <w:rFonts w:eastAsia="Calibri"/>
        </w:rPr>
      </w:pPr>
    </w:p>
    <w:p w14:paraId="40471E02" w14:textId="5AE9F244" w:rsidR="00AA471E" w:rsidRPr="00C07A3C" w:rsidRDefault="00AA471E" w:rsidP="00AA471E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 xml:space="preserve">Nuoseklias instrukcijas, kaip paruošti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suspensiją, žr. ,,</w:t>
      </w:r>
      <w:r w:rsidRPr="00C07A3C">
        <w:rPr>
          <w:rFonts w:eastAsia="Calibri"/>
          <w:b/>
          <w:i/>
        </w:rPr>
        <w:t>Paruošimo instrukcijos</w:t>
      </w:r>
      <w:r w:rsidRPr="00C07A3C">
        <w:rPr>
          <w:rFonts w:eastAsia="Calibri"/>
        </w:rPr>
        <w:t>“ šio pakuotės lapelio pabaigoje.</w:t>
      </w:r>
    </w:p>
    <w:p w14:paraId="03570800" w14:textId="77777777" w:rsidR="00AA471E" w:rsidRPr="00C07A3C" w:rsidRDefault="00AA471E" w:rsidP="00AA471E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3CDA903D" w14:textId="77777777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Rekomenduojama dozė</w:t>
      </w:r>
    </w:p>
    <w:p w14:paraId="27DC3C65" w14:textId="77777777" w:rsidR="00AA471E" w:rsidRPr="009C0DB0" w:rsidRDefault="00AA471E" w:rsidP="00AA471E">
      <w:pPr>
        <w:keepNext/>
        <w:numPr>
          <w:ilvl w:val="12"/>
          <w:numId w:val="0"/>
        </w:numPr>
        <w:rPr>
          <w:rFonts w:eastAsia="Calibri"/>
        </w:rPr>
      </w:pPr>
    </w:p>
    <w:p w14:paraId="4705A610" w14:textId="445F32B5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Suaugusiesiems</w:t>
      </w:r>
      <w:r w:rsidR="002B35AB" w:rsidRPr="002B35AB">
        <w:t xml:space="preserve"> </w:t>
      </w:r>
      <w:r w:rsidR="002B35AB" w:rsidRPr="002B35AB">
        <w:rPr>
          <w:rFonts w:eastAsia="Calibri"/>
          <w:b/>
        </w:rPr>
        <w:t>ir vaikams, sveriantiems 40 kg ir daugiau.</w:t>
      </w:r>
    </w:p>
    <w:p w14:paraId="3EC09692" w14:textId="09FCC487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</w:rPr>
      </w:pPr>
      <w:r w:rsidRPr="00C07A3C">
        <w:rPr>
          <w:rFonts w:eastAsia="Calibri"/>
        </w:rPr>
        <w:t xml:space="preserve">Rekomenduojama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dozė yra nuo 250 mg iki 500</w:t>
      </w:r>
      <w:r>
        <w:rPr>
          <w:rFonts w:eastAsia="Calibri"/>
        </w:rPr>
        <w:t> </w:t>
      </w:r>
      <w:r w:rsidRPr="00C07A3C">
        <w:rPr>
          <w:rFonts w:eastAsia="Calibri"/>
        </w:rPr>
        <w:t>mg du kartus per parą, priklausomai nuo infekcinės ligos sunkumo ir tipo.</w:t>
      </w:r>
      <w:r w:rsidR="00312527">
        <w:rPr>
          <w:rFonts w:eastAsia="Calibri"/>
        </w:rPr>
        <w:t xml:space="preserve"> </w:t>
      </w:r>
    </w:p>
    <w:p w14:paraId="7D5D21F2" w14:textId="77777777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</w:rPr>
      </w:pPr>
    </w:p>
    <w:p w14:paraId="49ED3D80" w14:textId="3E8AC7BD" w:rsidR="002B35AB" w:rsidRPr="002B35AB" w:rsidRDefault="00AA471E" w:rsidP="002B35AB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>Vaikams</w:t>
      </w:r>
      <w:r w:rsidR="002B35AB">
        <w:t xml:space="preserve">, </w:t>
      </w:r>
      <w:r w:rsidR="002B35AB" w:rsidRPr="002B35AB">
        <w:rPr>
          <w:rFonts w:eastAsia="Calibri"/>
          <w:b/>
        </w:rPr>
        <w:t>sveria</w:t>
      </w:r>
      <w:r w:rsidR="002B35AB">
        <w:rPr>
          <w:rFonts w:eastAsia="Calibri"/>
          <w:b/>
        </w:rPr>
        <w:t>ntiems</w:t>
      </w:r>
      <w:r w:rsidR="002B35AB" w:rsidRPr="002B35AB">
        <w:rPr>
          <w:rFonts w:eastAsia="Calibri"/>
          <w:b/>
        </w:rPr>
        <w:t xml:space="preserve"> mažiau kaip 40 kg. </w:t>
      </w:r>
    </w:p>
    <w:p w14:paraId="1BB8BFFE" w14:textId="38A456B9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</w:rPr>
      </w:pPr>
      <w:r w:rsidRPr="002B35AB">
        <w:rPr>
          <w:rFonts w:eastAsia="Calibri"/>
          <w:bCs/>
        </w:rPr>
        <w:t>Rekomenduo</w:t>
      </w:r>
      <w:r w:rsidRPr="00C07A3C">
        <w:rPr>
          <w:rFonts w:eastAsia="Calibri"/>
        </w:rPr>
        <w:t xml:space="preserve">jama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dozė yra nuo 10</w:t>
      </w:r>
      <w:r>
        <w:rPr>
          <w:rFonts w:eastAsia="Calibri"/>
        </w:rPr>
        <w:t> </w:t>
      </w:r>
      <w:r w:rsidRPr="00C07A3C">
        <w:rPr>
          <w:rFonts w:eastAsia="Calibri"/>
        </w:rPr>
        <w:t xml:space="preserve">mg/kg (daugiausiai iki </w:t>
      </w:r>
      <w:r w:rsidR="002B35AB">
        <w:rPr>
          <w:rFonts w:eastAsia="Calibri"/>
        </w:rPr>
        <w:t>250</w:t>
      </w:r>
      <w:r w:rsidR="002B35AB" w:rsidRPr="00C07A3C">
        <w:rPr>
          <w:rFonts w:eastAsia="Calibri"/>
        </w:rPr>
        <w:t> </w:t>
      </w:r>
      <w:r w:rsidRPr="00C07A3C">
        <w:rPr>
          <w:rFonts w:eastAsia="Calibri"/>
        </w:rPr>
        <w:t>mg) iki 15</w:t>
      </w:r>
      <w:r>
        <w:rPr>
          <w:rFonts w:eastAsia="Calibri"/>
        </w:rPr>
        <w:t> </w:t>
      </w:r>
      <w:r w:rsidRPr="00C07A3C">
        <w:rPr>
          <w:rFonts w:eastAsia="Calibri"/>
        </w:rPr>
        <w:t>mg/kg (daugiausiai iki 250 mg) du kartus per parą, priklausomai nuo:</w:t>
      </w:r>
    </w:p>
    <w:p w14:paraId="33B3B659" w14:textId="1430BA32" w:rsidR="00AA471E" w:rsidRPr="0078026E" w:rsidRDefault="00AA471E" w:rsidP="00AA08CA">
      <w:pPr>
        <w:keepNext/>
        <w:numPr>
          <w:ilvl w:val="0"/>
          <w:numId w:val="10"/>
        </w:numPr>
        <w:tabs>
          <w:tab w:val="left" w:pos="567"/>
        </w:tabs>
        <w:ind w:left="765" w:hanging="765"/>
        <w:rPr>
          <w:rFonts w:eastAsia="Calibri"/>
        </w:rPr>
      </w:pPr>
      <w:r w:rsidRPr="00C07A3C">
        <w:rPr>
          <w:rFonts w:eastAsia="Calibri"/>
        </w:rPr>
        <w:t>infekcinės ligos sunkumo ir infekcijos rūšies.</w:t>
      </w:r>
    </w:p>
    <w:p w14:paraId="106749D4" w14:textId="77777777" w:rsidR="00AA471E" w:rsidRPr="00C07A3C" w:rsidRDefault="00AA471E" w:rsidP="00AA471E">
      <w:pPr>
        <w:keepNext/>
        <w:numPr>
          <w:ilvl w:val="0"/>
          <w:numId w:val="10"/>
        </w:numPr>
        <w:ind w:left="567" w:hanging="567"/>
        <w:rPr>
          <w:rFonts w:eastAsia="Calibri"/>
        </w:rPr>
      </w:pPr>
      <w:r w:rsidRPr="00C07A3C">
        <w:rPr>
          <w:rFonts w:eastAsia="Calibri"/>
        </w:rPr>
        <w:t>vaiko kūno masės ir amžiaus, didžiausia dozė – 500 mg per parą.</w:t>
      </w:r>
    </w:p>
    <w:p w14:paraId="65880728" w14:textId="77777777" w:rsidR="00AA471E" w:rsidRPr="00C07A3C" w:rsidRDefault="00AA471E" w:rsidP="00AA471E">
      <w:pPr>
        <w:rPr>
          <w:rFonts w:eastAsia="Calibri"/>
        </w:rPr>
      </w:pPr>
    </w:p>
    <w:p w14:paraId="2E876BC3" w14:textId="763D3E5B" w:rsidR="00AA471E" w:rsidRPr="00C07A3C" w:rsidRDefault="00CF62BF" w:rsidP="00AA471E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nerekomenduojama vartoti jaunesniems kaip 3 mėnesių kūdikiams</w:t>
      </w:r>
      <w:r w:rsidR="00AA471E" w:rsidRPr="00C07A3C">
        <w:rPr>
          <w:rFonts w:eastAsia="Calibri"/>
        </w:rPr>
        <w:t>, nes saugumas ir veiksmingumas šio amžiaus grupės pacientams nežinomas.</w:t>
      </w:r>
    </w:p>
    <w:p w14:paraId="1C3DF6B4" w14:textId="77777777" w:rsidR="00AA471E" w:rsidRPr="00C07A3C" w:rsidRDefault="00AA471E" w:rsidP="00AA471E">
      <w:pPr>
        <w:autoSpaceDE w:val="0"/>
        <w:autoSpaceDN w:val="0"/>
        <w:adjustRightInd w:val="0"/>
        <w:rPr>
          <w:rFonts w:eastAsia="Calibri"/>
        </w:rPr>
      </w:pPr>
    </w:p>
    <w:p w14:paraId="102E0939" w14:textId="77777777" w:rsidR="00AA471E" w:rsidRPr="00C07A3C" w:rsidRDefault="00AA471E" w:rsidP="00AA47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Atsižvelgiant į ligą ir kaip Jūs arba Jūsų vaikas reaguoja į gydymą, pradinė dozė gali būti keičiama arba gali prireikti daugiau nei vieno gydymo kurso.</w:t>
      </w:r>
    </w:p>
    <w:p w14:paraId="51247B2A" w14:textId="77777777" w:rsidR="00AA471E" w:rsidRPr="00C07A3C" w:rsidRDefault="00AA471E" w:rsidP="00AA47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7F95E195" w14:textId="2C63C357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  <w:b/>
        </w:rPr>
      </w:pPr>
      <w:r w:rsidRPr="00C07A3C">
        <w:rPr>
          <w:rFonts w:eastAsia="Calibri"/>
          <w:b/>
        </w:rPr>
        <w:t xml:space="preserve">Pacientams, </w:t>
      </w:r>
      <w:r w:rsidR="0059070D">
        <w:rPr>
          <w:rFonts w:eastAsia="Calibri"/>
          <w:b/>
        </w:rPr>
        <w:t>kurių inkstų funkcija sutrikusi</w:t>
      </w:r>
    </w:p>
    <w:p w14:paraId="33FBFD7A" w14:textId="77777777" w:rsidR="00AA471E" w:rsidRPr="00C07A3C" w:rsidRDefault="00AA471E" w:rsidP="00AA47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6537FDF8" w14:textId="77777777" w:rsidR="00AA471E" w:rsidRPr="00C07A3C" w:rsidRDefault="00AA471E" w:rsidP="00AA471E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color w:val="000000"/>
        </w:rPr>
      </w:pPr>
      <w:r w:rsidRPr="00C07A3C">
        <w:rPr>
          <w:rFonts w:eastAsia="Calibri"/>
        </w:rPr>
        <w:t>Jeigu Jums yra inkstų funkcijos sutrikimas, Jūsų gydytojas gali keisti Jums skirtą dozę.</w:t>
      </w:r>
    </w:p>
    <w:p w14:paraId="30170C54" w14:textId="77777777" w:rsidR="00AA471E" w:rsidRPr="00C07A3C" w:rsidRDefault="00AA471E" w:rsidP="00AA471E">
      <w:pPr>
        <w:numPr>
          <w:ilvl w:val="0"/>
          <w:numId w:val="9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b/>
          <w:color w:val="000000"/>
        </w:rPr>
        <w:t xml:space="preserve">Pasakykite gydytojui, </w:t>
      </w:r>
      <w:r w:rsidRPr="00C07A3C">
        <w:rPr>
          <w:rFonts w:eastAsia="Calibri"/>
          <w:color w:val="000000"/>
        </w:rPr>
        <w:t>jeigu yra tokia aplinkybė.</w:t>
      </w:r>
    </w:p>
    <w:p w14:paraId="7F40C84E" w14:textId="77777777" w:rsidR="00AA471E" w:rsidRPr="009C0DB0" w:rsidRDefault="00AA471E" w:rsidP="00AA471E">
      <w:pPr>
        <w:ind w:left="567" w:hanging="567"/>
        <w:rPr>
          <w:rFonts w:eastAsia="Calibri"/>
        </w:rPr>
      </w:pPr>
    </w:p>
    <w:p w14:paraId="735157B6" w14:textId="33B864C8" w:rsidR="00AA471E" w:rsidRPr="00C07A3C" w:rsidRDefault="00AA471E" w:rsidP="00AA471E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  <w:b/>
        </w:rPr>
      </w:pPr>
      <w:r w:rsidRPr="00C07A3C">
        <w:rPr>
          <w:rFonts w:eastAsia="Calibri"/>
          <w:b/>
        </w:rPr>
        <w:lastRenderedPageBreak/>
        <w:t xml:space="preserve">Ką daryti pavartojus per didelę </w:t>
      </w:r>
      <w:r w:rsidR="00CF62BF">
        <w:rPr>
          <w:rFonts w:eastAsia="Calibri"/>
          <w:b/>
        </w:rPr>
        <w:t>CEFUROX BASICS</w:t>
      </w:r>
      <w:r w:rsidRPr="00C07A3C">
        <w:rPr>
          <w:rFonts w:eastAsia="Calibri"/>
          <w:b/>
        </w:rPr>
        <w:t xml:space="preserve"> dozę</w:t>
      </w:r>
    </w:p>
    <w:p w14:paraId="129ED93B" w14:textId="77777777" w:rsidR="00AA471E" w:rsidRPr="009C0DB0" w:rsidRDefault="00AA471E" w:rsidP="00AA471E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73006680" w14:textId="2D6953D6" w:rsidR="00AA471E" w:rsidRPr="00C07A3C" w:rsidRDefault="00AA471E" w:rsidP="00AA471E">
      <w:pPr>
        <w:keepNext/>
        <w:autoSpaceDE w:val="0"/>
        <w:autoSpaceDN w:val="0"/>
        <w:adjustRightInd w:val="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 xml:space="preserve">Jeigu išgėrėte per daug </w:t>
      </w:r>
      <w:r w:rsidR="00CF62BF">
        <w:rPr>
          <w:rFonts w:eastAsia="Calibri"/>
          <w:color w:val="000000"/>
        </w:rPr>
        <w:t>CEFUROX BASICS</w:t>
      </w:r>
      <w:r w:rsidRPr="00C07A3C">
        <w:rPr>
          <w:rFonts w:eastAsia="Calibri"/>
          <w:color w:val="000000"/>
        </w:rPr>
        <w:t xml:space="preserve">, Jums gali atsirasti neurologinių sutrikimų, ypač gali </w:t>
      </w:r>
      <w:r w:rsidRPr="00C07A3C">
        <w:rPr>
          <w:rFonts w:eastAsia="Calibri"/>
          <w:b/>
          <w:color w:val="000000"/>
        </w:rPr>
        <w:t xml:space="preserve">padidėti traukulių </w:t>
      </w:r>
      <w:r w:rsidRPr="00C07A3C">
        <w:rPr>
          <w:rFonts w:eastAsia="Calibri"/>
          <w:i/>
          <w:color w:val="000000"/>
        </w:rPr>
        <w:t xml:space="preserve">(priepuolių) </w:t>
      </w:r>
      <w:r w:rsidRPr="00C07A3C">
        <w:rPr>
          <w:rFonts w:eastAsia="Calibri"/>
          <w:b/>
          <w:color w:val="000000"/>
        </w:rPr>
        <w:t>atsiradimo tikimybė</w:t>
      </w:r>
      <w:r w:rsidRPr="00C07A3C">
        <w:rPr>
          <w:rFonts w:eastAsia="Calibri"/>
          <w:b/>
          <w:i/>
          <w:color w:val="000000"/>
        </w:rPr>
        <w:t>.</w:t>
      </w:r>
    </w:p>
    <w:p w14:paraId="716933EF" w14:textId="7C301138" w:rsidR="00AA471E" w:rsidRPr="00C07A3C" w:rsidRDefault="00AA471E" w:rsidP="00AA471E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ind w:hanging="720"/>
        <w:rPr>
          <w:rFonts w:eastAsia="Calibri"/>
          <w:color w:val="000000"/>
        </w:rPr>
      </w:pPr>
      <w:r w:rsidRPr="00C07A3C">
        <w:rPr>
          <w:rFonts w:eastAsia="Calibri"/>
          <w:b/>
          <w:color w:val="000000"/>
        </w:rPr>
        <w:t>Nedelskite.</w:t>
      </w:r>
      <w:r w:rsidRPr="00C07A3C">
        <w:rPr>
          <w:rFonts w:eastAsia="Calibri"/>
          <w:color w:val="000000"/>
        </w:rPr>
        <w:t xml:space="preserve"> </w:t>
      </w:r>
      <w:r w:rsidRPr="00C07A3C">
        <w:rPr>
          <w:rFonts w:eastAsia="Calibri"/>
          <w:b/>
          <w:color w:val="000000"/>
        </w:rPr>
        <w:t>Nedelsdami kreipkitės į gydytoją arba vykite į artimiausios ligoninės priėmimo skyrių</w:t>
      </w:r>
      <w:r w:rsidRPr="00C07A3C">
        <w:rPr>
          <w:rFonts w:eastAsia="Calibri"/>
          <w:color w:val="000000"/>
        </w:rPr>
        <w:t xml:space="preserve">. Jeigu įmanoma, parodykite gydytojui </w:t>
      </w:r>
      <w:r w:rsidR="00CF62BF">
        <w:rPr>
          <w:rFonts w:eastAsia="Calibri"/>
          <w:color w:val="000000"/>
        </w:rPr>
        <w:t>CEFUROX BASICS</w:t>
      </w:r>
      <w:r w:rsidRPr="00C07A3C">
        <w:rPr>
          <w:rFonts w:eastAsia="Calibri"/>
          <w:color w:val="000000"/>
        </w:rPr>
        <w:t xml:space="preserve"> pakuotę.</w:t>
      </w:r>
    </w:p>
    <w:p w14:paraId="6BFA4657" w14:textId="77777777" w:rsidR="00AA471E" w:rsidRPr="009C0DB0" w:rsidRDefault="00AA471E" w:rsidP="00AA471E">
      <w:pPr>
        <w:ind w:left="567" w:hanging="567"/>
        <w:rPr>
          <w:rFonts w:eastAsia="Calibri"/>
        </w:rPr>
      </w:pPr>
    </w:p>
    <w:p w14:paraId="7B6974CF" w14:textId="4D038E6E" w:rsidR="00AA471E" w:rsidRPr="00C07A3C" w:rsidRDefault="00AA471E" w:rsidP="00AA471E">
      <w:pPr>
        <w:keepNext/>
        <w:ind w:left="567" w:hanging="567"/>
        <w:rPr>
          <w:rFonts w:eastAsia="Calibri"/>
          <w:b/>
        </w:rPr>
      </w:pPr>
      <w:r w:rsidRPr="00C07A3C">
        <w:rPr>
          <w:rFonts w:eastAsia="Calibri"/>
          <w:b/>
        </w:rPr>
        <w:t xml:space="preserve">Pamiršus pavartoti </w:t>
      </w:r>
      <w:r w:rsidR="00CF62BF">
        <w:rPr>
          <w:rFonts w:eastAsia="Calibri"/>
          <w:b/>
        </w:rPr>
        <w:t>CEFUROX BASICS</w:t>
      </w:r>
    </w:p>
    <w:p w14:paraId="17B3171F" w14:textId="77777777" w:rsidR="00AA471E" w:rsidRPr="00C07A3C" w:rsidRDefault="00AA471E" w:rsidP="00AA471E">
      <w:pPr>
        <w:keepNext/>
        <w:ind w:left="567" w:hanging="567"/>
        <w:rPr>
          <w:rFonts w:eastAsia="Calibri"/>
        </w:rPr>
      </w:pPr>
    </w:p>
    <w:p w14:paraId="4C8AC5B8" w14:textId="77777777" w:rsidR="00AA471E" w:rsidRPr="00C07A3C" w:rsidRDefault="00AA471E" w:rsidP="00AA471E">
      <w:pPr>
        <w:keepNext/>
        <w:rPr>
          <w:rFonts w:eastAsia="Calibri"/>
        </w:rPr>
      </w:pPr>
      <w:r w:rsidRPr="00C07A3C">
        <w:rPr>
          <w:rFonts w:eastAsia="Calibri"/>
          <w:b/>
        </w:rPr>
        <w:t>Negalima vartoti dvigubos dozės norint kompensuoti praleistą dozę</w:t>
      </w:r>
      <w:r w:rsidRPr="00C07A3C">
        <w:rPr>
          <w:rFonts w:eastAsia="Calibri"/>
        </w:rPr>
        <w:t>. Tik išgerkite kitą dozę įprastu laiku.</w:t>
      </w:r>
    </w:p>
    <w:p w14:paraId="02D00C4C" w14:textId="77777777" w:rsidR="00AA471E" w:rsidRPr="00C07A3C" w:rsidRDefault="00AA471E" w:rsidP="00AA471E">
      <w:pPr>
        <w:ind w:left="567" w:hanging="567"/>
        <w:rPr>
          <w:rFonts w:eastAsia="Calibri"/>
        </w:rPr>
      </w:pPr>
    </w:p>
    <w:p w14:paraId="02747B08" w14:textId="591A88C1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  <w:r w:rsidRPr="00C07A3C">
        <w:rPr>
          <w:rFonts w:eastAsia="Calibri"/>
          <w:b/>
        </w:rPr>
        <w:t xml:space="preserve">Nustojus vartoti </w:t>
      </w:r>
      <w:r w:rsidR="00CF62BF">
        <w:rPr>
          <w:rFonts w:eastAsia="Calibri"/>
          <w:b/>
        </w:rPr>
        <w:t>CEFUROX BASICS</w:t>
      </w:r>
    </w:p>
    <w:p w14:paraId="49A096F5" w14:textId="34ACEF37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</w:rPr>
        <w:t xml:space="preserve">Nenutraukite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vartojimo be nurodymo.</w:t>
      </w:r>
    </w:p>
    <w:p w14:paraId="30CC168F" w14:textId="77777777" w:rsidR="00AA471E" w:rsidRPr="009C0DB0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</w:p>
    <w:p w14:paraId="208A2AD1" w14:textId="68C89682" w:rsidR="00AA471E" w:rsidRPr="00C07A3C" w:rsidRDefault="00AA471E" w:rsidP="00AA471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 xml:space="preserve">Svarbu, kad užbaigtumėte visą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kursą. Nenutraukite vaisto vartojimo be gydytojo nurodymo, net jeigu geriau jaučiatės. Nebaigus viso gydymo kurso, infekcinė liga gali atsinaujinti.</w:t>
      </w:r>
    </w:p>
    <w:p w14:paraId="6F99569C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689C91D6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Jeigu kiltų daugiau klausimų dėl šio vaisto vartojimo, kreipkitės į gydytoją ar vaistininką.</w:t>
      </w:r>
    </w:p>
    <w:p w14:paraId="59939FA0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0F5F91A6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60633C95" w14:textId="77777777" w:rsidR="00AA471E" w:rsidRPr="00C07A3C" w:rsidRDefault="00AA471E" w:rsidP="00AA471E">
      <w:pPr>
        <w:numPr>
          <w:ilvl w:val="12"/>
          <w:numId w:val="0"/>
        </w:numPr>
        <w:ind w:left="567" w:hanging="567"/>
        <w:outlineLvl w:val="0"/>
        <w:rPr>
          <w:rFonts w:eastAsia="Calibri"/>
          <w:b/>
          <w:caps/>
        </w:rPr>
      </w:pPr>
      <w:r w:rsidRPr="00C07A3C">
        <w:rPr>
          <w:rFonts w:eastAsia="Calibri"/>
          <w:b/>
          <w:caps/>
        </w:rPr>
        <w:t>4.</w:t>
      </w:r>
      <w:r w:rsidRPr="00C07A3C">
        <w:rPr>
          <w:rFonts w:eastAsia="Calibri"/>
          <w:b/>
          <w:caps/>
        </w:rPr>
        <w:tab/>
      </w:r>
      <w:r w:rsidRPr="00C07A3C">
        <w:rPr>
          <w:rFonts w:eastAsia="Calibri"/>
          <w:b/>
        </w:rPr>
        <w:t>Galimas šalutinis poveikis</w:t>
      </w:r>
    </w:p>
    <w:p w14:paraId="5A181192" w14:textId="77777777" w:rsidR="00AA471E" w:rsidRPr="00C07A3C" w:rsidRDefault="00AA471E" w:rsidP="00AA471E">
      <w:pPr>
        <w:ind w:left="567" w:hanging="567"/>
        <w:rPr>
          <w:rFonts w:eastAsia="Calibri"/>
        </w:rPr>
      </w:pPr>
    </w:p>
    <w:p w14:paraId="6866E807" w14:textId="77777777" w:rsidR="00AA471E" w:rsidRPr="00C07A3C" w:rsidRDefault="00AA471E" w:rsidP="00AA471E">
      <w:pPr>
        <w:ind w:left="567" w:hanging="567"/>
        <w:rPr>
          <w:rFonts w:eastAsia="Calibri"/>
        </w:rPr>
      </w:pPr>
      <w:r w:rsidRPr="00C07A3C">
        <w:rPr>
          <w:rFonts w:eastAsia="Calibri"/>
        </w:rPr>
        <w:t>Šis vaistas, kaip ir visi kiti, gali sukelti šalutinį poveikį, nors jis pasireiškia ne visiems žmonėms.</w:t>
      </w:r>
    </w:p>
    <w:p w14:paraId="4EE03427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0A3D8D52" w14:textId="77777777" w:rsidR="00AA471E" w:rsidRPr="00C07A3C" w:rsidRDefault="00AA471E" w:rsidP="00AA471E">
      <w:pPr>
        <w:keepNext/>
        <w:outlineLvl w:val="0"/>
        <w:rPr>
          <w:rFonts w:eastAsia="Calibri"/>
          <w:b/>
          <w:color w:val="000000"/>
        </w:rPr>
      </w:pPr>
      <w:r w:rsidRPr="00C07A3C">
        <w:rPr>
          <w:rFonts w:eastAsia="Calibri"/>
          <w:b/>
          <w:color w:val="000000"/>
        </w:rPr>
        <w:t>Būklės, į kurias reikia atkreipti dėmesį</w:t>
      </w:r>
    </w:p>
    <w:p w14:paraId="76632B66" w14:textId="77777777" w:rsidR="00AA471E" w:rsidRPr="009C0DB0" w:rsidRDefault="00AA471E" w:rsidP="00AA471E">
      <w:pPr>
        <w:keepNext/>
        <w:outlineLvl w:val="0"/>
        <w:rPr>
          <w:rFonts w:eastAsia="Calibri"/>
          <w:color w:val="000000"/>
        </w:rPr>
      </w:pPr>
    </w:p>
    <w:p w14:paraId="63A46231" w14:textId="4732827E" w:rsidR="00AA471E" w:rsidRPr="00C07A3C" w:rsidRDefault="00AA471E" w:rsidP="00AA471E">
      <w:pPr>
        <w:keepNext/>
        <w:outlineLvl w:val="0"/>
        <w:rPr>
          <w:rFonts w:eastAsia="Calibri"/>
        </w:rPr>
      </w:pPr>
      <w:r w:rsidRPr="00C07A3C">
        <w:rPr>
          <w:rFonts w:eastAsia="Calibri"/>
        </w:rPr>
        <w:t xml:space="preserve">Mažai daliai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vartojančių žmonių pasireiškė alerginė reakcija arba galinti būti sunki odos reakcija. Tokių reakcijų simptomai yra:</w:t>
      </w:r>
    </w:p>
    <w:p w14:paraId="3457DD66" w14:textId="2864CD4A" w:rsidR="00AA471E" w:rsidRPr="00DA19AC" w:rsidRDefault="00AA471E" w:rsidP="00AA471E">
      <w:pPr>
        <w:numPr>
          <w:ilvl w:val="0"/>
          <w:numId w:val="27"/>
        </w:numPr>
        <w:spacing w:before="120"/>
        <w:ind w:left="567" w:hanging="567"/>
        <w:rPr>
          <w:rFonts w:eastAsia="Calibri"/>
        </w:rPr>
      </w:pPr>
      <w:r w:rsidRPr="00C07A3C">
        <w:rPr>
          <w:rFonts w:eastAsia="Calibri"/>
          <w:b/>
        </w:rPr>
        <w:t>sunki alerginė reakcija</w:t>
      </w:r>
      <w:r w:rsidRPr="00C07A3C">
        <w:rPr>
          <w:rFonts w:eastAsia="Calibri"/>
        </w:rPr>
        <w:t xml:space="preserve">. Požymiai </w:t>
      </w:r>
      <w:r w:rsidRPr="00114810">
        <w:rPr>
          <w:rFonts w:eastAsia="Calibri"/>
          <w:szCs w:val="22"/>
        </w:rPr>
        <w:t xml:space="preserve">gali būti </w:t>
      </w:r>
      <w:r w:rsidRPr="00114810">
        <w:rPr>
          <w:rFonts w:eastAsia="Calibri"/>
          <w:b/>
          <w:szCs w:val="22"/>
        </w:rPr>
        <w:t xml:space="preserve">iškilusis niežtintysis </w:t>
      </w:r>
      <w:r w:rsidR="00312E9B" w:rsidRPr="00114810">
        <w:rPr>
          <w:rFonts w:eastAsia="Calibri"/>
          <w:b/>
          <w:szCs w:val="22"/>
        </w:rPr>
        <w:t>iš</w:t>
      </w:r>
      <w:r w:rsidRPr="00114810">
        <w:rPr>
          <w:rFonts w:eastAsia="Calibri"/>
          <w:b/>
          <w:szCs w:val="22"/>
        </w:rPr>
        <w:t>bėrimas, patinimas</w:t>
      </w:r>
      <w:r w:rsidRPr="00114810">
        <w:rPr>
          <w:rFonts w:eastAsia="Calibri"/>
          <w:szCs w:val="22"/>
        </w:rPr>
        <w:t xml:space="preserve">, kartais veido ar burnos, dėl kurio </w:t>
      </w:r>
      <w:r w:rsidRPr="00114810">
        <w:rPr>
          <w:rFonts w:eastAsia="Calibri"/>
          <w:b/>
          <w:szCs w:val="22"/>
        </w:rPr>
        <w:t>pasunkėja kvėpavimas</w:t>
      </w:r>
      <w:r w:rsidRPr="00114810">
        <w:rPr>
          <w:rFonts w:eastAsia="Calibri"/>
          <w:szCs w:val="22"/>
        </w:rPr>
        <w:t>;</w:t>
      </w:r>
    </w:p>
    <w:p w14:paraId="192025AA" w14:textId="5C0F02B0" w:rsidR="00DA19AC" w:rsidRPr="002F41B1" w:rsidRDefault="00DA19AC" w:rsidP="00AE79A1">
      <w:pPr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</w:rPr>
      </w:pPr>
      <w:r w:rsidRPr="00AA4BD0">
        <w:rPr>
          <w:b/>
          <w:bCs/>
          <w:noProof/>
          <w:szCs w:val="22"/>
        </w:rPr>
        <w:t>išplitęs bėrimas, aukšta kūno temperatūra</w:t>
      </w:r>
      <w:r w:rsidRPr="002F41B1">
        <w:rPr>
          <w:noProof/>
          <w:szCs w:val="22"/>
        </w:rPr>
        <w:t xml:space="preserve"> ir </w:t>
      </w:r>
      <w:r w:rsidRPr="00AA4BD0">
        <w:rPr>
          <w:b/>
          <w:bCs/>
          <w:noProof/>
          <w:szCs w:val="22"/>
        </w:rPr>
        <w:t>padidėję limfmazgiai</w:t>
      </w:r>
      <w:r w:rsidRPr="002F41B1">
        <w:rPr>
          <w:noProof/>
          <w:szCs w:val="22"/>
        </w:rPr>
        <w:t xml:space="preserve"> (DRESS</w:t>
      </w:r>
      <w:r>
        <w:rPr>
          <w:noProof/>
          <w:szCs w:val="22"/>
        </w:rPr>
        <w:t xml:space="preserve"> </w:t>
      </w:r>
      <w:r w:rsidRPr="002F41B1">
        <w:rPr>
          <w:noProof/>
          <w:szCs w:val="22"/>
        </w:rPr>
        <w:t>sindromas ar padidėjusio jautrumo vaistui sindromas)</w:t>
      </w:r>
      <w:r w:rsidR="003F1B8B">
        <w:rPr>
          <w:noProof/>
          <w:szCs w:val="22"/>
        </w:rPr>
        <w:t>;</w:t>
      </w:r>
    </w:p>
    <w:p w14:paraId="01519F23" w14:textId="245F73C3" w:rsidR="00DA19AC" w:rsidRPr="002F41B1" w:rsidRDefault="00DA19AC" w:rsidP="00AE79A1">
      <w:pPr>
        <w:numPr>
          <w:ilvl w:val="0"/>
          <w:numId w:val="27"/>
        </w:numPr>
        <w:tabs>
          <w:tab w:val="left" w:pos="567"/>
        </w:tabs>
        <w:ind w:left="567" w:hanging="567"/>
        <w:rPr>
          <w:noProof/>
          <w:szCs w:val="22"/>
        </w:rPr>
      </w:pPr>
      <w:r w:rsidRPr="00AA4BD0">
        <w:rPr>
          <w:b/>
          <w:bCs/>
          <w:noProof/>
          <w:szCs w:val="22"/>
        </w:rPr>
        <w:t>krūtinės skausmas pasireiškus alerginėms reakcijoms</w:t>
      </w:r>
      <w:r w:rsidRPr="002F41B1">
        <w:rPr>
          <w:noProof/>
          <w:szCs w:val="22"/>
        </w:rPr>
        <w:t xml:space="preserve"> – tai gali būti </w:t>
      </w:r>
      <w:r w:rsidRPr="00AA4BD0">
        <w:rPr>
          <w:b/>
          <w:bCs/>
          <w:noProof/>
          <w:szCs w:val="22"/>
        </w:rPr>
        <w:t>alergijos sukelto širdies infarkto</w:t>
      </w:r>
      <w:r w:rsidRPr="002F41B1">
        <w:rPr>
          <w:noProof/>
          <w:szCs w:val="22"/>
        </w:rPr>
        <w:t xml:space="preserve"> simptomas (</w:t>
      </w:r>
      <w:r w:rsidRPr="00AA4BD0">
        <w:rPr>
          <w:i/>
          <w:iCs/>
          <w:noProof/>
          <w:szCs w:val="22"/>
        </w:rPr>
        <w:t>Kounis</w:t>
      </w:r>
      <w:r w:rsidRPr="002F41B1">
        <w:rPr>
          <w:noProof/>
          <w:szCs w:val="22"/>
        </w:rPr>
        <w:t xml:space="preserve"> sindromas)</w:t>
      </w:r>
      <w:r w:rsidR="003F1B8B">
        <w:rPr>
          <w:noProof/>
          <w:szCs w:val="22"/>
        </w:rPr>
        <w:t>;</w:t>
      </w:r>
    </w:p>
    <w:p w14:paraId="29D5659A" w14:textId="77777777" w:rsidR="00AA471E" w:rsidRPr="009C0DB0" w:rsidRDefault="00AA471E" w:rsidP="00857812">
      <w:pPr>
        <w:numPr>
          <w:ilvl w:val="0"/>
          <w:numId w:val="18"/>
        </w:numPr>
        <w:tabs>
          <w:tab w:val="clear" w:pos="284"/>
          <w:tab w:val="num" w:pos="561"/>
        </w:tabs>
        <w:ind w:left="567" w:hanging="567"/>
        <w:rPr>
          <w:rFonts w:eastAsia="Calibri"/>
        </w:rPr>
      </w:pPr>
      <w:r w:rsidRPr="00114810">
        <w:rPr>
          <w:rFonts w:eastAsia="Calibri"/>
          <w:b/>
          <w:szCs w:val="22"/>
        </w:rPr>
        <w:t xml:space="preserve">odos </w:t>
      </w:r>
      <w:r w:rsidR="0059070D" w:rsidRPr="00114810">
        <w:rPr>
          <w:rFonts w:eastAsia="Calibri"/>
          <w:b/>
          <w:szCs w:val="22"/>
        </w:rPr>
        <w:t>iš</w:t>
      </w:r>
      <w:r w:rsidRPr="00114810">
        <w:rPr>
          <w:rFonts w:eastAsia="Calibri"/>
          <w:b/>
          <w:szCs w:val="22"/>
        </w:rPr>
        <w:t>bėrimas</w:t>
      </w:r>
      <w:r w:rsidRPr="00114810">
        <w:rPr>
          <w:rFonts w:eastAsia="Calibri"/>
          <w:szCs w:val="22"/>
        </w:rPr>
        <w:t xml:space="preserve">, kuris gali apsitraukti </w:t>
      </w:r>
      <w:r w:rsidRPr="00114810">
        <w:rPr>
          <w:rFonts w:eastAsia="Calibri"/>
          <w:b/>
          <w:szCs w:val="22"/>
        </w:rPr>
        <w:t>pūslėmis</w:t>
      </w:r>
      <w:r w:rsidRPr="00114810">
        <w:rPr>
          <w:rFonts w:eastAsia="Calibri"/>
          <w:szCs w:val="22"/>
        </w:rPr>
        <w:t xml:space="preserve"> ar atrodyti kaip </w:t>
      </w:r>
      <w:r w:rsidRPr="00114810">
        <w:rPr>
          <w:rFonts w:eastAsia="Calibri"/>
          <w:b/>
          <w:szCs w:val="22"/>
        </w:rPr>
        <w:t>maži taikiniai</w:t>
      </w:r>
      <w:r w:rsidRPr="00114810">
        <w:rPr>
          <w:rFonts w:eastAsia="Calibri"/>
          <w:szCs w:val="22"/>
        </w:rPr>
        <w:t xml:space="preserve"> (centre tamsus taškas, apsuptas blyškesnės srities, o iš krašto apjuostas tamsaus žiedo);</w:t>
      </w:r>
    </w:p>
    <w:p w14:paraId="7AA78CB9" w14:textId="3E6ABC2F" w:rsidR="00AA471E" w:rsidRPr="009C0DB0" w:rsidRDefault="00AA471E" w:rsidP="00857812">
      <w:pPr>
        <w:numPr>
          <w:ilvl w:val="0"/>
          <w:numId w:val="18"/>
        </w:numPr>
        <w:tabs>
          <w:tab w:val="clear" w:pos="284"/>
          <w:tab w:val="num" w:pos="561"/>
        </w:tabs>
        <w:ind w:left="567" w:hanging="567"/>
        <w:rPr>
          <w:rFonts w:eastAsia="Calibri"/>
        </w:rPr>
      </w:pPr>
      <w:r w:rsidRPr="00114810">
        <w:rPr>
          <w:rFonts w:eastAsia="Calibri"/>
          <w:b/>
          <w:szCs w:val="22"/>
        </w:rPr>
        <w:t xml:space="preserve">išplitęs </w:t>
      </w:r>
      <w:r w:rsidR="0059070D" w:rsidRPr="00114810">
        <w:rPr>
          <w:rFonts w:eastAsia="Calibri"/>
          <w:b/>
          <w:szCs w:val="22"/>
        </w:rPr>
        <w:t>iš</w:t>
      </w:r>
      <w:r w:rsidRPr="00114810">
        <w:rPr>
          <w:rFonts w:eastAsia="Calibri"/>
          <w:b/>
          <w:szCs w:val="22"/>
        </w:rPr>
        <w:t>bėrimas</w:t>
      </w:r>
      <w:r w:rsidRPr="00114810">
        <w:rPr>
          <w:rFonts w:eastAsia="Calibri"/>
          <w:szCs w:val="22"/>
        </w:rPr>
        <w:t xml:space="preserve"> su </w:t>
      </w:r>
      <w:r w:rsidRPr="00114810">
        <w:rPr>
          <w:rFonts w:eastAsia="Calibri"/>
          <w:b/>
          <w:szCs w:val="22"/>
        </w:rPr>
        <w:t>pūslėmis</w:t>
      </w:r>
      <w:r w:rsidRPr="00114810">
        <w:rPr>
          <w:rFonts w:eastAsia="Calibri"/>
          <w:szCs w:val="22"/>
        </w:rPr>
        <w:t xml:space="preserve"> ir </w:t>
      </w:r>
      <w:r w:rsidRPr="00114810">
        <w:rPr>
          <w:rFonts w:eastAsia="Calibri"/>
          <w:b/>
          <w:szCs w:val="22"/>
        </w:rPr>
        <w:t>odos lupimusi</w:t>
      </w:r>
      <w:r w:rsidRPr="00114810">
        <w:rPr>
          <w:rFonts w:eastAsia="Calibri"/>
          <w:szCs w:val="22"/>
        </w:rPr>
        <w:t xml:space="preserve"> (tai gali būti</w:t>
      </w:r>
      <w:r w:rsidR="00DA19AC">
        <w:rPr>
          <w:rFonts w:eastAsia="Calibri"/>
          <w:szCs w:val="22"/>
        </w:rPr>
        <w:t xml:space="preserve"> Stivenso</w:t>
      </w:r>
      <w:r w:rsidR="00C5051E">
        <w:rPr>
          <w:rFonts w:eastAsia="Calibri"/>
          <w:szCs w:val="22"/>
        </w:rPr>
        <w:t xml:space="preserve">-Džonsono </w:t>
      </w:r>
      <w:r w:rsidR="00C5051E" w:rsidRPr="00C5051E">
        <w:rPr>
          <w:rFonts w:eastAsia="Calibri"/>
          <w:szCs w:val="22"/>
        </w:rPr>
        <w:t>(</w:t>
      </w:r>
      <w:r w:rsidRPr="00857812">
        <w:rPr>
          <w:rFonts w:eastAsia="Calibri"/>
        </w:rPr>
        <w:t>Stevens-Johnson</w:t>
      </w:r>
      <w:r w:rsidR="00C5051E" w:rsidRPr="00AE79A1">
        <w:rPr>
          <w:rFonts w:eastAsia="Calibri"/>
          <w:szCs w:val="22"/>
        </w:rPr>
        <w:t>)</w:t>
      </w:r>
      <w:r w:rsidRPr="00857812">
        <w:rPr>
          <w:rFonts w:eastAsia="Calibri"/>
        </w:rPr>
        <w:t xml:space="preserve"> sindromo</w:t>
      </w:r>
      <w:r w:rsidRPr="00C5051E">
        <w:rPr>
          <w:rFonts w:eastAsia="Calibri"/>
          <w:szCs w:val="22"/>
        </w:rPr>
        <w:t xml:space="preserve"> arba </w:t>
      </w:r>
      <w:r w:rsidRPr="00857812">
        <w:rPr>
          <w:rFonts w:eastAsia="Calibri"/>
        </w:rPr>
        <w:t>toksinės epidermio nekrolizės</w:t>
      </w:r>
      <w:r w:rsidRPr="00114810">
        <w:rPr>
          <w:rFonts w:eastAsia="Calibri"/>
          <w:i/>
          <w:szCs w:val="22"/>
        </w:rPr>
        <w:t xml:space="preserve"> </w:t>
      </w:r>
      <w:r w:rsidRPr="00114810">
        <w:rPr>
          <w:rFonts w:eastAsia="Calibri"/>
          <w:szCs w:val="22"/>
        </w:rPr>
        <w:t>požymiai).</w:t>
      </w:r>
    </w:p>
    <w:p w14:paraId="08CE95DD" w14:textId="77777777" w:rsidR="00AA471E" w:rsidRPr="00AE79A1" w:rsidRDefault="00AA471E" w:rsidP="00857812">
      <w:pPr>
        <w:rPr>
          <w:rFonts w:eastAsia="Calibri"/>
        </w:rPr>
      </w:pPr>
    </w:p>
    <w:p w14:paraId="7857EE1D" w14:textId="437BF253" w:rsidR="00AA471E" w:rsidRPr="00857812" w:rsidRDefault="00AA471E" w:rsidP="00857812">
      <w:pPr>
        <w:tabs>
          <w:tab w:val="left" w:pos="0"/>
        </w:tabs>
        <w:rPr>
          <w:rFonts w:eastAsia="Calibri"/>
        </w:rPr>
      </w:pPr>
      <w:r w:rsidRPr="00AE79A1">
        <w:rPr>
          <w:rFonts w:eastAsia="Calibri"/>
          <w:b/>
        </w:rPr>
        <w:t xml:space="preserve">Kitos būklės, į kurias reikia atkreipti dėmesį vartojant </w:t>
      </w:r>
      <w:r w:rsidR="00CF62BF">
        <w:rPr>
          <w:rFonts w:eastAsia="Calibri"/>
          <w:b/>
        </w:rPr>
        <w:t>CEFUROX BASICS</w:t>
      </w:r>
      <w:r w:rsidRPr="00AE79A1">
        <w:rPr>
          <w:rFonts w:eastAsia="Calibri"/>
          <w:b/>
        </w:rPr>
        <w:t>, yra</w:t>
      </w:r>
      <w:r w:rsidR="00514272">
        <w:rPr>
          <w:rFonts w:eastAsia="Calibri"/>
          <w:b/>
        </w:rPr>
        <w:t>:</w:t>
      </w:r>
    </w:p>
    <w:p w14:paraId="6056BC87" w14:textId="7665C81D" w:rsidR="00AA471E" w:rsidRPr="00AE79A1" w:rsidRDefault="00AA471E" w:rsidP="00857812">
      <w:pPr>
        <w:numPr>
          <w:ilvl w:val="0"/>
          <w:numId w:val="18"/>
        </w:numPr>
        <w:tabs>
          <w:tab w:val="clear" w:pos="284"/>
          <w:tab w:val="num" w:pos="561"/>
        </w:tabs>
        <w:ind w:left="561" w:hanging="561"/>
        <w:rPr>
          <w:rFonts w:eastAsia="Calibri"/>
        </w:rPr>
      </w:pPr>
      <w:r w:rsidRPr="00AE79A1">
        <w:rPr>
          <w:rFonts w:eastAsia="Calibri"/>
          <w:b/>
          <w:color w:val="000000"/>
        </w:rPr>
        <w:t xml:space="preserve">grybelių sukelta infekcinė liga. </w:t>
      </w:r>
      <w:r w:rsidRPr="00AE79A1">
        <w:rPr>
          <w:rFonts w:eastAsia="Calibri"/>
        </w:rPr>
        <w:t xml:space="preserve">Į </w:t>
      </w:r>
      <w:r w:rsidR="00CF62BF">
        <w:rPr>
          <w:rFonts w:eastAsia="Calibri"/>
        </w:rPr>
        <w:t>CEFUROX BASICS</w:t>
      </w:r>
      <w:r w:rsidRPr="00AE79A1">
        <w:rPr>
          <w:rFonts w:eastAsia="Calibri"/>
        </w:rPr>
        <w:t xml:space="preserve"> panašūs vaistai gali sukelti pernelyg didelį mieliagrybių (</w:t>
      </w:r>
      <w:r w:rsidRPr="00AE79A1">
        <w:rPr>
          <w:rFonts w:eastAsia="Calibri"/>
          <w:i/>
        </w:rPr>
        <w:t>Candida</w:t>
      </w:r>
      <w:r w:rsidRPr="00AE79A1">
        <w:rPr>
          <w:rFonts w:eastAsia="Calibri"/>
        </w:rPr>
        <w:t xml:space="preserve">) dauginimąsi organizme ir sukelti grybelinę infekcinę ligą (pvz., pienligę). Toks šalutinis poveikis labiau tikėtinas, jeigu </w:t>
      </w:r>
      <w:r w:rsidR="00CF62BF">
        <w:rPr>
          <w:rFonts w:eastAsia="Calibri"/>
        </w:rPr>
        <w:t>CEFUROX BASICS</w:t>
      </w:r>
      <w:r w:rsidRPr="00AE79A1">
        <w:rPr>
          <w:rFonts w:eastAsia="Calibri"/>
        </w:rPr>
        <w:t xml:space="preserve"> vartojate ilgą laiką;</w:t>
      </w:r>
    </w:p>
    <w:p w14:paraId="7A8B79C1" w14:textId="5582AB22" w:rsidR="00AA471E" w:rsidRPr="00AE79A1" w:rsidRDefault="00AA471E" w:rsidP="00857812">
      <w:pPr>
        <w:keepNext/>
        <w:numPr>
          <w:ilvl w:val="0"/>
          <w:numId w:val="18"/>
        </w:numPr>
        <w:tabs>
          <w:tab w:val="clear" w:pos="284"/>
          <w:tab w:val="num" w:pos="567"/>
        </w:tabs>
        <w:ind w:left="567" w:hanging="567"/>
        <w:contextualSpacing/>
        <w:rPr>
          <w:rFonts w:eastAsia="Calibri"/>
        </w:rPr>
      </w:pPr>
      <w:r w:rsidRPr="00AE79A1">
        <w:rPr>
          <w:rFonts w:eastAsia="Calibri"/>
          <w:b/>
        </w:rPr>
        <w:t>sunkus viduriavimas (</w:t>
      </w:r>
      <w:r w:rsidRPr="00AE79A1">
        <w:rPr>
          <w:rFonts w:eastAsia="Calibri"/>
          <w:b/>
          <w:i/>
        </w:rPr>
        <w:t>pseudomembraninis kolitas</w:t>
      </w:r>
      <w:r w:rsidRPr="00AE79A1">
        <w:rPr>
          <w:rFonts w:eastAsia="Calibri"/>
          <w:b/>
        </w:rPr>
        <w:t xml:space="preserve">). </w:t>
      </w:r>
      <w:r w:rsidRPr="00AE79A1">
        <w:rPr>
          <w:rFonts w:eastAsia="Calibri"/>
        </w:rPr>
        <w:t xml:space="preserve">Į </w:t>
      </w:r>
      <w:r w:rsidR="00CF62BF">
        <w:rPr>
          <w:rFonts w:eastAsia="Calibri"/>
        </w:rPr>
        <w:t>CEFUROX BASICS</w:t>
      </w:r>
      <w:r w:rsidRPr="00AE79A1">
        <w:rPr>
          <w:rFonts w:eastAsia="Calibri"/>
        </w:rPr>
        <w:t xml:space="preserve"> panašūs vaistai gali sukelti gaubtinės (storosios) žarnos uždegimą, sukeldami sunkų viduriavimą, paprastai su krauju ir gleivėmis, pilvo skausmu, karščiavimu;</w:t>
      </w:r>
    </w:p>
    <w:p w14:paraId="53CAE4D6" w14:textId="49F506A3" w:rsidR="00AA471E" w:rsidRPr="00AE79A1" w:rsidRDefault="00AA471E" w:rsidP="00857812">
      <w:pPr>
        <w:keepNext/>
        <w:numPr>
          <w:ilvl w:val="0"/>
          <w:numId w:val="18"/>
        </w:numPr>
        <w:tabs>
          <w:tab w:val="clear" w:pos="284"/>
          <w:tab w:val="num" w:pos="567"/>
        </w:tabs>
        <w:ind w:left="567" w:hanging="567"/>
        <w:contextualSpacing/>
        <w:rPr>
          <w:rFonts w:eastAsia="Calibri"/>
        </w:rPr>
      </w:pPr>
      <w:r w:rsidRPr="00AE79A1">
        <w:rPr>
          <w:rFonts w:eastAsia="Calibri"/>
          <w:b/>
          <w:i/>
        </w:rPr>
        <w:t>Jarisch-Herxheimer</w:t>
      </w:r>
      <w:r w:rsidRPr="00AE79A1">
        <w:rPr>
          <w:rFonts w:eastAsia="Calibri"/>
          <w:b/>
        </w:rPr>
        <w:t xml:space="preserve"> reakcija. </w:t>
      </w:r>
      <w:r w:rsidRPr="00AE79A1">
        <w:rPr>
          <w:rFonts w:eastAsia="Calibri"/>
        </w:rPr>
        <w:t xml:space="preserve">Kai kuriems </w:t>
      </w:r>
      <w:r w:rsidR="00CF62BF">
        <w:rPr>
          <w:rFonts w:eastAsia="Calibri"/>
        </w:rPr>
        <w:t>CEFUROX BASICS</w:t>
      </w:r>
      <w:r w:rsidRPr="00AE79A1">
        <w:rPr>
          <w:rFonts w:eastAsia="Calibri"/>
        </w:rPr>
        <w:t xml:space="preserve"> gydytiems Laimo liga sergantiems pacientams labai padidėjo kūno temperatūra (pasireiškė karščiavimas), pasireiškė šaltkrėtis, galvos skausmas, raumenų skausmas ir odos </w:t>
      </w:r>
      <w:r w:rsidR="0059070D" w:rsidRPr="00AE79A1">
        <w:rPr>
          <w:rFonts w:eastAsia="Calibri"/>
        </w:rPr>
        <w:t>iš</w:t>
      </w:r>
      <w:r w:rsidRPr="00AE79A1">
        <w:rPr>
          <w:rFonts w:eastAsia="Calibri"/>
        </w:rPr>
        <w:t xml:space="preserve">bėrimas. Tai vadinamoji </w:t>
      </w:r>
      <w:r w:rsidRPr="00AE79A1">
        <w:rPr>
          <w:rFonts w:eastAsia="Calibri"/>
          <w:i/>
        </w:rPr>
        <w:t>Jarisch-Herxheimer reakcija.</w:t>
      </w:r>
      <w:r w:rsidRPr="00AE79A1">
        <w:rPr>
          <w:rFonts w:eastAsia="Calibri"/>
        </w:rPr>
        <w:t xml:space="preserve"> Simptomų paprastai būna keletą valandų ar ne ilgiau kaip vieną parą.</w:t>
      </w:r>
    </w:p>
    <w:p w14:paraId="29B9CC2C" w14:textId="77777777" w:rsidR="00AA471E" w:rsidRPr="00114810" w:rsidRDefault="00AA471E" w:rsidP="00857812">
      <w:pPr>
        <w:numPr>
          <w:ilvl w:val="0"/>
          <w:numId w:val="16"/>
        </w:numPr>
        <w:rPr>
          <w:rFonts w:eastAsia="Calibri"/>
          <w:b/>
          <w:szCs w:val="22"/>
        </w:rPr>
      </w:pPr>
      <w:r w:rsidRPr="00114810">
        <w:rPr>
          <w:rFonts w:eastAsia="Calibri"/>
          <w:b/>
          <w:color w:val="000000"/>
          <w:szCs w:val="22"/>
        </w:rPr>
        <w:t>Jeigu pasireiškė kuris nors iš šių simptomų, apie tai nedelsdami pasakykite gydytojui arba slaugytojai</w:t>
      </w:r>
      <w:r w:rsidRPr="00114810">
        <w:rPr>
          <w:rFonts w:eastAsia="Calibri"/>
          <w:szCs w:val="22"/>
        </w:rPr>
        <w:t>.</w:t>
      </w:r>
    </w:p>
    <w:p w14:paraId="57DA7313" w14:textId="77777777" w:rsidR="00AA471E" w:rsidRPr="009C0DB0" w:rsidRDefault="00AA471E" w:rsidP="009C0DB0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eastAsia="Calibri"/>
        </w:rPr>
      </w:pPr>
    </w:p>
    <w:p w14:paraId="7EFA1EA2" w14:textId="77777777" w:rsidR="00514272" w:rsidRDefault="00C5051E" w:rsidP="00514272">
      <w:pPr>
        <w:rPr>
          <w:b/>
          <w:bCs/>
        </w:rPr>
      </w:pPr>
      <w:r w:rsidRPr="00AE79A1">
        <w:rPr>
          <w:b/>
          <w:bCs/>
        </w:rPr>
        <w:t>Dažni šalutinio poveikio reiškiniai (</w:t>
      </w:r>
      <w:r w:rsidRPr="00857812">
        <w:rPr>
          <w:b/>
        </w:rPr>
        <w:t xml:space="preserve">gali pasireikšti </w:t>
      </w:r>
      <w:r w:rsidRPr="00AE79A1">
        <w:rPr>
          <w:b/>
          <w:bCs/>
        </w:rPr>
        <w:t xml:space="preserve">rečiau kaip 1 iš 10 </w:t>
      </w:r>
      <w:r w:rsidRPr="00857812">
        <w:rPr>
          <w:b/>
        </w:rPr>
        <w:t>asmenų</w:t>
      </w:r>
      <w:r w:rsidRPr="00AE79A1">
        <w:rPr>
          <w:b/>
          <w:bCs/>
        </w:rPr>
        <w:t>)</w:t>
      </w:r>
      <w:r w:rsidR="00514272">
        <w:rPr>
          <w:b/>
          <w:bCs/>
        </w:rPr>
        <w:t>:</w:t>
      </w:r>
    </w:p>
    <w:p w14:paraId="34A6E7E5" w14:textId="3A8798B5" w:rsidR="00AA471E" w:rsidRPr="00514272" w:rsidRDefault="00AA471E" w:rsidP="00514272">
      <w:pPr>
        <w:pStyle w:val="Sraopastraipa"/>
        <w:numPr>
          <w:ilvl w:val="0"/>
          <w:numId w:val="38"/>
        </w:numPr>
        <w:ind w:left="562" w:hanging="562"/>
        <w:rPr>
          <w:rFonts w:eastAsia="Calibri"/>
          <w:color w:val="000000"/>
        </w:rPr>
      </w:pPr>
      <w:r w:rsidRPr="00514272">
        <w:rPr>
          <w:rFonts w:eastAsia="Calibri"/>
          <w:color w:val="000000"/>
        </w:rPr>
        <w:lastRenderedPageBreak/>
        <w:t xml:space="preserve">grybelių (pvz., </w:t>
      </w:r>
      <w:r w:rsidRPr="00514272">
        <w:rPr>
          <w:rFonts w:eastAsia="Calibri"/>
          <w:i/>
          <w:color w:val="000000"/>
        </w:rPr>
        <w:t>Candida</w:t>
      </w:r>
      <w:r w:rsidRPr="00514272">
        <w:rPr>
          <w:rFonts w:eastAsia="Calibri"/>
          <w:color w:val="000000"/>
        </w:rPr>
        <w:t>) sukeltos infekcinės ligos;</w:t>
      </w:r>
    </w:p>
    <w:p w14:paraId="021B1A88" w14:textId="77777777" w:rsidR="00AA471E" w:rsidRPr="00C07A3C" w:rsidRDefault="00AA471E" w:rsidP="00AA471E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galvos skausmas;</w:t>
      </w:r>
    </w:p>
    <w:p w14:paraId="64D57AD1" w14:textId="07F2ECFF" w:rsidR="00AA471E" w:rsidRPr="00C07A3C" w:rsidRDefault="0059070D" w:rsidP="00AA471E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>
        <w:rPr>
          <w:rFonts w:eastAsia="Calibri"/>
        </w:rPr>
        <w:t>svaigulys</w:t>
      </w:r>
      <w:r w:rsidR="00AA471E" w:rsidRPr="00C07A3C">
        <w:rPr>
          <w:rFonts w:eastAsia="Calibri"/>
        </w:rPr>
        <w:t>;</w:t>
      </w:r>
    </w:p>
    <w:p w14:paraId="6CD59298" w14:textId="77777777" w:rsidR="00AA471E" w:rsidRPr="00C07A3C" w:rsidRDefault="00AA471E" w:rsidP="00AA471E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viduriavimas;</w:t>
      </w:r>
    </w:p>
    <w:p w14:paraId="5865CCED" w14:textId="77777777" w:rsidR="00AA471E" w:rsidRPr="00C07A3C" w:rsidRDefault="00AA471E" w:rsidP="00AA471E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pykinimas;</w:t>
      </w:r>
    </w:p>
    <w:p w14:paraId="547375BD" w14:textId="77777777" w:rsidR="00AA471E" w:rsidRPr="00C07A3C" w:rsidRDefault="00AA471E" w:rsidP="00AA471E">
      <w:pPr>
        <w:numPr>
          <w:ilvl w:val="0"/>
          <w:numId w:val="11"/>
        </w:numPr>
        <w:tabs>
          <w:tab w:val="num" w:pos="561"/>
        </w:tabs>
        <w:ind w:left="714" w:hanging="714"/>
        <w:rPr>
          <w:rFonts w:eastAsia="Calibri"/>
          <w:b/>
        </w:rPr>
      </w:pPr>
      <w:r w:rsidRPr="00C07A3C">
        <w:rPr>
          <w:rFonts w:eastAsia="Calibri"/>
        </w:rPr>
        <w:t>pilvo skausmas.</w:t>
      </w:r>
    </w:p>
    <w:p w14:paraId="6C78C519" w14:textId="77777777" w:rsidR="00AA471E" w:rsidRPr="00C07A3C" w:rsidRDefault="00AA471E" w:rsidP="00AA471E">
      <w:pPr>
        <w:rPr>
          <w:rFonts w:eastAsia="Calibri"/>
        </w:rPr>
      </w:pPr>
    </w:p>
    <w:p w14:paraId="3BD09202" w14:textId="78BDE204" w:rsidR="00AA471E" w:rsidRPr="00C07A3C" w:rsidRDefault="00AA471E" w:rsidP="00AA471E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Dažn</w:t>
      </w:r>
      <w:r w:rsidR="00D3069A">
        <w:rPr>
          <w:rFonts w:eastAsia="Calibri"/>
        </w:rPr>
        <w:t>i</w:t>
      </w:r>
      <w:r w:rsidRPr="00C07A3C">
        <w:rPr>
          <w:rFonts w:eastAsia="Calibri"/>
        </w:rPr>
        <w:t xml:space="preserve"> šalutini</w:t>
      </w:r>
      <w:r w:rsidR="00D3069A">
        <w:rPr>
          <w:rFonts w:eastAsia="Calibri"/>
        </w:rPr>
        <w:t xml:space="preserve">o </w:t>
      </w:r>
      <w:r w:rsidR="00D3069A" w:rsidRPr="00C07A3C">
        <w:rPr>
          <w:rFonts w:eastAsia="Calibri"/>
        </w:rPr>
        <w:t>poveiki</w:t>
      </w:r>
      <w:r w:rsidR="00D3069A">
        <w:rPr>
          <w:rFonts w:eastAsia="Calibri"/>
        </w:rPr>
        <w:t>o reiškiniai</w:t>
      </w:r>
      <w:r w:rsidRPr="00C07A3C">
        <w:rPr>
          <w:rFonts w:eastAsia="Calibri"/>
        </w:rPr>
        <w:t xml:space="preserve">, </w:t>
      </w:r>
      <w:r w:rsidR="00D3069A" w:rsidRPr="00C07A3C">
        <w:rPr>
          <w:rFonts w:eastAsia="Calibri"/>
        </w:rPr>
        <w:t>kur</w:t>
      </w:r>
      <w:r w:rsidR="00D3069A">
        <w:rPr>
          <w:rFonts w:eastAsia="Calibri"/>
        </w:rPr>
        <w:t>iuos</w:t>
      </w:r>
      <w:r w:rsidR="00D3069A" w:rsidRPr="00C07A3C">
        <w:rPr>
          <w:rFonts w:eastAsia="Calibri"/>
        </w:rPr>
        <w:t xml:space="preserve"> </w:t>
      </w:r>
      <w:r w:rsidRPr="00C07A3C">
        <w:rPr>
          <w:rFonts w:eastAsia="Calibri"/>
        </w:rPr>
        <w:t>gali rodyti kraujo tyrimai:</w:t>
      </w:r>
    </w:p>
    <w:p w14:paraId="4B7E2EEB" w14:textId="77777777" w:rsidR="00AA471E" w:rsidRPr="00C07A3C" w:rsidRDefault="00AA471E" w:rsidP="00AA471E">
      <w:pPr>
        <w:numPr>
          <w:ilvl w:val="0"/>
          <w:numId w:val="11"/>
        </w:numPr>
        <w:tabs>
          <w:tab w:val="num" w:pos="561"/>
        </w:tabs>
        <w:ind w:left="720" w:hanging="720"/>
        <w:rPr>
          <w:rFonts w:eastAsia="Calibri"/>
        </w:rPr>
      </w:pPr>
      <w:r w:rsidRPr="00C07A3C">
        <w:rPr>
          <w:rFonts w:eastAsia="Calibri"/>
        </w:rPr>
        <w:t>tam tikros rūšies baltųjų kraujo ląstelių kiekio padidėjimas (</w:t>
      </w:r>
      <w:r w:rsidRPr="00C07A3C">
        <w:rPr>
          <w:rFonts w:eastAsia="Calibri"/>
          <w:i/>
        </w:rPr>
        <w:t>eozinofilija</w:t>
      </w:r>
      <w:r w:rsidRPr="00C07A3C">
        <w:rPr>
          <w:rFonts w:eastAsia="Calibri"/>
        </w:rPr>
        <w:t>);</w:t>
      </w:r>
    </w:p>
    <w:p w14:paraId="42DABF31" w14:textId="77777777" w:rsidR="00AA471E" w:rsidRPr="009C0DB0" w:rsidRDefault="00AA471E" w:rsidP="00AA471E">
      <w:pPr>
        <w:numPr>
          <w:ilvl w:val="0"/>
          <w:numId w:val="11"/>
        </w:numPr>
        <w:tabs>
          <w:tab w:val="num" w:pos="561"/>
        </w:tabs>
        <w:ind w:left="720" w:hanging="720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>kepenų fermentų suaktyvėjimas.</w:t>
      </w:r>
    </w:p>
    <w:p w14:paraId="5CE5A220" w14:textId="77777777" w:rsidR="00AA471E" w:rsidRPr="00C07A3C" w:rsidRDefault="00AA471E" w:rsidP="00AA471E">
      <w:pPr>
        <w:rPr>
          <w:rFonts w:eastAsia="Calibri"/>
        </w:rPr>
      </w:pPr>
    </w:p>
    <w:p w14:paraId="708991F8" w14:textId="0F102090" w:rsidR="00AA471E" w:rsidRPr="00857812" w:rsidRDefault="00AA471E" w:rsidP="00857812">
      <w:pPr>
        <w:keepNext/>
        <w:outlineLvl w:val="0"/>
        <w:rPr>
          <w:rFonts w:ascii="Calibri" w:eastAsia="Calibri" w:hAnsi="Calibri"/>
        </w:rPr>
      </w:pPr>
      <w:r w:rsidRPr="00C07A3C">
        <w:rPr>
          <w:rFonts w:eastAsia="Calibri"/>
          <w:b/>
        </w:rPr>
        <w:t>Nedažn</w:t>
      </w:r>
      <w:r w:rsidR="00514272">
        <w:rPr>
          <w:rFonts w:eastAsia="Calibri"/>
          <w:b/>
        </w:rPr>
        <w:t>i</w:t>
      </w:r>
      <w:r w:rsidRPr="00C07A3C">
        <w:rPr>
          <w:rFonts w:eastAsia="Calibri"/>
          <w:b/>
        </w:rPr>
        <w:t xml:space="preserve"> </w:t>
      </w:r>
      <w:r w:rsidR="00D3069A" w:rsidRPr="00D3069A">
        <w:rPr>
          <w:rFonts w:eastAsia="Calibri"/>
          <w:b/>
        </w:rPr>
        <w:t xml:space="preserve">šalutinio poveikio </w:t>
      </w:r>
      <w:r w:rsidR="00D3069A" w:rsidRPr="00857812">
        <w:rPr>
          <w:rFonts w:eastAsia="Calibri"/>
          <w:b/>
        </w:rPr>
        <w:t>reiškiniai</w:t>
      </w:r>
      <w:r w:rsidR="00D3069A" w:rsidRPr="00D3069A">
        <w:rPr>
          <w:rFonts w:eastAsia="Calibri"/>
          <w:b/>
        </w:rPr>
        <w:t xml:space="preserve"> (</w:t>
      </w:r>
      <w:r w:rsidR="00D3069A" w:rsidRPr="00857812">
        <w:rPr>
          <w:rFonts w:eastAsia="Calibri"/>
          <w:b/>
        </w:rPr>
        <w:t xml:space="preserve">gali pasireikšti </w:t>
      </w:r>
      <w:r w:rsidR="00D3069A" w:rsidRPr="00D3069A">
        <w:rPr>
          <w:rFonts w:eastAsia="Calibri"/>
          <w:b/>
        </w:rPr>
        <w:t>rečiau kaip 1 iš 10</w:t>
      </w:r>
      <w:r w:rsidR="00D3069A">
        <w:rPr>
          <w:rFonts w:eastAsia="Calibri"/>
          <w:b/>
        </w:rPr>
        <w:t>0</w:t>
      </w:r>
      <w:r w:rsidR="00D3069A" w:rsidRPr="00857812">
        <w:rPr>
          <w:rFonts w:eastAsia="Calibri"/>
          <w:b/>
        </w:rPr>
        <w:t xml:space="preserve"> asmenų</w:t>
      </w:r>
      <w:r w:rsidR="00D3069A" w:rsidRPr="00D3069A">
        <w:rPr>
          <w:rFonts w:eastAsia="Calibri"/>
          <w:b/>
        </w:rPr>
        <w:t>):</w:t>
      </w:r>
    </w:p>
    <w:p w14:paraId="78B475E1" w14:textId="77777777" w:rsidR="00AA471E" w:rsidRPr="00C07A3C" w:rsidRDefault="00AA471E" w:rsidP="00AA471E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>vėmimas;</w:t>
      </w:r>
    </w:p>
    <w:p w14:paraId="3E1B3844" w14:textId="77777777" w:rsidR="00AA471E" w:rsidRPr="00C07A3C" w:rsidRDefault="00AA471E" w:rsidP="00AA471E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 xml:space="preserve">odos </w:t>
      </w:r>
      <w:r w:rsidR="0059070D">
        <w:rPr>
          <w:rFonts w:eastAsia="Calibri"/>
        </w:rPr>
        <w:t>iš</w:t>
      </w:r>
      <w:r w:rsidRPr="00C07A3C">
        <w:rPr>
          <w:rFonts w:eastAsia="Calibri"/>
        </w:rPr>
        <w:t>bėrimai.</w:t>
      </w:r>
    </w:p>
    <w:p w14:paraId="354A688A" w14:textId="77777777" w:rsidR="00AA471E" w:rsidRPr="00C07A3C" w:rsidRDefault="00AA471E" w:rsidP="009C0DB0">
      <w:pPr>
        <w:rPr>
          <w:rFonts w:eastAsia="Calibri"/>
        </w:rPr>
      </w:pPr>
    </w:p>
    <w:p w14:paraId="4AB2A243" w14:textId="2794AC04" w:rsidR="00AA471E" w:rsidRPr="00C07A3C" w:rsidRDefault="00D3069A" w:rsidP="00AA471E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Nedažn</w:t>
      </w:r>
      <w:r>
        <w:rPr>
          <w:rFonts w:eastAsia="Calibri"/>
        </w:rPr>
        <w:t>i</w:t>
      </w:r>
      <w:r w:rsidRPr="00857812">
        <w:rPr>
          <w:rFonts w:eastAsia="Calibri"/>
        </w:rPr>
        <w:t xml:space="preserve"> šalutinio poveikio </w:t>
      </w:r>
      <w:r>
        <w:rPr>
          <w:rFonts w:eastAsia="Calibri"/>
        </w:rPr>
        <w:t>reiškiniai</w:t>
      </w:r>
      <w:r w:rsidR="00AA471E" w:rsidRPr="00C07A3C">
        <w:rPr>
          <w:rFonts w:eastAsia="Calibri"/>
        </w:rPr>
        <w:t>,</w:t>
      </w:r>
      <w:r w:rsidR="00AA471E" w:rsidRPr="00857812">
        <w:rPr>
          <w:rFonts w:eastAsia="Calibri"/>
        </w:rPr>
        <w:t xml:space="preserve"> </w:t>
      </w:r>
      <w:r w:rsidRPr="00C07A3C">
        <w:rPr>
          <w:rFonts w:eastAsia="Calibri"/>
        </w:rPr>
        <w:t>kur</w:t>
      </w:r>
      <w:r>
        <w:rPr>
          <w:rFonts w:eastAsia="Calibri"/>
        </w:rPr>
        <w:t>iuos</w:t>
      </w:r>
      <w:r w:rsidRPr="00C07A3C">
        <w:rPr>
          <w:rFonts w:eastAsia="Calibri"/>
        </w:rPr>
        <w:t xml:space="preserve"> </w:t>
      </w:r>
      <w:r w:rsidR="00AA471E" w:rsidRPr="00C07A3C">
        <w:rPr>
          <w:rFonts w:eastAsia="Calibri"/>
        </w:rPr>
        <w:t>gali rodyti kraujo tyrimai:</w:t>
      </w:r>
    </w:p>
    <w:p w14:paraId="4207D08A" w14:textId="0D97D2F9" w:rsidR="00AA471E" w:rsidRPr="00C07A3C" w:rsidRDefault="00AA471E" w:rsidP="00AA471E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  <w:i/>
        </w:rPr>
      </w:pPr>
      <w:r w:rsidRPr="00C07A3C">
        <w:rPr>
          <w:rFonts w:eastAsia="Calibri"/>
        </w:rPr>
        <w:t>kraujo plokštelių kiekio sumažėjimas (ląstelių, kurios padeda kraujui krešėti)</w:t>
      </w:r>
      <w:r w:rsidR="00514272">
        <w:rPr>
          <w:rFonts w:eastAsia="Calibri"/>
        </w:rPr>
        <w:t>;</w:t>
      </w:r>
    </w:p>
    <w:p w14:paraId="40D813B4" w14:textId="77777777" w:rsidR="00AA471E" w:rsidRPr="00C07A3C" w:rsidRDefault="00AA471E" w:rsidP="00AA471E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>baltųjų kraujo ląstelių kiekio sumažėjimas;</w:t>
      </w:r>
    </w:p>
    <w:p w14:paraId="3C78A480" w14:textId="77777777" w:rsidR="00AA471E" w:rsidRPr="00C07A3C" w:rsidRDefault="00AA471E" w:rsidP="00AA471E">
      <w:pPr>
        <w:numPr>
          <w:ilvl w:val="0"/>
          <w:numId w:val="13"/>
        </w:numPr>
        <w:tabs>
          <w:tab w:val="num" w:pos="561"/>
        </w:tabs>
        <w:ind w:hanging="720"/>
        <w:rPr>
          <w:rFonts w:eastAsia="Calibri"/>
        </w:rPr>
      </w:pPr>
      <w:r w:rsidRPr="00C07A3C">
        <w:rPr>
          <w:rFonts w:eastAsia="Calibri"/>
        </w:rPr>
        <w:t>teigiamas Kumbso mėginys.</w:t>
      </w:r>
    </w:p>
    <w:p w14:paraId="7B4BA09B" w14:textId="77777777" w:rsidR="00AA471E" w:rsidRPr="00C07A3C" w:rsidRDefault="00AA471E" w:rsidP="009C0DB0">
      <w:pPr>
        <w:rPr>
          <w:rFonts w:eastAsia="Calibri"/>
        </w:rPr>
      </w:pPr>
    </w:p>
    <w:p w14:paraId="5C351C06" w14:textId="1F89EF3C" w:rsidR="00AA471E" w:rsidRPr="00C07A3C" w:rsidRDefault="004E4257" w:rsidP="00514272">
      <w:pPr>
        <w:autoSpaceDE w:val="0"/>
        <w:autoSpaceDN w:val="0"/>
        <w:adjustRightInd w:val="0"/>
        <w:rPr>
          <w:rFonts w:eastAsia="Calibri"/>
        </w:rPr>
      </w:pPr>
      <w:r w:rsidRPr="00AE79A1">
        <w:rPr>
          <w:b/>
          <w:bCs/>
          <w:noProof/>
          <w:snapToGrid w:val="0"/>
          <w:szCs w:val="22"/>
        </w:rPr>
        <w:t>Šalutinio poveikio reiškiniai, kurių</w:t>
      </w:r>
      <w:r w:rsidRPr="00857812">
        <w:rPr>
          <w:b/>
        </w:rPr>
        <w:t xml:space="preserve"> dažnis nežinomas</w:t>
      </w:r>
      <w:r w:rsidRPr="00AE79A1">
        <w:rPr>
          <w:b/>
          <w:bCs/>
          <w:noProof/>
          <w:snapToGrid w:val="0"/>
          <w:szCs w:val="22"/>
        </w:rPr>
        <w:t xml:space="preserve"> (negali būti apskaičiuotas pagal turimus duomenis):</w:t>
      </w:r>
    </w:p>
    <w:p w14:paraId="7C80FCB9" w14:textId="77777777" w:rsidR="00AA471E" w:rsidRPr="00C07A3C" w:rsidRDefault="00AA471E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sunkus viduriavimas (</w:t>
      </w:r>
      <w:r w:rsidRPr="00C07A3C">
        <w:rPr>
          <w:rFonts w:eastAsia="Calibri"/>
          <w:i/>
        </w:rPr>
        <w:t>pseudomembraninis kolitas</w:t>
      </w:r>
      <w:r w:rsidRPr="00C07A3C">
        <w:rPr>
          <w:rFonts w:eastAsia="Calibri"/>
        </w:rPr>
        <w:t>);</w:t>
      </w:r>
    </w:p>
    <w:p w14:paraId="7B6C50A5" w14:textId="77777777" w:rsidR="00AA471E" w:rsidRPr="00C07A3C" w:rsidRDefault="00AA471E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alerginės reakcijos;</w:t>
      </w:r>
    </w:p>
    <w:p w14:paraId="055ECB7F" w14:textId="77777777" w:rsidR="00AA471E" w:rsidRPr="00C07A3C" w:rsidRDefault="00AA471E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odos reakcijos (įskaitant sunkias);</w:t>
      </w:r>
    </w:p>
    <w:p w14:paraId="20B17CDD" w14:textId="77777777" w:rsidR="00AA471E" w:rsidRPr="00C07A3C" w:rsidRDefault="00AA471E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kūno temperatūros padidėjimas (</w:t>
      </w:r>
      <w:r w:rsidRPr="00C07A3C">
        <w:rPr>
          <w:rFonts w:eastAsia="Calibri"/>
          <w:i/>
        </w:rPr>
        <w:t>karščiavimas</w:t>
      </w:r>
      <w:r w:rsidRPr="00C07A3C">
        <w:rPr>
          <w:rFonts w:eastAsia="Calibri"/>
        </w:rPr>
        <w:t>);</w:t>
      </w:r>
    </w:p>
    <w:p w14:paraId="540FE6D4" w14:textId="77777777" w:rsidR="00AA471E" w:rsidRPr="00C07A3C" w:rsidRDefault="00AA471E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akies baltymo ar odos pageltimas;</w:t>
      </w:r>
    </w:p>
    <w:p w14:paraId="011723DE" w14:textId="77777777" w:rsidR="00AA471E" w:rsidRPr="00C07A3C" w:rsidRDefault="00AA471E">
      <w:pPr>
        <w:numPr>
          <w:ilvl w:val="0"/>
          <w:numId w:val="15"/>
        </w:numPr>
        <w:tabs>
          <w:tab w:val="num" w:pos="561"/>
        </w:tabs>
        <w:ind w:left="561" w:hanging="561"/>
        <w:rPr>
          <w:rFonts w:eastAsia="Calibri"/>
        </w:rPr>
      </w:pPr>
      <w:r w:rsidRPr="00C07A3C">
        <w:rPr>
          <w:rFonts w:eastAsia="Calibri"/>
        </w:rPr>
        <w:t>kepenų uždegimas (</w:t>
      </w:r>
      <w:r w:rsidRPr="00C07A3C">
        <w:rPr>
          <w:rFonts w:eastAsia="Calibri"/>
          <w:i/>
        </w:rPr>
        <w:t>hepatitas</w:t>
      </w:r>
      <w:r w:rsidRPr="00C07A3C">
        <w:rPr>
          <w:rFonts w:eastAsia="Calibri"/>
        </w:rPr>
        <w:t>).</w:t>
      </w:r>
    </w:p>
    <w:p w14:paraId="6FC7AEBF" w14:textId="77777777" w:rsidR="00AA471E" w:rsidRPr="00C07A3C" w:rsidRDefault="00AA471E" w:rsidP="009C0DB0">
      <w:pPr>
        <w:rPr>
          <w:rFonts w:eastAsia="Calibri"/>
        </w:rPr>
      </w:pPr>
    </w:p>
    <w:p w14:paraId="2767A729" w14:textId="5840EF23" w:rsidR="00AA471E" w:rsidRPr="00C07A3C" w:rsidRDefault="00AA471E" w:rsidP="00AA471E">
      <w:pPr>
        <w:keepNext/>
        <w:autoSpaceDE w:val="0"/>
        <w:autoSpaceDN w:val="0"/>
        <w:adjustRightInd w:val="0"/>
        <w:rPr>
          <w:rFonts w:eastAsia="Calibri"/>
        </w:rPr>
      </w:pPr>
      <w:r w:rsidRPr="00C07A3C">
        <w:rPr>
          <w:rFonts w:eastAsia="Calibri"/>
        </w:rPr>
        <w:t>Šalutini</w:t>
      </w:r>
      <w:r w:rsidR="004E4257">
        <w:rPr>
          <w:rFonts w:eastAsia="Calibri"/>
        </w:rPr>
        <w:t>o</w:t>
      </w:r>
      <w:r w:rsidRPr="00C07A3C">
        <w:rPr>
          <w:rFonts w:eastAsia="Calibri"/>
        </w:rPr>
        <w:t xml:space="preserve"> poveiki</w:t>
      </w:r>
      <w:r w:rsidR="004E4257">
        <w:rPr>
          <w:rFonts w:eastAsia="Calibri"/>
        </w:rPr>
        <w:t>o reiškiniai</w:t>
      </w:r>
      <w:r w:rsidRPr="00C07A3C">
        <w:rPr>
          <w:rFonts w:eastAsia="Calibri"/>
        </w:rPr>
        <w:t>, kur</w:t>
      </w:r>
      <w:r w:rsidR="0026042C">
        <w:rPr>
          <w:rFonts w:eastAsia="Calibri"/>
        </w:rPr>
        <w:t>iuos</w:t>
      </w:r>
      <w:r w:rsidRPr="00C07A3C">
        <w:rPr>
          <w:rFonts w:eastAsia="Calibri"/>
        </w:rPr>
        <w:t xml:space="preserve"> gali rodyti kraujo tyrimai:</w:t>
      </w:r>
    </w:p>
    <w:p w14:paraId="4E84A22A" w14:textId="77777777" w:rsidR="00AA471E" w:rsidRPr="00C07A3C" w:rsidRDefault="00AA471E" w:rsidP="00AA471E">
      <w:pPr>
        <w:numPr>
          <w:ilvl w:val="0"/>
          <w:numId w:val="14"/>
        </w:numPr>
        <w:tabs>
          <w:tab w:val="num" w:pos="561"/>
        </w:tabs>
        <w:autoSpaceDE w:val="0"/>
        <w:autoSpaceDN w:val="0"/>
        <w:adjustRightInd w:val="0"/>
        <w:ind w:left="714" w:hanging="714"/>
        <w:rPr>
          <w:rFonts w:eastAsia="Calibri"/>
        </w:rPr>
      </w:pPr>
      <w:r w:rsidRPr="00C07A3C">
        <w:rPr>
          <w:rFonts w:eastAsia="Calibri"/>
        </w:rPr>
        <w:t>pernelyg greitas raudonųjų kraujo ląstelių suirimas (</w:t>
      </w:r>
      <w:r w:rsidRPr="00C07A3C">
        <w:rPr>
          <w:rFonts w:eastAsia="Calibri"/>
          <w:i/>
        </w:rPr>
        <w:t>hemolizinė anemija</w:t>
      </w:r>
      <w:r w:rsidRPr="00C07A3C">
        <w:rPr>
          <w:rFonts w:eastAsia="Calibri"/>
        </w:rPr>
        <w:t>).</w:t>
      </w:r>
    </w:p>
    <w:p w14:paraId="514E1008" w14:textId="77777777" w:rsidR="00AA471E" w:rsidRPr="00C07A3C" w:rsidRDefault="00AA471E" w:rsidP="00AA471E">
      <w:pPr>
        <w:ind w:right="-449"/>
        <w:rPr>
          <w:rFonts w:eastAsia="Calibri"/>
        </w:rPr>
      </w:pPr>
    </w:p>
    <w:p w14:paraId="3AC9D687" w14:textId="77777777" w:rsidR="00AA471E" w:rsidRPr="00C07A3C" w:rsidRDefault="00AA471E" w:rsidP="00AA471E">
      <w:pPr>
        <w:rPr>
          <w:rFonts w:eastAsia="Calibri"/>
          <w:b/>
        </w:rPr>
      </w:pPr>
      <w:r w:rsidRPr="00C07A3C">
        <w:rPr>
          <w:rFonts w:eastAsia="Calibri"/>
          <w:b/>
        </w:rPr>
        <w:t>Pranešimas apie šalutinį poveikį</w:t>
      </w:r>
    </w:p>
    <w:p w14:paraId="6C37C7CA" w14:textId="57391795" w:rsidR="00AA471E" w:rsidRPr="00C07A3C" w:rsidRDefault="00AA471E" w:rsidP="00AA471E">
      <w:pPr>
        <w:ind w:right="-449"/>
        <w:rPr>
          <w:rFonts w:eastAsia="Calibri"/>
        </w:rPr>
      </w:pPr>
      <w:r w:rsidRPr="00C07A3C">
        <w:rPr>
          <w:rFonts w:eastAsia="Calibri"/>
        </w:rPr>
        <w:t xml:space="preserve">Jeigu pasireiškė šalutinis poveikis, įskaitant šiame lapelyje nenurodytą, pasakykite gydytojui arba vaistininkui. </w:t>
      </w:r>
      <w:r w:rsidR="00A466D9" w:rsidRPr="00C631B3">
        <w:rPr>
          <w:noProof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0" w:history="1">
        <w:r w:rsidR="00A466D9" w:rsidRPr="00C631B3">
          <w:rPr>
            <w:rStyle w:val="Hipersaitas"/>
            <w:noProof/>
            <w:lang w:eastAsia="lt-LT"/>
          </w:rPr>
          <w:t>https://vvkt.lrv.lt/lt/</w:t>
        </w:r>
      </w:hyperlink>
      <w:r w:rsidR="00A466D9" w:rsidRPr="00C631B3">
        <w:rPr>
          <w:noProof/>
          <w:lang w:eastAsia="lt-LT"/>
        </w:rPr>
        <w:t xml:space="preserve"> nurodytais būdais arba paskambinti nemokamu telefonu +370 800 73568. Pranešdami apie šalutinį poveikį galite mums padėti gauti daugiau informacijos apie šio vaisto saugumą. </w:t>
      </w:r>
    </w:p>
    <w:p w14:paraId="32F88CEA" w14:textId="77777777" w:rsidR="00AA471E" w:rsidRPr="00C07A3C" w:rsidRDefault="00AA471E" w:rsidP="00857812">
      <w:pPr>
        <w:numPr>
          <w:ilvl w:val="12"/>
          <w:numId w:val="0"/>
        </w:numPr>
        <w:ind w:right="-2"/>
        <w:rPr>
          <w:rFonts w:eastAsia="Calibri"/>
        </w:rPr>
      </w:pPr>
    </w:p>
    <w:p w14:paraId="0442C2A8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10324BC0" w14:textId="7357B035" w:rsidR="00AA471E" w:rsidRPr="00C07A3C" w:rsidRDefault="00AA471E" w:rsidP="00AA471E">
      <w:pPr>
        <w:numPr>
          <w:ilvl w:val="12"/>
          <w:numId w:val="0"/>
        </w:numPr>
        <w:ind w:left="567" w:right="-2" w:hanging="567"/>
        <w:rPr>
          <w:rFonts w:eastAsia="Calibri"/>
        </w:rPr>
      </w:pPr>
      <w:r w:rsidRPr="00C07A3C">
        <w:rPr>
          <w:rFonts w:eastAsia="Calibri"/>
          <w:b/>
        </w:rPr>
        <w:t>5.</w:t>
      </w:r>
      <w:r w:rsidRPr="00C07A3C">
        <w:rPr>
          <w:rFonts w:eastAsia="Calibri"/>
          <w:b/>
        </w:rPr>
        <w:tab/>
        <w:t xml:space="preserve">Kaip laikyti </w:t>
      </w:r>
      <w:r w:rsidR="00CF62BF">
        <w:rPr>
          <w:rFonts w:eastAsia="Calibri"/>
          <w:b/>
        </w:rPr>
        <w:t>CEFUROX BASICS</w:t>
      </w:r>
    </w:p>
    <w:p w14:paraId="7490B85F" w14:textId="77777777" w:rsidR="00AA471E" w:rsidRPr="00C07A3C" w:rsidRDefault="00AA471E" w:rsidP="00AA471E">
      <w:pPr>
        <w:rPr>
          <w:rFonts w:eastAsia="Calibri"/>
        </w:rPr>
      </w:pPr>
    </w:p>
    <w:p w14:paraId="6EFE1A7B" w14:textId="77777777" w:rsidR="00AA471E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Šį vaistą laikykite vaikams nepastebimoje ir nepasiekiamoje vietoje.</w:t>
      </w:r>
    </w:p>
    <w:p w14:paraId="57E1EF12" w14:textId="77777777" w:rsidR="002B35AB" w:rsidRDefault="002B35AB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254AD832" w14:textId="1CA24773" w:rsidR="00AA471E" w:rsidRDefault="00CB4E02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B4E02">
        <w:rPr>
          <w:rFonts w:eastAsia="Calibri"/>
        </w:rPr>
        <w:t>Laikyti ne aukštesnėje kaip 25 °C temperatūroje.</w:t>
      </w:r>
    </w:p>
    <w:p w14:paraId="2A08987E" w14:textId="77777777" w:rsidR="00CB4E02" w:rsidRPr="00C07A3C" w:rsidRDefault="00CB4E02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4354C537" w14:textId="77777777" w:rsidR="00AA471E" w:rsidRPr="00C07A3C" w:rsidRDefault="00AA471E" w:rsidP="00AA471E">
      <w:pPr>
        <w:rPr>
          <w:rFonts w:eastAsia="Calibri"/>
        </w:rPr>
      </w:pPr>
      <w:bookmarkStart w:id="2" w:name="_Hlk517872839"/>
      <w:r w:rsidRPr="00C07A3C">
        <w:rPr>
          <w:rFonts w:eastAsia="Calibri"/>
        </w:rPr>
        <w:t xml:space="preserve">Visą laiką, kol nevartojate vaisto, suspensiją laikyti šaldytuve. </w:t>
      </w:r>
    </w:p>
    <w:p w14:paraId="261E9AA9" w14:textId="77777777" w:rsidR="00AA471E" w:rsidRPr="00C07A3C" w:rsidRDefault="00AA471E" w:rsidP="00AA471E">
      <w:pPr>
        <w:rPr>
          <w:rFonts w:eastAsia="Calibri"/>
        </w:rPr>
      </w:pPr>
    </w:p>
    <w:p w14:paraId="7F200A66" w14:textId="77777777" w:rsidR="00AA471E" w:rsidRPr="00C07A3C" w:rsidRDefault="00AA471E" w:rsidP="00AA471E">
      <w:pPr>
        <w:rPr>
          <w:rFonts w:eastAsia="Calibri"/>
        </w:rPr>
      </w:pPr>
      <w:r w:rsidRPr="00C07A3C">
        <w:rPr>
          <w:rFonts w:eastAsia="Calibri"/>
        </w:rPr>
        <w:t>Negalima užšaldyti. Laikyti šaldytuve ne ilgiau kaip 10 parų.</w:t>
      </w:r>
    </w:p>
    <w:p w14:paraId="0B3BF66D" w14:textId="77777777" w:rsidR="00AA471E" w:rsidRPr="00C07A3C" w:rsidRDefault="00AA471E" w:rsidP="00AA471E">
      <w:pPr>
        <w:rPr>
          <w:rFonts w:eastAsia="Calibri"/>
        </w:rPr>
      </w:pPr>
    </w:p>
    <w:p w14:paraId="16696162" w14:textId="2AE73037" w:rsidR="00AA471E" w:rsidRPr="00C07A3C" w:rsidRDefault="00AA471E" w:rsidP="00AA471E">
      <w:pPr>
        <w:rPr>
          <w:rFonts w:eastAsia="Calibri"/>
        </w:rPr>
      </w:pPr>
      <w:r w:rsidRPr="00C07A3C">
        <w:rPr>
          <w:rFonts w:eastAsia="Calibri"/>
        </w:rPr>
        <w:t xml:space="preserve">Jeigu yra kokių nors sugedimo požymių, </w:t>
      </w:r>
      <w:r w:rsidR="00CF62BF">
        <w:rPr>
          <w:rFonts w:eastAsia="Calibri"/>
        </w:rPr>
        <w:t>CEFUROX BASICS</w:t>
      </w:r>
      <w:r w:rsidRPr="00C07A3C">
        <w:rPr>
          <w:rFonts w:eastAsia="Calibri"/>
        </w:rPr>
        <w:t xml:space="preserve"> vartoti negalima.</w:t>
      </w:r>
    </w:p>
    <w:p w14:paraId="63C99F67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48F5121A" w14:textId="52190382" w:rsidR="00AA471E" w:rsidRPr="009C0DB0" w:rsidRDefault="00AA471E" w:rsidP="00AA471E">
      <w:pPr>
        <w:rPr>
          <w:rFonts w:eastAsia="Calibri"/>
          <w:i/>
        </w:rPr>
      </w:pPr>
      <w:r w:rsidRPr="00C07A3C">
        <w:rPr>
          <w:rFonts w:eastAsia="Calibri"/>
        </w:rPr>
        <w:t xml:space="preserve">Ant dėžutės po </w:t>
      </w:r>
      <w:r w:rsidRPr="00CB4E02">
        <w:rPr>
          <w:rFonts w:eastAsia="Calibri"/>
        </w:rPr>
        <w:t>„EXP“</w:t>
      </w:r>
      <w:r w:rsidR="00CB4E02">
        <w:rPr>
          <w:rFonts w:eastAsia="Calibri"/>
        </w:rPr>
        <w:t xml:space="preserve"> </w:t>
      </w:r>
      <w:r w:rsidR="00CB4E02" w:rsidRPr="00C07A3C">
        <w:rPr>
          <w:rFonts w:eastAsia="Calibri"/>
        </w:rPr>
        <w:t>ir buteliuko</w:t>
      </w:r>
      <w:r w:rsidRPr="00C07A3C">
        <w:rPr>
          <w:rFonts w:eastAsia="Calibri"/>
        </w:rPr>
        <w:t xml:space="preserve"> nurodytam tinkamumo laikui </w:t>
      </w:r>
      <w:bookmarkEnd w:id="2"/>
      <w:r w:rsidRPr="002262B1">
        <w:rPr>
          <w:rFonts w:eastAsia="Calibri"/>
        </w:rPr>
        <w:t>pasibaigus, šio vaisto vartoti negalima. Vaistas tinkamas vartoti iki paskutinės nurodyto mėnesio dienos.</w:t>
      </w:r>
    </w:p>
    <w:p w14:paraId="7CC4478F" w14:textId="77777777" w:rsidR="00AA471E" w:rsidRPr="002262B1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10FA2A2B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lastRenderedPageBreak/>
        <w:t>Vaistų negalima išmesti į kanalizaciją arba su buitinėmis</w:t>
      </w:r>
      <w:r w:rsidRPr="00C07A3C">
        <w:rPr>
          <w:rFonts w:eastAsia="Calibri"/>
          <w:color w:val="993366"/>
        </w:rPr>
        <w:t xml:space="preserve"> </w:t>
      </w:r>
      <w:r w:rsidRPr="00C07A3C">
        <w:rPr>
          <w:rFonts w:eastAsia="Calibri"/>
        </w:rPr>
        <w:t>atliekomis. Kaip išmesti nereikalingus vaistus, klauskite vaistininko. Šios priemonės padės apsaugoti aplinką.</w:t>
      </w:r>
    </w:p>
    <w:p w14:paraId="683078C7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26965D3C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718392B2" w14:textId="77777777" w:rsidR="00AA471E" w:rsidRPr="00C07A3C" w:rsidRDefault="00AA471E" w:rsidP="00AA471E">
      <w:pPr>
        <w:keepNext/>
        <w:numPr>
          <w:ilvl w:val="12"/>
          <w:numId w:val="0"/>
        </w:numPr>
        <w:ind w:left="540" w:hanging="540"/>
        <w:rPr>
          <w:rFonts w:eastAsia="Calibri"/>
          <w:b/>
        </w:rPr>
      </w:pPr>
      <w:r w:rsidRPr="00C07A3C">
        <w:rPr>
          <w:rFonts w:eastAsia="Calibri"/>
          <w:b/>
        </w:rPr>
        <w:t>6.</w:t>
      </w:r>
      <w:r w:rsidRPr="00C07A3C">
        <w:rPr>
          <w:rFonts w:eastAsia="Calibri"/>
          <w:b/>
        </w:rPr>
        <w:tab/>
        <w:t>Pakuotės turinys ir kita informacija</w:t>
      </w:r>
    </w:p>
    <w:p w14:paraId="5F9FB6F1" w14:textId="77777777" w:rsidR="00AA471E" w:rsidRPr="00C07A3C" w:rsidRDefault="00AA471E" w:rsidP="00AA471E">
      <w:pPr>
        <w:keepNext/>
        <w:numPr>
          <w:ilvl w:val="12"/>
          <w:numId w:val="0"/>
        </w:numPr>
        <w:rPr>
          <w:rFonts w:eastAsia="Calibri"/>
        </w:rPr>
      </w:pPr>
    </w:p>
    <w:p w14:paraId="0D3A1432" w14:textId="3E0119D2" w:rsidR="00AA471E" w:rsidRDefault="00CF62BF" w:rsidP="00AA471E">
      <w:pPr>
        <w:keepNext/>
        <w:numPr>
          <w:ilvl w:val="12"/>
          <w:numId w:val="0"/>
        </w:numPr>
        <w:rPr>
          <w:rFonts w:eastAsia="Calibri"/>
          <w:b/>
        </w:rPr>
      </w:pPr>
      <w:bookmarkStart w:id="3" w:name="_Hlk821211"/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sudėtis</w:t>
      </w:r>
    </w:p>
    <w:p w14:paraId="1245ED7F" w14:textId="77777777" w:rsidR="005615B5" w:rsidRDefault="005615B5" w:rsidP="00AA471E">
      <w:pPr>
        <w:keepNext/>
        <w:numPr>
          <w:ilvl w:val="12"/>
          <w:numId w:val="0"/>
        </w:numPr>
        <w:rPr>
          <w:rFonts w:eastAsia="Calibri"/>
          <w:b/>
        </w:rPr>
      </w:pPr>
    </w:p>
    <w:p w14:paraId="08257113" w14:textId="3161BFEB" w:rsidR="00AA471E" w:rsidRPr="00C07A3C" w:rsidRDefault="00CF62BF" w:rsidP="001D5FF7">
      <w:pPr>
        <w:numPr>
          <w:ilvl w:val="12"/>
          <w:numId w:val="0"/>
        </w:numPr>
        <w:rPr>
          <w:rFonts w:eastAsia="Calibri"/>
          <w:u w:val="single"/>
        </w:rPr>
      </w:pPr>
      <w:r>
        <w:rPr>
          <w:rFonts w:eastAsia="Calibri"/>
        </w:rPr>
        <w:t>CEFUROX BASICS</w:t>
      </w:r>
      <w:r w:rsidR="005615B5" w:rsidRPr="001D5FF7">
        <w:rPr>
          <w:rFonts w:eastAsia="Calibri"/>
        </w:rPr>
        <w:t xml:space="preserve"> 125 mg/5 ml granulės geriamajai suspensijai</w:t>
      </w:r>
    </w:p>
    <w:p w14:paraId="1F6F8E24" w14:textId="77777777" w:rsidR="00AA471E" w:rsidRPr="00C07A3C" w:rsidRDefault="00AA471E" w:rsidP="00AA471E">
      <w:pPr>
        <w:keepNext/>
        <w:tabs>
          <w:tab w:val="left" w:pos="567"/>
        </w:tabs>
        <w:ind w:left="567" w:hanging="567"/>
        <w:rPr>
          <w:rFonts w:eastAsia="Calibri"/>
          <w:color w:val="000000"/>
        </w:rPr>
      </w:pPr>
      <w:r w:rsidRPr="00C07A3C">
        <w:rPr>
          <w:rFonts w:eastAsia="Calibri"/>
          <w:color w:val="000000"/>
        </w:rPr>
        <w:t>-</w:t>
      </w:r>
      <w:r w:rsidRPr="00C07A3C">
        <w:rPr>
          <w:rFonts w:eastAsia="Calibri"/>
          <w:color w:val="000000"/>
        </w:rPr>
        <w:tab/>
      </w:r>
      <w:bookmarkStart w:id="4" w:name="_Hlk517872915"/>
      <w:r w:rsidRPr="00C07A3C">
        <w:rPr>
          <w:rFonts w:eastAsia="Calibri"/>
        </w:rPr>
        <w:t xml:space="preserve">Veiklioji medžiaga: 5 ml yra 125 mg cefuroksimo (cefuroksimo aksetilo pavidalu). </w:t>
      </w:r>
    </w:p>
    <w:bookmarkEnd w:id="4"/>
    <w:p w14:paraId="1FCD8B70" w14:textId="04FFDFBC" w:rsidR="00AA471E" w:rsidRDefault="00AA471E" w:rsidP="007B715F">
      <w:pPr>
        <w:ind w:left="567" w:hanging="567"/>
        <w:rPr>
          <w:rFonts w:eastAsia="Calibri"/>
        </w:rPr>
      </w:pPr>
      <w:r w:rsidRPr="00C07A3C">
        <w:rPr>
          <w:rFonts w:eastAsia="Calibri"/>
          <w:b/>
          <w:color w:val="000000"/>
        </w:rPr>
        <w:t>-</w:t>
      </w:r>
      <w:r w:rsidRPr="00C07A3C">
        <w:rPr>
          <w:rFonts w:eastAsia="Calibri"/>
          <w:b/>
          <w:color w:val="000000"/>
        </w:rPr>
        <w:tab/>
      </w:r>
      <w:bookmarkStart w:id="5" w:name="_Hlk821158"/>
      <w:r w:rsidRPr="00C07A3C">
        <w:rPr>
          <w:rFonts w:eastAsia="Calibri"/>
        </w:rPr>
        <w:t>Pagalbinės medžiagos yra aspartamas (E</w:t>
      </w:r>
      <w:r w:rsidR="007B715F">
        <w:rPr>
          <w:rFonts w:eastAsia="Calibri"/>
        </w:rPr>
        <w:t xml:space="preserve"> </w:t>
      </w:r>
      <w:r w:rsidRPr="00C07A3C">
        <w:rPr>
          <w:rFonts w:eastAsia="Calibri"/>
        </w:rPr>
        <w:t xml:space="preserve">951), </w:t>
      </w:r>
      <w:r w:rsidR="007B715F" w:rsidRPr="007B715F">
        <w:rPr>
          <w:rFonts w:eastAsia="Calibri"/>
        </w:rPr>
        <w:t>hipromeliozės ftalatas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manitolis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metakrilo rūgšties ir etilakrilato 1:1 kopolimeras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natrio benzoatas</w:t>
      </w:r>
      <w:r w:rsidR="007B715F">
        <w:rPr>
          <w:rFonts w:eastAsia="Calibri"/>
        </w:rPr>
        <w:t xml:space="preserve"> </w:t>
      </w:r>
      <w:bookmarkStart w:id="6" w:name="_Hlk201238118"/>
      <w:r w:rsidR="007B715F">
        <w:rPr>
          <w:rFonts w:eastAsia="Calibri"/>
        </w:rPr>
        <w:t>(E 211)</w:t>
      </w:r>
      <w:bookmarkEnd w:id="6"/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natrio chloridas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natrio divandenilio citratas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hidratuotas silicio dioksidas</w:t>
      </w:r>
      <w:r w:rsidR="007B715F">
        <w:rPr>
          <w:rFonts w:eastAsia="Calibri"/>
        </w:rPr>
        <w:t>, s</w:t>
      </w:r>
      <w:r w:rsidR="007B715F" w:rsidRPr="007B715F">
        <w:rPr>
          <w:rFonts w:eastAsia="Calibri"/>
        </w:rPr>
        <w:t>acharozė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ksantano lipai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 xml:space="preserve">vaisių (tutti frutti) </w:t>
      </w:r>
      <w:r w:rsidR="007B715F">
        <w:t xml:space="preserve">aromato </w:t>
      </w:r>
      <w:r w:rsidR="007B715F" w:rsidRPr="007B715F">
        <w:rPr>
          <w:rFonts w:eastAsia="Calibri"/>
        </w:rPr>
        <w:t>medžiaga</w:t>
      </w:r>
      <w:r w:rsidR="007B715F">
        <w:rPr>
          <w:rFonts w:eastAsia="Calibri"/>
        </w:rPr>
        <w:t xml:space="preserve">, </w:t>
      </w:r>
      <w:r w:rsidR="007B715F" w:rsidRPr="007B715F">
        <w:rPr>
          <w:rFonts w:eastAsia="Calibri"/>
        </w:rPr>
        <w:t>pipirmėčių aromato med</w:t>
      </w:r>
      <w:r w:rsidR="00A466D9">
        <w:rPr>
          <w:rFonts w:eastAsia="Calibri"/>
        </w:rPr>
        <w:t>ž</w:t>
      </w:r>
      <w:r w:rsidR="007B715F" w:rsidRPr="007B715F">
        <w:rPr>
          <w:rFonts w:eastAsia="Calibri"/>
        </w:rPr>
        <w:t>iaga</w:t>
      </w:r>
      <w:r w:rsidR="007B715F">
        <w:rPr>
          <w:rFonts w:eastAsia="Calibri"/>
        </w:rPr>
        <w:t>.</w:t>
      </w:r>
    </w:p>
    <w:p w14:paraId="6FD0091C" w14:textId="77777777" w:rsidR="007B715F" w:rsidRPr="007B715F" w:rsidRDefault="007B715F" w:rsidP="007B715F">
      <w:pPr>
        <w:ind w:left="567" w:hanging="567"/>
        <w:rPr>
          <w:rFonts w:eastAsia="Calibri"/>
        </w:rPr>
      </w:pPr>
    </w:p>
    <w:p w14:paraId="2B6B0415" w14:textId="0C496A85" w:rsidR="00AA471E" w:rsidRPr="00C07A3C" w:rsidRDefault="00AA471E" w:rsidP="00AA471E">
      <w:pPr>
        <w:ind w:right="-2"/>
        <w:rPr>
          <w:noProof/>
          <w:szCs w:val="20"/>
        </w:rPr>
      </w:pPr>
      <w:r w:rsidRPr="00C07A3C">
        <w:rPr>
          <w:noProof/>
          <w:szCs w:val="20"/>
        </w:rPr>
        <w:t xml:space="preserve">Daugiau informacijos apie kai kurias </w:t>
      </w:r>
      <w:r w:rsidR="00CF62BF">
        <w:rPr>
          <w:szCs w:val="20"/>
        </w:rPr>
        <w:t>CEFUROX BASICS</w:t>
      </w:r>
      <w:r w:rsidRPr="00C07A3C">
        <w:rPr>
          <w:noProof/>
          <w:szCs w:val="20"/>
        </w:rPr>
        <w:t xml:space="preserve"> sudėtyje esančias medžiagas žr. 2 skyriuje.</w:t>
      </w:r>
    </w:p>
    <w:bookmarkEnd w:id="5"/>
    <w:p w14:paraId="43885C8A" w14:textId="77777777" w:rsidR="00AA471E" w:rsidRPr="00C07A3C" w:rsidRDefault="00AA471E" w:rsidP="009C0DB0">
      <w:pPr>
        <w:ind w:right="-2"/>
        <w:rPr>
          <w:rFonts w:eastAsia="Calibri"/>
        </w:rPr>
      </w:pPr>
    </w:p>
    <w:p w14:paraId="6152FBD6" w14:textId="3E58E2D4" w:rsidR="00AA471E" w:rsidRPr="00C07A3C" w:rsidRDefault="00CF62BF" w:rsidP="00AA471E">
      <w:pPr>
        <w:numPr>
          <w:ilvl w:val="12"/>
          <w:numId w:val="0"/>
        </w:numPr>
        <w:ind w:right="-2"/>
        <w:rPr>
          <w:rFonts w:eastAsia="Calibri"/>
          <w:b/>
        </w:rPr>
      </w:pPr>
      <w:r>
        <w:rPr>
          <w:rFonts w:eastAsia="Calibri"/>
          <w:b/>
        </w:rPr>
        <w:t>CEFUROX BASICS</w:t>
      </w:r>
      <w:r w:rsidR="00AA471E" w:rsidRPr="00C07A3C">
        <w:rPr>
          <w:rFonts w:eastAsia="Calibri"/>
          <w:b/>
        </w:rPr>
        <w:t xml:space="preserve"> išvaizda ir kiekis pakuotėje</w:t>
      </w:r>
    </w:p>
    <w:p w14:paraId="47943B8D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  <w:u w:val="single"/>
        </w:rPr>
      </w:pPr>
    </w:p>
    <w:p w14:paraId="1CBD5EE6" w14:textId="4E22E3D6" w:rsidR="00AA471E" w:rsidRPr="00ED5971" w:rsidRDefault="00CF62BF" w:rsidP="00AA471E">
      <w:pPr>
        <w:tabs>
          <w:tab w:val="left" w:pos="567"/>
        </w:tabs>
        <w:rPr>
          <w:rFonts w:eastAsia="Calibri"/>
        </w:rPr>
      </w:pPr>
      <w:bookmarkStart w:id="7" w:name="_Hlk517873177"/>
      <w:r>
        <w:rPr>
          <w:rFonts w:eastAsia="Calibri"/>
        </w:rPr>
        <w:t>CEFUROX BASICS</w:t>
      </w:r>
      <w:r w:rsidR="00AA471E" w:rsidRPr="00C07A3C">
        <w:rPr>
          <w:rFonts w:eastAsia="Calibri"/>
        </w:rPr>
        <w:t xml:space="preserve"> 125 mg/5 ml granulės </w:t>
      </w:r>
      <w:r w:rsidR="003D4AE9">
        <w:rPr>
          <w:rFonts w:eastAsia="Calibri"/>
        </w:rPr>
        <w:t xml:space="preserve">(84 g) </w:t>
      </w:r>
      <w:r w:rsidR="00AA471E" w:rsidRPr="00C07A3C">
        <w:rPr>
          <w:rFonts w:eastAsia="Calibri"/>
        </w:rPr>
        <w:t>geriamajai suspensijai tiekiamos</w:t>
      </w:r>
      <w:r w:rsidR="003D4AE9">
        <w:rPr>
          <w:rFonts w:eastAsia="Calibri"/>
        </w:rPr>
        <w:t xml:space="preserve"> </w:t>
      </w:r>
      <w:r w:rsidR="00AA471E" w:rsidRPr="00C07A3C">
        <w:rPr>
          <w:rFonts w:eastAsia="Calibri"/>
        </w:rPr>
        <w:t>100 ml</w:t>
      </w:r>
      <w:r w:rsidR="003D4AE9">
        <w:rPr>
          <w:rFonts w:eastAsia="Calibri"/>
        </w:rPr>
        <w:t xml:space="preserve"> </w:t>
      </w:r>
      <w:r w:rsidR="00AA471E" w:rsidRPr="00ED5971">
        <w:rPr>
          <w:rFonts w:eastAsia="Calibri"/>
        </w:rPr>
        <w:t>daugiadozi</w:t>
      </w:r>
      <w:r w:rsidR="003D4AE9">
        <w:rPr>
          <w:rFonts w:eastAsia="Calibri"/>
        </w:rPr>
        <w:t xml:space="preserve">ame </w:t>
      </w:r>
      <w:r w:rsidR="003D4AE9" w:rsidRPr="003D4AE9">
        <w:t>polietileno</w:t>
      </w:r>
      <w:r w:rsidR="003D4AE9">
        <w:t xml:space="preserve"> </w:t>
      </w:r>
      <w:r w:rsidR="00AA471E" w:rsidRPr="00ED5971">
        <w:rPr>
          <w:rFonts w:eastAsia="Calibri"/>
        </w:rPr>
        <w:t>buteliuk</w:t>
      </w:r>
      <w:r w:rsidR="003D4AE9">
        <w:rPr>
          <w:rFonts w:eastAsia="Calibri"/>
        </w:rPr>
        <w:t>e</w:t>
      </w:r>
      <w:r w:rsidR="00AA471E" w:rsidRPr="00ED5971">
        <w:rPr>
          <w:rFonts w:eastAsia="Calibri"/>
        </w:rPr>
        <w:t xml:space="preserve">. </w:t>
      </w:r>
      <w:r w:rsidR="0078026E" w:rsidRPr="00ED5971">
        <w:rPr>
          <w:rFonts w:eastAsia="Calibri"/>
        </w:rPr>
        <w:t>Suspensija turi būti paruošiama</w:t>
      </w:r>
      <w:r w:rsidR="00AA471E" w:rsidRPr="00ED5971">
        <w:rPr>
          <w:rFonts w:eastAsia="Calibri"/>
        </w:rPr>
        <w:t xml:space="preserve"> ant buteliuke esančių granulių</w:t>
      </w:r>
      <w:r w:rsidR="0078026E" w:rsidRPr="00ED5971">
        <w:rPr>
          <w:rFonts w:eastAsia="Calibri"/>
        </w:rPr>
        <w:t xml:space="preserve"> užpilant</w:t>
      </w:r>
      <w:r w:rsidR="00AA471E" w:rsidRPr="00ED5971">
        <w:rPr>
          <w:rFonts w:eastAsia="Calibri"/>
        </w:rPr>
        <w:t xml:space="preserve"> vandens. Buteliukas yra tiekiamas kartono dėžutėje.</w:t>
      </w:r>
    </w:p>
    <w:p w14:paraId="69EE233C" w14:textId="77777777" w:rsidR="007F7FA1" w:rsidRDefault="007F7FA1" w:rsidP="007F7FA1">
      <w:pPr>
        <w:rPr>
          <w:highlight w:val="lightGray"/>
        </w:rPr>
      </w:pPr>
    </w:p>
    <w:p w14:paraId="52347B52" w14:textId="4FD52855" w:rsidR="00E1331F" w:rsidRPr="003D4AE9" w:rsidRDefault="00E1331F" w:rsidP="007F7FA1">
      <w:r w:rsidRPr="003D4AE9">
        <w:t xml:space="preserve">Visada, prieš geriant vaistinį preparatą, buteliuką reikia gerai pakratyti. Dozės išgėrimui yra skirta kartu tiekiama matavimo taurelė, </w:t>
      </w:r>
      <w:bookmarkStart w:id="8" w:name="_Hlk201824209"/>
      <w:r w:rsidRPr="003D4AE9">
        <w:t xml:space="preserve">kurią apvertus įgaubtas </w:t>
      </w:r>
      <w:r>
        <w:rPr>
          <w:rFonts w:eastAsia="Calibri"/>
        </w:rPr>
        <w:t>paviršius su 2,5 m, 5 ml ir 10</w:t>
      </w:r>
      <w:r w:rsidR="00E15B5F">
        <w:rPr>
          <w:rFonts w:eastAsia="Calibri"/>
        </w:rPr>
        <w:t xml:space="preserve"> </w:t>
      </w:r>
      <w:r>
        <w:rPr>
          <w:rFonts w:eastAsia="Calibri"/>
        </w:rPr>
        <w:t>ml žymomis tinka paruoštos suspensijos matavimui.</w:t>
      </w:r>
      <w:bookmarkEnd w:id="8"/>
    </w:p>
    <w:bookmarkEnd w:id="7"/>
    <w:p w14:paraId="20821FB4" w14:textId="77777777" w:rsidR="00AA471E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62106104" w14:textId="36F6F5C5" w:rsidR="000659DA" w:rsidRPr="00C07A3C" w:rsidRDefault="000659DA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F1355C">
        <w:rPr>
          <w:rFonts w:eastAsia="Calibri"/>
          <w:b/>
          <w:bCs/>
        </w:rPr>
        <w:t>Registruotojas eksportuojančioje valstybėje yra</w:t>
      </w:r>
      <w:r w:rsidRPr="000659DA">
        <w:rPr>
          <w:rFonts w:eastAsia="Calibri"/>
        </w:rPr>
        <w:t xml:space="preserve"> Basics GmbH, Hemmelrather Weg 201, 51377 Leverkusen, Vokietija.</w:t>
      </w:r>
    </w:p>
    <w:bookmarkEnd w:id="3"/>
    <w:p w14:paraId="5430EB38" w14:textId="77777777" w:rsidR="000659DA" w:rsidRDefault="000659DA" w:rsidP="00465FF2">
      <w:pPr>
        <w:tabs>
          <w:tab w:val="left" w:pos="567"/>
        </w:tabs>
        <w:rPr>
          <w:b/>
          <w:bCs/>
          <w:noProof/>
        </w:rPr>
      </w:pPr>
    </w:p>
    <w:p w14:paraId="3ACBE666" w14:textId="004AE49C" w:rsidR="00465FF2" w:rsidRPr="00C631B3" w:rsidRDefault="00465FF2" w:rsidP="00465FF2">
      <w:pPr>
        <w:tabs>
          <w:tab w:val="left" w:pos="567"/>
        </w:tabs>
        <w:rPr>
          <w:b/>
          <w:bCs/>
          <w:noProof/>
        </w:rPr>
      </w:pPr>
      <w:r w:rsidRPr="00C631B3">
        <w:rPr>
          <w:b/>
          <w:bCs/>
          <w:noProof/>
        </w:rPr>
        <w:t>Gamintojas</w:t>
      </w:r>
    </w:p>
    <w:p w14:paraId="515E825D" w14:textId="77777777" w:rsidR="00465FF2" w:rsidRDefault="00465FF2" w:rsidP="00465FF2">
      <w:pPr>
        <w:tabs>
          <w:tab w:val="left" w:pos="567"/>
        </w:tabs>
        <w:rPr>
          <w:rFonts w:eastAsia="Calibri"/>
          <w:szCs w:val="20"/>
          <w:lang w:eastAsia="lt-LT"/>
        </w:rPr>
      </w:pPr>
      <w:r w:rsidRPr="00D732BC">
        <w:rPr>
          <w:rFonts w:eastAsia="Calibri"/>
          <w:szCs w:val="20"/>
          <w:lang w:eastAsia="lt-LT"/>
        </w:rPr>
        <w:t>Sun Pharmaceutical Industries Europe B.V.</w:t>
      </w:r>
      <w:r>
        <w:rPr>
          <w:rFonts w:eastAsia="Calibri"/>
          <w:szCs w:val="20"/>
          <w:lang w:eastAsia="lt-LT"/>
        </w:rPr>
        <w:t xml:space="preserve">, </w:t>
      </w:r>
      <w:r w:rsidRPr="00D732BC">
        <w:rPr>
          <w:rFonts w:eastAsia="Calibri"/>
          <w:szCs w:val="20"/>
          <w:lang w:eastAsia="lt-LT"/>
        </w:rPr>
        <w:t>Polarisavenue 87</w:t>
      </w:r>
      <w:r>
        <w:rPr>
          <w:rFonts w:eastAsia="Calibri"/>
          <w:szCs w:val="20"/>
          <w:lang w:eastAsia="lt-LT"/>
        </w:rPr>
        <w:t xml:space="preserve">, </w:t>
      </w:r>
      <w:r w:rsidRPr="00D732BC">
        <w:rPr>
          <w:rFonts w:eastAsia="Calibri"/>
          <w:szCs w:val="20"/>
          <w:lang w:eastAsia="lt-LT"/>
        </w:rPr>
        <w:t>2132 JH Hoofddorp</w:t>
      </w:r>
      <w:r>
        <w:rPr>
          <w:rFonts w:eastAsia="Calibri"/>
          <w:szCs w:val="20"/>
          <w:lang w:eastAsia="lt-LT"/>
        </w:rPr>
        <w:t xml:space="preserve">, </w:t>
      </w:r>
      <w:r w:rsidRPr="00D732BC">
        <w:rPr>
          <w:rFonts w:eastAsia="Calibri"/>
          <w:szCs w:val="20"/>
          <w:lang w:eastAsia="lt-LT"/>
        </w:rPr>
        <w:t>Nyderlandai</w:t>
      </w:r>
    </w:p>
    <w:p w14:paraId="341ECFE3" w14:textId="10239802" w:rsidR="00465FF2" w:rsidRDefault="00465FF2" w:rsidP="00465FF2">
      <w:pPr>
        <w:tabs>
          <w:tab w:val="left" w:pos="567"/>
        </w:tabs>
        <w:rPr>
          <w:rFonts w:eastAsia="Calibri"/>
          <w:szCs w:val="20"/>
          <w:lang w:eastAsia="lt-LT"/>
        </w:rPr>
      </w:pPr>
      <w:r>
        <w:rPr>
          <w:rFonts w:eastAsia="Calibri"/>
          <w:szCs w:val="20"/>
          <w:lang w:eastAsia="lt-LT"/>
        </w:rPr>
        <w:t>a</w:t>
      </w:r>
      <w:r w:rsidRPr="00D732BC">
        <w:rPr>
          <w:rFonts w:eastAsia="Calibri"/>
          <w:szCs w:val="20"/>
          <w:lang w:eastAsia="lt-LT"/>
        </w:rPr>
        <w:t>rba</w:t>
      </w:r>
    </w:p>
    <w:p w14:paraId="3B52AD5F" w14:textId="18C0B650" w:rsidR="00465FF2" w:rsidRDefault="00465FF2" w:rsidP="00465FF2">
      <w:pPr>
        <w:tabs>
          <w:tab w:val="left" w:pos="567"/>
        </w:tabs>
        <w:rPr>
          <w:noProof/>
        </w:rPr>
      </w:pPr>
      <w:r w:rsidRPr="00D732BC">
        <w:rPr>
          <w:rFonts w:eastAsia="Calibri"/>
          <w:szCs w:val="20"/>
          <w:lang w:eastAsia="lt-LT"/>
        </w:rPr>
        <w:t>Alkaloida Chemical Company Zrt.</w:t>
      </w:r>
      <w:r>
        <w:rPr>
          <w:rFonts w:eastAsia="Calibri"/>
          <w:szCs w:val="20"/>
          <w:lang w:eastAsia="lt-LT"/>
        </w:rPr>
        <w:t xml:space="preserve">, </w:t>
      </w:r>
      <w:r w:rsidRPr="00D732BC">
        <w:rPr>
          <w:rFonts w:eastAsia="Calibri"/>
          <w:szCs w:val="20"/>
          <w:lang w:eastAsia="lt-LT"/>
        </w:rPr>
        <w:t>Kabay János u. 29</w:t>
      </w:r>
      <w:r>
        <w:rPr>
          <w:rFonts w:eastAsia="Calibri"/>
          <w:szCs w:val="20"/>
          <w:lang w:eastAsia="lt-LT"/>
        </w:rPr>
        <w:t xml:space="preserve">, </w:t>
      </w:r>
      <w:r w:rsidRPr="00D732BC">
        <w:rPr>
          <w:rFonts w:eastAsia="Calibri"/>
          <w:szCs w:val="20"/>
          <w:lang w:eastAsia="lt-LT"/>
        </w:rPr>
        <w:t>4440 Tiszavasvari</w:t>
      </w:r>
      <w:r>
        <w:rPr>
          <w:rFonts w:eastAsia="Calibri"/>
          <w:szCs w:val="20"/>
          <w:lang w:eastAsia="lt-LT"/>
        </w:rPr>
        <w:t xml:space="preserve">, </w:t>
      </w:r>
      <w:r w:rsidRPr="00D732BC">
        <w:rPr>
          <w:rFonts w:eastAsia="Calibri"/>
          <w:szCs w:val="20"/>
          <w:lang w:eastAsia="lt-LT"/>
        </w:rPr>
        <w:t>Vengrija</w:t>
      </w:r>
    </w:p>
    <w:p w14:paraId="6DD1F8F0" w14:textId="77777777" w:rsidR="00465FF2" w:rsidRPr="00C631B3" w:rsidRDefault="00465FF2" w:rsidP="00465FF2">
      <w:pPr>
        <w:tabs>
          <w:tab w:val="left" w:pos="567"/>
        </w:tabs>
        <w:rPr>
          <w:noProof/>
        </w:rPr>
      </w:pPr>
    </w:p>
    <w:p w14:paraId="2B4810D1" w14:textId="77777777" w:rsidR="00465FF2" w:rsidRPr="00C631B3" w:rsidRDefault="00465FF2" w:rsidP="00465FF2">
      <w:pPr>
        <w:tabs>
          <w:tab w:val="left" w:pos="567"/>
        </w:tabs>
        <w:rPr>
          <w:b/>
          <w:bCs/>
          <w:noProof/>
        </w:rPr>
      </w:pPr>
      <w:r w:rsidRPr="00C631B3">
        <w:rPr>
          <w:b/>
          <w:bCs/>
          <w:noProof/>
        </w:rPr>
        <w:t xml:space="preserve">Lygiagretus importuotojas </w:t>
      </w:r>
    </w:p>
    <w:p w14:paraId="06B9DEB2" w14:textId="77777777" w:rsidR="00465FF2" w:rsidRPr="00C631B3" w:rsidRDefault="00465FF2" w:rsidP="00465FF2">
      <w:pPr>
        <w:tabs>
          <w:tab w:val="left" w:pos="567"/>
        </w:tabs>
        <w:rPr>
          <w:noProof/>
        </w:rPr>
      </w:pPr>
      <w:r w:rsidRPr="00C631B3">
        <w:rPr>
          <w:noProof/>
        </w:rPr>
        <w:t>UAB „Lex ano“, Naugarduko g. 3, LT-03231 Vilnius, Lietuva</w:t>
      </w:r>
    </w:p>
    <w:p w14:paraId="23A1120E" w14:textId="77777777" w:rsidR="00465FF2" w:rsidRPr="00C631B3" w:rsidRDefault="00465FF2" w:rsidP="00465FF2">
      <w:pPr>
        <w:tabs>
          <w:tab w:val="left" w:pos="567"/>
        </w:tabs>
        <w:rPr>
          <w:noProof/>
        </w:rPr>
      </w:pPr>
    </w:p>
    <w:p w14:paraId="753E702F" w14:textId="77777777" w:rsidR="00465FF2" w:rsidRPr="00C631B3" w:rsidRDefault="00465FF2" w:rsidP="00465FF2">
      <w:pPr>
        <w:tabs>
          <w:tab w:val="left" w:pos="567"/>
        </w:tabs>
        <w:rPr>
          <w:b/>
          <w:bCs/>
          <w:noProof/>
        </w:rPr>
      </w:pPr>
      <w:r w:rsidRPr="00C631B3">
        <w:rPr>
          <w:b/>
          <w:bCs/>
          <w:noProof/>
        </w:rPr>
        <w:t>Perpakavo</w:t>
      </w:r>
    </w:p>
    <w:p w14:paraId="7762B7C0" w14:textId="77777777" w:rsidR="00465FF2" w:rsidRPr="00C631B3" w:rsidRDefault="00465FF2" w:rsidP="00465FF2">
      <w:pPr>
        <w:tabs>
          <w:tab w:val="left" w:pos="567"/>
        </w:tabs>
        <w:rPr>
          <w:noProof/>
        </w:rPr>
      </w:pPr>
      <w:r w:rsidRPr="00C631B3">
        <w:rPr>
          <w:noProof/>
        </w:rPr>
        <w:t xml:space="preserve">Lietuvos ir Norvegijos UAB „Norfachema“, Vytauto g. 6, LT-55175 Jonava, Lietuva </w:t>
      </w:r>
    </w:p>
    <w:p w14:paraId="21304A8C" w14:textId="77777777" w:rsidR="00465FF2" w:rsidRPr="00C631B3" w:rsidRDefault="00465FF2" w:rsidP="00465FF2">
      <w:pPr>
        <w:tabs>
          <w:tab w:val="left" w:pos="567"/>
        </w:tabs>
        <w:rPr>
          <w:noProof/>
        </w:rPr>
      </w:pPr>
      <w:r w:rsidRPr="00C631B3">
        <w:rPr>
          <w:noProof/>
        </w:rPr>
        <w:t>arba</w:t>
      </w:r>
    </w:p>
    <w:p w14:paraId="44C161F6" w14:textId="77777777" w:rsidR="002C6DCD" w:rsidRDefault="00465FF2" w:rsidP="00465FF2">
      <w:pPr>
        <w:tabs>
          <w:tab w:val="left" w:pos="567"/>
        </w:tabs>
        <w:rPr>
          <w:noProof/>
        </w:rPr>
      </w:pPr>
      <w:r w:rsidRPr="00C631B3">
        <w:rPr>
          <w:noProof/>
        </w:rPr>
        <w:t>UAB „ENTAFARMA“, Klonėnų vs. 1, LT-19156 Širvintų r. sav., Lietuva</w:t>
      </w:r>
    </w:p>
    <w:p w14:paraId="1CD3D568" w14:textId="06AE1CEE" w:rsidR="002C6DCD" w:rsidRDefault="002C6DCD" w:rsidP="00465FF2">
      <w:pPr>
        <w:tabs>
          <w:tab w:val="left" w:pos="567"/>
        </w:tabs>
        <w:rPr>
          <w:noProof/>
        </w:rPr>
      </w:pPr>
      <w:r>
        <w:rPr>
          <w:noProof/>
        </w:rPr>
        <w:t>arba</w:t>
      </w:r>
    </w:p>
    <w:p w14:paraId="6F138155" w14:textId="335691EC" w:rsidR="00465FF2" w:rsidRPr="00C631B3" w:rsidRDefault="002C6DCD" w:rsidP="00465FF2">
      <w:pPr>
        <w:tabs>
          <w:tab w:val="left" w:pos="567"/>
        </w:tabs>
        <w:rPr>
          <w:noProof/>
        </w:rPr>
      </w:pPr>
      <w:r w:rsidRPr="002C6DCD">
        <w:rPr>
          <w:noProof/>
        </w:rPr>
        <w:t>Medezin Sp. z o.o., Ul. Księdza Kazimierza Janika 14, Konstantynów Łódzki, 95-050, Lenkija</w:t>
      </w:r>
    </w:p>
    <w:p w14:paraId="53EDF00D" w14:textId="77777777" w:rsidR="00AC04DF" w:rsidRDefault="00AC04DF" w:rsidP="00465FF2">
      <w:pPr>
        <w:ind w:left="567" w:hanging="567"/>
        <w:rPr>
          <w:b/>
          <w:bCs/>
          <w:noProof/>
        </w:rPr>
      </w:pPr>
    </w:p>
    <w:p w14:paraId="7793DD7B" w14:textId="77777777" w:rsidR="00AC04DF" w:rsidRDefault="00AC04DF" w:rsidP="00AA471E">
      <w:pPr>
        <w:numPr>
          <w:ilvl w:val="12"/>
          <w:numId w:val="0"/>
        </w:numPr>
        <w:ind w:right="-2"/>
        <w:outlineLvl w:val="0"/>
        <w:rPr>
          <w:rFonts w:eastAsia="Calibri"/>
          <w:b/>
        </w:rPr>
      </w:pPr>
    </w:p>
    <w:p w14:paraId="2EF843A3" w14:textId="2115C707" w:rsidR="00AA471E" w:rsidRPr="00C07A3C" w:rsidRDefault="00AA471E" w:rsidP="00AA471E">
      <w:pPr>
        <w:numPr>
          <w:ilvl w:val="12"/>
          <w:numId w:val="0"/>
        </w:numPr>
        <w:ind w:right="-2"/>
        <w:outlineLvl w:val="0"/>
        <w:rPr>
          <w:rFonts w:eastAsia="Calibri"/>
        </w:rPr>
      </w:pPr>
      <w:r w:rsidRPr="00C07A3C">
        <w:rPr>
          <w:rFonts w:eastAsia="Calibri"/>
          <w:b/>
        </w:rPr>
        <w:t>Šis pakuotės lapelis paskutinį kartą peržiūrėtas</w:t>
      </w:r>
      <w:r w:rsidR="00412DDB">
        <w:rPr>
          <w:rFonts w:eastAsia="Calibri"/>
          <w:b/>
        </w:rPr>
        <w:t xml:space="preserve"> 2025-12-19</w:t>
      </w:r>
    </w:p>
    <w:p w14:paraId="22E4262C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  <w:i/>
        </w:rPr>
      </w:pPr>
    </w:p>
    <w:p w14:paraId="25992706" w14:textId="1780E71F" w:rsidR="00AA471E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Išsami informacija apie šį vaistą pateikiama Valstybinės vaistų kontrolės tarnybos prie Lietuvos Respublikos sveikatos apsaugos ministerijos tinklalapyje</w:t>
      </w:r>
      <w:r w:rsidRPr="00C07A3C">
        <w:rPr>
          <w:rFonts w:eastAsia="Calibri"/>
          <w:i/>
        </w:rPr>
        <w:t xml:space="preserve"> </w:t>
      </w:r>
      <w:hyperlink r:id="rId11" w:history="1">
        <w:r w:rsidR="00465FF2" w:rsidRPr="009829E7">
          <w:rPr>
            <w:rStyle w:val="Hipersaitas"/>
            <w:noProof/>
          </w:rPr>
          <w:t>https://vvkt.lrv.lt/lt/</w:t>
        </w:r>
      </w:hyperlink>
      <w:hyperlink r:id="rId12" w:history="1"/>
      <w:r w:rsidRPr="00C07A3C">
        <w:rPr>
          <w:rFonts w:eastAsia="Calibri"/>
        </w:rPr>
        <w:t>.</w:t>
      </w:r>
    </w:p>
    <w:p w14:paraId="6BC213EC" w14:textId="77777777" w:rsidR="00A466D9" w:rsidRDefault="00A466D9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4E75885F" w14:textId="7BBABC64" w:rsidR="00A466D9" w:rsidRPr="00E15B5F" w:rsidRDefault="000E6FA3" w:rsidP="00E15B5F">
      <w:pPr>
        <w:pStyle w:val="BTEMEASMCA"/>
        <w:rPr>
          <w:i/>
        </w:rPr>
      </w:pPr>
      <w:bookmarkStart w:id="9" w:name="_Hlk201231862"/>
      <w:r w:rsidRPr="0034447D">
        <w:rPr>
          <w:i/>
        </w:rPr>
        <w:t>Lygiagrečiai importuojamas vaistas nuo referencinio vaisto skiriasi pagalbinėmis medžiagomis</w:t>
      </w:r>
      <w:r>
        <w:rPr>
          <w:i/>
        </w:rPr>
        <w:t xml:space="preserve">, laikymo sąlygomis, </w:t>
      </w:r>
      <w:r w:rsidRPr="0034447D">
        <w:rPr>
          <w:i/>
        </w:rPr>
        <w:t xml:space="preserve">pakuote ir </w:t>
      </w:r>
      <w:r>
        <w:rPr>
          <w:i/>
        </w:rPr>
        <w:t>priedais. R</w:t>
      </w:r>
      <w:r w:rsidRPr="0034447D">
        <w:rPr>
          <w:i/>
        </w:rPr>
        <w:t>eferencinio vaisto sudėtyje yra acesulfamo kalio druskos (E</w:t>
      </w:r>
      <w:r>
        <w:rPr>
          <w:i/>
        </w:rPr>
        <w:t> </w:t>
      </w:r>
      <w:r w:rsidRPr="0034447D">
        <w:rPr>
          <w:i/>
        </w:rPr>
        <w:t>950), povidono K30, stearino rūgšties, išgryninto vandens</w:t>
      </w:r>
      <w:r>
        <w:rPr>
          <w:i/>
        </w:rPr>
        <w:t xml:space="preserve">, </w:t>
      </w:r>
      <w:r w:rsidRPr="0034447D">
        <w:rPr>
          <w:i/>
        </w:rPr>
        <w:t>vaistą laikyti ne aukštesnėje kaip 30 °C temperatūroje</w:t>
      </w:r>
      <w:r>
        <w:rPr>
          <w:i/>
        </w:rPr>
        <w:t xml:space="preserve">, </w:t>
      </w:r>
      <w:r w:rsidRPr="0034447D">
        <w:rPr>
          <w:i/>
        </w:rPr>
        <w:t>vaistas tiekiamas gintaro spalvos stiklo buteliuke kartu su pridėtu dozavimo švirkštu arba matavimo šaukštu</w:t>
      </w:r>
      <w:r>
        <w:rPr>
          <w:i/>
        </w:rPr>
        <w:t>. L</w:t>
      </w:r>
      <w:r w:rsidRPr="0034447D">
        <w:rPr>
          <w:i/>
        </w:rPr>
        <w:t>ygiagrečiai importuojamo vaisto</w:t>
      </w:r>
      <w:r>
        <w:rPr>
          <w:i/>
        </w:rPr>
        <w:t xml:space="preserve"> </w:t>
      </w:r>
      <w:r w:rsidRPr="009330AE">
        <w:rPr>
          <w:i/>
        </w:rPr>
        <w:t>sudėt</w:t>
      </w:r>
      <w:r>
        <w:rPr>
          <w:i/>
        </w:rPr>
        <w:t xml:space="preserve">yje yra </w:t>
      </w:r>
      <w:r w:rsidRPr="00E614E4">
        <w:rPr>
          <w:i/>
        </w:rPr>
        <w:t>hipromeliozės ftalat</w:t>
      </w:r>
      <w:r>
        <w:rPr>
          <w:i/>
        </w:rPr>
        <w:t xml:space="preserve">o, </w:t>
      </w:r>
      <w:r w:rsidRPr="00E614E4">
        <w:rPr>
          <w:i/>
        </w:rPr>
        <w:t>manitoli</w:t>
      </w:r>
      <w:r>
        <w:rPr>
          <w:i/>
        </w:rPr>
        <w:t xml:space="preserve">o, </w:t>
      </w:r>
      <w:r w:rsidRPr="00E614E4">
        <w:rPr>
          <w:i/>
        </w:rPr>
        <w:t>metakrilo rūgšties ir etilakrilato 1:1 kopolimer</w:t>
      </w:r>
      <w:r>
        <w:rPr>
          <w:i/>
        </w:rPr>
        <w:t xml:space="preserve">o, </w:t>
      </w:r>
      <w:r w:rsidRPr="00E614E4">
        <w:rPr>
          <w:i/>
        </w:rPr>
        <w:t>natrio benzoat</w:t>
      </w:r>
      <w:r>
        <w:rPr>
          <w:i/>
        </w:rPr>
        <w:t>o</w:t>
      </w:r>
      <w:r w:rsidRPr="00971231">
        <w:rPr>
          <w:i/>
          <w:iCs/>
        </w:rPr>
        <w:t xml:space="preserve"> </w:t>
      </w:r>
      <w:r w:rsidRPr="00971231">
        <w:rPr>
          <w:rFonts w:eastAsia="Calibri"/>
          <w:i/>
          <w:iCs/>
        </w:rPr>
        <w:t>(E</w:t>
      </w:r>
      <w:r>
        <w:rPr>
          <w:rFonts w:eastAsia="Calibri"/>
          <w:i/>
          <w:iCs/>
        </w:rPr>
        <w:t> </w:t>
      </w:r>
      <w:r w:rsidRPr="00971231">
        <w:rPr>
          <w:rFonts w:eastAsia="Calibri"/>
          <w:i/>
          <w:iCs/>
        </w:rPr>
        <w:t>211)</w:t>
      </w:r>
      <w:r>
        <w:rPr>
          <w:i/>
        </w:rPr>
        <w:t xml:space="preserve">, </w:t>
      </w:r>
      <w:r w:rsidRPr="00E614E4">
        <w:rPr>
          <w:i/>
        </w:rPr>
        <w:t>natrio chlorid</w:t>
      </w:r>
      <w:r>
        <w:rPr>
          <w:i/>
        </w:rPr>
        <w:t xml:space="preserve">o, </w:t>
      </w:r>
      <w:r w:rsidRPr="00E614E4">
        <w:rPr>
          <w:i/>
        </w:rPr>
        <w:lastRenderedPageBreak/>
        <w:t>natrio divandenilio citrat</w:t>
      </w:r>
      <w:r>
        <w:rPr>
          <w:i/>
        </w:rPr>
        <w:t xml:space="preserve">o, </w:t>
      </w:r>
      <w:r w:rsidRPr="00E614E4">
        <w:rPr>
          <w:i/>
        </w:rPr>
        <w:t>hidratuot</w:t>
      </w:r>
      <w:r>
        <w:rPr>
          <w:i/>
        </w:rPr>
        <w:t>o</w:t>
      </w:r>
      <w:r w:rsidRPr="00E614E4">
        <w:rPr>
          <w:i/>
        </w:rPr>
        <w:t xml:space="preserve"> silicio dioksid</w:t>
      </w:r>
      <w:r>
        <w:rPr>
          <w:i/>
        </w:rPr>
        <w:t xml:space="preserve">o, </w:t>
      </w:r>
      <w:r w:rsidRPr="00E614E4">
        <w:rPr>
          <w:i/>
        </w:rPr>
        <w:t>pipirmėčių aromato med</w:t>
      </w:r>
      <w:r>
        <w:rPr>
          <w:i/>
        </w:rPr>
        <w:t>ž</w:t>
      </w:r>
      <w:r w:rsidRPr="00E614E4">
        <w:rPr>
          <w:i/>
        </w:rPr>
        <w:t>iag</w:t>
      </w:r>
      <w:r>
        <w:rPr>
          <w:i/>
        </w:rPr>
        <w:t xml:space="preserve">os, </w:t>
      </w:r>
      <w:r w:rsidRPr="0034447D">
        <w:rPr>
          <w:i/>
        </w:rPr>
        <w:t xml:space="preserve">vaistą laikyti ne aukštesnėje kaip </w:t>
      </w:r>
      <w:r>
        <w:rPr>
          <w:i/>
        </w:rPr>
        <w:t>25</w:t>
      </w:r>
      <w:r w:rsidRPr="0034447D">
        <w:rPr>
          <w:i/>
        </w:rPr>
        <w:t xml:space="preserve"> °C temperatūroje</w:t>
      </w:r>
      <w:r>
        <w:rPr>
          <w:i/>
        </w:rPr>
        <w:t xml:space="preserve">, </w:t>
      </w:r>
      <w:r w:rsidRPr="0034447D">
        <w:rPr>
          <w:i/>
        </w:rPr>
        <w:t xml:space="preserve">vaistas tiekiamas </w:t>
      </w:r>
      <w:r w:rsidRPr="00E614E4">
        <w:rPr>
          <w:i/>
        </w:rPr>
        <w:t>HD polietileno buteliuk</w:t>
      </w:r>
      <w:r>
        <w:rPr>
          <w:i/>
        </w:rPr>
        <w:t>e kartu su pridėta matavimo taurele.</w:t>
      </w:r>
      <w:bookmarkEnd w:id="9"/>
    </w:p>
    <w:p w14:paraId="7F7ADE21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  <w:r w:rsidRPr="00C07A3C">
        <w:rPr>
          <w:rFonts w:eastAsia="Calibri"/>
        </w:rPr>
        <w:t>---------------------------------------------------------------------------------------------------------------------------</w:t>
      </w:r>
    </w:p>
    <w:p w14:paraId="59AC2EBE" w14:textId="77777777" w:rsidR="00A466D9" w:rsidRPr="00C07A3C" w:rsidRDefault="00A466D9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07459FC2" w14:textId="77777777" w:rsidR="00AA471E" w:rsidRPr="00C07A3C" w:rsidRDefault="00AA471E" w:rsidP="00AA471E">
      <w:pPr>
        <w:numPr>
          <w:ilvl w:val="12"/>
          <w:numId w:val="0"/>
        </w:numPr>
        <w:ind w:right="-2"/>
        <w:rPr>
          <w:rFonts w:eastAsia="Calibri"/>
          <w:b/>
        </w:rPr>
      </w:pPr>
      <w:r w:rsidRPr="00C07A3C">
        <w:rPr>
          <w:rFonts w:eastAsia="Calibri"/>
          <w:b/>
        </w:rPr>
        <w:t>Paruošimo instrukcijos</w:t>
      </w:r>
    </w:p>
    <w:p w14:paraId="150E9791" w14:textId="77777777" w:rsidR="00AA471E" w:rsidRPr="009C0DB0" w:rsidRDefault="00AA471E" w:rsidP="00AA471E">
      <w:pPr>
        <w:numPr>
          <w:ilvl w:val="12"/>
          <w:numId w:val="0"/>
        </w:numPr>
        <w:ind w:right="-2"/>
        <w:rPr>
          <w:rFonts w:eastAsia="Calibri"/>
        </w:rPr>
      </w:pPr>
    </w:p>
    <w:p w14:paraId="6BD95117" w14:textId="77777777" w:rsidR="00AA471E" w:rsidRDefault="00AA471E" w:rsidP="00AA471E">
      <w:pPr>
        <w:rPr>
          <w:rFonts w:eastAsia="Calibri"/>
          <w:u w:val="single"/>
        </w:rPr>
      </w:pPr>
      <w:r w:rsidRPr="00C07A3C">
        <w:rPr>
          <w:rFonts w:eastAsia="Calibri"/>
          <w:u w:val="single"/>
        </w:rPr>
        <w:t>Nurodymai, kaip paruošti suspensiją</w:t>
      </w:r>
    </w:p>
    <w:p w14:paraId="7D6B55C5" w14:textId="77777777" w:rsidR="00C914AC" w:rsidRDefault="00C914AC" w:rsidP="00AA471E">
      <w:pPr>
        <w:rPr>
          <w:rFonts w:eastAsia="Calibri"/>
          <w:u w:val="single"/>
        </w:rPr>
      </w:pPr>
    </w:p>
    <w:p w14:paraId="1542B166" w14:textId="4388C9EA" w:rsidR="00C914AC" w:rsidRDefault="00C914AC" w:rsidP="00AA471E">
      <w:pPr>
        <w:rPr>
          <w:rFonts w:eastAsia="Calibri"/>
          <w:b/>
          <w:bCs/>
          <w:u w:val="single"/>
        </w:rPr>
      </w:pPr>
      <w:r w:rsidRPr="00041EAF">
        <w:rPr>
          <w:rFonts w:eastAsia="Calibri"/>
          <w:b/>
          <w:bCs/>
          <w:u w:val="single"/>
        </w:rPr>
        <w:t xml:space="preserve">Atkreipkite dėmesį, kad </w:t>
      </w:r>
      <w:r w:rsidR="00CF62BF">
        <w:rPr>
          <w:rFonts w:eastAsia="Calibri"/>
          <w:b/>
          <w:bCs/>
          <w:u w:val="single"/>
        </w:rPr>
        <w:t>CEFUROX BASICS</w:t>
      </w:r>
      <w:r w:rsidRPr="00041EAF">
        <w:rPr>
          <w:rFonts w:eastAsia="Calibri"/>
          <w:b/>
          <w:bCs/>
          <w:u w:val="single"/>
        </w:rPr>
        <w:t xml:space="preserve"> suspensijos paruošimas iki pirmosios dozės vartojimo užtruks ilgiau nei vieną valandą. Į šį laiką įeina laikas, skirtas suspensijai </w:t>
      </w:r>
      <w:r w:rsidR="00CF62BF">
        <w:rPr>
          <w:rFonts w:eastAsia="Calibri"/>
          <w:b/>
          <w:bCs/>
          <w:u w:val="single"/>
        </w:rPr>
        <w:t>„</w:t>
      </w:r>
      <w:r w:rsidRPr="00041EAF">
        <w:rPr>
          <w:rFonts w:eastAsia="Calibri"/>
          <w:b/>
          <w:bCs/>
          <w:u w:val="single"/>
        </w:rPr>
        <w:t>nusistovėti</w:t>
      </w:r>
      <w:r w:rsidR="00CF62BF">
        <w:rPr>
          <w:rFonts w:eastAsia="Calibri"/>
          <w:b/>
          <w:bCs/>
          <w:u w:val="single"/>
        </w:rPr>
        <w:t>“</w:t>
      </w:r>
      <w:r w:rsidRPr="00041EAF">
        <w:rPr>
          <w:rFonts w:eastAsia="Calibri"/>
          <w:b/>
          <w:bCs/>
          <w:u w:val="single"/>
        </w:rPr>
        <w:t xml:space="preserve"> šaldytuve</w:t>
      </w:r>
      <w:r>
        <w:rPr>
          <w:rFonts w:eastAsia="Calibri"/>
          <w:b/>
          <w:bCs/>
          <w:u w:val="single"/>
        </w:rPr>
        <w:t>.</w:t>
      </w:r>
    </w:p>
    <w:p w14:paraId="42869D8A" w14:textId="2981D71D" w:rsidR="00C914AC" w:rsidRPr="00C07A3C" w:rsidRDefault="00C914AC" w:rsidP="00AA471E">
      <w:pPr>
        <w:rPr>
          <w:rFonts w:eastAsia="Calibri"/>
          <w:u w:val="single"/>
        </w:rPr>
      </w:pPr>
      <w:r>
        <w:rPr>
          <w:rFonts w:eastAsia="Calibri"/>
          <w:b/>
          <w:bCs/>
          <w:u w:val="single"/>
        </w:rPr>
        <w:t xml:space="preserve">Prašome laikytis toliau pateikiamų instrukcijų ruošiant </w:t>
      </w:r>
      <w:r w:rsidR="00CF62BF">
        <w:rPr>
          <w:rFonts w:eastAsia="Calibri"/>
          <w:b/>
          <w:bCs/>
          <w:u w:val="single"/>
        </w:rPr>
        <w:t>CEFUROX BASICS</w:t>
      </w:r>
      <w:r>
        <w:rPr>
          <w:rFonts w:eastAsia="Calibri"/>
          <w:b/>
          <w:bCs/>
          <w:u w:val="single"/>
        </w:rPr>
        <w:t xml:space="preserve"> suspensiją savo vaikui bei laikant suspensiją.</w:t>
      </w:r>
    </w:p>
    <w:p w14:paraId="0B08E123" w14:textId="77777777" w:rsidR="00AA471E" w:rsidRPr="00AA08CA" w:rsidRDefault="00AA471E" w:rsidP="00AA471E">
      <w:pPr>
        <w:rPr>
          <w:rFonts w:eastAsia="Calibri"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5526"/>
      </w:tblGrid>
      <w:tr w:rsidR="00AA471E" w:rsidRPr="00C07A3C" w14:paraId="2F5056DB" w14:textId="77777777" w:rsidTr="00D6299C">
        <w:tc>
          <w:tcPr>
            <w:tcW w:w="8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19FE7" w14:textId="77777777" w:rsidR="00AA471E" w:rsidRPr="00AA08CA" w:rsidRDefault="00AA471E" w:rsidP="00D6299C">
            <w:pPr>
              <w:rPr>
                <w:b/>
                <w:i/>
                <w:u w:val="single"/>
              </w:rPr>
            </w:pPr>
          </w:p>
        </w:tc>
      </w:tr>
      <w:tr w:rsidR="00AA471E" w:rsidRPr="00C07A3C" w14:paraId="27E24136" w14:textId="77777777" w:rsidTr="00D6299C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3820E5CD" w14:textId="77777777" w:rsidR="00AA471E" w:rsidRPr="00C07A3C" w:rsidRDefault="00AA471E" w:rsidP="00D6299C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C07A3C">
              <w:rPr>
                <w:b/>
                <w:i/>
                <w:u w:val="single"/>
                <w:lang w:val="en-GB"/>
              </w:rPr>
              <w:object w:dxaOrig="4020" w:dyaOrig="4050" w14:anchorId="59654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8pt;height:79.8pt" o:ole="">
                  <v:imagedata r:id="rId13" o:title=""/>
                </v:shape>
                <o:OLEObject Type="Embed" ProgID="PBrush" ShapeID="_x0000_i1025" DrawAspect="Content" ObjectID="_1827991472" r:id="rId14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611CC5EF" w14:textId="78C771ED" w:rsidR="00AA471E" w:rsidRPr="00C07A3C" w:rsidRDefault="00AA471E" w:rsidP="0078026E">
            <w:pPr>
              <w:rPr>
                <w:rFonts w:eastAsia="Calibri"/>
              </w:rPr>
            </w:pPr>
            <w:r w:rsidRPr="00C07A3C">
              <w:t xml:space="preserve">Buteliuko turinį gerai pakratykite. Visos granulės turi laisvai byrėti buteliuke. Nuimkite dangtelį ir karštu būdu užlietą sandarią membraną. Jeigu membrana yra pažeista arba jos nėra, </w:t>
            </w:r>
            <w:r w:rsidR="0078026E">
              <w:t>vaistą</w:t>
            </w:r>
            <w:r w:rsidRPr="00C07A3C">
              <w:t xml:space="preserve"> reikia grąžinti į vaistinę.</w:t>
            </w:r>
          </w:p>
        </w:tc>
      </w:tr>
      <w:tr w:rsidR="00AA471E" w:rsidRPr="00C07A3C" w14:paraId="756264EC" w14:textId="77777777" w:rsidTr="00D6299C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DEC70DC" w14:textId="77777777" w:rsidR="00AA471E" w:rsidRPr="00C07A3C" w:rsidRDefault="00AA471E" w:rsidP="00D6299C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C07A3C">
              <w:rPr>
                <w:b/>
                <w:i/>
                <w:u w:val="single"/>
                <w:lang w:val="en-GB"/>
              </w:rPr>
              <w:object w:dxaOrig="4005" w:dyaOrig="4035" w14:anchorId="1E645D40">
                <v:shape id="_x0000_i1026" type="#_x0000_t75" style="width:85.8pt;height:86.4pt" o:ole="">
                  <v:imagedata r:id="rId15" o:title=""/>
                </v:shape>
                <o:OLEObject Type="Embed" ProgID="PBrush" ShapeID="_x0000_i1026" DrawAspect="Content" ObjectID="_1827991473" r:id="rId16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62B28342" w14:textId="1860E601" w:rsidR="00AA471E" w:rsidRPr="00C07A3C" w:rsidRDefault="00AA471E" w:rsidP="00D6299C">
            <w:pPr>
              <w:rPr>
                <w:rFonts w:eastAsia="Calibri"/>
              </w:rPr>
            </w:pPr>
            <w:r w:rsidRPr="00C07A3C">
              <w:t xml:space="preserve">Į kartu tiekiamą </w:t>
            </w:r>
            <w:r w:rsidR="00AA518E">
              <w:t xml:space="preserve">matavimo </w:t>
            </w:r>
            <w:r w:rsidRPr="00C07A3C">
              <w:t>taurelę įpilkite šalto vandens iki ant taurelės nurodytos tūrio linijos</w:t>
            </w:r>
            <w:r w:rsidR="00CF62BF">
              <w:t xml:space="preserve"> (44 ml)</w:t>
            </w:r>
            <w:r w:rsidRPr="00C07A3C">
              <w:t xml:space="preserve">. Jeigu prieš tai vanduo buvo užvirintas, prieš supilant į granules, vandenį reikia atvėsinti iki kambario temperatūros. </w:t>
            </w:r>
            <w:r w:rsidR="00CF62BF">
              <w:t>CEFUROX BASICS</w:t>
            </w:r>
            <w:r w:rsidRPr="00C07A3C">
              <w:t xml:space="preserve"> granulių geriamajai suspensijai negalima maišyti su karštais ar šiltais skysčiais. Naudojant šaltą vandenį, bus išvengta suspensijos sutirštėjimo.</w:t>
            </w:r>
          </w:p>
        </w:tc>
      </w:tr>
      <w:tr w:rsidR="00AA471E" w:rsidRPr="00C07A3C" w14:paraId="1FB6EE8E" w14:textId="77777777" w:rsidTr="00D6299C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5AC6ABCB" w14:textId="0A73C1D3" w:rsidR="00AA471E" w:rsidRPr="00C07A3C" w:rsidRDefault="008E5CB1" w:rsidP="00D6299C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DC1F69">
              <w:object w:dxaOrig="2650" w:dyaOrig="2760" w14:anchorId="72164830">
                <v:shape id="_x0000_i1027" type="#_x0000_t75" style="width:79.8pt;height:79.2pt" o:ole="">
                  <v:imagedata r:id="rId17" o:title=""/>
                </v:shape>
                <o:OLEObject Type="Embed" ProgID="PBrush" ShapeID="_x0000_i1027" DrawAspect="Content" ObjectID="_1827991474" r:id="rId18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14:paraId="12B9608B" w14:textId="77777777" w:rsidR="00AA471E" w:rsidRPr="00C07A3C" w:rsidRDefault="00AA471E" w:rsidP="00D6299C">
            <w:r w:rsidRPr="00C07A3C">
              <w:t>Visą šalto</w:t>
            </w:r>
            <w:r w:rsidRPr="00C07A3C">
              <w:rPr>
                <w:rFonts w:eastAsia="Calibri"/>
              </w:rPr>
              <w:t xml:space="preserve"> vandens kiekį </w:t>
            </w:r>
            <w:r w:rsidRPr="00C07A3C">
              <w:t>supilkite į buteliuką. Vėl</w:t>
            </w:r>
            <w:r w:rsidRPr="00C07A3C">
              <w:rPr>
                <w:rFonts w:eastAsia="Calibri"/>
              </w:rPr>
              <w:t xml:space="preserve"> uždėkite dangtelį.</w:t>
            </w:r>
            <w:r w:rsidRPr="00C07A3C">
              <w:t xml:space="preserve"> Leiskite buteliukui pastovėti, kad vanduo pilnai prasiskverbtų per granules. Tai užtruks maždaug 1 minutę.</w:t>
            </w:r>
          </w:p>
          <w:p w14:paraId="6CB96725" w14:textId="77777777" w:rsidR="00AA471E" w:rsidRPr="00C07A3C" w:rsidRDefault="00AA471E" w:rsidP="00D6299C">
            <w:pPr>
              <w:rPr>
                <w:rFonts w:eastAsia="Calibri"/>
                <w:lang w:val="en-GB"/>
              </w:rPr>
            </w:pPr>
          </w:p>
        </w:tc>
      </w:tr>
      <w:tr w:rsidR="00AA471E" w:rsidRPr="00C07A3C" w14:paraId="758488D0" w14:textId="77777777" w:rsidTr="00D6299C"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47EA77A8" w14:textId="15DF7A12" w:rsidR="00AA471E" w:rsidRPr="00C07A3C" w:rsidRDefault="004B0A59" w:rsidP="00D6299C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8753FC">
              <w:rPr>
                <w:b/>
                <w:i/>
                <w:color w:val="FF0000"/>
              </w:rPr>
              <w:object w:dxaOrig="2650" w:dyaOrig="2640" w14:anchorId="43134F2C">
                <v:shape id="_x0000_i1028" type="#_x0000_t75" style="width:86.4pt;height:86.4pt" o:ole="" o:bordertopcolor="this">
                  <v:imagedata r:id="rId19" o:title=""/>
                  <w10:bordertop type="single" width="4"/>
                </v:shape>
                <o:OLEObject Type="Embed" ProgID="PBrush" ShapeID="_x0000_i1028" DrawAspect="Content" ObjectID="_1827991475" r:id="rId20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391B" w14:textId="77777777" w:rsidR="00AA471E" w:rsidRPr="00C07A3C" w:rsidRDefault="00AA471E" w:rsidP="00D6299C">
            <w:pPr>
              <w:rPr>
                <w:rFonts w:eastAsia="Calibri"/>
              </w:rPr>
            </w:pPr>
            <w:r w:rsidRPr="00C07A3C">
              <w:rPr>
                <w:rFonts w:eastAsia="Calibri"/>
              </w:rPr>
              <w:t xml:space="preserve">Buteliuką apverskite ir </w:t>
            </w:r>
            <w:r w:rsidRPr="00C07A3C">
              <w:t>gerai</w:t>
            </w:r>
            <w:r w:rsidRPr="00C07A3C">
              <w:rPr>
                <w:rFonts w:eastAsia="Calibri"/>
              </w:rPr>
              <w:t xml:space="preserve"> pakratykite </w:t>
            </w:r>
            <w:r w:rsidRPr="00C07A3C">
              <w:t>(</w:t>
            </w:r>
            <w:r w:rsidRPr="00C07A3C">
              <w:rPr>
                <w:rFonts w:eastAsia="Calibri"/>
              </w:rPr>
              <w:t>bent 15 sekundžių</w:t>
            </w:r>
            <w:r w:rsidRPr="00C07A3C">
              <w:t>) tol, kol visos granulės susimaišys su vandeniu.</w:t>
            </w:r>
          </w:p>
        </w:tc>
      </w:tr>
      <w:tr w:rsidR="00AA471E" w:rsidRPr="00C07A3C" w14:paraId="7A0A0045" w14:textId="77777777" w:rsidTr="00D6299C">
        <w:trPr>
          <w:trHeight w:val="1691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788182C1" w14:textId="395AC3C7" w:rsidR="00AA471E" w:rsidRPr="00C07A3C" w:rsidRDefault="004B0A59" w:rsidP="00D6299C">
            <w:pPr>
              <w:rPr>
                <w:rFonts w:eastAsia="Calibri"/>
                <w:b/>
                <w:i/>
                <w:u w:val="single"/>
                <w:lang w:val="en-GB"/>
              </w:rPr>
            </w:pPr>
            <w:r w:rsidRPr="008753FC">
              <w:rPr>
                <w:b/>
                <w:i/>
                <w:color w:val="FF0000"/>
              </w:rPr>
              <w:object w:dxaOrig="2700" w:dyaOrig="2740" w14:anchorId="13219EC4">
                <v:shape id="_x0000_i1029" type="#_x0000_t75" style="width:79.8pt;height:86.4pt" o:ole="">
                  <v:imagedata r:id="rId21" o:title=""/>
                </v:shape>
                <o:OLEObject Type="Embed" ProgID="PBrush" ShapeID="_x0000_i1029" DrawAspect="Content" ObjectID="_1827991476" r:id="rId22"/>
              </w:objec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2153C" w14:textId="59495749" w:rsidR="00AA471E" w:rsidRPr="00C07A3C" w:rsidRDefault="00AA471E" w:rsidP="00D6299C">
            <w:pPr>
              <w:rPr>
                <w:rFonts w:eastAsia="Calibri"/>
              </w:rPr>
            </w:pPr>
            <w:r w:rsidRPr="00C07A3C">
              <w:rPr>
                <w:rFonts w:eastAsia="Calibri"/>
              </w:rPr>
              <w:t xml:space="preserve">Atverskite buteliuką į vertikalią padėtį dangteliu į viršų ir </w:t>
            </w:r>
            <w:r w:rsidRPr="00C07A3C">
              <w:t>gerai</w:t>
            </w:r>
            <w:r w:rsidRPr="00C07A3C">
              <w:rPr>
                <w:rFonts w:eastAsia="Calibri"/>
              </w:rPr>
              <w:t xml:space="preserve"> pakratykite</w:t>
            </w:r>
            <w:r w:rsidRPr="00C07A3C">
              <w:t xml:space="preserve"> bent 1 minutę tol, kol visos granulės ištirps.</w:t>
            </w:r>
            <w:r w:rsidRPr="00C07A3C">
              <w:rPr>
                <w:rFonts w:ascii="Calibri" w:eastAsia="Calibri" w:hAnsi="Calibri"/>
              </w:rPr>
              <w:t xml:space="preserve"> </w:t>
            </w:r>
            <w:r w:rsidRPr="00C07A3C">
              <w:t xml:space="preserve">Nedelsdami įdėkite </w:t>
            </w:r>
            <w:r w:rsidR="00CF62BF">
              <w:t>CEFUROX BASICS</w:t>
            </w:r>
            <w:r w:rsidRPr="00C07A3C">
              <w:t xml:space="preserve"> suspensiją į šaldytuvą (2</w:t>
            </w:r>
            <w:r w:rsidRPr="00C07A3C">
              <w:noBreakHyphen/>
              <w:t>8°C) (negalima užšaldyti) ir palaikykite bent vieną valandą prieš išgerdami pirmąją dozę</w:t>
            </w:r>
            <w:r w:rsidRPr="00C07A3C">
              <w:rPr>
                <w:rFonts w:eastAsia="Calibri"/>
              </w:rPr>
              <w:t>.</w:t>
            </w:r>
          </w:p>
          <w:p w14:paraId="687560A8" w14:textId="77777777" w:rsidR="00AA471E" w:rsidRPr="00C07A3C" w:rsidRDefault="00AA471E" w:rsidP="00D6299C">
            <w:pPr>
              <w:rPr>
                <w:rFonts w:eastAsia="Calibri"/>
              </w:rPr>
            </w:pPr>
          </w:p>
        </w:tc>
      </w:tr>
    </w:tbl>
    <w:p w14:paraId="6CB93ED7" w14:textId="77777777" w:rsidR="00AA471E" w:rsidRDefault="00AA471E" w:rsidP="00AA471E">
      <w:pPr>
        <w:rPr>
          <w:rFonts w:eastAsia="Calibri"/>
          <w:u w:val="single"/>
        </w:rPr>
      </w:pPr>
    </w:p>
    <w:p w14:paraId="20C46A37" w14:textId="27007CD0" w:rsidR="00C8379A" w:rsidRPr="00C8379A" w:rsidRDefault="00C8379A" w:rsidP="00C8379A">
      <w:pPr>
        <w:rPr>
          <w:rFonts w:eastAsia="Calibri"/>
          <w:u w:val="single"/>
        </w:rPr>
      </w:pPr>
      <w:r>
        <w:rPr>
          <w:rFonts w:eastAsia="Calibri"/>
          <w:u w:val="single"/>
        </w:rPr>
        <w:t>Paruošt</w:t>
      </w:r>
      <w:r w:rsidR="00CC0E1B">
        <w:rPr>
          <w:rFonts w:eastAsia="Calibri"/>
          <w:u w:val="single"/>
        </w:rPr>
        <w:t>ą</w:t>
      </w:r>
      <w:r>
        <w:rPr>
          <w:rFonts w:eastAsia="Calibri"/>
          <w:u w:val="single"/>
        </w:rPr>
        <w:t xml:space="preserve"> </w:t>
      </w:r>
      <w:r w:rsidRPr="00C8379A">
        <w:rPr>
          <w:rFonts w:eastAsia="Calibri"/>
          <w:u w:val="single"/>
        </w:rPr>
        <w:t xml:space="preserve">suspensiją visada reikia laikyti šaldytuve; laikant šaldytuve nuo 2 iki 8 °C temperatūroje, </w:t>
      </w:r>
      <w:r>
        <w:rPr>
          <w:rFonts w:eastAsia="Calibri"/>
          <w:u w:val="single"/>
        </w:rPr>
        <w:t>paruošt</w:t>
      </w:r>
      <w:r w:rsidR="00CC0E1B">
        <w:rPr>
          <w:rFonts w:eastAsia="Calibri"/>
          <w:u w:val="single"/>
        </w:rPr>
        <w:t>ą</w:t>
      </w:r>
      <w:r w:rsidRPr="00C8379A">
        <w:rPr>
          <w:rFonts w:eastAsia="Calibri"/>
          <w:u w:val="single"/>
        </w:rPr>
        <w:t xml:space="preserve"> suspensiją galima laikyti iki 10 dienų.</w:t>
      </w:r>
    </w:p>
    <w:p w14:paraId="2A2B8883" w14:textId="77777777" w:rsidR="00C8379A" w:rsidRPr="00C8379A" w:rsidRDefault="00C8379A" w:rsidP="00C8379A">
      <w:pPr>
        <w:rPr>
          <w:rFonts w:eastAsia="Calibri"/>
          <w:u w:val="single"/>
        </w:rPr>
      </w:pPr>
    </w:p>
    <w:p w14:paraId="5D522E42" w14:textId="6320DCD5" w:rsidR="00C8379A" w:rsidRDefault="00C8379A" w:rsidP="00C8379A">
      <w:pPr>
        <w:rPr>
          <w:rFonts w:eastAsia="Calibri"/>
          <w:u w:val="single"/>
        </w:rPr>
      </w:pPr>
      <w:r w:rsidRPr="00C8379A">
        <w:rPr>
          <w:rFonts w:eastAsia="Calibri"/>
          <w:u w:val="single"/>
        </w:rPr>
        <w:t>Prieš pradėdami vartoti vaistą, visada gerai suplakite buteliuką.</w:t>
      </w:r>
    </w:p>
    <w:p w14:paraId="21BA8841" w14:textId="77777777" w:rsidR="00E15B5F" w:rsidRDefault="00E15B5F">
      <w:pPr>
        <w:rPr>
          <w:b/>
          <w:bCs/>
        </w:rPr>
      </w:pPr>
    </w:p>
    <w:p w14:paraId="1197ECA0" w14:textId="0D0C79B6" w:rsidR="00E15B5F" w:rsidRDefault="00E15B5F">
      <w:r>
        <w:t>Suspensijai ruošti ir paruoštos suspensijos dozės pamatavimui naudokite pakuotėje pridedamą matavimo taurelę</w:t>
      </w:r>
      <w:r w:rsidR="00D91355">
        <w:t>:</w:t>
      </w:r>
    </w:p>
    <w:p w14:paraId="37DEA867" w14:textId="51DC5743" w:rsidR="00E15B5F" w:rsidRPr="00E15B5F" w:rsidRDefault="00E15B5F">
      <w:r w:rsidRPr="00E15B5F">
        <w:rPr>
          <w:noProof/>
        </w:rPr>
        <w:lastRenderedPageBreak/>
        <w:drawing>
          <wp:inline distT="0" distB="0" distL="0" distR="0" wp14:anchorId="315CFB74" wp14:editId="166B0097">
            <wp:extent cx="2074985" cy="1556124"/>
            <wp:effectExtent l="0" t="0" r="1905" b="6350"/>
            <wp:docPr id="306935130" name="Picture 1" descr="A diagram of a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35130" name="Picture 1" descr="A diagram of a tube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74985" cy="155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BCF87" w14:textId="77777777" w:rsidR="00E15B5F" w:rsidRDefault="00E15B5F">
      <w:pPr>
        <w:rPr>
          <w:b/>
          <w:bCs/>
        </w:rPr>
      </w:pPr>
    </w:p>
    <w:p w14:paraId="286A74BF" w14:textId="77777777" w:rsidR="00E15B5F" w:rsidRDefault="00E15B5F"/>
    <w:p w14:paraId="7C7B9819" w14:textId="77777777" w:rsidR="00E15B5F" w:rsidRDefault="00E15B5F"/>
    <w:sectPr w:rsidR="00E15B5F" w:rsidSect="00894113">
      <w:headerReference w:type="default" r:id="rId24"/>
      <w:footerReference w:type="even" r:id="rId25"/>
      <w:footerReference w:type="default" r:id="rId2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1F48" w14:textId="77777777" w:rsidR="00DE2F83" w:rsidRDefault="00DE2F83" w:rsidP="008661CD">
      <w:r>
        <w:separator/>
      </w:r>
    </w:p>
  </w:endnote>
  <w:endnote w:type="continuationSeparator" w:id="0">
    <w:p w14:paraId="1DE0EE5E" w14:textId="77777777" w:rsidR="00DE2F83" w:rsidRDefault="00DE2F83" w:rsidP="008661CD">
      <w:r>
        <w:continuationSeparator/>
      </w:r>
    </w:p>
  </w:endnote>
  <w:endnote w:type="continuationNotice" w:id="1">
    <w:p w14:paraId="04D8B0DF" w14:textId="77777777" w:rsidR="00DE2F83" w:rsidRDefault="00DE2F83" w:rsidP="0086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3077" w14:textId="77777777" w:rsidR="00B850DA" w:rsidRDefault="00B850DA" w:rsidP="00894113">
    <w:pPr>
      <w:pStyle w:val="Porat"/>
      <w:framePr w:wrap="around" w:vAnchor="text" w:hAnchor="margin" w:xAlign="center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26</w:t>
    </w:r>
    <w:r>
      <w:rPr>
        <w:rStyle w:val="Puslapionumeris"/>
      </w:rPr>
      <w:fldChar w:fldCharType="end"/>
    </w:r>
  </w:p>
  <w:p w14:paraId="5C951913" w14:textId="77777777" w:rsidR="00B850DA" w:rsidRDefault="00B850DA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24C1" w14:textId="5EA97DCF" w:rsidR="00B850DA" w:rsidRDefault="00B850DA" w:rsidP="0089411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597E">
      <w:rPr>
        <w:rStyle w:val="Puslapionumeris"/>
        <w:noProof/>
      </w:rPr>
      <w:t>44</w:t>
    </w:r>
    <w:r>
      <w:rPr>
        <w:rStyle w:val="Puslapionumeris"/>
      </w:rPr>
      <w:fldChar w:fldCharType="end"/>
    </w:r>
  </w:p>
  <w:p w14:paraId="1159D6BC" w14:textId="77777777" w:rsidR="00B850DA" w:rsidRDefault="00B850DA">
    <w:pPr>
      <w:pStyle w:val="Porat"/>
      <w:framePr w:wrap="around" w:vAnchor="text" w:hAnchor="margin" w:xAlign="right" w:y="1"/>
      <w:rPr>
        <w:rStyle w:val="Puslapionumeris"/>
        <w:lang w:val="lt-LT"/>
      </w:rPr>
    </w:pPr>
  </w:p>
  <w:p w14:paraId="3E8F9CE0" w14:textId="77777777" w:rsidR="00B850DA" w:rsidRDefault="00B850DA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FAA2F" w14:textId="77777777" w:rsidR="00DE2F83" w:rsidRDefault="00DE2F83" w:rsidP="008661CD">
      <w:r>
        <w:separator/>
      </w:r>
    </w:p>
  </w:footnote>
  <w:footnote w:type="continuationSeparator" w:id="0">
    <w:p w14:paraId="53DAED51" w14:textId="77777777" w:rsidR="00DE2F83" w:rsidRDefault="00DE2F83" w:rsidP="008661CD">
      <w:r>
        <w:continuationSeparator/>
      </w:r>
    </w:p>
  </w:footnote>
  <w:footnote w:type="continuationNotice" w:id="1">
    <w:p w14:paraId="74B57371" w14:textId="77777777" w:rsidR="00DE2F83" w:rsidRDefault="00DE2F83" w:rsidP="008661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55E7" w14:textId="77777777" w:rsidR="00DE2F83" w:rsidRDefault="00DE2F8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D580F"/>
    <w:multiLevelType w:val="hybridMultilevel"/>
    <w:tmpl w:val="EA2E8EB2"/>
    <w:lvl w:ilvl="0" w:tplc="D6448604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41A2443"/>
    <w:multiLevelType w:val="hybridMultilevel"/>
    <w:tmpl w:val="5FFCBB86"/>
    <w:lvl w:ilvl="0" w:tplc="D84EB634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5ACF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6B529D"/>
    <w:multiLevelType w:val="hybridMultilevel"/>
    <w:tmpl w:val="0E9242DA"/>
    <w:lvl w:ilvl="0" w:tplc="B04AB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873"/>
    <w:multiLevelType w:val="hybridMultilevel"/>
    <w:tmpl w:val="28F22C70"/>
    <w:lvl w:ilvl="0" w:tplc="E4448262">
      <w:start w:val="1"/>
      <w:numFmt w:val="bullet"/>
      <w:lvlText w:val="-"/>
      <w:lvlJc w:val="left"/>
      <w:pPr>
        <w:tabs>
          <w:tab w:val="num" w:pos="624"/>
        </w:tabs>
        <w:ind w:left="624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B172B"/>
    <w:multiLevelType w:val="hybridMultilevel"/>
    <w:tmpl w:val="B3EA927E"/>
    <w:lvl w:ilvl="0" w:tplc="866A0322">
      <w:numFmt w:val="bullet"/>
      <w:lvlText w:val="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b/>
        <w:bCs/>
        <w:i w:val="0"/>
        <w:iC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02E1E"/>
    <w:multiLevelType w:val="hybridMultilevel"/>
    <w:tmpl w:val="9EC44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03EE6"/>
    <w:multiLevelType w:val="hybridMultilevel"/>
    <w:tmpl w:val="F1DC30B4"/>
    <w:lvl w:ilvl="0" w:tplc="D23CEA2A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A23F0"/>
    <w:multiLevelType w:val="hybridMultilevel"/>
    <w:tmpl w:val="EA566F16"/>
    <w:lvl w:ilvl="0" w:tplc="C038A7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225D6"/>
    <w:multiLevelType w:val="hybridMultilevel"/>
    <w:tmpl w:val="685CE77E"/>
    <w:lvl w:ilvl="0" w:tplc="7750C47E">
      <w:start w:val="1"/>
      <w:numFmt w:val="bullet"/>
      <w:lvlText w:val="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20EBD"/>
    <w:multiLevelType w:val="hybridMultilevel"/>
    <w:tmpl w:val="5C3CEC40"/>
    <w:lvl w:ilvl="0" w:tplc="C4E284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3" w15:restartNumberingAfterBreak="0">
    <w:nsid w:val="5FAF7478"/>
    <w:multiLevelType w:val="hybridMultilevel"/>
    <w:tmpl w:val="E08AB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C717E"/>
    <w:multiLevelType w:val="hybridMultilevel"/>
    <w:tmpl w:val="F17226F8"/>
    <w:lvl w:ilvl="0" w:tplc="5A6A07EA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C7D4A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7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17510"/>
    <w:multiLevelType w:val="hybridMultilevel"/>
    <w:tmpl w:val="4B9629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CE43134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E3076EC"/>
    <w:multiLevelType w:val="hybridMultilevel"/>
    <w:tmpl w:val="437A2886"/>
    <w:lvl w:ilvl="0" w:tplc="1A2664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17ECE"/>
    <w:multiLevelType w:val="hybridMultilevel"/>
    <w:tmpl w:val="CC046914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1550E"/>
    <w:multiLevelType w:val="hybridMultilevel"/>
    <w:tmpl w:val="50309A2A"/>
    <w:lvl w:ilvl="0" w:tplc="04270001">
      <w:start w:val="1"/>
      <w:numFmt w:val="bullet"/>
      <w:lvlText w:val=""/>
      <w:lvlJc w:val="left"/>
      <w:pPr>
        <w:tabs>
          <w:tab w:val="num" w:pos="624"/>
        </w:tabs>
        <w:ind w:left="624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9923B43"/>
    <w:multiLevelType w:val="hybridMultilevel"/>
    <w:tmpl w:val="BACEEEFA"/>
    <w:lvl w:ilvl="0" w:tplc="FEA2497E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/>
        <w:bCs/>
        <w:i w:val="0"/>
        <w:iCs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263CB"/>
    <w:multiLevelType w:val="hybridMultilevel"/>
    <w:tmpl w:val="B038F006"/>
    <w:lvl w:ilvl="0" w:tplc="7F58D7A6">
      <w:start w:val="15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37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816835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701735666">
    <w:abstractNumId w:val="5"/>
  </w:num>
  <w:num w:numId="3" w16cid:durableId="1373378831">
    <w:abstractNumId w:val="16"/>
  </w:num>
  <w:num w:numId="4" w16cid:durableId="1906993513">
    <w:abstractNumId w:val="11"/>
  </w:num>
  <w:num w:numId="5" w16cid:durableId="464008344">
    <w:abstractNumId w:val="8"/>
  </w:num>
  <w:num w:numId="6" w16cid:durableId="1277177637">
    <w:abstractNumId w:val="30"/>
  </w:num>
  <w:num w:numId="7" w16cid:durableId="750273629">
    <w:abstractNumId w:val="25"/>
  </w:num>
  <w:num w:numId="8" w16cid:durableId="1958560143">
    <w:abstractNumId w:val="27"/>
  </w:num>
  <w:num w:numId="9" w16cid:durableId="1492212813">
    <w:abstractNumId w:val="37"/>
  </w:num>
  <w:num w:numId="10" w16cid:durableId="409279056">
    <w:abstractNumId w:val="4"/>
  </w:num>
  <w:num w:numId="11" w16cid:durableId="721946351">
    <w:abstractNumId w:val="26"/>
  </w:num>
  <w:num w:numId="12" w16cid:durableId="1706834293">
    <w:abstractNumId w:val="19"/>
  </w:num>
  <w:num w:numId="13" w16cid:durableId="1652951971">
    <w:abstractNumId w:val="15"/>
  </w:num>
  <w:num w:numId="14" w16cid:durableId="1452747581">
    <w:abstractNumId w:val="13"/>
  </w:num>
  <w:num w:numId="15" w16cid:durableId="1779177777">
    <w:abstractNumId w:val="7"/>
  </w:num>
  <w:num w:numId="16" w16cid:durableId="5257270">
    <w:abstractNumId w:val="3"/>
  </w:num>
  <w:num w:numId="17" w16cid:durableId="457113874">
    <w:abstractNumId w:val="21"/>
  </w:num>
  <w:num w:numId="18" w16cid:durableId="1432314208">
    <w:abstractNumId w:val="36"/>
  </w:num>
  <w:num w:numId="19" w16cid:durableId="2006978735">
    <w:abstractNumId w:val="12"/>
  </w:num>
  <w:num w:numId="20" w16cid:durableId="1425346214">
    <w:abstractNumId w:val="34"/>
  </w:num>
  <w:num w:numId="21" w16cid:durableId="1940018990">
    <w:abstractNumId w:val="14"/>
  </w:num>
  <w:num w:numId="22" w16cid:durableId="1915121899">
    <w:abstractNumId w:val="29"/>
  </w:num>
  <w:num w:numId="23" w16cid:durableId="211314255">
    <w:abstractNumId w:val="18"/>
  </w:num>
  <w:num w:numId="24" w16cid:durableId="789477854">
    <w:abstractNumId w:val="31"/>
  </w:num>
  <w:num w:numId="25" w16cid:durableId="149176563">
    <w:abstractNumId w:val="20"/>
  </w:num>
  <w:num w:numId="26" w16cid:durableId="698822051">
    <w:abstractNumId w:val="32"/>
  </w:num>
  <w:num w:numId="27" w16cid:durableId="584455897">
    <w:abstractNumId w:val="22"/>
  </w:num>
  <w:num w:numId="28" w16cid:durableId="1106923991">
    <w:abstractNumId w:val="10"/>
  </w:num>
  <w:num w:numId="29" w16cid:durableId="1960380468">
    <w:abstractNumId w:val="33"/>
  </w:num>
  <w:num w:numId="30" w16cid:durableId="1345864832">
    <w:abstractNumId w:val="2"/>
  </w:num>
  <w:num w:numId="31" w16cid:durableId="1597594277">
    <w:abstractNumId w:val="35"/>
  </w:num>
  <w:num w:numId="32" w16cid:durableId="1017005553">
    <w:abstractNumId w:val="6"/>
  </w:num>
  <w:num w:numId="33" w16cid:durableId="1505509785">
    <w:abstractNumId w:val="24"/>
  </w:num>
  <w:num w:numId="34" w16cid:durableId="311101353">
    <w:abstractNumId w:val="1"/>
  </w:num>
  <w:num w:numId="35" w16cid:durableId="625963429">
    <w:abstractNumId w:val="17"/>
  </w:num>
  <w:num w:numId="36" w16cid:durableId="1410273374">
    <w:abstractNumId w:val="9"/>
  </w:num>
  <w:num w:numId="37" w16cid:durableId="809247094">
    <w:abstractNumId w:val="23"/>
  </w:num>
  <w:num w:numId="38" w16cid:durableId="10778958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8A"/>
    <w:rsid w:val="00001567"/>
    <w:rsid w:val="000159C7"/>
    <w:rsid w:val="00020E68"/>
    <w:rsid w:val="000445F5"/>
    <w:rsid w:val="00051BB3"/>
    <w:rsid w:val="00051F3A"/>
    <w:rsid w:val="000540F9"/>
    <w:rsid w:val="000609A6"/>
    <w:rsid w:val="0006264A"/>
    <w:rsid w:val="000659DA"/>
    <w:rsid w:val="000750B7"/>
    <w:rsid w:val="00084D7C"/>
    <w:rsid w:val="00090104"/>
    <w:rsid w:val="000909C4"/>
    <w:rsid w:val="00091C34"/>
    <w:rsid w:val="00096E1B"/>
    <w:rsid w:val="000A073C"/>
    <w:rsid w:val="000A5C30"/>
    <w:rsid w:val="000B404E"/>
    <w:rsid w:val="000B6AE0"/>
    <w:rsid w:val="000D6620"/>
    <w:rsid w:val="000D6689"/>
    <w:rsid w:val="000E2855"/>
    <w:rsid w:val="000E6FA3"/>
    <w:rsid w:val="000F30A6"/>
    <w:rsid w:val="000F3553"/>
    <w:rsid w:val="000F4C41"/>
    <w:rsid w:val="000F6DE4"/>
    <w:rsid w:val="00114810"/>
    <w:rsid w:val="00115D5F"/>
    <w:rsid w:val="00122FB5"/>
    <w:rsid w:val="001254EF"/>
    <w:rsid w:val="0012689E"/>
    <w:rsid w:val="00137990"/>
    <w:rsid w:val="00142318"/>
    <w:rsid w:val="0015205C"/>
    <w:rsid w:val="0016206C"/>
    <w:rsid w:val="00180413"/>
    <w:rsid w:val="00192335"/>
    <w:rsid w:val="00194D19"/>
    <w:rsid w:val="00196850"/>
    <w:rsid w:val="001A39BE"/>
    <w:rsid w:val="001B2871"/>
    <w:rsid w:val="001D14F8"/>
    <w:rsid w:val="001D5FF7"/>
    <w:rsid w:val="001E1A22"/>
    <w:rsid w:val="001E3979"/>
    <w:rsid w:val="002000A3"/>
    <w:rsid w:val="002010B3"/>
    <w:rsid w:val="002040C6"/>
    <w:rsid w:val="002136EB"/>
    <w:rsid w:val="002153AB"/>
    <w:rsid w:val="00215DA7"/>
    <w:rsid w:val="002231B0"/>
    <w:rsid w:val="002262B1"/>
    <w:rsid w:val="00231F1F"/>
    <w:rsid w:val="0023469A"/>
    <w:rsid w:val="002368BE"/>
    <w:rsid w:val="0024567F"/>
    <w:rsid w:val="00246E3C"/>
    <w:rsid w:val="002563D5"/>
    <w:rsid w:val="0026042C"/>
    <w:rsid w:val="0027019D"/>
    <w:rsid w:val="00275DDF"/>
    <w:rsid w:val="002A3720"/>
    <w:rsid w:val="002A4076"/>
    <w:rsid w:val="002A5D82"/>
    <w:rsid w:val="002B330B"/>
    <w:rsid w:val="002B35AB"/>
    <w:rsid w:val="002B44B7"/>
    <w:rsid w:val="002B7E4B"/>
    <w:rsid w:val="002C14F2"/>
    <w:rsid w:val="002C4E86"/>
    <w:rsid w:val="002C5B54"/>
    <w:rsid w:val="002C6DCD"/>
    <w:rsid w:val="002D0BEA"/>
    <w:rsid w:val="002E78FA"/>
    <w:rsid w:val="002F61AC"/>
    <w:rsid w:val="00312527"/>
    <w:rsid w:val="00312E9B"/>
    <w:rsid w:val="00316243"/>
    <w:rsid w:val="00332835"/>
    <w:rsid w:val="00362B92"/>
    <w:rsid w:val="00363C85"/>
    <w:rsid w:val="00370761"/>
    <w:rsid w:val="00370C01"/>
    <w:rsid w:val="003820B3"/>
    <w:rsid w:val="0038275E"/>
    <w:rsid w:val="00391777"/>
    <w:rsid w:val="003B4ADE"/>
    <w:rsid w:val="003C4157"/>
    <w:rsid w:val="003D4AE9"/>
    <w:rsid w:val="003E09E0"/>
    <w:rsid w:val="003E360A"/>
    <w:rsid w:val="003F1B8B"/>
    <w:rsid w:val="003F2972"/>
    <w:rsid w:val="003F2CC8"/>
    <w:rsid w:val="0040039C"/>
    <w:rsid w:val="00412DDB"/>
    <w:rsid w:val="0043226E"/>
    <w:rsid w:val="00434A00"/>
    <w:rsid w:val="00435006"/>
    <w:rsid w:val="00441205"/>
    <w:rsid w:val="00443984"/>
    <w:rsid w:val="004452F0"/>
    <w:rsid w:val="004468C8"/>
    <w:rsid w:val="00447637"/>
    <w:rsid w:val="0045387E"/>
    <w:rsid w:val="00454A2D"/>
    <w:rsid w:val="0045789A"/>
    <w:rsid w:val="00465FF2"/>
    <w:rsid w:val="00466027"/>
    <w:rsid w:val="004674F5"/>
    <w:rsid w:val="004707B7"/>
    <w:rsid w:val="004802E3"/>
    <w:rsid w:val="004822DD"/>
    <w:rsid w:val="004906D7"/>
    <w:rsid w:val="00490B45"/>
    <w:rsid w:val="00494B84"/>
    <w:rsid w:val="00496485"/>
    <w:rsid w:val="004A5B9D"/>
    <w:rsid w:val="004B00A8"/>
    <w:rsid w:val="004B0A59"/>
    <w:rsid w:val="004E4257"/>
    <w:rsid w:val="004E79C7"/>
    <w:rsid w:val="005005A6"/>
    <w:rsid w:val="005076F0"/>
    <w:rsid w:val="00514272"/>
    <w:rsid w:val="0052310E"/>
    <w:rsid w:val="00527034"/>
    <w:rsid w:val="00535996"/>
    <w:rsid w:val="00536F87"/>
    <w:rsid w:val="00537E8B"/>
    <w:rsid w:val="00550DBA"/>
    <w:rsid w:val="005615B5"/>
    <w:rsid w:val="005713B5"/>
    <w:rsid w:val="00572457"/>
    <w:rsid w:val="0059070D"/>
    <w:rsid w:val="005C5EC2"/>
    <w:rsid w:val="005E59F8"/>
    <w:rsid w:val="005E76FC"/>
    <w:rsid w:val="005F27A0"/>
    <w:rsid w:val="005F7490"/>
    <w:rsid w:val="00600A40"/>
    <w:rsid w:val="00620876"/>
    <w:rsid w:val="00620AF9"/>
    <w:rsid w:val="00626BDC"/>
    <w:rsid w:val="00627BA5"/>
    <w:rsid w:val="0063352A"/>
    <w:rsid w:val="00633D65"/>
    <w:rsid w:val="00665806"/>
    <w:rsid w:val="00682427"/>
    <w:rsid w:val="006951B3"/>
    <w:rsid w:val="006A41FD"/>
    <w:rsid w:val="006B5F08"/>
    <w:rsid w:val="006D0F52"/>
    <w:rsid w:val="006D5BAE"/>
    <w:rsid w:val="006F379A"/>
    <w:rsid w:val="006F4894"/>
    <w:rsid w:val="006F718E"/>
    <w:rsid w:val="00712B15"/>
    <w:rsid w:val="00720FF6"/>
    <w:rsid w:val="00724236"/>
    <w:rsid w:val="00742A9B"/>
    <w:rsid w:val="00746AD1"/>
    <w:rsid w:val="00772556"/>
    <w:rsid w:val="00773389"/>
    <w:rsid w:val="0077774F"/>
    <w:rsid w:val="0078026E"/>
    <w:rsid w:val="007871A7"/>
    <w:rsid w:val="007906B1"/>
    <w:rsid w:val="00791249"/>
    <w:rsid w:val="00795F8A"/>
    <w:rsid w:val="00797166"/>
    <w:rsid w:val="007A14E7"/>
    <w:rsid w:val="007A66C0"/>
    <w:rsid w:val="007B1B26"/>
    <w:rsid w:val="007B715F"/>
    <w:rsid w:val="007B748C"/>
    <w:rsid w:val="007C7FF6"/>
    <w:rsid w:val="007D56B2"/>
    <w:rsid w:val="007E3AE0"/>
    <w:rsid w:val="007F0825"/>
    <w:rsid w:val="007F7FA1"/>
    <w:rsid w:val="008006A4"/>
    <w:rsid w:val="0080565C"/>
    <w:rsid w:val="0082231F"/>
    <w:rsid w:val="0083336E"/>
    <w:rsid w:val="00834057"/>
    <w:rsid w:val="00843E1A"/>
    <w:rsid w:val="00847B9A"/>
    <w:rsid w:val="0085312C"/>
    <w:rsid w:val="00857812"/>
    <w:rsid w:val="008661CD"/>
    <w:rsid w:val="008669A6"/>
    <w:rsid w:val="0087135F"/>
    <w:rsid w:val="00883879"/>
    <w:rsid w:val="00894113"/>
    <w:rsid w:val="008A084A"/>
    <w:rsid w:val="008A1C72"/>
    <w:rsid w:val="008A42FF"/>
    <w:rsid w:val="008B58A7"/>
    <w:rsid w:val="008C5EB7"/>
    <w:rsid w:val="008D2B47"/>
    <w:rsid w:val="008D37A1"/>
    <w:rsid w:val="008D432F"/>
    <w:rsid w:val="008E31F8"/>
    <w:rsid w:val="008E5985"/>
    <w:rsid w:val="008E5CB1"/>
    <w:rsid w:val="008F46C5"/>
    <w:rsid w:val="00902B56"/>
    <w:rsid w:val="009048DD"/>
    <w:rsid w:val="00906C09"/>
    <w:rsid w:val="00913990"/>
    <w:rsid w:val="0091424E"/>
    <w:rsid w:val="00915D52"/>
    <w:rsid w:val="00922D8A"/>
    <w:rsid w:val="00927012"/>
    <w:rsid w:val="0095414C"/>
    <w:rsid w:val="00966BED"/>
    <w:rsid w:val="00980C0D"/>
    <w:rsid w:val="00990D07"/>
    <w:rsid w:val="00992BEC"/>
    <w:rsid w:val="009C0DB0"/>
    <w:rsid w:val="009C2836"/>
    <w:rsid w:val="009C690B"/>
    <w:rsid w:val="009C76D5"/>
    <w:rsid w:val="009D476A"/>
    <w:rsid w:val="009F2518"/>
    <w:rsid w:val="009F4E08"/>
    <w:rsid w:val="00A065F2"/>
    <w:rsid w:val="00A1255B"/>
    <w:rsid w:val="00A14D63"/>
    <w:rsid w:val="00A21353"/>
    <w:rsid w:val="00A27C36"/>
    <w:rsid w:val="00A27FE7"/>
    <w:rsid w:val="00A4029E"/>
    <w:rsid w:val="00A466D9"/>
    <w:rsid w:val="00A46785"/>
    <w:rsid w:val="00A5578D"/>
    <w:rsid w:val="00A632DA"/>
    <w:rsid w:val="00A6367E"/>
    <w:rsid w:val="00A73F7D"/>
    <w:rsid w:val="00A90235"/>
    <w:rsid w:val="00AA08CA"/>
    <w:rsid w:val="00AA471E"/>
    <w:rsid w:val="00AA518E"/>
    <w:rsid w:val="00AB6F54"/>
    <w:rsid w:val="00AB7FAE"/>
    <w:rsid w:val="00AC04DF"/>
    <w:rsid w:val="00AC48F2"/>
    <w:rsid w:val="00AD66A8"/>
    <w:rsid w:val="00AE434E"/>
    <w:rsid w:val="00AE79A1"/>
    <w:rsid w:val="00AF0084"/>
    <w:rsid w:val="00B118B5"/>
    <w:rsid w:val="00B175E6"/>
    <w:rsid w:val="00B2116A"/>
    <w:rsid w:val="00B2597E"/>
    <w:rsid w:val="00B25D18"/>
    <w:rsid w:val="00B3511F"/>
    <w:rsid w:val="00B357BA"/>
    <w:rsid w:val="00B552BC"/>
    <w:rsid w:val="00B55B36"/>
    <w:rsid w:val="00B61765"/>
    <w:rsid w:val="00B70391"/>
    <w:rsid w:val="00B833F4"/>
    <w:rsid w:val="00B850DA"/>
    <w:rsid w:val="00B90A3E"/>
    <w:rsid w:val="00BC289B"/>
    <w:rsid w:val="00BF2DF6"/>
    <w:rsid w:val="00BF77A7"/>
    <w:rsid w:val="00BF7F89"/>
    <w:rsid w:val="00C04047"/>
    <w:rsid w:val="00C17EB3"/>
    <w:rsid w:val="00C273DA"/>
    <w:rsid w:val="00C414FF"/>
    <w:rsid w:val="00C45D46"/>
    <w:rsid w:val="00C5051E"/>
    <w:rsid w:val="00C54742"/>
    <w:rsid w:val="00C6070D"/>
    <w:rsid w:val="00C77D95"/>
    <w:rsid w:val="00C8379A"/>
    <w:rsid w:val="00C914AC"/>
    <w:rsid w:val="00C964E0"/>
    <w:rsid w:val="00CA3D57"/>
    <w:rsid w:val="00CB2F82"/>
    <w:rsid w:val="00CB4DA3"/>
    <w:rsid w:val="00CB4E02"/>
    <w:rsid w:val="00CC0E1B"/>
    <w:rsid w:val="00CC5332"/>
    <w:rsid w:val="00CC66B2"/>
    <w:rsid w:val="00CD0ED2"/>
    <w:rsid w:val="00CD3F19"/>
    <w:rsid w:val="00CD750B"/>
    <w:rsid w:val="00CF24B8"/>
    <w:rsid w:val="00CF62BF"/>
    <w:rsid w:val="00CF729E"/>
    <w:rsid w:val="00D000FD"/>
    <w:rsid w:val="00D17021"/>
    <w:rsid w:val="00D178B3"/>
    <w:rsid w:val="00D25608"/>
    <w:rsid w:val="00D2748B"/>
    <w:rsid w:val="00D3069A"/>
    <w:rsid w:val="00D36315"/>
    <w:rsid w:val="00D47584"/>
    <w:rsid w:val="00D554D4"/>
    <w:rsid w:val="00D6299C"/>
    <w:rsid w:val="00D6429C"/>
    <w:rsid w:val="00D645DE"/>
    <w:rsid w:val="00D703A6"/>
    <w:rsid w:val="00D75713"/>
    <w:rsid w:val="00D91355"/>
    <w:rsid w:val="00D9714F"/>
    <w:rsid w:val="00D9725E"/>
    <w:rsid w:val="00DA046F"/>
    <w:rsid w:val="00DA19AC"/>
    <w:rsid w:val="00DB5559"/>
    <w:rsid w:val="00DB69D3"/>
    <w:rsid w:val="00DE18D8"/>
    <w:rsid w:val="00DE2F83"/>
    <w:rsid w:val="00DF078A"/>
    <w:rsid w:val="00E05E57"/>
    <w:rsid w:val="00E1331F"/>
    <w:rsid w:val="00E15B5F"/>
    <w:rsid w:val="00E25089"/>
    <w:rsid w:val="00E32E7D"/>
    <w:rsid w:val="00E365F2"/>
    <w:rsid w:val="00E37A43"/>
    <w:rsid w:val="00E406EB"/>
    <w:rsid w:val="00E51F9D"/>
    <w:rsid w:val="00E54916"/>
    <w:rsid w:val="00E61606"/>
    <w:rsid w:val="00E62286"/>
    <w:rsid w:val="00E657AC"/>
    <w:rsid w:val="00E67F20"/>
    <w:rsid w:val="00E8291B"/>
    <w:rsid w:val="00E84CBB"/>
    <w:rsid w:val="00EB433C"/>
    <w:rsid w:val="00EC00FB"/>
    <w:rsid w:val="00EC2440"/>
    <w:rsid w:val="00EC5180"/>
    <w:rsid w:val="00EC7E28"/>
    <w:rsid w:val="00ED5971"/>
    <w:rsid w:val="00EF7E49"/>
    <w:rsid w:val="00F1355C"/>
    <w:rsid w:val="00F32848"/>
    <w:rsid w:val="00F42392"/>
    <w:rsid w:val="00F428FD"/>
    <w:rsid w:val="00F43431"/>
    <w:rsid w:val="00F54DCD"/>
    <w:rsid w:val="00F80C52"/>
    <w:rsid w:val="00F83F1A"/>
    <w:rsid w:val="00F93DE1"/>
    <w:rsid w:val="00F97F7F"/>
    <w:rsid w:val="00FA064A"/>
    <w:rsid w:val="00FB485E"/>
    <w:rsid w:val="00FB6EA8"/>
    <w:rsid w:val="00FC67A5"/>
    <w:rsid w:val="00FD17EA"/>
    <w:rsid w:val="00FD1D97"/>
    <w:rsid w:val="00FD26B3"/>
    <w:rsid w:val="00FD574D"/>
    <w:rsid w:val="00FE27B3"/>
    <w:rsid w:val="00FE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ECD9F36"/>
  <w15:chartTrackingRefBased/>
  <w15:docId w15:val="{B16174BB-2298-4E30-A0EB-0FB260E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61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661C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922D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qFormat/>
    <w:rsid w:val="008661CD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8661CD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qFormat/>
    <w:rsid w:val="008661CD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qFormat/>
    <w:rsid w:val="008661CD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qFormat/>
    <w:rsid w:val="008661CD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22D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922D8A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Antrat3Diagrama">
    <w:name w:val="Antraštė 3 Diagrama"/>
    <w:basedOn w:val="Numatytasispastraiposriftas"/>
    <w:link w:val="Antrat3"/>
    <w:rsid w:val="00922D8A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922D8A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Antrat5Diagrama">
    <w:name w:val="Antraštė 5 Diagrama"/>
    <w:basedOn w:val="Numatytasispastraiposriftas"/>
    <w:link w:val="Antrat5"/>
    <w:rsid w:val="00922D8A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Antrat6Diagrama">
    <w:name w:val="Antraštė 6 Diagrama"/>
    <w:basedOn w:val="Numatytasispastraiposriftas"/>
    <w:link w:val="Antrat6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7Diagrama">
    <w:name w:val="Antraštė 7 Diagrama"/>
    <w:basedOn w:val="Numatytasispastraiposriftas"/>
    <w:link w:val="Antrat7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Antrat8Diagrama">
    <w:name w:val="Antraštė 8 Diagrama"/>
    <w:basedOn w:val="Numatytasispastraiposriftas"/>
    <w:link w:val="Antrat8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Antrat9Diagrama">
    <w:name w:val="Antraštė 9 Diagrama"/>
    <w:basedOn w:val="Numatytasispastraiposriftas"/>
    <w:link w:val="Antrat9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Porat">
    <w:name w:val="footer"/>
    <w:basedOn w:val="prastasis"/>
    <w:link w:val="PoratDiagrama"/>
    <w:rsid w:val="008661C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PoratDiagrama">
    <w:name w:val="Poraštė Diagrama"/>
    <w:basedOn w:val="Numatytasispastraiposriftas"/>
    <w:link w:val="Porat"/>
    <w:rsid w:val="00922D8A"/>
    <w:rPr>
      <w:rFonts w:ascii="Helvetica" w:eastAsia="Times New Roman" w:hAnsi="Helvetica" w:cs="Times New Roman"/>
      <w:sz w:val="16"/>
      <w:szCs w:val="20"/>
      <w:lang w:val="cs-CZ"/>
    </w:rPr>
  </w:style>
  <w:style w:type="character" w:styleId="Puslapionumeris">
    <w:name w:val="page number"/>
    <w:basedOn w:val="Numatytasispastraiposriftas"/>
    <w:rsid w:val="00922D8A"/>
  </w:style>
  <w:style w:type="paragraph" w:styleId="Antrats">
    <w:name w:val="header"/>
    <w:basedOn w:val="prastasis"/>
    <w:link w:val="AntratsDiagrama"/>
    <w:rsid w:val="008661CD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AntratsDiagrama">
    <w:name w:val="Antraštės Diagrama"/>
    <w:basedOn w:val="Numatytasispastraiposriftas"/>
    <w:link w:val="Antrats"/>
    <w:rsid w:val="00922D8A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prastasis"/>
    <w:rsid w:val="008661CD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rsid w:val="00E32E7D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E32E7D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32E7D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E32E7D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32E7D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rsid w:val="008661CD"/>
    <w:pPr>
      <w:numPr>
        <w:ilvl w:val="12"/>
      </w:numPr>
      <w:ind w:right="-2"/>
    </w:pPr>
    <w:rPr>
      <w:b/>
      <w:bCs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22D8A"/>
    <w:rPr>
      <w:rFonts w:ascii="Times New Roman" w:eastAsia="Times New Roman" w:hAnsi="Times New Roman" w:cs="Times New Roman"/>
      <w:b/>
      <w:bCs/>
      <w:szCs w:val="20"/>
    </w:rPr>
  </w:style>
  <w:style w:type="paragraph" w:styleId="Pagrindinistekstas">
    <w:name w:val="Body Text"/>
    <w:basedOn w:val="prastasis"/>
    <w:link w:val="PagrindinistekstasDiagrama"/>
    <w:rsid w:val="008661CD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2D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ipersaitas">
    <w:name w:val="Hyperlink"/>
    <w:uiPriority w:val="99"/>
    <w:rsid w:val="00922D8A"/>
    <w:rPr>
      <w:color w:val="0000FF"/>
      <w:u w:val="single"/>
    </w:rPr>
  </w:style>
  <w:style w:type="character" w:styleId="Grietas">
    <w:name w:val="Strong"/>
    <w:qFormat/>
    <w:rsid w:val="00922D8A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8661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22D8A"/>
    <w:rPr>
      <w:rFonts w:ascii="Tahoma" w:eastAsia="Times New Roman" w:hAnsi="Tahoma" w:cs="Tahoma"/>
      <w:sz w:val="16"/>
      <w:szCs w:val="16"/>
    </w:rPr>
  </w:style>
  <w:style w:type="character" w:styleId="Perirtashipersaitas">
    <w:name w:val="FollowedHyperlink"/>
    <w:rsid w:val="00922D8A"/>
    <w:rPr>
      <w:color w:val="800080"/>
      <w:u w:val="single"/>
    </w:rPr>
  </w:style>
  <w:style w:type="paragraph" w:customStyle="1" w:styleId="Postspace">
    <w:name w:val="Postspace"/>
    <w:basedOn w:val="prastasis"/>
    <w:autoRedefine/>
    <w:rsid w:val="008661CD"/>
    <w:rPr>
      <w:sz w:val="24"/>
      <w:szCs w:val="20"/>
      <w:lang w:val="en-GB"/>
    </w:rPr>
  </w:style>
  <w:style w:type="paragraph" w:customStyle="1" w:styleId="TableCell">
    <w:name w:val="TableCell"/>
    <w:basedOn w:val="prastasis"/>
    <w:rsid w:val="008661CD"/>
    <w:rPr>
      <w:sz w:val="24"/>
      <w:szCs w:val="20"/>
      <w:lang w:val="en-GB"/>
    </w:rPr>
  </w:style>
  <w:style w:type="paragraph" w:customStyle="1" w:styleId="anchor">
    <w:name w:val="anchor"/>
    <w:basedOn w:val="prastasis"/>
    <w:autoRedefine/>
    <w:rsid w:val="008661CD"/>
    <w:rPr>
      <w:sz w:val="24"/>
      <w:szCs w:val="20"/>
      <w:lang w:val="en-GB"/>
    </w:rPr>
  </w:style>
  <w:style w:type="paragraph" w:customStyle="1" w:styleId="NoNumHead2">
    <w:name w:val="NoNum:Head2"/>
    <w:basedOn w:val="prastasis"/>
    <w:next w:val="prastasis"/>
    <w:autoRedefine/>
    <w:rsid w:val="00A6367E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prastasis"/>
    <w:next w:val="prastasis"/>
    <w:rsid w:val="008661CD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styleId="prastasiniatinklio">
    <w:name w:val="Normal (Web)"/>
    <w:basedOn w:val="prastasis"/>
    <w:rsid w:val="008661CD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Bullet">
    <w:name w:val="Bullet"/>
    <w:basedOn w:val="prastasis"/>
    <w:rsid w:val="00E32E7D"/>
    <w:pPr>
      <w:numPr>
        <w:numId w:val="17"/>
      </w:numPr>
      <w:spacing w:before="120"/>
    </w:pPr>
    <w:rPr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8661C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22D8A"/>
    <w:rPr>
      <w:rFonts w:ascii="Times New Roman" w:eastAsia="Times New Roman" w:hAnsi="Times New Roman" w:cs="Times New Roman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8661C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2D8A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922D8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CharChar1CharCharCharCharCharChar1CharCharCharCharCharChar">
    <w:name w:val="Char Char1 Char Char Char Char Char Char1 Char Char Char Char Char Char"/>
    <w:basedOn w:val="prastasis"/>
    <w:rsid w:val="008661C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Header1">
    <w:name w:val="Header1"/>
    <w:rsid w:val="00922D8A"/>
    <w:pPr>
      <w:suppressAutoHyphens/>
      <w:spacing w:after="0" w:line="260" w:lineRule="exact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customStyle="1" w:styleId="Footer1">
    <w:name w:val="Footer1"/>
    <w:rsid w:val="00922D8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PuslapioinaostekstasDiagrama">
    <w:name w:val="Puslapio išnašos tekstas Diagrama"/>
    <w:link w:val="Puslapioinaostekstas"/>
    <w:rsid w:val="00922D8A"/>
    <w:rPr>
      <w:lang w:val="en-GB"/>
    </w:rPr>
  </w:style>
  <w:style w:type="paragraph" w:styleId="Puslapioinaostekstas">
    <w:name w:val="footnote text"/>
    <w:basedOn w:val="prastasis"/>
    <w:link w:val="PuslapioinaostekstasDiagrama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FootnoteTextChar1">
    <w:name w:val="Footnote Text Char1"/>
    <w:basedOn w:val="Numatytasispastraiposriftas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922D8A"/>
    <w:rPr>
      <w:vertAlign w:val="superscript"/>
    </w:rPr>
  </w:style>
  <w:style w:type="character" w:styleId="Komentaronuoroda">
    <w:name w:val="annotation reference"/>
    <w:rsid w:val="00922D8A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922D8A"/>
    <w:rPr>
      <w:lang w:val="en-GB"/>
    </w:rPr>
  </w:style>
  <w:style w:type="paragraph" w:styleId="Komentarotekstas">
    <w:name w:val="annotation text"/>
    <w:basedOn w:val="prastasis"/>
    <w:link w:val="KomentarotekstasDiagrama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CommentTextChar1">
    <w:name w:val="Comment Text Char1"/>
    <w:basedOn w:val="Numatytasispastraiposriftas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link w:val="Komentarotema"/>
    <w:rsid w:val="00922D8A"/>
    <w:rPr>
      <w:b/>
      <w:bC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922D8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22D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922D8A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D8A"/>
    <w:rPr>
      <w:rFonts w:ascii="Verdana" w:eastAsia="Verdana" w:hAnsi="Verdana" w:cs="Times New Roman"/>
      <w:sz w:val="18"/>
      <w:szCs w:val="18"/>
      <w:lang w:val="en-GB" w:eastAsia="en-GB"/>
    </w:rPr>
  </w:style>
  <w:style w:type="paragraph" w:customStyle="1" w:styleId="No-numheading1Agency">
    <w:name w:val="No-num heading 1 (Agency)"/>
    <w:basedOn w:val="prastasis"/>
    <w:next w:val="BodytextAgency"/>
    <w:link w:val="No-numheading1AgencyChar"/>
    <w:rsid w:val="008661CD"/>
    <w:pPr>
      <w:keepNext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922D8A"/>
    <w:rPr>
      <w:rFonts w:ascii="Verdana" w:eastAsia="Verdana" w:hAnsi="Verdana" w:cs="Times New Roman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prastasis"/>
    <w:next w:val="BodytextAgency"/>
    <w:link w:val="No-numheading2AgencyChar"/>
    <w:rsid w:val="008661CD"/>
    <w:pPr>
      <w:keepNext/>
      <w:spacing w:before="280" w:after="220"/>
      <w:outlineLvl w:val="1"/>
    </w:pPr>
    <w:rPr>
      <w:rFonts w:ascii="Verdana" w:eastAsia="Verdana" w:hAnsi="Verdana"/>
      <w:b/>
      <w:bCs/>
      <w:i/>
      <w:kern w:val="32"/>
      <w:sz w:val="20"/>
      <w:szCs w:val="20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922D8A"/>
    <w:rPr>
      <w:rFonts w:ascii="Verdana" w:eastAsia="Verdana" w:hAnsi="Verdana" w:cs="Times New Roman"/>
      <w:b/>
      <w:bCs/>
      <w:i/>
      <w:kern w:val="32"/>
      <w:sz w:val="20"/>
      <w:szCs w:val="20"/>
      <w:lang w:val="en-GB" w:eastAsia="en-GB"/>
    </w:rPr>
  </w:style>
  <w:style w:type="character" w:customStyle="1" w:styleId="LaikoantratDiagrama">
    <w:name w:val="Laiško antraštė Diagrama"/>
    <w:link w:val="Laikoantrat"/>
    <w:rsid w:val="00922D8A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Laikoantrat">
    <w:name w:val="Message Header"/>
    <w:basedOn w:val="prastasis"/>
    <w:link w:val="LaikoantratDiagrama"/>
    <w:rsid w:val="008661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eastAsiaTheme="minorHAnsi" w:hAnsi="Arial" w:cs="Arial"/>
      <w:sz w:val="24"/>
      <w:lang w:val="en-GB"/>
    </w:rPr>
  </w:style>
  <w:style w:type="character" w:customStyle="1" w:styleId="MessageHeaderChar1">
    <w:name w:val="Message Header Char1"/>
    <w:basedOn w:val="Numatytasispastraiposriftas"/>
    <w:uiPriority w:val="99"/>
    <w:semiHidden/>
    <w:rsid w:val="00922D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avadinimas">
    <w:name w:val="Title"/>
    <w:basedOn w:val="prastasis"/>
    <w:link w:val="PavadinimasDiagrama"/>
    <w:autoRedefine/>
    <w:qFormat/>
    <w:rsid w:val="008661CD"/>
    <w:pPr>
      <w:jc w:val="center"/>
      <w:outlineLvl w:val="0"/>
    </w:pPr>
    <w:rPr>
      <w:b/>
      <w:kern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922D8A"/>
    <w:rPr>
      <w:rFonts w:ascii="Times New Roman" w:eastAsia="Times New Roman" w:hAnsi="Times New Roman" w:cs="Times New Roman"/>
      <w:b/>
      <w:kern w:val="28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8661CD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22D8A"/>
    <w:rPr>
      <w:rFonts w:ascii="Courier New" w:eastAsia="SimSun" w:hAnsi="Courier New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8661CD"/>
    <w:pPr>
      <w:ind w:left="720"/>
      <w:contextualSpacing/>
    </w:pPr>
  </w:style>
  <w:style w:type="paragraph" w:styleId="Pataisymai">
    <w:name w:val="Revision"/>
    <w:hidden/>
    <w:uiPriority w:val="99"/>
    <w:semiHidden/>
    <w:rsid w:val="00922D8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7A66C0"/>
  </w:style>
  <w:style w:type="character" w:styleId="Neapdorotaspaminjimas">
    <w:name w:val="Unresolved Mention"/>
    <w:basedOn w:val="Numatytasispastraiposriftas"/>
    <w:uiPriority w:val="99"/>
    <w:semiHidden/>
    <w:unhideWhenUsed/>
    <w:rsid w:val="00465FF2"/>
    <w:rPr>
      <w:color w:val="605E5C"/>
      <w:shd w:val="clear" w:color="auto" w:fill="E1DFDD"/>
    </w:rPr>
  </w:style>
  <w:style w:type="paragraph" w:customStyle="1" w:styleId="BTEMEASMCA">
    <w:name w:val="BT EMEA_SMCA"/>
    <w:basedOn w:val="prastasis"/>
    <w:link w:val="BTEMEASMCAChar"/>
    <w:autoRedefine/>
    <w:rsid w:val="000E6FA3"/>
    <w:rPr>
      <w:noProof/>
      <w:szCs w:val="22"/>
    </w:rPr>
  </w:style>
  <w:style w:type="character" w:customStyle="1" w:styleId="BTEMEASMCAChar">
    <w:name w:val="BT EMEA_SMCA Char"/>
    <w:link w:val="BTEMEASMCA"/>
    <w:rsid w:val="000E6FA3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vkt.lrv.lt/lt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hyperlink" Target="https://vvkt.lrv.lt/lt/" TargetMode="External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8A6CA99A0FF49BE0B4CB2C974994A" ma:contentTypeVersion="8" ma:contentTypeDescription="Create a new document." ma:contentTypeScope="" ma:versionID="eefd6eae8180512a16e3a51bd0363ba6">
  <xsd:schema xmlns:xsd="http://www.w3.org/2001/XMLSchema" xmlns:xs="http://www.w3.org/2001/XMLSchema" xmlns:p="http://schemas.microsoft.com/office/2006/metadata/properties" xmlns:ns2="449db409-c7e6-43d3-9946-3b5582bfc64d" targetNamespace="http://schemas.microsoft.com/office/2006/metadata/properties" ma:root="true" ma:fieldsID="7c59be55bf8a4f8b6e1719c1ca4a6aee" ns2:_="">
    <xsd:import namespace="449db409-c7e6-43d3-9946-3b5582bfc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409-c7e6-43d3-9946-3b5582bfc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E55FB-BFAF-476A-B154-568187274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E9C96-6ABC-4C51-A2DD-BF1C9036BB99}">
  <ds:schemaRefs>
    <ds:schemaRef ds:uri="http://schemas.openxmlformats.org/package/2006/metadata/core-properties"/>
    <ds:schemaRef ds:uri="http://purl.org/dc/terms/"/>
    <ds:schemaRef ds:uri="449db409-c7e6-43d3-9946-3b5582bfc64d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EC4B5C-90A2-4FD5-97A3-8924B6785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409-c7e6-43d3-9946-3b5582bf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2225</Words>
  <Characters>15423</Characters>
  <Application>Microsoft Office Word</Application>
  <DocSecurity>0</DocSecurity>
  <Lines>128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Cizaite</dc:creator>
  <cp:keywords/>
  <dc:description/>
  <cp:lastModifiedBy>Gintarė Balčiūnaitytė</cp:lastModifiedBy>
  <cp:revision>35</cp:revision>
  <dcterms:created xsi:type="dcterms:W3CDTF">2024-04-29T06:12:00Z</dcterms:created>
  <dcterms:modified xsi:type="dcterms:W3CDTF">2025-12-23T08:38:00Z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0x0101000858A6CA99A0FF49BE0B4CB2C974994A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2022-09-01T13:28:04Z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9490dcba-704a-43c5-b743-164ebf9ab20b</vt:lpwstr>
  </property>
  <property fmtid="{D5CDD505-2E9C-101B-9397-08002B2CF9AE}" pid="9" name="MSIP_Label_3c9bec58-8084-492e-8360-0e1cfe36408c_ContentBits">
    <vt:lpwstr>0</vt:lpwstr>
  </property>
  <property fmtid="{D5CDD505-2E9C-101B-9397-08002B2CF9AE}" pid="10" name="GrammarlyDocumentId">
    <vt:lpwstr>8c3f343d-d69f-40b9-b9ef-23dece890a6b</vt:lpwstr>
  </property>
</Properties>
</file>