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9CF7"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084A645"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BEB6654"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0C1865F"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B4CCD0B"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C62F35E"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B1F24DA"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4D5B8E1"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62268FB"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1222578"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60466F3"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1EE69DF"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2605193"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4264BC5"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C359676"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EDA1B2A"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050DC1E"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9195E24"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D3D4C7D"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3AC4734" w14:textId="77777777" w:rsidR="00673927" w:rsidRPr="00673927" w:rsidRDefault="00673927" w:rsidP="00673927">
      <w:pPr>
        <w:tabs>
          <w:tab w:val="left" w:pos="567"/>
        </w:tabs>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673927">
        <w:rPr>
          <w:rFonts w:ascii="Times New Roman" w:eastAsia="Times New Roman" w:hAnsi="Times New Roman" w:cs="Times New Roman"/>
          <w:b/>
          <w:kern w:val="28"/>
          <w:sz w:val="22"/>
          <w:szCs w:val="22"/>
          <w:lang w:eastAsia="lt-LT"/>
          <w14:ligatures w14:val="none"/>
        </w:rPr>
        <w:t>B. PAKUOTĖS LAPELIS</w:t>
      </w:r>
    </w:p>
    <w:p w14:paraId="73347007" w14:textId="77777777" w:rsidR="00673927" w:rsidRPr="00673927" w:rsidRDefault="00673927" w:rsidP="00673927">
      <w:pPr>
        <w:tabs>
          <w:tab w:val="left" w:pos="567"/>
        </w:tabs>
        <w:spacing w:after="0" w:line="240" w:lineRule="auto"/>
        <w:jc w:val="center"/>
        <w:rPr>
          <w:rFonts w:ascii="Times New Roman" w:eastAsia="Times New Roman" w:hAnsi="Times New Roman" w:cs="Times New Roman"/>
          <w:b/>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br w:type="page"/>
      </w:r>
      <w:r w:rsidRPr="00673927">
        <w:rPr>
          <w:rFonts w:ascii="Times New Roman" w:eastAsia="Times New Roman" w:hAnsi="Times New Roman" w:cs="Times New Roman"/>
          <w:b/>
          <w:kern w:val="0"/>
          <w:sz w:val="22"/>
          <w:szCs w:val="22"/>
          <w:lang w:eastAsia="lt-LT"/>
          <w14:ligatures w14:val="none"/>
        </w:rPr>
        <w:lastRenderedPageBreak/>
        <w:t>Pakuotės lapelis: informacija vartotojui</w:t>
      </w:r>
    </w:p>
    <w:p w14:paraId="3DBAAA17" w14:textId="77777777" w:rsidR="00673927" w:rsidRPr="00673927" w:rsidRDefault="00673927" w:rsidP="00673927">
      <w:pPr>
        <w:tabs>
          <w:tab w:val="left" w:pos="567"/>
        </w:tabs>
        <w:spacing w:after="0" w:line="240" w:lineRule="auto"/>
        <w:jc w:val="center"/>
        <w:rPr>
          <w:rFonts w:ascii="Times New Roman" w:eastAsia="Times New Roman" w:hAnsi="Times New Roman" w:cs="Times New Roman"/>
          <w:b/>
          <w:caps/>
          <w:kern w:val="0"/>
          <w:sz w:val="22"/>
          <w:szCs w:val="22"/>
          <w:lang w:eastAsia="lt-LT"/>
          <w14:ligatures w14:val="none"/>
        </w:rPr>
      </w:pPr>
    </w:p>
    <w:p w14:paraId="3D1BFD69" w14:textId="5A7F193D" w:rsidR="00673927" w:rsidRPr="00673927" w:rsidRDefault="00C745B0" w:rsidP="00673927">
      <w:pPr>
        <w:keepNext/>
        <w:tabs>
          <w:tab w:val="left" w:pos="567"/>
        </w:tabs>
        <w:spacing w:after="0" w:line="240" w:lineRule="auto"/>
        <w:jc w:val="center"/>
        <w:outlineLvl w:val="0"/>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Penicilina G sodica Atb</w:t>
      </w:r>
      <w:r w:rsidR="00673927" w:rsidRPr="00673927">
        <w:rPr>
          <w:rFonts w:ascii="Times New Roman" w:eastAsia="Times New Roman" w:hAnsi="Times New Roman" w:cs="Times New Roman"/>
          <w:b/>
          <w:kern w:val="0"/>
          <w:sz w:val="22"/>
          <w:szCs w:val="22"/>
          <w:lang w:eastAsia="lt-LT"/>
          <w14:ligatures w14:val="none"/>
        </w:rPr>
        <w:t xml:space="preserve"> 1 000 000 TV milteliai injekciniam ar infuziniam tirpalui</w:t>
      </w:r>
    </w:p>
    <w:p w14:paraId="75D582CD" w14:textId="77777777" w:rsidR="00673927" w:rsidRPr="00673927" w:rsidRDefault="00673927" w:rsidP="00673927">
      <w:pPr>
        <w:tabs>
          <w:tab w:val="left" w:pos="567"/>
        </w:tabs>
        <w:spacing w:after="0" w:line="240" w:lineRule="auto"/>
        <w:jc w:val="center"/>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benzilpenicilinas</w:t>
      </w:r>
    </w:p>
    <w:p w14:paraId="1B07F4A0"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B40653C" w14:textId="77777777" w:rsidR="00673927" w:rsidRPr="00673927" w:rsidRDefault="00673927" w:rsidP="00673927">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673927">
        <w:rPr>
          <w:rFonts w:ascii="Times New Roman" w:eastAsia="Times New Roman" w:hAnsi="Times New Roman" w:cs="Times New Roman"/>
          <w:b/>
          <w:kern w:val="0"/>
          <w:sz w:val="22"/>
          <w:szCs w:val="22"/>
          <w:lang w:eastAsia="lt-LT"/>
          <w14:ligatures w14:val="none"/>
        </w:rPr>
        <w:t>Atidžiai perskaitykite visą šį lapelį, prieš pradėdami vartoti vaistą, nes jame pateikiama Jums svarbi informacija.</w:t>
      </w:r>
    </w:p>
    <w:p w14:paraId="107870BD" w14:textId="77777777" w:rsidR="00673927" w:rsidRPr="00673927" w:rsidRDefault="00673927" w:rsidP="004C548A">
      <w:pPr>
        <w:numPr>
          <w:ilvl w:val="0"/>
          <w:numId w:val="1"/>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Neišmeskite šio lapelio, nes vėl gali prireikti jį perskaityti.</w:t>
      </w:r>
    </w:p>
    <w:p w14:paraId="7789B023" w14:textId="77777777" w:rsidR="00673927" w:rsidRPr="00673927" w:rsidRDefault="00673927" w:rsidP="004C548A">
      <w:pPr>
        <w:numPr>
          <w:ilvl w:val="0"/>
          <w:numId w:val="1"/>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Jeigu kiltų daugiau klausimų, kreipkitės į gydytoją arba vaistininką.</w:t>
      </w:r>
    </w:p>
    <w:p w14:paraId="783738BB" w14:textId="77777777" w:rsidR="00673927" w:rsidRPr="00673927" w:rsidRDefault="00673927" w:rsidP="004C548A">
      <w:pPr>
        <w:numPr>
          <w:ilvl w:val="0"/>
          <w:numId w:val="1"/>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Šis vaistas skirtas tik Jums, todėl kitiems žmonėms jo duoti negalima. Vaistas gali jiems pakenkti (net tiems, kurių ligos požymiai tokie patys kaip Jūsų).</w:t>
      </w:r>
    </w:p>
    <w:p w14:paraId="79884E3F" w14:textId="77777777" w:rsidR="00673927" w:rsidRPr="00673927" w:rsidRDefault="00673927" w:rsidP="004C548A">
      <w:pPr>
        <w:numPr>
          <w:ilvl w:val="0"/>
          <w:numId w:val="1"/>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Jeigu pasireiškė šalutinis poveikis (net jeigu jis šiame lapelyje nenurodytas), kreipkitės į gydytoją arba vaistininką. Žr. 4 skyrių.</w:t>
      </w:r>
    </w:p>
    <w:p w14:paraId="7D2ED1E0" w14:textId="77777777" w:rsidR="00673927" w:rsidRPr="00673927" w:rsidRDefault="00673927" w:rsidP="00673927">
      <w:pPr>
        <w:tabs>
          <w:tab w:val="left" w:pos="567"/>
        </w:tabs>
        <w:spacing w:after="0" w:line="240" w:lineRule="auto"/>
        <w:rPr>
          <w:rFonts w:ascii="Times New Roman" w:eastAsia="Times New Roman" w:hAnsi="Times New Roman" w:cs="Times New Roman"/>
          <w:b/>
          <w:kern w:val="0"/>
          <w:sz w:val="22"/>
          <w:szCs w:val="22"/>
          <w:lang w:eastAsia="lt-LT"/>
          <w14:ligatures w14:val="none"/>
        </w:rPr>
      </w:pPr>
    </w:p>
    <w:p w14:paraId="08367C7C" w14:textId="77777777" w:rsidR="00673927" w:rsidRPr="00673927" w:rsidRDefault="00673927" w:rsidP="00673927">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673927">
        <w:rPr>
          <w:rFonts w:ascii="Times New Roman" w:eastAsia="Times New Roman" w:hAnsi="Times New Roman" w:cs="Times New Roman"/>
          <w:b/>
          <w:kern w:val="0"/>
          <w:sz w:val="22"/>
          <w:szCs w:val="22"/>
          <w:lang w:eastAsia="lt-LT"/>
          <w14:ligatures w14:val="none"/>
        </w:rPr>
        <w:t>Apie ką rašoma šiame lapelyje?</w:t>
      </w:r>
    </w:p>
    <w:p w14:paraId="2D524923" w14:textId="77777777" w:rsidR="00673927" w:rsidRPr="00673927" w:rsidRDefault="00673927" w:rsidP="00673927">
      <w:pPr>
        <w:tabs>
          <w:tab w:val="left" w:pos="567"/>
        </w:tabs>
        <w:spacing w:after="0" w:line="240" w:lineRule="auto"/>
        <w:rPr>
          <w:rFonts w:ascii="Times New Roman" w:eastAsia="Times New Roman" w:hAnsi="Times New Roman" w:cs="Times New Roman"/>
          <w:b/>
          <w:kern w:val="0"/>
          <w:sz w:val="22"/>
          <w:szCs w:val="22"/>
          <w:lang w:eastAsia="lt-LT"/>
          <w14:ligatures w14:val="none"/>
        </w:rPr>
      </w:pPr>
    </w:p>
    <w:p w14:paraId="48CC7E02" w14:textId="43A3EEA4" w:rsidR="00673927" w:rsidRPr="004C548A" w:rsidRDefault="00673927" w:rsidP="004C548A">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4C548A">
        <w:rPr>
          <w:rFonts w:ascii="Times New Roman" w:eastAsia="Times New Roman" w:hAnsi="Times New Roman" w:cs="Times New Roman"/>
          <w:kern w:val="0"/>
          <w:sz w:val="22"/>
          <w:szCs w:val="22"/>
          <w:lang w:eastAsia="lt-LT"/>
          <w14:ligatures w14:val="none"/>
        </w:rPr>
        <w:t xml:space="preserve">Kas yra </w:t>
      </w:r>
      <w:r w:rsidR="00C745B0">
        <w:rPr>
          <w:rFonts w:ascii="Times New Roman" w:eastAsia="Times New Roman" w:hAnsi="Times New Roman" w:cs="Times New Roman"/>
          <w:kern w:val="0"/>
          <w:sz w:val="22"/>
          <w:szCs w:val="22"/>
          <w:lang w:eastAsia="lt-LT"/>
          <w14:ligatures w14:val="none"/>
        </w:rPr>
        <w:t>Penicilina G sodica Atb</w:t>
      </w:r>
      <w:r w:rsidRPr="004C548A">
        <w:rPr>
          <w:rFonts w:ascii="Times New Roman" w:eastAsia="Times New Roman" w:hAnsi="Times New Roman" w:cs="Times New Roman"/>
          <w:kern w:val="0"/>
          <w:sz w:val="22"/>
          <w:szCs w:val="22"/>
          <w:lang w:eastAsia="lt-LT"/>
          <w14:ligatures w14:val="none"/>
        </w:rPr>
        <w:t xml:space="preserve"> ir kam jis vartojamas</w:t>
      </w:r>
    </w:p>
    <w:p w14:paraId="680AF8B4" w14:textId="3ABF6C80" w:rsidR="00673927" w:rsidRPr="004C548A" w:rsidRDefault="00673927" w:rsidP="004C548A">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4C548A">
        <w:rPr>
          <w:rFonts w:ascii="Times New Roman" w:eastAsia="Times New Roman" w:hAnsi="Times New Roman" w:cs="Times New Roman"/>
          <w:kern w:val="0"/>
          <w:sz w:val="22"/>
          <w:szCs w:val="22"/>
          <w:lang w:eastAsia="lt-LT"/>
          <w14:ligatures w14:val="none"/>
        </w:rPr>
        <w:t xml:space="preserve">Kas žinotina prieš vartojant </w:t>
      </w:r>
      <w:r w:rsidR="00C745B0">
        <w:rPr>
          <w:rFonts w:ascii="Times New Roman" w:eastAsia="Times New Roman" w:hAnsi="Times New Roman" w:cs="Times New Roman"/>
          <w:kern w:val="0"/>
          <w:sz w:val="22"/>
          <w:szCs w:val="22"/>
          <w:lang w:eastAsia="lt-LT"/>
          <w14:ligatures w14:val="none"/>
        </w:rPr>
        <w:t>Penicilina G sodica Atb</w:t>
      </w:r>
    </w:p>
    <w:p w14:paraId="07F3F367" w14:textId="3CCC939A" w:rsidR="00673927" w:rsidRPr="004C548A" w:rsidRDefault="00673927" w:rsidP="004C548A">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4C548A">
        <w:rPr>
          <w:rFonts w:ascii="Times New Roman" w:eastAsia="Times New Roman" w:hAnsi="Times New Roman" w:cs="Times New Roman"/>
          <w:kern w:val="0"/>
          <w:sz w:val="22"/>
          <w:szCs w:val="22"/>
          <w:lang w:eastAsia="lt-LT"/>
          <w14:ligatures w14:val="none"/>
        </w:rPr>
        <w:t xml:space="preserve">Kaip vartoti </w:t>
      </w:r>
      <w:r w:rsidR="00C745B0">
        <w:rPr>
          <w:rFonts w:ascii="Times New Roman" w:eastAsia="Times New Roman" w:hAnsi="Times New Roman" w:cs="Times New Roman"/>
          <w:kern w:val="0"/>
          <w:sz w:val="22"/>
          <w:szCs w:val="22"/>
          <w:lang w:eastAsia="lt-LT"/>
          <w14:ligatures w14:val="none"/>
        </w:rPr>
        <w:t>Penicilina G sodica Atb</w:t>
      </w:r>
    </w:p>
    <w:p w14:paraId="34CD5A03" w14:textId="2411AA2B" w:rsidR="00673927" w:rsidRPr="004C548A" w:rsidRDefault="00673927" w:rsidP="004C548A">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4C548A">
        <w:rPr>
          <w:rFonts w:ascii="Times New Roman" w:eastAsia="Times New Roman" w:hAnsi="Times New Roman" w:cs="Times New Roman"/>
          <w:kern w:val="0"/>
          <w:sz w:val="22"/>
          <w:szCs w:val="22"/>
          <w:lang w:eastAsia="lt-LT"/>
          <w14:ligatures w14:val="none"/>
        </w:rPr>
        <w:t>Galimas šalutinis poveikis</w:t>
      </w:r>
    </w:p>
    <w:p w14:paraId="4502E348" w14:textId="3D7E40D9" w:rsidR="00673927" w:rsidRPr="004C548A" w:rsidRDefault="00673927" w:rsidP="004C548A">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4C548A">
        <w:rPr>
          <w:rFonts w:ascii="Times New Roman" w:eastAsia="Times New Roman" w:hAnsi="Times New Roman" w:cs="Times New Roman"/>
          <w:kern w:val="0"/>
          <w:sz w:val="22"/>
          <w:szCs w:val="22"/>
          <w:lang w:eastAsia="lt-LT"/>
          <w14:ligatures w14:val="none"/>
        </w:rPr>
        <w:t xml:space="preserve">Kaip laikyti </w:t>
      </w:r>
      <w:r w:rsidR="00C745B0">
        <w:rPr>
          <w:rFonts w:ascii="Times New Roman" w:eastAsia="Times New Roman" w:hAnsi="Times New Roman" w:cs="Times New Roman"/>
          <w:kern w:val="0"/>
          <w:sz w:val="22"/>
          <w:szCs w:val="22"/>
          <w:lang w:eastAsia="lt-LT"/>
          <w14:ligatures w14:val="none"/>
        </w:rPr>
        <w:t>Penicilina G sodica Atb</w:t>
      </w:r>
    </w:p>
    <w:p w14:paraId="1AD611DB" w14:textId="47DF062B" w:rsidR="00673927" w:rsidRPr="004C548A" w:rsidRDefault="00673927" w:rsidP="004C548A">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4C548A">
        <w:rPr>
          <w:rFonts w:ascii="Times New Roman" w:eastAsia="Times New Roman" w:hAnsi="Times New Roman" w:cs="Times New Roman"/>
          <w:kern w:val="0"/>
          <w:sz w:val="22"/>
          <w:szCs w:val="22"/>
          <w:lang w:eastAsia="lt-LT"/>
          <w14:ligatures w14:val="none"/>
        </w:rPr>
        <w:t>Pakuotės turinys ir kita informacija</w:t>
      </w:r>
    </w:p>
    <w:p w14:paraId="2177CA17"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B908B6E" w14:textId="77777777" w:rsidR="00673927" w:rsidRPr="00673927" w:rsidRDefault="00673927" w:rsidP="00673927">
      <w:pPr>
        <w:tabs>
          <w:tab w:val="left" w:pos="567"/>
        </w:tabs>
        <w:spacing w:after="0" w:line="240" w:lineRule="auto"/>
        <w:rPr>
          <w:rFonts w:ascii="Times New Roman" w:eastAsia="Times New Roman" w:hAnsi="Times New Roman" w:cs="Times New Roman"/>
          <w:b/>
          <w:caps/>
          <w:kern w:val="0"/>
          <w:sz w:val="22"/>
          <w:szCs w:val="22"/>
          <w:lang w:eastAsia="lt-LT"/>
          <w14:ligatures w14:val="none"/>
        </w:rPr>
      </w:pPr>
    </w:p>
    <w:p w14:paraId="4341C1D8" w14:textId="74747877" w:rsidR="00673927" w:rsidRPr="00673927" w:rsidRDefault="00673927" w:rsidP="00673927">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673927">
        <w:rPr>
          <w:rFonts w:ascii="Times New Roman" w:eastAsia="Times New Roman" w:hAnsi="Times New Roman" w:cs="Times New Roman"/>
          <w:b/>
          <w:kern w:val="0"/>
          <w:sz w:val="22"/>
          <w:szCs w:val="22"/>
          <w:lang w:eastAsia="lt-LT"/>
          <w14:ligatures w14:val="none"/>
        </w:rPr>
        <w:t xml:space="preserve">1. </w:t>
      </w:r>
      <w:r w:rsidRPr="00673927">
        <w:rPr>
          <w:rFonts w:ascii="Times New Roman" w:eastAsia="Times New Roman" w:hAnsi="Times New Roman" w:cs="Times New Roman"/>
          <w:b/>
          <w:kern w:val="0"/>
          <w:sz w:val="22"/>
          <w:szCs w:val="22"/>
          <w:lang w:eastAsia="lt-LT"/>
          <w14:ligatures w14:val="none"/>
        </w:rPr>
        <w:tab/>
        <w:t xml:space="preserve">Kas yra </w:t>
      </w:r>
      <w:r w:rsidR="00C745B0">
        <w:rPr>
          <w:rFonts w:ascii="Times New Roman" w:eastAsia="Times New Roman" w:hAnsi="Times New Roman" w:cs="Times New Roman"/>
          <w:b/>
          <w:kern w:val="0"/>
          <w:sz w:val="22"/>
          <w:szCs w:val="22"/>
          <w:lang w:eastAsia="lt-LT"/>
          <w14:ligatures w14:val="none"/>
        </w:rPr>
        <w:t>Penicilina G sodica Atb</w:t>
      </w:r>
      <w:r w:rsidRPr="00673927">
        <w:rPr>
          <w:rFonts w:ascii="Times New Roman" w:eastAsia="Times New Roman" w:hAnsi="Times New Roman" w:cs="Times New Roman"/>
          <w:b/>
          <w:kern w:val="0"/>
          <w:sz w:val="22"/>
          <w:szCs w:val="22"/>
          <w:lang w:eastAsia="lt-LT"/>
          <w14:ligatures w14:val="none"/>
        </w:rPr>
        <w:t xml:space="preserve"> ir kam jis vartojamas</w:t>
      </w:r>
    </w:p>
    <w:p w14:paraId="4CB64EDD"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8FC547F" w14:textId="11F91404" w:rsidR="00673927" w:rsidRPr="00673927" w:rsidRDefault="00C745B0"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Penicilina G sodica Atb</w:t>
      </w:r>
      <w:r w:rsidR="00673927" w:rsidRPr="00673927">
        <w:rPr>
          <w:rFonts w:ascii="Times New Roman" w:eastAsia="Times New Roman" w:hAnsi="Times New Roman" w:cs="Times New Roman"/>
          <w:kern w:val="0"/>
          <w:sz w:val="22"/>
          <w:szCs w:val="22"/>
          <w:lang w:eastAsia="lt-LT"/>
          <w14:ligatures w14:val="none"/>
        </w:rPr>
        <w:t xml:space="preserve"> veiklioji medžiaga yra mikroorganizmus veikianti medžiaga (antibiotikas), vartojamas tam tikroms infekcinėms ligoms gydyti.</w:t>
      </w:r>
      <w:r w:rsidR="00673927" w:rsidRPr="00673927">
        <w:rPr>
          <w:rFonts w:ascii="Times New Roman" w:eastAsia="Times New Roman" w:hAnsi="Times New Roman" w:cs="Times New Roman"/>
          <w:kern w:val="0"/>
          <w:sz w:val="22"/>
          <w:szCs w:val="20"/>
          <w:lang w:eastAsia="lt-LT"/>
          <w14:ligatures w14:val="none"/>
        </w:rPr>
        <w:t xml:space="preserve"> </w:t>
      </w:r>
      <w:r w:rsidR="00673927" w:rsidRPr="00673927">
        <w:rPr>
          <w:rFonts w:ascii="Times New Roman" w:eastAsia="Times New Roman" w:hAnsi="Times New Roman" w:cs="Times New Roman"/>
          <w:kern w:val="0"/>
          <w:sz w:val="22"/>
          <w:szCs w:val="22"/>
          <w:lang w:eastAsia="lt-LT"/>
          <w14:ligatures w14:val="none"/>
        </w:rPr>
        <w:t xml:space="preserve">Atsižvelgiant į tai, </w:t>
      </w:r>
      <w:r>
        <w:rPr>
          <w:rFonts w:ascii="Times New Roman" w:eastAsia="Times New Roman" w:hAnsi="Times New Roman" w:cs="Times New Roman"/>
          <w:kern w:val="0"/>
          <w:sz w:val="22"/>
          <w:szCs w:val="22"/>
          <w:lang w:eastAsia="lt-LT"/>
          <w14:ligatures w14:val="none"/>
        </w:rPr>
        <w:t>Penicilina G sodica Atb</w:t>
      </w:r>
      <w:r w:rsidR="00673927" w:rsidRPr="00673927">
        <w:rPr>
          <w:rFonts w:ascii="Times New Roman" w:eastAsia="Times New Roman" w:hAnsi="Times New Roman" w:cs="Times New Roman"/>
          <w:kern w:val="0"/>
          <w:sz w:val="22"/>
          <w:szCs w:val="22"/>
          <w:lang w:eastAsia="lt-LT"/>
          <w14:ligatures w14:val="none"/>
        </w:rPr>
        <w:t xml:space="preserve"> yra skirtas suaugusiesiems, paaugliams, vaikams, naujagimiams ir neišnešiotiems kūdikiams gydyti.</w:t>
      </w:r>
    </w:p>
    <w:p w14:paraId="5342484E"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0DCACB5" w14:textId="5698D580" w:rsidR="00673927" w:rsidRPr="00673927" w:rsidRDefault="00C745B0" w:rsidP="00673927">
      <w:pPr>
        <w:numPr>
          <w:ilvl w:val="12"/>
          <w:numId w:val="0"/>
        </w:numPr>
        <w:spacing w:after="0" w:line="240" w:lineRule="auto"/>
        <w:ind w:left="567" w:hanging="567"/>
        <w:rPr>
          <w:rFonts w:ascii="Times New Roman" w:eastAsia="Times New Roman" w:hAnsi="Times New Roman" w:cs="Times New Roman"/>
          <w:kern w:val="0"/>
          <w:sz w:val="22"/>
          <w:szCs w:val="22"/>
          <w:lang w:eastAsia="lt-LT"/>
          <w14:ligatures w14:val="none"/>
        </w:rPr>
      </w:pPr>
      <w:bookmarkStart w:id="0" w:name="_Hlk123725763"/>
      <w:r>
        <w:rPr>
          <w:rFonts w:ascii="Times New Roman" w:eastAsia="Times New Roman" w:hAnsi="Times New Roman" w:cs="Times New Roman"/>
          <w:kern w:val="0"/>
          <w:sz w:val="22"/>
          <w:szCs w:val="22"/>
          <w:lang w:eastAsia="lt-LT"/>
          <w14:ligatures w14:val="none"/>
        </w:rPr>
        <w:t>Penicilina G sodica Atb</w:t>
      </w:r>
      <w:r w:rsidR="00673927" w:rsidRPr="00673927">
        <w:rPr>
          <w:rFonts w:ascii="Times New Roman" w:eastAsia="Times New Roman" w:hAnsi="Times New Roman" w:cs="Times New Roman"/>
          <w:kern w:val="0"/>
          <w:sz w:val="22"/>
          <w:szCs w:val="22"/>
          <w:lang w:eastAsia="lt-LT"/>
          <w14:ligatures w14:val="none"/>
        </w:rPr>
        <w:t xml:space="preserve"> vartojamas šioms infekcijoms gydyti:</w:t>
      </w:r>
    </w:p>
    <w:p w14:paraId="1CDA6376"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septicemija;</w:t>
      </w:r>
      <w:r w:rsidRPr="00673927">
        <w:rPr>
          <w:rFonts w:ascii="Times New Roman" w:eastAsia="Times New Roman" w:hAnsi="Times New Roman" w:cs="Times New Roman"/>
          <w:color w:val="000000"/>
          <w:kern w:val="0"/>
          <w:sz w:val="22"/>
          <w:szCs w:val="22"/>
          <w:lang w:eastAsia="lt-LT"/>
          <w14:ligatures w14:val="none"/>
        </w:rPr>
        <w:t xml:space="preserve"> </w:t>
      </w:r>
      <w:r w:rsidRPr="00673927">
        <w:rPr>
          <w:rFonts w:ascii="Times New Roman" w:eastAsia="Times New Roman" w:hAnsi="Times New Roman" w:cs="Times New Roman"/>
          <w:kern w:val="0"/>
          <w:sz w:val="22"/>
          <w:szCs w:val="22"/>
          <w:lang w:eastAsia="lt-LT"/>
          <w14:ligatures w14:val="none"/>
        </w:rPr>
        <w:t>(visą organizmą apimančiai ligai, kurią sukelia pavojingos bakterijos ir jų į kraują bei kitus audinius išskiriamos medžiagos);</w:t>
      </w:r>
    </w:p>
    <w:p w14:paraId="01267931"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odos ir žaizdų infekcijos;</w:t>
      </w:r>
    </w:p>
    <w:p w14:paraId="3C03FFAD"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difterija (kartu su antitoksinu)</w:t>
      </w:r>
      <w:r w:rsidRPr="00673927">
        <w:rPr>
          <w:rFonts w:ascii="Arial" w:eastAsia="Times New Roman" w:hAnsi="Arial" w:cs="Arial"/>
          <w:color w:val="4D5156"/>
          <w:kern w:val="0"/>
          <w:sz w:val="21"/>
          <w:szCs w:val="21"/>
          <w:shd w:val="clear" w:color="auto" w:fill="FFFFFF"/>
          <w:lang w:eastAsia="lt-LT"/>
          <w14:ligatures w14:val="none"/>
        </w:rPr>
        <w:t>, (</w:t>
      </w:r>
      <w:r w:rsidRPr="00673927">
        <w:rPr>
          <w:rFonts w:ascii="Times New Roman" w:eastAsia="Times New Roman" w:hAnsi="Times New Roman" w:cs="Times New Roman"/>
          <w:kern w:val="0"/>
          <w:sz w:val="22"/>
          <w:szCs w:val="22"/>
          <w:lang w:eastAsia="lt-LT"/>
          <w14:ligatures w14:val="none"/>
        </w:rPr>
        <w:t>ūminė infekcinė liga, pažeidžianti kvėpavimo takus);</w:t>
      </w:r>
    </w:p>
    <w:p w14:paraId="00747681"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plaučių uždegimas;</w:t>
      </w:r>
    </w:p>
    <w:p w14:paraId="0EF2EBF6"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empiema</w:t>
      </w:r>
      <w:r w:rsidRPr="00673927">
        <w:rPr>
          <w:rFonts w:ascii="Helvetica" w:eastAsia="Times New Roman" w:hAnsi="Helvetica" w:cs="Times New Roman"/>
          <w:color w:val="333333"/>
          <w:kern w:val="0"/>
          <w:sz w:val="21"/>
          <w:szCs w:val="21"/>
          <w:shd w:val="clear" w:color="auto" w:fill="FFFFFF"/>
          <w:lang w:eastAsia="lt-LT"/>
          <w14:ligatures w14:val="none"/>
        </w:rPr>
        <w:t xml:space="preserve"> (</w:t>
      </w:r>
      <w:r w:rsidRPr="00673927">
        <w:rPr>
          <w:rFonts w:ascii="Times New Roman" w:eastAsia="Times New Roman" w:hAnsi="Times New Roman" w:cs="Times New Roman"/>
          <w:kern w:val="0"/>
          <w:sz w:val="22"/>
          <w:szCs w:val="22"/>
          <w:lang w:eastAsia="lt-LT"/>
          <w14:ligatures w14:val="none"/>
        </w:rPr>
        <w:t>yra būklė, kai pūliai iš infekuotų audinių ir skysčių patenka ir renkasi į kūno ertmę);</w:t>
      </w:r>
    </w:p>
    <w:p w14:paraId="1852FF95"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rožė</w:t>
      </w:r>
      <w:r w:rsidRPr="00673927">
        <w:rPr>
          <w:rFonts w:ascii="Arial" w:eastAsia="Times New Roman" w:hAnsi="Arial" w:cs="Arial"/>
          <w:color w:val="4D5156"/>
          <w:kern w:val="0"/>
          <w:sz w:val="21"/>
          <w:szCs w:val="21"/>
          <w:shd w:val="clear" w:color="auto" w:fill="FFFFFF"/>
          <w:lang w:eastAsia="lt-LT"/>
          <w14:ligatures w14:val="none"/>
        </w:rPr>
        <w:t xml:space="preserve"> (</w:t>
      </w:r>
      <w:r w:rsidRPr="00673927">
        <w:rPr>
          <w:rFonts w:ascii="Times New Roman" w:eastAsia="Times New Roman" w:hAnsi="Times New Roman" w:cs="Times New Roman"/>
          <w:kern w:val="0"/>
          <w:sz w:val="22"/>
          <w:szCs w:val="22"/>
          <w:lang w:eastAsia="lt-LT"/>
          <w14:ligatures w14:val="none"/>
        </w:rPr>
        <w:t>ūminė infekcinė liga, pažeidžianti ne tik paviršinę odą, bet ir giliuosius jos audinius bei limfinę sistemą);</w:t>
      </w:r>
    </w:p>
    <w:p w14:paraId="4323B37C"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bakterinis endokarditas; (širdies sienelės vidinio sluoksnio uždegimui); </w:t>
      </w:r>
    </w:p>
    <w:p w14:paraId="4BA96EA8"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peritonitas (tai ūminis visos pilvaplėvės ar tik jos dalies uždegimas);</w:t>
      </w:r>
    </w:p>
    <w:p w14:paraId="3E06F3A8"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meningitas, smegenų abscesas;</w:t>
      </w:r>
    </w:p>
    <w:p w14:paraId="2BBE3898"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osteomielitas (tai bakterijų sukelta infekcinė kaulo liga);</w:t>
      </w:r>
    </w:p>
    <w:p w14:paraId="3B8DDA6A"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lytinių organų infekcija, kurią sukėlė fuzobakterija.</w:t>
      </w:r>
    </w:p>
    <w:p w14:paraId="4C00DB04" w14:textId="77777777" w:rsidR="00673927" w:rsidRPr="00673927" w:rsidRDefault="00673927" w:rsidP="00673927">
      <w:pPr>
        <w:numPr>
          <w:ilvl w:val="12"/>
          <w:numId w:val="0"/>
        </w:numPr>
        <w:spacing w:after="0" w:line="240" w:lineRule="auto"/>
        <w:ind w:left="567" w:hanging="567"/>
        <w:rPr>
          <w:rFonts w:ascii="Times New Roman" w:eastAsia="Times New Roman" w:hAnsi="Times New Roman" w:cs="Times New Roman"/>
          <w:kern w:val="0"/>
          <w:sz w:val="22"/>
          <w:szCs w:val="22"/>
          <w:lang w:eastAsia="lt-LT"/>
          <w14:ligatures w14:val="none"/>
        </w:rPr>
      </w:pPr>
    </w:p>
    <w:p w14:paraId="57DEFF5E" w14:textId="77777777" w:rsidR="00673927" w:rsidRPr="00673927" w:rsidRDefault="00673927" w:rsidP="00673927">
      <w:pPr>
        <w:numPr>
          <w:ilvl w:val="12"/>
          <w:numId w:val="0"/>
        </w:numPr>
        <w:spacing w:after="0" w:line="240" w:lineRule="auto"/>
        <w:ind w:left="567" w:hanging="567"/>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Specifinės infekcijos:</w:t>
      </w:r>
    </w:p>
    <w:p w14:paraId="20F7ADF7"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juodligė (naminių gyvulių platinamai ligai, kuri pažeidžia odą, plaučius, žarnyną, gali sukelti kraujo užkrėtimą);</w:t>
      </w:r>
    </w:p>
    <w:p w14:paraId="58D99706"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klostridijų sukelta infekcija, įskaitant stabligę (stabligė tai ūmi įvairaus stiprumo raumenų spazmais pasireiškianti liga, kurią sukelia dirvožemyje esančios bakterijos, patenkančios į organizmą per odos pažeidimus);</w:t>
      </w:r>
    </w:p>
    <w:p w14:paraId="2E83A729"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dujinė gangrena;</w:t>
      </w:r>
    </w:p>
    <w:p w14:paraId="0BB08B8A"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listeriozė (bakterijų, vadinamų listerijomis, sukeltai infekcinei ligai, kuri gali pasireikšti smegenų ir jų dangalų uždegimu, sepsiu, kiek rečiau – vidinio širdies dangalo, akių junginės uždegimu);</w:t>
      </w:r>
    </w:p>
    <w:p w14:paraId="0EE5F717"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pastereliozė (gyvūnų platinama infekcinė liga, pasireiškianti minkštųjų audinių uždegimu);</w:t>
      </w:r>
    </w:p>
    <w:p w14:paraId="2744EB8C"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žiurkių platinama karštligė;</w:t>
      </w:r>
    </w:p>
    <w:p w14:paraId="1A0D2A8F"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lastRenderedPageBreak/>
        <w:t>fuzospirochetozė;</w:t>
      </w:r>
    </w:p>
    <w:p w14:paraId="06267B7B"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aktinomikozė; (lėtinė infekcinė liga, kurią sukelia nosyje ir burnoje esančios įprastomis sąlygomis nepavojingos bakterijos, kurios uždegimą sukelia tik patekusios į gilesnius audinius po gleivinės pažeidimo);</w:t>
      </w:r>
    </w:p>
    <w:p w14:paraId="0D5BD4C2"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gonorėjos ir sifilio antrinės komplikacijos; (lytiniu būdu plintančioms ligoms, kai yra komplikacijų);</w:t>
      </w:r>
    </w:p>
    <w:p w14:paraId="16FDDD5D" w14:textId="77777777" w:rsidR="00673927" w:rsidRPr="00673927" w:rsidRDefault="00673927" w:rsidP="00673927">
      <w:pPr>
        <w:numPr>
          <w:ilvl w:val="0"/>
          <w:numId w:val="1"/>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Laimo boreliozė, nuo antrosios ligos fazės. (erkių platinamai bakterijų sukeltai ligai, pažeidžiančiai daugelį organų)žiurkių įkandimo sukeltai karštligei).</w:t>
      </w:r>
    </w:p>
    <w:bookmarkEnd w:id="0"/>
    <w:p w14:paraId="2421E5D2"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437A6322"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4939F1E2" w14:textId="05ABDED3" w:rsidR="00673927" w:rsidRPr="00673927" w:rsidRDefault="00673927" w:rsidP="00673927">
      <w:pPr>
        <w:keepNext/>
        <w:tabs>
          <w:tab w:val="left" w:pos="567"/>
        </w:tabs>
        <w:spacing w:after="0" w:line="240" w:lineRule="auto"/>
        <w:outlineLvl w:val="1"/>
        <w:rPr>
          <w:rFonts w:ascii="Times New Roman" w:eastAsia="Times New Roman" w:hAnsi="Times New Roman" w:cs="Times New Roman"/>
          <w:b/>
          <w:bCs/>
          <w:kern w:val="0"/>
          <w:sz w:val="22"/>
          <w:szCs w:val="22"/>
          <w:lang w:eastAsia="lt-LT"/>
          <w14:ligatures w14:val="none"/>
        </w:rPr>
      </w:pPr>
      <w:r w:rsidRPr="00673927">
        <w:rPr>
          <w:rFonts w:ascii="Times New Roman" w:eastAsia="Times New Roman" w:hAnsi="Times New Roman" w:cs="Times New Roman"/>
          <w:b/>
          <w:bCs/>
          <w:kern w:val="0"/>
          <w:sz w:val="22"/>
          <w:szCs w:val="22"/>
          <w:lang w:eastAsia="lt-LT"/>
          <w14:ligatures w14:val="none"/>
        </w:rPr>
        <w:t>2.</w:t>
      </w:r>
      <w:r w:rsidRPr="00673927">
        <w:rPr>
          <w:rFonts w:ascii="Times New Roman" w:eastAsia="Times New Roman" w:hAnsi="Times New Roman" w:cs="Times New Roman"/>
          <w:b/>
          <w:bCs/>
          <w:kern w:val="0"/>
          <w:sz w:val="22"/>
          <w:szCs w:val="22"/>
          <w:lang w:eastAsia="lt-LT"/>
          <w14:ligatures w14:val="none"/>
        </w:rPr>
        <w:tab/>
        <w:t xml:space="preserve">Kas žinotina prieš vartojant </w:t>
      </w:r>
      <w:r w:rsidR="00C745B0">
        <w:rPr>
          <w:rFonts w:ascii="Times New Roman" w:eastAsia="Times New Roman" w:hAnsi="Times New Roman" w:cs="Times New Roman"/>
          <w:b/>
          <w:bCs/>
          <w:kern w:val="0"/>
          <w:sz w:val="22"/>
          <w:szCs w:val="22"/>
          <w:lang w:eastAsia="lt-LT"/>
          <w14:ligatures w14:val="none"/>
        </w:rPr>
        <w:t>Penicilina G sodica Atb</w:t>
      </w:r>
    </w:p>
    <w:p w14:paraId="4F013F78"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DECCCA9" w14:textId="09064674" w:rsidR="00673927" w:rsidRPr="00673927" w:rsidRDefault="00C745B0" w:rsidP="00673927">
      <w:pPr>
        <w:keepNext/>
        <w:spacing w:after="0" w:line="240" w:lineRule="auto"/>
        <w:outlineLvl w:val="2"/>
        <w:rPr>
          <w:rFonts w:ascii="Times New Roman" w:eastAsia="Times New Roman" w:hAnsi="Times New Roman" w:cs="Times New Roman"/>
          <w:b/>
          <w:kern w:val="0"/>
          <w:sz w:val="22"/>
          <w:szCs w:val="20"/>
          <w:lang w:eastAsia="lt-LT"/>
          <w14:ligatures w14:val="none"/>
        </w:rPr>
      </w:pPr>
      <w:r>
        <w:rPr>
          <w:rFonts w:ascii="Times New Roman" w:eastAsia="Times New Roman" w:hAnsi="Times New Roman" w:cs="Times New Roman"/>
          <w:b/>
          <w:kern w:val="0"/>
          <w:sz w:val="22"/>
          <w:szCs w:val="20"/>
          <w:lang w:eastAsia="lt-LT"/>
          <w14:ligatures w14:val="none"/>
        </w:rPr>
        <w:t>Penicilina G sodica Atb</w:t>
      </w:r>
      <w:r w:rsidR="00673927" w:rsidRPr="00673927">
        <w:rPr>
          <w:rFonts w:ascii="Times New Roman" w:eastAsia="Times New Roman" w:hAnsi="Times New Roman" w:cs="Times New Roman"/>
          <w:b/>
          <w:kern w:val="0"/>
          <w:sz w:val="22"/>
          <w:szCs w:val="20"/>
          <w:lang w:eastAsia="lt-LT"/>
          <w14:ligatures w14:val="none"/>
        </w:rPr>
        <w:t xml:space="preserve"> vartoti draudžiama:</w:t>
      </w:r>
    </w:p>
    <w:p w14:paraId="00746915" w14:textId="77777777" w:rsidR="00673927" w:rsidRPr="00673927" w:rsidRDefault="00673927" w:rsidP="00673927">
      <w:pPr>
        <w:numPr>
          <w:ilvl w:val="0"/>
          <w:numId w:val="4"/>
        </w:numPr>
        <w:tabs>
          <w:tab w:val="clear" w:pos="360"/>
        </w:tabs>
        <w:spacing w:after="0" w:line="240" w:lineRule="auto"/>
        <w:ind w:left="567" w:hanging="567"/>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jeigu yra alergija </w:t>
      </w:r>
      <w:r w:rsidRPr="00673927">
        <w:rPr>
          <w:rFonts w:ascii="Times New Roman" w:eastAsia="Times New Roman" w:hAnsi="Times New Roman" w:cs="Times New Roman"/>
          <w:noProof/>
          <w:snapToGrid w:val="0"/>
          <w:kern w:val="0"/>
          <w:sz w:val="22"/>
          <w:lang w:eastAsia="lt-LT"/>
          <w14:ligatures w14:val="none"/>
        </w:rPr>
        <w:t>veikliajai medžiagai</w:t>
      </w:r>
      <w:r w:rsidRPr="00673927" w:rsidDel="002F21F8">
        <w:rPr>
          <w:rFonts w:ascii="Times New Roman" w:eastAsia="Times New Roman" w:hAnsi="Times New Roman" w:cs="Times New Roman"/>
          <w:kern w:val="0"/>
          <w:sz w:val="22"/>
          <w:szCs w:val="22"/>
          <w:lang w:eastAsia="lt-LT"/>
          <w14:ligatures w14:val="none"/>
        </w:rPr>
        <w:t xml:space="preserve"> </w:t>
      </w:r>
      <w:r w:rsidRPr="00673927">
        <w:rPr>
          <w:rFonts w:ascii="Times New Roman" w:eastAsia="Times New Roman" w:hAnsi="Times New Roman" w:cs="Times New Roman"/>
          <w:kern w:val="0"/>
          <w:sz w:val="22"/>
          <w:szCs w:val="22"/>
          <w:lang w:eastAsia="lt-LT"/>
          <w14:ligatures w14:val="none"/>
        </w:rPr>
        <w:t>arba bet kuriai pagalbinei šio vaisto medžiagai (jos išvardytos 6 skyriuje);</w:t>
      </w:r>
    </w:p>
    <w:p w14:paraId="0CEFFD82" w14:textId="5FED3D7F" w:rsidR="00673927" w:rsidRPr="00673927" w:rsidRDefault="00673927" w:rsidP="00673927">
      <w:pPr>
        <w:numPr>
          <w:ilvl w:val="0"/>
          <w:numId w:val="2"/>
        </w:numPr>
        <w:tabs>
          <w:tab w:val="clear" w:pos="360"/>
        </w:tabs>
        <w:spacing w:after="0" w:line="240" w:lineRule="auto"/>
        <w:ind w:left="567" w:hanging="567"/>
        <w:contextualSpacing/>
        <w:rPr>
          <w:rFonts w:ascii="Times New Roman" w:eastAsia="Times New Roman" w:hAnsi="Times New Roman" w:cs="Times New Roman"/>
          <w:kern w:val="0"/>
          <w:sz w:val="22"/>
          <w:szCs w:val="20"/>
          <w:lang w:eastAsia="lt-LT"/>
          <w14:ligatures w14:val="none"/>
        </w:rPr>
      </w:pPr>
      <w:r w:rsidRPr="00673927">
        <w:rPr>
          <w:rFonts w:ascii="Times New Roman" w:eastAsia="Times New Roman" w:hAnsi="Times New Roman" w:cs="Times New Roman"/>
          <w:kern w:val="0"/>
          <w:sz w:val="22"/>
          <w:szCs w:val="20"/>
          <w:lang w:eastAsia="lt-LT"/>
          <w14:ligatures w14:val="none"/>
        </w:rPr>
        <w:t xml:space="preserve">jeigu Jūs kada nors buvote gydomas penicilinu ir Jums pasireiškė padidėjusio jautrumo reakcijų (pvz., odos išbėrimas, niežulys, karščiavimas, dusulys, kraujospūdžio sumažėjimas). </w:t>
      </w:r>
      <w:r w:rsidR="00C745B0">
        <w:rPr>
          <w:rFonts w:ascii="Times New Roman" w:eastAsia="Times New Roman" w:hAnsi="Times New Roman" w:cs="Times New Roman"/>
          <w:kern w:val="0"/>
          <w:sz w:val="22"/>
          <w:szCs w:val="20"/>
          <w:lang w:eastAsia="lt-LT"/>
          <w14:ligatures w14:val="none"/>
        </w:rPr>
        <w:t>Penicilina G sodica Atb</w:t>
      </w:r>
      <w:r w:rsidRPr="00673927">
        <w:rPr>
          <w:rFonts w:ascii="Times New Roman" w:eastAsia="Times New Roman" w:hAnsi="Times New Roman" w:cs="Times New Roman"/>
          <w:kern w:val="0"/>
          <w:sz w:val="22"/>
          <w:szCs w:val="20"/>
          <w:lang w:eastAsia="lt-LT"/>
          <w14:ligatures w14:val="none"/>
        </w:rPr>
        <w:t xml:space="preserve"> negalima vartoti dėl gyvybei pavojingo anafilaksinio šoko pavojaus;</w:t>
      </w:r>
    </w:p>
    <w:p w14:paraId="6DDD2484" w14:textId="77777777" w:rsidR="00673927" w:rsidRPr="00673927" w:rsidRDefault="00673927" w:rsidP="00673927">
      <w:pPr>
        <w:numPr>
          <w:ilvl w:val="0"/>
          <w:numId w:val="2"/>
        </w:numPr>
        <w:tabs>
          <w:tab w:val="clear" w:pos="360"/>
        </w:tabs>
        <w:spacing w:after="0" w:line="240" w:lineRule="auto"/>
        <w:ind w:left="567" w:hanging="567"/>
        <w:contextualSpacing/>
        <w:rPr>
          <w:rFonts w:ascii="Times New Roman" w:eastAsia="Times New Roman" w:hAnsi="Times New Roman" w:cs="Times New Roman"/>
          <w:kern w:val="0"/>
          <w:sz w:val="22"/>
          <w:szCs w:val="20"/>
          <w:lang w:eastAsia="lt-LT"/>
          <w14:ligatures w14:val="none"/>
        </w:rPr>
      </w:pPr>
      <w:r w:rsidRPr="00673927">
        <w:rPr>
          <w:rFonts w:ascii="Times New Roman" w:eastAsia="Times New Roman" w:hAnsi="Times New Roman" w:cs="Times New Roman"/>
          <w:kern w:val="0"/>
          <w:sz w:val="22"/>
          <w:szCs w:val="20"/>
          <w:lang w:eastAsia="lt-LT"/>
          <w14:ligatures w14:val="none"/>
        </w:rPr>
        <w:t>jeigu anksčiau buvo pasireiškusi sunki tiesioginė padidėjusio jautrumo reakcija (pvz., anafilaksija) vartojant kito beta-laktaminio vaisto (pvz., cefalosporinų, karbapenemų).</w:t>
      </w:r>
    </w:p>
    <w:p w14:paraId="57CEBB73" w14:textId="77777777" w:rsidR="00673927" w:rsidRPr="00673927" w:rsidRDefault="00673927" w:rsidP="00673927">
      <w:pPr>
        <w:keepNext/>
        <w:spacing w:after="0" w:line="240" w:lineRule="auto"/>
        <w:outlineLvl w:val="2"/>
        <w:rPr>
          <w:rFonts w:ascii="Times New Roman" w:eastAsia="Times New Roman" w:hAnsi="Times New Roman" w:cs="Times New Roman"/>
          <w:b/>
          <w:kern w:val="0"/>
          <w:sz w:val="22"/>
          <w:szCs w:val="20"/>
          <w:lang w:eastAsia="lt-LT"/>
          <w14:ligatures w14:val="none"/>
        </w:rPr>
      </w:pPr>
    </w:p>
    <w:p w14:paraId="30FA04C4" w14:textId="77777777" w:rsidR="00673927" w:rsidRPr="00673927" w:rsidRDefault="00673927" w:rsidP="00673927">
      <w:pPr>
        <w:keepNext/>
        <w:spacing w:after="0" w:line="240" w:lineRule="auto"/>
        <w:jc w:val="both"/>
        <w:outlineLvl w:val="3"/>
        <w:rPr>
          <w:rFonts w:ascii="Times New Roman" w:eastAsia="Times New Roman" w:hAnsi="Times New Roman" w:cs="Times New Roman"/>
          <w:b/>
          <w:kern w:val="0"/>
          <w:sz w:val="22"/>
          <w:szCs w:val="22"/>
          <w:lang w:eastAsia="lt-LT"/>
          <w14:ligatures w14:val="none"/>
        </w:rPr>
      </w:pPr>
      <w:r w:rsidRPr="00673927">
        <w:rPr>
          <w:rFonts w:ascii="Times New Roman" w:eastAsia="Times New Roman" w:hAnsi="Times New Roman" w:cs="Times New Roman"/>
          <w:b/>
          <w:kern w:val="0"/>
          <w:sz w:val="22"/>
          <w:szCs w:val="22"/>
          <w:lang w:eastAsia="lt-LT"/>
          <w14:ligatures w14:val="none"/>
        </w:rPr>
        <w:t xml:space="preserve">Įspėjimai ir atsargumo priemonės </w:t>
      </w:r>
    </w:p>
    <w:p w14:paraId="0295B2D1" w14:textId="2ECDC437" w:rsidR="00673927" w:rsidRPr="00673927" w:rsidRDefault="00673927" w:rsidP="00673927">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noProof/>
          <w:kern w:val="0"/>
          <w:sz w:val="22"/>
          <w:szCs w:val="22"/>
          <w:lang w:eastAsia="lt-LT"/>
          <w14:ligatures w14:val="none"/>
        </w:rPr>
        <w:t xml:space="preserve">Pasitarkite su gydytoju arba vaistininku, prieš pradėdami vartoti </w:t>
      </w:r>
      <w:r w:rsidR="00C745B0">
        <w:rPr>
          <w:rFonts w:ascii="Times New Roman" w:eastAsia="Times New Roman" w:hAnsi="Times New Roman" w:cs="Times New Roman"/>
          <w:noProof/>
          <w:kern w:val="0"/>
          <w:sz w:val="22"/>
          <w:szCs w:val="22"/>
          <w:lang w:eastAsia="lt-LT"/>
          <w14:ligatures w14:val="none"/>
        </w:rPr>
        <w:t>Penicilina G sodica Atb</w:t>
      </w:r>
      <w:r w:rsidRPr="00673927">
        <w:rPr>
          <w:rFonts w:ascii="Times New Roman" w:eastAsia="Times New Roman" w:hAnsi="Times New Roman" w:cs="Times New Roman"/>
          <w:noProof/>
          <w:kern w:val="0"/>
          <w:sz w:val="22"/>
          <w:szCs w:val="22"/>
          <w:lang w:eastAsia="lt-LT"/>
          <w14:ligatures w14:val="none"/>
        </w:rPr>
        <w:t>:</w:t>
      </w:r>
    </w:p>
    <w:p w14:paraId="43F9A6B6" w14:textId="73DC7E80" w:rsidR="00673927" w:rsidRPr="00673927" w:rsidRDefault="00673927" w:rsidP="00673927">
      <w:pPr>
        <w:numPr>
          <w:ilvl w:val="0"/>
          <w:numId w:val="2"/>
        </w:numPr>
        <w:tabs>
          <w:tab w:val="clear" w:pos="360"/>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673927">
        <w:rPr>
          <w:rFonts w:ascii="Times New Roman" w:eastAsia="Times New Roman" w:hAnsi="Times New Roman" w:cs="Times New Roman"/>
          <w:iCs/>
          <w:kern w:val="0"/>
          <w:sz w:val="22"/>
          <w:szCs w:val="22"/>
          <w:lang w:eastAsia="lt-LT"/>
          <w14:ligatures w14:val="none"/>
        </w:rPr>
        <w:t xml:space="preserve">jeigu pirmą kartą pavartojus penicilino ar kitų antibiotikų (pvz., cefalosporinų) Jums kada nors buvo netoleravimo požymių. Tokiu atveju gydytojas nuspręs, ar galima naudoti </w:t>
      </w:r>
      <w:r w:rsidR="00C745B0">
        <w:rPr>
          <w:rFonts w:ascii="Times New Roman" w:eastAsia="Times New Roman" w:hAnsi="Times New Roman" w:cs="Times New Roman"/>
          <w:iCs/>
          <w:kern w:val="0"/>
          <w:sz w:val="22"/>
          <w:szCs w:val="22"/>
          <w:lang w:eastAsia="lt-LT"/>
          <w14:ligatures w14:val="none"/>
        </w:rPr>
        <w:t>Penicilina G sodica Atb</w:t>
      </w:r>
      <w:r w:rsidRPr="00673927">
        <w:rPr>
          <w:rFonts w:ascii="Times New Roman" w:eastAsia="Times New Roman" w:hAnsi="Times New Roman" w:cs="Times New Roman"/>
          <w:iCs/>
          <w:kern w:val="0"/>
          <w:sz w:val="22"/>
          <w:szCs w:val="22"/>
          <w:lang w:eastAsia="lt-LT"/>
          <w14:ligatures w14:val="none"/>
        </w:rPr>
        <w:t>. Prieš pradedant gydymą reikia atlikti padidėjusio jautrumo tyrimą;</w:t>
      </w:r>
    </w:p>
    <w:p w14:paraId="5B7D6318" w14:textId="77777777" w:rsidR="00673927" w:rsidRPr="00673927" w:rsidRDefault="00673927" w:rsidP="00673927">
      <w:pPr>
        <w:numPr>
          <w:ilvl w:val="0"/>
          <w:numId w:val="2"/>
        </w:numPr>
        <w:tabs>
          <w:tab w:val="clear" w:pos="360"/>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673927">
        <w:rPr>
          <w:rFonts w:ascii="Times New Roman" w:eastAsia="Times New Roman" w:hAnsi="Times New Roman" w:cs="Times New Roman"/>
          <w:iCs/>
          <w:kern w:val="0"/>
          <w:sz w:val="22"/>
          <w:szCs w:val="22"/>
          <w:lang w:eastAsia="lt-LT"/>
          <w14:ligatures w14:val="none"/>
        </w:rPr>
        <w:t>jeigu Jums yra polinkis alerginėms reakcijoms (pvz., dilgėlinei ar šienligei) arba sergate astma. Tokiais atvejais didesnė padidėjusio jautrumo reakcijų rizika;</w:t>
      </w:r>
    </w:p>
    <w:p w14:paraId="744F6B6E" w14:textId="77777777" w:rsidR="00673927" w:rsidRPr="00673927" w:rsidRDefault="00673927" w:rsidP="00673927">
      <w:pPr>
        <w:numPr>
          <w:ilvl w:val="0"/>
          <w:numId w:val="2"/>
        </w:numPr>
        <w:tabs>
          <w:tab w:val="clear" w:pos="360"/>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673927">
        <w:rPr>
          <w:rFonts w:ascii="Times New Roman" w:eastAsia="Times New Roman" w:hAnsi="Times New Roman" w:cs="Times New Roman"/>
          <w:iCs/>
          <w:kern w:val="0"/>
          <w:sz w:val="22"/>
          <w:szCs w:val="22"/>
          <w:lang w:eastAsia="lt-LT"/>
          <w14:ligatures w14:val="none"/>
        </w:rPr>
        <w:t>jeigu sergate širdies liga arba yra sunkus elektrolitų pusiausvyros sutrikimas (pvz., natrio, kalcio, kalio, chloro): gydytojas turi stebėti Jūsų suvartojamų elektrolitų, ypač kalio, kiekį;</w:t>
      </w:r>
    </w:p>
    <w:p w14:paraId="25D94164" w14:textId="5E5E74FD" w:rsidR="00673927" w:rsidRPr="00673927" w:rsidRDefault="00673927" w:rsidP="00673927">
      <w:pPr>
        <w:numPr>
          <w:ilvl w:val="0"/>
          <w:numId w:val="2"/>
        </w:numPr>
        <w:tabs>
          <w:tab w:val="clear" w:pos="360"/>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673927">
        <w:rPr>
          <w:rFonts w:ascii="Times New Roman" w:eastAsia="Times New Roman" w:hAnsi="Times New Roman" w:cs="Times New Roman"/>
          <w:iCs/>
          <w:kern w:val="0"/>
          <w:sz w:val="22"/>
          <w:szCs w:val="22"/>
          <w:lang w:eastAsia="lt-LT"/>
          <w14:ligatures w14:val="none"/>
        </w:rPr>
        <w:t xml:space="preserve">jeigu yra kepenų ar inkstų sutrikimų. Tokiais atvejais gydytojui gali tekti individualiai pakoreguoti dozę arba intervalą tarp </w:t>
      </w:r>
      <w:r w:rsidR="00C745B0">
        <w:rPr>
          <w:rFonts w:ascii="Times New Roman" w:eastAsia="Times New Roman" w:hAnsi="Times New Roman" w:cs="Times New Roman"/>
          <w:iCs/>
          <w:kern w:val="0"/>
          <w:sz w:val="22"/>
          <w:szCs w:val="22"/>
          <w:lang w:eastAsia="lt-LT"/>
          <w14:ligatures w14:val="none"/>
        </w:rPr>
        <w:t>Penicilina G sodica Atb</w:t>
      </w:r>
      <w:r w:rsidRPr="00673927">
        <w:rPr>
          <w:rFonts w:ascii="Times New Roman" w:eastAsia="Times New Roman" w:hAnsi="Times New Roman" w:cs="Times New Roman"/>
          <w:iCs/>
          <w:kern w:val="0"/>
          <w:sz w:val="22"/>
          <w:szCs w:val="22"/>
          <w:lang w:eastAsia="lt-LT"/>
          <w14:ligatures w14:val="none"/>
        </w:rPr>
        <w:t xml:space="preserve"> dozių (žr. 3 skyrių „Kaip vartoti </w:t>
      </w:r>
      <w:r w:rsidR="00C745B0">
        <w:rPr>
          <w:rFonts w:ascii="Times New Roman" w:eastAsia="Times New Roman" w:hAnsi="Times New Roman" w:cs="Times New Roman"/>
          <w:iCs/>
          <w:kern w:val="0"/>
          <w:sz w:val="22"/>
          <w:szCs w:val="22"/>
          <w:lang w:eastAsia="lt-LT"/>
          <w14:ligatures w14:val="none"/>
        </w:rPr>
        <w:t>Penicilina G sodica Atb</w:t>
      </w:r>
      <w:r w:rsidRPr="00673927">
        <w:rPr>
          <w:rFonts w:ascii="Times New Roman" w:eastAsia="Times New Roman" w:hAnsi="Times New Roman" w:cs="Times New Roman"/>
          <w:iCs/>
          <w:kern w:val="0"/>
          <w:sz w:val="22"/>
          <w:szCs w:val="22"/>
          <w:lang w:eastAsia="lt-LT"/>
          <w14:ligatures w14:val="none"/>
        </w:rPr>
        <w:t>“);</w:t>
      </w:r>
    </w:p>
    <w:p w14:paraId="1AAE587F" w14:textId="77777777" w:rsidR="00673927" w:rsidRPr="00673927" w:rsidRDefault="00673927" w:rsidP="00673927">
      <w:pPr>
        <w:numPr>
          <w:ilvl w:val="0"/>
          <w:numId w:val="2"/>
        </w:numPr>
        <w:tabs>
          <w:tab w:val="clear" w:pos="360"/>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673927">
        <w:rPr>
          <w:rFonts w:ascii="Times New Roman" w:eastAsia="Times New Roman" w:hAnsi="Times New Roman" w:cs="Times New Roman"/>
          <w:iCs/>
          <w:kern w:val="0"/>
          <w:sz w:val="22"/>
          <w:szCs w:val="22"/>
          <w:lang w:eastAsia="lt-LT"/>
          <w14:ligatures w14:val="none"/>
        </w:rPr>
        <w:t>jeigu sergate epilepsija arba smegenų edema arba meningitu. Gydytojas Jus atidžiai stebės, nes gydymo metu padidėja traukulių rizika;</w:t>
      </w:r>
    </w:p>
    <w:p w14:paraId="2D85B856" w14:textId="77777777" w:rsidR="00673927" w:rsidRPr="00673927" w:rsidRDefault="00673927" w:rsidP="00673927">
      <w:pPr>
        <w:numPr>
          <w:ilvl w:val="0"/>
          <w:numId w:val="2"/>
        </w:numPr>
        <w:tabs>
          <w:tab w:val="clear" w:pos="360"/>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673927">
        <w:rPr>
          <w:rFonts w:ascii="Times New Roman" w:eastAsia="Times New Roman" w:hAnsi="Times New Roman" w:cs="Times New Roman"/>
          <w:iCs/>
          <w:kern w:val="0"/>
          <w:sz w:val="22"/>
          <w:szCs w:val="22"/>
          <w:lang w:eastAsia="lt-LT"/>
          <w14:ligatures w14:val="none"/>
        </w:rPr>
        <w:t>jeigu yra liaukų uždegimas (mononukleozė). Tokiu atveju padidėja odos reakcijų rizika;</w:t>
      </w:r>
    </w:p>
    <w:p w14:paraId="7DFD778E" w14:textId="77777777" w:rsidR="00673927" w:rsidRPr="00673927" w:rsidRDefault="00673927" w:rsidP="00673927">
      <w:pPr>
        <w:numPr>
          <w:ilvl w:val="0"/>
          <w:numId w:val="2"/>
        </w:numPr>
        <w:tabs>
          <w:tab w:val="clear" w:pos="360"/>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673927">
        <w:rPr>
          <w:rFonts w:ascii="Times New Roman" w:eastAsia="Times New Roman" w:hAnsi="Times New Roman" w:cs="Times New Roman"/>
          <w:iCs/>
          <w:kern w:val="0"/>
          <w:sz w:val="22"/>
          <w:szCs w:val="22"/>
          <w:lang w:eastAsia="lt-LT"/>
          <w14:ligatures w14:val="none"/>
        </w:rPr>
        <w:t>jeigu sergate ūmine limfoidine leukemija (tam tikros rūšies kraujo vėžiu). Tokiu atveju padidėja odos reakcijų rizika;</w:t>
      </w:r>
    </w:p>
    <w:p w14:paraId="7FE08B40" w14:textId="77777777" w:rsidR="00673927" w:rsidRPr="00673927" w:rsidRDefault="00673927" w:rsidP="00673927">
      <w:pPr>
        <w:numPr>
          <w:ilvl w:val="0"/>
          <w:numId w:val="2"/>
        </w:numPr>
        <w:tabs>
          <w:tab w:val="clear" w:pos="360"/>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673927">
        <w:rPr>
          <w:rFonts w:ascii="Times New Roman" w:eastAsia="Times New Roman" w:hAnsi="Times New Roman" w:cs="Times New Roman"/>
          <w:iCs/>
          <w:kern w:val="0"/>
          <w:sz w:val="22"/>
          <w:szCs w:val="22"/>
          <w:lang w:eastAsia="lt-LT"/>
          <w14:ligatures w14:val="none"/>
        </w:rPr>
        <w:t>jeigu šiuo metu sergate grybeline odos liga (dermatomikoze). Jums yra padidėjusi alerginių reakcijų rizika;</w:t>
      </w:r>
    </w:p>
    <w:p w14:paraId="644B2270" w14:textId="77777777" w:rsidR="00673927" w:rsidRPr="00673927" w:rsidRDefault="00673927" w:rsidP="00673927">
      <w:pPr>
        <w:numPr>
          <w:ilvl w:val="0"/>
          <w:numId w:val="2"/>
        </w:numPr>
        <w:tabs>
          <w:tab w:val="clear" w:pos="360"/>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673927">
        <w:rPr>
          <w:rFonts w:ascii="Times New Roman" w:eastAsia="Times New Roman" w:hAnsi="Times New Roman" w:cs="Times New Roman"/>
          <w:iCs/>
          <w:kern w:val="0"/>
          <w:sz w:val="22"/>
          <w:szCs w:val="22"/>
          <w:lang w:eastAsia="lt-LT"/>
          <w14:ligatures w14:val="none"/>
        </w:rPr>
        <w:t>jeigu vartojate antikoaguliantų;</w:t>
      </w:r>
    </w:p>
    <w:p w14:paraId="31751D32" w14:textId="65A71EEE" w:rsidR="00673927" w:rsidRPr="00673927" w:rsidRDefault="00673927" w:rsidP="00673927">
      <w:pPr>
        <w:numPr>
          <w:ilvl w:val="0"/>
          <w:numId w:val="2"/>
        </w:numPr>
        <w:tabs>
          <w:tab w:val="clear" w:pos="360"/>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673927">
        <w:rPr>
          <w:rFonts w:ascii="Times New Roman" w:eastAsia="Times New Roman" w:hAnsi="Times New Roman" w:cs="Times New Roman"/>
          <w:iCs/>
          <w:kern w:val="0"/>
          <w:sz w:val="22"/>
          <w:szCs w:val="22"/>
          <w:lang w:eastAsia="lt-LT"/>
          <w14:ligatures w14:val="none"/>
        </w:rPr>
        <w:t xml:space="preserve">jeigu sergate cukriniu diabetu. Suleidus į raumenis, </w:t>
      </w:r>
      <w:r w:rsidR="00C745B0">
        <w:rPr>
          <w:rFonts w:ascii="Times New Roman" w:eastAsia="Times New Roman" w:hAnsi="Times New Roman" w:cs="Times New Roman"/>
          <w:iCs/>
          <w:kern w:val="0"/>
          <w:sz w:val="22"/>
          <w:szCs w:val="22"/>
          <w:lang w:eastAsia="lt-LT"/>
          <w14:ligatures w14:val="none"/>
        </w:rPr>
        <w:t>Penicilina G sodica Atb</w:t>
      </w:r>
      <w:r w:rsidRPr="00673927">
        <w:rPr>
          <w:rFonts w:ascii="Times New Roman" w:eastAsia="Times New Roman" w:hAnsi="Times New Roman" w:cs="Times New Roman"/>
          <w:iCs/>
          <w:kern w:val="0"/>
          <w:sz w:val="22"/>
          <w:szCs w:val="22"/>
          <w:lang w:eastAsia="lt-LT"/>
          <w14:ligatures w14:val="none"/>
        </w:rPr>
        <w:t xml:space="preserve"> absorbcija gali būti lėtesnė;</w:t>
      </w:r>
    </w:p>
    <w:p w14:paraId="74EDE053" w14:textId="77777777" w:rsidR="00673927" w:rsidRPr="00673927" w:rsidRDefault="00673927" w:rsidP="00673927">
      <w:pPr>
        <w:numPr>
          <w:ilvl w:val="0"/>
          <w:numId w:val="2"/>
        </w:numPr>
        <w:tabs>
          <w:tab w:val="clear" w:pos="360"/>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673927">
        <w:rPr>
          <w:rFonts w:ascii="Times New Roman" w:eastAsia="Times New Roman" w:hAnsi="Times New Roman" w:cs="Times New Roman"/>
          <w:iCs/>
          <w:kern w:val="0"/>
          <w:sz w:val="22"/>
          <w:szCs w:val="22"/>
          <w:lang w:eastAsia="lt-LT"/>
          <w14:ligatures w14:val="none"/>
        </w:rPr>
        <w:t>jeigu sergate lytiškai plintančia liga, prieš pradedant gydymą reikia atmesti sifilio galimybę;</w:t>
      </w:r>
    </w:p>
    <w:p w14:paraId="64C3D632" w14:textId="432E37D3" w:rsidR="00673927" w:rsidRPr="00673927" w:rsidRDefault="00673927" w:rsidP="00673927">
      <w:pPr>
        <w:numPr>
          <w:ilvl w:val="0"/>
          <w:numId w:val="4"/>
        </w:numPr>
        <w:tabs>
          <w:tab w:val="clear" w:pos="360"/>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673927">
        <w:rPr>
          <w:rFonts w:ascii="Times New Roman" w:eastAsia="Times New Roman" w:hAnsi="Times New Roman" w:cs="Times New Roman"/>
          <w:iCs/>
          <w:kern w:val="0"/>
          <w:sz w:val="22"/>
          <w:szCs w:val="22"/>
          <w:lang w:eastAsia="lt-LT"/>
          <w14:ligatures w14:val="none"/>
        </w:rPr>
        <w:t xml:space="preserve">jeigu Jums taikomas Laimo ligos ar sifilio komplikacijų gydymas, dažnai gali pasireikšti trumpalaikė reakcija (vadinama </w:t>
      </w:r>
      <w:r w:rsidRPr="00673927">
        <w:rPr>
          <w:rFonts w:ascii="Times New Roman" w:eastAsia="Times New Roman" w:hAnsi="Times New Roman" w:cs="Times New Roman"/>
          <w:kern w:val="0"/>
          <w:sz w:val="22"/>
          <w:szCs w:val="22"/>
          <w:lang w:eastAsia="lt-LT"/>
          <w14:ligatures w14:val="none"/>
        </w:rPr>
        <w:t>Jarišo-Herksheimerio (</w:t>
      </w:r>
      <w:r w:rsidRPr="00673927">
        <w:rPr>
          <w:rFonts w:ascii="TimesNewRomanPS-BoldItalicMT" w:eastAsia="PMingLiU" w:hAnsi="TimesNewRomanPS-BoldItalicMT" w:cs="TimesNewRomanPS-BoldItalicMT"/>
          <w:bCs/>
          <w:i/>
          <w:iCs/>
          <w:kern w:val="0"/>
          <w:sz w:val="22"/>
          <w:szCs w:val="22"/>
          <w:lang w:eastAsia="zh-TW"/>
          <w14:ligatures w14:val="none"/>
        </w:rPr>
        <w:t>Jarisch-Herxheimer</w:t>
      </w:r>
      <w:r w:rsidRPr="00673927">
        <w:rPr>
          <w:rFonts w:ascii="TimesNewRomanPS-BoldItalicMT" w:eastAsia="PMingLiU" w:hAnsi="TimesNewRomanPS-BoldItalicMT" w:cs="TimesNewRomanPS-BoldItalicMT"/>
          <w:bCs/>
          <w:iCs/>
          <w:kern w:val="0"/>
          <w:lang w:eastAsia="zh-TW"/>
          <w14:ligatures w14:val="none"/>
        </w:rPr>
        <w:t>)</w:t>
      </w:r>
      <w:r w:rsidRPr="00673927">
        <w:rPr>
          <w:rFonts w:ascii="Times New Roman" w:eastAsia="Times New Roman" w:hAnsi="Times New Roman" w:cs="Times New Roman"/>
          <w:kern w:val="0"/>
          <w:sz w:val="22"/>
          <w:szCs w:val="22"/>
          <w:lang w:eastAsia="lt-LT"/>
          <w14:ligatures w14:val="none"/>
        </w:rPr>
        <w:t xml:space="preserve"> </w:t>
      </w:r>
      <w:r w:rsidRPr="00673927">
        <w:rPr>
          <w:rFonts w:ascii="Times New Roman" w:eastAsia="Times New Roman" w:hAnsi="Times New Roman" w:cs="Times New Roman"/>
          <w:iCs/>
          <w:kern w:val="0"/>
          <w:sz w:val="22"/>
          <w:szCs w:val="22"/>
          <w:lang w:eastAsia="lt-LT"/>
          <w14:ligatures w14:val="none"/>
        </w:rPr>
        <w:t xml:space="preserve">reakcija), nes </w:t>
      </w:r>
      <w:r w:rsidR="00C745B0">
        <w:rPr>
          <w:rFonts w:ascii="Times New Roman" w:eastAsia="Times New Roman" w:hAnsi="Times New Roman" w:cs="Times New Roman"/>
          <w:iCs/>
          <w:kern w:val="0"/>
          <w:sz w:val="22"/>
          <w:szCs w:val="22"/>
          <w:lang w:eastAsia="lt-LT"/>
          <w14:ligatures w14:val="none"/>
        </w:rPr>
        <w:t>Penicilina G sodica Atb</w:t>
      </w:r>
      <w:r w:rsidRPr="00673927">
        <w:rPr>
          <w:rFonts w:ascii="Times New Roman" w:eastAsia="Times New Roman" w:hAnsi="Times New Roman" w:cs="Times New Roman"/>
          <w:iCs/>
          <w:kern w:val="0"/>
          <w:sz w:val="22"/>
          <w:szCs w:val="22"/>
          <w:lang w:eastAsia="lt-LT"/>
          <w14:ligatures w14:val="none"/>
        </w:rPr>
        <w:t xml:space="preserve"> turi baktericidinį poveikį patogenams. Ši reakcija gali pasireikšti staigiu karščiavimu, šaltkrėčiu, odos paraudimu, galvos skausmu, raumenų ir sąnarių skausmu, nuovargiu ir (arba) išsekimu. Simptomai gali išlikti kelias dienas. Pasakykite gydytojui, kuris gali padėti Jums palengvinti šiuos laikinus simptomus;</w:t>
      </w:r>
    </w:p>
    <w:p w14:paraId="47FD3AB8" w14:textId="2970AD15" w:rsidR="00673927" w:rsidRPr="00673927" w:rsidRDefault="00673927" w:rsidP="00673927">
      <w:pPr>
        <w:numPr>
          <w:ilvl w:val="0"/>
          <w:numId w:val="4"/>
        </w:numPr>
        <w:tabs>
          <w:tab w:val="clear" w:pos="360"/>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673927">
        <w:rPr>
          <w:rFonts w:ascii="Times New Roman" w:eastAsia="Times New Roman" w:hAnsi="Times New Roman" w:cs="Times New Roman"/>
          <w:iCs/>
          <w:kern w:val="0"/>
          <w:sz w:val="22"/>
          <w:szCs w:val="22"/>
          <w:lang w:eastAsia="lt-LT"/>
          <w14:ligatures w14:val="none"/>
        </w:rPr>
        <w:t xml:space="preserve">gydymo </w:t>
      </w:r>
      <w:r w:rsidR="00C745B0">
        <w:rPr>
          <w:rFonts w:ascii="Times New Roman" w:eastAsia="Times New Roman" w:hAnsi="Times New Roman" w:cs="Times New Roman"/>
          <w:iCs/>
          <w:kern w:val="0"/>
          <w:sz w:val="22"/>
          <w:szCs w:val="22"/>
          <w:lang w:eastAsia="lt-LT"/>
          <w14:ligatures w14:val="none"/>
        </w:rPr>
        <w:t>Penicilina G sodica Atb</w:t>
      </w:r>
      <w:r w:rsidRPr="00673927">
        <w:rPr>
          <w:rFonts w:ascii="Times New Roman" w:eastAsia="Times New Roman" w:hAnsi="Times New Roman" w:cs="Times New Roman"/>
          <w:iCs/>
          <w:kern w:val="0"/>
          <w:sz w:val="22"/>
          <w:szCs w:val="22"/>
          <w:lang w:eastAsia="lt-LT"/>
          <w14:ligatures w14:val="none"/>
        </w:rPr>
        <w:t xml:space="preserve"> metu pasireiškusio sunkaus nuolatinio viduriavimo priežastis gali būti su antibiotikų vartojimu susijęs kolitas (storosios žarnos uždegimas). Jo simptomai: viduriuojama vandeningomis išmatomis, kuriose yra gleivių ir kraujo, pasireiškia stiprus, difuzinis pilvo skausmas ar pilvo diegliai, karščiavimas, nuolatinis ir skausmingas noras tuštintis. </w:t>
      </w:r>
      <w:r w:rsidR="00C745B0">
        <w:rPr>
          <w:rFonts w:ascii="Times New Roman" w:eastAsia="Times New Roman" w:hAnsi="Times New Roman" w:cs="Times New Roman"/>
          <w:iCs/>
          <w:kern w:val="0"/>
          <w:sz w:val="22"/>
          <w:szCs w:val="22"/>
          <w:lang w:eastAsia="lt-LT"/>
          <w14:ligatures w14:val="none"/>
        </w:rPr>
        <w:t>Penicilina G sodica Atb</w:t>
      </w:r>
      <w:r w:rsidRPr="00673927">
        <w:rPr>
          <w:rFonts w:ascii="Times New Roman" w:eastAsia="Times New Roman" w:hAnsi="Times New Roman" w:cs="Times New Roman"/>
          <w:iCs/>
          <w:kern w:val="0"/>
          <w:sz w:val="22"/>
          <w:szCs w:val="22"/>
          <w:lang w:eastAsia="lt-LT"/>
          <w14:ligatures w14:val="none"/>
        </w:rPr>
        <w:t xml:space="preserve"> vartojimą nedelsdami nutraukite ir gydytojas skubiai pradės tinkamą gydymą;</w:t>
      </w:r>
    </w:p>
    <w:p w14:paraId="58C276AA" w14:textId="77777777" w:rsidR="00673927" w:rsidRPr="00673927" w:rsidRDefault="00673927" w:rsidP="00673927">
      <w:pPr>
        <w:numPr>
          <w:ilvl w:val="0"/>
          <w:numId w:val="4"/>
        </w:numPr>
        <w:tabs>
          <w:tab w:val="clear" w:pos="360"/>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673927">
        <w:rPr>
          <w:rFonts w:ascii="Times New Roman" w:eastAsia="Times New Roman" w:hAnsi="Times New Roman" w:cs="Times New Roman"/>
          <w:iCs/>
          <w:kern w:val="0"/>
          <w:sz w:val="22"/>
          <w:szCs w:val="22"/>
          <w:lang w:eastAsia="lt-LT"/>
          <w14:ligatures w14:val="none"/>
        </w:rPr>
        <w:lastRenderedPageBreak/>
        <w:t xml:space="preserve">ilgalaikio gydymo metu (kelios savaitės) bet koks antibakterinis gydymas gali sukelti tam tikrų neinvazinių mikroorganizmų (bakterijų ar grybelių) dauginimąsi. Todėl pasakykite gydytojui, jeigu pasireiškia viduriavimas, niežtintis odos išbėrimas arba grybelių išvešėjimas gleivinėje. Be to, ilgalaikio gydymo metu (daugiau nei 5 paros), gydytojas reguliariai atliks kraujo tyrimus (elektrolitų, inkstų funkcijos, kraujo tyrimus ir kt.). </w:t>
      </w:r>
    </w:p>
    <w:p w14:paraId="374F3F16" w14:textId="77777777" w:rsidR="00673927" w:rsidRPr="00673927" w:rsidRDefault="00673927" w:rsidP="00673927">
      <w:pPr>
        <w:spacing w:after="0" w:line="240" w:lineRule="auto"/>
        <w:rPr>
          <w:rFonts w:ascii="Times New Roman" w:eastAsia="Times New Roman" w:hAnsi="Times New Roman" w:cs="Times New Roman"/>
          <w:iCs/>
          <w:kern w:val="0"/>
          <w:sz w:val="22"/>
          <w:szCs w:val="22"/>
          <w:lang w:eastAsia="lt-LT"/>
          <w14:ligatures w14:val="none"/>
        </w:rPr>
      </w:pPr>
    </w:p>
    <w:p w14:paraId="7633F4F9"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u w:val="single"/>
          <w:lang w:eastAsia="lt-LT"/>
          <w14:ligatures w14:val="none"/>
        </w:rPr>
      </w:pPr>
      <w:r w:rsidRPr="00673927">
        <w:rPr>
          <w:rFonts w:ascii="Times New Roman" w:eastAsia="Times New Roman" w:hAnsi="Times New Roman" w:cs="Times New Roman"/>
          <w:kern w:val="0"/>
          <w:sz w:val="22"/>
          <w:szCs w:val="22"/>
          <w:u w:val="single"/>
          <w:lang w:eastAsia="lt-LT"/>
          <w14:ligatures w14:val="none"/>
        </w:rPr>
        <w:t>Poveikis diagnostinėms laboratorinėms procedūroms</w:t>
      </w:r>
    </w:p>
    <w:p w14:paraId="4249E753" w14:textId="186A0E44"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Įspėkite gydytoją, jeigu Jums bus atliekami bet kokie laboratoriniai tyrimai. Gydymo </w:t>
      </w:r>
      <w:r w:rsidR="00C745B0">
        <w:rPr>
          <w:rFonts w:ascii="Times New Roman" w:eastAsia="Times New Roman" w:hAnsi="Times New Roman" w:cs="Times New Roman"/>
          <w:kern w:val="0"/>
          <w:sz w:val="22"/>
          <w:szCs w:val="22"/>
          <w:lang w:eastAsia="lt-LT"/>
          <w14:ligatures w14:val="none"/>
        </w:rPr>
        <w:t>Penicilina G sodica Atb</w:t>
      </w:r>
      <w:r w:rsidRPr="00673927">
        <w:rPr>
          <w:rFonts w:ascii="Times New Roman" w:eastAsia="Times New Roman" w:hAnsi="Times New Roman" w:cs="Times New Roman"/>
          <w:kern w:val="0"/>
          <w:sz w:val="22"/>
          <w:szCs w:val="22"/>
          <w:lang w:eastAsia="lt-LT"/>
          <w14:ligatures w14:val="none"/>
        </w:rPr>
        <w:t xml:space="preserve"> metu šių tyrimų rezultatai gali būti neteisingi (žr. skyrių „Galimas šalutinis poveikis“).</w:t>
      </w:r>
    </w:p>
    <w:p w14:paraId="283C202A"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p>
    <w:p w14:paraId="25AAA9E6" w14:textId="77777777" w:rsidR="00673927" w:rsidRPr="00673927" w:rsidRDefault="00673927" w:rsidP="00673927">
      <w:pPr>
        <w:spacing w:after="0" w:line="240" w:lineRule="auto"/>
        <w:contextualSpacing/>
        <w:rPr>
          <w:rFonts w:ascii="Times New Roman" w:eastAsia="Times New Roman" w:hAnsi="Times New Roman" w:cs="Times New Roman"/>
          <w:b/>
          <w:bCs/>
          <w:kern w:val="0"/>
          <w:sz w:val="22"/>
          <w:szCs w:val="22"/>
          <w:lang w:eastAsia="lt-LT"/>
          <w14:ligatures w14:val="none"/>
        </w:rPr>
      </w:pPr>
      <w:r w:rsidRPr="00673927">
        <w:rPr>
          <w:rFonts w:ascii="Times New Roman" w:eastAsia="Times New Roman" w:hAnsi="Times New Roman" w:cs="Times New Roman"/>
          <w:b/>
          <w:bCs/>
          <w:kern w:val="0"/>
          <w:sz w:val="22"/>
          <w:szCs w:val="22"/>
          <w:lang w:eastAsia="lt-LT"/>
          <w14:ligatures w14:val="none"/>
        </w:rPr>
        <w:t>Vaikams ir paaugliams</w:t>
      </w:r>
    </w:p>
    <w:p w14:paraId="1F44B0B4"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Naujagimius gydyti reikia atsargiai. Yra gauta pranešimų, kad injekcijos į raumenis kūdikiams sukėlė sunkių vietinių reakcijų, todėl rekomenduojama leisti į veną.</w:t>
      </w:r>
    </w:p>
    <w:p w14:paraId="293B9C32"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6EE3E37B" w14:textId="4213E5AB" w:rsidR="00673927" w:rsidRPr="00673927" w:rsidRDefault="00673927" w:rsidP="00673927">
      <w:pPr>
        <w:keepNext/>
        <w:spacing w:after="0" w:line="240" w:lineRule="auto"/>
        <w:outlineLvl w:val="2"/>
        <w:rPr>
          <w:rFonts w:ascii="Times New Roman" w:eastAsia="Times New Roman" w:hAnsi="Times New Roman" w:cs="Times New Roman"/>
          <w:b/>
          <w:kern w:val="0"/>
          <w:sz w:val="22"/>
          <w:szCs w:val="20"/>
          <w:lang w:eastAsia="lt-LT"/>
          <w14:ligatures w14:val="none"/>
        </w:rPr>
      </w:pPr>
      <w:r w:rsidRPr="00673927">
        <w:rPr>
          <w:rFonts w:ascii="Times New Roman" w:eastAsia="Times New Roman" w:hAnsi="Times New Roman" w:cs="Times New Roman"/>
          <w:b/>
          <w:kern w:val="0"/>
          <w:sz w:val="22"/>
          <w:szCs w:val="20"/>
          <w:lang w:eastAsia="lt-LT"/>
          <w14:ligatures w14:val="none"/>
        </w:rPr>
        <w:t xml:space="preserve">Kiti vaistai ir </w:t>
      </w:r>
      <w:r w:rsidR="00C745B0">
        <w:rPr>
          <w:rFonts w:ascii="Times New Roman" w:eastAsia="Times New Roman" w:hAnsi="Times New Roman" w:cs="Times New Roman"/>
          <w:b/>
          <w:kern w:val="0"/>
          <w:sz w:val="22"/>
          <w:szCs w:val="20"/>
          <w:lang w:eastAsia="lt-LT"/>
          <w14:ligatures w14:val="none"/>
        </w:rPr>
        <w:t>Penicilina G sodica Atb</w:t>
      </w:r>
    </w:p>
    <w:p w14:paraId="379AE42A"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Jeigu vartojate ar neseniai vartojote kitų vaistų arba dėl to nesate tikri, apie tai pasakykite gydytojui arba vaistininkui. </w:t>
      </w:r>
    </w:p>
    <w:p w14:paraId="4C2FEA1C"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p>
    <w:p w14:paraId="65351F9E"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Pasakykite gydytojui, jeigu vartojate kurią nors iš šių veikliųjų medžiagų:</w:t>
      </w:r>
    </w:p>
    <w:p w14:paraId="420ADC5F" w14:textId="77777777" w:rsidR="00673927" w:rsidRPr="00673927" w:rsidRDefault="00673927" w:rsidP="00673927">
      <w:pPr>
        <w:numPr>
          <w:ilvl w:val="0"/>
          <w:numId w:val="4"/>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probenecido (vaisto podagrai gydyti);</w:t>
      </w:r>
    </w:p>
    <w:p w14:paraId="35B4F889" w14:textId="77777777" w:rsidR="00673927" w:rsidRPr="00673927" w:rsidRDefault="00673927" w:rsidP="00673927">
      <w:pPr>
        <w:numPr>
          <w:ilvl w:val="0"/>
          <w:numId w:val="4"/>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indometacino, fenilbutazono, acetilsalicilatų (vaistų karščiavimui ir uždegimui mažinti, reumatui ir kitiems skausmams gydyti).</w:t>
      </w:r>
    </w:p>
    <w:p w14:paraId="7AAF794E" w14:textId="1947A2C2"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Šios veikliosios medžiagos gali padidinti </w:t>
      </w:r>
      <w:r w:rsidR="00C745B0">
        <w:rPr>
          <w:rFonts w:ascii="Times New Roman" w:eastAsia="Times New Roman" w:hAnsi="Times New Roman" w:cs="Times New Roman"/>
          <w:kern w:val="0"/>
          <w:sz w:val="22"/>
          <w:szCs w:val="22"/>
          <w:lang w:eastAsia="lt-LT"/>
          <w14:ligatures w14:val="none"/>
        </w:rPr>
        <w:t>Penicilina G sodica Atb</w:t>
      </w:r>
      <w:r w:rsidRPr="00673927">
        <w:rPr>
          <w:rFonts w:ascii="Times New Roman" w:eastAsia="Times New Roman" w:hAnsi="Times New Roman" w:cs="Times New Roman"/>
          <w:kern w:val="0"/>
          <w:sz w:val="22"/>
          <w:szCs w:val="22"/>
          <w:lang w:eastAsia="lt-LT"/>
          <w14:ligatures w14:val="none"/>
        </w:rPr>
        <w:t xml:space="preserve"> koncentraciją ir jo pašalinimas iš organizmo gali trukti ilgiau.</w:t>
      </w:r>
    </w:p>
    <w:p w14:paraId="38CDA7DD"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44AD8CF2"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u w:val="single"/>
          <w:lang w:eastAsia="lt-LT"/>
          <w14:ligatures w14:val="none"/>
        </w:rPr>
      </w:pPr>
      <w:r w:rsidRPr="00673927">
        <w:rPr>
          <w:rFonts w:ascii="Times New Roman" w:eastAsia="Times New Roman" w:hAnsi="Times New Roman" w:cs="Times New Roman"/>
          <w:kern w:val="0"/>
          <w:sz w:val="22"/>
          <w:szCs w:val="22"/>
          <w:u w:val="single"/>
          <w:lang w:eastAsia="lt-LT"/>
          <w14:ligatures w14:val="none"/>
        </w:rPr>
        <w:t>Kiti antibiotikai</w:t>
      </w:r>
    </w:p>
    <w:p w14:paraId="5104FA94" w14:textId="4A81D6A0"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Kadangi penicilinai veikia tik tam tikrus mikroorganizmus, </w:t>
      </w:r>
      <w:r w:rsidR="00C745B0">
        <w:rPr>
          <w:rFonts w:ascii="Times New Roman" w:eastAsia="Times New Roman" w:hAnsi="Times New Roman" w:cs="Times New Roman"/>
          <w:kern w:val="0"/>
          <w:sz w:val="22"/>
          <w:szCs w:val="22"/>
          <w:lang w:eastAsia="lt-LT"/>
          <w14:ligatures w14:val="none"/>
        </w:rPr>
        <w:t>Penicilina G sodica Atb</w:t>
      </w:r>
      <w:r w:rsidRPr="00673927">
        <w:rPr>
          <w:rFonts w:ascii="Times New Roman" w:eastAsia="Times New Roman" w:hAnsi="Times New Roman" w:cs="Times New Roman"/>
          <w:kern w:val="0"/>
          <w:sz w:val="22"/>
          <w:szCs w:val="22"/>
          <w:lang w:eastAsia="lt-LT"/>
          <w14:ligatures w14:val="none"/>
        </w:rPr>
        <w:t xml:space="preserve"> turėtų būti derinamas tik su tam tikrais antibiotikais. Gydytojas nuspręs, kurie deriniai yra veiksmingi.</w:t>
      </w:r>
    </w:p>
    <w:p w14:paraId="470DD15D"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p>
    <w:p w14:paraId="7825AF34"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u w:val="single"/>
          <w:lang w:eastAsia="lt-LT"/>
          <w14:ligatures w14:val="none"/>
        </w:rPr>
      </w:pPr>
      <w:r w:rsidRPr="00673927">
        <w:rPr>
          <w:rFonts w:ascii="Times New Roman" w:eastAsia="Times New Roman" w:hAnsi="Times New Roman" w:cs="Times New Roman"/>
          <w:kern w:val="0"/>
          <w:sz w:val="22"/>
          <w:szCs w:val="22"/>
          <w:u w:val="single"/>
          <w:lang w:eastAsia="lt-LT"/>
          <w14:ligatures w14:val="none"/>
        </w:rPr>
        <w:t>Digoksinas (vaistas širdies ligoms gydyti)</w:t>
      </w:r>
    </w:p>
    <w:p w14:paraId="58BF5699" w14:textId="7509F46F"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Vartojant kartu su </w:t>
      </w:r>
      <w:r w:rsidR="00C745B0">
        <w:rPr>
          <w:rFonts w:ascii="Times New Roman" w:eastAsia="Times New Roman" w:hAnsi="Times New Roman" w:cs="Times New Roman"/>
          <w:kern w:val="0"/>
          <w:sz w:val="22"/>
          <w:szCs w:val="22"/>
          <w:lang w:eastAsia="lt-LT"/>
          <w14:ligatures w14:val="none"/>
        </w:rPr>
        <w:t>Penicilina G sodica Atb</w:t>
      </w:r>
      <w:r w:rsidRPr="00673927">
        <w:rPr>
          <w:rFonts w:ascii="Times New Roman" w:eastAsia="Times New Roman" w:hAnsi="Times New Roman" w:cs="Times New Roman"/>
          <w:kern w:val="0"/>
          <w:sz w:val="22"/>
          <w:szCs w:val="22"/>
          <w:lang w:eastAsia="lt-LT"/>
          <w14:ligatures w14:val="none"/>
        </w:rPr>
        <w:t>, širdies susitraukimų dažnis gali sulėtėti (bradikardija).</w:t>
      </w:r>
    </w:p>
    <w:p w14:paraId="3F6A1D66"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p>
    <w:p w14:paraId="64F6A885"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u w:val="single"/>
          <w:lang w:eastAsia="lt-LT"/>
          <w14:ligatures w14:val="none"/>
        </w:rPr>
      </w:pPr>
      <w:r w:rsidRPr="00673927">
        <w:rPr>
          <w:rFonts w:ascii="Times New Roman" w:eastAsia="Times New Roman" w:hAnsi="Times New Roman" w:cs="Times New Roman"/>
          <w:kern w:val="0"/>
          <w:sz w:val="22"/>
          <w:szCs w:val="22"/>
          <w:u w:val="single"/>
          <w:lang w:eastAsia="lt-LT"/>
          <w14:ligatures w14:val="none"/>
        </w:rPr>
        <w:t>Metotreksatas (chemoterapinis vaistas, vartojamas vėžiui gydyti)</w:t>
      </w:r>
    </w:p>
    <w:p w14:paraId="65ABE7AE" w14:textId="2164A324"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Vartojant kartu su </w:t>
      </w:r>
      <w:r w:rsidR="00C745B0">
        <w:rPr>
          <w:rFonts w:ascii="Times New Roman" w:eastAsia="Times New Roman" w:hAnsi="Times New Roman" w:cs="Times New Roman"/>
          <w:kern w:val="0"/>
          <w:sz w:val="22"/>
          <w:szCs w:val="22"/>
          <w:lang w:eastAsia="lt-LT"/>
          <w14:ligatures w14:val="none"/>
        </w:rPr>
        <w:t>Penicilina G sodica Atb</w:t>
      </w:r>
      <w:r w:rsidRPr="00673927">
        <w:rPr>
          <w:rFonts w:ascii="Times New Roman" w:eastAsia="Times New Roman" w:hAnsi="Times New Roman" w:cs="Times New Roman"/>
          <w:kern w:val="0"/>
          <w:sz w:val="22"/>
          <w:szCs w:val="22"/>
          <w:lang w:eastAsia="lt-LT"/>
          <w14:ligatures w14:val="none"/>
        </w:rPr>
        <w:t>, sumažėja metotreksato išsiskyrimas. Jeigu įmanoma, metotreksato ir penicilino derinio reikia vengti. Jei kombinuoto gydymo išvengti nepavyks, gydytojas apsvarstys galimybę sumažinti metotreksato dozę ir stebės metotreksato koncentraciją serume. Gydytojas stebės, ar nepasireiškia kitoks šalutinis metotreksato poveikis, įskaitant leukopeniją, trombocitopeniją ir pūlių kaupimąsi po oda.</w:t>
      </w:r>
    </w:p>
    <w:p w14:paraId="0EE3F799"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p>
    <w:p w14:paraId="5A9E65F2"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u w:val="single"/>
          <w:lang w:eastAsia="lt-LT"/>
          <w14:ligatures w14:val="none"/>
        </w:rPr>
      </w:pPr>
      <w:r w:rsidRPr="00673927">
        <w:rPr>
          <w:rFonts w:ascii="Times New Roman" w:eastAsia="Times New Roman" w:hAnsi="Times New Roman" w:cs="Times New Roman"/>
          <w:kern w:val="0"/>
          <w:sz w:val="22"/>
          <w:szCs w:val="22"/>
          <w:u w:val="single"/>
          <w:lang w:eastAsia="lt-LT"/>
          <w14:ligatures w14:val="none"/>
        </w:rPr>
        <w:t>Geriamieji antikoaguliantai</w:t>
      </w:r>
    </w:p>
    <w:p w14:paraId="09B9EC0E"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Geriamieji antikoaguliantai ir penicilinų grupės antibiotikai yra plačiai vartojami be jokios sąveikos. Jeigu juos reikia vartoti kartu, skiriant derinį, arba nutraukiant penicilino vartojimą, gydytojas atidžiai stebės protrombino laiką ar kitus tinkamus krešėjimo parametrus. Taip pat gali prireikti koreguoti geriamojo antikoagulianto dozę.</w:t>
      </w:r>
    </w:p>
    <w:p w14:paraId="3CA18138"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p>
    <w:p w14:paraId="1AE71AA9" w14:textId="77777777" w:rsidR="00673927" w:rsidRPr="00673927" w:rsidRDefault="00673927" w:rsidP="00673927">
      <w:pPr>
        <w:spacing w:after="0" w:line="240" w:lineRule="auto"/>
        <w:rPr>
          <w:rFonts w:ascii="Times New Roman" w:eastAsia="Times New Roman" w:hAnsi="Times New Roman" w:cs="Times New Roman"/>
          <w:b/>
          <w:i/>
          <w:iCs/>
          <w:kern w:val="0"/>
          <w:sz w:val="22"/>
          <w:szCs w:val="22"/>
          <w:lang w:eastAsia="lt-LT"/>
          <w14:ligatures w14:val="none"/>
        </w:rPr>
      </w:pPr>
      <w:r w:rsidRPr="00673927">
        <w:rPr>
          <w:rFonts w:ascii="Times New Roman" w:eastAsia="Times New Roman" w:hAnsi="Times New Roman" w:cs="Times New Roman"/>
          <w:b/>
          <w:i/>
          <w:iCs/>
          <w:kern w:val="0"/>
          <w:sz w:val="22"/>
          <w:szCs w:val="22"/>
          <w:lang w:eastAsia="lt-LT"/>
          <w14:ligatures w14:val="none"/>
        </w:rPr>
        <w:t>Įtaka laboratorinių tyrimų rezultatams</w:t>
      </w:r>
    </w:p>
    <w:p w14:paraId="2EF68CA7"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Vartojant šio vaisto gali pakisti tam tikri kraujo tyrimų rezultatai, t.y., kraujo krešėjimo rodiklis (tarptautinis normalizuotas santykis (TNS)).</w:t>
      </w:r>
    </w:p>
    <w:p w14:paraId="437EB28B" w14:textId="77777777" w:rsidR="00673927" w:rsidRPr="00673927" w:rsidRDefault="00673927" w:rsidP="00673927">
      <w:pPr>
        <w:spacing w:after="0" w:line="240" w:lineRule="auto"/>
        <w:rPr>
          <w:rFonts w:ascii="Times New Roman" w:eastAsia="Times New Roman" w:hAnsi="Times New Roman" w:cs="Times New Roman"/>
          <w:b/>
          <w:kern w:val="0"/>
          <w:sz w:val="22"/>
          <w:szCs w:val="22"/>
          <w:lang w:eastAsia="lt-LT"/>
          <w14:ligatures w14:val="none"/>
        </w:rPr>
      </w:pPr>
    </w:p>
    <w:p w14:paraId="6E944A19" w14:textId="77777777" w:rsidR="00673927" w:rsidRPr="00673927" w:rsidRDefault="00673927" w:rsidP="00673927">
      <w:pPr>
        <w:spacing w:after="0" w:line="240" w:lineRule="auto"/>
        <w:rPr>
          <w:rFonts w:ascii="Times New Roman" w:eastAsia="Times New Roman" w:hAnsi="Times New Roman" w:cs="Times New Roman"/>
          <w:b/>
          <w:kern w:val="0"/>
          <w:sz w:val="22"/>
          <w:szCs w:val="22"/>
          <w:lang w:eastAsia="lt-LT"/>
          <w14:ligatures w14:val="none"/>
        </w:rPr>
      </w:pPr>
      <w:r w:rsidRPr="00673927">
        <w:rPr>
          <w:rFonts w:ascii="Times New Roman" w:eastAsia="Times New Roman" w:hAnsi="Times New Roman" w:cs="Times New Roman"/>
          <w:b/>
          <w:kern w:val="0"/>
          <w:sz w:val="22"/>
          <w:szCs w:val="22"/>
          <w:lang w:eastAsia="lt-LT"/>
          <w14:ligatures w14:val="none"/>
        </w:rPr>
        <w:t>Nėštumas, žindymo laikotarpis ir vaisingumas</w:t>
      </w:r>
    </w:p>
    <w:p w14:paraId="49EB857C" w14:textId="77777777" w:rsidR="00673927" w:rsidRPr="00673927" w:rsidRDefault="00673927" w:rsidP="00673927">
      <w:pPr>
        <w:numPr>
          <w:ilvl w:val="12"/>
          <w:numId w:val="0"/>
        </w:numPr>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noProof/>
          <w:kern w:val="0"/>
          <w:sz w:val="22"/>
          <w:szCs w:val="22"/>
          <w:lang w:eastAsia="lt-LT"/>
          <w14:ligatures w14:val="none"/>
        </w:rPr>
        <w:t>Jeigu esate nėščia, žindote kūdikį, manote, kad galbūt esate nėščia, arba planuojate pastoti, tai prieš vartodama šį vaistą, pasitarkite su gydytoju.</w:t>
      </w:r>
      <w:r w:rsidRPr="00673927">
        <w:rPr>
          <w:rFonts w:ascii="Times New Roman" w:eastAsia="Times New Roman" w:hAnsi="Times New Roman" w:cs="Times New Roman"/>
          <w:kern w:val="0"/>
          <w:sz w:val="22"/>
          <w:szCs w:val="22"/>
          <w:lang w:eastAsia="lt-LT"/>
          <w14:ligatures w14:val="none"/>
        </w:rPr>
        <w:t xml:space="preserve"> </w:t>
      </w:r>
    </w:p>
    <w:p w14:paraId="6B6CCF2B"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48549EC1" w14:textId="77777777" w:rsidR="00673927" w:rsidRPr="00673927" w:rsidRDefault="00673927" w:rsidP="00673927">
      <w:pPr>
        <w:spacing w:after="0" w:line="240" w:lineRule="auto"/>
        <w:rPr>
          <w:rFonts w:ascii="Times New Roman" w:eastAsia="Times New Roman" w:hAnsi="Times New Roman" w:cs="Times New Roman"/>
          <w:b/>
          <w:kern w:val="0"/>
          <w:sz w:val="22"/>
          <w:szCs w:val="22"/>
          <w:lang w:eastAsia="lt-LT"/>
          <w14:ligatures w14:val="none"/>
        </w:rPr>
      </w:pPr>
      <w:r w:rsidRPr="00673927">
        <w:rPr>
          <w:rFonts w:ascii="Times New Roman" w:eastAsia="Times New Roman" w:hAnsi="Times New Roman" w:cs="Times New Roman"/>
          <w:b/>
          <w:kern w:val="0"/>
          <w:sz w:val="22"/>
          <w:szCs w:val="22"/>
          <w:lang w:eastAsia="lt-LT"/>
          <w14:ligatures w14:val="none"/>
        </w:rPr>
        <w:t>Nėštumas</w:t>
      </w:r>
    </w:p>
    <w:p w14:paraId="715B2EF2" w14:textId="4590BEDD"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Benzilpenicilinas prasiskverbia per placentą ir patenka į embriono ar vaisiaus kraują. Iki šiol atliktais tyrimų su gyvūnais duomenimis, jokios žalos embrionui ar vaisiui nėra. Jei gydytojas nusprendžia, kad </w:t>
      </w:r>
      <w:r w:rsidR="00C745B0">
        <w:rPr>
          <w:rFonts w:ascii="Times New Roman" w:eastAsia="Times New Roman" w:hAnsi="Times New Roman" w:cs="Times New Roman"/>
          <w:kern w:val="0"/>
          <w:sz w:val="22"/>
          <w:szCs w:val="22"/>
          <w:lang w:eastAsia="lt-LT"/>
          <w14:ligatures w14:val="none"/>
        </w:rPr>
        <w:t>Penicilina G sodica Atb</w:t>
      </w:r>
      <w:r w:rsidRPr="00673927">
        <w:rPr>
          <w:rFonts w:ascii="Times New Roman" w:eastAsia="Times New Roman" w:hAnsi="Times New Roman" w:cs="Times New Roman"/>
          <w:kern w:val="0"/>
          <w:sz w:val="22"/>
          <w:szCs w:val="22"/>
          <w:lang w:eastAsia="lt-LT"/>
          <w14:ligatures w14:val="none"/>
        </w:rPr>
        <w:t xml:space="preserve"> vartoti būtina, jį galima vartoti viso nėštumo metu.</w:t>
      </w:r>
    </w:p>
    <w:p w14:paraId="5224FC23" w14:textId="77777777" w:rsidR="00673927" w:rsidRPr="00673927" w:rsidRDefault="00673927" w:rsidP="00673927">
      <w:pPr>
        <w:spacing w:after="0" w:line="240" w:lineRule="auto"/>
        <w:rPr>
          <w:rFonts w:ascii="Times New Roman" w:eastAsia="Times New Roman" w:hAnsi="Times New Roman" w:cs="Times New Roman"/>
          <w:i/>
          <w:kern w:val="0"/>
          <w:sz w:val="22"/>
          <w:szCs w:val="22"/>
          <w:lang w:eastAsia="lt-LT"/>
          <w14:ligatures w14:val="none"/>
        </w:rPr>
      </w:pPr>
    </w:p>
    <w:p w14:paraId="6FE9BF3A" w14:textId="77777777" w:rsidR="00673927" w:rsidRPr="00673927" w:rsidRDefault="00673927" w:rsidP="00673927">
      <w:pPr>
        <w:spacing w:after="0" w:line="240" w:lineRule="auto"/>
        <w:rPr>
          <w:rFonts w:ascii="Times New Roman" w:eastAsia="Times New Roman" w:hAnsi="Times New Roman" w:cs="Times New Roman"/>
          <w:b/>
          <w:kern w:val="0"/>
          <w:sz w:val="22"/>
          <w:szCs w:val="22"/>
          <w:lang w:eastAsia="lt-LT"/>
          <w14:ligatures w14:val="none"/>
        </w:rPr>
      </w:pPr>
      <w:r w:rsidRPr="00673927">
        <w:rPr>
          <w:rFonts w:ascii="Times New Roman" w:eastAsia="Times New Roman" w:hAnsi="Times New Roman" w:cs="Times New Roman"/>
          <w:b/>
          <w:kern w:val="0"/>
          <w:sz w:val="22"/>
          <w:szCs w:val="22"/>
          <w:lang w:eastAsia="lt-LT"/>
          <w14:ligatures w14:val="none"/>
        </w:rPr>
        <w:t>Žindymo laikotarpis</w:t>
      </w:r>
    </w:p>
    <w:p w14:paraId="7559FF37"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Mažas penicilinų kiekis išsiskiria su moters pienu.</w:t>
      </w:r>
    </w:p>
    <w:p w14:paraId="18A0D798" w14:textId="0C20B08C"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Nors iki šiol nepastebėta jokių nepageidaujamų reakcijų žindomiems kūdikiams, reikia nepamiršti jautrumo padidėjimo ar neigiamo poveikio kūdikio žarnyno florai galimybės. Jeigu Jūsų vaikas viduriuoja, išsivysto kandidozė ar išbėrimas, nedelsdami kreipkitės į gydytoją, nes tai galėjo sukelti </w:t>
      </w:r>
      <w:r w:rsidR="00C745B0">
        <w:rPr>
          <w:rFonts w:ascii="Times New Roman" w:eastAsia="Times New Roman" w:hAnsi="Times New Roman" w:cs="Times New Roman"/>
          <w:kern w:val="0"/>
          <w:sz w:val="22"/>
          <w:szCs w:val="22"/>
          <w:lang w:eastAsia="lt-LT"/>
          <w14:ligatures w14:val="none"/>
        </w:rPr>
        <w:t>Penicilina G sodica Atb</w:t>
      </w:r>
      <w:r w:rsidRPr="00673927">
        <w:rPr>
          <w:rFonts w:ascii="Times New Roman" w:eastAsia="Times New Roman" w:hAnsi="Times New Roman" w:cs="Times New Roman"/>
          <w:kern w:val="0"/>
          <w:sz w:val="22"/>
          <w:szCs w:val="22"/>
          <w:lang w:eastAsia="lt-LT"/>
          <w14:ligatures w14:val="none"/>
        </w:rPr>
        <w:t>.</w:t>
      </w:r>
    </w:p>
    <w:p w14:paraId="6D7BAA5F" w14:textId="70229FA0" w:rsidR="00673927" w:rsidRPr="00673927" w:rsidRDefault="00673927" w:rsidP="00673927">
      <w:pPr>
        <w:spacing w:after="0" w:line="240" w:lineRule="auto"/>
        <w:rPr>
          <w:rFonts w:ascii="Times New Roman" w:eastAsia="Times New Roman" w:hAnsi="Times New Roman" w:cs="Times New Roman"/>
          <w:i/>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Jeigu žindote kūdikį, pasitarkite su gydytoju, kuris nuspręs, ar Jums galima vartoti </w:t>
      </w:r>
      <w:r w:rsidR="00C745B0">
        <w:rPr>
          <w:rFonts w:ascii="Times New Roman" w:eastAsia="Times New Roman" w:hAnsi="Times New Roman" w:cs="Times New Roman"/>
          <w:kern w:val="0"/>
          <w:sz w:val="22"/>
          <w:szCs w:val="22"/>
          <w:lang w:eastAsia="lt-LT"/>
          <w14:ligatures w14:val="none"/>
        </w:rPr>
        <w:t>Penicilina G sodica Atb</w:t>
      </w:r>
      <w:r w:rsidRPr="00673927">
        <w:rPr>
          <w:rFonts w:ascii="Times New Roman" w:eastAsia="Times New Roman" w:hAnsi="Times New Roman" w:cs="Times New Roman"/>
          <w:kern w:val="0"/>
          <w:sz w:val="22"/>
          <w:szCs w:val="22"/>
          <w:lang w:eastAsia="lt-LT"/>
          <w14:ligatures w14:val="none"/>
        </w:rPr>
        <w:t>.</w:t>
      </w:r>
    </w:p>
    <w:p w14:paraId="3C43FBA4" w14:textId="77777777" w:rsidR="00673927" w:rsidRPr="00673927" w:rsidRDefault="00673927" w:rsidP="00673927">
      <w:pPr>
        <w:keepNext/>
        <w:spacing w:after="0" w:line="240" w:lineRule="auto"/>
        <w:outlineLvl w:val="2"/>
        <w:rPr>
          <w:rFonts w:ascii="Times New Roman" w:eastAsia="Times New Roman" w:hAnsi="Times New Roman" w:cs="Times New Roman"/>
          <w:b/>
          <w:kern w:val="0"/>
          <w:sz w:val="22"/>
          <w:szCs w:val="20"/>
          <w:lang w:eastAsia="lt-LT"/>
          <w14:ligatures w14:val="none"/>
        </w:rPr>
      </w:pPr>
    </w:p>
    <w:p w14:paraId="1719A99B" w14:textId="77777777" w:rsidR="00673927" w:rsidRPr="00673927" w:rsidRDefault="00673927" w:rsidP="00673927">
      <w:pPr>
        <w:spacing w:after="0" w:line="240" w:lineRule="auto"/>
        <w:rPr>
          <w:rFonts w:ascii="Times New Roman" w:eastAsia="Times New Roman" w:hAnsi="Times New Roman" w:cs="Times New Roman"/>
          <w:b/>
          <w:kern w:val="0"/>
          <w:sz w:val="22"/>
          <w:szCs w:val="20"/>
          <w:lang w:eastAsia="lt-LT"/>
          <w14:ligatures w14:val="none"/>
        </w:rPr>
      </w:pPr>
      <w:r w:rsidRPr="00673927">
        <w:rPr>
          <w:rFonts w:ascii="Times New Roman" w:eastAsia="Times New Roman" w:hAnsi="Times New Roman" w:cs="Times New Roman"/>
          <w:b/>
          <w:kern w:val="0"/>
          <w:sz w:val="22"/>
          <w:szCs w:val="20"/>
          <w:lang w:eastAsia="lt-LT"/>
          <w14:ligatures w14:val="none"/>
        </w:rPr>
        <w:t>Vaisingumas</w:t>
      </w:r>
    </w:p>
    <w:p w14:paraId="4E8C6FC8"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Tyrimų, kuriais būtų tirtas benzilpenicilino poveikis vaisingumui, nėra atlikta.</w:t>
      </w:r>
    </w:p>
    <w:p w14:paraId="7CA928A4" w14:textId="77777777" w:rsidR="00673927" w:rsidRPr="00673927" w:rsidRDefault="00673927" w:rsidP="00673927">
      <w:pPr>
        <w:spacing w:after="0" w:line="240" w:lineRule="auto"/>
        <w:rPr>
          <w:rFonts w:ascii="Times New Roman" w:eastAsia="Times New Roman" w:hAnsi="Times New Roman" w:cs="Times New Roman"/>
          <w:kern w:val="0"/>
          <w:sz w:val="22"/>
          <w:szCs w:val="20"/>
          <w:lang w:eastAsia="lt-LT"/>
          <w14:ligatures w14:val="none"/>
        </w:rPr>
      </w:pPr>
    </w:p>
    <w:p w14:paraId="00890562" w14:textId="77777777" w:rsidR="00673927" w:rsidRPr="00673927" w:rsidRDefault="00673927" w:rsidP="00673927">
      <w:pPr>
        <w:keepNext/>
        <w:spacing w:after="0" w:line="240" w:lineRule="auto"/>
        <w:outlineLvl w:val="2"/>
        <w:rPr>
          <w:rFonts w:ascii="Times New Roman" w:eastAsia="Times New Roman" w:hAnsi="Times New Roman" w:cs="Times New Roman"/>
          <w:b/>
          <w:kern w:val="0"/>
          <w:sz w:val="22"/>
          <w:szCs w:val="20"/>
          <w:lang w:eastAsia="lt-LT"/>
          <w14:ligatures w14:val="none"/>
        </w:rPr>
      </w:pPr>
      <w:r w:rsidRPr="00673927">
        <w:rPr>
          <w:rFonts w:ascii="Times New Roman" w:eastAsia="Times New Roman" w:hAnsi="Times New Roman" w:cs="Times New Roman"/>
          <w:b/>
          <w:kern w:val="0"/>
          <w:sz w:val="22"/>
          <w:szCs w:val="20"/>
          <w:lang w:eastAsia="lt-LT"/>
          <w14:ligatures w14:val="none"/>
        </w:rPr>
        <w:t>Vairavimas ir mechanizmų valdymas</w:t>
      </w:r>
    </w:p>
    <w:p w14:paraId="23A02000" w14:textId="2C509E11"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Dėl galinčio pasireikšti šalutinio poveikio (pvz., anafilaktinio šoko kartu su kolapsu ir anafilaktoidinėmis reakcijomis, žr. 4 skyrių), </w:t>
      </w:r>
      <w:r w:rsidR="00C745B0">
        <w:rPr>
          <w:rFonts w:ascii="Times New Roman" w:eastAsia="Times New Roman" w:hAnsi="Times New Roman" w:cs="Times New Roman"/>
          <w:kern w:val="0"/>
          <w:sz w:val="22"/>
          <w:szCs w:val="22"/>
          <w:lang w:eastAsia="lt-LT"/>
          <w14:ligatures w14:val="none"/>
        </w:rPr>
        <w:t>Penicilina G sodica Atb</w:t>
      </w:r>
      <w:r w:rsidRPr="00673927">
        <w:rPr>
          <w:rFonts w:ascii="Times New Roman" w:eastAsia="Times New Roman" w:hAnsi="Times New Roman" w:cs="Times New Roman"/>
          <w:kern w:val="0"/>
          <w:sz w:val="22"/>
          <w:szCs w:val="22"/>
          <w:lang w:eastAsia="lt-LT"/>
          <w14:ligatures w14:val="none"/>
        </w:rPr>
        <w:t xml:space="preserve"> gali turėti poveikį Jūsų gebėjimui vairuoti arba valdyti mechanizmus.</w:t>
      </w:r>
    </w:p>
    <w:p w14:paraId="50F85799"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62456561" w14:textId="6682B7C0" w:rsidR="00673927" w:rsidRPr="00673927" w:rsidRDefault="00C745B0" w:rsidP="00673927">
      <w:pPr>
        <w:spacing w:after="0" w:line="240" w:lineRule="auto"/>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Penicilina G sodica Atb</w:t>
      </w:r>
      <w:r w:rsidR="00673927" w:rsidRPr="00673927">
        <w:rPr>
          <w:rFonts w:ascii="Times New Roman" w:eastAsia="Times New Roman" w:hAnsi="Times New Roman" w:cs="Times New Roman"/>
          <w:b/>
          <w:kern w:val="0"/>
          <w:sz w:val="22"/>
          <w:szCs w:val="22"/>
          <w:lang w:eastAsia="lt-LT"/>
          <w14:ligatures w14:val="none"/>
        </w:rPr>
        <w:t xml:space="preserve"> sudėtyje yra natrio.</w:t>
      </w:r>
    </w:p>
    <w:p w14:paraId="1B4F25D6" w14:textId="77777777" w:rsidR="00673927" w:rsidRPr="00673927" w:rsidRDefault="00673927" w:rsidP="00673927">
      <w:pPr>
        <w:keepNext/>
        <w:tabs>
          <w:tab w:val="left" w:pos="567"/>
        </w:tabs>
        <w:spacing w:after="0" w:line="240" w:lineRule="auto"/>
        <w:outlineLvl w:val="1"/>
        <w:rPr>
          <w:rFonts w:ascii="Times New Roman" w:eastAsia="Times New Roman" w:hAnsi="Times New Roman" w:cs="Times New Roman"/>
          <w:kern w:val="0"/>
          <w:sz w:val="22"/>
          <w:szCs w:val="20"/>
          <w:lang w:eastAsia="lt-LT"/>
          <w14:ligatures w14:val="none"/>
        </w:rPr>
      </w:pPr>
      <w:r w:rsidRPr="00673927">
        <w:rPr>
          <w:rFonts w:ascii="Times New Roman" w:eastAsia="Times New Roman" w:hAnsi="Times New Roman" w:cs="Times New Roman"/>
          <w:b/>
          <w:bCs/>
          <w:kern w:val="0"/>
          <w:sz w:val="22"/>
          <w:szCs w:val="22"/>
          <w:lang w:eastAsia="lt-LT"/>
          <w14:ligatures w14:val="none"/>
        </w:rPr>
        <w:t>Kiekviename šio vaisto flakone yra 38,6 mg (1,68 mmol) natrio (valgomosios druskos sudedamosios dalies). Tai atitinka 1,93 % didžiausios rekomenduojamos natrio paros normos suaugusiesiems.</w:t>
      </w:r>
    </w:p>
    <w:p w14:paraId="466B564A" w14:textId="77777777" w:rsidR="00673927" w:rsidRPr="00673927" w:rsidRDefault="00673927" w:rsidP="00673927">
      <w:pPr>
        <w:spacing w:after="0" w:line="240" w:lineRule="auto"/>
        <w:rPr>
          <w:rFonts w:ascii="Times New Roman" w:eastAsia="Times New Roman" w:hAnsi="Times New Roman" w:cs="Times New Roman"/>
          <w:kern w:val="0"/>
          <w:sz w:val="22"/>
          <w:szCs w:val="20"/>
          <w:lang w:eastAsia="lt-LT"/>
          <w14:ligatures w14:val="none"/>
        </w:rPr>
      </w:pPr>
    </w:p>
    <w:p w14:paraId="1EDA1CAB"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308A800C" w14:textId="2FC68B70" w:rsidR="00673927" w:rsidRPr="00673927" w:rsidRDefault="00673927" w:rsidP="00673927">
      <w:pPr>
        <w:keepNext/>
        <w:tabs>
          <w:tab w:val="left" w:pos="567"/>
        </w:tabs>
        <w:spacing w:after="0" w:line="240" w:lineRule="auto"/>
        <w:outlineLvl w:val="1"/>
        <w:rPr>
          <w:rFonts w:ascii="Times New Roman" w:eastAsia="Times New Roman" w:hAnsi="Times New Roman" w:cs="Times New Roman"/>
          <w:b/>
          <w:bCs/>
          <w:kern w:val="0"/>
          <w:sz w:val="22"/>
          <w:szCs w:val="22"/>
          <w:lang w:eastAsia="lt-LT"/>
          <w14:ligatures w14:val="none"/>
        </w:rPr>
      </w:pPr>
      <w:r w:rsidRPr="00673927">
        <w:rPr>
          <w:rFonts w:ascii="Times New Roman" w:eastAsia="Times New Roman" w:hAnsi="Times New Roman" w:cs="Times New Roman"/>
          <w:b/>
          <w:bCs/>
          <w:kern w:val="0"/>
          <w:sz w:val="22"/>
          <w:szCs w:val="22"/>
          <w:lang w:eastAsia="lt-LT"/>
          <w14:ligatures w14:val="none"/>
        </w:rPr>
        <w:t xml:space="preserve">3. </w:t>
      </w:r>
      <w:r w:rsidRPr="00673927">
        <w:rPr>
          <w:rFonts w:ascii="Times New Roman" w:eastAsia="Times New Roman" w:hAnsi="Times New Roman" w:cs="Times New Roman"/>
          <w:b/>
          <w:bCs/>
          <w:kern w:val="0"/>
          <w:sz w:val="22"/>
          <w:szCs w:val="22"/>
          <w:lang w:eastAsia="lt-LT"/>
          <w14:ligatures w14:val="none"/>
        </w:rPr>
        <w:tab/>
        <w:t xml:space="preserve">Kaip vartoti </w:t>
      </w:r>
      <w:r w:rsidR="00C745B0">
        <w:rPr>
          <w:rFonts w:ascii="Times New Roman" w:eastAsia="Times New Roman" w:hAnsi="Times New Roman" w:cs="Times New Roman"/>
          <w:b/>
          <w:bCs/>
          <w:kern w:val="0"/>
          <w:sz w:val="22"/>
          <w:szCs w:val="22"/>
          <w:lang w:eastAsia="lt-LT"/>
          <w14:ligatures w14:val="none"/>
        </w:rPr>
        <w:t>Penicilina G sodica Atb</w:t>
      </w:r>
    </w:p>
    <w:p w14:paraId="4C5F217A"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78942C58"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Visada vartokite šį vaistą tiksliai, kaip nurodė gydytojas. Jeigu abejojate, kreipkitės į gydytoją arba vaistininką. </w:t>
      </w:r>
    </w:p>
    <w:p w14:paraId="677622CE"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3A2215F9" w14:textId="284D7FE3" w:rsidR="00673927" w:rsidRPr="00673927" w:rsidRDefault="00C745B0" w:rsidP="00673927">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Penicilina G sodica Atb</w:t>
      </w:r>
      <w:r w:rsidR="00673927" w:rsidRPr="00673927">
        <w:rPr>
          <w:rFonts w:ascii="Times New Roman" w:eastAsia="Times New Roman" w:hAnsi="Times New Roman" w:cs="Times New Roman"/>
          <w:kern w:val="0"/>
          <w:sz w:val="22"/>
          <w:szCs w:val="22"/>
          <w:lang w:eastAsia="lt-LT"/>
          <w14:ligatures w14:val="none"/>
        </w:rPr>
        <w:t xml:space="preserve"> paprastai skiria gydytojas.</w:t>
      </w:r>
    </w:p>
    <w:p w14:paraId="48B1C2D4" w14:textId="0BB1EA64" w:rsidR="00673927" w:rsidRPr="00673927" w:rsidRDefault="00C745B0" w:rsidP="00673927">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Penicilina G sodica Atb</w:t>
      </w:r>
      <w:r w:rsidR="00673927" w:rsidRPr="00673927">
        <w:rPr>
          <w:rFonts w:ascii="Times New Roman" w:eastAsia="Times New Roman" w:hAnsi="Times New Roman" w:cs="Times New Roman"/>
          <w:kern w:val="0"/>
          <w:sz w:val="22"/>
          <w:szCs w:val="22"/>
          <w:lang w:eastAsia="lt-LT"/>
          <w14:ligatures w14:val="none"/>
        </w:rPr>
        <w:t xml:space="preserve"> dozavimo ribos yra plačios; Jūsų gydytojas nustatys vartojimo būdą, dozės dydį ir intervalą tarp dozių.</w:t>
      </w:r>
    </w:p>
    <w:p w14:paraId="668C22E5"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292389E7"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Paprastai reikia laikytis šių dozavimo nurodymų:</w:t>
      </w:r>
      <w:r w:rsidRPr="00673927">
        <w:rPr>
          <w:rFonts w:ascii="Times New Roman" w:eastAsia="Times New Roman" w:hAnsi="Times New Roman" w:cs="Times New Roman"/>
          <w:kern w:val="0"/>
          <w:sz w:val="22"/>
          <w:szCs w:val="20"/>
          <w:lang w:eastAsia="lt-LT"/>
          <w14:ligatures w14:val="none"/>
        </w:rPr>
        <w:t xml:space="preserve"> </w:t>
      </w:r>
    </w:p>
    <w:p w14:paraId="536E2D2C"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tbl>
      <w:tblPr>
        <w:tblStyle w:val="Lentelstinklelis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5"/>
      </w:tblGrid>
      <w:tr w:rsidR="00673927" w:rsidRPr="00673927" w14:paraId="49CE5011" w14:textId="77777777" w:rsidTr="00290897">
        <w:tc>
          <w:tcPr>
            <w:tcW w:w="2265" w:type="dxa"/>
            <w:tcBorders>
              <w:top w:val="nil"/>
              <w:bottom w:val="single" w:sz="4" w:space="0" w:color="auto"/>
              <w:right w:val="nil"/>
            </w:tcBorders>
          </w:tcPr>
          <w:p w14:paraId="44C7CB0C"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b/>
                <w:bCs/>
                <w:szCs w:val="20"/>
                <w:lang w:eastAsia="lt-LT"/>
              </w:rPr>
              <w:t>Amžiaus grupė</w:t>
            </w:r>
          </w:p>
        </w:tc>
        <w:tc>
          <w:tcPr>
            <w:tcW w:w="2265" w:type="dxa"/>
            <w:tcBorders>
              <w:top w:val="nil"/>
              <w:left w:val="nil"/>
              <w:bottom w:val="single" w:sz="4" w:space="0" w:color="auto"/>
              <w:right w:val="nil"/>
            </w:tcBorders>
          </w:tcPr>
          <w:p w14:paraId="3FC571F0"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b/>
                <w:bCs/>
                <w:szCs w:val="20"/>
                <w:lang w:eastAsia="lt-LT"/>
              </w:rPr>
              <w:t>Dozė</w:t>
            </w:r>
          </w:p>
        </w:tc>
        <w:tc>
          <w:tcPr>
            <w:tcW w:w="2265" w:type="dxa"/>
            <w:tcBorders>
              <w:top w:val="nil"/>
              <w:left w:val="nil"/>
              <w:bottom w:val="single" w:sz="4" w:space="0" w:color="auto"/>
              <w:right w:val="nil"/>
            </w:tcBorders>
          </w:tcPr>
          <w:p w14:paraId="14B0D137" w14:textId="77777777" w:rsidR="00673927" w:rsidRPr="00673927" w:rsidRDefault="00673927" w:rsidP="00673927">
            <w:pPr>
              <w:rPr>
                <w:rFonts w:ascii="Times New Roman" w:eastAsia="Times New Roman" w:hAnsi="Times New Roman" w:cs="Times New Roman"/>
                <w:lang w:eastAsia="lt-LT"/>
              </w:rPr>
            </w:pPr>
          </w:p>
        </w:tc>
        <w:tc>
          <w:tcPr>
            <w:tcW w:w="2265" w:type="dxa"/>
            <w:tcBorders>
              <w:top w:val="nil"/>
              <w:left w:val="nil"/>
              <w:bottom w:val="single" w:sz="4" w:space="0" w:color="auto"/>
            </w:tcBorders>
          </w:tcPr>
          <w:p w14:paraId="5E56FA54"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b/>
                <w:bCs/>
                <w:szCs w:val="20"/>
                <w:lang w:eastAsia="lt-LT"/>
              </w:rPr>
              <w:t>Vaisto dozavimo intervalas</w:t>
            </w:r>
          </w:p>
        </w:tc>
      </w:tr>
      <w:tr w:rsidR="00673927" w:rsidRPr="00673927" w14:paraId="1FFE0B22" w14:textId="77777777" w:rsidTr="00290897">
        <w:tc>
          <w:tcPr>
            <w:tcW w:w="2265" w:type="dxa"/>
            <w:vMerge w:val="restart"/>
            <w:tcBorders>
              <w:top w:val="single" w:sz="4" w:space="0" w:color="auto"/>
              <w:bottom w:val="single" w:sz="4" w:space="0" w:color="auto"/>
              <w:right w:val="nil"/>
            </w:tcBorders>
          </w:tcPr>
          <w:p w14:paraId="0AE27711" w14:textId="77777777" w:rsidR="00673927" w:rsidRPr="00806743" w:rsidRDefault="00673927" w:rsidP="00673927">
            <w:pPr>
              <w:rPr>
                <w:rFonts w:ascii="Times New Roman" w:eastAsia="Times New Roman" w:hAnsi="Times New Roman" w:cs="Times New Roman"/>
                <w:lang w:val="pt-BR" w:eastAsia="lt-LT"/>
              </w:rPr>
            </w:pPr>
            <w:r w:rsidRPr="00806743">
              <w:rPr>
                <w:rFonts w:ascii="Times New Roman" w:eastAsia="Times New Roman" w:hAnsi="Times New Roman" w:cs="Times New Roman"/>
                <w:szCs w:val="20"/>
                <w:lang w:val="pt-BR" w:eastAsia="lt-LT"/>
              </w:rPr>
              <w:t>Suaugusieji ir paaugliai (12 metų ir vyresni)</w:t>
            </w:r>
          </w:p>
        </w:tc>
        <w:tc>
          <w:tcPr>
            <w:tcW w:w="2265" w:type="dxa"/>
            <w:tcBorders>
              <w:top w:val="single" w:sz="4" w:space="0" w:color="auto"/>
              <w:left w:val="nil"/>
              <w:bottom w:val="nil"/>
              <w:right w:val="nil"/>
            </w:tcBorders>
          </w:tcPr>
          <w:p w14:paraId="2CFE8751" w14:textId="77777777" w:rsidR="00673927" w:rsidRPr="00673927" w:rsidRDefault="00673927" w:rsidP="00673927">
            <w:pPr>
              <w:widowControl w:val="0"/>
              <w:autoSpaceDE w:val="0"/>
              <w:autoSpaceDN w:val="0"/>
              <w:ind w:right="326"/>
              <w:rPr>
                <w:rFonts w:ascii="Times New Roman" w:eastAsia="Times New Roman" w:hAnsi="Times New Roman" w:cs="Times New Roman"/>
                <w:lang w:val="lv-LV" w:eastAsia="lv-LV"/>
              </w:rPr>
            </w:pPr>
            <w:r w:rsidRPr="00673927">
              <w:rPr>
                <w:rFonts w:ascii="Times New Roman" w:eastAsia="Times New Roman" w:hAnsi="Times New Roman" w:cs="Times New Roman"/>
                <w:lang w:eastAsia="lv-LV"/>
              </w:rPr>
              <w:t>Didelė dozė (</w:t>
            </w:r>
            <w:r w:rsidRPr="00673927">
              <w:rPr>
                <w:rFonts w:ascii="Times New Roman" w:eastAsia="Times New Roman" w:hAnsi="Times New Roman" w:cs="Times New Roman"/>
                <w:i/>
                <w:iCs/>
                <w:lang w:eastAsia="lv-LV"/>
              </w:rPr>
              <w:t>i.v.</w:t>
            </w:r>
            <w:r w:rsidRPr="00673927">
              <w:rPr>
                <w:rFonts w:ascii="Times New Roman" w:eastAsia="Times New Roman" w:hAnsi="Times New Roman" w:cs="Times New Roman"/>
                <w:lang w:eastAsia="lv-LV"/>
              </w:rPr>
              <w:t>)</w:t>
            </w:r>
          </w:p>
        </w:tc>
        <w:tc>
          <w:tcPr>
            <w:tcW w:w="2265" w:type="dxa"/>
            <w:tcBorders>
              <w:top w:val="single" w:sz="4" w:space="0" w:color="auto"/>
              <w:left w:val="nil"/>
              <w:bottom w:val="nil"/>
              <w:right w:val="nil"/>
            </w:tcBorders>
          </w:tcPr>
          <w:p w14:paraId="3B99F47C" w14:textId="77777777" w:rsidR="00673927" w:rsidRPr="00673927" w:rsidRDefault="00673927" w:rsidP="00673927">
            <w:pPr>
              <w:widowControl w:val="0"/>
              <w:autoSpaceDE w:val="0"/>
              <w:autoSpaceDN w:val="0"/>
              <w:ind w:right="326"/>
              <w:rPr>
                <w:rFonts w:ascii="Times New Roman" w:eastAsia="Times New Roman" w:hAnsi="Times New Roman" w:cs="Times New Roman"/>
                <w:lang w:val="lv-LV" w:eastAsia="lv-LV"/>
              </w:rPr>
            </w:pPr>
            <w:r w:rsidRPr="00673927">
              <w:rPr>
                <w:rFonts w:ascii="Times New Roman" w:eastAsia="Times New Roman" w:hAnsi="Times New Roman" w:cs="Times New Roman"/>
                <w:lang w:eastAsia="lv-LV"/>
              </w:rPr>
              <w:t>10 000 000-40 000 000 TV per parą</w:t>
            </w:r>
          </w:p>
        </w:tc>
        <w:tc>
          <w:tcPr>
            <w:tcW w:w="2265" w:type="dxa"/>
            <w:tcBorders>
              <w:top w:val="single" w:sz="4" w:space="0" w:color="auto"/>
              <w:left w:val="nil"/>
              <w:bottom w:val="nil"/>
            </w:tcBorders>
          </w:tcPr>
          <w:p w14:paraId="1C450C85"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u w:val="single"/>
                <w:lang w:eastAsia="lt-LT"/>
              </w:rPr>
              <w:t>padalinta į 4</w:t>
            </w:r>
            <w:r w:rsidRPr="00673927">
              <w:rPr>
                <w:rFonts w:ascii="Times New Roman" w:eastAsia="Times New Roman" w:hAnsi="Times New Roman" w:cs="Times New Roman"/>
                <w:u w:val="single"/>
                <w:lang w:eastAsia="lt-LT"/>
              </w:rPr>
              <w:noBreakHyphen/>
              <w:t>6 dozes</w:t>
            </w:r>
          </w:p>
        </w:tc>
      </w:tr>
      <w:tr w:rsidR="00673927" w:rsidRPr="00673927" w14:paraId="523ECD0C" w14:textId="77777777" w:rsidTr="00290897">
        <w:tc>
          <w:tcPr>
            <w:tcW w:w="2265" w:type="dxa"/>
            <w:vMerge/>
            <w:tcBorders>
              <w:top w:val="single" w:sz="4" w:space="0" w:color="auto"/>
              <w:bottom w:val="single" w:sz="4" w:space="0" w:color="auto"/>
              <w:right w:val="nil"/>
            </w:tcBorders>
          </w:tcPr>
          <w:p w14:paraId="6FFDCF65" w14:textId="77777777" w:rsidR="00673927" w:rsidRPr="00673927" w:rsidRDefault="00673927" w:rsidP="00673927">
            <w:pPr>
              <w:rPr>
                <w:rFonts w:ascii="Times New Roman" w:eastAsia="Times New Roman" w:hAnsi="Times New Roman" w:cs="Times New Roman"/>
                <w:lang w:eastAsia="lt-LT"/>
              </w:rPr>
            </w:pPr>
          </w:p>
        </w:tc>
        <w:tc>
          <w:tcPr>
            <w:tcW w:w="2265" w:type="dxa"/>
            <w:tcBorders>
              <w:top w:val="nil"/>
              <w:left w:val="nil"/>
              <w:bottom w:val="single" w:sz="4" w:space="0" w:color="auto"/>
              <w:right w:val="nil"/>
            </w:tcBorders>
          </w:tcPr>
          <w:p w14:paraId="770A50CC" w14:textId="77777777" w:rsidR="00673927" w:rsidRPr="00806743" w:rsidRDefault="00673927" w:rsidP="00673927">
            <w:pPr>
              <w:rPr>
                <w:rFonts w:ascii="Times New Roman" w:eastAsia="Times New Roman" w:hAnsi="Times New Roman" w:cs="Times New Roman"/>
                <w:lang w:val="pt-BR" w:eastAsia="lt-LT"/>
              </w:rPr>
            </w:pPr>
            <w:r w:rsidRPr="00806743">
              <w:rPr>
                <w:rFonts w:ascii="Times New Roman" w:eastAsia="Times New Roman" w:hAnsi="Times New Roman" w:cs="Times New Roman"/>
                <w:szCs w:val="20"/>
                <w:lang w:val="pt-BR" w:eastAsia="lt-LT"/>
              </w:rPr>
              <w:t>Normali dozė (</w:t>
            </w:r>
            <w:r w:rsidRPr="00806743">
              <w:rPr>
                <w:rFonts w:ascii="Times New Roman" w:eastAsia="Times New Roman" w:hAnsi="Times New Roman" w:cs="Times New Roman"/>
                <w:i/>
                <w:iCs/>
                <w:szCs w:val="20"/>
                <w:lang w:val="pt-BR" w:eastAsia="lt-LT"/>
              </w:rPr>
              <w:t>i.m.</w:t>
            </w:r>
            <w:r w:rsidRPr="00806743">
              <w:rPr>
                <w:rFonts w:ascii="Times New Roman" w:eastAsia="Times New Roman" w:hAnsi="Times New Roman" w:cs="Times New Roman"/>
                <w:szCs w:val="20"/>
                <w:lang w:val="pt-BR" w:eastAsia="lt-LT"/>
              </w:rPr>
              <w:t xml:space="preserve">, </w:t>
            </w:r>
            <w:r w:rsidRPr="00806743">
              <w:rPr>
                <w:rFonts w:ascii="Times New Roman" w:eastAsia="Times New Roman" w:hAnsi="Times New Roman" w:cs="Times New Roman"/>
                <w:i/>
                <w:iCs/>
                <w:szCs w:val="20"/>
                <w:lang w:val="pt-BR" w:eastAsia="lt-LT"/>
              </w:rPr>
              <w:t>i.v.</w:t>
            </w:r>
            <w:r w:rsidRPr="00806743">
              <w:rPr>
                <w:rFonts w:ascii="Times New Roman" w:eastAsia="Times New Roman" w:hAnsi="Times New Roman" w:cs="Times New Roman"/>
                <w:szCs w:val="20"/>
                <w:lang w:val="pt-BR" w:eastAsia="lt-LT"/>
              </w:rPr>
              <w:t>)</w:t>
            </w:r>
          </w:p>
        </w:tc>
        <w:tc>
          <w:tcPr>
            <w:tcW w:w="2265" w:type="dxa"/>
            <w:tcBorders>
              <w:top w:val="nil"/>
              <w:left w:val="nil"/>
              <w:bottom w:val="single" w:sz="4" w:space="0" w:color="auto"/>
              <w:right w:val="nil"/>
            </w:tcBorders>
          </w:tcPr>
          <w:p w14:paraId="61CA8CBB"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szCs w:val="20"/>
                <w:lang w:eastAsia="lt-LT"/>
              </w:rPr>
              <w:t>1 000 000-5 000 000 TV per parą</w:t>
            </w:r>
          </w:p>
        </w:tc>
        <w:tc>
          <w:tcPr>
            <w:tcW w:w="2265" w:type="dxa"/>
            <w:tcBorders>
              <w:top w:val="nil"/>
              <w:left w:val="nil"/>
              <w:bottom w:val="single" w:sz="4" w:space="0" w:color="auto"/>
            </w:tcBorders>
          </w:tcPr>
          <w:p w14:paraId="3285CE0E"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u w:val="single"/>
                <w:lang w:eastAsia="lt-LT"/>
              </w:rPr>
              <w:t>padalinta į 4</w:t>
            </w:r>
            <w:r w:rsidRPr="00673927">
              <w:rPr>
                <w:rFonts w:ascii="Times New Roman" w:eastAsia="Times New Roman" w:hAnsi="Times New Roman" w:cs="Times New Roman"/>
                <w:u w:val="single"/>
                <w:lang w:eastAsia="lt-LT"/>
              </w:rPr>
              <w:noBreakHyphen/>
              <w:t>6 dozes</w:t>
            </w:r>
          </w:p>
        </w:tc>
      </w:tr>
      <w:tr w:rsidR="00673927" w:rsidRPr="00673927" w14:paraId="691B4436" w14:textId="77777777" w:rsidTr="00290897">
        <w:tc>
          <w:tcPr>
            <w:tcW w:w="2265" w:type="dxa"/>
            <w:vMerge w:val="restart"/>
            <w:tcBorders>
              <w:top w:val="single" w:sz="4" w:space="0" w:color="auto"/>
              <w:bottom w:val="single" w:sz="4" w:space="0" w:color="auto"/>
              <w:right w:val="nil"/>
            </w:tcBorders>
          </w:tcPr>
          <w:p w14:paraId="4E4D16A8" w14:textId="77777777" w:rsidR="00673927" w:rsidRPr="00806743" w:rsidRDefault="00673927" w:rsidP="00673927">
            <w:pPr>
              <w:rPr>
                <w:rFonts w:ascii="Times New Roman" w:eastAsia="Times New Roman" w:hAnsi="Times New Roman" w:cs="Times New Roman"/>
                <w:lang w:val="lt-LT" w:eastAsia="lt-LT"/>
              </w:rPr>
            </w:pPr>
            <w:r w:rsidRPr="00806743">
              <w:rPr>
                <w:rFonts w:ascii="Times New Roman" w:eastAsia="Times New Roman" w:hAnsi="Times New Roman" w:cs="Times New Roman"/>
                <w:szCs w:val="20"/>
                <w:lang w:val="lt-LT" w:eastAsia="lt-LT"/>
              </w:rPr>
              <w:t>Vaikai (nuo 1 mėnesio iki 12 metų)</w:t>
            </w:r>
          </w:p>
        </w:tc>
        <w:tc>
          <w:tcPr>
            <w:tcW w:w="2265" w:type="dxa"/>
            <w:tcBorders>
              <w:top w:val="single" w:sz="4" w:space="0" w:color="auto"/>
              <w:left w:val="nil"/>
              <w:bottom w:val="nil"/>
              <w:right w:val="nil"/>
            </w:tcBorders>
          </w:tcPr>
          <w:p w14:paraId="7E6B07F0" w14:textId="77777777" w:rsidR="00673927" w:rsidRPr="00673927" w:rsidRDefault="00673927" w:rsidP="00673927">
            <w:pPr>
              <w:widowControl w:val="0"/>
              <w:autoSpaceDE w:val="0"/>
              <w:autoSpaceDN w:val="0"/>
              <w:ind w:right="326"/>
              <w:rPr>
                <w:rFonts w:ascii="Times New Roman" w:eastAsia="Times New Roman" w:hAnsi="Times New Roman" w:cs="Times New Roman"/>
                <w:lang w:val="lv-LV" w:eastAsia="lv-LV"/>
              </w:rPr>
            </w:pPr>
            <w:r w:rsidRPr="00673927">
              <w:rPr>
                <w:rFonts w:ascii="Times New Roman" w:eastAsia="Times New Roman" w:hAnsi="Times New Roman" w:cs="Times New Roman"/>
                <w:lang w:eastAsia="lv-LV"/>
              </w:rPr>
              <w:t>Didelė dozė (</w:t>
            </w:r>
            <w:r w:rsidRPr="00673927">
              <w:rPr>
                <w:rFonts w:ascii="Times New Roman" w:eastAsia="Times New Roman" w:hAnsi="Times New Roman" w:cs="Times New Roman"/>
                <w:i/>
                <w:iCs/>
                <w:lang w:eastAsia="lv-LV"/>
              </w:rPr>
              <w:t>i.v.</w:t>
            </w:r>
            <w:r w:rsidRPr="00673927">
              <w:rPr>
                <w:rFonts w:ascii="Times New Roman" w:eastAsia="Times New Roman" w:hAnsi="Times New Roman" w:cs="Times New Roman"/>
                <w:lang w:eastAsia="lv-LV"/>
              </w:rPr>
              <w:t>)</w:t>
            </w:r>
          </w:p>
        </w:tc>
        <w:tc>
          <w:tcPr>
            <w:tcW w:w="2265" w:type="dxa"/>
            <w:tcBorders>
              <w:top w:val="single" w:sz="4" w:space="0" w:color="auto"/>
              <w:left w:val="nil"/>
              <w:bottom w:val="nil"/>
              <w:right w:val="nil"/>
            </w:tcBorders>
          </w:tcPr>
          <w:p w14:paraId="6B1C8B61"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szCs w:val="20"/>
                <w:lang w:eastAsia="lt-LT"/>
              </w:rPr>
              <w:t>100 000-500 000 (1 000 000) TV/kg per parą</w:t>
            </w:r>
          </w:p>
        </w:tc>
        <w:tc>
          <w:tcPr>
            <w:tcW w:w="2265" w:type="dxa"/>
            <w:tcBorders>
              <w:top w:val="single" w:sz="4" w:space="0" w:color="auto"/>
              <w:left w:val="nil"/>
              <w:bottom w:val="nil"/>
            </w:tcBorders>
          </w:tcPr>
          <w:p w14:paraId="411BF88E"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u w:val="single"/>
                <w:lang w:eastAsia="lt-LT"/>
              </w:rPr>
              <w:t>padalinta į 4</w:t>
            </w:r>
            <w:r w:rsidRPr="00673927">
              <w:rPr>
                <w:rFonts w:ascii="Times New Roman" w:eastAsia="Times New Roman" w:hAnsi="Times New Roman" w:cs="Times New Roman"/>
                <w:u w:val="single"/>
                <w:lang w:eastAsia="lt-LT"/>
              </w:rPr>
              <w:noBreakHyphen/>
              <w:t>6 dozes</w:t>
            </w:r>
          </w:p>
        </w:tc>
      </w:tr>
      <w:tr w:rsidR="00673927" w:rsidRPr="00673927" w14:paraId="1857CD85" w14:textId="77777777" w:rsidTr="00290897">
        <w:tc>
          <w:tcPr>
            <w:tcW w:w="2265" w:type="dxa"/>
            <w:vMerge/>
            <w:tcBorders>
              <w:top w:val="single" w:sz="4" w:space="0" w:color="auto"/>
              <w:bottom w:val="single" w:sz="4" w:space="0" w:color="auto"/>
              <w:right w:val="nil"/>
            </w:tcBorders>
          </w:tcPr>
          <w:p w14:paraId="5614C9A5" w14:textId="77777777" w:rsidR="00673927" w:rsidRPr="00673927" w:rsidRDefault="00673927" w:rsidP="00673927">
            <w:pPr>
              <w:rPr>
                <w:rFonts w:ascii="Times New Roman" w:eastAsia="Times New Roman" w:hAnsi="Times New Roman" w:cs="Times New Roman"/>
                <w:lang w:eastAsia="lt-LT"/>
              </w:rPr>
            </w:pPr>
          </w:p>
        </w:tc>
        <w:tc>
          <w:tcPr>
            <w:tcW w:w="2265" w:type="dxa"/>
            <w:tcBorders>
              <w:top w:val="nil"/>
              <w:left w:val="nil"/>
              <w:bottom w:val="single" w:sz="4" w:space="0" w:color="auto"/>
              <w:right w:val="nil"/>
            </w:tcBorders>
          </w:tcPr>
          <w:p w14:paraId="7688ACB5" w14:textId="77777777" w:rsidR="00673927" w:rsidRPr="00806743" w:rsidRDefault="00673927" w:rsidP="00673927">
            <w:pPr>
              <w:rPr>
                <w:rFonts w:ascii="Times New Roman" w:eastAsia="Times New Roman" w:hAnsi="Times New Roman" w:cs="Times New Roman"/>
                <w:lang w:val="pt-BR" w:eastAsia="lt-LT"/>
              </w:rPr>
            </w:pPr>
            <w:r w:rsidRPr="00806743">
              <w:rPr>
                <w:rFonts w:ascii="Times New Roman" w:eastAsia="Times New Roman" w:hAnsi="Times New Roman" w:cs="Times New Roman"/>
                <w:szCs w:val="20"/>
                <w:lang w:val="pt-BR" w:eastAsia="lt-LT"/>
              </w:rPr>
              <w:t>Normali dozė (</w:t>
            </w:r>
            <w:r w:rsidRPr="00806743">
              <w:rPr>
                <w:rFonts w:ascii="Times New Roman" w:eastAsia="Times New Roman" w:hAnsi="Times New Roman" w:cs="Times New Roman"/>
                <w:i/>
                <w:iCs/>
                <w:szCs w:val="20"/>
                <w:lang w:val="pt-BR" w:eastAsia="lt-LT"/>
              </w:rPr>
              <w:t>i.m.</w:t>
            </w:r>
            <w:r w:rsidRPr="00806743">
              <w:rPr>
                <w:rFonts w:ascii="Times New Roman" w:eastAsia="Times New Roman" w:hAnsi="Times New Roman" w:cs="Times New Roman"/>
                <w:szCs w:val="20"/>
                <w:lang w:val="pt-BR" w:eastAsia="lt-LT"/>
              </w:rPr>
              <w:t xml:space="preserve">, </w:t>
            </w:r>
            <w:r w:rsidRPr="00806743">
              <w:rPr>
                <w:rFonts w:ascii="Times New Roman" w:eastAsia="Times New Roman" w:hAnsi="Times New Roman" w:cs="Times New Roman"/>
                <w:i/>
                <w:iCs/>
                <w:szCs w:val="20"/>
                <w:lang w:val="pt-BR" w:eastAsia="lt-LT"/>
              </w:rPr>
              <w:t>i.v.</w:t>
            </w:r>
            <w:r w:rsidRPr="00806743">
              <w:rPr>
                <w:rFonts w:ascii="Times New Roman" w:eastAsia="Times New Roman" w:hAnsi="Times New Roman" w:cs="Times New Roman"/>
                <w:szCs w:val="20"/>
                <w:lang w:val="pt-BR" w:eastAsia="lt-LT"/>
              </w:rPr>
              <w:t>)</w:t>
            </w:r>
          </w:p>
        </w:tc>
        <w:tc>
          <w:tcPr>
            <w:tcW w:w="2265" w:type="dxa"/>
            <w:tcBorders>
              <w:top w:val="nil"/>
              <w:left w:val="nil"/>
              <w:bottom w:val="single" w:sz="4" w:space="0" w:color="auto"/>
              <w:right w:val="nil"/>
            </w:tcBorders>
          </w:tcPr>
          <w:p w14:paraId="74569FED"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szCs w:val="20"/>
                <w:lang w:eastAsia="lt-LT"/>
              </w:rPr>
              <w:t>30 000-100 000 TV/kg per parą</w:t>
            </w:r>
          </w:p>
        </w:tc>
        <w:tc>
          <w:tcPr>
            <w:tcW w:w="2265" w:type="dxa"/>
            <w:tcBorders>
              <w:top w:val="nil"/>
              <w:left w:val="nil"/>
              <w:bottom w:val="single" w:sz="4" w:space="0" w:color="auto"/>
            </w:tcBorders>
          </w:tcPr>
          <w:p w14:paraId="3A4230D2"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u w:val="single"/>
                <w:lang w:eastAsia="lt-LT"/>
              </w:rPr>
              <w:t>padalinta į 4</w:t>
            </w:r>
            <w:r w:rsidRPr="00673927">
              <w:rPr>
                <w:rFonts w:ascii="Times New Roman" w:eastAsia="Times New Roman" w:hAnsi="Times New Roman" w:cs="Times New Roman"/>
                <w:u w:val="single"/>
                <w:lang w:eastAsia="lt-LT"/>
              </w:rPr>
              <w:noBreakHyphen/>
              <w:t>6 dozes</w:t>
            </w:r>
          </w:p>
        </w:tc>
      </w:tr>
      <w:tr w:rsidR="00673927" w:rsidRPr="00673927" w14:paraId="17970D3A" w14:textId="77777777" w:rsidTr="00290897">
        <w:tc>
          <w:tcPr>
            <w:tcW w:w="2265" w:type="dxa"/>
            <w:vMerge w:val="restart"/>
            <w:tcBorders>
              <w:top w:val="single" w:sz="4" w:space="0" w:color="auto"/>
              <w:bottom w:val="single" w:sz="4" w:space="0" w:color="auto"/>
              <w:right w:val="nil"/>
            </w:tcBorders>
          </w:tcPr>
          <w:p w14:paraId="7B742A00"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szCs w:val="20"/>
                <w:lang w:eastAsia="lt-LT"/>
              </w:rPr>
              <w:t>Naujagimiai (2</w:t>
            </w:r>
            <w:r w:rsidRPr="00673927">
              <w:rPr>
                <w:rFonts w:ascii="Times New Roman" w:eastAsia="Times New Roman" w:hAnsi="Times New Roman" w:cs="Times New Roman"/>
                <w:szCs w:val="20"/>
                <w:lang w:eastAsia="lt-LT"/>
              </w:rPr>
              <w:noBreakHyphen/>
              <w:t>4 savaičių amžiaus)</w:t>
            </w:r>
          </w:p>
        </w:tc>
        <w:tc>
          <w:tcPr>
            <w:tcW w:w="2265" w:type="dxa"/>
            <w:tcBorders>
              <w:top w:val="single" w:sz="4" w:space="0" w:color="auto"/>
              <w:left w:val="nil"/>
              <w:bottom w:val="nil"/>
              <w:right w:val="nil"/>
            </w:tcBorders>
          </w:tcPr>
          <w:p w14:paraId="327C352A" w14:textId="77777777" w:rsidR="00673927" w:rsidRPr="00673927" w:rsidRDefault="00673927" w:rsidP="00673927">
            <w:pPr>
              <w:widowControl w:val="0"/>
              <w:autoSpaceDE w:val="0"/>
              <w:autoSpaceDN w:val="0"/>
              <w:ind w:right="326"/>
              <w:rPr>
                <w:rFonts w:ascii="Times New Roman" w:eastAsia="Times New Roman" w:hAnsi="Times New Roman" w:cs="Times New Roman"/>
                <w:lang w:val="lv-LV" w:eastAsia="lv-LV"/>
              </w:rPr>
            </w:pPr>
            <w:r w:rsidRPr="00673927">
              <w:rPr>
                <w:rFonts w:ascii="Times New Roman" w:eastAsia="Times New Roman" w:hAnsi="Times New Roman" w:cs="Times New Roman"/>
                <w:lang w:eastAsia="lv-LV"/>
              </w:rPr>
              <w:t>Didelė dozė (</w:t>
            </w:r>
            <w:r w:rsidRPr="00673927">
              <w:rPr>
                <w:rFonts w:ascii="Times New Roman" w:eastAsia="Times New Roman" w:hAnsi="Times New Roman" w:cs="Times New Roman"/>
                <w:i/>
                <w:iCs/>
                <w:lang w:eastAsia="lv-LV"/>
              </w:rPr>
              <w:t>i.v.</w:t>
            </w:r>
            <w:r w:rsidRPr="00673927">
              <w:rPr>
                <w:rFonts w:ascii="Times New Roman" w:eastAsia="Times New Roman" w:hAnsi="Times New Roman" w:cs="Times New Roman"/>
                <w:lang w:eastAsia="lv-LV"/>
              </w:rPr>
              <w:t>)</w:t>
            </w:r>
          </w:p>
        </w:tc>
        <w:tc>
          <w:tcPr>
            <w:tcW w:w="2265" w:type="dxa"/>
            <w:tcBorders>
              <w:top w:val="single" w:sz="4" w:space="0" w:color="auto"/>
              <w:left w:val="nil"/>
              <w:bottom w:val="nil"/>
              <w:right w:val="nil"/>
            </w:tcBorders>
          </w:tcPr>
          <w:p w14:paraId="62106D23"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szCs w:val="20"/>
                <w:lang w:eastAsia="lt-LT"/>
              </w:rPr>
              <w:t>200 000-500 000 (1 000 000) TV/kg per parą</w:t>
            </w:r>
          </w:p>
        </w:tc>
        <w:tc>
          <w:tcPr>
            <w:tcW w:w="2265" w:type="dxa"/>
            <w:tcBorders>
              <w:top w:val="single" w:sz="4" w:space="0" w:color="auto"/>
              <w:left w:val="nil"/>
              <w:bottom w:val="nil"/>
            </w:tcBorders>
          </w:tcPr>
          <w:p w14:paraId="2B37D299"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u w:val="single"/>
                <w:lang w:eastAsia="lt-LT"/>
              </w:rPr>
              <w:t>padalinta į 3</w:t>
            </w:r>
            <w:r w:rsidRPr="00673927">
              <w:rPr>
                <w:rFonts w:ascii="Times New Roman" w:eastAsia="Times New Roman" w:hAnsi="Times New Roman" w:cs="Times New Roman"/>
                <w:u w:val="single"/>
                <w:lang w:eastAsia="lt-LT"/>
              </w:rPr>
              <w:noBreakHyphen/>
              <w:t>4 dozes</w:t>
            </w:r>
          </w:p>
        </w:tc>
      </w:tr>
      <w:tr w:rsidR="00673927" w:rsidRPr="00673927" w14:paraId="120BC33B" w14:textId="77777777" w:rsidTr="00290897">
        <w:tc>
          <w:tcPr>
            <w:tcW w:w="2265" w:type="dxa"/>
            <w:vMerge/>
            <w:tcBorders>
              <w:top w:val="single" w:sz="4" w:space="0" w:color="auto"/>
              <w:bottom w:val="single" w:sz="4" w:space="0" w:color="auto"/>
              <w:right w:val="nil"/>
            </w:tcBorders>
          </w:tcPr>
          <w:p w14:paraId="18E33527" w14:textId="77777777" w:rsidR="00673927" w:rsidRPr="00673927" w:rsidRDefault="00673927" w:rsidP="00673927">
            <w:pPr>
              <w:rPr>
                <w:rFonts w:ascii="Times New Roman" w:eastAsia="Times New Roman" w:hAnsi="Times New Roman" w:cs="Times New Roman"/>
                <w:lang w:eastAsia="lt-LT"/>
              </w:rPr>
            </w:pPr>
          </w:p>
        </w:tc>
        <w:tc>
          <w:tcPr>
            <w:tcW w:w="2265" w:type="dxa"/>
            <w:tcBorders>
              <w:top w:val="nil"/>
              <w:left w:val="nil"/>
              <w:bottom w:val="single" w:sz="4" w:space="0" w:color="auto"/>
              <w:right w:val="nil"/>
            </w:tcBorders>
          </w:tcPr>
          <w:p w14:paraId="5F7ACCCB" w14:textId="77777777" w:rsidR="00673927" w:rsidRPr="00806743" w:rsidRDefault="00673927" w:rsidP="00673927">
            <w:pPr>
              <w:rPr>
                <w:rFonts w:ascii="Times New Roman" w:eastAsia="Times New Roman" w:hAnsi="Times New Roman" w:cs="Times New Roman"/>
                <w:lang w:val="pt-BR" w:eastAsia="lt-LT"/>
              </w:rPr>
            </w:pPr>
            <w:r w:rsidRPr="00806743">
              <w:rPr>
                <w:rFonts w:ascii="Times New Roman" w:eastAsia="Times New Roman" w:hAnsi="Times New Roman" w:cs="Times New Roman"/>
                <w:szCs w:val="20"/>
                <w:lang w:val="pt-BR" w:eastAsia="lt-LT"/>
              </w:rPr>
              <w:t>Normali dozė (</w:t>
            </w:r>
            <w:r w:rsidRPr="00806743">
              <w:rPr>
                <w:rFonts w:ascii="Times New Roman" w:eastAsia="Times New Roman" w:hAnsi="Times New Roman" w:cs="Times New Roman"/>
                <w:i/>
                <w:iCs/>
                <w:szCs w:val="20"/>
                <w:lang w:val="pt-BR" w:eastAsia="lt-LT"/>
              </w:rPr>
              <w:t>i.m.</w:t>
            </w:r>
            <w:r w:rsidRPr="00806743">
              <w:rPr>
                <w:rFonts w:ascii="Times New Roman" w:eastAsia="Times New Roman" w:hAnsi="Times New Roman" w:cs="Times New Roman"/>
                <w:szCs w:val="20"/>
                <w:lang w:val="pt-BR" w:eastAsia="lt-LT"/>
              </w:rPr>
              <w:t xml:space="preserve">, </w:t>
            </w:r>
            <w:r w:rsidRPr="00806743">
              <w:rPr>
                <w:rFonts w:ascii="Times New Roman" w:eastAsia="Times New Roman" w:hAnsi="Times New Roman" w:cs="Times New Roman"/>
                <w:i/>
                <w:iCs/>
                <w:szCs w:val="20"/>
                <w:lang w:val="pt-BR" w:eastAsia="lt-LT"/>
              </w:rPr>
              <w:t>i.v.</w:t>
            </w:r>
            <w:r w:rsidRPr="00806743">
              <w:rPr>
                <w:rFonts w:ascii="Times New Roman" w:eastAsia="Times New Roman" w:hAnsi="Times New Roman" w:cs="Times New Roman"/>
                <w:szCs w:val="20"/>
                <w:lang w:val="pt-BR" w:eastAsia="lt-LT"/>
              </w:rPr>
              <w:t>)</w:t>
            </w:r>
          </w:p>
        </w:tc>
        <w:tc>
          <w:tcPr>
            <w:tcW w:w="2265" w:type="dxa"/>
            <w:tcBorders>
              <w:top w:val="nil"/>
              <w:left w:val="nil"/>
              <w:bottom w:val="single" w:sz="4" w:space="0" w:color="auto"/>
              <w:right w:val="nil"/>
            </w:tcBorders>
          </w:tcPr>
          <w:p w14:paraId="050F675C"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szCs w:val="20"/>
                <w:lang w:eastAsia="lt-LT"/>
              </w:rPr>
              <w:t>30 000-100 000 TV/kg per parą</w:t>
            </w:r>
          </w:p>
        </w:tc>
        <w:tc>
          <w:tcPr>
            <w:tcW w:w="2265" w:type="dxa"/>
            <w:tcBorders>
              <w:top w:val="nil"/>
              <w:left w:val="nil"/>
              <w:bottom w:val="single" w:sz="4" w:space="0" w:color="auto"/>
            </w:tcBorders>
          </w:tcPr>
          <w:p w14:paraId="3AFCDF35"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u w:val="single"/>
                <w:lang w:eastAsia="lt-LT"/>
              </w:rPr>
              <w:t>padalinta į 3</w:t>
            </w:r>
            <w:r w:rsidRPr="00673927">
              <w:rPr>
                <w:rFonts w:ascii="Times New Roman" w:eastAsia="Times New Roman" w:hAnsi="Times New Roman" w:cs="Times New Roman"/>
                <w:u w:val="single"/>
                <w:lang w:eastAsia="lt-LT"/>
              </w:rPr>
              <w:noBreakHyphen/>
              <w:t>4 dozes</w:t>
            </w:r>
          </w:p>
        </w:tc>
      </w:tr>
      <w:tr w:rsidR="00673927" w:rsidRPr="00673927" w14:paraId="680A5BA8" w14:textId="77777777" w:rsidTr="00290897">
        <w:tc>
          <w:tcPr>
            <w:tcW w:w="2265" w:type="dxa"/>
            <w:vMerge w:val="restart"/>
            <w:tcBorders>
              <w:top w:val="single" w:sz="4" w:space="0" w:color="auto"/>
              <w:bottom w:val="single" w:sz="4" w:space="0" w:color="auto"/>
              <w:right w:val="nil"/>
            </w:tcBorders>
          </w:tcPr>
          <w:p w14:paraId="684D7324" w14:textId="77777777" w:rsidR="00673927" w:rsidRPr="00806743" w:rsidRDefault="00673927" w:rsidP="00673927">
            <w:pPr>
              <w:rPr>
                <w:rFonts w:ascii="Times New Roman" w:eastAsia="Times New Roman" w:hAnsi="Times New Roman" w:cs="Times New Roman"/>
                <w:lang w:val="lt-LT" w:eastAsia="lt-LT"/>
              </w:rPr>
            </w:pPr>
            <w:r w:rsidRPr="00806743">
              <w:rPr>
                <w:rFonts w:ascii="Times New Roman" w:eastAsia="Times New Roman" w:hAnsi="Times New Roman" w:cs="Times New Roman"/>
                <w:spacing w:val="-1"/>
                <w:szCs w:val="20"/>
                <w:lang w:val="lt-LT" w:eastAsia="lt-LT"/>
              </w:rPr>
              <w:t>Prieš laiką gimę kūdikiai ir naujagimiai</w:t>
            </w:r>
            <w:r w:rsidRPr="00806743">
              <w:rPr>
                <w:rFonts w:ascii="Times New Roman" w:eastAsia="Times New Roman" w:hAnsi="Times New Roman" w:cs="Times New Roman"/>
                <w:szCs w:val="20"/>
                <w:lang w:val="lt-LT" w:eastAsia="lt-LT"/>
              </w:rPr>
              <w:t xml:space="preserve"> (</w:t>
            </w:r>
            <w:r w:rsidRPr="00806743">
              <w:rPr>
                <w:rFonts w:ascii="Times New Roman" w:eastAsia="Times New Roman" w:hAnsi="Times New Roman" w:cs="Times New Roman"/>
                <w:lang w:val="lt-LT" w:eastAsia="lt-LT"/>
              </w:rPr>
              <w:t>iki 2</w:t>
            </w:r>
            <w:r w:rsidRPr="00806743">
              <w:rPr>
                <w:rFonts w:ascii="Times New Roman" w:eastAsia="Times New Roman" w:hAnsi="Times New Roman" w:cs="Times New Roman"/>
                <w:szCs w:val="20"/>
                <w:lang w:val="lt-LT" w:eastAsia="lt-LT"/>
              </w:rPr>
              <w:t> </w:t>
            </w:r>
            <w:r w:rsidRPr="00806743">
              <w:rPr>
                <w:rFonts w:ascii="Times New Roman" w:eastAsia="Times New Roman" w:hAnsi="Times New Roman" w:cs="Times New Roman"/>
                <w:lang w:val="lt-LT" w:eastAsia="lt-LT"/>
              </w:rPr>
              <w:t>savaičių amžiaus</w:t>
            </w:r>
            <w:r w:rsidRPr="00806743">
              <w:rPr>
                <w:rFonts w:ascii="Times New Roman" w:eastAsia="Times New Roman" w:hAnsi="Times New Roman" w:cs="Times New Roman"/>
                <w:szCs w:val="20"/>
                <w:lang w:val="lt-LT" w:eastAsia="lt-LT"/>
              </w:rPr>
              <w:t>)</w:t>
            </w:r>
          </w:p>
        </w:tc>
        <w:tc>
          <w:tcPr>
            <w:tcW w:w="2265" w:type="dxa"/>
            <w:tcBorders>
              <w:top w:val="single" w:sz="4" w:space="0" w:color="auto"/>
              <w:left w:val="nil"/>
              <w:bottom w:val="nil"/>
              <w:right w:val="nil"/>
            </w:tcBorders>
          </w:tcPr>
          <w:p w14:paraId="7E471B91" w14:textId="77777777" w:rsidR="00673927" w:rsidRPr="00673927" w:rsidRDefault="00673927" w:rsidP="00673927">
            <w:pPr>
              <w:widowControl w:val="0"/>
              <w:autoSpaceDE w:val="0"/>
              <w:autoSpaceDN w:val="0"/>
              <w:ind w:right="326"/>
              <w:rPr>
                <w:rFonts w:ascii="Times New Roman" w:eastAsia="Times New Roman" w:hAnsi="Times New Roman" w:cs="Times New Roman"/>
                <w:lang w:val="lv-LV" w:eastAsia="lv-LV"/>
              </w:rPr>
            </w:pPr>
            <w:r w:rsidRPr="00673927">
              <w:rPr>
                <w:rFonts w:ascii="Times New Roman" w:eastAsia="Times New Roman" w:hAnsi="Times New Roman" w:cs="Times New Roman"/>
                <w:lang w:eastAsia="lv-LV"/>
              </w:rPr>
              <w:t>Didelė dozė (</w:t>
            </w:r>
            <w:r w:rsidRPr="00673927">
              <w:rPr>
                <w:rFonts w:ascii="Times New Roman" w:eastAsia="Times New Roman" w:hAnsi="Times New Roman" w:cs="Times New Roman"/>
                <w:i/>
                <w:iCs/>
                <w:lang w:eastAsia="lv-LV"/>
              </w:rPr>
              <w:t>i.v.</w:t>
            </w:r>
            <w:r w:rsidRPr="00673927">
              <w:rPr>
                <w:rFonts w:ascii="Times New Roman" w:eastAsia="Times New Roman" w:hAnsi="Times New Roman" w:cs="Times New Roman"/>
                <w:lang w:eastAsia="lv-LV"/>
              </w:rPr>
              <w:t>)</w:t>
            </w:r>
          </w:p>
        </w:tc>
        <w:tc>
          <w:tcPr>
            <w:tcW w:w="2265" w:type="dxa"/>
            <w:tcBorders>
              <w:top w:val="single" w:sz="4" w:space="0" w:color="auto"/>
              <w:left w:val="nil"/>
              <w:bottom w:val="nil"/>
              <w:right w:val="nil"/>
            </w:tcBorders>
          </w:tcPr>
          <w:p w14:paraId="08F994AC"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szCs w:val="20"/>
                <w:lang w:eastAsia="lt-LT"/>
              </w:rPr>
              <w:t>200 000-500 000 (1 000 000) TV/kg per parą</w:t>
            </w:r>
          </w:p>
        </w:tc>
        <w:tc>
          <w:tcPr>
            <w:tcW w:w="2265" w:type="dxa"/>
            <w:tcBorders>
              <w:top w:val="single" w:sz="4" w:space="0" w:color="auto"/>
              <w:left w:val="nil"/>
              <w:bottom w:val="nil"/>
            </w:tcBorders>
          </w:tcPr>
          <w:p w14:paraId="69C93BDC"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u w:val="single"/>
                <w:lang w:eastAsia="lt-LT"/>
              </w:rPr>
              <w:t>padalinta į 2 dozes</w:t>
            </w:r>
          </w:p>
        </w:tc>
      </w:tr>
      <w:tr w:rsidR="00673927" w:rsidRPr="00673927" w14:paraId="455AF0F2" w14:textId="77777777" w:rsidTr="00290897">
        <w:tc>
          <w:tcPr>
            <w:tcW w:w="2265" w:type="dxa"/>
            <w:vMerge/>
            <w:tcBorders>
              <w:top w:val="single" w:sz="4" w:space="0" w:color="auto"/>
              <w:bottom w:val="nil"/>
              <w:right w:val="nil"/>
            </w:tcBorders>
          </w:tcPr>
          <w:p w14:paraId="706B3C15" w14:textId="77777777" w:rsidR="00673927" w:rsidRPr="00673927" w:rsidRDefault="00673927" w:rsidP="00673927">
            <w:pPr>
              <w:rPr>
                <w:rFonts w:ascii="Times New Roman" w:eastAsia="Times New Roman" w:hAnsi="Times New Roman" w:cs="Times New Roman"/>
                <w:lang w:eastAsia="lt-LT"/>
              </w:rPr>
            </w:pPr>
          </w:p>
        </w:tc>
        <w:tc>
          <w:tcPr>
            <w:tcW w:w="2265" w:type="dxa"/>
            <w:tcBorders>
              <w:top w:val="nil"/>
              <w:left w:val="nil"/>
              <w:bottom w:val="nil"/>
              <w:right w:val="nil"/>
            </w:tcBorders>
          </w:tcPr>
          <w:p w14:paraId="5CECDBBA" w14:textId="77777777" w:rsidR="00673927" w:rsidRPr="00806743" w:rsidRDefault="00673927" w:rsidP="00673927">
            <w:pPr>
              <w:rPr>
                <w:rFonts w:ascii="Times New Roman" w:eastAsia="Times New Roman" w:hAnsi="Times New Roman" w:cs="Times New Roman"/>
                <w:lang w:val="pt-BR" w:eastAsia="lt-LT"/>
              </w:rPr>
            </w:pPr>
            <w:r w:rsidRPr="00806743">
              <w:rPr>
                <w:rFonts w:ascii="Times New Roman" w:eastAsia="Times New Roman" w:hAnsi="Times New Roman" w:cs="Times New Roman"/>
                <w:szCs w:val="20"/>
                <w:lang w:val="pt-BR" w:eastAsia="lt-LT"/>
              </w:rPr>
              <w:t>Normali dozė (</w:t>
            </w:r>
            <w:r w:rsidRPr="00806743">
              <w:rPr>
                <w:rFonts w:ascii="Times New Roman" w:eastAsia="Times New Roman" w:hAnsi="Times New Roman" w:cs="Times New Roman"/>
                <w:i/>
                <w:iCs/>
                <w:szCs w:val="20"/>
                <w:lang w:val="pt-BR" w:eastAsia="lt-LT"/>
              </w:rPr>
              <w:t>i.m.</w:t>
            </w:r>
            <w:r w:rsidRPr="00806743">
              <w:rPr>
                <w:rFonts w:ascii="Times New Roman" w:eastAsia="Times New Roman" w:hAnsi="Times New Roman" w:cs="Times New Roman"/>
                <w:szCs w:val="20"/>
                <w:lang w:val="pt-BR" w:eastAsia="lt-LT"/>
              </w:rPr>
              <w:t xml:space="preserve">, </w:t>
            </w:r>
            <w:r w:rsidRPr="00806743">
              <w:rPr>
                <w:rFonts w:ascii="Times New Roman" w:eastAsia="Times New Roman" w:hAnsi="Times New Roman" w:cs="Times New Roman"/>
                <w:i/>
                <w:iCs/>
                <w:szCs w:val="20"/>
                <w:lang w:val="pt-BR" w:eastAsia="lt-LT"/>
              </w:rPr>
              <w:t>i.v.</w:t>
            </w:r>
            <w:r w:rsidRPr="00806743">
              <w:rPr>
                <w:rFonts w:ascii="Times New Roman" w:eastAsia="Times New Roman" w:hAnsi="Times New Roman" w:cs="Times New Roman"/>
                <w:szCs w:val="20"/>
                <w:lang w:val="pt-BR" w:eastAsia="lt-LT"/>
              </w:rPr>
              <w:t>)</w:t>
            </w:r>
          </w:p>
        </w:tc>
        <w:tc>
          <w:tcPr>
            <w:tcW w:w="2265" w:type="dxa"/>
            <w:tcBorders>
              <w:top w:val="nil"/>
              <w:left w:val="nil"/>
              <w:bottom w:val="nil"/>
              <w:right w:val="nil"/>
            </w:tcBorders>
          </w:tcPr>
          <w:p w14:paraId="05B65035"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szCs w:val="20"/>
                <w:lang w:eastAsia="lt-LT"/>
              </w:rPr>
              <w:t>30 000-100 000 TV/kg per parą</w:t>
            </w:r>
          </w:p>
        </w:tc>
        <w:tc>
          <w:tcPr>
            <w:tcW w:w="2265" w:type="dxa"/>
            <w:tcBorders>
              <w:top w:val="nil"/>
              <w:left w:val="nil"/>
              <w:bottom w:val="nil"/>
            </w:tcBorders>
          </w:tcPr>
          <w:p w14:paraId="3E2FA85E" w14:textId="77777777" w:rsidR="00673927" w:rsidRPr="00673927" w:rsidRDefault="00673927" w:rsidP="00673927">
            <w:pPr>
              <w:rPr>
                <w:rFonts w:ascii="Times New Roman" w:eastAsia="Times New Roman" w:hAnsi="Times New Roman" w:cs="Times New Roman"/>
                <w:lang w:eastAsia="lt-LT"/>
              </w:rPr>
            </w:pPr>
            <w:r w:rsidRPr="00673927">
              <w:rPr>
                <w:rFonts w:ascii="Times New Roman" w:eastAsia="Times New Roman" w:hAnsi="Times New Roman" w:cs="Times New Roman"/>
                <w:u w:val="single"/>
                <w:lang w:eastAsia="lt-LT"/>
              </w:rPr>
              <w:t>padalinta į 2 dozes</w:t>
            </w:r>
          </w:p>
        </w:tc>
      </w:tr>
    </w:tbl>
    <w:p w14:paraId="4CDA42BD"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6C3F29CB"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u w:val="single"/>
          <w:lang w:eastAsia="lt-LT"/>
          <w14:ligatures w14:val="none"/>
        </w:rPr>
      </w:pPr>
      <w:r w:rsidRPr="00673927">
        <w:rPr>
          <w:rFonts w:ascii="Times New Roman" w:eastAsia="Times New Roman" w:hAnsi="Times New Roman" w:cs="Times New Roman"/>
          <w:kern w:val="0"/>
          <w:sz w:val="22"/>
          <w:szCs w:val="22"/>
          <w:u w:val="single"/>
          <w:lang w:eastAsia="lt-LT"/>
          <w14:ligatures w14:val="none"/>
        </w:rPr>
        <w:t>Ypatingos pacientų grupės</w:t>
      </w:r>
    </w:p>
    <w:p w14:paraId="4E33487B" w14:textId="77777777" w:rsidR="00673927" w:rsidRPr="00673927" w:rsidRDefault="00673927" w:rsidP="00673927">
      <w:pPr>
        <w:numPr>
          <w:ilvl w:val="0"/>
          <w:numId w:val="4"/>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Senyvi pacientai (vyresni nei 65 metų)</w:t>
      </w:r>
    </w:p>
    <w:p w14:paraId="20707AB7" w14:textId="77777777" w:rsidR="00673927" w:rsidRPr="00673927" w:rsidRDefault="00673927" w:rsidP="00673927">
      <w:pPr>
        <w:numPr>
          <w:ilvl w:val="0"/>
          <w:numId w:val="4"/>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Pacientai, kurių inkstų veikla sutrikusi</w:t>
      </w:r>
    </w:p>
    <w:p w14:paraId="162084C4" w14:textId="77777777" w:rsidR="00673927" w:rsidRPr="00673927" w:rsidRDefault="00673927" w:rsidP="00673927">
      <w:pPr>
        <w:numPr>
          <w:ilvl w:val="0"/>
          <w:numId w:val="4"/>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Pacientai, kurių kepenų veikla sutrikusi</w:t>
      </w:r>
    </w:p>
    <w:p w14:paraId="78921536"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Prieš pradedant gydymą ir reguliariai gydymo metu, šių grupių pacientams gydytojas tikrins inkstų ir kepenų veiklą bei pakoreguos dozę ir intervalą tarp dozių.</w:t>
      </w:r>
    </w:p>
    <w:p w14:paraId="1744B9CC" w14:textId="77777777" w:rsidR="00673927" w:rsidRPr="00673927" w:rsidRDefault="00673927" w:rsidP="00673927">
      <w:pPr>
        <w:spacing w:after="120" w:line="240" w:lineRule="auto"/>
        <w:contextualSpacing/>
        <w:rPr>
          <w:rFonts w:ascii="Times New Roman" w:eastAsia="Times New Roman" w:hAnsi="Times New Roman" w:cs="Times New Roman"/>
          <w:kern w:val="0"/>
          <w:sz w:val="22"/>
          <w:szCs w:val="22"/>
          <w:lang w:eastAsia="lt-LT"/>
          <w14:ligatures w14:val="none"/>
        </w:rPr>
      </w:pPr>
    </w:p>
    <w:p w14:paraId="42988048" w14:textId="77777777" w:rsidR="00673927" w:rsidRPr="00673927" w:rsidRDefault="00673927" w:rsidP="00673927">
      <w:pPr>
        <w:spacing w:after="120" w:line="240" w:lineRule="auto"/>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Šioms ligoms taikomos specialios dozavimo instrukcijos:</w:t>
      </w:r>
    </w:p>
    <w:p w14:paraId="6F7E1455" w14:textId="77777777" w:rsidR="00673927" w:rsidRPr="00673927" w:rsidRDefault="00673927" w:rsidP="00673927">
      <w:pPr>
        <w:numPr>
          <w:ilvl w:val="0"/>
          <w:numId w:val="4"/>
        </w:numPr>
        <w:tabs>
          <w:tab w:val="clear" w:pos="360"/>
        </w:tabs>
        <w:spacing w:after="12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u w:val="single"/>
          <w:lang w:eastAsia="lt-LT"/>
          <w14:ligatures w14:val="none"/>
        </w:rPr>
        <w:t>bakterinis endokarditas</w:t>
      </w:r>
      <w:r w:rsidRPr="00673927">
        <w:rPr>
          <w:rFonts w:ascii="Times New Roman" w:eastAsia="Times New Roman" w:hAnsi="Times New Roman" w:cs="Times New Roman"/>
          <w:kern w:val="0"/>
          <w:sz w:val="22"/>
          <w:szCs w:val="22"/>
          <w:lang w:eastAsia="lt-LT"/>
          <w14:ligatures w14:val="none"/>
        </w:rPr>
        <w:t xml:space="preserve">: suaugusiesiems į veną skiriama 10 000 000 </w:t>
      </w:r>
      <w:r w:rsidRPr="00673927">
        <w:rPr>
          <w:rFonts w:ascii="Times New Roman" w:eastAsia="Times New Roman" w:hAnsi="Times New Roman" w:cs="Times New Roman"/>
          <w:kern w:val="0"/>
          <w:sz w:val="22"/>
          <w:szCs w:val="22"/>
          <w:lang w:eastAsia="lt-LT"/>
          <w14:ligatures w14:val="none"/>
        </w:rPr>
        <w:noBreakHyphen/>
        <w:t xml:space="preserve"> 80 000 000 TV, kartu su aminoglikozidais;</w:t>
      </w:r>
    </w:p>
    <w:p w14:paraId="52DEFA56" w14:textId="77777777" w:rsidR="00673927" w:rsidRPr="00673927" w:rsidRDefault="00673927" w:rsidP="00673927">
      <w:pPr>
        <w:numPr>
          <w:ilvl w:val="0"/>
          <w:numId w:val="4"/>
        </w:numPr>
        <w:tabs>
          <w:tab w:val="clear" w:pos="360"/>
        </w:tabs>
        <w:spacing w:after="12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u w:val="single"/>
          <w:lang w:eastAsia="lt-LT"/>
          <w14:ligatures w14:val="none"/>
        </w:rPr>
        <w:t>meningitas</w:t>
      </w:r>
      <w:r w:rsidRPr="00673927">
        <w:rPr>
          <w:rFonts w:ascii="Times New Roman" w:eastAsia="Times New Roman" w:hAnsi="Times New Roman" w:cs="Times New Roman"/>
          <w:kern w:val="0"/>
          <w:sz w:val="22"/>
          <w:szCs w:val="22"/>
          <w:lang w:eastAsia="lt-LT"/>
          <w14:ligatures w14:val="none"/>
        </w:rPr>
        <w:t>: dėl padidėjusio polinkio traukuliams ir Jarišo-Herksheimerio (</w:t>
      </w:r>
      <w:r w:rsidRPr="00673927">
        <w:rPr>
          <w:rFonts w:ascii="TimesNewRomanPS-BoldItalicMT" w:eastAsia="PMingLiU" w:hAnsi="TimesNewRomanPS-BoldItalicMT" w:cs="TimesNewRomanPS-BoldItalicMT"/>
          <w:bCs/>
          <w:i/>
          <w:iCs/>
          <w:kern w:val="0"/>
          <w:sz w:val="22"/>
          <w:szCs w:val="22"/>
          <w:lang w:eastAsia="zh-TW"/>
          <w14:ligatures w14:val="none"/>
        </w:rPr>
        <w:t>Jarisch-Herxheimer</w:t>
      </w:r>
      <w:r w:rsidRPr="00673927">
        <w:rPr>
          <w:rFonts w:ascii="TimesNewRomanPS-BoldItalicMT" w:eastAsia="PMingLiU" w:hAnsi="TimesNewRomanPS-BoldItalicMT" w:cs="TimesNewRomanPS-BoldItalicMT"/>
          <w:bCs/>
          <w:iCs/>
          <w:kern w:val="0"/>
          <w:lang w:eastAsia="zh-TW"/>
          <w14:ligatures w14:val="none"/>
        </w:rPr>
        <w:t>)</w:t>
      </w:r>
      <w:r w:rsidRPr="00673927">
        <w:rPr>
          <w:rFonts w:ascii="Times New Roman" w:eastAsia="Times New Roman" w:hAnsi="Times New Roman" w:cs="Times New Roman"/>
          <w:kern w:val="0"/>
          <w:sz w:val="22"/>
          <w:szCs w:val="22"/>
          <w:u w:val="single"/>
          <w:lang w:eastAsia="lt-LT"/>
          <w14:ligatures w14:val="none"/>
        </w:rPr>
        <w:t xml:space="preserve"> </w:t>
      </w:r>
      <w:r w:rsidRPr="00673927">
        <w:rPr>
          <w:rFonts w:ascii="Times New Roman" w:eastAsia="Times New Roman" w:hAnsi="Times New Roman" w:cs="Times New Roman"/>
          <w:kern w:val="0"/>
          <w:sz w:val="22"/>
          <w:szCs w:val="22"/>
          <w:lang w:eastAsia="lt-LT"/>
          <w14:ligatures w14:val="none"/>
        </w:rPr>
        <w:t xml:space="preserve">reakcijai, suaugusiesiems negalima vartoti daugiau kaip 20 000 000 </w:t>
      </w:r>
      <w:r w:rsidRPr="00673927">
        <w:rPr>
          <w:rFonts w:ascii="Times New Roman" w:eastAsia="Times New Roman" w:hAnsi="Times New Roman" w:cs="Times New Roman"/>
          <w:kern w:val="0"/>
          <w:sz w:val="22"/>
          <w:szCs w:val="22"/>
          <w:lang w:eastAsia="lt-LT"/>
          <w14:ligatures w14:val="none"/>
        </w:rPr>
        <w:noBreakHyphen/>
        <w:t xml:space="preserve"> 30 000 000 TV per parą, o vaikams – ne daugiau kaip 12 000 000 TV per parą. Esant labai sunkioms klinikinėms formoms, pirmąją dozę reikia suleisti lėčiau. Iš pradžių reikia lėtai suleisti ¼ vienkartinės dozės, labai atidžiai stebint;</w:t>
      </w:r>
    </w:p>
    <w:p w14:paraId="4F36A004" w14:textId="77777777" w:rsidR="00673927" w:rsidRPr="00673927" w:rsidRDefault="00673927" w:rsidP="00673927">
      <w:pPr>
        <w:numPr>
          <w:ilvl w:val="0"/>
          <w:numId w:val="4"/>
        </w:numPr>
        <w:tabs>
          <w:tab w:val="clear" w:pos="360"/>
        </w:tabs>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u w:val="single"/>
          <w:lang w:eastAsia="lt-LT"/>
          <w14:ligatures w14:val="none"/>
        </w:rPr>
        <w:t>Laimo liga</w:t>
      </w:r>
      <w:r w:rsidRPr="00673927">
        <w:rPr>
          <w:rFonts w:ascii="Times New Roman" w:eastAsia="Times New Roman" w:hAnsi="Times New Roman" w:cs="Times New Roman"/>
          <w:kern w:val="0"/>
          <w:sz w:val="22"/>
          <w:szCs w:val="22"/>
          <w:lang w:eastAsia="lt-LT"/>
          <w14:ligatures w14:val="none"/>
        </w:rPr>
        <w:t xml:space="preserve">: suaugusiesiems vartoti į veną 20 000 000 </w:t>
      </w:r>
      <w:r w:rsidRPr="00673927">
        <w:rPr>
          <w:rFonts w:ascii="Times New Roman" w:eastAsia="Times New Roman" w:hAnsi="Times New Roman" w:cs="Times New Roman"/>
          <w:kern w:val="0"/>
          <w:sz w:val="22"/>
          <w:szCs w:val="22"/>
          <w:lang w:eastAsia="lt-LT"/>
          <w14:ligatures w14:val="none"/>
        </w:rPr>
        <w:noBreakHyphen/>
        <w:t xml:space="preserve"> 30 000 000 TV per parą, padalinus į 2</w:t>
      </w:r>
      <w:r w:rsidRPr="00673927">
        <w:rPr>
          <w:rFonts w:ascii="Times New Roman" w:eastAsia="Times New Roman" w:hAnsi="Times New Roman" w:cs="Times New Roman"/>
          <w:kern w:val="0"/>
          <w:sz w:val="22"/>
          <w:szCs w:val="22"/>
          <w:lang w:eastAsia="lt-LT"/>
          <w14:ligatures w14:val="none"/>
        </w:rPr>
        <w:noBreakHyphen/>
        <w:t>3 dozes, 14 parų, vaikams vartoti į veną 500 000 TV/kg per parą, padalinus į 2</w:t>
      </w:r>
      <w:r w:rsidRPr="00673927">
        <w:rPr>
          <w:rFonts w:ascii="Times New Roman" w:eastAsia="Times New Roman" w:hAnsi="Times New Roman" w:cs="Times New Roman"/>
          <w:kern w:val="0"/>
          <w:sz w:val="22"/>
          <w:szCs w:val="22"/>
          <w:lang w:eastAsia="lt-LT"/>
          <w14:ligatures w14:val="none"/>
        </w:rPr>
        <w:noBreakHyphen/>
        <w:t>3 dozes, 14 parų.</w:t>
      </w:r>
    </w:p>
    <w:p w14:paraId="7DA58D12" w14:textId="77777777" w:rsidR="00673927" w:rsidRPr="00673927" w:rsidRDefault="00673927" w:rsidP="00673927">
      <w:pPr>
        <w:spacing w:after="0" w:line="240" w:lineRule="auto"/>
        <w:contextualSpacing/>
        <w:rPr>
          <w:rFonts w:ascii="Times New Roman" w:eastAsia="Times New Roman" w:hAnsi="Times New Roman" w:cs="Times New Roman"/>
          <w:kern w:val="0"/>
          <w:sz w:val="22"/>
          <w:szCs w:val="22"/>
          <w:lang w:eastAsia="lt-LT"/>
          <w14:ligatures w14:val="none"/>
        </w:rPr>
      </w:pPr>
    </w:p>
    <w:p w14:paraId="5321E0A7" w14:textId="77777777" w:rsidR="00673927" w:rsidRPr="00673927" w:rsidRDefault="00673927" w:rsidP="00673927">
      <w:pPr>
        <w:spacing w:after="120" w:line="240" w:lineRule="auto"/>
        <w:contextualSpacing/>
        <w:rPr>
          <w:rFonts w:ascii="Times New Roman" w:eastAsia="Times New Roman" w:hAnsi="Times New Roman" w:cs="Times New Roman"/>
          <w:kern w:val="0"/>
          <w:sz w:val="22"/>
          <w:szCs w:val="22"/>
          <w:u w:val="single"/>
          <w:lang w:eastAsia="lt-LT"/>
          <w14:ligatures w14:val="none"/>
        </w:rPr>
      </w:pPr>
      <w:r w:rsidRPr="00673927">
        <w:rPr>
          <w:rFonts w:ascii="Times New Roman" w:eastAsia="Times New Roman" w:hAnsi="Times New Roman" w:cs="Times New Roman"/>
          <w:kern w:val="0"/>
          <w:sz w:val="22"/>
          <w:szCs w:val="22"/>
          <w:u w:val="single"/>
          <w:lang w:eastAsia="lt-LT"/>
          <w14:ligatures w14:val="none"/>
        </w:rPr>
        <w:t>Gydymo trukmė</w:t>
      </w:r>
    </w:p>
    <w:p w14:paraId="55B43CE9" w14:textId="3130A048" w:rsidR="00673927" w:rsidRPr="00673927" w:rsidRDefault="00673927" w:rsidP="00673927">
      <w:pPr>
        <w:spacing w:after="120" w:line="240" w:lineRule="auto"/>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Gydymo trukmę nustato gydytojas. Gydymo trukmė daugeliui terapinių indikacijų paprastai yra 10</w:t>
      </w:r>
      <w:r w:rsidRPr="00673927">
        <w:rPr>
          <w:rFonts w:ascii="Times New Roman" w:eastAsia="Times New Roman" w:hAnsi="Times New Roman" w:cs="Times New Roman"/>
          <w:kern w:val="0"/>
          <w:sz w:val="22"/>
          <w:szCs w:val="22"/>
          <w:lang w:eastAsia="lt-LT"/>
          <w14:ligatures w14:val="none"/>
        </w:rPr>
        <w:noBreakHyphen/>
        <w:t>14 parų. Trukmė priklauso nuo infekcijos sunkumo, patogeno jautrumo ir paciento klinikinių simptomų, ir gali trukti nuo kelių dienų iki kelių savaičių. Išnykus klinikiniams simptomams, gydymą</w:t>
      </w:r>
      <w:r w:rsidRPr="00673927">
        <w:rPr>
          <w:rFonts w:ascii="Times New Roman" w:eastAsia="Times New Roman" w:hAnsi="Times New Roman" w:cs="Times New Roman"/>
          <w:kern w:val="0"/>
          <w:sz w:val="22"/>
          <w:szCs w:val="22"/>
          <w:u w:val="single"/>
          <w:lang w:eastAsia="lt-LT"/>
          <w14:ligatures w14:val="none"/>
        </w:rPr>
        <w:t xml:space="preserve"> </w:t>
      </w:r>
      <w:r w:rsidR="00C745B0">
        <w:rPr>
          <w:rFonts w:ascii="Times New Roman" w:eastAsia="Times New Roman" w:hAnsi="Times New Roman" w:cs="Times New Roman"/>
          <w:kern w:val="0"/>
          <w:sz w:val="22"/>
          <w:szCs w:val="22"/>
          <w:lang w:eastAsia="lt-LT"/>
          <w14:ligatures w14:val="none"/>
        </w:rPr>
        <w:t>Penicilina G sodica Atb</w:t>
      </w:r>
      <w:r w:rsidRPr="00673927">
        <w:rPr>
          <w:rFonts w:ascii="Times New Roman" w:eastAsia="Times New Roman" w:hAnsi="Times New Roman" w:cs="Times New Roman"/>
          <w:kern w:val="0"/>
          <w:sz w:val="22"/>
          <w:szCs w:val="22"/>
          <w:lang w:eastAsia="lt-LT"/>
          <w14:ligatures w14:val="none"/>
        </w:rPr>
        <w:t xml:space="preserve"> reikia tęsti dar bent 2</w:t>
      </w:r>
      <w:r w:rsidRPr="00673927">
        <w:rPr>
          <w:rFonts w:ascii="Times New Roman" w:eastAsia="Times New Roman" w:hAnsi="Times New Roman" w:cs="Times New Roman"/>
          <w:kern w:val="0"/>
          <w:sz w:val="22"/>
          <w:szCs w:val="22"/>
          <w:lang w:eastAsia="lt-LT"/>
          <w14:ligatures w14:val="none"/>
        </w:rPr>
        <w:noBreakHyphen/>
        <w:t>3 paras.</w:t>
      </w:r>
    </w:p>
    <w:p w14:paraId="7E91931A" w14:textId="77777777" w:rsidR="00673927" w:rsidRPr="00673927" w:rsidRDefault="00673927" w:rsidP="00673927">
      <w:pPr>
        <w:spacing w:after="120" w:line="240" w:lineRule="auto"/>
        <w:contextualSpacing/>
        <w:rPr>
          <w:rFonts w:ascii="Times New Roman" w:eastAsia="Times New Roman" w:hAnsi="Times New Roman" w:cs="Times New Roman"/>
          <w:kern w:val="0"/>
          <w:sz w:val="22"/>
          <w:szCs w:val="22"/>
          <w:lang w:eastAsia="lt-LT"/>
          <w14:ligatures w14:val="none"/>
        </w:rPr>
      </w:pPr>
    </w:p>
    <w:p w14:paraId="31C55232" w14:textId="77777777" w:rsidR="00673927" w:rsidRPr="00673927" w:rsidRDefault="00673927" w:rsidP="00673927">
      <w:pPr>
        <w:spacing w:after="120" w:line="240" w:lineRule="auto"/>
        <w:contextualSpacing/>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u w:val="single"/>
          <w:lang w:eastAsia="lt-LT"/>
          <w14:ligatures w14:val="none"/>
        </w:rPr>
        <w:t>Remiantis PSO rekomendacijomis, streptokokų sukeltų ligų gydymą reikia tęsti ne mažiau nei 10 parų</w:t>
      </w:r>
      <w:r w:rsidRPr="00673927">
        <w:rPr>
          <w:rFonts w:ascii="Times New Roman" w:eastAsia="Times New Roman" w:hAnsi="Times New Roman" w:cs="Times New Roman"/>
          <w:kern w:val="0"/>
          <w:sz w:val="22"/>
          <w:szCs w:val="22"/>
          <w:lang w:eastAsia="lt-LT"/>
          <w14:ligatures w14:val="none"/>
        </w:rPr>
        <w:t>.</w:t>
      </w:r>
    </w:p>
    <w:p w14:paraId="79EF047A" w14:textId="77777777" w:rsidR="00673927" w:rsidRPr="00673927" w:rsidRDefault="00673927" w:rsidP="00673927">
      <w:pPr>
        <w:spacing w:after="120" w:line="240" w:lineRule="auto"/>
        <w:contextualSpacing/>
        <w:rPr>
          <w:rFonts w:ascii="Times New Roman" w:eastAsia="Times New Roman" w:hAnsi="Times New Roman" w:cs="Times New Roman"/>
          <w:kern w:val="0"/>
          <w:sz w:val="22"/>
          <w:szCs w:val="22"/>
          <w:lang w:eastAsia="lt-LT"/>
          <w14:ligatures w14:val="none"/>
        </w:rPr>
      </w:pPr>
    </w:p>
    <w:p w14:paraId="618BC4FD" w14:textId="77777777" w:rsidR="00673927" w:rsidRPr="00673927" w:rsidRDefault="00673927" w:rsidP="00673927">
      <w:pPr>
        <w:spacing w:after="120" w:line="240" w:lineRule="auto"/>
        <w:contextualSpacing/>
        <w:rPr>
          <w:rFonts w:ascii="Times New Roman" w:eastAsia="Times New Roman" w:hAnsi="Times New Roman" w:cs="Times New Roman"/>
          <w:kern w:val="0"/>
          <w:sz w:val="22"/>
          <w:szCs w:val="22"/>
          <w:u w:val="single"/>
          <w:lang w:eastAsia="lt-LT"/>
          <w14:ligatures w14:val="none"/>
        </w:rPr>
      </w:pPr>
      <w:r w:rsidRPr="00673927">
        <w:rPr>
          <w:rFonts w:ascii="Times New Roman" w:eastAsia="Times New Roman" w:hAnsi="Times New Roman" w:cs="Times New Roman"/>
          <w:kern w:val="0"/>
          <w:sz w:val="22"/>
          <w:szCs w:val="22"/>
          <w:u w:val="single"/>
          <w:lang w:eastAsia="lt-LT"/>
          <w14:ligatures w14:val="none"/>
        </w:rPr>
        <w:t>Vartojimo metodas</w:t>
      </w:r>
    </w:p>
    <w:p w14:paraId="4A1103BD" w14:textId="589F7273" w:rsidR="00673927" w:rsidRPr="00673927" w:rsidRDefault="00C745B0" w:rsidP="00673927">
      <w:pPr>
        <w:spacing w:after="120" w:line="240" w:lineRule="auto"/>
        <w:contextualSpacing/>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Penicilina G sodica Atb</w:t>
      </w:r>
      <w:r w:rsidR="00673927" w:rsidRPr="00673927">
        <w:rPr>
          <w:rFonts w:ascii="Times New Roman" w:eastAsia="Times New Roman" w:hAnsi="Times New Roman" w:cs="Times New Roman"/>
          <w:kern w:val="0"/>
          <w:sz w:val="22"/>
          <w:szCs w:val="22"/>
          <w:lang w:eastAsia="lt-LT"/>
          <w14:ligatures w14:val="none"/>
        </w:rPr>
        <w:t xml:space="preserve"> paprastai skiria gydytojas.</w:t>
      </w:r>
    </w:p>
    <w:p w14:paraId="09C93DBC" w14:textId="45E3E992" w:rsidR="00673927" w:rsidRPr="00673927" w:rsidRDefault="00C745B0" w:rsidP="00673927">
      <w:pPr>
        <w:spacing w:after="0" w:line="240" w:lineRule="auto"/>
        <w:contextualSpacing/>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Penicilina G sodica Atb</w:t>
      </w:r>
      <w:r w:rsidR="00673927" w:rsidRPr="00673927">
        <w:rPr>
          <w:rFonts w:ascii="Times New Roman" w:eastAsia="Times New Roman" w:hAnsi="Times New Roman" w:cs="Times New Roman"/>
          <w:kern w:val="0"/>
          <w:sz w:val="22"/>
          <w:szCs w:val="22"/>
          <w:lang w:eastAsia="lt-LT"/>
          <w14:ligatures w14:val="none"/>
        </w:rPr>
        <w:t xml:space="preserve"> gali būti leidžiamas į raumenis arba į veną. Vaistas gali būti leidžiamas į veną (su švirkštu) arba trumpa infuzija (naudojant 10 000 000 TV/100 ml dozę: lėtesnė injekcija, kuri paprastai trunka 30</w:t>
      </w:r>
      <w:r w:rsidR="00673927" w:rsidRPr="00673927">
        <w:rPr>
          <w:rFonts w:ascii="Times New Roman" w:eastAsia="Times New Roman" w:hAnsi="Times New Roman" w:cs="Times New Roman"/>
          <w:kern w:val="0"/>
          <w:sz w:val="22"/>
          <w:szCs w:val="22"/>
          <w:lang w:eastAsia="lt-LT"/>
          <w14:ligatures w14:val="none"/>
        </w:rPr>
        <w:noBreakHyphen/>
        <w:t>60 minučių).</w:t>
      </w:r>
    </w:p>
    <w:p w14:paraId="08520122" w14:textId="77777777" w:rsidR="00673927" w:rsidRPr="00673927" w:rsidRDefault="00673927" w:rsidP="00673927">
      <w:pPr>
        <w:keepNext/>
        <w:spacing w:after="0" w:line="240" w:lineRule="auto"/>
        <w:outlineLvl w:val="2"/>
        <w:rPr>
          <w:rFonts w:ascii="Times New Roman" w:eastAsia="Times New Roman" w:hAnsi="Times New Roman" w:cs="Times New Roman"/>
          <w:b/>
          <w:kern w:val="0"/>
          <w:sz w:val="22"/>
          <w:szCs w:val="20"/>
          <w:lang w:eastAsia="lt-LT"/>
          <w14:ligatures w14:val="none"/>
        </w:rPr>
      </w:pPr>
    </w:p>
    <w:p w14:paraId="4D0232CB" w14:textId="19A0FDEE" w:rsidR="00673927" w:rsidRPr="00673927" w:rsidRDefault="00673927" w:rsidP="00673927">
      <w:pPr>
        <w:keepNext/>
        <w:spacing w:after="0" w:line="240" w:lineRule="auto"/>
        <w:outlineLvl w:val="2"/>
        <w:rPr>
          <w:rFonts w:ascii="Times New Roman" w:eastAsia="Times New Roman" w:hAnsi="Times New Roman" w:cs="Times New Roman"/>
          <w:b/>
          <w:kern w:val="0"/>
          <w:sz w:val="22"/>
          <w:szCs w:val="20"/>
          <w:lang w:eastAsia="lt-LT"/>
          <w14:ligatures w14:val="none"/>
        </w:rPr>
      </w:pPr>
      <w:r w:rsidRPr="00673927">
        <w:rPr>
          <w:rFonts w:ascii="Times New Roman" w:eastAsia="Times New Roman" w:hAnsi="Times New Roman" w:cs="Times New Roman"/>
          <w:b/>
          <w:kern w:val="0"/>
          <w:sz w:val="22"/>
          <w:szCs w:val="20"/>
          <w:lang w:eastAsia="lt-LT"/>
          <w14:ligatures w14:val="none"/>
        </w:rPr>
        <w:t xml:space="preserve">Ką daryti pavartojus per didelę </w:t>
      </w:r>
      <w:r w:rsidR="00C745B0">
        <w:rPr>
          <w:rFonts w:ascii="Times New Roman" w:eastAsia="Times New Roman" w:hAnsi="Times New Roman" w:cs="Times New Roman"/>
          <w:b/>
          <w:kern w:val="0"/>
          <w:sz w:val="22"/>
          <w:szCs w:val="20"/>
          <w:lang w:eastAsia="lt-LT"/>
          <w14:ligatures w14:val="none"/>
        </w:rPr>
        <w:t>Penicilina G sodica Atb</w:t>
      </w:r>
      <w:r w:rsidRPr="00673927">
        <w:rPr>
          <w:rFonts w:ascii="Times New Roman" w:eastAsia="Times New Roman" w:hAnsi="Times New Roman" w:cs="Times New Roman"/>
          <w:b/>
          <w:kern w:val="0"/>
          <w:sz w:val="22"/>
          <w:szCs w:val="20"/>
          <w:lang w:eastAsia="lt-LT"/>
          <w14:ligatures w14:val="none"/>
        </w:rPr>
        <w:t xml:space="preserve"> dozę</w:t>
      </w:r>
    </w:p>
    <w:p w14:paraId="68636D7C"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Perdozavus, gali atsirasti virškinamojo trakto sutrikimo simptomų, sutrikti skysčių ir elektrolitų pusiausvyra, padidėti nervų ir raumenų dirglumas arba polinkis į smegenų traukulius. Tokiu atveju gydytojas nutrauks gydymą ir prireikus skirs klinikinį stebėjimą ir simptominį gydymą.</w:t>
      </w:r>
    </w:p>
    <w:p w14:paraId="496C22C9"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547F52B5" w14:textId="6680F9B4" w:rsidR="00673927" w:rsidRPr="00673927" w:rsidRDefault="00673927" w:rsidP="00673927">
      <w:pPr>
        <w:spacing w:after="0" w:line="240" w:lineRule="auto"/>
        <w:contextualSpacing/>
        <w:rPr>
          <w:rFonts w:ascii="Times New Roman" w:eastAsia="Times New Roman" w:hAnsi="Times New Roman" w:cs="Times New Roman"/>
          <w:b/>
          <w:bCs/>
          <w:kern w:val="0"/>
          <w:sz w:val="22"/>
          <w:szCs w:val="22"/>
          <w:lang w:eastAsia="lt-LT"/>
          <w14:ligatures w14:val="none"/>
        </w:rPr>
      </w:pPr>
      <w:r w:rsidRPr="00673927">
        <w:rPr>
          <w:rFonts w:ascii="Times New Roman" w:eastAsia="Times New Roman" w:hAnsi="Times New Roman" w:cs="Times New Roman"/>
          <w:b/>
          <w:bCs/>
          <w:kern w:val="0"/>
          <w:sz w:val="22"/>
          <w:szCs w:val="22"/>
          <w:lang w:eastAsia="lt-LT"/>
          <w14:ligatures w14:val="none"/>
        </w:rPr>
        <w:t xml:space="preserve">Pamiršus pavartoti </w:t>
      </w:r>
      <w:r w:rsidR="00C745B0">
        <w:rPr>
          <w:rFonts w:ascii="Times New Roman" w:eastAsia="Times New Roman" w:hAnsi="Times New Roman" w:cs="Times New Roman"/>
          <w:b/>
          <w:bCs/>
          <w:kern w:val="0"/>
          <w:sz w:val="22"/>
          <w:szCs w:val="22"/>
          <w:lang w:eastAsia="lt-LT"/>
          <w14:ligatures w14:val="none"/>
        </w:rPr>
        <w:t>Penicilina G sodica Atb</w:t>
      </w:r>
    </w:p>
    <w:p w14:paraId="3394D3DA"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Jei manote, kad praleidote dozę, nedelsdami kreipkitės į gydytoją.</w:t>
      </w:r>
    </w:p>
    <w:p w14:paraId="6F9033D3"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0A21197F" w14:textId="5DFD39D3"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b/>
          <w:bCs/>
          <w:snapToGrid w:val="0"/>
          <w:kern w:val="0"/>
          <w:sz w:val="22"/>
          <w:szCs w:val="28"/>
          <w:lang w:eastAsia="x-none"/>
          <w14:ligatures w14:val="none"/>
        </w:rPr>
        <w:t xml:space="preserve">Nustojus vartoti </w:t>
      </w:r>
      <w:r w:rsidR="00C745B0">
        <w:rPr>
          <w:rFonts w:ascii="Times New Roman" w:eastAsia="Times New Roman" w:hAnsi="Times New Roman" w:cs="Times New Roman"/>
          <w:b/>
          <w:bCs/>
          <w:kern w:val="0"/>
          <w:sz w:val="22"/>
          <w:szCs w:val="22"/>
          <w:lang w:eastAsia="lt-LT"/>
          <w14:ligatures w14:val="none"/>
        </w:rPr>
        <w:t>Penicilina G sodica Atb</w:t>
      </w:r>
    </w:p>
    <w:p w14:paraId="32DBC9B8"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Jeigu kiltų daugiau klausimų dėl šio vaisto vartojimo, kreipkitės į gydytoją arba vaistininką.</w:t>
      </w:r>
    </w:p>
    <w:p w14:paraId="34D6749B"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22443334"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2D6D2403" w14:textId="77777777" w:rsidR="00673927" w:rsidRPr="00673927" w:rsidRDefault="00673927" w:rsidP="00673927">
      <w:pPr>
        <w:keepNext/>
        <w:tabs>
          <w:tab w:val="left" w:pos="567"/>
        </w:tabs>
        <w:spacing w:after="0" w:line="240" w:lineRule="auto"/>
        <w:outlineLvl w:val="1"/>
        <w:rPr>
          <w:rFonts w:ascii="Times New Roman" w:eastAsia="Times New Roman" w:hAnsi="Times New Roman" w:cs="Times New Roman"/>
          <w:b/>
          <w:bCs/>
          <w:kern w:val="0"/>
          <w:sz w:val="22"/>
          <w:szCs w:val="22"/>
          <w:lang w:eastAsia="lt-LT"/>
          <w14:ligatures w14:val="none"/>
        </w:rPr>
      </w:pPr>
      <w:r w:rsidRPr="00673927">
        <w:rPr>
          <w:rFonts w:ascii="Times New Roman" w:eastAsia="Times New Roman" w:hAnsi="Times New Roman" w:cs="Times New Roman"/>
          <w:b/>
          <w:bCs/>
          <w:kern w:val="0"/>
          <w:sz w:val="22"/>
          <w:szCs w:val="22"/>
          <w:lang w:eastAsia="lt-LT"/>
          <w14:ligatures w14:val="none"/>
        </w:rPr>
        <w:t>4.</w:t>
      </w:r>
      <w:r w:rsidRPr="00673927">
        <w:rPr>
          <w:rFonts w:ascii="Times New Roman" w:eastAsia="Times New Roman" w:hAnsi="Times New Roman" w:cs="Times New Roman"/>
          <w:b/>
          <w:bCs/>
          <w:kern w:val="0"/>
          <w:sz w:val="22"/>
          <w:szCs w:val="22"/>
          <w:lang w:eastAsia="lt-LT"/>
          <w14:ligatures w14:val="none"/>
        </w:rPr>
        <w:tab/>
        <w:t>Galimas šalutinis poveikis</w:t>
      </w:r>
    </w:p>
    <w:p w14:paraId="4F0B63ED" w14:textId="77777777" w:rsidR="00673927" w:rsidRPr="00673927" w:rsidRDefault="00673927" w:rsidP="00673927">
      <w:pPr>
        <w:tabs>
          <w:tab w:val="left" w:pos="567"/>
        </w:tabs>
        <w:spacing w:after="0" w:line="240" w:lineRule="auto"/>
        <w:rPr>
          <w:rFonts w:ascii="Times New Roman" w:eastAsia="Times New Roman" w:hAnsi="Times New Roman" w:cs="Times New Roman"/>
          <w:i/>
          <w:kern w:val="0"/>
          <w:sz w:val="22"/>
          <w:szCs w:val="22"/>
          <w:lang w:eastAsia="lt-LT"/>
          <w14:ligatures w14:val="none"/>
        </w:rPr>
      </w:pPr>
    </w:p>
    <w:p w14:paraId="030556F7"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Šis vaistas</w:t>
      </w:r>
      <w:r w:rsidRPr="00673927">
        <w:rPr>
          <w:rFonts w:ascii="Times New Roman" w:eastAsia="Times New Roman" w:hAnsi="Times New Roman" w:cs="Times New Roman"/>
          <w:noProof/>
          <w:kern w:val="0"/>
          <w:sz w:val="22"/>
          <w:szCs w:val="22"/>
          <w:lang w:eastAsia="lt-LT"/>
          <w14:ligatures w14:val="none"/>
        </w:rPr>
        <w:t xml:space="preserve">, kaip </w:t>
      </w:r>
      <w:r w:rsidRPr="00673927">
        <w:rPr>
          <w:rFonts w:ascii="Times New Roman" w:eastAsia="Times New Roman" w:hAnsi="Times New Roman" w:cs="Times New Roman"/>
          <w:kern w:val="0"/>
          <w:sz w:val="22"/>
          <w:szCs w:val="22"/>
          <w:lang w:eastAsia="lt-LT"/>
          <w14:ligatures w14:val="none"/>
        </w:rPr>
        <w:t>ir visi kiti, gali sukelti šalutinį poveikį, nors jis pasireiškia ne visiems žmonėms.</w:t>
      </w:r>
    </w:p>
    <w:p w14:paraId="7EE5E95D"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3E3C25A" w14:textId="77777777" w:rsidR="000D5F40"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Nepageidaujamo poveikio dažnis apibūdinamas taip: </w:t>
      </w:r>
    </w:p>
    <w:p w14:paraId="75A68380" w14:textId="7F0E3427" w:rsidR="000D5F40" w:rsidRPr="000D5F40" w:rsidRDefault="000D5F40" w:rsidP="000D5F40">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D5F40">
        <w:rPr>
          <w:rFonts w:ascii="Times New Roman" w:eastAsia="Times New Roman" w:hAnsi="Times New Roman" w:cs="Times New Roman"/>
          <w:kern w:val="0"/>
          <w:sz w:val="22"/>
          <w:szCs w:val="22"/>
          <w:lang w:eastAsia="lt-LT"/>
          <w14:ligatures w14:val="none"/>
        </w:rPr>
        <w:t>Labai dažni šalutinio poveikio reiškiniai (gali pasireikšti ne rečiau kaip 1 iš 10 asmenų)</w:t>
      </w:r>
      <w:r>
        <w:rPr>
          <w:rFonts w:ascii="Times New Roman" w:eastAsia="Times New Roman" w:hAnsi="Times New Roman" w:cs="Times New Roman"/>
          <w:kern w:val="0"/>
          <w:sz w:val="22"/>
          <w:szCs w:val="22"/>
          <w:lang w:eastAsia="lt-LT"/>
          <w14:ligatures w14:val="none"/>
        </w:rPr>
        <w:t>;</w:t>
      </w:r>
    </w:p>
    <w:p w14:paraId="47BEA089" w14:textId="61C9403D" w:rsidR="000D5F40" w:rsidRPr="000D5F40" w:rsidRDefault="000D5F40" w:rsidP="000D5F40">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D5F40">
        <w:rPr>
          <w:rFonts w:ascii="Times New Roman" w:eastAsia="Times New Roman" w:hAnsi="Times New Roman" w:cs="Times New Roman"/>
          <w:kern w:val="0"/>
          <w:sz w:val="22"/>
          <w:szCs w:val="22"/>
          <w:lang w:eastAsia="lt-LT"/>
          <w14:ligatures w14:val="none"/>
        </w:rPr>
        <w:t>Dažni šalutinio poveikio reiškiniai (gali pasireikšti rečiau kaip 1 iš 10 asmenų)</w:t>
      </w:r>
      <w:r>
        <w:rPr>
          <w:rFonts w:ascii="Times New Roman" w:eastAsia="Times New Roman" w:hAnsi="Times New Roman" w:cs="Times New Roman"/>
          <w:kern w:val="0"/>
          <w:sz w:val="22"/>
          <w:szCs w:val="22"/>
          <w:lang w:eastAsia="lt-LT"/>
          <w14:ligatures w14:val="none"/>
        </w:rPr>
        <w:t>;</w:t>
      </w:r>
    </w:p>
    <w:p w14:paraId="5A707B1C" w14:textId="505BB628" w:rsidR="000D5F40" w:rsidRPr="000D5F40" w:rsidRDefault="000D5F40" w:rsidP="000D5F40">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D5F40">
        <w:rPr>
          <w:rFonts w:ascii="Times New Roman" w:eastAsia="Times New Roman" w:hAnsi="Times New Roman" w:cs="Times New Roman"/>
          <w:kern w:val="0"/>
          <w:sz w:val="22"/>
          <w:szCs w:val="22"/>
          <w:lang w:eastAsia="lt-LT"/>
          <w14:ligatures w14:val="none"/>
        </w:rPr>
        <w:t>Nedažni šalutinio poveikio reiškiniai (gali pasireikšti rečiau kaip 1 iš 100 asmenų)</w:t>
      </w:r>
      <w:r>
        <w:rPr>
          <w:rFonts w:ascii="Times New Roman" w:eastAsia="Times New Roman" w:hAnsi="Times New Roman" w:cs="Times New Roman"/>
          <w:kern w:val="0"/>
          <w:sz w:val="22"/>
          <w:szCs w:val="22"/>
          <w:lang w:eastAsia="lt-LT"/>
          <w14:ligatures w14:val="none"/>
        </w:rPr>
        <w:t>;</w:t>
      </w:r>
    </w:p>
    <w:p w14:paraId="4E8D0111" w14:textId="54BE281E" w:rsidR="000D5F40" w:rsidRPr="000D5F40" w:rsidRDefault="000D5F40" w:rsidP="000D5F40">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D5F40">
        <w:rPr>
          <w:rFonts w:ascii="Times New Roman" w:eastAsia="Times New Roman" w:hAnsi="Times New Roman" w:cs="Times New Roman"/>
          <w:kern w:val="0"/>
          <w:sz w:val="22"/>
          <w:szCs w:val="22"/>
          <w:lang w:eastAsia="lt-LT"/>
          <w14:ligatures w14:val="none"/>
        </w:rPr>
        <w:t>Reti šalutinio poveikio reiškiniai (gali pasireikšti rečiau kaip 1 iš 1 000 asmenų)</w:t>
      </w:r>
      <w:r>
        <w:rPr>
          <w:rFonts w:ascii="Times New Roman" w:eastAsia="Times New Roman" w:hAnsi="Times New Roman" w:cs="Times New Roman"/>
          <w:kern w:val="0"/>
          <w:sz w:val="22"/>
          <w:szCs w:val="22"/>
          <w:lang w:eastAsia="lt-LT"/>
          <w14:ligatures w14:val="none"/>
        </w:rPr>
        <w:t>;</w:t>
      </w:r>
    </w:p>
    <w:p w14:paraId="3D8A0A25" w14:textId="39E0198A" w:rsidR="000D5F40" w:rsidRPr="000D5F40" w:rsidRDefault="000D5F40" w:rsidP="000D5F40">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D5F40">
        <w:rPr>
          <w:rFonts w:ascii="Times New Roman" w:eastAsia="Times New Roman" w:hAnsi="Times New Roman" w:cs="Times New Roman"/>
          <w:kern w:val="0"/>
          <w:sz w:val="22"/>
          <w:szCs w:val="22"/>
          <w:lang w:eastAsia="lt-LT"/>
          <w14:ligatures w14:val="none"/>
        </w:rPr>
        <w:t>Labai reti šalutinio poveikio reiškiniai (gali pasireikšti rečiau kaip 1 iš 10 000 asmenų)</w:t>
      </w:r>
      <w:r>
        <w:rPr>
          <w:rFonts w:ascii="Times New Roman" w:eastAsia="Times New Roman" w:hAnsi="Times New Roman" w:cs="Times New Roman"/>
          <w:kern w:val="0"/>
          <w:sz w:val="22"/>
          <w:szCs w:val="22"/>
          <w:lang w:eastAsia="lt-LT"/>
          <w14:ligatures w14:val="none"/>
        </w:rPr>
        <w:t>;</w:t>
      </w:r>
    </w:p>
    <w:p w14:paraId="5536985C" w14:textId="6540A6EF" w:rsidR="00673927" w:rsidRPr="00673927" w:rsidRDefault="000D5F40" w:rsidP="000D5F40">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D5F40">
        <w:rPr>
          <w:rFonts w:ascii="Times New Roman" w:eastAsia="Times New Roman" w:hAnsi="Times New Roman" w:cs="Times New Roman"/>
          <w:kern w:val="0"/>
          <w:sz w:val="22"/>
          <w:szCs w:val="22"/>
          <w:lang w:eastAsia="lt-LT"/>
          <w14:ligatures w14:val="none"/>
        </w:rPr>
        <w:lastRenderedPageBreak/>
        <w:t>Šalutinio poveikio reiškiniai, kurių dažnis nežinomas (negali būti apskaičiuotas pagal turimus duomenis)</w:t>
      </w:r>
      <w:r w:rsidR="00673927" w:rsidRPr="00673927">
        <w:rPr>
          <w:rFonts w:ascii="Times New Roman" w:eastAsia="Times New Roman" w:hAnsi="Times New Roman" w:cs="Times New Roman"/>
          <w:kern w:val="0"/>
          <w:sz w:val="22"/>
          <w:szCs w:val="22"/>
          <w:lang w:eastAsia="lt-LT"/>
          <w14:ligatures w14:val="none"/>
        </w:rPr>
        <w:t>.</w:t>
      </w:r>
    </w:p>
    <w:p w14:paraId="2A7FF0D8"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94745C5" w14:textId="77777777" w:rsidR="00673927" w:rsidRPr="00673927" w:rsidRDefault="00673927" w:rsidP="00673927">
      <w:pPr>
        <w:tabs>
          <w:tab w:val="left" w:pos="567"/>
        </w:tabs>
        <w:spacing w:after="0" w:line="240" w:lineRule="auto"/>
        <w:rPr>
          <w:rFonts w:ascii="Times New Roman" w:eastAsia="Times New Roman" w:hAnsi="Times New Roman" w:cs="Times New Roman"/>
          <w:iCs/>
          <w:kern w:val="0"/>
          <w:sz w:val="22"/>
          <w:szCs w:val="22"/>
          <w:u w:val="single"/>
          <w:lang w:eastAsia="lt-LT"/>
          <w14:ligatures w14:val="none"/>
        </w:rPr>
      </w:pPr>
      <w:r w:rsidRPr="00673927">
        <w:rPr>
          <w:rFonts w:ascii="Times New Roman" w:eastAsia="Times New Roman" w:hAnsi="Times New Roman" w:cs="Times New Roman"/>
          <w:iCs/>
          <w:kern w:val="0"/>
          <w:sz w:val="22"/>
          <w:szCs w:val="22"/>
          <w:u w:val="single"/>
          <w:lang w:eastAsia="lt-LT"/>
          <w14:ligatures w14:val="none"/>
        </w:rPr>
        <w:t>Kraujo ir limfinės sistemos sutrikimai</w:t>
      </w:r>
    </w:p>
    <w:p w14:paraId="0E4C4BFE" w14:textId="26BECEE4" w:rsidR="00673927" w:rsidRPr="00673927" w:rsidRDefault="004C548A"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C548A">
        <w:rPr>
          <w:rFonts w:ascii="Times New Roman" w:eastAsia="Times New Roman" w:hAnsi="Times New Roman" w:cs="Times New Roman"/>
          <w:i/>
          <w:kern w:val="0"/>
          <w:sz w:val="22"/>
          <w:szCs w:val="22"/>
          <w:lang w:eastAsia="lt-LT"/>
          <w14:ligatures w14:val="none"/>
        </w:rPr>
        <w:t>Labai reti šalutinio poveikio reiškiniai</w:t>
      </w:r>
      <w:r w:rsidR="00673927" w:rsidRPr="00673927">
        <w:rPr>
          <w:rFonts w:ascii="Times New Roman" w:eastAsia="Times New Roman" w:hAnsi="Times New Roman" w:cs="Times New Roman"/>
          <w:i/>
          <w:kern w:val="0"/>
          <w:sz w:val="22"/>
          <w:szCs w:val="22"/>
          <w:lang w:eastAsia="lt-LT"/>
          <w14:ligatures w14:val="none"/>
        </w:rPr>
        <w:t xml:space="preserve">: </w:t>
      </w:r>
      <w:r w:rsidR="00673927" w:rsidRPr="00673927">
        <w:rPr>
          <w:rFonts w:ascii="Times New Roman" w:eastAsia="Times New Roman" w:hAnsi="Times New Roman" w:cs="Times New Roman"/>
          <w:kern w:val="0"/>
          <w:sz w:val="22"/>
          <w:szCs w:val="22"/>
          <w:lang w:eastAsia="lt-LT"/>
          <w14:ligatures w14:val="none"/>
        </w:rPr>
        <w:t xml:space="preserve">poveikis kraujui ir jo sudėčiai (eozinofilija, leukopenija, neutropenija, granulocitopenija, agranulocitozė, pancitopenija), hemolizinė anemija (tam tikro tipo anemija), kraujo krešėjimo sutrikimas. </w:t>
      </w:r>
    </w:p>
    <w:p w14:paraId="200C164F" w14:textId="68B305E1" w:rsidR="00673927" w:rsidRPr="00673927" w:rsidRDefault="004C548A"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C548A">
        <w:rPr>
          <w:rFonts w:ascii="Times New Roman" w:eastAsia="Times New Roman" w:hAnsi="Times New Roman" w:cs="Times New Roman"/>
          <w:i/>
          <w:iCs/>
          <w:kern w:val="0"/>
          <w:sz w:val="22"/>
          <w:szCs w:val="22"/>
          <w:lang w:eastAsia="lt-LT"/>
          <w14:ligatures w14:val="none"/>
        </w:rPr>
        <w:t>Šalutinio poveikio reiškiniai, kurių dažnis nežinomas</w:t>
      </w:r>
      <w:r w:rsidR="00673927" w:rsidRPr="00673927">
        <w:rPr>
          <w:rFonts w:ascii="Times New Roman" w:eastAsia="Times New Roman" w:hAnsi="Times New Roman" w:cs="Times New Roman"/>
          <w:i/>
          <w:iCs/>
          <w:kern w:val="0"/>
          <w:sz w:val="22"/>
          <w:szCs w:val="22"/>
          <w:lang w:eastAsia="lt-LT"/>
          <w14:ligatures w14:val="none"/>
        </w:rPr>
        <w:t>:</w:t>
      </w:r>
      <w:r w:rsidR="00673927" w:rsidRPr="00673927">
        <w:rPr>
          <w:rFonts w:ascii="Times New Roman" w:eastAsia="Times New Roman" w:hAnsi="Times New Roman" w:cs="Times New Roman"/>
          <w:kern w:val="0"/>
          <w:sz w:val="22"/>
          <w:szCs w:val="22"/>
          <w:lang w:eastAsia="lt-LT"/>
          <w14:ligatures w14:val="none"/>
        </w:rPr>
        <w:t xml:space="preserve"> kraujavimo laiko ir protrombino laiko pailgėjimas (žr. poskyrį „Įspėjimai ir atsargumo priemonės“), trombocitopenija</w:t>
      </w:r>
      <w:r w:rsidR="00673927" w:rsidRPr="00673927">
        <w:rPr>
          <w:rFonts w:ascii="Times New Roman" w:eastAsia="Times New Roman" w:hAnsi="Times New Roman" w:cs="Times New Roman"/>
          <w:kern w:val="0"/>
          <w:sz w:val="22"/>
          <w:szCs w:val="20"/>
          <w:lang w:eastAsia="lt-LT"/>
          <w14:ligatures w14:val="none"/>
        </w:rPr>
        <w:t xml:space="preserve"> (</w:t>
      </w:r>
      <w:r w:rsidR="00673927" w:rsidRPr="00673927">
        <w:rPr>
          <w:rFonts w:ascii="Times New Roman" w:eastAsia="Times New Roman" w:hAnsi="Times New Roman" w:cs="Times New Roman"/>
          <w:kern w:val="0"/>
          <w:sz w:val="22"/>
          <w:szCs w:val="22"/>
          <w:lang w:eastAsia="lt-LT"/>
          <w14:ligatures w14:val="none"/>
        </w:rPr>
        <w:t>sumažėjęs trombocitų kiekis kraujyje).</w:t>
      </w:r>
    </w:p>
    <w:p w14:paraId="0AC08FAC"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8546B17" w14:textId="77777777" w:rsidR="00673927" w:rsidRPr="00673927" w:rsidRDefault="00673927" w:rsidP="00673927">
      <w:pPr>
        <w:tabs>
          <w:tab w:val="left" w:pos="567"/>
        </w:tabs>
        <w:spacing w:after="0" w:line="240" w:lineRule="auto"/>
        <w:rPr>
          <w:rFonts w:ascii="Times New Roman" w:eastAsia="Times New Roman" w:hAnsi="Times New Roman" w:cs="Times New Roman"/>
          <w:iCs/>
          <w:kern w:val="0"/>
          <w:sz w:val="22"/>
          <w:szCs w:val="22"/>
          <w:u w:val="single"/>
          <w:lang w:eastAsia="lt-LT"/>
          <w14:ligatures w14:val="none"/>
        </w:rPr>
      </w:pPr>
      <w:r w:rsidRPr="00673927">
        <w:rPr>
          <w:rFonts w:ascii="Times New Roman" w:eastAsia="Times New Roman" w:hAnsi="Times New Roman" w:cs="Times New Roman"/>
          <w:iCs/>
          <w:kern w:val="0"/>
          <w:sz w:val="22"/>
          <w:szCs w:val="22"/>
          <w:u w:val="single"/>
          <w:lang w:eastAsia="lt-LT"/>
          <w14:ligatures w14:val="none"/>
        </w:rPr>
        <w:t>Imuninės sistemos sutrikimai</w:t>
      </w:r>
    </w:p>
    <w:p w14:paraId="799D0E45" w14:textId="518B0C4B" w:rsidR="00673927" w:rsidRPr="00673927" w:rsidRDefault="004C548A"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C548A">
        <w:rPr>
          <w:rFonts w:ascii="Times New Roman" w:eastAsia="Times New Roman" w:hAnsi="Times New Roman" w:cs="Times New Roman"/>
          <w:i/>
          <w:kern w:val="0"/>
          <w:sz w:val="22"/>
          <w:szCs w:val="22"/>
          <w:lang w:eastAsia="lt-LT"/>
          <w14:ligatures w14:val="none"/>
        </w:rPr>
        <w:t>Reti šalutinio poveikio reiškiniai</w:t>
      </w:r>
      <w:r w:rsidR="00673927" w:rsidRPr="00673927">
        <w:rPr>
          <w:rFonts w:ascii="Times New Roman" w:eastAsia="Times New Roman" w:hAnsi="Times New Roman" w:cs="Times New Roman"/>
          <w:i/>
          <w:kern w:val="0"/>
          <w:sz w:val="22"/>
          <w:szCs w:val="22"/>
          <w:lang w:eastAsia="lt-LT"/>
          <w14:ligatures w14:val="none"/>
        </w:rPr>
        <w:t xml:space="preserve">: </w:t>
      </w:r>
      <w:r w:rsidR="00673927" w:rsidRPr="00673927">
        <w:rPr>
          <w:rFonts w:ascii="Times New Roman" w:eastAsia="Times New Roman" w:hAnsi="Times New Roman" w:cs="Times New Roman"/>
          <w:kern w:val="0"/>
          <w:sz w:val="22"/>
          <w:szCs w:val="22"/>
          <w:lang w:eastAsia="lt-LT"/>
          <w14:ligatures w14:val="none"/>
        </w:rPr>
        <w:t>alerginės reakcijos: dilgėlinė (su arba be niežėjimu), sunkios odos reakcijos (daugiaformė eritema, eksfoliacinis dermatitas), karščiavimas, sąnarių skausmas, sunkios padidėjusio jautrumo reakcijos (astma, rožinis išbėrimas, virškinimo trakto sutrikimai).</w:t>
      </w:r>
    </w:p>
    <w:p w14:paraId="193960C2" w14:textId="04D11485" w:rsidR="00673927" w:rsidRPr="00673927" w:rsidRDefault="004C548A" w:rsidP="00673927">
      <w:pPr>
        <w:tabs>
          <w:tab w:val="left" w:pos="567"/>
        </w:tabs>
        <w:spacing w:after="0" w:line="240" w:lineRule="auto"/>
        <w:rPr>
          <w:rFonts w:ascii="Times New Roman" w:eastAsia="Times New Roman" w:hAnsi="Times New Roman" w:cs="Times New Roman"/>
          <w:i/>
          <w:kern w:val="0"/>
          <w:sz w:val="22"/>
          <w:szCs w:val="22"/>
          <w:lang w:eastAsia="lt-LT"/>
          <w14:ligatures w14:val="none"/>
        </w:rPr>
      </w:pPr>
      <w:r w:rsidRPr="004C548A">
        <w:rPr>
          <w:rFonts w:ascii="Times New Roman" w:eastAsia="Times New Roman" w:hAnsi="Times New Roman" w:cs="Times New Roman"/>
          <w:i/>
          <w:kern w:val="0"/>
          <w:sz w:val="22"/>
          <w:szCs w:val="22"/>
          <w:lang w:eastAsia="lt-LT"/>
          <w14:ligatures w14:val="none"/>
        </w:rPr>
        <w:t>Šalutinio poveikio reiškiniai, kurių dažnis nežinomas</w:t>
      </w:r>
      <w:r w:rsidR="00673927" w:rsidRPr="00673927">
        <w:rPr>
          <w:rFonts w:ascii="Times New Roman" w:eastAsia="Times New Roman" w:hAnsi="Times New Roman" w:cs="Times New Roman"/>
          <w:i/>
          <w:kern w:val="0"/>
          <w:sz w:val="22"/>
          <w:szCs w:val="22"/>
          <w:lang w:eastAsia="lt-LT"/>
          <w14:ligatures w14:val="none"/>
        </w:rPr>
        <w:t>:</w:t>
      </w:r>
      <w:r w:rsidR="00673927" w:rsidRPr="00673927">
        <w:rPr>
          <w:rFonts w:ascii="Times New Roman" w:eastAsia="Times New Roman" w:hAnsi="Times New Roman" w:cs="Times New Roman"/>
          <w:kern w:val="0"/>
          <w:sz w:val="22"/>
          <w:szCs w:val="22"/>
          <w:lang w:eastAsia="lt-LT"/>
          <w14:ligatures w14:val="none"/>
        </w:rPr>
        <w:t xml:space="preserve"> seruminė liga (padidėjusio jautrumo reakcijos, pvz., karščiavimas, limfmazgių padidėjimas, vietinis paraudimas injekcijos vietoje, niežulys), Jarišo-Herksheimerio (</w:t>
      </w:r>
      <w:r w:rsidR="00673927" w:rsidRPr="00673927">
        <w:rPr>
          <w:rFonts w:ascii="TimesNewRomanPS-BoldItalicMT" w:eastAsia="PMingLiU" w:hAnsi="TimesNewRomanPS-BoldItalicMT" w:cs="TimesNewRomanPS-BoldItalicMT"/>
          <w:bCs/>
          <w:i/>
          <w:iCs/>
          <w:kern w:val="0"/>
          <w:sz w:val="22"/>
          <w:szCs w:val="22"/>
          <w:lang w:eastAsia="zh-TW"/>
          <w14:ligatures w14:val="none"/>
        </w:rPr>
        <w:t>Jarisch-Herxheimer</w:t>
      </w:r>
      <w:r w:rsidR="00673927" w:rsidRPr="00673927">
        <w:rPr>
          <w:rFonts w:ascii="TimesNewRomanPS-BoldItalicMT" w:eastAsia="PMingLiU" w:hAnsi="TimesNewRomanPS-BoldItalicMT" w:cs="TimesNewRomanPS-BoldItalicMT"/>
          <w:bCs/>
          <w:iCs/>
          <w:kern w:val="0"/>
          <w:lang w:eastAsia="zh-TW"/>
          <w14:ligatures w14:val="none"/>
        </w:rPr>
        <w:t>)</w:t>
      </w:r>
      <w:r w:rsidR="00673927" w:rsidRPr="00673927">
        <w:rPr>
          <w:rFonts w:ascii="Times New Roman" w:eastAsia="Times New Roman" w:hAnsi="Times New Roman" w:cs="Times New Roman"/>
          <w:kern w:val="0"/>
          <w:sz w:val="22"/>
          <w:szCs w:val="22"/>
          <w:lang w:eastAsia="lt-LT"/>
          <w14:ligatures w14:val="none"/>
        </w:rPr>
        <w:t xml:space="preserve"> reakcija (jai būdingas staigus karščiavimas, šaltkrėtis, odos paraudimas, galvos skausmas, raumenų ir sąnarių skausmas, nuovargiu ir (arba) išsekimas), odos ir gleivinių, ypač veido, burnos, ryklės ir gerklų, patinimas (angioneurozinė edema).</w:t>
      </w:r>
    </w:p>
    <w:p w14:paraId="4941B756"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923354E" w14:textId="77777777" w:rsidR="00673927" w:rsidRPr="00673927" w:rsidRDefault="00673927" w:rsidP="00673927">
      <w:pPr>
        <w:tabs>
          <w:tab w:val="left" w:pos="567"/>
        </w:tabs>
        <w:spacing w:after="0" w:line="240" w:lineRule="auto"/>
        <w:rPr>
          <w:rFonts w:ascii="Times New Roman" w:eastAsia="Times New Roman" w:hAnsi="Times New Roman" w:cs="Times New Roman"/>
          <w:iCs/>
          <w:kern w:val="0"/>
          <w:sz w:val="22"/>
          <w:szCs w:val="22"/>
          <w:u w:val="single"/>
          <w:lang w:eastAsia="lt-LT"/>
          <w14:ligatures w14:val="none"/>
        </w:rPr>
      </w:pPr>
      <w:r w:rsidRPr="00673927">
        <w:rPr>
          <w:rFonts w:ascii="Times New Roman" w:eastAsia="Times New Roman" w:hAnsi="Times New Roman" w:cs="Times New Roman"/>
          <w:iCs/>
          <w:kern w:val="0"/>
          <w:sz w:val="22"/>
          <w:szCs w:val="22"/>
          <w:u w:val="single"/>
          <w:lang w:eastAsia="lt-LT"/>
          <w14:ligatures w14:val="none"/>
        </w:rPr>
        <w:t>Metabolizmo ir mitybos sutrikimai</w:t>
      </w:r>
    </w:p>
    <w:p w14:paraId="56C0F416" w14:textId="497C3E58" w:rsidR="00673927" w:rsidRPr="00673927" w:rsidRDefault="004C548A"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C548A">
        <w:rPr>
          <w:rFonts w:ascii="Times New Roman" w:eastAsia="Times New Roman" w:hAnsi="Times New Roman" w:cs="Times New Roman"/>
          <w:i/>
          <w:kern w:val="0"/>
          <w:sz w:val="22"/>
          <w:szCs w:val="22"/>
          <w:lang w:eastAsia="lt-LT"/>
          <w14:ligatures w14:val="none"/>
        </w:rPr>
        <w:t>Reti šalutinio poveikio reiškiniai</w:t>
      </w:r>
      <w:r w:rsidR="00673927" w:rsidRPr="00673927">
        <w:rPr>
          <w:rFonts w:ascii="Times New Roman" w:eastAsia="Times New Roman" w:hAnsi="Times New Roman" w:cs="Times New Roman"/>
          <w:i/>
          <w:kern w:val="0"/>
          <w:sz w:val="22"/>
          <w:szCs w:val="22"/>
          <w:lang w:eastAsia="lt-LT"/>
          <w14:ligatures w14:val="none"/>
        </w:rPr>
        <w:t xml:space="preserve">: </w:t>
      </w:r>
      <w:r w:rsidR="00673927" w:rsidRPr="00673927">
        <w:rPr>
          <w:rFonts w:ascii="Times New Roman" w:eastAsia="Times New Roman" w:hAnsi="Times New Roman" w:cs="Times New Roman"/>
          <w:kern w:val="0"/>
          <w:sz w:val="22"/>
          <w:szCs w:val="22"/>
          <w:lang w:eastAsia="lt-LT"/>
          <w14:ligatures w14:val="none"/>
        </w:rPr>
        <w:t>greitai leidžiant didelių dozių gali sutrikti elektrolitų pusiausvyra.</w:t>
      </w:r>
    </w:p>
    <w:p w14:paraId="4360C87C" w14:textId="77777777" w:rsidR="00673927" w:rsidRPr="00673927" w:rsidRDefault="00673927" w:rsidP="00673927">
      <w:pPr>
        <w:tabs>
          <w:tab w:val="left" w:pos="567"/>
        </w:tabs>
        <w:spacing w:after="0" w:line="240" w:lineRule="auto"/>
        <w:rPr>
          <w:rFonts w:ascii="Times New Roman" w:eastAsia="Times New Roman" w:hAnsi="Times New Roman" w:cs="Times New Roman"/>
          <w:i/>
          <w:kern w:val="0"/>
          <w:sz w:val="22"/>
          <w:szCs w:val="22"/>
          <w:lang w:eastAsia="lt-LT"/>
          <w14:ligatures w14:val="none"/>
        </w:rPr>
      </w:pPr>
    </w:p>
    <w:p w14:paraId="72F80460" w14:textId="77777777" w:rsidR="00673927" w:rsidRPr="00673927" w:rsidRDefault="00673927" w:rsidP="00673927">
      <w:pPr>
        <w:tabs>
          <w:tab w:val="left" w:pos="567"/>
        </w:tabs>
        <w:spacing w:after="0" w:line="240" w:lineRule="auto"/>
        <w:rPr>
          <w:rFonts w:ascii="Times New Roman" w:eastAsia="Times New Roman" w:hAnsi="Times New Roman" w:cs="Times New Roman"/>
          <w:iCs/>
          <w:kern w:val="0"/>
          <w:sz w:val="22"/>
          <w:szCs w:val="22"/>
          <w:u w:val="single"/>
          <w:lang w:eastAsia="lt-LT"/>
          <w14:ligatures w14:val="none"/>
        </w:rPr>
      </w:pPr>
      <w:r w:rsidRPr="00673927">
        <w:rPr>
          <w:rFonts w:ascii="Times New Roman" w:eastAsia="Times New Roman" w:hAnsi="Times New Roman" w:cs="Times New Roman"/>
          <w:iCs/>
          <w:kern w:val="0"/>
          <w:sz w:val="22"/>
          <w:szCs w:val="22"/>
          <w:u w:val="single"/>
          <w:lang w:eastAsia="lt-LT"/>
          <w14:ligatures w14:val="none"/>
        </w:rPr>
        <w:t>Nervų sistemos sutrikimai</w:t>
      </w:r>
    </w:p>
    <w:p w14:paraId="2FCCD415" w14:textId="0E6866E9" w:rsidR="00673927" w:rsidRPr="00673927" w:rsidRDefault="004C548A"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C548A">
        <w:rPr>
          <w:rFonts w:ascii="Times New Roman" w:eastAsia="Times New Roman" w:hAnsi="Times New Roman" w:cs="Times New Roman"/>
          <w:i/>
          <w:kern w:val="0"/>
          <w:sz w:val="22"/>
          <w:szCs w:val="22"/>
          <w:lang w:eastAsia="lt-LT"/>
          <w14:ligatures w14:val="none"/>
        </w:rPr>
        <w:t>Reti šalutinio poveikio reiškiniai</w:t>
      </w:r>
      <w:r w:rsidR="00673927" w:rsidRPr="00673927">
        <w:rPr>
          <w:rFonts w:ascii="Times New Roman" w:eastAsia="Times New Roman" w:hAnsi="Times New Roman" w:cs="Times New Roman"/>
          <w:i/>
          <w:kern w:val="0"/>
          <w:sz w:val="22"/>
          <w:szCs w:val="22"/>
          <w:lang w:eastAsia="lt-LT"/>
          <w14:ligatures w14:val="none"/>
        </w:rPr>
        <w:t xml:space="preserve">: </w:t>
      </w:r>
      <w:r w:rsidR="00673927" w:rsidRPr="00673927">
        <w:rPr>
          <w:rFonts w:ascii="Times New Roman" w:eastAsia="Times New Roman" w:hAnsi="Times New Roman" w:cs="Times New Roman"/>
          <w:iCs/>
          <w:kern w:val="0"/>
          <w:sz w:val="22"/>
          <w:szCs w:val="22"/>
          <w:lang w:eastAsia="lt-LT"/>
          <w14:ligatures w14:val="none"/>
        </w:rPr>
        <w:t xml:space="preserve">neuropatija (nervų sistemos sutrikimai). </w:t>
      </w:r>
      <w:r w:rsidR="00673927" w:rsidRPr="00673927">
        <w:rPr>
          <w:rFonts w:ascii="Times New Roman" w:eastAsia="Times New Roman" w:hAnsi="Times New Roman" w:cs="Times New Roman"/>
          <w:kern w:val="0"/>
          <w:sz w:val="22"/>
          <w:szCs w:val="22"/>
          <w:lang w:eastAsia="lt-LT"/>
          <w14:ligatures w14:val="none"/>
        </w:rPr>
        <w:t>Leidžiant didelių dozių (daugiau negu 20 000 000 TV suaugusiesiems), gali pasireikšti traukulių.</w:t>
      </w:r>
      <w:r w:rsidR="00673927" w:rsidRPr="00673927">
        <w:rPr>
          <w:rFonts w:ascii="Times New Roman" w:eastAsia="Times New Roman" w:hAnsi="Times New Roman" w:cs="Times New Roman"/>
          <w:spacing w:val="-3"/>
          <w:kern w:val="0"/>
          <w:sz w:val="22"/>
          <w:szCs w:val="22"/>
          <w:lang w:eastAsia="lt-LT"/>
          <w14:ligatures w14:val="none"/>
        </w:rPr>
        <w:t xml:space="preserve"> Į tai ypač reikia atsižvelgti pacientams, kuriems yra sunkus inkstų veiklos sutrikimas, epilepsija, meningitas, smegenų edema arba </w:t>
      </w:r>
      <w:r w:rsidR="00673927" w:rsidRPr="00673927">
        <w:rPr>
          <w:rFonts w:ascii="Times New Roman" w:eastAsia="Times New Roman" w:hAnsi="Times New Roman" w:cs="Times New Roman"/>
          <w:kern w:val="0"/>
          <w:sz w:val="22"/>
          <w:szCs w:val="22"/>
          <w:lang w:eastAsia="lt-LT"/>
          <w14:ligatures w14:val="none"/>
        </w:rPr>
        <w:t>atliekama širdies ir plaučių šuntavimo operacija.</w:t>
      </w:r>
    </w:p>
    <w:p w14:paraId="5FF0F12F" w14:textId="2182170D" w:rsidR="00673927" w:rsidRPr="00673927" w:rsidRDefault="004C548A"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C548A">
        <w:rPr>
          <w:rFonts w:ascii="Times New Roman" w:eastAsia="Times New Roman" w:hAnsi="Times New Roman" w:cs="Times New Roman"/>
          <w:i/>
          <w:iCs/>
          <w:kern w:val="0"/>
          <w:sz w:val="22"/>
          <w:szCs w:val="22"/>
          <w:lang w:eastAsia="lt-LT"/>
          <w14:ligatures w14:val="none"/>
        </w:rPr>
        <w:t>Šalutinio poveikio reiškiniai, kurių dažnis nežinomas</w:t>
      </w:r>
      <w:r w:rsidR="00673927" w:rsidRPr="00673927">
        <w:rPr>
          <w:rFonts w:ascii="Times New Roman" w:eastAsia="Times New Roman" w:hAnsi="Times New Roman" w:cs="Times New Roman"/>
          <w:i/>
          <w:iCs/>
          <w:kern w:val="0"/>
          <w:sz w:val="22"/>
          <w:szCs w:val="22"/>
          <w:lang w:eastAsia="lt-LT"/>
          <w14:ligatures w14:val="none"/>
        </w:rPr>
        <w:t>:</w:t>
      </w:r>
      <w:r w:rsidR="00673927" w:rsidRPr="00673927">
        <w:rPr>
          <w:rFonts w:ascii="Times New Roman" w:eastAsia="Times New Roman" w:hAnsi="Times New Roman" w:cs="Times New Roman"/>
          <w:kern w:val="0"/>
          <w:sz w:val="22"/>
          <w:szCs w:val="22"/>
          <w:lang w:eastAsia="lt-LT"/>
          <w14:ligatures w14:val="none"/>
        </w:rPr>
        <w:t xml:space="preserve"> metabolinė encefalopatija (neurologiniai sutrikimai su traukuliais ir sąmonės netekimu).</w:t>
      </w:r>
    </w:p>
    <w:p w14:paraId="396183D2" w14:textId="77777777" w:rsidR="00673927" w:rsidRPr="00673927" w:rsidRDefault="00673927" w:rsidP="00673927">
      <w:pPr>
        <w:tabs>
          <w:tab w:val="left" w:pos="567"/>
          <w:tab w:val="left" w:pos="3391"/>
          <w:tab w:val="left" w:pos="6127"/>
        </w:tabs>
        <w:suppressAutoHyphens/>
        <w:spacing w:after="0" w:line="240" w:lineRule="auto"/>
        <w:jc w:val="both"/>
        <w:rPr>
          <w:rFonts w:ascii="Times New Roman" w:eastAsia="Times New Roman" w:hAnsi="Times New Roman" w:cs="Times New Roman"/>
          <w:spacing w:val="-3"/>
          <w:kern w:val="0"/>
          <w:sz w:val="22"/>
          <w:szCs w:val="22"/>
          <w:highlight w:val="yellow"/>
          <w:lang w:eastAsia="lt-LT"/>
          <w14:ligatures w14:val="none"/>
        </w:rPr>
      </w:pPr>
    </w:p>
    <w:p w14:paraId="6D0AF0C5" w14:textId="77777777" w:rsidR="00673927" w:rsidRPr="00673927" w:rsidRDefault="00673927" w:rsidP="00673927">
      <w:pPr>
        <w:tabs>
          <w:tab w:val="left" w:pos="567"/>
        </w:tabs>
        <w:spacing w:after="0" w:line="240" w:lineRule="auto"/>
        <w:rPr>
          <w:rFonts w:ascii="Times New Roman" w:eastAsia="Times New Roman" w:hAnsi="Times New Roman" w:cs="Times New Roman"/>
          <w:iCs/>
          <w:kern w:val="0"/>
          <w:sz w:val="22"/>
          <w:szCs w:val="22"/>
          <w:u w:val="single"/>
          <w:lang w:eastAsia="lt-LT"/>
          <w14:ligatures w14:val="none"/>
        </w:rPr>
      </w:pPr>
      <w:r w:rsidRPr="00673927">
        <w:rPr>
          <w:rFonts w:ascii="Times New Roman" w:eastAsia="Times New Roman" w:hAnsi="Times New Roman" w:cs="Times New Roman"/>
          <w:iCs/>
          <w:kern w:val="0"/>
          <w:sz w:val="22"/>
          <w:szCs w:val="22"/>
          <w:u w:val="single"/>
          <w:lang w:eastAsia="lt-LT"/>
          <w14:ligatures w14:val="none"/>
        </w:rPr>
        <w:t>Virškinimo trakto sutrikimai</w:t>
      </w:r>
    </w:p>
    <w:p w14:paraId="57C39B78" w14:textId="4AA56803" w:rsidR="00673927" w:rsidRPr="00673927" w:rsidRDefault="004C548A"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C548A">
        <w:rPr>
          <w:rFonts w:ascii="Times New Roman" w:eastAsia="Times New Roman" w:hAnsi="Times New Roman" w:cs="Times New Roman"/>
          <w:i/>
          <w:kern w:val="0"/>
          <w:sz w:val="22"/>
          <w:szCs w:val="22"/>
          <w:lang w:eastAsia="lt-LT"/>
          <w14:ligatures w14:val="none"/>
        </w:rPr>
        <w:t>Nedažni šalutinio poveikio reiškiniai</w:t>
      </w:r>
      <w:r w:rsidR="00673927" w:rsidRPr="00673927">
        <w:rPr>
          <w:rFonts w:ascii="Times New Roman" w:eastAsia="Times New Roman" w:hAnsi="Times New Roman" w:cs="Times New Roman"/>
          <w:i/>
          <w:kern w:val="0"/>
          <w:sz w:val="22"/>
          <w:szCs w:val="22"/>
          <w:lang w:eastAsia="lt-LT"/>
          <w14:ligatures w14:val="none"/>
        </w:rPr>
        <w:t xml:space="preserve">: </w:t>
      </w:r>
      <w:r w:rsidR="00673927" w:rsidRPr="00673927">
        <w:rPr>
          <w:rFonts w:ascii="Times New Roman" w:eastAsia="Times New Roman" w:hAnsi="Times New Roman" w:cs="Times New Roman"/>
          <w:kern w:val="0"/>
          <w:sz w:val="22"/>
          <w:szCs w:val="22"/>
          <w:lang w:eastAsia="lt-LT"/>
          <w14:ligatures w14:val="none"/>
        </w:rPr>
        <w:t xml:space="preserve">burnos gleivinės uždegimas (stomatitas), deginimo pojūtis liežuvyje (glositas), liežuvio gaurelių pajuodavimas, pykinimas, vėmimas. </w:t>
      </w:r>
    </w:p>
    <w:p w14:paraId="063025A3"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Jei gydymo metu atsiranda viduriavimas, reikia pagalvoti apie gaubtinės žarnos uždegimą (pseudomembraninį kolitą) (žr. poskyrį „Įspėjimai ir atsargumo priemonės“).</w:t>
      </w:r>
    </w:p>
    <w:p w14:paraId="002085EE" w14:textId="4B57FE63" w:rsidR="00673927" w:rsidRPr="00673927" w:rsidRDefault="004C548A"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C548A">
        <w:rPr>
          <w:rFonts w:ascii="Times New Roman" w:eastAsia="Times New Roman" w:hAnsi="Times New Roman" w:cs="Times New Roman"/>
          <w:i/>
          <w:iCs/>
          <w:kern w:val="0"/>
          <w:sz w:val="22"/>
          <w:szCs w:val="22"/>
          <w:lang w:eastAsia="lt-LT"/>
          <w14:ligatures w14:val="none"/>
        </w:rPr>
        <w:t>Reti šalutinio poveikio reiškiniai</w:t>
      </w:r>
      <w:r w:rsidR="00673927" w:rsidRPr="00673927">
        <w:rPr>
          <w:rFonts w:ascii="Times New Roman" w:eastAsia="Times New Roman" w:hAnsi="Times New Roman" w:cs="Times New Roman"/>
          <w:i/>
          <w:iCs/>
          <w:kern w:val="0"/>
          <w:sz w:val="22"/>
          <w:szCs w:val="22"/>
          <w:lang w:eastAsia="lt-LT"/>
          <w14:ligatures w14:val="none"/>
        </w:rPr>
        <w:t>:</w:t>
      </w:r>
      <w:r w:rsidR="00673927" w:rsidRPr="00673927">
        <w:rPr>
          <w:rFonts w:ascii="Times New Roman" w:eastAsia="Times New Roman" w:hAnsi="Times New Roman" w:cs="Times New Roman"/>
          <w:kern w:val="0"/>
          <w:sz w:val="22"/>
          <w:szCs w:val="22"/>
          <w:lang w:eastAsia="lt-LT"/>
          <w14:ligatures w14:val="none"/>
        </w:rPr>
        <w:t xml:space="preserve"> viduriavimas.</w:t>
      </w:r>
    </w:p>
    <w:p w14:paraId="7ABEB946"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highlight w:val="yellow"/>
          <w:lang w:eastAsia="lt-LT"/>
          <w14:ligatures w14:val="none"/>
        </w:rPr>
      </w:pPr>
    </w:p>
    <w:p w14:paraId="01D6AD05" w14:textId="77777777" w:rsidR="00673927" w:rsidRPr="00673927" w:rsidRDefault="00673927" w:rsidP="00673927">
      <w:pPr>
        <w:tabs>
          <w:tab w:val="left" w:pos="567"/>
        </w:tabs>
        <w:spacing w:after="0" w:line="240" w:lineRule="auto"/>
        <w:rPr>
          <w:rFonts w:ascii="Times New Roman" w:eastAsia="Times New Roman" w:hAnsi="Times New Roman" w:cs="Times New Roman"/>
          <w:iCs/>
          <w:color w:val="000000"/>
          <w:kern w:val="0"/>
          <w:sz w:val="22"/>
          <w:szCs w:val="22"/>
          <w:u w:val="single"/>
          <w:lang w:eastAsia="lt-LT"/>
          <w14:ligatures w14:val="none"/>
        </w:rPr>
      </w:pPr>
      <w:r w:rsidRPr="00673927">
        <w:rPr>
          <w:rFonts w:ascii="Times New Roman" w:eastAsia="Times New Roman" w:hAnsi="Times New Roman" w:cs="Times New Roman"/>
          <w:iCs/>
          <w:noProof/>
          <w:kern w:val="0"/>
          <w:sz w:val="22"/>
          <w:szCs w:val="22"/>
          <w:u w:val="single"/>
          <w:lang w:eastAsia="lt-LT"/>
          <w14:ligatures w14:val="none"/>
        </w:rPr>
        <w:t>Kepenų, tulžies pūslės ir latakų sutrikimai</w:t>
      </w:r>
    </w:p>
    <w:p w14:paraId="23B83A9C" w14:textId="72D437AB" w:rsidR="00673927" w:rsidRPr="00673927" w:rsidRDefault="004C548A" w:rsidP="00673927">
      <w:pPr>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4C548A">
        <w:rPr>
          <w:rFonts w:ascii="Times New Roman" w:eastAsia="Times New Roman" w:hAnsi="Times New Roman" w:cs="Times New Roman"/>
          <w:i/>
          <w:color w:val="000000"/>
          <w:kern w:val="0"/>
          <w:sz w:val="22"/>
          <w:szCs w:val="22"/>
          <w:lang w:eastAsia="lt-LT"/>
          <w14:ligatures w14:val="none"/>
        </w:rPr>
        <w:t>Šalutinio poveikio reiškiniai, kurių dažnis nežinomas</w:t>
      </w:r>
      <w:r w:rsidR="00673927" w:rsidRPr="00673927">
        <w:rPr>
          <w:rFonts w:ascii="Times New Roman" w:eastAsia="Times New Roman" w:hAnsi="Times New Roman" w:cs="Times New Roman"/>
          <w:i/>
          <w:color w:val="000000"/>
          <w:kern w:val="0"/>
          <w:sz w:val="22"/>
          <w:szCs w:val="22"/>
          <w:lang w:eastAsia="lt-LT"/>
          <w14:ligatures w14:val="none"/>
        </w:rPr>
        <w:t xml:space="preserve">: </w:t>
      </w:r>
      <w:r w:rsidR="00673927" w:rsidRPr="00673927">
        <w:rPr>
          <w:rFonts w:ascii="Times New Roman" w:eastAsia="Times New Roman" w:hAnsi="Times New Roman" w:cs="Times New Roman"/>
          <w:color w:val="000000"/>
          <w:kern w:val="0"/>
          <w:sz w:val="22"/>
          <w:szCs w:val="22"/>
          <w:lang w:eastAsia="lt-LT"/>
          <w14:ligatures w14:val="none"/>
        </w:rPr>
        <w:t>kepenų uždegimas (hepatitas), tulžies pūslės užsikimšimas (cholestazė).</w:t>
      </w:r>
    </w:p>
    <w:p w14:paraId="6DAD4970" w14:textId="77777777" w:rsidR="00673927" w:rsidRPr="00673927" w:rsidRDefault="00673927" w:rsidP="00673927">
      <w:pPr>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2BE74B92" w14:textId="77777777" w:rsidR="00673927" w:rsidRPr="00673927" w:rsidRDefault="00673927" w:rsidP="00673927">
      <w:pPr>
        <w:tabs>
          <w:tab w:val="left" w:pos="567"/>
        </w:tabs>
        <w:spacing w:after="0" w:line="240" w:lineRule="auto"/>
        <w:rPr>
          <w:rFonts w:ascii="Times New Roman" w:eastAsia="Times New Roman" w:hAnsi="Times New Roman" w:cs="Times New Roman"/>
          <w:iCs/>
          <w:color w:val="000000"/>
          <w:kern w:val="0"/>
          <w:sz w:val="22"/>
          <w:szCs w:val="22"/>
          <w:u w:val="single"/>
          <w:lang w:eastAsia="lt-LT"/>
          <w14:ligatures w14:val="none"/>
        </w:rPr>
      </w:pPr>
      <w:r w:rsidRPr="00673927">
        <w:rPr>
          <w:rFonts w:ascii="Times New Roman" w:eastAsia="Times New Roman" w:hAnsi="Times New Roman" w:cs="Times New Roman"/>
          <w:iCs/>
          <w:color w:val="000000"/>
          <w:kern w:val="0"/>
          <w:sz w:val="22"/>
          <w:szCs w:val="22"/>
          <w:u w:val="single"/>
          <w:lang w:eastAsia="lt-LT"/>
          <w14:ligatures w14:val="none"/>
        </w:rPr>
        <w:t>Odos ir poodinio audinio sutrikimai</w:t>
      </w:r>
    </w:p>
    <w:p w14:paraId="634AD982" w14:textId="1ED55D24" w:rsidR="00673927" w:rsidRPr="00673927" w:rsidRDefault="004C548A" w:rsidP="00673927">
      <w:pPr>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4C548A">
        <w:rPr>
          <w:rFonts w:ascii="Times New Roman" w:eastAsia="Times New Roman" w:hAnsi="Times New Roman" w:cs="Times New Roman"/>
          <w:i/>
          <w:color w:val="000000"/>
          <w:kern w:val="0"/>
          <w:sz w:val="22"/>
          <w:szCs w:val="22"/>
          <w:lang w:eastAsia="lt-LT"/>
          <w14:ligatures w14:val="none"/>
        </w:rPr>
        <w:t>Šalutinio poveikio reiškiniai, kurių dažnis nežinomas</w:t>
      </w:r>
      <w:r w:rsidR="00673927" w:rsidRPr="00673927">
        <w:rPr>
          <w:rFonts w:ascii="Times New Roman" w:eastAsia="Times New Roman" w:hAnsi="Times New Roman" w:cs="Times New Roman"/>
          <w:i/>
          <w:color w:val="000000"/>
          <w:kern w:val="0"/>
          <w:sz w:val="22"/>
          <w:szCs w:val="22"/>
          <w:lang w:eastAsia="lt-LT"/>
          <w14:ligatures w14:val="none"/>
        </w:rPr>
        <w:t>:</w:t>
      </w:r>
      <w:r w:rsidR="00673927" w:rsidRPr="00673927">
        <w:rPr>
          <w:rFonts w:ascii="Times New Roman" w:eastAsia="Times New Roman" w:hAnsi="Times New Roman" w:cs="Times New Roman"/>
          <w:color w:val="000000"/>
          <w:kern w:val="0"/>
          <w:sz w:val="22"/>
          <w:szCs w:val="22"/>
          <w:lang w:eastAsia="lt-LT"/>
          <w14:ligatures w14:val="none"/>
        </w:rPr>
        <w:t xml:space="preserve"> odos ligos su pūslėmis (pemfigoidas),</w:t>
      </w:r>
      <w:r w:rsidR="00673927" w:rsidRPr="00673927">
        <w:rPr>
          <w:rFonts w:ascii="Times New Roman" w:eastAsia="Times New Roman" w:hAnsi="Times New Roman" w:cs="Times New Roman"/>
          <w:kern w:val="0"/>
          <w:sz w:val="22"/>
          <w:szCs w:val="20"/>
          <w:lang w:eastAsia="lt-LT"/>
          <w14:ligatures w14:val="none"/>
        </w:rPr>
        <w:t xml:space="preserve"> ŪGEP – </w:t>
      </w:r>
      <w:r w:rsidR="00673927" w:rsidRPr="00673927">
        <w:rPr>
          <w:rFonts w:ascii="Times New Roman" w:eastAsia="Times New Roman" w:hAnsi="Times New Roman" w:cs="Times New Roman"/>
          <w:color w:val="000000"/>
          <w:kern w:val="0"/>
          <w:sz w:val="22"/>
          <w:szCs w:val="22"/>
          <w:lang w:eastAsia="lt-LT"/>
          <w14:ligatures w14:val="none"/>
        </w:rPr>
        <w:t>ūminė generalizuota egzanteminė pustuliozė, su tokiais simptomais kaip sunkios odos reakcijos su odos paraudimu arba be jo, karščiavimas, pūlinukai, makulopapulinis išbėrimas (plokšti raudoni odos plėmai), morbilliforminis išbėrimas (į tymus panašus išbėrimas), niežėjimas, eritema (uždegiminis odos paraudimas).</w:t>
      </w:r>
    </w:p>
    <w:p w14:paraId="49873647" w14:textId="77777777" w:rsidR="00673927" w:rsidRPr="00673927" w:rsidRDefault="00673927" w:rsidP="00673927">
      <w:pPr>
        <w:tabs>
          <w:tab w:val="left" w:pos="567"/>
        </w:tabs>
        <w:spacing w:after="0" w:line="240" w:lineRule="auto"/>
        <w:rPr>
          <w:rFonts w:ascii="Times New Roman" w:eastAsia="Times New Roman" w:hAnsi="Times New Roman" w:cs="Times New Roman"/>
          <w:b/>
          <w:noProof/>
          <w:kern w:val="0"/>
          <w:sz w:val="22"/>
          <w:szCs w:val="22"/>
          <w:lang w:eastAsia="lt-LT"/>
          <w14:ligatures w14:val="none"/>
        </w:rPr>
      </w:pPr>
    </w:p>
    <w:p w14:paraId="633A2AC4" w14:textId="77777777" w:rsidR="00673927" w:rsidRPr="00673927" w:rsidRDefault="00673927" w:rsidP="00673927">
      <w:pPr>
        <w:tabs>
          <w:tab w:val="left" w:pos="567"/>
        </w:tabs>
        <w:spacing w:after="0" w:line="240" w:lineRule="auto"/>
        <w:rPr>
          <w:rFonts w:ascii="Times New Roman" w:eastAsia="Times New Roman" w:hAnsi="Times New Roman" w:cs="Times New Roman"/>
          <w:iCs/>
          <w:color w:val="000000"/>
          <w:kern w:val="0"/>
          <w:sz w:val="22"/>
          <w:szCs w:val="22"/>
          <w:u w:val="single"/>
          <w:lang w:eastAsia="lt-LT"/>
          <w14:ligatures w14:val="none"/>
        </w:rPr>
      </w:pPr>
      <w:r w:rsidRPr="00673927">
        <w:rPr>
          <w:rFonts w:ascii="Times New Roman" w:eastAsia="Times New Roman" w:hAnsi="Times New Roman" w:cs="Times New Roman"/>
          <w:iCs/>
          <w:noProof/>
          <w:kern w:val="0"/>
          <w:sz w:val="22"/>
          <w:szCs w:val="22"/>
          <w:u w:val="single"/>
          <w:lang w:eastAsia="lt-LT"/>
          <w14:ligatures w14:val="none"/>
        </w:rPr>
        <w:t>Inkstų ir šlapimo takų sutrikimai</w:t>
      </w:r>
    </w:p>
    <w:p w14:paraId="49878D66" w14:textId="66A7C20F" w:rsidR="00673927" w:rsidRPr="00673927" w:rsidRDefault="004C548A" w:rsidP="00673927">
      <w:pPr>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4C548A">
        <w:rPr>
          <w:rFonts w:ascii="Times New Roman" w:eastAsia="Times New Roman" w:hAnsi="Times New Roman" w:cs="Times New Roman"/>
          <w:i/>
          <w:color w:val="000000"/>
          <w:kern w:val="0"/>
          <w:sz w:val="22"/>
          <w:szCs w:val="22"/>
          <w:lang w:eastAsia="lt-LT"/>
          <w14:ligatures w14:val="none"/>
        </w:rPr>
        <w:t>Reti šalutinio poveikio reiškiniai</w:t>
      </w:r>
      <w:r w:rsidR="00673927" w:rsidRPr="00673927">
        <w:rPr>
          <w:rFonts w:ascii="Times New Roman" w:eastAsia="Times New Roman" w:hAnsi="Times New Roman" w:cs="Times New Roman"/>
          <w:i/>
          <w:color w:val="000000"/>
          <w:kern w:val="0"/>
          <w:sz w:val="22"/>
          <w:szCs w:val="22"/>
          <w:lang w:eastAsia="lt-LT"/>
          <w14:ligatures w14:val="none"/>
        </w:rPr>
        <w:t xml:space="preserve">: </w:t>
      </w:r>
      <w:r w:rsidR="00673927" w:rsidRPr="00673927">
        <w:rPr>
          <w:rFonts w:ascii="Times New Roman" w:eastAsia="Times New Roman" w:hAnsi="Times New Roman" w:cs="Times New Roman"/>
          <w:iCs/>
          <w:color w:val="000000"/>
          <w:kern w:val="0"/>
          <w:sz w:val="22"/>
          <w:szCs w:val="22"/>
          <w:lang w:eastAsia="lt-LT"/>
          <w14:ligatures w14:val="none"/>
        </w:rPr>
        <w:t xml:space="preserve">inkstų liga, </w:t>
      </w:r>
      <w:r w:rsidR="00673927" w:rsidRPr="00673927">
        <w:rPr>
          <w:rFonts w:ascii="Times New Roman" w:eastAsia="Times New Roman" w:hAnsi="Times New Roman" w:cs="Times New Roman"/>
          <w:kern w:val="0"/>
          <w:sz w:val="22"/>
          <w:szCs w:val="22"/>
          <w:lang w:eastAsia="lt-LT"/>
          <w14:ligatures w14:val="none"/>
        </w:rPr>
        <w:t>baltymai arba kraujas šlapime, nuosėdos šlapime (cilindrurija), sumažėjęs šlapimo išsiskyrimas arba negalėjimas šlapintis (paprastai išnyksta per 48 valandas po gydymo nutraukimo).</w:t>
      </w:r>
    </w:p>
    <w:p w14:paraId="704866FB"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highlight w:val="yellow"/>
          <w:lang w:eastAsia="lt-LT"/>
          <w14:ligatures w14:val="none"/>
        </w:rPr>
      </w:pPr>
    </w:p>
    <w:p w14:paraId="24A39EBA" w14:textId="77777777" w:rsidR="00673927" w:rsidRPr="00673927" w:rsidRDefault="00673927" w:rsidP="00673927">
      <w:pPr>
        <w:tabs>
          <w:tab w:val="left" w:pos="567"/>
        </w:tabs>
        <w:spacing w:after="0" w:line="240" w:lineRule="auto"/>
        <w:rPr>
          <w:rFonts w:ascii="Times New Roman" w:eastAsia="Times New Roman" w:hAnsi="Times New Roman" w:cs="Times New Roman"/>
          <w:iCs/>
          <w:color w:val="000000"/>
          <w:kern w:val="0"/>
          <w:sz w:val="22"/>
          <w:szCs w:val="22"/>
          <w:u w:val="single"/>
          <w:lang w:eastAsia="lt-LT"/>
          <w14:ligatures w14:val="none"/>
        </w:rPr>
      </w:pPr>
      <w:r w:rsidRPr="00673927">
        <w:rPr>
          <w:rFonts w:ascii="Times New Roman" w:eastAsia="Times New Roman" w:hAnsi="Times New Roman" w:cs="Times New Roman"/>
          <w:iCs/>
          <w:noProof/>
          <w:kern w:val="0"/>
          <w:sz w:val="22"/>
          <w:szCs w:val="22"/>
          <w:u w:val="single"/>
          <w:lang w:eastAsia="lt-LT"/>
          <w14:ligatures w14:val="none"/>
        </w:rPr>
        <w:t>Bendrieji sutrikimai ir vartojimo vietos pažeidimai</w:t>
      </w:r>
    </w:p>
    <w:p w14:paraId="340CFCA5" w14:textId="30C4D2E2" w:rsidR="00673927" w:rsidRPr="00673927" w:rsidRDefault="004C548A" w:rsidP="00673927">
      <w:pPr>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4C548A">
        <w:rPr>
          <w:rFonts w:ascii="Times New Roman" w:eastAsia="Times New Roman" w:hAnsi="Times New Roman" w:cs="Times New Roman"/>
          <w:i/>
          <w:color w:val="000000"/>
          <w:kern w:val="0"/>
          <w:sz w:val="22"/>
          <w:szCs w:val="22"/>
          <w:lang w:eastAsia="lt-LT"/>
          <w14:ligatures w14:val="none"/>
        </w:rPr>
        <w:lastRenderedPageBreak/>
        <w:t>Reti šalutinio poveikio reiškiniai</w:t>
      </w:r>
      <w:r w:rsidR="00673927" w:rsidRPr="00673927">
        <w:rPr>
          <w:rFonts w:ascii="Times New Roman" w:eastAsia="Times New Roman" w:hAnsi="Times New Roman" w:cs="Times New Roman"/>
          <w:i/>
          <w:color w:val="000000"/>
          <w:kern w:val="0"/>
          <w:sz w:val="22"/>
          <w:szCs w:val="22"/>
          <w:lang w:eastAsia="lt-LT"/>
          <w14:ligatures w14:val="none"/>
        </w:rPr>
        <w:t xml:space="preserve">: </w:t>
      </w:r>
      <w:r w:rsidR="00673927" w:rsidRPr="00673927">
        <w:rPr>
          <w:rFonts w:ascii="Times New Roman" w:eastAsia="Times New Roman" w:hAnsi="Times New Roman" w:cs="Times New Roman"/>
          <w:iCs/>
          <w:color w:val="000000"/>
          <w:kern w:val="0"/>
          <w:sz w:val="22"/>
          <w:szCs w:val="22"/>
          <w:lang w:eastAsia="lt-LT"/>
          <w14:ligatures w14:val="none"/>
        </w:rPr>
        <w:t>p</w:t>
      </w:r>
      <w:r w:rsidR="00673927" w:rsidRPr="00673927">
        <w:rPr>
          <w:rFonts w:ascii="Times New Roman" w:eastAsia="Times New Roman" w:hAnsi="Times New Roman" w:cs="Times New Roman"/>
          <w:color w:val="000000"/>
          <w:kern w:val="0"/>
          <w:sz w:val="22"/>
          <w:szCs w:val="22"/>
          <w:lang w:eastAsia="lt-LT"/>
          <w14:ligatures w14:val="none"/>
        </w:rPr>
        <w:t>o vaisto injekcijos į raumenis, kūdikiams gali atsirasti sunki lokali reakcija.</w:t>
      </w:r>
    </w:p>
    <w:p w14:paraId="71450CD2" w14:textId="77777777" w:rsidR="00673927" w:rsidRPr="00673927" w:rsidRDefault="00673927" w:rsidP="00673927">
      <w:pPr>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0109CE0D" w14:textId="77777777" w:rsidR="00673927" w:rsidRPr="00673927" w:rsidRDefault="00673927" w:rsidP="00673927">
      <w:pPr>
        <w:spacing w:after="0" w:line="240" w:lineRule="auto"/>
        <w:rPr>
          <w:rFonts w:ascii="Times New Roman" w:eastAsia="Times New Roman" w:hAnsi="Times New Roman" w:cs="Times New Roman"/>
          <w:b/>
          <w:kern w:val="0"/>
          <w:sz w:val="22"/>
          <w:szCs w:val="22"/>
          <w:lang w:eastAsia="lt-LT"/>
          <w14:ligatures w14:val="none"/>
        </w:rPr>
      </w:pPr>
      <w:r w:rsidRPr="00673927">
        <w:rPr>
          <w:rFonts w:ascii="Times New Roman" w:eastAsia="Times New Roman" w:hAnsi="Times New Roman" w:cs="Times New Roman"/>
          <w:b/>
          <w:noProof/>
          <w:kern w:val="0"/>
          <w:sz w:val="22"/>
          <w:szCs w:val="22"/>
          <w:lang w:eastAsia="lt-LT"/>
          <w14:ligatures w14:val="none"/>
        </w:rPr>
        <w:t>Pranešimas apie šalutinį poveikį</w:t>
      </w:r>
    </w:p>
    <w:p w14:paraId="07ABEBCC" w14:textId="77777777" w:rsidR="00E530AF" w:rsidRPr="00E530AF" w:rsidRDefault="00E530AF" w:rsidP="00E530AF">
      <w:pPr>
        <w:spacing w:after="0" w:line="240" w:lineRule="auto"/>
        <w:rPr>
          <w:rFonts w:ascii="Times New Roman" w:eastAsia="Times New Roman" w:hAnsi="Times New Roman" w:cs="Times New Roman"/>
          <w:kern w:val="0"/>
          <w:sz w:val="22"/>
          <w:szCs w:val="20"/>
          <w14:ligatures w14:val="none"/>
        </w:rPr>
      </w:pPr>
      <w:r w:rsidRPr="00E530AF">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E530AF">
          <w:rPr>
            <w:rFonts w:ascii="Times New Roman" w:eastAsia="Times New Roman" w:hAnsi="Times New Roman" w:cs="Times New Roman"/>
            <w:color w:val="467886"/>
            <w:kern w:val="0"/>
            <w:sz w:val="22"/>
            <w:szCs w:val="20"/>
            <w:u w:val="single"/>
            <w:lang w:eastAsia="lt-LT"/>
            <w14:ligatures w14:val="none"/>
          </w:rPr>
          <w:t>https://vvkt.lrv.lt/lt/</w:t>
        </w:r>
      </w:hyperlink>
      <w:r w:rsidRPr="00E530AF">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E530AF">
        <w:rPr>
          <w:rFonts w:ascii="Times New Roman" w:eastAsia="Times New Roman" w:hAnsi="Times New Roman" w:cs="Times New Roman"/>
          <w:kern w:val="0"/>
          <w:sz w:val="22"/>
          <w:szCs w:val="20"/>
          <w14:ligatures w14:val="none"/>
        </w:rPr>
        <w:t>.</w:t>
      </w:r>
    </w:p>
    <w:p w14:paraId="5CCAB714" w14:textId="77777777" w:rsidR="00673927" w:rsidRPr="00673927" w:rsidRDefault="00673927" w:rsidP="00673927">
      <w:pPr>
        <w:spacing w:after="0" w:line="240" w:lineRule="auto"/>
        <w:ind w:right="-449"/>
        <w:rPr>
          <w:rFonts w:ascii="Times New Roman" w:eastAsia="Times New Roman" w:hAnsi="Times New Roman" w:cs="Times New Roman"/>
          <w:kern w:val="0"/>
          <w:sz w:val="22"/>
          <w:szCs w:val="22"/>
          <w:lang w:eastAsia="lt-LT"/>
          <w14:ligatures w14:val="none"/>
        </w:rPr>
      </w:pPr>
    </w:p>
    <w:p w14:paraId="67DE560D"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7981E1E" w14:textId="5DC3E0FE" w:rsidR="00673927" w:rsidRPr="00673927" w:rsidRDefault="00673927" w:rsidP="00673927">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673927">
        <w:rPr>
          <w:rFonts w:ascii="Times New Roman" w:eastAsia="Times New Roman" w:hAnsi="Times New Roman" w:cs="Times New Roman"/>
          <w:b/>
          <w:kern w:val="0"/>
          <w:sz w:val="22"/>
          <w:szCs w:val="22"/>
          <w:lang w:eastAsia="lt-LT"/>
          <w14:ligatures w14:val="none"/>
        </w:rPr>
        <w:t>5.</w:t>
      </w:r>
      <w:r w:rsidRPr="00673927">
        <w:rPr>
          <w:rFonts w:ascii="Times New Roman" w:eastAsia="Times New Roman" w:hAnsi="Times New Roman" w:cs="Times New Roman"/>
          <w:b/>
          <w:kern w:val="0"/>
          <w:sz w:val="22"/>
          <w:szCs w:val="22"/>
          <w:lang w:eastAsia="lt-LT"/>
          <w14:ligatures w14:val="none"/>
        </w:rPr>
        <w:tab/>
        <w:t xml:space="preserve">Kaip laikyti </w:t>
      </w:r>
      <w:r w:rsidR="00C745B0">
        <w:rPr>
          <w:rFonts w:ascii="Times New Roman" w:eastAsia="Times New Roman" w:hAnsi="Times New Roman" w:cs="Times New Roman"/>
          <w:b/>
          <w:kern w:val="0"/>
          <w:sz w:val="22"/>
          <w:szCs w:val="22"/>
          <w:lang w:eastAsia="lt-LT"/>
          <w14:ligatures w14:val="none"/>
        </w:rPr>
        <w:t>Penicilina G sodica Atb</w:t>
      </w:r>
    </w:p>
    <w:p w14:paraId="01C8463C"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B3B1D65"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Šį vaistą laikykite vaikams nepastebimoje ir nepasiekiamoje vietoje.</w:t>
      </w:r>
    </w:p>
    <w:p w14:paraId="7F28C8A8" w14:textId="77777777" w:rsidR="00A82EBF" w:rsidRDefault="00A82EBF"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5E3B557" w14:textId="49B8B31F"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Laikyti ne aukštesnėje kaip 25 </w:t>
      </w:r>
      <w:r w:rsidR="009D4F04" w:rsidRPr="009D4F04">
        <w:rPr>
          <w:rFonts w:ascii="Times New Roman" w:eastAsia="Times New Roman" w:hAnsi="Times New Roman" w:cs="Times New Roman"/>
          <w:kern w:val="0"/>
          <w:sz w:val="22"/>
          <w:szCs w:val="22"/>
          <w:lang w:eastAsia="lt-LT"/>
          <w14:ligatures w14:val="none"/>
        </w:rPr>
        <w:t>°</w:t>
      </w:r>
      <w:r w:rsidRPr="00673927">
        <w:rPr>
          <w:rFonts w:ascii="Times New Roman" w:eastAsia="Times New Roman" w:hAnsi="Times New Roman" w:cs="Times New Roman"/>
          <w:kern w:val="0"/>
          <w:sz w:val="22"/>
          <w:szCs w:val="22"/>
          <w:lang w:eastAsia="lt-LT"/>
          <w14:ligatures w14:val="none"/>
        </w:rPr>
        <w:t xml:space="preserve">C temperatūroje. </w:t>
      </w:r>
    </w:p>
    <w:p w14:paraId="2BB08893" w14:textId="464060C4" w:rsidR="00673927" w:rsidRDefault="00CD15CA"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Laikyti gamintojo pakuotėje.</w:t>
      </w:r>
    </w:p>
    <w:p w14:paraId="0FD5EF2F" w14:textId="77777777" w:rsidR="00CD15CA" w:rsidRPr="00673927" w:rsidRDefault="00CD15CA"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E742B32" w14:textId="77777777" w:rsidR="00673927" w:rsidRPr="00673927" w:rsidRDefault="00673927" w:rsidP="00673927">
      <w:pPr>
        <w:tabs>
          <w:tab w:val="left" w:pos="567"/>
        </w:tabs>
        <w:spacing w:after="0" w:line="240" w:lineRule="auto"/>
        <w:rPr>
          <w:rFonts w:ascii="Times New Roman" w:eastAsia="Times New Roman" w:hAnsi="Times New Roman" w:cs="Times New Roman"/>
          <w:strike/>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Injekcijai arba infuzijai paruoštą tirpalą vartoti nedelsiant.</w:t>
      </w:r>
      <w:r w:rsidRPr="00673927">
        <w:rPr>
          <w:rFonts w:ascii="Times New Roman" w:eastAsia="Times New Roman" w:hAnsi="Times New Roman" w:cs="Times New Roman"/>
          <w:kern w:val="0"/>
          <w:sz w:val="22"/>
          <w:szCs w:val="20"/>
          <w:lang w:eastAsia="lt-LT"/>
          <w14:ligatures w14:val="none"/>
        </w:rPr>
        <w:t xml:space="preserve"> </w:t>
      </w:r>
    </w:p>
    <w:p w14:paraId="39A9F50E" w14:textId="77777777" w:rsidR="00673927" w:rsidRPr="00673927" w:rsidRDefault="00673927" w:rsidP="00673927">
      <w:pPr>
        <w:tabs>
          <w:tab w:val="left" w:pos="567"/>
        </w:tabs>
        <w:spacing w:after="0" w:line="240" w:lineRule="auto"/>
        <w:rPr>
          <w:rFonts w:ascii="Times New Roman" w:eastAsia="Times New Roman" w:hAnsi="Times New Roman" w:cs="Times New Roman"/>
          <w:strike/>
          <w:kern w:val="0"/>
          <w:sz w:val="22"/>
          <w:szCs w:val="22"/>
          <w:lang w:eastAsia="lt-LT"/>
          <w14:ligatures w14:val="none"/>
        </w:rPr>
      </w:pPr>
    </w:p>
    <w:p w14:paraId="482AF666"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Ant dėžutės ir flakono po „EXP“ nurodytam tinkamumo laikui pasibaigus, šio vaisto vartoti negalima. Vaistas tinkamas vartoti iki paskutinės nurodyto mėnesio dienos.</w:t>
      </w:r>
    </w:p>
    <w:p w14:paraId="333B7881"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highlight w:val="yellow"/>
          <w:lang w:eastAsia="lt-LT"/>
          <w14:ligatures w14:val="none"/>
        </w:rPr>
      </w:pPr>
    </w:p>
    <w:p w14:paraId="0B8AB15A"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62C27DEB"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A65915D"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5867355" w14:textId="77777777" w:rsidR="00673927" w:rsidRPr="00673927" w:rsidRDefault="00673927" w:rsidP="00673927">
      <w:pPr>
        <w:keepNext/>
        <w:tabs>
          <w:tab w:val="left" w:pos="567"/>
        </w:tabs>
        <w:spacing w:after="0" w:line="240" w:lineRule="auto"/>
        <w:outlineLvl w:val="1"/>
        <w:rPr>
          <w:rFonts w:ascii="Times New Roman" w:eastAsia="Times New Roman" w:hAnsi="Times New Roman" w:cs="Times New Roman"/>
          <w:b/>
          <w:bCs/>
          <w:kern w:val="0"/>
          <w:sz w:val="22"/>
          <w:szCs w:val="22"/>
          <w:lang w:eastAsia="lt-LT"/>
          <w14:ligatures w14:val="none"/>
        </w:rPr>
      </w:pPr>
      <w:r w:rsidRPr="00673927">
        <w:rPr>
          <w:rFonts w:ascii="Times New Roman" w:eastAsia="Times New Roman" w:hAnsi="Times New Roman" w:cs="Times New Roman"/>
          <w:b/>
          <w:bCs/>
          <w:kern w:val="0"/>
          <w:sz w:val="22"/>
          <w:szCs w:val="22"/>
          <w:lang w:eastAsia="lt-LT"/>
          <w14:ligatures w14:val="none"/>
        </w:rPr>
        <w:t>6.</w:t>
      </w:r>
      <w:r w:rsidRPr="00673927">
        <w:rPr>
          <w:rFonts w:ascii="Times New Roman" w:eastAsia="Times New Roman" w:hAnsi="Times New Roman" w:cs="Times New Roman"/>
          <w:b/>
          <w:bCs/>
          <w:kern w:val="0"/>
          <w:sz w:val="22"/>
          <w:szCs w:val="22"/>
          <w:lang w:eastAsia="lt-LT"/>
          <w14:ligatures w14:val="none"/>
        </w:rPr>
        <w:tab/>
        <w:t>Pakuotės turinys ir kita informacija</w:t>
      </w:r>
    </w:p>
    <w:p w14:paraId="12032F7E"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F419D50" w14:textId="65DBD330" w:rsidR="00673927" w:rsidRPr="00673927" w:rsidRDefault="00C745B0" w:rsidP="00673927">
      <w:pPr>
        <w:tabs>
          <w:tab w:val="left" w:pos="567"/>
        </w:tabs>
        <w:spacing w:after="0" w:line="240" w:lineRule="auto"/>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Penicilina G sodica Atb</w:t>
      </w:r>
      <w:r w:rsidR="00673927" w:rsidRPr="00673927">
        <w:rPr>
          <w:rFonts w:ascii="Times New Roman" w:eastAsia="Times New Roman" w:hAnsi="Times New Roman" w:cs="Times New Roman"/>
          <w:kern w:val="0"/>
          <w:sz w:val="22"/>
          <w:szCs w:val="22"/>
          <w:lang w:eastAsia="lt-LT"/>
          <w14:ligatures w14:val="none"/>
        </w:rPr>
        <w:t xml:space="preserve"> </w:t>
      </w:r>
      <w:r w:rsidR="00673927" w:rsidRPr="00673927">
        <w:rPr>
          <w:rFonts w:ascii="Times New Roman" w:eastAsia="Times New Roman" w:hAnsi="Times New Roman" w:cs="Times New Roman"/>
          <w:b/>
          <w:kern w:val="0"/>
          <w:sz w:val="22"/>
          <w:szCs w:val="22"/>
          <w:lang w:eastAsia="lt-LT"/>
          <w14:ligatures w14:val="none"/>
        </w:rPr>
        <w:t>sudėtis</w:t>
      </w:r>
    </w:p>
    <w:p w14:paraId="333CC3CE" w14:textId="77777777" w:rsidR="00673927" w:rsidRPr="00673927" w:rsidRDefault="00673927" w:rsidP="00703366">
      <w:pPr>
        <w:numPr>
          <w:ilvl w:val="0"/>
          <w:numId w:val="3"/>
        </w:numPr>
        <w:spacing w:after="0" w:line="240" w:lineRule="auto"/>
        <w:ind w:left="567" w:hanging="283"/>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Veiklioji medžiaga benzilpenicilinas. </w:t>
      </w:r>
      <w:r w:rsidRPr="00673927">
        <w:rPr>
          <w:rFonts w:ascii="Times New Roman" w:eastAsia="Times New Roman" w:hAnsi="Times New Roman" w:cs="Times New Roman"/>
          <w:kern w:val="0"/>
          <w:sz w:val="22"/>
          <w:szCs w:val="20"/>
          <w:lang w:eastAsia="lt-LT"/>
          <w14:ligatures w14:val="none"/>
        </w:rPr>
        <w:t>Kiekv</w:t>
      </w:r>
      <w:r w:rsidRPr="00673927">
        <w:rPr>
          <w:rFonts w:ascii="Times New Roman" w:eastAsia="Times New Roman" w:hAnsi="Times New Roman" w:cs="Times New Roman"/>
          <w:kern w:val="0"/>
          <w:sz w:val="22"/>
          <w:szCs w:val="22"/>
          <w:lang w:eastAsia="lt-LT"/>
          <w14:ligatures w14:val="none"/>
        </w:rPr>
        <w:t>iename flakone jo yra 1 000 000 TV (natrio druskos pavidalu</w:t>
      </w:r>
      <w:r w:rsidRPr="00673927">
        <w:rPr>
          <w:rFonts w:ascii="Times New Roman" w:eastAsia="Times New Roman" w:hAnsi="Times New Roman" w:cs="Times New Roman"/>
          <w:kern w:val="0"/>
          <w:sz w:val="22"/>
          <w:szCs w:val="20"/>
          <w:lang w:eastAsia="lt-LT"/>
          <w14:ligatures w14:val="none"/>
        </w:rPr>
        <w:t xml:space="preserve"> (apie 0,6 g)</w:t>
      </w:r>
      <w:r w:rsidRPr="00673927">
        <w:rPr>
          <w:rFonts w:ascii="Times New Roman" w:eastAsia="Times New Roman" w:hAnsi="Times New Roman" w:cs="Times New Roman"/>
          <w:kern w:val="0"/>
          <w:sz w:val="22"/>
          <w:szCs w:val="22"/>
          <w:lang w:eastAsia="lt-LT"/>
          <w14:ligatures w14:val="none"/>
        </w:rPr>
        <w:t>).</w:t>
      </w:r>
    </w:p>
    <w:p w14:paraId="3D308316" w14:textId="77777777" w:rsidR="00673927" w:rsidRPr="00673927" w:rsidRDefault="00673927" w:rsidP="00703366">
      <w:pPr>
        <w:numPr>
          <w:ilvl w:val="0"/>
          <w:numId w:val="3"/>
        </w:numPr>
        <w:spacing w:after="0" w:line="240" w:lineRule="auto"/>
        <w:ind w:left="567" w:hanging="283"/>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Pagalbinių medžiagų nėra. </w:t>
      </w:r>
    </w:p>
    <w:p w14:paraId="0921C740"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FE59712" w14:textId="20EA6B38" w:rsidR="00673927" w:rsidRPr="00673927" w:rsidRDefault="00C745B0" w:rsidP="00673927">
      <w:pPr>
        <w:tabs>
          <w:tab w:val="left" w:pos="567"/>
        </w:tabs>
        <w:spacing w:after="0" w:line="240" w:lineRule="auto"/>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Penicilina G sodica Atb</w:t>
      </w:r>
      <w:r w:rsidR="00673927" w:rsidRPr="00673927">
        <w:rPr>
          <w:rFonts w:ascii="Times New Roman" w:eastAsia="Times New Roman" w:hAnsi="Times New Roman" w:cs="Times New Roman"/>
          <w:kern w:val="0"/>
          <w:sz w:val="22"/>
          <w:szCs w:val="22"/>
          <w:lang w:eastAsia="lt-LT"/>
          <w14:ligatures w14:val="none"/>
        </w:rPr>
        <w:t xml:space="preserve"> </w:t>
      </w:r>
      <w:r w:rsidR="00673927" w:rsidRPr="00673927">
        <w:rPr>
          <w:rFonts w:ascii="Times New Roman" w:eastAsia="Times New Roman" w:hAnsi="Times New Roman" w:cs="Times New Roman"/>
          <w:b/>
          <w:kern w:val="0"/>
          <w:sz w:val="22"/>
          <w:szCs w:val="22"/>
          <w:lang w:eastAsia="lt-LT"/>
          <w14:ligatures w14:val="none"/>
        </w:rPr>
        <w:t>išvaizda ir kiekis pakuotėje</w:t>
      </w:r>
    </w:p>
    <w:p w14:paraId="55E18FEA" w14:textId="54B0C0E7" w:rsidR="00673927" w:rsidRPr="00673927" w:rsidRDefault="00C745B0"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Penicilina G sodica Atb</w:t>
      </w:r>
      <w:r w:rsidR="00673927" w:rsidRPr="00673927">
        <w:rPr>
          <w:rFonts w:ascii="Times New Roman" w:eastAsia="Times New Roman" w:hAnsi="Times New Roman" w:cs="Times New Roman"/>
          <w:kern w:val="0"/>
          <w:sz w:val="22"/>
          <w:szCs w:val="22"/>
          <w:lang w:eastAsia="lt-LT"/>
          <w14:ligatures w14:val="none"/>
        </w:rPr>
        <w:t xml:space="preserve"> yra baltos arba beveik baltos spalvos milteliai.</w:t>
      </w:r>
    </w:p>
    <w:p w14:paraId="495ADFF2" w14:textId="0CB91061" w:rsid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Vaistas tiekiamas flakonuose. Kartono dėžutėje yra </w:t>
      </w:r>
      <w:r w:rsidR="001F0BC8">
        <w:rPr>
          <w:rFonts w:ascii="Times New Roman" w:eastAsia="Times New Roman" w:hAnsi="Times New Roman" w:cs="Times New Roman"/>
          <w:kern w:val="0"/>
          <w:sz w:val="22"/>
          <w:szCs w:val="22"/>
          <w:lang w:eastAsia="lt-LT"/>
          <w14:ligatures w14:val="none"/>
        </w:rPr>
        <w:t xml:space="preserve">10, 50 arba </w:t>
      </w:r>
      <w:r w:rsidRPr="00673927">
        <w:rPr>
          <w:rFonts w:ascii="Times New Roman" w:eastAsia="Times New Roman" w:hAnsi="Times New Roman" w:cs="Times New Roman"/>
          <w:kern w:val="0"/>
          <w:sz w:val="22"/>
          <w:szCs w:val="22"/>
          <w:lang w:eastAsia="lt-LT"/>
          <w14:ligatures w14:val="none"/>
        </w:rPr>
        <w:t>100 flakonų.</w:t>
      </w:r>
    </w:p>
    <w:p w14:paraId="0E742A40" w14:textId="77777777" w:rsidR="001F0BC8" w:rsidRDefault="001F0BC8"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229FC1E" w14:textId="454313D0" w:rsidR="001F0BC8" w:rsidRPr="00673927" w:rsidRDefault="001F0BC8"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Gali būti tiekiamos ne visų dydžių pakuotės.</w:t>
      </w:r>
    </w:p>
    <w:p w14:paraId="3E4E1BE2"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3DD994E" w14:textId="77777777" w:rsidR="00713F44" w:rsidRPr="00713F44" w:rsidRDefault="00713F44" w:rsidP="00713F4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713F44">
        <w:rPr>
          <w:rFonts w:ascii="Times New Roman" w:eastAsia="Times New Roman" w:hAnsi="Times New Roman" w:cs="Times New Roman"/>
          <w:b/>
          <w:noProof/>
          <w:kern w:val="0"/>
          <w:sz w:val="22"/>
          <w:szCs w:val="22"/>
          <w14:ligatures w14:val="none"/>
        </w:rPr>
        <w:t>Registruotojas eksportuojančioje valstybėje ir gamintojas</w:t>
      </w:r>
    </w:p>
    <w:p w14:paraId="6C812AFB" w14:textId="77777777" w:rsidR="00713F44" w:rsidRPr="00713F44" w:rsidRDefault="00713F44" w:rsidP="00713F4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3F44">
        <w:rPr>
          <w:rFonts w:ascii="Times New Roman" w:eastAsia="Aptos" w:hAnsi="Times New Roman" w:cs="Times New Roman"/>
          <w:bCs/>
          <w:color w:val="000000"/>
          <w:kern w:val="0"/>
          <w:sz w:val="22"/>
          <w:szCs w:val="22"/>
          <w14:ligatures w14:val="none"/>
        </w:rPr>
        <w:t>Antibiotice SA</w:t>
      </w:r>
    </w:p>
    <w:p w14:paraId="325AC40A" w14:textId="77777777" w:rsidR="00713F44" w:rsidRPr="00713F44" w:rsidRDefault="00713F44" w:rsidP="00713F4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3F44">
        <w:rPr>
          <w:rFonts w:ascii="Times New Roman" w:eastAsia="Aptos" w:hAnsi="Times New Roman" w:cs="Times New Roman"/>
          <w:bCs/>
          <w:color w:val="000000"/>
          <w:kern w:val="0"/>
          <w:sz w:val="22"/>
          <w:szCs w:val="22"/>
          <w14:ligatures w14:val="none"/>
        </w:rPr>
        <w:t xml:space="preserve">Str. Valea Lupului nr. 1, </w:t>
      </w:r>
    </w:p>
    <w:p w14:paraId="5F1F79FD" w14:textId="77777777" w:rsidR="00713F44" w:rsidRPr="00713F44" w:rsidRDefault="00713F44" w:rsidP="00713F4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3F44">
        <w:rPr>
          <w:rFonts w:ascii="Times New Roman" w:eastAsia="Aptos" w:hAnsi="Times New Roman" w:cs="Times New Roman"/>
          <w:bCs/>
          <w:color w:val="000000"/>
          <w:kern w:val="0"/>
          <w:sz w:val="22"/>
          <w:szCs w:val="22"/>
          <w14:ligatures w14:val="none"/>
        </w:rPr>
        <w:t>707410 Iaşi</w:t>
      </w:r>
    </w:p>
    <w:p w14:paraId="674F04F3" w14:textId="5597CE41" w:rsidR="00713F44" w:rsidRPr="00713F44" w:rsidRDefault="00713F44" w:rsidP="00713F4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3F44">
        <w:rPr>
          <w:rFonts w:ascii="Times New Roman" w:eastAsia="Aptos" w:hAnsi="Times New Roman" w:cs="Times New Roman"/>
          <w:bCs/>
          <w:color w:val="000000"/>
          <w:kern w:val="0"/>
          <w:sz w:val="22"/>
          <w:szCs w:val="22"/>
          <w14:ligatures w14:val="none"/>
        </w:rPr>
        <w:t>Rumunija</w:t>
      </w:r>
    </w:p>
    <w:p w14:paraId="53E6CD86" w14:textId="77777777" w:rsidR="00713F44" w:rsidRPr="00713F44" w:rsidRDefault="00713F44" w:rsidP="00713F4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8677DC5" w14:textId="77777777" w:rsidR="00713F44" w:rsidRPr="00713F44" w:rsidRDefault="00713F44" w:rsidP="00713F4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713F44">
        <w:rPr>
          <w:rFonts w:ascii="Times New Roman" w:eastAsia="Aptos" w:hAnsi="Times New Roman" w:cs="Times New Roman"/>
          <w:b/>
          <w:color w:val="000000"/>
          <w:kern w:val="0"/>
          <w:sz w:val="22"/>
          <w:szCs w:val="22"/>
          <w14:ligatures w14:val="none"/>
        </w:rPr>
        <w:t xml:space="preserve">Lygiagretus importuotojas </w:t>
      </w:r>
      <w:r w:rsidRPr="00713F44">
        <w:rPr>
          <w:rFonts w:ascii="Times New Roman" w:eastAsia="Aptos" w:hAnsi="Times New Roman" w:cs="Times New Roman"/>
          <w:b/>
          <w:color w:val="000000"/>
          <w:kern w:val="0"/>
          <w:sz w:val="22"/>
          <w:szCs w:val="22"/>
          <w14:ligatures w14:val="none"/>
        </w:rPr>
        <w:br/>
      </w:r>
      <w:r w:rsidRPr="00713F44">
        <w:rPr>
          <w:rFonts w:ascii="Times New Roman" w:eastAsia="TimesNewRoman" w:hAnsi="Times New Roman" w:cs="Times New Roman"/>
          <w:color w:val="000000"/>
          <w:kern w:val="0"/>
          <w:sz w:val="22"/>
          <w:szCs w:val="22"/>
          <w14:ligatures w14:val="none"/>
        </w:rPr>
        <w:t>UAB „Niromed“</w:t>
      </w:r>
      <w:r w:rsidRPr="00713F44">
        <w:rPr>
          <w:rFonts w:ascii="Times New Roman" w:eastAsia="Aptos" w:hAnsi="Times New Roman" w:cs="Times New Roman"/>
          <w:b/>
          <w:color w:val="000000"/>
          <w:kern w:val="0"/>
          <w:sz w:val="22"/>
          <w:szCs w:val="22"/>
          <w14:ligatures w14:val="none"/>
        </w:rPr>
        <w:br/>
      </w:r>
      <w:r w:rsidRPr="00713F44">
        <w:rPr>
          <w:rFonts w:ascii="Times New Roman" w:eastAsia="TimesNewRoman" w:hAnsi="Times New Roman" w:cs="Times New Roman"/>
          <w:color w:val="000000"/>
          <w:kern w:val="0"/>
          <w:sz w:val="22"/>
          <w:szCs w:val="22"/>
          <w14:ligatures w14:val="none"/>
        </w:rPr>
        <w:t>Žirmūnų g. 139A</w:t>
      </w:r>
      <w:r w:rsidRPr="00713F44">
        <w:rPr>
          <w:rFonts w:ascii="Times New Roman" w:eastAsia="Aptos" w:hAnsi="Times New Roman" w:cs="Times New Roman"/>
          <w:b/>
          <w:color w:val="000000"/>
          <w:kern w:val="0"/>
          <w:sz w:val="22"/>
          <w:szCs w:val="22"/>
          <w14:ligatures w14:val="none"/>
        </w:rPr>
        <w:br/>
      </w:r>
      <w:r w:rsidRPr="00713F44">
        <w:rPr>
          <w:rFonts w:ascii="Times New Roman" w:eastAsia="TimesNewRoman" w:hAnsi="Times New Roman" w:cs="Times New Roman"/>
          <w:color w:val="000000"/>
          <w:kern w:val="0"/>
          <w:sz w:val="22"/>
          <w:szCs w:val="22"/>
          <w14:ligatures w14:val="none"/>
        </w:rPr>
        <w:t>LT-09120 Vilnius</w:t>
      </w:r>
      <w:r w:rsidRPr="00713F44">
        <w:rPr>
          <w:rFonts w:ascii="Times New Roman" w:eastAsia="TimesNewRoman" w:hAnsi="Times New Roman" w:cs="Times New Roman"/>
          <w:color w:val="000000"/>
          <w:kern w:val="0"/>
          <w:sz w:val="22"/>
          <w:szCs w:val="22"/>
          <w14:ligatures w14:val="none"/>
        </w:rPr>
        <w:br/>
        <w:t>Lietuva</w:t>
      </w:r>
    </w:p>
    <w:p w14:paraId="1550E495" w14:textId="77777777" w:rsidR="00713F44" w:rsidRPr="00713F44" w:rsidRDefault="00713F44" w:rsidP="00713F4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B5DDED3" w14:textId="77777777" w:rsidR="00713F44" w:rsidRPr="00713F44" w:rsidRDefault="00713F44" w:rsidP="00713F4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713F44">
        <w:rPr>
          <w:rFonts w:ascii="Times New Roman" w:eastAsia="Times New Roman" w:hAnsi="Times New Roman" w:cs="Times New Roman"/>
          <w:b/>
          <w:bCs/>
          <w:kern w:val="0"/>
          <w:sz w:val="22"/>
          <w:szCs w:val="22"/>
          <w14:ligatures w14:val="none"/>
        </w:rPr>
        <w:t>Perpakavo</w:t>
      </w:r>
    </w:p>
    <w:p w14:paraId="3B3A356C" w14:textId="77777777" w:rsidR="00713F44" w:rsidRPr="00713F44" w:rsidRDefault="00713F44" w:rsidP="00713F4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13F44">
        <w:rPr>
          <w:rFonts w:ascii="Times New Roman" w:eastAsia="TimesNewRoman" w:hAnsi="Times New Roman" w:cs="Times New Roman"/>
          <w:color w:val="000000"/>
          <w:kern w:val="0"/>
          <w:sz w:val="22"/>
          <w:szCs w:val="22"/>
          <w14:ligatures w14:val="none"/>
        </w:rPr>
        <w:t>LABOR Przedsiębiorstwo Farmaceutyczno-Chemiczne sp. z o.o.</w:t>
      </w:r>
    </w:p>
    <w:p w14:paraId="432031DF" w14:textId="77777777" w:rsidR="00713F44" w:rsidRPr="00713F44" w:rsidRDefault="00713F44" w:rsidP="00713F4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13F44">
        <w:rPr>
          <w:rFonts w:ascii="Times New Roman" w:eastAsia="TimesNewRoman" w:hAnsi="Times New Roman" w:cs="Times New Roman"/>
          <w:color w:val="000000"/>
          <w:kern w:val="0"/>
          <w:sz w:val="22"/>
          <w:szCs w:val="22"/>
          <w14:ligatures w14:val="none"/>
        </w:rPr>
        <w:t>Ul. Długosza 49,</w:t>
      </w:r>
    </w:p>
    <w:p w14:paraId="45261659" w14:textId="77777777" w:rsidR="00713F44" w:rsidRPr="00713F44" w:rsidRDefault="00713F44" w:rsidP="00713F4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13F44">
        <w:rPr>
          <w:rFonts w:ascii="Times New Roman" w:eastAsia="TimesNewRoman" w:hAnsi="Times New Roman" w:cs="Times New Roman"/>
          <w:color w:val="000000"/>
          <w:kern w:val="0"/>
          <w:sz w:val="22"/>
          <w:szCs w:val="22"/>
          <w14:ligatures w14:val="none"/>
        </w:rPr>
        <w:t>51-162 Wrocław,</w:t>
      </w:r>
    </w:p>
    <w:p w14:paraId="6134221B" w14:textId="77777777" w:rsidR="00713F44" w:rsidRPr="00713F44" w:rsidRDefault="00713F44" w:rsidP="00713F4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13F44">
        <w:rPr>
          <w:rFonts w:ascii="Times New Roman" w:eastAsia="TimesNewRoman" w:hAnsi="Times New Roman" w:cs="Times New Roman"/>
          <w:color w:val="000000"/>
          <w:kern w:val="0"/>
          <w:sz w:val="22"/>
          <w:szCs w:val="22"/>
          <w14:ligatures w14:val="none"/>
        </w:rPr>
        <w:t>Lenkija</w:t>
      </w:r>
    </w:p>
    <w:p w14:paraId="280D547B" w14:textId="77777777" w:rsidR="00713F44" w:rsidRPr="00713F44" w:rsidRDefault="00713F44" w:rsidP="00713F4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26EB107" w14:textId="77777777" w:rsidR="00713F44" w:rsidRPr="00713F44" w:rsidRDefault="00713F44" w:rsidP="00713F4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13F44">
        <w:rPr>
          <w:rFonts w:ascii="Times New Roman" w:eastAsia="TimesNewRoman" w:hAnsi="Times New Roman" w:cs="Times New Roman"/>
          <w:color w:val="000000"/>
          <w:kern w:val="0"/>
          <w:sz w:val="22"/>
          <w:szCs w:val="22"/>
          <w14:ligatures w14:val="none"/>
        </w:rPr>
        <w:t>arba</w:t>
      </w:r>
    </w:p>
    <w:p w14:paraId="0B8A11D1" w14:textId="77777777" w:rsidR="00713F44" w:rsidRPr="00713F44" w:rsidRDefault="00713F44" w:rsidP="00713F4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ADA4236" w14:textId="77777777" w:rsidR="00713F44" w:rsidRPr="00713F44" w:rsidRDefault="00713F44" w:rsidP="00713F4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13F44">
        <w:rPr>
          <w:rFonts w:ascii="Times New Roman" w:eastAsia="TimesNewRoman" w:hAnsi="Times New Roman" w:cs="Times New Roman"/>
          <w:color w:val="000000"/>
          <w:kern w:val="0"/>
          <w:sz w:val="22"/>
          <w:szCs w:val="22"/>
          <w14:ligatures w14:val="none"/>
        </w:rPr>
        <w:t>UAB „Entafarma“</w:t>
      </w:r>
    </w:p>
    <w:p w14:paraId="322AEFCE" w14:textId="77777777" w:rsidR="00713F44" w:rsidRPr="00713F44" w:rsidRDefault="00713F44" w:rsidP="00713F4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13F44">
        <w:rPr>
          <w:rFonts w:ascii="Times New Roman" w:eastAsia="TimesNewRoman" w:hAnsi="Times New Roman" w:cs="Times New Roman"/>
          <w:color w:val="000000"/>
          <w:kern w:val="0"/>
          <w:sz w:val="22"/>
          <w:szCs w:val="22"/>
          <w14:ligatures w14:val="none"/>
        </w:rPr>
        <w:t>Klonėnų vs. 1,</w:t>
      </w:r>
    </w:p>
    <w:p w14:paraId="343E71AD" w14:textId="77777777" w:rsidR="00713F44" w:rsidRPr="00713F44" w:rsidRDefault="00713F44" w:rsidP="00713F4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13F44">
        <w:rPr>
          <w:rFonts w:ascii="Times New Roman" w:eastAsia="TimesNewRoman" w:hAnsi="Times New Roman" w:cs="Times New Roman"/>
          <w:color w:val="000000"/>
          <w:kern w:val="0"/>
          <w:sz w:val="22"/>
          <w:szCs w:val="22"/>
          <w14:ligatures w14:val="none"/>
        </w:rPr>
        <w:t>LT-19156 Širvintų r. sav.</w:t>
      </w:r>
    </w:p>
    <w:p w14:paraId="5A9BCA65" w14:textId="77777777" w:rsidR="00713F44" w:rsidRPr="00806743" w:rsidRDefault="00713F44" w:rsidP="00713F44">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713F44">
        <w:rPr>
          <w:rFonts w:ascii="Times New Roman" w:eastAsia="TimesNewRoman" w:hAnsi="Times New Roman" w:cs="Times New Roman"/>
          <w:color w:val="000000"/>
          <w:kern w:val="0"/>
          <w:sz w:val="22"/>
          <w:szCs w:val="22"/>
          <w14:ligatures w14:val="none"/>
        </w:rPr>
        <w:t>Lietuva</w:t>
      </w:r>
    </w:p>
    <w:p w14:paraId="4FA9B04F" w14:textId="77777777" w:rsidR="00673927" w:rsidRPr="00673927" w:rsidRDefault="00673927" w:rsidP="00673927">
      <w:pPr>
        <w:spacing w:after="0" w:line="240" w:lineRule="auto"/>
        <w:jc w:val="both"/>
        <w:rPr>
          <w:rFonts w:ascii="Times New Roman" w:eastAsia="Calibri" w:hAnsi="Times New Roman" w:cs="Times New Roman"/>
          <w:color w:val="000000"/>
          <w:spacing w:val="-5"/>
          <w:kern w:val="0"/>
          <w:sz w:val="22"/>
          <w:szCs w:val="22"/>
          <w:lang w:eastAsia="lt-LT"/>
          <w14:ligatures w14:val="none"/>
        </w:rPr>
      </w:pPr>
    </w:p>
    <w:p w14:paraId="3BDDB5AB" w14:textId="5F0E3E41" w:rsidR="00673927" w:rsidRPr="00673927" w:rsidRDefault="00673927" w:rsidP="00673927">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673927">
        <w:rPr>
          <w:rFonts w:ascii="Times New Roman" w:eastAsia="Times New Roman" w:hAnsi="Times New Roman" w:cs="Times New Roman"/>
          <w:b/>
          <w:kern w:val="0"/>
          <w:sz w:val="22"/>
          <w:szCs w:val="22"/>
          <w:lang w:eastAsia="lt-LT"/>
          <w14:ligatures w14:val="none"/>
        </w:rPr>
        <w:t xml:space="preserve">Šis pakuotės lapelis paskutinį kartą peržiūrėtas </w:t>
      </w:r>
      <w:r w:rsidR="00806743">
        <w:rPr>
          <w:rFonts w:ascii="Times New Roman" w:eastAsia="Times New Roman" w:hAnsi="Times New Roman" w:cs="Times New Roman"/>
          <w:b/>
          <w:kern w:val="0"/>
          <w:sz w:val="22"/>
          <w:szCs w:val="22"/>
          <w:lang w:eastAsia="lt-LT"/>
          <w14:ligatures w14:val="none"/>
        </w:rPr>
        <w:t>2025-12-11.</w:t>
      </w:r>
    </w:p>
    <w:p w14:paraId="438F3B56" w14:textId="77777777" w:rsidR="00673927" w:rsidRPr="00673927" w:rsidRDefault="00673927" w:rsidP="00673927">
      <w:pPr>
        <w:tabs>
          <w:tab w:val="left" w:pos="567"/>
        </w:tabs>
        <w:spacing w:after="0" w:line="240" w:lineRule="auto"/>
        <w:rPr>
          <w:rFonts w:ascii="Times New Roman" w:eastAsia="Times New Roman" w:hAnsi="Times New Roman" w:cs="Times New Roman"/>
          <w:b/>
          <w:kern w:val="0"/>
          <w:sz w:val="22"/>
          <w:szCs w:val="22"/>
          <w:lang w:eastAsia="lt-LT"/>
          <w14:ligatures w14:val="none"/>
        </w:rPr>
      </w:pPr>
    </w:p>
    <w:p w14:paraId="12BB877B" w14:textId="5F64E331" w:rsidR="00673927" w:rsidRDefault="00655CF7" w:rsidP="00673927">
      <w:pPr>
        <w:spacing w:after="0" w:line="240" w:lineRule="auto"/>
        <w:rPr>
          <w:rFonts w:ascii="Times New Roman" w:eastAsia="Times New Roman" w:hAnsi="Times New Roman" w:cs="Times New Roman"/>
          <w:kern w:val="0"/>
          <w:sz w:val="22"/>
          <w:szCs w:val="20"/>
          <w:lang w:eastAsia="lt-LT" w:bidi="lt-LT"/>
          <w14:ligatures w14:val="none"/>
        </w:rPr>
      </w:pPr>
      <w:r w:rsidRPr="00655CF7">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AC1207">
          <w:rPr>
            <w:rStyle w:val="Hipersaitas"/>
            <w:rFonts w:ascii="Times New Roman" w:eastAsia="Times New Roman" w:hAnsi="Times New Roman" w:cs="Times New Roman"/>
            <w:kern w:val="0"/>
            <w:sz w:val="22"/>
            <w:szCs w:val="20"/>
            <w:lang w:eastAsia="lt-LT" w:bidi="lt-LT"/>
            <w14:ligatures w14:val="none"/>
          </w:rPr>
          <w:t>https://vvkt.lrv.lt/lt/</w:t>
        </w:r>
      </w:hyperlink>
      <w:r w:rsidRPr="00655CF7">
        <w:rPr>
          <w:rFonts w:ascii="Times New Roman" w:eastAsia="Times New Roman" w:hAnsi="Times New Roman" w:cs="Times New Roman"/>
          <w:kern w:val="0"/>
          <w:sz w:val="22"/>
          <w:szCs w:val="20"/>
          <w:lang w:eastAsia="lt-LT" w:bidi="lt-LT"/>
          <w14:ligatures w14:val="none"/>
        </w:rPr>
        <w:t>.</w:t>
      </w:r>
    </w:p>
    <w:p w14:paraId="6DB4920F" w14:textId="77777777" w:rsidR="006B3D88" w:rsidRDefault="006B3D88" w:rsidP="00673927">
      <w:pPr>
        <w:spacing w:after="0" w:line="240" w:lineRule="auto"/>
        <w:rPr>
          <w:rFonts w:ascii="Times New Roman" w:eastAsia="Times New Roman" w:hAnsi="Times New Roman" w:cs="Times New Roman"/>
          <w:kern w:val="0"/>
          <w:sz w:val="22"/>
          <w:szCs w:val="20"/>
          <w:lang w:eastAsia="lt-LT" w:bidi="lt-LT"/>
          <w14:ligatures w14:val="none"/>
        </w:rPr>
      </w:pPr>
    </w:p>
    <w:p w14:paraId="45C90E3C" w14:textId="77777777" w:rsidR="006B3D88" w:rsidRPr="001A25DF" w:rsidRDefault="006B3D88" w:rsidP="006B3D88">
      <w:pPr>
        <w:spacing w:line="259" w:lineRule="auto"/>
        <w:rPr>
          <w:rFonts w:ascii="Times New Roman" w:eastAsia="Aptos" w:hAnsi="Times New Roman" w:cs="Times New Roman"/>
          <w:sz w:val="22"/>
          <w:szCs w:val="22"/>
        </w:rPr>
      </w:pPr>
      <w:r w:rsidRPr="001A25DF">
        <w:rPr>
          <w:rFonts w:ascii="Times New Roman" w:eastAsia="Aptos" w:hAnsi="Times New Roman" w:cs="Times New Roman"/>
          <w:i/>
          <w:iCs/>
          <w:sz w:val="22"/>
          <w:szCs w:val="22"/>
        </w:rPr>
        <w:t>Lygiagrečiai importuojamas vaistas nuo referencinio vaisto skiriasi tinkamumo laiku: referencinio – 5 metai, lygiagrečiai importuojamo – 4 metai; laikymo sąlygomis: lygiagrečiai importuojamą vaistą papildomai laikyti gamintojo pakuotėje; pakuotės dydžiu: lygiagrečiai importuojamas vaistas papildomai gali būti tiekiamas N10 ir N50 pakuotėmis.</w:t>
      </w:r>
    </w:p>
    <w:p w14:paraId="1B448B9D" w14:textId="77777777" w:rsidR="00655CF7" w:rsidRPr="00673927" w:rsidRDefault="00655CF7" w:rsidP="00673927">
      <w:pPr>
        <w:spacing w:after="0" w:line="240" w:lineRule="auto"/>
        <w:rPr>
          <w:rFonts w:ascii="Times New Roman" w:eastAsia="Times New Roman" w:hAnsi="Times New Roman" w:cs="Times New Roman"/>
          <w:kern w:val="0"/>
          <w:sz w:val="22"/>
          <w:szCs w:val="22"/>
          <w:lang w:eastAsia="lt-LT"/>
          <w14:ligatures w14:val="none"/>
        </w:rPr>
      </w:pPr>
    </w:p>
    <w:p w14:paraId="3F49236B" w14:textId="77777777" w:rsidR="00673927" w:rsidRPr="00673927" w:rsidRDefault="00673927" w:rsidP="00673927">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w:t>
      </w:r>
    </w:p>
    <w:p w14:paraId="73E0A060" w14:textId="77777777" w:rsidR="00673927" w:rsidRPr="00673927" w:rsidRDefault="00673927" w:rsidP="00673927">
      <w:pPr>
        <w:numPr>
          <w:ilvl w:val="12"/>
          <w:numId w:val="0"/>
        </w:numPr>
        <w:tabs>
          <w:tab w:val="left" w:pos="2657"/>
        </w:tabs>
        <w:spacing w:after="0" w:line="240" w:lineRule="auto"/>
        <w:ind w:right="-28"/>
        <w:rPr>
          <w:rFonts w:ascii="Times New Roman" w:eastAsia="Times New Roman" w:hAnsi="Times New Roman" w:cs="Times New Roman"/>
          <w:kern w:val="0"/>
          <w:sz w:val="22"/>
          <w:szCs w:val="22"/>
          <w:lang w:eastAsia="lt-LT"/>
          <w14:ligatures w14:val="none"/>
        </w:rPr>
      </w:pPr>
    </w:p>
    <w:p w14:paraId="0B758148" w14:textId="77777777" w:rsidR="00673927" w:rsidRPr="00673927" w:rsidRDefault="00673927" w:rsidP="00673927">
      <w:pPr>
        <w:numPr>
          <w:ilvl w:val="12"/>
          <w:numId w:val="0"/>
        </w:numPr>
        <w:tabs>
          <w:tab w:val="left" w:pos="2657"/>
        </w:tabs>
        <w:spacing w:after="0" w:line="240" w:lineRule="auto"/>
        <w:ind w:left="-37" w:right="-28"/>
        <w:rPr>
          <w:rFonts w:ascii="Times New Roman" w:eastAsia="Times New Roman" w:hAnsi="Times New Roman" w:cs="Times New Roman"/>
          <w:i/>
          <w:color w:val="008000"/>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Toliau pateikta informacija skirta tik sveikatos priežiūros specialistams:</w:t>
      </w:r>
    </w:p>
    <w:p w14:paraId="35ED6B1E"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70332E12" w14:textId="77777777" w:rsidR="00673927" w:rsidRPr="00673927" w:rsidRDefault="00673927" w:rsidP="00673927">
      <w:pPr>
        <w:spacing w:after="0" w:line="240" w:lineRule="auto"/>
        <w:rPr>
          <w:rFonts w:ascii="Times New Roman" w:eastAsia="Times New Roman" w:hAnsi="Times New Roman" w:cs="Times New Roman"/>
          <w:b/>
          <w:kern w:val="0"/>
          <w:sz w:val="22"/>
          <w:szCs w:val="22"/>
          <w:u w:val="single"/>
          <w:lang w:eastAsia="lt-LT"/>
          <w14:ligatures w14:val="none"/>
        </w:rPr>
      </w:pPr>
      <w:r w:rsidRPr="00673927">
        <w:rPr>
          <w:rFonts w:ascii="Times New Roman" w:eastAsia="Times New Roman" w:hAnsi="Times New Roman" w:cs="Times New Roman"/>
          <w:b/>
          <w:kern w:val="0"/>
          <w:sz w:val="22"/>
          <w:szCs w:val="22"/>
          <w:u w:val="single"/>
          <w:lang w:eastAsia="lt-LT"/>
          <w14:ligatures w14:val="none"/>
        </w:rPr>
        <w:t>Ruošimo instrukcija</w:t>
      </w:r>
    </w:p>
    <w:p w14:paraId="767B5003"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73B97D72"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u w:val="single"/>
          <w:lang w:eastAsia="lt-LT"/>
          <w14:ligatures w14:val="none"/>
        </w:rPr>
        <w:t>Injekcinio ar infuzinio tirpalo ruošimas</w:t>
      </w:r>
      <w:r w:rsidRPr="00673927">
        <w:rPr>
          <w:rFonts w:ascii="Times New Roman" w:eastAsia="Times New Roman" w:hAnsi="Times New Roman" w:cs="Times New Roman"/>
          <w:kern w:val="0"/>
          <w:sz w:val="22"/>
          <w:szCs w:val="22"/>
          <w:lang w:eastAsia="lt-LT"/>
          <w14:ligatures w14:val="none"/>
        </w:rPr>
        <w:t xml:space="preserve"> </w:t>
      </w:r>
    </w:p>
    <w:p w14:paraId="2E0E7015"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1 000 000 TV flakono turinį reikia ištirpinti 10 ml injekcinio vandens. Paruoštas tirpalas yra bespalvis skaidrus.Dėl šio kiekybinio santykio tirpalas būna izotoninis. Ringerio laktato ar kitokiame tirpale, kuriame yra natrio, tirpinti nereikėtų, kad suleidus nesutriktų elektrolitų pusiausvyra. </w:t>
      </w:r>
    </w:p>
    <w:p w14:paraId="7AEE9E3B"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2F393E03"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p>
    <w:p w14:paraId="420CC73E" w14:textId="77777777" w:rsidR="00673927" w:rsidRPr="00673927" w:rsidRDefault="00673927" w:rsidP="00673927">
      <w:pPr>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u w:val="single"/>
          <w:lang w:eastAsia="lt-LT"/>
          <w14:ligatures w14:val="none"/>
        </w:rPr>
        <w:t>Pastaba dėl vaistinio preparato vartojimo į raumenis</w:t>
      </w:r>
      <w:r w:rsidRPr="00673927">
        <w:rPr>
          <w:rFonts w:ascii="Times New Roman" w:eastAsia="Times New Roman" w:hAnsi="Times New Roman" w:cs="Times New Roman"/>
          <w:kern w:val="0"/>
          <w:sz w:val="22"/>
          <w:szCs w:val="22"/>
          <w:lang w:eastAsia="lt-LT"/>
          <w14:ligatures w14:val="none"/>
        </w:rPr>
        <w:t xml:space="preserve">: </w:t>
      </w:r>
    </w:p>
    <w:p w14:paraId="7F445A4E" w14:textId="77777777" w:rsidR="00673927" w:rsidRPr="00673927" w:rsidRDefault="00673927" w:rsidP="00673927">
      <w:pPr>
        <w:spacing w:after="0" w:line="240" w:lineRule="auto"/>
        <w:rPr>
          <w:rFonts w:ascii="Times New Roman" w:eastAsia="Times New Roman" w:hAnsi="Times New Roman" w:cs="Times New Roman"/>
          <w:i/>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Dažniau negu 2 kartus per dieną ir daugiau kaip po 10 000 000 TV penicilino natrio druskos, ištirpintos 5-10 ml injekcinio vandens, į raumenis leisti negalima. Tirpalą reikia leisti giliai į raumenis viršutiniame išoriniame sėdmens kvadrate arba </w:t>
      </w:r>
      <w:r w:rsidRPr="00673927">
        <w:rPr>
          <w:rFonts w:ascii="Times New Roman" w:eastAsia="Times New Roman" w:hAnsi="Times New Roman" w:cs="Times New Roman"/>
          <w:i/>
          <w:kern w:val="0"/>
          <w:sz w:val="22"/>
          <w:szCs w:val="22"/>
          <w:lang w:eastAsia="lt-LT"/>
          <w14:ligatures w14:val="none"/>
        </w:rPr>
        <w:t xml:space="preserve">Hochstetter ventrogluteal </w:t>
      </w:r>
      <w:r w:rsidRPr="00673927">
        <w:rPr>
          <w:rFonts w:ascii="Times New Roman" w:eastAsia="Times New Roman" w:hAnsi="Times New Roman" w:cs="Times New Roman"/>
          <w:kern w:val="0"/>
          <w:sz w:val="22"/>
          <w:szCs w:val="22"/>
          <w:lang w:eastAsia="lt-LT"/>
          <w14:ligatures w14:val="none"/>
        </w:rPr>
        <w:t>srityje</w:t>
      </w:r>
      <w:r w:rsidRPr="00673927">
        <w:rPr>
          <w:rFonts w:ascii="Times New Roman" w:eastAsia="Times New Roman" w:hAnsi="Times New Roman" w:cs="Times New Roman"/>
          <w:i/>
          <w:kern w:val="0"/>
          <w:sz w:val="22"/>
          <w:szCs w:val="22"/>
          <w:lang w:eastAsia="lt-LT"/>
          <w14:ligatures w14:val="none"/>
        </w:rPr>
        <w:t xml:space="preserve">. </w:t>
      </w:r>
    </w:p>
    <w:p w14:paraId="7C4958CB" w14:textId="77777777" w:rsidR="00673927" w:rsidRPr="00673927"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9A75DD0" w14:textId="5E2261C3" w:rsidR="000E75BE" w:rsidRDefault="00673927"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3927">
        <w:rPr>
          <w:rFonts w:ascii="Times New Roman" w:eastAsia="Times New Roman" w:hAnsi="Times New Roman" w:cs="Times New Roman"/>
          <w:kern w:val="0"/>
          <w:sz w:val="22"/>
          <w:szCs w:val="22"/>
          <w:lang w:eastAsia="lt-LT"/>
          <w14:ligatures w14:val="none"/>
        </w:rPr>
        <w:t xml:space="preserve">Į vieną vietą negalima leisti didesnio nei 5 ml tūrio. Jeigu injekcija kartojama, jos vietą reikia keisti. Didesnių dozių galima skirti intraveninės infuzijos būdu. </w:t>
      </w:r>
    </w:p>
    <w:p w14:paraId="5F93BAB1" w14:textId="77777777" w:rsidR="001A25DF" w:rsidRDefault="001A25DF"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4FCFD93" w14:textId="77777777" w:rsidR="001A25DF" w:rsidRPr="00673927" w:rsidRDefault="001A25DF" w:rsidP="00673927">
      <w:pPr>
        <w:tabs>
          <w:tab w:val="left" w:pos="567"/>
        </w:tabs>
        <w:spacing w:after="0" w:line="240" w:lineRule="auto"/>
        <w:rPr>
          <w:rFonts w:ascii="Times New Roman" w:eastAsia="Times New Roman" w:hAnsi="Times New Roman" w:cs="Times New Roman"/>
          <w:kern w:val="0"/>
          <w:sz w:val="22"/>
          <w:szCs w:val="22"/>
          <w:lang w:eastAsia="lt-LT"/>
          <w14:ligatures w14:val="none"/>
        </w:rPr>
      </w:pPr>
    </w:p>
    <w:sectPr w:rsidR="001A25DF" w:rsidRPr="00673927" w:rsidSect="0067392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
    <w:altName w:val="MS Mincho"/>
    <w:charset w:val="00"/>
    <w:family w:val="auto"/>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B5DA2"/>
    <w:multiLevelType w:val="hybridMultilevel"/>
    <w:tmpl w:val="CC1E2284"/>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A6F45BE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200FC"/>
    <w:multiLevelType w:val="hybridMultilevel"/>
    <w:tmpl w:val="E7764B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134DDA"/>
    <w:multiLevelType w:val="hybridMultilevel"/>
    <w:tmpl w:val="35DA5970"/>
    <w:lvl w:ilvl="0" w:tplc="A07639C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7D54699"/>
    <w:multiLevelType w:val="hybridMultilevel"/>
    <w:tmpl w:val="55561B0C"/>
    <w:lvl w:ilvl="0" w:tplc="7934437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69C735DA"/>
    <w:multiLevelType w:val="hybridMultilevel"/>
    <w:tmpl w:val="84F66E38"/>
    <w:lvl w:ilvl="0" w:tplc="B97692D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E3D33BD"/>
    <w:multiLevelType w:val="hybridMultilevel"/>
    <w:tmpl w:val="05A85F2A"/>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002011023">
    <w:abstractNumId w:val="5"/>
  </w:num>
  <w:num w:numId="2" w16cid:durableId="310981703">
    <w:abstractNumId w:val="2"/>
  </w:num>
  <w:num w:numId="3" w16cid:durableId="1492480542">
    <w:abstractNumId w:val="3"/>
  </w:num>
  <w:num w:numId="4" w16cid:durableId="467749959">
    <w:abstractNumId w:val="0"/>
  </w:num>
  <w:num w:numId="5" w16cid:durableId="642395193">
    <w:abstractNumId w:val="1"/>
  </w:num>
  <w:num w:numId="6" w16cid:durableId="1488403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DE"/>
    <w:rsid w:val="00090DCA"/>
    <w:rsid w:val="000D5F40"/>
    <w:rsid w:val="000E75BE"/>
    <w:rsid w:val="001A25DF"/>
    <w:rsid w:val="001F0BC8"/>
    <w:rsid w:val="00405462"/>
    <w:rsid w:val="00487313"/>
    <w:rsid w:val="004C548A"/>
    <w:rsid w:val="0055310F"/>
    <w:rsid w:val="00610CDE"/>
    <w:rsid w:val="00655CF7"/>
    <w:rsid w:val="00673927"/>
    <w:rsid w:val="006B3D88"/>
    <w:rsid w:val="00703366"/>
    <w:rsid w:val="00713F44"/>
    <w:rsid w:val="00806743"/>
    <w:rsid w:val="00927207"/>
    <w:rsid w:val="009D4F04"/>
    <w:rsid w:val="00A82EBF"/>
    <w:rsid w:val="00C745B0"/>
    <w:rsid w:val="00CD15CA"/>
    <w:rsid w:val="00E530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8996"/>
  <w15:chartTrackingRefBased/>
  <w15:docId w15:val="{45031065-5391-4D51-8D25-D12AADE6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0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0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0C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0C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0C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0C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0C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0C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0C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0C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0C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0C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0C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0C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0C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0C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0C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0C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0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0C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0C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0C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0C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0CDE"/>
    <w:rPr>
      <w:i/>
      <w:iCs/>
      <w:color w:val="404040" w:themeColor="text1" w:themeTint="BF"/>
    </w:rPr>
  </w:style>
  <w:style w:type="paragraph" w:styleId="Sraopastraipa">
    <w:name w:val="List Paragraph"/>
    <w:basedOn w:val="prastasis"/>
    <w:uiPriority w:val="34"/>
    <w:qFormat/>
    <w:rsid w:val="00610CDE"/>
    <w:pPr>
      <w:ind w:left="720"/>
      <w:contextualSpacing/>
    </w:pPr>
  </w:style>
  <w:style w:type="character" w:styleId="Rykuspabraukimas">
    <w:name w:val="Intense Emphasis"/>
    <w:basedOn w:val="Numatytasispastraiposriftas"/>
    <w:uiPriority w:val="21"/>
    <w:qFormat/>
    <w:rsid w:val="00610CDE"/>
    <w:rPr>
      <w:i/>
      <w:iCs/>
      <w:color w:val="0F4761" w:themeColor="accent1" w:themeShade="BF"/>
    </w:rPr>
  </w:style>
  <w:style w:type="paragraph" w:styleId="Iskirtacitata">
    <w:name w:val="Intense Quote"/>
    <w:basedOn w:val="prastasis"/>
    <w:next w:val="prastasis"/>
    <w:link w:val="IskirtacitataDiagrama"/>
    <w:uiPriority w:val="30"/>
    <w:qFormat/>
    <w:rsid w:val="00610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0CDE"/>
    <w:rPr>
      <w:i/>
      <w:iCs/>
      <w:color w:val="0F4761" w:themeColor="accent1" w:themeShade="BF"/>
    </w:rPr>
  </w:style>
  <w:style w:type="character" w:styleId="Rykinuoroda">
    <w:name w:val="Intense Reference"/>
    <w:basedOn w:val="Numatytasispastraiposriftas"/>
    <w:uiPriority w:val="32"/>
    <w:qFormat/>
    <w:rsid w:val="00610CDE"/>
    <w:rPr>
      <w:b/>
      <w:bCs/>
      <w:smallCaps/>
      <w:color w:val="0F4761" w:themeColor="accent1" w:themeShade="BF"/>
      <w:spacing w:val="5"/>
    </w:rPr>
  </w:style>
  <w:style w:type="table" w:customStyle="1" w:styleId="Lentelstinklelis1">
    <w:name w:val="Lentelės tinklelis1"/>
    <w:basedOn w:val="prastojilentel"/>
    <w:next w:val="Lentelstinklelis"/>
    <w:uiPriority w:val="59"/>
    <w:rsid w:val="00673927"/>
    <w:pPr>
      <w:spacing w:after="0" w:line="240" w:lineRule="auto"/>
    </w:pPr>
    <w:rPr>
      <w:rFonts w:eastAsia="PMingLiU"/>
      <w:kern w:val="0"/>
      <w:sz w:val="22"/>
      <w:szCs w:val="22"/>
      <w:lang w:val="en-US"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73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55CF7"/>
    <w:rPr>
      <w:color w:val="467886" w:themeColor="hyperlink"/>
      <w:u w:val="single"/>
    </w:rPr>
  </w:style>
  <w:style w:type="character" w:styleId="Neapdorotaspaminjimas">
    <w:name w:val="Unresolved Mention"/>
    <w:basedOn w:val="Numatytasispastraiposriftas"/>
    <w:uiPriority w:val="99"/>
    <w:semiHidden/>
    <w:unhideWhenUsed/>
    <w:rsid w:val="0065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14428</Words>
  <Characters>8224</Characters>
  <Application>Microsoft Office Word</Application>
  <DocSecurity>0</DocSecurity>
  <Lines>68</Lines>
  <Paragraphs>45</Paragraphs>
  <ScaleCrop>false</ScaleCrop>
  <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16</cp:revision>
  <dcterms:created xsi:type="dcterms:W3CDTF">2025-07-28T05:27:00Z</dcterms:created>
  <dcterms:modified xsi:type="dcterms:W3CDTF">2025-12-19T09:12:00Z</dcterms:modified>
</cp:coreProperties>
</file>