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60324" w:rsidRPr="00787572" w:rsidRDefault="00360324" w:rsidP="00360324">
      <w:pPr>
        <w:tabs>
          <w:tab w:val="left" w:pos="360"/>
          <w:tab w:val="left" w:pos="720"/>
        </w:tabs>
        <w:spacing w:after="0" w:line="240" w:lineRule="auto"/>
        <w:jc w:val="center"/>
        <w:rPr>
          <w:rFonts w:ascii="Times New Roman" w:eastAsia="Times New Roman" w:hAnsi="Times New Roman"/>
          <w:b/>
          <w:lang w:val="lt-LT"/>
        </w:rPr>
      </w:pPr>
      <w:r w:rsidRPr="00787572">
        <w:rPr>
          <w:rFonts w:ascii="Times New Roman" w:eastAsia="Times New Roman" w:hAnsi="Times New Roman"/>
          <w:b/>
          <w:lang w:val="lt-LT"/>
        </w:rPr>
        <w:t>Pakuotės lapelis: informacija vartotojui</w:t>
      </w:r>
    </w:p>
    <w:p w:rsidR="00360324" w:rsidRPr="00787572" w:rsidRDefault="00360324" w:rsidP="00360324">
      <w:pPr>
        <w:spacing w:after="0" w:line="240" w:lineRule="auto"/>
        <w:jc w:val="center"/>
        <w:rPr>
          <w:rFonts w:ascii="Times New Roman" w:eastAsia="Times New Roman" w:hAnsi="Times New Roman"/>
          <w:b/>
          <w:lang w:val="lt-LT"/>
        </w:rPr>
      </w:pPr>
    </w:p>
    <w:p w:rsidR="00360324" w:rsidRPr="00787572" w:rsidRDefault="00360324" w:rsidP="00360324">
      <w:pPr>
        <w:spacing w:after="0" w:line="240" w:lineRule="auto"/>
        <w:jc w:val="center"/>
        <w:rPr>
          <w:rFonts w:ascii="Times New Roman" w:eastAsia="Times New Roman" w:hAnsi="Times New Roman"/>
          <w:b/>
          <w:lang w:val="lt-LT"/>
        </w:rPr>
      </w:pPr>
      <w:r w:rsidRPr="00787572">
        <w:rPr>
          <w:rFonts w:ascii="Times New Roman" w:eastAsia="Times New Roman" w:hAnsi="Times New Roman"/>
          <w:b/>
          <w:lang w:val="lt-LT"/>
        </w:rPr>
        <w:t>TYPHIM Vi injekcinis tirpalas</w:t>
      </w:r>
    </w:p>
    <w:p w:rsidR="00360324" w:rsidRPr="00787572" w:rsidRDefault="00360324" w:rsidP="00360324">
      <w:pPr>
        <w:spacing w:after="0" w:line="240" w:lineRule="auto"/>
        <w:jc w:val="center"/>
        <w:rPr>
          <w:rFonts w:ascii="Times New Roman" w:eastAsia="Times New Roman" w:hAnsi="Times New Roman"/>
          <w:lang w:val="lt-LT"/>
        </w:rPr>
      </w:pPr>
      <w:r>
        <w:rPr>
          <w:rFonts w:ascii="Times New Roman" w:eastAsia="Times New Roman" w:hAnsi="Times New Roman"/>
          <w:lang w:val="lt-LT"/>
        </w:rPr>
        <w:t>p</w:t>
      </w:r>
      <w:r w:rsidRPr="00787572">
        <w:rPr>
          <w:rFonts w:ascii="Times New Roman" w:eastAsia="Times New Roman" w:hAnsi="Times New Roman"/>
          <w:lang w:val="lt-LT"/>
        </w:rPr>
        <w:t>olisacharidinė vakcina nuo vidurių šiltinės</w:t>
      </w:r>
    </w:p>
    <w:p w:rsidR="00360324" w:rsidRPr="00787572" w:rsidRDefault="00360324" w:rsidP="00360324">
      <w:pPr>
        <w:spacing w:after="0" w:line="240" w:lineRule="auto"/>
        <w:jc w:val="center"/>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b/>
          <w:lang w:val="lt-LT" w:eastAsia="lt-LT"/>
        </w:rPr>
      </w:pPr>
      <w:r w:rsidRPr="00787572">
        <w:rPr>
          <w:rFonts w:ascii="Times New Roman" w:eastAsia="Times New Roman" w:hAnsi="Times New Roman"/>
          <w:b/>
          <w:lang w:val="lt-LT" w:eastAsia="lt-LT"/>
        </w:rPr>
        <w:t>Atidžiai perskaitykite visą šį lapelį, prieš pradėdami vartoti vaistą, nes jame pateikiama Jums svarbi informacija</w:t>
      </w:r>
      <w:r>
        <w:rPr>
          <w:rFonts w:ascii="Times New Roman" w:eastAsia="Times New Roman" w:hAnsi="Times New Roman"/>
          <w:b/>
          <w:lang w:val="lt-LT" w:eastAsia="lt-LT"/>
        </w:rPr>
        <w:t>.</w:t>
      </w:r>
    </w:p>
    <w:p w:rsidR="00360324" w:rsidRPr="00787572" w:rsidRDefault="00360324" w:rsidP="00360324">
      <w:pPr>
        <w:spacing w:after="0" w:line="240" w:lineRule="auto"/>
        <w:ind w:left="567" w:right="-2" w:hanging="567"/>
        <w:rPr>
          <w:rFonts w:ascii="Times New Roman" w:eastAsia="Times New Roman" w:hAnsi="Times New Roman"/>
          <w:noProof/>
          <w:snapToGrid w:val="0"/>
          <w:lang w:val="lt-LT"/>
        </w:rPr>
      </w:pPr>
      <w:r w:rsidRPr="00787572">
        <w:rPr>
          <w:rFonts w:ascii="Times New Roman" w:eastAsia="Times New Roman" w:hAnsi="Times New Roman"/>
          <w:lang w:val="lt-LT"/>
        </w:rPr>
        <w:t>-</w:t>
      </w:r>
      <w:r w:rsidRPr="00787572">
        <w:rPr>
          <w:rFonts w:ascii="Times New Roman" w:eastAsia="Times New Roman" w:hAnsi="Times New Roman"/>
          <w:lang w:val="lt-LT"/>
        </w:rPr>
        <w:tab/>
      </w:r>
      <w:r w:rsidRPr="00787572">
        <w:rPr>
          <w:rFonts w:ascii="Times New Roman" w:eastAsia="Times New Roman" w:hAnsi="Times New Roman"/>
          <w:noProof/>
          <w:snapToGrid w:val="0"/>
          <w:lang w:val="lt-LT"/>
        </w:rPr>
        <w:t>Neišmeskite šio lapelio, nes vėl gali prireikti jį perskaityti.</w:t>
      </w:r>
    </w:p>
    <w:p w:rsidR="00360324" w:rsidRPr="00787572" w:rsidRDefault="00360324" w:rsidP="00360324">
      <w:pPr>
        <w:spacing w:after="0" w:line="240" w:lineRule="auto"/>
        <w:ind w:left="567" w:right="-2" w:hanging="567"/>
        <w:rPr>
          <w:rFonts w:ascii="Times New Roman" w:eastAsia="Times New Roman" w:hAnsi="Times New Roman"/>
          <w:noProof/>
          <w:snapToGrid w:val="0"/>
          <w:lang w:val="lt-LT"/>
        </w:rPr>
      </w:pPr>
      <w:r w:rsidRPr="00787572">
        <w:rPr>
          <w:rFonts w:ascii="Times New Roman" w:eastAsia="Times New Roman" w:hAnsi="Times New Roman"/>
          <w:noProof/>
          <w:snapToGrid w:val="0"/>
          <w:lang w:val="lt-LT"/>
        </w:rPr>
        <w:t>-</w:t>
      </w:r>
      <w:r w:rsidRPr="00787572">
        <w:rPr>
          <w:rFonts w:ascii="Times New Roman" w:eastAsia="Times New Roman" w:hAnsi="Times New Roman"/>
          <w:noProof/>
          <w:snapToGrid w:val="0"/>
          <w:lang w:val="lt-LT"/>
        </w:rPr>
        <w:tab/>
        <w:t>Jeigu kiltų klausimų, kreipkitės į gydytoją arba slaugytoją.</w:t>
      </w:r>
    </w:p>
    <w:p w:rsidR="00360324" w:rsidRPr="00787572" w:rsidRDefault="00360324" w:rsidP="00360324">
      <w:pPr>
        <w:spacing w:after="0" w:line="240" w:lineRule="auto"/>
        <w:ind w:left="567" w:right="-2" w:hanging="567"/>
        <w:rPr>
          <w:rFonts w:ascii="Times New Roman" w:eastAsia="Times New Roman" w:hAnsi="Times New Roman"/>
          <w:noProof/>
          <w:snapToGrid w:val="0"/>
          <w:lang w:val="lt-LT"/>
        </w:rPr>
      </w:pPr>
      <w:r w:rsidRPr="00787572">
        <w:rPr>
          <w:rFonts w:ascii="Times New Roman" w:eastAsia="Times New Roman" w:hAnsi="Times New Roman"/>
          <w:noProof/>
          <w:snapToGrid w:val="0"/>
          <w:lang w:val="lt-LT"/>
        </w:rPr>
        <w:t>-</w:t>
      </w:r>
      <w:r w:rsidRPr="00787572">
        <w:rPr>
          <w:rFonts w:ascii="Times New Roman" w:eastAsia="Times New Roman" w:hAnsi="Times New Roman"/>
          <w:noProof/>
          <w:snapToGrid w:val="0"/>
          <w:lang w:val="lt-LT"/>
        </w:rPr>
        <w:tab/>
        <w:t>Šis vaistas skirtas tik Jums, todėl kitiems žmonėms jo duoti negalima. Vaistas gali jiems pakenkti (net tiems, kurių ligos požymiai yra tokie patys kaip Jūsų)</w:t>
      </w:r>
      <w:r>
        <w:rPr>
          <w:rFonts w:ascii="Times New Roman" w:eastAsia="Times New Roman" w:hAnsi="Times New Roman"/>
          <w:noProof/>
          <w:snapToGrid w:val="0"/>
          <w:lang w:val="lt-LT"/>
        </w:rPr>
        <w:t>.</w:t>
      </w:r>
    </w:p>
    <w:p w:rsidR="00360324" w:rsidRPr="00787572" w:rsidRDefault="00360324" w:rsidP="00360324">
      <w:pPr>
        <w:spacing w:after="0" w:line="240" w:lineRule="auto"/>
        <w:ind w:left="567" w:right="-2" w:hanging="567"/>
        <w:rPr>
          <w:rFonts w:ascii="Times New Roman" w:eastAsia="Times New Roman" w:hAnsi="Times New Roman"/>
          <w:noProof/>
          <w:snapToGrid w:val="0"/>
          <w:lang w:val="lt-LT"/>
        </w:rPr>
      </w:pPr>
      <w:r w:rsidRPr="00787572">
        <w:rPr>
          <w:rFonts w:ascii="Times New Roman" w:eastAsia="Times New Roman" w:hAnsi="Times New Roman"/>
          <w:noProof/>
          <w:snapToGrid w:val="0"/>
          <w:lang w:val="lt-LT"/>
        </w:rPr>
        <w:t>-</w:t>
      </w:r>
      <w:r w:rsidRPr="00787572">
        <w:rPr>
          <w:rFonts w:ascii="Times New Roman" w:eastAsia="Times New Roman" w:hAnsi="Times New Roman"/>
          <w:noProof/>
          <w:snapToGrid w:val="0"/>
          <w:lang w:val="lt-LT"/>
        </w:rPr>
        <w:tab/>
        <w:t>Jeigu pasireiškė šalutinis poveikis (net jeigu jis šiame lapelyje nenurodytas), kreipkitės į gydytoją, arba slaugytoją. Žr. 4 skyrių.</w:t>
      </w:r>
    </w:p>
    <w:p w:rsidR="00360324" w:rsidRPr="00787572" w:rsidRDefault="00360324" w:rsidP="00360324">
      <w:pPr>
        <w:spacing w:after="0" w:line="240" w:lineRule="auto"/>
        <w:ind w:left="540" w:hanging="540"/>
        <w:jc w:val="both"/>
        <w:rPr>
          <w:rFonts w:ascii="Times New Roman" w:eastAsia="Times New Roman" w:hAnsi="Times New Roman"/>
          <w:lang w:val="lt-LT" w:eastAsia="lt-LT"/>
        </w:rPr>
      </w:pP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b/>
          <w:lang w:val="lt-LT"/>
        </w:rPr>
      </w:pPr>
      <w:r w:rsidRPr="00787572">
        <w:rPr>
          <w:rFonts w:ascii="Times New Roman" w:eastAsia="Times New Roman" w:hAnsi="Times New Roman"/>
          <w:b/>
          <w:lang w:val="lt-LT"/>
        </w:rPr>
        <w:t>Apie ką rašoma šiame lapelyje?</w:t>
      </w:r>
    </w:p>
    <w:p w:rsidR="00360324" w:rsidRPr="00787572" w:rsidRDefault="00360324" w:rsidP="00360324">
      <w:pPr>
        <w:spacing w:after="0" w:line="240" w:lineRule="auto"/>
        <w:rPr>
          <w:rFonts w:ascii="Times New Roman" w:eastAsia="Times New Roman" w:hAnsi="Times New Roman"/>
          <w:b/>
          <w:u w:val="single"/>
          <w:lang w:val="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1.</w:t>
      </w:r>
      <w:r w:rsidRPr="00787572">
        <w:rPr>
          <w:rFonts w:ascii="Times New Roman" w:eastAsia="Times New Roman" w:hAnsi="Times New Roman"/>
          <w:lang w:val="lt-LT"/>
        </w:rPr>
        <w:tab/>
        <w:t>Kas yra TYPHIM Vi ir kam jis vartojamas</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2.</w:t>
      </w:r>
      <w:r w:rsidRPr="00787572">
        <w:rPr>
          <w:rFonts w:ascii="Times New Roman" w:eastAsia="Times New Roman" w:hAnsi="Times New Roman"/>
          <w:lang w:val="lt-LT"/>
        </w:rPr>
        <w:tab/>
        <w:t>Kas žinotina prieš vartojant TYPHIM Vi</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3.</w:t>
      </w:r>
      <w:r w:rsidRPr="00787572">
        <w:rPr>
          <w:rFonts w:ascii="Times New Roman" w:eastAsia="Times New Roman" w:hAnsi="Times New Roman"/>
          <w:lang w:val="lt-LT"/>
        </w:rPr>
        <w:tab/>
        <w:t>Kaip vartoti TYPHIM Vi</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4.</w:t>
      </w:r>
      <w:r w:rsidRPr="00787572">
        <w:rPr>
          <w:rFonts w:ascii="Times New Roman" w:eastAsia="Times New Roman" w:hAnsi="Times New Roman"/>
          <w:lang w:val="lt-LT"/>
        </w:rPr>
        <w:tab/>
        <w:t>Galimas šalutinis poveikis</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5.</w:t>
      </w:r>
      <w:r w:rsidRPr="00787572">
        <w:rPr>
          <w:rFonts w:ascii="Times New Roman" w:eastAsia="Times New Roman" w:hAnsi="Times New Roman"/>
          <w:lang w:val="lt-LT"/>
        </w:rPr>
        <w:tab/>
        <w:t>Kaip laikyti TYPHIM Vi</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6.</w:t>
      </w:r>
      <w:r w:rsidRPr="00787572">
        <w:rPr>
          <w:rFonts w:ascii="Times New Roman" w:eastAsia="Times New Roman" w:hAnsi="Times New Roman"/>
          <w:lang w:val="lt-LT"/>
        </w:rPr>
        <w:tab/>
        <w:t>Pakuotės turinys ir kita informacija</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eastAsia="lt-LT"/>
        </w:rPr>
      </w:pPr>
    </w:p>
    <w:p w:rsidR="00360324" w:rsidRPr="00787572" w:rsidRDefault="00360324" w:rsidP="00360324">
      <w:pPr>
        <w:tabs>
          <w:tab w:val="left" w:pos="540"/>
        </w:tabs>
        <w:spacing w:after="0" w:line="240" w:lineRule="auto"/>
        <w:rPr>
          <w:rFonts w:ascii="Times New Roman" w:eastAsia="Times New Roman" w:hAnsi="Times New Roman"/>
          <w:b/>
          <w:caps/>
          <w:lang w:val="lt-LT"/>
        </w:rPr>
      </w:pPr>
      <w:r w:rsidRPr="00787572">
        <w:rPr>
          <w:rFonts w:ascii="Times New Roman" w:eastAsia="Times New Roman" w:hAnsi="Times New Roman"/>
          <w:b/>
          <w:lang w:val="lt-LT"/>
        </w:rPr>
        <w:t>1.</w:t>
      </w:r>
      <w:r w:rsidRPr="00787572">
        <w:rPr>
          <w:rFonts w:ascii="Times New Roman" w:eastAsia="Times New Roman" w:hAnsi="Times New Roman"/>
          <w:b/>
          <w:lang w:val="lt-LT"/>
        </w:rPr>
        <w:tab/>
        <w:t>Kas yra TYPHIM Vi ir kam jis vartojamas</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Šis vaistinis preparatas yra vakcina nuo vidurių šiltinės. Ji tinka suaugusiems žmonėms ir vyresniems kaip 2 metų vaikams.</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TYPHIM Vi</w:t>
      </w:r>
      <w:bookmarkStart w:id="0" w:name="pirma"/>
      <w:bookmarkEnd w:id="0"/>
      <w:r w:rsidRPr="00787572">
        <w:rPr>
          <w:rFonts w:ascii="Times New Roman" w:eastAsia="Times New Roman" w:hAnsi="Times New Roman"/>
          <w:lang w:val="lt-LT"/>
        </w:rPr>
        <w:t xml:space="preserve"> vakcina skirta besirengiantiems keliauti į endemines sritis žmonėms, persikėlėliams, sveikatos priežiūros personalui ir kariškiams.</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b/>
          <w:caps/>
          <w:lang w:val="lt-LT"/>
        </w:rPr>
      </w:pPr>
      <w:r w:rsidRPr="00787572">
        <w:rPr>
          <w:rFonts w:ascii="Times New Roman" w:eastAsia="Times New Roman" w:hAnsi="Times New Roman"/>
          <w:b/>
          <w:lang w:val="lt-LT"/>
        </w:rPr>
        <w:t>2.</w:t>
      </w:r>
      <w:r w:rsidRPr="00787572">
        <w:rPr>
          <w:rFonts w:ascii="Times New Roman" w:eastAsia="Times New Roman" w:hAnsi="Times New Roman"/>
          <w:b/>
          <w:lang w:val="lt-LT"/>
        </w:rPr>
        <w:tab/>
        <w:t>Kas žinotina prieš vartojant TYPHIM Vi</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b/>
          <w:lang w:val="lt-LT"/>
        </w:rPr>
        <w:t>TYPHIM Vi</w:t>
      </w:r>
      <w:r w:rsidRPr="00787572">
        <w:rPr>
          <w:rFonts w:ascii="Times New Roman" w:eastAsia="Times New Roman" w:hAnsi="Times New Roman"/>
          <w:lang w:val="lt-LT"/>
        </w:rPr>
        <w:t xml:space="preserve"> </w:t>
      </w:r>
      <w:r w:rsidRPr="00787572">
        <w:rPr>
          <w:rFonts w:ascii="Times New Roman" w:eastAsia="Times New Roman" w:hAnsi="Times New Roman"/>
          <w:b/>
          <w:lang w:val="lt-LT"/>
        </w:rPr>
        <w:t xml:space="preserve">vartoti </w:t>
      </w:r>
      <w:r>
        <w:rPr>
          <w:rFonts w:ascii="Times New Roman" w:eastAsia="Times New Roman" w:hAnsi="Times New Roman"/>
          <w:b/>
          <w:lang w:val="lt-LT"/>
        </w:rPr>
        <w:t>draudžiama</w:t>
      </w:r>
      <w:r w:rsidRPr="00787572">
        <w:rPr>
          <w:rFonts w:ascii="Times New Roman" w:eastAsia="Times New Roman" w:hAnsi="Times New Roman"/>
          <w:b/>
          <w:lang w:val="lt-LT"/>
        </w:rPr>
        <w:t>:</w:t>
      </w:r>
    </w:p>
    <w:p w:rsidR="00360324" w:rsidRPr="00C22307" w:rsidRDefault="00360324" w:rsidP="00360324">
      <w:pPr>
        <w:tabs>
          <w:tab w:val="left" w:pos="567"/>
        </w:tabs>
        <w:spacing w:after="0" w:line="240" w:lineRule="auto"/>
        <w:ind w:left="567" w:hanging="567"/>
        <w:rPr>
          <w:rFonts w:ascii="Times New Roman" w:eastAsia="Times New Roman" w:hAnsi="Times New Roman"/>
          <w:lang w:val="lt-LT"/>
        </w:rPr>
      </w:pPr>
      <w:r w:rsidRPr="00787572">
        <w:rPr>
          <w:rFonts w:ascii="Times New Roman" w:eastAsia="Times New Roman" w:hAnsi="Times New Roman"/>
          <w:lang w:val="lt-LT"/>
        </w:rPr>
        <w:t>-</w:t>
      </w:r>
      <w:r w:rsidRPr="00787572">
        <w:rPr>
          <w:rFonts w:ascii="Times New Roman" w:eastAsia="Times New Roman" w:hAnsi="Times New Roman"/>
          <w:lang w:val="lt-LT"/>
        </w:rPr>
        <w:tab/>
        <w:t xml:space="preserve">jeigu </w:t>
      </w:r>
      <w:r>
        <w:rPr>
          <w:rFonts w:ascii="Times New Roman" w:eastAsia="Times New Roman" w:hAnsi="Times New Roman"/>
          <w:lang w:val="lt-LT"/>
        </w:rPr>
        <w:t xml:space="preserve">Jūs ar Jūsų vaikas esate alergiški </w:t>
      </w:r>
      <w:r w:rsidRPr="00C22307">
        <w:rPr>
          <w:rFonts w:ascii="Times New Roman" w:eastAsia="Times New Roman" w:hAnsi="Times New Roman"/>
          <w:lang w:val="lt-LT"/>
        </w:rPr>
        <w:t xml:space="preserve">veikliajai medžiagai arba bet kuriai </w:t>
      </w:r>
      <w:r>
        <w:rPr>
          <w:rFonts w:ascii="Times New Roman" w:eastAsia="Times New Roman" w:hAnsi="Times New Roman"/>
          <w:lang w:val="lt-LT"/>
        </w:rPr>
        <w:t>vakcinoje esančiai</w:t>
      </w:r>
      <w:r w:rsidRPr="00C22307">
        <w:rPr>
          <w:rFonts w:ascii="Times New Roman" w:eastAsia="Times New Roman" w:hAnsi="Times New Roman"/>
          <w:lang w:val="lt-LT"/>
        </w:rPr>
        <w:t xml:space="preserve"> pagalbinei medžiagai</w:t>
      </w:r>
      <w:r w:rsidRPr="00B0370C">
        <w:rPr>
          <w:rFonts w:ascii="Times New Roman" w:eastAsia="Times New Roman" w:hAnsi="Times New Roman"/>
          <w:lang w:val="lt-LT"/>
        </w:rPr>
        <w:t xml:space="preserve"> </w:t>
      </w:r>
      <w:r w:rsidRPr="00B0370C">
        <w:rPr>
          <w:rFonts w:ascii="Times New Roman" w:eastAsia="Times New Roman" w:hAnsi="Times New Roman"/>
          <w:noProof/>
          <w:lang w:val="lt-LT"/>
        </w:rPr>
        <w:t>(jos išvardytos 6 skyriuje)</w:t>
      </w:r>
      <w:r>
        <w:rPr>
          <w:rFonts w:ascii="Times New Roman" w:eastAsia="Times New Roman" w:hAnsi="Times New Roman"/>
          <w:lang w:val="lt-LT"/>
        </w:rPr>
        <w:t xml:space="preserve"> </w:t>
      </w:r>
      <w:r w:rsidRPr="00C22307">
        <w:rPr>
          <w:rFonts w:ascii="Times New Roman" w:eastAsia="Times New Roman" w:hAnsi="Times New Roman"/>
          <w:lang w:val="lt-LT"/>
        </w:rPr>
        <w:t>arba formaldehidui ir kazeinui (naudojami gamybos proceso metu ir gali būti jų pėdsakų)</w:t>
      </w:r>
      <w:r>
        <w:rPr>
          <w:rFonts w:ascii="Times New Roman" w:eastAsia="Times New Roman" w:hAnsi="Times New Roman"/>
          <w:lang w:val="lt-LT"/>
        </w:rPr>
        <w:t>;</w:t>
      </w:r>
      <w:r w:rsidRPr="00C22307">
        <w:rPr>
          <w:rFonts w:ascii="Times New Roman" w:eastAsia="Times New Roman" w:hAnsi="Times New Roman"/>
          <w:lang w:val="lt-LT"/>
        </w:rPr>
        <w:t xml:space="preserve"> </w:t>
      </w:r>
    </w:p>
    <w:p w:rsidR="00360324" w:rsidRPr="00787572" w:rsidRDefault="00360324" w:rsidP="00360324">
      <w:pPr>
        <w:tabs>
          <w:tab w:val="left" w:pos="567"/>
        </w:tabs>
        <w:spacing w:after="0" w:line="240" w:lineRule="auto"/>
        <w:rPr>
          <w:rFonts w:ascii="Times New Roman" w:eastAsia="Times New Roman" w:hAnsi="Times New Roman"/>
          <w:lang w:val="lt-LT"/>
        </w:rPr>
      </w:pPr>
      <w:r w:rsidRPr="00787572">
        <w:rPr>
          <w:rFonts w:ascii="Times New Roman" w:eastAsia="Times New Roman" w:hAnsi="Times New Roman"/>
          <w:lang w:val="lt-LT"/>
        </w:rPr>
        <w:t>-</w:t>
      </w:r>
      <w:r w:rsidRPr="00787572">
        <w:rPr>
          <w:rFonts w:ascii="Times New Roman" w:eastAsia="Times New Roman" w:hAnsi="Times New Roman"/>
          <w:lang w:val="lt-LT"/>
        </w:rPr>
        <w:tab/>
        <w:t>buvusi gyvybei pavojinga reakcija po ankstesnio skiepijimo šia vakcina ar tokios pačios sudėties vakcina.</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b/>
          <w:bCs/>
          <w:lang w:val="lt-LT" w:eastAsia="lt-LT"/>
        </w:rPr>
      </w:pPr>
      <w:r w:rsidRPr="00787572">
        <w:rPr>
          <w:rFonts w:ascii="Times New Roman" w:eastAsia="Times New Roman" w:hAnsi="Times New Roman"/>
          <w:b/>
          <w:bCs/>
          <w:lang w:val="lt-LT" w:eastAsia="lt-LT"/>
        </w:rPr>
        <w:t>Įspėjimai ir atsargumo priemonės</w:t>
      </w:r>
    </w:p>
    <w:p w:rsidR="00360324" w:rsidRPr="00787572" w:rsidRDefault="00360324" w:rsidP="00360324">
      <w:pPr>
        <w:numPr>
          <w:ilvl w:val="12"/>
          <w:numId w:val="0"/>
        </w:numPr>
        <w:spacing w:after="0" w:line="240" w:lineRule="auto"/>
        <w:ind w:right="-2"/>
        <w:rPr>
          <w:rFonts w:ascii="Times New Roman" w:eastAsia="Times New Roman" w:hAnsi="Times New Roman"/>
          <w:lang w:val="lt-LT"/>
        </w:rPr>
      </w:pPr>
      <w:r w:rsidRPr="00787572">
        <w:rPr>
          <w:rFonts w:ascii="Times New Roman" w:eastAsia="Times New Roman" w:hAnsi="Times New Roman"/>
          <w:noProof/>
          <w:lang w:val="lt-LT"/>
        </w:rPr>
        <w:t xml:space="preserve">Pasitarkite su gydytoju arba slaugytoju, prieš pradėdami vartoti </w:t>
      </w:r>
      <w:r w:rsidRPr="00787572">
        <w:rPr>
          <w:rFonts w:ascii="Times New Roman" w:eastAsia="Times New Roman" w:hAnsi="Times New Roman"/>
          <w:bCs/>
          <w:lang w:val="lt-LT"/>
        </w:rPr>
        <w:t>TYPHIM Vi</w:t>
      </w:r>
      <w:r w:rsidRPr="00787572">
        <w:rPr>
          <w:rFonts w:ascii="Times New Roman" w:eastAsia="Times New Roman" w:hAnsi="Times New Roman"/>
          <w:bCs/>
          <w:noProof/>
          <w:lang w:val="lt-LT"/>
        </w:rPr>
        <w:t>.</w:t>
      </w:r>
    </w:p>
    <w:p w:rsidR="00360324" w:rsidRPr="00787572" w:rsidRDefault="00360324" w:rsidP="00360324">
      <w:pPr>
        <w:spacing w:after="0" w:line="240" w:lineRule="auto"/>
        <w:rPr>
          <w:rFonts w:ascii="Times New Roman" w:eastAsia="Times New Roman" w:hAnsi="Times New Roman"/>
          <w:b/>
          <w:lang w:val="lt-LT"/>
        </w:rPr>
      </w:pPr>
    </w:p>
    <w:p w:rsidR="00360324" w:rsidRPr="00787572" w:rsidRDefault="00360324" w:rsidP="00360324">
      <w:pPr>
        <w:spacing w:after="0" w:line="240" w:lineRule="auto"/>
        <w:jc w:val="both"/>
        <w:rPr>
          <w:rFonts w:ascii="Times New Roman" w:eastAsia="Times New Roman" w:hAnsi="Times New Roman"/>
          <w:lang w:val="lt-LT"/>
        </w:rPr>
      </w:pPr>
      <w:r w:rsidRPr="00787572">
        <w:rPr>
          <w:rFonts w:ascii="Times New Roman" w:eastAsia="Times New Roman" w:hAnsi="Times New Roman"/>
          <w:lang w:val="lt-LT"/>
        </w:rPr>
        <w:t xml:space="preserve">Jei karščiuojate, sergate ūmine liga ar Jums paūmėjusi lėtinė liga, skiepijimą </w:t>
      </w:r>
      <w:r w:rsidRPr="00787572">
        <w:rPr>
          <w:rFonts w:ascii="Times New Roman" w:eastAsia="Times New Roman" w:hAnsi="Times New Roman"/>
          <w:bCs/>
          <w:lang w:val="lt-LT"/>
        </w:rPr>
        <w:t>TYPHIM Vi</w:t>
      </w:r>
      <w:r w:rsidRPr="00787572">
        <w:rPr>
          <w:rFonts w:ascii="Times New Roman" w:eastAsia="Times New Roman" w:hAnsi="Times New Roman"/>
          <w:lang w:val="lt-LT"/>
        </w:rPr>
        <w:t xml:space="preserve"> reikia atidėti.</w:t>
      </w:r>
    </w:p>
    <w:p w:rsidR="00360324" w:rsidRPr="00787572" w:rsidRDefault="00360324" w:rsidP="00360324">
      <w:pPr>
        <w:spacing w:after="0" w:line="240" w:lineRule="auto"/>
        <w:rPr>
          <w:rFonts w:ascii="Times New Roman" w:eastAsia="Times New Roman" w:hAnsi="Times New Roman"/>
          <w:b/>
          <w:lang w:val="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Ši vakcina apsaugo nuo vidurių šiltinės (</w:t>
      </w:r>
      <w:r w:rsidRPr="00787572">
        <w:rPr>
          <w:rFonts w:ascii="Times New Roman" w:eastAsia="Times New Roman" w:hAnsi="Times New Roman"/>
          <w:i/>
          <w:lang w:val="lt-LT"/>
        </w:rPr>
        <w:t>Salmonella typhi</w:t>
      </w:r>
      <w:r w:rsidRPr="00787572">
        <w:rPr>
          <w:rFonts w:ascii="Times New Roman" w:eastAsia="Times New Roman" w:hAnsi="Times New Roman"/>
          <w:lang w:val="lt-LT"/>
        </w:rPr>
        <w:t xml:space="preserve"> sukeltos infekcinės ligos), bet neapsaugo nuo paratifo (</w:t>
      </w:r>
      <w:r w:rsidRPr="00787572">
        <w:rPr>
          <w:rFonts w:ascii="Times New Roman" w:eastAsia="Times New Roman" w:hAnsi="Times New Roman"/>
          <w:i/>
          <w:lang w:val="lt-LT"/>
        </w:rPr>
        <w:t xml:space="preserve">Salmonella paratyphi </w:t>
      </w:r>
      <w:r w:rsidRPr="00787572">
        <w:rPr>
          <w:rFonts w:ascii="Times New Roman" w:eastAsia="Times New Roman" w:hAnsi="Times New Roman"/>
          <w:lang w:val="lt-LT"/>
        </w:rPr>
        <w:t>A ar B sukeltos infekcinės ligos).</w:t>
      </w:r>
    </w:p>
    <w:p w:rsidR="00360324" w:rsidRPr="00787572" w:rsidRDefault="00360324" w:rsidP="00360324">
      <w:pPr>
        <w:spacing w:after="0" w:line="240" w:lineRule="auto"/>
        <w:rPr>
          <w:rFonts w:ascii="Times New Roman" w:eastAsia="Times New Roman" w:hAnsi="Times New Roman"/>
          <w:noProof/>
          <w:lang w:val="lt-LT" w:eastAsia="lt-LT"/>
        </w:rPr>
      </w:pPr>
    </w:p>
    <w:p w:rsidR="00360324" w:rsidRPr="00787572" w:rsidRDefault="00360324" w:rsidP="00360324">
      <w:pPr>
        <w:spacing w:after="0" w:line="240" w:lineRule="auto"/>
        <w:rPr>
          <w:rFonts w:ascii="Times New Roman" w:eastAsia="Times New Roman" w:hAnsi="Times New Roman"/>
          <w:noProof/>
          <w:lang w:val="lt-LT" w:eastAsia="lt-LT"/>
        </w:rPr>
      </w:pPr>
      <w:r w:rsidRPr="00787572">
        <w:rPr>
          <w:rFonts w:ascii="Times New Roman" w:eastAsia="Times New Roman" w:hAnsi="Times New Roman"/>
          <w:noProof/>
          <w:lang w:val="lt-LT" w:eastAsia="lt-LT"/>
        </w:rPr>
        <w:t>Pasitarkite su gydytoju, prieš vakcinaciją, jeigu:</w:t>
      </w:r>
    </w:p>
    <w:p w:rsidR="00360324" w:rsidRPr="00787572" w:rsidRDefault="00360324" w:rsidP="00360324">
      <w:pPr>
        <w:numPr>
          <w:ilvl w:val="0"/>
          <w:numId w:val="2"/>
        </w:numPr>
        <w:spacing w:after="0" w:line="240" w:lineRule="auto"/>
        <w:contextualSpacing/>
        <w:rPr>
          <w:rFonts w:ascii="Times New Roman" w:eastAsia="Times New Roman" w:hAnsi="Times New Roman"/>
          <w:bCs/>
          <w:lang w:val="lt-LT" w:eastAsia="lt-LT"/>
        </w:rPr>
      </w:pPr>
      <w:r w:rsidRPr="00787572">
        <w:rPr>
          <w:rFonts w:ascii="Times New Roman" w:eastAsia="Times New Roman" w:hAnsi="Times New Roman"/>
          <w:bCs/>
          <w:lang w:val="lt-LT" w:eastAsia="lt-LT"/>
        </w:rPr>
        <w:t>Jums ar Jūsų vaikui yra sutrikęs kraujo krešėjimas ar kenčiate dėl gausaus kraujavimo;</w:t>
      </w:r>
    </w:p>
    <w:p w:rsidR="00360324" w:rsidRPr="00787572" w:rsidRDefault="00360324" w:rsidP="00360324">
      <w:pPr>
        <w:numPr>
          <w:ilvl w:val="0"/>
          <w:numId w:val="2"/>
        </w:numPr>
        <w:spacing w:after="0" w:line="240" w:lineRule="auto"/>
        <w:contextualSpacing/>
        <w:rPr>
          <w:rFonts w:ascii="Times New Roman" w:eastAsia="Times New Roman" w:hAnsi="Times New Roman"/>
          <w:lang w:val="lt-LT" w:eastAsia="lt-LT"/>
        </w:rPr>
      </w:pPr>
      <w:r w:rsidRPr="00787572">
        <w:rPr>
          <w:rFonts w:ascii="Times New Roman" w:eastAsia="Times New Roman" w:hAnsi="Times New Roman"/>
          <w:lang w:val="lt-LT"/>
        </w:rPr>
        <w:t>pasireiškė sunki reakcija per 48 val. po ankstesnio skiepijimo;</w:t>
      </w:r>
    </w:p>
    <w:p w:rsidR="00360324" w:rsidRPr="00787572" w:rsidRDefault="00360324" w:rsidP="00360324">
      <w:pPr>
        <w:numPr>
          <w:ilvl w:val="0"/>
          <w:numId w:val="2"/>
        </w:numPr>
        <w:spacing w:after="0" w:line="240" w:lineRule="auto"/>
        <w:contextualSpacing/>
        <w:rPr>
          <w:rFonts w:ascii="Times New Roman" w:eastAsia="Times New Roman" w:hAnsi="Times New Roman"/>
          <w:lang w:val="lt-LT" w:eastAsia="lt-LT"/>
        </w:rPr>
      </w:pPr>
      <w:r w:rsidRPr="00787572">
        <w:rPr>
          <w:rFonts w:ascii="Times New Roman" w:eastAsia="Times New Roman" w:hAnsi="Times New Roman"/>
          <w:lang w:val="lt-LT"/>
        </w:rPr>
        <w:t>pasireiškė alerginė reakcija į formaldehidą;</w:t>
      </w:r>
    </w:p>
    <w:p w:rsidR="00360324" w:rsidRPr="00787572" w:rsidRDefault="00360324" w:rsidP="00360324">
      <w:pPr>
        <w:numPr>
          <w:ilvl w:val="0"/>
          <w:numId w:val="2"/>
        </w:numPr>
        <w:spacing w:after="0" w:line="240" w:lineRule="auto"/>
        <w:contextualSpacing/>
        <w:rPr>
          <w:rFonts w:ascii="Times New Roman" w:eastAsia="Times New Roman" w:hAnsi="Times New Roman"/>
          <w:lang w:val="lt-LT" w:eastAsia="lt-LT"/>
        </w:rPr>
      </w:pPr>
      <w:r w:rsidRPr="00787572">
        <w:rPr>
          <w:rFonts w:ascii="Times New Roman" w:eastAsia="Times New Roman" w:hAnsi="Times New Roman"/>
          <w:lang w:val="lt-LT" w:eastAsia="lt-LT"/>
        </w:rPr>
        <w:t xml:space="preserve">Jūsų silpna imuninė sistema ar Jūs ar Jūsų vaikas naudojate vaistus, veikiančius imuninę sistemą. </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lastRenderedPageBreak/>
        <w:t>Galimas apalpimas (dažniausiai paaugliams) po arba netgi prieš bet kokią injekciją adata. Todėl, jeigu Jūs ar Jūsų vaikas anksčiau esate apalpę nuo injekcijos, pasakykite gydytojui arba slaugytojui.</w:t>
      </w:r>
    </w:p>
    <w:p w:rsidR="00360324" w:rsidRPr="00787572" w:rsidRDefault="00360324" w:rsidP="00360324">
      <w:pPr>
        <w:spacing w:after="0" w:line="240" w:lineRule="auto"/>
        <w:rPr>
          <w:rFonts w:ascii="Times New Roman" w:eastAsia="Times New Roman" w:hAnsi="Times New Roman"/>
          <w:lang w:val="lt-LT" w:eastAsia="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eastAsia="lt-LT"/>
        </w:rPr>
        <w:t>Kaip ir bet kuri vakcina, TYPHIM Vi ne visiems paskiepytiems asmenims sukelia visišką apsaugą.</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Vaikams</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Vakcina netinka jaunesniems nei 2 metų vaikams, nes jiems ji nėra pakankamai veiksminga.</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Kiti vaistai ir TYPHIM Vi</w:t>
      </w:r>
    </w:p>
    <w:p w:rsidR="00360324" w:rsidRPr="00787572" w:rsidRDefault="00360324" w:rsidP="00360324">
      <w:pPr>
        <w:spacing w:after="0" w:line="240" w:lineRule="auto"/>
        <w:rPr>
          <w:rFonts w:ascii="Times New Roman" w:eastAsia="Times New Roman" w:hAnsi="Times New Roman"/>
          <w:caps/>
          <w:lang w:val="lt-LT"/>
        </w:rPr>
      </w:pPr>
      <w:r w:rsidRPr="00787572">
        <w:rPr>
          <w:rFonts w:ascii="Times New Roman" w:eastAsia="Times New Roman" w:hAnsi="Times New Roman"/>
          <w:bCs/>
          <w:lang w:val="lt-LT"/>
        </w:rPr>
        <w:t xml:space="preserve">Jeigu vartojate arba neseniai vartojote kitų vaistų arba dėl to nesate tikri, pasakykite gydytojui. </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TYPHIM Vi galima vartoti kartu su kitokiomis vakcinomis: hepatito A, geltonojo drugio, difterijos, stabligės, poliomielito, pasiutligės, meningito A ir C bei hepatito B.</w:t>
      </w:r>
    </w:p>
    <w:p w:rsidR="00360324" w:rsidRDefault="00360324" w:rsidP="00360324">
      <w:pPr>
        <w:spacing w:after="0" w:line="240" w:lineRule="auto"/>
        <w:rPr>
          <w:rFonts w:ascii="Times New Roman" w:eastAsia="Times New Roman" w:hAnsi="Times New Roman"/>
          <w:b/>
          <w:lang w:val="lt-LT"/>
        </w:rPr>
      </w:pPr>
    </w:p>
    <w:p w:rsidR="00360324" w:rsidRDefault="00360324" w:rsidP="00360324">
      <w:pPr>
        <w:spacing w:after="0" w:line="240" w:lineRule="auto"/>
        <w:rPr>
          <w:rFonts w:ascii="Times New Roman" w:eastAsia="Times New Roman" w:hAnsi="Times New Roman"/>
          <w:b/>
          <w:lang w:val="lt-LT"/>
        </w:rPr>
      </w:pPr>
      <w:r>
        <w:rPr>
          <w:rFonts w:ascii="Times New Roman" w:eastAsia="Times New Roman" w:hAnsi="Times New Roman"/>
          <w:b/>
          <w:lang w:val="lt-LT"/>
        </w:rPr>
        <w:t>TYPHIM Vi sudėtyje yra natrio</w:t>
      </w:r>
    </w:p>
    <w:p w:rsidR="00360324" w:rsidRPr="00FF65E9" w:rsidRDefault="00360324" w:rsidP="00360324">
      <w:pPr>
        <w:spacing w:after="0" w:line="240" w:lineRule="auto"/>
        <w:rPr>
          <w:rFonts w:ascii="Times New Roman" w:eastAsia="Times New Roman" w:hAnsi="Times New Roman"/>
          <w:bCs/>
          <w:lang w:val="lt-LT"/>
        </w:rPr>
      </w:pPr>
      <w:r w:rsidRPr="00FF65E9">
        <w:rPr>
          <w:rFonts w:ascii="Times New Roman" w:eastAsia="Times New Roman" w:hAnsi="Times New Roman"/>
          <w:bCs/>
          <w:lang w:val="lt-LT"/>
        </w:rPr>
        <w:t xml:space="preserve">TYPHIM Vi </w:t>
      </w:r>
      <w:r>
        <w:rPr>
          <w:rFonts w:ascii="Times New Roman" w:eastAsia="Times New Roman" w:hAnsi="Times New Roman"/>
          <w:bCs/>
          <w:lang w:val="lt-LT"/>
        </w:rPr>
        <w:t xml:space="preserve">vienoje </w:t>
      </w:r>
      <w:r w:rsidRPr="00FF65E9">
        <w:rPr>
          <w:rFonts w:ascii="Times New Roman" w:eastAsia="Times New Roman" w:hAnsi="Times New Roman"/>
          <w:bCs/>
          <w:lang w:val="lt-LT"/>
        </w:rPr>
        <w:t>dozėje yra mažiau kaip 1 mmol (23 mg) natrio, t.y. jis beveik neturi reikšmės.</w:t>
      </w:r>
    </w:p>
    <w:p w:rsidR="00360324" w:rsidRPr="00787572" w:rsidRDefault="00360324" w:rsidP="00360324">
      <w:pPr>
        <w:spacing w:after="0" w:line="240" w:lineRule="auto"/>
        <w:rPr>
          <w:rFonts w:ascii="Times New Roman" w:eastAsia="Times New Roman" w:hAnsi="Times New Roman"/>
          <w:b/>
          <w:lang w:val="lt-LT"/>
        </w:rPr>
      </w:pPr>
    </w:p>
    <w:p w:rsidR="00360324" w:rsidRPr="00787572" w:rsidRDefault="00360324" w:rsidP="00360324">
      <w:pPr>
        <w:spacing w:after="0" w:line="240" w:lineRule="auto"/>
        <w:rPr>
          <w:rFonts w:ascii="Times New Roman" w:eastAsia="Times New Roman" w:hAnsi="Times New Roman"/>
          <w:b/>
          <w:lang w:val="lt-LT"/>
        </w:rPr>
      </w:pPr>
      <w:r w:rsidRPr="00787572">
        <w:rPr>
          <w:rFonts w:ascii="Times New Roman" w:eastAsia="Times New Roman" w:hAnsi="Times New Roman"/>
          <w:b/>
          <w:lang w:val="lt-LT"/>
        </w:rPr>
        <w:t>Nėštumo ir žindymo laikotarpis</w:t>
      </w:r>
    </w:p>
    <w:p w:rsidR="00360324" w:rsidRPr="00787572" w:rsidRDefault="00360324" w:rsidP="00360324">
      <w:pPr>
        <w:numPr>
          <w:ilvl w:val="12"/>
          <w:numId w:val="0"/>
        </w:numPr>
        <w:spacing w:after="0" w:line="240" w:lineRule="auto"/>
        <w:rPr>
          <w:rFonts w:ascii="Times New Roman" w:eastAsia="Times New Roman" w:hAnsi="Times New Roman"/>
          <w:lang w:val="lt-LT"/>
        </w:rPr>
      </w:pPr>
      <w:r w:rsidRPr="00787572">
        <w:rPr>
          <w:rFonts w:ascii="Times New Roman" w:eastAsia="Times New Roman" w:hAnsi="Times New Roman"/>
          <w:noProof/>
          <w:lang w:val="lt-LT"/>
        </w:rPr>
        <w:t xml:space="preserve">Jeigu esate nėščia, žindote kūdikį, manote, kad galbūt esate nėščia, arba planuojate pastoti, tai prieš vartodama šį vaistą, pasitarkite su gydytoju. </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 xml:space="preserve">Skiepyti šia vakcina nėščią ar žindyvę galima tik gydytojo nurodymu. </w:t>
      </w:r>
    </w:p>
    <w:p w:rsidR="00360324" w:rsidRPr="00787572" w:rsidRDefault="00360324" w:rsidP="00360324">
      <w:pPr>
        <w:spacing w:after="0" w:line="240" w:lineRule="auto"/>
        <w:rPr>
          <w:rFonts w:ascii="Times New Roman" w:eastAsia="Times New Roman" w:hAnsi="Times New Roman"/>
          <w:b/>
          <w:lang w:val="lt-LT"/>
        </w:rPr>
      </w:pPr>
    </w:p>
    <w:p w:rsidR="00360324" w:rsidRPr="00787572" w:rsidRDefault="00360324" w:rsidP="00360324">
      <w:pPr>
        <w:spacing w:after="0" w:line="240" w:lineRule="auto"/>
        <w:rPr>
          <w:rFonts w:ascii="Times New Roman" w:eastAsia="Times New Roman" w:hAnsi="Times New Roman"/>
          <w:b/>
          <w:lang w:val="lt-LT"/>
        </w:rPr>
      </w:pPr>
    </w:p>
    <w:p w:rsidR="00360324" w:rsidRPr="00787572" w:rsidRDefault="00360324" w:rsidP="00360324">
      <w:pPr>
        <w:spacing w:after="0" w:line="240" w:lineRule="auto"/>
        <w:rPr>
          <w:rFonts w:ascii="Times New Roman" w:eastAsia="Times New Roman" w:hAnsi="Times New Roman"/>
          <w:b/>
          <w:caps/>
          <w:lang w:val="lt-LT"/>
        </w:rPr>
      </w:pPr>
      <w:r w:rsidRPr="00787572">
        <w:rPr>
          <w:rFonts w:ascii="Times New Roman" w:eastAsia="Times New Roman" w:hAnsi="Times New Roman"/>
          <w:b/>
          <w:lang w:val="lt-LT"/>
        </w:rPr>
        <w:t>3.</w:t>
      </w:r>
      <w:r w:rsidRPr="00787572">
        <w:rPr>
          <w:rFonts w:ascii="Times New Roman" w:eastAsia="Times New Roman" w:hAnsi="Times New Roman"/>
          <w:b/>
          <w:lang w:val="lt-LT"/>
        </w:rPr>
        <w:tab/>
      </w:r>
      <w:r w:rsidRPr="00787572">
        <w:rPr>
          <w:rFonts w:ascii="Times New Roman" w:eastAsia="Times New Roman" w:hAnsi="Times New Roman"/>
          <w:b/>
          <w:caps/>
          <w:lang w:val="lt-LT"/>
        </w:rPr>
        <w:t>K</w:t>
      </w:r>
      <w:r w:rsidRPr="00787572">
        <w:rPr>
          <w:rFonts w:ascii="Times New Roman" w:eastAsia="Times New Roman" w:hAnsi="Times New Roman"/>
          <w:b/>
          <w:lang w:val="lt-LT"/>
        </w:rPr>
        <w:t>aip vartoti TYPHIM Vi</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keepNext/>
        <w:spacing w:after="0" w:line="240" w:lineRule="auto"/>
        <w:outlineLvl w:val="0"/>
        <w:rPr>
          <w:rFonts w:ascii="Times New Roman" w:eastAsia="Times New Roman" w:hAnsi="Times New Roman"/>
          <w:u w:val="single"/>
          <w:lang w:val="lt-LT"/>
        </w:rPr>
      </w:pPr>
      <w:r w:rsidRPr="00787572">
        <w:rPr>
          <w:rFonts w:ascii="Times New Roman" w:eastAsia="Times New Roman" w:hAnsi="Times New Roman"/>
          <w:u w:val="single"/>
          <w:lang w:val="lt-LT"/>
        </w:rPr>
        <w:t>Dozavimas</w:t>
      </w:r>
      <w:r>
        <w:rPr>
          <w:rFonts w:ascii="Times New Roman" w:eastAsia="Times New Roman" w:hAnsi="Times New Roman"/>
          <w:u w:val="single"/>
          <w:lang w:val="lt-LT"/>
        </w:rPr>
        <w:fldChar w:fldCharType="begin"/>
      </w:r>
      <w:r>
        <w:rPr>
          <w:rFonts w:ascii="Times New Roman" w:eastAsia="Times New Roman" w:hAnsi="Times New Roman"/>
          <w:u w:val="single"/>
          <w:lang w:val="lt-LT"/>
        </w:rPr>
        <w:instrText xml:space="preserve"> DOCVARIABLE vault_nd_0297183b-7da9-4500-a2de-2a6393b1a415 \* MERGEFORMAT </w:instrText>
      </w:r>
      <w:r>
        <w:rPr>
          <w:rFonts w:ascii="Times New Roman" w:eastAsia="Times New Roman" w:hAnsi="Times New Roman"/>
          <w:u w:val="single"/>
          <w:lang w:val="lt-LT"/>
        </w:rPr>
        <w:fldChar w:fldCharType="separate"/>
      </w:r>
      <w:r>
        <w:rPr>
          <w:rFonts w:ascii="Times New Roman" w:eastAsia="Times New Roman" w:hAnsi="Times New Roman"/>
          <w:u w:val="single"/>
          <w:lang w:val="lt-LT"/>
        </w:rPr>
        <w:t xml:space="preserve"> </w:t>
      </w:r>
      <w:r>
        <w:rPr>
          <w:rFonts w:ascii="Times New Roman" w:eastAsia="Times New Roman" w:hAnsi="Times New Roman"/>
          <w:u w:val="single"/>
          <w:lang w:val="lt-LT"/>
        </w:rPr>
        <w:fldChar w:fldCharType="end"/>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Ši vakcina skirta tiktai suaugusiems žmonėms ir vyresniems nei 2 metų vaikams.</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eastAsia="lt-LT"/>
        </w:rPr>
        <w:t>Daugiau kaip 90</w:t>
      </w:r>
      <w:r>
        <w:rPr>
          <w:rFonts w:ascii="Times New Roman" w:eastAsia="Times New Roman" w:hAnsi="Times New Roman"/>
          <w:lang w:val="lt-LT" w:eastAsia="lt-LT"/>
        </w:rPr>
        <w:t> </w:t>
      </w:r>
      <w:r w:rsidRPr="00787572">
        <w:rPr>
          <w:rFonts w:ascii="Times New Roman" w:eastAsia="Times New Roman" w:hAnsi="Times New Roman"/>
          <w:lang w:val="lt-LT" w:eastAsia="lt-LT"/>
        </w:rPr>
        <w:t xml:space="preserve">% žmonių apsauga prieš vidurių šiltinę susidaro po vienos injekcijos dozės. Imunitetas atsiranda praėjus maždaug </w:t>
      </w:r>
      <w:r>
        <w:rPr>
          <w:rFonts w:ascii="Times New Roman" w:eastAsia="Times New Roman" w:hAnsi="Times New Roman"/>
          <w:lang w:val="lt-LT" w:eastAsia="lt-LT"/>
        </w:rPr>
        <w:t>1</w:t>
      </w:r>
      <w:r w:rsidRPr="00787572">
        <w:rPr>
          <w:rFonts w:ascii="Times New Roman" w:eastAsia="Times New Roman" w:hAnsi="Times New Roman"/>
          <w:lang w:val="lt-LT" w:eastAsia="lt-LT"/>
        </w:rPr>
        <w:t xml:space="preserve">-3 savaitėms po skiepijimo ir trunka apie 3 metus. </w:t>
      </w:r>
      <w:r w:rsidRPr="00787572">
        <w:rPr>
          <w:rFonts w:ascii="Times New Roman" w:eastAsia="Times New Roman" w:hAnsi="Times New Roman"/>
          <w:lang w:val="lt-LT"/>
        </w:rPr>
        <w:t>Jei išlieka užsikrėtimo pavojus, pakartotinai reikia skiepytis kas 3 metus.</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Vakcinacijos dozė yra tokia pati tiek suaugusiems žmonėms, tiek vaikams.</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u w:val="single"/>
          <w:lang w:val="lt-LT"/>
        </w:rPr>
      </w:pPr>
      <w:r w:rsidRPr="00787572">
        <w:rPr>
          <w:rFonts w:ascii="Times New Roman" w:eastAsia="Times New Roman" w:hAnsi="Times New Roman"/>
          <w:u w:val="single"/>
          <w:lang w:val="lt-LT"/>
        </w:rPr>
        <w:t>Vartojimo būdas</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Gydytojas arba slaugytoja suleis 0,5</w:t>
      </w:r>
      <w:r>
        <w:rPr>
          <w:rFonts w:ascii="Times New Roman" w:eastAsia="Times New Roman" w:hAnsi="Times New Roman"/>
          <w:lang w:val="lt-LT"/>
        </w:rPr>
        <w:t> </w:t>
      </w:r>
      <w:r w:rsidRPr="00787572">
        <w:rPr>
          <w:rFonts w:ascii="Times New Roman" w:eastAsia="Times New Roman" w:hAnsi="Times New Roman"/>
          <w:lang w:val="lt-LT"/>
        </w:rPr>
        <w:t xml:space="preserve">ml vakcinos dozę po oda arba į raumenis išorinėje viršutinėje rankos ar kojos srityje. TYPHIM Vi </w:t>
      </w:r>
      <w:r>
        <w:rPr>
          <w:rFonts w:ascii="Times New Roman" w:eastAsia="Times New Roman" w:hAnsi="Times New Roman"/>
          <w:lang w:val="lt-LT"/>
        </w:rPr>
        <w:t>leis</w:t>
      </w:r>
      <w:r w:rsidRPr="00787572">
        <w:rPr>
          <w:rFonts w:ascii="Times New Roman" w:eastAsia="Times New Roman" w:hAnsi="Times New Roman"/>
          <w:lang w:val="lt-LT"/>
        </w:rPr>
        <w:t>ti į kraujagyslę negalima.</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Jeigu kiltų daugiau klausimų dėl šios vakcinos vartojimo, kreipkitės į gydytoją.</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b/>
          <w:caps/>
          <w:lang w:val="lt-LT"/>
        </w:rPr>
      </w:pPr>
      <w:r w:rsidRPr="00787572">
        <w:rPr>
          <w:rFonts w:ascii="Times New Roman" w:eastAsia="Times New Roman" w:hAnsi="Times New Roman"/>
          <w:b/>
          <w:caps/>
          <w:lang w:val="lt-LT"/>
        </w:rPr>
        <w:t>4.</w:t>
      </w:r>
      <w:r w:rsidRPr="00787572">
        <w:rPr>
          <w:rFonts w:ascii="Times New Roman" w:eastAsia="Times New Roman" w:hAnsi="Times New Roman"/>
          <w:b/>
          <w:caps/>
          <w:lang w:val="lt-LT"/>
        </w:rPr>
        <w:tab/>
        <w:t>g</w:t>
      </w:r>
      <w:r w:rsidRPr="00787572">
        <w:rPr>
          <w:rFonts w:ascii="Times New Roman" w:eastAsia="Times New Roman" w:hAnsi="Times New Roman"/>
          <w:b/>
          <w:lang w:val="lt-LT"/>
        </w:rPr>
        <w:t>alimas šalutinis poveikis</w:t>
      </w:r>
    </w:p>
    <w:p w:rsidR="00360324" w:rsidRPr="00787572" w:rsidRDefault="00360324" w:rsidP="00360324">
      <w:pPr>
        <w:spacing w:after="0" w:line="240" w:lineRule="auto"/>
        <w:rPr>
          <w:rFonts w:ascii="Times New Roman" w:eastAsia="Times New Roman" w:hAnsi="Times New Roman"/>
          <w:lang w:val="lt-LT"/>
        </w:rPr>
      </w:pPr>
    </w:p>
    <w:p w:rsidR="00360324" w:rsidRPr="00B0370C" w:rsidRDefault="00360324" w:rsidP="00360324">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Ši vakcina, kaip ir visi kiti vaistai, gali sukelti šalutinį poveikį, nors jis pasireiškia ne visiems žmonėms.</w:t>
      </w:r>
    </w:p>
    <w:p w:rsidR="00360324" w:rsidRPr="00B0370C" w:rsidRDefault="00360324" w:rsidP="00360324">
      <w:pPr>
        <w:spacing w:after="0" w:line="240" w:lineRule="auto"/>
        <w:jc w:val="both"/>
        <w:rPr>
          <w:rFonts w:ascii="Times New Roman" w:eastAsia="Times New Roman" w:hAnsi="Times New Roman"/>
          <w:lang w:val="lt-LT"/>
        </w:rPr>
      </w:pPr>
    </w:p>
    <w:p w:rsidR="00360324" w:rsidRDefault="00360324" w:rsidP="00360324">
      <w:pPr>
        <w:spacing w:after="0" w:line="240" w:lineRule="auto"/>
        <w:rPr>
          <w:rFonts w:ascii="Times New Roman" w:eastAsia="Times New Roman" w:hAnsi="Times New Roman"/>
          <w:lang w:val="lt-LT"/>
        </w:rPr>
      </w:pPr>
      <w:r w:rsidRPr="00D14356">
        <w:rPr>
          <w:rFonts w:ascii="Times New Roman" w:eastAsia="Times New Roman" w:hAnsi="Times New Roman"/>
          <w:lang w:val="lt-LT"/>
        </w:rPr>
        <w:t>Sunkios alerginės reakcijos</w:t>
      </w:r>
      <w:r w:rsidRPr="00676486">
        <w:rPr>
          <w:rFonts w:ascii="Times New Roman" w:eastAsia="Times New Roman" w:hAnsi="Times New Roman"/>
          <w:lang w:val="lt-LT"/>
        </w:rPr>
        <w:t>:</w:t>
      </w:r>
    </w:p>
    <w:p w:rsidR="00360324" w:rsidRPr="00B0370C" w:rsidRDefault="00360324" w:rsidP="00360324">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Anafilaksinės, anafilaktoidinės reakcijos, įskaitant šoką, galinčios pasireikšti vienu ar keliais iš šių simptomų:</w:t>
      </w:r>
    </w:p>
    <w:p w:rsidR="00360324" w:rsidRPr="00B0370C"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B0370C">
        <w:rPr>
          <w:rFonts w:ascii="Times New Roman" w:eastAsia="Times New Roman" w:hAnsi="Times New Roman"/>
          <w:lang w:val="lt-LT"/>
        </w:rPr>
        <w:t xml:space="preserve">dilgėlinė, odos </w:t>
      </w:r>
      <w:r>
        <w:rPr>
          <w:rFonts w:ascii="Times New Roman" w:eastAsia="Times New Roman" w:hAnsi="Times New Roman"/>
          <w:lang w:val="lt-LT"/>
        </w:rPr>
        <w:t>iš</w:t>
      </w:r>
      <w:r w:rsidRPr="00B0370C">
        <w:rPr>
          <w:rFonts w:ascii="Times New Roman" w:eastAsia="Times New Roman" w:hAnsi="Times New Roman"/>
          <w:lang w:val="lt-LT"/>
        </w:rPr>
        <w:t>bėrimas;</w:t>
      </w:r>
    </w:p>
    <w:p w:rsidR="00360324" w:rsidRPr="00B0370C"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B0370C">
        <w:rPr>
          <w:rFonts w:ascii="Times New Roman" w:eastAsia="Times New Roman" w:hAnsi="Times New Roman"/>
          <w:lang w:val="lt-LT"/>
        </w:rPr>
        <w:t>veido ir (arba) kaklo patinimas;</w:t>
      </w:r>
    </w:p>
    <w:p w:rsidR="00360324" w:rsidRPr="00B0370C"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B0370C">
        <w:rPr>
          <w:rFonts w:ascii="Times New Roman" w:eastAsia="Times New Roman" w:hAnsi="Times New Roman"/>
          <w:lang w:val="lt-LT"/>
        </w:rPr>
        <w:t>kvėpavimo sutrikimai, liežuvio ar lūpų mėlynas atspalvis;</w:t>
      </w:r>
    </w:p>
    <w:p w:rsidR="00360324" w:rsidRPr="00B0370C"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B0370C">
        <w:rPr>
          <w:rFonts w:ascii="Times New Roman" w:eastAsia="Times New Roman" w:hAnsi="Times New Roman"/>
          <w:lang w:val="lt-LT"/>
        </w:rPr>
        <w:t>mažas kraujospūdis, greitas širdies susitraukimų dažnis ir silpnas impulsas, odos šaltis, galvos svaigimas ir galimas nualpimas.</w:t>
      </w:r>
    </w:p>
    <w:p w:rsidR="00360324" w:rsidRPr="00B0370C" w:rsidRDefault="00360324" w:rsidP="00360324">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t>Šie požymiai ar simptomai paprastai pasireiškia labai greitai po injekcijos, pacientui vis dar esant klinikoje ar gydytojo procedūriniame kabinete. Jei po injekcijos suleidimo pasireiškia bent vienas iš šių simptomų jau išvykus į namus, NEDELSDAMI kreipkitės į gydytoją.</w:t>
      </w:r>
    </w:p>
    <w:p w:rsidR="00360324" w:rsidRPr="00B0370C" w:rsidRDefault="00360324" w:rsidP="00360324">
      <w:pPr>
        <w:spacing w:after="0" w:line="240" w:lineRule="auto"/>
        <w:jc w:val="both"/>
        <w:rPr>
          <w:rFonts w:ascii="Times New Roman" w:eastAsia="Times New Roman" w:hAnsi="Times New Roman"/>
          <w:lang w:val="lt-LT"/>
        </w:rPr>
      </w:pPr>
    </w:p>
    <w:p w:rsidR="00360324" w:rsidRPr="001E41CF" w:rsidRDefault="00360324" w:rsidP="00360324">
      <w:pPr>
        <w:spacing w:after="0" w:line="240" w:lineRule="auto"/>
        <w:jc w:val="both"/>
        <w:rPr>
          <w:rFonts w:ascii="Times New Roman" w:eastAsia="Times New Roman" w:hAnsi="Times New Roman"/>
          <w:b/>
          <w:lang w:val="lt-LT"/>
        </w:rPr>
      </w:pPr>
      <w:r w:rsidRPr="001E41CF">
        <w:rPr>
          <w:rFonts w:ascii="Times New Roman" w:eastAsia="Times New Roman" w:hAnsi="Times New Roman"/>
          <w:b/>
          <w:lang w:val="lt-LT"/>
        </w:rPr>
        <w:t>Kitas šalutinis poveikis</w:t>
      </w:r>
    </w:p>
    <w:p w:rsidR="00360324" w:rsidRDefault="00360324" w:rsidP="00360324">
      <w:pPr>
        <w:spacing w:after="0" w:line="240" w:lineRule="auto"/>
        <w:jc w:val="both"/>
        <w:rPr>
          <w:rFonts w:ascii="Times New Roman" w:eastAsia="Times New Roman" w:hAnsi="Times New Roman"/>
          <w:lang w:val="lt-LT"/>
        </w:rPr>
      </w:pPr>
    </w:p>
    <w:p w:rsidR="00360324" w:rsidRPr="00B0370C" w:rsidRDefault="00360324" w:rsidP="00360324">
      <w:pPr>
        <w:spacing w:after="0" w:line="240" w:lineRule="auto"/>
        <w:jc w:val="both"/>
        <w:rPr>
          <w:rFonts w:ascii="Times New Roman" w:eastAsia="Times New Roman" w:hAnsi="Times New Roman"/>
          <w:lang w:val="lt-LT"/>
        </w:rPr>
      </w:pPr>
      <w:r w:rsidRPr="00B0370C">
        <w:rPr>
          <w:rFonts w:ascii="Times New Roman" w:eastAsia="Times New Roman" w:hAnsi="Times New Roman"/>
          <w:lang w:val="lt-LT"/>
        </w:rPr>
        <w:lastRenderedPageBreak/>
        <w:t>Dauguma šalutinių poveikių pasireiškė 3</w:t>
      </w:r>
      <w:r>
        <w:rPr>
          <w:rFonts w:ascii="Times New Roman" w:eastAsia="Times New Roman" w:hAnsi="Times New Roman"/>
          <w:lang w:val="lt-LT"/>
        </w:rPr>
        <w:t> </w:t>
      </w:r>
      <w:r w:rsidRPr="00B0370C">
        <w:rPr>
          <w:rFonts w:ascii="Times New Roman" w:eastAsia="Times New Roman" w:hAnsi="Times New Roman"/>
          <w:lang w:val="lt-LT"/>
        </w:rPr>
        <w:t>dienų po vakcinacijos laikotarpiu. Dauguma reakcijų išnyko savaime praėjus 1-3</w:t>
      </w:r>
      <w:r>
        <w:rPr>
          <w:rFonts w:ascii="Times New Roman" w:eastAsia="Times New Roman" w:hAnsi="Times New Roman"/>
          <w:lang w:val="lt-LT"/>
        </w:rPr>
        <w:t> </w:t>
      </w:r>
      <w:r w:rsidRPr="00B0370C">
        <w:rPr>
          <w:rFonts w:ascii="Times New Roman" w:eastAsia="Times New Roman" w:hAnsi="Times New Roman"/>
          <w:lang w:val="lt-LT"/>
        </w:rPr>
        <w:t>dienoms po jų atsiradimo. Jos buvo praneštos toliau nurodytu dažniu.</w:t>
      </w:r>
    </w:p>
    <w:p w:rsidR="00360324" w:rsidRPr="001E41CF" w:rsidRDefault="00360324" w:rsidP="00360324">
      <w:pPr>
        <w:spacing w:after="0" w:line="240" w:lineRule="auto"/>
        <w:jc w:val="both"/>
        <w:rPr>
          <w:rFonts w:ascii="Times New Roman" w:eastAsia="Times New Roman" w:hAnsi="Times New Roman"/>
          <w:lang w:val="lt-LT"/>
        </w:rPr>
      </w:pPr>
    </w:p>
    <w:p w:rsidR="00360324" w:rsidRPr="001E41CF" w:rsidRDefault="00360324" w:rsidP="00360324">
      <w:pPr>
        <w:keepNext/>
        <w:keepLines/>
        <w:spacing w:after="0" w:line="240" w:lineRule="auto"/>
        <w:jc w:val="both"/>
        <w:rPr>
          <w:rFonts w:ascii="Times New Roman" w:eastAsia="Times New Roman" w:hAnsi="Times New Roman"/>
          <w:b/>
          <w:color w:val="212121"/>
          <w:lang w:val="lt-LT" w:eastAsia="lt-LT"/>
        </w:rPr>
      </w:pPr>
      <w:r w:rsidRPr="001E41CF">
        <w:rPr>
          <w:rFonts w:ascii="Times New Roman" w:eastAsia="Times New Roman" w:hAnsi="Times New Roman"/>
          <w:b/>
          <w:color w:val="212121"/>
          <w:lang w:val="lt-LT" w:eastAsia="lt-LT"/>
        </w:rPr>
        <w:t>Kitas šalutinis poveikis suaugusiesiems:</w:t>
      </w:r>
    </w:p>
    <w:p w:rsidR="00360324" w:rsidRPr="001E41CF" w:rsidRDefault="00360324" w:rsidP="00360324">
      <w:pPr>
        <w:keepNext/>
        <w:keepLines/>
        <w:spacing w:after="0" w:line="240" w:lineRule="auto"/>
        <w:jc w:val="both"/>
        <w:rPr>
          <w:rFonts w:ascii="Times New Roman" w:eastAsia="Times New Roman" w:hAnsi="Times New Roman"/>
          <w:u w:val="single"/>
          <w:lang w:val="lt-LT"/>
        </w:rPr>
      </w:pPr>
    </w:p>
    <w:p w:rsidR="00360324" w:rsidRPr="001E41CF" w:rsidRDefault="00360324" w:rsidP="00360324">
      <w:pPr>
        <w:keepNext/>
        <w:keepLines/>
        <w:spacing w:after="0" w:line="240" w:lineRule="auto"/>
        <w:jc w:val="both"/>
        <w:rPr>
          <w:rFonts w:ascii="Times New Roman" w:eastAsia="Times New Roman" w:hAnsi="Times New Roman"/>
          <w:u w:val="single"/>
          <w:lang w:val="lt-LT"/>
        </w:rPr>
      </w:pPr>
      <w:r w:rsidRPr="001E41CF">
        <w:rPr>
          <w:rFonts w:ascii="Times New Roman" w:eastAsia="Times New Roman" w:hAnsi="Times New Roman"/>
          <w:u w:val="single"/>
          <w:lang w:val="lt-LT"/>
        </w:rPr>
        <w:t>Labai dažnas: gali pasireikšti daugiau kaip 1 iš 10 žmonių</w:t>
      </w:r>
    </w:p>
    <w:p w:rsidR="00360324" w:rsidRPr="001E41CF" w:rsidRDefault="00360324" w:rsidP="00360324">
      <w:pPr>
        <w:pStyle w:val="Sraopastraipa"/>
        <w:keepNext/>
        <w:keepLines/>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 xml:space="preserve">skausmas injekcijos vietoje; </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raumenų skausmas (mialgija);</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paprastai blogos savijautos jausmas (negalavimas);</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nuovargis, neįprastas silpnumas (astenija).</w:t>
      </w:r>
    </w:p>
    <w:p w:rsidR="00360324" w:rsidRPr="001E41CF" w:rsidRDefault="00360324" w:rsidP="00360324">
      <w:pPr>
        <w:spacing w:after="0" w:line="240" w:lineRule="auto"/>
        <w:jc w:val="both"/>
        <w:rPr>
          <w:rFonts w:ascii="Times New Roman" w:eastAsia="Times New Roman" w:hAnsi="Times New Roman"/>
          <w:lang w:val="lt-LT"/>
        </w:rPr>
      </w:pPr>
    </w:p>
    <w:p w:rsidR="00360324" w:rsidRPr="001E41CF" w:rsidRDefault="00360324" w:rsidP="00360324">
      <w:pPr>
        <w:spacing w:after="0" w:line="240" w:lineRule="auto"/>
        <w:jc w:val="both"/>
        <w:rPr>
          <w:rFonts w:ascii="Times New Roman" w:eastAsia="Times New Roman" w:hAnsi="Times New Roman"/>
          <w:u w:val="single"/>
          <w:lang w:val="lt-LT"/>
        </w:rPr>
      </w:pPr>
      <w:r w:rsidRPr="001E41CF">
        <w:rPr>
          <w:rFonts w:ascii="Times New Roman" w:eastAsia="Times New Roman" w:hAnsi="Times New Roman"/>
          <w:u w:val="single"/>
          <w:lang w:val="lt-LT"/>
        </w:rPr>
        <w:t>Dažnas: gali pasireikšti rečiau kaip 1 iš 10 žmonių</w:t>
      </w:r>
    </w:p>
    <w:p w:rsidR="00360324" w:rsidRPr="00F8101D"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F8101D">
        <w:rPr>
          <w:rFonts w:ascii="Times New Roman" w:eastAsia="Times New Roman" w:hAnsi="Times New Roman"/>
          <w:lang w:val="lt-LT"/>
        </w:rPr>
        <w:t>paraudimas injekcijos vietoje (eritema), patinimas / edema injekcijos vietoje, sukietėjimas injekcijos vietoje (induracija);</w:t>
      </w:r>
    </w:p>
    <w:p w:rsidR="00360324" w:rsidRPr="00F8101D" w:rsidRDefault="00360324" w:rsidP="00360324">
      <w:pPr>
        <w:pStyle w:val="Sraopastraipa"/>
        <w:numPr>
          <w:ilvl w:val="0"/>
          <w:numId w:val="3"/>
        </w:numPr>
        <w:spacing w:after="0" w:line="240" w:lineRule="auto"/>
        <w:ind w:left="567" w:hanging="567"/>
        <w:jc w:val="both"/>
        <w:rPr>
          <w:rFonts w:ascii="Times New Roman" w:eastAsia="Times New Roman" w:hAnsi="Times New Roman"/>
          <w:u w:val="single"/>
          <w:lang w:val="lt-LT"/>
        </w:rPr>
      </w:pPr>
      <w:r w:rsidRPr="00F8101D">
        <w:rPr>
          <w:rFonts w:ascii="Times New Roman" w:eastAsia="Times New Roman" w:hAnsi="Times New Roman"/>
          <w:lang w:val="lt-LT"/>
        </w:rPr>
        <w:t>galvos skausmas.</w:t>
      </w:r>
    </w:p>
    <w:p w:rsidR="00360324" w:rsidRPr="001E41CF" w:rsidRDefault="00360324" w:rsidP="00360324">
      <w:pPr>
        <w:spacing w:after="0" w:line="240" w:lineRule="auto"/>
        <w:jc w:val="both"/>
        <w:rPr>
          <w:rFonts w:ascii="Times New Roman" w:eastAsia="Times New Roman" w:hAnsi="Times New Roman"/>
          <w:lang w:val="lt-LT"/>
        </w:rPr>
      </w:pPr>
    </w:p>
    <w:p w:rsidR="00360324" w:rsidRPr="001E41CF" w:rsidRDefault="00360324" w:rsidP="00360324">
      <w:pPr>
        <w:spacing w:after="0" w:line="240" w:lineRule="auto"/>
        <w:jc w:val="both"/>
        <w:rPr>
          <w:rFonts w:ascii="Times New Roman" w:eastAsia="Times New Roman" w:hAnsi="Times New Roman"/>
          <w:u w:val="single"/>
          <w:lang w:val="lt-LT"/>
        </w:rPr>
      </w:pPr>
      <w:r w:rsidRPr="001E41CF">
        <w:rPr>
          <w:rFonts w:ascii="Times New Roman" w:eastAsia="Times New Roman" w:hAnsi="Times New Roman"/>
          <w:u w:val="single"/>
          <w:lang w:val="lt-LT"/>
        </w:rPr>
        <w:t>Nedažnas: gali pasireikšti rečiau kaip 1 iš 100 žmonių</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niežėjimas injekcijos vietoje (niežulys injekcijos vietoje).</w:t>
      </w:r>
    </w:p>
    <w:p w:rsidR="00360324" w:rsidRPr="001E41CF" w:rsidRDefault="00360324" w:rsidP="00360324">
      <w:pPr>
        <w:spacing w:after="0" w:line="240" w:lineRule="auto"/>
        <w:jc w:val="both"/>
        <w:rPr>
          <w:rFonts w:ascii="Times New Roman" w:eastAsia="Times New Roman" w:hAnsi="Times New Roman"/>
          <w:lang w:val="lt-LT"/>
        </w:rPr>
      </w:pPr>
    </w:p>
    <w:p w:rsidR="00360324" w:rsidRPr="00F8101D" w:rsidRDefault="00360324" w:rsidP="0036032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b/>
          <w:color w:val="212121"/>
          <w:lang w:val="lt-LT" w:eastAsia="lt-LT"/>
        </w:rPr>
      </w:pPr>
      <w:r w:rsidRPr="00F8101D">
        <w:rPr>
          <w:rFonts w:ascii="Times New Roman" w:eastAsia="Times New Roman" w:hAnsi="Times New Roman"/>
          <w:b/>
          <w:color w:val="212121"/>
          <w:lang w:val="lt-LT" w:eastAsia="lt-LT"/>
        </w:rPr>
        <w:t xml:space="preserve">Kitas </w:t>
      </w:r>
      <w:r w:rsidRPr="00F8101D">
        <w:rPr>
          <w:rFonts w:ascii="Times New Roman" w:eastAsia="Times New Roman" w:hAnsi="Times New Roman" w:hint="eastAsia"/>
          <w:b/>
          <w:color w:val="212121"/>
          <w:lang w:val="lt-LT" w:eastAsia="lt-LT"/>
        </w:rPr>
        <w:t>š</w:t>
      </w:r>
      <w:r w:rsidRPr="00F8101D">
        <w:rPr>
          <w:rFonts w:ascii="Times New Roman" w:eastAsia="Times New Roman" w:hAnsi="Times New Roman"/>
          <w:b/>
          <w:color w:val="212121"/>
          <w:lang w:val="lt-LT" w:eastAsia="lt-LT"/>
        </w:rPr>
        <w:t>alutinis poveikis, kuris gali pasireik</w:t>
      </w:r>
      <w:r w:rsidRPr="00F8101D">
        <w:rPr>
          <w:rFonts w:ascii="Times New Roman" w:eastAsia="Times New Roman" w:hAnsi="Times New Roman" w:hint="eastAsia"/>
          <w:b/>
          <w:color w:val="212121"/>
          <w:lang w:val="lt-LT" w:eastAsia="lt-LT"/>
        </w:rPr>
        <w:t>š</w:t>
      </w:r>
      <w:r w:rsidRPr="00F8101D">
        <w:rPr>
          <w:rFonts w:ascii="Times New Roman" w:eastAsia="Times New Roman" w:hAnsi="Times New Roman"/>
          <w:b/>
          <w:color w:val="212121"/>
          <w:lang w:val="lt-LT" w:eastAsia="lt-LT"/>
        </w:rPr>
        <w:t>ti vaikams ir paaugliams (nuo 2 iki 17</w:t>
      </w:r>
      <w:r w:rsidRPr="001E41CF">
        <w:rPr>
          <w:rFonts w:ascii="Times New Roman" w:eastAsia="Times New Roman" w:hAnsi="Times New Roman"/>
          <w:b/>
          <w:color w:val="212121"/>
          <w:lang w:val="lt-LT" w:eastAsia="lt-LT"/>
        </w:rPr>
        <w:t> </w:t>
      </w:r>
      <w:r w:rsidRPr="00F8101D">
        <w:rPr>
          <w:rFonts w:ascii="Times New Roman" w:eastAsia="Times New Roman" w:hAnsi="Times New Roman"/>
          <w:b/>
          <w:color w:val="212121"/>
          <w:lang w:val="lt-LT" w:eastAsia="lt-LT"/>
        </w:rPr>
        <w:t>met</w:t>
      </w:r>
      <w:r w:rsidRPr="00F8101D">
        <w:rPr>
          <w:rFonts w:ascii="Times New Roman" w:eastAsia="Times New Roman" w:hAnsi="Times New Roman" w:hint="eastAsia"/>
          <w:b/>
          <w:color w:val="212121"/>
          <w:lang w:val="lt-LT" w:eastAsia="lt-LT"/>
        </w:rPr>
        <w:t>ų</w:t>
      </w:r>
      <w:r w:rsidRPr="00F8101D">
        <w:rPr>
          <w:rFonts w:ascii="Times New Roman" w:eastAsia="Times New Roman" w:hAnsi="Times New Roman"/>
          <w:b/>
          <w:color w:val="212121"/>
          <w:lang w:val="lt-LT" w:eastAsia="lt-LT"/>
        </w:rPr>
        <w:t xml:space="preserve"> am</w:t>
      </w:r>
      <w:r w:rsidRPr="00F8101D">
        <w:rPr>
          <w:rFonts w:ascii="Times New Roman" w:eastAsia="Times New Roman" w:hAnsi="Times New Roman" w:hint="eastAsia"/>
          <w:b/>
          <w:color w:val="212121"/>
          <w:lang w:val="lt-LT" w:eastAsia="lt-LT"/>
        </w:rPr>
        <w:t>ž</w:t>
      </w:r>
      <w:r w:rsidRPr="00F8101D">
        <w:rPr>
          <w:rFonts w:ascii="Times New Roman" w:eastAsia="Times New Roman" w:hAnsi="Times New Roman"/>
          <w:b/>
          <w:color w:val="212121"/>
          <w:lang w:val="lt-LT" w:eastAsia="lt-LT"/>
        </w:rPr>
        <w:t>iaus):</w:t>
      </w:r>
    </w:p>
    <w:p w:rsidR="00360324" w:rsidRPr="001E41CF" w:rsidRDefault="00360324" w:rsidP="00360324">
      <w:pPr>
        <w:keepNext/>
        <w:keepLines/>
        <w:spacing w:after="0" w:line="240" w:lineRule="auto"/>
        <w:jc w:val="both"/>
        <w:rPr>
          <w:rFonts w:ascii="Times New Roman" w:eastAsia="Times New Roman" w:hAnsi="Times New Roman"/>
          <w:u w:val="single"/>
          <w:lang w:val="lt-LT"/>
        </w:rPr>
      </w:pPr>
    </w:p>
    <w:p w:rsidR="00360324" w:rsidRPr="001E41CF" w:rsidRDefault="00360324" w:rsidP="00360324">
      <w:pPr>
        <w:keepNext/>
        <w:keepLines/>
        <w:spacing w:after="0" w:line="240" w:lineRule="auto"/>
        <w:jc w:val="both"/>
        <w:rPr>
          <w:rFonts w:ascii="Times New Roman" w:eastAsia="Times New Roman" w:hAnsi="Times New Roman"/>
          <w:u w:val="single"/>
          <w:lang w:val="lt-LT"/>
        </w:rPr>
      </w:pPr>
      <w:r w:rsidRPr="001E41CF">
        <w:rPr>
          <w:rFonts w:ascii="Times New Roman" w:eastAsia="Times New Roman" w:hAnsi="Times New Roman"/>
          <w:u w:val="single"/>
          <w:lang w:val="lt-LT"/>
        </w:rPr>
        <w:t>Labai dažnas: gali pasireikšti daugiau kaip 1 iš 10 žmonių</w:t>
      </w:r>
    </w:p>
    <w:p w:rsidR="00360324" w:rsidRPr="001E41CF" w:rsidRDefault="00360324" w:rsidP="00360324">
      <w:pPr>
        <w:pStyle w:val="Sraopastraipa"/>
        <w:keepNext/>
        <w:keepLines/>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skausmas injekcijos vietoje, paraudimas injekcijos vietoje (eritema), patinimas / edema injekcijos vietoje, sukietėjimas injekcijos vietoje (induracija);</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galvos skausmas;</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raumenų skausmas (mialgija).</w:t>
      </w:r>
    </w:p>
    <w:p w:rsidR="00360324" w:rsidRPr="001E41CF" w:rsidRDefault="00360324" w:rsidP="00360324">
      <w:pPr>
        <w:spacing w:after="0" w:line="240" w:lineRule="auto"/>
        <w:jc w:val="both"/>
        <w:rPr>
          <w:rFonts w:ascii="Times New Roman" w:eastAsia="Times New Roman" w:hAnsi="Times New Roman"/>
          <w:lang w:val="lt-LT"/>
        </w:rPr>
      </w:pPr>
    </w:p>
    <w:p w:rsidR="00360324" w:rsidRPr="001E41CF" w:rsidRDefault="00360324" w:rsidP="00360324">
      <w:pPr>
        <w:spacing w:after="0" w:line="240" w:lineRule="auto"/>
        <w:jc w:val="both"/>
        <w:rPr>
          <w:rFonts w:ascii="Times New Roman" w:eastAsia="Times New Roman" w:hAnsi="Times New Roman"/>
          <w:u w:val="single"/>
          <w:lang w:val="lt-LT"/>
        </w:rPr>
      </w:pPr>
      <w:r w:rsidRPr="001E41CF">
        <w:rPr>
          <w:rFonts w:ascii="Times New Roman" w:eastAsia="Times New Roman" w:hAnsi="Times New Roman"/>
          <w:u w:val="single"/>
          <w:lang w:val="lt-LT"/>
        </w:rPr>
        <w:t>Dažnas: gali pasireikšti rečiau kaip 1 iš 10 žmonių</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paprastai blogos savijautos jausmas (negalavimas);</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nuovargis, neįprastas silpnumas (astenija);</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karščiavimas.</w:t>
      </w:r>
    </w:p>
    <w:p w:rsidR="00360324" w:rsidRPr="001E41CF" w:rsidRDefault="00360324" w:rsidP="00360324">
      <w:pPr>
        <w:spacing w:after="0" w:line="240" w:lineRule="auto"/>
        <w:jc w:val="both"/>
        <w:rPr>
          <w:rFonts w:ascii="Times New Roman" w:eastAsia="Times New Roman" w:hAnsi="Times New Roman"/>
          <w:lang w:val="lt-LT"/>
        </w:rPr>
      </w:pPr>
    </w:p>
    <w:p w:rsidR="00360324" w:rsidRPr="001E41CF" w:rsidRDefault="00360324" w:rsidP="00360324">
      <w:pPr>
        <w:spacing w:after="0" w:line="240" w:lineRule="auto"/>
        <w:jc w:val="both"/>
        <w:rPr>
          <w:rFonts w:ascii="Times New Roman" w:eastAsia="Times New Roman" w:hAnsi="Times New Roman"/>
          <w:lang w:val="lt-LT"/>
        </w:rPr>
      </w:pPr>
      <w:r w:rsidRPr="001E41CF">
        <w:rPr>
          <w:rFonts w:ascii="Times New Roman" w:eastAsia="Times New Roman" w:hAnsi="Times New Roman"/>
          <w:lang w:val="lt-LT"/>
        </w:rPr>
        <w:t>Dauguma šalutinių poveikių suaugusiesiems ir vaikams bei paaugliams pasireiškė 3 dienų po vakcinacijos laikotarpiu. Dauguma reakcijų išnyko savaime praėjus 1-3 dienoms po jų atsiradimo.</w:t>
      </w:r>
    </w:p>
    <w:p w:rsidR="00360324" w:rsidRPr="001E41CF" w:rsidRDefault="00360324" w:rsidP="00360324">
      <w:pPr>
        <w:spacing w:after="0" w:line="240" w:lineRule="auto"/>
        <w:jc w:val="both"/>
        <w:rPr>
          <w:rFonts w:ascii="Times New Roman" w:eastAsia="Times New Roman" w:hAnsi="Times New Roman"/>
          <w:lang w:val="lt-LT"/>
        </w:rPr>
      </w:pPr>
    </w:p>
    <w:p w:rsidR="00360324" w:rsidRPr="001E41CF" w:rsidRDefault="00360324" w:rsidP="00360324">
      <w:pPr>
        <w:spacing w:after="0" w:line="240" w:lineRule="auto"/>
        <w:jc w:val="both"/>
        <w:rPr>
          <w:rFonts w:ascii="Times New Roman" w:eastAsia="Times New Roman" w:hAnsi="Times New Roman"/>
          <w:u w:val="single"/>
          <w:lang w:val="lt-LT"/>
        </w:rPr>
      </w:pPr>
      <w:r w:rsidRPr="001E41CF">
        <w:rPr>
          <w:rFonts w:ascii="Times New Roman" w:eastAsia="Times New Roman" w:hAnsi="Times New Roman"/>
          <w:u w:val="single"/>
          <w:lang w:val="lt-LT"/>
        </w:rPr>
        <w:t xml:space="preserve">Dažnis nežinomas: dažnis </w:t>
      </w:r>
      <w:r w:rsidRPr="00F8101D">
        <w:rPr>
          <w:rFonts w:ascii="Times New Roman" w:eastAsia="Times New Roman" w:hAnsi="Times New Roman"/>
          <w:u w:val="single"/>
          <w:lang w:val="lt-LT"/>
        </w:rPr>
        <w:t>suaugusiesiems ir vaikams bei paaugliams</w:t>
      </w:r>
      <w:r w:rsidRPr="001E41CF">
        <w:rPr>
          <w:rFonts w:ascii="Times New Roman" w:eastAsia="Times New Roman" w:hAnsi="Times New Roman"/>
          <w:u w:val="single"/>
          <w:lang w:val="lt-LT"/>
        </w:rPr>
        <w:t xml:space="preserve"> negali būti apskaičiuotas pagal turimus duomenis</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serumo liga: sąnarių skausmas, odos išbėrimas, padidėję limfmazgiai ir apskritai bloga savijauta. Paprastai šie simptomai pasireiškia praėjus 2-4 savaitėms po vakcinacijos;</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alpimas reaguojant į injekciją (vazovagalinė sinkopė);</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kosulys, švokštimas, kvėpavimo nepakankamumas (astma);</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pykinimas, vėmimas, viduriavimas, skrandžio skausmas (pilvo skausmas);</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išbėrimas, kartais patinimas ir niežėjimas (niežulys, odos išbėrimas, dilgėlinė);</w:t>
      </w:r>
    </w:p>
    <w:p w:rsidR="00360324" w:rsidRPr="001E41CF" w:rsidRDefault="00360324" w:rsidP="00360324">
      <w:pPr>
        <w:pStyle w:val="Sraopastraipa"/>
        <w:numPr>
          <w:ilvl w:val="0"/>
          <w:numId w:val="3"/>
        </w:numPr>
        <w:spacing w:after="0" w:line="240" w:lineRule="auto"/>
        <w:ind w:left="567" w:hanging="567"/>
        <w:jc w:val="both"/>
        <w:rPr>
          <w:rFonts w:ascii="Times New Roman" w:eastAsia="Times New Roman" w:hAnsi="Times New Roman"/>
          <w:lang w:val="lt-LT"/>
        </w:rPr>
      </w:pPr>
      <w:r w:rsidRPr="001E41CF">
        <w:rPr>
          <w:rFonts w:ascii="Times New Roman" w:eastAsia="Times New Roman" w:hAnsi="Times New Roman"/>
          <w:lang w:val="lt-LT"/>
        </w:rPr>
        <w:t>sąnarių skausmas (artralgija).</w:t>
      </w:r>
    </w:p>
    <w:p w:rsidR="00360324" w:rsidRPr="001E41CF" w:rsidRDefault="00360324" w:rsidP="00360324">
      <w:pPr>
        <w:spacing w:after="0" w:line="240" w:lineRule="auto"/>
        <w:jc w:val="both"/>
        <w:rPr>
          <w:rFonts w:ascii="Times New Roman" w:eastAsia="Times New Roman" w:hAnsi="Times New Roman"/>
          <w:lang w:val="lt-LT"/>
        </w:rPr>
      </w:pPr>
    </w:p>
    <w:p w:rsidR="00360324" w:rsidRPr="001E41CF" w:rsidRDefault="00360324" w:rsidP="00360324">
      <w:pPr>
        <w:tabs>
          <w:tab w:val="left" w:pos="567"/>
        </w:tabs>
        <w:spacing w:after="0" w:line="240" w:lineRule="auto"/>
        <w:rPr>
          <w:rFonts w:ascii="Times New Roman" w:eastAsia="Times New Roman" w:hAnsi="Times New Roman"/>
          <w:b/>
          <w:snapToGrid w:val="0"/>
          <w:lang w:val="lt-LT"/>
        </w:rPr>
      </w:pPr>
      <w:r w:rsidRPr="001E41CF">
        <w:rPr>
          <w:rFonts w:ascii="Times New Roman" w:eastAsia="Times New Roman" w:hAnsi="Times New Roman"/>
          <w:b/>
          <w:noProof/>
          <w:snapToGrid w:val="0"/>
          <w:lang w:val="lt-LT"/>
        </w:rPr>
        <w:t>Pranešimas apie šalutinį poveikį</w:t>
      </w:r>
    </w:p>
    <w:p w:rsidR="00360324" w:rsidRPr="001E41CF" w:rsidRDefault="00360324" w:rsidP="00360324">
      <w:pPr>
        <w:spacing w:after="0" w:line="240" w:lineRule="auto"/>
        <w:rPr>
          <w:rFonts w:ascii="Times New Roman" w:eastAsia="Times New Roman" w:hAnsi="Times New Roman"/>
          <w:lang w:val="lt-LT"/>
        </w:rPr>
      </w:pPr>
      <w:r w:rsidRPr="001E41CF">
        <w:rPr>
          <w:rFonts w:ascii="Times New Roman" w:eastAsia="Times New Roman" w:hAnsi="Times New Roman"/>
          <w:snapToGrid w:val="0"/>
          <w:lang w:val="lt-LT"/>
        </w:rPr>
        <w:t xml:space="preserve">Jeigu pasireiškė šalutinis poveikis, įskaitant šiame lapelyje nenurodytą, pasakykite gydytojui arba slaugytojui. </w:t>
      </w:r>
      <w:r w:rsidRPr="00B026D7">
        <w:rPr>
          <w:rFonts w:ascii="Times New Roman" w:eastAsia="Times New Roman" w:hAnsi="Times New Roman"/>
          <w:snapToGrid w:val="0"/>
          <w:lang w:val="lt-LT"/>
        </w:rPr>
        <w:t xml:space="preserve">Pranešimą apie šalutinį poveikį galite užpildyti ir pateikti Valstybinės vaistų kontrolės tarnybos prie Lietuvos Respublikos sveikatos apsaugos ministerijos tinklalapyje </w:t>
      </w:r>
      <w:hyperlink r:id="rId5" w:history="1">
        <w:r w:rsidRPr="00A7068E">
          <w:rPr>
            <w:rStyle w:val="Hipersaitas"/>
            <w:rFonts w:ascii="Times New Roman" w:eastAsia="Times New Roman" w:hAnsi="Times New Roman"/>
            <w:snapToGrid w:val="0"/>
            <w:color w:val="0000FF"/>
            <w:lang w:val="lt-LT"/>
          </w:rPr>
          <w:t>https://vvkt.lrv.lt/lt/</w:t>
        </w:r>
      </w:hyperlink>
      <w:r w:rsidRPr="00B026D7">
        <w:rPr>
          <w:rFonts w:ascii="Times New Roman" w:eastAsia="Times New Roman" w:hAnsi="Times New Roman"/>
          <w:snapToGrid w:val="0"/>
          <w:lang w:val="lt-LT"/>
        </w:rPr>
        <w:t xml:space="preserve"> nurodytais būdais arba paskambinti nemokamu telefonu 8 800 73 568. Pranešdami apie šalutinį poveikį galite mums padėti gauti daugiau informacijos apie šio vaisto saugumą.</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5.</w:t>
      </w:r>
      <w:r w:rsidRPr="00787572">
        <w:rPr>
          <w:rFonts w:ascii="Times New Roman" w:eastAsia="Times New Roman" w:hAnsi="Times New Roman"/>
          <w:b/>
          <w:bCs/>
          <w:lang w:val="lt-LT"/>
        </w:rPr>
        <w:tab/>
        <w:t xml:space="preserve">Kaip laikyti TYPHIM Vi </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Šį vaistą laikykite vaikams nepastebimoje ir nepasiekiamoje vietoje.</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lastRenderedPageBreak/>
        <w:t>Laikyti šaldytuve (2 </w:t>
      </w:r>
      <w:r w:rsidRPr="00787572">
        <w:rPr>
          <w:rFonts w:ascii="Times New Roman" w:eastAsia="Times New Roman" w:hAnsi="Times New Roman"/>
          <w:lang w:val="lt-LT"/>
        </w:rPr>
        <w:sym w:font="Symbol" w:char="F0B0"/>
      </w:r>
      <w:r w:rsidRPr="00787572">
        <w:rPr>
          <w:rFonts w:ascii="Times New Roman" w:eastAsia="Times New Roman" w:hAnsi="Times New Roman"/>
          <w:lang w:val="lt-LT"/>
        </w:rPr>
        <w:t>C – 8 </w:t>
      </w:r>
      <w:r w:rsidRPr="00787572">
        <w:rPr>
          <w:rFonts w:ascii="Times New Roman" w:eastAsia="Times New Roman" w:hAnsi="Times New Roman"/>
          <w:lang w:val="lt-LT"/>
        </w:rPr>
        <w:sym w:font="Symbol" w:char="F0B0"/>
      </w:r>
      <w:r w:rsidRPr="00787572">
        <w:rPr>
          <w:rFonts w:ascii="Times New Roman" w:eastAsia="Times New Roman" w:hAnsi="Times New Roman"/>
          <w:lang w:val="lt-LT"/>
        </w:rPr>
        <w:t>C).</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 xml:space="preserve">Negalima užšaldyti. </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Ant dėžutės ir užpildyto švirkšto po „EXP“ nurodytam tinkamumo laikui pasibaigus, šio vaisto vartoti negalima. Vaistas tinkamas vartoti iki paskutinės nurodyto mėnesio dienos.</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Vaistų negalima išmesti į kanalizaciją arba su buitinėmis atliekomis. Kaip išmesti nereikalingus vaistus, klauskite vaistininko. Šios priemonės padės apsaugoti aplinką.</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b/>
          <w:bCs/>
          <w:lang w:val="lt-LT"/>
        </w:rPr>
      </w:pPr>
      <w:r w:rsidRPr="00787572">
        <w:rPr>
          <w:rFonts w:ascii="Times New Roman" w:eastAsia="Times New Roman" w:hAnsi="Times New Roman"/>
          <w:b/>
          <w:bCs/>
          <w:lang w:val="lt-LT"/>
        </w:rPr>
        <w:t>6.</w:t>
      </w:r>
      <w:r w:rsidRPr="00787572">
        <w:rPr>
          <w:rFonts w:ascii="Times New Roman" w:eastAsia="Times New Roman" w:hAnsi="Times New Roman"/>
          <w:b/>
          <w:bCs/>
          <w:lang w:val="lt-LT"/>
        </w:rPr>
        <w:tab/>
        <w:t>Pakuotės turinys ir kita informacija</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b/>
          <w:lang w:val="lt-LT"/>
        </w:rPr>
      </w:pPr>
      <w:bookmarkStart w:id="1" w:name="OLE_LINK8"/>
      <w:bookmarkStart w:id="2" w:name="OLE_LINK9"/>
      <w:r w:rsidRPr="00787572">
        <w:rPr>
          <w:rFonts w:ascii="Times New Roman" w:eastAsia="Times New Roman" w:hAnsi="Times New Roman"/>
          <w:b/>
          <w:lang w:val="lt-LT"/>
        </w:rPr>
        <w:t>TYPHIM Vi sudėtis</w:t>
      </w:r>
    </w:p>
    <w:bookmarkEnd w:id="1"/>
    <w:bookmarkEnd w:id="2"/>
    <w:p w:rsidR="00360324" w:rsidRPr="00787572" w:rsidRDefault="00360324" w:rsidP="00360324">
      <w:pPr>
        <w:numPr>
          <w:ilvl w:val="0"/>
          <w:numId w:val="1"/>
        </w:numPr>
        <w:tabs>
          <w:tab w:val="num" w:pos="567"/>
        </w:tabs>
        <w:spacing w:after="0" w:line="240" w:lineRule="auto"/>
        <w:ind w:left="567" w:hanging="567"/>
        <w:rPr>
          <w:rFonts w:ascii="Times New Roman" w:eastAsia="Times New Roman" w:hAnsi="Times New Roman"/>
          <w:lang w:val="lt-LT"/>
        </w:rPr>
      </w:pPr>
      <w:r w:rsidRPr="00787572">
        <w:rPr>
          <w:rFonts w:ascii="Times New Roman" w:eastAsia="Times New Roman" w:hAnsi="Times New Roman"/>
          <w:lang w:val="lt-LT"/>
        </w:rPr>
        <w:t xml:space="preserve">Veiklioji medžiaga yra </w:t>
      </w:r>
      <w:r w:rsidRPr="00787572">
        <w:rPr>
          <w:rFonts w:ascii="Times New Roman" w:eastAsia="Times New Roman" w:hAnsi="Times New Roman"/>
          <w:i/>
          <w:lang w:val="lt-LT"/>
        </w:rPr>
        <w:t>Salmonella typhi</w:t>
      </w:r>
      <w:r w:rsidRPr="00787572">
        <w:rPr>
          <w:rFonts w:ascii="Times New Roman" w:eastAsia="Times New Roman" w:hAnsi="Times New Roman"/>
          <w:lang w:val="lt-LT"/>
        </w:rPr>
        <w:t xml:space="preserve"> (Ty2 padermės) polisacharidas. Vienoje 0,5 ml vakcinos dozėje jo yra 25 mikrogramai.</w:t>
      </w:r>
      <w:r w:rsidRPr="00787572">
        <w:rPr>
          <w:rFonts w:ascii="Times New Roman" w:eastAsia="Times New Roman" w:hAnsi="Times New Roman"/>
          <w:i/>
          <w:lang w:val="lt-LT"/>
        </w:rPr>
        <w:t xml:space="preserve"> </w:t>
      </w:r>
    </w:p>
    <w:p w:rsidR="00360324" w:rsidRPr="00787572" w:rsidRDefault="00360324" w:rsidP="00360324">
      <w:pPr>
        <w:numPr>
          <w:ilvl w:val="0"/>
          <w:numId w:val="1"/>
        </w:numPr>
        <w:tabs>
          <w:tab w:val="num" w:pos="540"/>
        </w:tabs>
        <w:spacing w:after="0" w:line="240" w:lineRule="auto"/>
        <w:ind w:left="540" w:hanging="540"/>
        <w:rPr>
          <w:rFonts w:ascii="Times New Roman" w:eastAsia="Times New Roman" w:hAnsi="Times New Roman"/>
          <w:lang w:val="lt-LT"/>
        </w:rPr>
      </w:pPr>
      <w:r w:rsidRPr="00787572">
        <w:rPr>
          <w:rFonts w:ascii="Times New Roman" w:eastAsia="Times New Roman" w:hAnsi="Times New Roman"/>
          <w:lang w:val="lt-LT"/>
        </w:rPr>
        <w:t>Pagalbinės medžiagos yra fenolis, natrio chloridas, dinatrio fosfatas dihidratas, natrio-divandenilio fosfatas dihidratas ir injekcinis vanduo.</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b/>
          <w:lang w:val="lt-LT"/>
        </w:rPr>
      </w:pPr>
      <w:r w:rsidRPr="00787572">
        <w:rPr>
          <w:rFonts w:ascii="Times New Roman" w:eastAsia="Times New Roman" w:hAnsi="Times New Roman"/>
          <w:b/>
          <w:lang w:val="lt-LT"/>
        </w:rPr>
        <w:t>TYPHIM Vi išvaizda ir kiekis pakuotėje</w:t>
      </w:r>
    </w:p>
    <w:p w:rsidR="00360324" w:rsidRPr="00787572" w:rsidRDefault="00360324" w:rsidP="00360324">
      <w:pPr>
        <w:spacing w:after="0" w:line="240" w:lineRule="auto"/>
        <w:rPr>
          <w:rFonts w:ascii="Times New Roman" w:eastAsia="Times New Roman" w:hAnsi="Times New Roman"/>
          <w:b/>
          <w:lang w:val="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TYPHIM Vi yra skaidrus, bespalvis tirpalas, tiekiamas stikliniame švirkšte su adata.</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Kartono dėžutėje yra vienas užpildytas švirkštas, kuriame yra 0,5</w:t>
      </w:r>
      <w:r>
        <w:rPr>
          <w:rFonts w:ascii="Times New Roman" w:eastAsia="Times New Roman" w:hAnsi="Times New Roman"/>
          <w:lang w:val="lt-LT"/>
        </w:rPr>
        <w:t> </w:t>
      </w:r>
      <w:r w:rsidRPr="00787572">
        <w:rPr>
          <w:rFonts w:ascii="Times New Roman" w:eastAsia="Times New Roman" w:hAnsi="Times New Roman"/>
          <w:lang w:val="lt-LT"/>
        </w:rPr>
        <w:t>ml injekcinio tirpalo.</w:t>
      </w:r>
    </w:p>
    <w:p w:rsidR="00360324" w:rsidRPr="00787572" w:rsidRDefault="00360324" w:rsidP="00360324">
      <w:pPr>
        <w:spacing w:after="0" w:line="240" w:lineRule="auto"/>
        <w:rPr>
          <w:rFonts w:ascii="Times New Roman" w:eastAsia="Times New Roman" w:hAnsi="Times New Roman"/>
          <w:b/>
          <w:lang w:val="lt-LT"/>
        </w:rPr>
      </w:pPr>
    </w:p>
    <w:p w:rsidR="00360324" w:rsidRDefault="00360324" w:rsidP="00360324">
      <w:pPr>
        <w:spacing w:after="0" w:line="240" w:lineRule="auto"/>
        <w:rPr>
          <w:rFonts w:ascii="Times New Roman" w:eastAsia="Times New Roman" w:hAnsi="Times New Roman"/>
          <w:lang w:val="lt-LT"/>
        </w:rPr>
      </w:pPr>
      <w:r w:rsidRPr="00B61D7C">
        <w:rPr>
          <w:rFonts w:ascii="Times New Roman" w:eastAsia="Times New Roman" w:hAnsi="Times New Roman"/>
          <w:b/>
          <w:lang w:val="lt-LT"/>
        </w:rPr>
        <w:t>Registruotojas</w:t>
      </w:r>
      <w:r w:rsidRPr="00787572">
        <w:rPr>
          <w:rFonts w:ascii="Times New Roman" w:eastAsia="Times New Roman" w:hAnsi="Times New Roman"/>
          <w:b/>
          <w:lang w:val="lt-LT"/>
        </w:rPr>
        <w:t xml:space="preserve"> </w:t>
      </w:r>
    </w:p>
    <w:p w:rsidR="00360324" w:rsidRPr="00B026D7" w:rsidRDefault="00360324" w:rsidP="00360324">
      <w:pPr>
        <w:spacing w:after="0" w:line="240" w:lineRule="auto"/>
        <w:rPr>
          <w:rFonts w:ascii="Times New Roman" w:eastAsia="Times New Roman" w:hAnsi="Times New Roman"/>
          <w:lang w:val="ru-RU"/>
        </w:rPr>
      </w:pPr>
      <w:r w:rsidRPr="00B026D7">
        <w:rPr>
          <w:rFonts w:ascii="Times New Roman" w:eastAsia="Times New Roman" w:hAnsi="Times New Roman"/>
          <w:lang w:val="ru-RU"/>
        </w:rPr>
        <w:t>Sanofi Winthrop Industrie</w:t>
      </w:r>
    </w:p>
    <w:p w:rsidR="00360324" w:rsidRPr="00B026D7" w:rsidRDefault="00360324" w:rsidP="00360324">
      <w:pPr>
        <w:spacing w:after="0" w:line="240" w:lineRule="auto"/>
        <w:rPr>
          <w:rFonts w:ascii="Times New Roman" w:eastAsia="Times New Roman" w:hAnsi="Times New Roman"/>
          <w:lang w:val="ru-RU"/>
        </w:rPr>
      </w:pPr>
      <w:r w:rsidRPr="00B026D7">
        <w:rPr>
          <w:rFonts w:ascii="Times New Roman" w:eastAsia="Times New Roman" w:hAnsi="Times New Roman"/>
          <w:lang w:val="ru-RU"/>
        </w:rPr>
        <w:t>8</w:t>
      </w:r>
      <w:r w:rsidRPr="00B026D7">
        <w:rPr>
          <w:rFonts w:ascii="Times New Roman" w:eastAsia="Times New Roman" w:hAnsi="Times New Roman"/>
        </w:rPr>
        <w:t>2</w:t>
      </w:r>
      <w:r w:rsidRPr="00B026D7">
        <w:rPr>
          <w:rFonts w:ascii="Times New Roman" w:eastAsia="Times New Roman" w:hAnsi="Times New Roman"/>
          <w:lang w:val="ru-RU"/>
        </w:rPr>
        <w:t xml:space="preserve"> </w:t>
      </w:r>
      <w:r w:rsidRPr="00B026D7">
        <w:rPr>
          <w:rFonts w:ascii="Times New Roman" w:eastAsia="Times New Roman" w:hAnsi="Times New Roman"/>
        </w:rPr>
        <w:t>a</w:t>
      </w:r>
      <w:r w:rsidRPr="00B026D7">
        <w:rPr>
          <w:rFonts w:ascii="Times New Roman" w:eastAsia="Times New Roman" w:hAnsi="Times New Roman"/>
          <w:lang w:val="ru-RU"/>
        </w:rPr>
        <w:t>venue Raspail</w:t>
      </w:r>
    </w:p>
    <w:p w:rsidR="00360324" w:rsidRPr="00B026D7" w:rsidRDefault="00360324" w:rsidP="00360324">
      <w:pPr>
        <w:spacing w:after="0" w:line="240" w:lineRule="auto"/>
        <w:rPr>
          <w:rFonts w:ascii="Times New Roman" w:eastAsia="Times New Roman" w:hAnsi="Times New Roman"/>
        </w:rPr>
      </w:pPr>
      <w:r w:rsidRPr="00B026D7">
        <w:rPr>
          <w:rFonts w:ascii="Times New Roman" w:eastAsia="Times New Roman" w:hAnsi="Times New Roman"/>
          <w:lang w:val="ru-RU"/>
        </w:rPr>
        <w:t>94250 Gentilly</w:t>
      </w:r>
    </w:p>
    <w:p w:rsidR="00360324" w:rsidRPr="00787572" w:rsidRDefault="00360324" w:rsidP="00360324">
      <w:pPr>
        <w:spacing w:after="0" w:line="240" w:lineRule="auto"/>
        <w:rPr>
          <w:rFonts w:ascii="Times New Roman" w:eastAsia="Times New Roman" w:hAnsi="Times New Roman"/>
          <w:lang w:val="lt-LT"/>
        </w:rPr>
      </w:pPr>
      <w:r w:rsidRPr="00B026D7">
        <w:rPr>
          <w:rFonts w:ascii="Times New Roman" w:eastAsia="Times New Roman" w:hAnsi="Times New Roman"/>
        </w:rPr>
        <w:t>Pranc</w:t>
      </w:r>
      <w:r w:rsidRPr="00B026D7">
        <w:rPr>
          <w:rFonts w:ascii="Times New Roman" w:eastAsia="Times New Roman" w:hAnsi="Times New Roman"/>
          <w:lang w:val="lt-LT"/>
        </w:rPr>
        <w:t>ūzija</w:t>
      </w:r>
    </w:p>
    <w:p w:rsidR="00360324" w:rsidRPr="00787572" w:rsidRDefault="00360324" w:rsidP="00360324">
      <w:pPr>
        <w:spacing w:after="0" w:line="240" w:lineRule="auto"/>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b/>
          <w:lang w:val="lt-LT"/>
        </w:rPr>
      </w:pPr>
      <w:r w:rsidRPr="00787572">
        <w:rPr>
          <w:rFonts w:ascii="Times New Roman" w:eastAsia="Times New Roman" w:hAnsi="Times New Roman"/>
          <w:b/>
          <w:lang w:val="lt-LT"/>
        </w:rPr>
        <w:t>Gamintojas</w:t>
      </w:r>
    </w:p>
    <w:p w:rsidR="00360324" w:rsidRPr="007A17B0" w:rsidRDefault="00360324" w:rsidP="00360324">
      <w:pPr>
        <w:spacing w:after="0" w:line="240" w:lineRule="auto"/>
        <w:rPr>
          <w:rFonts w:ascii="Times New Roman" w:eastAsia="MS Mincho" w:hAnsi="Times New Roman"/>
          <w:highlight w:val="lightGray"/>
          <w:lang w:val="lt-LT" w:eastAsia="lt-LT"/>
        </w:rPr>
      </w:pPr>
      <w:bookmarkStart w:id="3" w:name="_Hlk174346830"/>
      <w:r w:rsidRPr="007A17B0">
        <w:rPr>
          <w:rFonts w:ascii="Times New Roman" w:eastAsia="MS Mincho" w:hAnsi="Times New Roman"/>
          <w:highlight w:val="lightGray"/>
          <w:lang w:val="lt-LT" w:eastAsia="lt-LT"/>
        </w:rPr>
        <w:t>Sanofi Winthrop Industrie</w:t>
      </w:r>
    </w:p>
    <w:p w:rsidR="00360324" w:rsidRPr="007A17B0" w:rsidRDefault="00360324" w:rsidP="00360324">
      <w:pPr>
        <w:spacing w:after="0" w:line="240" w:lineRule="auto"/>
        <w:rPr>
          <w:rFonts w:ascii="Times New Roman" w:eastAsia="MS Mincho" w:hAnsi="Times New Roman"/>
          <w:highlight w:val="lightGray"/>
          <w:lang w:val="lt-LT" w:eastAsia="lt-LT"/>
        </w:rPr>
      </w:pPr>
      <w:r w:rsidRPr="007A17B0">
        <w:rPr>
          <w:rFonts w:ascii="Times New Roman" w:eastAsia="MS Mincho" w:hAnsi="Times New Roman"/>
          <w:highlight w:val="lightGray"/>
          <w:lang w:val="lt-LT" w:eastAsia="lt-LT"/>
        </w:rPr>
        <w:t>1541 avenue Marcel Mérieux</w:t>
      </w:r>
    </w:p>
    <w:p w:rsidR="00360324" w:rsidRPr="007A17B0" w:rsidRDefault="00360324" w:rsidP="00360324">
      <w:pPr>
        <w:spacing w:after="0" w:line="240" w:lineRule="auto"/>
        <w:rPr>
          <w:rFonts w:ascii="Times New Roman" w:eastAsia="MS Mincho" w:hAnsi="Times New Roman"/>
          <w:highlight w:val="lightGray"/>
          <w:lang w:val="lt-LT" w:eastAsia="lt-LT"/>
        </w:rPr>
      </w:pPr>
      <w:r w:rsidRPr="007A17B0">
        <w:rPr>
          <w:rFonts w:ascii="Times New Roman" w:eastAsia="MS Mincho" w:hAnsi="Times New Roman"/>
          <w:highlight w:val="lightGray"/>
          <w:lang w:val="lt-LT" w:eastAsia="lt-LT"/>
        </w:rPr>
        <w:t>69280 Marcy l’Etoile</w:t>
      </w:r>
    </w:p>
    <w:p w:rsidR="00360324" w:rsidRPr="00211F80" w:rsidRDefault="00360324" w:rsidP="00360324">
      <w:pPr>
        <w:spacing w:after="0" w:line="240" w:lineRule="auto"/>
        <w:rPr>
          <w:rFonts w:ascii="Times New Roman" w:eastAsia="Times New Roman" w:hAnsi="Times New Roman"/>
          <w:highlight w:val="lightGray"/>
          <w:lang w:val="lt-LT"/>
        </w:rPr>
      </w:pPr>
      <w:r w:rsidRPr="007A17B0">
        <w:rPr>
          <w:rFonts w:ascii="Times New Roman" w:eastAsia="MS Mincho" w:hAnsi="Times New Roman"/>
          <w:highlight w:val="lightGray"/>
          <w:lang w:val="lt-LT" w:eastAsia="lt-LT"/>
        </w:rPr>
        <w:t>Prancūzija</w:t>
      </w:r>
      <w:bookmarkEnd w:id="3"/>
    </w:p>
    <w:p w:rsidR="00360324" w:rsidRDefault="00360324" w:rsidP="00360324">
      <w:pPr>
        <w:spacing w:after="0" w:line="240" w:lineRule="auto"/>
        <w:rPr>
          <w:rFonts w:ascii="Times New Roman" w:hAnsi="Times New Roman"/>
          <w:highlight w:val="lightGray"/>
          <w:lang w:val="lt-LT"/>
        </w:rPr>
      </w:pPr>
    </w:p>
    <w:p w:rsidR="00360324" w:rsidRPr="00471E70" w:rsidRDefault="00360324" w:rsidP="00360324">
      <w:pPr>
        <w:spacing w:after="0" w:line="240" w:lineRule="auto"/>
        <w:rPr>
          <w:rFonts w:ascii="Times New Roman" w:hAnsi="Times New Roman"/>
          <w:lang w:val="lt-LT"/>
        </w:rPr>
      </w:pPr>
      <w:r w:rsidRPr="000100E0">
        <w:rPr>
          <w:rFonts w:ascii="Times New Roman" w:hAnsi="Times New Roman"/>
          <w:highlight w:val="lightGray"/>
          <w:lang w:val="lt-LT"/>
        </w:rPr>
        <w:t>arba</w:t>
      </w:r>
      <w:r w:rsidRPr="00471E70">
        <w:rPr>
          <w:rFonts w:ascii="Times New Roman" w:eastAsia="Times New Roman" w:hAnsi="Times New Roman"/>
          <w:lang w:val="lt-LT"/>
        </w:rPr>
        <w:t xml:space="preserve"> </w:t>
      </w:r>
    </w:p>
    <w:p w:rsidR="00360324" w:rsidRPr="00471E70" w:rsidRDefault="00360324" w:rsidP="00360324">
      <w:pPr>
        <w:spacing w:after="0" w:line="240" w:lineRule="auto"/>
        <w:rPr>
          <w:rFonts w:ascii="Times New Roman" w:eastAsia="Times New Roman" w:hAnsi="Times New Roman"/>
          <w:highlight w:val="lightGray"/>
          <w:lang w:val="lt-LT"/>
        </w:rPr>
      </w:pPr>
    </w:p>
    <w:p w:rsidR="00360324" w:rsidRPr="007A17B0" w:rsidRDefault="00360324" w:rsidP="00360324">
      <w:pPr>
        <w:spacing w:after="0" w:line="240" w:lineRule="auto"/>
        <w:rPr>
          <w:rFonts w:ascii="Times New Roman" w:eastAsia="MS Mincho" w:hAnsi="Times New Roman"/>
          <w:highlight w:val="lightGray"/>
          <w:lang w:val="lt-LT" w:eastAsia="lt-LT"/>
        </w:rPr>
      </w:pPr>
      <w:bookmarkStart w:id="4" w:name="_Hlk174346854"/>
      <w:r w:rsidRPr="007A17B0">
        <w:rPr>
          <w:rFonts w:ascii="Times New Roman" w:eastAsia="MS Mincho" w:hAnsi="Times New Roman"/>
          <w:highlight w:val="lightGray"/>
          <w:lang w:val="lt-LT" w:eastAsia="lt-LT"/>
        </w:rPr>
        <w:t>Sanofi Winthrop Industrie</w:t>
      </w:r>
    </w:p>
    <w:p w:rsidR="00360324" w:rsidRDefault="00360324" w:rsidP="00360324">
      <w:pPr>
        <w:spacing w:after="0" w:line="240" w:lineRule="auto"/>
        <w:rPr>
          <w:rFonts w:ascii="Times New Roman" w:eastAsia="MS Mincho" w:hAnsi="Times New Roman"/>
          <w:highlight w:val="lightGray"/>
          <w:lang w:val="fr-FR" w:eastAsia="lt-LT"/>
        </w:rPr>
      </w:pPr>
      <w:r w:rsidRPr="007A17B0">
        <w:rPr>
          <w:rFonts w:ascii="Times New Roman" w:eastAsia="MS Mincho" w:hAnsi="Times New Roman"/>
          <w:highlight w:val="lightGray"/>
          <w:lang w:val="fr-FR" w:eastAsia="lt-LT"/>
        </w:rPr>
        <w:t xml:space="preserve">Voie de l’Institut - Parc Industriel </w:t>
      </w:r>
    </w:p>
    <w:p w:rsidR="00360324" w:rsidRPr="007A17B0" w:rsidRDefault="00360324" w:rsidP="00360324">
      <w:pPr>
        <w:spacing w:after="0" w:line="240" w:lineRule="auto"/>
        <w:rPr>
          <w:rFonts w:ascii="Times New Roman" w:eastAsia="MS Mincho" w:hAnsi="Times New Roman"/>
          <w:highlight w:val="lightGray"/>
          <w:lang w:val="fr-FR" w:eastAsia="lt-LT"/>
        </w:rPr>
      </w:pPr>
      <w:r w:rsidRPr="007A17B0">
        <w:rPr>
          <w:rFonts w:ascii="Times New Roman" w:eastAsia="MS Mincho" w:hAnsi="Times New Roman"/>
          <w:highlight w:val="lightGray"/>
          <w:lang w:val="fr-FR" w:eastAsia="lt-LT"/>
        </w:rPr>
        <w:t>d’Incarville</w:t>
      </w:r>
    </w:p>
    <w:p w:rsidR="00360324" w:rsidRDefault="00360324" w:rsidP="00360324">
      <w:pPr>
        <w:spacing w:after="0" w:line="240" w:lineRule="auto"/>
        <w:rPr>
          <w:rFonts w:ascii="Times New Roman" w:eastAsia="MS Mincho" w:hAnsi="Times New Roman"/>
          <w:highlight w:val="lightGray"/>
          <w:lang w:val="fr-FR" w:eastAsia="lt-LT"/>
        </w:rPr>
      </w:pPr>
      <w:r w:rsidRPr="007A17B0">
        <w:rPr>
          <w:rFonts w:ascii="Times New Roman" w:eastAsia="MS Mincho" w:hAnsi="Times New Roman"/>
          <w:highlight w:val="lightGray"/>
          <w:lang w:val="fr-FR" w:eastAsia="lt-LT"/>
        </w:rPr>
        <w:t>B.P 101</w:t>
      </w:r>
    </w:p>
    <w:p w:rsidR="00360324" w:rsidRPr="007A17B0" w:rsidRDefault="00360324" w:rsidP="00360324">
      <w:pPr>
        <w:spacing w:after="0" w:line="240" w:lineRule="auto"/>
        <w:rPr>
          <w:rFonts w:ascii="Times New Roman" w:eastAsia="MS Mincho" w:hAnsi="Times New Roman"/>
          <w:highlight w:val="lightGray"/>
          <w:lang w:val="lt-LT" w:eastAsia="lt-LT"/>
        </w:rPr>
      </w:pPr>
      <w:r w:rsidRPr="007A17B0">
        <w:rPr>
          <w:rFonts w:ascii="Times New Roman" w:eastAsia="MS Mincho" w:hAnsi="Times New Roman"/>
          <w:highlight w:val="lightGray"/>
          <w:lang w:val="fr-FR" w:eastAsia="lt-LT"/>
        </w:rPr>
        <w:t>27100 Val de Reuil</w:t>
      </w:r>
    </w:p>
    <w:p w:rsidR="00360324" w:rsidRPr="00471E70" w:rsidRDefault="00360324" w:rsidP="00360324">
      <w:pPr>
        <w:spacing w:after="0" w:line="240" w:lineRule="auto"/>
        <w:rPr>
          <w:rFonts w:ascii="Times New Roman" w:eastAsia="Times New Roman" w:hAnsi="Times New Roman"/>
          <w:lang w:val="lt-LT"/>
        </w:rPr>
      </w:pPr>
      <w:r w:rsidRPr="007A17B0">
        <w:rPr>
          <w:rFonts w:ascii="Times New Roman" w:eastAsia="MS Mincho" w:hAnsi="Times New Roman"/>
          <w:highlight w:val="lightGray"/>
          <w:lang w:val="lt-LT" w:eastAsia="lt-LT"/>
        </w:rPr>
        <w:t>Prancūzija</w:t>
      </w:r>
      <w:bookmarkEnd w:id="4"/>
    </w:p>
    <w:p w:rsidR="00360324" w:rsidRDefault="00360324" w:rsidP="00360324">
      <w:pPr>
        <w:spacing w:after="0" w:line="240" w:lineRule="auto"/>
        <w:rPr>
          <w:rFonts w:ascii="Times New Roman" w:eastAsia="Times New Roman" w:hAnsi="Times New Roman"/>
          <w:lang w:val="lt-LT"/>
        </w:rPr>
      </w:pPr>
    </w:p>
    <w:p w:rsidR="00360324" w:rsidRDefault="00360324" w:rsidP="00360324">
      <w:pPr>
        <w:spacing w:after="0" w:line="240" w:lineRule="auto"/>
        <w:rPr>
          <w:rFonts w:ascii="Times New Roman" w:eastAsia="Times New Roman" w:hAnsi="Times New Roman"/>
          <w:lang w:val="lt-LT" w:eastAsia="lt-LT"/>
        </w:rPr>
      </w:pPr>
      <w:r w:rsidRPr="00A7068E">
        <w:rPr>
          <w:rFonts w:ascii="Times New Roman" w:eastAsia="Times New Roman" w:hAnsi="Times New Roman"/>
          <w:highlight w:val="lightGray"/>
          <w:lang w:val="lt-LT"/>
        </w:rPr>
        <w:t>arba</w:t>
      </w:r>
    </w:p>
    <w:p w:rsidR="00360324" w:rsidRDefault="00360324" w:rsidP="00360324">
      <w:pPr>
        <w:spacing w:after="0" w:line="240" w:lineRule="auto"/>
        <w:rPr>
          <w:rFonts w:ascii="Times New Roman" w:eastAsia="Times New Roman" w:hAnsi="Times New Roman"/>
          <w:lang w:val="lt-LT" w:eastAsia="lt-LT"/>
        </w:rPr>
      </w:pPr>
    </w:p>
    <w:p w:rsidR="00360324" w:rsidRDefault="00360324" w:rsidP="00360324">
      <w:pPr>
        <w:tabs>
          <w:tab w:val="left" w:pos="3261"/>
        </w:tabs>
        <w:spacing w:after="0" w:line="240" w:lineRule="auto"/>
        <w:rPr>
          <w:rFonts w:ascii="Times New Roman" w:eastAsia="Times New Roman" w:hAnsi="Times New Roman"/>
          <w:iCs/>
          <w:lang w:val="fr-FR"/>
        </w:rPr>
      </w:pPr>
      <w:r w:rsidRPr="001A0D78">
        <w:rPr>
          <w:rFonts w:ascii="Times New Roman" w:eastAsia="Times New Roman" w:hAnsi="Times New Roman"/>
          <w:iCs/>
          <w:lang w:val="fr-FR"/>
        </w:rPr>
        <w:t>Sanofi-Aventis Zrt.</w:t>
      </w:r>
    </w:p>
    <w:p w:rsidR="00360324" w:rsidRDefault="00360324" w:rsidP="00360324">
      <w:pPr>
        <w:tabs>
          <w:tab w:val="left" w:pos="3261"/>
        </w:tabs>
        <w:spacing w:after="0" w:line="240" w:lineRule="auto"/>
        <w:rPr>
          <w:rFonts w:ascii="Times New Roman" w:eastAsia="Times New Roman" w:hAnsi="Times New Roman"/>
          <w:iCs/>
          <w:lang w:val="fr-FR"/>
        </w:rPr>
      </w:pPr>
      <w:r w:rsidRPr="001A0D78">
        <w:rPr>
          <w:rFonts w:ascii="Times New Roman" w:eastAsia="Times New Roman" w:hAnsi="Times New Roman"/>
          <w:iCs/>
          <w:lang w:val="fr-FR"/>
        </w:rPr>
        <w:t>Bdg. DC5 - Campona Utca 1.</w:t>
      </w:r>
    </w:p>
    <w:p w:rsidR="00360324" w:rsidRDefault="00360324" w:rsidP="00360324">
      <w:pPr>
        <w:tabs>
          <w:tab w:val="left" w:pos="3261"/>
        </w:tabs>
        <w:spacing w:after="0" w:line="240" w:lineRule="auto"/>
        <w:rPr>
          <w:rFonts w:ascii="Times New Roman" w:eastAsia="Times New Roman" w:hAnsi="Times New Roman"/>
          <w:iCs/>
          <w:lang w:val="fr-FR"/>
        </w:rPr>
      </w:pPr>
      <w:r w:rsidRPr="001A0D78">
        <w:rPr>
          <w:rFonts w:ascii="Times New Roman" w:eastAsia="Times New Roman" w:hAnsi="Times New Roman"/>
          <w:iCs/>
          <w:lang w:val="fr-FR"/>
        </w:rPr>
        <w:t>Budapest XXII</w:t>
      </w:r>
    </w:p>
    <w:p w:rsidR="00360324" w:rsidRDefault="00360324" w:rsidP="00360324">
      <w:pPr>
        <w:tabs>
          <w:tab w:val="left" w:pos="3261"/>
        </w:tabs>
        <w:spacing w:after="0" w:line="240" w:lineRule="auto"/>
        <w:rPr>
          <w:rFonts w:ascii="Times New Roman" w:eastAsia="Times New Roman" w:hAnsi="Times New Roman"/>
          <w:iCs/>
          <w:lang w:val="fr-FR"/>
        </w:rPr>
      </w:pPr>
      <w:r w:rsidRPr="001A0D78">
        <w:rPr>
          <w:rFonts w:ascii="Times New Roman" w:eastAsia="Times New Roman" w:hAnsi="Times New Roman"/>
          <w:iCs/>
          <w:lang w:val="fr-FR"/>
        </w:rPr>
        <w:t>1225 Budapest</w:t>
      </w:r>
    </w:p>
    <w:p w:rsidR="00360324" w:rsidRPr="00787572" w:rsidRDefault="00360324" w:rsidP="00360324">
      <w:pPr>
        <w:spacing w:after="0" w:line="240" w:lineRule="auto"/>
        <w:rPr>
          <w:rFonts w:ascii="Times New Roman" w:eastAsia="Times New Roman" w:hAnsi="Times New Roman"/>
          <w:lang w:val="lt-LT" w:eastAsia="lt-LT"/>
        </w:rPr>
      </w:pPr>
      <w:r w:rsidRPr="001A0D78">
        <w:rPr>
          <w:rFonts w:ascii="Times New Roman" w:eastAsia="Times New Roman" w:hAnsi="Times New Roman"/>
          <w:iCs/>
          <w:lang w:val="fr-FR"/>
        </w:rPr>
        <w:t>Vengrija</w:t>
      </w:r>
    </w:p>
    <w:p w:rsidR="00360324" w:rsidRPr="00787572" w:rsidRDefault="00360324" w:rsidP="00360324">
      <w:pPr>
        <w:spacing w:after="0" w:line="240" w:lineRule="auto"/>
        <w:rPr>
          <w:rFonts w:ascii="Times New Roman" w:eastAsia="Times New Roman" w:hAnsi="Times New Roman"/>
          <w:b/>
          <w:lang w:val="lt-LT"/>
        </w:rPr>
      </w:pPr>
    </w:p>
    <w:p w:rsidR="00360324" w:rsidRPr="003466E1" w:rsidRDefault="00360324" w:rsidP="00360324">
      <w:pPr>
        <w:spacing w:after="0" w:line="240" w:lineRule="auto"/>
        <w:rPr>
          <w:rFonts w:ascii="Times New Roman" w:hAnsi="Times New Roman"/>
        </w:rPr>
      </w:pPr>
      <w:r w:rsidRPr="003466E1">
        <w:rPr>
          <w:rFonts w:ascii="Times New Roman" w:hAnsi="Times New Roman"/>
        </w:rPr>
        <w:t>Jeigu apie šį vaistą norite sužinoti daugiau, kreipkitės į vietinį registruotojo atstovą</w:t>
      </w:r>
      <w:r>
        <w:rPr>
          <w:rFonts w:ascii="Times New Roman" w:hAnsi="Times New Roman"/>
        </w:rPr>
        <w:t>:</w:t>
      </w:r>
    </w:p>
    <w:p w:rsidR="00360324" w:rsidRPr="003466E1" w:rsidRDefault="00360324" w:rsidP="00360324">
      <w:pPr>
        <w:spacing w:after="0" w:line="240" w:lineRule="auto"/>
        <w:rPr>
          <w:rFonts w:ascii="Times New Roman" w:hAnsi="Times New Roman"/>
        </w:rPr>
      </w:pPr>
    </w:p>
    <w:p w:rsidR="00360324" w:rsidRPr="003466E1" w:rsidRDefault="00360324" w:rsidP="00360324">
      <w:pPr>
        <w:spacing w:after="0" w:line="240" w:lineRule="auto"/>
        <w:rPr>
          <w:rFonts w:ascii="Times New Roman" w:hAnsi="Times New Roman"/>
        </w:rPr>
      </w:pPr>
      <w:r w:rsidRPr="003466E1">
        <w:rPr>
          <w:rFonts w:ascii="Times New Roman" w:hAnsi="Times New Roman"/>
        </w:rPr>
        <w:t>UAB „Swixx Biopharma“</w:t>
      </w:r>
    </w:p>
    <w:p w:rsidR="00360324" w:rsidRPr="003466E1" w:rsidRDefault="00360324" w:rsidP="00360324">
      <w:pPr>
        <w:spacing w:after="0" w:line="240" w:lineRule="auto"/>
        <w:rPr>
          <w:rFonts w:ascii="Times New Roman" w:hAnsi="Times New Roman"/>
        </w:rPr>
      </w:pPr>
      <w:r w:rsidRPr="003466E1">
        <w:rPr>
          <w:rFonts w:ascii="Times New Roman" w:hAnsi="Times New Roman"/>
        </w:rPr>
        <w:t>Bokšto g. 1-3</w:t>
      </w:r>
    </w:p>
    <w:p w:rsidR="00360324" w:rsidRPr="003466E1" w:rsidRDefault="00360324" w:rsidP="00360324">
      <w:pPr>
        <w:spacing w:after="0" w:line="240" w:lineRule="auto"/>
        <w:rPr>
          <w:rFonts w:ascii="Times New Roman" w:hAnsi="Times New Roman"/>
        </w:rPr>
      </w:pPr>
      <w:r w:rsidRPr="003466E1">
        <w:rPr>
          <w:rFonts w:ascii="Times New Roman" w:hAnsi="Times New Roman"/>
        </w:rPr>
        <w:t>LT-01126 Vilnius</w:t>
      </w:r>
    </w:p>
    <w:p w:rsidR="00360324" w:rsidRPr="003466E1" w:rsidRDefault="00360324" w:rsidP="00360324">
      <w:pPr>
        <w:spacing w:after="0" w:line="240" w:lineRule="auto"/>
        <w:rPr>
          <w:rFonts w:ascii="Times New Roman" w:hAnsi="Times New Roman"/>
        </w:rPr>
      </w:pPr>
      <w:r w:rsidRPr="003466E1">
        <w:rPr>
          <w:rFonts w:ascii="Times New Roman" w:hAnsi="Times New Roman"/>
        </w:rPr>
        <w:t>Lietuva</w:t>
      </w:r>
    </w:p>
    <w:p w:rsidR="00360324" w:rsidRPr="003466E1" w:rsidRDefault="00360324" w:rsidP="00360324">
      <w:pPr>
        <w:spacing w:after="0" w:line="240" w:lineRule="auto"/>
        <w:rPr>
          <w:rFonts w:ascii="Times New Roman" w:hAnsi="Times New Roman"/>
        </w:rPr>
      </w:pPr>
      <w:r w:rsidRPr="003466E1">
        <w:rPr>
          <w:rFonts w:ascii="Times New Roman" w:hAnsi="Times New Roman"/>
        </w:rPr>
        <w:lastRenderedPageBreak/>
        <w:t>Tel.: +370 5 236 9140</w:t>
      </w:r>
    </w:p>
    <w:p w:rsidR="00360324" w:rsidRPr="00787572" w:rsidRDefault="00360324" w:rsidP="00360324">
      <w:pPr>
        <w:spacing w:after="0" w:line="240" w:lineRule="auto"/>
        <w:rPr>
          <w:rFonts w:ascii="Times New Roman" w:eastAsia="Times New Roman" w:hAnsi="Times New Roman"/>
          <w:lang w:val="lt-LT"/>
        </w:rPr>
      </w:pPr>
    </w:p>
    <w:p w:rsidR="00360324" w:rsidRPr="00B026D7" w:rsidRDefault="00360324" w:rsidP="00360324">
      <w:pPr>
        <w:spacing w:after="0" w:line="240" w:lineRule="auto"/>
        <w:jc w:val="both"/>
        <w:rPr>
          <w:rFonts w:ascii="Times New Roman" w:eastAsia="Times New Roman" w:hAnsi="Times New Roman"/>
          <w:b/>
          <w:bCs/>
          <w:lang w:val="lt-LT"/>
        </w:rPr>
      </w:pPr>
      <w:r w:rsidRPr="00787572">
        <w:rPr>
          <w:rFonts w:ascii="Times New Roman" w:eastAsia="Times New Roman" w:hAnsi="Times New Roman"/>
          <w:b/>
          <w:lang w:val="lt-LT"/>
        </w:rPr>
        <w:t xml:space="preserve">Šis pakuotės lapelis paskutinį kartą </w:t>
      </w:r>
      <w:r w:rsidRPr="001E1DFA">
        <w:rPr>
          <w:rFonts w:ascii="Times New Roman" w:eastAsia="Times New Roman" w:hAnsi="Times New Roman"/>
          <w:b/>
          <w:lang w:val="lt-LT"/>
        </w:rPr>
        <w:t>peržiūrėtas</w:t>
      </w:r>
      <w:r w:rsidRPr="001E1DFA">
        <w:rPr>
          <w:rFonts w:ascii="Times New Roman" w:eastAsia="Times New Roman" w:hAnsi="Times New Roman"/>
          <w:lang w:val="lt-LT"/>
        </w:rPr>
        <w:t xml:space="preserve"> </w:t>
      </w:r>
      <w:r>
        <w:rPr>
          <w:rFonts w:ascii="Times New Roman" w:eastAsia="Times New Roman" w:hAnsi="Times New Roman"/>
          <w:b/>
          <w:lang w:val="lt-LT"/>
        </w:rPr>
        <w:t>2025-03-24.</w:t>
      </w:r>
    </w:p>
    <w:p w:rsidR="00360324" w:rsidRPr="007A2371" w:rsidRDefault="00360324" w:rsidP="00360324">
      <w:pPr>
        <w:spacing w:after="0" w:line="240" w:lineRule="auto"/>
        <w:jc w:val="both"/>
        <w:rPr>
          <w:rFonts w:ascii="Times New Roman" w:eastAsia="Times New Roman" w:hAnsi="Times New Roman"/>
          <w:b/>
          <w:lang w:val="lt-LT"/>
        </w:rPr>
      </w:pPr>
    </w:p>
    <w:p w:rsidR="00360324" w:rsidRPr="00BF7E37" w:rsidRDefault="00360324" w:rsidP="00360324">
      <w:pPr>
        <w:spacing w:after="0" w:line="240" w:lineRule="auto"/>
        <w:jc w:val="both"/>
        <w:rPr>
          <w:rFonts w:ascii="Times New Roman" w:eastAsia="Times New Roman" w:hAnsi="Times New Roman"/>
          <w:b/>
          <w:bCs/>
          <w:lang w:val="lt-LT"/>
        </w:rPr>
      </w:pPr>
      <w:bookmarkStart w:id="5" w:name="_Hlk174379433"/>
      <w:r w:rsidRPr="00BF7E37">
        <w:rPr>
          <w:rFonts w:ascii="Times New Roman" w:eastAsia="Times New Roman" w:hAnsi="Times New Roman"/>
          <w:b/>
          <w:bCs/>
          <w:lang w:val="lt-LT"/>
        </w:rPr>
        <w:t>Kiti informacijos šaltiniai</w:t>
      </w:r>
      <w:bookmarkEnd w:id="5"/>
    </w:p>
    <w:p w:rsidR="00360324" w:rsidRPr="00787572" w:rsidRDefault="00360324" w:rsidP="00360324">
      <w:pPr>
        <w:spacing w:after="0" w:line="240" w:lineRule="auto"/>
        <w:jc w:val="both"/>
        <w:rPr>
          <w:rFonts w:ascii="Times New Roman" w:eastAsia="Times New Roman" w:hAnsi="Times New Roman"/>
          <w:bCs/>
          <w:lang w:val="lt-LT"/>
        </w:rPr>
      </w:pPr>
    </w:p>
    <w:p w:rsidR="00360324" w:rsidRPr="00787572" w:rsidRDefault="00360324" w:rsidP="00360324">
      <w:pPr>
        <w:numPr>
          <w:ilvl w:val="12"/>
          <w:numId w:val="0"/>
        </w:numPr>
        <w:tabs>
          <w:tab w:val="left" w:pos="567"/>
        </w:tabs>
        <w:spacing w:after="0" w:line="240" w:lineRule="auto"/>
        <w:ind w:right="-2"/>
        <w:rPr>
          <w:rFonts w:ascii="Times New Roman" w:eastAsia="Times New Roman" w:hAnsi="Times New Roman"/>
          <w:snapToGrid w:val="0"/>
          <w:lang w:val="lt-LT"/>
        </w:rPr>
      </w:pPr>
      <w:r w:rsidRPr="00787572">
        <w:rPr>
          <w:rFonts w:ascii="Times New Roman" w:eastAsia="Times New Roman" w:hAnsi="Times New Roman"/>
          <w:snapToGrid w:val="0"/>
          <w:lang w:val="lt-LT"/>
        </w:rPr>
        <w:t>Išsami informacija apie šį vaistą pateikiama Valstybinės vaistų kontrolės tarnybos prie Lietuvos Respublikos sveikatos apsaugos ministerijos tinklalapyje</w:t>
      </w:r>
      <w:r w:rsidRPr="00787572">
        <w:rPr>
          <w:rFonts w:ascii="Times New Roman" w:eastAsia="Times New Roman" w:hAnsi="Times New Roman"/>
          <w:i/>
          <w:snapToGrid w:val="0"/>
          <w:lang w:val="lt-LT"/>
        </w:rPr>
        <w:t xml:space="preserve"> </w:t>
      </w:r>
      <w:hyperlink r:id="rId6" w:history="1">
        <w:r w:rsidRPr="007A17B0">
          <w:rPr>
            <w:rFonts w:ascii="Times New Roman" w:eastAsia="Times New Roman" w:hAnsi="Times New Roman"/>
            <w:color w:val="0000FF"/>
            <w:u w:val="single"/>
            <w:lang w:val="lt-LT" w:eastAsia="lt-LT"/>
          </w:rPr>
          <w:t>https://vvkt.lrv.lt/lt/</w:t>
        </w:r>
      </w:hyperlink>
      <w:r w:rsidRPr="00787572">
        <w:rPr>
          <w:rFonts w:ascii="Times New Roman" w:eastAsia="Times New Roman" w:hAnsi="Times New Roman"/>
          <w:snapToGrid w:val="0"/>
          <w:lang w:val="lt-LT"/>
        </w:rPr>
        <w:t>.</w:t>
      </w:r>
    </w:p>
    <w:p w:rsidR="00360324" w:rsidRPr="00787572" w:rsidRDefault="00360324" w:rsidP="00360324">
      <w:pPr>
        <w:spacing w:after="0" w:line="240" w:lineRule="auto"/>
        <w:jc w:val="both"/>
        <w:rPr>
          <w:rFonts w:ascii="Times New Roman" w:eastAsia="Times New Roman" w:hAnsi="Times New Roman"/>
          <w:u w:val="single"/>
          <w:lang w:val="lt-LT"/>
        </w:rPr>
      </w:pPr>
    </w:p>
    <w:p w:rsidR="00360324" w:rsidRPr="00787572" w:rsidRDefault="00360324" w:rsidP="00360324">
      <w:pPr>
        <w:spacing w:after="0" w:line="240" w:lineRule="auto"/>
        <w:rPr>
          <w:rFonts w:ascii="Times New Roman" w:eastAsia="Times New Roman" w:hAnsi="Times New Roman"/>
          <w:lang w:val="lt-LT"/>
        </w:rPr>
      </w:pPr>
      <w:bookmarkStart w:id="6" w:name="_Hlk174377996"/>
      <w:r w:rsidRPr="00787572">
        <w:rPr>
          <w:rFonts w:ascii="Times New Roman" w:eastAsia="Times New Roman" w:hAnsi="Times New Roman"/>
          <w:lang w:val="lt-LT"/>
        </w:rPr>
        <w:t>--------------------------------------------------------------------------------------------------------------------</w:t>
      </w:r>
      <w:bookmarkEnd w:id="6"/>
    </w:p>
    <w:p w:rsidR="00360324" w:rsidRPr="00787572" w:rsidRDefault="00360324" w:rsidP="00360324">
      <w:pPr>
        <w:spacing w:after="0" w:line="240" w:lineRule="auto"/>
        <w:jc w:val="both"/>
        <w:rPr>
          <w:rFonts w:ascii="Times New Roman" w:eastAsia="Times New Roman" w:hAnsi="Times New Roman"/>
          <w:lang w:val="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Toliau pateikta informacija skirta tik sveikatos priežiūros specialistams:</w:t>
      </w:r>
    </w:p>
    <w:p w:rsidR="00360324" w:rsidRPr="00787572" w:rsidRDefault="00360324" w:rsidP="00360324">
      <w:pPr>
        <w:spacing w:after="0" w:line="240" w:lineRule="auto"/>
        <w:rPr>
          <w:rFonts w:ascii="Times New Roman" w:eastAsia="Times New Roman" w:hAnsi="Times New Roman"/>
          <w:u w:val="single"/>
          <w:lang w:val="lt-LT"/>
        </w:rPr>
      </w:pP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Prieš vartojant vakciną reikia palaikyti kelias minutes kambario temperatūroje. Prieš pat vartojimą vakciną reikia gerai sumaišyti ir apžiūrėti ar tirpale nėra matomų dalelių ir ar nepakitusios fizinės savybės. Pakitusią vakciną reikia sunaikinti.</w:t>
      </w:r>
    </w:p>
    <w:p w:rsidR="00360324" w:rsidRPr="00787572" w:rsidRDefault="00360324" w:rsidP="00360324">
      <w:pPr>
        <w:spacing w:after="0" w:line="240" w:lineRule="auto"/>
        <w:rPr>
          <w:rFonts w:ascii="Times New Roman" w:eastAsia="Times New Roman" w:hAnsi="Times New Roman"/>
          <w:lang w:val="lt-LT"/>
        </w:rPr>
      </w:pPr>
      <w:r w:rsidRPr="00787572">
        <w:rPr>
          <w:rFonts w:ascii="Times New Roman" w:eastAsia="Times New Roman" w:hAnsi="Times New Roman"/>
          <w:lang w:val="lt-LT"/>
        </w:rPr>
        <w:t>Nepanaudotą vakciną reikia išpilti į atitinkamą dezinfekcinį tirpalą.</w:t>
      </w:r>
    </w:p>
    <w:p w:rsidR="00360324" w:rsidRPr="00787572" w:rsidRDefault="00360324" w:rsidP="00360324">
      <w:pPr>
        <w:spacing w:after="0" w:line="240" w:lineRule="auto"/>
        <w:rPr>
          <w:rFonts w:ascii="Times New Roman" w:eastAsia="Times New Roman" w:hAnsi="Times New Roman"/>
          <w:lang w:val="lt-LT"/>
        </w:rPr>
      </w:pPr>
    </w:p>
    <w:p w:rsidR="00360324" w:rsidRPr="00816643" w:rsidRDefault="00360324" w:rsidP="00360324">
      <w:pPr>
        <w:rPr>
          <w:lang w:val="lt-LT"/>
        </w:rPr>
      </w:pPr>
    </w:p>
    <w:p w:rsidR="00BA6577" w:rsidRDefault="00BA6577">
      <w:bookmarkStart w:id="7" w:name="_GoBack"/>
      <w:bookmarkEnd w:id="7"/>
    </w:p>
    <w:sectPr w:rsidR="00BA6577" w:rsidSect="00816643">
      <w:headerReference w:type="default" r:id="rId7"/>
      <w:footerReference w:type="even" r:id="rId8"/>
      <w:footerReference w:type="default" r:id="rId9"/>
      <w:pgSz w:w="11906" w:h="16838"/>
      <w:pgMar w:top="1134" w:right="1418" w:bottom="1134" w:left="1418" w:header="737" w:footer="737" w:gutter="0"/>
      <w:cols w:space="12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7E" w:rsidRDefault="00360324" w:rsidP="008166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rsidR="002F4E7E" w:rsidRDefault="00360324">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7E" w:rsidRDefault="00360324" w:rsidP="00816643">
    <w:pPr>
      <w:pStyle w:val="Porat"/>
      <w:framePr w:wrap="around" w:vAnchor="text" w:hAnchor="margin" w:xAlign="right"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5</w:t>
    </w:r>
    <w:r>
      <w:rPr>
        <w:rStyle w:val="Puslapionumeris"/>
      </w:rPr>
      <w:fldChar w:fldCharType="end"/>
    </w:r>
  </w:p>
  <w:p w:rsidR="002F4E7E" w:rsidRDefault="00360324">
    <w:pPr>
      <w:pStyle w:val="Porat"/>
      <w:ind w:right="360"/>
    </w:pPr>
  </w:p>
</w:ftr>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4E7E" w:rsidRDefault="00360324">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4752E5"/>
    <w:multiLevelType w:val="hybridMultilevel"/>
    <w:tmpl w:val="EE3890B0"/>
    <w:lvl w:ilvl="0" w:tplc="BFB06B46">
      <w:start w:val="2003"/>
      <w:numFmt w:val="bullet"/>
      <w:lvlText w:val="-"/>
      <w:lvlJc w:val="left"/>
      <w:pPr>
        <w:tabs>
          <w:tab w:val="num" w:pos="930"/>
        </w:tabs>
        <w:ind w:left="930" w:hanging="570"/>
      </w:pPr>
      <w:rPr>
        <w:rFonts w:ascii="Times New Roman" w:eastAsia="Times New Roman" w:hAnsi="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4F873958"/>
    <w:multiLevelType w:val="hybridMultilevel"/>
    <w:tmpl w:val="560C71B6"/>
    <w:lvl w:ilvl="0" w:tplc="F3545F32">
      <w:start w:val="2"/>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15:restartNumberingAfterBreak="0">
    <w:nsid w:val="57553013"/>
    <w:multiLevelType w:val="hybridMultilevel"/>
    <w:tmpl w:val="D9CAA90E"/>
    <w:lvl w:ilvl="0" w:tplc="66868DC4">
      <w:start w:val="1"/>
      <w:numFmt w:val="bullet"/>
      <w:lvlText w:val="-"/>
      <w:lvlJc w:val="left"/>
      <w:pPr>
        <w:tabs>
          <w:tab w:val="num" w:pos="360"/>
        </w:tabs>
        <w:ind w:left="360" w:hanging="360"/>
      </w:pPr>
      <w:rPr>
        <w:rFonts w:ascii="Times New Roman" w:hAnsi="Times New Roman" w:hint="default"/>
      </w:rPr>
    </w:lvl>
    <w:lvl w:ilvl="1" w:tplc="04270003" w:tentative="1">
      <w:start w:val="1"/>
      <w:numFmt w:val="bullet"/>
      <w:lvlText w:val="o"/>
      <w:lvlJc w:val="left"/>
      <w:pPr>
        <w:tabs>
          <w:tab w:val="num" w:pos="360"/>
        </w:tabs>
        <w:ind w:left="360" w:hanging="360"/>
      </w:pPr>
      <w:rPr>
        <w:rFonts w:ascii="Courier New" w:hAnsi="Courier New" w:hint="default"/>
      </w:rPr>
    </w:lvl>
    <w:lvl w:ilvl="2" w:tplc="04270005" w:tentative="1">
      <w:start w:val="1"/>
      <w:numFmt w:val="bullet"/>
      <w:lvlText w:val=""/>
      <w:lvlJc w:val="left"/>
      <w:pPr>
        <w:tabs>
          <w:tab w:val="num" w:pos="1080"/>
        </w:tabs>
        <w:ind w:left="1080" w:hanging="360"/>
      </w:pPr>
      <w:rPr>
        <w:rFonts w:ascii="Wingdings" w:hAnsi="Wingdings" w:hint="default"/>
      </w:rPr>
    </w:lvl>
    <w:lvl w:ilvl="3" w:tplc="04270001" w:tentative="1">
      <w:start w:val="1"/>
      <w:numFmt w:val="bullet"/>
      <w:lvlText w:val=""/>
      <w:lvlJc w:val="left"/>
      <w:pPr>
        <w:tabs>
          <w:tab w:val="num" w:pos="1800"/>
        </w:tabs>
        <w:ind w:left="1800" w:hanging="360"/>
      </w:pPr>
      <w:rPr>
        <w:rFonts w:ascii="Symbol" w:hAnsi="Symbol" w:hint="default"/>
      </w:rPr>
    </w:lvl>
    <w:lvl w:ilvl="4" w:tplc="04270003" w:tentative="1">
      <w:start w:val="1"/>
      <w:numFmt w:val="bullet"/>
      <w:lvlText w:val="o"/>
      <w:lvlJc w:val="left"/>
      <w:pPr>
        <w:tabs>
          <w:tab w:val="num" w:pos="2520"/>
        </w:tabs>
        <w:ind w:left="2520" w:hanging="360"/>
      </w:pPr>
      <w:rPr>
        <w:rFonts w:ascii="Courier New" w:hAnsi="Courier New" w:hint="default"/>
      </w:rPr>
    </w:lvl>
    <w:lvl w:ilvl="5" w:tplc="04270005" w:tentative="1">
      <w:start w:val="1"/>
      <w:numFmt w:val="bullet"/>
      <w:lvlText w:val=""/>
      <w:lvlJc w:val="left"/>
      <w:pPr>
        <w:tabs>
          <w:tab w:val="num" w:pos="3240"/>
        </w:tabs>
        <w:ind w:left="3240" w:hanging="360"/>
      </w:pPr>
      <w:rPr>
        <w:rFonts w:ascii="Wingdings" w:hAnsi="Wingdings" w:hint="default"/>
      </w:rPr>
    </w:lvl>
    <w:lvl w:ilvl="6" w:tplc="04270001" w:tentative="1">
      <w:start w:val="1"/>
      <w:numFmt w:val="bullet"/>
      <w:lvlText w:val=""/>
      <w:lvlJc w:val="left"/>
      <w:pPr>
        <w:tabs>
          <w:tab w:val="num" w:pos="3960"/>
        </w:tabs>
        <w:ind w:left="3960" w:hanging="360"/>
      </w:pPr>
      <w:rPr>
        <w:rFonts w:ascii="Symbol" w:hAnsi="Symbol" w:hint="default"/>
      </w:rPr>
    </w:lvl>
    <w:lvl w:ilvl="7" w:tplc="04270003" w:tentative="1">
      <w:start w:val="1"/>
      <w:numFmt w:val="bullet"/>
      <w:lvlText w:val="o"/>
      <w:lvlJc w:val="left"/>
      <w:pPr>
        <w:tabs>
          <w:tab w:val="num" w:pos="4680"/>
        </w:tabs>
        <w:ind w:left="4680" w:hanging="360"/>
      </w:pPr>
      <w:rPr>
        <w:rFonts w:ascii="Courier New" w:hAnsi="Courier New" w:hint="default"/>
      </w:rPr>
    </w:lvl>
    <w:lvl w:ilvl="8" w:tplc="04270005" w:tentative="1">
      <w:start w:val="1"/>
      <w:numFmt w:val="bullet"/>
      <w:lvlText w:val=""/>
      <w:lvlJc w:val="left"/>
      <w:pPr>
        <w:tabs>
          <w:tab w:val="num" w:pos="5400"/>
        </w:tabs>
        <w:ind w:left="540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1296"/>
  <w:hyphenationZone w:val="396"/>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60324"/>
    <w:rsid w:val="00072F85"/>
    <w:rsid w:val="000A5E72"/>
    <w:rsid w:val="000A7B60"/>
    <w:rsid w:val="00181364"/>
    <w:rsid w:val="002945D9"/>
    <w:rsid w:val="00305C48"/>
    <w:rsid w:val="003362C6"/>
    <w:rsid w:val="00360324"/>
    <w:rsid w:val="00497D4D"/>
    <w:rsid w:val="00742EBF"/>
    <w:rsid w:val="00B4219F"/>
    <w:rsid w:val="00BA6577"/>
    <w:rsid w:val="00C30905"/>
    <w:rsid w:val="00D358F2"/>
    <w:rsid w:val="00E76721"/>
    <w:rsid w:val="00EF4A4D"/>
    <w:rsid w:val="00FA6371"/>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F4EB06-9E61-4020-890F-745E4D0CA3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360324"/>
    <w:pPr>
      <w:spacing w:after="200" w:line="276" w:lineRule="auto"/>
    </w:pPr>
    <w:rPr>
      <w:rFonts w:ascii="Calibri" w:eastAsia="Calibri" w:hAnsi="Calibri" w:cs="Times New Roman"/>
      <w:lang w:val="en-US"/>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360324"/>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360324"/>
    <w:rPr>
      <w:rFonts w:ascii="Calibri" w:eastAsia="Calibri" w:hAnsi="Calibri" w:cs="Times New Roman"/>
      <w:lang w:val="en-US"/>
    </w:rPr>
  </w:style>
  <w:style w:type="character" w:styleId="Puslapionumeris">
    <w:name w:val="page number"/>
    <w:uiPriority w:val="99"/>
    <w:rsid w:val="00360324"/>
    <w:rPr>
      <w:rFonts w:cs="Times New Roman"/>
    </w:rPr>
  </w:style>
  <w:style w:type="paragraph" w:styleId="Antrats">
    <w:name w:val="header"/>
    <w:basedOn w:val="prastasis"/>
    <w:link w:val="AntratsDiagrama"/>
    <w:uiPriority w:val="99"/>
    <w:unhideWhenUsed/>
    <w:rsid w:val="00360324"/>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360324"/>
    <w:rPr>
      <w:rFonts w:ascii="Calibri" w:eastAsia="Calibri" w:hAnsi="Calibri" w:cs="Times New Roman"/>
      <w:lang w:val="en-US"/>
    </w:rPr>
  </w:style>
  <w:style w:type="paragraph" w:styleId="Sraopastraipa">
    <w:name w:val="List Paragraph"/>
    <w:basedOn w:val="prastasis"/>
    <w:uiPriority w:val="34"/>
    <w:qFormat/>
    <w:rsid w:val="00360324"/>
    <w:pPr>
      <w:ind w:left="720"/>
      <w:contextualSpacing/>
    </w:pPr>
  </w:style>
  <w:style w:type="character" w:styleId="Hipersaitas">
    <w:name w:val="Hyperlink"/>
    <w:basedOn w:val="Numatytasispastraiposriftas"/>
    <w:uiPriority w:val="99"/>
    <w:unhideWhenUsed/>
    <w:rsid w:val="003603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vvkt.lrv.lt/lt/" TargetMode="External"/><Relationship Id="rId11" Type="http://schemas.openxmlformats.org/officeDocument/2006/relationships/theme" Target="theme/theme1.xml"/><Relationship Id="rId5" Type="http://schemas.openxmlformats.org/officeDocument/2006/relationships/hyperlink" Target="https://vvkt.lrv.lt/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6440</Words>
  <Characters>3672</Characters>
  <Application>Microsoft Office Word</Application>
  <DocSecurity>0</DocSecurity>
  <Lines>30</Lines>
  <Paragraphs>20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10092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Albina Burkauskaitė</dc:creator>
  <cp:keywords/>
  <dc:description/>
  <cp:lastModifiedBy>Albina Burkauskaitė</cp:lastModifiedBy>
  <cp:revision>1</cp:revision>
  <dcterms:created xsi:type="dcterms:W3CDTF">2025-03-24T12:27:00Z</dcterms:created>
  <dcterms:modified xsi:type="dcterms:W3CDTF">2025-03-24T12:28:00Z</dcterms:modified>
</cp:coreProperties>
</file>