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2618"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9F22B8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A7BC3F6"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91994E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5712D6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01E825C3"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41FD4CAF"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D739AD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4706E1BF"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E0F4176"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A4F4D58"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F56FE04"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75B9926"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00F1B66"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E9AF4A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49A90B14"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751AD8B3"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1F85473"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4ECC7859"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1531CD7E" w14:textId="77777777" w:rsidR="009C0CD0" w:rsidRPr="009C0CD0" w:rsidRDefault="009C0CD0" w:rsidP="009C0CD0">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9C0CD0">
        <w:rPr>
          <w:rFonts w:ascii="Times New Roman" w:eastAsia="Times New Roman" w:hAnsi="Times New Roman" w:cs="Times New Roman"/>
          <w:b/>
          <w:caps/>
          <w:kern w:val="0"/>
          <w:sz w:val="22"/>
          <w:szCs w:val="22"/>
          <w14:ligatures w14:val="none"/>
        </w:rPr>
        <w:t>B. PAKUOTĖS LAPELIS</w:t>
      </w:r>
    </w:p>
    <w:p w14:paraId="32A5287A" w14:textId="77777777" w:rsidR="009C0CD0" w:rsidRPr="009C0CD0" w:rsidRDefault="009C0CD0" w:rsidP="009C0CD0">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9C0CD0">
        <w:rPr>
          <w:rFonts w:ascii="Times New Roman" w:eastAsia="Times New Roman" w:hAnsi="Times New Roman" w:cs="Times New Roman"/>
          <w:b/>
          <w:caps/>
          <w:kern w:val="0"/>
          <w:sz w:val="22"/>
          <w:szCs w:val="22"/>
          <w14:ligatures w14:val="none"/>
        </w:rPr>
        <w:br w:type="page"/>
      </w:r>
      <w:bookmarkStart w:id="0" w:name="_Toc129243263"/>
      <w:bookmarkStart w:id="1" w:name="_Toc129243138"/>
      <w:r w:rsidRPr="009C0CD0">
        <w:rPr>
          <w:rFonts w:ascii="Times New Roman" w:eastAsia="Times New Roman" w:hAnsi="Times New Roman" w:cs="Times New Roman"/>
          <w:b/>
          <w:kern w:val="0"/>
          <w:sz w:val="22"/>
          <w:szCs w:val="22"/>
          <w14:ligatures w14:val="none"/>
        </w:rPr>
        <w:lastRenderedPageBreak/>
        <w:t>Pakuotės lapelis: informacija vartotojui</w:t>
      </w:r>
      <w:bookmarkEnd w:id="0"/>
      <w:bookmarkEnd w:id="1"/>
    </w:p>
    <w:p w14:paraId="050E91A9" w14:textId="77777777" w:rsidR="009C0CD0" w:rsidRPr="009C0CD0" w:rsidRDefault="009C0CD0" w:rsidP="009C0CD0">
      <w:pPr>
        <w:spacing w:after="0" w:line="240" w:lineRule="auto"/>
        <w:jc w:val="center"/>
        <w:rPr>
          <w:rFonts w:ascii="Times New Roman" w:eastAsia="Calibri" w:hAnsi="Times New Roman" w:cs="Times New Roman"/>
          <w:b/>
          <w:kern w:val="0"/>
          <w:sz w:val="22"/>
          <w:szCs w:val="22"/>
          <w14:ligatures w14:val="none"/>
        </w:rPr>
      </w:pPr>
    </w:p>
    <w:p w14:paraId="1AF6C2DC" w14:textId="77777777" w:rsidR="009C0CD0" w:rsidRPr="009C0CD0" w:rsidRDefault="009C0CD0" w:rsidP="009C0CD0">
      <w:pPr>
        <w:spacing w:after="0" w:line="240" w:lineRule="auto"/>
        <w:jc w:val="center"/>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Cipralex</w:t>
      </w:r>
      <w:r w:rsidRPr="009C0CD0">
        <w:rPr>
          <w:rFonts w:ascii="Times New Roman" w:eastAsia="Calibri" w:hAnsi="Times New Roman" w:cs="Times New Roman"/>
          <w:b/>
          <w:caps/>
          <w:kern w:val="0"/>
          <w:sz w:val="22"/>
          <w:szCs w:val="22"/>
          <w14:ligatures w14:val="none"/>
        </w:rPr>
        <w:t xml:space="preserve"> 10 </w:t>
      </w:r>
      <w:r w:rsidRPr="009C0CD0">
        <w:rPr>
          <w:rFonts w:ascii="Times New Roman" w:eastAsia="Calibri" w:hAnsi="Times New Roman" w:cs="Times New Roman"/>
          <w:b/>
          <w:kern w:val="0"/>
          <w:sz w:val="22"/>
          <w:szCs w:val="22"/>
          <w14:ligatures w14:val="none"/>
        </w:rPr>
        <w:t>mg</w:t>
      </w:r>
      <w:r w:rsidRPr="009C0CD0">
        <w:rPr>
          <w:rFonts w:ascii="Times New Roman" w:eastAsia="Calibri" w:hAnsi="Times New Roman" w:cs="Times New Roman"/>
          <w:b/>
          <w:caps/>
          <w:kern w:val="0"/>
          <w:sz w:val="22"/>
          <w:szCs w:val="22"/>
          <w14:ligatures w14:val="none"/>
        </w:rPr>
        <w:t xml:space="preserve"> </w:t>
      </w:r>
      <w:r w:rsidRPr="009C0CD0">
        <w:rPr>
          <w:rFonts w:ascii="Times New Roman" w:eastAsia="Calibri" w:hAnsi="Times New Roman" w:cs="Times New Roman"/>
          <w:b/>
          <w:kern w:val="0"/>
          <w:sz w:val="22"/>
          <w:szCs w:val="22"/>
          <w14:ligatures w14:val="none"/>
        </w:rPr>
        <w:t>plėvele dengtos tabletės</w:t>
      </w:r>
    </w:p>
    <w:p w14:paraId="079E29D2" w14:textId="77777777" w:rsidR="009C0CD0" w:rsidRPr="009C0CD0" w:rsidRDefault="009C0CD0" w:rsidP="009C0CD0">
      <w:pPr>
        <w:spacing w:after="0" w:line="240" w:lineRule="auto"/>
        <w:jc w:val="center"/>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Cipralex</w:t>
      </w:r>
      <w:r w:rsidRPr="009C0CD0">
        <w:rPr>
          <w:rFonts w:ascii="Times New Roman" w:eastAsia="Calibri" w:hAnsi="Times New Roman" w:cs="Times New Roman"/>
          <w:b/>
          <w:caps/>
          <w:kern w:val="0"/>
          <w:sz w:val="22"/>
          <w:szCs w:val="22"/>
          <w14:ligatures w14:val="none"/>
        </w:rPr>
        <w:t xml:space="preserve"> 20 </w:t>
      </w:r>
      <w:r w:rsidRPr="009C0CD0">
        <w:rPr>
          <w:rFonts w:ascii="Times New Roman" w:eastAsia="Calibri" w:hAnsi="Times New Roman" w:cs="Times New Roman"/>
          <w:b/>
          <w:kern w:val="0"/>
          <w:sz w:val="22"/>
          <w:szCs w:val="22"/>
          <w14:ligatures w14:val="none"/>
        </w:rPr>
        <w:t>mg</w:t>
      </w:r>
      <w:r w:rsidRPr="009C0CD0">
        <w:rPr>
          <w:rFonts w:ascii="Times New Roman" w:eastAsia="Calibri" w:hAnsi="Times New Roman" w:cs="Times New Roman"/>
          <w:b/>
          <w:caps/>
          <w:kern w:val="0"/>
          <w:sz w:val="22"/>
          <w:szCs w:val="22"/>
          <w14:ligatures w14:val="none"/>
        </w:rPr>
        <w:t xml:space="preserve"> </w:t>
      </w:r>
      <w:r w:rsidRPr="009C0CD0">
        <w:rPr>
          <w:rFonts w:ascii="Times New Roman" w:eastAsia="Calibri" w:hAnsi="Times New Roman" w:cs="Times New Roman"/>
          <w:b/>
          <w:kern w:val="0"/>
          <w:sz w:val="22"/>
          <w:szCs w:val="22"/>
          <w14:ligatures w14:val="none"/>
        </w:rPr>
        <w:t>plėvele dengtos tabletės</w:t>
      </w:r>
    </w:p>
    <w:p w14:paraId="59B72418" w14:textId="77777777" w:rsidR="009C0CD0" w:rsidRPr="009C0CD0" w:rsidRDefault="009C0CD0" w:rsidP="009C0CD0">
      <w:pPr>
        <w:spacing w:after="0" w:line="240" w:lineRule="auto"/>
        <w:jc w:val="center"/>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escitalopramas</w:t>
      </w:r>
    </w:p>
    <w:p w14:paraId="61F09F82"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724228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704E83BD" w14:textId="77777777" w:rsidR="009C0CD0" w:rsidRPr="009C0CD0" w:rsidRDefault="009C0CD0" w:rsidP="009C0CD0">
      <w:pPr>
        <w:suppressAutoHyphens/>
        <w:spacing w:after="0" w:line="240" w:lineRule="auto"/>
        <w:rPr>
          <w:rFonts w:ascii="Times New Roman" w:eastAsia="Calibri" w:hAnsi="Times New Roman" w:cs="Times New Roman"/>
          <w:kern w:val="0"/>
          <w:sz w:val="22"/>
          <w:szCs w:val="22"/>
          <w14:ligatures w14:val="none"/>
        </w:rPr>
      </w:pPr>
      <w:r w:rsidRPr="009C0CD0">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0F20E7EB" w14:textId="77777777" w:rsidR="009C0CD0" w:rsidRPr="009C0CD0" w:rsidRDefault="009C0CD0" w:rsidP="00622154">
      <w:pPr>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Neišmeskite šio lapelio, nes vėl gali prireikti jį perskaityti.</w:t>
      </w:r>
    </w:p>
    <w:p w14:paraId="7C6DD864" w14:textId="77777777" w:rsidR="009C0CD0" w:rsidRPr="009C0CD0" w:rsidRDefault="009C0CD0" w:rsidP="00622154">
      <w:pPr>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kiltų daugiau klausimų, kreipkitės į gydytoją arba vaistininką.</w:t>
      </w:r>
    </w:p>
    <w:p w14:paraId="1D13731C" w14:textId="77777777" w:rsidR="009C0CD0" w:rsidRPr="009C0CD0" w:rsidRDefault="009C0CD0" w:rsidP="00622154">
      <w:pPr>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0E33B98A" w14:textId="77777777" w:rsidR="009C0CD0" w:rsidRPr="009C0CD0" w:rsidRDefault="009C0CD0" w:rsidP="00622154">
      <w:pPr>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716197BB" w14:textId="77777777" w:rsidR="009C0CD0" w:rsidRPr="009C0CD0" w:rsidRDefault="009C0CD0" w:rsidP="009C0CD0">
      <w:pPr>
        <w:spacing w:after="0" w:line="240" w:lineRule="auto"/>
        <w:ind w:left="567" w:hanging="567"/>
        <w:rPr>
          <w:rFonts w:ascii="Times New Roman" w:eastAsia="Calibri" w:hAnsi="Times New Roman" w:cs="Times New Roman"/>
          <w:kern w:val="0"/>
          <w:sz w:val="22"/>
          <w:szCs w:val="22"/>
          <w14:ligatures w14:val="none"/>
        </w:rPr>
      </w:pPr>
    </w:p>
    <w:p w14:paraId="4806CE67" w14:textId="77777777" w:rsidR="009C0CD0" w:rsidRPr="009C0CD0" w:rsidRDefault="009C0CD0" w:rsidP="009C0CD0">
      <w:pPr>
        <w:spacing w:after="0" w:line="240" w:lineRule="auto"/>
        <w:ind w:left="567" w:hanging="567"/>
        <w:rPr>
          <w:rFonts w:ascii="Times New Roman" w:eastAsia="Calibri" w:hAnsi="Times New Roman" w:cs="Times New Roman"/>
          <w:kern w:val="0"/>
          <w:sz w:val="22"/>
          <w:szCs w:val="22"/>
          <w14:ligatures w14:val="none"/>
        </w:rPr>
      </w:pPr>
    </w:p>
    <w:p w14:paraId="48292DCB" w14:textId="77777777" w:rsidR="009C0CD0" w:rsidRPr="009C0CD0" w:rsidRDefault="009C0CD0" w:rsidP="009C0CD0">
      <w:pPr>
        <w:spacing w:after="0" w:line="240" w:lineRule="auto"/>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bCs/>
          <w:iCs/>
          <w:kern w:val="0"/>
          <w:sz w:val="22"/>
          <w:szCs w:val="22"/>
          <w14:ligatures w14:val="none"/>
        </w:rPr>
        <w:t>Apie ką rašoma šiame lapelyje?</w:t>
      </w:r>
    </w:p>
    <w:p w14:paraId="6ECE9F8F" w14:textId="07B551F4" w:rsidR="009C0CD0" w:rsidRPr="00622154" w:rsidRDefault="009C0CD0" w:rsidP="00622154">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622154">
        <w:rPr>
          <w:rFonts w:ascii="Times New Roman" w:eastAsia="Calibri" w:hAnsi="Times New Roman" w:cs="Times New Roman"/>
          <w:kern w:val="0"/>
          <w:sz w:val="22"/>
          <w:szCs w:val="22"/>
          <w14:ligatures w14:val="none"/>
        </w:rPr>
        <w:t>Kas yra Cipralex ir kam jis vartojamas</w:t>
      </w:r>
    </w:p>
    <w:p w14:paraId="07CC107D" w14:textId="1D381D43" w:rsidR="009C0CD0" w:rsidRPr="00622154" w:rsidRDefault="009C0CD0" w:rsidP="00622154">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622154">
        <w:rPr>
          <w:rFonts w:ascii="Times New Roman" w:eastAsia="Calibri" w:hAnsi="Times New Roman" w:cs="Times New Roman"/>
          <w:kern w:val="0"/>
          <w:sz w:val="22"/>
          <w:szCs w:val="22"/>
          <w14:ligatures w14:val="none"/>
        </w:rPr>
        <w:t>Kas žinotina prieš vartojant Cipralex</w:t>
      </w:r>
    </w:p>
    <w:p w14:paraId="3AA12F4D" w14:textId="430CFF71" w:rsidR="009C0CD0" w:rsidRPr="00622154" w:rsidRDefault="009C0CD0" w:rsidP="00622154">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622154">
        <w:rPr>
          <w:rFonts w:ascii="Times New Roman" w:eastAsia="Calibri" w:hAnsi="Times New Roman" w:cs="Times New Roman"/>
          <w:kern w:val="0"/>
          <w:sz w:val="22"/>
          <w:szCs w:val="22"/>
          <w14:ligatures w14:val="none"/>
        </w:rPr>
        <w:t xml:space="preserve">Kaip vartoti Cipralex </w:t>
      </w:r>
    </w:p>
    <w:p w14:paraId="54A07709" w14:textId="2C6A918B" w:rsidR="009C0CD0" w:rsidRPr="00622154" w:rsidRDefault="009C0CD0" w:rsidP="00622154">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622154">
        <w:rPr>
          <w:rFonts w:ascii="Times New Roman" w:eastAsia="Calibri" w:hAnsi="Times New Roman" w:cs="Times New Roman"/>
          <w:kern w:val="0"/>
          <w:sz w:val="22"/>
          <w:szCs w:val="22"/>
          <w14:ligatures w14:val="none"/>
        </w:rPr>
        <w:t>Galimas šalutinis poveikis</w:t>
      </w:r>
    </w:p>
    <w:p w14:paraId="2B037AD9" w14:textId="462BE82D" w:rsidR="009C0CD0" w:rsidRPr="00622154" w:rsidRDefault="009C0CD0" w:rsidP="00622154">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622154">
        <w:rPr>
          <w:rFonts w:ascii="Times New Roman" w:eastAsia="Calibri" w:hAnsi="Times New Roman" w:cs="Times New Roman"/>
          <w:kern w:val="0"/>
          <w:sz w:val="22"/>
          <w:szCs w:val="22"/>
          <w14:ligatures w14:val="none"/>
        </w:rPr>
        <w:t>Kaip laikyti Cipralex</w:t>
      </w:r>
    </w:p>
    <w:p w14:paraId="3F8CA3DC" w14:textId="45A95904" w:rsidR="009C0CD0" w:rsidRPr="00622154" w:rsidRDefault="009C0CD0" w:rsidP="00622154">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622154">
        <w:rPr>
          <w:rFonts w:ascii="Times New Roman" w:eastAsia="Calibri" w:hAnsi="Times New Roman" w:cs="Times New Roman"/>
          <w:kern w:val="0"/>
          <w:sz w:val="22"/>
          <w:szCs w:val="22"/>
          <w14:ligatures w14:val="none"/>
        </w:rPr>
        <w:t>Pakuotės turinys ir kita informacija</w:t>
      </w:r>
    </w:p>
    <w:p w14:paraId="1176FE46"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1D05849F"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77BD7C49" w14:textId="77777777" w:rsidR="009C0CD0" w:rsidRPr="009C0CD0" w:rsidRDefault="009C0CD0" w:rsidP="009C0CD0">
      <w:pPr>
        <w:spacing w:after="0" w:line="240" w:lineRule="auto"/>
        <w:ind w:left="540" w:hanging="540"/>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1.</w:t>
      </w:r>
      <w:r w:rsidRPr="009C0CD0">
        <w:rPr>
          <w:rFonts w:ascii="Times New Roman" w:eastAsia="Calibri" w:hAnsi="Times New Roman" w:cs="Times New Roman"/>
          <w:b/>
          <w:kern w:val="0"/>
          <w:sz w:val="22"/>
          <w:szCs w:val="22"/>
          <w14:ligatures w14:val="none"/>
        </w:rPr>
        <w:tab/>
        <w:t>Kas yra Cipralex ir kam jis vartojamas</w:t>
      </w:r>
    </w:p>
    <w:p w14:paraId="3B55E306"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8F3233C"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Cipralex sudėtyje yra veikliosios medžiagos escitalopramo. Cipralex priklauso antidepresantų, vadinamų selektyvaus poveikio serotonino reabsorbcijos inhibitoriais (SSRI), grupei.</w:t>
      </w:r>
    </w:p>
    <w:p w14:paraId="529BAEA1"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9873DA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Cipralex vartojamas depresijai (didžiosios depresijos epizodams), nerimo sutrikimams (tokiems kaip panikos sutrikimui su agorafobija arba be jos, socialinio nerimo sutrikimui, generalizuoto nerimo sutrikimui ir obsesiniam-kompulsiniam sutrikimui) gydyti.</w:t>
      </w:r>
    </w:p>
    <w:p w14:paraId="1455812C"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F49235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Gali praeiti kelios savaitės, kol pradėsite jaustis geriau. Ir toliau vartokite Cipralex, net jeigu reikia laiko, kol pradedate jausti kokį nors būklės pagerėjimą.</w:t>
      </w:r>
    </w:p>
    <w:p w14:paraId="23DE9156"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C7A4EF5"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Pasitarkite su gydytoju, jeigu nesijaučiate geriau arba būklė pablogėja.</w:t>
      </w:r>
    </w:p>
    <w:p w14:paraId="6B33E81D"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415C9BF1"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18D74CB0" w14:textId="77777777" w:rsidR="009C0CD0" w:rsidRPr="009C0CD0" w:rsidRDefault="009C0CD0" w:rsidP="009C0CD0">
      <w:pPr>
        <w:spacing w:after="0" w:line="240" w:lineRule="auto"/>
        <w:ind w:left="540" w:hanging="540"/>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2.</w:t>
      </w:r>
      <w:r w:rsidRPr="009C0CD0">
        <w:rPr>
          <w:rFonts w:ascii="Times New Roman" w:eastAsia="Calibri" w:hAnsi="Times New Roman" w:cs="Times New Roman"/>
          <w:b/>
          <w:kern w:val="0"/>
          <w:sz w:val="22"/>
          <w:szCs w:val="22"/>
          <w14:ligatures w14:val="none"/>
        </w:rPr>
        <w:tab/>
        <w:t>Kas žinotina prieš vartojant Cipralex</w:t>
      </w:r>
    </w:p>
    <w:p w14:paraId="16A5B124"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6D896434" w14:textId="77777777" w:rsidR="009C0CD0" w:rsidRPr="009C0CD0" w:rsidRDefault="009C0CD0" w:rsidP="009C0CD0">
      <w:pPr>
        <w:spacing w:after="0" w:line="240" w:lineRule="auto"/>
        <w:ind w:left="567" w:hanging="567"/>
        <w:rPr>
          <w:rFonts w:ascii="Times New Roman" w:eastAsia="Calibri" w:hAnsi="Times New Roman" w:cs="Times New Roman"/>
          <w:b/>
          <w:caps/>
          <w:kern w:val="0"/>
          <w:sz w:val="22"/>
          <w:szCs w:val="22"/>
          <w14:ligatures w14:val="none"/>
        </w:rPr>
      </w:pPr>
      <w:r w:rsidRPr="009C0CD0">
        <w:rPr>
          <w:rFonts w:ascii="Times New Roman" w:eastAsia="Calibri" w:hAnsi="Times New Roman" w:cs="Times New Roman"/>
          <w:b/>
          <w:kern w:val="0"/>
          <w:sz w:val="22"/>
          <w:szCs w:val="22"/>
          <w14:ligatures w14:val="none"/>
        </w:rPr>
        <w:t>Cipralex vartoti draudžiama:</w:t>
      </w:r>
    </w:p>
    <w:p w14:paraId="4AD60C96" w14:textId="77777777" w:rsidR="009C0CD0" w:rsidRPr="009C0CD0" w:rsidRDefault="009C0CD0" w:rsidP="009C0CD0">
      <w:pPr>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jeigu yra alergija escitalopramui arba bet kuriai pagalbinei šio vaisto medžiagai (jos išvardytos 6 skyriuje);</w:t>
      </w:r>
    </w:p>
    <w:p w14:paraId="10ADAD56" w14:textId="77777777" w:rsidR="009C0CD0" w:rsidRPr="009C0CD0" w:rsidRDefault="009C0CD0" w:rsidP="009C0CD0">
      <w:pPr>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jeigu vartojate kitų vaistų, priklausančių vaistų, vadinamų MAO inhibitoriais, grupei, įskaitant selegiliną (vartojamą Parkinsono ligos gydymui), moklobemidą (vartojamą depresijos gydymui) ir linezolidą (antibiotiką);</w:t>
      </w:r>
    </w:p>
    <w:p w14:paraId="71DF83B9" w14:textId="77777777" w:rsidR="009C0CD0" w:rsidRPr="009C0CD0" w:rsidRDefault="009C0CD0" w:rsidP="009C0CD0">
      <w:pPr>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jeigu yra įgimtas arba buvo atsiradęs širdies ritmo sutrikimas (jis nustatomas EKG, t. y. širdies veiklą įvertinančiu tyrimu);</w:t>
      </w:r>
    </w:p>
    <w:p w14:paraId="26CD34FD" w14:textId="77777777" w:rsidR="009C0CD0" w:rsidRPr="009C0CD0" w:rsidRDefault="009C0CD0" w:rsidP="009C0CD0">
      <w:pPr>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jeigu vartojate vaistų nuo širdies sutrikimų ar vaistų, kurie gali keisti širdies ritmą (žr. 2 skyriaus poskyrį „Kiti vaistai ir Cipralex“).</w:t>
      </w:r>
    </w:p>
    <w:p w14:paraId="29768D3A"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4414B034" w14:textId="77777777" w:rsidR="009C0CD0" w:rsidRPr="009C0CD0" w:rsidRDefault="009C0CD0" w:rsidP="009C0CD0">
      <w:pPr>
        <w:spacing w:after="0" w:line="240" w:lineRule="auto"/>
        <w:ind w:left="567" w:hanging="567"/>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Įspėjimai ir atsargumo priemonės</w:t>
      </w:r>
    </w:p>
    <w:p w14:paraId="68B89554"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lastRenderedPageBreak/>
        <w:t>Pasitarkite su gydytoju arba vaistininku, prieš pradėdami vartoti Cipralex.</w:t>
      </w:r>
    </w:p>
    <w:p w14:paraId="0C459A93"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Prašome pasakyti gydytojui, apie bet kokią kitą savo būklę arba negalavimą, nes ši informacija gali būti jam svarbi, ypač:</w:t>
      </w:r>
    </w:p>
    <w:p w14:paraId="6547B1D2"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sergate epilepsija. Jeigu atsiras traukulių arba jie padažnės, gydymą Cipralex reikės nutraukti (taip pat žr. 4 skyrių „Galimas šalutinis poveikis“);</w:t>
      </w:r>
    </w:p>
    <w:p w14:paraId="0A7DBCE1"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sergate kepenų ar inkstų funkcijos nepakankamumu. Jūsų gydytojas privalės koreguoti dozę;</w:t>
      </w:r>
    </w:p>
    <w:p w14:paraId="14C3B352"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sergate diabetu. Gydymas Cipralex gali apsunkinti gliukozės kontrolę. Gali tekti pritaikyti insulino ir (arba) geriamųjų vaistų nuo diabeto dozę;</w:t>
      </w:r>
    </w:p>
    <w:p w14:paraId="32C31161"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sumažėjęs natrio kiekis kraujyje;</w:t>
      </w:r>
    </w:p>
    <w:p w14:paraId="007E7FBF" w14:textId="77777777" w:rsidR="009C0CD0" w:rsidRPr="009C0CD0" w:rsidRDefault="009C0CD0" w:rsidP="009C0CD0">
      <w:pPr>
        <w:numPr>
          <w:ilvl w:val="0"/>
          <w:numId w:val="1"/>
        </w:numPr>
        <w:tabs>
          <w:tab w:val="clear" w:pos="360"/>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Jums lengvai atsiranda kraujosruvos arba pradedate kraujuoti arba jeigu esate nėščia</w:t>
      </w:r>
    </w:p>
    <w:p w14:paraId="0FF77D22" w14:textId="77777777" w:rsidR="009C0CD0" w:rsidRPr="009C0CD0" w:rsidRDefault="009C0CD0" w:rsidP="009C0CD0">
      <w:pPr>
        <w:spacing w:after="0" w:line="240" w:lineRule="auto"/>
        <w:ind w:firstLine="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(žr. „Nėštumas“);</w:t>
      </w:r>
    </w:p>
    <w:p w14:paraId="2488446A"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Jums taikoma elektrotraukulių terapija;</w:t>
      </w:r>
    </w:p>
    <w:p w14:paraId="1AB56B4B"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sergate koronarine širdies liga;</w:t>
      </w:r>
    </w:p>
    <w:p w14:paraId="3CE1D0BC" w14:textId="77777777" w:rsidR="009C0CD0" w:rsidRPr="009C0CD0" w:rsidRDefault="009C0CD0" w:rsidP="009C0CD0">
      <w:pPr>
        <w:numPr>
          <w:ilvl w:val="0"/>
          <w:numId w:val="1"/>
        </w:numPr>
        <w:tabs>
          <w:tab w:val="clear" w:pos="360"/>
          <w:tab w:val="num" w:pos="567"/>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yra ar buvo širdies sutrikimų arba neseniai patyrėte širdies priepuolį (miokardo infarktą);</w:t>
      </w:r>
    </w:p>
    <w:p w14:paraId="3E118C22" w14:textId="77777777" w:rsidR="009C0CD0" w:rsidRPr="009C0CD0" w:rsidRDefault="009C0CD0" w:rsidP="009C0CD0">
      <w:pPr>
        <w:numPr>
          <w:ilvl w:val="0"/>
          <w:numId w:val="1"/>
        </w:numPr>
        <w:tabs>
          <w:tab w:val="clear" w:pos="360"/>
          <w:tab w:val="num" w:pos="567"/>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ramybės metu Jūsų širdis plaka retai ir (arba) jei organizme trūksta druskų (tokį poveikį gali sukelti ilgalaikis sunkus viduriavimas ar vėmimas arba diuretikų, t. y. šlapimo išsiskyrimą skatinančių vaistų, vartojimas);</w:t>
      </w:r>
    </w:p>
    <w:p w14:paraId="4239CF9D" w14:textId="77777777" w:rsidR="009C0CD0" w:rsidRPr="009C0CD0" w:rsidRDefault="009C0CD0" w:rsidP="009C0CD0">
      <w:pPr>
        <w:numPr>
          <w:ilvl w:val="0"/>
          <w:numId w:val="1"/>
        </w:numPr>
        <w:tabs>
          <w:tab w:val="clear" w:pos="360"/>
          <w:tab w:val="num" w:pos="567"/>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Jūsų širdis plaka dažnai ar neritmiškai arba jei pasireiškia alpulys, kolapsas ar galvos svaigimas stojantis (tai gali būti nenormalaus širdies plakimo požymiai);</w:t>
      </w:r>
    </w:p>
    <w:p w14:paraId="3EDE9D04" w14:textId="77777777" w:rsidR="009C0CD0" w:rsidRPr="009C0CD0" w:rsidRDefault="009C0CD0" w:rsidP="009C0CD0">
      <w:pPr>
        <w:numPr>
          <w:ilvl w:val="0"/>
          <w:numId w:val="1"/>
        </w:numPr>
        <w:tabs>
          <w:tab w:val="clear" w:pos="360"/>
          <w:tab w:val="num" w:pos="567"/>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yra arba anksčiau buvo akių sutrikimų, pvz., tam tikros rūšies glaukoma (padidėjęs akispūdis).</w:t>
      </w:r>
    </w:p>
    <w:p w14:paraId="7D3A7A44"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47717E69" w14:textId="77777777" w:rsidR="009C0CD0" w:rsidRPr="009C0CD0" w:rsidRDefault="009C0CD0" w:rsidP="009C0CD0">
      <w:pPr>
        <w:spacing w:after="0" w:line="240" w:lineRule="auto"/>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Atminkite</w:t>
      </w:r>
    </w:p>
    <w:p w14:paraId="680B57C9"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Ligoniams, sergantiems maniakine depresine psichoze, gali prasidėti manijos fazė. Jai būdinga greitai besikeičiančių minčių gausa, pernelyg didelis linksmumas ir labai didelis fizinis aktyvumas. Tokiu atveju būtina kreiptis į gydytoją.</w:t>
      </w:r>
    </w:p>
    <w:p w14:paraId="1633AB77"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745A7D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Pirmosiomis gydymo savaitėmis gali pasireikšti tokie simptomai, kaip nerimastingumas arba sunkumas ramiai stovėti ar sėdėti. Jeigu šie simptomai pasireiškė, nedelsiant pasakykite gydytojui.</w:t>
      </w:r>
    </w:p>
    <w:p w14:paraId="26455C2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4DEDAEC5"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Tokie vaistai kaip Cipralex (vadinamieji SSRI / SNRI) gali sukelti lytinės funkcijos sutrikimo simptomus (žr. 4 skyrių). Kai kuriais atvejais nutraukus gydymą šie simptomai išliko.</w:t>
      </w:r>
    </w:p>
    <w:p w14:paraId="32568A8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D0DBB35" w14:textId="77777777" w:rsidR="009C0CD0" w:rsidRPr="009C0CD0" w:rsidRDefault="009C0CD0" w:rsidP="009C0CD0">
      <w:pPr>
        <w:spacing w:after="0" w:line="240" w:lineRule="auto"/>
        <w:jc w:val="both"/>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Mintys apie savižudybę ir depresijos arba nerimo sutrikimų pasunkėjimas</w:t>
      </w:r>
    </w:p>
    <w:p w14:paraId="52D3A962"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D15F93C"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F072419"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Tokia minčių tikimybė Jums yra didesnė šiais atvejais:</w:t>
      </w:r>
    </w:p>
    <w:p w14:paraId="0000C0DB" w14:textId="77777777" w:rsidR="009C0CD0" w:rsidRPr="009C0CD0" w:rsidRDefault="009C0CD0" w:rsidP="009C0CD0">
      <w:pPr>
        <w:spacing w:after="0" w:line="240" w:lineRule="auto"/>
        <w:ind w:left="540" w:hanging="540"/>
        <w:jc w:val="both"/>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jeigu anksčiau mąstėte apie savižudybę arba savęs žalojimą;</w:t>
      </w:r>
    </w:p>
    <w:p w14:paraId="37F34915" w14:textId="77777777" w:rsidR="009C0CD0" w:rsidRPr="009C0CD0" w:rsidRDefault="009C0CD0" w:rsidP="009C0CD0">
      <w:pPr>
        <w:numPr>
          <w:ilvl w:val="12"/>
          <w:numId w:val="0"/>
        </w:numPr>
        <w:spacing w:after="0" w:line="240" w:lineRule="auto"/>
        <w:ind w:left="562" w:hanging="562"/>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jeigu esate jaunas suaugęs. Klinikinių tyrimų duomenys parodė, kad psichikos sutrikimais sergantiems jauniems suaugusiems (jaunesniems kaip 25 metų amžiaus), vartojant antidepresantų, su savižudybe siejamo elgesio rizika yra didesnė.</w:t>
      </w:r>
    </w:p>
    <w:p w14:paraId="0B4774F6" w14:textId="77777777" w:rsidR="009C0CD0" w:rsidRPr="009C0CD0" w:rsidRDefault="009C0CD0" w:rsidP="009C0CD0">
      <w:pPr>
        <w:spacing w:after="0" w:line="240" w:lineRule="auto"/>
        <w:jc w:val="both"/>
        <w:rPr>
          <w:rFonts w:ascii="Times New Roman" w:eastAsia="Calibri" w:hAnsi="Times New Roman" w:cs="Times New Roman"/>
          <w:kern w:val="0"/>
          <w:sz w:val="22"/>
          <w:szCs w:val="22"/>
          <w14:ligatures w14:val="none"/>
        </w:rPr>
      </w:pPr>
    </w:p>
    <w:p w14:paraId="4F5EC9D2" w14:textId="77777777" w:rsidR="009C0CD0" w:rsidRPr="009C0CD0" w:rsidRDefault="009C0CD0" w:rsidP="009C0CD0">
      <w:pPr>
        <w:spacing w:after="0" w:line="240" w:lineRule="auto"/>
        <w:jc w:val="both"/>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 xml:space="preserve">Jeigu bet kuriuo metu galvojate apie savižudybę arba savęs žalojimą, </w:t>
      </w:r>
      <w:r w:rsidRPr="009C0CD0">
        <w:rPr>
          <w:rFonts w:ascii="Times New Roman" w:eastAsia="Calibri" w:hAnsi="Times New Roman" w:cs="Times New Roman"/>
          <w:b/>
          <w:kern w:val="0"/>
          <w:sz w:val="22"/>
          <w:szCs w:val="22"/>
          <w14:ligatures w14:val="none"/>
        </w:rPr>
        <w:t>nedelsdami kreipkitės į gydytoją arba vykite į ligoninės priėmimo skyrių</w:t>
      </w:r>
      <w:r w:rsidRPr="009C0CD0">
        <w:rPr>
          <w:rFonts w:ascii="Times New Roman" w:eastAsia="Calibri" w:hAnsi="Times New Roman" w:cs="Times New Roman"/>
          <w:kern w:val="0"/>
          <w:sz w:val="22"/>
          <w:szCs w:val="22"/>
          <w14:ligatures w14:val="none"/>
        </w:rPr>
        <w:t>.</w:t>
      </w:r>
    </w:p>
    <w:p w14:paraId="02716FEF" w14:textId="77777777" w:rsidR="009C0CD0" w:rsidRPr="009C0CD0" w:rsidRDefault="009C0CD0" w:rsidP="009C0CD0">
      <w:pPr>
        <w:spacing w:after="0" w:line="240" w:lineRule="auto"/>
        <w:jc w:val="both"/>
        <w:rPr>
          <w:rFonts w:ascii="Times New Roman" w:eastAsia="Calibri" w:hAnsi="Times New Roman" w:cs="Times New Roman"/>
          <w:kern w:val="0"/>
          <w:sz w:val="22"/>
          <w:szCs w:val="22"/>
          <w14:ligatures w14:val="none"/>
        </w:rPr>
      </w:pPr>
    </w:p>
    <w:p w14:paraId="54DFD3D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b/>
          <w:kern w:val="0"/>
          <w:sz w:val="22"/>
          <w:szCs w:val="22"/>
          <w:lang w:eastAsia="x-none"/>
          <w14:ligatures w14:val="none"/>
        </w:rPr>
        <w:t>Jums gali būti naudinga pasakyti giminaičiams ar artimiems draugams</w:t>
      </w:r>
      <w:r w:rsidRPr="009C0CD0">
        <w:rPr>
          <w:rFonts w:ascii="Times New Roman" w:eastAsia="Times New Roman" w:hAnsi="Times New Roman" w:cs="Times New Roman"/>
          <w:kern w:val="0"/>
          <w:sz w:val="22"/>
          <w:szCs w:val="22"/>
          <w:lang w:eastAsia="x-none"/>
          <w14:ligatures w14:val="none"/>
        </w:rPr>
        <w:t>, kad sergate depresija ar jaučiate nerimą. Paprašykite jų paskaityti šį pakuotės lapelį. Galite jų paprašyti, kad Jus perspėtų, jeigu pastebės, kad Jūsų depresija ar nerimas pasunkėjo arba jie nerimauja dėl Jūsų elgesio pokyčių.</w:t>
      </w:r>
    </w:p>
    <w:p w14:paraId="29CF3C99"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0E54815E" w14:textId="77777777" w:rsidR="009C0CD0" w:rsidRPr="009C0CD0" w:rsidRDefault="009C0CD0" w:rsidP="009C0CD0">
      <w:pPr>
        <w:spacing w:after="0" w:line="276" w:lineRule="auto"/>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Vaikams ir paaugliams</w:t>
      </w:r>
    </w:p>
    <w:p w14:paraId="5AF3A713"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color w:val="000000"/>
          <w:kern w:val="0"/>
          <w:sz w:val="22"/>
          <w:szCs w:val="22"/>
          <w:lang w:eastAsia="x-none"/>
          <w14:ligatures w14:val="none"/>
        </w:rPr>
        <w:t>Cipralex</w:t>
      </w:r>
      <w:r w:rsidRPr="009C0CD0">
        <w:rPr>
          <w:rFonts w:ascii="Times New Roman" w:eastAsia="Times New Roman" w:hAnsi="Times New Roman" w:cs="Times New Roman"/>
          <w:kern w:val="0"/>
          <w:sz w:val="22"/>
          <w:szCs w:val="22"/>
          <w:lang w:eastAsia="x-none"/>
          <w14:ligatures w14:val="none"/>
        </w:rPr>
        <w:t xml:space="preserve"> paprastai nėra skiriamas vaikams ir jaunesniems kaip 18 metų paaugliams. Taip pat turėtumėte žinoti, kad jaunesniems nei 18 metų pacientams, vartojantiems šios klasės vaistų, padidėja šalutinio poveikio, pavyzdžiui, bandymo nusižudyti, galvojimo apie savižudybę ir priešiškumo (daugiausia agresijos, opozicinio neklusnumo ir pykčio) apraiškų tikimybė. Nepaisant to, gydytojas gali skirti </w:t>
      </w:r>
      <w:r w:rsidRPr="009C0CD0">
        <w:rPr>
          <w:rFonts w:ascii="Times New Roman" w:eastAsia="Times New Roman" w:hAnsi="Times New Roman" w:cs="Times New Roman"/>
          <w:color w:val="000000"/>
          <w:kern w:val="0"/>
          <w:sz w:val="22"/>
          <w:szCs w:val="22"/>
          <w:lang w:eastAsia="x-none"/>
          <w14:ligatures w14:val="none"/>
        </w:rPr>
        <w:t>Cipralex</w:t>
      </w:r>
      <w:r w:rsidRPr="009C0CD0">
        <w:rPr>
          <w:rFonts w:ascii="Times New Roman" w:eastAsia="Times New Roman" w:hAnsi="Times New Roman" w:cs="Times New Roman"/>
          <w:kern w:val="0"/>
          <w:sz w:val="22"/>
          <w:szCs w:val="22"/>
          <w:lang w:eastAsia="x-none"/>
          <w14:ligatures w14:val="none"/>
        </w:rPr>
        <w:t xml:space="preserve"> jaunesniems kaip 18 </w:t>
      </w:r>
      <w:r w:rsidRPr="009C0CD0">
        <w:rPr>
          <w:rFonts w:ascii="Times New Roman" w:eastAsia="Times New Roman" w:hAnsi="Times New Roman" w:cs="Times New Roman"/>
          <w:kern w:val="0"/>
          <w:sz w:val="22"/>
          <w:szCs w:val="22"/>
          <w:lang w:eastAsia="x-none"/>
          <w14:ligatures w14:val="none"/>
        </w:rPr>
        <w:lastRenderedPageBreak/>
        <w:t xml:space="preserve">metų pacientams, jeigu, jo manymu, tai yra jiems tinkamiausias gydymas. Jeigu gydytojas skyrė </w:t>
      </w:r>
      <w:r w:rsidRPr="009C0CD0">
        <w:rPr>
          <w:rFonts w:ascii="Times New Roman" w:eastAsia="Times New Roman" w:hAnsi="Times New Roman" w:cs="Times New Roman"/>
          <w:color w:val="000000"/>
          <w:kern w:val="0"/>
          <w:sz w:val="22"/>
          <w:szCs w:val="22"/>
          <w:lang w:eastAsia="x-none"/>
          <w14:ligatures w14:val="none"/>
        </w:rPr>
        <w:t>Cipralex</w:t>
      </w:r>
      <w:r w:rsidRPr="009C0CD0">
        <w:rPr>
          <w:rFonts w:ascii="Times New Roman" w:eastAsia="Times New Roman" w:hAnsi="Times New Roman" w:cs="Times New Roman"/>
          <w:kern w:val="0"/>
          <w:sz w:val="22"/>
          <w:szCs w:val="22"/>
          <w:lang w:eastAsia="x-none"/>
          <w14:ligatures w14:val="none"/>
        </w:rPr>
        <w:t xml:space="preserve"> jaunesniam nei 18 metų pacientui ir Jūs pageidaujate tai išsamiau aptarti, dar kartą kreipkitės į gydytoją. Būtinai pasakykite gydytojui, jei jaunesniems nei 18 metų pacientams, vartojantiems </w:t>
      </w:r>
      <w:r w:rsidRPr="009C0CD0">
        <w:rPr>
          <w:rFonts w:ascii="Times New Roman" w:eastAsia="Times New Roman" w:hAnsi="Times New Roman" w:cs="Times New Roman"/>
          <w:color w:val="000000"/>
          <w:kern w:val="0"/>
          <w:sz w:val="22"/>
          <w:szCs w:val="22"/>
          <w:lang w:eastAsia="x-none"/>
          <w14:ligatures w14:val="none"/>
        </w:rPr>
        <w:t>Cipralex</w:t>
      </w:r>
      <w:r w:rsidRPr="009C0CD0">
        <w:rPr>
          <w:rFonts w:ascii="Times New Roman" w:eastAsia="Times New Roman" w:hAnsi="Times New Roman" w:cs="Times New Roman"/>
          <w:kern w:val="0"/>
          <w:sz w:val="22"/>
          <w:szCs w:val="22"/>
          <w:lang w:eastAsia="x-none"/>
          <w14:ligatures w14:val="none"/>
        </w:rPr>
        <w:t xml:space="preserve">, pasireiškė ar pasunkėjo bent vienas iš pirmiau išvardytų simptomų. Taip pat šiuo metu dar nėra pateikta ilgalaikio saugumo duomenų apie </w:t>
      </w:r>
      <w:r w:rsidRPr="009C0CD0">
        <w:rPr>
          <w:rFonts w:ascii="Times New Roman" w:eastAsia="Times New Roman" w:hAnsi="Times New Roman" w:cs="Times New Roman"/>
          <w:color w:val="000000"/>
          <w:kern w:val="0"/>
          <w:sz w:val="22"/>
          <w:szCs w:val="22"/>
          <w:lang w:eastAsia="x-none"/>
          <w14:ligatures w14:val="none"/>
        </w:rPr>
        <w:t>Cipralex</w:t>
      </w:r>
      <w:r w:rsidRPr="009C0CD0">
        <w:rPr>
          <w:rFonts w:ascii="Times New Roman" w:eastAsia="Times New Roman" w:hAnsi="Times New Roman" w:cs="Times New Roman"/>
          <w:kern w:val="0"/>
          <w:sz w:val="22"/>
          <w:szCs w:val="22"/>
          <w:lang w:eastAsia="x-none"/>
          <w14:ligatures w14:val="none"/>
        </w:rPr>
        <w:t xml:space="preserve"> poveikį šios amžiaus grupės pacientų augimui, brendimui ir jų pažinimo bei elgsenos vystymuisi.</w:t>
      </w:r>
    </w:p>
    <w:p w14:paraId="505D5905"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82CFBD8" w14:textId="77777777" w:rsidR="009C0CD0" w:rsidRPr="009C0CD0" w:rsidRDefault="009C0CD0" w:rsidP="009C0CD0">
      <w:pPr>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b/>
          <w:kern w:val="0"/>
          <w:sz w:val="22"/>
          <w:szCs w:val="22"/>
          <w14:ligatures w14:val="none"/>
        </w:rPr>
        <w:t>Kiti vaistai ir Cipralex</w:t>
      </w:r>
    </w:p>
    <w:p w14:paraId="60C65DF1"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Jeigu vartojate ar neseniai vartojote kitų vaistų arba dėl to nesate tikri, apie tai pasakykite gydytojui arba vaistininkui.</w:t>
      </w:r>
    </w:p>
    <w:p w14:paraId="350EC38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12704892"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Pasakykite gydytojui, jeigu vartojate bent vieną iš šių vaistų:</w:t>
      </w:r>
    </w:p>
    <w:p w14:paraId="789CCECB"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neselektyviųjų monoamino oksidazės inhibitorių (MAOI), kurių veikliosios medžiagos yra fenelzinas, iproniazidas, isokarboksazidas, nialamidas arba tranilciprominas. Jeigu Jūs vartojate kurį nors iš šių vaistų, prieš pradedant vartoti Cipralex reikės palaukti 14 dienų. Baigus Cipralex vartojimą reikia palaukti 7 dienas prieš vartojant bet kurį iš šių vaistų;</w:t>
      </w:r>
    </w:p>
    <w:p w14:paraId="32B64612"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grįžtamųjų selektyviųjų MAO-A inhibitorių, kurių sudėtyje yra moklobemido (vartojamo depresijai gydyti);</w:t>
      </w:r>
    </w:p>
    <w:p w14:paraId="15AAF1FD"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negrįžtamųjų MAO-B inhibitorių, kurių sudėtyje yra selegilino (vartojamo Parkinsono ligai gydyti), nes padidina šalutinio poveikio pavojų;</w:t>
      </w:r>
    </w:p>
    <w:p w14:paraId="5A123B65"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antibiotiko linezolido;</w:t>
      </w:r>
    </w:p>
    <w:p w14:paraId="087D6C49"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ličio (vartojamo, sergant maniakine depresine psichoze) ir triptofano;</w:t>
      </w:r>
    </w:p>
    <w:p w14:paraId="4EAFD0C9"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imipramino ir desipramino (abu vartojami depresijai gydyti);</w:t>
      </w:r>
    </w:p>
    <w:p w14:paraId="49E98590"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sumatriptano ir panašių vaistų (vartojamų migrenai gydyti), ir tramadolio, bei panašių vaistų  (opioidų, vartojamų stipriam skausmui malšinti), nes padidėja šalutinio poveikio rizika;</w:t>
      </w:r>
    </w:p>
    <w:p w14:paraId="1EB5B749"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cimetidino, lansoprazolo ir omeprazolo (vartojamų skrandžio opaligei gydyti), flukonazolo (juo gydomos grybelinės infekcijos), fluvoksamino (depresijai gydyti) ir tiklopidino (vartojamo mažinti insulto pavojų), nes gali padidinti escitalopramo koncentraciją kraujyje;</w:t>
      </w:r>
    </w:p>
    <w:p w14:paraId="3C453A6B"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jonažolės (</w:t>
      </w:r>
      <w:r w:rsidRPr="009C0CD0">
        <w:rPr>
          <w:rFonts w:ascii="Times New Roman" w:eastAsia="Calibri" w:hAnsi="Times New Roman" w:cs="Times New Roman"/>
          <w:i/>
          <w:kern w:val="0"/>
          <w:sz w:val="22"/>
          <w:szCs w:val="22"/>
          <w14:ligatures w14:val="none"/>
        </w:rPr>
        <w:t>Hypericum perforatum)</w:t>
      </w:r>
      <w:r w:rsidRPr="009C0CD0">
        <w:rPr>
          <w:rFonts w:ascii="Times New Roman" w:eastAsia="Calibri" w:hAnsi="Times New Roman" w:cs="Times New Roman"/>
          <w:color w:val="000000"/>
          <w:kern w:val="0"/>
          <w:sz w:val="22"/>
          <w:szCs w:val="22"/>
          <w14:ligatures w14:val="none"/>
        </w:rPr>
        <w:t xml:space="preserve"> </w:t>
      </w:r>
      <w:r w:rsidRPr="009C0CD0">
        <w:rPr>
          <w:rFonts w:ascii="Times New Roman" w:eastAsia="Calibri" w:hAnsi="Times New Roman" w:cs="Times New Roman"/>
          <w:bCs/>
          <w:color w:val="000000"/>
          <w:kern w:val="0"/>
          <w:sz w:val="22"/>
          <w:szCs w:val="22"/>
          <w14:ligatures w14:val="none"/>
        </w:rPr>
        <w:t>–</w:t>
      </w:r>
      <w:r w:rsidRPr="009C0CD0">
        <w:rPr>
          <w:rFonts w:ascii="Times New Roman" w:eastAsia="Calibri" w:hAnsi="Times New Roman" w:cs="Times New Roman"/>
          <w:color w:val="000000"/>
          <w:kern w:val="0"/>
          <w:sz w:val="22"/>
          <w:szCs w:val="22"/>
          <w14:ligatures w14:val="none"/>
        </w:rPr>
        <w:t xml:space="preserve"> augalinio vaisto</w:t>
      </w:r>
      <w:r w:rsidRPr="009C0CD0">
        <w:rPr>
          <w:rFonts w:ascii="Times New Roman" w:eastAsia="Calibri" w:hAnsi="Times New Roman" w:cs="Times New Roman"/>
          <w:kern w:val="0"/>
          <w:sz w:val="22"/>
          <w:szCs w:val="22"/>
          <w14:ligatures w14:val="none"/>
        </w:rPr>
        <w:t>, vartojamo depresijai gydyti;</w:t>
      </w:r>
    </w:p>
    <w:p w14:paraId="46DEFEFA"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acetilsalicilo rūgšties ir nesteroidinių vaistų nuo uždegimo (vaistų skausmui malšinti arba kraujui skystinti, vadinamųjų antikoaguliantų). Gali sustiprėti polinkis kraujuoti;</w:t>
      </w:r>
    </w:p>
    <w:p w14:paraId="73E88A12"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varfarino, dipiridamolio ir fenprokumono (vaistų vartojamų kraujui skystinti, vadinamųjų antikoaguliantų). Gydytojas tikriausiai patikrins kraujo krešėjimo laiką, prieš Jums pradedant ir baigus vartoti Cipralex, kad nustatytų, ar vartojate tinkamą antikoagulianto dozę;</w:t>
      </w:r>
    </w:p>
    <w:p w14:paraId="3B05B8CB"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 xml:space="preserve">meflokvino (vartojamo </w:t>
      </w:r>
      <w:r w:rsidRPr="009C0CD0">
        <w:rPr>
          <w:rFonts w:ascii="Times New Roman" w:eastAsia="Calibri" w:hAnsi="Times New Roman" w:cs="Times New Roman"/>
          <w:bCs/>
          <w:kern w:val="0"/>
          <w:sz w:val="22"/>
          <w:szCs w:val="22"/>
          <w14:ligatures w14:val="none"/>
        </w:rPr>
        <w:t>maliarijai gydyti</w:t>
      </w:r>
      <w:r w:rsidRPr="009C0CD0">
        <w:rPr>
          <w:rFonts w:ascii="Times New Roman" w:eastAsia="Calibri" w:hAnsi="Times New Roman" w:cs="Times New Roman"/>
          <w:kern w:val="0"/>
          <w:sz w:val="22"/>
          <w:szCs w:val="22"/>
          <w14:ligatures w14:val="none"/>
        </w:rPr>
        <w:t xml:space="preserve">), bupropiono (vartojamo depresijai gydyti) ir tramadolio (vartojamo </w:t>
      </w:r>
      <w:r w:rsidRPr="009C0CD0">
        <w:rPr>
          <w:rFonts w:ascii="Times New Roman" w:eastAsia="Calibri" w:hAnsi="Times New Roman" w:cs="Times New Roman"/>
          <w:bCs/>
          <w:kern w:val="0"/>
          <w:sz w:val="22"/>
          <w:szCs w:val="22"/>
          <w14:ligatures w14:val="none"/>
        </w:rPr>
        <w:t>stipriam skausmui malšinti</w:t>
      </w:r>
      <w:r w:rsidRPr="009C0CD0">
        <w:rPr>
          <w:rFonts w:ascii="Times New Roman" w:eastAsia="Calibri" w:hAnsi="Times New Roman" w:cs="Times New Roman"/>
          <w:kern w:val="0"/>
          <w:sz w:val="22"/>
          <w:szCs w:val="22"/>
          <w14:ligatures w14:val="none"/>
        </w:rPr>
        <w:t>), nes gali sumažėti traukulių atsiradimo slenkstis;</w:t>
      </w:r>
    </w:p>
    <w:p w14:paraId="658F1F15"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 xml:space="preserve">neuroleptikų (vaistų </w:t>
      </w:r>
      <w:r w:rsidRPr="009C0CD0">
        <w:rPr>
          <w:rFonts w:ascii="Times New Roman" w:eastAsia="Calibri" w:hAnsi="Times New Roman" w:cs="Times New Roman"/>
          <w:bCs/>
          <w:kern w:val="0"/>
          <w:sz w:val="22"/>
          <w:szCs w:val="22"/>
          <w14:ligatures w14:val="none"/>
        </w:rPr>
        <w:t>šizofrenijai, psichozei gydyti</w:t>
      </w:r>
      <w:r w:rsidRPr="009C0CD0">
        <w:rPr>
          <w:rFonts w:ascii="Times New Roman" w:eastAsia="Calibri" w:hAnsi="Times New Roman" w:cs="Times New Roman"/>
          <w:kern w:val="0"/>
          <w:sz w:val="22"/>
          <w:szCs w:val="22"/>
          <w14:ligatures w14:val="none"/>
        </w:rPr>
        <w:t>) ir vaistų depresijai gydyti (triciklių antidepresantų ir SSRI), nes gali sumažėti traukulių atsiradimo slenkstis;</w:t>
      </w:r>
    </w:p>
    <w:p w14:paraId="3EA85294"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 xml:space="preserve">flekainido, propafenono ir metoprololio (vartojamų širdies ir kraujagyslių ligoms gydyti), desipramino, klomipramino ir nortriptilino (vaistų </w:t>
      </w:r>
      <w:r w:rsidRPr="009C0CD0">
        <w:rPr>
          <w:rFonts w:ascii="Times New Roman" w:eastAsia="Calibri" w:hAnsi="Times New Roman" w:cs="Times New Roman"/>
          <w:bCs/>
          <w:kern w:val="0"/>
          <w:sz w:val="22"/>
          <w:szCs w:val="22"/>
          <w14:ligatures w14:val="none"/>
        </w:rPr>
        <w:t>depresijai gydyti</w:t>
      </w:r>
      <w:r w:rsidRPr="009C0CD0">
        <w:rPr>
          <w:rFonts w:ascii="Times New Roman" w:eastAsia="Calibri" w:hAnsi="Times New Roman" w:cs="Times New Roman"/>
          <w:kern w:val="0"/>
          <w:sz w:val="22"/>
          <w:szCs w:val="22"/>
          <w14:ligatures w14:val="none"/>
        </w:rPr>
        <w:t xml:space="preserve">) ir risperidono, tioridazino ir haloperidolio (vaistų </w:t>
      </w:r>
      <w:r w:rsidRPr="009C0CD0">
        <w:rPr>
          <w:rFonts w:ascii="Times New Roman" w:eastAsia="Calibri" w:hAnsi="Times New Roman" w:cs="Times New Roman"/>
          <w:bCs/>
          <w:kern w:val="0"/>
          <w:sz w:val="22"/>
          <w:szCs w:val="22"/>
          <w14:ligatures w14:val="none"/>
        </w:rPr>
        <w:t>psichozei gydyti).</w:t>
      </w:r>
      <w:r w:rsidRPr="009C0CD0">
        <w:rPr>
          <w:rFonts w:ascii="Times New Roman" w:eastAsia="Calibri" w:hAnsi="Times New Roman" w:cs="Times New Roman"/>
          <w:kern w:val="0"/>
          <w:sz w:val="22"/>
          <w:szCs w:val="22"/>
          <w14:ligatures w14:val="none"/>
        </w:rPr>
        <w:t xml:space="preserve"> Gali tekti koreguoti Cipralex dozę;</w:t>
      </w:r>
    </w:p>
    <w:p w14:paraId="5A74CB76"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vaistų, kurie mažina kalio ar magnio kiekį kraujyje, kadangi tokia būklė gali didinti gyvybei pavojingo širdies ritmo sutrikimo riziką.</w:t>
      </w:r>
    </w:p>
    <w:p w14:paraId="4DAE4396"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163A38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Cipralex draudžiama vartoti su vaistais širdies ritmo sutrikimams gydyti ar vaistais, kurie gali keisti širdies ritmą, tokiais kaip IA ir III klasės preparatai nuo širdies ritmo sutrikimo, antipsichotikai (pvz., fentiazino dariniai, pimozidas, haloperidolis), tricikliai antidepresantai, tam tikri antimikrobiniai preparatai (pvz., sparfloksacinas, moksifloksacinas, eritromicinas IV, pentamidinas, preparatai nuo maliarijos, ypač halofantrinas), kai kurie antihistamininiai preparatai (astemizolas, hidroksizinas, mizolastinas). Jei turite bet kokių klausimų apie kartu vartojamus vaistus, pasitarkite su gydytoju.</w:t>
      </w:r>
    </w:p>
    <w:p w14:paraId="5685BB0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363CEFB" w14:textId="77777777" w:rsidR="009C0CD0" w:rsidRPr="009C0CD0" w:rsidRDefault="009C0CD0" w:rsidP="009C0CD0">
      <w:pPr>
        <w:spacing w:after="0" w:line="240" w:lineRule="auto"/>
        <w:ind w:left="567" w:hanging="567"/>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Cipralex vartojimas su maistu, gėrimais ir alkoholiu</w:t>
      </w:r>
    </w:p>
    <w:p w14:paraId="0708672D"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Cipralex galima vartoti su maistu arba be jo (žr. 3 skyrių „Kaip vartoti Cipralex“).</w:t>
      </w:r>
    </w:p>
    <w:p w14:paraId="686AE3B7"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7AED06D"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lastRenderedPageBreak/>
        <w:t>Cipralex, kaip ir daugumos kitų vaistų, nepatariama vartoti kartu su alkoholiu, tačiau sąveika su alkoholiu yra mažai tikėtina.</w:t>
      </w:r>
    </w:p>
    <w:p w14:paraId="387EC37C"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721E365F" w14:textId="77777777" w:rsidR="009C0CD0" w:rsidRPr="009C0CD0" w:rsidRDefault="009C0CD0" w:rsidP="009C0CD0">
      <w:pPr>
        <w:spacing w:after="0" w:line="240" w:lineRule="auto"/>
        <w:ind w:left="567" w:hanging="567"/>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Nėštumas, žindymo laikotarpis ir vaisingumas</w:t>
      </w:r>
    </w:p>
    <w:p w14:paraId="0C18E1E9"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19F63D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Jeigu esate nėščia, žindote kūdikį, manote, kad galbūt esate nėščia, arba planuojate pastoti, tai prieš vartodama šį vaistą, pasitarkite su gydytoju arba vaistininku.</w:t>
      </w:r>
    </w:p>
    <w:p w14:paraId="4AC4F6E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Jeigu esate nėščia ar maitinate krūtimi, Cipralex vartoti negalima, nebent Jūs aptarėte su gydytoju gydymo pavojus ir naudą.</w:t>
      </w:r>
    </w:p>
    <w:p w14:paraId="0141F689"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A9B92B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Jeigu paskutinius 3 nėštumo mėnesius vartojote Cipralex, turėtumėte žinoti, kad Jūsų naujagimiui gali pasireikšti šis šalutinis poveikis: sunkumas kvėpuoti, odos mėlis, priepuoliai, kūno temperatūros kitimas, sunkesnis žindymas, vėmimas, gliukozės sumažėjimas kraujyje, sustirę ar išglebę raumenys, ryškesni gyvybiniai refleksai, drebulys, pašiurpimas, irzlumas, apsnūdimas, nuolatinis verksmas, mieguistumas ir sunkumas užmigti. Jeigu Jūsų kūdikiui atsirado bent vienas išvardytas simptomas, nedelsiant kreipkitės į gydytoją.</w:t>
      </w:r>
    </w:p>
    <w:p w14:paraId="1D58C2D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7136715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Jūsų akušerė ir (arba) gydytojas turi žinoti, kad vartojate Cipralex. Jei tokių vaistų kaip Cipralex vartojama nėštumo metu, ypač paskutiniais 3 mėnesiais, gali padidėti sunkaus naujagimio sutrikimo, vadinamo naujagimių persistuojančia plautine hipertenzija (NPPH), rizika (kūdikis gali pradėti dažniau kvėpuoti ir pamėlti). Tokie simptomai paprastai prasideda per pirmąsias 24 valandas po vaiko gimimo. Jei toks poveikis pasireiškia Jūsų kūdikiui, privalote nedelsdami kreiptis į akušerę ir (arba) gydytoją.</w:t>
      </w:r>
    </w:p>
    <w:p w14:paraId="50A5FC67"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0AD0DC74"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Jeigu Jūs vartojate Cipralex nėštumo laikotarpio pabaigoje, Jums gali kilti didesnis</w:t>
      </w:r>
    </w:p>
    <w:p w14:paraId="09A60A3D"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stipraus kraujavimo iš makšties tuoj po gimdymo pavojus, ypač jeigu Jums praeityje buvo diagnozuota</w:t>
      </w:r>
    </w:p>
    <w:p w14:paraId="41E36D33"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kraujavimo sutrikimų. Jūsų gydytojui arba akušeriui reikia pranešti apie tai, kad Jūs vartojate</w:t>
      </w:r>
    </w:p>
    <w:p w14:paraId="4CE1095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Cipralex, kad jie galėtų Jums patarti.</w:t>
      </w:r>
    </w:p>
    <w:p w14:paraId="7030BB0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1882F221"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Nėštumo metu staiga nutraukti vaisto vartojimo negalima.</w:t>
      </w:r>
    </w:p>
    <w:p w14:paraId="728F8AAA"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07C7A22F" w14:textId="77777777" w:rsidR="009C0CD0" w:rsidRPr="009C0CD0" w:rsidRDefault="009C0CD0" w:rsidP="009C0CD0">
      <w:pPr>
        <w:spacing w:after="0" w:line="276" w:lineRule="auto"/>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Manoma, kad escitalopramas patenka ir į moters pieną.</w:t>
      </w:r>
    </w:p>
    <w:p w14:paraId="10A59375"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3B16B3B0"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Tyrimai su gyvūnais parodė, kad citalopramas (į escitalopramą panaši medžiaga) blogina spermos kokybę. Teoriškai tai gali veikti vaisingumą, bet iki šiol poveikio žmogaus vaisingumui nepastebėta.</w:t>
      </w:r>
    </w:p>
    <w:p w14:paraId="70F84C03"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00891092" w14:textId="77777777" w:rsidR="009C0CD0" w:rsidRPr="009C0CD0" w:rsidRDefault="009C0CD0" w:rsidP="009C0CD0">
      <w:pPr>
        <w:numPr>
          <w:ilvl w:val="12"/>
          <w:numId w:val="0"/>
        </w:numPr>
        <w:spacing w:after="0" w:line="240" w:lineRule="auto"/>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254D5FB9"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45DF5E8" w14:textId="77777777" w:rsidR="009C0CD0" w:rsidRPr="009C0CD0" w:rsidRDefault="009C0CD0" w:rsidP="009C0CD0">
      <w:pPr>
        <w:spacing w:after="0" w:line="240" w:lineRule="auto"/>
        <w:ind w:left="567" w:hanging="567"/>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Vairavimas ir mechanizmų valdymas</w:t>
      </w:r>
    </w:p>
    <w:p w14:paraId="43AF7F03"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Kol nežinote kaip Jus veikia Cipralex, patariama nevairuoti ir nevaldyti mechanizmų.</w:t>
      </w:r>
    </w:p>
    <w:p w14:paraId="3EA8815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1772106" w14:textId="77777777" w:rsidR="009C0CD0" w:rsidRPr="009C0CD0" w:rsidRDefault="009C0CD0" w:rsidP="009C0CD0">
      <w:pPr>
        <w:spacing w:after="0" w:line="240" w:lineRule="auto"/>
        <w:rPr>
          <w:rFonts w:ascii="Times New Roman" w:eastAsia="Times New Roman" w:hAnsi="Times New Roman" w:cs="Times New Roman"/>
          <w:b/>
          <w:kern w:val="0"/>
          <w:sz w:val="22"/>
          <w:szCs w:val="22"/>
          <w:lang w:eastAsia="x-none"/>
          <w14:ligatures w14:val="none"/>
        </w:rPr>
      </w:pPr>
      <w:r w:rsidRPr="009C0CD0">
        <w:rPr>
          <w:rFonts w:ascii="Times New Roman" w:eastAsia="Times New Roman" w:hAnsi="Times New Roman" w:cs="Times New Roman"/>
          <w:b/>
          <w:kern w:val="0"/>
          <w:sz w:val="22"/>
          <w:szCs w:val="22"/>
          <w:lang w:eastAsia="x-none"/>
          <w14:ligatures w14:val="none"/>
        </w:rPr>
        <w:t>Cipralex sudėtyje yra natrio</w:t>
      </w:r>
    </w:p>
    <w:p w14:paraId="323AE063" w14:textId="77777777" w:rsid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Šio vaisto tabletėje yra mažiau kaip 1 mmol (23 mg) natrio, t. y. jis beveik neturi reikšmės.</w:t>
      </w:r>
    </w:p>
    <w:p w14:paraId="75A6AEA2" w14:textId="77777777" w:rsidR="00622154" w:rsidRPr="009C0CD0" w:rsidRDefault="00622154" w:rsidP="009C0CD0">
      <w:pPr>
        <w:spacing w:after="0" w:line="240" w:lineRule="auto"/>
        <w:rPr>
          <w:rFonts w:ascii="Times New Roman" w:eastAsia="Times New Roman" w:hAnsi="Times New Roman" w:cs="Times New Roman"/>
          <w:kern w:val="0"/>
          <w:sz w:val="22"/>
          <w:szCs w:val="22"/>
          <w:lang w:eastAsia="x-none"/>
          <w14:ligatures w14:val="none"/>
        </w:rPr>
      </w:pPr>
    </w:p>
    <w:p w14:paraId="17BEFD73"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150DE332" w14:textId="77777777" w:rsidR="009C0CD0" w:rsidRPr="009C0CD0" w:rsidRDefault="009C0CD0" w:rsidP="009C0CD0">
      <w:pPr>
        <w:spacing w:after="0" w:line="240" w:lineRule="auto"/>
        <w:ind w:left="540" w:hanging="540"/>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3.</w:t>
      </w:r>
      <w:r w:rsidRPr="009C0CD0">
        <w:rPr>
          <w:rFonts w:ascii="Times New Roman" w:eastAsia="Calibri" w:hAnsi="Times New Roman" w:cs="Times New Roman"/>
          <w:b/>
          <w:kern w:val="0"/>
          <w:sz w:val="22"/>
          <w:szCs w:val="22"/>
          <w14:ligatures w14:val="none"/>
        </w:rPr>
        <w:tab/>
        <w:t>Kaip vartoti Cipralex</w:t>
      </w:r>
    </w:p>
    <w:p w14:paraId="50D1B467"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1802B8F3"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Visada vartokite šį vaistą tiksliai kaip nurodė gydytojas. Jeigu abejojate, kreipkitės į gydytoją arba vaistininką.</w:t>
      </w:r>
    </w:p>
    <w:p w14:paraId="3B7DFA79"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AFED6A3" w14:textId="77777777" w:rsidR="009C0CD0" w:rsidRPr="009C0CD0" w:rsidRDefault="009C0CD0" w:rsidP="009C0CD0">
      <w:pPr>
        <w:spacing w:after="0" w:line="240" w:lineRule="auto"/>
        <w:rPr>
          <w:rFonts w:ascii="Times New Roman" w:eastAsia="Times New Roman" w:hAnsi="Times New Roman" w:cs="Times New Roman"/>
          <w:kern w:val="0"/>
          <w:sz w:val="22"/>
          <w:szCs w:val="22"/>
          <w:u w:val="single"/>
          <w:lang w:eastAsia="x-none"/>
          <w14:ligatures w14:val="none"/>
        </w:rPr>
      </w:pPr>
      <w:r w:rsidRPr="009C0CD0">
        <w:rPr>
          <w:rFonts w:ascii="Times New Roman" w:eastAsia="Times New Roman" w:hAnsi="Times New Roman" w:cs="Times New Roman"/>
          <w:kern w:val="0"/>
          <w:sz w:val="22"/>
          <w:szCs w:val="22"/>
          <w:u w:val="single"/>
          <w:lang w:eastAsia="x-none"/>
          <w14:ligatures w14:val="none"/>
        </w:rPr>
        <w:t>Suaugusieji</w:t>
      </w:r>
    </w:p>
    <w:p w14:paraId="4D7D0D85" w14:textId="77777777" w:rsidR="009C0CD0" w:rsidRPr="009C0CD0" w:rsidRDefault="009C0CD0" w:rsidP="009C0CD0">
      <w:pPr>
        <w:spacing w:after="0" w:line="240" w:lineRule="auto"/>
        <w:rPr>
          <w:rFonts w:ascii="Times New Roman" w:eastAsia="Times New Roman" w:hAnsi="Times New Roman" w:cs="Times New Roman"/>
          <w:i/>
          <w:kern w:val="0"/>
          <w:sz w:val="22"/>
          <w:szCs w:val="22"/>
          <w:lang w:eastAsia="x-none"/>
          <w14:ligatures w14:val="none"/>
        </w:rPr>
      </w:pPr>
      <w:r w:rsidRPr="009C0CD0">
        <w:rPr>
          <w:rFonts w:ascii="Times New Roman" w:eastAsia="Times New Roman" w:hAnsi="Times New Roman" w:cs="Times New Roman"/>
          <w:i/>
          <w:kern w:val="0"/>
          <w:sz w:val="22"/>
          <w:szCs w:val="22"/>
          <w:lang w:eastAsia="x-none"/>
          <w14:ligatures w14:val="none"/>
        </w:rPr>
        <w:t>Depresija</w:t>
      </w:r>
    </w:p>
    <w:p w14:paraId="517C8D25"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 xml:space="preserve">Rekomenduojama Cipralex dozė yra 10 mg kartą per parą. Gydytojas gali šią dozę padidinti iki didžiausios rekomenduojamos – 20 mg per parą. </w:t>
      </w:r>
    </w:p>
    <w:p w14:paraId="323F9883"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4CCAABC9" w14:textId="77777777" w:rsidR="009C0CD0" w:rsidRPr="009C0CD0" w:rsidRDefault="009C0CD0" w:rsidP="009C0CD0">
      <w:pPr>
        <w:spacing w:after="0" w:line="240" w:lineRule="auto"/>
        <w:rPr>
          <w:rFonts w:ascii="Times New Roman" w:eastAsia="Times New Roman" w:hAnsi="Times New Roman" w:cs="Times New Roman"/>
          <w:i/>
          <w:kern w:val="0"/>
          <w:sz w:val="22"/>
          <w:szCs w:val="22"/>
          <w:lang w:eastAsia="x-none"/>
          <w14:ligatures w14:val="none"/>
        </w:rPr>
      </w:pPr>
      <w:r w:rsidRPr="009C0CD0">
        <w:rPr>
          <w:rFonts w:ascii="Times New Roman" w:eastAsia="Times New Roman" w:hAnsi="Times New Roman" w:cs="Times New Roman"/>
          <w:i/>
          <w:kern w:val="0"/>
          <w:sz w:val="22"/>
          <w:szCs w:val="22"/>
          <w:lang w:eastAsia="x-none"/>
          <w14:ligatures w14:val="none"/>
        </w:rPr>
        <w:lastRenderedPageBreak/>
        <w:t>Panikos sutrikimas</w:t>
      </w:r>
    </w:p>
    <w:p w14:paraId="162D21D4"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Pirmosiomis savaitėmis vartoti pradinę Cipralex dozę – 5 mg kartą per parą, vėliau dozę padidinti iki 10 mg per parą. Gydytojas gali šią dozę padidinti iki didžiausios paros dozės – 20 mg.</w:t>
      </w:r>
    </w:p>
    <w:p w14:paraId="5C777364"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D92B810" w14:textId="77777777" w:rsidR="009C0CD0" w:rsidRPr="009C0CD0" w:rsidRDefault="009C0CD0" w:rsidP="009C0CD0">
      <w:pPr>
        <w:spacing w:after="0" w:line="240" w:lineRule="auto"/>
        <w:rPr>
          <w:rFonts w:ascii="Times New Roman" w:eastAsia="Times New Roman" w:hAnsi="Times New Roman" w:cs="Times New Roman"/>
          <w:i/>
          <w:kern w:val="0"/>
          <w:sz w:val="22"/>
          <w:szCs w:val="22"/>
          <w:lang w:eastAsia="x-none"/>
          <w14:ligatures w14:val="none"/>
        </w:rPr>
      </w:pPr>
      <w:r w:rsidRPr="009C0CD0">
        <w:rPr>
          <w:rFonts w:ascii="Times New Roman" w:eastAsia="Times New Roman" w:hAnsi="Times New Roman" w:cs="Times New Roman"/>
          <w:i/>
          <w:kern w:val="0"/>
          <w:sz w:val="22"/>
          <w:szCs w:val="22"/>
          <w:lang w:eastAsia="x-none"/>
          <w14:ligatures w14:val="none"/>
        </w:rPr>
        <w:t>Socialinio nerimo sutrikimas</w:t>
      </w:r>
    </w:p>
    <w:p w14:paraId="30AC3DD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 xml:space="preserve">Rekomenduojama Cipralex dozė yra 10 mg kartą per parą. Atsižvelgęs į Jūsų savijautą vartojant vaistą, gydytojas gali sumažinti dozę iki 5 mg arba padidinti iki 20 mg per parą. </w:t>
      </w:r>
    </w:p>
    <w:p w14:paraId="5ACE3175"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34C3E1B" w14:textId="77777777" w:rsidR="009C0CD0" w:rsidRPr="009C0CD0" w:rsidRDefault="009C0CD0" w:rsidP="009C0CD0">
      <w:pPr>
        <w:spacing w:after="0" w:line="240" w:lineRule="auto"/>
        <w:rPr>
          <w:rFonts w:ascii="Times New Roman" w:eastAsia="Times New Roman" w:hAnsi="Times New Roman" w:cs="Times New Roman"/>
          <w:i/>
          <w:kern w:val="0"/>
          <w:sz w:val="22"/>
          <w:szCs w:val="22"/>
          <w:lang w:eastAsia="x-none"/>
          <w14:ligatures w14:val="none"/>
        </w:rPr>
      </w:pPr>
      <w:r w:rsidRPr="009C0CD0">
        <w:rPr>
          <w:rFonts w:ascii="Times New Roman" w:eastAsia="Times New Roman" w:hAnsi="Times New Roman" w:cs="Times New Roman"/>
          <w:i/>
          <w:kern w:val="0"/>
          <w:sz w:val="22"/>
          <w:szCs w:val="22"/>
          <w:lang w:eastAsia="x-none"/>
          <w14:ligatures w14:val="none"/>
        </w:rPr>
        <w:t>Generalizuoto nerimo sutrikimas</w:t>
      </w:r>
    </w:p>
    <w:p w14:paraId="0EF75B2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Pradinė rekomenduojama Cipralex dozė – 10 mg kartą per parą. Gydytojas gali dozę padidinti iki didžiausios – 20 mg dozės per parą.</w:t>
      </w:r>
    </w:p>
    <w:p w14:paraId="42712D6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0AE8A044" w14:textId="77777777" w:rsidR="009C0CD0" w:rsidRPr="009C0CD0" w:rsidRDefault="009C0CD0" w:rsidP="009C0CD0">
      <w:pPr>
        <w:spacing w:after="0" w:line="240" w:lineRule="auto"/>
        <w:rPr>
          <w:rFonts w:ascii="Times New Roman" w:eastAsia="Times New Roman" w:hAnsi="Times New Roman" w:cs="Times New Roman"/>
          <w:i/>
          <w:kern w:val="0"/>
          <w:sz w:val="22"/>
          <w:szCs w:val="22"/>
          <w:lang w:eastAsia="x-none"/>
          <w14:ligatures w14:val="none"/>
        </w:rPr>
      </w:pPr>
      <w:r w:rsidRPr="009C0CD0">
        <w:rPr>
          <w:rFonts w:ascii="Times New Roman" w:eastAsia="Times New Roman" w:hAnsi="Times New Roman" w:cs="Times New Roman"/>
          <w:i/>
          <w:kern w:val="0"/>
          <w:sz w:val="22"/>
          <w:szCs w:val="22"/>
          <w:lang w:eastAsia="x-none"/>
          <w14:ligatures w14:val="none"/>
        </w:rPr>
        <w:t>Obsesinis-kompulsinis sutrikimas</w:t>
      </w:r>
    </w:p>
    <w:p w14:paraId="1959193D"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Pradinė rekomenduojama Cipralex dozė – 10 mg kartą per parą. Gydytojas gali dozę padidinti iki didžiausios – 20 mg dozės per parą.</w:t>
      </w:r>
    </w:p>
    <w:p w14:paraId="0A29E60C"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046B0645" w14:textId="77777777" w:rsidR="009C0CD0" w:rsidRPr="009C0CD0" w:rsidRDefault="009C0CD0" w:rsidP="009C0CD0">
      <w:pPr>
        <w:spacing w:after="0" w:line="240" w:lineRule="auto"/>
        <w:rPr>
          <w:rFonts w:ascii="Times New Roman" w:eastAsia="Times New Roman" w:hAnsi="Times New Roman" w:cs="Times New Roman"/>
          <w:kern w:val="0"/>
          <w:sz w:val="22"/>
          <w:szCs w:val="22"/>
          <w:u w:val="single"/>
          <w:lang w:eastAsia="x-none"/>
          <w14:ligatures w14:val="none"/>
        </w:rPr>
      </w:pPr>
      <w:r w:rsidRPr="009C0CD0">
        <w:rPr>
          <w:rFonts w:ascii="Times New Roman" w:eastAsia="Times New Roman" w:hAnsi="Times New Roman" w:cs="Times New Roman"/>
          <w:kern w:val="0"/>
          <w:sz w:val="22"/>
          <w:szCs w:val="22"/>
          <w:u w:val="single"/>
          <w:lang w:eastAsia="x-none"/>
          <w14:ligatures w14:val="none"/>
        </w:rPr>
        <w:t>Senyvi pacientai (vyresni kaip 65 metų)</w:t>
      </w:r>
    </w:p>
    <w:p w14:paraId="18DC497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Pradinė rekomenduojama Cipralex dozė – 5 mg kartą per parą. Gydytojas gali dozę padidinti iki 10 mg dozės per parą.</w:t>
      </w:r>
    </w:p>
    <w:p w14:paraId="55FBA0F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15A0C4D" w14:textId="77777777" w:rsidR="009C0CD0" w:rsidRPr="009C0CD0" w:rsidRDefault="009C0CD0" w:rsidP="009C0CD0">
      <w:pPr>
        <w:spacing w:after="0" w:line="240" w:lineRule="auto"/>
        <w:rPr>
          <w:rFonts w:ascii="Times New Roman" w:eastAsia="Times New Roman" w:hAnsi="Times New Roman" w:cs="Times New Roman"/>
          <w:b/>
          <w:kern w:val="0"/>
          <w:sz w:val="22"/>
          <w:szCs w:val="22"/>
          <w:lang w:eastAsia="x-none"/>
          <w14:ligatures w14:val="none"/>
        </w:rPr>
      </w:pPr>
      <w:r w:rsidRPr="009C0CD0">
        <w:rPr>
          <w:rFonts w:ascii="Times New Roman" w:eastAsia="Times New Roman" w:hAnsi="Times New Roman" w:cs="Times New Roman"/>
          <w:b/>
          <w:kern w:val="0"/>
          <w:sz w:val="22"/>
          <w:szCs w:val="22"/>
          <w:lang w:eastAsia="x-none"/>
          <w14:ligatures w14:val="none"/>
        </w:rPr>
        <w:t>Vartojimas vaikams ir paaugliams</w:t>
      </w:r>
    </w:p>
    <w:p w14:paraId="6696BC23"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Vaikams ir paaugliams Cipralex vartoti negalima. Daugiau informacijos rasite 2 skyriuje „</w:t>
      </w:r>
      <w:r w:rsidRPr="009C0CD0">
        <w:rPr>
          <w:rFonts w:ascii="Times New Roman" w:eastAsia="Calibri" w:hAnsi="Times New Roman" w:cs="Times New Roman"/>
          <w:kern w:val="0"/>
          <w:sz w:val="22"/>
          <w:szCs w:val="22"/>
          <w14:ligatures w14:val="none"/>
        </w:rPr>
        <w:t>Įspėjimai ir atsargumo priemonės</w:t>
      </w:r>
      <w:r w:rsidRPr="009C0CD0">
        <w:rPr>
          <w:rFonts w:ascii="Times New Roman" w:eastAsia="Times New Roman" w:hAnsi="Times New Roman" w:cs="Times New Roman"/>
          <w:kern w:val="0"/>
          <w:sz w:val="22"/>
          <w:szCs w:val="22"/>
          <w:lang w:eastAsia="x-none"/>
          <w14:ligatures w14:val="none"/>
        </w:rPr>
        <w:t>”.</w:t>
      </w:r>
    </w:p>
    <w:p w14:paraId="3FBC8692"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E83728B" w14:textId="77777777" w:rsidR="009C0CD0" w:rsidRPr="009C0CD0" w:rsidRDefault="009C0CD0" w:rsidP="009C0CD0">
      <w:pPr>
        <w:spacing w:after="0" w:line="240" w:lineRule="auto"/>
        <w:rPr>
          <w:rFonts w:ascii="Times New Roman" w:eastAsia="Times New Roman" w:hAnsi="Times New Roman" w:cs="Times New Roman"/>
          <w:kern w:val="0"/>
          <w:sz w:val="22"/>
          <w:szCs w:val="22"/>
          <w:u w:val="single"/>
          <w:lang w:eastAsia="x-none"/>
          <w14:ligatures w14:val="none"/>
        </w:rPr>
      </w:pPr>
      <w:r w:rsidRPr="009C0CD0">
        <w:rPr>
          <w:rFonts w:ascii="Times New Roman" w:eastAsia="Times New Roman" w:hAnsi="Times New Roman" w:cs="Times New Roman"/>
          <w:kern w:val="0"/>
          <w:sz w:val="22"/>
          <w:szCs w:val="22"/>
          <w:u w:val="single"/>
          <w:lang w:eastAsia="x-none"/>
          <w14:ligatures w14:val="none"/>
        </w:rPr>
        <w:t>Susilpnėjusi inkstų funkcija</w:t>
      </w:r>
    </w:p>
    <w:p w14:paraId="53CE20B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Atsargiai skirti pacientams, kurių inkstų funkcija yra labai susilpnėjusi. Vartokite taip, kaip nurodė gydytojas.</w:t>
      </w:r>
    </w:p>
    <w:p w14:paraId="25CA5E6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F957A26" w14:textId="77777777" w:rsidR="009C0CD0" w:rsidRPr="009C0CD0" w:rsidRDefault="009C0CD0" w:rsidP="009C0CD0">
      <w:pPr>
        <w:spacing w:after="0" w:line="240" w:lineRule="auto"/>
        <w:rPr>
          <w:rFonts w:ascii="Times New Roman" w:eastAsia="Times New Roman" w:hAnsi="Times New Roman" w:cs="Times New Roman"/>
          <w:kern w:val="0"/>
          <w:sz w:val="22"/>
          <w:szCs w:val="22"/>
          <w:u w:val="single"/>
          <w:lang w:eastAsia="x-none"/>
          <w14:ligatures w14:val="none"/>
        </w:rPr>
      </w:pPr>
      <w:r w:rsidRPr="009C0CD0">
        <w:rPr>
          <w:rFonts w:ascii="Times New Roman" w:eastAsia="Times New Roman" w:hAnsi="Times New Roman" w:cs="Times New Roman"/>
          <w:kern w:val="0"/>
          <w:sz w:val="22"/>
          <w:szCs w:val="22"/>
          <w:u w:val="single"/>
          <w:lang w:eastAsia="x-none"/>
          <w14:ligatures w14:val="none"/>
        </w:rPr>
        <w:t>Susilpnėjusi kepenų veikla</w:t>
      </w:r>
    </w:p>
    <w:p w14:paraId="047BFBF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Kepenų ligomis sergantys pacientai neturėtų vartoti daugiau kaip 10 mg per parą. Vartokite taip, kaip nurodė gydytojas.</w:t>
      </w:r>
    </w:p>
    <w:p w14:paraId="237F003D"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A38EA24" w14:textId="77777777" w:rsidR="009C0CD0" w:rsidRPr="009C0CD0" w:rsidRDefault="009C0CD0" w:rsidP="009C0CD0">
      <w:pPr>
        <w:spacing w:after="0" w:line="240" w:lineRule="auto"/>
        <w:rPr>
          <w:rFonts w:ascii="Times New Roman" w:eastAsia="Times New Roman" w:hAnsi="Times New Roman" w:cs="Times New Roman"/>
          <w:kern w:val="0"/>
          <w:sz w:val="22"/>
          <w:szCs w:val="22"/>
          <w:u w:val="single"/>
          <w:lang w:eastAsia="x-none"/>
          <w14:ligatures w14:val="none"/>
        </w:rPr>
      </w:pPr>
      <w:r w:rsidRPr="009C0CD0">
        <w:rPr>
          <w:rFonts w:ascii="Times New Roman" w:eastAsia="Times New Roman" w:hAnsi="Times New Roman" w:cs="Times New Roman"/>
          <w:kern w:val="0"/>
          <w:sz w:val="22"/>
          <w:szCs w:val="22"/>
          <w:u w:val="single"/>
          <w:lang w:eastAsia="x-none"/>
          <w14:ligatures w14:val="none"/>
        </w:rPr>
        <w:t>Pacientams, kurių organizme CYP2C19 metabolizuoja silpnai</w:t>
      </w:r>
    </w:p>
    <w:p w14:paraId="547B59F1"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Pacientai, kurie turi šį sutrikimą, neturėtų vartoti daugiau kaip 10 mg per parą. Vartokite taip, kaip nurodė gydytojas.</w:t>
      </w:r>
    </w:p>
    <w:p w14:paraId="1B365DD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0FBB2BDF"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Calibri" w:hAnsi="Times New Roman" w:cs="Times New Roman"/>
          <w:i/>
          <w:kern w:val="0"/>
          <w:sz w:val="22"/>
          <w:szCs w:val="22"/>
          <w14:ligatures w14:val="none"/>
        </w:rPr>
        <w:t>Kaip vartoti tabletes</w:t>
      </w:r>
    </w:p>
    <w:p w14:paraId="1A8EBBE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Cipralex galima vartoti valgant arba nevalgius. Nuryti tabletę užsigeriant vandeniu. Nekramtyti, nes tabletės karčios.</w:t>
      </w:r>
    </w:p>
    <w:p w14:paraId="70CBD8CC"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748ED5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Jeigu būtina, 10 ir 20 mg tabletes galima perlaužti, pirmiausia padėti ant lygaus paviršiaus vagele į viršų. Tabletes galima perlaužti, spaudžiant žemyn tabletės kraštą nykščiu arba tuo pačiu metu spaudžiant abi tabletės puses abiem smiliais, kaip parodyta paveikslėlyje.</w:t>
      </w:r>
    </w:p>
    <w:p w14:paraId="23C502C9"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r w:rsidRPr="009C0CD0">
        <w:rPr>
          <w:rFonts w:ascii="Times New Roman" w:eastAsia="Calibri" w:hAnsi="Times New Roman" w:cs="Times New Roman"/>
          <w:noProof/>
          <w:kern w:val="0"/>
          <w:sz w:val="22"/>
          <w:szCs w:val="22"/>
          <w:lang w:eastAsia="lt-LT"/>
          <w14:ligatures w14:val="none"/>
        </w:rPr>
        <w:drawing>
          <wp:inline distT="0" distB="0" distL="0" distR="0" wp14:anchorId="2E3DC55B" wp14:editId="12C8F819">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14:paraId="5808A20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E3BB0B1"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10 ir 20 mg tabletės gali būti dalinamos į lygias dalis.</w:t>
      </w:r>
    </w:p>
    <w:p w14:paraId="32F65636"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F561C47" w14:textId="77777777" w:rsidR="009C0CD0" w:rsidRPr="009C0CD0" w:rsidRDefault="009C0CD0" w:rsidP="009C0CD0">
      <w:pPr>
        <w:spacing w:after="0" w:line="240" w:lineRule="auto"/>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Vartojimo trukmė</w:t>
      </w:r>
    </w:p>
    <w:p w14:paraId="15878E49"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0C6A4CB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lastRenderedPageBreak/>
        <w:t>Gali praeiti kelios savaitės, kol pajusite pagerėjimą. Jūs turite vartoti Cipralex net tada, jei greitai būklė nepagerėja.</w:t>
      </w:r>
    </w:p>
    <w:p w14:paraId="650E5CF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7311C1C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Niekada nekeiskite vaisto dozės, prieš tai nepasitarę su gydytoju.</w:t>
      </w:r>
    </w:p>
    <w:p w14:paraId="0B42E847"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0D59348"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Turite vartoti tabletes tiek laiko, kiek nurodė gydytojas. Jei gydymą baigsite per anksti, simptomai gali atsinaujinti. Gydymą rekomenduojama tęsti ne trumpiau kaip 6 mėnesius po to, kai vėl pasijutote gerai.</w:t>
      </w:r>
    </w:p>
    <w:p w14:paraId="3C80006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159D5C8C"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r w:rsidRPr="009C0CD0">
        <w:rPr>
          <w:rFonts w:ascii="Times New Roman" w:eastAsia="Calibri" w:hAnsi="Times New Roman" w:cs="Times New Roman"/>
          <w:b/>
          <w:kern w:val="0"/>
          <w:sz w:val="22"/>
          <w:szCs w:val="22"/>
          <w14:ligatures w14:val="none"/>
        </w:rPr>
        <w:t>Ką daryti pavartojus per didelę Cipralex dozę</w:t>
      </w:r>
    </w:p>
    <w:p w14:paraId="50F41F81"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Jei Jūs išgėrėte didesnę nei paskirta Cipralex dozę, nedelsdami susisiekite su gydytoju arba artimiausios ligoninės skubios pagalbos skyriumi, net jei apsinuodijimo požymių nėra. Perdozavimo požymiai gali būti: galvos svaigimas, drebulys, susijaudinimas, traukuliai, koma, pykinimas, vėmimas, širdies ritmo pokyčiai, sumažėjęs kraujo spaudimas ir organizmo skysčio ir druskų pusiausvyros pokyčiai. Jei vykstate pas gydytoją arba į ligoninę, pasiimkite Cipralex dėžutę arba talpyklę.</w:t>
      </w:r>
    </w:p>
    <w:p w14:paraId="40697DF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A1342DB"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r w:rsidRPr="009C0CD0">
        <w:rPr>
          <w:rFonts w:ascii="Times New Roman" w:eastAsia="Calibri" w:hAnsi="Times New Roman" w:cs="Times New Roman"/>
          <w:b/>
          <w:kern w:val="0"/>
          <w:sz w:val="22"/>
          <w:szCs w:val="22"/>
          <w14:ligatures w14:val="none"/>
        </w:rPr>
        <w:t>Pamiršus pavartoti Cipralex</w:t>
      </w:r>
    </w:p>
    <w:p w14:paraId="3FF88D45"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14:paraId="3D50755F"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2B3872A"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r w:rsidRPr="009C0CD0">
        <w:rPr>
          <w:rFonts w:ascii="Times New Roman" w:eastAsia="Calibri" w:hAnsi="Times New Roman" w:cs="Times New Roman"/>
          <w:b/>
          <w:kern w:val="0"/>
          <w:sz w:val="22"/>
          <w:szCs w:val="22"/>
          <w14:ligatures w14:val="none"/>
        </w:rPr>
        <w:t>Nustojus vartoti Cipralex</w:t>
      </w:r>
    </w:p>
    <w:p w14:paraId="4C55454D"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Negalima nutraukti Cipralex vartojimo tol, kol gydytojas neliepė. Baigus gydymo kursą, rekomenduojama keletą savaičių palaipsniui mažinti Cipralex dozę.</w:t>
      </w:r>
    </w:p>
    <w:p w14:paraId="7E507C27"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70B7D48F"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Nustojus vartoti Cipralex, ypač staiga, gali atsirasti nutraukimo simptomų. Tai įprasta baigiant vartoti Cipralex. Pavojus didesnis, kai Cipralex buvo vartojamas ilgai ar didelėmis dozėmis arba jei dozė mažinama per greitai. Daugumai žmonių pasireiškia lengvi simptomai, kurie patys išnyksta per dvi savaites, tačiau kai kuriems pacientams simptomai gali būti sunkūs ir tęstis ilgai (2–3 mėnesius). Pasakykite gydytojui, jeigu Jums pasireiškė sunkūs nutraukimo simptomai. Gydytojas gali paprašyti Jūsų vėl toliau vartoti tabletes ir dozę mažinti dar lėčiau.</w:t>
      </w:r>
    </w:p>
    <w:p w14:paraId="57625D78"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73A8B79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Nutraukimo simptomai: svaigulys (stabilumo arba pusiausvyros praradimas), dilgsėjimas, niežulys arba (rečiau) elektros iškrovos pojūtis, atsirandantis ir galvoje, miego sutrikimas (vaizdingi ar gąsdinantys sapnai, sunkumas užmigti), nerimas, galvos skausmas, silpnumo jausmas (pykinimas), vėmimas, prakaitavimas (įskaitant prakaitavimą naktį), nerimastingumas ar sujaudinimas, drebulys (virpėjimas), sumišimas ar orientacijos praradimas, jausmingumas ar irzlumas, viduriavimas (paleisti viduriai), regėjimo sutrikimas, virpantis ar smarkus širdies plakimas (palpitacija).</w:t>
      </w:r>
    </w:p>
    <w:p w14:paraId="2A98AE8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E6CE07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Jeigu kiltų daugiau klausimų dėl šio vaisto vartojimo, kreipkitės į gydytoją arba vaistininką.</w:t>
      </w:r>
    </w:p>
    <w:p w14:paraId="71EB0FA3"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1C3D015"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01296D0" w14:textId="77777777" w:rsidR="009C0CD0" w:rsidRPr="009C0CD0" w:rsidRDefault="009C0CD0" w:rsidP="009C0CD0">
      <w:pPr>
        <w:spacing w:after="0" w:line="240" w:lineRule="auto"/>
        <w:ind w:left="567" w:hanging="567"/>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4.</w:t>
      </w:r>
      <w:r w:rsidRPr="009C0CD0">
        <w:rPr>
          <w:rFonts w:ascii="Times New Roman" w:eastAsia="Calibri" w:hAnsi="Times New Roman" w:cs="Times New Roman"/>
          <w:b/>
          <w:kern w:val="0"/>
          <w:sz w:val="22"/>
          <w:szCs w:val="22"/>
          <w14:ligatures w14:val="none"/>
        </w:rPr>
        <w:tab/>
        <w:t>Galimas šalutinis poveikis</w:t>
      </w:r>
    </w:p>
    <w:p w14:paraId="54307397"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1CF536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Šis vaistas, kaip ir visi kiti, gali sukelti šalutinį poveikį, nors jis pasireiškia ne visiems žmonėms.</w:t>
      </w:r>
    </w:p>
    <w:p w14:paraId="69BE7CD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4BC729D4"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Šalutinis poveikis, tęsiant gydymą, paprastai išnyksta po kelių savaičių.</w:t>
      </w:r>
    </w:p>
    <w:p w14:paraId="329C83E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Prašome įsidėmėti, kad kai kurie negalavimai gali būti ir Jūsų ligos simptomai, kurie lengvės Jums sveikstant.</w:t>
      </w:r>
    </w:p>
    <w:p w14:paraId="397E1A1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35BC2CB7" w14:textId="77777777" w:rsidR="009C0CD0" w:rsidRPr="009C0CD0" w:rsidRDefault="009C0CD0" w:rsidP="009C0CD0">
      <w:pPr>
        <w:spacing w:after="0" w:line="240" w:lineRule="auto"/>
        <w:rPr>
          <w:rFonts w:ascii="Times New Roman" w:eastAsia="Calibri" w:hAnsi="Times New Roman" w:cs="Times New Roman"/>
          <w:b/>
          <w:color w:val="000000"/>
          <w:kern w:val="0"/>
          <w:sz w:val="22"/>
          <w:szCs w:val="22"/>
          <w14:ligatures w14:val="none"/>
        </w:rPr>
      </w:pPr>
      <w:r w:rsidRPr="009C0CD0">
        <w:rPr>
          <w:rFonts w:ascii="Times New Roman" w:eastAsia="Calibri" w:hAnsi="Times New Roman" w:cs="Times New Roman"/>
          <w:b/>
          <w:color w:val="000000"/>
          <w:kern w:val="0"/>
          <w:sz w:val="22"/>
          <w:szCs w:val="22"/>
          <w14:ligatures w14:val="none"/>
        </w:rPr>
        <w:t>Praneškite savo gydytojui arba iš karto vykite į ligoninę, jeigu Jums pasireiškė bent vienas iš toliau išvardytų šalutinių simptomų.</w:t>
      </w:r>
    </w:p>
    <w:p w14:paraId="0F0C3715"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62A9E8DC" w14:textId="77777777" w:rsidR="009C0CD0" w:rsidRPr="009C0CD0" w:rsidRDefault="009C0CD0" w:rsidP="009C0CD0">
      <w:pPr>
        <w:spacing w:after="0" w:line="240" w:lineRule="auto"/>
        <w:rPr>
          <w:rFonts w:ascii="Times New Roman" w:eastAsia="Times New Roman" w:hAnsi="Times New Roman" w:cs="Times New Roman"/>
          <w:b/>
          <w:bCs/>
          <w:noProof/>
          <w:snapToGrid w:val="0"/>
          <w:kern w:val="0"/>
          <w:sz w:val="22"/>
          <w:szCs w:val="22"/>
          <w14:ligatures w14:val="none"/>
        </w:rPr>
      </w:pPr>
      <w:r w:rsidRPr="009C0CD0">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p>
    <w:p w14:paraId="2B571DA9"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Times New Roman" w:hAnsi="Times New Roman" w:cs="Times New Roman"/>
          <w:b/>
          <w:bCs/>
          <w:noProof/>
          <w:snapToGrid w:val="0"/>
          <w:kern w:val="0"/>
          <w:sz w:val="22"/>
          <w:szCs w:val="22"/>
          <w14:ligatures w14:val="none"/>
        </w:rPr>
        <w:t xml:space="preserve"> </w:t>
      </w:r>
      <w:r w:rsidRPr="009C0CD0">
        <w:rPr>
          <w:rFonts w:ascii="Times New Roman" w:eastAsia="Calibri" w:hAnsi="Times New Roman" w:cs="Times New Roman"/>
          <w:kern w:val="0"/>
          <w:sz w:val="22"/>
          <w:szCs w:val="22"/>
          <w14:ligatures w14:val="none"/>
        </w:rPr>
        <w:t>Neįprastas kraujavimas, įskaitant kraujavimą į virškinimo traktą.</w:t>
      </w:r>
    </w:p>
    <w:p w14:paraId="481998C9"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1907404C" w14:textId="77777777" w:rsidR="009C0CD0" w:rsidRPr="009C0CD0" w:rsidRDefault="009C0CD0" w:rsidP="009C0CD0">
      <w:pPr>
        <w:spacing w:after="0" w:line="240" w:lineRule="auto"/>
        <w:rPr>
          <w:rFonts w:ascii="Times New Roman" w:eastAsia="Times New Roman" w:hAnsi="Times New Roman" w:cs="Times New Roman"/>
          <w:b/>
          <w:bCs/>
          <w:noProof/>
          <w:snapToGrid w:val="0"/>
          <w:kern w:val="0"/>
          <w:sz w:val="22"/>
          <w:szCs w:val="22"/>
          <w14:ligatures w14:val="none"/>
        </w:rPr>
      </w:pPr>
      <w:r w:rsidRPr="009C0CD0">
        <w:rPr>
          <w:rFonts w:ascii="Times New Roman" w:eastAsia="Times New Roman" w:hAnsi="Times New Roman" w:cs="Times New Roman"/>
          <w:b/>
          <w:bCs/>
          <w:noProof/>
          <w:snapToGrid w:val="0"/>
          <w:kern w:val="0"/>
          <w:sz w:val="22"/>
          <w:szCs w:val="22"/>
          <w14:ligatures w14:val="none"/>
        </w:rPr>
        <w:lastRenderedPageBreak/>
        <w:t xml:space="preserve">Reti šalutinio poveikio reiškiniai (gali pasireikšti rečiau kaip 1 iš 1 000 asmenų): </w:t>
      </w:r>
    </w:p>
    <w:p w14:paraId="463A5EF4"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Odos, liežuvio, lūpų arba veido tinimas, sunkumas kvėpuoti arba nuryti (alerginė reakcija).</w:t>
      </w:r>
    </w:p>
    <w:p w14:paraId="48598B16"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Karščiavimas, sujaudinimas, sumišimas, drebulys ir nevalingi raumenų susitraukinėjimai, tai gali būti retos būklės, vadinamos serotonino sindromu, požymiai.</w:t>
      </w:r>
    </w:p>
    <w:p w14:paraId="2E3999AB"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72C90451" w14:textId="77777777" w:rsidR="009C0CD0" w:rsidRPr="009C0CD0" w:rsidRDefault="009C0CD0" w:rsidP="009C0CD0">
      <w:pPr>
        <w:spacing w:after="0" w:line="240" w:lineRule="auto"/>
        <w:rPr>
          <w:rFonts w:ascii="Times New Roman" w:eastAsia="Calibri" w:hAnsi="Times New Roman" w:cs="Times New Roman"/>
          <w:i/>
          <w:kern w:val="0"/>
          <w:sz w:val="22"/>
          <w:szCs w:val="22"/>
          <w14:ligatures w14:val="none"/>
        </w:rPr>
      </w:pPr>
      <w:r w:rsidRPr="009C0CD0">
        <w:rPr>
          <w:rFonts w:ascii="Times New Roman" w:eastAsia="Times New Roman" w:hAnsi="Times New Roman" w:cs="Times New Roman"/>
          <w:b/>
          <w:bCs/>
          <w:noProof/>
          <w:snapToGrid w:val="0"/>
          <w:kern w:val="0"/>
          <w:sz w:val="22"/>
          <w:szCs w:val="22"/>
          <w14:ligatures w14:val="none"/>
        </w:rPr>
        <w:t xml:space="preserve">Šalutinio poveikio reiškiniai, kurių dažnis nežinomas (negali būti apskaičiuotas pagal turimus duomenis): </w:t>
      </w:r>
    </w:p>
    <w:p w14:paraId="24B79768" w14:textId="77777777" w:rsidR="009C0CD0" w:rsidRPr="009C0CD0" w:rsidRDefault="009C0CD0" w:rsidP="009C0CD0">
      <w:pPr>
        <w:numPr>
          <w:ilvl w:val="0"/>
          <w:numId w:val="1"/>
        </w:numPr>
        <w:tabs>
          <w:tab w:val="clear" w:pos="360"/>
          <w:tab w:val="num" w:pos="567"/>
        </w:tabs>
        <w:spacing w:after="0" w:line="276"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Sunkumas šlapintis.</w:t>
      </w:r>
    </w:p>
    <w:p w14:paraId="32382D8D" w14:textId="77777777" w:rsidR="009C0CD0" w:rsidRPr="009C0CD0" w:rsidRDefault="009C0CD0" w:rsidP="009C0CD0">
      <w:pPr>
        <w:numPr>
          <w:ilvl w:val="0"/>
          <w:numId w:val="1"/>
        </w:numPr>
        <w:tabs>
          <w:tab w:val="clear" w:pos="360"/>
          <w:tab w:val="num" w:pos="567"/>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Traukuliai, taip pat žiūrėkite skyrių „Įspėjimai ir atsargumo priemonės“.</w:t>
      </w:r>
    </w:p>
    <w:p w14:paraId="3038399D" w14:textId="77777777" w:rsidR="009C0CD0" w:rsidRPr="009C0CD0" w:rsidRDefault="009C0CD0" w:rsidP="009C0CD0">
      <w:pPr>
        <w:numPr>
          <w:ilvl w:val="0"/>
          <w:numId w:val="1"/>
        </w:numPr>
        <w:tabs>
          <w:tab w:val="clear" w:pos="360"/>
          <w:tab w:val="num" w:pos="567"/>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Odos ir akių baltymo pageltimas yra kepenų funkcijos sutrikimo (hepatito) požymiai.</w:t>
      </w:r>
    </w:p>
    <w:p w14:paraId="78070922" w14:textId="77777777" w:rsidR="009C0CD0" w:rsidRPr="009C0CD0" w:rsidRDefault="009C0CD0" w:rsidP="009C0CD0">
      <w:pPr>
        <w:numPr>
          <w:ilvl w:val="0"/>
          <w:numId w:val="1"/>
        </w:numPr>
        <w:tabs>
          <w:tab w:val="clear" w:pos="360"/>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Dažnas nereguliarus širdies plakimas ir alpulys (tai gali būti gyvybei pavojingos būklės, vadinamos paroksizmine polimorfine skilvelių tachikardija, simptomai).</w:t>
      </w:r>
    </w:p>
    <w:p w14:paraId="40F65A08" w14:textId="77777777" w:rsidR="009C0CD0" w:rsidRPr="009C0CD0" w:rsidRDefault="009C0CD0" w:rsidP="009C0CD0">
      <w:pPr>
        <w:numPr>
          <w:ilvl w:val="0"/>
          <w:numId w:val="1"/>
        </w:numPr>
        <w:tabs>
          <w:tab w:val="clear" w:pos="360"/>
          <w:tab w:val="num" w:pos="567"/>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Mintys apie savęs žalojimą arba savižudybę, taip pat žiūrėkite skyrių „Įspėjimai ir atsargumo priemonės“.</w:t>
      </w:r>
    </w:p>
    <w:p w14:paraId="45E8C856" w14:textId="77777777" w:rsidR="009C0CD0" w:rsidRPr="009C0CD0" w:rsidRDefault="009C0CD0" w:rsidP="009C0CD0">
      <w:pPr>
        <w:numPr>
          <w:ilvl w:val="0"/>
          <w:numId w:val="1"/>
        </w:numPr>
        <w:tabs>
          <w:tab w:val="clear" w:pos="360"/>
          <w:tab w:val="num" w:pos="567"/>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Staigus odos ir gleivinių patinimas (angioedemos).</w:t>
      </w:r>
    </w:p>
    <w:p w14:paraId="0E5A6682"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3D1B45D8" w14:textId="77777777" w:rsidR="009C0CD0" w:rsidRPr="009C0CD0" w:rsidRDefault="009C0CD0" w:rsidP="009C0CD0">
      <w:pPr>
        <w:spacing w:after="0" w:line="240" w:lineRule="auto"/>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Be anksčiau išvardytų, nustatytas šis šalutinis poveikis:</w:t>
      </w:r>
    </w:p>
    <w:p w14:paraId="5A534749"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47E290DD" w14:textId="77777777" w:rsidR="009C0CD0" w:rsidRPr="009C0CD0" w:rsidRDefault="009C0CD0" w:rsidP="009C0CD0">
      <w:pPr>
        <w:spacing w:after="0" w:line="240" w:lineRule="auto"/>
        <w:rPr>
          <w:rFonts w:ascii="Times New Roman" w:eastAsia="Times New Roman" w:hAnsi="Times New Roman" w:cs="Times New Roman"/>
          <w:b/>
          <w:bCs/>
          <w:noProof/>
          <w:snapToGrid w:val="0"/>
          <w:kern w:val="0"/>
          <w:sz w:val="22"/>
          <w:szCs w:val="22"/>
          <w14:ligatures w14:val="none"/>
        </w:rPr>
      </w:pPr>
      <w:r w:rsidRPr="009C0CD0">
        <w:rPr>
          <w:rFonts w:ascii="Times New Roman" w:eastAsia="Times New Roman" w:hAnsi="Times New Roman" w:cs="Times New Roman"/>
          <w:b/>
          <w:bCs/>
          <w:noProof/>
          <w:snapToGrid w:val="0"/>
          <w:kern w:val="0"/>
          <w:sz w:val="22"/>
          <w:szCs w:val="22"/>
          <w14:ligatures w14:val="none"/>
        </w:rPr>
        <w:t>Labai dažni šalutinio poveikio reiškiniai (gali pasireikšti ne rečiau kaip 1 iš 10 asmenų):</w:t>
      </w:r>
    </w:p>
    <w:p w14:paraId="59DC43DA"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Pykinimas.</w:t>
      </w:r>
    </w:p>
    <w:p w14:paraId="7223ECAA"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Galvos skausmas.</w:t>
      </w:r>
    </w:p>
    <w:p w14:paraId="673B3A3B"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6635C8AA" w14:textId="77777777" w:rsidR="009C0CD0" w:rsidRPr="009C0CD0" w:rsidRDefault="009C0CD0" w:rsidP="009C0CD0">
      <w:pPr>
        <w:spacing w:after="0" w:line="240" w:lineRule="auto"/>
        <w:rPr>
          <w:rFonts w:ascii="Times New Roman" w:eastAsia="Times New Roman" w:hAnsi="Times New Roman" w:cs="Times New Roman"/>
          <w:b/>
          <w:bCs/>
          <w:noProof/>
          <w:snapToGrid w:val="0"/>
          <w:kern w:val="0"/>
          <w:sz w:val="22"/>
          <w:szCs w:val="22"/>
          <w14:ligatures w14:val="none"/>
        </w:rPr>
      </w:pPr>
      <w:r w:rsidRPr="009C0CD0">
        <w:rPr>
          <w:rFonts w:ascii="Times New Roman" w:eastAsia="Times New Roman" w:hAnsi="Times New Roman" w:cs="Times New Roman"/>
          <w:b/>
          <w:bCs/>
          <w:noProof/>
          <w:snapToGrid w:val="0"/>
          <w:kern w:val="0"/>
          <w:sz w:val="22"/>
          <w:szCs w:val="22"/>
          <w14:ligatures w14:val="none"/>
        </w:rPr>
        <w:t>Dažni šalutinio poveikio reiškiniai (gali pasireikšti rečiau kaip 1 iš 10 asmenų):</w:t>
      </w:r>
    </w:p>
    <w:p w14:paraId="38601CCA"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Užgulta arba varvanti nosis (sinusitas).</w:t>
      </w:r>
    </w:p>
    <w:p w14:paraId="5A3D54F6"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Sumažėjęs arba padidėjęs apetitas.</w:t>
      </w:r>
    </w:p>
    <w:p w14:paraId="7DF14A90"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Nerimas, nerimastingumas, neįprasti sapnai, sunkumas užmigti, mieguistumas, galvos svaigimas, žiovulys, drebulys, odos dilgsėjimas.</w:t>
      </w:r>
    </w:p>
    <w:p w14:paraId="2CC6776A"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Viduriavimas, vidurių užkietėjimas, vėmimas, burnos džiūvimas.</w:t>
      </w:r>
    </w:p>
    <w:p w14:paraId="54DFF626"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Padidėjęs prakaitavimas.</w:t>
      </w:r>
    </w:p>
    <w:p w14:paraId="2EF2E513"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Raumenų ir sąnarių skausmas (artralgija ir mialgija).</w:t>
      </w:r>
    </w:p>
    <w:p w14:paraId="374AD881"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Lytiniai sutrikimai (ejakuliacijos susilaikymas, erekcijos sutrikimai, sumažėjęs lytinis potraukis, moterims gali būti sunku patirti orgazmą).</w:t>
      </w:r>
    </w:p>
    <w:p w14:paraId="4D609518"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Nuovargis, karščiavimas.</w:t>
      </w:r>
    </w:p>
    <w:p w14:paraId="0D449775"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Svorio padidėjimas.</w:t>
      </w:r>
    </w:p>
    <w:p w14:paraId="1B731FE6" w14:textId="77777777" w:rsidR="009C0CD0" w:rsidRPr="009C0CD0" w:rsidRDefault="009C0CD0" w:rsidP="009C0CD0">
      <w:pPr>
        <w:tabs>
          <w:tab w:val="left" w:pos="360"/>
        </w:tabs>
        <w:spacing w:after="0" w:line="240" w:lineRule="auto"/>
        <w:rPr>
          <w:rFonts w:ascii="Times New Roman" w:eastAsia="Calibri" w:hAnsi="Times New Roman" w:cs="Times New Roman"/>
          <w:kern w:val="0"/>
          <w:sz w:val="22"/>
          <w:szCs w:val="22"/>
          <w14:ligatures w14:val="none"/>
        </w:rPr>
      </w:pPr>
    </w:p>
    <w:p w14:paraId="2A9B7D78" w14:textId="77777777" w:rsidR="009C0CD0" w:rsidRPr="009C0CD0" w:rsidRDefault="009C0CD0" w:rsidP="009C0CD0">
      <w:pPr>
        <w:spacing w:after="0" w:line="240" w:lineRule="auto"/>
        <w:rPr>
          <w:rFonts w:ascii="Times New Roman" w:eastAsia="Times New Roman" w:hAnsi="Times New Roman" w:cs="Times New Roman"/>
          <w:b/>
          <w:bCs/>
          <w:noProof/>
          <w:snapToGrid w:val="0"/>
          <w:kern w:val="0"/>
          <w:sz w:val="22"/>
          <w:szCs w:val="22"/>
          <w14:ligatures w14:val="none"/>
        </w:rPr>
      </w:pPr>
      <w:r w:rsidRPr="009C0CD0">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p>
    <w:p w14:paraId="2A291FF0" w14:textId="77777777" w:rsidR="009C0CD0" w:rsidRPr="009C0CD0" w:rsidRDefault="009C0CD0" w:rsidP="009C0CD0">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w:t>
      </w:r>
      <w:r w:rsidRPr="009C0CD0">
        <w:rPr>
          <w:rFonts w:ascii="Times New Roman" w:eastAsia="Calibri" w:hAnsi="Times New Roman" w:cs="Times New Roman"/>
          <w:kern w:val="0"/>
          <w:sz w:val="22"/>
          <w:szCs w:val="22"/>
          <w14:ligatures w14:val="none"/>
        </w:rPr>
        <w:tab/>
        <w:t>Dilgėlės bėrimas (dilgėlinė), bėrimas, niežulys (pruritas).</w:t>
      </w:r>
    </w:p>
    <w:p w14:paraId="06BB0EA3"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Dantų griežimas, sujaudinimas, nervingumas, panikos priepuolis, sumišimas.</w:t>
      </w:r>
    </w:p>
    <w:p w14:paraId="512D2B87"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Sutrikęs miegas, pakitęs skonio pojūtis, apalpimas (sinkopė).</w:t>
      </w:r>
    </w:p>
    <w:p w14:paraId="4CEBA93E"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Išsiplėtę vyzdžiai (midriazė), regėjimo sutrikimas, spengimas ausyse (tinitas).</w:t>
      </w:r>
    </w:p>
    <w:p w14:paraId="07C88924"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Plaukų slinkimas.</w:t>
      </w:r>
    </w:p>
    <w:p w14:paraId="3341E6D9" w14:textId="77777777" w:rsidR="009C0CD0" w:rsidRPr="009C0CD0" w:rsidRDefault="009C0CD0" w:rsidP="009C0CD0">
      <w:pPr>
        <w:numPr>
          <w:ilvl w:val="0"/>
          <w:numId w:val="1"/>
        </w:numPr>
        <w:tabs>
          <w:tab w:val="clear" w:pos="360"/>
          <w:tab w:val="left" w:pos="540"/>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Sustiprėjęs menstruacinis kraujavimas.</w:t>
      </w:r>
    </w:p>
    <w:p w14:paraId="0241D23A" w14:textId="77777777" w:rsidR="009C0CD0" w:rsidRPr="009C0CD0" w:rsidRDefault="009C0CD0" w:rsidP="009C0CD0">
      <w:pPr>
        <w:numPr>
          <w:ilvl w:val="0"/>
          <w:numId w:val="1"/>
        </w:numPr>
        <w:tabs>
          <w:tab w:val="clear" w:pos="360"/>
          <w:tab w:val="left" w:pos="540"/>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Nereguliarios mėnesinės.</w:t>
      </w:r>
    </w:p>
    <w:p w14:paraId="322AA1CF"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Kraujavimas iš makšties.</w:t>
      </w:r>
    </w:p>
    <w:p w14:paraId="288E5885"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Svorio sumažėjimas.</w:t>
      </w:r>
    </w:p>
    <w:p w14:paraId="77E6BA62"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Dažnas širdies plakimas.</w:t>
      </w:r>
    </w:p>
    <w:p w14:paraId="69893A29"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Rankų ir kojų patinimas.</w:t>
      </w:r>
    </w:p>
    <w:p w14:paraId="50891AC6" w14:textId="77777777" w:rsidR="009C0CD0" w:rsidRPr="009C0CD0" w:rsidRDefault="009C0CD0" w:rsidP="009C0CD0">
      <w:pPr>
        <w:numPr>
          <w:ilvl w:val="0"/>
          <w:numId w:val="1"/>
        </w:numPr>
        <w:tabs>
          <w:tab w:val="clear" w:pos="360"/>
          <w:tab w:val="left"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Kraujavimas iš nosies.</w:t>
      </w:r>
    </w:p>
    <w:p w14:paraId="36D4FCA4"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23ECE9D6" w14:textId="77777777" w:rsidR="009C0CD0" w:rsidRPr="009C0CD0" w:rsidRDefault="009C0CD0" w:rsidP="009C0CD0">
      <w:pPr>
        <w:spacing w:after="0" w:line="240" w:lineRule="auto"/>
        <w:rPr>
          <w:rFonts w:ascii="Times New Roman" w:eastAsia="Times New Roman" w:hAnsi="Times New Roman" w:cs="Times New Roman"/>
          <w:b/>
          <w:bCs/>
          <w:noProof/>
          <w:snapToGrid w:val="0"/>
          <w:kern w:val="0"/>
          <w:sz w:val="22"/>
          <w:szCs w:val="22"/>
          <w14:ligatures w14:val="none"/>
        </w:rPr>
      </w:pPr>
      <w:r w:rsidRPr="009C0CD0">
        <w:rPr>
          <w:rFonts w:ascii="Times New Roman" w:eastAsia="Times New Roman" w:hAnsi="Times New Roman" w:cs="Times New Roman"/>
          <w:b/>
          <w:bCs/>
          <w:noProof/>
          <w:snapToGrid w:val="0"/>
          <w:kern w:val="0"/>
          <w:sz w:val="22"/>
          <w:szCs w:val="22"/>
          <w14:ligatures w14:val="none"/>
        </w:rPr>
        <w:t>Reti šalutinio poveikio reiškiniai (gali pasireikšti rečiau kaip 1 iš 1 000 asmenų):</w:t>
      </w:r>
    </w:p>
    <w:p w14:paraId="52D36A71"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Agresyvumas, depersonalizacija, haliucinacijos.</w:t>
      </w:r>
    </w:p>
    <w:p w14:paraId="13A757A1"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Retas širdies plakimas.</w:t>
      </w:r>
    </w:p>
    <w:p w14:paraId="15D98884" w14:textId="77777777" w:rsidR="009C0CD0" w:rsidRPr="009C0CD0" w:rsidRDefault="009C0CD0" w:rsidP="009C0CD0">
      <w:pPr>
        <w:tabs>
          <w:tab w:val="left" w:pos="360"/>
        </w:tabs>
        <w:spacing w:after="0" w:line="240" w:lineRule="auto"/>
        <w:rPr>
          <w:rFonts w:ascii="Times New Roman" w:eastAsia="Calibri" w:hAnsi="Times New Roman" w:cs="Times New Roman"/>
          <w:kern w:val="0"/>
          <w:sz w:val="22"/>
          <w:szCs w:val="22"/>
          <w14:ligatures w14:val="none"/>
        </w:rPr>
      </w:pPr>
    </w:p>
    <w:p w14:paraId="5556FF4D" w14:textId="77777777" w:rsidR="009C0CD0" w:rsidRPr="009C0CD0" w:rsidRDefault="009C0CD0" w:rsidP="009C0CD0">
      <w:pPr>
        <w:spacing w:after="0" w:line="240" w:lineRule="auto"/>
        <w:rPr>
          <w:rFonts w:ascii="Times New Roman" w:eastAsia="Times New Roman" w:hAnsi="Times New Roman" w:cs="Times New Roman"/>
          <w:b/>
          <w:bCs/>
          <w:noProof/>
          <w:snapToGrid w:val="0"/>
          <w:kern w:val="0"/>
          <w:sz w:val="22"/>
          <w:szCs w:val="22"/>
          <w14:ligatures w14:val="none"/>
        </w:rPr>
      </w:pPr>
      <w:r w:rsidRPr="009C0CD0">
        <w:rPr>
          <w:rFonts w:ascii="Times New Roman" w:eastAsia="Times New Roman" w:hAnsi="Times New Roman" w:cs="Times New Roman"/>
          <w:b/>
          <w:bCs/>
          <w:noProof/>
          <w:snapToGrid w:val="0"/>
          <w:kern w:val="0"/>
          <w:sz w:val="22"/>
          <w:szCs w:val="22"/>
          <w14:ligatures w14:val="none"/>
        </w:rPr>
        <w:t xml:space="preserve">Šalutinio poveikio reiškiniai, kurių dažnis nežinomas (negali būti apskaičiuotas pagal turimus duomenis): </w:t>
      </w:r>
    </w:p>
    <w:p w14:paraId="058D1487" w14:textId="77777777" w:rsidR="009C0CD0" w:rsidRPr="009C0CD0" w:rsidRDefault="009C0CD0" w:rsidP="009C0CD0">
      <w:pPr>
        <w:numPr>
          <w:ilvl w:val="0"/>
          <w:numId w:val="1"/>
        </w:numPr>
        <w:tabs>
          <w:tab w:val="clear" w:pos="360"/>
          <w:tab w:val="num" w:pos="540"/>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lastRenderedPageBreak/>
        <w:t>Sumažėjęs natrio kiekis kraujyje (simptomai: silpnumo jausmas, negerumo pojūtis kartu su raumenų silpnumu arba sumišimas).</w:t>
      </w:r>
    </w:p>
    <w:p w14:paraId="10593392"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Galvos svaigimas atsistojant, nes sumažėja kraujo spaudimas (ortostatinę hipotenziją).</w:t>
      </w:r>
    </w:p>
    <w:p w14:paraId="491C282D"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Pakitę kepenų funkcijos tyrimai (kepenų baltymų padaugėjimą kraujyje).</w:t>
      </w:r>
    </w:p>
    <w:p w14:paraId="583E32C5"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Judėjimo sutrikimai (nevalingi raumenų judesiai).</w:t>
      </w:r>
    </w:p>
    <w:p w14:paraId="652E8309"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Skausminga erekcija (priapizma).</w:t>
      </w:r>
    </w:p>
    <w:p w14:paraId="4465D772"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Nenormalaus kraujavimo požymiai, įskaitant odos ir gleivinių kraujavimą (echimozes) ir mažą trombocitų kiekį kraujyje (trombocitopenija).</w:t>
      </w:r>
    </w:p>
    <w:p w14:paraId="12070ED4"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Padidėjęs hormono, vadinamo ADH, išsiskyrimas, sukeliantis vandens susilaikymą organizme, kraujo praskiedimą ir natrio kiekio sumažėjimą</w:t>
      </w:r>
      <w:r w:rsidRPr="009C0CD0" w:rsidDel="004C7492">
        <w:rPr>
          <w:rFonts w:ascii="Times New Roman" w:eastAsia="Calibri" w:hAnsi="Times New Roman" w:cs="Times New Roman"/>
          <w:kern w:val="0"/>
          <w:sz w:val="22"/>
          <w:szCs w:val="22"/>
          <w14:ligatures w14:val="none"/>
        </w:rPr>
        <w:t xml:space="preserve"> </w:t>
      </w:r>
      <w:r w:rsidRPr="009C0CD0">
        <w:rPr>
          <w:rFonts w:ascii="Times New Roman" w:eastAsia="Calibri" w:hAnsi="Times New Roman" w:cs="Times New Roman"/>
          <w:kern w:val="0"/>
          <w:sz w:val="22"/>
          <w:szCs w:val="22"/>
          <w14:ligatures w14:val="none"/>
        </w:rPr>
        <w:t>(sutrikusi ADH sekrecija).</w:t>
      </w:r>
    </w:p>
    <w:p w14:paraId="33D08966"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Padidėjęs hormono prolaktino kiekis kraujyje.</w:t>
      </w:r>
    </w:p>
    <w:p w14:paraId="6233D23D"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Pieno atsiradimas vyrams ir nežindančioms moterims.</w:t>
      </w:r>
    </w:p>
    <w:p w14:paraId="7915533C"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Manija.</w:t>
      </w:r>
    </w:p>
    <w:p w14:paraId="42272646" w14:textId="77777777" w:rsidR="009C0CD0" w:rsidRPr="009C0CD0" w:rsidRDefault="009C0CD0" w:rsidP="009C0CD0">
      <w:pPr>
        <w:numPr>
          <w:ilvl w:val="0"/>
          <w:numId w:val="1"/>
        </w:numPr>
        <w:tabs>
          <w:tab w:val="clear" w:pos="360"/>
          <w:tab w:val="num" w:pos="567"/>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Nustatyta, kad tokio tipo vaistų vartojantiems pacientams yra didesnė kaulų lūžių rizika.</w:t>
      </w:r>
    </w:p>
    <w:p w14:paraId="72F42078" w14:textId="77777777" w:rsidR="009C0CD0" w:rsidRPr="009C0CD0" w:rsidRDefault="009C0CD0" w:rsidP="009C0CD0">
      <w:pPr>
        <w:numPr>
          <w:ilvl w:val="0"/>
          <w:numId w:val="1"/>
        </w:numPr>
        <w:tabs>
          <w:tab w:val="clear" w:pos="360"/>
          <w:tab w:val="num" w:pos="567"/>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Širdies ritmo pokyčiai (vadinamas QT intervalo pailgėjimas, nustatomas darant EKG, t. y. užrašant elektrinį širdies aktyvumą).</w:t>
      </w:r>
    </w:p>
    <w:p w14:paraId="1A8EA205" w14:textId="77777777" w:rsidR="009C0CD0" w:rsidRPr="009C0CD0" w:rsidRDefault="009C0CD0" w:rsidP="009C0CD0">
      <w:pPr>
        <w:numPr>
          <w:ilvl w:val="0"/>
          <w:numId w:val="1"/>
        </w:numPr>
        <w:tabs>
          <w:tab w:val="clear" w:pos="360"/>
          <w:tab w:val="num" w:pos="709"/>
        </w:tabs>
        <w:spacing w:after="0" w:line="240" w:lineRule="auto"/>
        <w:ind w:left="567" w:hanging="567"/>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Stiprus kraujavimas iš makšties tuoj po gimdymo (kraujavimas po gimdymo), daugiau informacijos pateikta 2 skyriaus poskyryje „Nėštumas“.</w:t>
      </w:r>
    </w:p>
    <w:p w14:paraId="6CEA4832" w14:textId="77777777" w:rsidR="009C0CD0" w:rsidRPr="009C0CD0" w:rsidRDefault="009C0CD0" w:rsidP="009C0CD0">
      <w:pPr>
        <w:tabs>
          <w:tab w:val="left" w:pos="360"/>
        </w:tabs>
        <w:spacing w:after="0" w:line="240" w:lineRule="auto"/>
        <w:rPr>
          <w:rFonts w:ascii="Times New Roman" w:eastAsia="Calibri" w:hAnsi="Times New Roman" w:cs="Times New Roman"/>
          <w:kern w:val="0"/>
          <w:sz w:val="22"/>
          <w:szCs w:val="22"/>
          <w14:ligatures w14:val="none"/>
        </w:rPr>
      </w:pPr>
    </w:p>
    <w:p w14:paraId="72E090B6"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Taip pat žinoma, kad vartojant vaistų, kurių veikimo būdas panašus į escitalopramo (veiklioji Cipralex medžiaga), pasitaiko ir kitoks šalutinis poveikis.</w:t>
      </w:r>
    </w:p>
    <w:p w14:paraId="2C1C7B59"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Psichikos nerimastingumas (akatizija).</w:t>
      </w:r>
    </w:p>
    <w:p w14:paraId="5BB4C817" w14:textId="77777777" w:rsidR="009C0CD0" w:rsidRPr="009C0CD0" w:rsidRDefault="009C0CD0" w:rsidP="009C0CD0">
      <w:pPr>
        <w:numPr>
          <w:ilvl w:val="0"/>
          <w:numId w:val="1"/>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Apetito nebuvimas.</w:t>
      </w:r>
    </w:p>
    <w:p w14:paraId="416D147D" w14:textId="77777777" w:rsidR="009C0CD0" w:rsidRPr="009C0CD0" w:rsidRDefault="009C0CD0" w:rsidP="009C0CD0">
      <w:pPr>
        <w:spacing w:after="0" w:line="240" w:lineRule="auto"/>
        <w:rPr>
          <w:rFonts w:ascii="Times New Roman" w:eastAsia="Calibri" w:hAnsi="Times New Roman" w:cs="Times New Roman"/>
          <w:kern w:val="0"/>
          <w:sz w:val="22"/>
          <w:szCs w:val="22"/>
          <w14:ligatures w14:val="none"/>
        </w:rPr>
      </w:pPr>
    </w:p>
    <w:p w14:paraId="10B7DC1A" w14:textId="77777777" w:rsidR="009C0CD0" w:rsidRPr="009C0CD0" w:rsidRDefault="009C0CD0" w:rsidP="009C0CD0">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9C0CD0">
        <w:rPr>
          <w:rFonts w:ascii="Times New Roman" w:eastAsia="Times New Roman" w:hAnsi="Times New Roman" w:cs="Times New Roman"/>
          <w:b/>
          <w:noProof/>
          <w:snapToGrid w:val="0"/>
          <w:kern w:val="0"/>
          <w:sz w:val="22"/>
          <w:szCs w:val="22"/>
          <w14:ligatures w14:val="none"/>
        </w:rPr>
        <w:t>Pranešimas apie šalutinį poveikį</w:t>
      </w:r>
    </w:p>
    <w:p w14:paraId="7DA80BEC" w14:textId="77777777" w:rsidR="00622154" w:rsidRPr="00622154" w:rsidRDefault="00622154" w:rsidP="00622154">
      <w:pPr>
        <w:spacing w:after="0" w:line="240" w:lineRule="auto"/>
        <w:rPr>
          <w:rFonts w:ascii="Times New Roman" w:eastAsia="Times New Roman" w:hAnsi="Times New Roman" w:cs="Times New Roman"/>
          <w:kern w:val="0"/>
          <w:sz w:val="22"/>
          <w:szCs w:val="20"/>
          <w14:ligatures w14:val="none"/>
        </w:rPr>
      </w:pPr>
      <w:r w:rsidRPr="00622154">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622154">
          <w:rPr>
            <w:rFonts w:ascii="Times New Roman" w:eastAsia="Times New Roman" w:hAnsi="Times New Roman" w:cs="Times New Roman"/>
            <w:color w:val="467886"/>
            <w:kern w:val="0"/>
            <w:sz w:val="22"/>
            <w:szCs w:val="20"/>
            <w:u w:val="single"/>
            <w:lang w:eastAsia="lt-LT"/>
            <w14:ligatures w14:val="none"/>
          </w:rPr>
          <w:t>https://vvkt.lrv.lt/lt/</w:t>
        </w:r>
      </w:hyperlink>
      <w:r w:rsidRPr="00622154">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622154">
        <w:rPr>
          <w:rFonts w:ascii="Times New Roman" w:eastAsia="Times New Roman" w:hAnsi="Times New Roman" w:cs="Times New Roman"/>
          <w:kern w:val="0"/>
          <w:sz w:val="22"/>
          <w:szCs w:val="20"/>
          <w14:ligatures w14:val="none"/>
        </w:rPr>
        <w:t>.</w:t>
      </w:r>
    </w:p>
    <w:p w14:paraId="66C617F8"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89261A1"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02B843D8" w14:textId="77777777" w:rsidR="009C0CD0" w:rsidRPr="009C0CD0" w:rsidRDefault="009C0CD0" w:rsidP="009C0CD0">
      <w:pPr>
        <w:spacing w:after="0" w:line="240" w:lineRule="auto"/>
        <w:ind w:left="567" w:hanging="567"/>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5.</w:t>
      </w:r>
      <w:r w:rsidRPr="009C0CD0">
        <w:rPr>
          <w:rFonts w:ascii="Times New Roman" w:eastAsia="Calibri" w:hAnsi="Times New Roman" w:cs="Times New Roman"/>
          <w:b/>
          <w:kern w:val="0"/>
          <w:sz w:val="22"/>
          <w:szCs w:val="22"/>
          <w14:ligatures w14:val="none"/>
        </w:rPr>
        <w:tab/>
        <w:t>Kaip laikyti Cipralex</w:t>
      </w:r>
    </w:p>
    <w:p w14:paraId="720F6D96"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54EC1592" w14:textId="77777777" w:rsidR="009C0CD0" w:rsidRPr="009C0CD0" w:rsidRDefault="009C0CD0" w:rsidP="009C0CD0">
      <w:pPr>
        <w:numPr>
          <w:ilvl w:val="12"/>
          <w:numId w:val="0"/>
        </w:numPr>
        <w:spacing w:after="0" w:line="240" w:lineRule="auto"/>
        <w:ind w:right="-2"/>
        <w:rPr>
          <w:rFonts w:ascii="Times New Roman" w:eastAsia="Calibri" w:hAnsi="Times New Roman" w:cs="Times New Roman"/>
          <w:kern w:val="0"/>
          <w:sz w:val="22"/>
          <w:szCs w:val="22"/>
          <w14:ligatures w14:val="none"/>
        </w:rPr>
      </w:pPr>
      <w:r w:rsidRPr="009C0CD0">
        <w:rPr>
          <w:rFonts w:ascii="Times New Roman" w:eastAsia="Calibri" w:hAnsi="Times New Roman" w:cs="Times New Roman"/>
          <w:kern w:val="0"/>
          <w:sz w:val="22"/>
          <w:szCs w:val="22"/>
          <w14:ligatures w14:val="none"/>
        </w:rPr>
        <w:t>Šį vaistą laikykite vaikams nepastebimoje ir nepasiekiamoje vietoje.</w:t>
      </w:r>
    </w:p>
    <w:p w14:paraId="0004592F"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41DE1D11"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Šiam vaistiniam preparatui specialių laikymo sąlygų nereikia.</w:t>
      </w:r>
    </w:p>
    <w:p w14:paraId="010DE97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0DC2958F"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Ant etiketės arba dėžutės po „Tinka iki“ nurodytam tinkamumo laikui pasibaigus, šio vaisto vartoti negalima. Vaistas tinkamas vartoti iki paskutinės nurodyto mėnesio dienos.</w:t>
      </w:r>
    </w:p>
    <w:p w14:paraId="7CF0572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B4D68F3"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Vaistų negalima išmesti į kanalizaciją arba su buitinėmis atliekomis. Kaip išmesti nereikalingus vaistus, klauskite vaistininko. Šios priemonės padės apsaugoti aplinką.</w:t>
      </w:r>
    </w:p>
    <w:p w14:paraId="53BFFD6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076A45EC"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130923DD" w14:textId="77777777" w:rsidR="009C0CD0" w:rsidRPr="009C0CD0" w:rsidRDefault="009C0CD0" w:rsidP="009C0CD0">
      <w:pPr>
        <w:spacing w:after="0" w:line="240" w:lineRule="auto"/>
        <w:ind w:left="567" w:hanging="567"/>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6.</w:t>
      </w:r>
      <w:r w:rsidRPr="009C0CD0">
        <w:rPr>
          <w:rFonts w:ascii="Times New Roman" w:eastAsia="Calibri" w:hAnsi="Times New Roman" w:cs="Times New Roman"/>
          <w:b/>
          <w:kern w:val="0"/>
          <w:sz w:val="22"/>
          <w:szCs w:val="22"/>
          <w14:ligatures w14:val="none"/>
        </w:rPr>
        <w:tab/>
        <w:t>Pakuotės turinys ir kita informacija</w:t>
      </w:r>
    </w:p>
    <w:p w14:paraId="60B18071"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149960DF" w14:textId="77777777" w:rsidR="009C0CD0" w:rsidRPr="009C0CD0" w:rsidRDefault="009C0CD0" w:rsidP="009C0CD0">
      <w:pPr>
        <w:spacing w:after="0" w:line="240" w:lineRule="auto"/>
        <w:rPr>
          <w:rFonts w:ascii="Times New Roman" w:eastAsia="Times New Roman" w:hAnsi="Times New Roman" w:cs="Times New Roman"/>
          <w:b/>
          <w:bCs/>
          <w:kern w:val="0"/>
          <w:sz w:val="22"/>
          <w:szCs w:val="22"/>
          <w14:ligatures w14:val="none"/>
        </w:rPr>
      </w:pPr>
      <w:r w:rsidRPr="009C0CD0">
        <w:rPr>
          <w:rFonts w:ascii="Times New Roman" w:eastAsia="Times New Roman" w:hAnsi="Times New Roman" w:cs="Times New Roman"/>
          <w:b/>
          <w:bCs/>
          <w:kern w:val="0"/>
          <w:sz w:val="22"/>
          <w:szCs w:val="22"/>
          <w14:ligatures w14:val="none"/>
        </w:rPr>
        <w:t>Cipralex sudėtis</w:t>
      </w:r>
    </w:p>
    <w:p w14:paraId="5B1F78E6" w14:textId="221B954D" w:rsidR="009C0CD0" w:rsidRPr="009C0CD0" w:rsidRDefault="009C0CD0" w:rsidP="00922879">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922879">
        <w:rPr>
          <w:rFonts w:ascii="Times New Roman" w:eastAsia="Times New Roman" w:hAnsi="Times New Roman" w:cs="Times New Roman"/>
          <w:kern w:val="0"/>
          <w:sz w:val="22"/>
          <w:szCs w:val="22"/>
          <w:lang w:eastAsia="x-none"/>
          <w14:ligatures w14:val="none"/>
        </w:rPr>
        <w:t>Veiklioji medžiaga yra escitalopramas. Kiekvienoje Cipralex tabletėje yra 10 mg arba 20 mg escitalopramo (oksalato druskos pavidalu).</w:t>
      </w:r>
    </w:p>
    <w:p w14:paraId="6F978224" w14:textId="561B841C" w:rsidR="009C0CD0" w:rsidRPr="00922879" w:rsidRDefault="009C0CD0" w:rsidP="00922879">
      <w:pPr>
        <w:pStyle w:val="Sraopastraipa"/>
        <w:numPr>
          <w:ilvl w:val="0"/>
          <w:numId w:val="4"/>
        </w:numPr>
        <w:spacing w:after="0" w:line="240" w:lineRule="auto"/>
        <w:ind w:left="567" w:hanging="283"/>
        <w:rPr>
          <w:rFonts w:ascii="Times New Roman" w:eastAsia="Times New Roman" w:hAnsi="Times New Roman" w:cs="Times New Roman"/>
          <w:iCs/>
          <w:kern w:val="0"/>
          <w:sz w:val="22"/>
          <w:szCs w:val="22"/>
          <w:lang w:eastAsia="x-none"/>
          <w14:ligatures w14:val="none"/>
        </w:rPr>
      </w:pPr>
      <w:r w:rsidRPr="00922879">
        <w:rPr>
          <w:rFonts w:ascii="Times New Roman" w:eastAsia="Times New Roman" w:hAnsi="Times New Roman" w:cs="Times New Roman"/>
          <w:iCs/>
          <w:kern w:val="0"/>
          <w:sz w:val="22"/>
          <w:szCs w:val="22"/>
          <w:lang w:eastAsia="x-none"/>
          <w14:ligatures w14:val="none"/>
        </w:rPr>
        <w:t>Kitos sudėtyje esančios medžiagos:</w:t>
      </w:r>
      <w:r w:rsidR="00922879">
        <w:rPr>
          <w:rFonts w:ascii="Times New Roman" w:eastAsia="Times New Roman" w:hAnsi="Times New Roman" w:cs="Times New Roman"/>
          <w:iCs/>
          <w:kern w:val="0"/>
          <w:sz w:val="22"/>
          <w:szCs w:val="22"/>
          <w:lang w:eastAsia="x-none"/>
          <w14:ligatures w14:val="none"/>
        </w:rPr>
        <w:br/>
      </w:r>
      <w:r w:rsidRPr="00922879">
        <w:rPr>
          <w:rFonts w:ascii="Times New Roman" w:eastAsia="Calibri" w:hAnsi="Times New Roman" w:cs="Times New Roman"/>
          <w:kern w:val="0"/>
          <w:sz w:val="22"/>
          <w:szCs w:val="22"/>
          <w:u w:val="single"/>
          <w14:ligatures w14:val="none"/>
        </w:rPr>
        <w:t>Šerdis</w:t>
      </w:r>
      <w:r w:rsidRPr="00922879">
        <w:rPr>
          <w:rFonts w:ascii="Times New Roman" w:eastAsia="Times New Roman" w:hAnsi="Times New Roman" w:cs="Times New Roman"/>
          <w:kern w:val="0"/>
          <w:sz w:val="22"/>
          <w:szCs w:val="22"/>
          <w:lang w:eastAsia="x-none"/>
          <w14:ligatures w14:val="none"/>
        </w:rPr>
        <w:t>. Silifikuota mikrokristalinė celiuliozė, talkas, natrio kroskarmeliozė ir magnio stearatas.</w:t>
      </w:r>
      <w:r w:rsidR="00922879">
        <w:rPr>
          <w:rFonts w:ascii="Times New Roman" w:eastAsia="Times New Roman" w:hAnsi="Times New Roman" w:cs="Times New Roman"/>
          <w:kern w:val="0"/>
          <w:sz w:val="22"/>
          <w:szCs w:val="22"/>
          <w:lang w:eastAsia="x-none"/>
          <w14:ligatures w14:val="none"/>
        </w:rPr>
        <w:br/>
      </w:r>
      <w:r w:rsidRPr="00922879">
        <w:rPr>
          <w:rFonts w:ascii="Times New Roman" w:eastAsia="Times New Roman" w:hAnsi="Times New Roman" w:cs="Times New Roman"/>
          <w:kern w:val="0"/>
          <w:sz w:val="22"/>
          <w:szCs w:val="22"/>
          <w:u w:val="single"/>
          <w:lang w:eastAsia="x-none"/>
          <w14:ligatures w14:val="none"/>
        </w:rPr>
        <w:t>Apvalkalas</w:t>
      </w:r>
      <w:r w:rsidRPr="00922879">
        <w:rPr>
          <w:rFonts w:ascii="Times New Roman" w:eastAsia="Times New Roman" w:hAnsi="Times New Roman" w:cs="Times New Roman"/>
          <w:kern w:val="0"/>
          <w:sz w:val="22"/>
          <w:szCs w:val="22"/>
          <w:lang w:eastAsia="x-none"/>
          <w14:ligatures w14:val="none"/>
        </w:rPr>
        <w:t xml:space="preserve">. Hipromeliozė, makrogolis 400 ir titano dioksidas (E 171). </w:t>
      </w:r>
    </w:p>
    <w:p w14:paraId="226897F1"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2199AB94" w14:textId="77777777" w:rsidR="009C0CD0" w:rsidRPr="009C0CD0" w:rsidRDefault="009C0CD0" w:rsidP="009C0CD0">
      <w:pPr>
        <w:spacing w:after="0" w:line="240" w:lineRule="auto"/>
        <w:rPr>
          <w:rFonts w:ascii="Times New Roman" w:eastAsia="Times New Roman" w:hAnsi="Times New Roman" w:cs="Times New Roman"/>
          <w:b/>
          <w:bCs/>
          <w:kern w:val="0"/>
          <w:sz w:val="22"/>
          <w:szCs w:val="22"/>
          <w14:ligatures w14:val="none"/>
        </w:rPr>
      </w:pPr>
      <w:r w:rsidRPr="009C0CD0">
        <w:rPr>
          <w:rFonts w:ascii="Times New Roman" w:eastAsia="Times New Roman" w:hAnsi="Times New Roman" w:cs="Times New Roman"/>
          <w:b/>
          <w:bCs/>
          <w:kern w:val="0"/>
          <w:sz w:val="22"/>
          <w:szCs w:val="22"/>
          <w14:ligatures w14:val="none"/>
        </w:rPr>
        <w:t>Cipralex išvaizda ir kiekis pakuotėje</w:t>
      </w:r>
    </w:p>
    <w:p w14:paraId="1F581AFE"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12104E07"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Tiekiamos Cipralex 10 mg ir 20 mg plėvele dengtos tabletės. Tablečių išvaizda aprašyta toliau.</w:t>
      </w:r>
    </w:p>
    <w:p w14:paraId="168E2E86"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79B8532"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 xml:space="preserve">10 mg: plėvele dengta tabletė yra ovali, balta, </w:t>
      </w:r>
      <w:r w:rsidRPr="009C0CD0">
        <w:rPr>
          <w:rFonts w:ascii="Times New Roman" w:eastAsia="Calibri" w:hAnsi="Times New Roman" w:cs="Times New Roman"/>
          <w:kern w:val="0"/>
          <w:sz w:val="22"/>
          <w:szCs w:val="22"/>
          <w14:ligatures w14:val="none"/>
        </w:rPr>
        <w:t xml:space="preserve">8x5,5 mm, </w:t>
      </w:r>
      <w:r w:rsidRPr="009C0CD0">
        <w:rPr>
          <w:rFonts w:ascii="Times New Roman" w:eastAsia="Times New Roman" w:hAnsi="Times New Roman" w:cs="Times New Roman"/>
          <w:kern w:val="0"/>
          <w:sz w:val="22"/>
          <w:szCs w:val="22"/>
          <w:lang w:eastAsia="x-none"/>
          <w14:ligatures w14:val="none"/>
        </w:rPr>
        <w:t>vienoje pusėje yra laužimo vagelė, kurios vienoje pusėje yra raidė „E“, kitoje – „L”.</w:t>
      </w:r>
    </w:p>
    <w:p w14:paraId="5451CA0C"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color w:val="000000"/>
          <w:kern w:val="0"/>
          <w:sz w:val="22"/>
          <w:szCs w:val="22"/>
          <w:lang w:eastAsia="x-none"/>
          <w14:ligatures w14:val="none"/>
        </w:rPr>
        <w:t xml:space="preserve">20 mg: plėvele dengta tabletė yra </w:t>
      </w:r>
      <w:r w:rsidRPr="009C0CD0">
        <w:rPr>
          <w:rFonts w:ascii="Times New Roman" w:eastAsia="Times New Roman" w:hAnsi="Times New Roman" w:cs="Times New Roman"/>
          <w:kern w:val="0"/>
          <w:sz w:val="22"/>
          <w:szCs w:val="22"/>
          <w:lang w:eastAsia="x-none"/>
          <w14:ligatures w14:val="none"/>
        </w:rPr>
        <w:t>ovali, balta, 11,5x7 mm, vienoje pusėje yra laužimo vagelė, kurios vienoje pusėje yra raidė „E“, kitoje – „N”.</w:t>
      </w:r>
    </w:p>
    <w:p w14:paraId="60C1040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7C36570"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10 ir 20 mg tabletės gali būti dalinamos į lygias dalis.</w:t>
      </w:r>
    </w:p>
    <w:p w14:paraId="4E177A0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61615D88" w14:textId="34699EE1" w:rsidR="009C0CD0" w:rsidRPr="009C0CD0" w:rsidRDefault="009C0CD0" w:rsidP="009C0CD0">
      <w:pPr>
        <w:spacing w:after="0" w:line="240" w:lineRule="auto"/>
        <w:rPr>
          <w:rFonts w:ascii="Times New Roman" w:eastAsia="Times New Roman" w:hAnsi="Times New Roman" w:cs="Times New Roman"/>
          <w:kern w:val="0"/>
          <w:sz w:val="22"/>
          <w:szCs w:val="22"/>
          <w:u w:val="single"/>
          <w:lang w:eastAsia="x-none"/>
          <w14:ligatures w14:val="none"/>
        </w:rPr>
      </w:pPr>
      <w:r w:rsidRPr="009C0CD0">
        <w:rPr>
          <w:rFonts w:ascii="Times New Roman" w:eastAsia="Times New Roman" w:hAnsi="Times New Roman" w:cs="Times New Roman"/>
          <w:kern w:val="0"/>
          <w:sz w:val="22"/>
          <w:szCs w:val="22"/>
          <w:lang w:eastAsia="x-none"/>
          <w14:ligatures w14:val="none"/>
        </w:rPr>
        <w:t xml:space="preserve">Cipralex tiekiamas </w:t>
      </w:r>
      <w:r w:rsidR="009A252D" w:rsidRPr="00A3379E">
        <w:rPr>
          <w:rFonts w:ascii="Times New Roman" w:eastAsia="Times New Roman" w:hAnsi="Times New Roman" w:cs="Times New Roman"/>
          <w:kern w:val="0"/>
          <w:sz w:val="22"/>
          <w:szCs w:val="22"/>
          <w:lang w:eastAsia="x-none"/>
          <w14:ligatures w14:val="none"/>
        </w:rPr>
        <w:t>l</w:t>
      </w:r>
      <w:r w:rsidRPr="009C0CD0">
        <w:rPr>
          <w:rFonts w:ascii="Times New Roman" w:eastAsia="Times New Roman" w:hAnsi="Times New Roman" w:cs="Times New Roman"/>
          <w:kern w:val="0"/>
          <w:sz w:val="22"/>
          <w:szCs w:val="22"/>
          <w:lang w:eastAsia="x-none"/>
          <w14:ligatures w14:val="none"/>
        </w:rPr>
        <w:t>izdinė</w:t>
      </w:r>
      <w:r w:rsidR="009A252D" w:rsidRPr="00A3379E">
        <w:rPr>
          <w:rFonts w:ascii="Times New Roman" w:eastAsia="Times New Roman" w:hAnsi="Times New Roman" w:cs="Times New Roman"/>
          <w:kern w:val="0"/>
          <w:sz w:val="22"/>
          <w:szCs w:val="22"/>
          <w:lang w:eastAsia="x-none"/>
          <w14:ligatures w14:val="none"/>
        </w:rPr>
        <w:t>mis</w:t>
      </w:r>
      <w:r w:rsidRPr="009C0CD0">
        <w:rPr>
          <w:rFonts w:ascii="Times New Roman" w:eastAsia="Times New Roman" w:hAnsi="Times New Roman" w:cs="Times New Roman"/>
          <w:kern w:val="0"/>
          <w:sz w:val="22"/>
          <w:szCs w:val="22"/>
          <w:lang w:eastAsia="x-none"/>
          <w14:ligatures w14:val="none"/>
        </w:rPr>
        <w:t xml:space="preserve"> plokštelė</w:t>
      </w:r>
      <w:r w:rsidR="00A3379E" w:rsidRPr="00A3379E">
        <w:rPr>
          <w:rFonts w:ascii="Times New Roman" w:eastAsia="Times New Roman" w:hAnsi="Times New Roman" w:cs="Times New Roman"/>
          <w:kern w:val="0"/>
          <w:sz w:val="22"/>
          <w:szCs w:val="22"/>
          <w:lang w:eastAsia="x-none"/>
          <w14:ligatures w14:val="none"/>
        </w:rPr>
        <w:t>mis</w:t>
      </w:r>
      <w:r w:rsidRPr="009C0CD0">
        <w:rPr>
          <w:rFonts w:ascii="Times New Roman" w:eastAsia="Times New Roman" w:hAnsi="Times New Roman" w:cs="Times New Roman"/>
          <w:kern w:val="0"/>
          <w:sz w:val="22"/>
          <w:szCs w:val="22"/>
          <w:lang w:eastAsia="x-none"/>
          <w14:ligatures w14:val="none"/>
        </w:rPr>
        <w:t xml:space="preserve"> kartono dėžutėje</w:t>
      </w:r>
      <w:r w:rsidR="00A3379E">
        <w:rPr>
          <w:rFonts w:ascii="Times New Roman" w:eastAsia="Times New Roman" w:hAnsi="Times New Roman" w:cs="Times New Roman"/>
          <w:kern w:val="0"/>
          <w:sz w:val="22"/>
          <w:szCs w:val="22"/>
          <w:lang w:eastAsia="x-none"/>
          <w14:ligatures w14:val="none"/>
        </w:rPr>
        <w:t>.</w:t>
      </w:r>
    </w:p>
    <w:p w14:paraId="6F4E1C72" w14:textId="65F8E804"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10 ir 20 mg: 28, 56 ir 98 tabletės.</w:t>
      </w:r>
    </w:p>
    <w:p w14:paraId="22A62CCA"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1F20F6E7"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r w:rsidRPr="009C0CD0">
        <w:rPr>
          <w:rFonts w:ascii="Times New Roman" w:eastAsia="Times New Roman" w:hAnsi="Times New Roman" w:cs="Times New Roman"/>
          <w:kern w:val="0"/>
          <w:sz w:val="22"/>
          <w:szCs w:val="22"/>
          <w:lang w:eastAsia="x-none"/>
          <w14:ligatures w14:val="none"/>
        </w:rPr>
        <w:t>Gali būti tiekiamos ne visų dydžių pakuotės.</w:t>
      </w:r>
    </w:p>
    <w:p w14:paraId="4EACB0E4"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7A1B76A0" w14:textId="77777777" w:rsidR="00F82129" w:rsidRPr="00F82129" w:rsidRDefault="00F82129" w:rsidP="00F82129">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F82129">
        <w:rPr>
          <w:rFonts w:ascii="Times New Roman" w:eastAsia="Times New Roman" w:hAnsi="Times New Roman" w:cs="Times New Roman"/>
          <w:b/>
          <w:noProof/>
          <w:kern w:val="0"/>
          <w:sz w:val="22"/>
          <w:szCs w:val="22"/>
          <w14:ligatures w14:val="none"/>
        </w:rPr>
        <w:t>Registruotojas eksportuojančioje valstybėje ir gamintojas</w:t>
      </w:r>
    </w:p>
    <w:p w14:paraId="00B26D13" w14:textId="77777777" w:rsidR="00F82129" w:rsidRPr="00F82129" w:rsidRDefault="00F82129" w:rsidP="00F8212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82129">
        <w:rPr>
          <w:rFonts w:ascii="Times New Roman" w:eastAsia="Aptos" w:hAnsi="Times New Roman" w:cs="Times New Roman"/>
          <w:bCs/>
          <w:color w:val="000000"/>
          <w:kern w:val="0"/>
          <w:sz w:val="22"/>
          <w:szCs w:val="22"/>
          <w14:ligatures w14:val="none"/>
        </w:rPr>
        <w:t>H. Lundbeck A/S</w:t>
      </w:r>
    </w:p>
    <w:p w14:paraId="580F2288" w14:textId="77777777" w:rsidR="00F82129" w:rsidRPr="00F82129" w:rsidRDefault="00F82129" w:rsidP="00F8212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82129">
        <w:rPr>
          <w:rFonts w:ascii="Times New Roman" w:eastAsia="Aptos" w:hAnsi="Times New Roman" w:cs="Times New Roman"/>
          <w:bCs/>
          <w:color w:val="000000"/>
          <w:kern w:val="0"/>
          <w:sz w:val="22"/>
          <w:szCs w:val="22"/>
          <w14:ligatures w14:val="none"/>
        </w:rPr>
        <w:t>Ottiliavej 9</w:t>
      </w:r>
    </w:p>
    <w:p w14:paraId="57AC9E7A" w14:textId="77777777" w:rsidR="00F82129" w:rsidRPr="00F82129" w:rsidRDefault="00F82129" w:rsidP="00F8212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82129">
        <w:rPr>
          <w:rFonts w:ascii="Times New Roman" w:eastAsia="Aptos" w:hAnsi="Times New Roman" w:cs="Times New Roman"/>
          <w:bCs/>
          <w:color w:val="000000"/>
          <w:kern w:val="0"/>
          <w:sz w:val="22"/>
          <w:szCs w:val="22"/>
          <w14:ligatures w14:val="none"/>
        </w:rPr>
        <w:t>Valby</w:t>
      </w:r>
    </w:p>
    <w:p w14:paraId="0AA2CFCA" w14:textId="1448A5E9" w:rsidR="00F82129" w:rsidRPr="00F82129" w:rsidRDefault="00F82129" w:rsidP="00F8212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82129">
        <w:rPr>
          <w:rFonts w:ascii="Times New Roman" w:eastAsia="Aptos" w:hAnsi="Times New Roman" w:cs="Times New Roman"/>
          <w:bCs/>
          <w:color w:val="000000"/>
          <w:kern w:val="0"/>
          <w:sz w:val="22"/>
          <w:szCs w:val="22"/>
          <w14:ligatures w14:val="none"/>
        </w:rPr>
        <w:t>Danija</w:t>
      </w:r>
    </w:p>
    <w:p w14:paraId="5250D990" w14:textId="77777777" w:rsidR="00F82129" w:rsidRPr="00F82129" w:rsidRDefault="00F82129" w:rsidP="00F8212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2B74AF3" w14:textId="77777777" w:rsidR="00F82129" w:rsidRPr="00F82129" w:rsidRDefault="00F82129" w:rsidP="00F8212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82129">
        <w:rPr>
          <w:rFonts w:ascii="Times New Roman" w:eastAsia="Aptos" w:hAnsi="Times New Roman" w:cs="Times New Roman"/>
          <w:b/>
          <w:color w:val="000000"/>
          <w:kern w:val="0"/>
          <w:sz w:val="22"/>
          <w:szCs w:val="22"/>
          <w14:ligatures w14:val="none"/>
        </w:rPr>
        <w:t xml:space="preserve">Lygiagretus importuotojas </w:t>
      </w:r>
      <w:r w:rsidRPr="00F82129">
        <w:rPr>
          <w:rFonts w:ascii="Times New Roman" w:eastAsia="Aptos" w:hAnsi="Times New Roman" w:cs="Times New Roman"/>
          <w:b/>
          <w:color w:val="000000"/>
          <w:kern w:val="0"/>
          <w:sz w:val="22"/>
          <w:szCs w:val="22"/>
          <w14:ligatures w14:val="none"/>
        </w:rPr>
        <w:br/>
      </w:r>
      <w:r w:rsidRPr="00F82129">
        <w:rPr>
          <w:rFonts w:ascii="Times New Roman" w:eastAsia="TimesNewRoman" w:hAnsi="Times New Roman" w:cs="Times New Roman"/>
          <w:color w:val="000000"/>
          <w:kern w:val="0"/>
          <w:sz w:val="22"/>
          <w:szCs w:val="22"/>
          <w14:ligatures w14:val="none"/>
        </w:rPr>
        <w:t>UAB „Niromed“</w:t>
      </w:r>
      <w:r w:rsidRPr="00F82129">
        <w:rPr>
          <w:rFonts w:ascii="Times New Roman" w:eastAsia="Aptos" w:hAnsi="Times New Roman" w:cs="Times New Roman"/>
          <w:b/>
          <w:color w:val="000000"/>
          <w:kern w:val="0"/>
          <w:sz w:val="22"/>
          <w:szCs w:val="22"/>
          <w14:ligatures w14:val="none"/>
        </w:rPr>
        <w:br/>
      </w:r>
      <w:r w:rsidRPr="00F82129">
        <w:rPr>
          <w:rFonts w:ascii="Times New Roman" w:eastAsia="TimesNewRoman" w:hAnsi="Times New Roman" w:cs="Times New Roman"/>
          <w:color w:val="000000"/>
          <w:kern w:val="0"/>
          <w:sz w:val="22"/>
          <w:szCs w:val="22"/>
          <w14:ligatures w14:val="none"/>
        </w:rPr>
        <w:t>Žirmūnų g. 139A</w:t>
      </w:r>
      <w:r w:rsidRPr="00F82129">
        <w:rPr>
          <w:rFonts w:ascii="Times New Roman" w:eastAsia="Aptos" w:hAnsi="Times New Roman" w:cs="Times New Roman"/>
          <w:b/>
          <w:color w:val="000000"/>
          <w:kern w:val="0"/>
          <w:sz w:val="22"/>
          <w:szCs w:val="22"/>
          <w14:ligatures w14:val="none"/>
        </w:rPr>
        <w:br/>
      </w:r>
      <w:r w:rsidRPr="00F82129">
        <w:rPr>
          <w:rFonts w:ascii="Times New Roman" w:eastAsia="TimesNewRoman" w:hAnsi="Times New Roman" w:cs="Times New Roman"/>
          <w:color w:val="000000"/>
          <w:kern w:val="0"/>
          <w:sz w:val="22"/>
          <w:szCs w:val="22"/>
          <w14:ligatures w14:val="none"/>
        </w:rPr>
        <w:t>LT-09120 Vilnius</w:t>
      </w:r>
      <w:r w:rsidRPr="00F82129">
        <w:rPr>
          <w:rFonts w:ascii="Times New Roman" w:eastAsia="TimesNewRoman" w:hAnsi="Times New Roman" w:cs="Times New Roman"/>
          <w:color w:val="000000"/>
          <w:kern w:val="0"/>
          <w:sz w:val="22"/>
          <w:szCs w:val="22"/>
          <w14:ligatures w14:val="none"/>
        </w:rPr>
        <w:br/>
        <w:t>Lietuva</w:t>
      </w:r>
    </w:p>
    <w:p w14:paraId="4CC2F364" w14:textId="77777777" w:rsidR="00F82129" w:rsidRPr="00F82129" w:rsidRDefault="00F82129" w:rsidP="00F8212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E001620" w14:textId="77777777" w:rsidR="00F82129" w:rsidRPr="00F82129" w:rsidRDefault="00F82129" w:rsidP="00F8212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82129">
        <w:rPr>
          <w:rFonts w:ascii="Times New Roman" w:eastAsia="Times New Roman" w:hAnsi="Times New Roman" w:cs="Times New Roman"/>
          <w:b/>
          <w:bCs/>
          <w:kern w:val="0"/>
          <w:sz w:val="22"/>
          <w:szCs w:val="22"/>
          <w14:ligatures w14:val="none"/>
        </w:rPr>
        <w:t>Perpakavo</w:t>
      </w:r>
    </w:p>
    <w:p w14:paraId="145DAF75" w14:textId="77777777" w:rsidR="00F82129" w:rsidRPr="00F82129" w:rsidRDefault="00F82129" w:rsidP="00F821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82129">
        <w:rPr>
          <w:rFonts w:ascii="Times New Roman" w:eastAsia="TimesNewRoman" w:hAnsi="Times New Roman" w:cs="Times New Roman"/>
          <w:color w:val="000000"/>
          <w:kern w:val="0"/>
          <w:sz w:val="22"/>
          <w:szCs w:val="22"/>
          <w14:ligatures w14:val="none"/>
        </w:rPr>
        <w:t>LABOR Przedsiębiorstwo Farmaceutyczno-Chemiczne sp. z o.o.</w:t>
      </w:r>
    </w:p>
    <w:p w14:paraId="6920C948" w14:textId="77777777" w:rsidR="00F82129" w:rsidRPr="00F82129" w:rsidRDefault="00F82129" w:rsidP="00F821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82129">
        <w:rPr>
          <w:rFonts w:ascii="Times New Roman" w:eastAsia="TimesNewRoman" w:hAnsi="Times New Roman" w:cs="Times New Roman"/>
          <w:color w:val="000000"/>
          <w:kern w:val="0"/>
          <w:sz w:val="22"/>
          <w:szCs w:val="22"/>
          <w14:ligatures w14:val="none"/>
        </w:rPr>
        <w:t>Ul. Długosza 49,</w:t>
      </w:r>
    </w:p>
    <w:p w14:paraId="29D6CEB0" w14:textId="77777777" w:rsidR="00F82129" w:rsidRPr="00F82129" w:rsidRDefault="00F82129" w:rsidP="00F821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82129">
        <w:rPr>
          <w:rFonts w:ascii="Times New Roman" w:eastAsia="TimesNewRoman" w:hAnsi="Times New Roman" w:cs="Times New Roman"/>
          <w:color w:val="000000"/>
          <w:kern w:val="0"/>
          <w:sz w:val="22"/>
          <w:szCs w:val="22"/>
          <w14:ligatures w14:val="none"/>
        </w:rPr>
        <w:t>51-162 Wrocław,</w:t>
      </w:r>
    </w:p>
    <w:p w14:paraId="30C3EF42" w14:textId="77777777" w:rsidR="00F82129" w:rsidRPr="00F82129" w:rsidRDefault="00F82129" w:rsidP="00F821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82129">
        <w:rPr>
          <w:rFonts w:ascii="Times New Roman" w:eastAsia="TimesNewRoman" w:hAnsi="Times New Roman" w:cs="Times New Roman"/>
          <w:color w:val="000000"/>
          <w:kern w:val="0"/>
          <w:sz w:val="22"/>
          <w:szCs w:val="22"/>
          <w14:ligatures w14:val="none"/>
        </w:rPr>
        <w:t>Lenkija</w:t>
      </w:r>
    </w:p>
    <w:p w14:paraId="67BE8F17" w14:textId="77777777" w:rsidR="00F82129" w:rsidRPr="00F82129" w:rsidRDefault="00F82129" w:rsidP="00F821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4845693" w14:textId="77777777" w:rsidR="00F82129" w:rsidRPr="00F82129" w:rsidRDefault="00F82129" w:rsidP="00F821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82129">
        <w:rPr>
          <w:rFonts w:ascii="Times New Roman" w:eastAsia="TimesNewRoman" w:hAnsi="Times New Roman" w:cs="Times New Roman"/>
          <w:color w:val="000000"/>
          <w:kern w:val="0"/>
          <w:sz w:val="22"/>
          <w:szCs w:val="22"/>
          <w14:ligatures w14:val="none"/>
        </w:rPr>
        <w:t>arba</w:t>
      </w:r>
    </w:p>
    <w:p w14:paraId="33FA0A7D" w14:textId="77777777" w:rsidR="00F82129" w:rsidRPr="00F82129" w:rsidRDefault="00F82129" w:rsidP="00F821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A712305" w14:textId="77777777" w:rsidR="00F82129" w:rsidRPr="00F82129" w:rsidRDefault="00F82129" w:rsidP="00F8212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82129">
        <w:rPr>
          <w:rFonts w:ascii="Times New Roman" w:eastAsia="TimesNewRoman" w:hAnsi="Times New Roman" w:cs="Times New Roman"/>
          <w:color w:val="000000"/>
          <w:kern w:val="0"/>
          <w:sz w:val="22"/>
          <w:szCs w:val="22"/>
          <w14:ligatures w14:val="none"/>
        </w:rPr>
        <w:t>UAB „Entafarma“</w:t>
      </w:r>
    </w:p>
    <w:p w14:paraId="015946D8" w14:textId="77777777" w:rsidR="00F82129" w:rsidRPr="00F82129" w:rsidRDefault="00F82129" w:rsidP="00F8212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82129">
        <w:rPr>
          <w:rFonts w:ascii="Times New Roman" w:eastAsia="TimesNewRoman" w:hAnsi="Times New Roman" w:cs="Times New Roman"/>
          <w:color w:val="000000"/>
          <w:kern w:val="0"/>
          <w:sz w:val="22"/>
          <w:szCs w:val="22"/>
          <w14:ligatures w14:val="none"/>
        </w:rPr>
        <w:t>Klonėnų vs. 1,</w:t>
      </w:r>
    </w:p>
    <w:p w14:paraId="58FF7FA5" w14:textId="77777777" w:rsidR="00F82129" w:rsidRPr="00F82129" w:rsidRDefault="00F82129" w:rsidP="00F8212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82129">
        <w:rPr>
          <w:rFonts w:ascii="Times New Roman" w:eastAsia="TimesNewRoman" w:hAnsi="Times New Roman" w:cs="Times New Roman"/>
          <w:color w:val="000000"/>
          <w:kern w:val="0"/>
          <w:sz w:val="22"/>
          <w:szCs w:val="22"/>
          <w14:ligatures w14:val="none"/>
        </w:rPr>
        <w:t>LT-19156 Širvintų r. sav.</w:t>
      </w:r>
    </w:p>
    <w:p w14:paraId="5CD0B91A" w14:textId="77777777" w:rsidR="00F82129" w:rsidRPr="00F82129" w:rsidRDefault="00F82129" w:rsidP="00F82129">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F82129">
        <w:rPr>
          <w:rFonts w:ascii="Times New Roman" w:eastAsia="TimesNewRoman" w:hAnsi="Times New Roman" w:cs="Times New Roman"/>
          <w:color w:val="000000"/>
          <w:kern w:val="0"/>
          <w:sz w:val="22"/>
          <w:szCs w:val="22"/>
          <w14:ligatures w14:val="none"/>
        </w:rPr>
        <w:t>Lietuva</w:t>
      </w:r>
    </w:p>
    <w:p w14:paraId="1021B5E9" w14:textId="77777777" w:rsidR="009C0CD0" w:rsidRPr="009C0CD0" w:rsidRDefault="009C0CD0" w:rsidP="009C0CD0">
      <w:pPr>
        <w:spacing w:after="0" w:line="240" w:lineRule="auto"/>
        <w:rPr>
          <w:rFonts w:ascii="Times New Roman" w:eastAsia="Times New Roman" w:hAnsi="Times New Roman" w:cs="Times New Roman"/>
          <w:kern w:val="0"/>
          <w:sz w:val="22"/>
          <w:szCs w:val="22"/>
          <w:lang w:eastAsia="x-none"/>
          <w14:ligatures w14:val="none"/>
        </w:rPr>
      </w:pPr>
    </w:p>
    <w:p w14:paraId="784C7452" w14:textId="0247D6F9" w:rsidR="009C0CD0" w:rsidRPr="009C0CD0" w:rsidRDefault="009C0CD0" w:rsidP="009C0CD0">
      <w:pPr>
        <w:spacing w:after="0" w:line="276" w:lineRule="auto"/>
        <w:rPr>
          <w:rFonts w:ascii="Times New Roman" w:eastAsia="Calibri" w:hAnsi="Times New Roman" w:cs="Times New Roman"/>
          <w:b/>
          <w:kern w:val="0"/>
          <w:sz w:val="22"/>
          <w:szCs w:val="22"/>
          <w14:ligatures w14:val="none"/>
        </w:rPr>
      </w:pPr>
      <w:r w:rsidRPr="009C0CD0">
        <w:rPr>
          <w:rFonts w:ascii="Times New Roman" w:eastAsia="Calibri" w:hAnsi="Times New Roman" w:cs="Times New Roman"/>
          <w:b/>
          <w:kern w:val="0"/>
          <w:sz w:val="22"/>
          <w:szCs w:val="22"/>
          <w14:ligatures w14:val="none"/>
        </w:rPr>
        <w:t xml:space="preserve">Šis pakuotės lapelis paskutinį kartą peržiūrėtas </w:t>
      </w:r>
      <w:r w:rsidR="00F524D0">
        <w:rPr>
          <w:rFonts w:ascii="Times New Roman" w:eastAsia="Calibri" w:hAnsi="Times New Roman" w:cs="Times New Roman"/>
          <w:b/>
          <w:kern w:val="0"/>
          <w:sz w:val="22"/>
          <w:szCs w:val="22"/>
          <w14:ligatures w14:val="none"/>
        </w:rPr>
        <w:t>2026-01-27</w:t>
      </w:r>
    </w:p>
    <w:p w14:paraId="28177556" w14:textId="77777777" w:rsidR="009C0CD0" w:rsidRPr="009C0CD0" w:rsidRDefault="009C0CD0" w:rsidP="009C0CD0">
      <w:pPr>
        <w:numPr>
          <w:ilvl w:val="12"/>
          <w:numId w:val="0"/>
        </w:numPr>
        <w:spacing w:after="0" w:line="240" w:lineRule="auto"/>
        <w:ind w:right="-2"/>
        <w:outlineLvl w:val="0"/>
        <w:rPr>
          <w:rFonts w:ascii="Times New Roman" w:eastAsia="Calibri" w:hAnsi="Times New Roman" w:cs="Times New Roman"/>
          <w:kern w:val="0"/>
          <w:sz w:val="22"/>
          <w:szCs w:val="22"/>
          <w14:ligatures w14:val="none"/>
        </w:rPr>
      </w:pPr>
    </w:p>
    <w:p w14:paraId="08A4A5A9" w14:textId="1136ADE2" w:rsidR="000E75BE" w:rsidRDefault="00CC7E15" w:rsidP="00CC7E15">
      <w:pPr>
        <w:spacing w:after="0" w:line="240" w:lineRule="auto"/>
        <w:rPr>
          <w:rFonts w:ascii="Times New Roman" w:eastAsia="Times New Roman" w:hAnsi="Times New Roman" w:cs="Times New Roman"/>
          <w:kern w:val="0"/>
          <w:sz w:val="22"/>
          <w:szCs w:val="20"/>
          <w:lang w:eastAsia="lt-LT" w:bidi="lt-LT"/>
          <w14:ligatures w14:val="none"/>
        </w:rPr>
      </w:pPr>
      <w:r w:rsidRPr="00CC7E15">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CC7E15">
          <w:rPr>
            <w:rStyle w:val="Hipersaitas"/>
            <w:rFonts w:ascii="Times New Roman" w:eastAsia="Times New Roman" w:hAnsi="Times New Roman" w:cs="Times New Roman"/>
            <w:kern w:val="0"/>
            <w:sz w:val="22"/>
            <w:szCs w:val="20"/>
            <w:lang w:eastAsia="lt-LT" w:bidi="lt-LT"/>
            <w14:ligatures w14:val="none"/>
          </w:rPr>
          <w:t>https://vvkt.lrv.lt/lt/</w:t>
        </w:r>
      </w:hyperlink>
      <w:r w:rsidRPr="00CC7E15">
        <w:rPr>
          <w:rFonts w:ascii="Times New Roman" w:eastAsia="Times New Roman" w:hAnsi="Times New Roman" w:cs="Times New Roman"/>
          <w:kern w:val="0"/>
          <w:sz w:val="22"/>
          <w:szCs w:val="20"/>
          <w:lang w:eastAsia="lt-LT" w:bidi="lt-LT"/>
          <w14:ligatures w14:val="none"/>
        </w:rPr>
        <w:t>.</w:t>
      </w:r>
    </w:p>
    <w:p w14:paraId="7875E2C4" w14:textId="77777777" w:rsidR="00CC7E15" w:rsidRPr="00CC7E15" w:rsidRDefault="00CC7E15" w:rsidP="00CC7E15">
      <w:pPr>
        <w:spacing w:after="0" w:line="240" w:lineRule="auto"/>
        <w:rPr>
          <w:rFonts w:ascii="Times New Roman" w:eastAsia="Times New Roman" w:hAnsi="Times New Roman" w:cs="Times New Roman"/>
          <w:kern w:val="0"/>
          <w:sz w:val="22"/>
          <w:szCs w:val="20"/>
          <w:lang w:eastAsia="lt-LT" w:bidi="lt-LT"/>
          <w14:ligatures w14:val="none"/>
        </w:rPr>
      </w:pPr>
    </w:p>
    <w:sectPr w:rsidR="00CC7E15" w:rsidRPr="00CC7E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9A3"/>
    <w:multiLevelType w:val="hybridMultilevel"/>
    <w:tmpl w:val="71A0A166"/>
    <w:lvl w:ilvl="0" w:tplc="7F4CED0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54795"/>
    <w:multiLevelType w:val="hybridMultilevel"/>
    <w:tmpl w:val="D4265CC4"/>
    <w:lvl w:ilvl="0" w:tplc="7F4CED02">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2D5D05"/>
    <w:multiLevelType w:val="hybridMultilevel"/>
    <w:tmpl w:val="C57A560A"/>
    <w:lvl w:ilvl="0" w:tplc="A61E3EC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B54315"/>
    <w:multiLevelType w:val="hybridMultilevel"/>
    <w:tmpl w:val="2A1273BE"/>
    <w:lvl w:ilvl="0" w:tplc="BF34BC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997468"/>
    <w:multiLevelType w:val="hybridMultilevel"/>
    <w:tmpl w:val="F82EB1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868083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655360">
    <w:abstractNumId w:val="3"/>
  </w:num>
  <w:num w:numId="3" w16cid:durableId="1152214622">
    <w:abstractNumId w:val="5"/>
  </w:num>
  <w:num w:numId="4" w16cid:durableId="1315333259">
    <w:abstractNumId w:val="0"/>
  </w:num>
  <w:num w:numId="5" w16cid:durableId="1807353544">
    <w:abstractNumId w:val="4"/>
  </w:num>
  <w:num w:numId="6" w16cid:durableId="1678574443">
    <w:abstractNumId w:val="2"/>
  </w:num>
  <w:num w:numId="7" w16cid:durableId="1889367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8E"/>
    <w:rsid w:val="00002AF3"/>
    <w:rsid w:val="00090DCA"/>
    <w:rsid w:val="000E75BE"/>
    <w:rsid w:val="00555447"/>
    <w:rsid w:val="00622154"/>
    <w:rsid w:val="0066218E"/>
    <w:rsid w:val="00922879"/>
    <w:rsid w:val="009A252D"/>
    <w:rsid w:val="009C0CD0"/>
    <w:rsid w:val="00A3379E"/>
    <w:rsid w:val="00C860C6"/>
    <w:rsid w:val="00CC7E15"/>
    <w:rsid w:val="00D54BF5"/>
    <w:rsid w:val="00F524D0"/>
    <w:rsid w:val="00F821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9E67"/>
  <w15:chartTrackingRefBased/>
  <w15:docId w15:val="{677E2713-CEAD-49BB-89D6-85B32BCA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62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2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21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21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21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21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21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21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21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21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21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21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21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21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21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21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21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21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2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21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21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21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21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218E"/>
    <w:rPr>
      <w:i/>
      <w:iCs/>
      <w:color w:val="404040" w:themeColor="text1" w:themeTint="BF"/>
    </w:rPr>
  </w:style>
  <w:style w:type="paragraph" w:styleId="Sraopastraipa">
    <w:name w:val="List Paragraph"/>
    <w:basedOn w:val="prastasis"/>
    <w:uiPriority w:val="34"/>
    <w:qFormat/>
    <w:rsid w:val="0066218E"/>
    <w:pPr>
      <w:ind w:left="720"/>
      <w:contextualSpacing/>
    </w:pPr>
  </w:style>
  <w:style w:type="character" w:styleId="Rykuspabraukimas">
    <w:name w:val="Intense Emphasis"/>
    <w:basedOn w:val="Numatytasispastraiposriftas"/>
    <w:uiPriority w:val="21"/>
    <w:qFormat/>
    <w:rsid w:val="0066218E"/>
    <w:rPr>
      <w:i/>
      <w:iCs/>
      <w:color w:val="0F4761" w:themeColor="accent1" w:themeShade="BF"/>
    </w:rPr>
  </w:style>
  <w:style w:type="paragraph" w:styleId="Iskirtacitata">
    <w:name w:val="Intense Quote"/>
    <w:basedOn w:val="prastasis"/>
    <w:next w:val="prastasis"/>
    <w:link w:val="IskirtacitataDiagrama"/>
    <w:uiPriority w:val="30"/>
    <w:qFormat/>
    <w:rsid w:val="00662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218E"/>
    <w:rPr>
      <w:i/>
      <w:iCs/>
      <w:color w:val="0F4761" w:themeColor="accent1" w:themeShade="BF"/>
    </w:rPr>
  </w:style>
  <w:style w:type="character" w:styleId="Rykinuoroda">
    <w:name w:val="Intense Reference"/>
    <w:basedOn w:val="Numatytasispastraiposriftas"/>
    <w:uiPriority w:val="32"/>
    <w:qFormat/>
    <w:rsid w:val="0066218E"/>
    <w:rPr>
      <w:b/>
      <w:bCs/>
      <w:smallCaps/>
      <w:color w:val="0F4761" w:themeColor="accent1" w:themeShade="BF"/>
      <w:spacing w:val="5"/>
    </w:rPr>
  </w:style>
  <w:style w:type="character" w:styleId="Hipersaitas">
    <w:name w:val="Hyperlink"/>
    <w:basedOn w:val="Numatytasispastraiposriftas"/>
    <w:uiPriority w:val="99"/>
    <w:unhideWhenUsed/>
    <w:rsid w:val="00CC7E15"/>
    <w:rPr>
      <w:color w:val="467886" w:themeColor="hyperlink"/>
      <w:u w:val="single"/>
    </w:rPr>
  </w:style>
  <w:style w:type="character" w:styleId="Neapdorotaspaminjimas">
    <w:name w:val="Unresolved Mention"/>
    <w:basedOn w:val="Numatytasispastraiposriftas"/>
    <w:uiPriority w:val="99"/>
    <w:semiHidden/>
    <w:unhideWhenUsed/>
    <w:rsid w:val="00CC7E15"/>
    <w:rPr>
      <w:color w:val="605E5C"/>
      <w:shd w:val="clear" w:color="auto" w:fill="E1DFDD"/>
    </w:rPr>
  </w:style>
  <w:style w:type="paragraph" w:styleId="Pataisymai">
    <w:name w:val="Revision"/>
    <w:hidden/>
    <w:uiPriority w:val="99"/>
    <w:semiHidden/>
    <w:rsid w:val="00555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15863</Words>
  <Characters>9042</Characters>
  <Application>Microsoft Office Word</Application>
  <DocSecurity>0</DocSecurity>
  <Lines>75</Lines>
  <Paragraphs>49</Paragraphs>
  <ScaleCrop>false</ScaleCrop>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10</cp:revision>
  <dcterms:created xsi:type="dcterms:W3CDTF">2025-10-16T19:57:00Z</dcterms:created>
  <dcterms:modified xsi:type="dcterms:W3CDTF">2026-01-30T08:13:00Z</dcterms:modified>
</cp:coreProperties>
</file>