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6BD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49E6D03B"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36CF4432"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4878070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3FB39C92"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688A69E0"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210C923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A52FC28"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5CA08E1B"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6787A27"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6F2E391"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F10EA65"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56FD11C9"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5A037D7"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E8B1B8F"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9ACF85E"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BC1098F"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798A3DD"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5D34B4C"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5FC7FAB"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2BAB3E3"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F93F389"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9F2DA82"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4B5A44A"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76C7669" w14:textId="77777777" w:rsidR="001239B2" w:rsidRPr="001239B2" w:rsidRDefault="001239B2" w:rsidP="001239B2">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1239B2">
        <w:rPr>
          <w:rFonts w:ascii="Times New Roman" w:eastAsia="Times New Roman" w:hAnsi="Times New Roman" w:cs="Times New Roman"/>
          <w:b/>
          <w:kern w:val="28"/>
          <w:sz w:val="22"/>
          <w:szCs w:val="22"/>
          <w:lang w:eastAsia="lt-LT"/>
          <w14:ligatures w14:val="none"/>
        </w:rPr>
        <w:t>B. PAKUOTĖS LAPELIS</w:t>
      </w:r>
    </w:p>
    <w:p w14:paraId="47077794" w14:textId="77777777" w:rsidR="001239B2" w:rsidRPr="001239B2" w:rsidRDefault="001239B2" w:rsidP="001239B2">
      <w:pPr>
        <w:tabs>
          <w:tab w:val="left" w:pos="567"/>
          <w:tab w:val="left" w:pos="3544"/>
          <w:tab w:val="left" w:pos="4678"/>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1239B2">
        <w:rPr>
          <w:rFonts w:ascii="Times New Roman" w:eastAsia="Times New Roman" w:hAnsi="Times New Roman" w:cs="Times New Roman"/>
          <w:kern w:val="0"/>
          <w:sz w:val="22"/>
          <w:szCs w:val="22"/>
          <w:lang w:eastAsia="lt-LT"/>
          <w14:ligatures w14:val="none"/>
        </w:rPr>
        <w:br w:type="page"/>
      </w:r>
      <w:r w:rsidRPr="001239B2">
        <w:rPr>
          <w:rFonts w:ascii="Times New Roman" w:eastAsia="Times New Roman" w:hAnsi="Times New Roman" w:cs="Times New Roman"/>
          <w:b/>
          <w:kern w:val="0"/>
          <w:sz w:val="22"/>
          <w:szCs w:val="22"/>
          <w14:ligatures w14:val="none"/>
        </w:rPr>
        <w:lastRenderedPageBreak/>
        <w:t>Pakuotės lapelis: informacija vartotojui</w:t>
      </w:r>
    </w:p>
    <w:p w14:paraId="04835604"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kern w:val="0"/>
          <w:sz w:val="22"/>
          <w:szCs w:val="22"/>
          <w14:ligatures w14:val="none"/>
        </w:rPr>
      </w:pPr>
    </w:p>
    <w:p w14:paraId="3D87847C" w14:textId="3B9FC281" w:rsidR="001239B2" w:rsidRPr="001239B2" w:rsidRDefault="00E74669" w:rsidP="001239B2">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 BBP</w:t>
      </w:r>
      <w:r w:rsidR="001239B2" w:rsidRPr="001239B2">
        <w:rPr>
          <w:rFonts w:ascii="Times New Roman" w:eastAsia="Times New Roman" w:hAnsi="Times New Roman" w:cs="Times New Roman"/>
          <w:b/>
          <w:kern w:val="0"/>
          <w:sz w:val="22"/>
          <w:szCs w:val="22"/>
          <w:lang w:eastAsia="lt-LT"/>
          <w14:ligatures w14:val="none"/>
        </w:rPr>
        <w:t xml:space="preserve"> 1 g milteliai injekciniam ar infuziniam tirpalui</w:t>
      </w:r>
    </w:p>
    <w:p w14:paraId="12F26942" w14:textId="77777777" w:rsidR="001239B2" w:rsidRPr="001239B2" w:rsidRDefault="001239B2" w:rsidP="001239B2">
      <w:pPr>
        <w:spacing w:after="0" w:line="240" w:lineRule="auto"/>
        <w:ind w:left="567" w:hanging="567"/>
        <w:jc w:val="center"/>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ampicilinas</w:t>
      </w:r>
    </w:p>
    <w:p w14:paraId="78BCC524" w14:textId="77777777" w:rsidR="001239B2" w:rsidRPr="001239B2" w:rsidRDefault="001239B2" w:rsidP="001239B2">
      <w:pPr>
        <w:tabs>
          <w:tab w:val="left" w:pos="3544"/>
          <w:tab w:val="left" w:pos="4678"/>
        </w:tabs>
        <w:spacing w:after="0" w:line="240" w:lineRule="auto"/>
        <w:jc w:val="center"/>
        <w:rPr>
          <w:rFonts w:ascii="Times New Roman" w:eastAsia="Times New Roman" w:hAnsi="Times New Roman" w:cs="Times New Roman"/>
          <w:kern w:val="0"/>
          <w:sz w:val="22"/>
          <w:szCs w:val="22"/>
          <w14:ligatures w14:val="none"/>
        </w:rPr>
      </w:pPr>
    </w:p>
    <w:p w14:paraId="7CE3F0CF"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b/>
          <w:kern w:val="0"/>
          <w:sz w:val="22"/>
          <w:szCs w:val="22"/>
          <w14:ligatures w14:val="none"/>
        </w:rPr>
      </w:pPr>
      <w:r w:rsidRPr="001239B2">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F9A236B" w14:textId="77777777" w:rsidR="001239B2" w:rsidRPr="001239B2" w:rsidRDefault="001239B2" w:rsidP="0071723B">
      <w:pPr>
        <w:numPr>
          <w:ilvl w:val="0"/>
          <w:numId w:val="10"/>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Neišmeskite šio lapelio, nes vėl gali prireikti jį perskaityti.</w:t>
      </w:r>
    </w:p>
    <w:p w14:paraId="674DA133" w14:textId="77777777" w:rsidR="001239B2" w:rsidRPr="001239B2" w:rsidRDefault="001239B2" w:rsidP="0071723B">
      <w:pPr>
        <w:numPr>
          <w:ilvl w:val="0"/>
          <w:numId w:val="10"/>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282E1FDC" w14:textId="77777777" w:rsidR="001239B2" w:rsidRPr="001239B2" w:rsidRDefault="001239B2" w:rsidP="0071723B">
      <w:pPr>
        <w:numPr>
          <w:ilvl w:val="0"/>
          <w:numId w:val="10"/>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0C88F7D8" w14:textId="77777777" w:rsidR="001239B2" w:rsidRPr="001239B2" w:rsidRDefault="001239B2" w:rsidP="0071723B">
      <w:pPr>
        <w:numPr>
          <w:ilvl w:val="0"/>
          <w:numId w:val="10"/>
        </w:numPr>
        <w:tabs>
          <w:tab w:val="clear" w:pos="567"/>
        </w:tabs>
        <w:spacing w:after="12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arba vaistininką. Žr. 4 skyrių.</w:t>
      </w:r>
    </w:p>
    <w:p w14:paraId="2D8DD23B" w14:textId="77777777" w:rsidR="0071723B" w:rsidRDefault="0071723B" w:rsidP="001239B2">
      <w:pPr>
        <w:tabs>
          <w:tab w:val="left" w:pos="3544"/>
          <w:tab w:val="left" w:pos="4678"/>
        </w:tabs>
        <w:spacing w:after="0" w:line="240" w:lineRule="auto"/>
        <w:rPr>
          <w:rFonts w:ascii="Times New Roman" w:eastAsia="Times New Roman" w:hAnsi="Times New Roman" w:cs="Times New Roman"/>
          <w:b/>
          <w:kern w:val="0"/>
          <w:sz w:val="22"/>
          <w:szCs w:val="22"/>
          <w14:ligatures w14:val="none"/>
        </w:rPr>
      </w:pPr>
    </w:p>
    <w:p w14:paraId="681B272E" w14:textId="2ECE28FF" w:rsidR="001239B2" w:rsidRPr="001239B2" w:rsidRDefault="001239B2" w:rsidP="001239B2">
      <w:pPr>
        <w:tabs>
          <w:tab w:val="left" w:pos="3544"/>
          <w:tab w:val="left" w:pos="4678"/>
        </w:tabs>
        <w:spacing w:after="0" w:line="240" w:lineRule="auto"/>
        <w:rPr>
          <w:rFonts w:ascii="Times New Roman" w:eastAsia="Times New Roman" w:hAnsi="Times New Roman" w:cs="Times New Roman"/>
          <w:b/>
          <w:kern w:val="0"/>
          <w:sz w:val="22"/>
          <w:szCs w:val="22"/>
          <w14:ligatures w14:val="none"/>
        </w:rPr>
      </w:pPr>
      <w:r w:rsidRPr="001239B2">
        <w:rPr>
          <w:rFonts w:ascii="Times New Roman" w:eastAsia="Times New Roman" w:hAnsi="Times New Roman" w:cs="Times New Roman"/>
          <w:b/>
          <w:kern w:val="0"/>
          <w:sz w:val="22"/>
          <w:szCs w:val="22"/>
          <w14:ligatures w14:val="none"/>
        </w:rPr>
        <w:t>Apie ką rašoma šiame lapelyje?</w:t>
      </w:r>
    </w:p>
    <w:p w14:paraId="74BB0D37" w14:textId="7A4082B7"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 xml:space="preserve">Kas yra </w:t>
      </w:r>
      <w:r w:rsidR="00E74669">
        <w:rPr>
          <w:rFonts w:ascii="Times New Roman" w:eastAsia="Times New Roman" w:hAnsi="Times New Roman" w:cs="Times New Roman"/>
          <w:kern w:val="0"/>
          <w:sz w:val="22"/>
          <w:szCs w:val="22"/>
          <w14:ligatures w14:val="none"/>
        </w:rPr>
        <w:t>AMPICILIN BBP</w:t>
      </w:r>
      <w:r w:rsidRPr="0071723B">
        <w:rPr>
          <w:rFonts w:ascii="Times New Roman" w:eastAsia="Times New Roman" w:hAnsi="Times New Roman" w:cs="Times New Roman"/>
          <w:kern w:val="0"/>
          <w:sz w:val="22"/>
          <w:szCs w:val="22"/>
          <w14:ligatures w14:val="none"/>
        </w:rPr>
        <w:t xml:space="preserve"> ir kam jis vartojamas</w:t>
      </w:r>
    </w:p>
    <w:p w14:paraId="46F6DA56" w14:textId="11287439"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 xml:space="preserve">Kas žinotina prieš vartojant </w:t>
      </w:r>
      <w:r w:rsidR="00E74669">
        <w:rPr>
          <w:rFonts w:ascii="Times New Roman" w:eastAsia="Times New Roman" w:hAnsi="Times New Roman" w:cs="Times New Roman"/>
          <w:kern w:val="0"/>
          <w:sz w:val="22"/>
          <w:szCs w:val="22"/>
          <w14:ligatures w14:val="none"/>
        </w:rPr>
        <w:t>AMPICILIN BBP</w:t>
      </w:r>
    </w:p>
    <w:p w14:paraId="0722E9B1" w14:textId="7E5A74BB"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 xml:space="preserve">Kaip vartoti </w:t>
      </w:r>
      <w:r w:rsidR="00E74669">
        <w:rPr>
          <w:rFonts w:ascii="Times New Roman" w:eastAsia="Times New Roman" w:hAnsi="Times New Roman" w:cs="Times New Roman"/>
          <w:kern w:val="0"/>
          <w:sz w:val="22"/>
          <w:szCs w:val="22"/>
          <w14:ligatures w14:val="none"/>
        </w:rPr>
        <w:t>AMPICILIN BBP</w:t>
      </w:r>
    </w:p>
    <w:p w14:paraId="616BD39C" w14:textId="72A2D8DC"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Galimas šalutinis poveikis</w:t>
      </w:r>
    </w:p>
    <w:p w14:paraId="00A1FD3D" w14:textId="170243D9"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 xml:space="preserve">Kaip laikyti </w:t>
      </w:r>
      <w:r w:rsidR="00E74669">
        <w:rPr>
          <w:rFonts w:ascii="Times New Roman" w:eastAsia="Times New Roman" w:hAnsi="Times New Roman" w:cs="Times New Roman"/>
          <w:kern w:val="0"/>
          <w:sz w:val="22"/>
          <w:szCs w:val="22"/>
          <w14:ligatures w14:val="none"/>
        </w:rPr>
        <w:t>AMPICILIN BBP</w:t>
      </w:r>
    </w:p>
    <w:p w14:paraId="617CC069" w14:textId="61F6B81A" w:rsidR="001239B2" w:rsidRPr="0071723B" w:rsidRDefault="001239B2" w:rsidP="0071723B">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71723B">
        <w:rPr>
          <w:rFonts w:ascii="Times New Roman" w:eastAsia="Times New Roman" w:hAnsi="Times New Roman" w:cs="Times New Roman"/>
          <w:kern w:val="0"/>
          <w:sz w:val="22"/>
          <w:szCs w:val="22"/>
          <w14:ligatures w14:val="none"/>
        </w:rPr>
        <w:t>Pakuotės turinys ir kita informacija</w:t>
      </w:r>
    </w:p>
    <w:p w14:paraId="09EE5F48"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18C9F1A6"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16483264" w14:textId="6CE7FAC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1.</w:t>
      </w:r>
      <w:r w:rsidRPr="001239B2">
        <w:rPr>
          <w:rFonts w:ascii="Times New Roman" w:eastAsia="Times New Roman" w:hAnsi="Times New Roman" w:cs="Times New Roman"/>
          <w:b/>
          <w:kern w:val="0"/>
          <w:sz w:val="22"/>
          <w:szCs w:val="22"/>
          <w:lang w:eastAsia="lt-LT"/>
          <w14:ligatures w14:val="none"/>
        </w:rPr>
        <w:tab/>
        <w:t xml:space="preserve">Kas yra </w:t>
      </w:r>
      <w:r w:rsidR="00E74669">
        <w:rPr>
          <w:rFonts w:ascii="Times New Roman" w:eastAsia="Times New Roman" w:hAnsi="Times New Roman" w:cs="Times New Roman"/>
          <w:b/>
          <w:kern w:val="0"/>
          <w:sz w:val="22"/>
          <w:szCs w:val="22"/>
          <w:lang w:eastAsia="lt-LT"/>
          <w14:ligatures w14:val="none"/>
        </w:rPr>
        <w:t>AMPICILIN BBP</w:t>
      </w:r>
      <w:r w:rsidRPr="001239B2">
        <w:rPr>
          <w:rFonts w:ascii="Times New Roman" w:eastAsia="Times New Roman" w:hAnsi="Times New Roman" w:cs="Times New Roman"/>
          <w:b/>
          <w:kern w:val="0"/>
          <w:sz w:val="22"/>
          <w:szCs w:val="22"/>
          <w:lang w:eastAsia="lt-LT"/>
          <w14:ligatures w14:val="none"/>
        </w:rPr>
        <w:t xml:space="preserve"> ir kam jis vartojamas</w:t>
      </w:r>
    </w:p>
    <w:p w14:paraId="6AC1EBEF"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2C852636" w14:textId="2016B351" w:rsidR="001239B2" w:rsidRPr="001239B2" w:rsidRDefault="00E74669"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veiklioji medžiaga yra ampicilinas, aminopenicilinų grupės antibiotikas. Penicilinai pažeidžia bakterijų ląstelių membranas ir tokiu būdu suardo augančias bakterijas.</w:t>
      </w:r>
    </w:p>
    <w:p w14:paraId="0B17BF29"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290D3DB2" w14:textId="27DDEB75" w:rsidR="001239B2" w:rsidRPr="001239B2" w:rsidRDefault="00E74669"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vartojamas šioms jam jautrių bakterijų sukeltoms infekcinėms ligoms gydyti:</w:t>
      </w:r>
    </w:p>
    <w:p w14:paraId="7C04992C"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ausų, nosies ir gerklės (ūminiam vidurinės ausies uždegimui, ūminiam sinusitui); </w:t>
      </w:r>
    </w:p>
    <w:p w14:paraId="57752013"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apatinių kvėpavimo takų (ūminiam ir lėtiniam paūmėjusiam bronchitui, bendruomenėje įgytam plaučių uždegimui);</w:t>
      </w:r>
    </w:p>
    <w:p w14:paraId="435C52BE"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inkstų ir šlapimo takų (ūminiam arba lėtiniam paūmėjusiam inkstų geldelių ir taurelių uždegimui, inkstų geldelių uždegimui, šlapimo pūslės uždegimui, šlaplės uždegimui, prostatos uždegimui);</w:t>
      </w:r>
    </w:p>
    <w:p w14:paraId="47DF14B2"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lytinių ir šlapimo takų uždegimui (gonorėjai);</w:t>
      </w:r>
    </w:p>
    <w:p w14:paraId="5429CA0D"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mažojo dubens organų uždegiminėms ligoms (gimdos gleivinės uždegimui, priegimdžio uždegimui, kiaušidžių ir kiaušintakių uždegimui); </w:t>
      </w:r>
    </w:p>
    <w:p w14:paraId="6239494F"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virškinimo trakto uždegiminėms ligoms (salmoneliozei, šigeliozei, vidurių šiltinei, paratifui), tulžies pūslės uždegimui, tulžies latakų uždegimui; </w:t>
      </w:r>
    </w:p>
    <w:p w14:paraId="4ABE4DD1" w14:textId="77777777" w:rsidR="001239B2" w:rsidRPr="001239B2" w:rsidRDefault="001239B2" w:rsidP="0071723B">
      <w:pPr>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kitoms gyvybei pavojingoms ligoms, vartojant kartu su kitais antibiotikais (listeriozei, bakteriniam meningitui, vidinio širdies dangalo uždegimui (endokarditui), sepsiui).</w:t>
      </w:r>
    </w:p>
    <w:p w14:paraId="01BC16E8" w14:textId="77777777" w:rsidR="001239B2" w:rsidRPr="001239B2" w:rsidRDefault="001239B2" w:rsidP="001239B2">
      <w:pPr>
        <w:spacing w:after="0" w:line="240" w:lineRule="auto"/>
        <w:rPr>
          <w:rFonts w:ascii="Times New Roman" w:eastAsia="Times New Roman" w:hAnsi="Times New Roman" w:cs="Times New Roman"/>
          <w:kern w:val="0"/>
          <w:sz w:val="22"/>
          <w:szCs w:val="22"/>
          <w:highlight w:val="red"/>
          <w:lang w:eastAsia="lt-LT"/>
          <w14:ligatures w14:val="none"/>
        </w:rPr>
      </w:pPr>
    </w:p>
    <w:p w14:paraId="27C77CC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Prireikus, gydytojas prieš gydymą šiuo antibiotiku bei gydymo metu, nustatys infekcinės ligos sukėlėjo jautrumą ampicilinui.</w:t>
      </w:r>
    </w:p>
    <w:p w14:paraId="2B0B98F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6F934EB"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517003BF" w14:textId="6D895FE0"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2.</w:t>
      </w:r>
      <w:r w:rsidRPr="001239B2">
        <w:rPr>
          <w:rFonts w:ascii="Times New Roman" w:eastAsia="Times New Roman" w:hAnsi="Times New Roman" w:cs="Times New Roman"/>
          <w:b/>
          <w:kern w:val="0"/>
          <w:sz w:val="22"/>
          <w:szCs w:val="22"/>
          <w:lang w:eastAsia="lt-LT"/>
          <w14:ligatures w14:val="none"/>
        </w:rPr>
        <w:tab/>
        <w:t xml:space="preserve">Kas žinotina prieš vartojant </w:t>
      </w:r>
      <w:r w:rsidR="00E74669">
        <w:rPr>
          <w:rFonts w:ascii="Times New Roman" w:eastAsia="Times New Roman" w:hAnsi="Times New Roman" w:cs="Times New Roman"/>
          <w:b/>
          <w:kern w:val="0"/>
          <w:sz w:val="22"/>
          <w:szCs w:val="22"/>
          <w:lang w:eastAsia="lt-LT"/>
          <w14:ligatures w14:val="none"/>
        </w:rPr>
        <w:t>AMPICILIN BBP</w:t>
      </w:r>
    </w:p>
    <w:p w14:paraId="514C9146"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016E10F0" w14:textId="2F3F3E36" w:rsidR="001239B2" w:rsidRPr="001239B2" w:rsidRDefault="00E74669"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 BBP</w:t>
      </w:r>
      <w:r w:rsidR="001239B2" w:rsidRPr="001239B2">
        <w:rPr>
          <w:rFonts w:ascii="Times New Roman" w:eastAsia="Times New Roman" w:hAnsi="Times New Roman" w:cs="Times New Roman"/>
          <w:b/>
          <w:kern w:val="0"/>
          <w:sz w:val="22"/>
          <w:szCs w:val="22"/>
          <w:lang w:eastAsia="lt-LT"/>
          <w14:ligatures w14:val="none"/>
        </w:rPr>
        <w:t xml:space="preserve"> vartoti draudžiama:</w:t>
      </w:r>
    </w:p>
    <w:p w14:paraId="768C66E1" w14:textId="77777777" w:rsidR="001239B2" w:rsidRPr="001239B2" w:rsidRDefault="001239B2" w:rsidP="001239B2">
      <w:p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w:t>
      </w:r>
      <w:r w:rsidRPr="001239B2">
        <w:rPr>
          <w:rFonts w:ascii="Times New Roman" w:eastAsia="Times New Roman" w:hAnsi="Times New Roman" w:cs="Times New Roman"/>
          <w:kern w:val="0"/>
          <w:sz w:val="22"/>
          <w:szCs w:val="22"/>
          <w:lang w:eastAsia="lt-LT"/>
          <w14:ligatures w14:val="none"/>
        </w:rPr>
        <w:tab/>
        <w:t>jeigu yra alergija ampicilinui arba bet kuriai pagalbinei šio vaisto medžiagai (jos išvardytos 6 skyriuje);</w:t>
      </w:r>
    </w:p>
    <w:p w14:paraId="0353BF94" w14:textId="77777777" w:rsidR="001239B2" w:rsidRPr="001239B2" w:rsidRDefault="001239B2" w:rsidP="001239B2">
      <w:p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w:t>
      </w:r>
      <w:r w:rsidRPr="001239B2">
        <w:rPr>
          <w:rFonts w:ascii="Times New Roman" w:eastAsia="Times New Roman" w:hAnsi="Times New Roman" w:cs="Times New Roman"/>
          <w:kern w:val="0"/>
          <w:sz w:val="22"/>
          <w:szCs w:val="22"/>
          <w:lang w:eastAsia="lt-LT"/>
          <w14:ligatures w14:val="none"/>
        </w:rPr>
        <w:tab/>
        <w:t>jeigu yra alergija bet kuriam kitam betalaktaminiam antibiotikui, pvz., antibiotikams, priklausantiems penicilinų ar cefalosporinų grupei.</w:t>
      </w:r>
    </w:p>
    <w:p w14:paraId="3EE936C1"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13E6677B" w14:textId="77777777" w:rsidR="001239B2" w:rsidRPr="001239B2" w:rsidRDefault="001239B2" w:rsidP="001239B2">
      <w:pPr>
        <w:spacing w:after="0" w:line="240" w:lineRule="auto"/>
        <w:ind w:left="567" w:hanging="567"/>
        <w:rPr>
          <w:rFonts w:ascii="Times New Roman" w:eastAsia="Times New Roman" w:hAnsi="Times New Roman" w:cs="Times New Roman"/>
          <w:b/>
          <w:caps/>
          <w:kern w:val="0"/>
          <w:sz w:val="22"/>
          <w:szCs w:val="22"/>
          <w:lang w:eastAsia="lt-LT"/>
          <w14:ligatures w14:val="none"/>
        </w:rPr>
      </w:pPr>
    </w:p>
    <w:p w14:paraId="091C8A3E" w14:textId="77777777"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Įspėjimai ir atsargumo priemonės</w:t>
      </w:r>
    </w:p>
    <w:p w14:paraId="26F0149D" w14:textId="14786885"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lastRenderedPageBreak/>
        <w:t xml:space="preserve">Pasitarkite su gydytoju arba vaistininku prieš pradėdami vartoti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Tai ypač svarbu, jeigu:</w:t>
      </w:r>
    </w:p>
    <w:p w14:paraId="63538554" w14:textId="77777777" w:rsidR="001239B2" w:rsidRPr="001239B2" w:rsidRDefault="001239B2" w:rsidP="0071723B">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esate linkęs (-usi) į alergines ligas;</w:t>
      </w:r>
    </w:p>
    <w:p w14:paraId="162ECD7F" w14:textId="77777777" w:rsidR="001239B2" w:rsidRPr="001239B2" w:rsidRDefault="001239B2" w:rsidP="0071723B">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sergate astma;</w:t>
      </w:r>
    </w:p>
    <w:p w14:paraId="1C8E3CC8" w14:textId="77777777" w:rsidR="001239B2" w:rsidRPr="001239B2" w:rsidRDefault="001239B2" w:rsidP="0071723B">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sergate grybelių sukelta užkrečiamąja liga;</w:t>
      </w:r>
    </w:p>
    <w:p w14:paraId="17BE8E9D" w14:textId="77777777" w:rsidR="001239B2" w:rsidRPr="001239B2" w:rsidRDefault="001239B2" w:rsidP="0071723B">
      <w:pPr>
        <w:numPr>
          <w:ilvl w:val="0"/>
          <w:numId w:val="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sergate inkstų ar kepenų veiklos sutrikimu. </w:t>
      </w:r>
    </w:p>
    <w:p w14:paraId="0471DB3B"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1EF410C5" w14:textId="60E39863"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Vartojant, ypač ilgai,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kaip ir kitokių antibiotikų, gydytojas gali dažnai tirti kraujo ląstelių kiekį ir kepenų bei inkstų veiklą bei stebėti, ar neatsirado atsparių bakterijų ir grybelių. </w:t>
      </w:r>
    </w:p>
    <w:p w14:paraId="14342119"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2EE67328"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Jeigu atsiranda alergijos požymių (dilgėlinė, išbėrimas, niežulys, kraujospūdžio mažėjimas, širdies ritmo padažnėjimas, kvėpavimo sutrikimas, kolapsas ar kt.), vaisto vartojimą būtina nutraukti ir kreiptis į gydytoją.</w:t>
      </w:r>
    </w:p>
    <w:p w14:paraId="59DC8C6A"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D0391E6" w14:textId="128EB678"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Pacientams, vartojusiems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yra pasireiškusios sunkios odos reakcijos, tokios kaip Stivenso-Džonsono (</w:t>
      </w:r>
      <w:r w:rsidRPr="001239B2">
        <w:rPr>
          <w:rFonts w:ascii="Times New Roman" w:eastAsia="Times New Roman" w:hAnsi="Times New Roman" w:cs="Times New Roman"/>
          <w:i/>
          <w:iCs/>
          <w:kern w:val="0"/>
          <w:sz w:val="22"/>
          <w:szCs w:val="22"/>
          <w:lang w:eastAsia="lt-LT"/>
          <w14:ligatures w14:val="none"/>
        </w:rPr>
        <w:t>Stevens-Johnson</w:t>
      </w:r>
      <w:r w:rsidRPr="001239B2">
        <w:rPr>
          <w:rFonts w:ascii="Times New Roman" w:eastAsia="Times New Roman" w:hAnsi="Times New Roman" w:cs="Times New Roman"/>
          <w:kern w:val="0"/>
          <w:sz w:val="22"/>
          <w:szCs w:val="22"/>
          <w:lang w:eastAsia="lt-LT"/>
          <w14:ligatures w14:val="none"/>
        </w:rPr>
        <w:t>) sindromas, toksinė epidermio nekrolizė (TEN), reakcija į vaistą su eozinofilija ir sisteminiais simptomais (DRESS) ir ūminė generalizuota egzanteminė pustuliozė (ŪGEP) (žr. 4 skyrių). Jeigu Jums pasireiškia didelis išbėrimas su pūslėmis ir odos lupimasis, ypač aplink burną, nosį, akis ir lytinius organus, arba sunkesnė forma, sukelianti didelį odos lupimąsi, nedelsdami kreipkitės į gydytoją.</w:t>
      </w:r>
    </w:p>
    <w:p w14:paraId="0D012B21"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00E04D29"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Ampicilino turi būti vengiama įtarus, kad yra infekcinė mononukleozė (ūminė virusinė infekcija, pasireiškianti karščiavimu, gerklės skausmu ir limfmazgių padidėjimu) arba tam tikros rūšies kraujo vėžys (limfoleukemija), kadangi šių ligų atveju po ampicilino pavartojimo būna dažnesnis eriteminis išbėrimas.</w:t>
      </w:r>
    </w:p>
    <w:p w14:paraId="37FCCBE7"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827249F" w14:textId="3A71EA88"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Jeigu prasideda stiprus ir nepraeinantis viduriavimas vandeningomis išmatomis, kuriose yra kraujo ir gleivių, vidurių pūtimas, maudžiantis arba dieglių tipo pilvo skausmas, karščiavimas, kreipkitės į gydytoją. Gydytojas ištirs, ar nėra pseudomembraninio kolito (infekcinio žarnyno uždegimo). Kadangi jis gali būti net pavojingas gyvybei,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vartojimą būtina tuoj pat nutraukti ir pradėti vartoti tinkamų vaistų (pvz., kitokių antibiotikų), kuriuos paskirs Jūsų gydytojas. Žarnų veiklą slopinančių vaistų vartoti draudžiama.</w:t>
      </w:r>
    </w:p>
    <w:p w14:paraId="10B4ECEA"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07F177F2" w14:textId="786B0810"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 xml:space="preserve">Kiti vaistai ir </w:t>
      </w:r>
      <w:r w:rsidR="00E74669">
        <w:rPr>
          <w:rFonts w:ascii="Times New Roman" w:eastAsia="Times New Roman" w:hAnsi="Times New Roman" w:cs="Times New Roman"/>
          <w:b/>
          <w:kern w:val="0"/>
          <w:sz w:val="22"/>
          <w:szCs w:val="22"/>
          <w:lang w:eastAsia="lt-LT"/>
          <w14:ligatures w14:val="none"/>
        </w:rPr>
        <w:t>AMPICILIN BBP</w:t>
      </w:r>
    </w:p>
    <w:p w14:paraId="55933576"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w:t>
      </w:r>
    </w:p>
    <w:p w14:paraId="0B76D2B3"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687DE6E8" w14:textId="423C1B4E" w:rsidR="001239B2" w:rsidRPr="001239B2" w:rsidRDefault="00E74669"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negalima vartoti kartu su šiais vaistais:</w:t>
      </w:r>
    </w:p>
    <w:p w14:paraId="41102FDE" w14:textId="77777777" w:rsidR="001239B2" w:rsidRPr="001239B2" w:rsidRDefault="001239B2" w:rsidP="0071723B">
      <w:pPr>
        <w:numPr>
          <w:ilvl w:val="0"/>
          <w:numId w:val="4"/>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antibiotikais, kurie slopina bakterijų dauginimąsi. (pvz., tetraciklinais, eritromicinu, sulfamidais, chloramfenikoliu). Kartu vartojami šie vaistai gali sutrikdyti vieni kitų veikimą.</w:t>
      </w:r>
    </w:p>
    <w:p w14:paraId="25092C78"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6BFBC2B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Pasakykite gydytojui arba vaistininkui, jei vartojate kurio nors iš šių vaistų:</w:t>
      </w:r>
    </w:p>
    <w:p w14:paraId="346AFA58" w14:textId="77777777" w:rsidR="001239B2" w:rsidRPr="001239B2" w:rsidRDefault="001239B2" w:rsidP="0071723B">
      <w:pPr>
        <w:numPr>
          <w:ilvl w:val="0"/>
          <w:numId w:val="1"/>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probenecido arba alopurinolio (podagrai gydyti);</w:t>
      </w:r>
    </w:p>
    <w:p w14:paraId="0712DD9C" w14:textId="77777777" w:rsidR="001239B2" w:rsidRPr="001239B2" w:rsidRDefault="001239B2" w:rsidP="0071723B">
      <w:pPr>
        <w:numPr>
          <w:ilvl w:val="0"/>
          <w:numId w:val="1"/>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geriamųjų kraujo krešėjimą slopinančių vaistų (pvz., varfarino ir fenindiono);</w:t>
      </w:r>
    </w:p>
    <w:p w14:paraId="79CC62C4" w14:textId="77777777" w:rsidR="001239B2" w:rsidRPr="001239B2" w:rsidRDefault="001239B2" w:rsidP="0071723B">
      <w:pPr>
        <w:numPr>
          <w:ilvl w:val="0"/>
          <w:numId w:val="1"/>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atenololio (nuo aukšto kraujospūdžio);</w:t>
      </w:r>
    </w:p>
    <w:p w14:paraId="30F5E2C7" w14:textId="77777777" w:rsidR="001239B2" w:rsidRPr="001239B2" w:rsidRDefault="001239B2" w:rsidP="0071723B">
      <w:pPr>
        <w:numPr>
          <w:ilvl w:val="0"/>
          <w:numId w:val="1"/>
        </w:numPr>
        <w:tabs>
          <w:tab w:val="clear" w:pos="567"/>
        </w:tabs>
        <w:spacing w:after="0" w:line="240" w:lineRule="auto"/>
        <w:ind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metotreksato (vaisto, kuriuo gydomas vėžys ir reumatinės ligos);</w:t>
      </w:r>
    </w:p>
    <w:p w14:paraId="6409C395" w14:textId="1E7CFACE" w:rsidR="001239B2" w:rsidRPr="001239B2" w:rsidRDefault="001239B2" w:rsidP="0071723B">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geriamąjį skiepą nuo vidurių šiltinės.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gali susilpninti skiepo veiksmingumą.</w:t>
      </w:r>
    </w:p>
    <w:p w14:paraId="65A11C6B"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70CC2749" w14:textId="77777777" w:rsidR="001239B2" w:rsidRPr="001239B2" w:rsidRDefault="001239B2" w:rsidP="001239B2">
      <w:pPr>
        <w:spacing w:after="0" w:line="240" w:lineRule="auto"/>
        <w:rPr>
          <w:rFonts w:ascii="Times New Roman" w:eastAsia="Times New Roman" w:hAnsi="Times New Roman" w:cs="Times New Roman"/>
          <w:bCs/>
          <w:i/>
          <w:iCs/>
          <w:kern w:val="0"/>
          <w:sz w:val="22"/>
          <w:szCs w:val="22"/>
          <w:lang w:eastAsia="lt-LT"/>
          <w14:ligatures w14:val="none"/>
        </w:rPr>
      </w:pPr>
      <w:r w:rsidRPr="001239B2">
        <w:rPr>
          <w:rFonts w:ascii="Times New Roman" w:eastAsia="Times New Roman" w:hAnsi="Times New Roman" w:cs="Times New Roman"/>
          <w:bCs/>
          <w:i/>
          <w:iCs/>
          <w:kern w:val="0"/>
          <w:sz w:val="22"/>
          <w:szCs w:val="22"/>
          <w:lang w:eastAsia="lt-LT"/>
          <w14:ligatures w14:val="none"/>
        </w:rPr>
        <w:t>Įtaka laboratorinių tyrimų rezultatams</w:t>
      </w:r>
    </w:p>
    <w:p w14:paraId="630C035E" w14:textId="7C803545"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Vartojant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gali būti klaidingai teigiamas gliukozės kiekio šlapime tyrimo rezultatas bei klaidingi kai kurių kitų šlapimo tyrimų rezultatai. Jeigu Jums reikia atlikti šlapimo tyrimą, pasakykite gydytojui, kad vartojate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Atsižvelgdamas į tai, gydytojas paskirs kitą tyrimo metodą.</w:t>
      </w:r>
    </w:p>
    <w:p w14:paraId="5EEA240F" w14:textId="77777777"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p>
    <w:p w14:paraId="57763767"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Nėštumas ir žindymo laikotarpis</w:t>
      </w:r>
    </w:p>
    <w:p w14:paraId="6D385018" w14:textId="77777777" w:rsidR="001239B2" w:rsidRPr="001239B2" w:rsidRDefault="001239B2" w:rsidP="001239B2">
      <w:pPr>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Jeigu esate nėščia, žindote kūdikį, manote, kad galbūt esate nėščia arba planuojate pastoti, tai prieš vartodama šį vaistą, pasitarkite su gydytoju arba vaistininku. </w:t>
      </w:r>
    </w:p>
    <w:p w14:paraId="24659538"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681A396B" w14:textId="5C82BE05"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Nėščioms moterims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galima vartoti tik gydytojo leidimu. </w:t>
      </w:r>
    </w:p>
    <w:p w14:paraId="5119A0ED"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5F3F82E1" w14:textId="38ED15EB"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Veikliosios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medžiagos ampicilino išskiria su motinos pienu. Žindyvėms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galima vartoti tik gydytojo leidimu.</w:t>
      </w:r>
    </w:p>
    <w:p w14:paraId="228CE953"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12DFEB19" w14:textId="77777777"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Vairavimas ir mechanizmų valdymas</w:t>
      </w:r>
    </w:p>
    <w:p w14:paraId="334ADEAC" w14:textId="04EB2575" w:rsidR="001239B2" w:rsidRPr="001239B2" w:rsidRDefault="00E74669" w:rsidP="001239B2">
      <w:pPr>
        <w:spacing w:after="0" w:line="240" w:lineRule="auto"/>
        <w:ind w:left="567" w:hanging="567"/>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nedaro įtakos gebėjimui vairuoti ir valdyti mechanizmus.  </w:t>
      </w:r>
    </w:p>
    <w:p w14:paraId="5A4D35FD" w14:textId="77777777"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p>
    <w:p w14:paraId="5F1D0C04" w14:textId="00FB4C3A" w:rsidR="001239B2" w:rsidRPr="001239B2" w:rsidRDefault="00E74669"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 BBP</w:t>
      </w:r>
      <w:r w:rsidR="001239B2" w:rsidRPr="001239B2">
        <w:rPr>
          <w:rFonts w:ascii="Times New Roman" w:eastAsia="Times New Roman" w:hAnsi="Times New Roman" w:cs="Times New Roman"/>
          <w:b/>
          <w:kern w:val="0"/>
          <w:sz w:val="22"/>
          <w:szCs w:val="22"/>
          <w:lang w:eastAsia="lt-LT"/>
          <w14:ligatures w14:val="none"/>
        </w:rPr>
        <w:t xml:space="preserve"> sudėtyje yra natrio</w:t>
      </w:r>
    </w:p>
    <w:p w14:paraId="7862DEE0" w14:textId="77777777" w:rsidR="001239B2" w:rsidRPr="001239B2" w:rsidRDefault="001239B2" w:rsidP="001239B2">
      <w:pPr>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1239B2">
        <w:rPr>
          <w:rFonts w:ascii="Times New Roman" w:eastAsia="Times New Roman" w:hAnsi="Times New Roman" w:cs="Times New Roman"/>
          <w:bCs/>
          <w:kern w:val="0"/>
          <w:sz w:val="22"/>
          <w:szCs w:val="22"/>
          <w:lang w:eastAsia="lt-LT"/>
          <w14:ligatures w14:val="none"/>
        </w:rPr>
        <w:t>Kiekviename šio vaisto flakone yra 65,8 mg (2,862 mmol) natrio (valgomosios druskos sudedamosios dalies). Tai atitinka 3,3</w:t>
      </w:r>
      <w:r w:rsidRPr="001239B2">
        <w:rPr>
          <w:rFonts w:ascii="Calibri" w:eastAsia="Calibri" w:hAnsi="Calibri" w:cs="Times New Roman"/>
          <w:kern w:val="0"/>
          <w:sz w:val="22"/>
          <w:szCs w:val="22"/>
          <w14:ligatures w14:val="none"/>
        </w:rPr>
        <w:t> </w:t>
      </w:r>
      <w:r w:rsidRPr="001239B2">
        <w:rPr>
          <w:rFonts w:ascii="Times New Roman" w:eastAsia="Times New Roman" w:hAnsi="Times New Roman" w:cs="Times New Roman"/>
          <w:bCs/>
          <w:kern w:val="0"/>
          <w:sz w:val="22"/>
          <w:szCs w:val="22"/>
          <w:lang w:eastAsia="lt-LT"/>
          <w14:ligatures w14:val="none"/>
        </w:rPr>
        <w:t>% didžiausios rekomenduojamos natrio paros normos suaugusiesiems.</w:t>
      </w:r>
    </w:p>
    <w:p w14:paraId="040D2706"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079EB72C"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6EE5C9FB" w14:textId="1D74E031"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3.</w:t>
      </w:r>
      <w:r w:rsidRPr="001239B2">
        <w:rPr>
          <w:rFonts w:ascii="Times New Roman" w:eastAsia="Times New Roman" w:hAnsi="Times New Roman" w:cs="Times New Roman"/>
          <w:b/>
          <w:kern w:val="0"/>
          <w:sz w:val="22"/>
          <w:szCs w:val="22"/>
          <w:lang w:eastAsia="lt-LT"/>
          <w14:ligatures w14:val="none"/>
        </w:rPr>
        <w:tab/>
        <w:t xml:space="preserve">Kaip vartoti </w:t>
      </w:r>
      <w:r w:rsidR="00E74669">
        <w:rPr>
          <w:rFonts w:ascii="Times New Roman" w:eastAsia="Times New Roman" w:hAnsi="Times New Roman" w:cs="Times New Roman"/>
          <w:b/>
          <w:kern w:val="0"/>
          <w:sz w:val="22"/>
          <w:szCs w:val="22"/>
          <w:lang w:eastAsia="lt-LT"/>
          <w14:ligatures w14:val="none"/>
        </w:rPr>
        <w:t>AMPICILIN BBP</w:t>
      </w:r>
    </w:p>
    <w:p w14:paraId="00828877" w14:textId="77777777"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2AB9EE76" w14:textId="77777777"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Visada vartokite šį vaistą tiksliai kaip nurodė gydytojas. Jeigu abejojate, kreipkitės į gydytoją.  </w:t>
      </w:r>
    </w:p>
    <w:p w14:paraId="39FDE54F" w14:textId="77777777"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C52CEC4" w14:textId="78AECBB9"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Gydytojas arba slaugytoja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Jums suleis į veną ar raumenis arba infuzuos į veną. </w:t>
      </w:r>
    </w:p>
    <w:p w14:paraId="6FD32D3C" w14:textId="77777777" w:rsidR="001239B2" w:rsidRPr="001239B2" w:rsidRDefault="001239B2" w:rsidP="001239B2">
      <w:pPr>
        <w:spacing w:after="0" w:line="240" w:lineRule="auto"/>
        <w:rPr>
          <w:rFonts w:ascii="Times New Roman" w:eastAsia="Times New Roman" w:hAnsi="Times New Roman" w:cs="Times New Roman"/>
          <w:bCs/>
          <w:i/>
          <w:iCs/>
          <w:kern w:val="0"/>
          <w:sz w:val="22"/>
          <w:szCs w:val="22"/>
          <w:lang w:eastAsia="lt-LT"/>
          <w14:ligatures w14:val="none"/>
        </w:rPr>
      </w:pPr>
    </w:p>
    <w:p w14:paraId="137B568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Suaugusiesiems ir paaugliams </w:t>
      </w:r>
    </w:p>
    <w:p w14:paraId="7DB42D85"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Tinkamą dozę gydytojas nustatys pagal Jūsų amžių, kūno svorį ir ligos sunkumą. Įprasta dozė yra 2</w:t>
      </w:r>
      <w:r w:rsidRPr="001239B2">
        <w:rPr>
          <w:rFonts w:ascii="Times New Roman" w:eastAsia="Times New Roman" w:hAnsi="Times New Roman" w:cs="Times New Roman"/>
          <w:kern w:val="0"/>
          <w:sz w:val="22"/>
          <w:szCs w:val="22"/>
          <w:lang w:eastAsia="lt-LT"/>
          <w14:ligatures w14:val="none"/>
        </w:rPr>
        <w:noBreakHyphen/>
        <w:t>6 g amoksicilino (mažiausiai – 1 g) per parą, suleidžiama per 2</w:t>
      </w:r>
      <w:r w:rsidRPr="001239B2">
        <w:rPr>
          <w:rFonts w:ascii="Times New Roman" w:eastAsia="Times New Roman" w:hAnsi="Times New Roman" w:cs="Times New Roman"/>
          <w:kern w:val="0"/>
          <w:sz w:val="22"/>
          <w:szCs w:val="22"/>
          <w:lang w:eastAsia="lt-LT"/>
          <w14:ligatures w14:val="none"/>
        </w:rPr>
        <w:noBreakHyphen/>
        <w:t>4 kartus. Esant reikalui (pvz., sergant meningitu, sepsiu ar kita sunkia infekcine liga), gydytojas gali paskirti ir didesnę dozę.</w:t>
      </w:r>
    </w:p>
    <w:p w14:paraId="04434068"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230A7747"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Vartojimas vaikams</w:t>
      </w:r>
    </w:p>
    <w:p w14:paraId="638E99A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Tinkamą dozę gydytojas nustatys pagal vaiko amžių, kūno svorį ir ligos sunkumą. Įprasta dozė yra 50</w:t>
      </w:r>
      <w:r w:rsidRPr="001239B2">
        <w:rPr>
          <w:rFonts w:ascii="Times New Roman" w:eastAsia="Times New Roman" w:hAnsi="Times New Roman" w:cs="Times New Roman"/>
          <w:kern w:val="0"/>
          <w:sz w:val="22"/>
          <w:szCs w:val="22"/>
          <w:lang w:eastAsia="lt-LT"/>
          <w14:ligatures w14:val="none"/>
        </w:rPr>
        <w:noBreakHyphen/>
        <w:t>100 (mažiausiai 25) mg/kg kūno svorio, prieš laiką gimusiems kūdikiams ir naujagimiams - 25</w:t>
      </w:r>
      <w:r w:rsidRPr="001239B2">
        <w:rPr>
          <w:rFonts w:ascii="Times New Roman" w:eastAsia="Times New Roman" w:hAnsi="Times New Roman" w:cs="Times New Roman"/>
          <w:kern w:val="0"/>
          <w:sz w:val="22"/>
          <w:szCs w:val="22"/>
          <w:lang w:eastAsia="lt-LT"/>
          <w14:ligatures w14:val="none"/>
        </w:rPr>
        <w:noBreakHyphen/>
        <w:t>50 mg/kg per parą. Esant reikalui (pvz., sergant meningitu, sepsiu ar kita sunkia infekcine liga), gydytojas gali paskirti ir didesnę dozę.</w:t>
      </w:r>
    </w:p>
    <w:p w14:paraId="70AAC5E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62784939" w14:textId="77777777" w:rsidR="001239B2" w:rsidRPr="001239B2" w:rsidRDefault="001239B2" w:rsidP="001239B2">
      <w:pPr>
        <w:spacing w:after="0" w:line="240" w:lineRule="auto"/>
        <w:rPr>
          <w:rFonts w:ascii="Times New Roman" w:eastAsia="Times New Roman" w:hAnsi="Times New Roman" w:cs="Times New Roman"/>
          <w:iCs/>
          <w:kern w:val="0"/>
          <w:sz w:val="22"/>
          <w:szCs w:val="22"/>
          <w:lang w:eastAsia="lt-LT"/>
          <w14:ligatures w14:val="none"/>
        </w:rPr>
      </w:pPr>
      <w:r w:rsidRPr="001239B2">
        <w:rPr>
          <w:rFonts w:ascii="Times New Roman" w:eastAsia="Times New Roman" w:hAnsi="Times New Roman" w:cs="Times New Roman"/>
          <w:iCs/>
          <w:kern w:val="0"/>
          <w:sz w:val="22"/>
          <w:szCs w:val="22"/>
          <w:lang w:eastAsia="lt-LT"/>
          <w14:ligatures w14:val="none"/>
        </w:rPr>
        <w:t xml:space="preserve">Pacientams, kurių inkstų funkcija sutrikusi, prieš laiką gimusiems kūdikiams ir naujagimiams </w:t>
      </w:r>
    </w:p>
    <w:p w14:paraId="3B9E0306" w14:textId="47577BDC" w:rsidR="001239B2" w:rsidRPr="001239B2" w:rsidRDefault="00E74669"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dozę nustato gydytojas, įvertinęs inkstų funkciją pagal kreatinino klirenso (tam tikro inkstų veiklą atspindinčio rodiklio) rodmenis.</w:t>
      </w:r>
    </w:p>
    <w:p w14:paraId="37E6C590"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2B35EA9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Ligoniams, kurių kreatinino klirensas yra 30 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1239B2" w:rsidRPr="001239B2" w14:paraId="7708D7CD" w14:textId="77777777" w:rsidTr="007071E3">
        <w:tc>
          <w:tcPr>
            <w:tcW w:w="2130" w:type="dxa"/>
          </w:tcPr>
          <w:p w14:paraId="4E76B046" w14:textId="77777777" w:rsidR="001239B2" w:rsidRPr="001239B2" w:rsidRDefault="001239B2" w:rsidP="001239B2">
            <w:pPr>
              <w:spacing w:after="0" w:line="240" w:lineRule="auto"/>
              <w:jc w:val="both"/>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Kreatinino klirensas</w:t>
            </w:r>
          </w:p>
        </w:tc>
        <w:tc>
          <w:tcPr>
            <w:tcW w:w="6058" w:type="dxa"/>
          </w:tcPr>
          <w:p w14:paraId="3A555774"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 xml:space="preserve">Dozė </w:t>
            </w:r>
          </w:p>
        </w:tc>
      </w:tr>
      <w:tr w:rsidR="001239B2" w:rsidRPr="001239B2" w14:paraId="07B67F8E" w14:textId="77777777" w:rsidTr="007071E3">
        <w:tc>
          <w:tcPr>
            <w:tcW w:w="2130" w:type="dxa"/>
          </w:tcPr>
          <w:p w14:paraId="294BCB6F" w14:textId="77777777" w:rsidR="001239B2" w:rsidRPr="001239B2" w:rsidRDefault="001239B2" w:rsidP="001239B2">
            <w:pPr>
              <w:spacing w:after="0" w:line="240" w:lineRule="auto"/>
              <w:jc w:val="both"/>
              <w:rPr>
                <w:rFonts w:ascii="Times New Roman" w:eastAsia="Times New Roman" w:hAnsi="Times New Roman" w:cs="Times New Roman"/>
                <w:kern w:val="0"/>
                <w:sz w:val="22"/>
                <w:szCs w:val="22"/>
                <w:lang w:eastAsia="lt-LT"/>
                <w14:ligatures w14:val="none"/>
              </w:rPr>
            </w:pPr>
          </w:p>
          <w:p w14:paraId="5BC833D2" w14:textId="77777777" w:rsidR="001239B2" w:rsidRPr="001239B2" w:rsidRDefault="001239B2" w:rsidP="001239B2">
            <w:pPr>
              <w:spacing w:after="0" w:line="240" w:lineRule="auto"/>
              <w:jc w:val="both"/>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30 20 ml/min.</w:t>
            </w:r>
          </w:p>
        </w:tc>
        <w:tc>
          <w:tcPr>
            <w:tcW w:w="6058" w:type="dxa"/>
          </w:tcPr>
          <w:p w14:paraId="2A78D89B"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Du trečdaliai įprastinės dozės</w:t>
            </w:r>
          </w:p>
          <w:p w14:paraId="791A7990"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(1,6</w:t>
            </w:r>
            <w:r w:rsidRPr="001239B2">
              <w:rPr>
                <w:rFonts w:ascii="Times New Roman" w:eastAsia="Times New Roman" w:hAnsi="Times New Roman" w:cs="Times New Roman"/>
                <w:kern w:val="0"/>
                <w:sz w:val="22"/>
                <w:szCs w:val="22"/>
                <w:lang w:eastAsia="lt-LT"/>
                <w14:ligatures w14:val="none"/>
              </w:rPr>
              <w:noBreakHyphen/>
              <w:t>4 g suaugusiesiems; 33</w:t>
            </w:r>
            <w:r w:rsidRPr="001239B2">
              <w:rPr>
                <w:rFonts w:ascii="Times New Roman" w:eastAsia="Times New Roman" w:hAnsi="Times New Roman" w:cs="Times New Roman"/>
                <w:kern w:val="0"/>
                <w:sz w:val="22"/>
                <w:szCs w:val="22"/>
                <w:lang w:eastAsia="lt-LT"/>
                <w14:ligatures w14:val="none"/>
              </w:rPr>
              <w:noBreakHyphen/>
              <w:t>66 mg/kg vaikams)</w:t>
            </w:r>
          </w:p>
        </w:tc>
      </w:tr>
      <w:tr w:rsidR="001239B2" w:rsidRPr="001239B2" w14:paraId="56BBF42B" w14:textId="77777777" w:rsidTr="007071E3">
        <w:tc>
          <w:tcPr>
            <w:tcW w:w="2130" w:type="dxa"/>
          </w:tcPr>
          <w:p w14:paraId="7F480FF9" w14:textId="77777777" w:rsidR="001239B2" w:rsidRPr="001239B2" w:rsidRDefault="001239B2" w:rsidP="001239B2">
            <w:pPr>
              <w:spacing w:after="0" w:line="240" w:lineRule="auto"/>
              <w:jc w:val="both"/>
              <w:rPr>
                <w:rFonts w:ascii="Times New Roman" w:eastAsia="Times New Roman" w:hAnsi="Times New Roman" w:cs="Times New Roman"/>
                <w:kern w:val="0"/>
                <w:sz w:val="22"/>
                <w:szCs w:val="22"/>
                <w:lang w:eastAsia="lt-LT"/>
                <w14:ligatures w14:val="none"/>
              </w:rPr>
            </w:pPr>
          </w:p>
          <w:p w14:paraId="0A99B5CD" w14:textId="77777777" w:rsidR="001239B2" w:rsidRPr="001239B2" w:rsidRDefault="001239B2" w:rsidP="001239B2">
            <w:pPr>
              <w:spacing w:after="0" w:line="240" w:lineRule="auto"/>
              <w:jc w:val="both"/>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20 ml/min.</w:t>
            </w:r>
          </w:p>
        </w:tc>
        <w:tc>
          <w:tcPr>
            <w:tcW w:w="6058" w:type="dxa"/>
          </w:tcPr>
          <w:p w14:paraId="45E03424"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Pusė įprastinės dozės</w:t>
            </w:r>
          </w:p>
          <w:p w14:paraId="453D2B89"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(1</w:t>
            </w:r>
            <w:r w:rsidRPr="001239B2">
              <w:rPr>
                <w:rFonts w:ascii="Times New Roman" w:eastAsia="Times New Roman" w:hAnsi="Times New Roman" w:cs="Times New Roman"/>
                <w:kern w:val="0"/>
                <w:sz w:val="22"/>
                <w:szCs w:val="22"/>
                <w:lang w:eastAsia="lt-LT"/>
                <w14:ligatures w14:val="none"/>
              </w:rPr>
              <w:noBreakHyphen/>
              <w:t>3 g suaugusiesiems; 25</w:t>
            </w:r>
            <w:r w:rsidRPr="001239B2">
              <w:rPr>
                <w:rFonts w:ascii="Times New Roman" w:eastAsia="Times New Roman" w:hAnsi="Times New Roman" w:cs="Times New Roman"/>
                <w:kern w:val="0"/>
                <w:sz w:val="22"/>
                <w:szCs w:val="22"/>
                <w:lang w:eastAsia="lt-LT"/>
                <w14:ligatures w14:val="none"/>
              </w:rPr>
              <w:noBreakHyphen/>
              <w:t>50 mg/kg vaikams)</w:t>
            </w:r>
          </w:p>
        </w:tc>
      </w:tr>
    </w:tbl>
    <w:p w14:paraId="039307D1"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3A9F8982"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Pacientams, sergantiems sunkiu inkstų nepakankamumu, negalima vartoti daugiau negu po 1 g ampicilino kas 8 val. Jeigu kreatinino klirensas yra mažesnis negu 10 ml/min., vaisto reikia vartoti dar rečiau (kas 12</w:t>
      </w:r>
      <w:r w:rsidRPr="001239B2">
        <w:rPr>
          <w:rFonts w:ascii="Times New Roman" w:eastAsia="Times New Roman" w:hAnsi="Times New Roman" w:cs="Times New Roman"/>
          <w:kern w:val="0"/>
          <w:sz w:val="22"/>
          <w:szCs w:val="22"/>
          <w:lang w:eastAsia="lt-LT"/>
          <w14:ligatures w14:val="none"/>
        </w:rPr>
        <w:noBreakHyphen/>
        <w:t xml:space="preserve">15 val.). </w:t>
      </w:r>
    </w:p>
    <w:p w14:paraId="156B1CFE" w14:textId="77777777" w:rsidR="001239B2" w:rsidRPr="001239B2" w:rsidRDefault="001239B2" w:rsidP="001239B2">
      <w:pPr>
        <w:keepNext/>
        <w:spacing w:after="0" w:line="240" w:lineRule="auto"/>
        <w:jc w:val="both"/>
        <w:outlineLvl w:val="3"/>
        <w:rPr>
          <w:rFonts w:ascii="Times New Roman" w:eastAsia="Times New Roman" w:hAnsi="Times New Roman" w:cs="Times New Roman"/>
          <w:kern w:val="0"/>
          <w:sz w:val="22"/>
          <w:szCs w:val="22"/>
          <w:u w:val="single"/>
          <w:lang w:eastAsia="lt-LT"/>
          <w14:ligatures w14:val="none"/>
        </w:rPr>
      </w:pPr>
    </w:p>
    <w:p w14:paraId="4943EACE" w14:textId="77777777" w:rsidR="001239B2" w:rsidRPr="001239B2" w:rsidRDefault="001239B2" w:rsidP="001239B2">
      <w:pPr>
        <w:spacing w:after="0" w:line="240" w:lineRule="auto"/>
        <w:rPr>
          <w:rFonts w:ascii="Times New Roman" w:eastAsia="Times New Roman" w:hAnsi="Times New Roman" w:cs="Times New Roman"/>
          <w:bCs/>
          <w:iCs/>
          <w:kern w:val="0"/>
          <w:sz w:val="22"/>
          <w:szCs w:val="22"/>
          <w:lang w:eastAsia="lt-LT"/>
          <w14:ligatures w14:val="none"/>
        </w:rPr>
      </w:pPr>
      <w:r w:rsidRPr="001239B2">
        <w:rPr>
          <w:rFonts w:ascii="Times New Roman" w:eastAsia="Times New Roman" w:hAnsi="Times New Roman" w:cs="Times New Roman"/>
          <w:bCs/>
          <w:iCs/>
          <w:kern w:val="0"/>
          <w:sz w:val="22"/>
          <w:szCs w:val="22"/>
          <w:lang w:eastAsia="lt-LT"/>
          <w14:ligatures w14:val="none"/>
        </w:rPr>
        <w:t>Gydymo trukmė</w:t>
      </w:r>
    </w:p>
    <w:p w14:paraId="4D93B2F5"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Gydymo trukmė priklauso nuo ligos sunkumo, gali trukti nuo 4 parų iki 6 savaičių. Vaisto patariama vartoti dar 2 paras po to, kai išnyksta ligos simptomai.</w:t>
      </w:r>
    </w:p>
    <w:p w14:paraId="36453DD7"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19623CF8" w14:textId="24B2BD44"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 xml:space="preserve">Ką daryti pavartojus per didelę </w:t>
      </w:r>
      <w:r w:rsidR="00E74669">
        <w:rPr>
          <w:rFonts w:ascii="Times New Roman" w:eastAsia="Times New Roman" w:hAnsi="Times New Roman" w:cs="Times New Roman"/>
          <w:b/>
          <w:kern w:val="0"/>
          <w:sz w:val="22"/>
          <w:szCs w:val="22"/>
          <w:lang w:eastAsia="lt-LT"/>
          <w14:ligatures w14:val="none"/>
        </w:rPr>
        <w:t>AMPICILIN BBP</w:t>
      </w:r>
      <w:r w:rsidRPr="001239B2">
        <w:rPr>
          <w:rFonts w:ascii="Times New Roman" w:eastAsia="Times New Roman" w:hAnsi="Times New Roman" w:cs="Times New Roman"/>
          <w:b/>
          <w:kern w:val="0"/>
          <w:sz w:val="22"/>
          <w:szCs w:val="22"/>
          <w:lang w:eastAsia="lt-LT"/>
          <w14:ligatures w14:val="none"/>
        </w:rPr>
        <w:t xml:space="preserve"> dozę</w:t>
      </w:r>
    </w:p>
    <w:p w14:paraId="68C9C418" w14:textId="77777777" w:rsidR="001239B2" w:rsidRPr="001239B2" w:rsidRDefault="001239B2" w:rsidP="001239B2">
      <w:pPr>
        <w:spacing w:after="0" w:line="240" w:lineRule="auto"/>
        <w:rPr>
          <w:rFonts w:ascii="Times New Roman" w:eastAsia="Times New Roman" w:hAnsi="Times New Roman" w:cs="Times New Roman"/>
          <w:kern w:val="0"/>
          <w:sz w:val="22"/>
          <w:szCs w:val="22"/>
          <w:u w:val="single"/>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Jeigu manote, kad Jums suleido per didelę vaisto dozę, nedelsdami pasakykite gydytojui arba slaugytojai. </w:t>
      </w:r>
    </w:p>
    <w:p w14:paraId="1F74A9EF" w14:textId="77777777"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p>
    <w:p w14:paraId="59A7E7CD" w14:textId="245AC103" w:rsidR="001239B2" w:rsidRPr="001239B2" w:rsidRDefault="001239B2" w:rsidP="001239B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 xml:space="preserve">Pamiršus pavartoti </w:t>
      </w:r>
      <w:r w:rsidR="00E74669">
        <w:rPr>
          <w:rFonts w:ascii="Times New Roman" w:eastAsia="Times New Roman" w:hAnsi="Times New Roman" w:cs="Times New Roman"/>
          <w:b/>
          <w:kern w:val="0"/>
          <w:sz w:val="22"/>
          <w:szCs w:val="22"/>
          <w:lang w:eastAsia="lt-LT"/>
          <w14:ligatures w14:val="none"/>
        </w:rPr>
        <w:t>AMPICILIN BBP</w:t>
      </w:r>
    </w:p>
    <w:p w14:paraId="1974833C"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Negalima vartoti dvigubos dozės norint kompensuoti praleistą dozę.</w:t>
      </w:r>
    </w:p>
    <w:p w14:paraId="25DB4D85"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6939AE0C" w14:textId="71623445" w:rsidR="001239B2" w:rsidRPr="001239B2" w:rsidRDefault="001239B2" w:rsidP="001239B2">
      <w:pPr>
        <w:spacing w:after="0" w:line="240" w:lineRule="auto"/>
        <w:rPr>
          <w:rFonts w:ascii="Times New Roman" w:eastAsia="Times New Roman" w:hAnsi="Times New Roman" w:cs="Times New Roman"/>
          <w:b/>
          <w:bCs/>
          <w:kern w:val="0"/>
          <w:sz w:val="22"/>
          <w:szCs w:val="22"/>
          <w:lang w:eastAsia="lt-LT"/>
          <w14:ligatures w14:val="none"/>
        </w:rPr>
      </w:pPr>
      <w:r w:rsidRPr="001239B2">
        <w:rPr>
          <w:rFonts w:ascii="Times New Roman" w:eastAsia="Times New Roman" w:hAnsi="Times New Roman" w:cs="Times New Roman"/>
          <w:b/>
          <w:bCs/>
          <w:kern w:val="0"/>
          <w:sz w:val="22"/>
          <w:szCs w:val="22"/>
          <w:lang w:eastAsia="lt-LT"/>
          <w14:ligatures w14:val="none"/>
        </w:rPr>
        <w:t xml:space="preserve">Nustojus vartoti </w:t>
      </w:r>
      <w:r w:rsidR="00E74669">
        <w:rPr>
          <w:rFonts w:ascii="Times New Roman" w:eastAsia="Times New Roman" w:hAnsi="Times New Roman" w:cs="Times New Roman"/>
          <w:b/>
          <w:bCs/>
          <w:kern w:val="0"/>
          <w:sz w:val="22"/>
          <w:szCs w:val="22"/>
          <w:lang w:eastAsia="lt-LT"/>
          <w14:ligatures w14:val="none"/>
        </w:rPr>
        <w:t>AMPICILIN BBP</w:t>
      </w:r>
    </w:p>
    <w:p w14:paraId="64D6EE2E" w14:textId="06C38A15" w:rsidR="001239B2" w:rsidRPr="001239B2" w:rsidRDefault="001239B2" w:rsidP="001239B2">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Jeigu Jūs nutrauksite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vartojimą nebaigę viso gydymo kurso, gali vėl atsirasti ligos simptomų, kadangi Jūs esate ne visiškai pasveikę. Jeigu Jūs norite nutraukti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vartojimą nebaigę viso gydymo kurso, prieš tai reikia pasitarti su gydytoju.</w:t>
      </w:r>
    </w:p>
    <w:p w14:paraId="247C432A" w14:textId="77777777" w:rsidR="001239B2" w:rsidRPr="001239B2" w:rsidRDefault="001239B2" w:rsidP="001239B2">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4E295DAD" w14:textId="77777777" w:rsidR="001239B2" w:rsidRPr="001239B2" w:rsidRDefault="001239B2" w:rsidP="001239B2">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Jeigu kiltų daugiau klausimų dėl šio vaisto vartojimo, kreipkitės į gydytoją arba slaugytoją. </w:t>
      </w:r>
    </w:p>
    <w:p w14:paraId="23FB9143"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050081E6"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7F83FDC3"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4.</w:t>
      </w:r>
      <w:r w:rsidRPr="001239B2">
        <w:rPr>
          <w:rFonts w:ascii="Times New Roman" w:eastAsia="Times New Roman" w:hAnsi="Times New Roman" w:cs="Times New Roman"/>
          <w:b/>
          <w:kern w:val="0"/>
          <w:sz w:val="22"/>
          <w:szCs w:val="22"/>
          <w:lang w:eastAsia="lt-LT"/>
          <w14:ligatures w14:val="none"/>
        </w:rPr>
        <w:tab/>
        <w:t>Galimas šalutinis poveikis</w:t>
      </w:r>
    </w:p>
    <w:p w14:paraId="05AB1E4D"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10B61836"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34CB97D9"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018D3D92" w14:textId="77777777" w:rsidR="001239B2" w:rsidRPr="001239B2" w:rsidRDefault="001239B2" w:rsidP="001239B2">
      <w:pPr>
        <w:spacing w:after="0" w:line="240" w:lineRule="auto"/>
        <w:rPr>
          <w:rFonts w:ascii="Times New Roman" w:eastAsia="Times New Roman" w:hAnsi="Times New Roman" w:cs="Times New Roman"/>
          <w:b/>
          <w:bCs/>
          <w:iCs/>
          <w:kern w:val="0"/>
          <w:sz w:val="22"/>
          <w:szCs w:val="22"/>
          <w:lang w:eastAsia="lt-LT"/>
          <w14:ligatures w14:val="none"/>
        </w:rPr>
      </w:pPr>
      <w:r w:rsidRPr="001239B2">
        <w:rPr>
          <w:rFonts w:ascii="Times New Roman" w:eastAsia="Times New Roman" w:hAnsi="Times New Roman" w:cs="Times New Roman"/>
          <w:b/>
          <w:bCs/>
          <w:iCs/>
          <w:kern w:val="0"/>
          <w:sz w:val="22"/>
          <w:szCs w:val="22"/>
          <w:lang w:eastAsia="lt-LT"/>
          <w14:ligatures w14:val="none"/>
        </w:rPr>
        <w:t>Dažni šalutinio poveikio reiškiniai (gali pasireikšti rečiau kaip 1 iš 10 asmenų):</w:t>
      </w:r>
    </w:p>
    <w:p w14:paraId="227FC66F"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Odos išbėrimas. Paprastai tai yra dėmelės ir mazgeliai ar panašus į tymų sukeltą išbėrimą, pasireiškia praėjus 8</w:t>
      </w:r>
      <w:r w:rsidRPr="001239B2">
        <w:rPr>
          <w:rFonts w:ascii="Times New Roman" w:eastAsia="Times New Roman" w:hAnsi="Times New Roman" w:cs="Times New Roman"/>
          <w:kern w:val="0"/>
          <w:sz w:val="22"/>
          <w:szCs w:val="22"/>
          <w:lang w:eastAsia="lt-LT"/>
          <w14:ligatures w14:val="none"/>
        </w:rPr>
        <w:noBreakHyphen/>
        <w:t>10 parų nuo gydymo pradžios. Jeigu ampicilino vartojama pakartotinai, išbėrimas pasireiškia po 2</w:t>
      </w:r>
      <w:r w:rsidRPr="001239B2">
        <w:rPr>
          <w:rFonts w:ascii="Times New Roman" w:eastAsia="Times New Roman" w:hAnsi="Times New Roman" w:cs="Times New Roman"/>
          <w:kern w:val="0"/>
          <w:sz w:val="22"/>
          <w:szCs w:val="22"/>
          <w:lang w:eastAsia="lt-LT"/>
          <w14:ligatures w14:val="none"/>
        </w:rPr>
        <w:noBreakHyphen/>
        <w:t xml:space="preserve">3 parų. Jis dažniausiai per kelias paras išnyksta, net jei toliau tęsiamas gydymas. Manoma, kad išbėrimas dažniau pasireiškia pacientams, kurie serga virusų sukelta liga, kurių inkstų veikla yra sutrikusi ar kurie vartoja didesnę kaip 6 g ampicilino paros dozę. </w:t>
      </w:r>
      <w:r w:rsidRPr="001239B2">
        <w:rPr>
          <w:rFonts w:ascii="Times New Roman" w:eastAsia="Times New Roman" w:hAnsi="Times New Roman" w:cs="Times New Roman"/>
          <w:kern w:val="0"/>
          <w:sz w:val="22"/>
          <w:szCs w:val="22"/>
          <w14:ligatures w14:val="none"/>
        </w:rPr>
        <w:t>Kontaktinis dermatitas (asmenims, kurie ruošia tirpalą injekcijoms).</w:t>
      </w:r>
    </w:p>
    <w:p w14:paraId="1AEC533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7421200" w14:textId="77777777" w:rsidR="001239B2" w:rsidRPr="001239B2" w:rsidRDefault="001239B2" w:rsidP="001239B2">
      <w:pPr>
        <w:spacing w:after="0" w:line="240" w:lineRule="auto"/>
        <w:rPr>
          <w:rFonts w:ascii="Times New Roman" w:eastAsia="Times New Roman" w:hAnsi="Times New Roman" w:cs="Times New Roman"/>
          <w:bCs/>
          <w:i/>
          <w:iCs/>
          <w:kern w:val="0"/>
          <w:sz w:val="22"/>
          <w:szCs w:val="22"/>
          <w:lang w:eastAsia="lt-LT"/>
          <w14:ligatures w14:val="none"/>
        </w:rPr>
      </w:pPr>
      <w:r w:rsidRPr="001239B2">
        <w:rPr>
          <w:rFonts w:ascii="Times New Roman" w:eastAsia="Times New Roman" w:hAnsi="Times New Roman" w:cs="Times New Roman"/>
          <w:b/>
          <w:bCs/>
          <w:iCs/>
          <w:kern w:val="0"/>
          <w:sz w:val="22"/>
          <w:szCs w:val="22"/>
          <w:lang w:eastAsia="lt-LT"/>
          <w14:ligatures w14:val="none"/>
        </w:rPr>
        <w:t>Nedažni šalutinio poveikio reiškiniai (gali pasireikšti rečiau kaip 1 iš 100 asmenų):</w:t>
      </w:r>
    </w:p>
    <w:p w14:paraId="3CB99375"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14:paraId="365ABEB4"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5252D901" w14:textId="77777777" w:rsidR="001239B2" w:rsidRPr="001239B2" w:rsidRDefault="001239B2" w:rsidP="001239B2">
      <w:pPr>
        <w:spacing w:after="0" w:line="240" w:lineRule="auto"/>
        <w:rPr>
          <w:rFonts w:ascii="Times New Roman" w:eastAsia="Times New Roman" w:hAnsi="Times New Roman" w:cs="Times New Roman"/>
          <w:bCs/>
          <w:i/>
          <w:iCs/>
          <w:kern w:val="0"/>
          <w:sz w:val="22"/>
          <w:szCs w:val="22"/>
          <w:lang w:eastAsia="lt-LT"/>
          <w14:ligatures w14:val="none"/>
        </w:rPr>
      </w:pPr>
      <w:r w:rsidRPr="001239B2">
        <w:rPr>
          <w:rFonts w:ascii="Times New Roman" w:eastAsia="Times New Roman" w:hAnsi="Times New Roman" w:cs="Times New Roman"/>
          <w:b/>
          <w:bCs/>
          <w:iCs/>
          <w:kern w:val="0"/>
          <w:sz w:val="22"/>
          <w:szCs w:val="22"/>
          <w:lang w:eastAsia="lt-LT"/>
          <w14:ligatures w14:val="none"/>
        </w:rPr>
        <w:t xml:space="preserve">Reti šalutinio poveikio reiškiniai (gali pasireikšti rečiau kaip 1 iš 1 000 asmenų): </w:t>
      </w:r>
    </w:p>
    <w:p w14:paraId="4F5BDE7E" w14:textId="77777777" w:rsidR="001239B2" w:rsidRPr="001239B2" w:rsidRDefault="001239B2" w:rsidP="001239B2">
      <w:pPr>
        <w:spacing w:after="0" w:line="240" w:lineRule="auto"/>
        <w:rPr>
          <w:rFonts w:ascii="Times New Roman" w:eastAsia="Times New Roman" w:hAnsi="Times New Roman" w:cs="Times New Roman"/>
          <w:kern w:val="0"/>
          <w:sz w:val="22"/>
          <w:szCs w:val="22"/>
          <w14:ligatures w14:val="none"/>
        </w:rPr>
      </w:pPr>
      <w:r w:rsidRPr="001239B2">
        <w:rPr>
          <w:rFonts w:ascii="Times New Roman" w:eastAsia="Times New Roman" w:hAnsi="Times New Roman" w:cs="Times New Roman"/>
          <w:kern w:val="0"/>
          <w:sz w:val="22"/>
          <w:szCs w:val="22"/>
          <w14:ligatures w14:val="none"/>
        </w:rPr>
        <w:t>Vaistų sukeltas karščiavimas, odos sutrikimai (Lajelio (</w:t>
      </w:r>
      <w:r w:rsidRPr="001239B2">
        <w:rPr>
          <w:rFonts w:ascii="Times New Roman" w:eastAsia="Times New Roman" w:hAnsi="Times New Roman" w:cs="Times New Roman"/>
          <w:i/>
          <w:kern w:val="0"/>
          <w:sz w:val="22"/>
          <w:szCs w:val="22"/>
          <w14:ligatures w14:val="none"/>
        </w:rPr>
        <w:t>Lyell</w:t>
      </w:r>
      <w:r w:rsidRPr="001239B2">
        <w:rPr>
          <w:rFonts w:ascii="Times New Roman" w:eastAsia="Times New Roman" w:hAnsi="Times New Roman" w:cs="Times New Roman"/>
          <w:kern w:val="0"/>
          <w:sz w:val="22"/>
          <w:szCs w:val="22"/>
          <w14:ligatures w14:val="none"/>
        </w:rPr>
        <w:t>) sindromas, Stivenso-Džonsono (</w:t>
      </w:r>
      <w:r w:rsidRPr="001239B2">
        <w:rPr>
          <w:rFonts w:ascii="Times New Roman" w:eastAsia="Times New Roman" w:hAnsi="Times New Roman" w:cs="Times New Roman"/>
          <w:i/>
          <w:kern w:val="0"/>
          <w:sz w:val="22"/>
          <w:szCs w:val="22"/>
          <w14:ligatures w14:val="none"/>
        </w:rPr>
        <w:t>Stevens-Johnson</w:t>
      </w:r>
      <w:r w:rsidRPr="001239B2">
        <w:rPr>
          <w:rFonts w:ascii="Times New Roman" w:eastAsia="Times New Roman" w:hAnsi="Times New Roman" w:cs="Times New Roman"/>
          <w:kern w:val="0"/>
          <w:sz w:val="22"/>
          <w:szCs w:val="22"/>
          <w14:ligatures w14:val="none"/>
        </w:rPr>
        <w:t>) sindromas), gerklų pabrinkimas, seruminė liga, alerginis kraujagyslių uždegimas, kraujo plokštelių (trombocitų) kiekio sumažėjimas kraujyje, dėl kurio atsiranda kraujosruvų (trombocitopeninė purpura), kristalai šlapime, kepenų uždegimas, su tulžies sąstoviu susijusi gelta (cholestazinė gelta),</w:t>
      </w:r>
    </w:p>
    <w:p w14:paraId="12736D87"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713DA124" w14:textId="77777777" w:rsidR="001239B2" w:rsidRPr="001239B2" w:rsidRDefault="001239B2" w:rsidP="001239B2">
      <w:pPr>
        <w:spacing w:after="0" w:line="240" w:lineRule="auto"/>
        <w:rPr>
          <w:rFonts w:ascii="Times New Roman" w:eastAsia="Times New Roman" w:hAnsi="Times New Roman" w:cs="Times New Roman"/>
          <w:bCs/>
          <w:i/>
          <w:iCs/>
          <w:kern w:val="0"/>
          <w:sz w:val="22"/>
          <w:szCs w:val="22"/>
          <w:lang w:eastAsia="lt-LT"/>
          <w14:ligatures w14:val="none"/>
        </w:rPr>
      </w:pPr>
      <w:r w:rsidRPr="001239B2">
        <w:rPr>
          <w:rFonts w:ascii="Times New Roman" w:eastAsia="Times New Roman" w:hAnsi="Times New Roman" w:cs="Times New Roman"/>
          <w:b/>
          <w:bCs/>
          <w:iCs/>
          <w:kern w:val="0"/>
          <w:sz w:val="22"/>
          <w:szCs w:val="22"/>
          <w:lang w:eastAsia="lt-LT"/>
          <w14:ligatures w14:val="none"/>
        </w:rPr>
        <w:t>Labai reti šalutinio poveikio reiškiniai (gali pasireikšti rečiau kaip 1 iš 10 000 asmenų):</w:t>
      </w:r>
    </w:p>
    <w:p w14:paraId="645BDEC2" w14:textId="77777777" w:rsidR="001239B2" w:rsidRP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Kraujo ląstelių kiekio pokyčiai (pvz., trombocitų, granulocitų, baltųjų kraujo kūnelių - leukocitų kiekio sumažėjimas ir eozinofilų kiekio padidėjimas), mažakraujystė, kraujavimo laiko pailgėjimas, kraujo krešėjimo rodiklio (protrombino laiko) pokytis, anafilaksinės reakcijos, alerginis pabrinkimas, odos uždegimas, kurio metu lupasi oda (eksfoliacinis dermatitas, toksinė epidermio nekrolizė), išbėrimas pūslėmis ar į mažus taikinius panašiomis dėmėmis (daugiaformė raudonė), inkstų uždegimas, smulkiųjų kraujagyslių uždegimas su inkstų pakenkimu, inkstų pakenkimas (nefropatija), sąnarių skausmas, raumenų skausmas, karščiavimas, laikinas kepenų fermentų aktyvumo padidėjimas. </w:t>
      </w:r>
    </w:p>
    <w:p w14:paraId="337D9BE8" w14:textId="77777777" w:rsidR="001239B2" w:rsidRPr="001239B2" w:rsidRDefault="001239B2" w:rsidP="001239B2">
      <w:pPr>
        <w:spacing w:after="0" w:line="240" w:lineRule="auto"/>
        <w:rPr>
          <w:rFonts w:ascii="Times New Roman" w:eastAsia="Times New Roman" w:hAnsi="Times New Roman" w:cs="Times New Roman"/>
          <w:b/>
          <w:kern w:val="0"/>
          <w:sz w:val="22"/>
          <w:szCs w:val="22"/>
          <w:u w:val="single"/>
          <w:lang w:eastAsia="lt-LT"/>
          <w14:ligatures w14:val="none"/>
        </w:rPr>
      </w:pPr>
      <w:r w:rsidRPr="001239B2">
        <w:rPr>
          <w:rFonts w:ascii="Times New Roman" w:eastAsia="Times New Roman" w:hAnsi="Times New Roman" w:cs="Times New Roman"/>
          <w:kern w:val="0"/>
          <w:sz w:val="22"/>
          <w:szCs w:val="22"/>
          <w:lang w:eastAsia="lt-LT"/>
          <w14:ligatures w14:val="none"/>
        </w:rPr>
        <w:t>Gydant tam tikras ligas (vidurių šiltinę, leptospirozę ar sifilį) dėl bakterijų irimo gali prasidėti karščiavimas ir pablogėti savijauta (tai vadinamosios Jarišo-Herksheimerio reakcijos požymiai).</w:t>
      </w:r>
    </w:p>
    <w:p w14:paraId="74D2EE8A"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5B162D7A" w14:textId="77777777" w:rsidR="001239B2" w:rsidRPr="001239B2" w:rsidRDefault="001239B2" w:rsidP="001239B2">
      <w:pPr>
        <w:spacing w:after="0" w:line="240" w:lineRule="auto"/>
        <w:rPr>
          <w:rFonts w:ascii="Times New Roman" w:eastAsia="Times New Roman" w:hAnsi="Times New Roman" w:cs="Times New Roman"/>
          <w:b/>
          <w:bCs/>
          <w:iCs/>
          <w:kern w:val="0"/>
          <w:sz w:val="22"/>
          <w:szCs w:val="22"/>
          <w:lang w:eastAsia="lt-LT"/>
          <w14:ligatures w14:val="none"/>
        </w:rPr>
      </w:pPr>
      <w:r w:rsidRPr="001239B2">
        <w:rPr>
          <w:rFonts w:ascii="Times New Roman" w:eastAsia="Times New Roman" w:hAnsi="Times New Roman" w:cs="Times New Roman"/>
          <w:b/>
          <w:bCs/>
          <w:iCs/>
          <w:kern w:val="0"/>
          <w:sz w:val="22"/>
          <w:szCs w:val="22"/>
          <w:lang w:eastAsia="lt-LT"/>
          <w14:ligatures w14:val="none"/>
        </w:rPr>
        <w:t>Šalutinio poveikio reiškiniai, kurių dažnis nežinomas (negali būti apskaičiuotas pagal turimus duomenis):</w:t>
      </w:r>
    </w:p>
    <w:p w14:paraId="7CDB7935" w14:textId="77777777" w:rsidR="001239B2" w:rsidRP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Užsitęsęs arba pakartotinis ampicilino vartojimas gali sukelti antrinę infekciją, t. y. gali pradėti intensyviai daugintis atsparios bakterijos ar grybeliai. </w:t>
      </w:r>
    </w:p>
    <w:p w14:paraId="0AC5E8EF" w14:textId="77777777" w:rsidR="001239B2" w:rsidRP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Centrinės nervų sistemos sujaudinimas, ritmiškas atskirų raumenų grupių susitraukimas ir atsipalaidavimas (raumenų klonusas ir traukuliai). Šie sutrikimai gali pasireikšti pacientams, kurių inkstų veikla sutrikusi arba kurie vartoja didelę ampicilino dozę).</w:t>
      </w:r>
    </w:p>
    <w:p w14:paraId="6585C3E8" w14:textId="77777777" w:rsidR="001239B2" w:rsidRP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Į gripą panašūs simptomai su išbėrimu, karščiavimu, liaukų patinimu ir nenormaliais kraujo tyrimų rezultatais (įskaitant baltųjų kraujo ląstelių (eozinofilija) ir kepenų fermentų aktyvumo padidėjimą) (reakcija į vaistą su eozinofilija ir sisteminiais simptomais (DRESS)).</w:t>
      </w:r>
    </w:p>
    <w:p w14:paraId="57B98621" w14:textId="77777777" w:rsid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Raudonas, žvynuotas išbėrimas su iškilimais po oda ir pūslėmis (ūminė generalizuota egzanteminė pustuliozė).</w:t>
      </w:r>
    </w:p>
    <w:p w14:paraId="55E284B8" w14:textId="77777777" w:rsidR="0071723B" w:rsidRPr="001239B2" w:rsidRDefault="0071723B" w:rsidP="001239B2">
      <w:pPr>
        <w:spacing w:after="0" w:line="240" w:lineRule="auto"/>
        <w:rPr>
          <w:rFonts w:ascii="Times New Roman" w:eastAsia="Times New Roman" w:hAnsi="Times New Roman" w:cs="Times New Roman"/>
          <w:kern w:val="0"/>
          <w:sz w:val="22"/>
          <w:szCs w:val="22"/>
          <w:lang w:eastAsia="lt-LT"/>
          <w14:ligatures w14:val="none"/>
        </w:rPr>
      </w:pPr>
    </w:p>
    <w:p w14:paraId="035B7A95"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lastRenderedPageBreak/>
        <w:t>Pranešimas apie šalutinį poveikį</w:t>
      </w:r>
    </w:p>
    <w:p w14:paraId="68906948" w14:textId="77777777" w:rsidR="0071723B" w:rsidRPr="0071723B" w:rsidRDefault="0071723B" w:rsidP="0071723B">
      <w:pPr>
        <w:spacing w:after="0" w:line="240" w:lineRule="auto"/>
        <w:rPr>
          <w:rFonts w:ascii="Times New Roman" w:eastAsia="Times New Roman" w:hAnsi="Times New Roman" w:cs="Times New Roman"/>
          <w:kern w:val="0"/>
          <w:sz w:val="22"/>
          <w:szCs w:val="20"/>
          <w14:ligatures w14:val="none"/>
        </w:rPr>
      </w:pPr>
      <w:r w:rsidRPr="0071723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71723B">
          <w:rPr>
            <w:rFonts w:ascii="Times New Roman" w:eastAsia="Times New Roman" w:hAnsi="Times New Roman" w:cs="Times New Roman"/>
            <w:color w:val="467886"/>
            <w:kern w:val="0"/>
            <w:sz w:val="22"/>
            <w:szCs w:val="20"/>
            <w:u w:val="single"/>
            <w:lang w:eastAsia="lt-LT"/>
            <w14:ligatures w14:val="none"/>
          </w:rPr>
          <w:t>https://vvkt.lrv.lt/lt/</w:t>
        </w:r>
      </w:hyperlink>
      <w:r w:rsidRPr="0071723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71723B">
        <w:rPr>
          <w:rFonts w:ascii="Times New Roman" w:eastAsia="Times New Roman" w:hAnsi="Times New Roman" w:cs="Times New Roman"/>
          <w:kern w:val="0"/>
          <w:sz w:val="22"/>
          <w:szCs w:val="20"/>
          <w14:ligatures w14:val="none"/>
        </w:rPr>
        <w:t>.</w:t>
      </w:r>
    </w:p>
    <w:p w14:paraId="5984DB3B"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58DB5EC4"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p>
    <w:p w14:paraId="72CF7A77" w14:textId="6C412EAD"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1239B2">
        <w:rPr>
          <w:rFonts w:ascii="Times New Roman" w:eastAsia="Times New Roman" w:hAnsi="Times New Roman" w:cs="Times New Roman"/>
          <w:b/>
          <w:caps/>
          <w:kern w:val="0"/>
          <w:sz w:val="22"/>
          <w:szCs w:val="22"/>
          <w:lang w:eastAsia="lt-LT"/>
          <w14:ligatures w14:val="none"/>
        </w:rPr>
        <w:t>5.</w:t>
      </w:r>
      <w:r w:rsidRPr="001239B2">
        <w:rPr>
          <w:rFonts w:ascii="Times New Roman" w:eastAsia="Times New Roman" w:hAnsi="Times New Roman" w:cs="Times New Roman"/>
          <w:b/>
          <w:caps/>
          <w:kern w:val="0"/>
          <w:sz w:val="22"/>
          <w:szCs w:val="22"/>
          <w:lang w:eastAsia="lt-LT"/>
          <w14:ligatures w14:val="none"/>
        </w:rPr>
        <w:tab/>
      </w:r>
      <w:r w:rsidRPr="001239B2">
        <w:rPr>
          <w:rFonts w:ascii="Times New Roman" w:eastAsia="Times New Roman" w:hAnsi="Times New Roman" w:cs="Times New Roman"/>
          <w:b/>
          <w:kern w:val="0"/>
          <w:sz w:val="22"/>
          <w:szCs w:val="22"/>
          <w:lang w:eastAsia="lt-LT"/>
          <w14:ligatures w14:val="none"/>
        </w:rPr>
        <w:t xml:space="preserve">Kaip laikyti </w:t>
      </w:r>
      <w:r w:rsidR="00E74669">
        <w:rPr>
          <w:rFonts w:ascii="Times New Roman" w:eastAsia="Times New Roman" w:hAnsi="Times New Roman" w:cs="Times New Roman"/>
          <w:b/>
          <w:kern w:val="0"/>
          <w:sz w:val="22"/>
          <w:szCs w:val="22"/>
          <w:lang w:eastAsia="lt-LT"/>
          <w14:ligatures w14:val="none"/>
        </w:rPr>
        <w:t>AMPICILIN BBP</w:t>
      </w:r>
      <w:r w:rsidRPr="001239B2">
        <w:rPr>
          <w:rFonts w:ascii="Times New Roman" w:eastAsia="Times New Roman" w:hAnsi="Times New Roman" w:cs="Times New Roman"/>
          <w:b/>
          <w:kern w:val="0"/>
          <w:sz w:val="22"/>
          <w:szCs w:val="22"/>
          <w:lang w:eastAsia="lt-LT"/>
          <w14:ligatures w14:val="none"/>
        </w:rPr>
        <w:t xml:space="preserve"> </w:t>
      </w:r>
    </w:p>
    <w:p w14:paraId="1C9A0B56"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5CB1AF7E" w14:textId="77777777"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27A65908"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33B23CBB" w14:textId="4FF6C0F5"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Laikyti ne aukštesnėje kaip 25 </w:t>
      </w:r>
      <w:r w:rsidR="000D1A82" w:rsidRPr="000D1A82">
        <w:rPr>
          <w:rFonts w:ascii="Times New Roman" w:eastAsia="Times New Roman" w:hAnsi="Times New Roman" w:cs="Times New Roman"/>
          <w:kern w:val="0"/>
          <w:sz w:val="22"/>
          <w:szCs w:val="22"/>
          <w:lang w:eastAsia="lt-LT"/>
          <w14:ligatures w14:val="none"/>
        </w:rPr>
        <w:t>°</w:t>
      </w:r>
      <w:r w:rsidRPr="001239B2">
        <w:rPr>
          <w:rFonts w:ascii="Times New Roman" w:eastAsia="Times New Roman" w:hAnsi="Times New Roman" w:cs="Times New Roman"/>
          <w:kern w:val="0"/>
          <w:sz w:val="22"/>
          <w:szCs w:val="22"/>
          <w:lang w:eastAsia="lt-LT"/>
          <w14:ligatures w14:val="none"/>
        </w:rPr>
        <w:t>C temperatūroje.</w:t>
      </w:r>
    </w:p>
    <w:p w14:paraId="57D0ADF2" w14:textId="5DA2CA2D" w:rsidR="001239B2" w:rsidRPr="001239B2" w:rsidRDefault="0074024B"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w:t>
      </w:r>
      <w:r w:rsidR="001239B2" w:rsidRPr="001239B2">
        <w:rPr>
          <w:rFonts w:ascii="Times New Roman" w:eastAsia="Times New Roman" w:hAnsi="Times New Roman" w:cs="Times New Roman"/>
          <w:kern w:val="0"/>
          <w:sz w:val="22"/>
          <w:szCs w:val="22"/>
          <w:lang w:eastAsia="lt-LT"/>
          <w14:ligatures w14:val="none"/>
        </w:rPr>
        <w:t xml:space="preserve">aikyti </w:t>
      </w:r>
      <w:r>
        <w:rPr>
          <w:rFonts w:ascii="Times New Roman" w:eastAsia="Times New Roman" w:hAnsi="Times New Roman" w:cs="Times New Roman"/>
          <w:kern w:val="0"/>
          <w:sz w:val="22"/>
          <w:szCs w:val="22"/>
          <w:lang w:eastAsia="lt-LT"/>
          <w14:ligatures w14:val="none"/>
        </w:rPr>
        <w:t>gamintojo pakuotėje</w:t>
      </w:r>
      <w:r w:rsidR="001239B2" w:rsidRPr="001239B2">
        <w:rPr>
          <w:rFonts w:ascii="Times New Roman" w:eastAsia="Times New Roman" w:hAnsi="Times New Roman" w:cs="Times New Roman"/>
          <w:kern w:val="0"/>
          <w:sz w:val="22"/>
          <w:szCs w:val="22"/>
          <w:lang w:eastAsia="lt-LT"/>
          <w14:ligatures w14:val="none"/>
        </w:rPr>
        <w:t>, kad vaistas būtų apsaugotas nuo šviesos</w:t>
      </w:r>
      <w:r>
        <w:rPr>
          <w:rFonts w:ascii="Times New Roman" w:eastAsia="Times New Roman" w:hAnsi="Times New Roman" w:cs="Times New Roman"/>
          <w:kern w:val="0"/>
          <w:sz w:val="22"/>
          <w:szCs w:val="22"/>
          <w:lang w:eastAsia="lt-LT"/>
          <w14:ligatures w14:val="none"/>
        </w:rPr>
        <w:t xml:space="preserve"> ir drėgmės</w:t>
      </w:r>
      <w:r w:rsidR="001239B2" w:rsidRPr="001239B2">
        <w:rPr>
          <w:rFonts w:ascii="Times New Roman" w:eastAsia="Times New Roman" w:hAnsi="Times New Roman" w:cs="Times New Roman"/>
          <w:kern w:val="0"/>
          <w:sz w:val="22"/>
          <w:szCs w:val="22"/>
          <w:lang w:eastAsia="lt-LT"/>
          <w14:ligatures w14:val="none"/>
        </w:rPr>
        <w:t xml:space="preserve">. </w:t>
      </w:r>
    </w:p>
    <w:p w14:paraId="7BADF8D9" w14:textId="77777777" w:rsidR="001239B2" w:rsidRPr="001239B2" w:rsidRDefault="001239B2" w:rsidP="001239B2">
      <w:pPr>
        <w:tabs>
          <w:tab w:val="left" w:pos="540"/>
        </w:tabs>
        <w:spacing w:after="0" w:line="240" w:lineRule="auto"/>
        <w:rPr>
          <w:rFonts w:ascii="Times New Roman" w:eastAsia="Times New Roman" w:hAnsi="Times New Roman" w:cs="Times New Roman"/>
          <w:kern w:val="0"/>
          <w:sz w:val="22"/>
          <w:szCs w:val="22"/>
          <w:lang w:eastAsia="lt-LT"/>
          <w14:ligatures w14:val="none"/>
        </w:rPr>
      </w:pPr>
    </w:p>
    <w:p w14:paraId="5C30982A" w14:textId="77777777" w:rsidR="001239B2" w:rsidRPr="001239B2" w:rsidRDefault="001239B2" w:rsidP="001239B2">
      <w:pPr>
        <w:tabs>
          <w:tab w:val="left" w:pos="540"/>
        </w:tabs>
        <w:spacing w:after="0" w:line="240" w:lineRule="auto"/>
        <w:rPr>
          <w:rFonts w:ascii="Times New Roman" w:eastAsia="Times New Roman" w:hAnsi="Times New Roman" w:cs="Times New Roman"/>
          <w:bCs/>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Ant dėžutės ir flakono po „EXP“ nurodytam tinkamumo laikui pasibaigus, šio vaisto vartoti negalima. </w:t>
      </w:r>
      <w:r w:rsidRPr="001239B2">
        <w:rPr>
          <w:rFonts w:ascii="Times New Roman" w:eastAsia="Times New Roman" w:hAnsi="Times New Roman" w:cs="Times New Roman"/>
          <w:bCs/>
          <w:kern w:val="0"/>
          <w:sz w:val="22"/>
          <w:szCs w:val="22"/>
          <w:lang w:eastAsia="lt-LT"/>
          <w14:ligatures w14:val="none"/>
        </w:rPr>
        <w:t>Vaistas tinkamas vartoti iki paskutinės nurodyto mėnesio dienos.</w:t>
      </w:r>
    </w:p>
    <w:p w14:paraId="4F4A5C7F" w14:textId="77777777" w:rsidR="001239B2" w:rsidRPr="001239B2" w:rsidRDefault="001239B2" w:rsidP="001239B2">
      <w:pPr>
        <w:tabs>
          <w:tab w:val="left" w:pos="540"/>
        </w:tabs>
        <w:spacing w:after="0" w:line="240" w:lineRule="auto"/>
        <w:rPr>
          <w:rFonts w:ascii="Times New Roman" w:eastAsia="Times New Roman" w:hAnsi="Times New Roman" w:cs="Times New Roman"/>
          <w:bCs/>
          <w:kern w:val="0"/>
          <w:sz w:val="22"/>
          <w:szCs w:val="22"/>
          <w:lang w:eastAsia="lt-LT"/>
          <w14:ligatures w14:val="none"/>
        </w:rPr>
      </w:pPr>
      <w:r w:rsidRPr="001239B2">
        <w:rPr>
          <w:rFonts w:ascii="Times New Roman" w:eastAsia="Times New Roman" w:hAnsi="Times New Roman" w:cs="Times New Roman"/>
          <w:bCs/>
          <w:kern w:val="0"/>
          <w:sz w:val="22"/>
          <w:szCs w:val="22"/>
          <w:lang w:eastAsia="lt-LT"/>
          <w14:ligatures w14:val="none"/>
        </w:rPr>
        <w:t>Paruoštą tirpalą suvartoti nedelsiant.</w:t>
      </w:r>
    </w:p>
    <w:p w14:paraId="72CB5AC9" w14:textId="77777777" w:rsidR="001239B2" w:rsidRPr="001239B2" w:rsidRDefault="001239B2" w:rsidP="001239B2">
      <w:pPr>
        <w:tabs>
          <w:tab w:val="left" w:pos="540"/>
        </w:tabs>
        <w:spacing w:after="0" w:line="240" w:lineRule="auto"/>
        <w:rPr>
          <w:rFonts w:ascii="Times New Roman" w:eastAsia="Times New Roman" w:hAnsi="Times New Roman" w:cs="Times New Roman"/>
          <w:bCs/>
          <w:kern w:val="0"/>
          <w:sz w:val="22"/>
          <w:szCs w:val="22"/>
          <w:lang w:eastAsia="lt-LT"/>
          <w14:ligatures w14:val="none"/>
        </w:rPr>
      </w:pPr>
    </w:p>
    <w:p w14:paraId="7E66CB60" w14:textId="77777777" w:rsidR="001239B2" w:rsidRPr="001239B2" w:rsidRDefault="001239B2" w:rsidP="001239B2">
      <w:pPr>
        <w:tabs>
          <w:tab w:val="left" w:pos="540"/>
        </w:tabs>
        <w:spacing w:after="0" w:line="240" w:lineRule="auto"/>
        <w:rPr>
          <w:rFonts w:ascii="Times New Roman" w:eastAsia="Times New Roman" w:hAnsi="Times New Roman" w:cs="Times New Roman"/>
          <w:bCs/>
          <w:kern w:val="0"/>
          <w:sz w:val="22"/>
          <w:szCs w:val="22"/>
          <w:lang w:eastAsia="lt-LT"/>
          <w14:ligatures w14:val="none"/>
        </w:rPr>
      </w:pPr>
      <w:r w:rsidRPr="001239B2">
        <w:rPr>
          <w:rFonts w:ascii="Times New Roman" w:eastAsia="Times New Roman" w:hAnsi="Times New Roman" w:cs="Times New Roman"/>
          <w:bCs/>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4895138B"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1A1B841B"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p>
    <w:p w14:paraId="2CA7B3A9" w14:textId="77777777" w:rsidR="001239B2" w:rsidRPr="001239B2" w:rsidRDefault="001239B2" w:rsidP="001239B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r w:rsidRPr="001239B2">
        <w:rPr>
          <w:rFonts w:ascii="Times New Roman" w:eastAsia="Times New Roman" w:hAnsi="Times New Roman" w:cs="Times New Roman"/>
          <w:b/>
          <w:kern w:val="0"/>
          <w:sz w:val="22"/>
          <w:szCs w:val="22"/>
          <w:lang w:eastAsia="lt-LT"/>
          <w14:ligatures w14:val="none"/>
        </w:rPr>
        <w:t>6.</w:t>
      </w:r>
      <w:r w:rsidRPr="001239B2">
        <w:rPr>
          <w:rFonts w:ascii="Times New Roman" w:eastAsia="Times New Roman" w:hAnsi="Times New Roman" w:cs="Times New Roman"/>
          <w:kern w:val="0"/>
          <w:sz w:val="22"/>
          <w:szCs w:val="22"/>
          <w:lang w:eastAsia="lt-LT"/>
          <w14:ligatures w14:val="none"/>
        </w:rPr>
        <w:tab/>
      </w:r>
      <w:r w:rsidRPr="001239B2">
        <w:rPr>
          <w:rFonts w:ascii="Times New Roman" w:eastAsia="Times New Roman" w:hAnsi="Times New Roman" w:cs="Times New Roman"/>
          <w:b/>
          <w:kern w:val="0"/>
          <w:sz w:val="22"/>
          <w:szCs w:val="22"/>
          <w:lang w:eastAsia="lt-LT"/>
          <w14:ligatures w14:val="none"/>
        </w:rPr>
        <w:t>Pakuotės turinys ir</w:t>
      </w:r>
      <w:r w:rsidRPr="001239B2">
        <w:rPr>
          <w:rFonts w:ascii="Times New Roman" w:eastAsia="Times New Roman" w:hAnsi="Times New Roman" w:cs="Times New Roman"/>
          <w:kern w:val="0"/>
          <w:sz w:val="22"/>
          <w:szCs w:val="22"/>
          <w:lang w:eastAsia="lt-LT"/>
          <w14:ligatures w14:val="none"/>
        </w:rPr>
        <w:t xml:space="preserve"> </w:t>
      </w:r>
      <w:r w:rsidRPr="001239B2">
        <w:rPr>
          <w:rFonts w:ascii="Times New Roman" w:eastAsia="Times New Roman" w:hAnsi="Times New Roman" w:cs="Times New Roman"/>
          <w:b/>
          <w:kern w:val="0"/>
          <w:sz w:val="22"/>
          <w:szCs w:val="22"/>
          <w:lang w:eastAsia="lt-LT"/>
          <w14:ligatures w14:val="none"/>
        </w:rPr>
        <w:t>kita informacija</w:t>
      </w:r>
    </w:p>
    <w:p w14:paraId="38A4288C"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0CB447A6" w14:textId="2E72E7AF" w:rsidR="001239B2" w:rsidRPr="001239B2" w:rsidRDefault="00E74669" w:rsidP="001239B2">
      <w:pPr>
        <w:tabs>
          <w:tab w:val="left" w:pos="3544"/>
          <w:tab w:val="left" w:pos="4678"/>
        </w:tabs>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AMPICILIN BBP</w:t>
      </w:r>
      <w:r w:rsidR="001239B2" w:rsidRPr="001239B2">
        <w:rPr>
          <w:rFonts w:ascii="Times New Roman" w:eastAsia="Times New Roman" w:hAnsi="Times New Roman" w:cs="Times New Roman"/>
          <w:b/>
          <w:bCs/>
          <w:kern w:val="0"/>
          <w:sz w:val="22"/>
          <w:szCs w:val="22"/>
          <w14:ligatures w14:val="none"/>
        </w:rPr>
        <w:t xml:space="preserve"> sudėtis</w:t>
      </w:r>
    </w:p>
    <w:p w14:paraId="7B2D5509" w14:textId="77777777" w:rsidR="001239B2" w:rsidRPr="001239B2" w:rsidRDefault="001239B2" w:rsidP="00B04BCF">
      <w:pPr>
        <w:numPr>
          <w:ilvl w:val="0"/>
          <w:numId w:val="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Veiklioji medžiaga yra ampicilinas. Kiekviename flakone yra 1 g ampicilino (ampicilino natrio druskos pavidalu).</w:t>
      </w:r>
    </w:p>
    <w:p w14:paraId="15244125" w14:textId="77777777" w:rsidR="001239B2" w:rsidRPr="001239B2" w:rsidRDefault="001239B2" w:rsidP="00B04BCF">
      <w:pPr>
        <w:numPr>
          <w:ilvl w:val="0"/>
          <w:numId w:val="6"/>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Pagalbinių medžiagų nėra. </w:t>
      </w:r>
    </w:p>
    <w:p w14:paraId="2AE3DA1F"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kern w:val="0"/>
          <w:sz w:val="22"/>
          <w:szCs w:val="22"/>
          <w14:ligatures w14:val="none"/>
        </w:rPr>
      </w:pPr>
    </w:p>
    <w:p w14:paraId="02339B27" w14:textId="663FCF97" w:rsidR="001239B2" w:rsidRPr="001239B2" w:rsidRDefault="00E74669" w:rsidP="001239B2">
      <w:pPr>
        <w:tabs>
          <w:tab w:val="left" w:pos="3544"/>
          <w:tab w:val="left" w:pos="4678"/>
        </w:tabs>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AMPICILIN BBP</w:t>
      </w:r>
      <w:r w:rsidR="001239B2" w:rsidRPr="001239B2">
        <w:rPr>
          <w:rFonts w:ascii="Times New Roman" w:eastAsia="Times New Roman" w:hAnsi="Times New Roman" w:cs="Times New Roman"/>
          <w:b/>
          <w:bCs/>
          <w:kern w:val="0"/>
          <w:sz w:val="22"/>
          <w:szCs w:val="22"/>
          <w14:ligatures w14:val="none"/>
        </w:rPr>
        <w:t xml:space="preserve"> išvaizda ir kiekis pakuotėje</w:t>
      </w:r>
    </w:p>
    <w:p w14:paraId="10D3CA03" w14:textId="77777777" w:rsidR="001239B2" w:rsidRPr="001239B2" w:rsidRDefault="001239B2" w:rsidP="001239B2">
      <w:pPr>
        <w:tabs>
          <w:tab w:val="left" w:pos="3544"/>
          <w:tab w:val="left" w:pos="4678"/>
          <w:tab w:val="left" w:pos="6237"/>
        </w:tabs>
        <w:spacing w:after="0" w:line="240" w:lineRule="auto"/>
        <w:jc w:val="both"/>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Milteliai injekciniam ar infuziniam tirpalui yra baltos arba beveik baltos spalvos.</w:t>
      </w:r>
    </w:p>
    <w:p w14:paraId="27F99A54" w14:textId="77777777" w:rsidR="001239B2" w:rsidRPr="001239B2" w:rsidRDefault="001239B2" w:rsidP="001239B2">
      <w:pPr>
        <w:tabs>
          <w:tab w:val="left" w:pos="3544"/>
          <w:tab w:val="left" w:pos="4678"/>
          <w:tab w:val="left" w:pos="623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Paruoštas injekcinis tirpalas arba infuzinis tirpalas yra bespalvis ir skaidrus, be matomų dalelių.</w:t>
      </w:r>
    </w:p>
    <w:p w14:paraId="2DA24CB4" w14:textId="77777777" w:rsidR="001239B2" w:rsidRPr="001239B2" w:rsidRDefault="001239B2" w:rsidP="001239B2">
      <w:pPr>
        <w:tabs>
          <w:tab w:val="left" w:pos="3544"/>
          <w:tab w:val="left" w:pos="4678"/>
          <w:tab w:val="left" w:pos="6237"/>
        </w:tabs>
        <w:spacing w:after="0" w:line="240" w:lineRule="auto"/>
        <w:jc w:val="both"/>
        <w:rPr>
          <w:rFonts w:ascii="Times New Roman" w:eastAsia="Times New Roman" w:hAnsi="Times New Roman" w:cs="Times New Roman"/>
          <w:kern w:val="0"/>
          <w:sz w:val="22"/>
          <w:szCs w:val="22"/>
          <w:lang w:eastAsia="lt-LT"/>
          <w14:ligatures w14:val="none"/>
        </w:rPr>
      </w:pPr>
    </w:p>
    <w:p w14:paraId="4665541B" w14:textId="77777777" w:rsidR="001239B2" w:rsidRP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Vaistas tiekiamas stiklo flakonais, užkimštais chlorbutilo arba brombutilo kamščiu ir uždengtais aliuminio dangteliu. </w:t>
      </w:r>
    </w:p>
    <w:p w14:paraId="38586AEC" w14:textId="03E0E5DC" w:rsidR="001239B2" w:rsidRDefault="001239B2"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Kartono dėžutėje yra </w:t>
      </w:r>
      <w:r w:rsidR="00361B83">
        <w:rPr>
          <w:rFonts w:ascii="Times New Roman" w:eastAsia="Times New Roman" w:hAnsi="Times New Roman" w:cs="Times New Roman"/>
          <w:kern w:val="0"/>
          <w:sz w:val="22"/>
          <w:szCs w:val="22"/>
          <w:lang w:eastAsia="lt-LT"/>
          <w14:ligatures w14:val="none"/>
        </w:rPr>
        <w:t>1, 10 arba 5</w:t>
      </w:r>
      <w:r w:rsidRPr="001239B2">
        <w:rPr>
          <w:rFonts w:ascii="Times New Roman" w:eastAsia="Times New Roman" w:hAnsi="Times New Roman" w:cs="Times New Roman"/>
          <w:kern w:val="0"/>
          <w:sz w:val="22"/>
          <w:szCs w:val="22"/>
          <w:lang w:eastAsia="lt-LT"/>
          <w14:ligatures w14:val="none"/>
        </w:rPr>
        <w:t>0 flakonų.</w:t>
      </w:r>
    </w:p>
    <w:p w14:paraId="31E524CA" w14:textId="77777777" w:rsidR="00361B83" w:rsidRDefault="00361B83"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141ECA3" w14:textId="5D178344" w:rsidR="00361B83" w:rsidRPr="001239B2" w:rsidRDefault="00361B83" w:rsidP="001239B2">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Gali būti tiekiamos ne visų dydžių pakuotės.</w:t>
      </w:r>
    </w:p>
    <w:p w14:paraId="330AB4C7"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kern w:val="0"/>
          <w:sz w:val="22"/>
          <w:szCs w:val="22"/>
          <w:lang w:eastAsia="lt-LT"/>
          <w14:ligatures w14:val="none"/>
        </w:rPr>
      </w:pPr>
    </w:p>
    <w:p w14:paraId="189BFE6B" w14:textId="77777777" w:rsidR="00B04BCF" w:rsidRPr="00B04BCF" w:rsidRDefault="00B04BCF" w:rsidP="00B04BC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04BCF">
        <w:rPr>
          <w:rFonts w:ascii="Times New Roman" w:eastAsia="Times New Roman" w:hAnsi="Times New Roman" w:cs="Times New Roman"/>
          <w:b/>
          <w:noProof/>
          <w:kern w:val="0"/>
          <w:sz w:val="22"/>
          <w:szCs w:val="22"/>
          <w14:ligatures w14:val="none"/>
        </w:rPr>
        <w:t>Registruotojas eksportuojančioje valstybėje ir gamintojas</w:t>
      </w:r>
    </w:p>
    <w:p w14:paraId="337C0678"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10FAE4"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04BCF">
        <w:rPr>
          <w:rFonts w:ascii="Times New Roman" w:eastAsia="Aptos" w:hAnsi="Times New Roman" w:cs="Times New Roman"/>
          <w:b/>
          <w:color w:val="000000"/>
          <w:kern w:val="0"/>
          <w:sz w:val="22"/>
          <w:szCs w:val="22"/>
          <w14:ligatures w14:val="none"/>
        </w:rPr>
        <w:t>Registruotojas</w:t>
      </w:r>
    </w:p>
    <w:p w14:paraId="5E9E350C"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BB Pharma a.s., </w:t>
      </w:r>
    </w:p>
    <w:p w14:paraId="7665EF96"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Durychova 101/66, </w:t>
      </w:r>
    </w:p>
    <w:p w14:paraId="3FA552B7"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142 00 Praha 4 - Lhotka, </w:t>
      </w:r>
    </w:p>
    <w:p w14:paraId="7E75D9BC" w14:textId="44630ED2"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Čekija</w:t>
      </w:r>
    </w:p>
    <w:p w14:paraId="0A2F0A7F"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B24DBA"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04BCF">
        <w:rPr>
          <w:rFonts w:ascii="Times New Roman" w:eastAsia="Aptos" w:hAnsi="Times New Roman" w:cs="Times New Roman"/>
          <w:b/>
          <w:color w:val="000000"/>
          <w:kern w:val="0"/>
          <w:sz w:val="22"/>
          <w:szCs w:val="22"/>
          <w14:ligatures w14:val="none"/>
        </w:rPr>
        <w:t>Gamintojas</w:t>
      </w:r>
    </w:p>
    <w:p w14:paraId="3E4D611A"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AtB Pharma, s.r.o., </w:t>
      </w:r>
    </w:p>
    <w:p w14:paraId="3993086C"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Sklabinská 28, </w:t>
      </w:r>
    </w:p>
    <w:p w14:paraId="58B6F93D"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036 01 Martin, </w:t>
      </w:r>
    </w:p>
    <w:p w14:paraId="7E848979"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Slovakija</w:t>
      </w:r>
    </w:p>
    <w:p w14:paraId="3D9AF1E0"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3DEF38"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arba</w:t>
      </w:r>
    </w:p>
    <w:p w14:paraId="6F0F372B"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C46854"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Prevádzkareň AtB Pharma, s.r.o., </w:t>
      </w:r>
    </w:p>
    <w:p w14:paraId="4AE33429"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lastRenderedPageBreak/>
        <w:t xml:space="preserve">976 13 </w:t>
      </w:r>
    </w:p>
    <w:p w14:paraId="0954D3FA"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 xml:space="preserve">Slovenská Ľupča 970, </w:t>
      </w:r>
    </w:p>
    <w:p w14:paraId="585CBD1F" w14:textId="1654D173"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04BCF">
        <w:rPr>
          <w:rFonts w:ascii="Times New Roman" w:eastAsia="Aptos" w:hAnsi="Times New Roman" w:cs="Times New Roman"/>
          <w:bCs/>
          <w:color w:val="000000"/>
          <w:kern w:val="0"/>
          <w:sz w:val="22"/>
          <w:szCs w:val="22"/>
          <w14:ligatures w14:val="none"/>
        </w:rPr>
        <w:t>Slovakija</w:t>
      </w:r>
    </w:p>
    <w:p w14:paraId="78D04552" w14:textId="77777777" w:rsidR="00B04BCF" w:rsidRPr="00B04BCF" w:rsidRDefault="00B04BCF" w:rsidP="00B04BC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9004CAE" w14:textId="77777777" w:rsidR="00B04BCF" w:rsidRPr="00B04BCF" w:rsidRDefault="00B04BCF" w:rsidP="00B04BC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04BCF">
        <w:rPr>
          <w:rFonts w:ascii="Times New Roman" w:eastAsia="Aptos" w:hAnsi="Times New Roman" w:cs="Times New Roman"/>
          <w:b/>
          <w:color w:val="000000"/>
          <w:kern w:val="0"/>
          <w:sz w:val="22"/>
          <w:szCs w:val="22"/>
          <w14:ligatures w14:val="none"/>
        </w:rPr>
        <w:t xml:space="preserve">Lygiagretus importuotojas </w:t>
      </w:r>
      <w:r w:rsidRPr="00B04BCF">
        <w:rPr>
          <w:rFonts w:ascii="Times New Roman" w:eastAsia="Aptos" w:hAnsi="Times New Roman" w:cs="Times New Roman"/>
          <w:b/>
          <w:color w:val="000000"/>
          <w:kern w:val="0"/>
          <w:sz w:val="22"/>
          <w:szCs w:val="22"/>
          <w14:ligatures w14:val="none"/>
        </w:rPr>
        <w:br/>
      </w:r>
      <w:r w:rsidRPr="00B04BCF">
        <w:rPr>
          <w:rFonts w:ascii="Times New Roman" w:eastAsia="TimesNewRoman" w:hAnsi="Times New Roman" w:cs="Times New Roman"/>
          <w:color w:val="000000"/>
          <w:kern w:val="0"/>
          <w:sz w:val="22"/>
          <w:szCs w:val="22"/>
          <w14:ligatures w14:val="none"/>
        </w:rPr>
        <w:t>UAB „Niromed“</w:t>
      </w:r>
      <w:r w:rsidRPr="00B04BCF">
        <w:rPr>
          <w:rFonts w:ascii="Times New Roman" w:eastAsia="Aptos" w:hAnsi="Times New Roman" w:cs="Times New Roman"/>
          <w:b/>
          <w:color w:val="000000"/>
          <w:kern w:val="0"/>
          <w:sz w:val="22"/>
          <w:szCs w:val="22"/>
          <w14:ligatures w14:val="none"/>
        </w:rPr>
        <w:br/>
      </w:r>
      <w:r w:rsidRPr="00B04BCF">
        <w:rPr>
          <w:rFonts w:ascii="Times New Roman" w:eastAsia="TimesNewRoman" w:hAnsi="Times New Roman" w:cs="Times New Roman"/>
          <w:color w:val="000000"/>
          <w:kern w:val="0"/>
          <w:sz w:val="22"/>
          <w:szCs w:val="22"/>
          <w14:ligatures w14:val="none"/>
        </w:rPr>
        <w:t>Žirmūnų g. 139A</w:t>
      </w:r>
      <w:r w:rsidRPr="00B04BCF">
        <w:rPr>
          <w:rFonts w:ascii="Times New Roman" w:eastAsia="Aptos" w:hAnsi="Times New Roman" w:cs="Times New Roman"/>
          <w:b/>
          <w:color w:val="000000"/>
          <w:kern w:val="0"/>
          <w:sz w:val="22"/>
          <w:szCs w:val="22"/>
          <w14:ligatures w14:val="none"/>
        </w:rPr>
        <w:br/>
      </w:r>
      <w:r w:rsidRPr="00B04BCF">
        <w:rPr>
          <w:rFonts w:ascii="Times New Roman" w:eastAsia="TimesNewRoman" w:hAnsi="Times New Roman" w:cs="Times New Roman"/>
          <w:color w:val="000000"/>
          <w:kern w:val="0"/>
          <w:sz w:val="22"/>
          <w:szCs w:val="22"/>
          <w14:ligatures w14:val="none"/>
        </w:rPr>
        <w:t>LT-09120 Vilnius</w:t>
      </w:r>
      <w:r w:rsidRPr="00B04BCF">
        <w:rPr>
          <w:rFonts w:ascii="Times New Roman" w:eastAsia="TimesNewRoman" w:hAnsi="Times New Roman" w:cs="Times New Roman"/>
          <w:color w:val="000000"/>
          <w:kern w:val="0"/>
          <w:sz w:val="22"/>
          <w:szCs w:val="22"/>
          <w14:ligatures w14:val="none"/>
        </w:rPr>
        <w:br/>
        <w:t>Lietuva</w:t>
      </w:r>
    </w:p>
    <w:p w14:paraId="4B8A8CA5" w14:textId="77777777" w:rsidR="00B04BCF" w:rsidRPr="00B04BCF" w:rsidRDefault="00B04BCF" w:rsidP="00B04BC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D428330" w14:textId="77777777" w:rsidR="00B04BCF" w:rsidRPr="00B04BCF" w:rsidRDefault="00B04BCF" w:rsidP="00B04BC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04BCF">
        <w:rPr>
          <w:rFonts w:ascii="Times New Roman" w:eastAsia="Times New Roman" w:hAnsi="Times New Roman" w:cs="Times New Roman"/>
          <w:b/>
          <w:bCs/>
          <w:kern w:val="0"/>
          <w:sz w:val="22"/>
          <w:szCs w:val="22"/>
          <w14:ligatures w14:val="none"/>
        </w:rPr>
        <w:t>Perpakavo</w:t>
      </w:r>
    </w:p>
    <w:p w14:paraId="1BAF9BD6"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LABOR Przedsiębiorstwo Farmaceutyczno-Chemiczne sp. z o.o.</w:t>
      </w:r>
    </w:p>
    <w:p w14:paraId="3AFA1A96"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Ul. Długosza 49,</w:t>
      </w:r>
    </w:p>
    <w:p w14:paraId="27DACF06"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51-162 Wrocław,</w:t>
      </w:r>
    </w:p>
    <w:p w14:paraId="1044ED8D"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Lenkija</w:t>
      </w:r>
    </w:p>
    <w:p w14:paraId="3F5A01EE"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B08DAC7"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arba</w:t>
      </w:r>
    </w:p>
    <w:p w14:paraId="1DBE03E6" w14:textId="77777777" w:rsidR="00B04BCF" w:rsidRPr="00B04BCF" w:rsidRDefault="00B04BCF" w:rsidP="00B04BC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A84EEC" w14:textId="77777777" w:rsidR="00B04BCF" w:rsidRPr="00B04BCF" w:rsidRDefault="00B04BCF" w:rsidP="00B04B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UAB „Entafarma“</w:t>
      </w:r>
    </w:p>
    <w:p w14:paraId="5CE86855" w14:textId="77777777" w:rsidR="00B04BCF" w:rsidRPr="00B04BCF" w:rsidRDefault="00B04BCF" w:rsidP="00B04B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Klonėnų vs. 1,</w:t>
      </w:r>
    </w:p>
    <w:p w14:paraId="5AF77259" w14:textId="77777777" w:rsidR="00B04BCF" w:rsidRPr="00B04BCF" w:rsidRDefault="00B04BCF" w:rsidP="00B04BC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04BCF">
        <w:rPr>
          <w:rFonts w:ascii="Times New Roman" w:eastAsia="TimesNewRoman" w:hAnsi="Times New Roman" w:cs="Times New Roman"/>
          <w:color w:val="000000"/>
          <w:kern w:val="0"/>
          <w:sz w:val="22"/>
          <w:szCs w:val="22"/>
          <w14:ligatures w14:val="none"/>
        </w:rPr>
        <w:t>LT-19156 Širvintų r. sav.</w:t>
      </w:r>
    </w:p>
    <w:p w14:paraId="61EAA8A1" w14:textId="77777777" w:rsidR="00B04BCF" w:rsidRPr="003710C6" w:rsidRDefault="00B04BCF" w:rsidP="00B04BC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04BCF">
        <w:rPr>
          <w:rFonts w:ascii="Times New Roman" w:eastAsia="TimesNewRoman" w:hAnsi="Times New Roman" w:cs="Times New Roman"/>
          <w:color w:val="000000"/>
          <w:kern w:val="0"/>
          <w:sz w:val="22"/>
          <w:szCs w:val="22"/>
          <w14:ligatures w14:val="none"/>
        </w:rPr>
        <w:t>Lietuva</w:t>
      </w:r>
    </w:p>
    <w:p w14:paraId="79C5AB98"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kern w:val="0"/>
          <w:sz w:val="22"/>
          <w:szCs w:val="22"/>
          <w14:ligatures w14:val="none"/>
        </w:rPr>
      </w:pPr>
    </w:p>
    <w:p w14:paraId="2F54E9F2" w14:textId="702A080D" w:rsidR="001239B2" w:rsidRPr="001239B2" w:rsidRDefault="001239B2" w:rsidP="001239B2">
      <w:pPr>
        <w:tabs>
          <w:tab w:val="left" w:pos="3544"/>
          <w:tab w:val="left" w:pos="4678"/>
        </w:tabs>
        <w:spacing w:after="0" w:line="240" w:lineRule="auto"/>
        <w:rPr>
          <w:rFonts w:ascii="Times New Roman" w:eastAsia="Times New Roman" w:hAnsi="Times New Roman" w:cs="Times New Roman"/>
          <w:b/>
          <w:kern w:val="0"/>
          <w:sz w:val="22"/>
          <w:szCs w:val="22"/>
          <w14:ligatures w14:val="none"/>
        </w:rPr>
      </w:pPr>
      <w:r w:rsidRPr="001239B2">
        <w:rPr>
          <w:rFonts w:ascii="Times New Roman" w:eastAsia="Times New Roman" w:hAnsi="Times New Roman" w:cs="Times New Roman"/>
          <w:b/>
          <w:bCs/>
          <w:kern w:val="0"/>
          <w:sz w:val="22"/>
          <w:szCs w:val="22"/>
          <w14:ligatures w14:val="none"/>
        </w:rPr>
        <w:t>Šis pakuotės lapelis</w:t>
      </w:r>
      <w:r w:rsidRPr="001239B2">
        <w:rPr>
          <w:rFonts w:ascii="Times New Roman" w:eastAsia="Times New Roman" w:hAnsi="Times New Roman" w:cs="Times New Roman"/>
          <w:b/>
          <w:kern w:val="0"/>
          <w:sz w:val="22"/>
          <w:szCs w:val="22"/>
          <w14:ligatures w14:val="none"/>
        </w:rPr>
        <w:t xml:space="preserve"> paskutinį kartą peržiūrėtas</w:t>
      </w:r>
      <w:r w:rsidR="003710C6">
        <w:rPr>
          <w:rFonts w:ascii="Times New Roman" w:eastAsia="Times New Roman" w:hAnsi="Times New Roman" w:cs="Times New Roman"/>
          <w:b/>
          <w:kern w:val="0"/>
          <w:sz w:val="22"/>
          <w:szCs w:val="22"/>
          <w14:ligatures w14:val="none"/>
        </w:rPr>
        <w:t xml:space="preserve"> 2026-05-04.</w:t>
      </w:r>
    </w:p>
    <w:p w14:paraId="679FA8FA" w14:textId="77777777" w:rsidR="001239B2" w:rsidRPr="001239B2" w:rsidRDefault="001239B2" w:rsidP="001239B2">
      <w:pPr>
        <w:tabs>
          <w:tab w:val="left" w:pos="3544"/>
          <w:tab w:val="left" w:pos="4678"/>
        </w:tabs>
        <w:spacing w:after="0" w:line="240" w:lineRule="auto"/>
        <w:rPr>
          <w:rFonts w:ascii="Times New Roman" w:eastAsia="Times New Roman" w:hAnsi="Times New Roman" w:cs="Times New Roman"/>
          <w:kern w:val="0"/>
          <w:sz w:val="22"/>
          <w:szCs w:val="22"/>
          <w14:ligatures w14:val="none"/>
        </w:rPr>
      </w:pPr>
    </w:p>
    <w:p w14:paraId="4EFA0BB1" w14:textId="35326F2C" w:rsidR="001239B2" w:rsidRDefault="00F8218D" w:rsidP="00F8218D">
      <w:pPr>
        <w:spacing w:after="0" w:line="240" w:lineRule="auto"/>
        <w:rPr>
          <w:rFonts w:ascii="Times New Roman" w:eastAsia="Times New Roman" w:hAnsi="Times New Roman" w:cs="Times New Roman"/>
          <w:kern w:val="0"/>
          <w:sz w:val="22"/>
          <w:szCs w:val="20"/>
          <w:lang w:eastAsia="lt-LT" w:bidi="lt-LT"/>
          <w14:ligatures w14:val="none"/>
        </w:rPr>
      </w:pPr>
      <w:r w:rsidRPr="00F8218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F8218D">
          <w:rPr>
            <w:rStyle w:val="Hipersaitas"/>
            <w:rFonts w:ascii="Times New Roman" w:eastAsia="Times New Roman" w:hAnsi="Times New Roman" w:cs="Times New Roman"/>
            <w:kern w:val="0"/>
            <w:sz w:val="22"/>
            <w:szCs w:val="20"/>
            <w:lang w:eastAsia="lt-LT" w:bidi="lt-LT"/>
            <w14:ligatures w14:val="none"/>
          </w:rPr>
          <w:t>https://vvkt.lrv.lt/lt/</w:t>
        </w:r>
      </w:hyperlink>
      <w:r w:rsidRPr="00F8218D">
        <w:rPr>
          <w:rFonts w:ascii="Times New Roman" w:eastAsia="Times New Roman" w:hAnsi="Times New Roman" w:cs="Times New Roman"/>
          <w:kern w:val="0"/>
          <w:sz w:val="22"/>
          <w:szCs w:val="20"/>
          <w:lang w:eastAsia="lt-LT" w:bidi="lt-LT"/>
          <w14:ligatures w14:val="none"/>
        </w:rPr>
        <w:t>.</w:t>
      </w:r>
    </w:p>
    <w:p w14:paraId="23D3F08E" w14:textId="77777777" w:rsidR="0074024B" w:rsidRDefault="0074024B" w:rsidP="00F8218D">
      <w:pPr>
        <w:spacing w:after="0" w:line="240" w:lineRule="auto"/>
        <w:rPr>
          <w:rFonts w:ascii="Times New Roman" w:eastAsia="Times New Roman" w:hAnsi="Times New Roman" w:cs="Times New Roman"/>
          <w:kern w:val="0"/>
          <w:sz w:val="22"/>
          <w:szCs w:val="20"/>
          <w:lang w:eastAsia="lt-LT" w:bidi="lt-LT"/>
          <w14:ligatures w14:val="none"/>
        </w:rPr>
      </w:pPr>
    </w:p>
    <w:p w14:paraId="36326699" w14:textId="4EBA3161" w:rsidR="0074024B" w:rsidRPr="0074024B" w:rsidRDefault="0074024B" w:rsidP="0074024B">
      <w:pPr>
        <w:spacing w:line="259" w:lineRule="auto"/>
        <w:rPr>
          <w:rFonts w:ascii="Times New Roman" w:eastAsia="Aptos" w:hAnsi="Times New Roman" w:cs="Times New Roman"/>
          <w:sz w:val="22"/>
          <w:szCs w:val="22"/>
        </w:rPr>
      </w:pPr>
      <w:r w:rsidRPr="0074024B">
        <w:rPr>
          <w:rFonts w:ascii="Times New Roman" w:eastAsia="Aptos" w:hAnsi="Times New Roman" w:cs="Times New Roman"/>
          <w:i/>
          <w:iCs/>
          <w:sz w:val="22"/>
          <w:szCs w:val="22"/>
        </w:rPr>
        <w:t>Lygiagrečiai importuojamas vaistas nuo referencinio vaisto skiriasi pakuotės dydžiu: referencinio vaisto – N100, lygiagrečiai importuojamo – N1</w:t>
      </w:r>
      <w:r w:rsidR="00F53B9F">
        <w:rPr>
          <w:rFonts w:ascii="Times New Roman" w:eastAsia="Aptos" w:hAnsi="Times New Roman" w:cs="Times New Roman"/>
          <w:i/>
          <w:iCs/>
          <w:sz w:val="22"/>
          <w:szCs w:val="22"/>
        </w:rPr>
        <w:t>,</w:t>
      </w:r>
      <w:r w:rsidRPr="0074024B">
        <w:rPr>
          <w:rFonts w:ascii="Times New Roman" w:eastAsia="Aptos" w:hAnsi="Times New Roman" w:cs="Times New Roman"/>
          <w:i/>
          <w:iCs/>
          <w:sz w:val="22"/>
          <w:szCs w:val="22"/>
        </w:rPr>
        <w:t xml:space="preserve"> N10</w:t>
      </w:r>
      <w:r w:rsidR="00F53B9F">
        <w:rPr>
          <w:rFonts w:ascii="Times New Roman" w:eastAsia="Aptos" w:hAnsi="Times New Roman" w:cs="Times New Roman"/>
          <w:i/>
          <w:iCs/>
          <w:sz w:val="22"/>
          <w:szCs w:val="22"/>
        </w:rPr>
        <w:t>,</w:t>
      </w:r>
      <w:r w:rsidRPr="0074024B">
        <w:rPr>
          <w:rFonts w:ascii="Times New Roman" w:eastAsia="Aptos" w:hAnsi="Times New Roman" w:cs="Times New Roman"/>
          <w:i/>
          <w:iCs/>
          <w:sz w:val="22"/>
          <w:szCs w:val="22"/>
        </w:rPr>
        <w:t xml:space="preserve"> N50</w:t>
      </w:r>
      <w:r w:rsidR="00591C79">
        <w:rPr>
          <w:rFonts w:ascii="Times New Roman" w:eastAsia="Aptos" w:hAnsi="Times New Roman" w:cs="Times New Roman"/>
          <w:i/>
          <w:iCs/>
          <w:sz w:val="22"/>
          <w:szCs w:val="22"/>
        </w:rPr>
        <w:t>;</w:t>
      </w:r>
      <w:r w:rsidRPr="0074024B">
        <w:rPr>
          <w:rFonts w:ascii="Times New Roman" w:eastAsia="Aptos" w:hAnsi="Times New Roman" w:cs="Times New Roman"/>
          <w:i/>
          <w:iCs/>
          <w:sz w:val="22"/>
          <w:szCs w:val="22"/>
        </w:rPr>
        <w:t xml:space="preserve"> laikymo sąlygomis: referencinį vaistą laikyti </w:t>
      </w:r>
      <w:r w:rsidR="00F53B9F">
        <w:rPr>
          <w:rFonts w:ascii="Times New Roman" w:eastAsia="Aptos" w:hAnsi="Times New Roman" w:cs="Times New Roman"/>
          <w:i/>
          <w:iCs/>
          <w:sz w:val="22"/>
          <w:szCs w:val="22"/>
        </w:rPr>
        <w:t>išorinėje</w:t>
      </w:r>
      <w:r w:rsidRPr="0074024B">
        <w:rPr>
          <w:rFonts w:ascii="Times New Roman" w:eastAsia="Aptos" w:hAnsi="Times New Roman" w:cs="Times New Roman"/>
          <w:i/>
          <w:iCs/>
          <w:sz w:val="22"/>
          <w:szCs w:val="22"/>
        </w:rPr>
        <w:t xml:space="preserve"> pakuotėje, kad vaistas būtų apsaugotas nuo šviesos, lygiagrečiai importuojamą laikyti gamintojo pakuotėje, kad vaistas būtų apsaugotas nuo šviesos ir drėgmės.</w:t>
      </w:r>
    </w:p>
    <w:p w14:paraId="2C438AD9" w14:textId="77777777" w:rsidR="0074024B" w:rsidRDefault="0074024B" w:rsidP="00F8218D">
      <w:pPr>
        <w:spacing w:after="0" w:line="240" w:lineRule="auto"/>
        <w:rPr>
          <w:rFonts w:ascii="Times New Roman" w:eastAsia="Times New Roman" w:hAnsi="Times New Roman" w:cs="Times New Roman"/>
          <w:kern w:val="0"/>
          <w:sz w:val="22"/>
          <w:szCs w:val="20"/>
          <w:lang w:eastAsia="lt-LT" w:bidi="lt-LT"/>
          <w14:ligatures w14:val="none"/>
        </w:rPr>
      </w:pPr>
    </w:p>
    <w:p w14:paraId="0A0EF2C6" w14:textId="77777777" w:rsidR="00F8218D" w:rsidRPr="001239B2" w:rsidRDefault="00F8218D" w:rsidP="00F8218D">
      <w:pPr>
        <w:spacing w:after="0" w:line="240" w:lineRule="auto"/>
        <w:rPr>
          <w:rFonts w:ascii="Times New Roman" w:eastAsia="Times New Roman" w:hAnsi="Times New Roman" w:cs="Times New Roman"/>
          <w:kern w:val="0"/>
          <w:sz w:val="22"/>
          <w:szCs w:val="22"/>
          <w:highlight w:val="yellow"/>
          <w:lang w:eastAsia="lt-LT"/>
          <w14:ligatures w14:val="none"/>
        </w:rPr>
      </w:pPr>
    </w:p>
    <w:p w14:paraId="699F6E33" w14:textId="77777777" w:rsidR="001239B2" w:rsidRPr="001239B2" w:rsidRDefault="001239B2" w:rsidP="001239B2">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w:t>
      </w:r>
    </w:p>
    <w:p w14:paraId="24537FC2"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3258F82A"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Toliau pateikta informacija skirta tik sveikatos priežiūros specialistams</w:t>
      </w:r>
    </w:p>
    <w:p w14:paraId="1A353010"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05819043" w14:textId="121B9FEE" w:rsidR="001239B2" w:rsidRPr="001239B2" w:rsidRDefault="00E74669" w:rsidP="001239B2">
      <w:pPr>
        <w:spacing w:after="0" w:line="240" w:lineRule="auto"/>
        <w:ind w:left="567" w:hanging="567"/>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tirpalas leidžiamas į veną ar raumenis arba infuzuojamas į veną.  </w:t>
      </w:r>
    </w:p>
    <w:p w14:paraId="56880187" w14:textId="69C564C6" w:rsidR="001239B2" w:rsidRPr="001239B2" w:rsidRDefault="00E74669" w:rsidP="001239B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 BBP</w:t>
      </w:r>
      <w:r w:rsidR="001239B2" w:rsidRPr="001239B2">
        <w:rPr>
          <w:rFonts w:ascii="Times New Roman" w:eastAsia="Times New Roman" w:hAnsi="Times New Roman" w:cs="Times New Roman"/>
          <w:kern w:val="0"/>
          <w:sz w:val="22"/>
          <w:szCs w:val="22"/>
          <w:lang w:eastAsia="lt-LT"/>
          <w14:ligatures w14:val="none"/>
        </w:rPr>
        <w:t xml:space="preserve"> tirpalą būtina ruošti prieš pat vartojimą. Galima leisti tik skaidrų tirpalą. Flakono turinį būtina visiškai ištirpinti. Į švirkštą reikia įsiurbti tik vienkartinę vaisto dozę. </w:t>
      </w:r>
    </w:p>
    <w:p w14:paraId="3AAF71CF" w14:textId="77777777" w:rsidR="001239B2" w:rsidRPr="001239B2" w:rsidRDefault="001239B2" w:rsidP="001239B2">
      <w:pPr>
        <w:spacing w:after="0" w:line="240" w:lineRule="auto"/>
        <w:rPr>
          <w:rFonts w:ascii="Times New Roman" w:eastAsia="Times New Roman" w:hAnsi="Times New Roman" w:cs="Times New Roman"/>
          <w:kern w:val="0"/>
          <w:sz w:val="22"/>
          <w:szCs w:val="22"/>
          <w:u w:val="single"/>
          <w:lang w:eastAsia="lt-LT"/>
          <w14:ligatures w14:val="none"/>
        </w:rPr>
      </w:pPr>
    </w:p>
    <w:p w14:paraId="77ADDCE6"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u w:val="single"/>
          <w:lang w:eastAsia="lt-LT"/>
          <w14:ligatures w14:val="none"/>
        </w:rPr>
        <w:t>Injekcinio tirpalo leisti į raumenis ruošimas</w:t>
      </w:r>
    </w:p>
    <w:p w14:paraId="6400676D"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1 g flakono turinį reikia tirpinti 5 ml tirpiklio (injekcinio vandens). </w:t>
      </w:r>
    </w:p>
    <w:p w14:paraId="7E8CB4CF" w14:textId="3203C8DC"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Jei injekcija į raumenis yra skausminga,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galima vartoti praskiedžiant jį 0,5 % prokaino tirpalu. </w:t>
      </w:r>
      <w:r w:rsidRPr="001239B2">
        <w:rPr>
          <w:rFonts w:ascii="Times New Roman" w:eastAsia="Times New Roman" w:hAnsi="Times New Roman" w:cs="Times New Roman"/>
          <w:kern w:val="0"/>
          <w:sz w:val="22"/>
          <w:szCs w:val="22"/>
          <w:lang w:eastAsia="lt-LT"/>
          <w14:ligatures w14:val="none"/>
        </w:rPr>
        <w:br/>
      </w:r>
      <w:r w:rsidRPr="001239B2">
        <w:rPr>
          <w:rFonts w:ascii="Times New Roman" w:eastAsia="Times New Roman" w:hAnsi="Times New Roman" w:cs="Times New Roman"/>
          <w:kern w:val="0"/>
          <w:sz w:val="22"/>
          <w:szCs w:val="22"/>
          <w:u w:val="single"/>
          <w:lang w:eastAsia="lt-LT"/>
          <w14:ligatures w14:val="none"/>
        </w:rPr>
        <w:t>Injekcinio tirpalo leisti į veną ruošimas</w:t>
      </w:r>
    </w:p>
    <w:p w14:paraId="77015ED5"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1 g flakono turinį reikia tirpinti 5 ml tirpiklio (injekcinio vandens).</w:t>
      </w:r>
      <w:r w:rsidRPr="001239B2">
        <w:rPr>
          <w:rFonts w:ascii="Times New Roman" w:eastAsia="Times New Roman" w:hAnsi="Times New Roman" w:cs="Times New Roman"/>
          <w:kern w:val="0"/>
          <w:sz w:val="22"/>
          <w:szCs w:val="22"/>
          <w:lang w:eastAsia="lt-LT"/>
          <w14:ligatures w14:val="none"/>
        </w:rPr>
        <w:br/>
        <w:t>Paruoštas tirpalas į veną leidžiamas lėtai (per 3</w:t>
      </w:r>
      <w:r w:rsidRPr="001239B2">
        <w:rPr>
          <w:rFonts w:ascii="Times New Roman" w:eastAsia="Times New Roman" w:hAnsi="Times New Roman" w:cs="Times New Roman"/>
          <w:kern w:val="0"/>
          <w:sz w:val="22"/>
          <w:szCs w:val="22"/>
          <w:lang w:eastAsia="lt-LT"/>
          <w14:ligatures w14:val="none"/>
        </w:rPr>
        <w:noBreakHyphen/>
        <w:t xml:space="preserve">5 min.). </w:t>
      </w:r>
    </w:p>
    <w:p w14:paraId="0AA0187A" w14:textId="77777777" w:rsidR="001239B2" w:rsidRPr="001239B2" w:rsidRDefault="001239B2" w:rsidP="001239B2">
      <w:pPr>
        <w:spacing w:after="0" w:line="240" w:lineRule="auto"/>
        <w:rPr>
          <w:rFonts w:ascii="Times New Roman" w:eastAsia="Times New Roman" w:hAnsi="Times New Roman" w:cs="Times New Roman"/>
          <w:kern w:val="0"/>
          <w:sz w:val="22"/>
          <w:szCs w:val="22"/>
          <w:u w:val="single"/>
          <w:lang w:eastAsia="lt-LT"/>
          <w14:ligatures w14:val="none"/>
        </w:rPr>
      </w:pPr>
      <w:r w:rsidRPr="001239B2">
        <w:rPr>
          <w:rFonts w:ascii="Times New Roman" w:eastAsia="Times New Roman" w:hAnsi="Times New Roman" w:cs="Times New Roman"/>
          <w:kern w:val="0"/>
          <w:sz w:val="22"/>
          <w:szCs w:val="22"/>
          <w:u w:val="single"/>
          <w:lang w:eastAsia="lt-LT"/>
          <w14:ligatures w14:val="none"/>
        </w:rPr>
        <w:t>Infuzinio tirpalo lašinti į veną ruošimas</w:t>
      </w:r>
    </w:p>
    <w:p w14:paraId="3AD7C6FA" w14:textId="77777777"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1 g flakono turinį reikia tirpinti 5 ml tirpiklio (injekcinio vandens), po to atskiesti izotoniniu (0,9 </w:t>
      </w:r>
      <w:r w:rsidRPr="001239B2">
        <w:rPr>
          <w:rFonts w:ascii="Times New Roman" w:eastAsia="Times New Roman" w:hAnsi="Times New Roman" w:cs="Times New Roman"/>
          <w:kern w:val="0"/>
          <w:sz w:val="22"/>
          <w:szCs w:val="22"/>
          <w:lang w:eastAsia="lt-LT"/>
          <w14:ligatures w14:val="none"/>
        </w:rPr>
        <w:sym w:font="Symbol" w:char="F025"/>
      </w:r>
      <w:r w:rsidRPr="001239B2">
        <w:rPr>
          <w:rFonts w:ascii="Times New Roman" w:eastAsia="Times New Roman" w:hAnsi="Times New Roman" w:cs="Times New Roman"/>
          <w:kern w:val="0"/>
          <w:sz w:val="22"/>
          <w:szCs w:val="22"/>
          <w:lang w:eastAsia="lt-LT"/>
          <w14:ligatures w14:val="none"/>
        </w:rPr>
        <w:t>) natrio chlorido tirpalu ir per 15</w:t>
      </w:r>
      <w:r w:rsidRPr="001239B2">
        <w:rPr>
          <w:rFonts w:ascii="Times New Roman" w:eastAsia="Times New Roman" w:hAnsi="Times New Roman" w:cs="Times New Roman"/>
          <w:kern w:val="0"/>
          <w:sz w:val="22"/>
          <w:szCs w:val="22"/>
          <w:lang w:eastAsia="lt-LT"/>
          <w14:ligatures w14:val="none"/>
        </w:rPr>
        <w:noBreakHyphen/>
        <w:t xml:space="preserve">20 min. sulašinti į veną. </w:t>
      </w:r>
    </w:p>
    <w:p w14:paraId="02F949AE" w14:textId="77777777" w:rsidR="001239B2" w:rsidRPr="001239B2" w:rsidRDefault="001239B2" w:rsidP="001239B2">
      <w:pPr>
        <w:spacing w:after="0" w:line="240" w:lineRule="auto"/>
        <w:rPr>
          <w:rFonts w:ascii="Times New Roman" w:eastAsia="Times New Roman" w:hAnsi="Times New Roman" w:cs="Times New Roman"/>
          <w:b/>
          <w:kern w:val="0"/>
          <w:sz w:val="22"/>
          <w:szCs w:val="22"/>
          <w:lang w:eastAsia="lt-LT"/>
          <w14:ligatures w14:val="none"/>
        </w:rPr>
      </w:pPr>
    </w:p>
    <w:p w14:paraId="308C380F" w14:textId="308166A4" w:rsidR="001239B2" w:rsidRPr="001239B2" w:rsidRDefault="001239B2" w:rsidP="001239B2">
      <w:pPr>
        <w:spacing w:after="0" w:line="240" w:lineRule="auto"/>
        <w:rPr>
          <w:rFonts w:ascii="Times New Roman" w:eastAsia="Times New Roman" w:hAnsi="Times New Roman" w:cs="Times New Roman"/>
          <w:kern w:val="0"/>
          <w:sz w:val="22"/>
          <w:szCs w:val="22"/>
          <w:lang w:eastAsia="lt-LT"/>
          <w14:ligatures w14:val="none"/>
        </w:rPr>
      </w:pPr>
      <w:r w:rsidRPr="001239B2">
        <w:rPr>
          <w:rFonts w:ascii="Times New Roman" w:eastAsia="Times New Roman" w:hAnsi="Times New Roman" w:cs="Times New Roman"/>
          <w:kern w:val="0"/>
          <w:sz w:val="22"/>
          <w:szCs w:val="22"/>
          <w:lang w:eastAsia="lt-LT"/>
          <w14:ligatures w14:val="none"/>
        </w:rPr>
        <w:t xml:space="preserve">Kad nepasireikštų nepageidaujama cheminė reakcija, kitų vaistų į paruoštą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tirpalą pridėti negalima. Jeigu kitų vaistų (antibiotikų) kartu vartoti būtina, jų reikia leisti prieš ampiciliną </w:t>
      </w:r>
      <w:r w:rsidRPr="001239B2">
        <w:rPr>
          <w:rFonts w:ascii="Times New Roman" w:eastAsia="Times New Roman" w:hAnsi="Times New Roman" w:cs="Times New Roman"/>
          <w:kern w:val="0"/>
          <w:sz w:val="22"/>
          <w:szCs w:val="22"/>
          <w:lang w:eastAsia="lt-LT"/>
          <w14:ligatures w14:val="none"/>
        </w:rPr>
        <w:lastRenderedPageBreak/>
        <w:t xml:space="preserve">arba po jo. </w:t>
      </w:r>
      <w:r w:rsidR="00E74669">
        <w:rPr>
          <w:rFonts w:ascii="Times New Roman" w:eastAsia="Times New Roman" w:hAnsi="Times New Roman" w:cs="Times New Roman"/>
          <w:kern w:val="0"/>
          <w:sz w:val="22"/>
          <w:szCs w:val="22"/>
          <w:lang w:eastAsia="lt-LT"/>
          <w14:ligatures w14:val="none"/>
        </w:rPr>
        <w:t>AMPICILIN BBP</w:t>
      </w:r>
      <w:r w:rsidRPr="001239B2">
        <w:rPr>
          <w:rFonts w:ascii="Times New Roman" w:eastAsia="Times New Roman" w:hAnsi="Times New Roman" w:cs="Times New Roman"/>
          <w:kern w:val="0"/>
          <w:sz w:val="22"/>
          <w:szCs w:val="22"/>
          <w:lang w:eastAsia="lt-LT"/>
          <w14:ligatures w14:val="none"/>
        </w:rPr>
        <w:t xml:space="preserve"> tirpalo nereikėtų maišyti su kitais tirpalais, pvz., krauju, kraujo plazma, invertuotaisiais sacharidais arba dekstranais.</w:t>
      </w:r>
    </w:p>
    <w:p w14:paraId="0E4F5280" w14:textId="77777777" w:rsidR="001239B2" w:rsidRPr="001239B2" w:rsidRDefault="001239B2" w:rsidP="001239B2">
      <w:pPr>
        <w:spacing w:after="0" w:line="240" w:lineRule="auto"/>
        <w:ind w:left="567" w:hanging="567"/>
        <w:rPr>
          <w:rFonts w:ascii="Times New Roman" w:eastAsia="Times New Roman" w:hAnsi="Times New Roman" w:cs="Times New Roman"/>
          <w:kern w:val="0"/>
          <w:sz w:val="22"/>
          <w:szCs w:val="22"/>
          <w:lang w:eastAsia="lt-LT"/>
          <w14:ligatures w14:val="none"/>
        </w:rPr>
      </w:pPr>
    </w:p>
    <w:p w14:paraId="72C60673" w14:textId="7C150BBE" w:rsidR="000E75BE" w:rsidRPr="001239B2" w:rsidRDefault="000E75BE" w:rsidP="001239B2"/>
    <w:sectPr w:rsidR="000E75BE" w:rsidRPr="001239B2" w:rsidSect="001239B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7FD"/>
    <w:multiLevelType w:val="hybridMultilevel"/>
    <w:tmpl w:val="268E61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0E2376"/>
    <w:multiLevelType w:val="hybridMultilevel"/>
    <w:tmpl w:val="ADEE2FCC"/>
    <w:lvl w:ilvl="0" w:tplc="591AAC16">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33A7977"/>
    <w:multiLevelType w:val="hybridMultilevel"/>
    <w:tmpl w:val="6944D24A"/>
    <w:lvl w:ilvl="0" w:tplc="591AAC16">
      <w:start w:val="1"/>
      <w:numFmt w:val="bullet"/>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ambr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6306BE"/>
    <w:multiLevelType w:val="hybridMultilevel"/>
    <w:tmpl w:val="D0AA87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AE31B21"/>
    <w:multiLevelType w:val="hybridMultilevel"/>
    <w:tmpl w:val="E4E82EF6"/>
    <w:lvl w:ilvl="0" w:tplc="F1D28C8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40937278">
    <w:abstractNumId w:val="9"/>
  </w:num>
  <w:num w:numId="2" w16cid:durableId="589969700">
    <w:abstractNumId w:val="5"/>
  </w:num>
  <w:num w:numId="3" w16cid:durableId="1850679558">
    <w:abstractNumId w:val="8"/>
  </w:num>
  <w:num w:numId="4" w16cid:durableId="2112314825">
    <w:abstractNumId w:val="4"/>
  </w:num>
  <w:num w:numId="5" w16cid:durableId="1936859464">
    <w:abstractNumId w:val="2"/>
  </w:num>
  <w:num w:numId="6" w16cid:durableId="408119380">
    <w:abstractNumId w:val="6"/>
  </w:num>
  <w:num w:numId="7" w16cid:durableId="776556788">
    <w:abstractNumId w:val="1"/>
  </w:num>
  <w:num w:numId="8" w16cid:durableId="1081219744">
    <w:abstractNumId w:val="0"/>
  </w:num>
  <w:num w:numId="9" w16cid:durableId="1811366839">
    <w:abstractNumId w:val="7"/>
  </w:num>
  <w:num w:numId="10" w16cid:durableId="471169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58"/>
    <w:rsid w:val="00090DCA"/>
    <w:rsid w:val="000D1A82"/>
    <w:rsid w:val="000E75BE"/>
    <w:rsid w:val="001239B2"/>
    <w:rsid w:val="00361B83"/>
    <w:rsid w:val="003710C6"/>
    <w:rsid w:val="00591C79"/>
    <w:rsid w:val="0066234E"/>
    <w:rsid w:val="0071723B"/>
    <w:rsid w:val="0074024B"/>
    <w:rsid w:val="00760E58"/>
    <w:rsid w:val="00B04BCF"/>
    <w:rsid w:val="00CE16E9"/>
    <w:rsid w:val="00D11FAD"/>
    <w:rsid w:val="00E74669"/>
    <w:rsid w:val="00F53B9F"/>
    <w:rsid w:val="00F67A80"/>
    <w:rsid w:val="00F8205F"/>
    <w:rsid w:val="00F82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6DF2"/>
  <w15:chartTrackingRefBased/>
  <w15:docId w15:val="{2F2EC4DC-E72C-4242-9E38-26AE6FCF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0E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0E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0E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0E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0E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0E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0E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0E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0E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0E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0E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0E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0E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0E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0E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0E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0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0E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0E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0E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0E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0E58"/>
    <w:rPr>
      <w:i/>
      <w:iCs/>
      <w:color w:val="404040" w:themeColor="text1" w:themeTint="BF"/>
    </w:rPr>
  </w:style>
  <w:style w:type="paragraph" w:styleId="Sraopastraipa">
    <w:name w:val="List Paragraph"/>
    <w:basedOn w:val="prastasis"/>
    <w:uiPriority w:val="34"/>
    <w:qFormat/>
    <w:rsid w:val="00760E58"/>
    <w:pPr>
      <w:ind w:left="720"/>
      <w:contextualSpacing/>
    </w:pPr>
  </w:style>
  <w:style w:type="character" w:styleId="Rykuspabraukimas">
    <w:name w:val="Intense Emphasis"/>
    <w:basedOn w:val="Numatytasispastraiposriftas"/>
    <w:uiPriority w:val="21"/>
    <w:qFormat/>
    <w:rsid w:val="00760E58"/>
    <w:rPr>
      <w:i/>
      <w:iCs/>
      <w:color w:val="0F4761" w:themeColor="accent1" w:themeShade="BF"/>
    </w:rPr>
  </w:style>
  <w:style w:type="paragraph" w:styleId="Iskirtacitata">
    <w:name w:val="Intense Quote"/>
    <w:basedOn w:val="prastasis"/>
    <w:next w:val="prastasis"/>
    <w:link w:val="IskirtacitataDiagrama"/>
    <w:uiPriority w:val="30"/>
    <w:qFormat/>
    <w:rsid w:val="0076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0E58"/>
    <w:rPr>
      <w:i/>
      <w:iCs/>
      <w:color w:val="0F4761" w:themeColor="accent1" w:themeShade="BF"/>
    </w:rPr>
  </w:style>
  <w:style w:type="character" w:styleId="Rykinuoroda">
    <w:name w:val="Intense Reference"/>
    <w:basedOn w:val="Numatytasispastraiposriftas"/>
    <w:uiPriority w:val="32"/>
    <w:qFormat/>
    <w:rsid w:val="00760E58"/>
    <w:rPr>
      <w:b/>
      <w:bCs/>
      <w:smallCaps/>
      <w:color w:val="0F4761" w:themeColor="accent1" w:themeShade="BF"/>
      <w:spacing w:val="5"/>
    </w:rPr>
  </w:style>
  <w:style w:type="character" w:styleId="Hipersaitas">
    <w:name w:val="Hyperlink"/>
    <w:basedOn w:val="Numatytasispastraiposriftas"/>
    <w:uiPriority w:val="99"/>
    <w:unhideWhenUsed/>
    <w:rsid w:val="001239B2"/>
    <w:rPr>
      <w:color w:val="467886" w:themeColor="hyperlink"/>
      <w:u w:val="single"/>
    </w:rPr>
  </w:style>
  <w:style w:type="character" w:styleId="Neapdorotaspaminjimas">
    <w:name w:val="Unresolved Mention"/>
    <w:basedOn w:val="Numatytasispastraiposriftas"/>
    <w:uiPriority w:val="99"/>
    <w:semiHidden/>
    <w:unhideWhenUsed/>
    <w:rsid w:val="0012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10883</Words>
  <Characters>6204</Characters>
  <Application>Microsoft Office Word</Application>
  <DocSecurity>0</DocSecurity>
  <Lines>51</Lines>
  <Paragraphs>34</Paragraphs>
  <ScaleCrop>false</ScaleCrop>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2025-10-22T12:39:00Z</dcterms:created>
  <dcterms:modified xsi:type="dcterms:W3CDTF">2026-05-07T18:05:00Z</dcterms:modified>
</cp:coreProperties>
</file>