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C450"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1BD2F94C"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07B28FFC"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684A72F0"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0B284A77"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23BD7293"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35E145D9"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1E416482"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4DB99E6D"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64FF9536"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3C0C1BBF"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37915424"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5D55B62E"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3C3AD907"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38A4C4F9"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24255FB9"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48D5F8D3"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53B78E78"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43E166F0"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3936DAC2"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08730897"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p>
    <w:p w14:paraId="401D409A"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p>
    <w:p w14:paraId="3D44332E" w14:textId="77777777" w:rsidR="00C658F2" w:rsidRPr="00C658F2" w:rsidRDefault="00C658F2" w:rsidP="00C658F2">
      <w:pPr>
        <w:spacing w:after="0" w:line="240" w:lineRule="auto"/>
        <w:jc w:val="center"/>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B. PAKUOTĖS LAPELIS</w:t>
      </w:r>
    </w:p>
    <w:p w14:paraId="7C6C4060" w14:textId="77777777" w:rsidR="00C658F2" w:rsidRPr="00C658F2" w:rsidRDefault="00C658F2" w:rsidP="00C658F2">
      <w:pPr>
        <w:spacing w:after="0" w:line="240" w:lineRule="auto"/>
        <w:jc w:val="center"/>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kern w:val="0"/>
          <w:sz w:val="22"/>
          <w:szCs w:val="22"/>
          <w14:ligatures w14:val="none"/>
        </w:rPr>
        <w:br w:type="page"/>
      </w:r>
      <w:r w:rsidRPr="00C658F2" w:rsidDel="004A5D21">
        <w:rPr>
          <w:rFonts w:ascii="Times New Roman" w:eastAsia="Times New Roman" w:hAnsi="Times New Roman" w:cs="Times New Roman"/>
          <w:b/>
          <w:kern w:val="0"/>
          <w:sz w:val="22"/>
          <w:szCs w:val="22"/>
          <w14:ligatures w14:val="none"/>
        </w:rPr>
        <w:lastRenderedPageBreak/>
        <w:t xml:space="preserve"> </w:t>
      </w:r>
      <w:r w:rsidRPr="00C658F2">
        <w:rPr>
          <w:rFonts w:ascii="Times New Roman" w:eastAsia="Times New Roman" w:hAnsi="Times New Roman" w:cs="Times New Roman"/>
          <w:b/>
          <w:kern w:val="0"/>
          <w:sz w:val="22"/>
          <w:szCs w:val="22"/>
          <w14:ligatures w14:val="none"/>
        </w:rPr>
        <w:t>Pakuotės lapelis: informacija vartotojui</w:t>
      </w:r>
    </w:p>
    <w:p w14:paraId="5FEEACD1" w14:textId="77777777" w:rsidR="00C658F2" w:rsidRPr="00C658F2" w:rsidRDefault="00C658F2" w:rsidP="00C658F2">
      <w:pPr>
        <w:spacing w:after="0" w:line="240" w:lineRule="auto"/>
        <w:jc w:val="center"/>
        <w:rPr>
          <w:rFonts w:ascii="Times New Roman" w:eastAsia="Times New Roman" w:hAnsi="Times New Roman" w:cs="Times New Roman"/>
          <w:b/>
          <w:kern w:val="0"/>
          <w:sz w:val="22"/>
          <w:szCs w:val="22"/>
          <w14:ligatures w14:val="none"/>
        </w:rPr>
      </w:pPr>
    </w:p>
    <w:p w14:paraId="6268B733" w14:textId="77777777" w:rsidR="00C658F2" w:rsidRPr="00C658F2" w:rsidRDefault="00C658F2" w:rsidP="00C658F2">
      <w:pPr>
        <w:spacing w:after="0" w:line="240" w:lineRule="auto"/>
        <w:jc w:val="center"/>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MYDOCALM 150 mg plėvele dengtos tabletės</w:t>
      </w:r>
    </w:p>
    <w:p w14:paraId="6649013B" w14:textId="77777777" w:rsidR="00C658F2" w:rsidRPr="00C658F2" w:rsidRDefault="00C658F2" w:rsidP="00C658F2">
      <w:pPr>
        <w:spacing w:after="0" w:line="240" w:lineRule="auto"/>
        <w:jc w:val="center"/>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tolperizono hidrochloridas</w:t>
      </w:r>
    </w:p>
    <w:p w14:paraId="19C12F3E"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33E2C33" w14:textId="77777777" w:rsidR="00C658F2" w:rsidRPr="00C658F2" w:rsidRDefault="00C658F2" w:rsidP="00C658F2">
      <w:pPr>
        <w:tabs>
          <w:tab w:val="left" w:pos="0"/>
        </w:tabs>
        <w:spacing w:after="0" w:line="240" w:lineRule="auto"/>
        <w:rPr>
          <w:rFonts w:ascii="Times New Roman" w:eastAsia="Times New Roman" w:hAnsi="Times New Roman" w:cs="Times New Roman"/>
          <w:b/>
          <w:kern w:val="0"/>
          <w:sz w:val="22"/>
          <w:szCs w:val="22"/>
          <w:lang w:eastAsia="x-none"/>
          <w14:ligatures w14:val="none"/>
        </w:rPr>
      </w:pPr>
      <w:r w:rsidRPr="00C658F2">
        <w:rPr>
          <w:rFonts w:ascii="Times New Roman" w:eastAsia="Times New Roman" w:hAnsi="Times New Roman" w:cs="Times New Roman"/>
          <w:b/>
          <w:kern w:val="0"/>
          <w:sz w:val="22"/>
          <w:szCs w:val="22"/>
          <w:lang w:eastAsia="x-none"/>
          <w14:ligatures w14:val="none"/>
        </w:rPr>
        <w:t>Atidžiai perskaitykite visą šį lapelį, prieš pradėdami vartoti vaistą, nes jame pateikiama Jums svarbi informacija.</w:t>
      </w:r>
    </w:p>
    <w:p w14:paraId="23326FBB" w14:textId="77777777" w:rsidR="00C658F2" w:rsidRPr="00594D3F" w:rsidRDefault="00C658F2" w:rsidP="006B6824">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Neišmeskite šio lapelio, nes vėl gali prireikti jį perskaityti.</w:t>
      </w:r>
    </w:p>
    <w:p w14:paraId="60F50C2F" w14:textId="77777777" w:rsidR="00C658F2" w:rsidRPr="00594D3F" w:rsidRDefault="00C658F2" w:rsidP="006B6824">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Jeigu kiltų daugiau klausimų, kreipkitės į gydytoją arba vaistininką.</w:t>
      </w:r>
    </w:p>
    <w:p w14:paraId="33E14A35" w14:textId="77777777" w:rsidR="00C658F2" w:rsidRPr="00594D3F" w:rsidRDefault="00C658F2" w:rsidP="006B6824">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Šis vaistas skirtas tik Jums, todėl kitiems žmonėms jo duoti negalima. Vaistas gali jiems pakenkti (net tiems, kurių ligos požymiai yra tokie patys kaip Jūsų).</w:t>
      </w:r>
    </w:p>
    <w:p w14:paraId="64E892A4" w14:textId="77777777" w:rsidR="00C658F2" w:rsidRPr="00594D3F" w:rsidRDefault="00C658F2" w:rsidP="006B6824">
      <w:pPr>
        <w:pStyle w:val="Sraopastraipa"/>
        <w:numPr>
          <w:ilvl w:val="0"/>
          <w:numId w:val="5"/>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Jeigu pasireiškė šalutinis poveikis (net jeigu jis šiame lapelyje nenurodytas), kreipkitės į gydytoją arba vaistininką. Žr. 4 skyrių.</w:t>
      </w:r>
    </w:p>
    <w:p w14:paraId="494E910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61F2950" w14:textId="77777777" w:rsidR="00C658F2" w:rsidRPr="00C658F2" w:rsidRDefault="00C658F2" w:rsidP="00C658F2">
      <w:pPr>
        <w:tabs>
          <w:tab w:val="left" w:pos="0"/>
        </w:tabs>
        <w:spacing w:after="0" w:line="240" w:lineRule="auto"/>
        <w:rPr>
          <w:rFonts w:ascii="Times New Roman" w:eastAsia="Times New Roman" w:hAnsi="Times New Roman" w:cs="Times New Roman"/>
          <w:b/>
          <w:kern w:val="0"/>
          <w:sz w:val="22"/>
          <w:szCs w:val="22"/>
          <w:lang w:eastAsia="x-none"/>
          <w14:ligatures w14:val="none"/>
        </w:rPr>
      </w:pPr>
      <w:r w:rsidRPr="00C658F2">
        <w:rPr>
          <w:rFonts w:ascii="Times New Roman" w:eastAsia="Times New Roman" w:hAnsi="Times New Roman" w:cs="Times New Roman"/>
          <w:b/>
          <w:kern w:val="0"/>
          <w:sz w:val="22"/>
          <w:szCs w:val="22"/>
          <w:lang w:eastAsia="x-none"/>
          <w14:ligatures w14:val="none"/>
        </w:rPr>
        <w:t xml:space="preserve">Apie ką rašoma šiame lapelyje? </w:t>
      </w:r>
    </w:p>
    <w:p w14:paraId="5480C57E" w14:textId="77777777" w:rsidR="00C658F2" w:rsidRPr="00C658F2" w:rsidRDefault="00C658F2" w:rsidP="00C658F2">
      <w:pPr>
        <w:tabs>
          <w:tab w:val="left" w:pos="0"/>
        </w:tabs>
        <w:spacing w:after="0" w:line="240" w:lineRule="auto"/>
        <w:rPr>
          <w:rFonts w:ascii="Times New Roman" w:eastAsia="Times New Roman" w:hAnsi="Times New Roman" w:cs="Times New Roman"/>
          <w:b/>
          <w:kern w:val="0"/>
          <w:sz w:val="22"/>
          <w:szCs w:val="22"/>
          <w:lang w:eastAsia="x-none"/>
          <w14:ligatures w14:val="none"/>
        </w:rPr>
      </w:pPr>
    </w:p>
    <w:p w14:paraId="6B254E09" w14:textId="06C39EAA" w:rsidR="00C658F2" w:rsidRPr="00594D3F" w:rsidRDefault="00C658F2" w:rsidP="006B6824">
      <w:pPr>
        <w:pStyle w:val="Sraopastraipa"/>
        <w:numPr>
          <w:ilvl w:val="0"/>
          <w:numId w:val="4"/>
        </w:numPr>
        <w:spacing w:after="0" w:line="240" w:lineRule="auto"/>
        <w:ind w:left="567" w:hanging="283"/>
        <w:rPr>
          <w:rFonts w:ascii="Times New Roman" w:eastAsia="Times New Roman" w:hAnsi="Times New Roman" w:cs="Times New Roman"/>
          <w:kern w:val="0"/>
          <w:sz w:val="22"/>
          <w14:ligatures w14:val="none"/>
        </w:rPr>
      </w:pPr>
      <w:r w:rsidRPr="00594D3F">
        <w:rPr>
          <w:rFonts w:ascii="Times New Roman" w:eastAsia="Times New Roman" w:hAnsi="Times New Roman" w:cs="Times New Roman"/>
          <w:kern w:val="0"/>
          <w:sz w:val="22"/>
          <w14:ligatures w14:val="none"/>
        </w:rPr>
        <w:t>Kas yra MYDOCALM ir kam jis vartojamas</w:t>
      </w:r>
    </w:p>
    <w:p w14:paraId="112F9241" w14:textId="215AC8A5" w:rsidR="00C658F2" w:rsidRPr="00594D3F" w:rsidRDefault="00C658F2" w:rsidP="006B6824">
      <w:pPr>
        <w:pStyle w:val="Sraopastraipa"/>
        <w:numPr>
          <w:ilvl w:val="0"/>
          <w:numId w:val="4"/>
        </w:numPr>
        <w:spacing w:after="0" w:line="240" w:lineRule="auto"/>
        <w:ind w:left="567" w:hanging="283"/>
        <w:rPr>
          <w:rFonts w:ascii="Times New Roman" w:eastAsia="Times New Roman" w:hAnsi="Times New Roman" w:cs="Times New Roman"/>
          <w:kern w:val="0"/>
          <w:sz w:val="22"/>
          <w14:ligatures w14:val="none"/>
        </w:rPr>
      </w:pPr>
      <w:r w:rsidRPr="00594D3F">
        <w:rPr>
          <w:rFonts w:ascii="Times New Roman" w:eastAsia="Times New Roman" w:hAnsi="Times New Roman" w:cs="Times New Roman"/>
          <w:kern w:val="0"/>
          <w:sz w:val="22"/>
          <w14:ligatures w14:val="none"/>
        </w:rPr>
        <w:t xml:space="preserve">Kas žinotina prieš vartojant MYDOCALM </w:t>
      </w:r>
    </w:p>
    <w:p w14:paraId="690A7924" w14:textId="7DC16A8B" w:rsidR="00C658F2" w:rsidRPr="00594D3F" w:rsidRDefault="00C658F2" w:rsidP="006B6824">
      <w:pPr>
        <w:pStyle w:val="Sraopastraipa"/>
        <w:numPr>
          <w:ilvl w:val="0"/>
          <w:numId w:val="4"/>
        </w:numPr>
        <w:spacing w:after="0" w:line="240" w:lineRule="auto"/>
        <w:ind w:left="567" w:hanging="283"/>
        <w:rPr>
          <w:rFonts w:ascii="Times New Roman" w:eastAsia="Times New Roman" w:hAnsi="Times New Roman" w:cs="Times New Roman"/>
          <w:kern w:val="0"/>
          <w:sz w:val="22"/>
          <w14:ligatures w14:val="none"/>
        </w:rPr>
      </w:pPr>
      <w:r w:rsidRPr="00594D3F">
        <w:rPr>
          <w:rFonts w:ascii="Times New Roman" w:eastAsia="Times New Roman" w:hAnsi="Times New Roman" w:cs="Times New Roman"/>
          <w:kern w:val="0"/>
          <w:sz w:val="22"/>
          <w14:ligatures w14:val="none"/>
        </w:rPr>
        <w:t xml:space="preserve">Kaip vartoti MYDOCALM </w:t>
      </w:r>
    </w:p>
    <w:p w14:paraId="51D63664" w14:textId="731EE8DA" w:rsidR="00C658F2" w:rsidRPr="00594D3F" w:rsidRDefault="00C658F2" w:rsidP="006B6824">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594D3F">
        <w:rPr>
          <w:rFonts w:ascii="Times New Roman" w:eastAsia="Times New Roman" w:hAnsi="Times New Roman" w:cs="Times New Roman"/>
          <w:kern w:val="0"/>
          <w:sz w:val="22"/>
          <w:szCs w:val="22"/>
          <w14:ligatures w14:val="none"/>
        </w:rPr>
        <w:t>Galimas šalutinis poveikis</w:t>
      </w:r>
    </w:p>
    <w:p w14:paraId="21F16BC7" w14:textId="2C17F7AC" w:rsidR="00C658F2" w:rsidRPr="00594D3F" w:rsidRDefault="00C658F2" w:rsidP="006B6824">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594D3F">
        <w:rPr>
          <w:rFonts w:ascii="Times New Roman" w:eastAsia="Times New Roman" w:hAnsi="Times New Roman" w:cs="Times New Roman"/>
          <w:kern w:val="0"/>
          <w:sz w:val="22"/>
          <w:szCs w:val="22"/>
          <w14:ligatures w14:val="none"/>
        </w:rPr>
        <w:t xml:space="preserve">Kaip laikyti MYDOCALM </w:t>
      </w:r>
    </w:p>
    <w:p w14:paraId="45C075C7" w14:textId="4A81A6C3" w:rsidR="00C658F2" w:rsidRPr="00594D3F" w:rsidRDefault="00C658F2" w:rsidP="006B6824">
      <w:pPr>
        <w:pStyle w:val="Sraopastraipa"/>
        <w:numPr>
          <w:ilvl w:val="0"/>
          <w:numId w:val="4"/>
        </w:numPr>
        <w:spacing w:after="0" w:line="240" w:lineRule="auto"/>
        <w:ind w:left="567" w:hanging="283"/>
        <w:rPr>
          <w:rFonts w:ascii="Times New Roman" w:eastAsia="Times New Roman" w:hAnsi="Times New Roman" w:cs="Times New Roman"/>
          <w:kern w:val="0"/>
          <w:sz w:val="22"/>
          <w:szCs w:val="22"/>
          <w14:ligatures w14:val="none"/>
        </w:rPr>
      </w:pPr>
      <w:r w:rsidRPr="00594D3F">
        <w:rPr>
          <w:rFonts w:ascii="Times New Roman" w:eastAsia="Times New Roman" w:hAnsi="Times New Roman" w:cs="Times New Roman"/>
          <w:kern w:val="0"/>
          <w:sz w:val="22"/>
          <w:szCs w:val="22"/>
          <w14:ligatures w14:val="none"/>
        </w:rPr>
        <w:t>Pakuotės turinys ir kita informacija</w:t>
      </w:r>
    </w:p>
    <w:p w14:paraId="03732DE3"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74B401BA"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8B3397A" w14:textId="77777777" w:rsidR="00C658F2" w:rsidRPr="00C658F2" w:rsidRDefault="00C658F2" w:rsidP="00C658F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1.</w:t>
      </w:r>
      <w:r w:rsidRPr="00C658F2">
        <w:rPr>
          <w:rFonts w:ascii="Times New Roman" w:eastAsia="Times New Roman" w:hAnsi="Times New Roman" w:cs="Times New Roman"/>
          <w:b/>
          <w:kern w:val="0"/>
          <w:sz w:val="22"/>
          <w:szCs w:val="22"/>
          <w14:ligatures w14:val="none"/>
        </w:rPr>
        <w:tab/>
        <w:t xml:space="preserve">Kas yra MYDOCALM ir kam jis vartojamas </w:t>
      </w:r>
    </w:p>
    <w:p w14:paraId="4EB0CF5E"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p>
    <w:p w14:paraId="70101F03"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MYDOCALM veiklioji medžiaga yra tolperizonas. </w:t>
      </w:r>
      <w:r w:rsidRPr="00C658F2">
        <w:rPr>
          <w:rFonts w:ascii="Times New Roman" w:eastAsia="Times New Roman" w:hAnsi="Times New Roman" w:cs="Times New Roman"/>
          <w:bCs/>
          <w:noProof/>
          <w:kern w:val="0"/>
          <w:sz w:val="22"/>
          <w:szCs w:val="22"/>
          <w14:ligatures w14:val="none"/>
        </w:rPr>
        <w:t xml:space="preserve">Tolperizonas yra </w:t>
      </w:r>
      <w:r w:rsidRPr="00C658F2">
        <w:rPr>
          <w:rFonts w:ascii="Times New Roman" w:eastAsia="Times New Roman" w:hAnsi="Times New Roman" w:cs="Times New Roman"/>
          <w:kern w:val="0"/>
          <w:sz w:val="22"/>
          <w:szCs w:val="22"/>
          <w14:ligatures w14:val="none"/>
        </w:rPr>
        <w:t>centrinę nervų sistemą veikiantis vaistas. Jis skirtas suaugusiems pacientams po insulto padidėjusiam skeleto raumenų tonusui mažinti.</w:t>
      </w:r>
    </w:p>
    <w:p w14:paraId="3582BC70"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7383E263"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590D7AB" w14:textId="77777777" w:rsidR="00C658F2" w:rsidRPr="00C658F2" w:rsidRDefault="00C658F2" w:rsidP="00C658F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2.</w:t>
      </w:r>
      <w:r w:rsidRPr="00C658F2">
        <w:rPr>
          <w:rFonts w:ascii="Times New Roman" w:eastAsia="Times New Roman" w:hAnsi="Times New Roman" w:cs="Times New Roman"/>
          <w:b/>
          <w:kern w:val="0"/>
          <w:sz w:val="22"/>
          <w:szCs w:val="22"/>
          <w14:ligatures w14:val="none"/>
        </w:rPr>
        <w:tab/>
        <w:t xml:space="preserve">Kas žinotina prieš vartojant MYDOCALM </w:t>
      </w:r>
    </w:p>
    <w:p w14:paraId="40AE7D95"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1149B65"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MYDOCALM vartoti draudžiama:</w:t>
      </w:r>
    </w:p>
    <w:p w14:paraId="0E9A1224" w14:textId="6F74E571" w:rsidR="00C658F2" w:rsidRPr="00594D3F" w:rsidRDefault="00C658F2" w:rsidP="006B6824">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jeigu yra alergija tolperizonui ar vaistams, kurių sudėtyje yra eperizono arba bet kuriai pagalbinei šio vaisto medžiagai (jos išvardytos 6 skyriuje);</w:t>
      </w:r>
    </w:p>
    <w:p w14:paraId="47B69525" w14:textId="77777777" w:rsidR="00C658F2" w:rsidRPr="00594D3F" w:rsidRDefault="00C658F2" w:rsidP="006B6824">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jeigu sergate generalizuota miastenija (imunine liga, susijusia su raumenų silpnumu);</w:t>
      </w:r>
    </w:p>
    <w:p w14:paraId="428475E9" w14:textId="77777777" w:rsidR="00C658F2" w:rsidRPr="00594D3F" w:rsidRDefault="00C658F2" w:rsidP="006B6824">
      <w:pPr>
        <w:pStyle w:val="Sraopastraipa"/>
        <w:numPr>
          <w:ilvl w:val="0"/>
          <w:numId w:val="2"/>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 xml:space="preserve">jeigu krūtimi maitinate kūdikį. </w:t>
      </w:r>
    </w:p>
    <w:p w14:paraId="6EAC361F"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p>
    <w:p w14:paraId="5FA5323B"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r w:rsidRPr="00C658F2">
        <w:rPr>
          <w:rFonts w:ascii="Times New Roman" w:eastAsia="Times New Roman" w:hAnsi="Times New Roman" w:cs="Times New Roman"/>
          <w:b/>
          <w:noProof/>
          <w:kern w:val="0"/>
          <w:sz w:val="22"/>
          <w:szCs w:val="22"/>
          <w14:ligatures w14:val="none"/>
        </w:rPr>
        <w:t xml:space="preserve">Įspėjimai ir atsargumo priemonės </w:t>
      </w:r>
    </w:p>
    <w:p w14:paraId="5F84DBB8" w14:textId="77777777" w:rsidR="00C658F2" w:rsidRPr="00C658F2" w:rsidRDefault="00C658F2" w:rsidP="00C658F2">
      <w:pPr>
        <w:numPr>
          <w:ilvl w:val="12"/>
          <w:numId w:val="0"/>
        </w:numPr>
        <w:spacing w:after="0" w:line="240" w:lineRule="auto"/>
        <w:ind w:right="-2"/>
        <w:rPr>
          <w:rFonts w:ascii="Times New Roman" w:eastAsia="Times New Roman" w:hAnsi="Times New Roman" w:cs="Times New Roman"/>
          <w:snapToGrid w:val="0"/>
          <w:kern w:val="0"/>
          <w:sz w:val="22"/>
          <w:szCs w:val="22"/>
          <w14:ligatures w14:val="none"/>
        </w:rPr>
      </w:pPr>
      <w:r w:rsidRPr="00C658F2">
        <w:rPr>
          <w:rFonts w:ascii="Times New Roman" w:eastAsia="Times New Roman" w:hAnsi="Times New Roman" w:cs="Times New Roman"/>
          <w:noProof/>
          <w:snapToGrid w:val="0"/>
          <w:kern w:val="0"/>
          <w:sz w:val="22"/>
          <w:szCs w:val="22"/>
          <w14:ligatures w14:val="none"/>
        </w:rPr>
        <w:t>Pasitarkite su gydytoju arba vaistininku, prieš pradėdami vartoti MYDOCALM.</w:t>
      </w:r>
    </w:p>
    <w:p w14:paraId="06EE1D54" w14:textId="77777777" w:rsidR="00C658F2" w:rsidRPr="00C658F2" w:rsidRDefault="00C658F2" w:rsidP="00C658F2">
      <w:pPr>
        <w:widowControl w:val="0"/>
        <w:spacing w:after="0" w:line="240" w:lineRule="auto"/>
        <w:rPr>
          <w:rFonts w:ascii="Times New Roman" w:eastAsia="Times New Roman" w:hAnsi="Times New Roman" w:cs="Times New Roman"/>
          <w:kern w:val="0"/>
          <w:sz w:val="22"/>
          <w:szCs w:val="22"/>
          <w14:ligatures w14:val="none"/>
        </w:rPr>
      </w:pPr>
    </w:p>
    <w:p w14:paraId="77E7E02D" w14:textId="77777777" w:rsidR="00C658F2" w:rsidRPr="00C658F2" w:rsidRDefault="00C658F2" w:rsidP="00C658F2">
      <w:pPr>
        <w:widowControl w:val="0"/>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Padidėjusio jautrumo reakcijos: </w:t>
      </w:r>
      <w:r w:rsidRPr="00C658F2">
        <w:rPr>
          <w:rFonts w:ascii="Times New Roman" w:eastAsia="Times New Roman" w:hAnsi="Times New Roman" w:cs="Times New Roman"/>
          <w:kern w:val="0"/>
          <w:sz w:val="22"/>
          <w:szCs w:val="22"/>
          <w14:ligatures w14:val="none"/>
        </w:rPr>
        <w:br/>
        <w:t xml:space="preserve">Vaistams, kurių sudėtyje yra tolperizono (MYDOCALM veikliosios medžiagos) jau esant rinkoje, dažniausias šalutinis poveikis buvo padidėjusio jautrumo reakcijos.  Padidėjusio jautrumo reakcijos buvo įvairios, nuo lengvų odos reakcijų iki sunkių sisteminių reakcijų (pvz., alerginis šokas). </w:t>
      </w:r>
    </w:p>
    <w:p w14:paraId="15901530" w14:textId="77777777" w:rsidR="00C658F2" w:rsidRPr="00C658F2" w:rsidRDefault="00C658F2" w:rsidP="00C658F2">
      <w:pPr>
        <w:widowControl w:val="0"/>
        <w:spacing w:after="0" w:line="240" w:lineRule="auto"/>
        <w:ind w:left="567" w:hanging="567"/>
        <w:rPr>
          <w:rFonts w:ascii="Times New Roman" w:eastAsia="Times New Roman" w:hAnsi="Times New Roman" w:cs="Times New Roman"/>
          <w:kern w:val="0"/>
          <w:sz w:val="22"/>
          <w:szCs w:val="22"/>
          <w14:ligatures w14:val="none"/>
        </w:rPr>
      </w:pPr>
    </w:p>
    <w:p w14:paraId="53898936"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Moterims, vyresniems pacientams ar ligoniams, kartu vartojantiems kitų vaistų (daugiausiai nesteroidinių vaistų nuo uždegimo - NVNU), padidėjusio jautrumo reakcijų pavojus didesnis. Taip pat, pacientams, kuriems yra buvusi vaistų sukelta alergija ar sirgusiesiems alerginėmis ligomis (įskaitant atopiją: šienligę, astmą, atopinį dermatitą su dideliu IgE kiekiu kraujo serume, dilgėlinę) bei sergantiesiems virusų sukeltomis ligomis yra didesnis alerginės reakcijos į šį vaistą pavojus.  </w:t>
      </w:r>
    </w:p>
    <w:p w14:paraId="12A44686"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kern w:val="0"/>
          <w:sz w:val="22"/>
          <w:szCs w:val="22"/>
          <w14:ligatures w14:val="none"/>
        </w:rPr>
      </w:pPr>
    </w:p>
    <w:p w14:paraId="4332430B" w14:textId="77777777" w:rsidR="00C658F2" w:rsidRPr="00C658F2" w:rsidRDefault="00C658F2" w:rsidP="00C658F2">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Pirmieji padidėjusio jautrumo požymiai: raudonis, bėrimas, stiprus odos niežėjimas (su iškilusiais gumbais), švokštimas, pasunkėjęs kvėpavimas, kartu gali būti (ar nebūti) veido, lūpų, liežuvio ir/ar gerklės patinimas, pasunkėjęs rijimas, dažnas širdies plakimas, žemas kraujospūdis ir staigus kraujospūdžio kritimas. Jei Jums pasireiškė šie simptomai, nedelsiant nutraukite šio vaisto vartojimą ir kreipkitės į gydytoją arba vykite į artimiausią ligoninę.</w:t>
      </w:r>
    </w:p>
    <w:p w14:paraId="7A42D7F5" w14:textId="77777777" w:rsidR="00C658F2" w:rsidRPr="00C658F2" w:rsidRDefault="00C658F2" w:rsidP="00C658F2">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lastRenderedPageBreak/>
        <w:t>Jei anksčiau Jums tolperizonas yra sukėlęs alerginę reakciją, šio vaisto Jums vartoti negalima.</w:t>
      </w:r>
    </w:p>
    <w:p w14:paraId="7163BF79" w14:textId="7F9C7B7D" w:rsidR="00C658F2" w:rsidRPr="00C658F2" w:rsidRDefault="00C658F2" w:rsidP="00C658F2">
      <w:pPr>
        <w:widowControl w:val="0"/>
        <w:numPr>
          <w:ilvl w:val="12"/>
          <w:numId w:val="0"/>
        </w:num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kern w:val="0"/>
          <w:sz w:val="22"/>
          <w:szCs w:val="22"/>
          <w14:ligatures w14:val="none"/>
        </w:rPr>
      </w:pPr>
      <w:r w:rsidRPr="00C658F2">
        <w:rPr>
          <w:rFonts w:ascii="Times New Roman" w:eastAsia="Times New Roman" w:hAnsi="Times New Roman" w:cs="Times New Roman"/>
          <w:kern w:val="0"/>
          <w:sz w:val="22"/>
          <w:szCs w:val="22"/>
          <w14:ligatures w14:val="none"/>
        </w:rPr>
        <w:t>Jei Jums yra alergija lidokainui, gr</w:t>
      </w:r>
      <w:r w:rsidR="004A5F76">
        <w:rPr>
          <w:rFonts w:ascii="Times New Roman" w:eastAsia="Times New Roman" w:hAnsi="Times New Roman" w:cs="Times New Roman"/>
          <w:kern w:val="0"/>
          <w:sz w:val="22"/>
          <w:szCs w:val="22"/>
          <w14:ligatures w14:val="none"/>
        </w:rPr>
        <w:t>e</w:t>
      </w:r>
      <w:r w:rsidRPr="00C658F2">
        <w:rPr>
          <w:rFonts w:ascii="Times New Roman" w:eastAsia="Times New Roman" w:hAnsi="Times New Roman" w:cs="Times New Roman"/>
          <w:kern w:val="0"/>
          <w:sz w:val="22"/>
          <w:szCs w:val="22"/>
          <w14:ligatures w14:val="none"/>
        </w:rPr>
        <w:t>sia didesnis alerginės reakcijos į tolperizoną pavojus, Tokiu atveju prieš pradėdami gydymą, pasitarkite su gydytoju.</w:t>
      </w:r>
    </w:p>
    <w:p w14:paraId="1AB56D56"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b/>
          <w:kern w:val="0"/>
          <w:sz w:val="22"/>
          <w14:ligatures w14:val="none"/>
        </w:rPr>
      </w:pPr>
    </w:p>
    <w:p w14:paraId="3D3030C4"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r w:rsidRPr="00C658F2">
        <w:rPr>
          <w:rFonts w:ascii="Times New Roman" w:eastAsia="Times New Roman" w:hAnsi="Times New Roman" w:cs="Times New Roman"/>
          <w:b/>
          <w:noProof/>
          <w:kern w:val="0"/>
          <w:sz w:val="22"/>
          <w:szCs w:val="22"/>
          <w14:ligatures w14:val="none"/>
        </w:rPr>
        <w:t xml:space="preserve">Vaikams ir paaugliams  </w:t>
      </w:r>
    </w:p>
    <w:p w14:paraId="7CCBB5B4" w14:textId="77777777" w:rsidR="00C658F2" w:rsidRPr="00C658F2" w:rsidRDefault="00C658F2" w:rsidP="00C658F2">
      <w:pPr>
        <w:widowControl w:val="0"/>
        <w:spacing w:after="0" w:line="240" w:lineRule="auto"/>
        <w:rPr>
          <w:rFonts w:ascii="Times New Roman" w:eastAsia="Times New Roman" w:hAnsi="Times New Roman" w:cs="Times New Roman"/>
          <w:iCs/>
          <w:kern w:val="0"/>
          <w:sz w:val="22"/>
          <w:szCs w:val="22"/>
          <w14:ligatures w14:val="none"/>
        </w:rPr>
      </w:pPr>
      <w:r w:rsidRPr="00C658F2">
        <w:rPr>
          <w:rFonts w:ascii="Times New Roman" w:eastAsia="Times New Roman" w:hAnsi="Times New Roman" w:cs="Times New Roman"/>
          <w:iCs/>
          <w:kern w:val="0"/>
          <w:sz w:val="22"/>
          <w:szCs w:val="22"/>
          <w14:ligatures w14:val="none"/>
        </w:rPr>
        <w:t xml:space="preserve">Tolperizono saugumas ir veiksmingumas vaikams neištirti. </w:t>
      </w:r>
    </w:p>
    <w:p w14:paraId="2E06A6D0"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03A4D1B"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 xml:space="preserve">Kiti vaistai ir MYDOCALM </w:t>
      </w:r>
    </w:p>
    <w:p w14:paraId="67ACF2F3"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Jeigu vartojate arba neseniai vartojote kitų vaistų, arba dėl to nesate tikri, apie tai pasakykite gydytojui arba vaistininkui.</w:t>
      </w:r>
    </w:p>
    <w:p w14:paraId="70F154ED" w14:textId="304C3546" w:rsidR="00C658F2" w:rsidRPr="00C658F2" w:rsidRDefault="00C658F2" w:rsidP="00C658F2">
      <w:pPr>
        <w:spacing w:after="12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Tolperizonas gali stiprinti kai kurių vaistų, tokių kaip tioridazinas (vaistas psichozei gydyti), tolteridonas (vaistas šlapimo nelaikymui gydyti), venlafaksinas (vaistas depresijai gydyti), atomoksetinas (vaistas aktyvumo ir</w:t>
      </w:r>
      <w:r w:rsidRPr="00C658F2">
        <w:rPr>
          <w:rFonts w:ascii="Verdana" w:eastAsia="Times New Roman" w:hAnsi="Verdana" w:cs="Times New Roman"/>
          <w:kern w:val="0"/>
          <w:sz w:val="20"/>
          <w14:ligatures w14:val="none"/>
        </w:rPr>
        <w:t xml:space="preserve"> </w:t>
      </w:r>
      <w:r w:rsidRPr="00C658F2">
        <w:rPr>
          <w:rFonts w:ascii="Times New Roman" w:eastAsia="Times New Roman" w:hAnsi="Times New Roman" w:cs="Times New Roman"/>
          <w:kern w:val="0"/>
          <w:sz w:val="22"/>
          <w:szCs w:val="22"/>
          <w14:ligatures w14:val="none"/>
        </w:rPr>
        <w:t>dėmesio sutrikimui gydyti), dezipraminas (vaistas depresijai gydyti), dekstrometorfanas (kosulį slopinantis vaistas), metoprololis (beta adrenoreceptorių blokatorius, vartojamas padidėjusiam kraujospūdžiui ir krūtinės anginai (krūtinės skausmui) gydyti), nebivololis (beta adrenoreceptorių blokatorius, vartojamas padidėjusiam kraujospūdžiui ir širdies nepakankamumui gydyti) ir perfenazinas (vaistas psichozei gydyti), poveikį.</w:t>
      </w:r>
    </w:p>
    <w:p w14:paraId="75540394" w14:textId="77777777" w:rsidR="00C658F2" w:rsidRPr="00C658F2" w:rsidRDefault="00C658F2" w:rsidP="00C658F2">
      <w:pPr>
        <w:spacing w:after="120" w:line="240" w:lineRule="auto"/>
        <w:rPr>
          <w:rFonts w:ascii="Times New Roman" w:eastAsia="Times New Roman" w:hAnsi="Times New Roman" w:cs="Times New Roman"/>
          <w:kern w:val="0"/>
          <w:sz w:val="22"/>
          <w14:ligatures w14:val="none"/>
        </w:rPr>
      </w:pPr>
      <w:r w:rsidRPr="00C658F2">
        <w:rPr>
          <w:rFonts w:ascii="Times New Roman" w:eastAsia="Times New Roman" w:hAnsi="Times New Roman" w:cs="Times New Roman"/>
          <w:kern w:val="0"/>
          <w:sz w:val="22"/>
          <w14:ligatures w14:val="none"/>
        </w:rPr>
        <w:t xml:space="preserve">Nors tolperizonas yra centrinio poveikio vaistas, jo sukeliamas sedacinis </w:t>
      </w:r>
      <w:r w:rsidRPr="00C658F2">
        <w:rPr>
          <w:rFonts w:ascii="Times New Roman" w:eastAsia="Times New Roman" w:hAnsi="Times New Roman" w:cs="Times New Roman"/>
          <w:kern w:val="0"/>
          <w:sz w:val="22"/>
          <w:szCs w:val="22"/>
          <w14:ligatures w14:val="none"/>
        </w:rPr>
        <w:t xml:space="preserve">(raminamasis, slopinantis gebėjimą sukaupti dėmesį) </w:t>
      </w:r>
      <w:r w:rsidRPr="00C658F2">
        <w:rPr>
          <w:rFonts w:ascii="Times New Roman" w:eastAsia="Times New Roman" w:hAnsi="Times New Roman" w:cs="Times New Roman"/>
          <w:kern w:val="0"/>
          <w:sz w:val="22"/>
          <w14:ligatures w14:val="none"/>
        </w:rPr>
        <w:t>poveikis silpnas. Vartojant kartu su kitais centrinio poveikio miorelaksantais, būtina pagalvoti apie dozės mažinimą.</w:t>
      </w:r>
    </w:p>
    <w:p w14:paraId="331A2BCB" w14:textId="77777777" w:rsidR="00C658F2" w:rsidRPr="00C658F2" w:rsidRDefault="00C658F2" w:rsidP="00C658F2">
      <w:pPr>
        <w:spacing w:after="0" w:line="240" w:lineRule="auto"/>
        <w:rPr>
          <w:rFonts w:ascii="Times New Roman" w:eastAsia="Times New Roman" w:hAnsi="Times New Roman" w:cs="Times New Roman"/>
          <w:kern w:val="0"/>
          <w:sz w:val="22"/>
          <w14:ligatures w14:val="none"/>
        </w:rPr>
      </w:pPr>
      <w:r w:rsidRPr="00C658F2">
        <w:rPr>
          <w:rFonts w:ascii="Times New Roman" w:eastAsia="Times New Roman" w:hAnsi="Times New Roman" w:cs="Times New Roman"/>
          <w:kern w:val="0"/>
          <w:sz w:val="22"/>
          <w14:ligatures w14:val="none"/>
        </w:rPr>
        <w:t xml:space="preserve">MYDOCALM stiprina niflumo rūgšties poveikį, todėl jei šių vaistų skiriama kartu, niflumo rūgšties ar kitų nesteroidinių vaistų nuo uždegimo (NVNU) dozę reikia sumažinti. </w:t>
      </w:r>
    </w:p>
    <w:p w14:paraId="0E0EDB4C"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AFFB033"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MYDOCALM vartojimas su maistu ir gėrimais</w:t>
      </w:r>
    </w:p>
    <w:p w14:paraId="6E177A34" w14:textId="77777777" w:rsidR="00C658F2" w:rsidRPr="00C658F2" w:rsidRDefault="00C658F2" w:rsidP="00C658F2">
      <w:pPr>
        <w:widowControl w:val="0"/>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Vaistą reikia vartoti po valgio, užsigeriant stikline vandens. Nepakankamas suvalgyto maisto kiekis gali sumažinti tolperizono poveikį. </w:t>
      </w:r>
    </w:p>
    <w:p w14:paraId="15B80977"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04FD559"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Nėštumas ir žindymo laikotarpis</w:t>
      </w:r>
    </w:p>
    <w:p w14:paraId="21B89D3D"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Jeigu esate nėščia, žindote kūdikį, manote, kad galbūt esate nėščia arba planuojate pastoti, tai prieš vartodama šį vaistą, pasitarkite su gydytoju arba vaistininku.</w:t>
      </w:r>
    </w:p>
    <w:p w14:paraId="4274E1D6"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Nors niekada nebuvo pastebėtas tolperizono toksinis poveikis, gydytojas, atidžiai įvertinęs galimą riziką ir naudą, nuspręs, ar Jums galima vartoti šio vaisto, ypač pirmuosius tris nėštumo mėnesius.</w:t>
      </w:r>
    </w:p>
    <w:p w14:paraId="19089CD2" w14:textId="77777777" w:rsidR="00C658F2" w:rsidRPr="00C658F2" w:rsidRDefault="00C658F2" w:rsidP="00C658F2">
      <w:pPr>
        <w:spacing w:after="0" w:line="240" w:lineRule="auto"/>
        <w:rPr>
          <w:rFonts w:ascii="Times New Roman" w:eastAsia="Times New Roman" w:hAnsi="Times New Roman" w:cs="Times New Roman"/>
          <w:b/>
          <w:i/>
          <w:kern w:val="0"/>
          <w:sz w:val="22"/>
          <w:szCs w:val="22"/>
          <w14:ligatures w14:val="none"/>
        </w:rPr>
      </w:pPr>
    </w:p>
    <w:p w14:paraId="7A74E21A" w14:textId="77777777" w:rsidR="00C658F2" w:rsidRPr="00C658F2" w:rsidRDefault="00C658F2" w:rsidP="00C658F2">
      <w:pPr>
        <w:spacing w:after="0" w:line="240" w:lineRule="auto"/>
        <w:rPr>
          <w:rFonts w:ascii="Times New Roman" w:eastAsia="Times New Roman" w:hAnsi="Times New Roman" w:cs="Times New Roman"/>
          <w:kern w:val="0"/>
          <w:sz w:val="22"/>
          <w14:ligatures w14:val="none"/>
        </w:rPr>
      </w:pPr>
      <w:r w:rsidRPr="00C658F2">
        <w:rPr>
          <w:rFonts w:ascii="Times New Roman" w:eastAsia="Times New Roman" w:hAnsi="Times New Roman" w:cs="Times New Roman"/>
          <w:kern w:val="0"/>
          <w:sz w:val="22"/>
          <w14:ligatures w14:val="none"/>
        </w:rPr>
        <w:t>MYDOCALM negalima vartoti žindymo laikotarpiu.</w:t>
      </w:r>
    </w:p>
    <w:p w14:paraId="7112FA06"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00EBEAE"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Vairavimas ir mechanizmų valdymas</w:t>
      </w:r>
    </w:p>
    <w:p w14:paraId="50B5CE7C" w14:textId="77777777" w:rsidR="00C658F2" w:rsidRPr="00C658F2" w:rsidRDefault="00C658F2" w:rsidP="00C658F2">
      <w:pPr>
        <w:widowControl w:val="0"/>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MYDOCALM gebėjimo vairuoti ir valdyti mechanizmus neveikia. Jei vartojant MYDOCALM pasireiškia svaigulys, mieguistumas, dėmesio sutrikimas, epilepsija, neryškus matymas ar raumenų silpnumas, pasitarkite su gydytoju. </w:t>
      </w:r>
    </w:p>
    <w:p w14:paraId="69BF4A81"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A9A2E12" w14:textId="77777777" w:rsidR="00C658F2" w:rsidRPr="00C658F2" w:rsidRDefault="00C658F2" w:rsidP="00C658F2">
      <w:pPr>
        <w:spacing w:after="0" w:line="240" w:lineRule="auto"/>
        <w:rPr>
          <w:rFonts w:ascii="Times New Roman" w:eastAsia="Times New Roman" w:hAnsi="Times New Roman" w:cs="Times New Roman"/>
          <w:b/>
          <w:kern w:val="0"/>
          <w:sz w:val="22"/>
          <w14:ligatures w14:val="none"/>
        </w:rPr>
      </w:pPr>
      <w:r w:rsidRPr="00C658F2">
        <w:rPr>
          <w:rFonts w:ascii="Times New Roman" w:eastAsia="Times New Roman" w:hAnsi="Times New Roman" w:cs="Times New Roman"/>
          <w:b/>
          <w:kern w:val="0"/>
          <w:sz w:val="22"/>
          <w14:ligatures w14:val="none"/>
        </w:rPr>
        <w:t xml:space="preserve">MYDOCALM sudėtyje yra laktozės (pieno cukraus) </w:t>
      </w:r>
    </w:p>
    <w:p w14:paraId="37E6685E"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Jeigu gydytojas Jums yra sakęs, kad netoleruojate kokių nors angliavandenių, kreipkitės į jį prieš pradėdami vartoti šį vaistą.</w:t>
      </w:r>
    </w:p>
    <w:p w14:paraId="1D3EB358"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972FE9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B9E264D" w14:textId="77777777" w:rsidR="00C658F2" w:rsidRPr="00C658F2" w:rsidRDefault="00C658F2" w:rsidP="00C658F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3.</w:t>
      </w:r>
      <w:r w:rsidRPr="00C658F2">
        <w:rPr>
          <w:rFonts w:ascii="Times New Roman" w:eastAsia="Times New Roman" w:hAnsi="Times New Roman" w:cs="Times New Roman"/>
          <w:b/>
          <w:kern w:val="0"/>
          <w:sz w:val="22"/>
          <w:szCs w:val="22"/>
          <w14:ligatures w14:val="none"/>
        </w:rPr>
        <w:tab/>
        <w:t xml:space="preserve">Kaip vartoti MYDOCALM </w:t>
      </w:r>
    </w:p>
    <w:p w14:paraId="1D300EF9"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7BB265F"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Visada vartokite šį vaistą tiksliai kaip nurodė gydytojas. Jeigu abejojate, kreipkitės į gydytoją arba vaistininką.</w:t>
      </w:r>
    </w:p>
    <w:p w14:paraId="41BBE207"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FDB0660" w14:textId="77777777" w:rsidR="00C658F2" w:rsidRPr="00C658F2" w:rsidRDefault="00C658F2" w:rsidP="00C658F2">
      <w:pPr>
        <w:widowControl w:val="0"/>
        <w:spacing w:after="0" w:line="240" w:lineRule="auto"/>
        <w:rPr>
          <w:rFonts w:ascii="Times New Roman" w:eastAsia="Times New Roman" w:hAnsi="Times New Roman" w:cs="Times New Roman"/>
          <w:i/>
          <w:iCs/>
          <w:kern w:val="0"/>
          <w:sz w:val="22"/>
          <w:szCs w:val="22"/>
          <w14:ligatures w14:val="none"/>
        </w:rPr>
      </w:pPr>
      <w:r w:rsidRPr="00C658F2">
        <w:rPr>
          <w:rFonts w:ascii="Times New Roman" w:eastAsia="Times New Roman" w:hAnsi="Times New Roman" w:cs="Times New Roman"/>
          <w:kern w:val="0"/>
          <w:sz w:val="22"/>
          <w:szCs w:val="22"/>
          <w:lang w:eastAsia="x-none"/>
          <w14:ligatures w14:val="none"/>
        </w:rPr>
        <w:t>Rekomenduojama dozė suaugusiems pacientams, a</w:t>
      </w:r>
      <w:r w:rsidRPr="00C658F2">
        <w:rPr>
          <w:rFonts w:ascii="Times New Roman" w:eastAsia="Times New Roman" w:hAnsi="Times New Roman" w:cs="Times New Roman"/>
          <w:kern w:val="0"/>
          <w:sz w:val="22"/>
          <w:szCs w:val="22"/>
          <w14:ligatures w14:val="none"/>
        </w:rPr>
        <w:t xml:space="preserve">tsižvelgiant į paciento būklę ir vaisto toleravimą, skiriama po 150-450 mg  per parą, dozę padalijus į tris dalis. Šiuo vaistu preparatu mažesnė nei 450  mg paros dozė neįmanoma, todėl </w:t>
      </w:r>
      <w:r w:rsidRPr="00C658F2">
        <w:rPr>
          <w:rFonts w:ascii="Times New Roman" w:eastAsia="Calibri" w:hAnsi="Times New Roman" w:cs="Times New Roman"/>
          <w:kern w:val="0"/>
          <w:sz w:val="22"/>
          <w:szCs w:val="22"/>
          <w:lang w:eastAsia="lt-LT"/>
          <w14:ligatures w14:val="none"/>
        </w:rPr>
        <w:t>reikia vartoti kito gamintojo vaistinį preparatą, kurio sudėtyje yra tolperizono.</w:t>
      </w:r>
    </w:p>
    <w:p w14:paraId="709076ED" w14:textId="77777777" w:rsidR="00C658F2" w:rsidRPr="00C658F2" w:rsidRDefault="00C658F2" w:rsidP="00C658F2">
      <w:pPr>
        <w:spacing w:after="0" w:line="240" w:lineRule="auto"/>
        <w:rPr>
          <w:rFonts w:ascii="Times New Roman" w:eastAsia="Times New Roman" w:hAnsi="Times New Roman" w:cs="Times New Roman"/>
          <w:kern w:val="0"/>
          <w:sz w:val="22"/>
          <w14:ligatures w14:val="none"/>
        </w:rPr>
      </w:pPr>
    </w:p>
    <w:p w14:paraId="712F4B12"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Vaistą reikia vartoti po valgio, užsigeriant stikline vandens.</w:t>
      </w:r>
    </w:p>
    <w:p w14:paraId="3E5FDDD0"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p>
    <w:p w14:paraId="7ECD3A2B" w14:textId="77777777" w:rsidR="00C658F2" w:rsidRPr="00C658F2" w:rsidRDefault="00C658F2" w:rsidP="00C658F2">
      <w:pPr>
        <w:widowControl w:val="0"/>
        <w:numPr>
          <w:ilvl w:val="12"/>
          <w:numId w:val="0"/>
        </w:numPr>
        <w:spacing w:after="0" w:line="240" w:lineRule="auto"/>
        <w:rPr>
          <w:rFonts w:ascii="Times New Roman" w:eastAsia="Times New Roman" w:hAnsi="Times New Roman" w:cs="Times New Roman"/>
          <w:b/>
          <w:noProof/>
          <w:kern w:val="0"/>
          <w:sz w:val="22"/>
          <w:szCs w:val="22"/>
          <w14:ligatures w14:val="none"/>
        </w:rPr>
      </w:pPr>
      <w:r w:rsidRPr="00C658F2">
        <w:rPr>
          <w:rFonts w:ascii="Times New Roman" w:eastAsia="Times New Roman" w:hAnsi="Times New Roman" w:cs="Times New Roman"/>
          <w:b/>
          <w:noProof/>
          <w:kern w:val="0"/>
          <w:sz w:val="22"/>
          <w:szCs w:val="22"/>
          <w14:ligatures w14:val="none"/>
        </w:rPr>
        <w:lastRenderedPageBreak/>
        <w:t xml:space="preserve">Vartojimas vaikams ir paaugliams </w:t>
      </w:r>
    </w:p>
    <w:p w14:paraId="223D7A03" w14:textId="77777777" w:rsidR="00C658F2" w:rsidRPr="00C658F2" w:rsidRDefault="00C658F2" w:rsidP="00C658F2">
      <w:pPr>
        <w:widowControl w:val="0"/>
        <w:spacing w:after="0" w:line="240" w:lineRule="auto"/>
        <w:rPr>
          <w:rFonts w:ascii="Times New Roman" w:eastAsia="Times New Roman" w:hAnsi="Times New Roman" w:cs="Times New Roman"/>
          <w:iCs/>
          <w:kern w:val="0"/>
          <w:sz w:val="22"/>
          <w:szCs w:val="22"/>
          <w14:ligatures w14:val="none"/>
        </w:rPr>
      </w:pPr>
      <w:r w:rsidRPr="00C658F2">
        <w:rPr>
          <w:rFonts w:ascii="Times New Roman" w:eastAsia="Times New Roman" w:hAnsi="Times New Roman" w:cs="Times New Roman"/>
          <w:iCs/>
          <w:kern w:val="0"/>
          <w:sz w:val="22"/>
          <w:szCs w:val="22"/>
          <w14:ligatures w14:val="none"/>
        </w:rPr>
        <w:t xml:space="preserve">Tolperizono saugumas ir veiksmingumas vaikams neištirti. </w:t>
      </w:r>
    </w:p>
    <w:p w14:paraId="2B7E7844" w14:textId="77777777" w:rsidR="00C658F2" w:rsidRPr="00C658F2" w:rsidRDefault="00C658F2" w:rsidP="00C658F2">
      <w:pPr>
        <w:spacing w:after="0" w:line="240" w:lineRule="auto"/>
        <w:rPr>
          <w:rFonts w:ascii="Times New Roman" w:eastAsia="Times New Roman" w:hAnsi="Times New Roman" w:cs="Times New Roman"/>
          <w:b/>
          <w:kern w:val="0"/>
          <w:sz w:val="22"/>
          <w:szCs w:val="22"/>
          <w14:ligatures w14:val="none"/>
        </w:rPr>
      </w:pPr>
    </w:p>
    <w:p w14:paraId="2DD8A4DE" w14:textId="77777777" w:rsidR="00C658F2" w:rsidRPr="00C658F2" w:rsidRDefault="00C658F2" w:rsidP="00C658F2">
      <w:pPr>
        <w:widowControl w:val="0"/>
        <w:spacing w:after="0" w:line="240" w:lineRule="auto"/>
        <w:rPr>
          <w:rFonts w:ascii="Times New Roman" w:eastAsia="Times New Roman" w:hAnsi="Times New Roman" w:cs="Times New Roman"/>
          <w:b/>
          <w:kern w:val="0"/>
          <w:sz w:val="22"/>
          <w:szCs w:val="22"/>
          <w:lang w:eastAsia="hu-HU"/>
          <w14:ligatures w14:val="none"/>
        </w:rPr>
      </w:pPr>
      <w:r w:rsidRPr="00C658F2">
        <w:rPr>
          <w:rFonts w:ascii="Times New Roman" w:eastAsia="Times New Roman" w:hAnsi="Times New Roman" w:cs="Times New Roman"/>
          <w:b/>
          <w:iCs/>
          <w:kern w:val="0"/>
          <w:sz w:val="22"/>
          <w:szCs w:val="22"/>
          <w:lang w:eastAsia="hu-HU"/>
          <w14:ligatures w14:val="none"/>
        </w:rPr>
        <w:t xml:space="preserve">Pacientai, kuriems yra inkstų veiklos pakenkimas </w:t>
      </w:r>
    </w:p>
    <w:p w14:paraId="6B399C28" w14:textId="77777777" w:rsidR="00C658F2" w:rsidRPr="00C658F2" w:rsidRDefault="00C658F2" w:rsidP="00C658F2">
      <w:pPr>
        <w:widowControl w:val="0"/>
        <w:spacing w:after="0" w:line="240" w:lineRule="auto"/>
        <w:rPr>
          <w:rFonts w:ascii="Times New Roman" w:eastAsia="Times New Roman" w:hAnsi="Times New Roman" w:cs="Times New Roman"/>
          <w:kern w:val="0"/>
          <w:sz w:val="22"/>
          <w:szCs w:val="22"/>
          <w:lang w:eastAsia="hu-HU"/>
          <w14:ligatures w14:val="none"/>
        </w:rPr>
      </w:pPr>
      <w:r w:rsidRPr="00C658F2">
        <w:rPr>
          <w:rFonts w:ascii="Times New Roman" w:eastAsia="Times New Roman" w:hAnsi="Times New Roman" w:cs="Times New Roman"/>
          <w:kern w:val="0"/>
          <w:sz w:val="22"/>
          <w:szCs w:val="22"/>
          <w:lang w:eastAsia="hu-HU"/>
          <w14:ligatures w14:val="none"/>
        </w:rPr>
        <w:t>Vartojant MYDOCALM, Jūsų būklė bus reguliariai tiriama, įskaitant dažną inkstų veiklos tyrimą, nes šiai ligonių grupei dažniau pasireiškė nepageidaujami reiškiniai. Jeigu Jums pasireiškia sunkus inkstų pakenkimas, prieš vartodami šį vaistą, pasitarkite su gydytoju, nes esant inkstų pakenkimui, MYDOCALM vartoti nerekomenduojama.</w:t>
      </w:r>
      <w:r w:rsidRPr="00C658F2" w:rsidDel="003E334B">
        <w:rPr>
          <w:rFonts w:ascii="Times New Roman" w:eastAsia="Times New Roman" w:hAnsi="Times New Roman" w:cs="Times New Roman"/>
          <w:kern w:val="0"/>
          <w:sz w:val="22"/>
          <w:szCs w:val="22"/>
          <w:lang w:eastAsia="hu-HU"/>
          <w14:ligatures w14:val="none"/>
        </w:rPr>
        <w:t xml:space="preserve"> </w:t>
      </w:r>
      <w:r w:rsidRPr="00C658F2">
        <w:rPr>
          <w:rFonts w:ascii="Times New Roman" w:eastAsia="Times New Roman" w:hAnsi="Times New Roman" w:cs="Times New Roman"/>
          <w:kern w:val="0"/>
          <w:sz w:val="22"/>
          <w:szCs w:val="22"/>
          <w:lang w:eastAsia="hu-HU"/>
          <w14:ligatures w14:val="none"/>
        </w:rPr>
        <w:t xml:space="preserve"> </w:t>
      </w:r>
    </w:p>
    <w:p w14:paraId="1C289DA0" w14:textId="77777777" w:rsidR="00C658F2" w:rsidRPr="00C658F2" w:rsidRDefault="00C658F2" w:rsidP="00C658F2">
      <w:pPr>
        <w:widowControl w:val="0"/>
        <w:spacing w:after="0" w:line="240" w:lineRule="auto"/>
        <w:rPr>
          <w:rFonts w:ascii="Times New Roman" w:eastAsia="Times New Roman" w:hAnsi="Times New Roman" w:cs="Times New Roman"/>
          <w:iCs/>
          <w:kern w:val="0"/>
          <w:sz w:val="22"/>
          <w:szCs w:val="22"/>
          <w:lang w:eastAsia="hu-HU"/>
          <w14:ligatures w14:val="none"/>
        </w:rPr>
      </w:pPr>
    </w:p>
    <w:p w14:paraId="5D33B699" w14:textId="77777777" w:rsidR="00C658F2" w:rsidRPr="00C658F2" w:rsidRDefault="00C658F2" w:rsidP="00C658F2">
      <w:pPr>
        <w:widowControl w:val="0"/>
        <w:spacing w:after="0" w:line="240" w:lineRule="auto"/>
        <w:rPr>
          <w:rFonts w:ascii="Times New Roman" w:eastAsia="Times New Roman" w:hAnsi="Times New Roman" w:cs="Times New Roman"/>
          <w:b/>
          <w:kern w:val="0"/>
          <w:sz w:val="22"/>
          <w:szCs w:val="22"/>
          <w:lang w:eastAsia="hu-HU"/>
          <w14:ligatures w14:val="none"/>
        </w:rPr>
      </w:pPr>
      <w:r w:rsidRPr="00C658F2">
        <w:rPr>
          <w:rFonts w:ascii="Times New Roman" w:eastAsia="Times New Roman" w:hAnsi="Times New Roman" w:cs="Times New Roman"/>
          <w:b/>
          <w:iCs/>
          <w:kern w:val="0"/>
          <w:sz w:val="22"/>
          <w:szCs w:val="22"/>
          <w:lang w:eastAsia="hu-HU"/>
          <w14:ligatures w14:val="none"/>
        </w:rPr>
        <w:t>Pacientai, kuriems yra kepenų veiklos pakenkimas</w:t>
      </w:r>
    </w:p>
    <w:p w14:paraId="23F1039F" w14:textId="77777777" w:rsidR="00C658F2" w:rsidRPr="00C658F2" w:rsidRDefault="00C658F2" w:rsidP="00C658F2">
      <w:pPr>
        <w:widowControl w:val="0"/>
        <w:spacing w:after="0" w:line="240" w:lineRule="auto"/>
        <w:rPr>
          <w:rFonts w:ascii="Times New Roman" w:eastAsia="Times New Roman" w:hAnsi="Times New Roman" w:cs="Times New Roman"/>
          <w:kern w:val="0"/>
          <w:sz w:val="22"/>
          <w:szCs w:val="22"/>
          <w:lang w:eastAsia="hu-HU"/>
          <w14:ligatures w14:val="none"/>
        </w:rPr>
      </w:pPr>
      <w:r w:rsidRPr="00C658F2">
        <w:rPr>
          <w:rFonts w:ascii="Times New Roman" w:eastAsia="Times New Roman" w:hAnsi="Times New Roman" w:cs="Times New Roman"/>
          <w:kern w:val="0"/>
          <w:sz w:val="22"/>
          <w:szCs w:val="22"/>
          <w:lang w:eastAsia="hu-HU"/>
          <w14:ligatures w14:val="none"/>
        </w:rPr>
        <w:t xml:space="preserve">Vartojant MYDOCALM, Jūsų būklė bus reguliariai tiriama, įskaitant dažną kepenų veiklos tyrimą, nes šiai ligonių grupei dažniau pasireiškė nepageidaujami reiškiniai. Jeigu Jums pasireiškia sunkus kepenų pakenkimas, prieš vartodami šį vaistą, pasitarkite su gydytoju, nes esant sunkiam kepenų pakenkimui, MYDOCALM vartoti nerekomenduojama. </w:t>
      </w:r>
    </w:p>
    <w:p w14:paraId="70249DC9"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47C61C9C"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Ką daryti pavartojus per didelę MYDOCALM dozę?</w:t>
      </w:r>
    </w:p>
    <w:p w14:paraId="1644586D" w14:textId="77777777" w:rsidR="00C658F2" w:rsidRPr="00C658F2" w:rsidRDefault="00C658F2" w:rsidP="00C658F2">
      <w:pPr>
        <w:spacing w:after="0" w:line="240" w:lineRule="auto"/>
        <w:rPr>
          <w:rFonts w:ascii="Times New Roman" w:eastAsia="Times New Roman" w:hAnsi="Times New Roman" w:cs="Times New Roman"/>
          <w:kern w:val="0"/>
          <w:sz w:val="22"/>
          <w14:ligatures w14:val="none"/>
        </w:rPr>
      </w:pPr>
      <w:r w:rsidRPr="00C658F2">
        <w:rPr>
          <w:rFonts w:ascii="Times New Roman" w:eastAsia="Times New Roman" w:hAnsi="Times New Roman" w:cs="Times New Roman"/>
          <w:kern w:val="0"/>
          <w:sz w:val="22"/>
          <w:szCs w:val="22"/>
          <w14:ligatures w14:val="none"/>
        </w:rPr>
        <w:t>Perdozavimas gali pasireikšti tokiais simptomais, kaip  mieguistumas, virškinimo trakto sutrikimai (pykinimas, vėmimas, viršutinės pilvo dalies [</w:t>
      </w:r>
      <w:proofErr w:type="spellStart"/>
      <w:r w:rsidRPr="00C658F2">
        <w:rPr>
          <w:rFonts w:ascii="Times New Roman" w:eastAsia="Times New Roman" w:hAnsi="Times New Roman" w:cs="Times New Roman"/>
          <w:kern w:val="0"/>
          <w:sz w:val="22"/>
          <w:szCs w:val="22"/>
          <w14:ligatures w14:val="none"/>
        </w:rPr>
        <w:t>pakrūtinio</w:t>
      </w:r>
      <w:proofErr w:type="spellEnd"/>
      <w:r w:rsidRPr="00C658F2">
        <w:rPr>
          <w:rFonts w:ascii="Times New Roman" w:eastAsia="Times New Roman" w:hAnsi="Times New Roman" w:cs="Times New Roman"/>
          <w:kern w:val="0"/>
          <w:sz w:val="22"/>
          <w:szCs w:val="22"/>
          <w14:ligatures w14:val="none"/>
        </w:rPr>
        <w:t>] skausmas), dažnas širdies plakimas, padidėjęs kraujospūdis, sulėtėję judesiai arba svaigimas (galvos sukimasis). Gauta pranešimų apie sunkiais atvejais atsiradusius traukulius, susilpnėjusį kvėpavimą ar jo sustojimą ir komą.</w:t>
      </w:r>
      <w:r w:rsidRPr="00C658F2">
        <w:rPr>
          <w:rFonts w:ascii="Times New Roman" w:eastAsia="Times New Roman" w:hAnsi="Times New Roman" w:cs="Times New Roman"/>
          <w:kern w:val="0"/>
          <w:sz w:val="22"/>
          <w14:ligatures w14:val="none"/>
        </w:rPr>
        <w:t xml:space="preserve"> </w:t>
      </w:r>
    </w:p>
    <w:p w14:paraId="57011993"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14:ligatures w14:val="none"/>
        </w:rPr>
        <w:t>Pavartoję per didelę dozę, nedelsiant kreipkitės į gydytoją, vaistininką arba artimiausios ligoninės skubios pagalbos priėmimo skyrių.</w:t>
      </w:r>
    </w:p>
    <w:p w14:paraId="603EFD48"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p>
    <w:p w14:paraId="6B87AE09"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 xml:space="preserve">Pamiršus pavartoti MYDOCALM </w:t>
      </w:r>
    </w:p>
    <w:p w14:paraId="4F2C8B46"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Kitą doze pavartokite įprastu laiku.</w:t>
      </w:r>
    </w:p>
    <w:p w14:paraId="7AE7EDF1"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Negalima vartoti dvigubos dozės norint kompensuoti praleistą tabletę dozę.</w:t>
      </w:r>
    </w:p>
    <w:p w14:paraId="2EA03DDF"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4726FA6" w14:textId="77777777" w:rsidR="00C658F2" w:rsidRPr="00C658F2" w:rsidRDefault="00C658F2" w:rsidP="00C658F2">
      <w:pPr>
        <w:spacing w:after="0" w:line="220" w:lineRule="exact"/>
        <w:rPr>
          <w:rFonts w:ascii="Times New Roman" w:eastAsia="Times New Roman" w:hAnsi="Times New Roman" w:cs="Times New Roman"/>
          <w:b/>
          <w:bCs/>
          <w:kern w:val="0"/>
          <w:sz w:val="22"/>
          <w:szCs w:val="22"/>
          <w14:ligatures w14:val="none"/>
        </w:rPr>
      </w:pPr>
      <w:r w:rsidRPr="00C658F2">
        <w:rPr>
          <w:rFonts w:ascii="Times New Roman" w:eastAsia="Times New Roman" w:hAnsi="Times New Roman" w:cs="Times New Roman"/>
          <w:b/>
          <w:bCs/>
          <w:kern w:val="0"/>
          <w:sz w:val="22"/>
          <w:szCs w:val="22"/>
          <w14:ligatures w14:val="none"/>
        </w:rPr>
        <w:t xml:space="preserve">Nustojus vartoti MYDOCALM </w:t>
      </w:r>
    </w:p>
    <w:p w14:paraId="453212C3"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Jei Jums atrodo, kad vaistas veikia per stipriai ar per silpnai, nenutraukite vaisto vartojimo, pasitarkite su gydytoju.</w:t>
      </w:r>
    </w:p>
    <w:p w14:paraId="2D06AC6A"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Jeigu kiltų daugiau klausimų dėl šio vaisto vartojimo, kreipkitės į gydytoją arba vaistininką.</w:t>
      </w:r>
    </w:p>
    <w:p w14:paraId="741135B9"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346E488"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1BA05A7" w14:textId="77777777" w:rsidR="00C658F2" w:rsidRPr="00C658F2" w:rsidRDefault="00C658F2" w:rsidP="00C658F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4.</w:t>
      </w:r>
      <w:r w:rsidRPr="00C658F2">
        <w:rPr>
          <w:rFonts w:ascii="Times New Roman" w:eastAsia="Times New Roman" w:hAnsi="Times New Roman" w:cs="Times New Roman"/>
          <w:b/>
          <w:kern w:val="0"/>
          <w:sz w:val="22"/>
          <w:szCs w:val="22"/>
          <w14:ligatures w14:val="none"/>
        </w:rPr>
        <w:tab/>
        <w:t xml:space="preserve">Galimas šalutinis poveikis </w:t>
      </w:r>
    </w:p>
    <w:p w14:paraId="3877C61D"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5F81655"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Šis vaistas, kaip ir visi kiti, gali sukelti šalutinį poveikį, nors jis pasireiškia ne visiems žmonėms.</w:t>
      </w:r>
    </w:p>
    <w:p w14:paraId="797DA5E0"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Šie šalutinio poveikio reiškiniai paprastai yra lengvi ir išnyksta, nutraukus vaisto vartojimą.</w:t>
      </w:r>
    </w:p>
    <w:p w14:paraId="64516AE6"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27EE262"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i/>
          <w:kern w:val="0"/>
          <w:sz w:val="22"/>
          <w:szCs w:val="22"/>
          <w:lang w:eastAsia="x-none"/>
          <w14:ligatures w14:val="none"/>
        </w:rPr>
        <w:t>Nedažni šalutinio poveikio reiškiniai (gali pasireikšti rečiau kaip 1 iš 100 asmenų):</w:t>
      </w:r>
      <w:r w:rsidRPr="00C658F2">
        <w:rPr>
          <w:rFonts w:ascii="Times New Roman" w:eastAsia="Times New Roman" w:hAnsi="Times New Roman" w:cs="Times New Roman"/>
          <w:kern w:val="0"/>
          <w:sz w:val="22"/>
          <w:szCs w:val="22"/>
          <w:lang w:eastAsia="x-none"/>
          <w14:ligatures w14:val="none"/>
        </w:rPr>
        <w:t xml:space="preserve"> apetito stoka, nemiga, miego sutrikimai, galvos skausmas, svaigulys, mieguistumas, žemas kraujospūdis, ,nemalonūs jutimai pilve, viduriavimas, burnos džiūvimas, nevirškinimas, pykinimas, raumenų silpnumas, raumenų skausmas, kojų ir rankų skausmas, nuovargis, silpnumas, nemaloni savijauta,.</w:t>
      </w:r>
    </w:p>
    <w:p w14:paraId="78BF817F"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5D7D24E"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i/>
          <w:kern w:val="0"/>
          <w:sz w:val="22"/>
          <w:szCs w:val="22"/>
          <w:lang w:eastAsia="x-none"/>
          <w14:ligatures w14:val="none"/>
        </w:rPr>
        <w:t>Reti šalutinio poveikio reiškiniai</w:t>
      </w:r>
      <w:r w:rsidRPr="00C658F2">
        <w:rPr>
          <w:rFonts w:ascii="Times New Roman" w:eastAsia="Times New Roman" w:hAnsi="Times New Roman" w:cs="Times New Roman"/>
          <w:b/>
          <w:i/>
          <w:kern w:val="0"/>
          <w:sz w:val="22"/>
          <w:szCs w:val="22"/>
          <w:lang w:eastAsia="x-none"/>
          <w14:ligatures w14:val="none"/>
        </w:rPr>
        <w:t xml:space="preserve"> </w:t>
      </w:r>
      <w:r w:rsidRPr="00C658F2">
        <w:rPr>
          <w:rFonts w:ascii="Times New Roman" w:eastAsia="Times New Roman" w:hAnsi="Times New Roman" w:cs="Times New Roman"/>
          <w:i/>
          <w:kern w:val="0"/>
          <w:sz w:val="22"/>
          <w:szCs w:val="22"/>
          <w:lang w:eastAsia="x-none"/>
          <w14:ligatures w14:val="none"/>
        </w:rPr>
        <w:t>(gali pasireikšti rečiau kaip 1 iš 1 000 asmenų):</w:t>
      </w:r>
      <w:r w:rsidRPr="00C658F2">
        <w:rPr>
          <w:rFonts w:ascii="Times New Roman" w:eastAsia="Times New Roman" w:hAnsi="Times New Roman" w:cs="Times New Roman"/>
          <w:kern w:val="0"/>
          <w:sz w:val="22"/>
          <w:szCs w:val="22"/>
          <w:lang w:eastAsia="x-none"/>
          <w14:ligatures w14:val="none"/>
        </w:rPr>
        <w:t xml:space="preserve"> padidėjusio jautrumo (alergijos)  reakcijos*, sunki padidėjusio jautrumo reakcija (anafilaksinė reakcija), sumažėjęs aktyvumas, prislėgta nuotaika, dėmesio sutrikimas, drebulys, epilepsija, sumažėjęs jautrumas, nenormalūs odos jutimai (skruzdėlyčių bėgiojimo, tirpimo ar dilgsėjimo jutimas), letargija (būsena, panaši į ilgą miegą), neryškus matymas, spengimas ausyse, galvos sukimasis, spaudžiantis krūtinės skausmas (krūtinės angina), dažnas pulsas, dažnas ir nereguliarus širdies plakimas, veido ir kaklo paraudimas, dusulys, nosies kraujavimas, dažnas kvėpavimas, skausmas viršutinėje pilvo dalyje „po duobute“ (epigastriume), vidurių užkietėjimas, dujų kaupimasis žarnyne, vėmimas, lengvas kepenų sutrikimas, odos uždegimas, sustiprėjęs prakaitavimas, niežulys, dilgėlinė, bėrimas, šlapimo nelaikymas ir nevalingas šlapinimasis, baltymų atsiradimas šlapime (aptinkamas laboratoriniais tyrimais), nemalonūs jutimai galūnėse, apsvaigimo pojūtis, karščio pojūtis, dirglumas, troškulys, pakitę laboratorinių tyrimų rodmenys (padidėjęs bilirubino kiekis), nenormalūs kepenų fermentų aktyvumo rodmenys, sumažėjęs trombocitų skaičius, padidėjęs baltųjų kraujo ląstelių skaičius.</w:t>
      </w:r>
    </w:p>
    <w:p w14:paraId="23ABED34"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15B7A8D4"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i/>
          <w:kern w:val="0"/>
          <w:sz w:val="22"/>
          <w:szCs w:val="22"/>
          <w:lang w:eastAsia="x-none"/>
          <w14:ligatures w14:val="none"/>
        </w:rPr>
        <w:lastRenderedPageBreak/>
        <w:t>Labai reti šalutinio poveikio reiškiniai</w:t>
      </w:r>
      <w:r w:rsidRPr="00C658F2">
        <w:rPr>
          <w:rFonts w:ascii="Times New Roman" w:eastAsia="Times New Roman" w:hAnsi="Times New Roman" w:cs="Times New Roman"/>
          <w:b/>
          <w:i/>
          <w:kern w:val="0"/>
          <w:sz w:val="22"/>
          <w:szCs w:val="22"/>
          <w:lang w:eastAsia="x-none"/>
          <w14:ligatures w14:val="none"/>
        </w:rPr>
        <w:t xml:space="preserve"> </w:t>
      </w:r>
      <w:r w:rsidRPr="00C658F2">
        <w:rPr>
          <w:rFonts w:ascii="Times New Roman" w:eastAsia="Times New Roman" w:hAnsi="Times New Roman" w:cs="Times New Roman"/>
          <w:i/>
          <w:kern w:val="0"/>
          <w:sz w:val="22"/>
          <w:szCs w:val="22"/>
          <w:lang w:eastAsia="x-none"/>
          <w14:ligatures w14:val="none"/>
        </w:rPr>
        <w:t>(gali pasireikšti rečiau kaip 1 iš 10 000 asmenų):</w:t>
      </w:r>
      <w:r w:rsidRPr="00C658F2">
        <w:rPr>
          <w:rFonts w:ascii="Times New Roman" w:eastAsia="Times New Roman" w:hAnsi="Times New Roman" w:cs="Times New Roman"/>
          <w:kern w:val="0"/>
          <w:sz w:val="22"/>
          <w:szCs w:val="22"/>
          <w:lang w:eastAsia="x-none"/>
          <w14:ligatures w14:val="none"/>
        </w:rPr>
        <w:t xml:space="preserve"> mažakraujystė, padidėję limfmazgiai,  sumišimas, sunkios alerginės reakcijos (alerginis šokas), stiprus troškulys, retas pulsas, nežymiai sumažėjęs kaulų mineralų tankis, nemalonūs jutimai krūtinėje, pakitę kraujo tyrimų rodmenys (padidėjęs kreatinino kiekis kraujyje).</w:t>
      </w:r>
    </w:p>
    <w:p w14:paraId="41D484B0" w14:textId="77777777" w:rsidR="00C658F2" w:rsidRPr="00C658F2" w:rsidRDefault="00C658F2" w:rsidP="00C658F2">
      <w:pPr>
        <w:spacing w:after="0" w:line="240" w:lineRule="auto"/>
        <w:rPr>
          <w:rFonts w:ascii="Times New Roman" w:eastAsia="Times New Roman" w:hAnsi="Times New Roman" w:cs="Times New Roman"/>
          <w:noProof/>
          <w:kern w:val="0"/>
          <w:sz w:val="22"/>
          <w:szCs w:val="22"/>
          <w14:ligatures w14:val="none"/>
        </w:rPr>
      </w:pPr>
    </w:p>
    <w:p w14:paraId="10F32C35" w14:textId="77777777" w:rsidR="00C658F2" w:rsidRPr="00C658F2" w:rsidRDefault="00C658F2" w:rsidP="00C658F2">
      <w:pPr>
        <w:spacing w:after="0" w:line="240" w:lineRule="auto"/>
        <w:rPr>
          <w:rFonts w:ascii="Times New Roman" w:eastAsia="Times New Roman" w:hAnsi="Times New Roman" w:cs="Times New Roman"/>
          <w:noProof/>
          <w:kern w:val="0"/>
          <w:sz w:val="22"/>
          <w:szCs w:val="22"/>
          <w14:ligatures w14:val="none"/>
        </w:rPr>
      </w:pPr>
      <w:r w:rsidRPr="00C658F2">
        <w:rPr>
          <w:rFonts w:ascii="Times New Roman" w:eastAsia="Times New Roman" w:hAnsi="Times New Roman" w:cs="Times New Roman"/>
          <w:i/>
          <w:noProof/>
          <w:kern w:val="0"/>
          <w:sz w:val="22"/>
          <w:szCs w:val="22"/>
          <w14:ligatures w14:val="none"/>
        </w:rPr>
        <w:t>Šalutinio poveikio reiškiniai, kurių dažnis nežinomas (negali būti apskaičiuotas pagal turimus duomenis):</w:t>
      </w:r>
      <w:r w:rsidRPr="00C658F2">
        <w:rPr>
          <w:rFonts w:ascii="Times New Roman" w:eastAsia="Times New Roman" w:hAnsi="Times New Roman" w:cs="Times New Roman"/>
          <w:noProof/>
          <w:kern w:val="0"/>
          <w:sz w:val="22"/>
          <w:szCs w:val="22"/>
          <w14:ligatures w14:val="none"/>
        </w:rPr>
        <w:t xml:space="preserve"> staigus plaštakų, pėdų, kulkšnių, veido, lūpų, liežuvio ar gerklės tinimas. Taip pat gali pasunkėti kvėpavimas ir rijimas.</w:t>
      </w:r>
    </w:p>
    <w:p w14:paraId="5BF39FAE"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C41B96B" w14:textId="77777777" w:rsidR="00C658F2" w:rsidRPr="00C658F2" w:rsidRDefault="00C658F2" w:rsidP="00C658F2">
      <w:pPr>
        <w:spacing w:after="0" w:line="240" w:lineRule="auto"/>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noProof/>
          <w:kern w:val="0"/>
          <w:sz w:val="22"/>
          <w:szCs w:val="22"/>
          <w14:ligatures w14:val="none"/>
        </w:rPr>
        <w:t>Pranešimas apie šalutinį poveikį</w:t>
      </w:r>
    </w:p>
    <w:p w14:paraId="36C0D5EF" w14:textId="77777777" w:rsidR="006B6824" w:rsidRPr="006B6824" w:rsidRDefault="006B6824" w:rsidP="006B6824">
      <w:pPr>
        <w:spacing w:after="0" w:line="240" w:lineRule="auto"/>
        <w:rPr>
          <w:rFonts w:ascii="Times New Roman" w:eastAsia="Times New Roman" w:hAnsi="Times New Roman" w:cs="Times New Roman"/>
          <w:kern w:val="0"/>
          <w:sz w:val="22"/>
          <w:szCs w:val="20"/>
          <w14:ligatures w14:val="none"/>
        </w:rPr>
      </w:pPr>
      <w:r w:rsidRPr="006B6824">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B6824">
          <w:rPr>
            <w:rFonts w:ascii="Times New Roman" w:eastAsia="Times New Roman" w:hAnsi="Times New Roman" w:cs="Times New Roman"/>
            <w:color w:val="467886"/>
            <w:kern w:val="0"/>
            <w:sz w:val="22"/>
            <w:szCs w:val="20"/>
            <w:u w:val="single"/>
            <w:lang w:eastAsia="lt-LT"/>
            <w14:ligatures w14:val="none"/>
          </w:rPr>
          <w:t>https://vvkt.lrv.lt/lt/</w:t>
        </w:r>
      </w:hyperlink>
      <w:r w:rsidRPr="006B6824">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6B6824">
        <w:rPr>
          <w:rFonts w:ascii="Times New Roman" w:eastAsia="Times New Roman" w:hAnsi="Times New Roman" w:cs="Times New Roman"/>
          <w:kern w:val="0"/>
          <w:sz w:val="22"/>
          <w:szCs w:val="20"/>
          <w14:ligatures w14:val="none"/>
        </w:rPr>
        <w:t>.</w:t>
      </w:r>
    </w:p>
    <w:p w14:paraId="0776146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7F9FD59"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C792D2E" w14:textId="77777777" w:rsidR="00C658F2" w:rsidRPr="00C658F2" w:rsidRDefault="00C658F2" w:rsidP="00C658F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5.</w:t>
      </w:r>
      <w:r w:rsidRPr="00C658F2">
        <w:rPr>
          <w:rFonts w:ascii="Times New Roman" w:eastAsia="Times New Roman" w:hAnsi="Times New Roman" w:cs="Times New Roman"/>
          <w:b/>
          <w:kern w:val="0"/>
          <w:sz w:val="22"/>
          <w:szCs w:val="22"/>
          <w14:ligatures w14:val="none"/>
        </w:rPr>
        <w:tab/>
        <w:t xml:space="preserve">Kaip laikyti MYDOCALM </w:t>
      </w:r>
    </w:p>
    <w:p w14:paraId="3FC6FC20"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4FC33D3A"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Šį vaistą laikykite vaikams nepastebimoje ir nepasiekiamoje vietoje.</w:t>
      </w:r>
    </w:p>
    <w:p w14:paraId="1010BF9A"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753EDC5A" w14:textId="77777777" w:rsidR="001101AF" w:rsidRPr="00594D3F" w:rsidRDefault="001101AF"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Laikyti žemesnėje nei 30 °C temperatūroje.</w:t>
      </w:r>
    </w:p>
    <w:p w14:paraId="42845AC2" w14:textId="28CCD95C" w:rsidR="00C658F2" w:rsidRPr="00594D3F" w:rsidRDefault="001101AF"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Laikyti gamintojo pakuotėje.</w:t>
      </w:r>
    </w:p>
    <w:p w14:paraId="12102A63" w14:textId="77777777" w:rsidR="001101AF" w:rsidRPr="00C658F2" w:rsidRDefault="001101AF"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A9AA6D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Ant dėžutės po „Tinka iki“  ir lizdinės plokštelės nurodytam tinkamumo laikui pasibaigus, šio vaisto vartoti negalima. Vaistas tinkamas vartoti iki paskutinės nurodyto mėnesio dienos.</w:t>
      </w:r>
    </w:p>
    <w:p w14:paraId="4A000C5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7EE6CF01"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kern w:val="0"/>
          <w:sz w:val="22"/>
          <w:szCs w:val="22"/>
          <w:lang w:eastAsia="x-none"/>
          <w14:ligatures w14:val="none"/>
        </w:rPr>
        <w:t>Vaistų negalima išmesti į kanalizaciją arba su buitinėmis atliekomis. Kaip išmesti nereikalingus vaistus, klauskite vaistininko. Šios priemonės padės apsaugoti aplinką.</w:t>
      </w:r>
    </w:p>
    <w:p w14:paraId="77A0524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5C820E0A"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04618D26" w14:textId="77777777" w:rsidR="00C658F2" w:rsidRPr="00C658F2" w:rsidRDefault="00C658F2" w:rsidP="00C658F2">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C658F2">
        <w:rPr>
          <w:rFonts w:ascii="Times New Roman" w:eastAsia="Times New Roman" w:hAnsi="Times New Roman" w:cs="Times New Roman"/>
          <w:b/>
          <w:kern w:val="0"/>
          <w:sz w:val="22"/>
          <w:szCs w:val="22"/>
          <w14:ligatures w14:val="none"/>
        </w:rPr>
        <w:t>6.</w:t>
      </w:r>
      <w:r w:rsidRPr="00C658F2">
        <w:rPr>
          <w:rFonts w:ascii="Times New Roman" w:eastAsia="Times New Roman" w:hAnsi="Times New Roman" w:cs="Times New Roman"/>
          <w:b/>
          <w:kern w:val="0"/>
          <w:sz w:val="22"/>
          <w:szCs w:val="22"/>
          <w14:ligatures w14:val="none"/>
        </w:rPr>
        <w:tab/>
        <w:t xml:space="preserve">Pakuotės turinys ir kita informacija </w:t>
      </w:r>
    </w:p>
    <w:p w14:paraId="2D70936B"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31F20143" w14:textId="23B5E27A" w:rsidR="00C658F2" w:rsidRPr="00C658F2" w:rsidRDefault="00C658F2" w:rsidP="003627E7">
      <w:pPr>
        <w:spacing w:after="0" w:line="220" w:lineRule="exact"/>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b/>
          <w:bCs/>
          <w:kern w:val="0"/>
          <w:sz w:val="22"/>
          <w:szCs w:val="22"/>
          <w14:ligatures w14:val="none"/>
        </w:rPr>
        <w:t>MYDOCALM sudėtis</w:t>
      </w:r>
    </w:p>
    <w:p w14:paraId="2C27259B" w14:textId="359EC29B" w:rsidR="00C658F2" w:rsidRPr="00594D3F" w:rsidRDefault="00C658F2" w:rsidP="003627E7">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Veiklioji medžiaga yra tolperizono hidrochloridas.</w:t>
      </w:r>
      <w:r w:rsidR="00594D3F" w:rsidRPr="00594D3F">
        <w:rPr>
          <w:rFonts w:ascii="Times New Roman" w:eastAsia="Times New Roman" w:hAnsi="Times New Roman" w:cs="Times New Roman"/>
          <w:kern w:val="0"/>
          <w:sz w:val="22"/>
          <w:szCs w:val="22"/>
          <w:lang w:eastAsia="x-none"/>
          <w14:ligatures w14:val="none"/>
        </w:rPr>
        <w:t xml:space="preserve"> </w:t>
      </w:r>
      <w:r w:rsidRPr="00594D3F">
        <w:rPr>
          <w:rFonts w:ascii="Times New Roman" w:eastAsia="Times New Roman" w:hAnsi="Times New Roman" w:cs="Times New Roman"/>
          <w:kern w:val="0"/>
          <w:sz w:val="22"/>
          <w:szCs w:val="22"/>
          <w:lang w:eastAsia="x-none"/>
          <w14:ligatures w14:val="none"/>
        </w:rPr>
        <w:t>Vienoje plėvele dengtoje tabletėje jo yra 150</w:t>
      </w:r>
      <w:r w:rsidR="00594D3F" w:rsidRPr="00594D3F">
        <w:rPr>
          <w:rFonts w:ascii="Times New Roman" w:eastAsia="Times New Roman" w:hAnsi="Times New Roman" w:cs="Times New Roman"/>
          <w:kern w:val="0"/>
          <w:sz w:val="22"/>
          <w:szCs w:val="22"/>
          <w:lang w:eastAsia="x-none"/>
          <w14:ligatures w14:val="none"/>
        </w:rPr>
        <w:t xml:space="preserve"> </w:t>
      </w:r>
      <w:r w:rsidRPr="00594D3F">
        <w:rPr>
          <w:rFonts w:ascii="Times New Roman" w:eastAsia="Times New Roman" w:hAnsi="Times New Roman" w:cs="Times New Roman"/>
          <w:kern w:val="0"/>
          <w:sz w:val="22"/>
          <w:szCs w:val="22"/>
          <w:lang w:eastAsia="x-none"/>
          <w14:ligatures w14:val="none"/>
        </w:rPr>
        <w:t>mg.</w:t>
      </w:r>
    </w:p>
    <w:p w14:paraId="74DA82F9" w14:textId="77777777" w:rsidR="00C658F2" w:rsidRPr="00594D3F" w:rsidRDefault="00C658F2" w:rsidP="003627E7">
      <w:pPr>
        <w:pStyle w:val="Sraopastraipa"/>
        <w:numPr>
          <w:ilvl w:val="0"/>
          <w:numId w:val="1"/>
        </w:numPr>
        <w:spacing w:after="0" w:line="240" w:lineRule="auto"/>
        <w:ind w:left="567" w:hanging="283"/>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kern w:val="0"/>
          <w:sz w:val="22"/>
          <w:szCs w:val="22"/>
          <w:lang w:eastAsia="x-none"/>
          <w14:ligatures w14:val="none"/>
        </w:rPr>
        <w:t>Pagalbinės medžiagos yra:</w:t>
      </w:r>
    </w:p>
    <w:p w14:paraId="7DDF7839" w14:textId="77777777" w:rsidR="00C658F2" w:rsidRPr="00594D3F" w:rsidRDefault="00C658F2" w:rsidP="003627E7">
      <w:pPr>
        <w:pStyle w:val="Sraopastraipa"/>
        <w:spacing w:after="0" w:line="240" w:lineRule="auto"/>
        <w:ind w:left="567"/>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i/>
          <w:kern w:val="0"/>
          <w:sz w:val="22"/>
          <w:szCs w:val="22"/>
          <w:lang w:eastAsia="x-none"/>
          <w14:ligatures w14:val="none"/>
        </w:rPr>
        <w:t>Tablečių branduolys</w:t>
      </w:r>
      <w:r w:rsidRPr="00594D3F">
        <w:rPr>
          <w:rFonts w:ascii="Times New Roman" w:eastAsia="Times New Roman" w:hAnsi="Times New Roman" w:cs="Times New Roman"/>
          <w:kern w:val="0"/>
          <w:sz w:val="22"/>
          <w:szCs w:val="22"/>
          <w:lang w:eastAsia="x-none"/>
          <w14:ligatures w14:val="none"/>
        </w:rPr>
        <w:t xml:space="preserve">: citrinų rūgštis monohidratas (E330), koloidinis bevandenis silicio dioksidas (E551), stearino rūgštis (E570), talkas (E533b), mikrokristalinė celiuliozė (E460), kukurūzų krakmolas, laktozė monohidratas. </w:t>
      </w:r>
    </w:p>
    <w:p w14:paraId="011426F6" w14:textId="77777777" w:rsidR="00C658F2" w:rsidRPr="00594D3F" w:rsidRDefault="00C658F2" w:rsidP="003627E7">
      <w:pPr>
        <w:pStyle w:val="Sraopastraipa"/>
        <w:spacing w:after="0" w:line="240" w:lineRule="auto"/>
        <w:ind w:left="567"/>
        <w:rPr>
          <w:rFonts w:ascii="Times New Roman" w:eastAsia="Times New Roman" w:hAnsi="Times New Roman" w:cs="Times New Roman"/>
          <w:kern w:val="0"/>
          <w:sz w:val="22"/>
          <w:szCs w:val="22"/>
          <w:lang w:eastAsia="x-none"/>
          <w14:ligatures w14:val="none"/>
        </w:rPr>
      </w:pPr>
      <w:r w:rsidRPr="00594D3F">
        <w:rPr>
          <w:rFonts w:ascii="Times New Roman" w:eastAsia="Times New Roman" w:hAnsi="Times New Roman" w:cs="Times New Roman"/>
          <w:i/>
          <w:kern w:val="0"/>
          <w:sz w:val="22"/>
          <w:szCs w:val="22"/>
          <w:lang w:eastAsia="x-none"/>
          <w14:ligatures w14:val="none"/>
        </w:rPr>
        <w:t xml:space="preserve">Tablečių plėvelė: </w:t>
      </w:r>
      <w:r w:rsidRPr="00594D3F">
        <w:rPr>
          <w:rFonts w:ascii="Times New Roman" w:eastAsia="Times New Roman" w:hAnsi="Times New Roman" w:cs="Times New Roman"/>
          <w:kern w:val="0"/>
          <w:sz w:val="22"/>
          <w:szCs w:val="22"/>
          <w:lang w:eastAsia="x-none"/>
          <w14:ligatures w14:val="none"/>
        </w:rPr>
        <w:t>koloidinis bevandenis silicio dioksidas (E551), titano dioksidas (E171), laktozė monohidratas, makrogolis 6000, hipromeliozė.</w:t>
      </w:r>
    </w:p>
    <w:p w14:paraId="7D274F67"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69425287" w14:textId="5001A41E" w:rsidR="00C658F2" w:rsidRPr="00C658F2" w:rsidRDefault="00C658F2" w:rsidP="003627E7">
      <w:pPr>
        <w:spacing w:after="0" w:line="220" w:lineRule="exact"/>
        <w:rPr>
          <w:rFonts w:ascii="Times New Roman" w:eastAsia="Times New Roman" w:hAnsi="Times New Roman" w:cs="Times New Roman"/>
          <w:kern w:val="0"/>
          <w:sz w:val="22"/>
          <w:szCs w:val="22"/>
          <w:lang w:eastAsia="x-none"/>
          <w14:ligatures w14:val="none"/>
        </w:rPr>
      </w:pPr>
      <w:r w:rsidRPr="00C658F2">
        <w:rPr>
          <w:rFonts w:ascii="Times New Roman" w:eastAsia="Times New Roman" w:hAnsi="Times New Roman" w:cs="Times New Roman"/>
          <w:b/>
          <w:bCs/>
          <w:kern w:val="0"/>
          <w:sz w:val="22"/>
          <w:szCs w:val="22"/>
          <w14:ligatures w14:val="none"/>
        </w:rPr>
        <w:t>MYDOCALM išvaizda ir kiekis pakuotėje</w:t>
      </w:r>
    </w:p>
    <w:p w14:paraId="3064F822" w14:textId="699F1A95"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Plėvele dengtos tabletės yra baltos arba beveik baltos, apvalios, abipusiai išgaubtos, vienoje jų pusėje įspausta </w:t>
      </w:r>
      <w:r w:rsidR="0023327C" w:rsidRPr="00594D3F">
        <w:rPr>
          <w:rFonts w:ascii="Times New Roman" w:eastAsia="Times New Roman" w:hAnsi="Times New Roman" w:cs="Times New Roman"/>
          <w:kern w:val="0"/>
          <w:sz w:val="22"/>
          <w:szCs w:val="22"/>
          <w14:ligatures w14:val="none"/>
        </w:rPr>
        <w:t>„</w:t>
      </w:r>
      <w:r w:rsidRPr="00C658F2">
        <w:rPr>
          <w:rFonts w:ascii="Times New Roman" w:eastAsia="Times New Roman" w:hAnsi="Times New Roman" w:cs="Times New Roman"/>
          <w:kern w:val="0"/>
          <w:sz w:val="22"/>
          <w:szCs w:val="22"/>
          <w14:ligatures w14:val="none"/>
        </w:rPr>
        <w:t>150</w:t>
      </w:r>
      <w:r w:rsidR="0023327C" w:rsidRPr="00594D3F">
        <w:rPr>
          <w:rFonts w:ascii="Times New Roman" w:eastAsia="Times New Roman" w:hAnsi="Times New Roman" w:cs="Times New Roman"/>
          <w:kern w:val="0"/>
          <w:sz w:val="22"/>
          <w:szCs w:val="22"/>
          <w14:ligatures w14:val="none"/>
        </w:rPr>
        <w:t>“</w:t>
      </w:r>
      <w:r w:rsidRPr="00C658F2">
        <w:rPr>
          <w:rFonts w:ascii="Times New Roman" w:eastAsia="Times New Roman" w:hAnsi="Times New Roman" w:cs="Times New Roman"/>
          <w:kern w:val="0"/>
          <w:sz w:val="22"/>
          <w:szCs w:val="22"/>
          <w14:ligatures w14:val="none"/>
        </w:rPr>
        <w:t xml:space="preserve">. </w:t>
      </w:r>
    </w:p>
    <w:p w14:paraId="25A6BA48" w14:textId="77777777" w:rsidR="00170D12" w:rsidRPr="00594D3F" w:rsidRDefault="00170D12" w:rsidP="00C658F2">
      <w:pPr>
        <w:spacing w:after="0" w:line="240" w:lineRule="auto"/>
        <w:jc w:val="both"/>
        <w:rPr>
          <w:rFonts w:ascii="Times New Roman" w:eastAsia="Times New Roman" w:hAnsi="Times New Roman" w:cs="Times New Roman"/>
          <w:kern w:val="0"/>
          <w:sz w:val="22"/>
          <w:szCs w:val="22"/>
          <w14:ligatures w14:val="none"/>
        </w:rPr>
      </w:pPr>
    </w:p>
    <w:p w14:paraId="2C900A31" w14:textId="40B61DEC" w:rsidR="00C658F2" w:rsidRPr="00594D3F" w:rsidRDefault="00C658F2" w:rsidP="00C658F2">
      <w:pPr>
        <w:spacing w:after="0" w:line="240" w:lineRule="auto"/>
        <w:jc w:val="both"/>
        <w:rPr>
          <w:rFonts w:ascii="Times New Roman" w:eastAsia="Times New Roman" w:hAnsi="Times New Roman" w:cs="Times New Roman"/>
          <w:kern w:val="0"/>
          <w:sz w:val="22"/>
          <w:szCs w:val="22"/>
          <w14:ligatures w14:val="none"/>
        </w:rPr>
      </w:pPr>
      <w:r w:rsidRPr="00C658F2">
        <w:rPr>
          <w:rFonts w:ascii="Times New Roman" w:eastAsia="Times New Roman" w:hAnsi="Times New Roman" w:cs="Times New Roman"/>
          <w:kern w:val="0"/>
          <w:sz w:val="22"/>
          <w:szCs w:val="22"/>
          <w14:ligatures w14:val="none"/>
        </w:rPr>
        <w:t xml:space="preserve">Vienoje kartoninėje dėžutėje yra 30 </w:t>
      </w:r>
      <w:r w:rsidR="0051093B" w:rsidRPr="00594D3F">
        <w:rPr>
          <w:rFonts w:ascii="Times New Roman" w:eastAsia="Times New Roman" w:hAnsi="Times New Roman" w:cs="Times New Roman"/>
          <w:kern w:val="0"/>
          <w:sz w:val="22"/>
          <w:szCs w:val="22"/>
          <w14:ligatures w14:val="none"/>
        </w:rPr>
        <w:t xml:space="preserve">arba 60 </w:t>
      </w:r>
      <w:r w:rsidRPr="00C658F2">
        <w:rPr>
          <w:rFonts w:ascii="Times New Roman" w:eastAsia="Times New Roman" w:hAnsi="Times New Roman" w:cs="Times New Roman"/>
          <w:kern w:val="0"/>
          <w:sz w:val="22"/>
          <w:szCs w:val="22"/>
          <w14:ligatures w14:val="none"/>
        </w:rPr>
        <w:t>plėvele dengtų tablečių.</w:t>
      </w:r>
    </w:p>
    <w:p w14:paraId="07FFEE04" w14:textId="1861BF8B" w:rsidR="00170D12" w:rsidRPr="00C658F2" w:rsidRDefault="00170D12" w:rsidP="00C658F2">
      <w:pPr>
        <w:spacing w:after="0" w:line="240" w:lineRule="auto"/>
        <w:jc w:val="both"/>
        <w:rPr>
          <w:rFonts w:ascii="Times New Roman" w:eastAsia="Times New Roman" w:hAnsi="Times New Roman" w:cs="Times New Roman"/>
          <w:kern w:val="0"/>
          <w:sz w:val="22"/>
          <w:szCs w:val="22"/>
          <w14:ligatures w14:val="none"/>
        </w:rPr>
      </w:pPr>
      <w:r w:rsidRPr="00594D3F">
        <w:rPr>
          <w:rFonts w:ascii="Times New Roman" w:eastAsia="Times New Roman" w:hAnsi="Times New Roman" w:cs="Times New Roman"/>
          <w:kern w:val="0"/>
          <w:sz w:val="22"/>
          <w:szCs w:val="22"/>
          <w14:ligatures w14:val="none"/>
        </w:rPr>
        <w:t>Gali būti tiekiamos ne visų dydžių pakuotės.</w:t>
      </w:r>
    </w:p>
    <w:p w14:paraId="2CE3CB79" w14:textId="77777777" w:rsidR="00C658F2" w:rsidRPr="00C658F2" w:rsidRDefault="00C658F2" w:rsidP="00C658F2">
      <w:pPr>
        <w:tabs>
          <w:tab w:val="left" w:pos="0"/>
        </w:tabs>
        <w:spacing w:after="0" w:line="240" w:lineRule="auto"/>
        <w:rPr>
          <w:rFonts w:ascii="Times New Roman" w:eastAsia="Times New Roman" w:hAnsi="Times New Roman" w:cs="Times New Roman"/>
          <w:kern w:val="0"/>
          <w:sz w:val="22"/>
          <w:szCs w:val="22"/>
          <w:lang w:eastAsia="x-none"/>
          <w14:ligatures w14:val="none"/>
        </w:rPr>
      </w:pPr>
    </w:p>
    <w:p w14:paraId="20F7D7BF" w14:textId="77777777" w:rsidR="003627E7" w:rsidRPr="003627E7" w:rsidRDefault="003627E7" w:rsidP="003627E7">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3627E7">
        <w:rPr>
          <w:rFonts w:ascii="Times New Roman" w:eastAsia="Times New Roman" w:hAnsi="Times New Roman" w:cs="Times New Roman"/>
          <w:b/>
          <w:noProof/>
          <w:kern w:val="0"/>
          <w:sz w:val="22"/>
          <w:szCs w:val="22"/>
          <w14:ligatures w14:val="none"/>
        </w:rPr>
        <w:t>Registruotojas eksportuojančioje valstybėje ir gamintojas</w:t>
      </w:r>
    </w:p>
    <w:p w14:paraId="5F1C8816" w14:textId="77777777" w:rsidR="003627E7" w:rsidRPr="003627E7"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49D9BB1" w14:textId="77777777" w:rsidR="003627E7" w:rsidRPr="003627E7" w:rsidRDefault="003627E7" w:rsidP="003627E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627E7">
        <w:rPr>
          <w:rFonts w:ascii="Times New Roman" w:eastAsia="Aptos" w:hAnsi="Times New Roman" w:cs="Times New Roman"/>
          <w:b/>
          <w:color w:val="000000"/>
          <w:kern w:val="0"/>
          <w:sz w:val="22"/>
          <w:szCs w:val="22"/>
          <w14:ligatures w14:val="none"/>
        </w:rPr>
        <w:t>Registruotojas</w:t>
      </w:r>
    </w:p>
    <w:p w14:paraId="1B23B807" w14:textId="77777777" w:rsidR="003627E7" w:rsidRPr="00594D3F"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Gedeon Richter România S.A.</w:t>
      </w:r>
    </w:p>
    <w:p w14:paraId="4457A548" w14:textId="77777777" w:rsidR="003627E7" w:rsidRPr="00594D3F"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Str. Cuza Vodă Nr. 99-105</w:t>
      </w:r>
    </w:p>
    <w:p w14:paraId="716C9298" w14:textId="77777777" w:rsidR="003627E7" w:rsidRPr="00594D3F"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 xml:space="preserve">540306 Târgu-Mureş, </w:t>
      </w:r>
    </w:p>
    <w:p w14:paraId="0D6ABE21" w14:textId="6D40D072" w:rsidR="003627E7" w:rsidRPr="003627E7"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Rumunija</w:t>
      </w:r>
    </w:p>
    <w:p w14:paraId="530CAFE2" w14:textId="77777777" w:rsidR="003627E7" w:rsidRPr="003627E7"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28C45E46" w14:textId="77777777" w:rsidR="003627E7" w:rsidRPr="003627E7" w:rsidRDefault="003627E7" w:rsidP="003627E7">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3627E7">
        <w:rPr>
          <w:rFonts w:ascii="Times New Roman" w:eastAsia="Aptos" w:hAnsi="Times New Roman" w:cs="Times New Roman"/>
          <w:b/>
          <w:color w:val="000000"/>
          <w:kern w:val="0"/>
          <w:sz w:val="22"/>
          <w:szCs w:val="22"/>
          <w14:ligatures w14:val="none"/>
        </w:rPr>
        <w:t>Gamintojas</w:t>
      </w:r>
    </w:p>
    <w:p w14:paraId="0675EB98" w14:textId="77777777" w:rsidR="003627E7" w:rsidRPr="00594D3F"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Gedeon Richter Plc.</w:t>
      </w:r>
    </w:p>
    <w:p w14:paraId="74DBE934" w14:textId="77777777" w:rsidR="003627E7" w:rsidRPr="00594D3F"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Gyömrői út 19-21</w:t>
      </w:r>
    </w:p>
    <w:p w14:paraId="338E5891" w14:textId="2917ED3A" w:rsidR="003627E7" w:rsidRPr="00594D3F" w:rsidRDefault="00B547BE"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Pr>
          <w:rFonts w:ascii="Times New Roman" w:eastAsia="Aptos" w:hAnsi="Times New Roman" w:cs="Times New Roman"/>
          <w:bCs/>
          <w:color w:val="000000"/>
          <w:kern w:val="0"/>
          <w:sz w:val="22"/>
          <w:szCs w:val="22"/>
          <w14:ligatures w14:val="none"/>
        </w:rPr>
        <w:t>H-</w:t>
      </w:r>
      <w:r w:rsidR="003627E7" w:rsidRPr="00594D3F">
        <w:rPr>
          <w:rFonts w:ascii="Times New Roman" w:eastAsia="Aptos" w:hAnsi="Times New Roman" w:cs="Times New Roman"/>
          <w:bCs/>
          <w:color w:val="000000"/>
          <w:kern w:val="0"/>
          <w:sz w:val="22"/>
          <w:szCs w:val="22"/>
          <w14:ligatures w14:val="none"/>
        </w:rPr>
        <w:t xml:space="preserve">1103 Budapest, </w:t>
      </w:r>
    </w:p>
    <w:p w14:paraId="10616FDC" w14:textId="76E88312" w:rsidR="003627E7" w:rsidRPr="003627E7"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94D3F">
        <w:rPr>
          <w:rFonts w:ascii="Times New Roman" w:eastAsia="Aptos" w:hAnsi="Times New Roman" w:cs="Times New Roman"/>
          <w:bCs/>
          <w:color w:val="000000"/>
          <w:kern w:val="0"/>
          <w:sz w:val="22"/>
          <w:szCs w:val="22"/>
          <w14:ligatures w14:val="none"/>
        </w:rPr>
        <w:t>Vengrija</w:t>
      </w:r>
    </w:p>
    <w:p w14:paraId="050D08E4" w14:textId="77777777" w:rsidR="003627E7" w:rsidRPr="003627E7" w:rsidRDefault="003627E7" w:rsidP="003627E7">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01ACE9F" w14:textId="77777777" w:rsidR="003627E7" w:rsidRPr="003627E7" w:rsidRDefault="003627E7" w:rsidP="003627E7">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3627E7">
        <w:rPr>
          <w:rFonts w:ascii="Times New Roman" w:eastAsia="Aptos" w:hAnsi="Times New Roman" w:cs="Times New Roman"/>
          <w:b/>
          <w:color w:val="000000"/>
          <w:kern w:val="0"/>
          <w:sz w:val="22"/>
          <w:szCs w:val="22"/>
          <w14:ligatures w14:val="none"/>
        </w:rPr>
        <w:t xml:space="preserve">Lygiagretus importuotojas </w:t>
      </w:r>
      <w:r w:rsidRPr="003627E7">
        <w:rPr>
          <w:rFonts w:ascii="Times New Roman" w:eastAsia="Aptos" w:hAnsi="Times New Roman" w:cs="Times New Roman"/>
          <w:b/>
          <w:color w:val="000000"/>
          <w:kern w:val="0"/>
          <w:sz w:val="22"/>
          <w:szCs w:val="22"/>
          <w14:ligatures w14:val="none"/>
        </w:rPr>
        <w:br/>
      </w:r>
      <w:r w:rsidRPr="003627E7">
        <w:rPr>
          <w:rFonts w:ascii="Times New Roman" w:eastAsia="TimesNewRoman" w:hAnsi="Times New Roman" w:cs="Times New Roman"/>
          <w:color w:val="000000"/>
          <w:kern w:val="0"/>
          <w:sz w:val="22"/>
          <w:szCs w:val="22"/>
          <w14:ligatures w14:val="none"/>
        </w:rPr>
        <w:t>UAB „Niromed“</w:t>
      </w:r>
      <w:r w:rsidRPr="003627E7">
        <w:rPr>
          <w:rFonts w:ascii="Times New Roman" w:eastAsia="Aptos" w:hAnsi="Times New Roman" w:cs="Times New Roman"/>
          <w:b/>
          <w:color w:val="000000"/>
          <w:kern w:val="0"/>
          <w:sz w:val="22"/>
          <w:szCs w:val="22"/>
          <w14:ligatures w14:val="none"/>
        </w:rPr>
        <w:br/>
      </w:r>
      <w:r w:rsidRPr="003627E7">
        <w:rPr>
          <w:rFonts w:ascii="Times New Roman" w:eastAsia="TimesNewRoman" w:hAnsi="Times New Roman" w:cs="Times New Roman"/>
          <w:color w:val="000000"/>
          <w:kern w:val="0"/>
          <w:sz w:val="22"/>
          <w:szCs w:val="22"/>
          <w14:ligatures w14:val="none"/>
        </w:rPr>
        <w:t>Žirmūnų g. 139A</w:t>
      </w:r>
      <w:r w:rsidRPr="003627E7">
        <w:rPr>
          <w:rFonts w:ascii="Times New Roman" w:eastAsia="Aptos" w:hAnsi="Times New Roman" w:cs="Times New Roman"/>
          <w:b/>
          <w:color w:val="000000"/>
          <w:kern w:val="0"/>
          <w:sz w:val="22"/>
          <w:szCs w:val="22"/>
          <w14:ligatures w14:val="none"/>
        </w:rPr>
        <w:br/>
      </w:r>
      <w:r w:rsidRPr="003627E7">
        <w:rPr>
          <w:rFonts w:ascii="Times New Roman" w:eastAsia="TimesNewRoman" w:hAnsi="Times New Roman" w:cs="Times New Roman"/>
          <w:color w:val="000000"/>
          <w:kern w:val="0"/>
          <w:sz w:val="22"/>
          <w:szCs w:val="22"/>
          <w14:ligatures w14:val="none"/>
        </w:rPr>
        <w:t>LT-09120 Vilnius</w:t>
      </w:r>
      <w:r w:rsidRPr="003627E7">
        <w:rPr>
          <w:rFonts w:ascii="Times New Roman" w:eastAsia="TimesNewRoman" w:hAnsi="Times New Roman" w:cs="Times New Roman"/>
          <w:color w:val="000000"/>
          <w:kern w:val="0"/>
          <w:sz w:val="22"/>
          <w:szCs w:val="22"/>
          <w14:ligatures w14:val="none"/>
        </w:rPr>
        <w:br/>
        <w:t>Lietuva</w:t>
      </w:r>
    </w:p>
    <w:p w14:paraId="7F7581A6" w14:textId="77777777" w:rsidR="003627E7" w:rsidRPr="003627E7" w:rsidRDefault="003627E7" w:rsidP="003627E7">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9FBBFFA" w14:textId="77777777" w:rsidR="003627E7" w:rsidRPr="003627E7" w:rsidRDefault="003627E7" w:rsidP="003627E7">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3627E7">
        <w:rPr>
          <w:rFonts w:ascii="Times New Roman" w:eastAsia="Times New Roman" w:hAnsi="Times New Roman" w:cs="Times New Roman"/>
          <w:b/>
          <w:bCs/>
          <w:kern w:val="0"/>
          <w:sz w:val="22"/>
          <w:szCs w:val="22"/>
          <w14:ligatures w14:val="none"/>
        </w:rPr>
        <w:t>Perpakavo</w:t>
      </w:r>
    </w:p>
    <w:p w14:paraId="2A00D1A2"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LABOR Przedsiębiorstwo Farmaceutyczno-Chemiczne sp. z o.o.</w:t>
      </w:r>
    </w:p>
    <w:p w14:paraId="7C76F855"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Ul. Długosza 49,</w:t>
      </w:r>
    </w:p>
    <w:p w14:paraId="7B21D5D4"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51-162 Wrocław,</w:t>
      </w:r>
    </w:p>
    <w:p w14:paraId="5C151715"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Lenkija</w:t>
      </w:r>
    </w:p>
    <w:p w14:paraId="30235E37"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7E238CC"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arba</w:t>
      </w:r>
    </w:p>
    <w:p w14:paraId="1CA9DBA1" w14:textId="77777777" w:rsidR="003627E7" w:rsidRPr="003627E7" w:rsidRDefault="003627E7" w:rsidP="003627E7">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B5B6A15" w14:textId="77777777" w:rsidR="003627E7" w:rsidRPr="003627E7" w:rsidRDefault="003627E7" w:rsidP="003627E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UAB „Entafarma“</w:t>
      </w:r>
    </w:p>
    <w:p w14:paraId="3D01831E" w14:textId="77777777" w:rsidR="003627E7" w:rsidRPr="003627E7" w:rsidRDefault="003627E7" w:rsidP="003627E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Klonėnų vs. 1,</w:t>
      </w:r>
    </w:p>
    <w:p w14:paraId="7E0FE76B" w14:textId="77777777" w:rsidR="003627E7" w:rsidRPr="003627E7" w:rsidRDefault="003627E7" w:rsidP="003627E7">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3627E7">
        <w:rPr>
          <w:rFonts w:ascii="Times New Roman" w:eastAsia="TimesNewRoman" w:hAnsi="Times New Roman" w:cs="Times New Roman"/>
          <w:color w:val="000000"/>
          <w:kern w:val="0"/>
          <w:sz w:val="22"/>
          <w:szCs w:val="22"/>
          <w14:ligatures w14:val="none"/>
        </w:rPr>
        <w:t>LT-19156 Širvintų r. sav.</w:t>
      </w:r>
    </w:p>
    <w:p w14:paraId="432DE5B0" w14:textId="77777777" w:rsidR="003627E7" w:rsidRPr="003627E7" w:rsidRDefault="003627E7" w:rsidP="003627E7">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3627E7">
        <w:rPr>
          <w:rFonts w:ascii="Times New Roman" w:eastAsia="TimesNewRoman" w:hAnsi="Times New Roman" w:cs="Times New Roman"/>
          <w:color w:val="000000"/>
          <w:kern w:val="0"/>
          <w:sz w:val="22"/>
          <w:szCs w:val="22"/>
          <w14:ligatures w14:val="none"/>
        </w:rPr>
        <w:t>Lietuva</w:t>
      </w:r>
    </w:p>
    <w:p w14:paraId="42283CD2"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p>
    <w:p w14:paraId="1CB20ED8" w14:textId="30DEC7E8" w:rsidR="00C658F2" w:rsidRPr="00C658F2" w:rsidRDefault="00C658F2" w:rsidP="00C658F2">
      <w:pPr>
        <w:tabs>
          <w:tab w:val="left" w:pos="0"/>
        </w:tabs>
        <w:spacing w:after="0" w:line="240" w:lineRule="auto"/>
        <w:rPr>
          <w:rFonts w:ascii="Times New Roman" w:eastAsia="Times New Roman" w:hAnsi="Times New Roman" w:cs="Times New Roman"/>
          <w:b/>
          <w:kern w:val="0"/>
          <w:sz w:val="22"/>
          <w:szCs w:val="22"/>
          <w:lang w:eastAsia="x-none"/>
          <w14:ligatures w14:val="none"/>
        </w:rPr>
      </w:pPr>
      <w:r w:rsidRPr="00C658F2">
        <w:rPr>
          <w:rFonts w:ascii="Times New Roman" w:eastAsia="Times New Roman" w:hAnsi="Times New Roman" w:cs="Times New Roman"/>
          <w:b/>
          <w:kern w:val="0"/>
          <w:sz w:val="22"/>
          <w:szCs w:val="22"/>
          <w:lang w:eastAsia="x-none"/>
          <w14:ligatures w14:val="none"/>
        </w:rPr>
        <w:t>Šis pakuotės lapelis paskutinį kartą peržiūrėtas</w:t>
      </w:r>
      <w:r w:rsidR="004546D1">
        <w:rPr>
          <w:rFonts w:ascii="Times New Roman" w:eastAsia="Times New Roman" w:hAnsi="Times New Roman" w:cs="Times New Roman"/>
          <w:b/>
          <w:kern w:val="0"/>
          <w:sz w:val="22"/>
          <w:szCs w:val="22"/>
          <w:lang w:eastAsia="x-none"/>
          <w14:ligatures w14:val="none"/>
        </w:rPr>
        <w:t xml:space="preserve"> 2026-03-26.</w:t>
      </w:r>
    </w:p>
    <w:p w14:paraId="75F0440A" w14:textId="77777777" w:rsidR="00C658F2" w:rsidRPr="00C658F2" w:rsidRDefault="00C658F2" w:rsidP="00C658F2">
      <w:pPr>
        <w:spacing w:after="0" w:line="240" w:lineRule="auto"/>
        <w:rPr>
          <w:rFonts w:ascii="Times New Roman" w:eastAsia="Times New Roman" w:hAnsi="Times New Roman" w:cs="Times New Roman"/>
          <w:kern w:val="0"/>
          <w:sz w:val="22"/>
          <w:szCs w:val="22"/>
          <w14:ligatures w14:val="none"/>
        </w:rPr>
      </w:pPr>
    </w:p>
    <w:p w14:paraId="5C556F3C" w14:textId="22079082" w:rsidR="00C658F2" w:rsidRPr="00594D3F" w:rsidRDefault="001E3F24" w:rsidP="001E3F24">
      <w:pPr>
        <w:spacing w:after="0" w:line="240" w:lineRule="auto"/>
        <w:rPr>
          <w:rFonts w:ascii="Times New Roman" w:eastAsia="Times New Roman" w:hAnsi="Times New Roman" w:cs="Times New Roman"/>
          <w:kern w:val="0"/>
          <w:sz w:val="22"/>
          <w:szCs w:val="20"/>
          <w:lang w:eastAsia="lt-LT" w:bidi="lt-LT"/>
          <w14:ligatures w14:val="none"/>
        </w:rPr>
      </w:pPr>
      <w:r w:rsidRPr="001E3F24">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6" w:history="1">
        <w:r w:rsidRPr="001E3F24">
          <w:rPr>
            <w:rStyle w:val="Hipersaitas"/>
            <w:rFonts w:ascii="Times New Roman" w:eastAsia="Times New Roman" w:hAnsi="Times New Roman" w:cs="Times New Roman"/>
            <w:kern w:val="0"/>
            <w:sz w:val="22"/>
            <w:szCs w:val="20"/>
            <w:lang w:eastAsia="lt-LT" w:bidi="lt-LT"/>
            <w14:ligatures w14:val="none"/>
          </w:rPr>
          <w:t>https://vvkt.lrv.lt/lt/</w:t>
        </w:r>
      </w:hyperlink>
      <w:r w:rsidRPr="001E3F24">
        <w:rPr>
          <w:rFonts w:ascii="Times New Roman" w:eastAsia="Times New Roman" w:hAnsi="Times New Roman" w:cs="Times New Roman"/>
          <w:kern w:val="0"/>
          <w:sz w:val="22"/>
          <w:szCs w:val="20"/>
          <w:lang w:eastAsia="lt-LT" w:bidi="lt-LT"/>
          <w14:ligatures w14:val="none"/>
        </w:rPr>
        <w:t>.</w:t>
      </w:r>
    </w:p>
    <w:p w14:paraId="1E58FD5A" w14:textId="77777777" w:rsidR="001E3F24" w:rsidRPr="00C658F2" w:rsidRDefault="001E3F24" w:rsidP="001E3F24">
      <w:pPr>
        <w:spacing w:after="0" w:line="240" w:lineRule="auto"/>
        <w:rPr>
          <w:rFonts w:ascii="Times New Roman" w:eastAsia="Times New Roman" w:hAnsi="Times New Roman" w:cs="Times New Roman"/>
          <w:kern w:val="0"/>
          <w:sz w:val="22"/>
          <w:szCs w:val="20"/>
          <w:lang w:eastAsia="lt-LT" w:bidi="lt-LT"/>
          <w14:ligatures w14:val="none"/>
        </w:rPr>
      </w:pPr>
    </w:p>
    <w:p w14:paraId="6D1B803A" w14:textId="77777777" w:rsidR="001915E2" w:rsidRPr="001915E2" w:rsidRDefault="001915E2" w:rsidP="001915E2">
      <w:pPr>
        <w:spacing w:line="259" w:lineRule="auto"/>
        <w:rPr>
          <w:rFonts w:ascii="Times New Roman" w:eastAsia="Aptos" w:hAnsi="Times New Roman" w:cs="Times New Roman"/>
          <w:sz w:val="22"/>
          <w:szCs w:val="22"/>
        </w:rPr>
      </w:pPr>
      <w:r w:rsidRPr="001915E2">
        <w:rPr>
          <w:rFonts w:ascii="Times New Roman" w:eastAsia="Aptos" w:hAnsi="Times New Roman" w:cs="Times New Roman"/>
          <w:i/>
          <w:iCs/>
          <w:sz w:val="22"/>
          <w:szCs w:val="22"/>
        </w:rPr>
        <w:t>Lygiagrečiai importuojamas vaistas nuo referencinio vaisto skiriasi laikymo sąlygomis: referenciniam vaistui specialių laikymo sąlygų nereikia, lygiagrečiai importuojamą laikyti gamintojo pakuotėje, žemesnėje nei 30 °C temperatūroje; pakuotės dydžiu: lygiagrečiai importuojamas vaistas papildomai gali būti tiekiamas N60 pakuotėmis.</w:t>
      </w:r>
    </w:p>
    <w:p w14:paraId="1B5A2A75" w14:textId="77777777" w:rsidR="001915E2" w:rsidRPr="00594D3F" w:rsidRDefault="001915E2" w:rsidP="00C658F2"/>
    <w:sectPr w:rsidR="001915E2" w:rsidRPr="00594D3F" w:rsidSect="00170D1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F47"/>
    <w:multiLevelType w:val="hybridMultilevel"/>
    <w:tmpl w:val="93304546"/>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A545BE"/>
    <w:multiLevelType w:val="hybridMultilevel"/>
    <w:tmpl w:val="8F88DE7A"/>
    <w:lvl w:ilvl="0" w:tplc="F336174E">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BC633C"/>
    <w:multiLevelType w:val="hybridMultilevel"/>
    <w:tmpl w:val="6BB2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1DA62E5"/>
    <w:multiLevelType w:val="hybridMultilevel"/>
    <w:tmpl w:val="68CA91E8"/>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6C8351B"/>
    <w:multiLevelType w:val="hybridMultilevel"/>
    <w:tmpl w:val="258CF70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957778">
    <w:abstractNumId w:val="3"/>
  </w:num>
  <w:num w:numId="2" w16cid:durableId="1980988047">
    <w:abstractNumId w:val="0"/>
  </w:num>
  <w:num w:numId="3" w16cid:durableId="2047097823">
    <w:abstractNumId w:val="2"/>
  </w:num>
  <w:num w:numId="4" w16cid:durableId="1270235193">
    <w:abstractNumId w:val="1"/>
  </w:num>
  <w:num w:numId="5" w16cid:durableId="10727800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56A"/>
    <w:rsid w:val="00090DCA"/>
    <w:rsid w:val="000B4651"/>
    <w:rsid w:val="000E75BE"/>
    <w:rsid w:val="001101AF"/>
    <w:rsid w:val="00110939"/>
    <w:rsid w:val="00170D12"/>
    <w:rsid w:val="001811FB"/>
    <w:rsid w:val="001915E2"/>
    <w:rsid w:val="001E3F24"/>
    <w:rsid w:val="0023327C"/>
    <w:rsid w:val="003627E7"/>
    <w:rsid w:val="004546D1"/>
    <w:rsid w:val="004A5F76"/>
    <w:rsid w:val="0051093B"/>
    <w:rsid w:val="00594D3F"/>
    <w:rsid w:val="006B6824"/>
    <w:rsid w:val="006C574F"/>
    <w:rsid w:val="006E59FB"/>
    <w:rsid w:val="007A20E1"/>
    <w:rsid w:val="00B2456A"/>
    <w:rsid w:val="00B547BE"/>
    <w:rsid w:val="00C658F2"/>
    <w:rsid w:val="00DF6290"/>
    <w:rsid w:val="00EE2929"/>
    <w:rsid w:val="00FA6A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7750"/>
  <w15:chartTrackingRefBased/>
  <w15:docId w15:val="{3AE225AB-5BAF-4E34-AC4D-D5DC5C01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245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245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2456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2456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2456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2456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2456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2456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2456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245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245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2456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2456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2456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2456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2456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2456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2456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245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245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2456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2456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245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2456A"/>
    <w:rPr>
      <w:i/>
      <w:iCs/>
      <w:color w:val="404040" w:themeColor="text1" w:themeTint="BF"/>
    </w:rPr>
  </w:style>
  <w:style w:type="paragraph" w:styleId="Sraopastraipa">
    <w:name w:val="List Paragraph"/>
    <w:basedOn w:val="prastasis"/>
    <w:uiPriority w:val="34"/>
    <w:qFormat/>
    <w:rsid w:val="00B2456A"/>
    <w:pPr>
      <w:ind w:left="720"/>
      <w:contextualSpacing/>
    </w:pPr>
  </w:style>
  <w:style w:type="character" w:styleId="Rykuspabraukimas">
    <w:name w:val="Intense Emphasis"/>
    <w:basedOn w:val="Numatytasispastraiposriftas"/>
    <w:uiPriority w:val="21"/>
    <w:qFormat/>
    <w:rsid w:val="00B2456A"/>
    <w:rPr>
      <w:i/>
      <w:iCs/>
      <w:color w:val="0F4761" w:themeColor="accent1" w:themeShade="BF"/>
    </w:rPr>
  </w:style>
  <w:style w:type="paragraph" w:styleId="Iskirtacitata">
    <w:name w:val="Intense Quote"/>
    <w:basedOn w:val="prastasis"/>
    <w:next w:val="prastasis"/>
    <w:link w:val="IskirtacitataDiagrama"/>
    <w:uiPriority w:val="30"/>
    <w:qFormat/>
    <w:rsid w:val="00B245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2456A"/>
    <w:rPr>
      <w:i/>
      <w:iCs/>
      <w:color w:val="0F4761" w:themeColor="accent1" w:themeShade="BF"/>
    </w:rPr>
  </w:style>
  <w:style w:type="character" w:styleId="Rykinuoroda">
    <w:name w:val="Intense Reference"/>
    <w:basedOn w:val="Numatytasispastraiposriftas"/>
    <w:uiPriority w:val="32"/>
    <w:qFormat/>
    <w:rsid w:val="00B2456A"/>
    <w:rPr>
      <w:b/>
      <w:bCs/>
      <w:smallCaps/>
      <w:color w:val="0F4761" w:themeColor="accent1" w:themeShade="BF"/>
      <w:spacing w:val="5"/>
    </w:rPr>
  </w:style>
  <w:style w:type="character" w:styleId="Hipersaitas">
    <w:name w:val="Hyperlink"/>
    <w:basedOn w:val="Numatytasispastraiposriftas"/>
    <w:uiPriority w:val="99"/>
    <w:unhideWhenUsed/>
    <w:rsid w:val="001E3F24"/>
    <w:rPr>
      <w:color w:val="467886" w:themeColor="hyperlink"/>
      <w:u w:val="single"/>
    </w:rPr>
  </w:style>
  <w:style w:type="character" w:styleId="Neapdorotaspaminjimas">
    <w:name w:val="Unresolved Mention"/>
    <w:basedOn w:val="Numatytasispastraiposriftas"/>
    <w:uiPriority w:val="99"/>
    <w:semiHidden/>
    <w:unhideWhenUsed/>
    <w:rsid w:val="001E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8498</Words>
  <Characters>4845</Characters>
  <Application>Microsoft Office Word</Application>
  <DocSecurity>0</DocSecurity>
  <Lines>40</Lines>
  <Paragraphs>26</Paragraphs>
  <ScaleCrop>false</ScaleCrop>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20</cp:revision>
  <dcterms:created xsi:type="dcterms:W3CDTF">2025-11-23T12:20:00Z</dcterms:created>
  <dcterms:modified xsi:type="dcterms:W3CDTF">2026-04-07T06:10:00Z</dcterms:modified>
</cp:coreProperties>
</file>