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BE01A" w14:textId="77777777" w:rsidR="008F64A9" w:rsidRPr="00F5692D" w:rsidRDefault="008F64A9" w:rsidP="008F64A9">
      <w:pPr>
        <w:pStyle w:val="BodyText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4E10FCF7" w14:textId="77777777" w:rsidR="008F64A9" w:rsidRPr="00F5692D" w:rsidRDefault="008F64A9" w:rsidP="008F64A9">
      <w:pPr>
        <w:pStyle w:val="BodyText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7CC5806C" w14:textId="77777777" w:rsidR="008F64A9" w:rsidRPr="00F5692D" w:rsidRDefault="008F64A9" w:rsidP="008F64A9">
      <w:pPr>
        <w:pStyle w:val="BodyText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3FDCA745" w14:textId="77777777" w:rsidR="008F64A9" w:rsidRPr="00F5692D" w:rsidRDefault="008F64A9" w:rsidP="008F64A9">
      <w:pPr>
        <w:pStyle w:val="BodyText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0F09DB9C" w14:textId="77777777" w:rsidR="008F64A9" w:rsidRPr="00F5692D" w:rsidRDefault="008F64A9" w:rsidP="008F64A9">
      <w:pPr>
        <w:pStyle w:val="BodyText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083AA579" w14:textId="77777777" w:rsidR="008F64A9" w:rsidRPr="00F5692D" w:rsidRDefault="008F64A9" w:rsidP="008F64A9">
      <w:pPr>
        <w:pStyle w:val="BodyText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4CEAD678" w14:textId="77777777" w:rsidR="008F64A9" w:rsidRPr="00F5692D" w:rsidRDefault="008F64A9" w:rsidP="008F64A9">
      <w:pPr>
        <w:pStyle w:val="BodyText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68328651" w14:textId="77777777" w:rsidR="008F64A9" w:rsidRPr="00F5692D" w:rsidRDefault="008F64A9" w:rsidP="008F64A9">
      <w:pPr>
        <w:pStyle w:val="BodyText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7557D1A0" w14:textId="77777777" w:rsidR="008F64A9" w:rsidRPr="00F5692D" w:rsidRDefault="008F64A9" w:rsidP="008F64A9">
      <w:pPr>
        <w:pStyle w:val="BodyText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4511DF29" w14:textId="77777777" w:rsidR="008F64A9" w:rsidRPr="00F5692D" w:rsidRDefault="008F64A9" w:rsidP="008F64A9">
      <w:pPr>
        <w:pStyle w:val="BodyText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59AB016F" w14:textId="77777777" w:rsidR="008F64A9" w:rsidRPr="00F5692D" w:rsidRDefault="008F64A9" w:rsidP="008F64A9">
      <w:pPr>
        <w:pStyle w:val="BodyText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1062DB7D" w14:textId="77777777" w:rsidR="008F64A9" w:rsidRPr="00F5692D" w:rsidRDefault="008F64A9" w:rsidP="008F64A9">
      <w:pPr>
        <w:pStyle w:val="BodyText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3B8B0DEC" w14:textId="77777777" w:rsidR="008F64A9" w:rsidRPr="00F5692D" w:rsidRDefault="008F64A9" w:rsidP="008F64A9">
      <w:pPr>
        <w:pStyle w:val="BodyText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60A1E376" w14:textId="77777777" w:rsidR="008F64A9" w:rsidRPr="00F5692D" w:rsidRDefault="008F64A9" w:rsidP="008F64A9">
      <w:pPr>
        <w:pStyle w:val="BodyText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3D9FFFB5" w14:textId="77777777" w:rsidR="008F64A9" w:rsidRPr="00F5692D" w:rsidRDefault="008F64A9" w:rsidP="008F64A9">
      <w:pPr>
        <w:pStyle w:val="BodyText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3E21946D" w14:textId="77777777" w:rsidR="008F64A9" w:rsidRPr="00F5692D" w:rsidRDefault="008F64A9" w:rsidP="008F64A9">
      <w:pPr>
        <w:pStyle w:val="BodyText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2947F2FD" w14:textId="77777777" w:rsidR="008F64A9" w:rsidRDefault="008F64A9" w:rsidP="008F64A9">
      <w:pPr>
        <w:pStyle w:val="BodyText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6446B6DA" w14:textId="77777777" w:rsidR="00F0572A" w:rsidRDefault="00F0572A" w:rsidP="008F64A9">
      <w:pPr>
        <w:pStyle w:val="BodyText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7812AC99" w14:textId="77777777" w:rsidR="00F0572A" w:rsidRDefault="00F0572A" w:rsidP="008F64A9">
      <w:pPr>
        <w:pStyle w:val="BodyText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318F2462" w14:textId="77777777" w:rsidR="00F0572A" w:rsidRDefault="00F0572A" w:rsidP="008F64A9">
      <w:pPr>
        <w:pStyle w:val="BodyText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7C91538C" w14:textId="77777777" w:rsidR="00F0572A" w:rsidRDefault="00F0572A" w:rsidP="008F64A9">
      <w:pPr>
        <w:pStyle w:val="BodyText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07EAC77A" w14:textId="77777777" w:rsidR="00F0572A" w:rsidRDefault="00F0572A" w:rsidP="008F64A9">
      <w:pPr>
        <w:pStyle w:val="BodyText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12BF1F7E" w14:textId="77777777" w:rsidR="00F0572A" w:rsidRPr="00F5692D" w:rsidRDefault="00F0572A" w:rsidP="008F64A9">
      <w:pPr>
        <w:pStyle w:val="BodyText"/>
        <w:rPr>
          <w:rFonts w:ascii="Times New Roman" w:hAnsi="Times New Roman"/>
          <w:color w:val="auto"/>
          <w:sz w:val="22"/>
          <w:szCs w:val="22"/>
          <w:lang w:val="lt-LT"/>
        </w:rPr>
      </w:pPr>
    </w:p>
    <w:p w14:paraId="4841A223" w14:textId="77777777" w:rsidR="008F64A9" w:rsidRPr="00F5692D" w:rsidRDefault="008F64A9" w:rsidP="008F64A9">
      <w:pPr>
        <w:pStyle w:val="Title"/>
        <w:rPr>
          <w:rFonts w:ascii="Times New Roman" w:hAnsi="Times New Roman"/>
          <w:b/>
          <w:sz w:val="22"/>
          <w:szCs w:val="22"/>
          <w:lang w:val="lt-LT"/>
        </w:rPr>
      </w:pPr>
    </w:p>
    <w:p w14:paraId="18F5E478" w14:textId="77777777" w:rsidR="008F64A9" w:rsidRPr="00F5692D" w:rsidRDefault="008F64A9" w:rsidP="008F64A9">
      <w:pPr>
        <w:pStyle w:val="Title"/>
        <w:rPr>
          <w:rFonts w:ascii="Times New Roman" w:hAnsi="Times New Roman"/>
          <w:b/>
          <w:sz w:val="22"/>
          <w:szCs w:val="22"/>
          <w:lang w:val="lt-LT"/>
        </w:rPr>
      </w:pPr>
      <w:r w:rsidRPr="00F5692D">
        <w:rPr>
          <w:rFonts w:ascii="Times New Roman" w:hAnsi="Times New Roman"/>
          <w:b/>
          <w:sz w:val="22"/>
          <w:szCs w:val="22"/>
          <w:lang w:val="lt-LT"/>
        </w:rPr>
        <w:t>B. PAKUOTĖS LAPELIS</w:t>
      </w:r>
    </w:p>
    <w:p w14:paraId="2C4A9B93" w14:textId="77777777" w:rsidR="003A7FB1" w:rsidRPr="003A7FB1" w:rsidRDefault="008F64A9" w:rsidP="003A7FB1">
      <w:pPr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br w:type="page"/>
      </w:r>
      <w:r w:rsidR="003A7FB1" w:rsidRPr="003A7FB1">
        <w:rPr>
          <w:rFonts w:ascii="Times New Roman" w:hAnsi="Times New Roman"/>
          <w:b/>
          <w:sz w:val="22"/>
          <w:szCs w:val="22"/>
          <w:lang w:val="lt-LT"/>
        </w:rPr>
        <w:lastRenderedPageBreak/>
        <w:t>Pakuotės lapelis: informacija vartotojui</w:t>
      </w:r>
    </w:p>
    <w:p w14:paraId="453F10EC" w14:textId="77777777" w:rsidR="003A7FB1" w:rsidRPr="003A7FB1" w:rsidRDefault="003A7FB1" w:rsidP="003A7FB1">
      <w:pPr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14:paraId="1F790241" w14:textId="77777777" w:rsidR="003A7FB1" w:rsidRPr="003A7FB1" w:rsidRDefault="003A7FB1" w:rsidP="003A7FB1">
      <w:pPr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sz w:val="22"/>
          <w:szCs w:val="22"/>
          <w:lang w:val="lt-LT"/>
        </w:rPr>
        <w:t>Vermox 100 mg tabletės</w:t>
      </w:r>
    </w:p>
    <w:p w14:paraId="00584D43" w14:textId="654CA482" w:rsidR="003A7FB1" w:rsidRPr="003A7FB1" w:rsidRDefault="00482F45" w:rsidP="003A7FB1">
      <w:pPr>
        <w:tabs>
          <w:tab w:val="center" w:pos="4819"/>
          <w:tab w:val="right" w:pos="9638"/>
        </w:tabs>
        <w:jc w:val="center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m</w:t>
      </w:r>
      <w:r w:rsidR="003A7FB1" w:rsidRPr="003A7FB1">
        <w:rPr>
          <w:rFonts w:ascii="Times New Roman" w:hAnsi="Times New Roman"/>
          <w:sz w:val="22"/>
          <w:szCs w:val="22"/>
          <w:lang w:val="lt-LT"/>
        </w:rPr>
        <w:t>ebendazolas</w:t>
      </w:r>
    </w:p>
    <w:p w14:paraId="5698A80E" w14:textId="77777777" w:rsidR="003A7FB1" w:rsidRPr="00C45E45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3973FB14" w14:textId="77777777" w:rsidR="003A7FB1" w:rsidRPr="003A7FB1" w:rsidRDefault="003A7FB1" w:rsidP="003A7FB1">
      <w:pPr>
        <w:ind w:left="357"/>
        <w:rPr>
          <w:rFonts w:ascii="Times New Roman" w:hAnsi="Times New Roman"/>
          <w:sz w:val="22"/>
          <w:szCs w:val="22"/>
          <w:lang w:val="lt-LT"/>
        </w:rPr>
      </w:pPr>
    </w:p>
    <w:p w14:paraId="3173F5E6" w14:textId="77777777" w:rsidR="003A7FB1" w:rsidRPr="003A7FB1" w:rsidRDefault="003A7FB1" w:rsidP="00D813AB">
      <w:pPr>
        <w:suppressAutoHyphens/>
        <w:rPr>
          <w:rFonts w:ascii="Times New Roman" w:hAnsi="Times New Roman"/>
          <w:b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sz w:val="22"/>
          <w:szCs w:val="22"/>
          <w:lang w:val="lt-LT"/>
        </w:rPr>
        <w:t>Atidžiai perskaitykite visą šį lapelį, prieš pradėdami vartoti v</w:t>
      </w:r>
      <w:r w:rsidR="00ED3E27">
        <w:rPr>
          <w:rFonts w:ascii="Times New Roman" w:hAnsi="Times New Roman"/>
          <w:b/>
          <w:sz w:val="22"/>
          <w:szCs w:val="22"/>
          <w:lang w:val="lt-LT"/>
        </w:rPr>
        <w:t xml:space="preserve">aistą, nes jame pateikiama Jums </w:t>
      </w:r>
      <w:r w:rsidRPr="003A7FB1">
        <w:rPr>
          <w:rFonts w:ascii="Times New Roman" w:hAnsi="Times New Roman"/>
          <w:b/>
          <w:sz w:val="22"/>
          <w:szCs w:val="22"/>
          <w:lang w:val="lt-LT"/>
        </w:rPr>
        <w:t>svarbi informacija.</w:t>
      </w:r>
    </w:p>
    <w:p w14:paraId="48AD44E8" w14:textId="77777777" w:rsidR="003A7FB1" w:rsidRPr="003A7FB1" w:rsidRDefault="003A7FB1" w:rsidP="003B0DD7">
      <w:pPr>
        <w:numPr>
          <w:ilvl w:val="0"/>
          <w:numId w:val="2"/>
        </w:num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 xml:space="preserve">Neišmeskite šio lapelio, nes vėl gali prireikti jį perskaityti. </w:t>
      </w:r>
    </w:p>
    <w:p w14:paraId="3A3955A5" w14:textId="77777777" w:rsidR="003A7FB1" w:rsidRPr="003A7FB1" w:rsidRDefault="003A7FB1" w:rsidP="003B0DD7">
      <w:pPr>
        <w:numPr>
          <w:ilvl w:val="0"/>
          <w:numId w:val="2"/>
        </w:num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Jeigu kiltų daugiau klausimų, kreipkitės į gydytoją arba vaistininką.</w:t>
      </w:r>
    </w:p>
    <w:p w14:paraId="44975ADB" w14:textId="77777777" w:rsidR="003A7FB1" w:rsidRPr="003A7FB1" w:rsidRDefault="003A7FB1" w:rsidP="003B0DD7">
      <w:p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-</w:t>
      </w:r>
      <w:r w:rsidRPr="003A7FB1">
        <w:rPr>
          <w:rFonts w:ascii="Times New Roman" w:hAnsi="Times New Roman"/>
          <w:sz w:val="22"/>
          <w:szCs w:val="22"/>
          <w:lang w:val="lt-LT"/>
        </w:rPr>
        <w:tab/>
        <w:t xml:space="preserve">Šis vaistas skirtas tik Jums, todėl kitiems žmonėms jo duoti negalima. Vaistas gali jiems pakenkti (net tiems, kurių ligos požymiai yra tokie patys kaip Jūsų). </w:t>
      </w:r>
    </w:p>
    <w:p w14:paraId="7D855B12" w14:textId="77777777" w:rsidR="003A7FB1" w:rsidRPr="003A7FB1" w:rsidRDefault="003A7FB1" w:rsidP="003B0DD7">
      <w:p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-</w:t>
      </w:r>
      <w:r w:rsidRPr="003A7FB1">
        <w:rPr>
          <w:rFonts w:ascii="Times New Roman" w:hAnsi="Times New Roman"/>
          <w:sz w:val="22"/>
          <w:szCs w:val="22"/>
          <w:lang w:val="lt-LT"/>
        </w:rPr>
        <w:tab/>
        <w:t>Jeigu pasireiškė šalutinis poveikis (net jeigu jis šiame lapelyje nenurodytas), kreipkitės į gydytoją arba vaistininką. Žr. 4 skyrių.</w:t>
      </w:r>
    </w:p>
    <w:p w14:paraId="0003C7BD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2C125D6D" w14:textId="77777777" w:rsidR="003A7FB1" w:rsidRPr="003A7FB1" w:rsidRDefault="003A7FB1" w:rsidP="003A7FB1">
      <w:pPr>
        <w:rPr>
          <w:rFonts w:ascii="Times New Roman" w:hAnsi="Times New Roman"/>
          <w:b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sz w:val="22"/>
          <w:szCs w:val="22"/>
          <w:lang w:val="lt-LT"/>
        </w:rPr>
        <w:t>Apie ką rašoma šiame lapelyje?</w:t>
      </w:r>
    </w:p>
    <w:p w14:paraId="5796E82D" w14:textId="77777777" w:rsidR="003A7FB1" w:rsidRPr="003A7FB1" w:rsidRDefault="003A7FB1" w:rsidP="003A7FB1">
      <w:pPr>
        <w:rPr>
          <w:rFonts w:ascii="Times New Roman" w:hAnsi="Times New Roman"/>
          <w:b/>
          <w:sz w:val="22"/>
          <w:szCs w:val="22"/>
          <w:lang w:val="lt-LT"/>
        </w:rPr>
      </w:pPr>
    </w:p>
    <w:p w14:paraId="5355FC3F" w14:textId="77777777" w:rsidR="003A7FB1" w:rsidRPr="003A7FB1" w:rsidRDefault="003A7FB1" w:rsidP="003A7FB1">
      <w:pPr>
        <w:ind w:left="540" w:hanging="540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1.</w:t>
      </w:r>
      <w:r w:rsidRPr="003A7FB1">
        <w:rPr>
          <w:rFonts w:ascii="Times New Roman" w:hAnsi="Times New Roman"/>
          <w:sz w:val="22"/>
          <w:szCs w:val="22"/>
          <w:lang w:val="lt-LT"/>
        </w:rPr>
        <w:tab/>
        <w:t>Kas yra Vermox ir kam jis vartojamas</w:t>
      </w:r>
    </w:p>
    <w:p w14:paraId="24BAE2A4" w14:textId="77777777" w:rsidR="003A7FB1" w:rsidRPr="003A7FB1" w:rsidRDefault="003A7FB1" w:rsidP="003A7FB1">
      <w:pPr>
        <w:ind w:left="540" w:hanging="540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2.</w:t>
      </w:r>
      <w:r w:rsidRPr="003A7FB1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Vermox </w:t>
      </w:r>
    </w:p>
    <w:p w14:paraId="30957AAE" w14:textId="77777777" w:rsidR="003A7FB1" w:rsidRPr="003A7FB1" w:rsidRDefault="003A7FB1" w:rsidP="003A7FB1">
      <w:pPr>
        <w:ind w:left="540" w:hanging="540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3.</w:t>
      </w:r>
      <w:r w:rsidRPr="003A7FB1">
        <w:rPr>
          <w:rFonts w:ascii="Times New Roman" w:hAnsi="Times New Roman"/>
          <w:sz w:val="22"/>
          <w:szCs w:val="22"/>
          <w:lang w:val="lt-LT"/>
        </w:rPr>
        <w:tab/>
        <w:t xml:space="preserve">Kaip vartoti Vermox </w:t>
      </w:r>
    </w:p>
    <w:p w14:paraId="71903B87" w14:textId="77777777" w:rsidR="003A7FB1" w:rsidRPr="003A7FB1" w:rsidRDefault="003A7FB1" w:rsidP="003A7FB1">
      <w:pPr>
        <w:ind w:left="540" w:hanging="540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4.</w:t>
      </w:r>
      <w:r w:rsidRPr="003A7FB1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45488D79" w14:textId="77777777" w:rsidR="003A7FB1" w:rsidRPr="003A7FB1" w:rsidRDefault="003A7FB1" w:rsidP="003A7FB1">
      <w:pPr>
        <w:ind w:left="540" w:hanging="540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5.</w:t>
      </w:r>
      <w:r w:rsidRPr="003A7FB1">
        <w:rPr>
          <w:rFonts w:ascii="Times New Roman" w:hAnsi="Times New Roman"/>
          <w:sz w:val="22"/>
          <w:szCs w:val="22"/>
          <w:lang w:val="lt-LT"/>
        </w:rPr>
        <w:tab/>
        <w:t xml:space="preserve">Kaip laikyti Vermox </w:t>
      </w:r>
    </w:p>
    <w:p w14:paraId="0B68364C" w14:textId="77777777" w:rsidR="003A7FB1" w:rsidRPr="003A7FB1" w:rsidRDefault="003A7FB1" w:rsidP="003A7FB1">
      <w:pPr>
        <w:ind w:left="540" w:hanging="540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6.</w:t>
      </w:r>
      <w:r w:rsidRPr="003A7FB1">
        <w:rPr>
          <w:rFonts w:ascii="Times New Roman" w:hAnsi="Times New Roman"/>
          <w:sz w:val="22"/>
          <w:szCs w:val="22"/>
          <w:lang w:val="lt-LT"/>
        </w:rPr>
        <w:tab/>
        <w:t xml:space="preserve">Pakuotės turinys ir kita informacija </w:t>
      </w:r>
    </w:p>
    <w:p w14:paraId="37F7C532" w14:textId="77777777" w:rsidR="003A7FB1" w:rsidRPr="003A7FB1" w:rsidRDefault="003A7FB1" w:rsidP="003A7FB1">
      <w:pPr>
        <w:ind w:left="540" w:hanging="540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3754E2DC" w14:textId="77777777" w:rsidR="003A7FB1" w:rsidRPr="003A7FB1" w:rsidRDefault="003A7FB1" w:rsidP="003A7FB1">
      <w:pPr>
        <w:ind w:left="540" w:hanging="540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4E8FE7A4" w14:textId="77777777" w:rsidR="003A7FB1" w:rsidRPr="003A7FB1" w:rsidRDefault="003A7FB1" w:rsidP="003A7FB1">
      <w:pPr>
        <w:keepNext/>
        <w:outlineLvl w:val="1"/>
        <w:rPr>
          <w:rFonts w:ascii="Times New Roman" w:hAnsi="Times New Roman"/>
          <w:b/>
          <w:bCs/>
          <w:i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>1.</w:t>
      </w: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ab/>
        <w:t>Kas yra Vermox ir kam jis vartojamas</w:t>
      </w:r>
    </w:p>
    <w:p w14:paraId="01B650A1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4A3FDFFE" w14:textId="32E03C5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2C0416">
        <w:rPr>
          <w:rFonts w:ascii="Times New Roman" w:hAnsi="Times New Roman"/>
          <w:sz w:val="22"/>
          <w:szCs w:val="22"/>
          <w:lang w:val="lt-LT"/>
        </w:rPr>
        <w:t>Vermox</w:t>
      </w:r>
      <w:r w:rsidR="008D758A" w:rsidRPr="00D813AB">
        <w:rPr>
          <w:rFonts w:ascii="Times New Roman" w:hAnsi="Times New Roman"/>
          <w:sz w:val="22"/>
          <w:szCs w:val="22"/>
          <w:lang w:val="lt-LT"/>
        </w:rPr>
        <w:t>, kurio veiklioji medžiaga yra mebendazolas</w:t>
      </w:r>
      <w:r w:rsidR="008D758A" w:rsidRPr="00C03A53">
        <w:rPr>
          <w:rFonts w:ascii="Times New Roman" w:hAnsi="Times New Roman"/>
          <w:sz w:val="22"/>
          <w:szCs w:val="22"/>
          <w:lang w:val="lt-LT"/>
        </w:rPr>
        <w:t>,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 yra vaistas nuo kirmėlių, vartojamas suaugusiesiems ir vaikams</w:t>
      </w:r>
      <w:r w:rsidR="008D758A" w:rsidRPr="00C03A53">
        <w:rPr>
          <w:rFonts w:ascii="Monotype Corsiva" w:hAnsi="Monotype Corsiva" w:cs="Courier New"/>
          <w:sz w:val="22"/>
          <w:szCs w:val="22"/>
          <w:lang w:val="lt-LT"/>
        </w:rPr>
        <w:t xml:space="preserve"> </w:t>
      </w:r>
      <w:r w:rsidR="008D758A" w:rsidRPr="00D813AB">
        <w:rPr>
          <w:rFonts w:ascii="Times New Roman" w:hAnsi="Times New Roman"/>
          <w:sz w:val="22"/>
          <w:szCs w:val="22"/>
          <w:lang w:val="lt-LT"/>
        </w:rPr>
        <w:t>virš 2 metų amžiaus</w:t>
      </w:r>
      <w:r w:rsidR="008D758A" w:rsidRPr="00C03A53">
        <w:rPr>
          <w:rFonts w:ascii="Times New Roman" w:hAnsi="Times New Roman"/>
          <w:sz w:val="22"/>
          <w:szCs w:val="22"/>
          <w:lang w:val="lt-LT"/>
        </w:rPr>
        <w:t>.</w:t>
      </w:r>
    </w:p>
    <w:p w14:paraId="0F80F343" w14:textId="027F21CD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 xml:space="preserve">Vermox </w:t>
      </w:r>
      <w:r w:rsidR="00CB1B20">
        <w:rPr>
          <w:rFonts w:ascii="Times New Roman" w:hAnsi="Times New Roman"/>
          <w:sz w:val="22"/>
          <w:szCs w:val="22"/>
          <w:lang w:val="lt-LT"/>
        </w:rPr>
        <w:t>skiriamas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 virškinimo trakto </w:t>
      </w:r>
      <w:r w:rsidR="00CB1B20">
        <w:rPr>
          <w:rFonts w:ascii="Times New Roman" w:hAnsi="Times New Roman"/>
          <w:sz w:val="22"/>
          <w:szCs w:val="22"/>
          <w:lang w:val="lt-LT"/>
        </w:rPr>
        <w:t>užkrėtimui</w:t>
      </w:r>
      <w:r w:rsidR="00CB1B20" w:rsidRPr="003A7FB1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tiek vienos rūšies, </w:t>
      </w:r>
      <w:r w:rsidR="00ED3E27">
        <w:rPr>
          <w:rFonts w:ascii="Times New Roman" w:hAnsi="Times New Roman"/>
          <w:sz w:val="22"/>
          <w:szCs w:val="22"/>
          <w:lang w:val="lt-LT"/>
        </w:rPr>
        <w:t>tiek ir kelių rūšių kirmėlėmis</w:t>
      </w:r>
      <w:r w:rsidR="00F0572A">
        <w:rPr>
          <w:rFonts w:ascii="Times New Roman" w:hAnsi="Times New Roman"/>
          <w:sz w:val="22"/>
          <w:szCs w:val="22"/>
          <w:lang w:val="lt-LT"/>
        </w:rPr>
        <w:t> </w:t>
      </w:r>
      <w:r w:rsidR="00ED3E27">
        <w:rPr>
          <w:rFonts w:ascii="Times New Roman" w:hAnsi="Times New Roman"/>
          <w:sz w:val="22"/>
          <w:szCs w:val="22"/>
          <w:lang w:val="lt-LT"/>
        </w:rPr>
        <w:t>–</w:t>
      </w:r>
      <w:r w:rsidR="00F0572A">
        <w:rPr>
          <w:rFonts w:ascii="Times New Roman" w:hAnsi="Times New Roman"/>
          <w:sz w:val="22"/>
          <w:szCs w:val="22"/>
          <w:lang w:val="lt-LT"/>
        </w:rPr>
        <w:t> </w:t>
      </w:r>
      <w:r w:rsidRPr="003A7FB1">
        <w:rPr>
          <w:rFonts w:ascii="Times New Roman" w:hAnsi="Times New Roman"/>
          <w:sz w:val="22"/>
          <w:szCs w:val="22"/>
          <w:lang w:val="lt-LT"/>
        </w:rPr>
        <w:t>spalinėmis (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>Enterobius vermicularis</w:t>
      </w:r>
      <w:r w:rsidRPr="003A7FB1">
        <w:rPr>
          <w:rFonts w:ascii="Times New Roman" w:hAnsi="Times New Roman"/>
          <w:sz w:val="22"/>
          <w:szCs w:val="22"/>
          <w:lang w:val="lt-LT"/>
        </w:rPr>
        <w:t>), askaridėmis (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>Ascaris lumbricoides</w:t>
      </w:r>
      <w:r w:rsidRPr="003A7FB1">
        <w:rPr>
          <w:rFonts w:ascii="Times New Roman" w:hAnsi="Times New Roman"/>
          <w:sz w:val="22"/>
          <w:szCs w:val="22"/>
          <w:lang w:val="lt-LT"/>
        </w:rPr>
        <w:t>), plaukagalviais (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>Trichuris trichiura</w:t>
      </w:r>
      <w:r w:rsidRPr="003A7FB1">
        <w:rPr>
          <w:rFonts w:ascii="Times New Roman" w:hAnsi="Times New Roman"/>
          <w:sz w:val="22"/>
          <w:szCs w:val="22"/>
          <w:lang w:val="lt-LT"/>
        </w:rPr>
        <w:t>), kreivagalvėmis ankilostomomis (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>Ancylostoma duodenale</w:t>
      </w:r>
      <w:r w:rsidRPr="003A7FB1">
        <w:rPr>
          <w:rFonts w:ascii="Times New Roman" w:hAnsi="Times New Roman"/>
          <w:sz w:val="22"/>
          <w:szCs w:val="22"/>
          <w:lang w:val="lt-LT"/>
        </w:rPr>
        <w:t>), amerikiniais nekatoriais (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>Necator americanus</w:t>
      </w:r>
      <w:r w:rsidR="00AF1F82" w:rsidRPr="00AF1F82">
        <w:rPr>
          <w:rFonts w:ascii="Times New Roman" w:hAnsi="Times New Roman" w:cs="Courier New"/>
          <w:i/>
          <w:sz w:val="22"/>
          <w:szCs w:val="22"/>
          <w:lang w:val="lt-LT"/>
        </w:rPr>
        <w:t>)</w:t>
      </w:r>
      <w:r w:rsidR="00AF1F82" w:rsidRPr="00AF1F82">
        <w:rPr>
          <w:rFonts w:ascii="Times New Roman" w:hAnsi="Times New Roman" w:cs="Courier New"/>
          <w:sz w:val="22"/>
          <w:szCs w:val="22"/>
          <w:lang w:val="lt-LT"/>
        </w:rPr>
        <w:t>, gydyti.</w:t>
      </w:r>
    </w:p>
    <w:p w14:paraId="61010F9B" w14:textId="77777777" w:rsid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14A3CEA3" w14:textId="77777777" w:rsidR="00365494" w:rsidRPr="003A7FB1" w:rsidRDefault="00365494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00C084FB" w14:textId="77777777" w:rsidR="003A7FB1" w:rsidRPr="003A7FB1" w:rsidRDefault="003A7FB1" w:rsidP="003A7FB1">
      <w:pPr>
        <w:keepNext/>
        <w:outlineLvl w:val="1"/>
        <w:rPr>
          <w:rFonts w:ascii="Times New Roman" w:hAnsi="Times New Roman"/>
          <w:b/>
          <w:bCs/>
          <w:i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>2.</w:t>
      </w: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ab/>
        <w:t xml:space="preserve">Kas žinotina prieš vartojant </w:t>
      </w:r>
      <w:r w:rsidRPr="003A7FB1">
        <w:rPr>
          <w:rFonts w:ascii="Times New Roman" w:hAnsi="Times New Roman"/>
          <w:b/>
          <w:sz w:val="22"/>
          <w:szCs w:val="22"/>
          <w:lang w:val="lt-LT"/>
        </w:rPr>
        <w:t>Vermox</w:t>
      </w:r>
    </w:p>
    <w:p w14:paraId="74BA3239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2625B8E2" w14:textId="4111F742" w:rsidR="003A7FB1" w:rsidRPr="003A7FB1" w:rsidRDefault="003A7FB1" w:rsidP="003A7FB1">
      <w:pPr>
        <w:keepNext/>
        <w:outlineLvl w:val="1"/>
        <w:rPr>
          <w:rFonts w:ascii="Times New Roman" w:hAnsi="Times New Roman"/>
          <w:b/>
          <w:bCs/>
          <w:i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sz w:val="22"/>
          <w:szCs w:val="22"/>
          <w:lang w:val="lt-LT"/>
        </w:rPr>
        <w:t>Vermox</w:t>
      </w: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 xml:space="preserve"> vartoti </w:t>
      </w:r>
      <w:r w:rsidR="00AA0B5B">
        <w:rPr>
          <w:rFonts w:ascii="Times New Roman" w:hAnsi="Times New Roman"/>
          <w:b/>
          <w:bCs/>
          <w:iCs/>
          <w:sz w:val="22"/>
          <w:szCs w:val="22"/>
          <w:lang w:val="lt-LT"/>
        </w:rPr>
        <w:t>draudžiama</w:t>
      </w: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>:</w:t>
      </w:r>
    </w:p>
    <w:p w14:paraId="10328501" w14:textId="5F77AE78" w:rsidR="00AF1F82" w:rsidRPr="00AF1F82" w:rsidRDefault="003A7FB1" w:rsidP="007909BB">
      <w:pPr>
        <w:numPr>
          <w:ilvl w:val="0"/>
          <w:numId w:val="2"/>
        </w:numPr>
        <w:spacing w:line="259" w:lineRule="auto"/>
        <w:ind w:left="357" w:hanging="357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jeigu yra alergija mebendazolui arba bet kuriai pagalbinei medžiagai (jos išvardytos 6 skyriuje)</w:t>
      </w:r>
      <w:r w:rsidR="00AF1F82" w:rsidRPr="00AF1F82">
        <w:rPr>
          <w:rFonts w:ascii="Times New Roman" w:hAnsi="Times New Roman"/>
          <w:sz w:val="22"/>
          <w:szCs w:val="22"/>
          <w:lang w:val="lt-LT"/>
        </w:rPr>
        <w:t>;</w:t>
      </w:r>
    </w:p>
    <w:p w14:paraId="7D25351A" w14:textId="77777777" w:rsidR="003A7FB1" w:rsidRPr="00AF1F82" w:rsidRDefault="00AF1F82" w:rsidP="007909BB">
      <w:pPr>
        <w:numPr>
          <w:ilvl w:val="0"/>
          <w:numId w:val="2"/>
        </w:numPr>
        <w:spacing w:line="259" w:lineRule="auto"/>
        <w:ind w:left="357" w:hanging="357"/>
        <w:jc w:val="both"/>
        <w:rPr>
          <w:rFonts w:ascii="Times New Roman" w:hAnsi="Times New Roman"/>
          <w:sz w:val="22"/>
          <w:szCs w:val="22"/>
          <w:lang w:val="lt-LT"/>
        </w:rPr>
      </w:pPr>
      <w:r w:rsidRPr="00AF1F82">
        <w:rPr>
          <w:rFonts w:ascii="Times New Roman" w:hAnsi="Times New Roman"/>
          <w:sz w:val="22"/>
          <w:szCs w:val="22"/>
          <w:lang w:val="lt-LT"/>
        </w:rPr>
        <w:t>jei esate nėščia arba manote, kad galbūt esate nėščia.</w:t>
      </w:r>
    </w:p>
    <w:p w14:paraId="17731A10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35BB95C7" w14:textId="77777777" w:rsidR="003A7FB1" w:rsidRDefault="003A7FB1" w:rsidP="003A7FB1">
      <w:pPr>
        <w:keepNext/>
        <w:outlineLvl w:val="2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bCs/>
          <w:sz w:val="22"/>
          <w:szCs w:val="22"/>
          <w:lang w:val="lt-LT"/>
        </w:rPr>
        <w:t>Įspėjimai ir atsargumo priemonės</w:t>
      </w:r>
    </w:p>
    <w:p w14:paraId="786DD572" w14:textId="0D6D1BC5" w:rsidR="00C43669" w:rsidRPr="007909BB" w:rsidRDefault="00C43669" w:rsidP="003A7FB1">
      <w:pPr>
        <w:keepNext/>
        <w:outlineLvl w:val="2"/>
        <w:rPr>
          <w:rFonts w:ascii="Times New Roman" w:hAnsi="Times New Roman"/>
          <w:bCs/>
          <w:sz w:val="22"/>
          <w:szCs w:val="22"/>
          <w:lang w:val="lt-LT"/>
        </w:rPr>
      </w:pPr>
      <w:r w:rsidRPr="00D813AB">
        <w:rPr>
          <w:rFonts w:ascii="Times New Roman" w:hAnsi="Times New Roman"/>
          <w:bCs/>
          <w:sz w:val="22"/>
          <w:szCs w:val="22"/>
          <w:lang w:val="lt-LT"/>
        </w:rPr>
        <w:t>Pasitarkite su gydytoju arba vaistininku, prieš pradėdami vartoti V</w:t>
      </w:r>
      <w:r w:rsidR="00603017" w:rsidRPr="00D813AB">
        <w:rPr>
          <w:rFonts w:ascii="Times New Roman" w:hAnsi="Times New Roman"/>
          <w:bCs/>
          <w:sz w:val="22"/>
          <w:szCs w:val="22"/>
          <w:lang w:val="lt-LT"/>
        </w:rPr>
        <w:t>ermox</w:t>
      </w:r>
      <w:r w:rsidRPr="00C03A53">
        <w:rPr>
          <w:rFonts w:ascii="Times New Roman" w:hAnsi="Times New Roman"/>
          <w:bCs/>
          <w:sz w:val="22"/>
          <w:szCs w:val="22"/>
          <w:lang w:val="lt-LT"/>
        </w:rPr>
        <w:t>.</w:t>
      </w:r>
    </w:p>
    <w:p w14:paraId="28A274AC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Vermox visada vartokite tiksliai taip, kaip nurodė gydytojas. Simptomams išnykus, būtina atlikti gydytojo paskirtą išmatų tyrimą.</w:t>
      </w:r>
    </w:p>
    <w:p w14:paraId="7B62A081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11B473A5" w14:textId="7523C4E8" w:rsidR="00B94DFD" w:rsidRPr="007909BB" w:rsidRDefault="00B94DFD" w:rsidP="00B94DFD">
      <w:pPr>
        <w:jc w:val="both"/>
        <w:rPr>
          <w:rFonts w:ascii="Times New Roman" w:hAnsi="Times New Roman"/>
          <w:bCs/>
          <w:sz w:val="22"/>
          <w:szCs w:val="22"/>
          <w:lang w:val="lt-LT"/>
        </w:rPr>
      </w:pPr>
      <w:r w:rsidRPr="007909BB">
        <w:rPr>
          <w:rFonts w:ascii="Times New Roman" w:hAnsi="Times New Roman"/>
          <w:bCs/>
          <w:sz w:val="22"/>
          <w:szCs w:val="22"/>
          <w:lang w:val="lt-LT"/>
        </w:rPr>
        <w:t>Gauta pranešimų apie retus grįžtamojo pobūdžio kepenų funkcijos sutrikimo, hepatito</w:t>
      </w:r>
      <w:r w:rsidR="00AA0B5B">
        <w:rPr>
          <w:rFonts w:ascii="Times New Roman" w:hAnsi="Times New Roman"/>
          <w:bCs/>
          <w:sz w:val="22"/>
          <w:szCs w:val="22"/>
          <w:lang w:val="lt-LT"/>
        </w:rPr>
        <w:t xml:space="preserve"> ir tam tikro tipo</w:t>
      </w:r>
      <w:r w:rsidRPr="007909BB">
        <w:rPr>
          <w:rFonts w:ascii="Times New Roman" w:hAnsi="Times New Roman"/>
          <w:bCs/>
          <w:sz w:val="22"/>
          <w:szCs w:val="22"/>
          <w:lang w:val="lt-LT"/>
        </w:rPr>
        <w:t xml:space="preserve"> baltųjų kraujo ląstelių skaičiaus sumažėjimo atvejus vartojant </w:t>
      </w:r>
      <w:r w:rsidR="00AA0B5B">
        <w:rPr>
          <w:rFonts w:ascii="Times New Roman" w:hAnsi="Times New Roman"/>
          <w:bCs/>
          <w:sz w:val="22"/>
          <w:szCs w:val="22"/>
          <w:lang w:val="lt-LT"/>
        </w:rPr>
        <w:t xml:space="preserve">rekomenduojamas </w:t>
      </w:r>
      <w:r w:rsidRPr="007909BB">
        <w:rPr>
          <w:rFonts w:ascii="Times New Roman" w:hAnsi="Times New Roman"/>
          <w:bCs/>
          <w:sz w:val="22"/>
          <w:szCs w:val="22"/>
          <w:lang w:val="lt-LT"/>
        </w:rPr>
        <w:t>mebendazolo</w:t>
      </w:r>
      <w:r w:rsidR="00AA0B5B">
        <w:rPr>
          <w:rFonts w:ascii="Times New Roman" w:hAnsi="Times New Roman"/>
          <w:bCs/>
          <w:sz w:val="22"/>
          <w:szCs w:val="22"/>
          <w:lang w:val="lt-LT"/>
        </w:rPr>
        <w:t xml:space="preserve"> dozes</w:t>
      </w:r>
      <w:r w:rsidRPr="007909BB">
        <w:rPr>
          <w:rFonts w:ascii="Times New Roman" w:hAnsi="Times New Roman"/>
          <w:bCs/>
          <w:sz w:val="22"/>
          <w:szCs w:val="22"/>
          <w:lang w:val="lt-LT"/>
        </w:rPr>
        <w:t xml:space="preserve">. </w:t>
      </w:r>
      <w:r w:rsidR="00AA0B5B" w:rsidRPr="00AA0B5B">
        <w:rPr>
          <w:rFonts w:ascii="Times New Roman" w:hAnsi="Times New Roman"/>
          <w:bCs/>
          <w:sz w:val="22"/>
          <w:szCs w:val="22"/>
          <w:lang w:val="lt-LT"/>
        </w:rPr>
        <w:t xml:space="preserve">Ilgą laiką vartojant dideles mebendazolo dozes, pasireiškė ženklus baltųjų kraujo ląstelių skaičiaus sumažėjimas (agranolocitozė) ir inkstų uždegimas (glomerulonefritas). </w:t>
      </w:r>
      <w:r w:rsidRPr="007909BB">
        <w:rPr>
          <w:rFonts w:ascii="Times New Roman" w:hAnsi="Times New Roman"/>
          <w:bCs/>
          <w:sz w:val="22"/>
          <w:szCs w:val="22"/>
          <w:lang w:val="lt-LT"/>
        </w:rPr>
        <w:t>Todėl negalima viršyti rekomenduojamos vaisto dozės ar vartoti ilgiau, negu paskirta gydytojo.</w:t>
      </w:r>
    </w:p>
    <w:p w14:paraId="52C5414E" w14:textId="77777777" w:rsidR="00B94DFD" w:rsidRPr="007909BB" w:rsidRDefault="00B94DFD" w:rsidP="00B94DFD">
      <w:pPr>
        <w:jc w:val="both"/>
        <w:rPr>
          <w:rFonts w:ascii="Times New Roman" w:hAnsi="Times New Roman"/>
          <w:bCs/>
          <w:sz w:val="22"/>
          <w:szCs w:val="22"/>
          <w:lang w:val="lt-LT"/>
        </w:rPr>
      </w:pPr>
    </w:p>
    <w:p w14:paraId="7467284C" w14:textId="12B055B5" w:rsidR="00B94DFD" w:rsidRPr="007909BB" w:rsidRDefault="00B94DFD" w:rsidP="00B94DFD">
      <w:pPr>
        <w:jc w:val="both"/>
        <w:rPr>
          <w:rFonts w:ascii="Times New Roman" w:hAnsi="Times New Roman"/>
          <w:bCs/>
          <w:sz w:val="22"/>
          <w:szCs w:val="22"/>
          <w:lang w:val="lt-LT"/>
        </w:rPr>
      </w:pPr>
      <w:r w:rsidRPr="007909BB">
        <w:rPr>
          <w:rFonts w:ascii="Times New Roman" w:hAnsi="Times New Roman"/>
          <w:bCs/>
          <w:sz w:val="22"/>
          <w:szCs w:val="22"/>
          <w:lang w:val="lt-LT"/>
        </w:rPr>
        <w:t>Gydymo metu ir jį baigus labai svarbu laikytis asmeninės higienos, kad būtų išvengta pakartot</w:t>
      </w:r>
      <w:r w:rsidR="00C02077">
        <w:rPr>
          <w:rFonts w:ascii="Times New Roman" w:hAnsi="Times New Roman"/>
          <w:bCs/>
          <w:sz w:val="22"/>
          <w:szCs w:val="22"/>
          <w:lang w:val="lt-LT"/>
        </w:rPr>
        <w:t>ino</w:t>
      </w:r>
      <w:r w:rsidRPr="007909BB">
        <w:rPr>
          <w:rFonts w:ascii="Times New Roman" w:hAnsi="Times New Roman"/>
          <w:bCs/>
          <w:sz w:val="22"/>
          <w:szCs w:val="22"/>
          <w:lang w:val="lt-LT"/>
        </w:rPr>
        <w:t xml:space="preserve"> užsikrėtimo bei neužsikrėstų kiti asmenys.</w:t>
      </w:r>
    </w:p>
    <w:p w14:paraId="3481D915" w14:textId="61CADD07" w:rsid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73D8A4F0" w14:textId="77777777" w:rsidR="00603017" w:rsidRPr="00D813AB" w:rsidRDefault="00603017" w:rsidP="00603017">
      <w:pPr>
        <w:pStyle w:val="BodyText"/>
        <w:rPr>
          <w:rFonts w:ascii="Times New Roman" w:hAnsi="Times New Roman"/>
          <w:b/>
          <w:bCs/>
          <w:color w:val="auto"/>
          <w:sz w:val="22"/>
          <w:lang w:val="lt-LT"/>
        </w:rPr>
      </w:pPr>
      <w:r w:rsidRPr="00D813AB">
        <w:rPr>
          <w:rFonts w:ascii="Times New Roman" w:hAnsi="Times New Roman"/>
          <w:b/>
          <w:bCs/>
          <w:color w:val="auto"/>
          <w:sz w:val="22"/>
          <w:lang w:val="lt-LT"/>
        </w:rPr>
        <w:t>Vaikams</w:t>
      </w:r>
    </w:p>
    <w:p w14:paraId="3E8E4ACE" w14:textId="1B9B9D67" w:rsidR="00603017" w:rsidRDefault="00603017" w:rsidP="003B0DD7">
      <w:pPr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Jaun</w:t>
      </w:r>
      <w:r w:rsidR="003D3D02">
        <w:rPr>
          <w:rFonts w:ascii="Times New Roman" w:hAnsi="Times New Roman"/>
          <w:sz w:val="22"/>
          <w:szCs w:val="22"/>
          <w:lang w:val="lt-LT"/>
        </w:rPr>
        <w:t>esniems nei 2 metų vaikus Vermox</w:t>
      </w:r>
      <w:r>
        <w:rPr>
          <w:rFonts w:ascii="Times New Roman" w:hAnsi="Times New Roman"/>
          <w:sz w:val="22"/>
          <w:szCs w:val="22"/>
          <w:lang w:val="lt-LT"/>
        </w:rPr>
        <w:t xml:space="preserve"> vartoti galima tik paskyrus gydytojui. </w:t>
      </w:r>
    </w:p>
    <w:p w14:paraId="3BF23A21" w14:textId="78B352CF" w:rsidR="009C1F32" w:rsidRDefault="009C1F32" w:rsidP="003B0DD7">
      <w:pPr>
        <w:rPr>
          <w:rFonts w:ascii="Times New Roman" w:hAnsi="Times New Roman"/>
          <w:noProof/>
          <w:sz w:val="22"/>
          <w:szCs w:val="22"/>
          <w:lang w:val="lt-LT"/>
        </w:rPr>
      </w:pPr>
      <w:r w:rsidRPr="009C1F32">
        <w:rPr>
          <w:rFonts w:ascii="Times New Roman" w:hAnsi="Times New Roman"/>
          <w:noProof/>
          <w:sz w:val="22"/>
          <w:szCs w:val="22"/>
          <w:lang w:val="lt-LT"/>
        </w:rPr>
        <w:t>Jaunesnių nei 1 metų vaikų negalima gydyti Vermox.</w:t>
      </w:r>
    </w:p>
    <w:p w14:paraId="589B885A" w14:textId="77777777" w:rsidR="00603017" w:rsidRPr="003A7FB1" w:rsidRDefault="00603017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7471BCA3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sz w:val="22"/>
          <w:szCs w:val="22"/>
          <w:lang w:val="lt-LT"/>
        </w:rPr>
        <w:t>Kiti vaistai ir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3A7FB1">
        <w:rPr>
          <w:rFonts w:ascii="Times New Roman" w:hAnsi="Times New Roman"/>
          <w:b/>
          <w:sz w:val="22"/>
          <w:szCs w:val="22"/>
          <w:lang w:val="lt-LT"/>
        </w:rPr>
        <w:t>Vermox</w:t>
      </w:r>
    </w:p>
    <w:p w14:paraId="4A5EBA64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 xml:space="preserve">Jeigu vartojate ar neseniai vartojote kitų vaistų arba dėl to nesate tikri, apie tai pasakykite gydytojui arba vaistininkui. </w:t>
      </w:r>
    </w:p>
    <w:p w14:paraId="2F216DDD" w14:textId="77777777" w:rsidR="003A7FB1" w:rsidRPr="003A7FB1" w:rsidRDefault="003A7FB1" w:rsidP="003A7FB1">
      <w:pPr>
        <w:rPr>
          <w:rFonts w:ascii="Times New Roman" w:hAnsi="Times New Roman"/>
          <w:noProof/>
          <w:sz w:val="22"/>
          <w:szCs w:val="22"/>
          <w:lang w:val="lt-LT"/>
        </w:rPr>
      </w:pPr>
      <w:r w:rsidRPr="003A7FB1">
        <w:rPr>
          <w:rFonts w:ascii="Times New Roman" w:hAnsi="Times New Roman"/>
          <w:noProof/>
          <w:sz w:val="22"/>
          <w:szCs w:val="22"/>
          <w:lang w:val="lt-LT"/>
        </w:rPr>
        <w:t>Reikia vengti vienu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 metu vartoti </w:t>
      </w:r>
      <w:r w:rsidRPr="003A7FB1">
        <w:rPr>
          <w:rFonts w:ascii="Times New Roman" w:hAnsi="Times New Roman"/>
          <w:noProof/>
          <w:sz w:val="22"/>
          <w:szCs w:val="22"/>
          <w:lang w:val="lt-LT"/>
        </w:rPr>
        <w:t>mebendazolo ir metronidazolo</w:t>
      </w:r>
      <w:r w:rsidR="000C60AA">
        <w:rPr>
          <w:rFonts w:ascii="Times New Roman" w:hAnsi="Times New Roman"/>
          <w:noProof/>
          <w:sz w:val="22"/>
          <w:szCs w:val="22"/>
          <w:lang w:val="lt-LT"/>
        </w:rPr>
        <w:t xml:space="preserve"> (vartojamas kai kurių bakterijų ar pirmuonių sukeltoms ligos gydyti)</w:t>
      </w:r>
      <w:r w:rsidR="000C60AA" w:rsidRPr="00F5692D">
        <w:rPr>
          <w:rFonts w:ascii="Times New Roman" w:hAnsi="Times New Roman"/>
          <w:noProof/>
          <w:sz w:val="22"/>
          <w:szCs w:val="22"/>
          <w:lang w:val="lt-LT"/>
        </w:rPr>
        <w:t>,</w:t>
      </w:r>
      <w:r w:rsidRPr="003A7FB1">
        <w:rPr>
          <w:rFonts w:ascii="Times New Roman" w:hAnsi="Times New Roman"/>
          <w:noProof/>
          <w:sz w:val="22"/>
          <w:szCs w:val="22"/>
          <w:lang w:val="lt-LT"/>
        </w:rPr>
        <w:t xml:space="preserve"> nes galimas sunkus šalutinis poveikis. </w:t>
      </w:r>
    </w:p>
    <w:p w14:paraId="30808177" w14:textId="59255D6A" w:rsidR="003A7FB1" w:rsidRPr="003A7FB1" w:rsidRDefault="003A7FB1" w:rsidP="003A7FB1">
      <w:pPr>
        <w:rPr>
          <w:rFonts w:ascii="Times New Roman" w:hAnsi="Times New Roman"/>
          <w:noProof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Jeigu vartojate</w:t>
      </w:r>
      <w:r w:rsidR="00603017">
        <w:rPr>
          <w:rFonts w:ascii="Times New Roman" w:hAnsi="Times New Roman"/>
          <w:sz w:val="22"/>
          <w:szCs w:val="22"/>
          <w:lang w:val="lt-LT"/>
        </w:rPr>
        <w:t xml:space="preserve"> kitų vaistų, pvz.,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 cimetidino (skrandžio rūgšties kiekį mažinančio </w:t>
      </w:r>
      <w:r w:rsidR="00B16583">
        <w:rPr>
          <w:rFonts w:ascii="Times New Roman" w:hAnsi="Times New Roman"/>
          <w:sz w:val="22"/>
          <w:szCs w:val="22"/>
          <w:lang w:val="lt-LT"/>
        </w:rPr>
        <w:t>vaisto</w:t>
      </w:r>
      <w:r w:rsidRPr="003A7FB1">
        <w:rPr>
          <w:rFonts w:ascii="Times New Roman" w:hAnsi="Times New Roman"/>
          <w:sz w:val="22"/>
          <w:szCs w:val="22"/>
          <w:lang w:val="lt-LT"/>
        </w:rPr>
        <w:t>), informuokite apie tai gydytoją, kadangi gali tekti keisti Vermox dozę.</w:t>
      </w:r>
    </w:p>
    <w:p w14:paraId="4CF38553" w14:textId="77777777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354EABDA" w14:textId="77777777" w:rsidR="003A7FB1" w:rsidRPr="003A7FB1" w:rsidRDefault="003A7FB1" w:rsidP="003A7FB1">
      <w:pPr>
        <w:keepNext/>
        <w:outlineLvl w:val="2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sz w:val="22"/>
          <w:szCs w:val="22"/>
          <w:lang w:val="lt-LT"/>
        </w:rPr>
        <w:t>Vermox</w:t>
      </w:r>
      <w:r w:rsidRPr="003A7FB1">
        <w:rPr>
          <w:rFonts w:ascii="Times New Roman" w:hAnsi="Times New Roman"/>
          <w:b/>
          <w:bCs/>
          <w:sz w:val="22"/>
          <w:szCs w:val="22"/>
          <w:lang w:val="lt-LT"/>
        </w:rPr>
        <w:t xml:space="preserve"> vartojimas su maistu ir gėrimais</w:t>
      </w:r>
    </w:p>
    <w:p w14:paraId="262396D9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 xml:space="preserve">Vermox rekomenduojama vartoti po valgio, </w:t>
      </w:r>
      <w:r w:rsidR="00B16583" w:rsidRPr="00D813AB">
        <w:rPr>
          <w:rFonts w:ascii="Times New Roman" w:hAnsi="Times New Roman"/>
          <w:sz w:val="22"/>
          <w:szCs w:val="22"/>
          <w:lang w:val="lt-LT"/>
        </w:rPr>
        <w:t>užsigeriant vandeniu</w:t>
      </w:r>
      <w:r w:rsidR="00B16583" w:rsidRPr="00C03A53">
        <w:rPr>
          <w:rFonts w:ascii="Times New Roman" w:hAnsi="Times New Roman"/>
          <w:sz w:val="22"/>
          <w:szCs w:val="22"/>
          <w:lang w:val="lt-LT"/>
        </w:rPr>
        <w:t>.</w:t>
      </w:r>
    </w:p>
    <w:p w14:paraId="3E5ED5B4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 xml:space="preserve">Laikytis specialios dietos arba vartoti vidurių laisvinamųjų </w:t>
      </w:r>
      <w:r w:rsidR="00633DD7">
        <w:rPr>
          <w:rFonts w:ascii="Times New Roman" w:hAnsi="Times New Roman"/>
          <w:sz w:val="22"/>
          <w:szCs w:val="22"/>
          <w:lang w:val="lt-LT"/>
        </w:rPr>
        <w:t>vaistų</w:t>
      </w:r>
      <w:r w:rsidR="00633DD7" w:rsidRPr="003A7FB1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nereikia. </w:t>
      </w:r>
    </w:p>
    <w:p w14:paraId="5739302F" w14:textId="77777777" w:rsidR="003A7FB1" w:rsidRPr="003A7FB1" w:rsidRDefault="003A7FB1" w:rsidP="003A7FB1">
      <w:pPr>
        <w:keepNext/>
        <w:outlineLvl w:val="2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47FA5417" w14:textId="77777777" w:rsidR="003A7FB1" w:rsidRPr="003A7FB1" w:rsidRDefault="003A7FB1" w:rsidP="003A7FB1">
      <w:pPr>
        <w:keepNext/>
        <w:outlineLvl w:val="2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bCs/>
          <w:sz w:val="22"/>
          <w:szCs w:val="22"/>
          <w:lang w:val="lt-LT"/>
        </w:rPr>
        <w:t xml:space="preserve">Nėštumas ir žindymo laikotarpis </w:t>
      </w:r>
    </w:p>
    <w:p w14:paraId="6978C81A" w14:textId="77777777" w:rsidR="003A7FB1" w:rsidRPr="003A7FB1" w:rsidRDefault="003A7FB1" w:rsidP="003A7FB1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 xml:space="preserve">Jeigu esate nėščia, žindote kūdikį, manote, kad galbūt esate nėščia arba planuojate pastoti, tai prieš vartodama šį vaistą pasitarkite su gydytoju arba vaistininku. </w:t>
      </w:r>
    </w:p>
    <w:p w14:paraId="31854114" w14:textId="77777777" w:rsidR="00603017" w:rsidRDefault="00633DD7" w:rsidP="003A7FB1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lt-LT"/>
        </w:rPr>
      </w:pPr>
      <w:r w:rsidRPr="00F5692D">
        <w:rPr>
          <w:rFonts w:ascii="Times New Roman" w:hAnsi="Times New Roman"/>
          <w:sz w:val="22"/>
          <w:szCs w:val="22"/>
          <w:lang w:val="lt-LT"/>
        </w:rPr>
        <w:t>Jeigu esate nėščia</w:t>
      </w:r>
      <w:r>
        <w:rPr>
          <w:rFonts w:ascii="Times New Roman" w:hAnsi="Times New Roman"/>
          <w:sz w:val="22"/>
          <w:szCs w:val="22"/>
          <w:lang w:val="lt-LT"/>
        </w:rPr>
        <w:t xml:space="preserve"> arba manote, kad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 esate nėščia</w:t>
      </w:r>
      <w:r>
        <w:rPr>
          <w:rFonts w:ascii="Times New Roman" w:hAnsi="Times New Roman"/>
          <w:sz w:val="22"/>
          <w:szCs w:val="22"/>
          <w:lang w:val="lt-LT"/>
        </w:rPr>
        <w:t xml:space="preserve">, šio vaisto vartoti negalima. </w:t>
      </w:r>
      <w:r w:rsidR="003A7FB1" w:rsidRPr="003A7FB1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59A16DCD" w14:textId="097D9336" w:rsidR="003A7FB1" w:rsidRPr="003A7FB1" w:rsidRDefault="00633DD7" w:rsidP="003A7FB1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Ž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indymo </w:t>
      </w:r>
      <w:r w:rsidR="003A7FB1" w:rsidRPr="003A7FB1">
        <w:rPr>
          <w:rFonts w:ascii="Times New Roman" w:hAnsi="Times New Roman"/>
          <w:sz w:val="22"/>
          <w:szCs w:val="22"/>
          <w:lang w:val="lt-LT"/>
        </w:rPr>
        <w:t xml:space="preserve">laikotarpiu Vermox galima vartoti tik gydytojui </w:t>
      </w:r>
      <w:r>
        <w:rPr>
          <w:rFonts w:ascii="Times New Roman" w:hAnsi="Times New Roman"/>
          <w:sz w:val="22"/>
          <w:szCs w:val="22"/>
          <w:lang w:val="lt-LT"/>
        </w:rPr>
        <w:t>pa</w:t>
      </w:r>
      <w:r w:rsidR="003A7FB1" w:rsidRPr="003A7FB1">
        <w:rPr>
          <w:rFonts w:ascii="Times New Roman" w:hAnsi="Times New Roman"/>
          <w:sz w:val="22"/>
          <w:szCs w:val="22"/>
          <w:lang w:val="lt-LT"/>
        </w:rPr>
        <w:t>skyrus.</w:t>
      </w:r>
    </w:p>
    <w:p w14:paraId="20FE41F1" w14:textId="77777777" w:rsidR="003A7FB1" w:rsidRPr="003A7FB1" w:rsidRDefault="003A7FB1" w:rsidP="003A7FB1">
      <w:pPr>
        <w:keepNext/>
        <w:outlineLvl w:val="2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553486AD" w14:textId="77777777" w:rsidR="003A7FB1" w:rsidRPr="003A7FB1" w:rsidRDefault="003A7FB1" w:rsidP="003A7FB1">
      <w:pPr>
        <w:keepNext/>
        <w:outlineLvl w:val="2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bCs/>
          <w:sz w:val="22"/>
          <w:szCs w:val="22"/>
          <w:lang w:val="lt-LT"/>
        </w:rPr>
        <w:t>Vairavimas ir mechanizmų valdymas</w:t>
      </w:r>
    </w:p>
    <w:p w14:paraId="5B1F89AA" w14:textId="77777777" w:rsidR="00DF23F1" w:rsidRPr="00F5692D" w:rsidRDefault="00ED3E27" w:rsidP="00DF23F1">
      <w:pPr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Vermox </w:t>
      </w:r>
      <w:r w:rsidR="003A7FB1" w:rsidRPr="003A7FB1">
        <w:rPr>
          <w:rFonts w:ascii="Times New Roman" w:hAnsi="Times New Roman"/>
          <w:sz w:val="22"/>
          <w:szCs w:val="22"/>
          <w:lang w:val="lt-LT"/>
        </w:rPr>
        <w:t>gebėjimo vairuoti ir valdyti mechanizmus neveikia</w:t>
      </w:r>
      <w:r w:rsidR="00DF23F1">
        <w:rPr>
          <w:rFonts w:ascii="Times New Roman" w:hAnsi="Times New Roman"/>
          <w:sz w:val="22"/>
          <w:szCs w:val="22"/>
          <w:lang w:val="lt-LT"/>
        </w:rPr>
        <w:t xml:space="preserve"> arba veikia nereikšmingai</w:t>
      </w:r>
      <w:r w:rsidR="00DF23F1" w:rsidRPr="00F5692D">
        <w:rPr>
          <w:rFonts w:ascii="Times New Roman" w:hAnsi="Times New Roman"/>
          <w:sz w:val="22"/>
          <w:szCs w:val="22"/>
          <w:lang w:val="lt-LT"/>
        </w:rPr>
        <w:t>.</w:t>
      </w:r>
    </w:p>
    <w:p w14:paraId="63F13165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557C6D5A" w14:textId="0852BB18" w:rsidR="00603017" w:rsidRDefault="00603017" w:rsidP="00603017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3B0DD7">
        <w:rPr>
          <w:rFonts w:ascii="Times New Roman" w:hAnsi="Times New Roman"/>
          <w:b/>
          <w:bCs/>
          <w:sz w:val="22"/>
          <w:szCs w:val="22"/>
          <w:lang w:val="lt-LT"/>
        </w:rPr>
        <w:t>Vermox sudėtyje yra</w:t>
      </w:r>
      <w:r w:rsidR="00012654">
        <w:rPr>
          <w:rFonts w:ascii="Times New Roman" w:hAnsi="Times New Roman"/>
          <w:b/>
          <w:bCs/>
          <w:sz w:val="22"/>
          <w:szCs w:val="22"/>
          <w:lang w:val="lt-LT"/>
        </w:rPr>
        <w:t xml:space="preserve"> </w:t>
      </w:r>
      <w:r w:rsidRPr="003B0DD7">
        <w:rPr>
          <w:rFonts w:ascii="Times New Roman" w:hAnsi="Times New Roman"/>
          <w:b/>
          <w:bCs/>
          <w:sz w:val="22"/>
          <w:szCs w:val="22"/>
          <w:lang w:val="lt-LT"/>
        </w:rPr>
        <w:t>natrio</w:t>
      </w:r>
      <w:r w:rsidR="00F0572A">
        <w:rPr>
          <w:rFonts w:ascii="Times New Roman" w:hAnsi="Times New Roman"/>
          <w:b/>
          <w:bCs/>
          <w:sz w:val="22"/>
          <w:szCs w:val="22"/>
          <w:lang w:val="lt-LT"/>
        </w:rPr>
        <w:t xml:space="preserve"> ir saulėlydžio geltonojo FCF (E110)</w:t>
      </w:r>
    </w:p>
    <w:p w14:paraId="3700EC73" w14:textId="6240564A" w:rsidR="003A7FB1" w:rsidRDefault="00603017" w:rsidP="00603017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603017">
        <w:rPr>
          <w:rFonts w:ascii="Times New Roman" w:hAnsi="Times New Roman"/>
          <w:sz w:val="22"/>
          <w:szCs w:val="22"/>
          <w:lang w:val="lt-LT"/>
        </w:rPr>
        <w:t>Kiekvienoje šio vaisto tabletėje yra mažiau kaip 1 mmol (23 mg) natrio, t.</w:t>
      </w:r>
      <w:r w:rsidR="00F0572A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603017">
        <w:rPr>
          <w:rFonts w:ascii="Times New Roman" w:hAnsi="Times New Roman"/>
          <w:sz w:val="22"/>
          <w:szCs w:val="22"/>
          <w:lang w:val="lt-LT"/>
        </w:rPr>
        <w:t>y. jis beveik</w:t>
      </w:r>
      <w:r w:rsidR="00102012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603017">
        <w:rPr>
          <w:rFonts w:ascii="Times New Roman" w:hAnsi="Times New Roman"/>
          <w:sz w:val="22"/>
          <w:szCs w:val="22"/>
          <w:lang w:val="lt-LT"/>
        </w:rPr>
        <w:t>neturi reikšmės.</w:t>
      </w:r>
    </w:p>
    <w:p w14:paraId="6613CFEC" w14:textId="72BF912F" w:rsidR="00603017" w:rsidRPr="00365494" w:rsidRDefault="00365494" w:rsidP="00603017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65494">
        <w:rPr>
          <w:rFonts w:ascii="Times New Roman" w:hAnsi="Times New Roman"/>
          <w:sz w:val="22"/>
          <w:szCs w:val="22"/>
          <w:lang w:val="lt-LT"/>
        </w:rPr>
        <w:t>Saulėlydžio geltonasis FCF (E110) gali sukelti alergin</w:t>
      </w:r>
      <w:r>
        <w:rPr>
          <w:rFonts w:ascii="Times New Roman" w:hAnsi="Times New Roman"/>
          <w:sz w:val="22"/>
          <w:szCs w:val="22"/>
          <w:lang w:val="lt-LT"/>
        </w:rPr>
        <w:t>ių</w:t>
      </w:r>
      <w:r w:rsidRPr="00365494">
        <w:rPr>
          <w:rFonts w:ascii="Times New Roman" w:hAnsi="Times New Roman"/>
          <w:sz w:val="22"/>
          <w:szCs w:val="22"/>
          <w:lang w:val="lt-LT"/>
        </w:rPr>
        <w:t xml:space="preserve"> reakcij</w:t>
      </w:r>
      <w:r>
        <w:rPr>
          <w:rFonts w:ascii="Times New Roman" w:hAnsi="Times New Roman"/>
          <w:sz w:val="22"/>
          <w:szCs w:val="22"/>
          <w:lang w:val="lt-LT"/>
        </w:rPr>
        <w:t>ų</w:t>
      </w:r>
      <w:r w:rsidRPr="00365494">
        <w:rPr>
          <w:rFonts w:ascii="Times New Roman" w:hAnsi="Times New Roman"/>
          <w:sz w:val="22"/>
          <w:szCs w:val="22"/>
          <w:lang w:val="lt-LT"/>
        </w:rPr>
        <w:t>.</w:t>
      </w:r>
    </w:p>
    <w:p w14:paraId="30DE8DFE" w14:textId="77777777" w:rsidR="00365494" w:rsidRDefault="00365494" w:rsidP="00603017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6E64DD35" w14:textId="77777777" w:rsidR="00365494" w:rsidRPr="003A7FB1" w:rsidRDefault="00365494" w:rsidP="00603017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397BBBD0" w14:textId="77777777" w:rsidR="003A7FB1" w:rsidRPr="003A7FB1" w:rsidRDefault="003A7FB1" w:rsidP="003A7FB1">
      <w:pPr>
        <w:keepNext/>
        <w:ind w:left="567" w:hanging="567"/>
        <w:outlineLvl w:val="1"/>
        <w:rPr>
          <w:rFonts w:ascii="Times New Roman" w:hAnsi="Times New Roman"/>
          <w:b/>
          <w:bCs/>
          <w:i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>3.</w:t>
      </w: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ab/>
        <w:t xml:space="preserve">Kaip vartoti </w:t>
      </w:r>
      <w:r w:rsidRPr="003A7FB1">
        <w:rPr>
          <w:rFonts w:ascii="Times New Roman" w:hAnsi="Times New Roman"/>
          <w:b/>
          <w:sz w:val="22"/>
          <w:szCs w:val="22"/>
          <w:lang w:val="lt-LT"/>
        </w:rPr>
        <w:t>Vermox</w:t>
      </w:r>
    </w:p>
    <w:p w14:paraId="5AE0F1B4" w14:textId="77777777" w:rsidR="003A7FB1" w:rsidRPr="003A7FB1" w:rsidRDefault="003A7FB1" w:rsidP="003A7FB1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02A569C0" w14:textId="77777777" w:rsidR="003A7FB1" w:rsidRPr="003A7FB1" w:rsidRDefault="003A7FB1" w:rsidP="003A7FB1">
      <w:pPr>
        <w:rPr>
          <w:rFonts w:ascii="Times New Roman" w:hAnsi="Times New Roman"/>
          <w:noProof/>
          <w:sz w:val="22"/>
          <w:szCs w:val="22"/>
          <w:lang w:val="lt-LT"/>
        </w:rPr>
      </w:pPr>
      <w:r w:rsidRPr="003A7FB1">
        <w:rPr>
          <w:rFonts w:ascii="Times New Roman" w:hAnsi="Times New Roman"/>
          <w:noProof/>
          <w:sz w:val="22"/>
          <w:szCs w:val="22"/>
          <w:lang w:val="lt-LT"/>
        </w:rPr>
        <w:t>Visada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 vartokite </w:t>
      </w:r>
      <w:r w:rsidRPr="003A7FB1">
        <w:rPr>
          <w:rFonts w:ascii="Times New Roman" w:hAnsi="Times New Roman"/>
          <w:noProof/>
          <w:sz w:val="22"/>
          <w:szCs w:val="22"/>
          <w:lang w:val="lt-LT"/>
        </w:rPr>
        <w:t xml:space="preserve">šį vaistą 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tiksliai, kaip nurodė gydytojas. </w:t>
      </w:r>
      <w:r w:rsidRPr="003A7FB1">
        <w:rPr>
          <w:rFonts w:ascii="Times New Roman" w:hAnsi="Times New Roman"/>
          <w:noProof/>
          <w:sz w:val="22"/>
          <w:szCs w:val="22"/>
          <w:lang w:val="lt-LT"/>
        </w:rPr>
        <w:t xml:space="preserve">Jeigu abejojate, kreipkitės į gydytoją arba vaistininką. </w:t>
      </w:r>
    </w:p>
    <w:p w14:paraId="1ED698AF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29AC3251" w14:textId="720E7278" w:rsidR="00480A1B" w:rsidRPr="00480A1B" w:rsidRDefault="003A7FB1" w:rsidP="00480A1B">
      <w:pPr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Dozę ir gydymo</w:t>
      </w:r>
      <w:r w:rsidR="00603017">
        <w:rPr>
          <w:rFonts w:ascii="Times New Roman" w:hAnsi="Times New Roman"/>
          <w:sz w:val="22"/>
          <w:szCs w:val="22"/>
          <w:lang w:val="lt-LT"/>
        </w:rPr>
        <w:t xml:space="preserve"> Vermox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 trukmę nustato gydytojas, atsižvelgdamas į kirmėlių rūšį.</w:t>
      </w:r>
      <w:r w:rsidR="00480A1B" w:rsidRPr="00480A1B">
        <w:rPr>
          <w:rFonts w:ascii="Times New Roman" w:hAnsi="Times New Roman"/>
          <w:sz w:val="22"/>
          <w:szCs w:val="22"/>
          <w:lang w:val="lt-LT"/>
        </w:rPr>
        <w:t xml:space="preserve"> Paprastai gydymas trunka 3 dienas. </w:t>
      </w:r>
    </w:p>
    <w:p w14:paraId="4E131582" w14:textId="2DCF16CE" w:rsidR="00480A1B" w:rsidRDefault="00480A1B" w:rsidP="00480A1B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480A1B">
        <w:rPr>
          <w:rFonts w:ascii="Times New Roman" w:hAnsi="Times New Roman"/>
          <w:sz w:val="22"/>
          <w:szCs w:val="22"/>
          <w:lang w:val="lt-LT"/>
        </w:rPr>
        <w:t>Vartokite tiksliai tokią V</w:t>
      </w:r>
      <w:r w:rsidR="00102012">
        <w:rPr>
          <w:rFonts w:ascii="Times New Roman" w:hAnsi="Times New Roman"/>
          <w:sz w:val="22"/>
          <w:szCs w:val="22"/>
          <w:lang w:val="lt-LT"/>
        </w:rPr>
        <w:t>ermox</w:t>
      </w:r>
      <w:r w:rsidRPr="00480A1B">
        <w:rPr>
          <w:rFonts w:ascii="Times New Roman" w:hAnsi="Times New Roman"/>
          <w:sz w:val="22"/>
          <w:szCs w:val="22"/>
          <w:lang w:val="lt-LT"/>
        </w:rPr>
        <w:t xml:space="preserve"> dozę, kokią nurodė gydytojas. Simptomams išnykus, būtina atlikti gydytojo paskirtą išmatų tyrimą.</w:t>
      </w:r>
    </w:p>
    <w:p w14:paraId="4D2CEC06" w14:textId="77777777" w:rsidR="00480A1B" w:rsidRPr="00480A1B" w:rsidRDefault="00480A1B" w:rsidP="00480A1B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4F678D2D" w14:textId="4A5EAA3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Rekomenduojamos dozės nurodytos toliau.</w:t>
      </w:r>
    </w:p>
    <w:p w14:paraId="529FDFDF" w14:textId="77777777" w:rsidR="003A7FB1" w:rsidRPr="003A7FB1" w:rsidRDefault="003A7FB1" w:rsidP="003A7FB1">
      <w:pPr>
        <w:outlineLvl w:val="6"/>
        <w:rPr>
          <w:rFonts w:ascii="Times New Roman" w:hAnsi="Times New Roman"/>
          <w:sz w:val="22"/>
          <w:szCs w:val="22"/>
          <w:lang w:val="lt-LT"/>
        </w:rPr>
      </w:pPr>
    </w:p>
    <w:p w14:paraId="5A5C56C3" w14:textId="77777777" w:rsidR="003A7FB1" w:rsidRPr="003A7FB1" w:rsidRDefault="003A7FB1" w:rsidP="003A7FB1">
      <w:pPr>
        <w:outlineLvl w:val="6"/>
        <w:rPr>
          <w:rFonts w:ascii="Times New Roman" w:hAnsi="Times New Roman"/>
          <w:sz w:val="22"/>
          <w:szCs w:val="22"/>
          <w:u w:val="single"/>
          <w:lang w:val="lt-LT"/>
        </w:rPr>
      </w:pPr>
      <w:r w:rsidRPr="003A7FB1">
        <w:rPr>
          <w:rFonts w:ascii="Times New Roman" w:hAnsi="Times New Roman"/>
          <w:sz w:val="22"/>
          <w:szCs w:val="22"/>
          <w:u w:val="single"/>
          <w:lang w:val="lt-LT"/>
        </w:rPr>
        <w:t xml:space="preserve">Spalinės </w:t>
      </w:r>
    </w:p>
    <w:p w14:paraId="23794E22" w14:textId="77777777" w:rsidR="00480A1B" w:rsidRPr="00F5692D" w:rsidRDefault="00480A1B" w:rsidP="00480A1B">
      <w:pPr>
        <w:rPr>
          <w:rFonts w:ascii="Times New Roman" w:hAnsi="Times New Roman"/>
          <w:sz w:val="22"/>
          <w:szCs w:val="22"/>
          <w:lang w:val="lt-LT"/>
        </w:rPr>
      </w:pPr>
      <w:r w:rsidRPr="00D414EC">
        <w:rPr>
          <w:rFonts w:ascii="Times New Roman" w:hAnsi="Times New Roman"/>
          <w:iCs/>
          <w:sz w:val="22"/>
          <w:szCs w:val="22"/>
          <w:lang w:val="lt-LT"/>
        </w:rPr>
        <w:t>R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eikia gerti </w:t>
      </w:r>
      <w:r>
        <w:rPr>
          <w:rFonts w:ascii="Times New Roman" w:hAnsi="Times New Roman"/>
          <w:sz w:val="22"/>
          <w:szCs w:val="22"/>
          <w:lang w:val="lt-LT"/>
        </w:rPr>
        <w:t xml:space="preserve">po </w:t>
      </w:r>
      <w:r w:rsidRPr="00F5692D">
        <w:rPr>
          <w:rFonts w:ascii="Times New Roman" w:hAnsi="Times New Roman"/>
          <w:sz w:val="22"/>
          <w:szCs w:val="22"/>
          <w:lang w:val="lt-LT"/>
        </w:rPr>
        <w:t>1 tablet</w:t>
      </w:r>
      <w:r>
        <w:rPr>
          <w:rFonts w:ascii="Times New Roman" w:hAnsi="Times New Roman"/>
          <w:sz w:val="22"/>
          <w:szCs w:val="22"/>
          <w:lang w:val="lt-LT"/>
        </w:rPr>
        <w:t>ę</w:t>
      </w:r>
      <w:r w:rsidRPr="00F5692D">
        <w:rPr>
          <w:rFonts w:ascii="Times New Roman" w:hAnsi="Times New Roman"/>
          <w:sz w:val="22"/>
          <w:szCs w:val="22"/>
          <w:lang w:val="lt-LT"/>
        </w:rPr>
        <w:t xml:space="preserve"> vieną kartą</w:t>
      </w:r>
      <w:r>
        <w:rPr>
          <w:rFonts w:ascii="Times New Roman" w:hAnsi="Times New Roman"/>
          <w:sz w:val="22"/>
          <w:szCs w:val="22"/>
          <w:lang w:val="lt-LT"/>
        </w:rPr>
        <w:t xml:space="preserve"> per parą</w:t>
      </w:r>
      <w:r w:rsidRPr="00F5692D">
        <w:rPr>
          <w:rFonts w:ascii="Times New Roman" w:hAnsi="Times New Roman"/>
          <w:sz w:val="22"/>
          <w:szCs w:val="22"/>
          <w:lang w:val="lt-LT"/>
        </w:rPr>
        <w:t>, geriau vakare.</w:t>
      </w:r>
    </w:p>
    <w:p w14:paraId="7FB73947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Jei reikia, gydytojui skyrus, gydymą galima kartoti po 2 ir 4 savaičių.</w:t>
      </w:r>
    </w:p>
    <w:p w14:paraId="331D4B36" w14:textId="77777777" w:rsidR="003A7FB1" w:rsidRPr="003A7FB1" w:rsidRDefault="003A7FB1" w:rsidP="003A7FB1">
      <w:pPr>
        <w:rPr>
          <w:rFonts w:ascii="Times New Roman" w:hAnsi="Times New Roman"/>
          <w:bCs/>
          <w:sz w:val="22"/>
          <w:szCs w:val="22"/>
          <w:u w:val="single"/>
          <w:lang w:val="lt-LT"/>
        </w:rPr>
      </w:pPr>
    </w:p>
    <w:p w14:paraId="05DB182F" w14:textId="77777777" w:rsidR="003A7FB1" w:rsidRPr="007C33C5" w:rsidRDefault="003A7FB1" w:rsidP="003A7FB1">
      <w:pPr>
        <w:rPr>
          <w:rFonts w:ascii="Times New Roman" w:hAnsi="Times New Roman"/>
          <w:bCs/>
          <w:sz w:val="22"/>
          <w:szCs w:val="22"/>
          <w:u w:val="single"/>
          <w:lang w:val="lt-LT"/>
        </w:rPr>
      </w:pPr>
      <w:r w:rsidRPr="007C33C5">
        <w:rPr>
          <w:rFonts w:ascii="Times New Roman" w:hAnsi="Times New Roman"/>
          <w:bCs/>
          <w:sz w:val="22"/>
          <w:szCs w:val="22"/>
          <w:u w:val="single"/>
          <w:lang w:val="lt-LT"/>
        </w:rPr>
        <w:t>Askaridės, plaukagalviai, dvylikapirštės žarnos kreivagalviai arba užsikrėtimas kelių rūšių kirmėlėmis</w:t>
      </w:r>
    </w:p>
    <w:p w14:paraId="413B7414" w14:textId="77777777" w:rsidR="003A7FB1" w:rsidRPr="007C33C5" w:rsidRDefault="00480A1B" w:rsidP="003A7FB1">
      <w:pPr>
        <w:rPr>
          <w:rFonts w:ascii="Times New Roman" w:hAnsi="Times New Roman"/>
          <w:sz w:val="22"/>
          <w:szCs w:val="22"/>
          <w:lang w:val="lt-LT"/>
        </w:rPr>
      </w:pPr>
      <w:r w:rsidRPr="00D813AB">
        <w:rPr>
          <w:rFonts w:ascii="Times New Roman" w:hAnsi="Times New Roman"/>
          <w:iCs/>
          <w:sz w:val="22"/>
          <w:szCs w:val="22"/>
          <w:lang w:val="lt-LT"/>
        </w:rPr>
        <w:lastRenderedPageBreak/>
        <w:t>Reikia gerti po 1 tabletę ryte ir 1 tabletę vakare tris dienas iš eilės.</w:t>
      </w:r>
    </w:p>
    <w:p w14:paraId="712A1430" w14:textId="52368870" w:rsidR="003A7FB1" w:rsidRPr="003A7FB1" w:rsidRDefault="00546A51" w:rsidP="003B0DD7">
      <w:pPr>
        <w:rPr>
          <w:rFonts w:ascii="Times New Roman" w:hAnsi="Times New Roman"/>
          <w:sz w:val="22"/>
          <w:szCs w:val="22"/>
          <w:lang w:val="lt-LT"/>
        </w:rPr>
      </w:pPr>
      <w:r w:rsidRPr="006842F4">
        <w:rPr>
          <w:rFonts w:ascii="Times New Roman" w:hAnsi="Times New Roman"/>
          <w:sz w:val="22"/>
          <w:szCs w:val="22"/>
          <w:lang w:val="lt-LT"/>
        </w:rPr>
        <w:t>Tabletes galima nuryti nekramtytas arba sukramtyti ar perlaužti, kad b</w:t>
      </w:r>
      <w:r w:rsidRPr="006842F4">
        <w:rPr>
          <w:rFonts w:ascii="Times New Roman" w:hAnsi="Times New Roman" w:hint="eastAsia"/>
          <w:sz w:val="22"/>
          <w:szCs w:val="22"/>
          <w:lang w:val="lt-LT"/>
        </w:rPr>
        <w:t>ū</w:t>
      </w:r>
      <w:r w:rsidRPr="006842F4">
        <w:rPr>
          <w:rFonts w:ascii="Times New Roman" w:hAnsi="Times New Roman"/>
          <w:sz w:val="22"/>
          <w:szCs w:val="22"/>
          <w:lang w:val="lt-LT"/>
        </w:rPr>
        <w:t>t</w:t>
      </w:r>
      <w:r w:rsidRPr="006842F4">
        <w:rPr>
          <w:rFonts w:ascii="Times New Roman" w:hAnsi="Times New Roman" w:hint="eastAsia"/>
          <w:sz w:val="22"/>
          <w:szCs w:val="22"/>
          <w:lang w:val="lt-LT"/>
        </w:rPr>
        <w:t>ų</w:t>
      </w:r>
      <w:r w:rsidRPr="006842F4">
        <w:rPr>
          <w:rFonts w:ascii="Times New Roman" w:hAnsi="Times New Roman"/>
          <w:sz w:val="22"/>
          <w:szCs w:val="22"/>
          <w:lang w:val="lt-LT"/>
        </w:rPr>
        <w:t xml:space="preserve"> lengviau nuryti, užsigeriant trupu</w:t>
      </w:r>
      <w:r w:rsidRPr="006842F4">
        <w:rPr>
          <w:rFonts w:ascii="Times New Roman" w:hAnsi="Times New Roman" w:hint="eastAsia"/>
          <w:sz w:val="22"/>
          <w:szCs w:val="22"/>
          <w:lang w:val="lt-LT"/>
        </w:rPr>
        <w:t>č</w:t>
      </w:r>
      <w:r w:rsidRPr="006842F4">
        <w:rPr>
          <w:rFonts w:ascii="Times New Roman" w:hAnsi="Times New Roman"/>
          <w:sz w:val="22"/>
          <w:szCs w:val="22"/>
          <w:lang w:val="lt-LT"/>
        </w:rPr>
        <w:t>iu vandens.</w:t>
      </w:r>
      <w:r w:rsidRPr="007909BB">
        <w:rPr>
          <w:rFonts w:ascii="Monotype Corsiva" w:hAnsi="Monotype Corsiva"/>
          <w:sz w:val="22"/>
          <w:lang w:val="lt-LT"/>
        </w:rPr>
        <w:t xml:space="preserve"> </w:t>
      </w:r>
      <w:r w:rsidRPr="00F5692D">
        <w:rPr>
          <w:rFonts w:ascii="Times New Roman" w:hAnsi="Times New Roman"/>
          <w:noProof/>
          <w:sz w:val="22"/>
          <w:szCs w:val="22"/>
          <w:lang w:val="lt-LT"/>
        </w:rPr>
        <w:t>Vagelė skirta tik tabletei perlaužti, kad būtų lengviau nuryti, bet ne j</w:t>
      </w:r>
      <w:r w:rsidR="007A3B2C">
        <w:rPr>
          <w:rFonts w:ascii="Times New Roman" w:hAnsi="Times New Roman"/>
          <w:noProof/>
          <w:sz w:val="22"/>
          <w:szCs w:val="22"/>
          <w:lang w:val="lt-LT"/>
        </w:rPr>
        <w:t>ą</w:t>
      </w:r>
      <w:r w:rsidRPr="00F5692D">
        <w:rPr>
          <w:rFonts w:ascii="Times New Roman" w:hAnsi="Times New Roman"/>
          <w:noProof/>
          <w:sz w:val="22"/>
          <w:szCs w:val="22"/>
          <w:lang w:val="lt-LT"/>
        </w:rPr>
        <w:t xml:space="preserve"> padalyti į lygias dozes.</w:t>
      </w:r>
      <w:r w:rsidRPr="00B6228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9C1F32" w:rsidRPr="009C1F32">
        <w:rPr>
          <w:rFonts w:ascii="Times New Roman" w:hAnsi="Times New Roman"/>
          <w:sz w:val="22"/>
          <w:szCs w:val="22"/>
          <w:lang w:val="lt-LT"/>
        </w:rPr>
        <w:t>Prieš duodant mažiems vaikams, tabletę reikia susmulkinti. Visada stebėkite vaiką, kuomet jis vartoja šio vaisto.</w:t>
      </w:r>
    </w:p>
    <w:p w14:paraId="76555DA9" w14:textId="77777777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43F70FB6" w14:textId="11D4C2FE" w:rsidR="003A7FB1" w:rsidRPr="003A7FB1" w:rsidRDefault="003A7FB1" w:rsidP="003A7FB1">
      <w:pPr>
        <w:keepNext/>
        <w:outlineLvl w:val="1"/>
        <w:rPr>
          <w:rFonts w:ascii="Times New Roman" w:hAnsi="Times New Roman"/>
          <w:b/>
          <w:bCs/>
          <w:i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sz w:val="22"/>
          <w:szCs w:val="22"/>
          <w:lang w:val="lt-LT"/>
        </w:rPr>
        <w:t>Ką daryti</w:t>
      </w:r>
      <w:r w:rsidRPr="003A7FB1">
        <w:rPr>
          <w:rFonts w:ascii="Times New Roman" w:hAnsi="Times New Roman"/>
          <w:b/>
          <w:bCs/>
          <w:i/>
          <w:iCs/>
          <w:sz w:val="22"/>
          <w:szCs w:val="22"/>
          <w:lang w:val="lt-LT"/>
        </w:rPr>
        <w:t xml:space="preserve"> </w:t>
      </w: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 xml:space="preserve">pavartojus per didelę </w:t>
      </w:r>
      <w:r w:rsidRPr="003A7FB1">
        <w:rPr>
          <w:rFonts w:ascii="Times New Roman" w:hAnsi="Times New Roman"/>
          <w:b/>
          <w:sz w:val="22"/>
          <w:szCs w:val="22"/>
          <w:lang w:val="lt-LT"/>
        </w:rPr>
        <w:t>Vermox</w:t>
      </w: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 xml:space="preserve"> dozę</w:t>
      </w:r>
    </w:p>
    <w:p w14:paraId="78228192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Jei išgėrėte per daug tablečių, nedelsdami kreipkitės į gydytoją</w:t>
      </w:r>
      <w:r w:rsidR="00EF28BF" w:rsidRPr="00EF28BF">
        <w:rPr>
          <w:rFonts w:ascii="Times New Roman" w:hAnsi="Times New Roman" w:cs="Courier New"/>
          <w:sz w:val="22"/>
          <w:szCs w:val="22"/>
          <w:lang w:val="lt-LT"/>
        </w:rPr>
        <w:t xml:space="preserve"> </w:t>
      </w:r>
      <w:r w:rsidR="00EF28BF" w:rsidRPr="00EF28BF">
        <w:rPr>
          <w:rFonts w:ascii="Times New Roman" w:hAnsi="Times New Roman"/>
          <w:sz w:val="22"/>
          <w:szCs w:val="22"/>
          <w:lang w:val="lt-LT"/>
        </w:rPr>
        <w:t>arba artimiausią ligoninę. Kartu pasiimkite vaisto dėžutę ir šį pakuotės lapelį.</w:t>
      </w:r>
    </w:p>
    <w:p w14:paraId="5ED1B0AE" w14:textId="5A1A1AA8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 xml:space="preserve">Pavartojus per didelę Vermox dozę, gali atsirasti pilvo dieglių, pykinimas, vėmimas, viduriavimas. Pacientams, kurie ilgai buvo gydomi didelėmis dozėmis, pasireiškia </w:t>
      </w:r>
      <w:r w:rsidR="00C02077">
        <w:rPr>
          <w:rFonts w:ascii="Times New Roman" w:hAnsi="Times New Roman"/>
          <w:sz w:val="22"/>
          <w:szCs w:val="22"/>
          <w:lang w:val="lt-LT"/>
        </w:rPr>
        <w:t xml:space="preserve">glomerulonefritas (inkstų uždegimas) </w:t>
      </w:r>
      <w:r w:rsidR="00C02077" w:rsidRPr="00F5692D">
        <w:rPr>
          <w:rFonts w:ascii="Times New Roman" w:hAnsi="Times New Roman"/>
          <w:sz w:val="22"/>
          <w:szCs w:val="22"/>
          <w:lang w:val="lt-LT"/>
        </w:rPr>
        <w:t xml:space="preserve">ir </w:t>
      </w:r>
      <w:r w:rsidR="00C02077">
        <w:rPr>
          <w:rFonts w:ascii="Times New Roman" w:hAnsi="Times New Roman"/>
          <w:sz w:val="22"/>
          <w:szCs w:val="22"/>
          <w:lang w:val="lt-LT"/>
        </w:rPr>
        <w:t xml:space="preserve">agranulocitozė </w:t>
      </w:r>
      <w:r w:rsidR="00C02077" w:rsidRPr="00F5692D">
        <w:rPr>
          <w:rFonts w:ascii="Times New Roman" w:hAnsi="Times New Roman"/>
          <w:sz w:val="22"/>
          <w:szCs w:val="22"/>
          <w:lang w:val="lt-LT"/>
        </w:rPr>
        <w:t>(</w:t>
      </w:r>
      <w:r w:rsidR="00C02077">
        <w:rPr>
          <w:rFonts w:ascii="Times New Roman" w:hAnsi="Times New Roman"/>
          <w:sz w:val="22"/>
          <w:szCs w:val="22"/>
          <w:lang w:val="lt-LT"/>
        </w:rPr>
        <w:t xml:space="preserve">ženklus </w:t>
      </w:r>
      <w:r w:rsidR="00C02077" w:rsidRPr="00F5692D">
        <w:rPr>
          <w:rFonts w:ascii="Times New Roman" w:hAnsi="Times New Roman"/>
          <w:sz w:val="22"/>
          <w:szCs w:val="22"/>
          <w:lang w:val="lt-LT"/>
        </w:rPr>
        <w:t>baltųjų kraujo ląstelių skaičiaus sumažėjimas).</w:t>
      </w:r>
      <w:r w:rsidR="00C02077">
        <w:rPr>
          <w:rFonts w:ascii="Times New Roman" w:hAnsi="Times New Roman"/>
          <w:sz w:val="22"/>
          <w:szCs w:val="22"/>
          <w:lang w:val="lt-LT"/>
        </w:rPr>
        <w:t xml:space="preserve"> Šie simptomai tikėtini ir pavartojus per didelę dozę.</w:t>
      </w:r>
    </w:p>
    <w:p w14:paraId="2D73D9C1" w14:textId="30DD241D" w:rsid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Specifinio priešnuodžio nėra. Jei nuo vaisto pavartojimo praėjo mažiau nei valanda, galima plauti skrandį. Jei reikia, galima išgerti aktyvintosios anglies.</w:t>
      </w:r>
    </w:p>
    <w:p w14:paraId="2EBF48EC" w14:textId="77777777" w:rsidR="007A3B2C" w:rsidRDefault="007A3B2C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50759316" w14:textId="183BDBC5" w:rsidR="00EF28BF" w:rsidRPr="00EF28BF" w:rsidRDefault="00EF28BF" w:rsidP="00EF28BF">
      <w:pPr>
        <w:rPr>
          <w:rFonts w:ascii="Times New Roman" w:hAnsi="Times New Roman"/>
          <w:b/>
          <w:bCs/>
          <w:sz w:val="22"/>
          <w:szCs w:val="22"/>
          <w:lang w:val="lt-LT"/>
        </w:rPr>
      </w:pPr>
      <w:r w:rsidRPr="00EF28BF">
        <w:rPr>
          <w:rFonts w:ascii="Times New Roman" w:hAnsi="Times New Roman"/>
          <w:b/>
          <w:bCs/>
          <w:sz w:val="22"/>
          <w:szCs w:val="22"/>
          <w:lang w:val="lt-LT"/>
        </w:rPr>
        <w:t>Pamiršus pavartoti V</w:t>
      </w:r>
      <w:r w:rsidR="00943535">
        <w:rPr>
          <w:rFonts w:ascii="Times New Roman" w:hAnsi="Times New Roman"/>
          <w:b/>
          <w:bCs/>
          <w:sz w:val="22"/>
          <w:szCs w:val="22"/>
          <w:lang w:val="lt-LT"/>
        </w:rPr>
        <w:t>ermox</w:t>
      </w:r>
    </w:p>
    <w:p w14:paraId="499881E4" w14:textId="77777777" w:rsidR="00EF28BF" w:rsidRPr="00EF28BF" w:rsidRDefault="00EF28BF" w:rsidP="00EF28BF">
      <w:pPr>
        <w:rPr>
          <w:rFonts w:ascii="Times New Roman" w:hAnsi="Times New Roman"/>
          <w:sz w:val="22"/>
          <w:szCs w:val="22"/>
          <w:lang w:val="lt-LT"/>
        </w:rPr>
      </w:pPr>
      <w:r w:rsidRPr="00EF28BF">
        <w:rPr>
          <w:rFonts w:ascii="Times New Roman" w:hAnsi="Times New Roman"/>
          <w:sz w:val="22"/>
          <w:szCs w:val="22"/>
          <w:lang w:val="lt-LT"/>
        </w:rPr>
        <w:t>Negalima vartoti dvigubos dozės norint kompensuoti praleistą tabletę. Kitą dozę išgerkite įprastu laiku ir vėliau vartokite taip, kaip skyrė gydytojas.</w:t>
      </w:r>
    </w:p>
    <w:p w14:paraId="7ABBEBEE" w14:textId="77777777" w:rsidR="00EF28BF" w:rsidRPr="00EF28BF" w:rsidRDefault="00EF28BF" w:rsidP="00EF28BF">
      <w:pPr>
        <w:rPr>
          <w:rFonts w:ascii="Times New Roman" w:hAnsi="Times New Roman"/>
          <w:sz w:val="22"/>
          <w:szCs w:val="22"/>
          <w:lang w:val="lt-LT"/>
        </w:rPr>
      </w:pPr>
    </w:p>
    <w:p w14:paraId="1656FD14" w14:textId="021EF8D0" w:rsidR="00EF28BF" w:rsidRPr="00EF28BF" w:rsidRDefault="00EF28BF" w:rsidP="00EF28BF">
      <w:pPr>
        <w:rPr>
          <w:rFonts w:ascii="Times New Roman" w:hAnsi="Times New Roman"/>
          <w:b/>
          <w:bCs/>
          <w:sz w:val="22"/>
          <w:szCs w:val="22"/>
          <w:lang w:val="lt-LT"/>
        </w:rPr>
      </w:pPr>
      <w:r w:rsidRPr="00EF28BF">
        <w:rPr>
          <w:rFonts w:ascii="Times New Roman" w:hAnsi="Times New Roman"/>
          <w:b/>
          <w:bCs/>
          <w:sz w:val="22"/>
          <w:szCs w:val="22"/>
          <w:lang w:val="lt-LT"/>
        </w:rPr>
        <w:t>Nustojus vartoti V</w:t>
      </w:r>
      <w:r w:rsidR="00943535">
        <w:rPr>
          <w:rFonts w:ascii="Times New Roman" w:hAnsi="Times New Roman"/>
          <w:b/>
          <w:bCs/>
          <w:sz w:val="22"/>
          <w:szCs w:val="22"/>
          <w:lang w:val="lt-LT"/>
        </w:rPr>
        <w:t>ermox</w:t>
      </w:r>
    </w:p>
    <w:p w14:paraId="2237A63C" w14:textId="77777777" w:rsidR="00EF28BF" w:rsidRPr="00EF28BF" w:rsidRDefault="00EF28BF" w:rsidP="00EF28BF">
      <w:pPr>
        <w:rPr>
          <w:rFonts w:ascii="Times New Roman" w:hAnsi="Times New Roman"/>
          <w:bCs/>
          <w:sz w:val="22"/>
          <w:szCs w:val="22"/>
          <w:lang w:val="lt-LT"/>
        </w:rPr>
      </w:pPr>
      <w:r w:rsidRPr="00EF28BF">
        <w:rPr>
          <w:rFonts w:ascii="Times New Roman" w:hAnsi="Times New Roman"/>
          <w:bCs/>
          <w:sz w:val="22"/>
          <w:szCs w:val="22"/>
          <w:lang w:val="lt-LT"/>
        </w:rPr>
        <w:t>Tokiu atveju gali sumažėti vaisto veiksmingumas.</w:t>
      </w:r>
    </w:p>
    <w:p w14:paraId="4BF10797" w14:textId="77777777" w:rsidR="00EF28BF" w:rsidRPr="00EF28BF" w:rsidRDefault="00EF28BF" w:rsidP="00EF28BF">
      <w:pPr>
        <w:rPr>
          <w:rFonts w:ascii="Times New Roman" w:hAnsi="Times New Roman"/>
          <w:sz w:val="22"/>
          <w:szCs w:val="22"/>
          <w:lang w:val="lt-LT"/>
        </w:rPr>
      </w:pPr>
    </w:p>
    <w:p w14:paraId="78BD03BE" w14:textId="77777777" w:rsidR="00EF28BF" w:rsidRPr="00EF28BF" w:rsidRDefault="00EF28BF" w:rsidP="00EF28BF">
      <w:pPr>
        <w:rPr>
          <w:rFonts w:ascii="Times New Roman" w:hAnsi="Times New Roman"/>
          <w:sz w:val="22"/>
          <w:szCs w:val="22"/>
          <w:lang w:val="lt-LT"/>
        </w:rPr>
      </w:pPr>
      <w:r w:rsidRPr="00EF28BF">
        <w:rPr>
          <w:rFonts w:ascii="Times New Roman" w:hAnsi="Times New Roman"/>
          <w:sz w:val="22"/>
          <w:szCs w:val="22"/>
          <w:lang w:val="lt-LT"/>
        </w:rPr>
        <w:t>Jeigu kiltų daugiau klausimų dėl šio vaisto vartojimo, kreipkitės į gydytoją arba vaistininką.</w:t>
      </w:r>
    </w:p>
    <w:p w14:paraId="064592B4" w14:textId="77777777" w:rsidR="00EF28BF" w:rsidRDefault="00EF28BF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7494A5DD" w14:textId="77777777" w:rsidR="00365494" w:rsidRPr="003A7FB1" w:rsidRDefault="00365494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3619AE7A" w14:textId="77777777" w:rsidR="003A7FB1" w:rsidRPr="003A7FB1" w:rsidRDefault="003A7FB1" w:rsidP="003A7FB1">
      <w:pPr>
        <w:keepNext/>
        <w:outlineLvl w:val="1"/>
        <w:rPr>
          <w:rFonts w:ascii="Times New Roman" w:hAnsi="Times New Roman"/>
          <w:b/>
          <w:bCs/>
          <w:i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>4.</w:t>
      </w: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ab/>
        <w:t>Galimas šalutinis poveikis</w:t>
      </w:r>
    </w:p>
    <w:p w14:paraId="124742CF" w14:textId="77777777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52DAB36C" w14:textId="77777777" w:rsidR="003F41BA" w:rsidRPr="003F41BA" w:rsidRDefault="003F41BA" w:rsidP="003F41BA">
      <w:pPr>
        <w:rPr>
          <w:rFonts w:ascii="Times New Roman" w:hAnsi="Times New Roman"/>
          <w:sz w:val="22"/>
          <w:szCs w:val="22"/>
          <w:lang w:val="lt-LT"/>
        </w:rPr>
      </w:pPr>
      <w:r w:rsidRPr="003F41BA">
        <w:rPr>
          <w:rFonts w:ascii="Times New Roman" w:hAnsi="Times New Roman"/>
          <w:sz w:val="22"/>
          <w:szCs w:val="22"/>
          <w:lang w:val="lt-LT"/>
        </w:rPr>
        <w:t>Šis vaistas, kaip ir visi kiti, gali sukelti šalutinį poveikį, nors jis pasireiškia ne visiems žmonėms.</w:t>
      </w:r>
    </w:p>
    <w:p w14:paraId="2B22273A" w14:textId="77777777" w:rsidR="003F41BA" w:rsidRPr="003F41BA" w:rsidRDefault="003F41BA" w:rsidP="003F41BA">
      <w:pPr>
        <w:rPr>
          <w:rFonts w:ascii="Times New Roman" w:hAnsi="Times New Roman"/>
          <w:sz w:val="22"/>
          <w:szCs w:val="22"/>
          <w:lang w:val="lt-LT"/>
        </w:rPr>
      </w:pPr>
    </w:p>
    <w:p w14:paraId="5847B29D" w14:textId="367D90B3" w:rsidR="003F41BA" w:rsidRPr="003F41BA" w:rsidRDefault="00C02077" w:rsidP="003F41BA">
      <w:pPr>
        <w:rPr>
          <w:rFonts w:ascii="Times New Roman" w:hAnsi="Times New Roman"/>
          <w:sz w:val="22"/>
          <w:szCs w:val="22"/>
          <w:lang w:val="lt-LT"/>
        </w:rPr>
      </w:pPr>
      <w:r w:rsidRPr="00D813AB">
        <w:rPr>
          <w:rFonts w:ascii="Times New Roman" w:hAnsi="Times New Roman"/>
          <w:b/>
          <w:bCs/>
          <w:sz w:val="22"/>
          <w:szCs w:val="22"/>
          <w:lang w:val="lt-LT"/>
        </w:rPr>
        <w:t>Nedažni šalutinio poveikio reiškiniai (gali pasireikšti rečiau kaip 1 iš 100 asmenų):</w:t>
      </w:r>
      <w:r w:rsidRPr="00C02077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3F41BA" w:rsidRPr="003F41BA">
        <w:rPr>
          <w:rFonts w:ascii="Times New Roman" w:hAnsi="Times New Roman"/>
          <w:sz w:val="22"/>
          <w:szCs w:val="22"/>
          <w:lang w:val="lt-LT"/>
        </w:rPr>
        <w:t>nemalonūs jutimai pilve, pilvo pūtimas, viduriavimas ir išbėrimas.</w:t>
      </w:r>
    </w:p>
    <w:p w14:paraId="519C0302" w14:textId="77777777" w:rsidR="003F41BA" w:rsidRPr="003F41BA" w:rsidRDefault="003F41BA" w:rsidP="003F41BA">
      <w:pPr>
        <w:rPr>
          <w:rFonts w:ascii="Times New Roman" w:hAnsi="Times New Roman"/>
          <w:sz w:val="22"/>
          <w:szCs w:val="22"/>
          <w:lang w:val="lt-LT"/>
        </w:rPr>
      </w:pPr>
    </w:p>
    <w:p w14:paraId="692C32A0" w14:textId="73BE4888" w:rsidR="003F41BA" w:rsidRPr="003F41BA" w:rsidRDefault="00C02077" w:rsidP="003F41BA">
      <w:pPr>
        <w:rPr>
          <w:rFonts w:ascii="Times New Roman" w:hAnsi="Times New Roman"/>
          <w:sz w:val="22"/>
          <w:szCs w:val="22"/>
          <w:lang w:val="lt-LT"/>
        </w:rPr>
      </w:pPr>
      <w:r w:rsidRPr="00D813AB">
        <w:rPr>
          <w:rFonts w:ascii="Times New Roman" w:hAnsi="Times New Roman"/>
          <w:b/>
          <w:bCs/>
          <w:sz w:val="22"/>
          <w:szCs w:val="22"/>
          <w:lang w:val="lt-LT"/>
        </w:rPr>
        <w:t>Šalutinio poveikio reiškiniai, kurių  dažnis nežinomas (negali būti apskaičiuotas pagal turimus duomenis):</w:t>
      </w:r>
      <w:r>
        <w:rPr>
          <w:rFonts w:ascii="Times New Roman" w:hAnsi="Times New Roman"/>
          <w:sz w:val="22"/>
          <w:szCs w:val="22"/>
          <w:lang w:val="lt-LT"/>
        </w:rPr>
        <w:t xml:space="preserve"> tam tikrų</w:t>
      </w:r>
      <w:r w:rsidR="003F41BA" w:rsidRPr="003F41BA">
        <w:rPr>
          <w:rFonts w:ascii="Times New Roman" w:hAnsi="Times New Roman"/>
          <w:sz w:val="22"/>
          <w:szCs w:val="22"/>
          <w:lang w:val="lt-LT"/>
        </w:rPr>
        <w:t xml:space="preserve"> baltųjų kraujo ląstelių, vadinamų leukocitais, sumažėjimas (neutropenija), dėl kurio gali padažnėti infekcijos, alerginės reakcijos, įskaitant anafilaksines ir anafilaktoidines reakcijas, traukuliai, svaigulys, pilvo skausmas, pykinimas, vėmimas, </w:t>
      </w:r>
      <w:r w:rsidRPr="00C02077">
        <w:rPr>
          <w:rFonts w:ascii="Times New Roman" w:hAnsi="Times New Roman"/>
          <w:sz w:val="22"/>
          <w:szCs w:val="22"/>
          <w:lang w:val="lt-LT"/>
        </w:rPr>
        <w:t>kepenų funkcijos sutrikimai</w:t>
      </w:r>
      <w:r>
        <w:rPr>
          <w:rFonts w:ascii="Times New Roman" w:hAnsi="Times New Roman"/>
          <w:sz w:val="22"/>
          <w:szCs w:val="22"/>
          <w:lang w:val="lt-LT"/>
        </w:rPr>
        <w:t xml:space="preserve">, </w:t>
      </w:r>
      <w:r w:rsidR="003F41BA" w:rsidRPr="003F41BA">
        <w:rPr>
          <w:rFonts w:ascii="Times New Roman" w:hAnsi="Times New Roman"/>
          <w:sz w:val="22"/>
          <w:szCs w:val="22"/>
          <w:lang w:val="lt-LT"/>
        </w:rPr>
        <w:t>kepenų uždegimas (hepatitas), toksinė epidermio nekrolizė (sunki liga su odos pūslėmis, odos lupimasis, apėmęs daugiau nei 30 proc. kūno paviršiaus), Stivenso</w:t>
      </w:r>
      <w:r w:rsidR="00365494">
        <w:rPr>
          <w:rFonts w:ascii="Times New Roman" w:hAnsi="Times New Roman"/>
          <w:sz w:val="22"/>
          <w:szCs w:val="22"/>
          <w:lang w:val="lt-LT"/>
        </w:rPr>
        <w:t>-</w:t>
      </w:r>
      <w:r w:rsidR="003F41BA" w:rsidRPr="003F41BA">
        <w:rPr>
          <w:rFonts w:ascii="Times New Roman" w:hAnsi="Times New Roman"/>
          <w:sz w:val="22"/>
          <w:szCs w:val="22"/>
          <w:lang w:val="lt-LT"/>
        </w:rPr>
        <w:t>Džonsono sindromas (sunki liga su odos, burnos, akių ar genitalijų pūslėmis ir odos lupimusi), odos išbėrimas, angioneurozinė edema (pasireiškia veido, ryklės, burnos, gerklų pabrinkimu, pasunkėjusiu kvėpavimu), dilgėlinė, plaukų slinkimas</w:t>
      </w:r>
      <w:r w:rsidR="00435D31">
        <w:rPr>
          <w:rFonts w:ascii="Times New Roman" w:hAnsi="Times New Roman"/>
          <w:sz w:val="22"/>
          <w:szCs w:val="22"/>
          <w:lang w:val="lt-LT"/>
        </w:rPr>
        <w:t>.</w:t>
      </w:r>
    </w:p>
    <w:p w14:paraId="151D155B" w14:textId="77777777" w:rsidR="003F41BA" w:rsidRPr="003F41BA" w:rsidRDefault="003F41BA" w:rsidP="003F41BA">
      <w:pPr>
        <w:rPr>
          <w:rFonts w:ascii="Times New Roman" w:hAnsi="Times New Roman"/>
          <w:sz w:val="22"/>
          <w:szCs w:val="22"/>
          <w:lang w:val="lt-LT"/>
        </w:rPr>
      </w:pPr>
    </w:p>
    <w:p w14:paraId="17C907A6" w14:textId="4B6AE138" w:rsidR="003F41BA" w:rsidRDefault="003F41BA" w:rsidP="003F41BA">
      <w:pPr>
        <w:rPr>
          <w:rFonts w:ascii="Times New Roman" w:hAnsi="Times New Roman"/>
          <w:sz w:val="22"/>
          <w:szCs w:val="22"/>
          <w:lang w:val="lt-LT"/>
        </w:rPr>
      </w:pPr>
      <w:r w:rsidRPr="003F41BA">
        <w:rPr>
          <w:rFonts w:ascii="Times New Roman" w:hAnsi="Times New Roman"/>
          <w:sz w:val="22"/>
          <w:szCs w:val="22"/>
          <w:lang w:val="lt-LT"/>
        </w:rPr>
        <w:t xml:space="preserve">Kaip ir kiti vaistai, </w:t>
      </w:r>
      <w:r w:rsidR="007A3B2C" w:rsidRPr="003F41BA">
        <w:rPr>
          <w:rFonts w:ascii="Times New Roman" w:hAnsi="Times New Roman"/>
          <w:sz w:val="22"/>
          <w:szCs w:val="22"/>
          <w:lang w:val="lt-LT"/>
        </w:rPr>
        <w:t>V</w:t>
      </w:r>
      <w:r w:rsidR="007A3B2C">
        <w:rPr>
          <w:rFonts w:ascii="Times New Roman" w:hAnsi="Times New Roman"/>
          <w:sz w:val="22"/>
          <w:szCs w:val="22"/>
          <w:lang w:val="lt-LT"/>
        </w:rPr>
        <w:t>ermox</w:t>
      </w:r>
      <w:r w:rsidR="007A3B2C" w:rsidRPr="003F41BA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3F41BA">
        <w:rPr>
          <w:rFonts w:ascii="Times New Roman" w:hAnsi="Times New Roman"/>
          <w:sz w:val="22"/>
          <w:szCs w:val="22"/>
          <w:lang w:val="lt-LT"/>
        </w:rPr>
        <w:t>gali sukelti organizmo padidėjusio jautrumo (alerginių) reakcijų, todėl atsiradus odos išbėrimui, dilgėlinei ar angioneurozinei edemai (alerginiam pabrinkimui), nedelsdami kreipkitės į gydytoją.</w:t>
      </w:r>
    </w:p>
    <w:p w14:paraId="37DE90F2" w14:textId="77777777" w:rsidR="00435D31" w:rsidRDefault="00435D31" w:rsidP="003F41BA">
      <w:pPr>
        <w:rPr>
          <w:rFonts w:ascii="Times New Roman" w:hAnsi="Times New Roman"/>
          <w:sz w:val="22"/>
          <w:szCs w:val="22"/>
          <w:lang w:val="lt-LT"/>
        </w:rPr>
      </w:pPr>
    </w:p>
    <w:p w14:paraId="35B7F314" w14:textId="77777777" w:rsidR="00435D31" w:rsidRPr="005C1F7C" w:rsidRDefault="00435D31" w:rsidP="00435D31">
      <w:pPr>
        <w:tabs>
          <w:tab w:val="left" w:pos="567"/>
        </w:tabs>
        <w:rPr>
          <w:rFonts w:ascii="Times New Roman" w:hAnsi="Times New Roman"/>
          <w:i/>
          <w:noProof/>
          <w:snapToGrid w:val="0"/>
          <w:sz w:val="22"/>
          <w:lang w:val="lt-LT"/>
        </w:rPr>
      </w:pPr>
      <w:r w:rsidRPr="004809ED">
        <w:rPr>
          <w:rFonts w:ascii="Times New Roman" w:hAnsi="Times New Roman"/>
          <w:i/>
          <w:noProof/>
          <w:snapToGrid w:val="0"/>
          <w:sz w:val="22"/>
          <w:lang w:val="lt-LT"/>
        </w:rPr>
        <w:t>Ilgą laiką vartojant dideles dozes pasireišk</w:t>
      </w:r>
      <w:r>
        <w:rPr>
          <w:rFonts w:ascii="Times New Roman" w:hAnsi="Times New Roman"/>
          <w:i/>
          <w:noProof/>
          <w:snapToGrid w:val="0"/>
          <w:sz w:val="22"/>
          <w:lang w:val="lt-LT"/>
        </w:rPr>
        <w:t xml:space="preserve">ė </w:t>
      </w:r>
      <w:r w:rsidRPr="004809ED">
        <w:rPr>
          <w:rFonts w:ascii="Times New Roman" w:hAnsi="Times New Roman"/>
          <w:i/>
          <w:noProof/>
          <w:snapToGrid w:val="0"/>
          <w:sz w:val="22"/>
          <w:lang w:val="lt-LT"/>
        </w:rPr>
        <w:t>šie šalutini</w:t>
      </w:r>
      <w:r>
        <w:rPr>
          <w:rFonts w:ascii="Times New Roman" w:hAnsi="Times New Roman"/>
          <w:i/>
          <w:noProof/>
          <w:snapToGrid w:val="0"/>
          <w:sz w:val="22"/>
          <w:lang w:val="lt-LT"/>
        </w:rPr>
        <w:t>o</w:t>
      </w:r>
      <w:r w:rsidRPr="004809ED">
        <w:rPr>
          <w:rFonts w:ascii="Times New Roman" w:hAnsi="Times New Roman"/>
          <w:i/>
          <w:noProof/>
          <w:snapToGrid w:val="0"/>
          <w:sz w:val="22"/>
          <w:lang w:val="lt-LT"/>
        </w:rPr>
        <w:t xml:space="preserve"> poveiki</w:t>
      </w:r>
      <w:r>
        <w:rPr>
          <w:rFonts w:ascii="Times New Roman" w:hAnsi="Times New Roman"/>
          <w:i/>
          <w:noProof/>
          <w:snapToGrid w:val="0"/>
          <w:sz w:val="22"/>
          <w:lang w:val="lt-LT"/>
        </w:rPr>
        <w:t xml:space="preserve">o reiškiniai, kurių </w:t>
      </w:r>
      <w:r w:rsidRPr="002971EA">
        <w:rPr>
          <w:rFonts w:ascii="Times New Roman" w:hAnsi="Times New Roman"/>
          <w:i/>
          <w:sz w:val="22"/>
          <w:szCs w:val="22"/>
          <w:lang w:val="lt-LT"/>
        </w:rPr>
        <w:t>dažnis nežinomas (negali būti apskaičiuotas pagal turimus duomenis):</w:t>
      </w:r>
    </w:p>
    <w:p w14:paraId="6CF51C5B" w14:textId="2BFAD5E1" w:rsidR="00435D31" w:rsidRPr="00365494" w:rsidRDefault="00435D31" w:rsidP="00365494">
      <w:pPr>
        <w:pStyle w:val="ListParagraph"/>
        <w:numPr>
          <w:ilvl w:val="0"/>
          <w:numId w:val="3"/>
        </w:numPr>
        <w:tabs>
          <w:tab w:val="left" w:pos="567"/>
        </w:tabs>
        <w:ind w:left="567" w:hanging="567"/>
        <w:rPr>
          <w:rFonts w:ascii="Times New Roman" w:hAnsi="Times New Roman"/>
          <w:noProof/>
          <w:snapToGrid w:val="0"/>
          <w:sz w:val="22"/>
          <w:lang w:val="lt-LT"/>
        </w:rPr>
      </w:pPr>
      <w:r w:rsidRPr="00365494">
        <w:rPr>
          <w:rFonts w:ascii="Times New Roman" w:hAnsi="Times New Roman"/>
          <w:noProof/>
          <w:snapToGrid w:val="0"/>
          <w:sz w:val="22"/>
          <w:lang w:val="lt-LT"/>
        </w:rPr>
        <w:t>agranulocitozė (ženklus baltųjų kraujo ląstelių sumažėjimas, dėl kurio gali pasireikšti infekcijos)</w:t>
      </w:r>
      <w:r w:rsidR="007C33C5" w:rsidRPr="00365494">
        <w:rPr>
          <w:rFonts w:ascii="Times New Roman" w:hAnsi="Times New Roman"/>
          <w:noProof/>
          <w:snapToGrid w:val="0"/>
          <w:sz w:val="22"/>
          <w:lang w:val="lt-LT"/>
        </w:rPr>
        <w:t>;</w:t>
      </w:r>
    </w:p>
    <w:p w14:paraId="38448B28" w14:textId="4092B03D" w:rsidR="00435D31" w:rsidRPr="00D813AB" w:rsidRDefault="00435D31" w:rsidP="00365494">
      <w:pPr>
        <w:pStyle w:val="ListParagraph"/>
        <w:numPr>
          <w:ilvl w:val="0"/>
          <w:numId w:val="3"/>
        </w:numPr>
        <w:tabs>
          <w:tab w:val="left" w:pos="567"/>
        </w:tabs>
        <w:ind w:left="567" w:hanging="567"/>
        <w:rPr>
          <w:rFonts w:ascii="Times New Roman" w:hAnsi="Times New Roman"/>
          <w:noProof/>
          <w:snapToGrid w:val="0"/>
          <w:sz w:val="22"/>
          <w:lang w:val="lt-LT"/>
        </w:rPr>
      </w:pPr>
      <w:r>
        <w:rPr>
          <w:rFonts w:ascii="Times New Roman" w:hAnsi="Times New Roman"/>
          <w:noProof/>
          <w:snapToGrid w:val="0"/>
          <w:sz w:val="22"/>
          <w:lang w:val="lt-LT"/>
        </w:rPr>
        <w:t>glomerulonefritas (inkstų uždegimas).</w:t>
      </w:r>
    </w:p>
    <w:p w14:paraId="163718A4" w14:textId="77777777" w:rsidR="003A7FB1" w:rsidRPr="003A7FB1" w:rsidRDefault="003A7FB1" w:rsidP="003A7FB1">
      <w:pPr>
        <w:rPr>
          <w:rFonts w:ascii="Times New Roman" w:hAnsi="Times New Roman"/>
          <w:b/>
          <w:sz w:val="22"/>
          <w:szCs w:val="22"/>
          <w:lang w:val="lt-LT"/>
        </w:rPr>
      </w:pPr>
    </w:p>
    <w:p w14:paraId="5AB8FAEE" w14:textId="77777777" w:rsidR="008A759D" w:rsidRPr="00725957" w:rsidRDefault="008A759D" w:rsidP="008A759D">
      <w:pPr>
        <w:tabs>
          <w:tab w:val="left" w:pos="567"/>
        </w:tabs>
        <w:rPr>
          <w:rFonts w:ascii="Times New Roman" w:hAnsi="Times New Roman"/>
          <w:b/>
          <w:snapToGrid w:val="0"/>
          <w:sz w:val="22"/>
          <w:szCs w:val="22"/>
          <w:lang w:val="lt-LT"/>
        </w:rPr>
      </w:pPr>
      <w:r w:rsidRPr="00725957">
        <w:rPr>
          <w:rFonts w:ascii="Times New Roman" w:hAnsi="Times New Roman"/>
          <w:b/>
          <w:noProof/>
          <w:snapToGrid w:val="0"/>
          <w:sz w:val="22"/>
          <w:szCs w:val="22"/>
          <w:lang w:val="lt-LT"/>
        </w:rPr>
        <w:t>Pranešimas apie šalutinį poveikį</w:t>
      </w:r>
    </w:p>
    <w:p w14:paraId="07BDB56B" w14:textId="63842959" w:rsidR="00725957" w:rsidRPr="00C03A53" w:rsidRDefault="00725957" w:rsidP="00725957">
      <w:pPr>
        <w:tabs>
          <w:tab w:val="left" w:pos="567"/>
        </w:tabs>
        <w:rPr>
          <w:rFonts w:ascii="Times New Roman" w:hAnsi="Times New Roman"/>
          <w:sz w:val="22"/>
          <w:szCs w:val="22"/>
          <w:lang w:val="lt-LT"/>
        </w:rPr>
      </w:pPr>
      <w:r w:rsidRPr="00D813AB">
        <w:rPr>
          <w:rFonts w:ascii="Times New Roman" w:hAnsi="Times New Roman"/>
          <w:sz w:val="22"/>
          <w:szCs w:val="22"/>
          <w:lang w:val="lt-LT" w:eastAsia="fr-FR"/>
        </w:rPr>
        <w:t>Jeigu pasireiškė šalutinis poveikis, įskaitant šiame lapelyje nenurodytą, pasakykite gydytojui arba vaistininkui.</w:t>
      </w:r>
      <w:r w:rsidRPr="00C03A53">
        <w:rPr>
          <w:rFonts w:ascii="Times New Roman" w:hAnsi="Times New Roman"/>
          <w:sz w:val="22"/>
          <w:szCs w:val="22"/>
          <w:lang w:val="lt-LT" w:eastAsia="fr-FR"/>
        </w:rPr>
        <w:t xml:space="preserve"> </w:t>
      </w:r>
      <w:r w:rsidR="0044272C" w:rsidRPr="00D813AB">
        <w:rPr>
          <w:rFonts w:ascii="Times New Roman" w:hAnsi="Times New Roman"/>
          <w:sz w:val="22"/>
          <w:szCs w:val="22"/>
          <w:lang w:val="lt-LT" w:eastAsia="sl-SI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9" w:history="1">
        <w:r w:rsidR="0044272C" w:rsidRPr="00D813AB">
          <w:rPr>
            <w:rStyle w:val="Hyperlink"/>
            <w:rFonts w:ascii="Times New Roman" w:hAnsi="Times New Roman"/>
            <w:sz w:val="22"/>
            <w:szCs w:val="22"/>
            <w:lang w:val="lt-LT" w:eastAsia="sl-SI"/>
          </w:rPr>
          <w:t>https://vvkt.lrv.lt/lt/</w:t>
        </w:r>
      </w:hyperlink>
      <w:r w:rsidR="0044272C" w:rsidRPr="00D813AB">
        <w:rPr>
          <w:rFonts w:ascii="Times New Roman" w:hAnsi="Times New Roman"/>
          <w:sz w:val="22"/>
          <w:szCs w:val="22"/>
          <w:lang w:val="lt-LT" w:eastAsia="sl-SI"/>
        </w:rPr>
        <w:t xml:space="preserve"> nurodytais būdais arba paskambinti nemokamu telefonu +370 800 73 568. Pranešdami apie šalutinį poveikį galite mums padėti gauti daugiau informacijos apie šio vaisto saugumą.</w:t>
      </w:r>
    </w:p>
    <w:p w14:paraId="20B24D95" w14:textId="77777777" w:rsidR="00D03314" w:rsidRDefault="00D03314" w:rsidP="003A7FB1">
      <w:pPr>
        <w:keepNext/>
        <w:outlineLvl w:val="1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4E31EBB9" w14:textId="2B316311" w:rsidR="003A7FB1" w:rsidRPr="003A7FB1" w:rsidRDefault="003A7FB1" w:rsidP="003A7FB1">
      <w:pPr>
        <w:keepNext/>
        <w:outlineLvl w:val="1"/>
        <w:rPr>
          <w:rFonts w:ascii="Times New Roman" w:hAnsi="Times New Roman"/>
          <w:b/>
          <w:bCs/>
          <w:i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>5.</w:t>
      </w: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ab/>
        <w:t xml:space="preserve">Kaip laikyti </w:t>
      </w:r>
      <w:r w:rsidRPr="003A7FB1">
        <w:rPr>
          <w:rFonts w:ascii="Times New Roman" w:hAnsi="Times New Roman"/>
          <w:b/>
          <w:sz w:val="22"/>
          <w:szCs w:val="22"/>
          <w:lang w:val="lt-LT"/>
        </w:rPr>
        <w:t>Vermox</w:t>
      </w:r>
      <w:r w:rsidRPr="003A7FB1">
        <w:rPr>
          <w:rFonts w:ascii="Times New Roman" w:hAnsi="Times New Roman"/>
          <w:b/>
          <w:bCs/>
          <w:iCs/>
          <w:sz w:val="22"/>
          <w:szCs w:val="22"/>
          <w:lang w:val="lt-LT"/>
        </w:rPr>
        <w:t xml:space="preserve"> </w:t>
      </w:r>
    </w:p>
    <w:p w14:paraId="6C2CE5D5" w14:textId="77777777" w:rsidR="003A7FB1" w:rsidRPr="003A7FB1" w:rsidRDefault="003A7FB1" w:rsidP="003A7FB1">
      <w:pPr>
        <w:jc w:val="both"/>
        <w:rPr>
          <w:rFonts w:ascii="Times New Roman" w:hAnsi="Times New Roman"/>
          <w:b/>
          <w:sz w:val="22"/>
          <w:szCs w:val="22"/>
          <w:lang w:val="lt-LT"/>
        </w:rPr>
      </w:pPr>
    </w:p>
    <w:p w14:paraId="1179FD1D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Šį vaistą laikykite vaikams nepastebimoje ir nepasiekiamoje vietoje.</w:t>
      </w:r>
    </w:p>
    <w:p w14:paraId="0FF00832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33232AC2" w14:textId="2CB4CD9C" w:rsidR="00887C6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noProof/>
          <w:sz w:val="22"/>
          <w:szCs w:val="22"/>
          <w:lang w:val="lt-LT" w:eastAsia="lt-LT"/>
        </w:rPr>
        <w:t>Laikyti ne aukštesnėje kaip 25</w:t>
      </w:r>
      <w:r w:rsidR="008A759D">
        <w:rPr>
          <w:rFonts w:ascii="Times New Roman" w:hAnsi="Times New Roman"/>
          <w:noProof/>
          <w:sz w:val="22"/>
          <w:szCs w:val="22"/>
          <w:lang w:val="lt-LT" w:eastAsia="lt-LT"/>
        </w:rPr>
        <w:t xml:space="preserve"> </w:t>
      </w:r>
      <w:r w:rsidRPr="003A7FB1">
        <w:rPr>
          <w:rFonts w:ascii="Times New Roman" w:hAnsi="Times New Roman"/>
          <w:noProof/>
          <w:sz w:val="22"/>
          <w:szCs w:val="22"/>
          <w:lang w:val="lt-LT" w:eastAsia="lt-LT"/>
        </w:rPr>
        <w:t>°C temperatūroje</w:t>
      </w:r>
      <w:r w:rsidR="00A203BE">
        <w:rPr>
          <w:rFonts w:ascii="Times New Roman" w:hAnsi="Times New Roman"/>
          <w:noProof/>
          <w:sz w:val="22"/>
          <w:szCs w:val="22"/>
          <w:lang w:val="lt-LT" w:eastAsia="lt-LT"/>
        </w:rPr>
        <w:t xml:space="preserve">. Laikyti </w:t>
      </w:r>
      <w:r w:rsidR="003F20AC">
        <w:rPr>
          <w:rFonts w:ascii="Times New Roman" w:hAnsi="Times New Roman"/>
          <w:noProof/>
          <w:sz w:val="22"/>
          <w:szCs w:val="22"/>
          <w:lang w:val="lt-LT" w:eastAsia="lt-LT"/>
        </w:rPr>
        <w:t>gamintojo</w:t>
      </w:r>
      <w:r w:rsidR="003F20AC" w:rsidRPr="003A7FB1">
        <w:rPr>
          <w:rFonts w:ascii="Times New Roman" w:hAnsi="Times New Roman"/>
          <w:noProof/>
          <w:sz w:val="22"/>
          <w:szCs w:val="22"/>
          <w:lang w:val="lt-LT" w:eastAsia="lt-LT"/>
        </w:rPr>
        <w:t xml:space="preserve"> </w:t>
      </w:r>
      <w:r w:rsidRPr="003A7FB1">
        <w:rPr>
          <w:rFonts w:ascii="Times New Roman" w:hAnsi="Times New Roman"/>
          <w:noProof/>
          <w:sz w:val="22"/>
          <w:szCs w:val="22"/>
          <w:lang w:val="lt-LT" w:eastAsia="lt-LT"/>
        </w:rPr>
        <w:t>pakuotėje</w:t>
      </w:r>
      <w:r w:rsidR="00DD1FE0">
        <w:rPr>
          <w:rFonts w:ascii="Times New Roman" w:hAnsi="Times New Roman"/>
          <w:noProof/>
          <w:sz w:val="22"/>
          <w:szCs w:val="22"/>
          <w:lang w:val="lt-LT" w:eastAsia="lt-LT"/>
        </w:rPr>
        <w:t>.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21565500" w14:textId="77777777" w:rsidR="00887C61" w:rsidRDefault="00887C61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067724A8" w14:textId="25767A26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Ant dėžutės po „</w:t>
      </w:r>
      <w:r w:rsidR="005110FE" w:rsidRPr="00D91BEC">
        <w:rPr>
          <w:rFonts w:ascii="Times New Roman" w:hAnsi="Times New Roman"/>
          <w:sz w:val="22"/>
          <w:szCs w:val="22"/>
          <w:lang w:val="lt-LT"/>
        </w:rPr>
        <w:t>EXP</w:t>
      </w:r>
      <w:r w:rsidR="005E22CF">
        <w:rPr>
          <w:rFonts w:ascii="Times New Roman" w:hAnsi="Times New Roman"/>
          <w:sz w:val="22"/>
          <w:szCs w:val="22"/>
          <w:lang w:val="lt-LT"/>
        </w:rPr>
        <w:t>“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 ir ant lizdinės plokštelės nurodytam tinkamumo laikui pasibaigus, šio vaisto vartoti negalima. Vaistas tinkamas vartoti iki paskutinės nurodyto mėnesio dienos.</w:t>
      </w:r>
    </w:p>
    <w:p w14:paraId="23C6073E" w14:textId="77777777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7F109090" w14:textId="77777777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3986E99C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07BCE4E9" w14:textId="77777777" w:rsidR="003A7FB1" w:rsidRPr="003A7FB1" w:rsidRDefault="003A7FB1" w:rsidP="003A7FB1">
      <w:pPr>
        <w:keepNext/>
        <w:tabs>
          <w:tab w:val="left" w:pos="567"/>
        </w:tabs>
        <w:ind w:left="567" w:hanging="567"/>
        <w:outlineLvl w:val="1"/>
        <w:rPr>
          <w:rFonts w:ascii="Times New Roman" w:hAnsi="Times New Roman"/>
          <w:b/>
          <w:sz w:val="22"/>
          <w:szCs w:val="22"/>
          <w:lang w:val="lt-LT"/>
        </w:rPr>
      </w:pPr>
      <w:bookmarkStart w:id="0" w:name="_Toc129243144"/>
      <w:bookmarkStart w:id="1" w:name="_Toc129243269"/>
      <w:r w:rsidRPr="003A7FB1">
        <w:rPr>
          <w:rFonts w:ascii="Times New Roman" w:hAnsi="Times New Roman"/>
          <w:b/>
          <w:sz w:val="22"/>
          <w:szCs w:val="22"/>
          <w:lang w:val="lt-LT"/>
        </w:rPr>
        <w:t>6.</w:t>
      </w:r>
      <w:r w:rsidRPr="003A7FB1">
        <w:rPr>
          <w:rFonts w:ascii="Times New Roman" w:hAnsi="Times New Roman"/>
          <w:b/>
          <w:sz w:val="22"/>
          <w:szCs w:val="22"/>
          <w:lang w:val="lt-LT"/>
        </w:rPr>
        <w:tab/>
        <w:t>Pakuotės turinys ir kita informacija</w:t>
      </w:r>
      <w:bookmarkEnd w:id="0"/>
      <w:bookmarkEnd w:id="1"/>
    </w:p>
    <w:p w14:paraId="74A66CF3" w14:textId="77777777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2FAE89DC" w14:textId="77777777" w:rsidR="003A7FB1" w:rsidRPr="003A7FB1" w:rsidRDefault="003A7FB1" w:rsidP="003A7FB1">
      <w:pPr>
        <w:rPr>
          <w:rFonts w:ascii="Times New Roman" w:hAnsi="Times New Roman"/>
          <w:b/>
          <w:b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sz w:val="22"/>
          <w:szCs w:val="22"/>
          <w:lang w:val="lt-LT"/>
        </w:rPr>
        <w:t>Vermox</w:t>
      </w:r>
      <w:r w:rsidRPr="003A7FB1">
        <w:rPr>
          <w:rFonts w:ascii="Times New Roman" w:hAnsi="Times New Roman"/>
          <w:b/>
          <w:bCs/>
          <w:sz w:val="22"/>
          <w:szCs w:val="22"/>
          <w:lang w:val="lt-LT"/>
        </w:rPr>
        <w:t xml:space="preserve"> sudėtis</w:t>
      </w:r>
    </w:p>
    <w:p w14:paraId="55EB7FD5" w14:textId="77777777" w:rsidR="003A7FB1" w:rsidRPr="003A7FB1" w:rsidRDefault="003A7FB1" w:rsidP="00887C61">
      <w:pPr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-</w:t>
      </w:r>
      <w:r w:rsidRPr="003A7FB1">
        <w:rPr>
          <w:rFonts w:ascii="Times New Roman" w:hAnsi="Times New Roman"/>
          <w:sz w:val="22"/>
          <w:szCs w:val="22"/>
          <w:lang w:val="lt-LT"/>
        </w:rPr>
        <w:tab/>
        <w:t>Veiklioji medžiaga yra mebendazolas. Kiekvienoje tabletėje yra 100  mg mebendazolo.</w:t>
      </w:r>
    </w:p>
    <w:p w14:paraId="4693F016" w14:textId="585FFC68" w:rsidR="003A7FB1" w:rsidRPr="003A7FB1" w:rsidRDefault="003A7FB1" w:rsidP="00887C61">
      <w:pPr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-</w:t>
      </w:r>
      <w:r w:rsidRPr="003A7FB1">
        <w:rPr>
          <w:rFonts w:ascii="Times New Roman" w:hAnsi="Times New Roman"/>
          <w:sz w:val="22"/>
          <w:szCs w:val="22"/>
          <w:lang w:val="lt-LT"/>
        </w:rPr>
        <w:tab/>
        <w:t xml:space="preserve">Pagalbinės medžiagos yra mikrokristalinė celiuliozė, natrio krakmolo glikolatas, talkas, kukurūzų krakmolas, sacharino natrio druska, magnio stearatas, hidrintas augalinis aliejus, apelsinų kvapioji medžiaga, koloidinis bevandenis silicio dioksidas, natrio laurilsulfatas, </w:t>
      </w:r>
      <w:r w:rsidR="00887C61">
        <w:rPr>
          <w:rFonts w:ascii="Times New Roman" w:hAnsi="Times New Roman"/>
          <w:sz w:val="22"/>
          <w:szCs w:val="22"/>
          <w:lang w:val="lt-LT"/>
        </w:rPr>
        <w:t>saulėlydžio geltonasis FCF </w:t>
      </w:r>
      <w:r w:rsidRPr="003A7FB1">
        <w:rPr>
          <w:rFonts w:ascii="Times New Roman" w:hAnsi="Times New Roman"/>
          <w:sz w:val="22"/>
          <w:szCs w:val="22"/>
          <w:lang w:val="lt-LT"/>
        </w:rPr>
        <w:t>(E110).</w:t>
      </w:r>
    </w:p>
    <w:p w14:paraId="0710A75E" w14:textId="77777777" w:rsidR="003A7FB1" w:rsidRPr="003A7FB1" w:rsidRDefault="003A7FB1" w:rsidP="003A7FB1">
      <w:pPr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24F169FD" w14:textId="77777777" w:rsidR="003A7FB1" w:rsidRPr="003A7FB1" w:rsidRDefault="003A7FB1" w:rsidP="003A7FB1">
      <w:pPr>
        <w:rPr>
          <w:rFonts w:ascii="Times New Roman" w:hAnsi="Times New Roman"/>
          <w:b/>
          <w:b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sz w:val="22"/>
          <w:szCs w:val="22"/>
          <w:lang w:val="lt-LT"/>
        </w:rPr>
        <w:t>Vermox</w:t>
      </w:r>
      <w:r w:rsidRPr="003A7FB1">
        <w:rPr>
          <w:rFonts w:ascii="Times New Roman" w:hAnsi="Times New Roman"/>
          <w:b/>
          <w:bCs/>
          <w:sz w:val="22"/>
          <w:szCs w:val="22"/>
          <w:lang w:val="lt-LT"/>
        </w:rPr>
        <w:t xml:space="preserve"> išvaizda ir kiekis pakuotėje</w:t>
      </w:r>
    </w:p>
    <w:p w14:paraId="5C7BC229" w14:textId="2F40940B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>Vermox tabletės yra oranžinės, apvalios, plokščios, nuožulniais kraštais, vienoje jų pusė</w:t>
      </w:r>
      <w:r w:rsidR="008D049B">
        <w:rPr>
          <w:rFonts w:ascii="Times New Roman" w:hAnsi="Times New Roman"/>
          <w:sz w:val="22"/>
          <w:szCs w:val="22"/>
          <w:lang w:val="lt-LT"/>
        </w:rPr>
        <w:t xml:space="preserve">je pažymėta </w:t>
      </w:r>
      <w:r w:rsidR="00386779">
        <w:rPr>
          <w:rFonts w:ascii="Times New Roman" w:hAnsi="Times New Roman"/>
          <w:sz w:val="22"/>
          <w:szCs w:val="22"/>
          <w:lang w:val="lt-LT"/>
        </w:rPr>
        <w:t>„</w:t>
      </w:r>
      <w:r w:rsidR="00A203BE">
        <w:rPr>
          <w:rFonts w:ascii="Times New Roman" w:hAnsi="Times New Roman"/>
          <w:sz w:val="22"/>
          <w:szCs w:val="22"/>
          <w:lang w:val="lt-LT"/>
        </w:rPr>
        <w:t>Me</w:t>
      </w:r>
      <w:r w:rsidR="008D049B">
        <w:rPr>
          <w:rFonts w:ascii="Times New Roman" w:hAnsi="Times New Roman"/>
          <w:sz w:val="22"/>
          <w:szCs w:val="22"/>
          <w:lang w:val="lt-LT"/>
        </w:rPr>
        <w:t>/</w:t>
      </w:r>
      <w:r w:rsidR="00AF0072">
        <w:rPr>
          <w:rFonts w:ascii="Times New Roman" w:hAnsi="Times New Roman"/>
          <w:sz w:val="22"/>
          <w:szCs w:val="22"/>
          <w:lang w:val="lt-LT"/>
        </w:rPr>
        <w:t>100</w:t>
      </w:r>
      <w:r w:rsidR="005E22CF">
        <w:rPr>
          <w:rFonts w:ascii="Times New Roman" w:hAnsi="Times New Roman"/>
          <w:sz w:val="22"/>
          <w:szCs w:val="22"/>
          <w:lang w:val="lt-LT"/>
        </w:rPr>
        <w:t>“</w:t>
      </w:r>
      <w:r w:rsidR="009C104B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9C104B" w:rsidRPr="003A7FB1">
        <w:rPr>
          <w:rFonts w:ascii="Times New Roman" w:hAnsi="Times New Roman"/>
          <w:sz w:val="22"/>
          <w:szCs w:val="22"/>
          <w:lang w:val="lt-LT"/>
        </w:rPr>
        <w:t>su dalijimo vagele</w:t>
      </w:r>
      <w:r w:rsidR="00AF0072">
        <w:rPr>
          <w:rFonts w:ascii="Times New Roman" w:hAnsi="Times New Roman"/>
          <w:sz w:val="22"/>
          <w:szCs w:val="22"/>
          <w:lang w:val="lt-LT"/>
        </w:rPr>
        <w:t>, kitoje –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A203BE">
        <w:rPr>
          <w:rFonts w:ascii="Times New Roman" w:hAnsi="Times New Roman"/>
          <w:sz w:val="22"/>
          <w:szCs w:val="22"/>
          <w:lang w:val="lt-LT"/>
        </w:rPr>
        <w:t>„</w:t>
      </w:r>
      <w:r w:rsidRPr="003A7FB1">
        <w:rPr>
          <w:rFonts w:ascii="Times New Roman" w:hAnsi="Times New Roman"/>
          <w:sz w:val="22"/>
          <w:szCs w:val="22"/>
          <w:lang w:val="lt-LT"/>
        </w:rPr>
        <w:t>JANSSEN</w:t>
      </w:r>
      <w:r w:rsidR="00A203BE">
        <w:rPr>
          <w:rFonts w:ascii="Times New Roman" w:hAnsi="Times New Roman"/>
          <w:sz w:val="22"/>
          <w:szCs w:val="22"/>
          <w:lang w:val="lt-LT"/>
        </w:rPr>
        <w:t>“</w:t>
      </w:r>
      <w:r w:rsidRPr="003A7FB1">
        <w:rPr>
          <w:rFonts w:ascii="Times New Roman" w:hAnsi="Times New Roman"/>
          <w:sz w:val="22"/>
          <w:szCs w:val="22"/>
          <w:lang w:val="lt-LT"/>
        </w:rPr>
        <w:t>.</w:t>
      </w:r>
      <w:r w:rsidRPr="003A7FB1">
        <w:rPr>
          <w:rFonts w:ascii="Times New Roman" w:hAnsi="Times New Roman"/>
          <w:noProof/>
          <w:sz w:val="22"/>
          <w:szCs w:val="22"/>
          <w:lang w:val="lt-LT"/>
        </w:rPr>
        <w:t xml:space="preserve"> Vagelė skirta tik tabletei perlaužti, kad būtų lengviau nuryti, bet ne jai padalyti į lygias dozes.</w:t>
      </w:r>
    </w:p>
    <w:p w14:paraId="12D48207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7D8D05EE" w14:textId="01896494" w:rsid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sz w:val="22"/>
          <w:szCs w:val="22"/>
          <w:lang w:val="lt-LT"/>
        </w:rPr>
        <w:t xml:space="preserve">PVC/AL lizdinėje plokštelėje yra 6 tabletės. Kartono dėžutėje yra viena </w:t>
      </w:r>
      <w:r w:rsidR="000E4268">
        <w:rPr>
          <w:rFonts w:ascii="Times New Roman" w:hAnsi="Times New Roman"/>
          <w:sz w:val="22"/>
          <w:szCs w:val="22"/>
          <w:lang w:val="lt-LT"/>
        </w:rPr>
        <w:t xml:space="preserve">arba dvi </w:t>
      </w:r>
      <w:r w:rsidRPr="003A7FB1">
        <w:rPr>
          <w:rFonts w:ascii="Times New Roman" w:hAnsi="Times New Roman"/>
          <w:sz w:val="22"/>
          <w:szCs w:val="22"/>
          <w:lang w:val="lt-LT"/>
        </w:rPr>
        <w:t>lizdinė</w:t>
      </w:r>
      <w:r w:rsidR="000E4268">
        <w:rPr>
          <w:rFonts w:ascii="Times New Roman" w:hAnsi="Times New Roman"/>
          <w:sz w:val="22"/>
          <w:szCs w:val="22"/>
          <w:lang w:val="lt-LT"/>
        </w:rPr>
        <w:t>s</w:t>
      </w:r>
      <w:r w:rsidRPr="003A7FB1">
        <w:rPr>
          <w:rFonts w:ascii="Times New Roman" w:hAnsi="Times New Roman"/>
          <w:sz w:val="22"/>
          <w:szCs w:val="22"/>
          <w:lang w:val="lt-LT"/>
        </w:rPr>
        <w:t xml:space="preserve"> plokštelė</w:t>
      </w:r>
      <w:r w:rsidR="000E4268">
        <w:rPr>
          <w:rFonts w:ascii="Times New Roman" w:hAnsi="Times New Roman"/>
          <w:sz w:val="22"/>
          <w:szCs w:val="22"/>
          <w:lang w:val="lt-LT"/>
        </w:rPr>
        <w:t>s</w:t>
      </w:r>
      <w:r w:rsidRPr="003A7FB1">
        <w:rPr>
          <w:rFonts w:ascii="Times New Roman" w:hAnsi="Times New Roman"/>
          <w:sz w:val="22"/>
          <w:szCs w:val="22"/>
          <w:lang w:val="lt-LT"/>
        </w:rPr>
        <w:t>.</w:t>
      </w:r>
    </w:p>
    <w:p w14:paraId="60D8FFDB" w14:textId="28EE771C" w:rsidR="000E4268" w:rsidRPr="003A7FB1" w:rsidRDefault="000E4268" w:rsidP="003A7FB1">
      <w:pPr>
        <w:rPr>
          <w:rFonts w:ascii="Times New Roman" w:hAnsi="Times New Roman"/>
          <w:b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Gali būti tiekiamos ne visų dydžių pakuotės.</w:t>
      </w:r>
    </w:p>
    <w:p w14:paraId="26296EED" w14:textId="77777777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29169CFB" w14:textId="77777777" w:rsidR="00F44502" w:rsidRDefault="00F44502" w:rsidP="003A7FB1">
      <w:pPr>
        <w:rPr>
          <w:rFonts w:ascii="Times New Roman" w:eastAsiaTheme="minorHAnsi" w:hAnsi="Times New Roman"/>
          <w:b/>
          <w:bCs/>
          <w:sz w:val="22"/>
          <w:szCs w:val="22"/>
          <w:lang w:val="lt-LT"/>
        </w:rPr>
      </w:pPr>
      <w:r w:rsidRPr="00D813AB">
        <w:rPr>
          <w:rFonts w:ascii="Times New Roman" w:eastAsiaTheme="minorHAnsi" w:hAnsi="Times New Roman"/>
          <w:b/>
          <w:bCs/>
          <w:sz w:val="22"/>
          <w:szCs w:val="22"/>
          <w:lang w:val="lt-LT"/>
        </w:rPr>
        <w:t xml:space="preserve">Registruotojas eksportuojančioje valstybėje </w:t>
      </w:r>
      <w:r>
        <w:rPr>
          <w:rFonts w:ascii="Times New Roman" w:eastAsiaTheme="minorHAnsi" w:hAnsi="Times New Roman"/>
          <w:b/>
          <w:bCs/>
          <w:sz w:val="22"/>
          <w:szCs w:val="22"/>
          <w:lang w:val="lt-LT"/>
        </w:rPr>
        <w:t>ir gamintojas</w:t>
      </w:r>
    </w:p>
    <w:p w14:paraId="7BD24F96" w14:textId="77777777" w:rsidR="00F44502" w:rsidRDefault="00F44502" w:rsidP="003A7FB1">
      <w:pPr>
        <w:rPr>
          <w:rFonts w:ascii="Times New Roman" w:eastAsiaTheme="minorHAnsi" w:hAnsi="Times New Roman"/>
          <w:sz w:val="22"/>
          <w:szCs w:val="22"/>
          <w:lang w:val="lt-LT"/>
        </w:rPr>
      </w:pPr>
    </w:p>
    <w:p w14:paraId="1C5901F2" w14:textId="77777777" w:rsidR="00F44502" w:rsidRPr="00F44502" w:rsidRDefault="00F44502" w:rsidP="003A7FB1">
      <w:pPr>
        <w:rPr>
          <w:rFonts w:ascii="Times New Roman" w:eastAsiaTheme="minorHAnsi" w:hAnsi="Times New Roman"/>
          <w:b/>
          <w:bCs/>
          <w:sz w:val="22"/>
          <w:szCs w:val="22"/>
          <w:lang w:val="lt-LT"/>
        </w:rPr>
      </w:pPr>
      <w:r w:rsidRPr="00F44502">
        <w:rPr>
          <w:rFonts w:ascii="Times New Roman" w:eastAsiaTheme="minorHAnsi" w:hAnsi="Times New Roman"/>
          <w:b/>
          <w:bCs/>
          <w:sz w:val="22"/>
          <w:szCs w:val="22"/>
          <w:lang w:val="lt-LT"/>
        </w:rPr>
        <w:t>Registruotojas</w:t>
      </w:r>
    </w:p>
    <w:p w14:paraId="4707A8AC" w14:textId="77777777" w:rsidR="00D1062A" w:rsidRDefault="00D86089" w:rsidP="003A7FB1">
      <w:pPr>
        <w:rPr>
          <w:rFonts w:ascii="Times New Roman" w:eastAsiaTheme="minorHAnsi" w:hAnsi="Times New Roman"/>
          <w:sz w:val="22"/>
          <w:szCs w:val="22"/>
          <w:lang w:val="lt-LT"/>
        </w:rPr>
      </w:pPr>
      <w:r w:rsidRPr="00D86089">
        <w:rPr>
          <w:rFonts w:ascii="Times New Roman" w:eastAsiaTheme="minorHAnsi" w:hAnsi="Times New Roman"/>
          <w:sz w:val="22"/>
          <w:szCs w:val="22"/>
          <w:lang w:val="lt-LT"/>
        </w:rPr>
        <w:t>JANSSEN-CILAG INTERNATIONAL NV</w:t>
      </w:r>
    </w:p>
    <w:p w14:paraId="1046FD9C" w14:textId="2C049653" w:rsidR="00F44502" w:rsidRDefault="00F44502" w:rsidP="003A7FB1">
      <w:pPr>
        <w:rPr>
          <w:rFonts w:ascii="Times New Roman" w:eastAsiaTheme="minorHAnsi" w:hAnsi="Times New Roman"/>
          <w:sz w:val="22"/>
          <w:szCs w:val="22"/>
          <w:lang w:val="lt-LT"/>
        </w:rPr>
      </w:pPr>
      <w:r>
        <w:rPr>
          <w:rFonts w:ascii="Times New Roman" w:eastAsiaTheme="minorHAnsi" w:hAnsi="Times New Roman"/>
          <w:sz w:val="22"/>
          <w:szCs w:val="22"/>
          <w:lang w:val="lt-LT"/>
        </w:rPr>
        <w:t>Turnhoutseweg 30, B-2340 Beerse</w:t>
      </w:r>
    </w:p>
    <w:p w14:paraId="2F58A011" w14:textId="77777777" w:rsidR="00F44502" w:rsidRDefault="00F44502" w:rsidP="003A7FB1">
      <w:pPr>
        <w:rPr>
          <w:rFonts w:ascii="Times New Roman" w:eastAsiaTheme="minorHAnsi" w:hAnsi="Times New Roman"/>
          <w:sz w:val="22"/>
          <w:szCs w:val="22"/>
          <w:lang w:val="lt-LT"/>
        </w:rPr>
      </w:pPr>
      <w:r w:rsidRPr="003A7FB1">
        <w:rPr>
          <w:rFonts w:ascii="Times New Roman" w:eastAsiaTheme="minorHAnsi" w:hAnsi="Times New Roman"/>
          <w:sz w:val="22"/>
          <w:szCs w:val="22"/>
          <w:lang w:val="lt-LT"/>
        </w:rPr>
        <w:t>Belgija</w:t>
      </w:r>
    </w:p>
    <w:p w14:paraId="14BDB0E9" w14:textId="77777777" w:rsidR="00F44502" w:rsidRDefault="00F44502" w:rsidP="003A7FB1">
      <w:pPr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1E91507E" w14:textId="31293407" w:rsidR="003A7FB1" w:rsidRPr="003A7FB1" w:rsidRDefault="003A7FB1" w:rsidP="003A7FB1">
      <w:pPr>
        <w:rPr>
          <w:rFonts w:ascii="Times New Roman" w:hAnsi="Times New Roman"/>
          <w:b/>
          <w:bCs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bCs/>
          <w:sz w:val="22"/>
          <w:szCs w:val="22"/>
          <w:lang w:val="lt-LT"/>
        </w:rPr>
        <w:t>Gamintojas</w:t>
      </w:r>
    </w:p>
    <w:p w14:paraId="096A3A94" w14:textId="77777777" w:rsidR="00F44502" w:rsidRDefault="00386CD5" w:rsidP="00386CD5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86CD5">
        <w:rPr>
          <w:rFonts w:ascii="Times New Roman" w:hAnsi="Times New Roman"/>
          <w:sz w:val="22"/>
          <w:szCs w:val="22"/>
          <w:lang w:val="lt-LT"/>
        </w:rPr>
        <w:t>LUSOMEDICAMENTA SOCIEDADE TÉCNICA FARMACÊUTICA, S.A.</w:t>
      </w:r>
    </w:p>
    <w:p w14:paraId="51245B97" w14:textId="77777777" w:rsidR="00F44502" w:rsidRDefault="00386CD5" w:rsidP="00386CD5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86CD5">
        <w:rPr>
          <w:rFonts w:ascii="Times New Roman" w:hAnsi="Times New Roman"/>
          <w:sz w:val="22"/>
          <w:szCs w:val="22"/>
          <w:lang w:val="lt-LT"/>
        </w:rPr>
        <w:t>Estrada Consiglieri Pedroso</w:t>
      </w:r>
      <w:r w:rsidR="007E198E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386CD5">
        <w:rPr>
          <w:rFonts w:ascii="Times New Roman" w:hAnsi="Times New Roman"/>
          <w:sz w:val="22"/>
          <w:szCs w:val="22"/>
          <w:lang w:val="lt-LT"/>
        </w:rPr>
        <w:t>69-B</w:t>
      </w:r>
    </w:p>
    <w:p w14:paraId="2D941D18" w14:textId="77777777" w:rsidR="00F44502" w:rsidRDefault="00386CD5" w:rsidP="00386CD5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86CD5">
        <w:rPr>
          <w:rFonts w:ascii="Times New Roman" w:hAnsi="Times New Roman"/>
          <w:sz w:val="22"/>
          <w:szCs w:val="22"/>
          <w:lang w:val="lt-LT"/>
        </w:rPr>
        <w:t>Quel</w:t>
      </w:r>
      <w:r>
        <w:rPr>
          <w:rFonts w:ascii="Times New Roman" w:hAnsi="Times New Roman"/>
          <w:sz w:val="22"/>
          <w:szCs w:val="22"/>
          <w:lang w:val="lt-LT"/>
        </w:rPr>
        <w:t>uz de Baixo, 2730-055 Barcarena</w:t>
      </w:r>
    </w:p>
    <w:p w14:paraId="722048EC" w14:textId="26681260" w:rsidR="00386CD5" w:rsidRDefault="00386CD5" w:rsidP="00386CD5">
      <w:pPr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Po</w:t>
      </w:r>
      <w:r w:rsidR="00614338">
        <w:rPr>
          <w:rFonts w:ascii="Times New Roman" w:hAnsi="Times New Roman"/>
          <w:sz w:val="22"/>
          <w:szCs w:val="22"/>
          <w:lang w:val="lt-LT"/>
        </w:rPr>
        <w:t>r</w:t>
      </w:r>
      <w:r>
        <w:rPr>
          <w:rFonts w:ascii="Times New Roman" w:hAnsi="Times New Roman"/>
          <w:sz w:val="22"/>
          <w:szCs w:val="22"/>
          <w:lang w:val="lt-LT"/>
        </w:rPr>
        <w:t>tugalija</w:t>
      </w:r>
    </w:p>
    <w:p w14:paraId="5B9A7753" w14:textId="77777777" w:rsidR="00386CD5" w:rsidRPr="003A7FB1" w:rsidRDefault="00386CD5" w:rsidP="00386CD5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6C983477" w14:textId="77777777" w:rsidR="00365494" w:rsidRPr="00365494" w:rsidRDefault="00365494" w:rsidP="00365494">
      <w:pPr>
        <w:rPr>
          <w:rFonts w:ascii="Times New Roman" w:hAnsi="Times New Roman"/>
          <w:b/>
          <w:sz w:val="22"/>
          <w:szCs w:val="22"/>
          <w:lang w:val="lt-LT"/>
        </w:rPr>
      </w:pPr>
      <w:r w:rsidRPr="00365494">
        <w:rPr>
          <w:rFonts w:ascii="Times New Roman" w:hAnsi="Times New Roman"/>
          <w:b/>
          <w:sz w:val="22"/>
          <w:szCs w:val="22"/>
          <w:lang w:val="lt-LT"/>
        </w:rPr>
        <w:t xml:space="preserve">Lygiagretus importuotojas </w:t>
      </w:r>
    </w:p>
    <w:p w14:paraId="26219B04" w14:textId="77777777" w:rsidR="00365494" w:rsidRPr="00365494" w:rsidRDefault="00365494" w:rsidP="00365494">
      <w:pPr>
        <w:rPr>
          <w:rFonts w:ascii="Times New Roman" w:hAnsi="Times New Roman"/>
          <w:sz w:val="22"/>
          <w:szCs w:val="22"/>
          <w:lang w:val="lt-LT"/>
        </w:rPr>
      </w:pPr>
      <w:r w:rsidRPr="00365494">
        <w:rPr>
          <w:rFonts w:ascii="Times New Roman" w:hAnsi="Times New Roman"/>
          <w:sz w:val="22"/>
          <w:szCs w:val="22"/>
          <w:lang w:val="lt-LT"/>
        </w:rPr>
        <w:lastRenderedPageBreak/>
        <w:t>UAB „Ideal Trade Links“</w:t>
      </w:r>
    </w:p>
    <w:p w14:paraId="72449D93" w14:textId="77777777" w:rsidR="00365494" w:rsidRPr="00365494" w:rsidRDefault="00365494" w:rsidP="00365494">
      <w:pPr>
        <w:rPr>
          <w:rFonts w:ascii="Times New Roman" w:hAnsi="Times New Roman"/>
          <w:sz w:val="22"/>
          <w:szCs w:val="22"/>
          <w:lang w:val="lt-LT"/>
        </w:rPr>
      </w:pPr>
      <w:r w:rsidRPr="00365494">
        <w:rPr>
          <w:rFonts w:ascii="Times New Roman" w:hAnsi="Times New Roman"/>
          <w:sz w:val="22"/>
          <w:szCs w:val="22"/>
          <w:lang w:val="lt-LT"/>
        </w:rPr>
        <w:t>Kerupės g. 17, Zapyškis</w:t>
      </w:r>
    </w:p>
    <w:p w14:paraId="4D5E084A" w14:textId="77777777" w:rsidR="00365494" w:rsidRPr="00365494" w:rsidRDefault="00365494" w:rsidP="00365494">
      <w:pPr>
        <w:rPr>
          <w:rFonts w:ascii="Times New Roman" w:hAnsi="Times New Roman"/>
          <w:sz w:val="22"/>
          <w:szCs w:val="22"/>
          <w:lang w:val="lt-LT"/>
        </w:rPr>
      </w:pPr>
      <w:r w:rsidRPr="00365494">
        <w:rPr>
          <w:rFonts w:ascii="Times New Roman" w:hAnsi="Times New Roman"/>
          <w:sz w:val="22"/>
          <w:szCs w:val="22"/>
          <w:lang w:val="lt-LT"/>
        </w:rPr>
        <w:t>LT-53431 Kauno r.</w:t>
      </w:r>
    </w:p>
    <w:p w14:paraId="2B70CA56" w14:textId="77777777" w:rsidR="00365494" w:rsidRPr="00365494" w:rsidRDefault="00365494" w:rsidP="00365494">
      <w:pPr>
        <w:rPr>
          <w:rFonts w:ascii="Times New Roman" w:hAnsi="Times New Roman"/>
          <w:sz w:val="22"/>
          <w:szCs w:val="22"/>
          <w:lang w:val="lt-LT"/>
        </w:rPr>
      </w:pPr>
      <w:r w:rsidRPr="00365494">
        <w:rPr>
          <w:rFonts w:ascii="Times New Roman" w:hAnsi="Times New Roman"/>
          <w:sz w:val="22"/>
          <w:szCs w:val="22"/>
          <w:lang w:val="lt-LT"/>
        </w:rPr>
        <w:t>Lietuva</w:t>
      </w:r>
    </w:p>
    <w:p w14:paraId="210F1BB6" w14:textId="77777777" w:rsidR="00365494" w:rsidRPr="00365494" w:rsidRDefault="00365494" w:rsidP="00365494">
      <w:pPr>
        <w:rPr>
          <w:rFonts w:ascii="Times New Roman" w:hAnsi="Times New Roman"/>
          <w:bCs/>
          <w:sz w:val="22"/>
          <w:szCs w:val="22"/>
          <w:lang w:val="lt-LT"/>
        </w:rPr>
      </w:pPr>
    </w:p>
    <w:p w14:paraId="5BA6E01E" w14:textId="77777777" w:rsidR="00365494" w:rsidRPr="00365494" w:rsidRDefault="00365494" w:rsidP="00365494">
      <w:pPr>
        <w:rPr>
          <w:rFonts w:ascii="Times New Roman" w:hAnsi="Times New Roman"/>
          <w:b/>
          <w:sz w:val="22"/>
          <w:szCs w:val="22"/>
          <w:lang w:val="lt-LT"/>
        </w:rPr>
      </w:pPr>
      <w:r w:rsidRPr="00365494">
        <w:rPr>
          <w:rFonts w:ascii="Times New Roman" w:hAnsi="Times New Roman"/>
          <w:b/>
          <w:sz w:val="22"/>
          <w:szCs w:val="22"/>
          <w:lang w:val="lt-LT"/>
        </w:rPr>
        <w:t>Perpakavo</w:t>
      </w:r>
    </w:p>
    <w:p w14:paraId="2BF0D849" w14:textId="77777777" w:rsidR="00365494" w:rsidRPr="00365494" w:rsidRDefault="00365494" w:rsidP="00365494">
      <w:pPr>
        <w:rPr>
          <w:rFonts w:ascii="Times New Roman" w:hAnsi="Times New Roman"/>
          <w:bCs/>
          <w:iCs/>
          <w:sz w:val="22"/>
          <w:szCs w:val="22"/>
          <w:lang w:val="lt-LT"/>
        </w:rPr>
      </w:pPr>
      <w:r w:rsidRPr="00365494">
        <w:rPr>
          <w:rFonts w:ascii="Times New Roman" w:hAnsi="Times New Roman"/>
          <w:bCs/>
          <w:iCs/>
          <w:sz w:val="22"/>
          <w:szCs w:val="22"/>
          <w:lang w:val="lt-LT"/>
        </w:rPr>
        <w:t>UAB „Entafarma“</w:t>
      </w:r>
    </w:p>
    <w:p w14:paraId="51A625E3" w14:textId="77777777" w:rsidR="00365494" w:rsidRPr="00365494" w:rsidRDefault="00365494" w:rsidP="00365494">
      <w:pPr>
        <w:rPr>
          <w:rFonts w:ascii="Times New Roman" w:hAnsi="Times New Roman"/>
          <w:bCs/>
          <w:iCs/>
          <w:sz w:val="22"/>
          <w:szCs w:val="22"/>
          <w:lang w:val="lt-LT"/>
        </w:rPr>
      </w:pPr>
      <w:r w:rsidRPr="00365494">
        <w:rPr>
          <w:rFonts w:ascii="Times New Roman" w:hAnsi="Times New Roman"/>
          <w:bCs/>
          <w:iCs/>
          <w:sz w:val="22"/>
          <w:szCs w:val="22"/>
          <w:lang w:val="lt-LT"/>
        </w:rPr>
        <w:t>Klonėnų vs. 1</w:t>
      </w:r>
    </w:p>
    <w:p w14:paraId="6E08463C" w14:textId="77777777" w:rsidR="00365494" w:rsidRPr="00365494" w:rsidRDefault="00365494" w:rsidP="00365494">
      <w:pPr>
        <w:rPr>
          <w:rFonts w:ascii="Times New Roman" w:hAnsi="Times New Roman"/>
          <w:bCs/>
          <w:iCs/>
          <w:sz w:val="22"/>
          <w:szCs w:val="22"/>
          <w:lang w:val="lt-LT"/>
        </w:rPr>
      </w:pPr>
      <w:r w:rsidRPr="00365494">
        <w:rPr>
          <w:rFonts w:ascii="Times New Roman" w:hAnsi="Times New Roman"/>
          <w:bCs/>
          <w:iCs/>
          <w:sz w:val="22"/>
          <w:szCs w:val="22"/>
          <w:lang w:val="lt-LT"/>
        </w:rPr>
        <w:t>LT-19156 Širvintų r. sav., Jauniūnų sen.</w:t>
      </w:r>
    </w:p>
    <w:p w14:paraId="4E7B64A8" w14:textId="77777777" w:rsidR="00365494" w:rsidRPr="00365494" w:rsidRDefault="00365494" w:rsidP="00365494">
      <w:pPr>
        <w:rPr>
          <w:rFonts w:ascii="Times New Roman" w:hAnsi="Times New Roman"/>
          <w:b/>
          <w:sz w:val="22"/>
          <w:szCs w:val="22"/>
          <w:lang w:val="lt-LT"/>
        </w:rPr>
      </w:pPr>
      <w:r w:rsidRPr="00365494">
        <w:rPr>
          <w:rFonts w:ascii="Times New Roman" w:hAnsi="Times New Roman"/>
          <w:bCs/>
          <w:iCs/>
          <w:sz w:val="22"/>
          <w:szCs w:val="22"/>
          <w:lang w:val="lt-LT"/>
        </w:rPr>
        <w:t>Lietuva</w:t>
      </w:r>
    </w:p>
    <w:p w14:paraId="6ED15A6B" w14:textId="77777777" w:rsidR="00365494" w:rsidRPr="00365494" w:rsidRDefault="00365494" w:rsidP="00365494">
      <w:pPr>
        <w:rPr>
          <w:rFonts w:ascii="Times New Roman" w:hAnsi="Times New Roman"/>
          <w:sz w:val="22"/>
          <w:szCs w:val="22"/>
          <w:lang w:val="lt-LT"/>
        </w:rPr>
      </w:pPr>
    </w:p>
    <w:p w14:paraId="7086AF75" w14:textId="77777777" w:rsidR="00365494" w:rsidRPr="00365494" w:rsidRDefault="00365494" w:rsidP="00365494">
      <w:pPr>
        <w:rPr>
          <w:rFonts w:ascii="Times New Roman" w:hAnsi="Times New Roman"/>
          <w:sz w:val="22"/>
          <w:szCs w:val="22"/>
          <w:lang w:val="lt-LT"/>
        </w:rPr>
      </w:pPr>
      <w:r w:rsidRPr="00365494">
        <w:rPr>
          <w:rFonts w:ascii="Times New Roman" w:hAnsi="Times New Roman"/>
          <w:sz w:val="22"/>
          <w:szCs w:val="22"/>
          <w:lang w:val="lt-LT"/>
        </w:rPr>
        <w:t xml:space="preserve">arba </w:t>
      </w:r>
    </w:p>
    <w:p w14:paraId="7A060D9E" w14:textId="77777777" w:rsidR="00365494" w:rsidRPr="00365494" w:rsidRDefault="00365494" w:rsidP="00365494">
      <w:pPr>
        <w:rPr>
          <w:rFonts w:ascii="Times New Roman" w:hAnsi="Times New Roman"/>
          <w:sz w:val="22"/>
          <w:szCs w:val="22"/>
          <w:lang w:val="lt-LT"/>
        </w:rPr>
      </w:pPr>
      <w:bookmarkStart w:id="2" w:name="_GoBack"/>
      <w:bookmarkEnd w:id="2"/>
    </w:p>
    <w:p w14:paraId="554558D0" w14:textId="77777777" w:rsidR="00365494" w:rsidRPr="00365494" w:rsidRDefault="00365494" w:rsidP="00365494">
      <w:pPr>
        <w:rPr>
          <w:rFonts w:ascii="Times New Roman" w:hAnsi="Times New Roman"/>
          <w:sz w:val="22"/>
          <w:szCs w:val="22"/>
          <w:lang w:val="lt-LT"/>
        </w:rPr>
      </w:pPr>
      <w:r w:rsidRPr="00365494">
        <w:rPr>
          <w:rFonts w:ascii="Times New Roman" w:hAnsi="Times New Roman"/>
          <w:sz w:val="22"/>
          <w:szCs w:val="22"/>
          <w:lang w:val="lt-LT"/>
        </w:rPr>
        <w:t>Medezin Sp. z o.o.</w:t>
      </w:r>
    </w:p>
    <w:p w14:paraId="606D0B7D" w14:textId="77777777" w:rsidR="00365494" w:rsidRPr="00365494" w:rsidRDefault="00365494" w:rsidP="00365494">
      <w:pPr>
        <w:rPr>
          <w:rFonts w:ascii="Times New Roman" w:hAnsi="Times New Roman"/>
          <w:sz w:val="22"/>
          <w:szCs w:val="22"/>
          <w:lang w:val="lt-LT"/>
        </w:rPr>
      </w:pPr>
      <w:bookmarkStart w:id="3" w:name="_Hlk195530798"/>
      <w:r w:rsidRPr="00365494">
        <w:rPr>
          <w:rFonts w:ascii="Times New Roman" w:hAnsi="Times New Roman"/>
          <w:sz w:val="22"/>
          <w:szCs w:val="22"/>
          <w:lang w:val="lt-LT"/>
        </w:rPr>
        <w:t>Ul. Księdza Kazimierza Janika 14</w:t>
      </w:r>
    </w:p>
    <w:bookmarkEnd w:id="3"/>
    <w:p w14:paraId="525E91C7" w14:textId="77777777" w:rsidR="00365494" w:rsidRPr="00365494" w:rsidRDefault="00365494" w:rsidP="00365494">
      <w:pPr>
        <w:rPr>
          <w:rFonts w:ascii="Times New Roman" w:hAnsi="Times New Roman"/>
          <w:sz w:val="22"/>
          <w:szCs w:val="22"/>
          <w:lang w:val="lt-LT"/>
        </w:rPr>
      </w:pPr>
      <w:r w:rsidRPr="00365494">
        <w:rPr>
          <w:rFonts w:ascii="Times New Roman" w:hAnsi="Times New Roman"/>
          <w:sz w:val="22"/>
          <w:szCs w:val="22"/>
          <w:lang w:val="lt-LT"/>
        </w:rPr>
        <w:t>Konstantynów Łódzki, Łódzkie 95-050</w:t>
      </w:r>
    </w:p>
    <w:p w14:paraId="110B5131" w14:textId="77777777" w:rsidR="00365494" w:rsidRPr="00365494" w:rsidRDefault="00365494" w:rsidP="00365494">
      <w:pPr>
        <w:rPr>
          <w:rFonts w:ascii="Times New Roman" w:hAnsi="Times New Roman"/>
          <w:sz w:val="22"/>
          <w:szCs w:val="22"/>
          <w:lang w:val="lt-LT"/>
        </w:rPr>
      </w:pPr>
      <w:r w:rsidRPr="00365494">
        <w:rPr>
          <w:rFonts w:ascii="Times New Roman" w:hAnsi="Times New Roman"/>
          <w:sz w:val="22"/>
          <w:szCs w:val="22"/>
          <w:lang w:val="lt-LT"/>
        </w:rPr>
        <w:t>Lenkija</w:t>
      </w:r>
    </w:p>
    <w:p w14:paraId="7A368CBB" w14:textId="77777777" w:rsidR="00365494" w:rsidRPr="00365494" w:rsidRDefault="00365494" w:rsidP="00365494">
      <w:pPr>
        <w:rPr>
          <w:rFonts w:ascii="Times New Roman" w:hAnsi="Times New Roman"/>
          <w:sz w:val="22"/>
          <w:szCs w:val="22"/>
          <w:lang w:val="lt-LT"/>
        </w:rPr>
      </w:pPr>
    </w:p>
    <w:p w14:paraId="19C1CA29" w14:textId="77777777" w:rsidR="00365494" w:rsidRPr="00365494" w:rsidRDefault="00365494" w:rsidP="00365494">
      <w:pPr>
        <w:rPr>
          <w:rFonts w:ascii="Times New Roman" w:hAnsi="Times New Roman"/>
          <w:bCs/>
          <w:sz w:val="22"/>
          <w:szCs w:val="22"/>
          <w:lang w:val="lt-LT"/>
        </w:rPr>
      </w:pPr>
      <w:r w:rsidRPr="00365494">
        <w:rPr>
          <w:rFonts w:ascii="Times New Roman" w:hAnsi="Times New Roman"/>
          <w:bCs/>
          <w:sz w:val="22"/>
          <w:szCs w:val="22"/>
          <w:lang w:val="lt-LT"/>
        </w:rPr>
        <w:t xml:space="preserve">arba </w:t>
      </w:r>
    </w:p>
    <w:p w14:paraId="3A7553D9" w14:textId="77777777" w:rsidR="00365494" w:rsidRPr="00365494" w:rsidRDefault="00365494" w:rsidP="00365494">
      <w:pPr>
        <w:rPr>
          <w:rFonts w:ascii="Times New Roman" w:hAnsi="Times New Roman"/>
          <w:bCs/>
          <w:sz w:val="22"/>
          <w:szCs w:val="22"/>
          <w:lang w:val="lt-LT"/>
        </w:rPr>
      </w:pPr>
    </w:p>
    <w:p w14:paraId="31A2A4EA" w14:textId="77777777" w:rsidR="00365494" w:rsidRPr="00365494" w:rsidRDefault="00365494" w:rsidP="00365494">
      <w:pPr>
        <w:rPr>
          <w:rFonts w:ascii="Times New Roman" w:hAnsi="Times New Roman"/>
          <w:bCs/>
          <w:sz w:val="22"/>
          <w:szCs w:val="22"/>
          <w:lang w:val="lt-LT"/>
        </w:rPr>
      </w:pPr>
      <w:r w:rsidRPr="00365494">
        <w:rPr>
          <w:rFonts w:ascii="Times New Roman" w:hAnsi="Times New Roman"/>
          <w:bCs/>
          <w:sz w:val="22"/>
          <w:szCs w:val="22"/>
          <w:lang w:val="lt-LT"/>
        </w:rPr>
        <w:t>UAB „Armila“</w:t>
      </w:r>
    </w:p>
    <w:p w14:paraId="479D7B7A" w14:textId="77777777" w:rsidR="00365494" w:rsidRPr="00365494" w:rsidRDefault="00365494" w:rsidP="00365494">
      <w:pPr>
        <w:rPr>
          <w:rFonts w:ascii="Times New Roman" w:hAnsi="Times New Roman"/>
          <w:bCs/>
          <w:sz w:val="22"/>
          <w:szCs w:val="22"/>
          <w:lang w:val="lt-LT"/>
        </w:rPr>
      </w:pPr>
      <w:r w:rsidRPr="00365494">
        <w:rPr>
          <w:rFonts w:ascii="Times New Roman" w:hAnsi="Times New Roman"/>
          <w:bCs/>
          <w:sz w:val="22"/>
          <w:szCs w:val="22"/>
          <w:lang w:val="lt-LT"/>
        </w:rPr>
        <w:t>Molėtų pl. 75</w:t>
      </w:r>
    </w:p>
    <w:p w14:paraId="7F96C252" w14:textId="77777777" w:rsidR="00365494" w:rsidRPr="00365494" w:rsidRDefault="00365494" w:rsidP="00365494">
      <w:pPr>
        <w:rPr>
          <w:rFonts w:ascii="Times New Roman" w:hAnsi="Times New Roman"/>
          <w:bCs/>
          <w:sz w:val="22"/>
          <w:szCs w:val="22"/>
          <w:lang w:val="lt-LT"/>
        </w:rPr>
      </w:pPr>
      <w:r w:rsidRPr="00365494">
        <w:rPr>
          <w:rFonts w:ascii="Times New Roman" w:hAnsi="Times New Roman"/>
          <w:bCs/>
          <w:sz w:val="22"/>
          <w:szCs w:val="22"/>
          <w:lang w:val="lt-LT"/>
        </w:rPr>
        <w:t>LT-14259 Vilnius</w:t>
      </w:r>
    </w:p>
    <w:p w14:paraId="55A9BD2C" w14:textId="77777777" w:rsidR="00365494" w:rsidRPr="00365494" w:rsidRDefault="00365494" w:rsidP="00365494">
      <w:pPr>
        <w:rPr>
          <w:rFonts w:ascii="Times New Roman" w:hAnsi="Times New Roman"/>
          <w:sz w:val="22"/>
          <w:szCs w:val="22"/>
          <w:lang w:val="lt-LT"/>
        </w:rPr>
      </w:pPr>
      <w:r w:rsidRPr="00365494">
        <w:rPr>
          <w:rFonts w:ascii="Times New Roman" w:hAnsi="Times New Roman"/>
          <w:bCs/>
          <w:sz w:val="22"/>
          <w:szCs w:val="22"/>
          <w:lang w:val="lt-LT"/>
        </w:rPr>
        <w:t>Lietuva</w:t>
      </w:r>
    </w:p>
    <w:p w14:paraId="756FC315" w14:textId="77777777" w:rsidR="0025089C" w:rsidRPr="003A7FB1" w:rsidRDefault="0025089C" w:rsidP="003A7FB1">
      <w:pPr>
        <w:rPr>
          <w:rFonts w:ascii="Times New Roman" w:hAnsi="Times New Roman"/>
          <w:sz w:val="22"/>
          <w:szCs w:val="22"/>
          <w:lang w:val="x-none"/>
        </w:rPr>
      </w:pPr>
    </w:p>
    <w:p w14:paraId="64BA61DB" w14:textId="77777777" w:rsidR="003A7FB1" w:rsidRPr="003A7FB1" w:rsidRDefault="003A7FB1" w:rsidP="003A7FB1">
      <w:pPr>
        <w:rPr>
          <w:rFonts w:ascii="Times New Roman" w:hAnsi="Times New Roman"/>
          <w:sz w:val="22"/>
          <w:szCs w:val="22"/>
          <w:lang w:val="lt-LT"/>
        </w:rPr>
      </w:pPr>
    </w:p>
    <w:p w14:paraId="5D48F582" w14:textId="61ACA506" w:rsidR="003A7FB1" w:rsidRPr="003A7FB1" w:rsidRDefault="003A7FB1" w:rsidP="003A7FB1">
      <w:pPr>
        <w:rPr>
          <w:rFonts w:ascii="Times New Roman" w:hAnsi="Times New Roman"/>
          <w:b/>
          <w:sz w:val="22"/>
          <w:szCs w:val="22"/>
          <w:lang w:val="lt-LT"/>
        </w:rPr>
      </w:pPr>
      <w:r w:rsidRPr="003A7FB1">
        <w:rPr>
          <w:rFonts w:ascii="Times New Roman" w:hAnsi="Times New Roman"/>
          <w:b/>
          <w:sz w:val="22"/>
          <w:szCs w:val="22"/>
          <w:lang w:val="lt-LT"/>
        </w:rPr>
        <w:t>Šis pakuotės lapelis paskutinį kartą peržiūrėtas</w:t>
      </w:r>
      <w:r w:rsidR="00D813AB">
        <w:rPr>
          <w:rFonts w:ascii="Times New Roman" w:hAnsi="Times New Roman"/>
          <w:b/>
          <w:sz w:val="22"/>
          <w:szCs w:val="22"/>
          <w:lang w:val="lt-LT"/>
        </w:rPr>
        <w:t xml:space="preserve"> </w:t>
      </w:r>
      <w:r w:rsidR="005C0AF5">
        <w:rPr>
          <w:rFonts w:ascii="Times New Roman" w:hAnsi="Times New Roman"/>
          <w:b/>
          <w:sz w:val="22"/>
          <w:szCs w:val="22"/>
          <w:lang w:val="lt-LT"/>
        </w:rPr>
        <w:t>2026-04-0</w:t>
      </w:r>
      <w:r w:rsidR="00B81DB8">
        <w:rPr>
          <w:rFonts w:ascii="Times New Roman" w:hAnsi="Times New Roman"/>
          <w:b/>
          <w:sz w:val="22"/>
          <w:szCs w:val="22"/>
          <w:lang w:val="lt-LT"/>
        </w:rPr>
        <w:t>9</w:t>
      </w:r>
      <w:r w:rsidR="005C0AF5">
        <w:rPr>
          <w:rFonts w:ascii="Times New Roman" w:hAnsi="Times New Roman"/>
          <w:b/>
          <w:sz w:val="22"/>
          <w:szCs w:val="22"/>
          <w:lang w:val="lt-LT"/>
        </w:rPr>
        <w:t>.</w:t>
      </w:r>
    </w:p>
    <w:p w14:paraId="52FF6C18" w14:textId="77777777" w:rsidR="003A7FB1" w:rsidRPr="003A7FB1" w:rsidRDefault="003A7FB1" w:rsidP="003A7FB1">
      <w:pPr>
        <w:tabs>
          <w:tab w:val="left" w:pos="567"/>
        </w:tabs>
        <w:rPr>
          <w:rFonts w:ascii="Times New Roman" w:hAnsi="Times New Roman"/>
          <w:sz w:val="22"/>
          <w:szCs w:val="22"/>
          <w:lang w:val="lt-LT"/>
        </w:rPr>
      </w:pPr>
    </w:p>
    <w:p w14:paraId="060CD88B" w14:textId="222DF0E5" w:rsidR="003F20AC" w:rsidRPr="003F20AC" w:rsidRDefault="00102012" w:rsidP="003A7FB1">
      <w:pPr>
        <w:tabs>
          <w:tab w:val="left" w:pos="567"/>
        </w:tabs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Išsami informacija apie šį vaistą</w:t>
      </w:r>
      <w:r w:rsidR="003A7FB1" w:rsidRPr="003A7FB1">
        <w:rPr>
          <w:rFonts w:ascii="Times New Roman" w:hAnsi="Times New Roman"/>
          <w:sz w:val="22"/>
          <w:szCs w:val="22"/>
          <w:lang w:val="lt-LT"/>
        </w:rPr>
        <w:t xml:space="preserve"> pateikiama Valstybinės vaistų kontrolės tarnybos prie Lietuvos Respublikos sveikatos apsaugos ministerijos </w:t>
      </w:r>
      <w:r>
        <w:rPr>
          <w:rFonts w:ascii="Times New Roman" w:hAnsi="Times New Roman"/>
          <w:sz w:val="22"/>
          <w:szCs w:val="22"/>
          <w:lang w:val="lt-LT"/>
        </w:rPr>
        <w:t>tinklalapyje</w:t>
      </w:r>
      <w:r w:rsidR="007C33C5">
        <w:rPr>
          <w:rFonts w:ascii="Times New Roman" w:hAnsi="Times New Roman"/>
          <w:sz w:val="22"/>
          <w:szCs w:val="22"/>
          <w:lang w:val="lt-LT"/>
        </w:rPr>
        <w:t xml:space="preserve"> </w:t>
      </w:r>
      <w:hyperlink r:id="rId10" w:history="1">
        <w:r w:rsidR="007C33C5" w:rsidRPr="00C03A53">
          <w:rPr>
            <w:rStyle w:val="Hyperlink"/>
            <w:rFonts w:ascii="Times New Roman" w:hAnsi="Times New Roman"/>
            <w:iCs/>
            <w:sz w:val="22"/>
            <w:szCs w:val="28"/>
            <w:lang w:val="lt-LT"/>
          </w:rPr>
          <w:t>https://vvkt.lrv.lt/lt/</w:t>
        </w:r>
      </w:hyperlink>
      <w:r w:rsidR="00603017" w:rsidRPr="003B0DD7">
        <w:rPr>
          <w:rFonts w:ascii="Times New Roman" w:hAnsi="Times New Roman"/>
          <w:sz w:val="22"/>
          <w:szCs w:val="22"/>
          <w:lang w:val="lt-LT"/>
        </w:rPr>
        <w:t>.</w:t>
      </w:r>
    </w:p>
    <w:p w14:paraId="33664914" w14:textId="77777777" w:rsidR="003A7FB1" w:rsidRPr="003A7FB1" w:rsidRDefault="003A7FB1" w:rsidP="003A7FB1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2CE9B62D" w14:textId="1B333918" w:rsidR="00F44502" w:rsidRPr="00F5692D" w:rsidRDefault="00F44502" w:rsidP="00F44502">
      <w:pPr>
        <w:rPr>
          <w:rFonts w:ascii="Times New Roman" w:hAnsi="Times New Roman"/>
          <w:sz w:val="22"/>
          <w:szCs w:val="22"/>
          <w:lang w:val="lt-LT"/>
        </w:rPr>
      </w:pPr>
      <w:r w:rsidRPr="003A7FB1">
        <w:rPr>
          <w:rFonts w:ascii="Times New Roman" w:hAnsi="Times New Roman"/>
          <w:i/>
          <w:sz w:val="22"/>
          <w:szCs w:val="22"/>
          <w:lang w:val="lt-LT"/>
        </w:rPr>
        <w:t>Lygiagrečiai importuojamas vaist</w:t>
      </w:r>
      <w:r>
        <w:rPr>
          <w:rFonts w:ascii="Times New Roman" w:hAnsi="Times New Roman"/>
          <w:i/>
          <w:sz w:val="22"/>
          <w:szCs w:val="22"/>
          <w:lang w:val="lt-LT"/>
        </w:rPr>
        <w:t>as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skiriasi nuo referencinio vaist</w:t>
      </w:r>
      <w:r>
        <w:rPr>
          <w:rFonts w:ascii="Times New Roman" w:hAnsi="Times New Roman"/>
          <w:i/>
          <w:sz w:val="22"/>
          <w:szCs w:val="22"/>
          <w:lang w:val="lt-LT"/>
        </w:rPr>
        <w:t>o išvaizda: l</w:t>
      </w:r>
      <w:r w:rsidRPr="006553B4">
        <w:rPr>
          <w:rFonts w:ascii="Times New Roman" w:hAnsi="Times New Roman"/>
          <w:i/>
          <w:sz w:val="22"/>
          <w:szCs w:val="22"/>
          <w:lang w:val="lt-LT"/>
        </w:rPr>
        <w:t>yg</w:t>
      </w:r>
      <w:r>
        <w:rPr>
          <w:rFonts w:ascii="Times New Roman" w:hAnsi="Times New Roman"/>
          <w:i/>
          <w:sz w:val="22"/>
          <w:szCs w:val="22"/>
          <w:lang w:val="lt-LT"/>
        </w:rPr>
        <w:t>iagrečiai</w:t>
      </w:r>
      <w:r w:rsidRPr="006553B4">
        <w:rPr>
          <w:rFonts w:ascii="Times New Roman" w:hAnsi="Times New Roman"/>
          <w:i/>
          <w:sz w:val="22"/>
          <w:szCs w:val="22"/>
          <w:lang w:val="lt-LT"/>
        </w:rPr>
        <w:t xml:space="preserve"> imp</w:t>
      </w:r>
      <w:r>
        <w:rPr>
          <w:rFonts w:ascii="Times New Roman" w:hAnsi="Times New Roman"/>
          <w:i/>
          <w:sz w:val="22"/>
          <w:szCs w:val="22"/>
          <w:lang w:val="lt-LT"/>
        </w:rPr>
        <w:t>ortuojamas</w:t>
      </w:r>
      <w:r w:rsidRPr="006553B4">
        <w:rPr>
          <w:rFonts w:ascii="Times New Roman" w:hAnsi="Times New Roman"/>
          <w:i/>
          <w:sz w:val="22"/>
          <w:szCs w:val="22"/>
          <w:lang w:val="lt-LT"/>
        </w:rPr>
        <w:t xml:space="preserve"> vaistas yra oranžinės spalvos su </w:t>
      </w:r>
      <w:r>
        <w:rPr>
          <w:rFonts w:ascii="Times New Roman" w:hAnsi="Times New Roman"/>
          <w:i/>
          <w:sz w:val="22"/>
          <w:szCs w:val="22"/>
          <w:lang w:val="lt-LT"/>
        </w:rPr>
        <w:t>įspaudu</w:t>
      </w:r>
      <w:r w:rsidRPr="006553B4">
        <w:rPr>
          <w:rFonts w:ascii="Times New Roman" w:hAnsi="Times New Roman"/>
          <w:i/>
          <w:sz w:val="22"/>
          <w:szCs w:val="22"/>
          <w:lang w:val="lt-LT"/>
        </w:rPr>
        <w:t xml:space="preserve"> „</w:t>
      </w:r>
      <w:r w:rsidR="00DA1B26" w:rsidRPr="006553B4">
        <w:rPr>
          <w:rFonts w:ascii="Times New Roman" w:hAnsi="Times New Roman"/>
          <w:i/>
          <w:sz w:val="22"/>
          <w:szCs w:val="22"/>
          <w:lang w:val="lt-LT"/>
        </w:rPr>
        <w:t>M</w:t>
      </w:r>
      <w:r w:rsidR="00DA1B26">
        <w:rPr>
          <w:rFonts w:ascii="Times New Roman" w:hAnsi="Times New Roman"/>
          <w:i/>
          <w:sz w:val="22"/>
          <w:szCs w:val="22"/>
          <w:lang w:val="lt-LT"/>
        </w:rPr>
        <w:t>e</w:t>
      </w:r>
      <w:r w:rsidRPr="006553B4">
        <w:rPr>
          <w:rFonts w:ascii="Times New Roman" w:hAnsi="Times New Roman"/>
          <w:i/>
          <w:sz w:val="22"/>
          <w:szCs w:val="22"/>
          <w:lang w:val="lt-LT"/>
        </w:rPr>
        <w:t>/100“ vienoje pusėje, „JANSSEN“ kitoje</w:t>
      </w:r>
      <w:r>
        <w:rPr>
          <w:rFonts w:ascii="Times New Roman" w:hAnsi="Times New Roman"/>
          <w:i/>
          <w:sz w:val="22"/>
          <w:szCs w:val="22"/>
          <w:lang w:val="lt-LT"/>
        </w:rPr>
        <w:t>,</w:t>
      </w:r>
      <w:r w:rsidRPr="006553B4">
        <w:rPr>
          <w:rFonts w:ascii="Times New Roman" w:hAnsi="Times New Roman"/>
          <w:i/>
          <w:sz w:val="22"/>
          <w:szCs w:val="22"/>
          <w:lang w:val="lt-LT"/>
        </w:rPr>
        <w:t xml:space="preserve"> ref</w:t>
      </w:r>
      <w:r>
        <w:rPr>
          <w:rFonts w:ascii="Times New Roman" w:hAnsi="Times New Roman"/>
          <w:i/>
          <w:sz w:val="22"/>
          <w:szCs w:val="22"/>
          <w:lang w:val="lt-LT"/>
        </w:rPr>
        <w:t>erencinis</w:t>
      </w:r>
      <w:r w:rsidRPr="006553B4">
        <w:rPr>
          <w:rFonts w:ascii="Times New Roman" w:hAnsi="Times New Roman"/>
          <w:i/>
          <w:sz w:val="22"/>
          <w:szCs w:val="22"/>
          <w:lang w:val="lt-LT"/>
        </w:rPr>
        <w:t xml:space="preserve"> vaistas </w:t>
      </w:r>
      <w:r>
        <w:rPr>
          <w:rFonts w:ascii="Times New Roman" w:hAnsi="Times New Roman"/>
          <w:i/>
          <w:sz w:val="22"/>
          <w:szCs w:val="22"/>
          <w:lang w:val="lt-LT"/>
        </w:rPr>
        <w:t>–</w:t>
      </w:r>
      <w:r w:rsidRPr="006553B4">
        <w:rPr>
          <w:rFonts w:ascii="Times New Roman" w:hAnsi="Times New Roman"/>
          <w:i/>
          <w:sz w:val="22"/>
          <w:szCs w:val="22"/>
          <w:lang w:val="lt-LT"/>
        </w:rPr>
        <w:t xml:space="preserve"> baltos spalvos su </w:t>
      </w:r>
      <w:r>
        <w:rPr>
          <w:rFonts w:ascii="Times New Roman" w:hAnsi="Times New Roman"/>
          <w:i/>
          <w:sz w:val="22"/>
          <w:szCs w:val="22"/>
          <w:lang w:val="lt-LT"/>
        </w:rPr>
        <w:t>įspaudu</w:t>
      </w:r>
      <w:r w:rsidRPr="006553B4">
        <w:rPr>
          <w:rFonts w:ascii="Times New Roman" w:hAnsi="Times New Roman"/>
          <w:i/>
          <w:sz w:val="22"/>
          <w:szCs w:val="22"/>
          <w:lang w:val="lt-LT"/>
        </w:rPr>
        <w:t xml:space="preserve"> „VERMOX“ vienoje pusėje</w:t>
      </w:r>
      <w:r>
        <w:rPr>
          <w:rFonts w:ascii="Times New Roman" w:hAnsi="Times New Roman"/>
          <w:i/>
          <w:sz w:val="22"/>
          <w:szCs w:val="22"/>
          <w:lang w:val="lt-LT"/>
        </w:rPr>
        <w:t>;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pagalbinėmis medžiagomis</w:t>
      </w:r>
      <w:r>
        <w:rPr>
          <w:rFonts w:ascii="Times New Roman" w:hAnsi="Times New Roman"/>
          <w:i/>
          <w:sz w:val="22"/>
          <w:szCs w:val="22"/>
          <w:lang w:val="lt-LT"/>
        </w:rPr>
        <w:t>: lygiagrečiai importuojamo sudėtyje papildomai yra mikrokristalinės celiuliozės, natrio krakmolo glikolato, hidrinto augalinio aliejaus, apelsinų kvapiosios medžiagos, saulėlydžio gelton</w:t>
      </w:r>
      <w:r w:rsidR="00F0572A">
        <w:rPr>
          <w:rFonts w:ascii="Times New Roman" w:hAnsi="Times New Roman"/>
          <w:i/>
          <w:sz w:val="22"/>
          <w:szCs w:val="22"/>
          <w:lang w:val="lt-LT"/>
        </w:rPr>
        <w:t>ojo</w:t>
      </w:r>
      <w:r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F0572A">
        <w:rPr>
          <w:rFonts w:ascii="Times New Roman" w:hAnsi="Times New Roman"/>
          <w:i/>
          <w:sz w:val="22"/>
          <w:szCs w:val="22"/>
          <w:lang w:val="lt-LT"/>
        </w:rPr>
        <w:t>FCF</w:t>
      </w:r>
      <w:r>
        <w:rPr>
          <w:rFonts w:ascii="Times New Roman" w:hAnsi="Times New Roman"/>
          <w:i/>
          <w:sz w:val="22"/>
          <w:szCs w:val="22"/>
          <w:lang w:val="lt-LT"/>
        </w:rPr>
        <w:t xml:space="preserve"> (E110), referencinis vaistas papildomai turi laktozės monohidrato;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tinkamumo laiku</w:t>
      </w:r>
      <w:r>
        <w:rPr>
          <w:rFonts w:ascii="Times New Roman" w:hAnsi="Times New Roman"/>
          <w:i/>
          <w:sz w:val="22"/>
          <w:szCs w:val="22"/>
          <w:lang w:val="lt-LT"/>
        </w:rPr>
        <w:t>:</w:t>
      </w:r>
      <w:r w:rsidRPr="006553B4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lt-LT"/>
        </w:rPr>
        <w:t>l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>yg</w:t>
      </w:r>
      <w:r>
        <w:rPr>
          <w:rFonts w:ascii="Times New Roman" w:hAnsi="Times New Roman"/>
          <w:i/>
          <w:sz w:val="22"/>
          <w:szCs w:val="22"/>
          <w:lang w:val="lt-LT"/>
        </w:rPr>
        <w:t>iagrečiai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lt-LT"/>
        </w:rPr>
        <w:t>importuojamo vaisto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5A3E4A" w:rsidRPr="005A3E4A">
        <w:rPr>
          <w:rFonts w:ascii="Times New Roman" w:hAnsi="Times New Roman"/>
          <w:i/>
          <w:sz w:val="22"/>
          <w:szCs w:val="22"/>
          <w:lang w:val="lt-LT"/>
        </w:rPr>
        <w:t>–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3</w:t>
      </w:r>
      <w:r>
        <w:rPr>
          <w:rFonts w:ascii="Times New Roman" w:hAnsi="Times New Roman"/>
          <w:i/>
          <w:sz w:val="22"/>
          <w:szCs w:val="22"/>
          <w:lang w:val="lt-LT"/>
        </w:rPr>
        <w:t xml:space="preserve"> metai, referencinio – 5 metai;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laikymo sąlygomis</w:t>
      </w:r>
      <w:r>
        <w:rPr>
          <w:rFonts w:ascii="Times New Roman" w:hAnsi="Times New Roman"/>
          <w:i/>
          <w:sz w:val="22"/>
          <w:szCs w:val="22"/>
          <w:lang w:val="lt-LT"/>
        </w:rPr>
        <w:t xml:space="preserve">: lygiagrečiai importuojamą 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>laikyti ne aukštesnėje kaip 25</w:t>
      </w:r>
      <w:r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°C temperatūroje, </w:t>
      </w:r>
      <w:r>
        <w:rPr>
          <w:rFonts w:ascii="Times New Roman" w:hAnsi="Times New Roman"/>
          <w:i/>
          <w:sz w:val="22"/>
          <w:szCs w:val="22"/>
          <w:lang w:val="lt-LT"/>
        </w:rPr>
        <w:t>gamintojo pakuotėje, referenciniam vaistui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 xml:space="preserve"> specialių laikymo sąlygų nereikia</w:t>
      </w:r>
      <w:r>
        <w:rPr>
          <w:rFonts w:ascii="Times New Roman" w:hAnsi="Times New Roman"/>
          <w:i/>
          <w:sz w:val="22"/>
          <w:szCs w:val="22"/>
          <w:lang w:val="lt-LT"/>
        </w:rPr>
        <w:t>; pakuotės dydžiu: lygiagrečiai importuojamas papildomai turi pakuotę N12</w:t>
      </w:r>
      <w:r w:rsidRPr="003A7FB1">
        <w:rPr>
          <w:rFonts w:ascii="Times New Roman" w:hAnsi="Times New Roman"/>
          <w:i/>
          <w:sz w:val="22"/>
          <w:szCs w:val="22"/>
          <w:lang w:val="lt-LT"/>
        </w:rPr>
        <w:t>.</w:t>
      </w:r>
    </w:p>
    <w:p w14:paraId="1DC1C010" w14:textId="77777777" w:rsidR="004F26B7" w:rsidRPr="00C03A53" w:rsidRDefault="004F26B7" w:rsidP="003B0DD7">
      <w:pPr>
        <w:rPr>
          <w:lang w:val="lt-LT"/>
        </w:rPr>
      </w:pPr>
    </w:p>
    <w:sectPr w:rsidR="004F26B7" w:rsidRPr="00C03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CE6CBA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E3F58E4"/>
    <w:multiLevelType w:val="hybridMultilevel"/>
    <w:tmpl w:val="BC50DC26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08"/>
    <w:rsid w:val="00012654"/>
    <w:rsid w:val="00061175"/>
    <w:rsid w:val="000C60AA"/>
    <w:rsid w:val="000E4268"/>
    <w:rsid w:val="000F46C9"/>
    <w:rsid w:val="00102012"/>
    <w:rsid w:val="00190847"/>
    <w:rsid w:val="001B2235"/>
    <w:rsid w:val="001C2F3B"/>
    <w:rsid w:val="001D2629"/>
    <w:rsid w:val="0025089C"/>
    <w:rsid w:val="002C0416"/>
    <w:rsid w:val="002F26F3"/>
    <w:rsid w:val="002F3E23"/>
    <w:rsid w:val="002F40BC"/>
    <w:rsid w:val="00322149"/>
    <w:rsid w:val="00365494"/>
    <w:rsid w:val="00386779"/>
    <w:rsid w:val="00386CD5"/>
    <w:rsid w:val="00392F12"/>
    <w:rsid w:val="003A7FB1"/>
    <w:rsid w:val="003B0DD7"/>
    <w:rsid w:val="003D3D02"/>
    <w:rsid w:val="003F20AC"/>
    <w:rsid w:val="003F41BA"/>
    <w:rsid w:val="00432794"/>
    <w:rsid w:val="00435D31"/>
    <w:rsid w:val="00440BC3"/>
    <w:rsid w:val="0044272C"/>
    <w:rsid w:val="00454E9E"/>
    <w:rsid w:val="00480A1B"/>
    <w:rsid w:val="00482F45"/>
    <w:rsid w:val="0048717A"/>
    <w:rsid w:val="004B38B7"/>
    <w:rsid w:val="004D7971"/>
    <w:rsid w:val="004F26B7"/>
    <w:rsid w:val="00507D87"/>
    <w:rsid w:val="005110FE"/>
    <w:rsid w:val="005156C7"/>
    <w:rsid w:val="00546A51"/>
    <w:rsid w:val="00554CB9"/>
    <w:rsid w:val="005638E2"/>
    <w:rsid w:val="005A3E4A"/>
    <w:rsid w:val="005B3EE4"/>
    <w:rsid w:val="005C0AF5"/>
    <w:rsid w:val="005E22CF"/>
    <w:rsid w:val="00603017"/>
    <w:rsid w:val="006067E8"/>
    <w:rsid w:val="00610020"/>
    <w:rsid w:val="00614338"/>
    <w:rsid w:val="00633B9A"/>
    <w:rsid w:val="00633DD7"/>
    <w:rsid w:val="00642E61"/>
    <w:rsid w:val="006519B5"/>
    <w:rsid w:val="006553B4"/>
    <w:rsid w:val="006642F9"/>
    <w:rsid w:val="00674396"/>
    <w:rsid w:val="00697896"/>
    <w:rsid w:val="006C67C6"/>
    <w:rsid w:val="006D2D08"/>
    <w:rsid w:val="007247B9"/>
    <w:rsid w:val="00725957"/>
    <w:rsid w:val="0072626B"/>
    <w:rsid w:val="00733FD9"/>
    <w:rsid w:val="00735D46"/>
    <w:rsid w:val="007909BB"/>
    <w:rsid w:val="007A3B2C"/>
    <w:rsid w:val="007C33C5"/>
    <w:rsid w:val="007E198E"/>
    <w:rsid w:val="007E32E3"/>
    <w:rsid w:val="0080569F"/>
    <w:rsid w:val="00812AE4"/>
    <w:rsid w:val="008413BC"/>
    <w:rsid w:val="00887C61"/>
    <w:rsid w:val="008A35E3"/>
    <w:rsid w:val="008A3E2C"/>
    <w:rsid w:val="008A759D"/>
    <w:rsid w:val="008D02F3"/>
    <w:rsid w:val="008D049B"/>
    <w:rsid w:val="008D758A"/>
    <w:rsid w:val="008F64A9"/>
    <w:rsid w:val="00943535"/>
    <w:rsid w:val="009C104B"/>
    <w:rsid w:val="009C1F32"/>
    <w:rsid w:val="00A15E0B"/>
    <w:rsid w:val="00A203BE"/>
    <w:rsid w:val="00AA0B5B"/>
    <w:rsid w:val="00AA1FF3"/>
    <w:rsid w:val="00AB3CAC"/>
    <w:rsid w:val="00AF0072"/>
    <w:rsid w:val="00AF1F82"/>
    <w:rsid w:val="00B16583"/>
    <w:rsid w:val="00B81DB8"/>
    <w:rsid w:val="00B87EFB"/>
    <w:rsid w:val="00B94DFD"/>
    <w:rsid w:val="00BC1AB4"/>
    <w:rsid w:val="00BE0133"/>
    <w:rsid w:val="00C02077"/>
    <w:rsid w:val="00C03854"/>
    <w:rsid w:val="00C03A53"/>
    <w:rsid w:val="00C324D9"/>
    <w:rsid w:val="00C417A1"/>
    <w:rsid w:val="00C43669"/>
    <w:rsid w:val="00C45E45"/>
    <w:rsid w:val="00C47D10"/>
    <w:rsid w:val="00CB1B20"/>
    <w:rsid w:val="00CB2889"/>
    <w:rsid w:val="00CD6163"/>
    <w:rsid w:val="00CF64B5"/>
    <w:rsid w:val="00D03314"/>
    <w:rsid w:val="00D1062A"/>
    <w:rsid w:val="00D67AE6"/>
    <w:rsid w:val="00D813AB"/>
    <w:rsid w:val="00D86089"/>
    <w:rsid w:val="00D91BEC"/>
    <w:rsid w:val="00DA1B26"/>
    <w:rsid w:val="00DD1FE0"/>
    <w:rsid w:val="00DF23F1"/>
    <w:rsid w:val="00EB4EB3"/>
    <w:rsid w:val="00ED12B3"/>
    <w:rsid w:val="00ED3E27"/>
    <w:rsid w:val="00EF28BF"/>
    <w:rsid w:val="00F0572A"/>
    <w:rsid w:val="00F331DE"/>
    <w:rsid w:val="00F44502"/>
    <w:rsid w:val="00F72912"/>
    <w:rsid w:val="00F7561D"/>
    <w:rsid w:val="00F8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CD30"/>
  <w15:chartTrackingRefBased/>
  <w15:docId w15:val="{2E33B6BB-30E6-4E1B-9687-3C52A555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502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64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F64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F64A9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F64A9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8F64A9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8F64A9"/>
    <w:rPr>
      <w:rFonts w:ascii="Calibri" w:eastAsia="Times New Roman" w:hAnsi="Calibri" w:cs="Times New Roman"/>
      <w:sz w:val="24"/>
      <w:szCs w:val="24"/>
      <w:lang w:val="en-GB"/>
    </w:rPr>
  </w:style>
  <w:style w:type="character" w:styleId="Hyperlink">
    <w:name w:val="Hyperlink"/>
    <w:uiPriority w:val="99"/>
    <w:rsid w:val="008F64A9"/>
    <w:rPr>
      <w:rFonts w:cs="Times New Roman"/>
      <w:color w:val="0000FF"/>
      <w:u w:val="single"/>
    </w:rPr>
  </w:style>
  <w:style w:type="paragraph" w:customStyle="1" w:styleId="PI-1EMEASMCA">
    <w:name w:val="PI-1 EMEA_SMCA"/>
    <w:basedOn w:val="Heading2"/>
    <w:autoRedefine/>
    <w:uiPriority w:val="99"/>
    <w:rsid w:val="008F64A9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8F64A9"/>
    <w:rPr>
      <w:rFonts w:ascii="Times New Roman" w:hAnsi="Times New Roman"/>
      <w:sz w:val="22"/>
      <w:szCs w:val="20"/>
      <w:lang w:val="lt-LT"/>
    </w:rPr>
  </w:style>
  <w:style w:type="character" w:customStyle="1" w:styleId="BTEMEASMCAChar">
    <w:name w:val="BT EMEA_SMCA Char"/>
    <w:link w:val="BTEMEASMCA"/>
    <w:uiPriority w:val="99"/>
    <w:locked/>
    <w:rsid w:val="008F64A9"/>
    <w:rPr>
      <w:rFonts w:ascii="Times New Roman" w:eastAsia="Times New Roman" w:hAnsi="Times New Roman" w:cs="Times New Roman"/>
      <w:szCs w:val="20"/>
      <w:lang w:val="lt-LT"/>
    </w:rPr>
  </w:style>
  <w:style w:type="paragraph" w:customStyle="1" w:styleId="BT-EMEASMCA">
    <w:name w:val="BT- EMEA_SMCA"/>
    <w:basedOn w:val="BTEMEASMCA"/>
    <w:autoRedefine/>
    <w:uiPriority w:val="99"/>
    <w:rsid w:val="008F64A9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Normal"/>
    <w:autoRedefine/>
    <w:uiPriority w:val="99"/>
    <w:rsid w:val="008F64A9"/>
    <w:pPr>
      <w:spacing w:line="220" w:lineRule="exact"/>
    </w:pPr>
    <w:rPr>
      <w:b/>
      <w:bCs/>
      <w:sz w:val="22"/>
      <w:szCs w:val="22"/>
    </w:rPr>
  </w:style>
  <w:style w:type="paragraph" w:styleId="BodyText">
    <w:name w:val="Body Text"/>
    <w:aliases w:val="Body Text Char Char Char"/>
    <w:basedOn w:val="Normal"/>
    <w:link w:val="BodyTextChar1"/>
    <w:uiPriority w:val="99"/>
    <w:rsid w:val="008F64A9"/>
    <w:pPr>
      <w:jc w:val="both"/>
    </w:pPr>
    <w:rPr>
      <w:color w:val="FF0000"/>
      <w:sz w:val="24"/>
    </w:rPr>
  </w:style>
  <w:style w:type="character" w:customStyle="1" w:styleId="BodyTextChar">
    <w:name w:val="Body Text Char"/>
    <w:basedOn w:val="DefaultParagraphFont"/>
    <w:uiPriority w:val="99"/>
    <w:semiHidden/>
    <w:rsid w:val="008F64A9"/>
    <w:rPr>
      <w:rFonts w:ascii="Verdana" w:eastAsia="Times New Roman" w:hAnsi="Verdana" w:cs="Times New Roman"/>
      <w:sz w:val="20"/>
      <w:szCs w:val="24"/>
      <w:lang w:val="en-GB"/>
    </w:rPr>
  </w:style>
  <w:style w:type="character" w:customStyle="1" w:styleId="BodyTextChar1">
    <w:name w:val="Body Text Char1"/>
    <w:aliases w:val="Body Text Char Char Char Char"/>
    <w:link w:val="BodyText"/>
    <w:uiPriority w:val="99"/>
    <w:locked/>
    <w:rsid w:val="008F64A9"/>
    <w:rPr>
      <w:rFonts w:ascii="Verdana" w:eastAsia="Times New Roman" w:hAnsi="Verdana" w:cs="Times New Roman"/>
      <w:color w:val="FF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8F64A9"/>
    <w:pPr>
      <w:tabs>
        <w:tab w:val="center" w:pos="4819"/>
        <w:tab w:val="right" w:pos="9638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F64A9"/>
    <w:rPr>
      <w:rFonts w:ascii="Verdana" w:eastAsia="Times New Roman" w:hAnsi="Verdana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8F64A9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8F64A9"/>
    <w:rPr>
      <w:rFonts w:ascii="Verdana" w:eastAsia="Times New Roman" w:hAnsi="Verdana" w:cs="Times New Roman"/>
      <w:sz w:val="28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8F64A9"/>
    <w:pPr>
      <w:spacing w:after="120" w:line="480" w:lineRule="auto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8F64A9"/>
    <w:rPr>
      <w:rFonts w:ascii="Verdana" w:eastAsia="Times New Roman" w:hAnsi="Verdana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8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8B7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610020"/>
    <w:pPr>
      <w:spacing w:before="100" w:beforeAutospacing="1" w:after="100" w:afterAutospacing="1"/>
    </w:pPr>
    <w:rPr>
      <w:rFonts w:ascii="Times New Roman" w:hAnsi="Times New Roman"/>
      <w:sz w:val="24"/>
      <w:lang w:val="lt-LT" w:eastAsia="en-GB"/>
    </w:rPr>
  </w:style>
  <w:style w:type="character" w:customStyle="1" w:styleId="apple-converted-space">
    <w:name w:val="apple-converted-space"/>
    <w:basedOn w:val="DefaultParagraphFont"/>
    <w:rsid w:val="0061002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20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1F32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33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54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6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0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089"/>
    <w:rPr>
      <w:rFonts w:ascii="Verdana" w:eastAsia="Times New Roman" w:hAnsi="Verdan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089"/>
    <w:rPr>
      <w:rFonts w:ascii="Verdana" w:eastAsia="Times New Roman" w:hAnsi="Verdana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5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vvkt.lrv.lt/lt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vvkt.lrv.lt/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97A22F29A86714C83556F2C20505BC2" ma:contentTypeVersion="16" ma:contentTypeDescription="Kurkite naują dokumentą." ma:contentTypeScope="" ma:versionID="ddde54ec4c7239b9514e31cff4dbe9d1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6fed89cc5eabf897eaa6be7c2c4ad53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E21B4-FD6B-43A3-800F-E29813B13F43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2.xml><?xml version="1.0" encoding="utf-8"?>
<ds:datastoreItem xmlns:ds="http://schemas.openxmlformats.org/officeDocument/2006/customXml" ds:itemID="{168EABED-B4CF-427E-B9D4-1B588FA41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43A7D-069A-4316-B94D-ED748923F4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01BAE-F6DC-4536-979C-5EADD4A39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7317</Words>
  <Characters>4172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Akvilina Ričkutė</dc:creator>
  <cp:keywords/>
  <dc:description/>
  <cp:lastModifiedBy>Renata Tomaševič</cp:lastModifiedBy>
  <cp:revision>4</cp:revision>
  <dcterms:created xsi:type="dcterms:W3CDTF">2026-04-06T13:24:00Z</dcterms:created>
  <dcterms:modified xsi:type="dcterms:W3CDTF">2026-04-09T19:33:00Z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