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0CEB7"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Cs/>
          <w:kern w:val="0"/>
          <w:sz w:val="22"/>
          <w:szCs w:val="22"/>
          <w:lang w:eastAsia="lt-LT"/>
          <w14:ligatures w14:val="none"/>
        </w:rPr>
      </w:pPr>
    </w:p>
    <w:p w14:paraId="14471654"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Cs/>
          <w:kern w:val="0"/>
          <w:sz w:val="22"/>
          <w:szCs w:val="22"/>
          <w:lang w:eastAsia="lt-LT"/>
          <w14:ligatures w14:val="none"/>
        </w:rPr>
      </w:pPr>
    </w:p>
    <w:p w14:paraId="063051D0"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Cs/>
          <w:kern w:val="0"/>
          <w:sz w:val="22"/>
          <w:szCs w:val="22"/>
          <w:lang w:eastAsia="lt-LT"/>
          <w14:ligatures w14:val="none"/>
        </w:rPr>
      </w:pPr>
    </w:p>
    <w:p w14:paraId="06BF3C02"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Cs/>
          <w:kern w:val="0"/>
          <w:sz w:val="22"/>
          <w:szCs w:val="22"/>
          <w:lang w:eastAsia="lt-LT"/>
          <w14:ligatures w14:val="none"/>
        </w:rPr>
      </w:pPr>
    </w:p>
    <w:p w14:paraId="716DC8FA"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Cs/>
          <w:kern w:val="0"/>
          <w:sz w:val="22"/>
          <w:szCs w:val="22"/>
          <w:lang w:eastAsia="lt-LT"/>
          <w14:ligatures w14:val="none"/>
        </w:rPr>
      </w:pPr>
    </w:p>
    <w:p w14:paraId="1BC41E20"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Cs/>
          <w:kern w:val="0"/>
          <w:sz w:val="22"/>
          <w:szCs w:val="22"/>
          <w:lang w:eastAsia="lt-LT"/>
          <w14:ligatures w14:val="none"/>
        </w:rPr>
      </w:pPr>
    </w:p>
    <w:p w14:paraId="4DC47C7A"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Cs/>
          <w:kern w:val="0"/>
          <w:sz w:val="22"/>
          <w:szCs w:val="22"/>
          <w:lang w:eastAsia="lt-LT"/>
          <w14:ligatures w14:val="none"/>
        </w:rPr>
      </w:pPr>
    </w:p>
    <w:p w14:paraId="05E83FC5"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Cs/>
          <w:kern w:val="0"/>
          <w:sz w:val="22"/>
          <w:szCs w:val="22"/>
          <w:lang w:eastAsia="lt-LT"/>
          <w14:ligatures w14:val="none"/>
        </w:rPr>
      </w:pPr>
    </w:p>
    <w:p w14:paraId="39E32E2D"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Cs/>
          <w:kern w:val="0"/>
          <w:sz w:val="22"/>
          <w:szCs w:val="22"/>
          <w:lang w:eastAsia="lt-LT"/>
          <w14:ligatures w14:val="none"/>
        </w:rPr>
      </w:pPr>
    </w:p>
    <w:p w14:paraId="5B6F445F"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Cs/>
          <w:kern w:val="0"/>
          <w:sz w:val="22"/>
          <w:szCs w:val="22"/>
          <w:lang w:eastAsia="lt-LT"/>
          <w14:ligatures w14:val="none"/>
        </w:rPr>
      </w:pPr>
    </w:p>
    <w:p w14:paraId="569ECA0D"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Cs/>
          <w:kern w:val="0"/>
          <w:sz w:val="22"/>
          <w:szCs w:val="22"/>
          <w:lang w:eastAsia="lt-LT"/>
          <w14:ligatures w14:val="none"/>
        </w:rPr>
      </w:pPr>
    </w:p>
    <w:p w14:paraId="24BA30E3"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Cs/>
          <w:kern w:val="0"/>
          <w:sz w:val="22"/>
          <w:szCs w:val="22"/>
          <w:lang w:eastAsia="lt-LT"/>
          <w14:ligatures w14:val="none"/>
        </w:rPr>
      </w:pPr>
    </w:p>
    <w:p w14:paraId="15F237FA"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Cs/>
          <w:kern w:val="0"/>
          <w:sz w:val="22"/>
          <w:szCs w:val="22"/>
          <w:lang w:eastAsia="lt-LT"/>
          <w14:ligatures w14:val="none"/>
        </w:rPr>
      </w:pPr>
    </w:p>
    <w:p w14:paraId="085A3E8D"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
          <w:bCs/>
          <w:kern w:val="0"/>
          <w:sz w:val="22"/>
          <w:szCs w:val="22"/>
          <w:lang w:eastAsia="lt-LT"/>
          <w14:ligatures w14:val="none"/>
        </w:rPr>
      </w:pPr>
    </w:p>
    <w:p w14:paraId="091E5AB4"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
          <w:bCs/>
          <w:kern w:val="0"/>
          <w:sz w:val="22"/>
          <w:szCs w:val="22"/>
          <w:lang w:eastAsia="lt-LT"/>
          <w14:ligatures w14:val="none"/>
        </w:rPr>
      </w:pPr>
    </w:p>
    <w:p w14:paraId="6C8A56B2"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
          <w:bCs/>
          <w:kern w:val="0"/>
          <w:sz w:val="22"/>
          <w:szCs w:val="22"/>
          <w:lang w:eastAsia="lt-LT"/>
          <w14:ligatures w14:val="none"/>
        </w:rPr>
      </w:pPr>
    </w:p>
    <w:p w14:paraId="122CEA6C" w14:textId="77777777" w:rsidR="008E7EE0" w:rsidRPr="008E7EE0" w:rsidRDefault="008E7EE0" w:rsidP="008E7EE0">
      <w:pPr>
        <w:tabs>
          <w:tab w:val="left" w:pos="120"/>
          <w:tab w:val="left" w:pos="567"/>
        </w:tabs>
        <w:spacing w:after="0" w:line="240" w:lineRule="auto"/>
        <w:jc w:val="center"/>
        <w:rPr>
          <w:rFonts w:ascii="Times New Roman" w:eastAsia="Calibri" w:hAnsi="Times New Roman" w:cs="Times New Roman"/>
          <w:b/>
          <w:bCs/>
          <w:kern w:val="0"/>
          <w:sz w:val="22"/>
          <w:szCs w:val="22"/>
          <w:lang w:eastAsia="lt-LT"/>
          <w14:ligatures w14:val="none"/>
        </w:rPr>
      </w:pPr>
    </w:p>
    <w:p w14:paraId="6029D92B" w14:textId="77777777" w:rsidR="008E7EE0" w:rsidRPr="008E7EE0" w:rsidRDefault="008E7EE0" w:rsidP="008E7EE0">
      <w:pPr>
        <w:tabs>
          <w:tab w:val="left" w:pos="120"/>
          <w:tab w:val="left" w:pos="567"/>
        </w:tabs>
        <w:spacing w:after="0" w:line="240" w:lineRule="auto"/>
        <w:jc w:val="center"/>
        <w:rPr>
          <w:rFonts w:ascii="Times New Roman" w:eastAsia="Calibri" w:hAnsi="Times New Roman" w:cs="Times New Roman"/>
          <w:b/>
          <w:bCs/>
          <w:kern w:val="0"/>
          <w:sz w:val="22"/>
          <w:szCs w:val="22"/>
          <w:lang w:eastAsia="lt-LT"/>
          <w14:ligatures w14:val="none"/>
        </w:rPr>
      </w:pPr>
    </w:p>
    <w:p w14:paraId="407D3FB5" w14:textId="77777777" w:rsidR="008E7EE0" w:rsidRPr="008E7EE0" w:rsidRDefault="008E7EE0" w:rsidP="008E7EE0">
      <w:pPr>
        <w:tabs>
          <w:tab w:val="left" w:pos="120"/>
          <w:tab w:val="left" w:pos="567"/>
        </w:tabs>
        <w:spacing w:after="0" w:line="240" w:lineRule="auto"/>
        <w:jc w:val="center"/>
        <w:rPr>
          <w:rFonts w:ascii="Times New Roman" w:eastAsia="Calibri" w:hAnsi="Times New Roman" w:cs="Times New Roman"/>
          <w:b/>
          <w:bCs/>
          <w:kern w:val="0"/>
          <w:sz w:val="22"/>
          <w:szCs w:val="22"/>
          <w:lang w:eastAsia="lt-LT"/>
          <w14:ligatures w14:val="none"/>
        </w:rPr>
      </w:pPr>
    </w:p>
    <w:p w14:paraId="2001CA9D" w14:textId="77777777" w:rsidR="008E7EE0" w:rsidRPr="008E7EE0" w:rsidRDefault="008E7EE0" w:rsidP="008E7EE0">
      <w:pPr>
        <w:tabs>
          <w:tab w:val="left" w:pos="120"/>
          <w:tab w:val="left" w:pos="567"/>
        </w:tabs>
        <w:spacing w:after="0" w:line="240" w:lineRule="auto"/>
        <w:jc w:val="center"/>
        <w:rPr>
          <w:rFonts w:ascii="Times New Roman" w:eastAsia="Calibri" w:hAnsi="Times New Roman" w:cs="Times New Roman"/>
          <w:b/>
          <w:bCs/>
          <w:kern w:val="0"/>
          <w:sz w:val="22"/>
          <w:szCs w:val="22"/>
          <w:lang w:eastAsia="lt-LT"/>
          <w14:ligatures w14:val="none"/>
        </w:rPr>
      </w:pPr>
    </w:p>
    <w:p w14:paraId="7FC6A3ED" w14:textId="77777777" w:rsidR="008E7EE0" w:rsidRPr="008E7EE0" w:rsidRDefault="008E7EE0" w:rsidP="008E7EE0">
      <w:pPr>
        <w:tabs>
          <w:tab w:val="left" w:pos="120"/>
          <w:tab w:val="left" w:pos="567"/>
        </w:tabs>
        <w:spacing w:after="0" w:line="240" w:lineRule="auto"/>
        <w:jc w:val="center"/>
        <w:rPr>
          <w:rFonts w:ascii="Times New Roman" w:eastAsia="Calibri" w:hAnsi="Times New Roman" w:cs="Times New Roman"/>
          <w:b/>
          <w:bCs/>
          <w:kern w:val="0"/>
          <w:sz w:val="22"/>
          <w:szCs w:val="22"/>
          <w:lang w:eastAsia="lt-LT"/>
          <w14:ligatures w14:val="none"/>
        </w:rPr>
      </w:pPr>
    </w:p>
    <w:p w14:paraId="028BB276" w14:textId="77777777" w:rsidR="008E7EE0" w:rsidRPr="008E7EE0" w:rsidRDefault="008E7EE0" w:rsidP="008E7EE0">
      <w:pPr>
        <w:tabs>
          <w:tab w:val="left" w:pos="120"/>
          <w:tab w:val="left" w:pos="567"/>
        </w:tabs>
        <w:spacing w:after="0" w:line="240" w:lineRule="auto"/>
        <w:jc w:val="center"/>
        <w:rPr>
          <w:rFonts w:ascii="Times New Roman" w:eastAsia="Calibri" w:hAnsi="Times New Roman" w:cs="Times New Roman"/>
          <w:b/>
          <w:bCs/>
          <w:kern w:val="0"/>
          <w:sz w:val="22"/>
          <w:szCs w:val="22"/>
          <w:lang w:eastAsia="lt-LT"/>
          <w14:ligatures w14:val="none"/>
        </w:rPr>
      </w:pPr>
    </w:p>
    <w:p w14:paraId="444A19FB" w14:textId="77777777" w:rsidR="008E7EE0" w:rsidRPr="008E7EE0" w:rsidRDefault="008E7EE0" w:rsidP="008E7EE0">
      <w:pPr>
        <w:tabs>
          <w:tab w:val="left" w:pos="120"/>
          <w:tab w:val="left" w:pos="567"/>
        </w:tabs>
        <w:spacing w:after="0" w:line="240" w:lineRule="auto"/>
        <w:jc w:val="center"/>
        <w:rPr>
          <w:rFonts w:ascii="Times New Roman" w:eastAsia="Calibri" w:hAnsi="Times New Roman" w:cs="Times New Roman"/>
          <w:b/>
          <w:kern w:val="0"/>
          <w:sz w:val="22"/>
          <w:szCs w:val="22"/>
          <w:lang w:eastAsia="lt-LT"/>
          <w14:ligatures w14:val="none"/>
        </w:rPr>
      </w:pPr>
      <w:r w:rsidRPr="008E7EE0">
        <w:rPr>
          <w:rFonts w:ascii="Times New Roman" w:eastAsia="Calibri" w:hAnsi="Times New Roman" w:cs="Times New Roman"/>
          <w:b/>
          <w:bCs/>
          <w:kern w:val="0"/>
          <w:sz w:val="22"/>
          <w:szCs w:val="22"/>
          <w:lang w:eastAsia="lt-LT"/>
          <w14:ligatures w14:val="none"/>
        </w:rPr>
        <w:t>B. PAKUOTĖS LAPELIS</w:t>
      </w:r>
    </w:p>
    <w:p w14:paraId="69D3861A"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b/>
          <w:kern w:val="0"/>
          <w:sz w:val="22"/>
          <w:szCs w:val="22"/>
          <w:lang w:eastAsia="lt-LT"/>
          <w14:ligatures w14:val="none"/>
        </w:rPr>
      </w:pPr>
    </w:p>
    <w:p w14:paraId="72CC9512"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2D7FB685"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1789E436"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2004A191"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6CB7091F"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44E5D51C"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402D6DE9"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29DE5C36"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528451EB"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39477718"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05B09B94"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634D37A8"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245D1F65"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238A26BB"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05FCA0E4"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47B4ECD8"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02EF0625"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26CB6D98"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653823E1"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35C56068"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70103E4F"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3A33564F"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5E82E70B"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5EE682BC"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4C325C29"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43066005"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669E7276"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679A001E" w14:textId="77777777" w:rsidR="008E7EE0" w:rsidRPr="008E7EE0" w:rsidRDefault="008E7EE0" w:rsidP="008E7EE0">
      <w:pPr>
        <w:spacing w:after="0" w:line="240" w:lineRule="auto"/>
        <w:jc w:val="center"/>
        <w:outlineLvl w:val="0"/>
        <w:rPr>
          <w:rFonts w:ascii="Times New Roman" w:eastAsia="Calibri" w:hAnsi="Times New Roman" w:cs="Times New Roman"/>
          <w:b/>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br w:type="page"/>
      </w:r>
      <w:r w:rsidRPr="008E7EE0">
        <w:rPr>
          <w:rFonts w:ascii="Times New Roman" w:eastAsia="Calibri" w:hAnsi="Times New Roman" w:cs="Times New Roman"/>
          <w:b/>
          <w:kern w:val="0"/>
          <w:sz w:val="22"/>
          <w:szCs w:val="22"/>
          <w:lang w:eastAsia="lt-LT"/>
          <w14:ligatures w14:val="none"/>
        </w:rPr>
        <w:lastRenderedPageBreak/>
        <w:t>Pakuotės lapelis: informacija vartotojui</w:t>
      </w:r>
    </w:p>
    <w:p w14:paraId="1A036447" w14:textId="77777777" w:rsidR="008E7EE0" w:rsidRPr="008E7EE0" w:rsidRDefault="008E7EE0" w:rsidP="008E7EE0">
      <w:pPr>
        <w:tabs>
          <w:tab w:val="left" w:pos="120"/>
          <w:tab w:val="left" w:pos="567"/>
        </w:tabs>
        <w:spacing w:after="0" w:line="240" w:lineRule="auto"/>
        <w:jc w:val="center"/>
        <w:rPr>
          <w:rFonts w:ascii="Times New Roman" w:eastAsia="Calibri" w:hAnsi="Times New Roman" w:cs="Times New Roman"/>
          <w:b/>
          <w:kern w:val="0"/>
          <w:sz w:val="22"/>
          <w:szCs w:val="22"/>
          <w:lang w:eastAsia="lt-LT"/>
          <w14:ligatures w14:val="none"/>
        </w:rPr>
      </w:pPr>
    </w:p>
    <w:p w14:paraId="0F2AC86B" w14:textId="0E23E149" w:rsidR="008E7EE0" w:rsidRPr="008E7EE0" w:rsidRDefault="00D23A58" w:rsidP="008E7EE0">
      <w:pPr>
        <w:numPr>
          <w:ilvl w:val="12"/>
          <w:numId w:val="0"/>
        </w:numPr>
        <w:tabs>
          <w:tab w:val="left" w:pos="567"/>
        </w:tabs>
        <w:spacing w:after="0" w:line="240" w:lineRule="auto"/>
        <w:jc w:val="center"/>
        <w:rPr>
          <w:rFonts w:ascii="Times New Roman" w:eastAsia="Calibri" w:hAnsi="Times New Roman" w:cs="Times New Roman"/>
          <w:b/>
          <w:bCs/>
          <w:kern w:val="0"/>
          <w:sz w:val="22"/>
          <w:szCs w:val="22"/>
          <w:lang w:eastAsia="lt-LT"/>
          <w14:ligatures w14:val="none"/>
        </w:rPr>
      </w:pPr>
      <w:proofErr w:type="spellStart"/>
      <w:r w:rsidRPr="00D23A58">
        <w:rPr>
          <w:rFonts w:ascii="Times New Roman" w:eastAsia="Calibri" w:hAnsi="Times New Roman" w:cs="Times New Roman"/>
          <w:b/>
          <w:bCs/>
          <w:kern w:val="0"/>
          <w:sz w:val="22"/>
          <w:szCs w:val="22"/>
          <w:lang w:eastAsia="lt-LT"/>
          <w14:ligatures w14:val="none"/>
        </w:rPr>
        <w:t>Monoferric</w:t>
      </w:r>
      <w:proofErr w:type="spellEnd"/>
      <w:r w:rsidR="008E7EE0" w:rsidRPr="008E7EE0">
        <w:rPr>
          <w:rFonts w:ascii="Times New Roman" w:eastAsia="Calibri" w:hAnsi="Times New Roman" w:cs="Times New Roman"/>
          <w:b/>
          <w:bCs/>
          <w:kern w:val="0"/>
          <w:sz w:val="22"/>
          <w:szCs w:val="22"/>
          <w:lang w:eastAsia="lt-LT"/>
          <w14:ligatures w14:val="none"/>
        </w:rPr>
        <w:t xml:space="preserve"> 100 mg/ml injekcinis ar infuzinis tirpalas</w:t>
      </w:r>
    </w:p>
    <w:p w14:paraId="7757756D" w14:textId="77777777" w:rsidR="008E7EE0" w:rsidRPr="008E7EE0" w:rsidRDefault="008E7EE0" w:rsidP="008E7EE0">
      <w:pPr>
        <w:tabs>
          <w:tab w:val="left" w:pos="120"/>
          <w:tab w:val="left" w:pos="567"/>
        </w:tabs>
        <w:spacing w:after="0" w:line="240" w:lineRule="auto"/>
        <w:jc w:val="center"/>
        <w:rPr>
          <w:rFonts w:ascii="Times New Roman" w:eastAsia="Calibri" w:hAnsi="Times New Roman" w:cs="Times New Roman"/>
          <w:bCs/>
          <w:kern w:val="0"/>
          <w:sz w:val="22"/>
          <w:szCs w:val="22"/>
          <w:lang w:eastAsia="lt-LT"/>
          <w14:ligatures w14:val="none"/>
        </w:rPr>
      </w:pPr>
      <w:r w:rsidRPr="008E7EE0">
        <w:rPr>
          <w:rFonts w:ascii="Times New Roman" w:eastAsia="Calibri" w:hAnsi="Times New Roman" w:cs="Times New Roman"/>
          <w:bCs/>
          <w:kern w:val="0"/>
          <w:sz w:val="22"/>
          <w:szCs w:val="22"/>
          <w:lang w:eastAsia="lt-LT"/>
          <w14:ligatures w14:val="none"/>
        </w:rPr>
        <w:t xml:space="preserve">geležies </w:t>
      </w:r>
      <w:proofErr w:type="spellStart"/>
      <w:r w:rsidRPr="008E7EE0">
        <w:rPr>
          <w:rFonts w:ascii="Times New Roman" w:eastAsia="Calibri" w:hAnsi="Times New Roman" w:cs="Times New Roman"/>
          <w:bCs/>
          <w:kern w:val="0"/>
          <w:sz w:val="22"/>
          <w:szCs w:val="22"/>
          <w:lang w:eastAsia="lt-LT"/>
          <w14:ligatures w14:val="none"/>
        </w:rPr>
        <w:t>derisomaltozė</w:t>
      </w:r>
      <w:proofErr w:type="spellEnd"/>
    </w:p>
    <w:p w14:paraId="7140DE84" w14:textId="77777777" w:rsidR="008E7EE0" w:rsidRPr="008E7EE0" w:rsidRDefault="008E7EE0" w:rsidP="008E7EE0">
      <w:pPr>
        <w:tabs>
          <w:tab w:val="left" w:pos="120"/>
          <w:tab w:val="left" w:pos="567"/>
        </w:tabs>
        <w:spacing w:after="0" w:line="240" w:lineRule="auto"/>
        <w:jc w:val="both"/>
        <w:rPr>
          <w:rFonts w:ascii="Times New Roman" w:eastAsia="Calibri" w:hAnsi="Times New Roman" w:cs="Times New Roman"/>
          <w:kern w:val="0"/>
          <w:sz w:val="22"/>
          <w:szCs w:val="22"/>
          <w:lang w:eastAsia="lt-LT"/>
          <w14:ligatures w14:val="none"/>
        </w:rPr>
      </w:pPr>
    </w:p>
    <w:p w14:paraId="60A55AF9" w14:textId="77777777" w:rsidR="008E7EE0" w:rsidRPr="008E7EE0" w:rsidRDefault="008E7EE0" w:rsidP="008E7EE0">
      <w:pPr>
        <w:spacing w:after="0" w:line="240" w:lineRule="auto"/>
        <w:rPr>
          <w:rFonts w:ascii="Times New Roman" w:eastAsia="Calibri" w:hAnsi="Times New Roman" w:cs="Times New Roman"/>
          <w:b/>
          <w:kern w:val="0"/>
          <w:sz w:val="22"/>
          <w:szCs w:val="22"/>
          <w:lang w:eastAsia="lt-LT"/>
          <w14:ligatures w14:val="none"/>
        </w:rPr>
      </w:pPr>
    </w:p>
    <w:p w14:paraId="429FE763" w14:textId="77777777" w:rsidR="008E7EE0" w:rsidRPr="008E7EE0" w:rsidRDefault="008E7EE0" w:rsidP="008E7EE0">
      <w:pPr>
        <w:tabs>
          <w:tab w:val="left" w:pos="567"/>
        </w:tabs>
        <w:spacing w:after="0" w:line="240" w:lineRule="auto"/>
        <w:rPr>
          <w:rFonts w:ascii="Times New Roman" w:eastAsia="Times New Roman" w:hAnsi="Times New Roman" w:cs="Times New Roman"/>
          <w:b/>
          <w:kern w:val="0"/>
          <w:sz w:val="22"/>
          <w:szCs w:val="22"/>
          <w14:ligatures w14:val="none"/>
        </w:rPr>
      </w:pPr>
      <w:r w:rsidRPr="008E7EE0">
        <w:rPr>
          <w:rFonts w:ascii="Times New Roman" w:eastAsia="Times New Roman" w:hAnsi="Times New Roman" w:cs="Times New Roman"/>
          <w:b/>
          <w:kern w:val="0"/>
          <w:sz w:val="22"/>
          <w:szCs w:val="22"/>
          <w14:ligatures w14:val="none"/>
        </w:rPr>
        <w:t xml:space="preserve">Atidžiai perskaitykite visą šį lapelį, prieš pradėdami vartoti vaistą, nes jame pateikiama Jums svarbi informacija. </w:t>
      </w:r>
    </w:p>
    <w:p w14:paraId="0B7C8E25" w14:textId="1A41A2F6" w:rsidR="008E7EE0" w:rsidRPr="00D23A58" w:rsidRDefault="008E7EE0" w:rsidP="007D263E">
      <w:pPr>
        <w:pStyle w:val="Sraopastraipa"/>
        <w:numPr>
          <w:ilvl w:val="0"/>
          <w:numId w:val="20"/>
        </w:numPr>
        <w:spacing w:after="0" w:line="240" w:lineRule="auto"/>
        <w:ind w:left="567" w:hanging="283"/>
        <w:jc w:val="both"/>
        <w:rPr>
          <w:rFonts w:ascii="Times New Roman" w:eastAsia="Times New Roman" w:hAnsi="Times New Roman" w:cs="Times New Roman"/>
          <w:kern w:val="0"/>
          <w:sz w:val="22"/>
          <w:szCs w:val="22"/>
          <w14:ligatures w14:val="none"/>
        </w:rPr>
      </w:pPr>
      <w:r w:rsidRPr="00D23A58">
        <w:rPr>
          <w:rFonts w:ascii="Times New Roman" w:eastAsia="Times New Roman" w:hAnsi="Times New Roman" w:cs="Times New Roman"/>
          <w:kern w:val="0"/>
          <w:sz w:val="22"/>
          <w:szCs w:val="22"/>
          <w14:ligatures w14:val="none"/>
        </w:rPr>
        <w:t>Neišmeskite šio lapelio, nes vėl gali prireikti jį perskaityti.</w:t>
      </w:r>
    </w:p>
    <w:p w14:paraId="4465D85D" w14:textId="3EF5CCD3" w:rsidR="008E7EE0" w:rsidRPr="00D23A58" w:rsidRDefault="008E7EE0" w:rsidP="007D263E">
      <w:pPr>
        <w:pStyle w:val="Sraopastraipa"/>
        <w:numPr>
          <w:ilvl w:val="0"/>
          <w:numId w:val="20"/>
        </w:numPr>
        <w:spacing w:after="0" w:line="240" w:lineRule="auto"/>
        <w:ind w:left="567" w:hanging="283"/>
        <w:jc w:val="both"/>
        <w:rPr>
          <w:rFonts w:ascii="Times New Roman" w:eastAsia="Times New Roman" w:hAnsi="Times New Roman" w:cs="Times New Roman"/>
          <w:kern w:val="0"/>
          <w:sz w:val="22"/>
          <w:szCs w:val="22"/>
          <w14:ligatures w14:val="none"/>
        </w:rPr>
      </w:pPr>
      <w:r w:rsidRPr="00D23A58">
        <w:rPr>
          <w:rFonts w:ascii="Times New Roman" w:eastAsia="Times New Roman" w:hAnsi="Times New Roman" w:cs="Times New Roman"/>
          <w:kern w:val="0"/>
          <w:sz w:val="22"/>
          <w:szCs w:val="22"/>
          <w14:ligatures w14:val="none"/>
        </w:rPr>
        <w:t>Jeigu kiltų daugiau klausimų, kreipkitės į gydytoją arba slaugytoją.</w:t>
      </w:r>
    </w:p>
    <w:p w14:paraId="122A4719" w14:textId="70E9BB92" w:rsidR="008E7EE0" w:rsidRPr="00D23A58" w:rsidRDefault="008E7EE0" w:rsidP="007D263E">
      <w:pPr>
        <w:pStyle w:val="Sraopastraipa"/>
        <w:numPr>
          <w:ilvl w:val="0"/>
          <w:numId w:val="20"/>
        </w:numPr>
        <w:spacing w:after="0" w:line="240" w:lineRule="auto"/>
        <w:ind w:left="567" w:hanging="283"/>
        <w:jc w:val="both"/>
        <w:rPr>
          <w:rFonts w:ascii="Times New Roman" w:eastAsia="Times New Roman" w:hAnsi="Times New Roman" w:cs="Times New Roman"/>
          <w:kern w:val="0"/>
          <w:sz w:val="22"/>
          <w:szCs w:val="22"/>
          <w14:ligatures w14:val="none"/>
        </w:rPr>
      </w:pPr>
      <w:r w:rsidRPr="00D23A58">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slaugytoją. Žr. 4 skyrių.</w:t>
      </w:r>
    </w:p>
    <w:p w14:paraId="7AF63F5A"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53E96584" w14:textId="77777777" w:rsidR="008E7EE0" w:rsidRPr="008E7EE0" w:rsidRDefault="008E7EE0" w:rsidP="008E7EE0">
      <w:pPr>
        <w:spacing w:after="0" w:line="240" w:lineRule="auto"/>
        <w:rPr>
          <w:rFonts w:ascii="Times New Roman" w:eastAsia="Calibri" w:hAnsi="Times New Roman" w:cs="Times New Roman"/>
          <w:b/>
          <w:kern w:val="0"/>
          <w:sz w:val="22"/>
          <w:szCs w:val="22"/>
          <w:lang w:eastAsia="lt-LT"/>
          <w14:ligatures w14:val="none"/>
        </w:rPr>
      </w:pPr>
      <w:r w:rsidRPr="008E7EE0">
        <w:rPr>
          <w:rFonts w:ascii="Times New Roman" w:eastAsia="Calibri" w:hAnsi="Times New Roman" w:cs="Times New Roman"/>
          <w:b/>
          <w:kern w:val="0"/>
          <w:sz w:val="22"/>
          <w:szCs w:val="22"/>
          <w:lang w:eastAsia="lt-LT"/>
          <w14:ligatures w14:val="none"/>
        </w:rPr>
        <w:t>Apie ką rašoma šiame lapelyje?</w:t>
      </w:r>
    </w:p>
    <w:p w14:paraId="3BE862AD" w14:textId="6083636E" w:rsidR="008E7EE0" w:rsidRPr="00D23A58" w:rsidRDefault="008E7EE0" w:rsidP="007D263E">
      <w:pPr>
        <w:pStyle w:val="Sraopastraipa"/>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D23A58">
        <w:rPr>
          <w:rFonts w:ascii="Times New Roman" w:eastAsia="Calibri" w:hAnsi="Times New Roman" w:cs="Times New Roman"/>
          <w:kern w:val="0"/>
          <w:sz w:val="22"/>
          <w:szCs w:val="22"/>
          <w:lang w:eastAsia="lt-LT"/>
          <w14:ligatures w14:val="none"/>
        </w:rPr>
        <w:t xml:space="preserve">Kas yra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D23A58">
        <w:rPr>
          <w:rFonts w:ascii="Times New Roman" w:eastAsia="Calibri" w:hAnsi="Times New Roman" w:cs="Times New Roman"/>
          <w:kern w:val="0"/>
          <w:sz w:val="22"/>
          <w:szCs w:val="22"/>
          <w:lang w:eastAsia="lt-LT"/>
          <w14:ligatures w14:val="none"/>
        </w:rPr>
        <w:t xml:space="preserve"> ir kam jis vartojamas </w:t>
      </w:r>
    </w:p>
    <w:p w14:paraId="5D1E6C00" w14:textId="768415A7" w:rsidR="008E7EE0" w:rsidRPr="00D23A58" w:rsidRDefault="008E7EE0" w:rsidP="007D263E">
      <w:pPr>
        <w:pStyle w:val="Sraopastraipa"/>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D23A58">
        <w:rPr>
          <w:rFonts w:ascii="Times New Roman" w:eastAsia="Calibri" w:hAnsi="Times New Roman" w:cs="Times New Roman"/>
          <w:kern w:val="0"/>
          <w:sz w:val="22"/>
          <w:szCs w:val="22"/>
          <w:lang w:eastAsia="lt-LT"/>
          <w14:ligatures w14:val="none"/>
        </w:rPr>
        <w:t xml:space="preserve">Kas žinotina prieš vartojant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D23A58">
        <w:rPr>
          <w:rFonts w:ascii="Times New Roman" w:eastAsia="Calibri" w:hAnsi="Times New Roman" w:cs="Times New Roman"/>
          <w:kern w:val="0"/>
          <w:sz w:val="22"/>
          <w:szCs w:val="22"/>
          <w:vertAlign w:val="superscript"/>
          <w:lang w:eastAsia="lt-LT"/>
          <w14:ligatures w14:val="none"/>
        </w:rPr>
        <w:t xml:space="preserve"> </w:t>
      </w:r>
    </w:p>
    <w:p w14:paraId="73221E14" w14:textId="5973E39E" w:rsidR="008E7EE0" w:rsidRPr="00D23A58" w:rsidRDefault="008E7EE0" w:rsidP="007D263E">
      <w:pPr>
        <w:pStyle w:val="Sraopastraipa"/>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D23A58">
        <w:rPr>
          <w:rFonts w:ascii="Times New Roman" w:eastAsia="Calibri" w:hAnsi="Times New Roman" w:cs="Times New Roman"/>
          <w:kern w:val="0"/>
          <w:sz w:val="22"/>
          <w:szCs w:val="22"/>
          <w:lang w:eastAsia="lt-LT"/>
          <w14:ligatures w14:val="none"/>
        </w:rPr>
        <w:t xml:space="preserve">Kaip vartoti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p>
    <w:p w14:paraId="7EE8DC8C" w14:textId="388121A4" w:rsidR="008E7EE0" w:rsidRPr="00D23A58" w:rsidRDefault="008E7EE0" w:rsidP="007D263E">
      <w:pPr>
        <w:pStyle w:val="Sraopastraipa"/>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D23A58">
        <w:rPr>
          <w:rFonts w:ascii="Times New Roman" w:eastAsia="Calibri" w:hAnsi="Times New Roman" w:cs="Times New Roman"/>
          <w:kern w:val="0"/>
          <w:sz w:val="22"/>
          <w:szCs w:val="22"/>
          <w:lang w:eastAsia="lt-LT"/>
          <w14:ligatures w14:val="none"/>
        </w:rPr>
        <w:t>Galimas šalutinis poveikis</w:t>
      </w:r>
    </w:p>
    <w:p w14:paraId="4661EDA8" w14:textId="0F2F2B57" w:rsidR="008E7EE0" w:rsidRPr="00D23A58" w:rsidRDefault="008E7EE0" w:rsidP="007D263E">
      <w:pPr>
        <w:pStyle w:val="Sraopastraipa"/>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D23A58">
        <w:rPr>
          <w:rFonts w:ascii="Times New Roman" w:eastAsia="Calibri" w:hAnsi="Times New Roman" w:cs="Times New Roman"/>
          <w:kern w:val="0"/>
          <w:sz w:val="22"/>
          <w:szCs w:val="22"/>
          <w:lang w:eastAsia="lt-LT"/>
          <w14:ligatures w14:val="none"/>
        </w:rPr>
        <w:t xml:space="preserve">Kaip laikyti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p>
    <w:p w14:paraId="35E7172E" w14:textId="088F3BE8" w:rsidR="008E7EE0" w:rsidRPr="00D23A58" w:rsidRDefault="008E7EE0" w:rsidP="007D263E">
      <w:pPr>
        <w:pStyle w:val="Sraopastraipa"/>
        <w:numPr>
          <w:ilvl w:val="0"/>
          <w:numId w:val="19"/>
        </w:numPr>
        <w:spacing w:after="0" w:line="240" w:lineRule="auto"/>
        <w:ind w:left="567" w:hanging="283"/>
        <w:rPr>
          <w:rFonts w:ascii="Times New Roman" w:eastAsia="Calibri" w:hAnsi="Times New Roman" w:cs="Times New Roman"/>
          <w:kern w:val="0"/>
          <w:sz w:val="22"/>
          <w:szCs w:val="22"/>
          <w:lang w:eastAsia="lt-LT"/>
          <w14:ligatures w14:val="none"/>
        </w:rPr>
      </w:pPr>
      <w:r w:rsidRPr="00D23A58">
        <w:rPr>
          <w:rFonts w:ascii="Times New Roman" w:eastAsia="Calibri" w:hAnsi="Times New Roman" w:cs="Times New Roman"/>
          <w:kern w:val="0"/>
          <w:sz w:val="22"/>
          <w:szCs w:val="22"/>
          <w:lang w:eastAsia="lt-LT"/>
          <w14:ligatures w14:val="none"/>
        </w:rPr>
        <w:t>Pakuotės turinys ir kita informacija</w:t>
      </w:r>
    </w:p>
    <w:p w14:paraId="7D710EAF"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754D3AA5"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2ECFBB83" w14:textId="178D56D5" w:rsidR="008E7EE0" w:rsidRPr="008E7EE0" w:rsidRDefault="008E7EE0" w:rsidP="008E7EE0">
      <w:pPr>
        <w:tabs>
          <w:tab w:val="left" w:pos="120"/>
          <w:tab w:val="left" w:pos="567"/>
        </w:tabs>
        <w:spacing w:after="0" w:line="240" w:lineRule="auto"/>
        <w:rPr>
          <w:rFonts w:ascii="Times New Roman" w:eastAsia="Calibri" w:hAnsi="Times New Roman" w:cs="Times New Roman"/>
          <w:b/>
          <w:bCs/>
          <w:kern w:val="0"/>
          <w:sz w:val="22"/>
          <w:szCs w:val="22"/>
          <w:lang w:eastAsia="lt-LT"/>
          <w14:ligatures w14:val="none"/>
        </w:rPr>
      </w:pPr>
      <w:r w:rsidRPr="008E7EE0">
        <w:rPr>
          <w:rFonts w:ascii="Times New Roman" w:eastAsia="Calibri" w:hAnsi="Times New Roman" w:cs="Times New Roman"/>
          <w:b/>
          <w:bCs/>
          <w:kern w:val="0"/>
          <w:sz w:val="22"/>
          <w:szCs w:val="22"/>
          <w:lang w:eastAsia="lt-LT"/>
          <w14:ligatures w14:val="none"/>
        </w:rPr>
        <w:t xml:space="preserve">1. Kas yra </w:t>
      </w:r>
      <w:proofErr w:type="spellStart"/>
      <w:r w:rsidR="00D23A58" w:rsidRPr="00D23A58">
        <w:rPr>
          <w:rFonts w:ascii="Times New Roman" w:eastAsia="Calibri" w:hAnsi="Times New Roman" w:cs="Times New Roman"/>
          <w:b/>
          <w:bCs/>
          <w:kern w:val="0"/>
          <w:sz w:val="22"/>
          <w:szCs w:val="22"/>
          <w:lang w:eastAsia="lt-LT"/>
          <w14:ligatures w14:val="none"/>
        </w:rPr>
        <w:t>Monoferric</w:t>
      </w:r>
      <w:proofErr w:type="spellEnd"/>
      <w:r w:rsidRPr="008E7EE0">
        <w:rPr>
          <w:rFonts w:ascii="Times New Roman" w:eastAsia="Calibri" w:hAnsi="Times New Roman" w:cs="Times New Roman"/>
          <w:b/>
          <w:bCs/>
          <w:kern w:val="0"/>
          <w:sz w:val="22"/>
          <w:szCs w:val="22"/>
          <w:lang w:eastAsia="lt-LT"/>
          <w14:ligatures w14:val="none"/>
        </w:rPr>
        <w:t xml:space="preserve"> ir kam jis vartojamas</w:t>
      </w:r>
    </w:p>
    <w:p w14:paraId="725955E5"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68413311" w14:textId="258B2993" w:rsidR="008E7EE0" w:rsidRPr="008E7EE0" w:rsidRDefault="00D23A58"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sidRPr="00D23A58">
        <w:rPr>
          <w:rFonts w:ascii="Times New Roman" w:eastAsia="Calibri" w:hAnsi="Times New Roman" w:cs="Times New Roman"/>
          <w:kern w:val="0"/>
          <w:sz w:val="22"/>
          <w:szCs w:val="22"/>
          <w:lang w:eastAsia="lt-LT"/>
          <w14:ligatures w14:val="none"/>
        </w:rPr>
        <w:t>Monoferric</w:t>
      </w:r>
      <w:proofErr w:type="spellEnd"/>
      <w:r w:rsidR="008E7EE0" w:rsidRPr="008E7EE0">
        <w:rPr>
          <w:rFonts w:ascii="Times New Roman" w:eastAsia="Calibri" w:hAnsi="Times New Roman" w:cs="Times New Roman"/>
          <w:kern w:val="0"/>
          <w:sz w:val="22"/>
          <w:szCs w:val="22"/>
          <w:lang w:eastAsia="lt-LT"/>
          <w14:ligatures w14:val="none"/>
        </w:rPr>
        <w:t xml:space="preserve"> sudėtyje yra geležies, esančios komplekse su </w:t>
      </w:r>
      <w:proofErr w:type="spellStart"/>
      <w:r w:rsidR="008E7EE0" w:rsidRPr="008E7EE0">
        <w:rPr>
          <w:rFonts w:ascii="Times New Roman" w:eastAsia="Calibri" w:hAnsi="Times New Roman" w:cs="Times New Roman"/>
          <w:kern w:val="0"/>
          <w:sz w:val="22"/>
          <w:szCs w:val="22"/>
          <w:lang w:eastAsia="lt-LT"/>
          <w14:ligatures w14:val="none"/>
        </w:rPr>
        <w:t>derisomaltoze</w:t>
      </w:r>
      <w:proofErr w:type="spellEnd"/>
      <w:r w:rsidR="008E7EE0" w:rsidRPr="008E7EE0" w:rsidDel="007F1ADB">
        <w:rPr>
          <w:rFonts w:ascii="Times New Roman" w:eastAsia="Calibri" w:hAnsi="Times New Roman" w:cs="Times New Roman"/>
          <w:kern w:val="0"/>
          <w:sz w:val="22"/>
          <w:szCs w:val="22"/>
          <w:lang w:eastAsia="lt-LT"/>
          <w14:ligatures w14:val="none"/>
        </w:rPr>
        <w:t xml:space="preserve"> </w:t>
      </w:r>
      <w:r w:rsidR="008E7EE0" w:rsidRPr="008E7EE0">
        <w:rPr>
          <w:rFonts w:ascii="Times New Roman" w:eastAsia="Calibri" w:hAnsi="Times New Roman" w:cs="Times New Roman"/>
          <w:kern w:val="0"/>
          <w:sz w:val="22"/>
          <w:szCs w:val="22"/>
          <w:lang w:eastAsia="lt-LT"/>
          <w14:ligatures w14:val="none"/>
        </w:rPr>
        <w:t xml:space="preserve">(ilgos grandinės cukraus molekulė). Šis geležies tipas yra analogiškas </w:t>
      </w:r>
      <w:proofErr w:type="spellStart"/>
      <w:r w:rsidR="008E7EE0" w:rsidRPr="008E7EE0">
        <w:rPr>
          <w:rFonts w:ascii="Times New Roman" w:eastAsia="Calibri" w:hAnsi="Times New Roman" w:cs="Times New Roman"/>
          <w:kern w:val="0"/>
          <w:sz w:val="22"/>
          <w:szCs w:val="22"/>
          <w:lang w:eastAsia="lt-LT"/>
          <w14:ligatures w14:val="none"/>
        </w:rPr>
        <w:t>feritinui</w:t>
      </w:r>
      <w:proofErr w:type="spellEnd"/>
      <w:r w:rsidR="008E7EE0" w:rsidRPr="008E7EE0">
        <w:rPr>
          <w:rFonts w:ascii="Times New Roman" w:eastAsia="Calibri" w:hAnsi="Times New Roman" w:cs="Times New Roman"/>
          <w:kern w:val="0"/>
          <w:sz w:val="22"/>
          <w:szCs w:val="22"/>
          <w:lang w:eastAsia="lt-LT"/>
          <w14:ligatures w14:val="none"/>
        </w:rPr>
        <w:t xml:space="preserve"> </w:t>
      </w:r>
      <w:r w:rsidR="008E7EE0" w:rsidRPr="008E7EE0">
        <w:rPr>
          <w:rFonts w:ascii="Times New Roman" w:eastAsia="Calibri" w:hAnsi="Times New Roman" w:cs="Times New Roman"/>
          <w:kern w:val="0"/>
          <w:sz w:val="22"/>
          <w:szCs w:val="22"/>
          <w:lang w:eastAsia="lt-LT"/>
          <w14:ligatures w14:val="none"/>
        </w:rPr>
        <w:sym w:font="Symbol" w:char="F02D"/>
      </w:r>
      <w:r w:rsidR="008E7EE0" w:rsidRPr="008E7EE0">
        <w:rPr>
          <w:rFonts w:ascii="Times New Roman" w:eastAsia="Calibri" w:hAnsi="Times New Roman" w:cs="Times New Roman"/>
          <w:kern w:val="0"/>
          <w:sz w:val="22"/>
          <w:szCs w:val="22"/>
          <w:lang w:eastAsia="lt-LT"/>
          <w14:ligatures w14:val="none"/>
        </w:rPr>
        <w:t xml:space="preserve"> fiziologinei organizme esančiai geležies formai. Dėl to </w:t>
      </w:r>
      <w:proofErr w:type="spellStart"/>
      <w:r w:rsidRPr="00D23A58">
        <w:rPr>
          <w:rFonts w:ascii="Times New Roman" w:eastAsia="Calibri" w:hAnsi="Times New Roman" w:cs="Times New Roman"/>
          <w:kern w:val="0"/>
          <w:sz w:val="22"/>
          <w:szCs w:val="22"/>
          <w:lang w:eastAsia="lt-LT"/>
          <w14:ligatures w14:val="none"/>
        </w:rPr>
        <w:t>Monoferric</w:t>
      </w:r>
      <w:proofErr w:type="spellEnd"/>
      <w:r w:rsidR="008E7EE0" w:rsidRPr="008E7EE0">
        <w:rPr>
          <w:rFonts w:ascii="Times New Roman" w:eastAsia="Calibri" w:hAnsi="Times New Roman" w:cs="Times New Roman"/>
          <w:kern w:val="0"/>
          <w:sz w:val="22"/>
          <w:szCs w:val="22"/>
          <w:lang w:eastAsia="lt-LT"/>
          <w14:ligatures w14:val="none"/>
        </w:rPr>
        <w:t xml:space="preserve"> pacientui gali būti švirkščiama didelėmis dozėmis.</w:t>
      </w:r>
    </w:p>
    <w:p w14:paraId="2850FD33"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460E6831" w14:textId="719936BD" w:rsidR="008E7EE0" w:rsidRPr="008E7EE0" w:rsidRDefault="00D23A58"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sidRPr="00D23A58">
        <w:rPr>
          <w:rFonts w:ascii="Times New Roman" w:eastAsia="Calibri" w:hAnsi="Times New Roman" w:cs="Times New Roman"/>
          <w:kern w:val="0"/>
          <w:sz w:val="22"/>
          <w:szCs w:val="22"/>
          <w:lang w:eastAsia="lt-LT"/>
          <w14:ligatures w14:val="none"/>
        </w:rPr>
        <w:t>Monoferric</w:t>
      </w:r>
      <w:proofErr w:type="spellEnd"/>
      <w:r w:rsidR="008E7EE0" w:rsidRPr="008E7EE0">
        <w:rPr>
          <w:rFonts w:ascii="Times New Roman" w:eastAsia="Calibri" w:hAnsi="Times New Roman" w:cs="Times New Roman"/>
          <w:kern w:val="0"/>
          <w:sz w:val="22"/>
          <w:szCs w:val="22"/>
          <w:lang w:eastAsia="lt-LT"/>
          <w14:ligatures w14:val="none"/>
        </w:rPr>
        <w:t xml:space="preserve"> yra skirtas per mažiems geležies kiekiams (vadinamajam geležies trūkumui arba geležies stokos anemijai) gydyti, kai:</w:t>
      </w:r>
    </w:p>
    <w:p w14:paraId="31BFF166" w14:textId="77777777" w:rsidR="008E7EE0" w:rsidRPr="008E7EE0" w:rsidRDefault="008E7EE0" w:rsidP="007D263E">
      <w:pPr>
        <w:numPr>
          <w:ilvl w:val="0"/>
          <w:numId w:val="17"/>
        </w:numPr>
        <w:tabs>
          <w:tab w:val="clear" w:pos="72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gydymas geriama geležimi yra neveiksmingas arba Jūs negalite jo toleruoti; </w:t>
      </w:r>
    </w:p>
    <w:p w14:paraId="2B9CA87A" w14:textId="77777777" w:rsidR="008E7EE0" w:rsidRPr="008E7EE0" w:rsidRDefault="008E7EE0" w:rsidP="007D263E">
      <w:pPr>
        <w:numPr>
          <w:ilvl w:val="0"/>
          <w:numId w:val="17"/>
        </w:numPr>
        <w:tabs>
          <w:tab w:val="clear" w:pos="72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gydytojas nusprendžia, kad būtina greitai papildyti geležies atsargas.</w:t>
      </w:r>
    </w:p>
    <w:p w14:paraId="33F822AB"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5156C580"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08E38F01" w14:textId="301F2725" w:rsidR="008E7EE0" w:rsidRPr="008E7EE0" w:rsidRDefault="008E7EE0" w:rsidP="008E7EE0">
      <w:pPr>
        <w:tabs>
          <w:tab w:val="left" w:pos="120"/>
          <w:tab w:val="left" w:pos="567"/>
        </w:tabs>
        <w:spacing w:after="0" w:line="240" w:lineRule="auto"/>
        <w:rPr>
          <w:rFonts w:ascii="Times New Roman" w:eastAsia="Calibri" w:hAnsi="Times New Roman" w:cs="Times New Roman"/>
          <w:b/>
          <w:bCs/>
          <w:kern w:val="0"/>
          <w:sz w:val="22"/>
          <w:szCs w:val="22"/>
          <w:lang w:eastAsia="lt-LT"/>
          <w14:ligatures w14:val="none"/>
        </w:rPr>
      </w:pPr>
      <w:r w:rsidRPr="008E7EE0">
        <w:rPr>
          <w:rFonts w:ascii="Times New Roman" w:eastAsia="Calibri" w:hAnsi="Times New Roman" w:cs="Times New Roman"/>
          <w:b/>
          <w:bCs/>
          <w:kern w:val="0"/>
          <w:sz w:val="22"/>
          <w:szCs w:val="22"/>
          <w:lang w:eastAsia="lt-LT"/>
          <w14:ligatures w14:val="none"/>
        </w:rPr>
        <w:t xml:space="preserve">2. Kas žinotina prieš vartojant </w:t>
      </w:r>
      <w:proofErr w:type="spellStart"/>
      <w:r w:rsidR="00D23A58" w:rsidRPr="00D23A58">
        <w:rPr>
          <w:rFonts w:ascii="Times New Roman" w:eastAsia="Calibri" w:hAnsi="Times New Roman" w:cs="Times New Roman"/>
          <w:b/>
          <w:bCs/>
          <w:kern w:val="0"/>
          <w:sz w:val="22"/>
          <w:szCs w:val="22"/>
          <w:lang w:eastAsia="lt-LT"/>
          <w14:ligatures w14:val="none"/>
        </w:rPr>
        <w:t>Monoferric</w:t>
      </w:r>
      <w:proofErr w:type="spellEnd"/>
    </w:p>
    <w:p w14:paraId="1CF1C220"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01B11846" w14:textId="0A5BAA7B" w:rsidR="008E7EE0" w:rsidRPr="008E7EE0" w:rsidRDefault="00D23A58" w:rsidP="008E7EE0">
      <w:pPr>
        <w:tabs>
          <w:tab w:val="left" w:pos="120"/>
          <w:tab w:val="left" w:pos="567"/>
        </w:tabs>
        <w:spacing w:after="0" w:line="240" w:lineRule="auto"/>
        <w:rPr>
          <w:rFonts w:ascii="Times New Roman" w:eastAsia="Calibri" w:hAnsi="Times New Roman" w:cs="Times New Roman"/>
          <w:b/>
          <w:kern w:val="0"/>
          <w:sz w:val="22"/>
          <w:szCs w:val="22"/>
          <w:lang w:eastAsia="lt-LT"/>
          <w14:ligatures w14:val="none"/>
        </w:rPr>
      </w:pPr>
      <w:proofErr w:type="spellStart"/>
      <w:r w:rsidRPr="00D23A58">
        <w:rPr>
          <w:rFonts w:ascii="Times New Roman" w:eastAsia="Calibri" w:hAnsi="Times New Roman" w:cs="Times New Roman"/>
          <w:b/>
          <w:bCs/>
          <w:kern w:val="0"/>
          <w:sz w:val="22"/>
          <w:szCs w:val="22"/>
          <w:lang w:eastAsia="lt-LT"/>
          <w14:ligatures w14:val="none"/>
        </w:rPr>
        <w:t>Monoferric</w:t>
      </w:r>
      <w:proofErr w:type="spellEnd"/>
      <w:r w:rsidR="008E7EE0" w:rsidRPr="008E7EE0">
        <w:rPr>
          <w:rFonts w:ascii="Times New Roman" w:eastAsia="Calibri" w:hAnsi="Times New Roman" w:cs="Times New Roman"/>
          <w:b/>
          <w:bCs/>
          <w:kern w:val="0"/>
          <w:sz w:val="22"/>
          <w:szCs w:val="22"/>
          <w:lang w:eastAsia="lt-LT"/>
          <w14:ligatures w14:val="none"/>
        </w:rPr>
        <w:t xml:space="preserve"> vartoti </w:t>
      </w:r>
      <w:r w:rsidR="00853E49" w:rsidRPr="00D23A58">
        <w:rPr>
          <w:rFonts w:ascii="Times New Roman" w:eastAsia="Calibri" w:hAnsi="Times New Roman" w:cs="Times New Roman"/>
          <w:b/>
          <w:bCs/>
          <w:kern w:val="0"/>
          <w:sz w:val="22"/>
          <w:szCs w:val="22"/>
          <w:lang w:eastAsia="lt-LT"/>
          <w14:ligatures w14:val="none"/>
        </w:rPr>
        <w:t>draudžiama</w:t>
      </w:r>
      <w:r w:rsidR="008E7EE0" w:rsidRPr="008E7EE0">
        <w:rPr>
          <w:rFonts w:ascii="Times New Roman" w:eastAsia="Calibri" w:hAnsi="Times New Roman" w:cs="Times New Roman"/>
          <w:b/>
          <w:bCs/>
          <w:kern w:val="0"/>
          <w:sz w:val="22"/>
          <w:szCs w:val="22"/>
          <w:lang w:eastAsia="lt-LT"/>
          <w14:ligatures w14:val="none"/>
        </w:rPr>
        <w:t>:</w:t>
      </w:r>
    </w:p>
    <w:p w14:paraId="01FCF652" w14:textId="77777777" w:rsidR="008E7EE0" w:rsidRPr="008E7EE0" w:rsidRDefault="008E7EE0" w:rsidP="00853E49">
      <w:pPr>
        <w:numPr>
          <w:ilvl w:val="0"/>
          <w:numId w:val="16"/>
        </w:numPr>
        <w:tabs>
          <w:tab w:val="clear" w:pos="72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jeigu yra alergija (padidėjęs jautrumas) šiam vaistui ar bet kuriai pagalbinei šio vaisto medžiagai (jos išvardytos 6 skyriuje);</w:t>
      </w:r>
    </w:p>
    <w:p w14:paraId="608266CE" w14:textId="77777777" w:rsidR="008E7EE0" w:rsidRPr="008E7EE0" w:rsidRDefault="008E7EE0" w:rsidP="00853E49">
      <w:pPr>
        <w:numPr>
          <w:ilvl w:val="0"/>
          <w:numId w:val="16"/>
        </w:numPr>
        <w:tabs>
          <w:tab w:val="clear" w:pos="72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jeigu yra pasireiškusi sunki alerginė (padidėjusio jautrumo) reakcija kitiems leidžiamiesiems geležies preparatams;</w:t>
      </w:r>
    </w:p>
    <w:p w14:paraId="05AED476" w14:textId="77777777" w:rsidR="008E7EE0" w:rsidRPr="008E7EE0" w:rsidRDefault="008E7EE0" w:rsidP="00853E49">
      <w:pPr>
        <w:numPr>
          <w:ilvl w:val="0"/>
          <w:numId w:val="16"/>
        </w:numPr>
        <w:tabs>
          <w:tab w:val="clear" w:pos="720"/>
        </w:tabs>
        <w:spacing w:after="0" w:line="240" w:lineRule="auto"/>
        <w:ind w:left="567" w:hanging="283"/>
        <w:rPr>
          <w:rFonts w:ascii="Times New Roman" w:eastAsia="Calibri" w:hAnsi="Times New Roman" w:cs="Times New Roman"/>
          <w:bCs/>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jeigu sergate anemija ne dėl geležies trūkumo; </w:t>
      </w:r>
    </w:p>
    <w:p w14:paraId="1F1966B8" w14:textId="77777777" w:rsidR="008E7EE0" w:rsidRPr="008E7EE0" w:rsidRDefault="008E7EE0" w:rsidP="00853E49">
      <w:pPr>
        <w:numPr>
          <w:ilvl w:val="0"/>
          <w:numId w:val="16"/>
        </w:numPr>
        <w:tabs>
          <w:tab w:val="clear" w:pos="720"/>
        </w:tabs>
        <w:spacing w:after="0" w:line="240" w:lineRule="auto"/>
        <w:ind w:left="567" w:hanging="283"/>
        <w:rPr>
          <w:rFonts w:ascii="Times New Roman" w:eastAsia="Calibri" w:hAnsi="Times New Roman" w:cs="Times New Roman"/>
          <w:bCs/>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jeigu jūsų organizme yra per daug geležies (perteklius) arba sutrikęs organizmo geležies suvartojimas;</w:t>
      </w:r>
    </w:p>
    <w:p w14:paraId="2C866EFF" w14:textId="77777777" w:rsidR="008E7EE0" w:rsidRPr="008E7EE0" w:rsidRDefault="008E7EE0" w:rsidP="00853E49">
      <w:pPr>
        <w:numPr>
          <w:ilvl w:val="0"/>
          <w:numId w:val="16"/>
        </w:numPr>
        <w:tabs>
          <w:tab w:val="clear" w:pos="72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jeigu sergate kepenų liga, pvz. ciroze.</w:t>
      </w:r>
    </w:p>
    <w:p w14:paraId="3C5CF16C"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
          <w:bCs/>
          <w:kern w:val="0"/>
          <w:sz w:val="22"/>
          <w:szCs w:val="22"/>
          <w:lang w:eastAsia="lt-LT"/>
          <w14:ligatures w14:val="none"/>
        </w:rPr>
      </w:pPr>
    </w:p>
    <w:p w14:paraId="54A68C55" w14:textId="77777777" w:rsidR="008E7EE0" w:rsidRPr="008E7EE0" w:rsidRDefault="008E7EE0" w:rsidP="008E7EE0">
      <w:pPr>
        <w:spacing w:after="0" w:line="240" w:lineRule="auto"/>
        <w:ind w:left="567" w:hanging="567"/>
        <w:rPr>
          <w:rFonts w:ascii="Times New Roman" w:eastAsia="Calibri" w:hAnsi="Times New Roman" w:cs="Times New Roman"/>
          <w:b/>
          <w:kern w:val="0"/>
          <w:sz w:val="22"/>
          <w:szCs w:val="22"/>
          <w:lang w:eastAsia="lt-LT"/>
          <w14:ligatures w14:val="none"/>
        </w:rPr>
      </w:pPr>
      <w:r w:rsidRPr="008E7EE0">
        <w:rPr>
          <w:rFonts w:ascii="Times New Roman" w:eastAsia="Calibri" w:hAnsi="Times New Roman" w:cs="Times New Roman"/>
          <w:b/>
          <w:kern w:val="0"/>
          <w:sz w:val="22"/>
          <w:szCs w:val="22"/>
          <w:lang w:eastAsia="lt-LT"/>
          <w14:ligatures w14:val="none"/>
        </w:rPr>
        <w:t>Įspėjimai ir atsargumo priemonės</w:t>
      </w:r>
    </w:p>
    <w:p w14:paraId="14627964"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Cs/>
          <w:kern w:val="0"/>
          <w:sz w:val="22"/>
          <w:szCs w:val="22"/>
          <w:lang w:eastAsia="lt-LT"/>
          <w14:ligatures w14:val="none"/>
        </w:rPr>
      </w:pPr>
    </w:p>
    <w:p w14:paraId="20D7A302" w14:textId="3B7B0CF4" w:rsidR="008E7EE0" w:rsidRPr="008E7EE0" w:rsidRDefault="008E7EE0" w:rsidP="008E7EE0">
      <w:pPr>
        <w:tabs>
          <w:tab w:val="left" w:pos="120"/>
          <w:tab w:val="left" w:pos="567"/>
        </w:tabs>
        <w:spacing w:after="0" w:line="240" w:lineRule="auto"/>
        <w:ind w:left="360" w:hanging="360"/>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Pasitarkite su gydytoju arba slaugytoju prieš pradėdami vartoti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8E7EE0">
        <w:rPr>
          <w:rFonts w:ascii="Times New Roman" w:eastAsia="Calibri" w:hAnsi="Times New Roman" w:cs="Times New Roman"/>
          <w:kern w:val="0"/>
          <w:sz w:val="22"/>
          <w:szCs w:val="22"/>
          <w:lang w:eastAsia="lt-LT"/>
          <w14:ligatures w14:val="none"/>
        </w:rPr>
        <w:t>:</w:t>
      </w:r>
    </w:p>
    <w:p w14:paraId="0B95479D" w14:textId="77777777" w:rsidR="008E7EE0" w:rsidRPr="008E7EE0" w:rsidRDefault="008E7EE0" w:rsidP="00853E49">
      <w:pPr>
        <w:numPr>
          <w:ilvl w:val="0"/>
          <w:numId w:val="15"/>
        </w:numPr>
        <w:tabs>
          <w:tab w:val="clear" w:pos="72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jeigu yra pasireiškusi alergija vaistams;</w:t>
      </w:r>
    </w:p>
    <w:p w14:paraId="78E91B3D" w14:textId="77777777" w:rsidR="008E7EE0" w:rsidRPr="008E7EE0" w:rsidRDefault="008E7EE0" w:rsidP="00853E49">
      <w:pPr>
        <w:numPr>
          <w:ilvl w:val="0"/>
          <w:numId w:val="15"/>
        </w:numPr>
        <w:tabs>
          <w:tab w:val="clear" w:pos="72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jeigu sergate sistemine raudonąja vilklige;</w:t>
      </w:r>
    </w:p>
    <w:p w14:paraId="21C6DEC2" w14:textId="77777777" w:rsidR="008E7EE0" w:rsidRPr="008E7EE0" w:rsidRDefault="008E7EE0" w:rsidP="00853E49">
      <w:pPr>
        <w:numPr>
          <w:ilvl w:val="0"/>
          <w:numId w:val="15"/>
        </w:numPr>
        <w:tabs>
          <w:tab w:val="clear" w:pos="72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jeigu sergate reumatoidiniu artritu;</w:t>
      </w:r>
    </w:p>
    <w:p w14:paraId="655C8C05" w14:textId="77777777" w:rsidR="008E7EE0" w:rsidRPr="008E7EE0" w:rsidRDefault="008E7EE0" w:rsidP="00853E49">
      <w:pPr>
        <w:numPr>
          <w:ilvl w:val="0"/>
          <w:numId w:val="15"/>
        </w:numPr>
        <w:tabs>
          <w:tab w:val="clear" w:pos="72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jeigu sergate sunkios formos astma, egzema ar kitomis alergijomis;</w:t>
      </w:r>
    </w:p>
    <w:p w14:paraId="2A7489F6" w14:textId="77777777" w:rsidR="008E7EE0" w:rsidRPr="008E7EE0" w:rsidRDefault="008E7EE0" w:rsidP="00853E49">
      <w:pPr>
        <w:numPr>
          <w:ilvl w:val="0"/>
          <w:numId w:val="15"/>
        </w:numPr>
        <w:tabs>
          <w:tab w:val="clear" w:pos="720"/>
        </w:tabs>
        <w:spacing w:after="0" w:line="240" w:lineRule="auto"/>
        <w:ind w:left="567" w:hanging="283"/>
        <w:rPr>
          <w:rFonts w:ascii="Calibri" w:eastAsia="Calibri" w:hAnsi="Calibri" w:cs="Myanmar Text"/>
          <w:kern w:val="0"/>
          <w:sz w:val="22"/>
          <w:szCs w:val="22"/>
          <w14:ligatures w14:val="none"/>
        </w:rPr>
      </w:pPr>
      <w:r w:rsidRPr="008E7EE0">
        <w:rPr>
          <w:rFonts w:ascii="Times New Roman" w:eastAsia="Calibri" w:hAnsi="Times New Roman" w:cs="Times New Roman"/>
          <w:kern w:val="0"/>
          <w:sz w:val="22"/>
          <w:szCs w:val="22"/>
          <w:lang w:eastAsia="lt-LT"/>
          <w14:ligatures w14:val="none"/>
        </w:rPr>
        <w:lastRenderedPageBreak/>
        <w:t>jeigu Jūsų kraujyje pasireiškia bakterijų sukelta infekcija;</w:t>
      </w:r>
    </w:p>
    <w:p w14:paraId="53DD7CA8" w14:textId="77777777" w:rsidR="008E7EE0" w:rsidRPr="008E7EE0" w:rsidRDefault="008E7EE0" w:rsidP="00853E49">
      <w:pPr>
        <w:numPr>
          <w:ilvl w:val="0"/>
          <w:numId w:val="15"/>
        </w:numPr>
        <w:tabs>
          <w:tab w:val="clear" w:pos="720"/>
        </w:tabs>
        <w:spacing w:after="0" w:line="240" w:lineRule="auto"/>
        <w:ind w:left="567" w:hanging="283"/>
        <w:rPr>
          <w:rFonts w:ascii="Calibri" w:eastAsia="Calibri" w:hAnsi="Calibri" w:cs="Myanmar Text"/>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jeigu Jūsų kepenų veikla sutrikusi.</w:t>
      </w:r>
    </w:p>
    <w:p w14:paraId="73040E26" w14:textId="77777777" w:rsidR="008E7EE0" w:rsidRPr="008E7EE0" w:rsidRDefault="008E7EE0" w:rsidP="008E7EE0">
      <w:pPr>
        <w:tabs>
          <w:tab w:val="left" w:pos="120"/>
          <w:tab w:val="left" w:pos="567"/>
        </w:tabs>
        <w:spacing w:after="0" w:line="240" w:lineRule="auto"/>
        <w:ind w:left="720"/>
        <w:rPr>
          <w:rFonts w:ascii="Times New Roman" w:eastAsia="Calibri" w:hAnsi="Times New Roman" w:cs="Times New Roman"/>
          <w:kern w:val="0"/>
          <w:sz w:val="22"/>
          <w:szCs w:val="22"/>
          <w:lang w:eastAsia="lt-LT"/>
          <w14:ligatures w14:val="none"/>
        </w:rPr>
      </w:pPr>
    </w:p>
    <w:p w14:paraId="7D9FAED4" w14:textId="0D02347C"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Neteisingas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8E7EE0">
        <w:rPr>
          <w:rFonts w:ascii="Times New Roman" w:eastAsia="Calibri" w:hAnsi="Times New Roman" w:cs="Times New Roman"/>
          <w:kern w:val="0"/>
          <w:sz w:val="22"/>
          <w:szCs w:val="22"/>
          <w:lang w:eastAsia="lt-LT"/>
          <w14:ligatures w14:val="none"/>
        </w:rPr>
        <w:t xml:space="preserve"> vartojimas gali sukelti vaisto nutekėjimą injekcijos vietoje, kuris gali sukelti odos sudirginimą bei ilgai trunkantį odos spalvos pakitimą (oda gali tapti ruda) injekcijos vietoje. Patekus į aplinkinius audinius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8E7EE0">
        <w:rPr>
          <w:rFonts w:ascii="Times New Roman" w:eastAsia="Calibri" w:hAnsi="Times New Roman" w:cs="Times New Roman"/>
          <w:kern w:val="0"/>
          <w:sz w:val="22"/>
          <w:szCs w:val="22"/>
          <w:lang w:eastAsia="lt-LT"/>
          <w14:ligatures w14:val="none"/>
        </w:rPr>
        <w:t xml:space="preserve"> vartojimą reikia nedelsiant nutraukti.</w:t>
      </w:r>
      <w:r w:rsidRPr="008E7EE0">
        <w:rPr>
          <w:rFonts w:ascii="Times New Roman" w:eastAsia="Calibri" w:hAnsi="Times New Roman" w:cs="Times New Roman"/>
          <w:kern w:val="0"/>
          <w:sz w:val="22"/>
          <w:szCs w:val="22"/>
          <w:lang w:eastAsia="lt-LT"/>
          <w14:ligatures w14:val="none"/>
        </w:rPr>
        <w:br/>
      </w:r>
    </w:p>
    <w:p w14:paraId="7202F1ED" w14:textId="77777777" w:rsidR="008E7EE0" w:rsidRPr="008E7EE0" w:rsidRDefault="008E7EE0" w:rsidP="008E7EE0">
      <w:pPr>
        <w:numPr>
          <w:ilvl w:val="12"/>
          <w:numId w:val="0"/>
        </w:numPr>
        <w:spacing w:after="0" w:line="240" w:lineRule="auto"/>
        <w:rPr>
          <w:rFonts w:ascii="Times New Roman" w:eastAsia="Calibri" w:hAnsi="Times New Roman" w:cs="Times New Roman"/>
          <w:b/>
          <w:kern w:val="0"/>
          <w:sz w:val="22"/>
          <w:szCs w:val="22"/>
          <w:lang w:eastAsia="lt-LT"/>
          <w14:ligatures w14:val="none"/>
        </w:rPr>
      </w:pPr>
      <w:r w:rsidRPr="008E7EE0">
        <w:rPr>
          <w:rFonts w:ascii="Times New Roman" w:eastAsia="Calibri" w:hAnsi="Times New Roman" w:cs="Times New Roman"/>
          <w:b/>
          <w:kern w:val="0"/>
          <w:sz w:val="22"/>
          <w:szCs w:val="22"/>
          <w:lang w:eastAsia="lt-LT"/>
          <w14:ligatures w14:val="none"/>
        </w:rPr>
        <w:t>Vaikams ir paaugliams</w:t>
      </w:r>
    </w:p>
    <w:p w14:paraId="7607F520" w14:textId="3DA31E79" w:rsidR="008E7EE0" w:rsidRPr="008E7EE0" w:rsidRDefault="00D23A58"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sidRPr="00D23A58">
        <w:rPr>
          <w:rFonts w:ascii="Times New Roman" w:eastAsia="Calibri" w:hAnsi="Times New Roman" w:cs="Times New Roman"/>
          <w:kern w:val="0"/>
          <w:sz w:val="22"/>
          <w:szCs w:val="22"/>
          <w:lang w:eastAsia="lt-LT"/>
          <w14:ligatures w14:val="none"/>
        </w:rPr>
        <w:t>Monoferric</w:t>
      </w:r>
      <w:proofErr w:type="spellEnd"/>
      <w:r w:rsidR="008E7EE0" w:rsidRPr="008E7EE0">
        <w:rPr>
          <w:rFonts w:ascii="Times New Roman" w:eastAsia="Calibri" w:hAnsi="Times New Roman" w:cs="Times New Roman"/>
          <w:kern w:val="0"/>
          <w:sz w:val="22"/>
          <w:szCs w:val="22"/>
          <w:lang w:eastAsia="lt-LT"/>
          <w14:ligatures w14:val="none"/>
        </w:rPr>
        <w:t xml:space="preserve"> yra skiriamas tik suaugusiems žmonėms. Jo draudžiama vartoti vaikams ir paaugliams.</w:t>
      </w:r>
    </w:p>
    <w:p w14:paraId="2A53B959"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
          <w:bCs/>
          <w:kern w:val="0"/>
          <w:sz w:val="22"/>
          <w:szCs w:val="22"/>
          <w:lang w:eastAsia="lt-LT"/>
          <w14:ligatures w14:val="none"/>
        </w:rPr>
      </w:pPr>
    </w:p>
    <w:p w14:paraId="68FA5463" w14:textId="418E304D" w:rsidR="008E7EE0" w:rsidRPr="008E7EE0" w:rsidRDefault="008E7EE0" w:rsidP="008E7EE0">
      <w:pPr>
        <w:numPr>
          <w:ilvl w:val="12"/>
          <w:numId w:val="0"/>
        </w:numPr>
        <w:spacing w:after="0" w:line="240" w:lineRule="auto"/>
        <w:ind w:right="-2"/>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b/>
          <w:kern w:val="0"/>
          <w:sz w:val="22"/>
          <w:szCs w:val="22"/>
          <w:lang w:eastAsia="lt-LT"/>
          <w14:ligatures w14:val="none"/>
        </w:rPr>
        <w:t xml:space="preserve">Kiti vaistai ir </w:t>
      </w:r>
      <w:proofErr w:type="spellStart"/>
      <w:r w:rsidR="00D23A58" w:rsidRPr="00D23A58">
        <w:rPr>
          <w:rFonts w:ascii="Times New Roman" w:eastAsia="Calibri" w:hAnsi="Times New Roman" w:cs="Times New Roman"/>
          <w:b/>
          <w:kern w:val="0"/>
          <w:sz w:val="22"/>
          <w:szCs w:val="22"/>
          <w:lang w:eastAsia="lt-LT"/>
          <w14:ligatures w14:val="none"/>
        </w:rPr>
        <w:t>Monoferric</w:t>
      </w:r>
      <w:proofErr w:type="spellEnd"/>
    </w:p>
    <w:p w14:paraId="668437A0"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Jeigu vartojate ar neseniai </w:t>
      </w:r>
      <w:r w:rsidRPr="008E7EE0">
        <w:rPr>
          <w:rFonts w:ascii="Times New Roman" w:eastAsia="Calibri" w:hAnsi="Times New Roman" w:cs="Times New Roman"/>
          <w:color w:val="000000"/>
          <w:kern w:val="0"/>
          <w:sz w:val="22"/>
          <w:szCs w:val="22"/>
          <w14:ligatures w14:val="none"/>
        </w:rPr>
        <w:t>vartojote kitų</w:t>
      </w:r>
      <w:r w:rsidRPr="008E7EE0">
        <w:rPr>
          <w:rFonts w:ascii="Times New Roman" w:eastAsia="Calibri" w:hAnsi="Times New Roman" w:cs="Times New Roman"/>
          <w:kern w:val="0"/>
          <w:sz w:val="22"/>
          <w:szCs w:val="22"/>
          <w:lang w:eastAsia="lt-LT"/>
          <w14:ligatures w14:val="none"/>
        </w:rPr>
        <w:t xml:space="preserve"> vaistų arba dėl to nesate tikri, apie tai pasakykite gydytojui.</w:t>
      </w:r>
    </w:p>
    <w:p w14:paraId="7956D0E9" w14:textId="531B6C40" w:rsidR="008E7EE0" w:rsidRPr="008E7EE0" w:rsidRDefault="00D23A58"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sidRPr="00D23A58">
        <w:rPr>
          <w:rFonts w:ascii="Times New Roman" w:eastAsia="Calibri" w:hAnsi="Times New Roman" w:cs="Times New Roman"/>
          <w:kern w:val="0"/>
          <w:sz w:val="22"/>
          <w:szCs w:val="22"/>
          <w:lang w:eastAsia="lt-LT"/>
          <w14:ligatures w14:val="none"/>
        </w:rPr>
        <w:t>Monoferric</w:t>
      </w:r>
      <w:proofErr w:type="spellEnd"/>
      <w:r w:rsidR="008E7EE0" w:rsidRPr="008E7EE0">
        <w:rPr>
          <w:rFonts w:ascii="Times New Roman" w:eastAsia="Calibri" w:hAnsi="Times New Roman" w:cs="Times New Roman"/>
          <w:kern w:val="0"/>
          <w:sz w:val="22"/>
          <w:szCs w:val="22"/>
          <w:lang w:eastAsia="lt-LT"/>
          <w14:ligatures w14:val="none"/>
        </w:rPr>
        <w:t xml:space="preserve"> skiriamas kartu su geriamaisiais geležies preparatais gali sumažinti geriamosios geležies absorbciją. </w:t>
      </w:r>
    </w:p>
    <w:p w14:paraId="1299680B"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223928F8" w14:textId="77777777" w:rsidR="008E7EE0" w:rsidRPr="008E7EE0" w:rsidRDefault="008E7EE0" w:rsidP="008E7EE0">
      <w:pPr>
        <w:spacing w:after="0" w:line="240" w:lineRule="auto"/>
        <w:ind w:left="567" w:hanging="567"/>
        <w:rPr>
          <w:rFonts w:ascii="Times New Roman" w:eastAsia="Calibri" w:hAnsi="Times New Roman" w:cs="Times New Roman"/>
          <w:b/>
          <w:kern w:val="0"/>
          <w:sz w:val="22"/>
          <w:szCs w:val="22"/>
          <w:lang w:eastAsia="lt-LT"/>
          <w14:ligatures w14:val="none"/>
        </w:rPr>
      </w:pPr>
      <w:r w:rsidRPr="008E7EE0">
        <w:rPr>
          <w:rFonts w:ascii="Times New Roman" w:eastAsia="Calibri" w:hAnsi="Times New Roman" w:cs="Times New Roman"/>
          <w:b/>
          <w:kern w:val="0"/>
          <w:sz w:val="22"/>
          <w:szCs w:val="22"/>
          <w:lang w:eastAsia="lt-LT"/>
          <w14:ligatures w14:val="none"/>
        </w:rPr>
        <w:t>Nėštumas, žindymo laikotarpis ir vaisingumas</w:t>
      </w:r>
    </w:p>
    <w:p w14:paraId="05E563B3" w14:textId="5DFB721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Duomenų apie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8E7EE0">
        <w:rPr>
          <w:rFonts w:ascii="Times New Roman" w:eastAsia="Calibri" w:hAnsi="Times New Roman" w:cs="Times New Roman"/>
          <w:kern w:val="0"/>
          <w:sz w:val="22"/>
          <w:szCs w:val="22"/>
          <w:lang w:eastAsia="lt-LT"/>
          <w14:ligatures w14:val="none"/>
        </w:rPr>
        <w:t xml:space="preserve"> vartojimą nėščioms moterims yra mažai. Jeigu esate nėščia, manote, kad galbūt esate nėščia, arba planuojate pastoti, būtinai pasakykite apie tai gydytojui.</w:t>
      </w:r>
    </w:p>
    <w:p w14:paraId="4C2E86F2"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Jei pastojote gydymo metu, pasitarkite su gydytoju. Gydytojas nuspręs, ar jums galima vartoti šio vaisto.</w:t>
      </w:r>
    </w:p>
    <w:p w14:paraId="2FFBBF3E"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67E47261" w14:textId="06DDDC3D"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Jeigu žindote kūdikį, tai prieš vartodama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8E7EE0">
        <w:rPr>
          <w:rFonts w:ascii="Times New Roman" w:eastAsia="Calibri" w:hAnsi="Times New Roman" w:cs="Times New Roman"/>
          <w:kern w:val="0"/>
          <w:sz w:val="22"/>
          <w:szCs w:val="22"/>
          <w:lang w:eastAsia="lt-LT"/>
          <w14:ligatures w14:val="none"/>
        </w:rPr>
        <w:t xml:space="preserve"> pasitarkite su gydytoju. Mažai tikėtina, kad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8E7EE0">
        <w:rPr>
          <w:rFonts w:ascii="Times New Roman" w:eastAsia="Calibri" w:hAnsi="Times New Roman" w:cs="Times New Roman"/>
          <w:kern w:val="0"/>
          <w:sz w:val="22"/>
          <w:szCs w:val="22"/>
          <w:lang w:eastAsia="lt-LT"/>
          <w14:ligatures w14:val="none"/>
        </w:rPr>
        <w:t xml:space="preserve"> kelia riziką kūdikiui.</w:t>
      </w:r>
    </w:p>
    <w:p w14:paraId="4204F0AB"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Cs/>
          <w:kern w:val="0"/>
          <w:sz w:val="22"/>
          <w:szCs w:val="22"/>
          <w:lang w:eastAsia="lt-LT"/>
          <w14:ligatures w14:val="none"/>
        </w:rPr>
      </w:pPr>
    </w:p>
    <w:p w14:paraId="5291AC82"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
          <w:bCs/>
          <w:kern w:val="0"/>
          <w:sz w:val="22"/>
          <w:szCs w:val="22"/>
          <w:lang w:eastAsia="lt-LT"/>
          <w14:ligatures w14:val="none"/>
        </w:rPr>
      </w:pPr>
      <w:r w:rsidRPr="008E7EE0">
        <w:rPr>
          <w:rFonts w:ascii="Times New Roman" w:eastAsia="Calibri" w:hAnsi="Times New Roman" w:cs="Times New Roman"/>
          <w:b/>
          <w:bCs/>
          <w:kern w:val="0"/>
          <w:sz w:val="22"/>
          <w:szCs w:val="22"/>
          <w:lang w:eastAsia="lt-LT"/>
          <w14:ligatures w14:val="none"/>
        </w:rPr>
        <w:t>Vairavimas ir mechanizmų valdymas</w:t>
      </w:r>
    </w:p>
    <w:p w14:paraId="3993CFA5" w14:textId="05E0BBC4"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bCs/>
          <w:kern w:val="0"/>
          <w:sz w:val="22"/>
          <w:szCs w:val="22"/>
          <w:lang w:eastAsia="lt-LT"/>
          <w14:ligatures w14:val="none"/>
        </w:rPr>
        <w:t xml:space="preserve">Pasitarkite su gydytoju, ar galite vairuoti ir valdyti mechanizmus po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8E7EE0">
        <w:rPr>
          <w:rFonts w:ascii="Times New Roman" w:eastAsia="Calibri" w:hAnsi="Times New Roman" w:cs="Times New Roman"/>
          <w:kern w:val="0"/>
          <w:sz w:val="22"/>
          <w:szCs w:val="22"/>
          <w:lang w:eastAsia="lt-LT"/>
          <w14:ligatures w14:val="none"/>
        </w:rPr>
        <w:t xml:space="preserve"> pavartojimo.</w:t>
      </w:r>
    </w:p>
    <w:p w14:paraId="7691AD4D"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4DB2644C" w14:textId="4646AEBE" w:rsidR="008E7EE0" w:rsidRPr="008E7EE0" w:rsidRDefault="00D23A58" w:rsidP="008E7EE0">
      <w:pPr>
        <w:numPr>
          <w:ilvl w:val="12"/>
          <w:numId w:val="0"/>
        </w:numPr>
        <w:spacing w:line="259" w:lineRule="auto"/>
        <w:rPr>
          <w:rFonts w:ascii="Times New Roman" w:eastAsia="Calibri" w:hAnsi="Times New Roman" w:cs="Times New Roman"/>
          <w:b/>
          <w:bCs/>
          <w:kern w:val="0"/>
          <w:sz w:val="22"/>
          <w:szCs w:val="22"/>
          <w14:ligatures w14:val="none"/>
        </w:rPr>
      </w:pPr>
      <w:proofErr w:type="spellStart"/>
      <w:r w:rsidRPr="00D23A58">
        <w:rPr>
          <w:rFonts w:ascii="Times New Roman" w:eastAsia="Calibri" w:hAnsi="Times New Roman" w:cs="Times New Roman"/>
          <w:b/>
          <w:bCs/>
          <w:kern w:val="0"/>
          <w:sz w:val="22"/>
          <w:szCs w:val="22"/>
          <w14:ligatures w14:val="none"/>
        </w:rPr>
        <w:t>Monoferric</w:t>
      </w:r>
      <w:proofErr w:type="spellEnd"/>
      <w:r w:rsidR="008E7EE0" w:rsidRPr="008E7EE0">
        <w:rPr>
          <w:rFonts w:ascii="Times New Roman" w:eastAsia="Calibri" w:hAnsi="Times New Roman" w:cs="Times New Roman"/>
          <w:b/>
          <w:bCs/>
          <w:kern w:val="0"/>
          <w:sz w:val="22"/>
          <w:szCs w:val="22"/>
          <w14:ligatures w14:val="none"/>
        </w:rPr>
        <w:t xml:space="preserve"> sudėtyje yra natrio</w:t>
      </w:r>
    </w:p>
    <w:p w14:paraId="4FBEA53B"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Šio vaisto kiekvienoje 100 mg geležies dozėje  yra iki 9,4 mg natrio (pagrindinis valgomosios druskos komponentas). Tai atitinka 0,47 % rekomenduojamos didžiausios natrio paros normos suaugusiam žmogui.</w:t>
      </w:r>
    </w:p>
    <w:p w14:paraId="5FD5984E"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2040DA4E"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7303A060" w14:textId="49D59202" w:rsidR="008E7EE0" w:rsidRPr="008E7EE0" w:rsidRDefault="008E7EE0" w:rsidP="008E7EE0">
      <w:pPr>
        <w:tabs>
          <w:tab w:val="left" w:pos="120"/>
          <w:tab w:val="left" w:pos="567"/>
        </w:tabs>
        <w:spacing w:after="0" w:line="240" w:lineRule="auto"/>
        <w:rPr>
          <w:rFonts w:ascii="Times New Roman" w:eastAsia="Calibri" w:hAnsi="Times New Roman" w:cs="Times New Roman"/>
          <w:b/>
          <w:bCs/>
          <w:kern w:val="0"/>
          <w:sz w:val="22"/>
          <w:szCs w:val="22"/>
          <w:lang w:eastAsia="lt-LT"/>
          <w14:ligatures w14:val="none"/>
        </w:rPr>
      </w:pPr>
      <w:r w:rsidRPr="008E7EE0">
        <w:rPr>
          <w:rFonts w:ascii="Times New Roman" w:eastAsia="Calibri" w:hAnsi="Times New Roman" w:cs="Times New Roman"/>
          <w:b/>
          <w:bCs/>
          <w:kern w:val="0"/>
          <w:sz w:val="22"/>
          <w:szCs w:val="22"/>
          <w:lang w:eastAsia="lt-LT"/>
          <w14:ligatures w14:val="none"/>
        </w:rPr>
        <w:t xml:space="preserve">3. Kaip vartoti </w:t>
      </w:r>
      <w:proofErr w:type="spellStart"/>
      <w:r w:rsidR="00D23A58" w:rsidRPr="00D23A58">
        <w:rPr>
          <w:rFonts w:ascii="Times New Roman" w:eastAsia="Calibri" w:hAnsi="Times New Roman" w:cs="Times New Roman"/>
          <w:b/>
          <w:bCs/>
          <w:kern w:val="0"/>
          <w:sz w:val="22"/>
          <w:szCs w:val="22"/>
          <w:lang w:eastAsia="lt-LT"/>
          <w14:ligatures w14:val="none"/>
        </w:rPr>
        <w:t>Monoferric</w:t>
      </w:r>
      <w:proofErr w:type="spellEnd"/>
    </w:p>
    <w:p w14:paraId="6D2C6BFF"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5C380FD8" w14:textId="764BF93E" w:rsidR="008E7EE0" w:rsidRPr="008E7EE0" w:rsidRDefault="008E7EE0" w:rsidP="008E7EE0">
      <w:pPr>
        <w:tabs>
          <w:tab w:val="num" w:pos="360"/>
        </w:tabs>
        <w:spacing w:after="0" w:line="240" w:lineRule="auto"/>
        <w:jc w:val="both"/>
        <w:rPr>
          <w:rFonts w:ascii="Times New Roman" w:eastAsia="Times New Roman" w:hAnsi="Times New Roman" w:cs="Times New Roman"/>
          <w:noProof/>
          <w:kern w:val="0"/>
          <w:sz w:val="22"/>
          <w:szCs w:val="22"/>
          <w14:ligatures w14:val="none"/>
        </w:rPr>
      </w:pPr>
      <w:r w:rsidRPr="008E7EE0">
        <w:rPr>
          <w:rFonts w:ascii="Times New Roman" w:eastAsia="Times New Roman" w:hAnsi="Times New Roman" w:cs="Times New Roman"/>
          <w:noProof/>
          <w:kern w:val="0"/>
          <w:sz w:val="22"/>
          <w:szCs w:val="22"/>
          <w14:ligatures w14:val="none"/>
        </w:rPr>
        <w:t xml:space="preserve">Prieš vartojimą gydytojas atliks kraujo tyrimą, kad nustatytų Jums reikalingą </w:t>
      </w:r>
      <w:r w:rsidR="00D23A58" w:rsidRPr="00D23A58">
        <w:rPr>
          <w:rFonts w:ascii="Times New Roman" w:eastAsia="Times New Roman" w:hAnsi="Times New Roman" w:cs="Times New Roman"/>
          <w:noProof/>
          <w:kern w:val="0"/>
          <w:sz w:val="22"/>
          <w:szCs w:val="22"/>
          <w14:ligatures w14:val="none"/>
        </w:rPr>
        <w:t>Monoferric</w:t>
      </w:r>
      <w:r w:rsidRPr="008E7EE0">
        <w:rPr>
          <w:rFonts w:ascii="Times New Roman" w:eastAsia="Times New Roman" w:hAnsi="Times New Roman" w:cs="Times New Roman"/>
          <w:noProof/>
          <w:kern w:val="0"/>
          <w:sz w:val="22"/>
          <w:szCs w:val="22"/>
          <w14:ligatures w14:val="none"/>
        </w:rPr>
        <w:t xml:space="preserve"> dozę.</w:t>
      </w:r>
    </w:p>
    <w:p w14:paraId="6DC4B532" w14:textId="77777777" w:rsidR="008E7EE0" w:rsidRPr="008E7EE0" w:rsidRDefault="008E7EE0" w:rsidP="008E7EE0">
      <w:pPr>
        <w:tabs>
          <w:tab w:val="num" w:pos="360"/>
        </w:tabs>
        <w:spacing w:after="0" w:line="240" w:lineRule="auto"/>
        <w:jc w:val="both"/>
        <w:rPr>
          <w:rFonts w:ascii="Times New Roman" w:eastAsia="Times New Roman" w:hAnsi="Times New Roman" w:cs="Times New Roman"/>
          <w:noProof/>
          <w:kern w:val="0"/>
          <w:sz w:val="22"/>
          <w:szCs w:val="22"/>
          <w14:ligatures w14:val="none"/>
        </w:rPr>
      </w:pPr>
    </w:p>
    <w:p w14:paraId="2E68364D" w14:textId="7D54FB5F"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Gydytojas arba slaugytoja paskirs vartoti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8E7EE0">
        <w:rPr>
          <w:rFonts w:ascii="Times New Roman" w:eastAsia="Calibri" w:hAnsi="Times New Roman" w:cs="Times New Roman"/>
          <w:kern w:val="0"/>
          <w:sz w:val="22"/>
          <w:szCs w:val="22"/>
          <w:lang w:eastAsia="lt-LT"/>
          <w14:ligatures w14:val="none"/>
        </w:rPr>
        <w:t xml:space="preserve"> injekcija arba infuzija į veną; </w:t>
      </w:r>
    </w:p>
    <w:p w14:paraId="6EF7FA9E" w14:textId="66C116E3" w:rsidR="008E7EE0" w:rsidRPr="008E7EE0" w:rsidRDefault="00D23A58" w:rsidP="00853E49">
      <w:pPr>
        <w:numPr>
          <w:ilvl w:val="0"/>
          <w:numId w:val="14"/>
        </w:numPr>
        <w:spacing w:after="0" w:line="240" w:lineRule="auto"/>
        <w:ind w:left="567" w:hanging="283"/>
        <w:contextualSpacing/>
        <w:rPr>
          <w:rFonts w:ascii="Times New Roman" w:eastAsia="Calibri" w:hAnsi="Times New Roman" w:cs="Times New Roman"/>
          <w:kern w:val="0"/>
          <w:sz w:val="22"/>
          <w:szCs w:val="22"/>
          <w:lang w:eastAsia="lt-LT"/>
          <w14:ligatures w14:val="none"/>
        </w:rPr>
      </w:pPr>
      <w:proofErr w:type="spellStart"/>
      <w:r w:rsidRPr="00D23A58">
        <w:rPr>
          <w:rFonts w:ascii="Times New Roman" w:eastAsia="Calibri" w:hAnsi="Times New Roman" w:cs="Times New Roman"/>
          <w:kern w:val="0"/>
          <w:sz w:val="22"/>
          <w:szCs w:val="22"/>
          <w:lang w:eastAsia="lt-LT"/>
          <w14:ligatures w14:val="none"/>
        </w:rPr>
        <w:t>Monoferric</w:t>
      </w:r>
      <w:proofErr w:type="spellEnd"/>
      <w:r w:rsidR="008E7EE0" w:rsidRPr="008E7EE0">
        <w:rPr>
          <w:rFonts w:ascii="Times New Roman" w:eastAsia="Calibri" w:hAnsi="Times New Roman" w:cs="Times New Roman"/>
          <w:kern w:val="0"/>
          <w:sz w:val="22"/>
          <w:szCs w:val="22"/>
          <w:lang w:eastAsia="lt-LT"/>
          <w14:ligatures w14:val="none"/>
        </w:rPr>
        <w:t xml:space="preserve"> gali būti vartojamas injekcijomis į veną iki 500 mg iki trijų kartų per savaitę.</w:t>
      </w:r>
    </w:p>
    <w:p w14:paraId="3A5666A6" w14:textId="1704F5D4" w:rsidR="008E7EE0" w:rsidRPr="008E7EE0" w:rsidRDefault="00D23A58" w:rsidP="00853E49">
      <w:pPr>
        <w:numPr>
          <w:ilvl w:val="0"/>
          <w:numId w:val="14"/>
        </w:numPr>
        <w:spacing w:after="0" w:line="240" w:lineRule="auto"/>
        <w:ind w:left="567" w:hanging="283"/>
        <w:contextualSpacing/>
        <w:rPr>
          <w:rFonts w:ascii="Times New Roman" w:eastAsia="Calibri" w:hAnsi="Times New Roman" w:cs="Times New Roman"/>
          <w:kern w:val="0"/>
          <w:sz w:val="22"/>
          <w:szCs w:val="22"/>
          <w:lang w:eastAsia="lt-LT"/>
          <w14:ligatures w14:val="none"/>
        </w:rPr>
      </w:pPr>
      <w:proofErr w:type="spellStart"/>
      <w:r w:rsidRPr="00D23A58">
        <w:rPr>
          <w:rFonts w:ascii="Times New Roman" w:eastAsia="Calibri" w:hAnsi="Times New Roman" w:cs="Times New Roman"/>
          <w:kern w:val="0"/>
          <w:sz w:val="22"/>
          <w:szCs w:val="22"/>
          <w:lang w:eastAsia="lt-LT"/>
          <w14:ligatures w14:val="none"/>
        </w:rPr>
        <w:t>Monoferric</w:t>
      </w:r>
      <w:proofErr w:type="spellEnd"/>
      <w:r w:rsidR="008E7EE0" w:rsidRPr="008E7EE0">
        <w:rPr>
          <w:rFonts w:ascii="Times New Roman" w:eastAsia="Calibri" w:hAnsi="Times New Roman" w:cs="Times New Roman"/>
          <w:kern w:val="0"/>
          <w:sz w:val="22"/>
          <w:szCs w:val="22"/>
          <w:lang w:eastAsia="lt-LT"/>
          <w14:ligatures w14:val="none"/>
        </w:rPr>
        <w:t xml:space="preserve"> gali būti vartojamas dializės metu. </w:t>
      </w:r>
    </w:p>
    <w:p w14:paraId="1FACD3D6" w14:textId="1A4A0F0B" w:rsidR="008E7EE0" w:rsidRPr="008E7EE0" w:rsidRDefault="00D23A58" w:rsidP="00853E49">
      <w:pPr>
        <w:numPr>
          <w:ilvl w:val="0"/>
          <w:numId w:val="14"/>
        </w:numPr>
        <w:spacing w:after="0" w:line="240" w:lineRule="auto"/>
        <w:ind w:left="567" w:hanging="283"/>
        <w:contextualSpacing/>
        <w:rPr>
          <w:rFonts w:ascii="Times New Roman" w:eastAsia="Calibri" w:hAnsi="Times New Roman" w:cs="Times New Roman"/>
          <w:kern w:val="0"/>
          <w:sz w:val="22"/>
          <w:szCs w:val="22"/>
          <w:lang w:eastAsia="lt-LT"/>
          <w14:ligatures w14:val="none"/>
        </w:rPr>
      </w:pPr>
      <w:proofErr w:type="spellStart"/>
      <w:r w:rsidRPr="00D23A58">
        <w:rPr>
          <w:rFonts w:ascii="Times New Roman" w:eastAsia="Calibri" w:hAnsi="Times New Roman" w:cs="Times New Roman"/>
          <w:kern w:val="0"/>
          <w:sz w:val="22"/>
          <w:szCs w:val="22"/>
          <w:lang w:eastAsia="lt-LT"/>
          <w14:ligatures w14:val="none"/>
        </w:rPr>
        <w:t>Monoferric</w:t>
      </w:r>
      <w:proofErr w:type="spellEnd"/>
      <w:r w:rsidR="008E7EE0" w:rsidRPr="008E7EE0">
        <w:rPr>
          <w:rFonts w:ascii="Times New Roman" w:eastAsia="Calibri" w:hAnsi="Times New Roman" w:cs="Times New Roman"/>
          <w:kern w:val="0"/>
          <w:sz w:val="22"/>
          <w:szCs w:val="22"/>
          <w:lang w:eastAsia="lt-LT"/>
          <w14:ligatures w14:val="none"/>
        </w:rPr>
        <w:t xml:space="preserve"> gali būti vartojamas kaip infuzija į veną iki 20 mg geležies/kg kūno svorio doze arba kaip infuzijos kas savaitę, kol bus suleista visa dozė. </w:t>
      </w:r>
    </w:p>
    <w:p w14:paraId="444770F0"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03C489DF" w14:textId="157310B9" w:rsidR="008E7EE0" w:rsidRPr="008E7EE0" w:rsidRDefault="00D23A58"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sidRPr="00D23A58">
        <w:rPr>
          <w:rFonts w:ascii="Times New Roman" w:eastAsia="Calibri" w:hAnsi="Times New Roman" w:cs="Times New Roman"/>
          <w:kern w:val="0"/>
          <w:sz w:val="22"/>
          <w:szCs w:val="22"/>
          <w:lang w:eastAsia="lt-LT"/>
          <w14:ligatures w14:val="none"/>
        </w:rPr>
        <w:t>Monoferric</w:t>
      </w:r>
      <w:proofErr w:type="spellEnd"/>
      <w:r w:rsidR="008E7EE0" w:rsidRPr="008E7EE0">
        <w:rPr>
          <w:rFonts w:ascii="Times New Roman" w:eastAsia="Calibri" w:hAnsi="Times New Roman" w:cs="Times New Roman"/>
          <w:kern w:val="0"/>
          <w:sz w:val="22"/>
          <w:szCs w:val="22"/>
          <w:lang w:eastAsia="lt-LT"/>
          <w14:ligatures w14:val="none"/>
        </w:rPr>
        <w:t xml:space="preserve"> bus leidžiamas aplinkoje, kurioje bus prieinama tinkama skubi pagalba imuninių alerginių reiškinių atveju. </w:t>
      </w:r>
    </w:p>
    <w:p w14:paraId="25E9EBF5"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1A0DD579"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Kiekvieną kartą po vaisto vartojimo gydytojas arba slaugytoja jus stebės mažiausiai 30 minučių.</w:t>
      </w:r>
    </w:p>
    <w:p w14:paraId="1FC330AA"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1E2EBBF5" w14:textId="34D4A26D" w:rsidR="008E7EE0" w:rsidRPr="008E7EE0" w:rsidRDefault="008E7EE0" w:rsidP="008E7EE0">
      <w:pPr>
        <w:tabs>
          <w:tab w:val="left" w:pos="120"/>
          <w:tab w:val="left" w:pos="567"/>
        </w:tabs>
        <w:spacing w:after="0" w:line="240" w:lineRule="auto"/>
        <w:rPr>
          <w:rFonts w:ascii="Times New Roman" w:eastAsia="Calibri" w:hAnsi="Times New Roman" w:cs="Times New Roman"/>
          <w:b/>
          <w:bCs/>
          <w:kern w:val="0"/>
          <w:sz w:val="22"/>
          <w:szCs w:val="22"/>
          <w:lang w:eastAsia="lt-LT"/>
          <w14:ligatures w14:val="none"/>
        </w:rPr>
      </w:pPr>
      <w:r w:rsidRPr="008E7EE0">
        <w:rPr>
          <w:rFonts w:ascii="Times New Roman" w:eastAsia="Calibri" w:hAnsi="Times New Roman" w:cs="Times New Roman"/>
          <w:b/>
          <w:bCs/>
          <w:kern w:val="0"/>
          <w:sz w:val="22"/>
          <w:szCs w:val="22"/>
          <w:lang w:eastAsia="lt-LT"/>
          <w14:ligatures w14:val="none"/>
        </w:rPr>
        <w:t xml:space="preserve">Ką daryti pavartojus per didelę </w:t>
      </w:r>
      <w:proofErr w:type="spellStart"/>
      <w:r w:rsidR="00D23A58" w:rsidRPr="00D23A58">
        <w:rPr>
          <w:rFonts w:ascii="Times New Roman" w:eastAsia="Calibri" w:hAnsi="Times New Roman" w:cs="Times New Roman"/>
          <w:b/>
          <w:bCs/>
          <w:kern w:val="0"/>
          <w:sz w:val="22"/>
          <w:szCs w:val="22"/>
          <w:lang w:eastAsia="lt-LT"/>
          <w14:ligatures w14:val="none"/>
        </w:rPr>
        <w:t>Monoferric</w:t>
      </w:r>
      <w:proofErr w:type="spellEnd"/>
      <w:r w:rsidRPr="008E7EE0">
        <w:rPr>
          <w:rFonts w:ascii="Times New Roman" w:eastAsia="Calibri" w:hAnsi="Times New Roman" w:cs="Times New Roman"/>
          <w:b/>
          <w:bCs/>
          <w:kern w:val="0"/>
          <w:sz w:val="22"/>
          <w:szCs w:val="22"/>
          <w:lang w:eastAsia="lt-LT"/>
          <w14:ligatures w14:val="none"/>
        </w:rPr>
        <w:t xml:space="preserve"> dozę?</w:t>
      </w:r>
    </w:p>
    <w:p w14:paraId="01ED6373" w14:textId="1C7E7389" w:rsidR="008E7EE0" w:rsidRPr="008E7EE0" w:rsidRDefault="00D23A58"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sidRPr="00D23A58">
        <w:rPr>
          <w:rFonts w:ascii="Times New Roman" w:eastAsia="Calibri" w:hAnsi="Times New Roman" w:cs="Times New Roman"/>
          <w:kern w:val="0"/>
          <w:sz w:val="22"/>
          <w:szCs w:val="22"/>
          <w:lang w:eastAsia="lt-LT"/>
          <w14:ligatures w14:val="none"/>
        </w:rPr>
        <w:t>Monoferric</w:t>
      </w:r>
      <w:proofErr w:type="spellEnd"/>
      <w:r w:rsidR="008E7EE0" w:rsidRPr="008E7EE0">
        <w:rPr>
          <w:rFonts w:ascii="Times New Roman" w:eastAsia="Calibri" w:hAnsi="Times New Roman" w:cs="Times New Roman"/>
          <w:kern w:val="0"/>
          <w:sz w:val="22"/>
          <w:szCs w:val="22"/>
          <w:lang w:eastAsia="lt-LT"/>
          <w14:ligatures w14:val="none"/>
        </w:rPr>
        <w:t xml:space="preserve"> Jums leis kvalifikuotas sveikatos priežiūros specialistas. Nėra tikėtina, kad bus suleista per daug. Kad Jūsų organizme nesikauptų geležis, jie stebės Jūsų dozę ir kraujo tyrimų rodmenis. </w:t>
      </w:r>
    </w:p>
    <w:p w14:paraId="0B0CE429"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0899A0EA"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vanish/>
          <w:kern w:val="0"/>
          <w:sz w:val="22"/>
          <w:szCs w:val="22"/>
          <w:lang w:eastAsia="lt-LT"/>
          <w14:ligatures w14:val="none"/>
        </w:rPr>
      </w:pPr>
    </w:p>
    <w:p w14:paraId="08BED4F8"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 </w:t>
      </w:r>
      <w:r w:rsidRPr="008E7EE0">
        <w:rPr>
          <w:rFonts w:ascii="Times New Roman" w:eastAsia="Calibri" w:hAnsi="Times New Roman" w:cs="Times New Roman"/>
          <w:b/>
          <w:bCs/>
          <w:kern w:val="0"/>
          <w:sz w:val="22"/>
          <w:szCs w:val="22"/>
          <w:lang w:eastAsia="lt-LT"/>
          <w14:ligatures w14:val="none"/>
        </w:rPr>
        <w:t>4. Galimas šalutinis poveikis</w:t>
      </w:r>
    </w:p>
    <w:p w14:paraId="1BFCD982"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
          <w:kern w:val="0"/>
          <w:sz w:val="22"/>
          <w:szCs w:val="22"/>
          <w:lang w:eastAsia="lt-LT"/>
          <w14:ligatures w14:val="none"/>
        </w:rPr>
      </w:pPr>
    </w:p>
    <w:p w14:paraId="4E3111A1"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
          <w:bCs/>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Šis vaistas, kaip ir visi kiti, gali sukelti šalutinį poveikį, nors jis pasireiškia ne visiems žmonėms. </w:t>
      </w:r>
      <w:r w:rsidRPr="008E7EE0">
        <w:rPr>
          <w:rFonts w:ascii="Times New Roman" w:eastAsia="Calibri" w:hAnsi="Times New Roman" w:cs="Times New Roman"/>
          <w:kern w:val="0"/>
          <w:sz w:val="22"/>
          <w:szCs w:val="22"/>
          <w:lang w:eastAsia="lt-LT"/>
          <w14:ligatures w14:val="none"/>
        </w:rPr>
        <w:br/>
      </w:r>
      <w:r w:rsidRPr="008E7EE0">
        <w:rPr>
          <w:rFonts w:ascii="Times New Roman" w:eastAsia="Calibri" w:hAnsi="Times New Roman" w:cs="Times New Roman"/>
          <w:kern w:val="0"/>
          <w:sz w:val="22"/>
          <w:szCs w:val="22"/>
          <w:lang w:eastAsia="lt-LT"/>
          <w14:ligatures w14:val="none"/>
        </w:rPr>
        <w:br/>
      </w:r>
      <w:r w:rsidRPr="008E7EE0">
        <w:rPr>
          <w:rFonts w:ascii="Times New Roman" w:eastAsia="Calibri" w:hAnsi="Times New Roman" w:cs="Times New Roman"/>
          <w:b/>
          <w:bCs/>
          <w:kern w:val="0"/>
          <w:sz w:val="22"/>
          <w:szCs w:val="22"/>
          <w:lang w:eastAsia="lt-LT"/>
          <w14:ligatures w14:val="none"/>
        </w:rPr>
        <w:t>Alerginės reakcijos</w:t>
      </w:r>
    </w:p>
    <w:p w14:paraId="4B7E2E08"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42B8D7A7" w14:textId="77777777" w:rsidR="008E7EE0" w:rsidRPr="008E7EE0" w:rsidRDefault="008E7EE0" w:rsidP="008E7EE0">
      <w:pPr>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Gali pasireikšti sunkios alerginės reakcijos, tačiau jos dažniausiai būna retos. Nedelsdami pasakykite gydytojui ar slaugytojai kad nutrauktų infuziją, jei reikia, jeigu Jums pasireikštų bent vienas iš toliau nurodytų požymių ir simptomų: ištinęs veidas, liežuvis arba gerklė, sunkumas ryjant, dilgėlinė ir pasunkėjęs kvėpavimas, ir skausmas krūtinės srityje, kuris gali būti galimai sunkios alerginės reakcijos, vadinamos </w:t>
      </w:r>
      <w:proofErr w:type="spellStart"/>
      <w:r w:rsidRPr="008E7EE0">
        <w:rPr>
          <w:rFonts w:ascii="Times New Roman" w:eastAsia="Calibri" w:hAnsi="Times New Roman" w:cs="Times New Roman"/>
          <w:kern w:val="0"/>
          <w:sz w:val="22"/>
          <w:szCs w:val="22"/>
          <w:lang w:eastAsia="lt-LT"/>
          <w14:ligatures w14:val="none"/>
        </w:rPr>
        <w:t>Kounis</w:t>
      </w:r>
      <w:proofErr w:type="spellEnd"/>
      <w:r w:rsidRPr="008E7EE0">
        <w:rPr>
          <w:rFonts w:ascii="Times New Roman" w:eastAsia="Calibri" w:hAnsi="Times New Roman" w:cs="Times New Roman"/>
          <w:kern w:val="0"/>
          <w:sz w:val="22"/>
          <w:szCs w:val="22"/>
          <w:lang w:eastAsia="lt-LT"/>
          <w14:ligatures w14:val="none"/>
        </w:rPr>
        <w:t xml:space="preserve"> sindromu, požymis.</w:t>
      </w:r>
    </w:p>
    <w:p w14:paraId="4835E6FA"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
          <w:kern w:val="0"/>
          <w:sz w:val="22"/>
          <w:szCs w:val="22"/>
          <w:lang w:eastAsia="lt-LT"/>
          <w14:ligatures w14:val="none"/>
        </w:rPr>
      </w:pPr>
    </w:p>
    <w:p w14:paraId="56EADF55" w14:textId="44C6C520" w:rsidR="008E7EE0" w:rsidRPr="008E7EE0" w:rsidRDefault="00853E49"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D23A58">
        <w:rPr>
          <w:rFonts w:ascii="Times New Roman" w:eastAsia="Times New Roman" w:hAnsi="Times New Roman" w:cs="Times New Roman"/>
          <w:b/>
          <w:bCs/>
          <w:noProof/>
          <w:snapToGrid w:val="0"/>
          <w:kern w:val="0"/>
          <w:sz w:val="22"/>
          <w:szCs w:val="22"/>
          <w14:ligatures w14:val="none"/>
        </w:rPr>
        <w:t xml:space="preserve">Dažni šalutinio poveikio reiškiniai </w:t>
      </w:r>
      <w:r w:rsidRPr="00D23A58">
        <w:rPr>
          <w:rFonts w:ascii="Times New Roman" w:eastAsia="Times New Roman" w:hAnsi="Times New Roman" w:cs="Times New Roman"/>
          <w:noProof/>
          <w:snapToGrid w:val="0"/>
          <w:kern w:val="0"/>
          <w:sz w:val="22"/>
          <w:szCs w:val="22"/>
          <w14:ligatures w14:val="none"/>
        </w:rPr>
        <w:t>(gali pasireikšti rečiau kaip 1 iš 10 asmenų):</w:t>
      </w:r>
    </w:p>
    <w:p w14:paraId="0B86A9E8" w14:textId="77777777" w:rsidR="008E7EE0" w:rsidRPr="008E7EE0" w:rsidRDefault="008E7EE0" w:rsidP="00853E49">
      <w:pPr>
        <w:numPr>
          <w:ilvl w:val="0"/>
          <w:numId w:val="13"/>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Pykinimas; </w:t>
      </w:r>
    </w:p>
    <w:p w14:paraId="4830DD95" w14:textId="77777777" w:rsidR="008E7EE0" w:rsidRPr="008E7EE0" w:rsidRDefault="008E7EE0" w:rsidP="00853E49">
      <w:pPr>
        <w:numPr>
          <w:ilvl w:val="0"/>
          <w:numId w:val="13"/>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Odos reakcijos aplink injekcijos vietą, pvz., odos paraudimas, patinimas, deginimas, skausmas, kraujosruvos, spalvos pakitimas, taip pat sudirginimas, suleistam vaistui patekus į aplinkinius audinius po oda;</w:t>
      </w:r>
    </w:p>
    <w:p w14:paraId="15B16EBB" w14:textId="77777777" w:rsidR="008E7EE0" w:rsidRPr="008E7EE0" w:rsidRDefault="008E7EE0" w:rsidP="00853E49">
      <w:pPr>
        <w:numPr>
          <w:ilvl w:val="0"/>
          <w:numId w:val="13"/>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Bėrimas.</w:t>
      </w:r>
    </w:p>
    <w:p w14:paraId="52F1A7FE" w14:textId="77777777" w:rsidR="008E7EE0" w:rsidRPr="008E7EE0" w:rsidRDefault="008E7EE0" w:rsidP="008E7EE0">
      <w:pPr>
        <w:tabs>
          <w:tab w:val="left" w:pos="567"/>
          <w:tab w:val="left" w:pos="7920"/>
        </w:tabs>
        <w:spacing w:after="0" w:line="240" w:lineRule="auto"/>
        <w:ind w:right="1440"/>
        <w:rPr>
          <w:rFonts w:ascii="Times New Roman" w:eastAsia="Calibri" w:hAnsi="Times New Roman" w:cs="Times New Roman"/>
          <w:b/>
          <w:kern w:val="0"/>
          <w:sz w:val="22"/>
          <w:szCs w:val="22"/>
          <w:lang w:eastAsia="lt-LT"/>
          <w14:ligatures w14:val="none"/>
        </w:rPr>
      </w:pPr>
    </w:p>
    <w:p w14:paraId="1BC68D9F" w14:textId="7F5A099E" w:rsidR="008E7EE0" w:rsidRPr="008E7EE0" w:rsidRDefault="00C31A16" w:rsidP="008E7EE0">
      <w:pPr>
        <w:tabs>
          <w:tab w:val="left" w:pos="567"/>
          <w:tab w:val="left" w:pos="7920"/>
        </w:tabs>
        <w:spacing w:after="0" w:line="240" w:lineRule="auto"/>
        <w:ind w:right="1440"/>
        <w:rPr>
          <w:rFonts w:ascii="Times New Roman" w:eastAsia="Calibri" w:hAnsi="Times New Roman" w:cs="Times New Roman"/>
          <w:i/>
          <w:kern w:val="0"/>
          <w:sz w:val="22"/>
          <w:szCs w:val="22"/>
          <w:lang w:eastAsia="lt-LT"/>
          <w14:ligatures w14:val="none"/>
        </w:rPr>
      </w:pPr>
      <w:r w:rsidRPr="00D23A58">
        <w:rPr>
          <w:rFonts w:ascii="Times New Roman" w:eastAsia="Times New Roman" w:hAnsi="Times New Roman" w:cs="Times New Roman"/>
          <w:b/>
          <w:bCs/>
          <w:noProof/>
          <w:snapToGrid w:val="0"/>
          <w:kern w:val="0"/>
          <w:sz w:val="22"/>
          <w:szCs w:val="22"/>
          <w14:ligatures w14:val="none"/>
        </w:rPr>
        <w:t xml:space="preserve">Nedažni šalutinio poveikio reiškiniai </w:t>
      </w:r>
      <w:r w:rsidRPr="00D23A58">
        <w:rPr>
          <w:rFonts w:ascii="Times New Roman" w:eastAsia="Times New Roman" w:hAnsi="Times New Roman" w:cs="Times New Roman"/>
          <w:noProof/>
          <w:snapToGrid w:val="0"/>
          <w:kern w:val="0"/>
          <w:sz w:val="22"/>
          <w:szCs w:val="22"/>
          <w14:ligatures w14:val="none"/>
        </w:rPr>
        <w:t>(gali pasireikšti rečiau kaip 1 iš 100 asmenų):</w:t>
      </w:r>
    </w:p>
    <w:p w14:paraId="2B33D824"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Padidėjusio jautrumo reakcijos – galimas dusulys ir bronchų spazmas;</w:t>
      </w:r>
    </w:p>
    <w:p w14:paraId="7EF7AC93"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Galvos skausmas;</w:t>
      </w:r>
    </w:p>
    <w:p w14:paraId="7EA478E3"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Sustingimas;</w:t>
      </w:r>
    </w:p>
    <w:p w14:paraId="06BE957A"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Iškreiptas skonio pojūtis;</w:t>
      </w:r>
    </w:p>
    <w:p w14:paraId="58792A48"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Sutrikęs regėjimas;</w:t>
      </w:r>
    </w:p>
    <w:p w14:paraId="3B57F881"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Sąmonės netekimas;</w:t>
      </w:r>
    </w:p>
    <w:p w14:paraId="38E5395E"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Galvos svaigimas;</w:t>
      </w:r>
    </w:p>
    <w:p w14:paraId="4CD69015"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Nuovargis;</w:t>
      </w:r>
    </w:p>
    <w:p w14:paraId="5E6253AA"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Padidėjęs širdies susitraukimo dažnis;</w:t>
      </w:r>
    </w:p>
    <w:p w14:paraId="7D307905"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Žemas arba aukštas kraujospūdis;</w:t>
      </w:r>
    </w:p>
    <w:p w14:paraId="479FB3F8"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Krūtinės skausmas, nugaros skausmas, raumenų ar sąnarių skausmas, raumenų spazmai;</w:t>
      </w:r>
    </w:p>
    <w:p w14:paraId="54C8145F"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Skrandžio skausmas, vėmimas, sutrikęs virškinimas, vidurių užkietėjimas, viduriavimas;</w:t>
      </w:r>
    </w:p>
    <w:p w14:paraId="1AC27434"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Niežulys, dilgėlinė, odos uždegimas;</w:t>
      </w:r>
    </w:p>
    <w:p w14:paraId="30F0B3C0"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Paraudimas, prakaitavimas, karščiavimas, šalčio pojūtis, drebulys;</w:t>
      </w:r>
    </w:p>
    <w:p w14:paraId="1D2CA3D2"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Žemas fosfatų kiekis kraujyje;</w:t>
      </w:r>
    </w:p>
    <w:p w14:paraId="54956550"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Infekcija;</w:t>
      </w:r>
    </w:p>
    <w:p w14:paraId="025C867B"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Kepenų fermentų aktyvumo padidėjimas;</w:t>
      </w:r>
    </w:p>
    <w:p w14:paraId="329FDD0C" w14:textId="77777777"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Paviršinis venų uždegimas; </w:t>
      </w:r>
    </w:p>
    <w:p w14:paraId="39EFF053" w14:textId="21817141" w:rsidR="008E7EE0" w:rsidRPr="008E7EE0" w:rsidRDefault="008E7EE0" w:rsidP="00C31A16">
      <w:pPr>
        <w:numPr>
          <w:ilvl w:val="0"/>
          <w:numId w:val="12"/>
        </w:numPr>
        <w:tabs>
          <w:tab w:val="clear" w:pos="108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Odos pleiskanojimas.</w:t>
      </w:r>
    </w:p>
    <w:p w14:paraId="44E37E43" w14:textId="77777777" w:rsidR="008E7EE0" w:rsidRPr="008E7EE0" w:rsidRDefault="008E7EE0" w:rsidP="008E7EE0">
      <w:pPr>
        <w:tabs>
          <w:tab w:val="left" w:pos="120"/>
          <w:tab w:val="left" w:pos="567"/>
        </w:tabs>
        <w:spacing w:after="0" w:line="240" w:lineRule="auto"/>
        <w:ind w:left="720"/>
        <w:rPr>
          <w:rFonts w:ascii="Times New Roman" w:eastAsia="Calibri" w:hAnsi="Times New Roman" w:cs="Times New Roman"/>
          <w:kern w:val="0"/>
          <w:sz w:val="22"/>
          <w:szCs w:val="22"/>
          <w:lang w:eastAsia="lt-LT"/>
          <w14:ligatures w14:val="none"/>
        </w:rPr>
      </w:pPr>
    </w:p>
    <w:p w14:paraId="666FAF92" w14:textId="042AB74F" w:rsidR="008E7EE0" w:rsidRPr="008E7EE0" w:rsidRDefault="00531D5C" w:rsidP="008E7EE0">
      <w:pPr>
        <w:tabs>
          <w:tab w:val="left" w:pos="567"/>
        </w:tabs>
        <w:spacing w:after="0" w:line="240" w:lineRule="auto"/>
        <w:ind w:right="1440"/>
        <w:rPr>
          <w:rFonts w:ascii="Times New Roman" w:eastAsia="Calibri" w:hAnsi="Times New Roman" w:cs="Times New Roman"/>
          <w:i/>
          <w:kern w:val="0"/>
          <w:sz w:val="22"/>
          <w:szCs w:val="22"/>
          <w:lang w:eastAsia="lt-LT"/>
          <w14:ligatures w14:val="none"/>
        </w:rPr>
      </w:pPr>
      <w:r w:rsidRPr="00D23A58">
        <w:rPr>
          <w:rFonts w:ascii="Times New Roman" w:eastAsia="Times New Roman" w:hAnsi="Times New Roman" w:cs="Times New Roman"/>
          <w:b/>
          <w:bCs/>
          <w:noProof/>
          <w:snapToGrid w:val="0"/>
          <w:kern w:val="0"/>
          <w:sz w:val="22"/>
          <w:szCs w:val="22"/>
          <w14:ligatures w14:val="none"/>
        </w:rPr>
        <w:t xml:space="preserve">Reti šalutinio poveikio reiškiniai </w:t>
      </w:r>
      <w:r w:rsidRPr="00D23A58">
        <w:rPr>
          <w:rFonts w:ascii="Times New Roman" w:eastAsia="Times New Roman" w:hAnsi="Times New Roman" w:cs="Times New Roman"/>
          <w:noProof/>
          <w:snapToGrid w:val="0"/>
          <w:kern w:val="0"/>
          <w:sz w:val="22"/>
          <w:szCs w:val="22"/>
          <w14:ligatures w14:val="none"/>
        </w:rPr>
        <w:t>(gali pasireikšti rečiau kaip 1 iš 1 000 asmenų):</w:t>
      </w:r>
    </w:p>
    <w:p w14:paraId="65AF6F12" w14:textId="77777777" w:rsidR="008E7EE0" w:rsidRPr="008E7EE0" w:rsidRDefault="008E7EE0" w:rsidP="00531D5C">
      <w:pPr>
        <w:numPr>
          <w:ilvl w:val="0"/>
          <w:numId w:val="11"/>
        </w:numPr>
        <w:tabs>
          <w:tab w:val="clear" w:pos="144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Nereguliarus širdies ritmas;</w:t>
      </w:r>
    </w:p>
    <w:p w14:paraId="1644E91F" w14:textId="77777777" w:rsidR="008E7EE0" w:rsidRPr="008E7EE0" w:rsidRDefault="008E7EE0" w:rsidP="00531D5C">
      <w:pPr>
        <w:numPr>
          <w:ilvl w:val="0"/>
          <w:numId w:val="11"/>
        </w:numPr>
        <w:tabs>
          <w:tab w:val="clear" w:pos="144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Užkimimas;</w:t>
      </w:r>
    </w:p>
    <w:p w14:paraId="6CB00D18" w14:textId="77777777" w:rsidR="008E7EE0" w:rsidRPr="008E7EE0" w:rsidRDefault="008E7EE0" w:rsidP="00531D5C">
      <w:pPr>
        <w:numPr>
          <w:ilvl w:val="0"/>
          <w:numId w:val="11"/>
        </w:numPr>
        <w:tabs>
          <w:tab w:val="clear" w:pos="144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Traukuliai;</w:t>
      </w:r>
    </w:p>
    <w:p w14:paraId="38F352D2" w14:textId="77777777" w:rsidR="008E7EE0" w:rsidRPr="008E7EE0" w:rsidRDefault="008E7EE0" w:rsidP="00531D5C">
      <w:pPr>
        <w:numPr>
          <w:ilvl w:val="0"/>
          <w:numId w:val="11"/>
        </w:numPr>
        <w:tabs>
          <w:tab w:val="clear" w:pos="144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Drebulys;</w:t>
      </w:r>
    </w:p>
    <w:p w14:paraId="69BD1AED" w14:textId="77777777" w:rsidR="008E7EE0" w:rsidRPr="008E7EE0" w:rsidRDefault="008E7EE0" w:rsidP="00531D5C">
      <w:pPr>
        <w:numPr>
          <w:ilvl w:val="0"/>
          <w:numId w:val="11"/>
        </w:numPr>
        <w:tabs>
          <w:tab w:val="clear" w:pos="144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Psichikos sutrikimas;</w:t>
      </w:r>
    </w:p>
    <w:p w14:paraId="16BEF1BB" w14:textId="77777777" w:rsidR="008E7EE0" w:rsidRPr="008E7EE0" w:rsidRDefault="008E7EE0" w:rsidP="00531D5C">
      <w:pPr>
        <w:numPr>
          <w:ilvl w:val="0"/>
          <w:numId w:val="11"/>
        </w:numPr>
        <w:tabs>
          <w:tab w:val="clear" w:pos="1440"/>
        </w:tabs>
        <w:spacing w:after="0" w:line="240" w:lineRule="auto"/>
        <w:ind w:left="567" w:hanging="283"/>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Bendras negalavimas.</w:t>
      </w:r>
    </w:p>
    <w:p w14:paraId="364C6189" w14:textId="77777777" w:rsidR="008E7EE0" w:rsidRPr="008E7EE0" w:rsidRDefault="008E7EE0" w:rsidP="008E7EE0">
      <w:pPr>
        <w:tabs>
          <w:tab w:val="left" w:pos="120"/>
          <w:tab w:val="left" w:pos="567"/>
        </w:tabs>
        <w:spacing w:after="0" w:line="240" w:lineRule="auto"/>
        <w:ind w:left="1440"/>
        <w:rPr>
          <w:rFonts w:ascii="Times New Roman" w:eastAsia="Calibri" w:hAnsi="Times New Roman" w:cs="Times New Roman"/>
          <w:kern w:val="0"/>
          <w:sz w:val="22"/>
          <w:szCs w:val="22"/>
          <w:lang w:eastAsia="lt-LT"/>
          <w14:ligatures w14:val="none"/>
        </w:rPr>
      </w:pPr>
    </w:p>
    <w:p w14:paraId="2B468D01"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Į gripą panaši liga (</w:t>
      </w:r>
      <w:r w:rsidRPr="008E7EE0">
        <w:rPr>
          <w:rFonts w:ascii="Times New Roman" w:eastAsia="Calibri" w:hAnsi="Times New Roman" w:cs="Times New Roman"/>
          <w:kern w:val="0"/>
          <w:sz w:val="22"/>
          <w:szCs w:val="22"/>
          <w:lang w:eastAsia="lt-LT"/>
          <w14:ligatures w14:val="none"/>
        </w:rPr>
        <w:t>gali pasireikšti ne daugiau kaip 1 iš 1000 žmonių</w:t>
      </w:r>
      <w:r w:rsidRPr="008E7EE0">
        <w:rPr>
          <w:rFonts w:ascii="Times New Roman" w:eastAsia="Calibri" w:hAnsi="Times New Roman" w:cs="Times New Roman"/>
          <w:kern w:val="0"/>
          <w:sz w:val="22"/>
          <w:szCs w:val="22"/>
          <w14:ligatures w14:val="none"/>
        </w:rPr>
        <w:t>) gali pasireikšti po kelių valandų ar dienų po injekcijos ir jai paprastai būdingi tokie simptomai kaip aukšta temperatūra ir raumenų bei sąnarių skausmai.</w:t>
      </w:r>
    </w:p>
    <w:p w14:paraId="4C9C16BC"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14:ligatures w14:val="none"/>
        </w:rPr>
      </w:pPr>
    </w:p>
    <w:p w14:paraId="68DA0077" w14:textId="77777777" w:rsidR="007622AA" w:rsidRPr="00D23A58" w:rsidRDefault="007622AA" w:rsidP="007622AA">
      <w:pPr>
        <w:tabs>
          <w:tab w:val="left" w:pos="120"/>
          <w:tab w:val="left" w:pos="567"/>
        </w:tabs>
        <w:spacing w:after="0" w:line="240" w:lineRule="auto"/>
        <w:rPr>
          <w:rFonts w:ascii="Times New Roman" w:eastAsia="Times New Roman" w:hAnsi="Times New Roman" w:cs="Times New Roman"/>
          <w:b/>
          <w:bCs/>
          <w:noProof/>
          <w:snapToGrid w:val="0"/>
          <w:kern w:val="0"/>
          <w:sz w:val="22"/>
          <w:szCs w:val="22"/>
          <w14:ligatures w14:val="none"/>
        </w:rPr>
      </w:pPr>
      <w:r w:rsidRPr="00D23A58">
        <w:rPr>
          <w:rFonts w:ascii="Times New Roman" w:eastAsia="Times New Roman" w:hAnsi="Times New Roman" w:cs="Times New Roman"/>
          <w:b/>
          <w:bCs/>
          <w:noProof/>
          <w:snapToGrid w:val="0"/>
          <w:kern w:val="0"/>
          <w:sz w:val="22"/>
          <w:szCs w:val="22"/>
          <w14:ligatures w14:val="none"/>
        </w:rPr>
        <w:t xml:space="preserve">Šalutinio poveikio reiškiniai, kurių dažnis nežinomas </w:t>
      </w:r>
      <w:r w:rsidRPr="00D23A58">
        <w:rPr>
          <w:rFonts w:ascii="Times New Roman" w:eastAsia="Times New Roman" w:hAnsi="Times New Roman" w:cs="Times New Roman"/>
          <w:noProof/>
          <w:snapToGrid w:val="0"/>
          <w:kern w:val="0"/>
          <w:sz w:val="22"/>
          <w:szCs w:val="22"/>
          <w14:ligatures w14:val="none"/>
        </w:rPr>
        <w:t>(negali būti apskaičiuotas pagal turimus duomenis):</w:t>
      </w:r>
    </w:p>
    <w:p w14:paraId="5DFE94FF" w14:textId="47176DBF" w:rsidR="008E7EE0" w:rsidRPr="00D23A58" w:rsidRDefault="008E7EE0" w:rsidP="007622AA">
      <w:pPr>
        <w:pStyle w:val="Sraopastraipa"/>
        <w:numPr>
          <w:ilvl w:val="0"/>
          <w:numId w:val="10"/>
        </w:numPr>
        <w:spacing w:after="0" w:line="240" w:lineRule="auto"/>
        <w:ind w:left="567" w:hanging="283"/>
        <w:rPr>
          <w:rFonts w:ascii="Times New Roman" w:eastAsia="Calibri" w:hAnsi="Times New Roman" w:cs="Times New Roman"/>
          <w:kern w:val="0"/>
          <w:sz w:val="22"/>
          <w:szCs w:val="22"/>
          <w14:ligatures w14:val="none"/>
        </w:rPr>
      </w:pPr>
      <w:r w:rsidRPr="00D23A58">
        <w:rPr>
          <w:rFonts w:ascii="Times New Roman" w:eastAsia="Calibri" w:hAnsi="Times New Roman" w:cs="Times New Roman"/>
          <w:kern w:val="0"/>
          <w:sz w:val="22"/>
          <w:szCs w:val="22"/>
          <w14:ligatures w14:val="none"/>
        </w:rPr>
        <w:lastRenderedPageBreak/>
        <w:t>Odos spalvos pokyčiai kitose kūno vietose nei injekcijos vieta.</w:t>
      </w:r>
    </w:p>
    <w:p w14:paraId="0AA6DC59" w14:textId="77777777" w:rsidR="008E7EE0" w:rsidRPr="008E7EE0" w:rsidRDefault="008E7EE0" w:rsidP="008E7EE0">
      <w:pPr>
        <w:tabs>
          <w:tab w:val="left" w:pos="120"/>
          <w:tab w:val="left" w:pos="567"/>
        </w:tabs>
        <w:spacing w:after="0" w:line="240" w:lineRule="auto"/>
        <w:rPr>
          <w:rFonts w:ascii="Times New Roman" w:eastAsia="Calibri" w:hAnsi="Times New Roman" w:cs="Myanmar Text"/>
          <w:kern w:val="0"/>
          <w:sz w:val="22"/>
          <w:szCs w:val="22"/>
          <w14:ligatures w14:val="none"/>
        </w:rPr>
      </w:pPr>
    </w:p>
    <w:p w14:paraId="3E5FF06A" w14:textId="77777777" w:rsidR="008E7EE0" w:rsidRPr="008E7EE0" w:rsidRDefault="008E7EE0" w:rsidP="008E7EE0">
      <w:pPr>
        <w:spacing w:after="0" w:line="240" w:lineRule="auto"/>
        <w:rPr>
          <w:rFonts w:ascii="Times New Roman" w:eastAsia="Calibri" w:hAnsi="Times New Roman" w:cs="Times New Roman"/>
          <w:b/>
          <w:kern w:val="0"/>
          <w:sz w:val="22"/>
          <w:szCs w:val="22"/>
          <w:lang w:eastAsia="lt-LT"/>
          <w14:ligatures w14:val="none"/>
        </w:rPr>
      </w:pPr>
      <w:r w:rsidRPr="008E7EE0">
        <w:rPr>
          <w:rFonts w:ascii="Times New Roman" w:eastAsia="Calibri" w:hAnsi="Times New Roman" w:cs="Times New Roman"/>
          <w:b/>
          <w:kern w:val="0"/>
          <w:sz w:val="22"/>
          <w:szCs w:val="22"/>
          <w:lang w:eastAsia="lt-LT"/>
          <w14:ligatures w14:val="none"/>
        </w:rPr>
        <w:t>Pranešimas apie šalutinį poveikį</w:t>
      </w:r>
    </w:p>
    <w:p w14:paraId="639BF6A2" w14:textId="77777777" w:rsidR="00076C40" w:rsidRPr="00076C40" w:rsidRDefault="00076C40" w:rsidP="00076C40">
      <w:pPr>
        <w:spacing w:after="0" w:line="240" w:lineRule="auto"/>
        <w:rPr>
          <w:rFonts w:ascii="Times New Roman" w:eastAsia="Times New Roman" w:hAnsi="Times New Roman" w:cs="Times New Roman"/>
          <w:kern w:val="0"/>
          <w:sz w:val="22"/>
          <w:szCs w:val="20"/>
          <w14:ligatures w14:val="none"/>
        </w:rPr>
      </w:pPr>
      <w:r w:rsidRPr="00076C40">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076C40">
          <w:rPr>
            <w:rFonts w:ascii="Times New Roman" w:eastAsia="Times New Roman" w:hAnsi="Times New Roman" w:cs="Times New Roman"/>
            <w:color w:val="467886"/>
            <w:kern w:val="0"/>
            <w:sz w:val="22"/>
            <w:szCs w:val="20"/>
            <w:u w:val="single"/>
            <w:lang w:eastAsia="lt-LT"/>
            <w14:ligatures w14:val="none"/>
          </w:rPr>
          <w:t>https://vvkt.lrv.lt/lt/</w:t>
        </w:r>
      </w:hyperlink>
      <w:r w:rsidRPr="00076C40">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076C40">
        <w:rPr>
          <w:rFonts w:ascii="Times New Roman" w:eastAsia="Times New Roman" w:hAnsi="Times New Roman" w:cs="Times New Roman"/>
          <w:kern w:val="0"/>
          <w:sz w:val="22"/>
          <w:szCs w:val="20"/>
          <w14:ligatures w14:val="none"/>
        </w:rPr>
        <w:t>.</w:t>
      </w:r>
    </w:p>
    <w:p w14:paraId="14499747"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663D320B"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54B5BEA0" w14:textId="70640B27" w:rsidR="008E7EE0" w:rsidRPr="008E7EE0" w:rsidRDefault="008E7EE0" w:rsidP="008E7EE0">
      <w:pPr>
        <w:tabs>
          <w:tab w:val="left" w:pos="120"/>
          <w:tab w:val="left" w:pos="567"/>
        </w:tabs>
        <w:spacing w:after="0" w:line="240" w:lineRule="auto"/>
        <w:rPr>
          <w:rFonts w:ascii="Times New Roman" w:eastAsia="Calibri" w:hAnsi="Times New Roman" w:cs="Times New Roman"/>
          <w:b/>
          <w:bCs/>
          <w:kern w:val="0"/>
          <w:sz w:val="22"/>
          <w:szCs w:val="22"/>
          <w:lang w:eastAsia="lt-LT"/>
          <w14:ligatures w14:val="none"/>
        </w:rPr>
      </w:pPr>
      <w:r w:rsidRPr="008E7EE0">
        <w:rPr>
          <w:rFonts w:ascii="Times New Roman" w:eastAsia="Calibri" w:hAnsi="Times New Roman" w:cs="Times New Roman"/>
          <w:b/>
          <w:bCs/>
          <w:kern w:val="0"/>
          <w:sz w:val="22"/>
          <w:szCs w:val="22"/>
          <w:lang w:eastAsia="lt-LT"/>
          <w14:ligatures w14:val="none"/>
        </w:rPr>
        <w:t xml:space="preserve">5. Kaip laikyti </w:t>
      </w:r>
      <w:proofErr w:type="spellStart"/>
      <w:r w:rsidR="00D23A58" w:rsidRPr="00D23A58">
        <w:rPr>
          <w:rFonts w:ascii="Times New Roman" w:eastAsia="Calibri" w:hAnsi="Times New Roman" w:cs="Times New Roman"/>
          <w:b/>
          <w:bCs/>
          <w:kern w:val="0"/>
          <w:sz w:val="22"/>
          <w:szCs w:val="22"/>
          <w:lang w:eastAsia="lt-LT"/>
          <w14:ligatures w14:val="none"/>
        </w:rPr>
        <w:t>Monoferric</w:t>
      </w:r>
      <w:proofErr w:type="spellEnd"/>
    </w:p>
    <w:p w14:paraId="5B5EF490"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64D91C7D" w14:textId="77777777" w:rsidR="008E7EE0" w:rsidRPr="008E7EE0" w:rsidRDefault="008E7EE0" w:rsidP="008E7EE0">
      <w:pPr>
        <w:tabs>
          <w:tab w:val="left" w:pos="567"/>
        </w:tabs>
        <w:spacing w:after="0" w:line="240" w:lineRule="auto"/>
        <w:rPr>
          <w:rFonts w:ascii="Times New Roman" w:eastAsia="SimSun" w:hAnsi="Times New Roman" w:cs="Times New Roman"/>
          <w:kern w:val="0"/>
          <w:sz w:val="22"/>
          <w:szCs w:val="22"/>
          <w14:ligatures w14:val="none"/>
        </w:rPr>
      </w:pPr>
      <w:r w:rsidRPr="008E7EE0">
        <w:rPr>
          <w:rFonts w:ascii="Times New Roman" w:eastAsia="SimSun" w:hAnsi="Times New Roman" w:cs="Times New Roman"/>
          <w:kern w:val="0"/>
          <w:sz w:val="22"/>
          <w:szCs w:val="22"/>
          <w14:ligatures w14:val="none"/>
        </w:rPr>
        <w:t xml:space="preserve">Šį vaistą laikykite vaikams </w:t>
      </w:r>
      <w:r w:rsidRPr="008E7EE0">
        <w:rPr>
          <w:rFonts w:ascii="Times New Roman" w:eastAsia="Calibri" w:hAnsi="Times New Roman" w:cs="Times New Roman"/>
          <w:kern w:val="0"/>
          <w:sz w:val="22"/>
          <w:szCs w:val="22"/>
          <w:lang w:eastAsia="lt-LT"/>
          <w14:ligatures w14:val="none"/>
        </w:rPr>
        <w:t>nepastebimoje ir nepasiekiamoje</w:t>
      </w:r>
      <w:r w:rsidRPr="008E7EE0">
        <w:rPr>
          <w:rFonts w:ascii="Times New Roman" w:eastAsia="SimSun" w:hAnsi="Times New Roman" w:cs="Times New Roman"/>
          <w:kern w:val="0"/>
          <w:sz w:val="22"/>
          <w:szCs w:val="22"/>
          <w14:ligatures w14:val="none"/>
        </w:rPr>
        <w:t xml:space="preserve"> vietoje.</w:t>
      </w:r>
    </w:p>
    <w:p w14:paraId="7826E1FD" w14:textId="77777777" w:rsidR="008E7EE0" w:rsidRPr="008E7EE0" w:rsidRDefault="008E7EE0" w:rsidP="008E7EE0">
      <w:pPr>
        <w:tabs>
          <w:tab w:val="left" w:pos="567"/>
        </w:tabs>
        <w:spacing w:after="0" w:line="240" w:lineRule="auto"/>
        <w:rPr>
          <w:rFonts w:ascii="Times New Roman" w:eastAsia="SimSun" w:hAnsi="Times New Roman" w:cs="Times New Roman"/>
          <w:kern w:val="0"/>
          <w:sz w:val="22"/>
          <w:szCs w:val="22"/>
          <w14:ligatures w14:val="none"/>
        </w:rPr>
      </w:pPr>
    </w:p>
    <w:p w14:paraId="06B8AD69" w14:textId="77777777" w:rsidR="008E7EE0" w:rsidRPr="008E7EE0" w:rsidRDefault="008E7EE0" w:rsidP="008E7EE0">
      <w:pPr>
        <w:tabs>
          <w:tab w:val="left" w:pos="567"/>
        </w:tabs>
        <w:spacing w:after="0" w:line="240" w:lineRule="auto"/>
        <w:rPr>
          <w:rFonts w:ascii="Times New Roman" w:eastAsia="SimSun" w:hAnsi="Times New Roman" w:cs="Times New Roman"/>
          <w:kern w:val="0"/>
          <w:sz w:val="22"/>
          <w:szCs w:val="22"/>
          <w14:ligatures w14:val="none"/>
        </w:rPr>
      </w:pPr>
      <w:r w:rsidRPr="008E7EE0">
        <w:rPr>
          <w:rFonts w:ascii="Times New Roman" w:eastAsia="SimSun" w:hAnsi="Times New Roman" w:cs="Times New Roman"/>
          <w:kern w:val="0"/>
          <w:sz w:val="22"/>
          <w:szCs w:val="22"/>
          <w14:ligatures w14:val="none"/>
        </w:rPr>
        <w:t>Ant ampulės, flakono ir dėžutės po „EXP“ nurodytam tinkamumo laikui pasibaigus, šio vaisto vartoti negalima. Vaistas tinkamas vartoti iki paskutinės nurodyto mėnesio dienos.</w:t>
      </w:r>
    </w:p>
    <w:p w14:paraId="75E14A6A" w14:textId="77777777" w:rsidR="008E7EE0" w:rsidRPr="008E7EE0" w:rsidRDefault="008E7EE0" w:rsidP="008E7EE0">
      <w:pPr>
        <w:tabs>
          <w:tab w:val="left" w:pos="567"/>
        </w:tabs>
        <w:spacing w:after="0" w:line="240" w:lineRule="auto"/>
        <w:rPr>
          <w:rFonts w:ascii="Times New Roman" w:eastAsia="SimSun" w:hAnsi="Times New Roman" w:cs="Times New Roman"/>
          <w:kern w:val="0"/>
          <w:sz w:val="22"/>
          <w:szCs w:val="22"/>
          <w14:ligatures w14:val="none"/>
        </w:rPr>
      </w:pPr>
    </w:p>
    <w:p w14:paraId="5EF0CA54" w14:textId="77777777" w:rsidR="008E7EE0" w:rsidRPr="008E7EE0" w:rsidRDefault="008E7EE0" w:rsidP="008E7EE0">
      <w:pPr>
        <w:numPr>
          <w:ilvl w:val="12"/>
          <w:numId w:val="0"/>
        </w:numPr>
        <w:tabs>
          <w:tab w:val="left" w:pos="567"/>
        </w:tabs>
        <w:spacing w:after="0" w:line="240" w:lineRule="auto"/>
        <w:ind w:right="-2"/>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Prieš vartojimą apžiūrėkite ar flakonuose/ampulėse nėra nusėdusių dalelių ar pažeidimo žymių. Vartokite tik tuos/tas, kuriuose/kuriose tirpalas yra be nusėdusių dalelių ir homogeniškas.</w:t>
      </w:r>
    </w:p>
    <w:p w14:paraId="568EE23D" w14:textId="77777777" w:rsidR="008E7EE0" w:rsidRPr="008E7EE0" w:rsidRDefault="008E7EE0" w:rsidP="008E7EE0">
      <w:pPr>
        <w:numPr>
          <w:ilvl w:val="12"/>
          <w:numId w:val="0"/>
        </w:numPr>
        <w:tabs>
          <w:tab w:val="left" w:pos="567"/>
        </w:tabs>
        <w:spacing w:after="0" w:line="240" w:lineRule="auto"/>
        <w:ind w:right="-2"/>
        <w:rPr>
          <w:rFonts w:ascii="Times New Roman" w:eastAsia="Calibri" w:hAnsi="Times New Roman" w:cs="Times New Roman"/>
          <w:kern w:val="0"/>
          <w:sz w:val="22"/>
          <w:szCs w:val="22"/>
          <w:lang w:eastAsia="lt-LT"/>
          <w14:ligatures w14:val="none"/>
        </w:rPr>
      </w:pPr>
    </w:p>
    <w:p w14:paraId="428A2350" w14:textId="77777777" w:rsidR="008E7EE0" w:rsidRPr="008E7EE0" w:rsidRDefault="008E7EE0" w:rsidP="008E7EE0">
      <w:pPr>
        <w:numPr>
          <w:ilvl w:val="12"/>
          <w:numId w:val="0"/>
        </w:numPr>
        <w:tabs>
          <w:tab w:val="left" w:pos="567"/>
        </w:tabs>
        <w:spacing w:after="0" w:line="240" w:lineRule="auto"/>
        <w:ind w:right="-2"/>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Praskiestą injekcinį tirpalą prieš vartojimą reikia apžiūrėti. Galima vartoti tik skaidrius, be nuosėdų tirpalus.</w:t>
      </w:r>
    </w:p>
    <w:p w14:paraId="48799625" w14:textId="77777777" w:rsidR="008E7EE0" w:rsidRPr="008E7EE0" w:rsidRDefault="008E7EE0" w:rsidP="008E7EE0">
      <w:pPr>
        <w:numPr>
          <w:ilvl w:val="12"/>
          <w:numId w:val="0"/>
        </w:numPr>
        <w:tabs>
          <w:tab w:val="left" w:pos="567"/>
        </w:tabs>
        <w:spacing w:after="0" w:line="240" w:lineRule="auto"/>
        <w:ind w:right="-2"/>
        <w:rPr>
          <w:rFonts w:ascii="Times New Roman" w:eastAsia="Calibri" w:hAnsi="Times New Roman" w:cs="Times New Roman"/>
          <w:kern w:val="0"/>
          <w:sz w:val="22"/>
          <w:szCs w:val="22"/>
          <w:lang w:eastAsia="lt-LT"/>
          <w14:ligatures w14:val="none"/>
        </w:rPr>
      </w:pPr>
    </w:p>
    <w:p w14:paraId="03558DFC" w14:textId="77777777" w:rsidR="00870C5D" w:rsidRDefault="008E7EE0" w:rsidP="008E7EE0">
      <w:pPr>
        <w:numPr>
          <w:ilvl w:val="12"/>
          <w:numId w:val="0"/>
        </w:numPr>
        <w:tabs>
          <w:tab w:val="left" w:pos="567"/>
        </w:tabs>
        <w:spacing w:after="0" w:line="240" w:lineRule="auto"/>
        <w:ind w:right="-2"/>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Šiam vaistui specialių laikymo sąlygų nereikia. </w:t>
      </w:r>
    </w:p>
    <w:p w14:paraId="74F86BD8" w14:textId="77777777" w:rsidR="00870C5D" w:rsidRDefault="00870C5D" w:rsidP="008E7EE0">
      <w:pPr>
        <w:numPr>
          <w:ilvl w:val="12"/>
          <w:numId w:val="0"/>
        </w:numPr>
        <w:tabs>
          <w:tab w:val="left" w:pos="567"/>
        </w:tabs>
        <w:spacing w:after="0" w:line="240" w:lineRule="auto"/>
        <w:ind w:right="-2"/>
        <w:rPr>
          <w:rFonts w:ascii="Times New Roman" w:eastAsia="Calibri" w:hAnsi="Times New Roman" w:cs="Times New Roman"/>
          <w:kern w:val="0"/>
          <w:sz w:val="22"/>
          <w:szCs w:val="22"/>
          <w:lang w:eastAsia="lt-LT"/>
          <w14:ligatures w14:val="none"/>
        </w:rPr>
      </w:pPr>
    </w:p>
    <w:p w14:paraId="7B81DA5C" w14:textId="0434B460" w:rsidR="008E7EE0" w:rsidRPr="008E7EE0" w:rsidRDefault="008E7EE0" w:rsidP="008E7EE0">
      <w:pPr>
        <w:numPr>
          <w:ilvl w:val="12"/>
          <w:numId w:val="0"/>
        </w:numPr>
        <w:tabs>
          <w:tab w:val="left" w:pos="567"/>
        </w:tabs>
        <w:spacing w:after="0" w:line="240" w:lineRule="auto"/>
        <w:ind w:right="-2"/>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Ligoninės personalas pasirūpins, kad vaistas būtų laikomas ir išmetamas tinkamai.</w:t>
      </w:r>
    </w:p>
    <w:p w14:paraId="3FA30238"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
          <w:bCs/>
          <w:kern w:val="0"/>
          <w:sz w:val="22"/>
          <w:szCs w:val="22"/>
          <w:lang w:eastAsia="lt-LT"/>
          <w14:ligatures w14:val="none"/>
        </w:rPr>
      </w:pPr>
    </w:p>
    <w:p w14:paraId="6B98EF7D"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
          <w:bCs/>
          <w:kern w:val="0"/>
          <w:sz w:val="22"/>
          <w:szCs w:val="22"/>
          <w:lang w:eastAsia="lt-LT"/>
          <w14:ligatures w14:val="none"/>
        </w:rPr>
      </w:pPr>
      <w:r w:rsidRPr="008E7EE0">
        <w:rPr>
          <w:rFonts w:ascii="Times New Roman" w:eastAsia="Calibri" w:hAnsi="Times New Roman" w:cs="Times New Roman"/>
          <w:b/>
          <w:bCs/>
          <w:kern w:val="0"/>
          <w:sz w:val="22"/>
          <w:szCs w:val="22"/>
          <w:lang w:eastAsia="lt-LT"/>
          <w14:ligatures w14:val="none"/>
        </w:rPr>
        <w:t>6.</w:t>
      </w:r>
      <w:r w:rsidRPr="008E7EE0">
        <w:rPr>
          <w:rFonts w:ascii="Times New Roman" w:eastAsia="Calibri" w:hAnsi="Times New Roman" w:cs="Times New Roman"/>
          <w:b/>
          <w:bCs/>
          <w:kern w:val="0"/>
          <w:sz w:val="22"/>
          <w:szCs w:val="22"/>
          <w:lang w:eastAsia="lt-LT"/>
          <w14:ligatures w14:val="none"/>
        </w:rPr>
        <w:tab/>
        <w:t>Pakuotės turinys ir kita informacija</w:t>
      </w:r>
    </w:p>
    <w:p w14:paraId="652883BF"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
          <w:kern w:val="0"/>
          <w:sz w:val="22"/>
          <w:szCs w:val="22"/>
          <w:lang w:eastAsia="lt-LT"/>
          <w14:ligatures w14:val="none"/>
        </w:rPr>
      </w:pPr>
    </w:p>
    <w:p w14:paraId="363D34BD" w14:textId="0C6A2C5E" w:rsidR="008E7EE0" w:rsidRPr="008E7EE0" w:rsidRDefault="00D23A58" w:rsidP="008E7EE0">
      <w:pPr>
        <w:numPr>
          <w:ilvl w:val="12"/>
          <w:numId w:val="0"/>
        </w:numPr>
        <w:tabs>
          <w:tab w:val="left" w:pos="567"/>
        </w:tabs>
        <w:spacing w:after="0" w:line="240" w:lineRule="auto"/>
        <w:ind w:right="-2"/>
        <w:rPr>
          <w:rFonts w:ascii="Times New Roman" w:eastAsia="Calibri" w:hAnsi="Times New Roman" w:cs="Times New Roman"/>
          <w:b/>
          <w:bCs/>
          <w:kern w:val="0"/>
          <w:sz w:val="22"/>
          <w:szCs w:val="22"/>
          <w:lang w:eastAsia="lt-LT"/>
          <w14:ligatures w14:val="none"/>
        </w:rPr>
      </w:pPr>
      <w:proofErr w:type="spellStart"/>
      <w:r w:rsidRPr="00D23A58">
        <w:rPr>
          <w:rFonts w:ascii="Times New Roman" w:eastAsia="Calibri" w:hAnsi="Times New Roman" w:cs="Times New Roman"/>
          <w:b/>
          <w:bCs/>
          <w:kern w:val="0"/>
          <w:sz w:val="22"/>
          <w:szCs w:val="22"/>
          <w:lang w:eastAsia="lt-LT"/>
          <w14:ligatures w14:val="none"/>
        </w:rPr>
        <w:t>Monoferric</w:t>
      </w:r>
      <w:proofErr w:type="spellEnd"/>
      <w:r w:rsidR="008E7EE0" w:rsidRPr="008E7EE0">
        <w:rPr>
          <w:rFonts w:ascii="Times New Roman" w:eastAsia="Calibri" w:hAnsi="Times New Roman" w:cs="Times New Roman"/>
          <w:b/>
          <w:bCs/>
          <w:kern w:val="0"/>
          <w:sz w:val="22"/>
          <w:szCs w:val="22"/>
          <w:lang w:eastAsia="lt-LT"/>
          <w14:ligatures w14:val="none"/>
        </w:rPr>
        <w:t xml:space="preserve"> sudėtis</w:t>
      </w:r>
    </w:p>
    <w:p w14:paraId="58A26A07" w14:textId="77777777" w:rsidR="00074DF4" w:rsidRPr="00D23A58" w:rsidRDefault="008E7EE0" w:rsidP="00074DF4">
      <w:pPr>
        <w:pStyle w:val="Sraopastraipa"/>
        <w:numPr>
          <w:ilvl w:val="0"/>
          <w:numId w:val="9"/>
        </w:numPr>
        <w:spacing w:after="0" w:line="240" w:lineRule="auto"/>
        <w:ind w:left="567" w:hanging="283"/>
        <w:rPr>
          <w:rFonts w:ascii="Times New Roman" w:eastAsia="Calibri" w:hAnsi="Times New Roman" w:cs="Times New Roman"/>
          <w:kern w:val="0"/>
          <w:sz w:val="22"/>
          <w:szCs w:val="22"/>
          <w:lang w:eastAsia="lt-LT"/>
          <w14:ligatures w14:val="none"/>
        </w:rPr>
      </w:pPr>
      <w:r w:rsidRPr="00D23A58">
        <w:rPr>
          <w:rFonts w:ascii="Times New Roman" w:eastAsia="Calibri" w:hAnsi="Times New Roman" w:cs="Times New Roman"/>
          <w:kern w:val="0"/>
          <w:sz w:val="22"/>
          <w:szCs w:val="22"/>
          <w:lang w:eastAsia="lt-LT"/>
          <w14:ligatures w14:val="none"/>
        </w:rPr>
        <w:t xml:space="preserve">Veiklioji medžiaga yra geležis (geležies (III) </w:t>
      </w:r>
      <w:proofErr w:type="spellStart"/>
      <w:r w:rsidRPr="00D23A58">
        <w:rPr>
          <w:rFonts w:ascii="Times New Roman" w:eastAsia="Calibri" w:hAnsi="Times New Roman" w:cs="Times New Roman"/>
          <w:kern w:val="0"/>
          <w:sz w:val="22"/>
          <w:szCs w:val="22"/>
          <w:lang w:eastAsia="lt-LT"/>
          <w14:ligatures w14:val="none"/>
        </w:rPr>
        <w:t>derisomaltozė</w:t>
      </w:r>
      <w:proofErr w:type="spellEnd"/>
      <w:r w:rsidRPr="00D23A58">
        <w:rPr>
          <w:rFonts w:ascii="Times New Roman" w:eastAsia="Calibri" w:hAnsi="Times New Roman" w:cs="Times New Roman"/>
          <w:kern w:val="0"/>
          <w:sz w:val="22"/>
          <w:szCs w:val="22"/>
          <w:lang w:eastAsia="lt-LT"/>
          <w14:ligatures w14:val="none"/>
        </w:rPr>
        <w:t xml:space="preserve">, geležies angliavandenių junginys). Geležies koncentracija vaiste yra 100 mg viename mililitre. </w:t>
      </w:r>
    </w:p>
    <w:p w14:paraId="651D130B" w14:textId="53755DF5" w:rsidR="008E7EE0" w:rsidRPr="00D23A58" w:rsidRDefault="008E7EE0" w:rsidP="00074DF4">
      <w:pPr>
        <w:pStyle w:val="Sraopastraipa"/>
        <w:numPr>
          <w:ilvl w:val="0"/>
          <w:numId w:val="9"/>
        </w:numPr>
        <w:spacing w:after="0" w:line="240" w:lineRule="auto"/>
        <w:ind w:left="567" w:hanging="283"/>
        <w:rPr>
          <w:rFonts w:ascii="Times New Roman" w:eastAsia="Calibri" w:hAnsi="Times New Roman" w:cs="Times New Roman"/>
          <w:kern w:val="0"/>
          <w:sz w:val="22"/>
          <w:szCs w:val="22"/>
          <w:lang w:eastAsia="lt-LT"/>
          <w14:ligatures w14:val="none"/>
        </w:rPr>
      </w:pPr>
      <w:r w:rsidRPr="00D23A58">
        <w:rPr>
          <w:rFonts w:ascii="Times New Roman" w:eastAsia="Calibri" w:hAnsi="Times New Roman" w:cs="Times New Roman"/>
          <w:kern w:val="0"/>
          <w:sz w:val="22"/>
          <w:szCs w:val="22"/>
          <w:lang w:eastAsia="lt-LT"/>
          <w14:ligatures w14:val="none"/>
        </w:rPr>
        <w:t xml:space="preserve">Pagalbinės medžiagos yra natrio hidroksidas (pH koregavimui), druskos rūgštis (pH koregavimui) ir injekcinis vanduo. </w:t>
      </w:r>
    </w:p>
    <w:p w14:paraId="27708BC7"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
          <w:bCs/>
          <w:kern w:val="0"/>
          <w:sz w:val="22"/>
          <w:szCs w:val="22"/>
          <w:lang w:eastAsia="lt-LT"/>
          <w14:ligatures w14:val="none"/>
        </w:rPr>
      </w:pPr>
    </w:p>
    <w:p w14:paraId="23AF11A9" w14:textId="621B8D7A" w:rsidR="008E7EE0" w:rsidRPr="008E7EE0" w:rsidRDefault="00D23A58" w:rsidP="008E7EE0">
      <w:pPr>
        <w:tabs>
          <w:tab w:val="left" w:pos="120"/>
          <w:tab w:val="left" w:pos="567"/>
        </w:tabs>
        <w:spacing w:after="0" w:line="240" w:lineRule="auto"/>
        <w:rPr>
          <w:rFonts w:ascii="Times New Roman" w:eastAsia="Calibri" w:hAnsi="Times New Roman" w:cs="Times New Roman"/>
          <w:b/>
          <w:bCs/>
          <w:kern w:val="0"/>
          <w:sz w:val="22"/>
          <w:szCs w:val="22"/>
          <w:lang w:eastAsia="lt-LT"/>
          <w14:ligatures w14:val="none"/>
        </w:rPr>
      </w:pPr>
      <w:proofErr w:type="spellStart"/>
      <w:r w:rsidRPr="00D23A58">
        <w:rPr>
          <w:rFonts w:ascii="Times New Roman" w:eastAsia="Calibri" w:hAnsi="Times New Roman" w:cs="Times New Roman"/>
          <w:b/>
          <w:bCs/>
          <w:kern w:val="0"/>
          <w:sz w:val="22"/>
          <w:szCs w:val="22"/>
          <w:lang w:eastAsia="lt-LT"/>
          <w14:ligatures w14:val="none"/>
        </w:rPr>
        <w:t>Monoferric</w:t>
      </w:r>
      <w:proofErr w:type="spellEnd"/>
      <w:r w:rsidR="008E7EE0" w:rsidRPr="008E7EE0">
        <w:rPr>
          <w:rFonts w:ascii="Times New Roman" w:eastAsia="Calibri" w:hAnsi="Times New Roman" w:cs="Times New Roman"/>
          <w:b/>
          <w:bCs/>
          <w:kern w:val="0"/>
          <w:sz w:val="22"/>
          <w:szCs w:val="22"/>
          <w:lang w:eastAsia="lt-LT"/>
          <w14:ligatures w14:val="none"/>
        </w:rPr>
        <w:t xml:space="preserve"> išvaizda ir kiekis pakuotėje</w:t>
      </w:r>
    </w:p>
    <w:p w14:paraId="797F5CAE" w14:textId="22ECD5FA" w:rsidR="00756C36" w:rsidRPr="00756C36" w:rsidRDefault="000A0C39" w:rsidP="00756C36">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sidRPr="000A0C39">
        <w:rPr>
          <w:rFonts w:ascii="Times New Roman" w:eastAsia="Calibri" w:hAnsi="Times New Roman" w:cs="Times New Roman"/>
          <w:kern w:val="0"/>
          <w:sz w:val="22"/>
          <w:szCs w:val="22"/>
          <w:lang w:eastAsia="lt-LT"/>
          <w14:ligatures w14:val="none"/>
        </w:rPr>
        <w:t>Monoferric</w:t>
      </w:r>
      <w:proofErr w:type="spellEnd"/>
      <w:r w:rsidRPr="000A0C39">
        <w:rPr>
          <w:rFonts w:ascii="Times New Roman" w:eastAsia="Calibri" w:hAnsi="Times New Roman" w:cs="Times New Roman"/>
          <w:kern w:val="0"/>
          <w:sz w:val="22"/>
          <w:szCs w:val="22"/>
          <w:lang w:eastAsia="lt-LT"/>
          <w14:ligatures w14:val="none"/>
        </w:rPr>
        <w:t xml:space="preserve"> </w:t>
      </w:r>
      <w:r w:rsidR="00756C36" w:rsidRPr="00756C36">
        <w:rPr>
          <w:rFonts w:ascii="Times New Roman" w:eastAsia="Calibri" w:hAnsi="Times New Roman" w:cs="Times New Roman"/>
          <w:kern w:val="0"/>
          <w:sz w:val="22"/>
          <w:szCs w:val="22"/>
          <w:lang w:eastAsia="lt-LT"/>
          <w14:ligatures w14:val="none"/>
        </w:rPr>
        <w:t>yra tamsiai rudas, neskaidrus injekcinis ar infuzinis tirpalas.</w:t>
      </w:r>
    </w:p>
    <w:p w14:paraId="2613735A" w14:textId="5AB33531" w:rsidR="00756C36" w:rsidRPr="00756C36" w:rsidRDefault="000A0C39" w:rsidP="00756C36">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sidRPr="000A0C39">
        <w:rPr>
          <w:rFonts w:ascii="Times New Roman" w:eastAsia="Calibri" w:hAnsi="Times New Roman" w:cs="Times New Roman"/>
          <w:kern w:val="0"/>
          <w:sz w:val="22"/>
          <w:szCs w:val="22"/>
          <w:lang w:eastAsia="lt-LT"/>
          <w14:ligatures w14:val="none"/>
        </w:rPr>
        <w:t>Monoferric</w:t>
      </w:r>
      <w:proofErr w:type="spellEnd"/>
      <w:r w:rsidRPr="000A0C39">
        <w:rPr>
          <w:rFonts w:ascii="Times New Roman" w:eastAsia="Calibri" w:hAnsi="Times New Roman" w:cs="Times New Roman"/>
          <w:kern w:val="0"/>
          <w:sz w:val="22"/>
          <w:szCs w:val="22"/>
          <w:lang w:eastAsia="lt-LT"/>
          <w14:ligatures w14:val="none"/>
        </w:rPr>
        <w:t xml:space="preserve"> </w:t>
      </w:r>
      <w:r w:rsidR="00756C36" w:rsidRPr="00756C36">
        <w:rPr>
          <w:rFonts w:ascii="Times New Roman" w:eastAsia="Calibri" w:hAnsi="Times New Roman" w:cs="Times New Roman"/>
          <w:kern w:val="0"/>
          <w:sz w:val="22"/>
          <w:szCs w:val="22"/>
          <w:lang w:eastAsia="lt-LT"/>
          <w14:ligatures w14:val="none"/>
        </w:rPr>
        <w:t>tiekiamas stiklinėmis ampulėmis ar stikliniais flakonais turinčiais:</w:t>
      </w:r>
    </w:p>
    <w:p w14:paraId="533D0C26" w14:textId="4C17A531" w:rsidR="00756C36" w:rsidRPr="00756C36" w:rsidRDefault="00756C36" w:rsidP="00756C36">
      <w:pPr>
        <w:pStyle w:val="Sraopastraipa"/>
        <w:numPr>
          <w:ilvl w:val="0"/>
          <w:numId w:val="22"/>
        </w:numPr>
        <w:spacing w:after="0" w:line="240" w:lineRule="auto"/>
        <w:ind w:left="567" w:hanging="283"/>
        <w:rPr>
          <w:rFonts w:ascii="Times New Roman" w:eastAsia="Calibri" w:hAnsi="Times New Roman" w:cs="Times New Roman"/>
          <w:kern w:val="0"/>
          <w:sz w:val="22"/>
          <w:szCs w:val="22"/>
          <w:lang w:eastAsia="lt-LT"/>
          <w14:ligatures w14:val="none"/>
        </w:rPr>
      </w:pPr>
      <w:r w:rsidRPr="00756C36">
        <w:rPr>
          <w:rFonts w:ascii="Times New Roman" w:eastAsia="Calibri" w:hAnsi="Times New Roman" w:cs="Times New Roman"/>
          <w:kern w:val="0"/>
          <w:sz w:val="22"/>
          <w:szCs w:val="22"/>
          <w:lang w:eastAsia="lt-LT"/>
          <w14:ligatures w14:val="none"/>
        </w:rPr>
        <w:t xml:space="preserve">1 ml tirpalo yra 100 mg geležies, geležies (III) </w:t>
      </w:r>
      <w:proofErr w:type="spellStart"/>
      <w:r w:rsidRPr="00756C36">
        <w:rPr>
          <w:rFonts w:ascii="Times New Roman" w:eastAsia="Calibri" w:hAnsi="Times New Roman" w:cs="Times New Roman"/>
          <w:kern w:val="0"/>
          <w:sz w:val="22"/>
          <w:szCs w:val="22"/>
          <w:lang w:eastAsia="lt-LT"/>
          <w14:ligatures w14:val="none"/>
        </w:rPr>
        <w:t>derisomaltozės</w:t>
      </w:r>
      <w:proofErr w:type="spellEnd"/>
      <w:r w:rsidRPr="00756C36">
        <w:rPr>
          <w:rFonts w:ascii="Times New Roman" w:eastAsia="Calibri" w:hAnsi="Times New Roman" w:cs="Times New Roman"/>
          <w:kern w:val="0"/>
          <w:sz w:val="22"/>
          <w:szCs w:val="22"/>
          <w:lang w:eastAsia="lt-LT"/>
          <w14:ligatures w14:val="none"/>
        </w:rPr>
        <w:t xml:space="preserve"> pavidalu.</w:t>
      </w:r>
    </w:p>
    <w:p w14:paraId="68080071" w14:textId="5D5E8503" w:rsidR="00756C36" w:rsidRPr="00756C36" w:rsidRDefault="00756C36" w:rsidP="00756C36">
      <w:pPr>
        <w:pStyle w:val="Sraopastraipa"/>
        <w:numPr>
          <w:ilvl w:val="0"/>
          <w:numId w:val="22"/>
        </w:numPr>
        <w:spacing w:after="0" w:line="240" w:lineRule="auto"/>
        <w:ind w:left="567" w:hanging="283"/>
        <w:rPr>
          <w:rFonts w:ascii="Times New Roman" w:eastAsia="Calibri" w:hAnsi="Times New Roman" w:cs="Times New Roman"/>
          <w:kern w:val="0"/>
          <w:sz w:val="22"/>
          <w:szCs w:val="22"/>
          <w:lang w:eastAsia="lt-LT"/>
          <w14:ligatures w14:val="none"/>
        </w:rPr>
      </w:pPr>
      <w:r w:rsidRPr="00756C36">
        <w:rPr>
          <w:rFonts w:ascii="Times New Roman" w:eastAsia="Calibri" w:hAnsi="Times New Roman" w:cs="Times New Roman"/>
          <w:kern w:val="0"/>
          <w:sz w:val="22"/>
          <w:szCs w:val="22"/>
          <w:lang w:eastAsia="lt-LT"/>
          <w14:ligatures w14:val="none"/>
        </w:rPr>
        <w:t xml:space="preserve">2 ml tirpalo yra 200 mg geležies, geležies (III) </w:t>
      </w:r>
      <w:proofErr w:type="spellStart"/>
      <w:r w:rsidRPr="00756C36">
        <w:rPr>
          <w:rFonts w:ascii="Times New Roman" w:eastAsia="Calibri" w:hAnsi="Times New Roman" w:cs="Times New Roman"/>
          <w:kern w:val="0"/>
          <w:sz w:val="22"/>
          <w:szCs w:val="22"/>
          <w:lang w:eastAsia="lt-LT"/>
          <w14:ligatures w14:val="none"/>
        </w:rPr>
        <w:t>derisomaltozės</w:t>
      </w:r>
      <w:proofErr w:type="spellEnd"/>
      <w:r w:rsidRPr="00756C36">
        <w:rPr>
          <w:rFonts w:ascii="Times New Roman" w:eastAsia="Calibri" w:hAnsi="Times New Roman" w:cs="Times New Roman"/>
          <w:kern w:val="0"/>
          <w:sz w:val="22"/>
          <w:szCs w:val="22"/>
          <w:lang w:eastAsia="lt-LT"/>
          <w14:ligatures w14:val="none"/>
        </w:rPr>
        <w:t xml:space="preserve"> pavidalu.</w:t>
      </w:r>
    </w:p>
    <w:p w14:paraId="1605EBCF" w14:textId="6FE64A8E" w:rsidR="00756C36" w:rsidRPr="00756C36" w:rsidRDefault="00756C36" w:rsidP="00756C36">
      <w:pPr>
        <w:pStyle w:val="Sraopastraipa"/>
        <w:numPr>
          <w:ilvl w:val="0"/>
          <w:numId w:val="22"/>
        </w:numPr>
        <w:spacing w:after="0" w:line="240" w:lineRule="auto"/>
        <w:ind w:left="567" w:hanging="283"/>
        <w:rPr>
          <w:rFonts w:ascii="Times New Roman" w:eastAsia="Calibri" w:hAnsi="Times New Roman" w:cs="Times New Roman"/>
          <w:kern w:val="0"/>
          <w:sz w:val="22"/>
          <w:szCs w:val="22"/>
          <w:lang w:eastAsia="lt-LT"/>
          <w14:ligatures w14:val="none"/>
        </w:rPr>
      </w:pPr>
      <w:r w:rsidRPr="00756C36">
        <w:rPr>
          <w:rFonts w:ascii="Times New Roman" w:eastAsia="Calibri" w:hAnsi="Times New Roman" w:cs="Times New Roman"/>
          <w:kern w:val="0"/>
          <w:sz w:val="22"/>
          <w:szCs w:val="22"/>
          <w:lang w:eastAsia="lt-LT"/>
          <w14:ligatures w14:val="none"/>
        </w:rPr>
        <w:t xml:space="preserve">5 ml tirpalo yra 500 mg geležies, geležies (III) </w:t>
      </w:r>
      <w:proofErr w:type="spellStart"/>
      <w:r w:rsidRPr="00756C36">
        <w:rPr>
          <w:rFonts w:ascii="Times New Roman" w:eastAsia="Calibri" w:hAnsi="Times New Roman" w:cs="Times New Roman"/>
          <w:kern w:val="0"/>
          <w:sz w:val="22"/>
          <w:szCs w:val="22"/>
          <w:lang w:eastAsia="lt-LT"/>
          <w14:ligatures w14:val="none"/>
        </w:rPr>
        <w:t>derisomaltozės</w:t>
      </w:r>
      <w:proofErr w:type="spellEnd"/>
      <w:r w:rsidRPr="00756C36">
        <w:rPr>
          <w:rFonts w:ascii="Times New Roman" w:eastAsia="Calibri" w:hAnsi="Times New Roman" w:cs="Times New Roman"/>
          <w:kern w:val="0"/>
          <w:sz w:val="22"/>
          <w:szCs w:val="22"/>
          <w:lang w:eastAsia="lt-LT"/>
          <w14:ligatures w14:val="none"/>
        </w:rPr>
        <w:t xml:space="preserve"> pavidalu.</w:t>
      </w:r>
    </w:p>
    <w:p w14:paraId="7C34283B" w14:textId="1CDCD399" w:rsidR="00756C36" w:rsidRPr="00756C36" w:rsidRDefault="00756C36" w:rsidP="00756C36">
      <w:pPr>
        <w:pStyle w:val="Sraopastraipa"/>
        <w:numPr>
          <w:ilvl w:val="0"/>
          <w:numId w:val="22"/>
        </w:numPr>
        <w:spacing w:after="0" w:line="240" w:lineRule="auto"/>
        <w:ind w:left="567" w:hanging="283"/>
        <w:rPr>
          <w:rFonts w:ascii="Times New Roman" w:eastAsia="Calibri" w:hAnsi="Times New Roman" w:cs="Times New Roman"/>
          <w:kern w:val="0"/>
          <w:sz w:val="22"/>
          <w:szCs w:val="22"/>
          <w:lang w:eastAsia="lt-LT"/>
          <w14:ligatures w14:val="none"/>
        </w:rPr>
      </w:pPr>
      <w:r w:rsidRPr="00756C36">
        <w:rPr>
          <w:rFonts w:ascii="Times New Roman" w:eastAsia="Calibri" w:hAnsi="Times New Roman" w:cs="Times New Roman"/>
          <w:kern w:val="0"/>
          <w:sz w:val="22"/>
          <w:szCs w:val="22"/>
          <w:lang w:eastAsia="lt-LT"/>
          <w14:ligatures w14:val="none"/>
        </w:rPr>
        <w:t xml:space="preserve">10 ml tirpalo yra 1000 mg geležies, geležies (III) </w:t>
      </w:r>
      <w:proofErr w:type="spellStart"/>
      <w:r w:rsidRPr="00756C36">
        <w:rPr>
          <w:rFonts w:ascii="Times New Roman" w:eastAsia="Calibri" w:hAnsi="Times New Roman" w:cs="Times New Roman"/>
          <w:kern w:val="0"/>
          <w:sz w:val="22"/>
          <w:szCs w:val="22"/>
          <w:lang w:eastAsia="lt-LT"/>
          <w14:ligatures w14:val="none"/>
        </w:rPr>
        <w:t>derisomaltozės</w:t>
      </w:r>
      <w:proofErr w:type="spellEnd"/>
      <w:r w:rsidRPr="00756C36">
        <w:rPr>
          <w:rFonts w:ascii="Times New Roman" w:eastAsia="Calibri" w:hAnsi="Times New Roman" w:cs="Times New Roman"/>
          <w:kern w:val="0"/>
          <w:sz w:val="22"/>
          <w:szCs w:val="22"/>
          <w:lang w:eastAsia="lt-LT"/>
          <w14:ligatures w14:val="none"/>
        </w:rPr>
        <w:t xml:space="preserve"> pavidalu.</w:t>
      </w:r>
    </w:p>
    <w:p w14:paraId="77F85CEF" w14:textId="77777777" w:rsidR="00756C36" w:rsidRPr="00756C36" w:rsidRDefault="00756C36" w:rsidP="00756C36">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0E12469F" w14:textId="77777777" w:rsidR="00756C36" w:rsidRPr="00756C36" w:rsidRDefault="00756C36" w:rsidP="00756C36">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756C36">
        <w:rPr>
          <w:rFonts w:ascii="Times New Roman" w:eastAsia="Calibri" w:hAnsi="Times New Roman" w:cs="Times New Roman"/>
          <w:kern w:val="0"/>
          <w:sz w:val="22"/>
          <w:szCs w:val="22"/>
          <w:lang w:eastAsia="lt-LT"/>
          <w14:ligatures w14:val="none"/>
        </w:rPr>
        <w:t>Pakuočių dydžiai:</w:t>
      </w:r>
    </w:p>
    <w:p w14:paraId="6E2BF6BC" w14:textId="77777777" w:rsidR="00756C36" w:rsidRPr="00756C36" w:rsidRDefault="00756C36" w:rsidP="00756C36">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756C36">
        <w:rPr>
          <w:rFonts w:ascii="Times New Roman" w:eastAsia="Calibri" w:hAnsi="Times New Roman" w:cs="Times New Roman"/>
          <w:kern w:val="0"/>
          <w:sz w:val="22"/>
          <w:szCs w:val="22"/>
          <w:lang w:eastAsia="lt-LT"/>
          <w14:ligatures w14:val="none"/>
        </w:rPr>
        <w:t>Ampulės: 5 × 2 ml, 10 × 2 ml, 1 x 5 ml, 1 x 10 ml;</w:t>
      </w:r>
    </w:p>
    <w:p w14:paraId="27A5743F" w14:textId="77777777" w:rsidR="00756C36" w:rsidRDefault="00756C36" w:rsidP="00756C36">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756C36">
        <w:rPr>
          <w:rFonts w:ascii="Times New Roman" w:eastAsia="Calibri" w:hAnsi="Times New Roman" w:cs="Times New Roman"/>
          <w:kern w:val="0"/>
          <w:sz w:val="22"/>
          <w:szCs w:val="22"/>
          <w:lang w:eastAsia="lt-LT"/>
          <w14:ligatures w14:val="none"/>
        </w:rPr>
        <w:t>Flakonai: 5 × 2 ml, 10 × 2 ml, 1 x 5 ml, 1 x 10 ml.</w:t>
      </w:r>
    </w:p>
    <w:p w14:paraId="629B9272" w14:textId="77777777" w:rsidR="00532CEA" w:rsidRPr="00756C36" w:rsidRDefault="00532CEA" w:rsidP="00756C36">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6D8E4E12" w14:textId="116968BC" w:rsidR="008E7EE0" w:rsidRDefault="00756C36" w:rsidP="00756C36">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756C36">
        <w:rPr>
          <w:rFonts w:ascii="Times New Roman" w:eastAsia="Calibri" w:hAnsi="Times New Roman" w:cs="Times New Roman"/>
          <w:kern w:val="0"/>
          <w:sz w:val="22"/>
          <w:szCs w:val="22"/>
          <w:lang w:eastAsia="lt-LT"/>
          <w14:ligatures w14:val="none"/>
        </w:rPr>
        <w:t>Gali būti tiekiamos ne visų dydžių pakuotės.</w:t>
      </w:r>
    </w:p>
    <w:p w14:paraId="1D2ECF77" w14:textId="77777777" w:rsidR="00532CEA" w:rsidRPr="008E7EE0" w:rsidRDefault="00532CEA" w:rsidP="00756C36">
      <w:pPr>
        <w:tabs>
          <w:tab w:val="left" w:pos="120"/>
          <w:tab w:val="left" w:pos="567"/>
        </w:tabs>
        <w:spacing w:after="0" w:line="240" w:lineRule="auto"/>
        <w:rPr>
          <w:rFonts w:ascii="Times New Roman" w:eastAsia="Calibri" w:hAnsi="Times New Roman" w:cs="Times New Roman"/>
          <w:b/>
          <w:bCs/>
          <w:kern w:val="0"/>
          <w:sz w:val="22"/>
          <w:szCs w:val="22"/>
          <w:lang w:eastAsia="lt-LT"/>
          <w14:ligatures w14:val="none"/>
        </w:rPr>
      </w:pPr>
    </w:p>
    <w:p w14:paraId="44373558" w14:textId="77777777" w:rsidR="00E41669" w:rsidRPr="00E41669" w:rsidRDefault="00E41669" w:rsidP="00E41669">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E41669">
        <w:rPr>
          <w:rFonts w:ascii="Times New Roman" w:eastAsia="Times New Roman" w:hAnsi="Times New Roman" w:cs="Times New Roman"/>
          <w:b/>
          <w:noProof/>
          <w:kern w:val="0"/>
          <w:sz w:val="22"/>
          <w:szCs w:val="22"/>
          <w14:ligatures w14:val="none"/>
        </w:rPr>
        <w:t>Registruotojas eksportuojančioje valstybėje ir gamintojas</w:t>
      </w:r>
    </w:p>
    <w:p w14:paraId="7EB23968" w14:textId="77777777" w:rsidR="00E41669" w:rsidRPr="00D23A58" w:rsidRDefault="00E41669" w:rsidP="00E4166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23A58">
        <w:rPr>
          <w:rFonts w:ascii="Times New Roman" w:eastAsia="Aptos" w:hAnsi="Times New Roman" w:cs="Times New Roman"/>
          <w:bCs/>
          <w:color w:val="000000"/>
          <w:kern w:val="0"/>
          <w:sz w:val="22"/>
          <w:szCs w:val="22"/>
          <w14:ligatures w14:val="none"/>
        </w:rPr>
        <w:t>Pharmacosmos</w:t>
      </w:r>
      <w:proofErr w:type="spellEnd"/>
      <w:r w:rsidRPr="00D23A58">
        <w:rPr>
          <w:rFonts w:ascii="Times New Roman" w:eastAsia="Aptos" w:hAnsi="Times New Roman" w:cs="Times New Roman"/>
          <w:bCs/>
          <w:color w:val="000000"/>
          <w:kern w:val="0"/>
          <w:sz w:val="22"/>
          <w:szCs w:val="22"/>
          <w14:ligatures w14:val="none"/>
        </w:rPr>
        <w:t xml:space="preserve"> A/S</w:t>
      </w:r>
    </w:p>
    <w:p w14:paraId="165137E1" w14:textId="77777777" w:rsidR="00E41669" w:rsidRPr="00D23A58" w:rsidRDefault="00E41669" w:rsidP="00E4166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23A58">
        <w:rPr>
          <w:rFonts w:ascii="Times New Roman" w:eastAsia="Aptos" w:hAnsi="Times New Roman" w:cs="Times New Roman"/>
          <w:bCs/>
          <w:color w:val="000000"/>
          <w:kern w:val="0"/>
          <w:sz w:val="22"/>
          <w:szCs w:val="22"/>
          <w14:ligatures w14:val="none"/>
        </w:rPr>
        <w:t>Roervangsvej</w:t>
      </w:r>
      <w:proofErr w:type="spellEnd"/>
      <w:r w:rsidRPr="00D23A58">
        <w:rPr>
          <w:rFonts w:ascii="Times New Roman" w:eastAsia="Aptos" w:hAnsi="Times New Roman" w:cs="Times New Roman"/>
          <w:bCs/>
          <w:color w:val="000000"/>
          <w:kern w:val="0"/>
          <w:sz w:val="22"/>
          <w:szCs w:val="22"/>
          <w14:ligatures w14:val="none"/>
        </w:rPr>
        <w:t xml:space="preserve"> 30</w:t>
      </w:r>
    </w:p>
    <w:p w14:paraId="44D97832" w14:textId="77777777" w:rsidR="00E41669" w:rsidRPr="00D23A58" w:rsidRDefault="00E41669" w:rsidP="00E4166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23A58">
        <w:rPr>
          <w:rFonts w:ascii="Times New Roman" w:eastAsia="Aptos" w:hAnsi="Times New Roman" w:cs="Times New Roman"/>
          <w:bCs/>
          <w:color w:val="000000"/>
          <w:kern w:val="0"/>
          <w:sz w:val="22"/>
          <w:szCs w:val="22"/>
          <w14:ligatures w14:val="none"/>
        </w:rPr>
        <w:t xml:space="preserve">DK-4300 </w:t>
      </w:r>
      <w:proofErr w:type="spellStart"/>
      <w:r w:rsidRPr="00D23A58">
        <w:rPr>
          <w:rFonts w:ascii="Times New Roman" w:eastAsia="Aptos" w:hAnsi="Times New Roman" w:cs="Times New Roman"/>
          <w:bCs/>
          <w:color w:val="000000"/>
          <w:kern w:val="0"/>
          <w:sz w:val="22"/>
          <w:szCs w:val="22"/>
          <w14:ligatures w14:val="none"/>
        </w:rPr>
        <w:t>Holbaek</w:t>
      </w:r>
      <w:proofErr w:type="spellEnd"/>
    </w:p>
    <w:p w14:paraId="150642F1" w14:textId="65E4FE9D" w:rsidR="00E41669" w:rsidRPr="00E41669" w:rsidRDefault="00E41669" w:rsidP="00E4166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23A58">
        <w:rPr>
          <w:rFonts w:ascii="Times New Roman" w:eastAsia="Aptos" w:hAnsi="Times New Roman" w:cs="Times New Roman"/>
          <w:bCs/>
          <w:color w:val="000000"/>
          <w:kern w:val="0"/>
          <w:sz w:val="22"/>
          <w:szCs w:val="22"/>
          <w14:ligatures w14:val="none"/>
        </w:rPr>
        <w:lastRenderedPageBreak/>
        <w:t>Danija</w:t>
      </w:r>
    </w:p>
    <w:p w14:paraId="2C40B63E" w14:textId="77777777" w:rsidR="00E41669" w:rsidRPr="00E41669" w:rsidRDefault="00E41669" w:rsidP="00E41669">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99C4476" w14:textId="77777777" w:rsidR="00E41669" w:rsidRPr="00E41669" w:rsidRDefault="00E41669" w:rsidP="00E41669">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41669">
        <w:rPr>
          <w:rFonts w:ascii="Times New Roman" w:eastAsia="Aptos" w:hAnsi="Times New Roman" w:cs="Times New Roman"/>
          <w:b/>
          <w:color w:val="000000"/>
          <w:kern w:val="0"/>
          <w:sz w:val="22"/>
          <w:szCs w:val="22"/>
          <w14:ligatures w14:val="none"/>
        </w:rPr>
        <w:t xml:space="preserve">Lygiagretus importuotojas </w:t>
      </w:r>
      <w:r w:rsidRPr="00E41669">
        <w:rPr>
          <w:rFonts w:ascii="Times New Roman" w:eastAsia="Aptos" w:hAnsi="Times New Roman" w:cs="Times New Roman"/>
          <w:b/>
          <w:color w:val="000000"/>
          <w:kern w:val="0"/>
          <w:sz w:val="22"/>
          <w:szCs w:val="22"/>
          <w14:ligatures w14:val="none"/>
        </w:rPr>
        <w:br/>
      </w:r>
      <w:r w:rsidRPr="00E41669">
        <w:rPr>
          <w:rFonts w:ascii="Times New Roman" w:eastAsia="TimesNewRoman" w:hAnsi="Times New Roman" w:cs="Times New Roman"/>
          <w:color w:val="000000"/>
          <w:kern w:val="0"/>
          <w:sz w:val="22"/>
          <w:szCs w:val="22"/>
          <w14:ligatures w14:val="none"/>
        </w:rPr>
        <w:t>UAB „</w:t>
      </w:r>
      <w:proofErr w:type="spellStart"/>
      <w:r w:rsidRPr="00E41669">
        <w:rPr>
          <w:rFonts w:ascii="Times New Roman" w:eastAsia="TimesNewRoman" w:hAnsi="Times New Roman" w:cs="Times New Roman"/>
          <w:color w:val="000000"/>
          <w:kern w:val="0"/>
          <w:sz w:val="22"/>
          <w:szCs w:val="22"/>
          <w14:ligatures w14:val="none"/>
        </w:rPr>
        <w:t>Niromed</w:t>
      </w:r>
      <w:proofErr w:type="spellEnd"/>
      <w:r w:rsidRPr="00E41669">
        <w:rPr>
          <w:rFonts w:ascii="Times New Roman" w:eastAsia="TimesNewRoman" w:hAnsi="Times New Roman" w:cs="Times New Roman"/>
          <w:color w:val="000000"/>
          <w:kern w:val="0"/>
          <w:sz w:val="22"/>
          <w:szCs w:val="22"/>
          <w14:ligatures w14:val="none"/>
        </w:rPr>
        <w:t>“</w:t>
      </w:r>
      <w:r w:rsidRPr="00E41669">
        <w:rPr>
          <w:rFonts w:ascii="Times New Roman" w:eastAsia="Aptos" w:hAnsi="Times New Roman" w:cs="Times New Roman"/>
          <w:b/>
          <w:color w:val="000000"/>
          <w:kern w:val="0"/>
          <w:sz w:val="22"/>
          <w:szCs w:val="22"/>
          <w14:ligatures w14:val="none"/>
        </w:rPr>
        <w:br/>
      </w:r>
      <w:r w:rsidRPr="00E41669">
        <w:rPr>
          <w:rFonts w:ascii="Times New Roman" w:eastAsia="TimesNewRoman" w:hAnsi="Times New Roman" w:cs="Times New Roman"/>
          <w:color w:val="000000"/>
          <w:kern w:val="0"/>
          <w:sz w:val="22"/>
          <w:szCs w:val="22"/>
          <w14:ligatures w14:val="none"/>
        </w:rPr>
        <w:t>Žirmūnų g. 139A</w:t>
      </w:r>
      <w:r w:rsidRPr="00E41669">
        <w:rPr>
          <w:rFonts w:ascii="Times New Roman" w:eastAsia="Aptos" w:hAnsi="Times New Roman" w:cs="Times New Roman"/>
          <w:b/>
          <w:color w:val="000000"/>
          <w:kern w:val="0"/>
          <w:sz w:val="22"/>
          <w:szCs w:val="22"/>
          <w14:ligatures w14:val="none"/>
        </w:rPr>
        <w:br/>
      </w:r>
      <w:r w:rsidRPr="00E41669">
        <w:rPr>
          <w:rFonts w:ascii="Times New Roman" w:eastAsia="TimesNewRoman" w:hAnsi="Times New Roman" w:cs="Times New Roman"/>
          <w:color w:val="000000"/>
          <w:kern w:val="0"/>
          <w:sz w:val="22"/>
          <w:szCs w:val="22"/>
          <w14:ligatures w14:val="none"/>
        </w:rPr>
        <w:t>LT-09120 Vilnius</w:t>
      </w:r>
      <w:r w:rsidRPr="00E41669">
        <w:rPr>
          <w:rFonts w:ascii="Times New Roman" w:eastAsia="TimesNewRoman" w:hAnsi="Times New Roman" w:cs="Times New Roman"/>
          <w:color w:val="000000"/>
          <w:kern w:val="0"/>
          <w:sz w:val="22"/>
          <w:szCs w:val="22"/>
          <w14:ligatures w14:val="none"/>
        </w:rPr>
        <w:br/>
        <w:t>Lietuva</w:t>
      </w:r>
    </w:p>
    <w:p w14:paraId="0AFB37D7" w14:textId="77777777" w:rsidR="00E41669" w:rsidRPr="00E41669" w:rsidRDefault="00E41669" w:rsidP="00E41669">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299E5D5" w14:textId="77777777" w:rsidR="00E41669" w:rsidRPr="00E41669" w:rsidRDefault="00E41669" w:rsidP="00E41669">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41669">
        <w:rPr>
          <w:rFonts w:ascii="Times New Roman" w:eastAsia="Times New Roman" w:hAnsi="Times New Roman" w:cs="Times New Roman"/>
          <w:b/>
          <w:bCs/>
          <w:kern w:val="0"/>
          <w:sz w:val="22"/>
          <w:szCs w:val="22"/>
          <w14:ligatures w14:val="none"/>
        </w:rPr>
        <w:t>Perpakavo</w:t>
      </w:r>
    </w:p>
    <w:p w14:paraId="4512F518" w14:textId="77777777" w:rsidR="00E41669" w:rsidRPr="00E41669" w:rsidRDefault="00E41669" w:rsidP="00E4166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41669">
        <w:rPr>
          <w:rFonts w:ascii="Times New Roman" w:eastAsia="TimesNewRoman" w:hAnsi="Times New Roman" w:cs="Times New Roman"/>
          <w:color w:val="000000"/>
          <w:kern w:val="0"/>
          <w:sz w:val="22"/>
          <w:szCs w:val="22"/>
          <w14:ligatures w14:val="none"/>
        </w:rPr>
        <w:t xml:space="preserve">LABOR </w:t>
      </w:r>
      <w:proofErr w:type="spellStart"/>
      <w:r w:rsidRPr="00E41669">
        <w:rPr>
          <w:rFonts w:ascii="Times New Roman" w:eastAsia="TimesNewRoman" w:hAnsi="Times New Roman" w:cs="Times New Roman"/>
          <w:color w:val="000000"/>
          <w:kern w:val="0"/>
          <w:sz w:val="22"/>
          <w:szCs w:val="22"/>
          <w14:ligatures w14:val="none"/>
        </w:rPr>
        <w:t>Przedsiębiorstwo</w:t>
      </w:r>
      <w:proofErr w:type="spellEnd"/>
      <w:r w:rsidRPr="00E41669">
        <w:rPr>
          <w:rFonts w:ascii="Times New Roman" w:eastAsia="TimesNewRoman" w:hAnsi="Times New Roman" w:cs="Times New Roman"/>
          <w:color w:val="000000"/>
          <w:kern w:val="0"/>
          <w:sz w:val="22"/>
          <w:szCs w:val="22"/>
          <w14:ligatures w14:val="none"/>
        </w:rPr>
        <w:t xml:space="preserve"> </w:t>
      </w:r>
      <w:proofErr w:type="spellStart"/>
      <w:r w:rsidRPr="00E41669">
        <w:rPr>
          <w:rFonts w:ascii="Times New Roman" w:eastAsia="TimesNewRoman" w:hAnsi="Times New Roman" w:cs="Times New Roman"/>
          <w:color w:val="000000"/>
          <w:kern w:val="0"/>
          <w:sz w:val="22"/>
          <w:szCs w:val="22"/>
          <w14:ligatures w14:val="none"/>
        </w:rPr>
        <w:t>Farmaceutyczno-Chemiczne</w:t>
      </w:r>
      <w:proofErr w:type="spellEnd"/>
      <w:r w:rsidRPr="00E41669">
        <w:rPr>
          <w:rFonts w:ascii="Times New Roman" w:eastAsia="TimesNewRoman" w:hAnsi="Times New Roman" w:cs="Times New Roman"/>
          <w:color w:val="000000"/>
          <w:kern w:val="0"/>
          <w:sz w:val="22"/>
          <w:szCs w:val="22"/>
          <w14:ligatures w14:val="none"/>
        </w:rPr>
        <w:t xml:space="preserve"> sp. z </w:t>
      </w:r>
      <w:proofErr w:type="spellStart"/>
      <w:r w:rsidRPr="00E41669">
        <w:rPr>
          <w:rFonts w:ascii="Times New Roman" w:eastAsia="TimesNewRoman" w:hAnsi="Times New Roman" w:cs="Times New Roman"/>
          <w:color w:val="000000"/>
          <w:kern w:val="0"/>
          <w:sz w:val="22"/>
          <w:szCs w:val="22"/>
          <w14:ligatures w14:val="none"/>
        </w:rPr>
        <w:t>o.o</w:t>
      </w:r>
      <w:proofErr w:type="spellEnd"/>
      <w:r w:rsidRPr="00E41669">
        <w:rPr>
          <w:rFonts w:ascii="Times New Roman" w:eastAsia="TimesNewRoman" w:hAnsi="Times New Roman" w:cs="Times New Roman"/>
          <w:color w:val="000000"/>
          <w:kern w:val="0"/>
          <w:sz w:val="22"/>
          <w:szCs w:val="22"/>
          <w14:ligatures w14:val="none"/>
        </w:rPr>
        <w:t>.</w:t>
      </w:r>
    </w:p>
    <w:p w14:paraId="035175F6" w14:textId="77777777" w:rsidR="00E41669" w:rsidRPr="00E41669" w:rsidRDefault="00E41669" w:rsidP="00E4166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E41669">
        <w:rPr>
          <w:rFonts w:ascii="Times New Roman" w:eastAsia="TimesNewRoman" w:hAnsi="Times New Roman" w:cs="Times New Roman"/>
          <w:color w:val="000000"/>
          <w:kern w:val="0"/>
          <w:sz w:val="22"/>
          <w:szCs w:val="22"/>
          <w14:ligatures w14:val="none"/>
        </w:rPr>
        <w:t>Ul</w:t>
      </w:r>
      <w:proofErr w:type="spellEnd"/>
      <w:r w:rsidRPr="00E41669">
        <w:rPr>
          <w:rFonts w:ascii="Times New Roman" w:eastAsia="TimesNewRoman" w:hAnsi="Times New Roman" w:cs="Times New Roman"/>
          <w:color w:val="000000"/>
          <w:kern w:val="0"/>
          <w:sz w:val="22"/>
          <w:szCs w:val="22"/>
          <w14:ligatures w14:val="none"/>
        </w:rPr>
        <w:t xml:space="preserve">. </w:t>
      </w:r>
      <w:proofErr w:type="spellStart"/>
      <w:r w:rsidRPr="00E41669">
        <w:rPr>
          <w:rFonts w:ascii="Times New Roman" w:eastAsia="TimesNewRoman" w:hAnsi="Times New Roman" w:cs="Times New Roman"/>
          <w:color w:val="000000"/>
          <w:kern w:val="0"/>
          <w:sz w:val="22"/>
          <w:szCs w:val="22"/>
          <w14:ligatures w14:val="none"/>
        </w:rPr>
        <w:t>Długosza</w:t>
      </w:r>
      <w:proofErr w:type="spellEnd"/>
      <w:r w:rsidRPr="00E41669">
        <w:rPr>
          <w:rFonts w:ascii="Times New Roman" w:eastAsia="TimesNewRoman" w:hAnsi="Times New Roman" w:cs="Times New Roman"/>
          <w:color w:val="000000"/>
          <w:kern w:val="0"/>
          <w:sz w:val="22"/>
          <w:szCs w:val="22"/>
          <w14:ligatures w14:val="none"/>
        </w:rPr>
        <w:t xml:space="preserve"> 49,</w:t>
      </w:r>
    </w:p>
    <w:p w14:paraId="6727027B" w14:textId="77777777" w:rsidR="00E41669" w:rsidRPr="00E41669" w:rsidRDefault="00E41669" w:rsidP="00E4166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41669">
        <w:rPr>
          <w:rFonts w:ascii="Times New Roman" w:eastAsia="TimesNewRoman" w:hAnsi="Times New Roman" w:cs="Times New Roman"/>
          <w:color w:val="000000"/>
          <w:kern w:val="0"/>
          <w:sz w:val="22"/>
          <w:szCs w:val="22"/>
          <w14:ligatures w14:val="none"/>
        </w:rPr>
        <w:t xml:space="preserve">51-162 </w:t>
      </w:r>
      <w:proofErr w:type="spellStart"/>
      <w:r w:rsidRPr="00E41669">
        <w:rPr>
          <w:rFonts w:ascii="Times New Roman" w:eastAsia="TimesNewRoman" w:hAnsi="Times New Roman" w:cs="Times New Roman"/>
          <w:color w:val="000000"/>
          <w:kern w:val="0"/>
          <w:sz w:val="22"/>
          <w:szCs w:val="22"/>
          <w14:ligatures w14:val="none"/>
        </w:rPr>
        <w:t>Wrocław</w:t>
      </w:r>
      <w:proofErr w:type="spellEnd"/>
      <w:r w:rsidRPr="00E41669">
        <w:rPr>
          <w:rFonts w:ascii="Times New Roman" w:eastAsia="TimesNewRoman" w:hAnsi="Times New Roman" w:cs="Times New Roman"/>
          <w:color w:val="000000"/>
          <w:kern w:val="0"/>
          <w:sz w:val="22"/>
          <w:szCs w:val="22"/>
          <w14:ligatures w14:val="none"/>
        </w:rPr>
        <w:t>,</w:t>
      </w:r>
    </w:p>
    <w:p w14:paraId="5E9717A7" w14:textId="77777777" w:rsidR="00E41669" w:rsidRPr="00E41669" w:rsidRDefault="00E41669" w:rsidP="00E4166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41669">
        <w:rPr>
          <w:rFonts w:ascii="Times New Roman" w:eastAsia="TimesNewRoman" w:hAnsi="Times New Roman" w:cs="Times New Roman"/>
          <w:color w:val="000000"/>
          <w:kern w:val="0"/>
          <w:sz w:val="22"/>
          <w:szCs w:val="22"/>
          <w14:ligatures w14:val="none"/>
        </w:rPr>
        <w:t>Lenkija</w:t>
      </w:r>
    </w:p>
    <w:p w14:paraId="657352E2" w14:textId="77777777" w:rsidR="00E41669" w:rsidRPr="00E41669" w:rsidRDefault="00E41669" w:rsidP="00E4166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43F938D" w14:textId="77777777" w:rsidR="00E41669" w:rsidRPr="00E41669" w:rsidRDefault="00E41669" w:rsidP="00E4166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41669">
        <w:rPr>
          <w:rFonts w:ascii="Times New Roman" w:eastAsia="TimesNewRoman" w:hAnsi="Times New Roman" w:cs="Times New Roman"/>
          <w:color w:val="000000"/>
          <w:kern w:val="0"/>
          <w:sz w:val="22"/>
          <w:szCs w:val="22"/>
          <w14:ligatures w14:val="none"/>
        </w:rPr>
        <w:t>arba</w:t>
      </w:r>
    </w:p>
    <w:p w14:paraId="660C4DD4" w14:textId="77777777" w:rsidR="00E41669" w:rsidRPr="00E41669" w:rsidRDefault="00E41669" w:rsidP="00E41669">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112B468" w14:textId="77777777" w:rsidR="00E41669" w:rsidRPr="00E41669" w:rsidRDefault="00E41669" w:rsidP="00E4166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41669">
        <w:rPr>
          <w:rFonts w:ascii="Times New Roman" w:eastAsia="TimesNewRoman" w:hAnsi="Times New Roman" w:cs="Times New Roman"/>
          <w:color w:val="000000"/>
          <w:kern w:val="0"/>
          <w:sz w:val="22"/>
          <w:szCs w:val="22"/>
          <w14:ligatures w14:val="none"/>
        </w:rPr>
        <w:t>UAB „Entafarma“</w:t>
      </w:r>
    </w:p>
    <w:p w14:paraId="459FACF5" w14:textId="77777777" w:rsidR="00E41669" w:rsidRPr="00E41669" w:rsidRDefault="00E41669" w:rsidP="00E4166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E41669">
        <w:rPr>
          <w:rFonts w:ascii="Times New Roman" w:eastAsia="TimesNewRoman" w:hAnsi="Times New Roman" w:cs="Times New Roman"/>
          <w:color w:val="000000"/>
          <w:kern w:val="0"/>
          <w:sz w:val="22"/>
          <w:szCs w:val="22"/>
          <w14:ligatures w14:val="none"/>
        </w:rPr>
        <w:t>Klonėnų</w:t>
      </w:r>
      <w:proofErr w:type="spellEnd"/>
      <w:r w:rsidRPr="00E41669">
        <w:rPr>
          <w:rFonts w:ascii="Times New Roman" w:eastAsia="TimesNewRoman" w:hAnsi="Times New Roman" w:cs="Times New Roman"/>
          <w:color w:val="000000"/>
          <w:kern w:val="0"/>
          <w:sz w:val="22"/>
          <w:szCs w:val="22"/>
          <w14:ligatures w14:val="none"/>
        </w:rPr>
        <w:t xml:space="preserve"> vs. 1,</w:t>
      </w:r>
    </w:p>
    <w:p w14:paraId="19BB0F2B" w14:textId="77777777" w:rsidR="00E41669" w:rsidRPr="00E41669" w:rsidRDefault="00E41669" w:rsidP="00E41669">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41669">
        <w:rPr>
          <w:rFonts w:ascii="Times New Roman" w:eastAsia="TimesNewRoman" w:hAnsi="Times New Roman" w:cs="Times New Roman"/>
          <w:color w:val="000000"/>
          <w:kern w:val="0"/>
          <w:sz w:val="22"/>
          <w:szCs w:val="22"/>
          <w14:ligatures w14:val="none"/>
        </w:rPr>
        <w:t>LT-19156 Širvintų r. sav.</w:t>
      </w:r>
    </w:p>
    <w:p w14:paraId="3841B399" w14:textId="77777777" w:rsidR="00E41669" w:rsidRPr="00E41669" w:rsidRDefault="00E41669" w:rsidP="00E41669">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E41669">
        <w:rPr>
          <w:rFonts w:ascii="Times New Roman" w:eastAsia="TimesNewRoman" w:hAnsi="Times New Roman" w:cs="Times New Roman"/>
          <w:color w:val="000000"/>
          <w:kern w:val="0"/>
          <w:sz w:val="22"/>
          <w:szCs w:val="22"/>
          <w14:ligatures w14:val="none"/>
        </w:rPr>
        <w:t>Lietuva</w:t>
      </w:r>
    </w:p>
    <w:p w14:paraId="5FAA5770"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24E95548" w14:textId="79B61337" w:rsidR="008E7EE0" w:rsidRPr="008E7EE0" w:rsidRDefault="008E7EE0" w:rsidP="008E7EE0">
      <w:pPr>
        <w:tabs>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b/>
          <w:kern w:val="0"/>
          <w:sz w:val="22"/>
          <w:szCs w:val="22"/>
          <w:lang w:eastAsia="lt-LT"/>
          <w14:ligatures w14:val="none"/>
        </w:rPr>
        <w:t>Šis pakuotės lapelis paskutinį kartą peržiūrėtas</w:t>
      </w:r>
      <w:r w:rsidR="001A54FE">
        <w:rPr>
          <w:rFonts w:ascii="Times New Roman" w:eastAsia="Calibri" w:hAnsi="Times New Roman" w:cs="Times New Roman"/>
          <w:b/>
          <w:kern w:val="0"/>
          <w:sz w:val="22"/>
          <w:szCs w:val="22"/>
          <w:lang w:eastAsia="lt-LT"/>
          <w14:ligatures w14:val="none"/>
        </w:rPr>
        <w:t xml:space="preserve"> </w:t>
      </w:r>
      <w:r w:rsidR="007D11C2">
        <w:rPr>
          <w:rFonts w:ascii="Times New Roman" w:eastAsia="Calibri" w:hAnsi="Times New Roman" w:cs="Times New Roman"/>
          <w:b/>
          <w:kern w:val="0"/>
          <w:sz w:val="22"/>
          <w:szCs w:val="22"/>
          <w:lang w:eastAsia="lt-LT"/>
          <w14:ligatures w14:val="none"/>
        </w:rPr>
        <w:t>2026-03-12.</w:t>
      </w:r>
    </w:p>
    <w:p w14:paraId="26796CB8" w14:textId="77777777" w:rsidR="008E7EE0" w:rsidRPr="008E7EE0" w:rsidRDefault="008E7EE0" w:rsidP="008E7EE0">
      <w:pPr>
        <w:tabs>
          <w:tab w:val="left" w:pos="567"/>
        </w:tabs>
        <w:spacing w:after="0" w:line="240" w:lineRule="auto"/>
        <w:rPr>
          <w:rFonts w:ascii="Times New Roman" w:eastAsia="Calibri" w:hAnsi="Times New Roman" w:cs="Times New Roman"/>
          <w:kern w:val="0"/>
          <w:sz w:val="22"/>
          <w:szCs w:val="22"/>
          <w:lang w:eastAsia="lt-LT"/>
          <w14:ligatures w14:val="none"/>
        </w:rPr>
      </w:pPr>
    </w:p>
    <w:p w14:paraId="66913783" w14:textId="5409915F" w:rsidR="008E7EE0" w:rsidRPr="00D23A58" w:rsidRDefault="00C55013" w:rsidP="00C55013">
      <w:pPr>
        <w:spacing w:after="0" w:line="240" w:lineRule="auto"/>
        <w:rPr>
          <w:rFonts w:ascii="Times New Roman" w:eastAsia="Times New Roman" w:hAnsi="Times New Roman" w:cs="Times New Roman"/>
          <w:kern w:val="0"/>
          <w:sz w:val="22"/>
          <w:szCs w:val="20"/>
          <w:lang w:eastAsia="lt-LT" w:bidi="lt-LT"/>
          <w14:ligatures w14:val="none"/>
        </w:rPr>
      </w:pPr>
      <w:r w:rsidRPr="00C55013">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C55013">
          <w:rPr>
            <w:rStyle w:val="Hipersaitas"/>
            <w:rFonts w:ascii="Times New Roman" w:eastAsia="Times New Roman" w:hAnsi="Times New Roman" w:cs="Times New Roman"/>
            <w:kern w:val="0"/>
            <w:sz w:val="22"/>
            <w:szCs w:val="20"/>
            <w:lang w:eastAsia="lt-LT" w:bidi="lt-LT"/>
            <w14:ligatures w14:val="none"/>
          </w:rPr>
          <w:t>https://vvkt.lrv.lt/lt/</w:t>
        </w:r>
      </w:hyperlink>
      <w:r w:rsidRPr="00C55013">
        <w:rPr>
          <w:rFonts w:ascii="Times New Roman" w:eastAsia="Times New Roman" w:hAnsi="Times New Roman" w:cs="Times New Roman"/>
          <w:kern w:val="0"/>
          <w:sz w:val="22"/>
          <w:szCs w:val="20"/>
          <w:lang w:eastAsia="lt-LT" w:bidi="lt-LT"/>
          <w14:ligatures w14:val="none"/>
        </w:rPr>
        <w:t>.</w:t>
      </w:r>
    </w:p>
    <w:p w14:paraId="7436B1AB" w14:textId="77777777" w:rsidR="00C55013" w:rsidRPr="008E7EE0" w:rsidRDefault="00C55013" w:rsidP="00C55013">
      <w:pPr>
        <w:spacing w:after="0" w:line="240" w:lineRule="auto"/>
        <w:rPr>
          <w:rFonts w:ascii="Times New Roman" w:eastAsia="Times New Roman" w:hAnsi="Times New Roman" w:cs="Times New Roman"/>
          <w:kern w:val="0"/>
          <w:sz w:val="22"/>
          <w:szCs w:val="20"/>
          <w:lang w:eastAsia="lt-LT" w:bidi="lt-LT"/>
          <w14:ligatures w14:val="none"/>
        </w:rPr>
      </w:pPr>
    </w:p>
    <w:p w14:paraId="6C0B8AE2" w14:textId="77777777" w:rsidR="008E7EE0" w:rsidRPr="008E7EE0" w:rsidRDefault="008E7EE0" w:rsidP="008E7EE0">
      <w:pPr>
        <w:tabs>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w:t>
      </w:r>
    </w:p>
    <w:p w14:paraId="11DBE854" w14:textId="77777777" w:rsidR="008E7EE0" w:rsidRPr="008E7EE0" w:rsidRDefault="008E7EE0" w:rsidP="008E7EE0">
      <w:pPr>
        <w:tabs>
          <w:tab w:val="left" w:pos="567"/>
        </w:tabs>
        <w:spacing w:after="0" w:line="240" w:lineRule="auto"/>
        <w:rPr>
          <w:rFonts w:ascii="Times New Roman" w:eastAsia="SimSun" w:hAnsi="Times New Roman" w:cs="Times New Roman"/>
          <w:kern w:val="0"/>
          <w:sz w:val="22"/>
          <w:szCs w:val="22"/>
          <w14:ligatures w14:val="none"/>
        </w:rPr>
      </w:pPr>
      <w:r w:rsidRPr="008E7EE0">
        <w:rPr>
          <w:rFonts w:ascii="Times New Roman" w:eastAsia="SimSun" w:hAnsi="Times New Roman" w:cs="Times New Roman"/>
          <w:kern w:val="0"/>
          <w:sz w:val="22"/>
          <w:szCs w:val="22"/>
          <w14:ligatures w14:val="none"/>
        </w:rPr>
        <w:t>Toliau pateikta informacija skirta tik sveikatos priežiūros specialistams.</w:t>
      </w:r>
    </w:p>
    <w:p w14:paraId="3C6CAB78"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Cs/>
          <w:kern w:val="0"/>
          <w:sz w:val="22"/>
          <w:szCs w:val="22"/>
          <w:u w:val="single"/>
          <w:lang w:eastAsia="lt-LT"/>
          <w14:ligatures w14:val="none"/>
        </w:rPr>
      </w:pPr>
    </w:p>
    <w:p w14:paraId="2FFAE2FA" w14:textId="245AA074"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 xml:space="preserve">Kiekvieną kartą atidžiai stebėkite, ar </w:t>
      </w:r>
      <w:proofErr w:type="spellStart"/>
      <w:r w:rsidR="00D23A58" w:rsidRPr="00D23A58">
        <w:rPr>
          <w:rFonts w:ascii="Times New Roman" w:eastAsia="Calibri" w:hAnsi="Times New Roman" w:cs="Times New Roman"/>
          <w:kern w:val="0"/>
          <w:sz w:val="22"/>
          <w:szCs w:val="22"/>
          <w14:ligatures w14:val="none"/>
        </w:rPr>
        <w:t>Monoferric</w:t>
      </w:r>
      <w:proofErr w:type="spellEnd"/>
      <w:r w:rsidRPr="008E7EE0">
        <w:rPr>
          <w:rFonts w:ascii="Times New Roman" w:eastAsia="Calibri" w:hAnsi="Times New Roman" w:cs="Times New Roman"/>
          <w:kern w:val="0"/>
          <w:sz w:val="22"/>
          <w:szCs w:val="22"/>
          <w14:ligatures w14:val="none"/>
        </w:rPr>
        <w:t xml:space="preserve"> vartojimo metu ir po vartojimo pacientams nepasireiškė padidėjusio jautrumo požymių ar simptomų.</w:t>
      </w:r>
    </w:p>
    <w:p w14:paraId="46E25621"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14:ligatures w14:val="none"/>
        </w:rPr>
      </w:pPr>
    </w:p>
    <w:p w14:paraId="740F0A80" w14:textId="6306098C" w:rsidR="008E7EE0" w:rsidRPr="008E7EE0" w:rsidRDefault="00D23A58" w:rsidP="008E7EE0">
      <w:pPr>
        <w:tabs>
          <w:tab w:val="left" w:pos="120"/>
          <w:tab w:val="left" w:pos="567"/>
        </w:tabs>
        <w:spacing w:after="0" w:line="240" w:lineRule="auto"/>
        <w:rPr>
          <w:rFonts w:ascii="Times New Roman" w:eastAsia="Calibri" w:hAnsi="Times New Roman" w:cs="Times New Roman"/>
          <w:kern w:val="0"/>
          <w:sz w:val="22"/>
          <w:szCs w:val="22"/>
          <w14:ligatures w14:val="none"/>
        </w:rPr>
      </w:pPr>
      <w:proofErr w:type="spellStart"/>
      <w:r w:rsidRPr="00D23A58">
        <w:rPr>
          <w:rFonts w:ascii="Times New Roman" w:eastAsia="Calibri" w:hAnsi="Times New Roman" w:cs="Times New Roman"/>
          <w:kern w:val="0"/>
          <w:sz w:val="22"/>
          <w:szCs w:val="22"/>
          <w14:ligatures w14:val="none"/>
        </w:rPr>
        <w:t>Monoferric</w:t>
      </w:r>
      <w:proofErr w:type="spellEnd"/>
      <w:r w:rsidR="008E7EE0" w:rsidRPr="008E7EE0">
        <w:rPr>
          <w:rFonts w:ascii="Times New Roman" w:eastAsia="Calibri" w:hAnsi="Times New Roman" w:cs="Times New Roman"/>
          <w:kern w:val="0"/>
          <w:sz w:val="22"/>
          <w:szCs w:val="22"/>
          <w14:ligatures w14:val="none"/>
        </w:rPr>
        <w:t xml:space="preserve"> turėtų būti vartojamas tik visa būtina gaivinimo įranga aprūpintoje aplinkoje ir kai netoliese yra personalo, išmokyto atpažinti ir suvaldyti anafilaksines reakcijas. Mažiausiai 30 minučių po kiekvienos </w:t>
      </w:r>
      <w:proofErr w:type="spellStart"/>
      <w:r w:rsidRPr="00D23A58">
        <w:rPr>
          <w:rFonts w:ascii="Times New Roman" w:eastAsia="Calibri" w:hAnsi="Times New Roman" w:cs="Times New Roman"/>
          <w:kern w:val="0"/>
          <w:sz w:val="22"/>
          <w:szCs w:val="22"/>
          <w14:ligatures w14:val="none"/>
        </w:rPr>
        <w:t>Monoferric</w:t>
      </w:r>
      <w:proofErr w:type="spellEnd"/>
      <w:r w:rsidR="008E7EE0" w:rsidRPr="008E7EE0">
        <w:rPr>
          <w:rFonts w:ascii="Times New Roman" w:eastAsia="Calibri" w:hAnsi="Times New Roman" w:cs="Times New Roman"/>
          <w:kern w:val="0"/>
          <w:sz w:val="22"/>
          <w:szCs w:val="22"/>
          <w14:ligatures w14:val="none"/>
        </w:rPr>
        <w:t xml:space="preserve"> injekcijos reikia stebėti, ar pacientui nepasireiškė nepageidaujamas poveikis.</w:t>
      </w:r>
    </w:p>
    <w:p w14:paraId="0012BA87"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14:ligatures w14:val="none"/>
        </w:rPr>
      </w:pPr>
    </w:p>
    <w:p w14:paraId="698A816A" w14:textId="77777777" w:rsidR="008E7EE0" w:rsidRPr="008E7EE0" w:rsidRDefault="008E7EE0" w:rsidP="008E7EE0">
      <w:pPr>
        <w:spacing w:after="200" w:line="276" w:lineRule="auto"/>
        <w:rPr>
          <w:rFonts w:ascii="Times New Roman" w:eastAsia="Calibri"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 xml:space="preserve">Kiekvienas intraveninis geležies vartojimas yra susijęs su padidėjusio jautrumo reakcijos rizika. Todėl norint sumažinti riziką, reikia iki minimumo sumažinti vienkartinių intraveninių geležies skyrimų skaičių. </w:t>
      </w:r>
    </w:p>
    <w:p w14:paraId="0193BE71" w14:textId="77777777" w:rsidR="008E7EE0" w:rsidRPr="008E7EE0" w:rsidRDefault="008E7EE0" w:rsidP="008E7EE0">
      <w:pPr>
        <w:spacing w:after="200" w:line="276" w:lineRule="auto"/>
        <w:rPr>
          <w:rFonts w:ascii="Times New Roman" w:eastAsia="Calibri"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Dozavimas</w:t>
      </w:r>
    </w:p>
    <w:p w14:paraId="1BFDAAA1" w14:textId="41F6713E" w:rsidR="008E7EE0" w:rsidRPr="008E7EE0" w:rsidRDefault="00D23A58" w:rsidP="008E7EE0">
      <w:pPr>
        <w:spacing w:after="200" w:line="276" w:lineRule="auto"/>
        <w:rPr>
          <w:rFonts w:ascii="Times New Roman" w:eastAsia="Calibri" w:hAnsi="Times New Roman" w:cs="Times New Roman"/>
          <w:kern w:val="0"/>
          <w:sz w:val="22"/>
          <w:szCs w:val="22"/>
          <w14:ligatures w14:val="none"/>
        </w:rPr>
      </w:pPr>
      <w:proofErr w:type="spellStart"/>
      <w:r w:rsidRPr="00D23A58">
        <w:rPr>
          <w:rFonts w:ascii="Times New Roman" w:eastAsia="Calibri" w:hAnsi="Times New Roman" w:cs="Times New Roman"/>
          <w:kern w:val="0"/>
          <w:sz w:val="22"/>
          <w:szCs w:val="22"/>
          <w14:ligatures w14:val="none"/>
        </w:rPr>
        <w:t>Monoferric</w:t>
      </w:r>
      <w:proofErr w:type="spellEnd"/>
      <w:r w:rsidR="008E7EE0" w:rsidRPr="008E7EE0">
        <w:rPr>
          <w:rFonts w:ascii="Times New Roman" w:eastAsia="Calibri" w:hAnsi="Times New Roman" w:cs="Times New Roman"/>
          <w:kern w:val="0"/>
          <w:sz w:val="22"/>
          <w:szCs w:val="22"/>
          <w14:ligatures w14:val="none"/>
        </w:rPr>
        <w:t xml:space="preserve"> dozavimas atliekamas palaipsniui: [1] individualaus geležies poreikio nus</w:t>
      </w:r>
      <w:r w:rsidR="00D023A6">
        <w:rPr>
          <w:rFonts w:ascii="Times New Roman" w:eastAsia="Calibri" w:hAnsi="Times New Roman" w:cs="Times New Roman"/>
          <w:kern w:val="0"/>
          <w:sz w:val="22"/>
          <w:szCs w:val="22"/>
          <w14:ligatures w14:val="none"/>
        </w:rPr>
        <w:t>t</w:t>
      </w:r>
      <w:r w:rsidR="008E7EE0" w:rsidRPr="008E7EE0">
        <w:rPr>
          <w:rFonts w:ascii="Times New Roman" w:eastAsia="Calibri" w:hAnsi="Times New Roman" w:cs="Times New Roman"/>
          <w:kern w:val="0"/>
          <w:sz w:val="22"/>
          <w:szCs w:val="22"/>
          <w14:ligatures w14:val="none"/>
        </w:rPr>
        <w:t>atymas ir [2] geležies dozės (-</w:t>
      </w:r>
      <w:proofErr w:type="spellStart"/>
      <w:r w:rsidR="008E7EE0" w:rsidRPr="008E7EE0">
        <w:rPr>
          <w:rFonts w:ascii="Times New Roman" w:eastAsia="Calibri" w:hAnsi="Times New Roman" w:cs="Times New Roman"/>
          <w:kern w:val="0"/>
          <w:sz w:val="22"/>
          <w:szCs w:val="22"/>
          <w14:ligatures w14:val="none"/>
        </w:rPr>
        <w:t>ių</w:t>
      </w:r>
      <w:proofErr w:type="spellEnd"/>
      <w:r w:rsidR="008E7EE0" w:rsidRPr="008E7EE0">
        <w:rPr>
          <w:rFonts w:ascii="Times New Roman" w:eastAsia="Calibri" w:hAnsi="Times New Roman" w:cs="Times New Roman"/>
          <w:kern w:val="0"/>
          <w:sz w:val="22"/>
          <w:szCs w:val="22"/>
          <w14:ligatures w14:val="none"/>
        </w:rPr>
        <w:t xml:space="preserve">) apskaičiavimas ir vartojimas. Žingsniai gali būti kartojami po [3] geležies atsargų įvertinimo. </w:t>
      </w:r>
    </w:p>
    <w:p w14:paraId="6D879118"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i/>
          <w:iCs/>
          <w:kern w:val="0"/>
          <w:sz w:val="22"/>
          <w:szCs w:val="22"/>
          <w:lang w:eastAsia="lt-LT"/>
          <w14:ligatures w14:val="none"/>
        </w:rPr>
      </w:pPr>
      <w:r w:rsidRPr="008E7EE0">
        <w:rPr>
          <w:rFonts w:ascii="Times New Roman" w:eastAsia="Calibri" w:hAnsi="Times New Roman" w:cs="Times New Roman"/>
          <w:i/>
          <w:iCs/>
          <w:kern w:val="0"/>
          <w:sz w:val="22"/>
          <w:szCs w:val="22"/>
          <w:lang w:eastAsia="lt-LT"/>
          <w14:ligatures w14:val="none"/>
        </w:rPr>
        <w:t>1 žingsnis</w:t>
      </w:r>
      <w:r w:rsidRPr="008E7EE0">
        <w:rPr>
          <w:rFonts w:ascii="Times New Roman" w:eastAsia="Calibri" w:hAnsi="Times New Roman" w:cs="Times New Roman"/>
          <w:kern w:val="0"/>
          <w:sz w:val="22"/>
          <w:szCs w:val="22"/>
          <w:lang w:eastAsia="lt-LT"/>
          <w14:ligatures w14:val="none"/>
        </w:rPr>
        <w:t xml:space="preserve">. </w:t>
      </w:r>
      <w:r w:rsidRPr="008E7EE0">
        <w:rPr>
          <w:rFonts w:ascii="Times New Roman" w:eastAsia="Calibri" w:hAnsi="Times New Roman" w:cs="Times New Roman"/>
          <w:i/>
          <w:iCs/>
          <w:kern w:val="0"/>
          <w:sz w:val="22"/>
          <w:szCs w:val="22"/>
          <w:lang w:eastAsia="lt-LT"/>
          <w14:ligatures w14:val="none"/>
        </w:rPr>
        <w:t>Geležies poreikio nustatymas:</w:t>
      </w:r>
    </w:p>
    <w:p w14:paraId="04D62A50"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i/>
          <w:iCs/>
          <w:kern w:val="0"/>
          <w:sz w:val="22"/>
          <w:szCs w:val="22"/>
          <w:lang w:eastAsia="lt-LT"/>
          <w14:ligatures w14:val="none"/>
        </w:rPr>
      </w:pPr>
    </w:p>
    <w:p w14:paraId="2722002D"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i/>
          <w:iCs/>
          <w:kern w:val="0"/>
          <w:sz w:val="22"/>
          <w:szCs w:val="22"/>
          <w:lang w:eastAsia="lt-LT"/>
          <w14:ligatures w14:val="none"/>
        </w:rPr>
      </w:pPr>
      <w:r w:rsidRPr="008E7EE0">
        <w:rPr>
          <w:rFonts w:ascii="Times New Roman" w:eastAsia="Calibri" w:hAnsi="Times New Roman" w:cs="Times New Roman"/>
          <w:i/>
          <w:iCs/>
          <w:kern w:val="0"/>
          <w:sz w:val="22"/>
          <w:szCs w:val="22"/>
          <w:lang w:eastAsia="lt-LT"/>
          <w14:ligatures w14:val="none"/>
        </w:rPr>
        <w:t xml:space="preserve">Geležies poreikis gali būti apskaičiuojamas pagal žemiau pateiktą supaprastintą dozavimo lentelę (i) arba naudojant </w:t>
      </w:r>
      <w:proofErr w:type="spellStart"/>
      <w:r w:rsidRPr="008E7EE0">
        <w:rPr>
          <w:rFonts w:ascii="Times New Roman" w:eastAsia="Calibri" w:hAnsi="Times New Roman" w:cs="Times New Roman"/>
          <w:i/>
          <w:iCs/>
          <w:kern w:val="0"/>
          <w:sz w:val="22"/>
          <w:szCs w:val="22"/>
          <w:lang w:eastAsia="lt-LT"/>
          <w14:ligatures w14:val="none"/>
        </w:rPr>
        <w:t>Ganzoni</w:t>
      </w:r>
      <w:proofErr w:type="spellEnd"/>
      <w:r w:rsidRPr="008E7EE0">
        <w:rPr>
          <w:rFonts w:ascii="Times New Roman" w:eastAsia="Calibri" w:hAnsi="Times New Roman" w:cs="Times New Roman"/>
          <w:i/>
          <w:iCs/>
          <w:kern w:val="0"/>
          <w:sz w:val="22"/>
          <w:szCs w:val="22"/>
          <w:lang w:eastAsia="lt-LT"/>
          <w14:ligatures w14:val="none"/>
        </w:rPr>
        <w:t xml:space="preserve"> formulę (ii). </w:t>
      </w:r>
    </w:p>
    <w:p w14:paraId="5E6D9244"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i/>
          <w:iCs/>
          <w:kern w:val="0"/>
          <w:sz w:val="22"/>
          <w:szCs w:val="22"/>
          <w:lang w:eastAsia="lt-LT"/>
          <w14:ligatures w14:val="none"/>
        </w:rPr>
      </w:pPr>
    </w:p>
    <w:p w14:paraId="2C912554"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i/>
          <w:iCs/>
          <w:kern w:val="0"/>
          <w:sz w:val="22"/>
          <w:szCs w:val="22"/>
          <w:lang w:eastAsia="lt-LT"/>
          <w14:ligatures w14:val="none"/>
        </w:rPr>
      </w:pPr>
      <w:r w:rsidRPr="008E7EE0">
        <w:rPr>
          <w:rFonts w:ascii="Times New Roman" w:eastAsia="Calibri" w:hAnsi="Times New Roman" w:cs="Times New Roman"/>
          <w:i/>
          <w:iCs/>
          <w:kern w:val="0"/>
          <w:sz w:val="22"/>
          <w:szCs w:val="22"/>
          <w:lang w:eastAsia="lt-LT"/>
          <w14:ligatures w14:val="none"/>
        </w:rPr>
        <w:t xml:space="preserve">Geležies poreikis turi būti išreikštas elementine geležimi miligramais. </w:t>
      </w:r>
    </w:p>
    <w:p w14:paraId="5751CD33"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i/>
          <w:iCs/>
          <w:kern w:val="0"/>
          <w:sz w:val="22"/>
          <w:szCs w:val="22"/>
          <w:lang w:eastAsia="lt-LT"/>
          <w14:ligatures w14:val="none"/>
        </w:rPr>
      </w:pPr>
    </w:p>
    <w:p w14:paraId="7839F484" w14:textId="77777777" w:rsidR="008E7EE0" w:rsidRPr="008E7EE0" w:rsidRDefault="008E7EE0" w:rsidP="008E7EE0">
      <w:pPr>
        <w:numPr>
          <w:ilvl w:val="0"/>
          <w:numId w:val="6"/>
        </w:numPr>
        <w:tabs>
          <w:tab w:val="left" w:pos="120"/>
          <w:tab w:val="left" w:pos="567"/>
        </w:tabs>
        <w:spacing w:after="0" w:line="240" w:lineRule="auto"/>
        <w:contextualSpacing/>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  Supaprastinta lentelė:</w:t>
      </w:r>
    </w:p>
    <w:p w14:paraId="626667BC" w14:textId="77777777" w:rsidR="008E7EE0" w:rsidRPr="008E7EE0" w:rsidRDefault="008E7EE0" w:rsidP="008E7EE0">
      <w:pPr>
        <w:tabs>
          <w:tab w:val="left" w:pos="120"/>
          <w:tab w:val="left" w:pos="567"/>
        </w:tabs>
        <w:spacing w:after="0" w:line="240" w:lineRule="auto"/>
        <w:ind w:left="360"/>
        <w:rPr>
          <w:rFonts w:ascii="Times New Roman" w:eastAsia="Calibri" w:hAnsi="Times New Roman" w:cs="Times New Roman"/>
          <w:kern w:val="0"/>
          <w:sz w:val="22"/>
          <w:szCs w:val="22"/>
          <w:lang w:eastAsia="lt-LT"/>
          <w14:ligatures w14:val="none"/>
        </w:rPr>
      </w:pPr>
    </w:p>
    <w:p w14:paraId="0DA673D6" w14:textId="77777777" w:rsidR="008E7EE0" w:rsidRPr="008E7EE0" w:rsidRDefault="008E7EE0" w:rsidP="008E7EE0">
      <w:pPr>
        <w:tabs>
          <w:tab w:val="left" w:pos="120"/>
          <w:tab w:val="left" w:pos="567"/>
        </w:tabs>
        <w:spacing w:after="0" w:line="240" w:lineRule="auto"/>
        <w:ind w:left="360"/>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1 Lentelė. Supaprastinta lentelė</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2500"/>
        <w:gridCol w:w="2500"/>
        <w:gridCol w:w="2501"/>
      </w:tblGrid>
      <w:tr w:rsidR="008E7EE0" w:rsidRPr="008E7EE0" w14:paraId="371D6A18" w14:textId="77777777" w:rsidTr="00ED082F">
        <w:tc>
          <w:tcPr>
            <w:tcW w:w="1010" w:type="dxa"/>
            <w:vAlign w:val="center"/>
          </w:tcPr>
          <w:p w14:paraId="45B698BB" w14:textId="77777777" w:rsidR="008E7EE0" w:rsidRPr="008E7EE0" w:rsidRDefault="008E7EE0" w:rsidP="008E7EE0">
            <w:pPr>
              <w:autoSpaceDE w:val="0"/>
              <w:autoSpaceDN w:val="0"/>
              <w:adjustRightInd w:val="0"/>
              <w:spacing w:after="200" w:line="240" w:lineRule="auto"/>
              <w:rPr>
                <w:rFonts w:ascii="Times New Roman" w:eastAsia="Calibri" w:hAnsi="Times New Roman" w:cs="Times New Roman"/>
                <w:kern w:val="0"/>
                <w:sz w:val="22"/>
                <w:szCs w:val="22"/>
                <w14:ligatures w14:val="none"/>
              </w:rPr>
            </w:pPr>
            <w:proofErr w:type="spellStart"/>
            <w:r w:rsidRPr="008E7EE0">
              <w:rPr>
                <w:rFonts w:ascii="Times New Roman" w:eastAsia="Calibri" w:hAnsi="Times New Roman" w:cs="Times New Roman"/>
                <w:kern w:val="0"/>
                <w:sz w:val="22"/>
                <w:szCs w:val="22"/>
                <w14:ligatures w14:val="none"/>
              </w:rPr>
              <w:t>Hb</w:t>
            </w:r>
            <w:proofErr w:type="spellEnd"/>
            <w:r w:rsidRPr="008E7EE0">
              <w:rPr>
                <w:rFonts w:ascii="Times New Roman" w:eastAsia="Calibri" w:hAnsi="Times New Roman" w:cs="Times New Roman"/>
                <w:kern w:val="0"/>
                <w:sz w:val="22"/>
                <w:szCs w:val="22"/>
                <w14:ligatures w14:val="none"/>
              </w:rPr>
              <w:t xml:space="preserve"> (g/dl)</w:t>
            </w:r>
          </w:p>
        </w:tc>
        <w:tc>
          <w:tcPr>
            <w:tcW w:w="1010" w:type="dxa"/>
          </w:tcPr>
          <w:p w14:paraId="090E1C6C" w14:textId="77777777" w:rsidR="008E7EE0" w:rsidRPr="008E7EE0" w:rsidRDefault="008E7EE0" w:rsidP="008E7EE0">
            <w:pPr>
              <w:autoSpaceDE w:val="0"/>
              <w:autoSpaceDN w:val="0"/>
              <w:adjustRightInd w:val="0"/>
              <w:spacing w:after="200" w:line="240" w:lineRule="auto"/>
              <w:rPr>
                <w:rFonts w:ascii="Times New Roman" w:eastAsia="Calibri" w:hAnsi="Times New Roman" w:cs="Times New Roman"/>
                <w:kern w:val="0"/>
                <w:sz w:val="22"/>
                <w:szCs w:val="22"/>
                <w14:ligatures w14:val="none"/>
              </w:rPr>
            </w:pPr>
            <w:proofErr w:type="spellStart"/>
            <w:r w:rsidRPr="008E7EE0">
              <w:rPr>
                <w:rFonts w:ascii="Times New Roman" w:eastAsia="Calibri" w:hAnsi="Times New Roman" w:cs="Times New Roman"/>
                <w:kern w:val="0"/>
                <w:sz w:val="22"/>
                <w:szCs w:val="22"/>
                <w14:ligatures w14:val="none"/>
              </w:rPr>
              <w:t>Hb</w:t>
            </w:r>
            <w:proofErr w:type="spellEnd"/>
            <w:r w:rsidRPr="008E7EE0">
              <w:rPr>
                <w:rFonts w:ascii="Times New Roman" w:eastAsia="Calibri" w:hAnsi="Times New Roman" w:cs="Times New Roman"/>
                <w:kern w:val="0"/>
                <w:sz w:val="22"/>
                <w:szCs w:val="22"/>
                <w14:ligatures w14:val="none"/>
              </w:rPr>
              <w:t xml:space="preserve"> (</w:t>
            </w:r>
            <w:proofErr w:type="spellStart"/>
            <w:r w:rsidRPr="008E7EE0">
              <w:rPr>
                <w:rFonts w:ascii="Times New Roman" w:eastAsia="Calibri" w:hAnsi="Times New Roman" w:cs="Times New Roman"/>
                <w:kern w:val="0"/>
                <w:sz w:val="22"/>
                <w:szCs w:val="22"/>
                <w14:ligatures w14:val="none"/>
              </w:rPr>
              <w:t>mmol</w:t>
            </w:r>
            <w:proofErr w:type="spellEnd"/>
            <w:r w:rsidRPr="008E7EE0">
              <w:rPr>
                <w:rFonts w:ascii="Times New Roman" w:eastAsia="Calibri" w:hAnsi="Times New Roman" w:cs="Times New Roman"/>
                <w:kern w:val="0"/>
                <w:sz w:val="22"/>
                <w:szCs w:val="22"/>
                <w14:ligatures w14:val="none"/>
              </w:rPr>
              <w:t>/l)</w:t>
            </w:r>
          </w:p>
        </w:tc>
        <w:tc>
          <w:tcPr>
            <w:tcW w:w="2500" w:type="dxa"/>
          </w:tcPr>
          <w:p w14:paraId="7D651094" w14:textId="77777777" w:rsidR="008E7EE0" w:rsidRPr="008E7EE0" w:rsidRDefault="008E7EE0" w:rsidP="008E7EE0">
            <w:pPr>
              <w:autoSpaceDE w:val="0"/>
              <w:autoSpaceDN w:val="0"/>
              <w:adjustRightInd w:val="0"/>
              <w:spacing w:after="200" w:line="240" w:lineRule="auto"/>
              <w:rPr>
                <w:rFonts w:ascii="Times New Roman" w:eastAsia="Calibri"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Pacientams, sveriantiems  &lt;50 kg</w:t>
            </w:r>
          </w:p>
        </w:tc>
        <w:tc>
          <w:tcPr>
            <w:tcW w:w="2500" w:type="dxa"/>
            <w:vAlign w:val="center"/>
          </w:tcPr>
          <w:p w14:paraId="293A0A8F" w14:textId="77777777" w:rsidR="008E7EE0" w:rsidRPr="008E7EE0" w:rsidRDefault="008E7EE0" w:rsidP="008E7EE0">
            <w:pPr>
              <w:autoSpaceDE w:val="0"/>
              <w:autoSpaceDN w:val="0"/>
              <w:adjustRightInd w:val="0"/>
              <w:spacing w:after="200" w:line="240" w:lineRule="auto"/>
              <w:rPr>
                <w:rFonts w:ascii="Times New Roman" w:eastAsia="Calibri"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Pacientams, sveriantiems nuo 50 kg iki &lt;70 kg</w:t>
            </w:r>
          </w:p>
        </w:tc>
        <w:tc>
          <w:tcPr>
            <w:tcW w:w="2501" w:type="dxa"/>
            <w:vAlign w:val="center"/>
          </w:tcPr>
          <w:p w14:paraId="32B3CF1D" w14:textId="77777777" w:rsidR="008E7EE0" w:rsidRPr="008E7EE0" w:rsidRDefault="008E7EE0" w:rsidP="008E7EE0">
            <w:pPr>
              <w:autoSpaceDE w:val="0"/>
              <w:autoSpaceDN w:val="0"/>
              <w:adjustRightInd w:val="0"/>
              <w:spacing w:after="200" w:line="240" w:lineRule="auto"/>
              <w:rPr>
                <w:rFonts w:ascii="Times New Roman" w:eastAsia="Calibri"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Pacientams, sveriantiems  ≥70 kg</w:t>
            </w:r>
          </w:p>
        </w:tc>
      </w:tr>
      <w:tr w:rsidR="008E7EE0" w:rsidRPr="008E7EE0" w14:paraId="5351A264" w14:textId="77777777" w:rsidTr="00ED082F">
        <w:tc>
          <w:tcPr>
            <w:tcW w:w="1010" w:type="dxa"/>
            <w:vAlign w:val="center"/>
          </w:tcPr>
          <w:p w14:paraId="7E7BFD65" w14:textId="77777777" w:rsidR="008E7EE0" w:rsidRPr="008E7EE0" w:rsidRDefault="008E7EE0" w:rsidP="008E7EE0">
            <w:pPr>
              <w:autoSpaceDE w:val="0"/>
              <w:autoSpaceDN w:val="0"/>
              <w:adjustRightInd w:val="0"/>
              <w:spacing w:after="200" w:line="240" w:lineRule="auto"/>
              <w:rPr>
                <w:rFonts w:ascii="Times New Roman" w:eastAsia="Calibri" w:hAnsi="Times New Roman" w:cs="Times New Roman"/>
                <w:kern w:val="0"/>
                <w:sz w:val="22"/>
                <w:szCs w:val="22"/>
                <w14:ligatures w14:val="none"/>
              </w:rPr>
            </w:pPr>
            <w:r w:rsidRPr="008E7EE0">
              <w:rPr>
                <w:rFonts w:ascii="Times New Roman" w:eastAsia="T4" w:hAnsi="Times New Roman" w:cs="Times New Roman"/>
                <w:kern w:val="0"/>
                <w:sz w:val="22"/>
                <w:szCs w:val="22"/>
                <w14:ligatures w14:val="none"/>
              </w:rPr>
              <w:t>≥</w:t>
            </w:r>
            <w:r w:rsidRPr="008E7EE0">
              <w:rPr>
                <w:rFonts w:ascii="Times New Roman" w:eastAsia="Calibri" w:hAnsi="Times New Roman" w:cs="Times New Roman"/>
                <w:kern w:val="0"/>
                <w:sz w:val="22"/>
                <w:szCs w:val="22"/>
                <w14:ligatures w14:val="none"/>
              </w:rPr>
              <w:t>10</w:t>
            </w:r>
          </w:p>
        </w:tc>
        <w:tc>
          <w:tcPr>
            <w:tcW w:w="1010" w:type="dxa"/>
          </w:tcPr>
          <w:p w14:paraId="75B5145C" w14:textId="77777777" w:rsidR="008E7EE0" w:rsidRPr="008E7EE0" w:rsidRDefault="008E7EE0" w:rsidP="008E7EE0">
            <w:pPr>
              <w:autoSpaceDE w:val="0"/>
              <w:autoSpaceDN w:val="0"/>
              <w:adjustRightInd w:val="0"/>
              <w:spacing w:after="200" w:line="240" w:lineRule="auto"/>
              <w:rPr>
                <w:rFonts w:ascii="Times New Roman" w:eastAsia="Calibri"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≥6,2</w:t>
            </w:r>
          </w:p>
        </w:tc>
        <w:tc>
          <w:tcPr>
            <w:tcW w:w="2500" w:type="dxa"/>
          </w:tcPr>
          <w:p w14:paraId="3EDAF340" w14:textId="77777777" w:rsidR="008E7EE0" w:rsidRPr="008E7EE0" w:rsidRDefault="008E7EE0" w:rsidP="008E7EE0">
            <w:pPr>
              <w:autoSpaceDE w:val="0"/>
              <w:autoSpaceDN w:val="0"/>
              <w:adjustRightInd w:val="0"/>
              <w:spacing w:after="200" w:line="240" w:lineRule="auto"/>
              <w:rPr>
                <w:rFonts w:ascii="Times New Roman" w:eastAsia="Calibri"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500 mg</w:t>
            </w:r>
          </w:p>
        </w:tc>
        <w:tc>
          <w:tcPr>
            <w:tcW w:w="2500" w:type="dxa"/>
            <w:vAlign w:val="center"/>
          </w:tcPr>
          <w:p w14:paraId="70B2B264" w14:textId="77777777" w:rsidR="008E7EE0" w:rsidRPr="008E7EE0" w:rsidRDefault="008E7EE0" w:rsidP="008E7EE0">
            <w:pPr>
              <w:autoSpaceDE w:val="0"/>
              <w:autoSpaceDN w:val="0"/>
              <w:adjustRightInd w:val="0"/>
              <w:spacing w:after="200" w:line="240" w:lineRule="auto"/>
              <w:rPr>
                <w:rFonts w:ascii="Times New Roman" w:eastAsia="Calibri"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1000 mg</w:t>
            </w:r>
          </w:p>
        </w:tc>
        <w:tc>
          <w:tcPr>
            <w:tcW w:w="2501" w:type="dxa"/>
            <w:vAlign w:val="center"/>
          </w:tcPr>
          <w:p w14:paraId="1272A5DC" w14:textId="77777777" w:rsidR="008E7EE0" w:rsidRPr="008E7EE0" w:rsidRDefault="008E7EE0" w:rsidP="008E7EE0">
            <w:pPr>
              <w:autoSpaceDE w:val="0"/>
              <w:autoSpaceDN w:val="0"/>
              <w:adjustRightInd w:val="0"/>
              <w:spacing w:after="200" w:line="240" w:lineRule="auto"/>
              <w:rPr>
                <w:rFonts w:ascii="Times New Roman" w:eastAsia="Calibri"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1500 mg</w:t>
            </w:r>
          </w:p>
        </w:tc>
      </w:tr>
      <w:tr w:rsidR="008E7EE0" w:rsidRPr="008E7EE0" w14:paraId="20A48AC5" w14:textId="77777777" w:rsidTr="00ED082F">
        <w:tc>
          <w:tcPr>
            <w:tcW w:w="1010" w:type="dxa"/>
            <w:vAlign w:val="center"/>
          </w:tcPr>
          <w:p w14:paraId="7DCFBC61" w14:textId="77777777" w:rsidR="008E7EE0" w:rsidRPr="008E7EE0" w:rsidRDefault="008E7EE0" w:rsidP="008E7EE0">
            <w:pPr>
              <w:autoSpaceDE w:val="0"/>
              <w:autoSpaceDN w:val="0"/>
              <w:adjustRightInd w:val="0"/>
              <w:spacing w:after="200" w:line="240" w:lineRule="auto"/>
              <w:rPr>
                <w:rFonts w:ascii="Times New Roman" w:eastAsia="T4"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&lt;10</w:t>
            </w:r>
          </w:p>
        </w:tc>
        <w:tc>
          <w:tcPr>
            <w:tcW w:w="1010" w:type="dxa"/>
          </w:tcPr>
          <w:p w14:paraId="257ABE37" w14:textId="77777777" w:rsidR="008E7EE0" w:rsidRPr="008E7EE0" w:rsidRDefault="008E7EE0" w:rsidP="008E7EE0">
            <w:pPr>
              <w:autoSpaceDE w:val="0"/>
              <w:autoSpaceDN w:val="0"/>
              <w:adjustRightInd w:val="0"/>
              <w:spacing w:after="200" w:line="240" w:lineRule="auto"/>
              <w:rPr>
                <w:rFonts w:ascii="Times New Roman" w:eastAsia="Calibri"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&lt;6,2</w:t>
            </w:r>
          </w:p>
        </w:tc>
        <w:tc>
          <w:tcPr>
            <w:tcW w:w="2500" w:type="dxa"/>
          </w:tcPr>
          <w:p w14:paraId="70E009E3" w14:textId="77777777" w:rsidR="008E7EE0" w:rsidRPr="008E7EE0" w:rsidRDefault="008E7EE0" w:rsidP="008E7EE0">
            <w:pPr>
              <w:autoSpaceDE w:val="0"/>
              <w:autoSpaceDN w:val="0"/>
              <w:adjustRightInd w:val="0"/>
              <w:spacing w:after="200" w:line="240" w:lineRule="auto"/>
              <w:rPr>
                <w:rFonts w:ascii="Times New Roman" w:eastAsia="Calibri"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500 mg</w:t>
            </w:r>
          </w:p>
        </w:tc>
        <w:tc>
          <w:tcPr>
            <w:tcW w:w="2500" w:type="dxa"/>
            <w:vAlign w:val="center"/>
          </w:tcPr>
          <w:p w14:paraId="5DE8355C" w14:textId="77777777" w:rsidR="008E7EE0" w:rsidRPr="008E7EE0" w:rsidRDefault="008E7EE0" w:rsidP="008E7EE0">
            <w:pPr>
              <w:autoSpaceDE w:val="0"/>
              <w:autoSpaceDN w:val="0"/>
              <w:adjustRightInd w:val="0"/>
              <w:spacing w:after="200" w:line="240" w:lineRule="auto"/>
              <w:rPr>
                <w:rFonts w:ascii="Times New Roman" w:eastAsia="Calibri"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1500 mg</w:t>
            </w:r>
          </w:p>
        </w:tc>
        <w:tc>
          <w:tcPr>
            <w:tcW w:w="2501" w:type="dxa"/>
            <w:vAlign w:val="center"/>
          </w:tcPr>
          <w:p w14:paraId="3053F9D7" w14:textId="77777777" w:rsidR="008E7EE0" w:rsidRPr="008E7EE0" w:rsidRDefault="008E7EE0" w:rsidP="008E7EE0">
            <w:pPr>
              <w:autoSpaceDE w:val="0"/>
              <w:autoSpaceDN w:val="0"/>
              <w:adjustRightInd w:val="0"/>
              <w:spacing w:after="200" w:line="240" w:lineRule="auto"/>
              <w:ind w:left="360" w:hanging="360"/>
              <w:contextualSpacing/>
              <w:rPr>
                <w:rFonts w:ascii="Times New Roman" w:eastAsia="Calibri" w:hAnsi="Times New Roman" w:cs="Times New Roman"/>
                <w:kern w:val="0"/>
                <w:sz w:val="22"/>
                <w:szCs w:val="22"/>
                <w14:ligatures w14:val="none"/>
              </w:rPr>
            </w:pPr>
            <w:r w:rsidRPr="008E7EE0">
              <w:rPr>
                <w:rFonts w:ascii="Times New Roman" w:eastAsia="Calibri" w:hAnsi="Times New Roman" w:cs="Times New Roman"/>
                <w:kern w:val="0"/>
                <w:sz w:val="22"/>
                <w:szCs w:val="22"/>
                <w14:ligatures w14:val="none"/>
              </w:rPr>
              <w:t>2000 mg</w:t>
            </w:r>
          </w:p>
        </w:tc>
      </w:tr>
    </w:tbl>
    <w:p w14:paraId="636C5CFD" w14:textId="77777777" w:rsidR="008E7EE0" w:rsidRPr="008E7EE0" w:rsidRDefault="008E7EE0" w:rsidP="008E7EE0">
      <w:pPr>
        <w:tabs>
          <w:tab w:val="left" w:pos="120"/>
          <w:tab w:val="left" w:pos="567"/>
        </w:tabs>
        <w:spacing w:after="0" w:line="240" w:lineRule="auto"/>
        <w:ind w:left="720" w:hanging="360"/>
        <w:rPr>
          <w:rFonts w:ascii="Times New Roman" w:eastAsia="Calibri" w:hAnsi="Times New Roman" w:cs="Times New Roman"/>
          <w:kern w:val="0"/>
          <w:sz w:val="22"/>
          <w:szCs w:val="22"/>
          <w:lang w:eastAsia="lt-LT"/>
          <w14:ligatures w14:val="none"/>
        </w:rPr>
      </w:pPr>
    </w:p>
    <w:p w14:paraId="4F38434E" w14:textId="77777777" w:rsidR="008E7EE0" w:rsidRPr="008E7EE0" w:rsidRDefault="008E7EE0" w:rsidP="008E7EE0">
      <w:pPr>
        <w:tabs>
          <w:tab w:val="left" w:pos="120"/>
          <w:tab w:val="left" w:pos="567"/>
        </w:tabs>
        <w:spacing w:after="0" w:line="240" w:lineRule="auto"/>
        <w:ind w:left="720" w:hanging="360"/>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ii. </w:t>
      </w:r>
      <w:r w:rsidRPr="008E7EE0">
        <w:rPr>
          <w:rFonts w:ascii="Times New Roman" w:eastAsia="Calibri" w:hAnsi="Times New Roman" w:cs="Times New Roman"/>
          <w:kern w:val="0"/>
          <w:sz w:val="22"/>
          <w:szCs w:val="22"/>
          <w:lang w:eastAsia="lt-LT"/>
          <w14:ligatures w14:val="none"/>
        </w:rPr>
        <w:tab/>
      </w:r>
      <w:proofErr w:type="spellStart"/>
      <w:r w:rsidRPr="008E7EE0">
        <w:rPr>
          <w:rFonts w:ascii="Times New Roman" w:eastAsia="Calibri" w:hAnsi="Times New Roman" w:cs="Times New Roman"/>
          <w:kern w:val="0"/>
          <w:sz w:val="22"/>
          <w:szCs w:val="22"/>
          <w:lang w:eastAsia="lt-LT"/>
          <w14:ligatures w14:val="none"/>
        </w:rPr>
        <w:t>Ganzoni</w:t>
      </w:r>
      <w:proofErr w:type="spellEnd"/>
      <w:r w:rsidRPr="008E7EE0">
        <w:rPr>
          <w:rFonts w:ascii="Times New Roman" w:eastAsia="Calibri" w:hAnsi="Times New Roman" w:cs="Times New Roman"/>
          <w:kern w:val="0"/>
          <w:sz w:val="22"/>
          <w:szCs w:val="22"/>
          <w:lang w:eastAsia="lt-LT"/>
          <w14:ligatures w14:val="none"/>
        </w:rPr>
        <w:t xml:space="preserve"> formulė:</w:t>
      </w:r>
    </w:p>
    <w:p w14:paraId="3C7AE8AB" w14:textId="77777777" w:rsidR="008E7EE0" w:rsidRPr="008E7EE0" w:rsidRDefault="008E7EE0" w:rsidP="008E7EE0">
      <w:pPr>
        <w:tabs>
          <w:tab w:val="left" w:pos="120"/>
          <w:tab w:val="left" w:pos="567"/>
        </w:tabs>
        <w:spacing w:after="0" w:line="240" w:lineRule="auto"/>
        <w:ind w:left="720" w:hanging="360"/>
        <w:rPr>
          <w:rFonts w:ascii="Times New Roman" w:eastAsia="Calibri" w:hAnsi="Times New Roman" w:cs="Times New Roman"/>
          <w:kern w:val="0"/>
          <w:sz w:val="22"/>
          <w:szCs w:val="22"/>
          <w:lang w:eastAsia="lt-LT"/>
          <w14:ligatures w14:val="none"/>
        </w:rPr>
      </w:pPr>
    </w:p>
    <w:p w14:paraId="523CC016" w14:textId="77777777" w:rsidR="008E7EE0" w:rsidRPr="008E7EE0" w:rsidRDefault="008E7EE0" w:rsidP="008E7EE0">
      <w:pPr>
        <w:tabs>
          <w:tab w:val="left" w:pos="120"/>
          <w:tab w:val="left" w:pos="567"/>
        </w:tabs>
        <w:spacing w:after="0" w:line="240" w:lineRule="auto"/>
        <w:ind w:left="360"/>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2 Lentelė. </w:t>
      </w:r>
      <w:proofErr w:type="spellStart"/>
      <w:r w:rsidRPr="008E7EE0">
        <w:rPr>
          <w:rFonts w:ascii="Times New Roman" w:eastAsia="Calibri" w:hAnsi="Times New Roman" w:cs="Times New Roman"/>
          <w:kern w:val="0"/>
          <w:sz w:val="22"/>
          <w:szCs w:val="22"/>
          <w:lang w:eastAsia="lt-LT"/>
          <w14:ligatures w14:val="none"/>
        </w:rPr>
        <w:t>Ganzoni</w:t>
      </w:r>
      <w:proofErr w:type="spellEnd"/>
      <w:r w:rsidRPr="008E7EE0">
        <w:rPr>
          <w:rFonts w:ascii="Times New Roman" w:eastAsia="Calibri" w:hAnsi="Times New Roman" w:cs="Times New Roman"/>
          <w:kern w:val="0"/>
          <w:sz w:val="22"/>
          <w:szCs w:val="22"/>
          <w:lang w:eastAsia="lt-LT"/>
          <w14:ligatures w14:val="none"/>
        </w:rPr>
        <w:t xml:space="preserve"> formulė</w:t>
      </w:r>
    </w:p>
    <w:tbl>
      <w:tblPr>
        <w:tblStyle w:val="Lentelstinklelis1"/>
        <w:tblW w:w="0" w:type="auto"/>
        <w:tblLook w:val="04A0" w:firstRow="1" w:lastRow="0" w:firstColumn="1" w:lastColumn="0" w:noHBand="0" w:noVBand="1"/>
      </w:tblPr>
      <w:tblGrid>
        <w:gridCol w:w="9394"/>
      </w:tblGrid>
      <w:tr w:rsidR="008E7EE0" w:rsidRPr="008E7EE0" w14:paraId="5A039A4F" w14:textId="77777777" w:rsidTr="00ED082F">
        <w:tc>
          <w:tcPr>
            <w:tcW w:w="9628" w:type="dxa"/>
          </w:tcPr>
          <w:p w14:paraId="7FA1EF45" w14:textId="77777777" w:rsidR="008E7EE0" w:rsidRPr="008E7EE0" w:rsidRDefault="008E7EE0" w:rsidP="008E7EE0">
            <w:pPr>
              <w:spacing w:line="276" w:lineRule="auto"/>
              <w:rPr>
                <w:rFonts w:ascii="Times New Roman" w:eastAsia="Calibri" w:hAnsi="Times New Roman" w:cs="Times New Roman"/>
              </w:rPr>
            </w:pPr>
            <w:r w:rsidRPr="008E7EE0">
              <w:rPr>
                <w:rFonts w:ascii="Times New Roman" w:eastAsia="Calibri" w:hAnsi="Times New Roman" w:cs="Times New Roman"/>
              </w:rPr>
              <w:t>Geležies poreikis  =  Kūno svoris</w:t>
            </w:r>
            <w:r w:rsidRPr="008E7EE0">
              <w:rPr>
                <w:rFonts w:ascii="Times New Roman" w:eastAsia="Calibri" w:hAnsi="Times New Roman" w:cs="Times New Roman"/>
                <w:vertAlign w:val="superscript"/>
              </w:rPr>
              <w:t>(A)</w:t>
            </w:r>
            <w:r w:rsidRPr="008E7EE0">
              <w:rPr>
                <w:rFonts w:ascii="Times New Roman" w:eastAsia="Calibri" w:hAnsi="Times New Roman" w:cs="Times New Roman"/>
              </w:rPr>
              <w:t xml:space="preserve"> x (Siekiamas tikslinis </w:t>
            </w:r>
            <w:proofErr w:type="spellStart"/>
            <w:r w:rsidRPr="008E7EE0">
              <w:rPr>
                <w:rFonts w:ascii="Times New Roman" w:eastAsia="Calibri" w:hAnsi="Times New Roman" w:cs="Times New Roman"/>
              </w:rPr>
              <w:t>Hb</w:t>
            </w:r>
            <w:proofErr w:type="spellEnd"/>
            <w:r w:rsidRPr="008E7EE0">
              <w:rPr>
                <w:rFonts w:ascii="Times New Roman" w:eastAsia="Calibri" w:hAnsi="Times New Roman" w:cs="Times New Roman"/>
                <w:vertAlign w:val="superscript"/>
              </w:rPr>
              <w:t>(D)</w:t>
            </w:r>
            <w:r w:rsidRPr="008E7EE0">
              <w:rPr>
                <w:rFonts w:ascii="Times New Roman" w:eastAsia="Calibri" w:hAnsi="Times New Roman" w:cs="Times New Roman"/>
              </w:rPr>
              <w:t xml:space="preserve">  – Esamas </w:t>
            </w:r>
            <w:proofErr w:type="spellStart"/>
            <w:r w:rsidRPr="008E7EE0">
              <w:rPr>
                <w:rFonts w:ascii="Times New Roman" w:eastAsia="Calibri" w:hAnsi="Times New Roman" w:cs="Times New Roman"/>
              </w:rPr>
              <w:t>Hb</w:t>
            </w:r>
            <w:proofErr w:type="spellEnd"/>
            <w:r w:rsidRPr="008E7EE0">
              <w:rPr>
                <w:rFonts w:ascii="Times New Roman" w:eastAsia="Calibri" w:hAnsi="Times New Roman" w:cs="Times New Roman"/>
              </w:rPr>
              <w:t>)</w:t>
            </w:r>
            <w:r w:rsidRPr="008E7EE0">
              <w:rPr>
                <w:rFonts w:ascii="Times New Roman" w:eastAsia="Calibri" w:hAnsi="Times New Roman" w:cs="Times New Roman"/>
                <w:vertAlign w:val="superscript"/>
              </w:rPr>
              <w:t>(B)</w:t>
            </w:r>
            <w:r w:rsidRPr="008E7EE0">
              <w:rPr>
                <w:rFonts w:ascii="Times New Roman" w:eastAsia="Calibri" w:hAnsi="Times New Roman" w:cs="Times New Roman"/>
              </w:rPr>
              <w:t xml:space="preserve"> x 2,4 + Geležis atsargoms</w:t>
            </w:r>
            <w:r w:rsidRPr="008E7EE0">
              <w:rPr>
                <w:rFonts w:ascii="Times New Roman" w:eastAsia="Calibri" w:hAnsi="Times New Roman" w:cs="Times New Roman"/>
                <w:vertAlign w:val="superscript"/>
              </w:rPr>
              <w:t>(C)</w:t>
            </w:r>
          </w:p>
          <w:p w14:paraId="02651DC3" w14:textId="77777777" w:rsidR="008E7EE0" w:rsidRPr="008E7EE0" w:rsidRDefault="008E7EE0" w:rsidP="008E7EE0">
            <w:pPr>
              <w:tabs>
                <w:tab w:val="center" w:pos="1440"/>
                <w:tab w:val="left" w:pos="2410"/>
                <w:tab w:val="center" w:pos="4820"/>
                <w:tab w:val="center" w:pos="8080"/>
              </w:tabs>
              <w:spacing w:line="276" w:lineRule="auto"/>
              <w:rPr>
                <w:rFonts w:ascii="Times New Roman" w:eastAsia="Calibri" w:hAnsi="Times New Roman" w:cs="Times New Roman"/>
              </w:rPr>
            </w:pPr>
            <w:r w:rsidRPr="008E7EE0">
              <w:rPr>
                <w:rFonts w:ascii="Times New Roman" w:eastAsia="Calibri" w:hAnsi="Times New Roman" w:cs="Times New Roman"/>
              </w:rPr>
              <w:t>[mg geležies]</w:t>
            </w:r>
            <w:r w:rsidRPr="008E7EE0">
              <w:rPr>
                <w:rFonts w:ascii="Times New Roman" w:eastAsia="Calibri" w:hAnsi="Times New Roman" w:cs="Times New Roman"/>
              </w:rPr>
              <w:tab/>
              <w:t xml:space="preserve">                  [kg]</w:t>
            </w:r>
            <w:r w:rsidRPr="008E7EE0">
              <w:rPr>
                <w:rFonts w:ascii="Times New Roman" w:eastAsia="Calibri" w:hAnsi="Times New Roman" w:cs="Times New Roman"/>
              </w:rPr>
              <w:tab/>
              <w:t xml:space="preserve">                                        [g/dl]                                     [mg geležies]</w:t>
            </w:r>
          </w:p>
          <w:p w14:paraId="7C336055" w14:textId="77777777" w:rsidR="008E7EE0" w:rsidRPr="008E7EE0" w:rsidRDefault="008E7EE0" w:rsidP="008E7EE0">
            <w:pPr>
              <w:tabs>
                <w:tab w:val="left" w:pos="120"/>
                <w:tab w:val="left" w:pos="567"/>
              </w:tabs>
              <w:spacing w:line="259" w:lineRule="auto"/>
              <w:rPr>
                <w:rFonts w:ascii="Times New Roman" w:eastAsia="Calibri" w:hAnsi="Times New Roman" w:cs="Times New Roman"/>
                <w:lang w:eastAsia="lt-LT"/>
              </w:rPr>
            </w:pPr>
          </w:p>
        </w:tc>
      </w:tr>
    </w:tbl>
    <w:p w14:paraId="5743BC2A"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5C966D93" w14:textId="77777777" w:rsidR="008E7EE0" w:rsidRPr="008E7EE0" w:rsidRDefault="008E7EE0" w:rsidP="008E7EE0">
      <w:pPr>
        <w:tabs>
          <w:tab w:val="left" w:pos="120"/>
          <w:tab w:val="left" w:pos="567"/>
        </w:tabs>
        <w:spacing w:after="0" w:line="240" w:lineRule="auto"/>
        <w:ind w:left="567" w:hanging="567"/>
        <w:rPr>
          <w:rFonts w:ascii="Times New Roman" w:eastAsia="Calibri" w:hAnsi="Times New Roman" w:cs="Times New Roman"/>
          <w:kern w:val="0"/>
          <w:sz w:val="22"/>
          <w:szCs w:val="22"/>
          <w:lang w:eastAsia="lt-LT"/>
          <w14:ligatures w14:val="none"/>
        </w:rPr>
      </w:pPr>
      <w:r w:rsidRPr="008E7EE0" w:rsidDel="003D34B3">
        <w:rPr>
          <w:rFonts w:ascii="Times New Roman" w:eastAsia="Calibri" w:hAnsi="Times New Roman" w:cs="Times New Roman"/>
          <w:kern w:val="0"/>
          <w:sz w:val="22"/>
          <w:szCs w:val="22"/>
          <w:lang w:eastAsia="lt-LT"/>
          <w14:ligatures w14:val="none"/>
        </w:rPr>
        <w:t xml:space="preserve"> </w:t>
      </w:r>
      <w:r w:rsidRPr="008E7EE0">
        <w:rPr>
          <w:rFonts w:ascii="Times New Roman" w:eastAsia="Calibri" w:hAnsi="Times New Roman" w:cs="Times New Roman"/>
          <w:kern w:val="0"/>
          <w:sz w:val="22"/>
          <w:szCs w:val="22"/>
          <w:lang w:eastAsia="lt-LT"/>
          <w14:ligatures w14:val="none"/>
        </w:rPr>
        <w:t xml:space="preserve">(A) </w:t>
      </w:r>
      <w:r w:rsidRPr="008E7EE0">
        <w:rPr>
          <w:rFonts w:ascii="Times New Roman" w:eastAsia="Calibri" w:hAnsi="Times New Roman" w:cs="Times New Roman"/>
          <w:kern w:val="0"/>
          <w:sz w:val="22"/>
          <w:szCs w:val="22"/>
          <w:lang w:eastAsia="lt-LT"/>
          <w14:ligatures w14:val="none"/>
        </w:rPr>
        <w:tab/>
        <w:t>Rekomenduojama skaičiuojant naudoti idealų paciento svorį nutukusiems arba moters svorį prieš nėštumą nėščiosioms. Visiems kitiems pacientams naudoti esamą kūno svorį. Idealus kūno svoris gali būti apskaičiuojamas įvairiais būdais, pvz., apskaičiuojant kūno svorį, kai KMI 25, pvz., idealus kūno svoris = 25*(ūgis metrais)</w:t>
      </w:r>
      <w:r w:rsidRPr="008E7EE0">
        <w:rPr>
          <w:rFonts w:ascii="Times New Roman" w:eastAsia="Calibri" w:hAnsi="Times New Roman" w:cs="Times New Roman"/>
          <w:kern w:val="0"/>
          <w:sz w:val="22"/>
          <w:szCs w:val="22"/>
          <w:vertAlign w:val="superscript"/>
          <w:lang w:eastAsia="lt-LT"/>
          <w14:ligatures w14:val="none"/>
        </w:rPr>
        <w:t>2</w:t>
      </w:r>
      <w:r w:rsidRPr="008E7EE0">
        <w:rPr>
          <w:rFonts w:ascii="Times New Roman" w:eastAsia="Calibri" w:hAnsi="Times New Roman" w:cs="Times New Roman"/>
          <w:kern w:val="0"/>
          <w:sz w:val="22"/>
          <w:szCs w:val="22"/>
          <w:lang w:eastAsia="lt-LT"/>
          <w14:ligatures w14:val="none"/>
        </w:rPr>
        <w:t xml:space="preserve">. </w:t>
      </w:r>
    </w:p>
    <w:p w14:paraId="11F683D6"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(B) </w:t>
      </w:r>
      <w:r w:rsidRPr="008E7EE0">
        <w:rPr>
          <w:rFonts w:ascii="Times New Roman" w:eastAsia="Calibri" w:hAnsi="Times New Roman" w:cs="Times New Roman"/>
          <w:kern w:val="0"/>
          <w:sz w:val="22"/>
          <w:szCs w:val="22"/>
          <w:lang w:eastAsia="lt-LT"/>
          <w14:ligatures w14:val="none"/>
        </w:rPr>
        <w:tab/>
        <w:t xml:space="preserve">Perskaičiuojant </w:t>
      </w:r>
      <w:proofErr w:type="spellStart"/>
      <w:r w:rsidRPr="008E7EE0">
        <w:rPr>
          <w:rFonts w:ascii="Times New Roman" w:eastAsia="Calibri" w:hAnsi="Times New Roman" w:cs="Times New Roman"/>
          <w:kern w:val="0"/>
          <w:sz w:val="22"/>
          <w:szCs w:val="22"/>
          <w:lang w:eastAsia="lt-LT"/>
          <w14:ligatures w14:val="none"/>
        </w:rPr>
        <w:t>Hb</w:t>
      </w:r>
      <w:proofErr w:type="spellEnd"/>
      <w:r w:rsidRPr="008E7EE0">
        <w:rPr>
          <w:rFonts w:ascii="Times New Roman" w:eastAsia="Calibri" w:hAnsi="Times New Roman" w:cs="Times New Roman"/>
          <w:kern w:val="0"/>
          <w:sz w:val="22"/>
          <w:szCs w:val="22"/>
          <w:lang w:eastAsia="lt-LT"/>
          <w14:ligatures w14:val="none"/>
        </w:rPr>
        <w:t xml:space="preserve"> [</w:t>
      </w:r>
      <w:proofErr w:type="spellStart"/>
      <w:r w:rsidRPr="008E7EE0">
        <w:rPr>
          <w:rFonts w:ascii="Times New Roman" w:eastAsia="Calibri" w:hAnsi="Times New Roman" w:cs="Times New Roman"/>
          <w:kern w:val="0"/>
          <w:sz w:val="22"/>
          <w:szCs w:val="22"/>
          <w:lang w:eastAsia="lt-LT"/>
          <w14:ligatures w14:val="none"/>
        </w:rPr>
        <w:t>mM</w:t>
      </w:r>
      <w:proofErr w:type="spellEnd"/>
      <w:r w:rsidRPr="008E7EE0">
        <w:rPr>
          <w:rFonts w:ascii="Times New Roman" w:eastAsia="Calibri" w:hAnsi="Times New Roman" w:cs="Times New Roman"/>
          <w:kern w:val="0"/>
          <w:sz w:val="22"/>
          <w:szCs w:val="22"/>
          <w:lang w:eastAsia="lt-LT"/>
          <w14:ligatures w14:val="none"/>
        </w:rPr>
        <w:t xml:space="preserve">] į </w:t>
      </w:r>
      <w:proofErr w:type="spellStart"/>
      <w:r w:rsidRPr="008E7EE0">
        <w:rPr>
          <w:rFonts w:ascii="Times New Roman" w:eastAsia="Calibri" w:hAnsi="Times New Roman" w:cs="Times New Roman"/>
          <w:kern w:val="0"/>
          <w:sz w:val="22"/>
          <w:szCs w:val="22"/>
          <w:lang w:eastAsia="lt-LT"/>
          <w14:ligatures w14:val="none"/>
        </w:rPr>
        <w:t>Hb</w:t>
      </w:r>
      <w:proofErr w:type="spellEnd"/>
      <w:r w:rsidRPr="008E7EE0">
        <w:rPr>
          <w:rFonts w:ascii="Times New Roman" w:eastAsia="Calibri" w:hAnsi="Times New Roman" w:cs="Times New Roman"/>
          <w:kern w:val="0"/>
          <w:sz w:val="22"/>
          <w:szCs w:val="22"/>
          <w:lang w:eastAsia="lt-LT"/>
          <w14:ligatures w14:val="none"/>
        </w:rPr>
        <w:t xml:space="preserve"> [g/dl], reikia </w:t>
      </w:r>
      <w:proofErr w:type="spellStart"/>
      <w:r w:rsidRPr="008E7EE0">
        <w:rPr>
          <w:rFonts w:ascii="Times New Roman" w:eastAsia="Calibri" w:hAnsi="Times New Roman" w:cs="Times New Roman"/>
          <w:kern w:val="0"/>
          <w:sz w:val="22"/>
          <w:szCs w:val="22"/>
          <w:lang w:eastAsia="lt-LT"/>
          <w14:ligatures w14:val="none"/>
        </w:rPr>
        <w:t>Hb</w:t>
      </w:r>
      <w:proofErr w:type="spellEnd"/>
      <w:r w:rsidRPr="008E7EE0">
        <w:rPr>
          <w:rFonts w:ascii="Times New Roman" w:eastAsia="Calibri" w:hAnsi="Times New Roman" w:cs="Times New Roman"/>
          <w:kern w:val="0"/>
          <w:sz w:val="22"/>
          <w:szCs w:val="22"/>
          <w:lang w:eastAsia="lt-LT"/>
          <w14:ligatures w14:val="none"/>
        </w:rPr>
        <w:t xml:space="preserve"> [</w:t>
      </w:r>
      <w:proofErr w:type="spellStart"/>
      <w:r w:rsidRPr="008E7EE0">
        <w:rPr>
          <w:rFonts w:ascii="Times New Roman" w:eastAsia="Calibri" w:hAnsi="Times New Roman" w:cs="Times New Roman"/>
          <w:kern w:val="0"/>
          <w:sz w:val="22"/>
          <w:szCs w:val="22"/>
          <w:lang w:eastAsia="lt-LT"/>
          <w14:ligatures w14:val="none"/>
        </w:rPr>
        <w:t>mM</w:t>
      </w:r>
      <w:proofErr w:type="spellEnd"/>
      <w:r w:rsidRPr="008E7EE0">
        <w:rPr>
          <w:rFonts w:ascii="Times New Roman" w:eastAsia="Calibri" w:hAnsi="Times New Roman" w:cs="Times New Roman"/>
          <w:kern w:val="0"/>
          <w:sz w:val="22"/>
          <w:szCs w:val="22"/>
          <w:lang w:eastAsia="lt-LT"/>
          <w14:ligatures w14:val="none"/>
        </w:rPr>
        <w:t>] dauginti iš koeficiento 1,61145.</w:t>
      </w:r>
    </w:p>
    <w:p w14:paraId="392C5DA4" w14:textId="77777777" w:rsidR="008E7EE0" w:rsidRPr="008E7EE0" w:rsidRDefault="008E7EE0" w:rsidP="008E7EE0">
      <w:pPr>
        <w:tabs>
          <w:tab w:val="left" w:pos="120"/>
          <w:tab w:val="left" w:pos="567"/>
        </w:tabs>
        <w:spacing w:after="0" w:line="240" w:lineRule="auto"/>
        <w:ind w:left="567" w:hanging="567"/>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(C) </w:t>
      </w:r>
      <w:r w:rsidRPr="008E7EE0">
        <w:rPr>
          <w:rFonts w:ascii="Times New Roman" w:eastAsia="Calibri" w:hAnsi="Times New Roman" w:cs="Times New Roman"/>
          <w:kern w:val="0"/>
          <w:sz w:val="22"/>
          <w:szCs w:val="22"/>
          <w:lang w:eastAsia="lt-LT"/>
          <w14:ligatures w14:val="none"/>
        </w:rPr>
        <w:tab/>
        <w:t>Paciento, kurio svoris didesnis kaip 35 kg, geležies atsargos sudaro apie 500 mg arba daugiau.   Mažesnės kaip 500 mg geležies atsargos yra mažiausia norma smulkaus sudėjimo moterims. Kai kurios rekomendacijos siūlo naudoti 10-15 mg geležies/kg kūno svoriui.</w:t>
      </w:r>
    </w:p>
    <w:p w14:paraId="76113F8E" w14:textId="77777777" w:rsidR="008E7EE0" w:rsidRPr="008E7EE0" w:rsidRDefault="008E7EE0" w:rsidP="008E7EE0">
      <w:pPr>
        <w:tabs>
          <w:tab w:val="left" w:pos="120"/>
          <w:tab w:val="left" w:pos="567"/>
        </w:tabs>
        <w:spacing w:after="0" w:line="240" w:lineRule="auto"/>
        <w:ind w:left="567" w:hanging="567"/>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(D)  </w:t>
      </w:r>
      <w:r w:rsidRPr="008E7EE0">
        <w:rPr>
          <w:rFonts w:ascii="Times New Roman" w:eastAsia="Calibri" w:hAnsi="Times New Roman" w:cs="Times New Roman"/>
          <w:kern w:val="0"/>
          <w:sz w:val="22"/>
          <w:szCs w:val="22"/>
          <w:lang w:eastAsia="lt-LT"/>
          <w14:ligatures w14:val="none"/>
        </w:rPr>
        <w:tab/>
        <w:t xml:space="preserve">Nustatytas </w:t>
      </w:r>
      <w:proofErr w:type="spellStart"/>
      <w:r w:rsidRPr="008E7EE0">
        <w:rPr>
          <w:rFonts w:ascii="Times New Roman" w:eastAsia="Calibri" w:hAnsi="Times New Roman" w:cs="Times New Roman"/>
          <w:kern w:val="0"/>
          <w:sz w:val="22"/>
          <w:szCs w:val="22"/>
          <w:lang w:eastAsia="lt-LT"/>
          <w14:ligatures w14:val="none"/>
        </w:rPr>
        <w:t>Hb</w:t>
      </w:r>
      <w:proofErr w:type="spellEnd"/>
      <w:r w:rsidRPr="008E7EE0">
        <w:rPr>
          <w:rFonts w:ascii="Times New Roman" w:eastAsia="Calibri" w:hAnsi="Times New Roman" w:cs="Times New Roman"/>
          <w:kern w:val="0"/>
          <w:sz w:val="22"/>
          <w:szCs w:val="22"/>
          <w:lang w:eastAsia="lt-LT"/>
          <w14:ligatures w14:val="none"/>
        </w:rPr>
        <w:t xml:space="preserve"> tikslas </w:t>
      </w:r>
      <w:proofErr w:type="spellStart"/>
      <w:r w:rsidRPr="008E7EE0">
        <w:rPr>
          <w:rFonts w:ascii="Times New Roman" w:eastAsia="Calibri" w:hAnsi="Times New Roman" w:cs="Times New Roman"/>
          <w:kern w:val="0"/>
          <w:sz w:val="22"/>
          <w:szCs w:val="22"/>
          <w:lang w:eastAsia="lt-LT"/>
          <w14:ligatures w14:val="none"/>
        </w:rPr>
        <w:t>Ganzoni</w:t>
      </w:r>
      <w:proofErr w:type="spellEnd"/>
      <w:r w:rsidRPr="008E7EE0">
        <w:rPr>
          <w:rFonts w:ascii="Times New Roman" w:eastAsia="Calibri" w:hAnsi="Times New Roman" w:cs="Times New Roman"/>
          <w:kern w:val="0"/>
          <w:sz w:val="22"/>
          <w:szCs w:val="22"/>
          <w:lang w:eastAsia="lt-LT"/>
          <w14:ligatures w14:val="none"/>
        </w:rPr>
        <w:t xml:space="preserve"> formulėje yra 15 g/dl. Ypatingais atvejais, tokiais kaip nėštumas, yra naudojama mažesnis hemoglobino tikslas.</w:t>
      </w:r>
    </w:p>
    <w:p w14:paraId="0EC028C5"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7CE8BC8B" w14:textId="77777777" w:rsidR="008E7EE0" w:rsidRPr="008E7EE0" w:rsidRDefault="008E7EE0" w:rsidP="008E7EE0">
      <w:pPr>
        <w:tabs>
          <w:tab w:val="left" w:pos="567"/>
        </w:tabs>
        <w:spacing w:after="0" w:line="240" w:lineRule="auto"/>
        <w:ind w:firstLine="426"/>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iii.   Fiksuotas geležies poreikis</w:t>
      </w:r>
    </w:p>
    <w:p w14:paraId="07961C6E" w14:textId="77777777" w:rsidR="008E7EE0" w:rsidRPr="008E7EE0" w:rsidRDefault="008E7EE0" w:rsidP="008E7EE0">
      <w:pPr>
        <w:tabs>
          <w:tab w:val="left" w:pos="120"/>
          <w:tab w:val="left" w:pos="567"/>
        </w:tabs>
        <w:spacing w:after="0" w:line="240" w:lineRule="auto"/>
        <w:ind w:left="360"/>
        <w:rPr>
          <w:rFonts w:ascii="Times New Roman" w:eastAsia="Calibri" w:hAnsi="Times New Roman" w:cs="Times New Roman"/>
          <w:kern w:val="0"/>
          <w:sz w:val="22"/>
          <w:szCs w:val="22"/>
          <w:lang w:eastAsia="lt-LT"/>
          <w14:ligatures w14:val="none"/>
        </w:rPr>
      </w:pPr>
    </w:p>
    <w:p w14:paraId="24CD6C39"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Skiriama fiksuota 1000 mg dozė ir pacientas pakartotinai vertinamas dėl tolesnio geležies poreikio pagal „3 žingsnį“: „geležies atsargų įvertinimas“. Pacientams, sveriantiems mažiau nei 50 kg, geležies poreikiui apskaičiuoti naudokite supaprastintą lentelę arba </w:t>
      </w:r>
      <w:proofErr w:type="spellStart"/>
      <w:r w:rsidRPr="008E7EE0">
        <w:rPr>
          <w:rFonts w:ascii="Times New Roman" w:eastAsia="Calibri" w:hAnsi="Times New Roman" w:cs="Times New Roman"/>
          <w:kern w:val="0"/>
          <w:sz w:val="22"/>
          <w:szCs w:val="22"/>
          <w:lang w:eastAsia="lt-LT"/>
          <w14:ligatures w14:val="none"/>
        </w:rPr>
        <w:t>Ganzoni</w:t>
      </w:r>
      <w:proofErr w:type="spellEnd"/>
      <w:r w:rsidRPr="008E7EE0">
        <w:rPr>
          <w:rFonts w:ascii="Times New Roman" w:eastAsia="Calibri" w:hAnsi="Times New Roman" w:cs="Times New Roman"/>
          <w:kern w:val="0"/>
          <w:sz w:val="22"/>
          <w:szCs w:val="22"/>
          <w:lang w:eastAsia="lt-LT"/>
          <w14:ligatures w14:val="none"/>
        </w:rPr>
        <w:t xml:space="preserve"> formulę. </w:t>
      </w:r>
    </w:p>
    <w:p w14:paraId="77BD8C63"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3DBFAF52"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i/>
          <w:iCs/>
          <w:kern w:val="0"/>
          <w:sz w:val="22"/>
          <w:szCs w:val="22"/>
          <w:lang w:eastAsia="lt-LT"/>
          <w14:ligatures w14:val="none"/>
        </w:rPr>
      </w:pPr>
      <w:r w:rsidRPr="008E7EE0">
        <w:rPr>
          <w:rFonts w:ascii="Times New Roman" w:eastAsia="Calibri" w:hAnsi="Times New Roman" w:cs="Times New Roman"/>
          <w:i/>
          <w:iCs/>
          <w:kern w:val="0"/>
          <w:sz w:val="22"/>
          <w:szCs w:val="22"/>
          <w:lang w:eastAsia="lt-LT"/>
          <w14:ligatures w14:val="none"/>
        </w:rPr>
        <w:t>2 žingsnis. Didžiausios individualios geležies dozės (-</w:t>
      </w:r>
      <w:proofErr w:type="spellStart"/>
      <w:r w:rsidRPr="008E7EE0">
        <w:rPr>
          <w:rFonts w:ascii="Times New Roman" w:eastAsia="Calibri" w:hAnsi="Times New Roman" w:cs="Times New Roman"/>
          <w:i/>
          <w:iCs/>
          <w:kern w:val="0"/>
          <w:sz w:val="22"/>
          <w:szCs w:val="22"/>
          <w:lang w:eastAsia="lt-LT"/>
          <w14:ligatures w14:val="none"/>
        </w:rPr>
        <w:t>ių</w:t>
      </w:r>
      <w:proofErr w:type="spellEnd"/>
      <w:r w:rsidRPr="008E7EE0">
        <w:rPr>
          <w:rFonts w:ascii="Times New Roman" w:eastAsia="Calibri" w:hAnsi="Times New Roman" w:cs="Times New Roman"/>
          <w:i/>
          <w:iCs/>
          <w:kern w:val="0"/>
          <w:sz w:val="22"/>
          <w:szCs w:val="22"/>
          <w:lang w:eastAsia="lt-LT"/>
          <w14:ligatures w14:val="none"/>
        </w:rPr>
        <w:t>) apskaičiavimas ir skyrimas:</w:t>
      </w:r>
    </w:p>
    <w:p w14:paraId="7DB5B247"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3E8557A9" w14:textId="644F0365"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Remiantis nustatytu geležies poreikiu, reikia skirti tinkamą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8E7EE0">
        <w:rPr>
          <w:rFonts w:ascii="Times New Roman" w:eastAsia="Calibri" w:hAnsi="Times New Roman" w:cs="Times New Roman"/>
          <w:kern w:val="0"/>
          <w:sz w:val="22"/>
          <w:szCs w:val="22"/>
          <w:lang w:eastAsia="lt-LT"/>
          <w14:ligatures w14:val="none"/>
        </w:rPr>
        <w:t xml:space="preserve"> dozę atsižvelgiant į:</w:t>
      </w:r>
    </w:p>
    <w:p w14:paraId="1C80D0A1"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14D068FD"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Bendra dozė per savaitę neturėtų viršyti 20 mg geležies/ kg kūno svorio.</w:t>
      </w:r>
    </w:p>
    <w:p w14:paraId="1A5863BD" w14:textId="71A9066B"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Viena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8E7EE0">
        <w:rPr>
          <w:rFonts w:ascii="Times New Roman" w:eastAsia="Calibri" w:hAnsi="Times New Roman" w:cs="Times New Roman"/>
          <w:kern w:val="0"/>
          <w:sz w:val="22"/>
          <w:szCs w:val="22"/>
          <w:lang w:eastAsia="lt-LT"/>
          <w14:ligatures w14:val="none"/>
        </w:rPr>
        <w:t xml:space="preserve"> infuzija neturi viršyti 20 mg geležies/ kg kūno svorio. </w:t>
      </w:r>
    </w:p>
    <w:p w14:paraId="4BF71B7B" w14:textId="43217C2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Viena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8E7EE0">
        <w:rPr>
          <w:rFonts w:ascii="Times New Roman" w:eastAsia="Calibri" w:hAnsi="Times New Roman" w:cs="Times New Roman"/>
          <w:kern w:val="0"/>
          <w:sz w:val="22"/>
          <w:szCs w:val="22"/>
          <w:lang w:eastAsia="lt-LT"/>
          <w14:ligatures w14:val="none"/>
        </w:rPr>
        <w:t xml:space="preserve"> </w:t>
      </w:r>
      <w:proofErr w:type="spellStart"/>
      <w:r w:rsidRPr="008E7EE0">
        <w:rPr>
          <w:rFonts w:ascii="Times New Roman" w:eastAsia="Calibri" w:hAnsi="Times New Roman" w:cs="Times New Roman"/>
          <w:kern w:val="0"/>
          <w:sz w:val="22"/>
          <w:szCs w:val="22"/>
          <w:lang w:eastAsia="lt-LT"/>
          <w14:ligatures w14:val="none"/>
        </w:rPr>
        <w:t>bolus</w:t>
      </w:r>
      <w:proofErr w:type="spellEnd"/>
      <w:r w:rsidRPr="008E7EE0">
        <w:rPr>
          <w:rFonts w:ascii="Times New Roman" w:eastAsia="Calibri" w:hAnsi="Times New Roman" w:cs="Times New Roman"/>
          <w:kern w:val="0"/>
          <w:sz w:val="22"/>
          <w:szCs w:val="22"/>
          <w:lang w:eastAsia="lt-LT"/>
          <w14:ligatures w14:val="none"/>
        </w:rPr>
        <w:t xml:space="preserve"> injekcija neturi viršyti 500 mg geležies. </w:t>
      </w:r>
    </w:p>
    <w:p w14:paraId="61E62502"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5526AA12"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i/>
          <w:iCs/>
          <w:kern w:val="0"/>
          <w:sz w:val="22"/>
          <w:szCs w:val="22"/>
          <w:lang w:eastAsia="lt-LT"/>
          <w14:ligatures w14:val="none"/>
        </w:rPr>
      </w:pPr>
      <w:r w:rsidRPr="008E7EE0">
        <w:rPr>
          <w:rFonts w:ascii="Times New Roman" w:eastAsia="Calibri" w:hAnsi="Times New Roman" w:cs="Times New Roman"/>
          <w:i/>
          <w:iCs/>
          <w:kern w:val="0"/>
          <w:sz w:val="22"/>
          <w:szCs w:val="22"/>
          <w:lang w:eastAsia="lt-LT"/>
          <w14:ligatures w14:val="none"/>
        </w:rPr>
        <w:t>3 žingsnis. Geležies atsargų įvertinimas:</w:t>
      </w:r>
    </w:p>
    <w:p w14:paraId="47576767"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7F26C5B6" w14:textId="2850ED74"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Pakartotinį vertinimą, įskaitant kraujo tyrimus, turėtų atlikti gydytojas, atsižvelgdamas į kiekvieno paciento būklę. Norint įvertinti gydymo geležimi IV poveikį, </w:t>
      </w:r>
      <w:proofErr w:type="spellStart"/>
      <w:r w:rsidRPr="008E7EE0">
        <w:rPr>
          <w:rFonts w:ascii="Times New Roman" w:eastAsia="Calibri" w:hAnsi="Times New Roman" w:cs="Times New Roman"/>
          <w:kern w:val="0"/>
          <w:sz w:val="22"/>
          <w:szCs w:val="22"/>
          <w:lang w:eastAsia="lt-LT"/>
          <w14:ligatures w14:val="none"/>
        </w:rPr>
        <w:t>Hb</w:t>
      </w:r>
      <w:proofErr w:type="spellEnd"/>
      <w:r w:rsidRPr="008E7EE0">
        <w:rPr>
          <w:rFonts w:ascii="Times New Roman" w:eastAsia="Calibri" w:hAnsi="Times New Roman" w:cs="Times New Roman"/>
          <w:kern w:val="0"/>
          <w:sz w:val="22"/>
          <w:szCs w:val="22"/>
          <w:lang w:eastAsia="lt-LT"/>
          <w14:ligatures w14:val="none"/>
        </w:rPr>
        <w:t xml:space="preserve"> kiekis turėtų būti pakartotinai įvertintas ne anksčiau kaip praėjus 4 savaitėms po paskutinio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8E7EE0">
        <w:rPr>
          <w:rFonts w:ascii="Times New Roman" w:eastAsia="Calibri" w:hAnsi="Times New Roman" w:cs="Times New Roman"/>
          <w:kern w:val="0"/>
          <w:sz w:val="22"/>
          <w:szCs w:val="22"/>
          <w:lang w:eastAsia="lt-LT"/>
          <w14:ligatures w14:val="none"/>
        </w:rPr>
        <w:t xml:space="preserve"> vartojimo, kad būtų pakankamai laiko </w:t>
      </w:r>
      <w:proofErr w:type="spellStart"/>
      <w:r w:rsidRPr="008E7EE0">
        <w:rPr>
          <w:rFonts w:ascii="Times New Roman" w:eastAsia="Calibri" w:hAnsi="Times New Roman" w:cs="Times New Roman"/>
          <w:kern w:val="0"/>
          <w:sz w:val="22"/>
          <w:szCs w:val="22"/>
          <w:lang w:eastAsia="lt-LT"/>
          <w14:ligatures w14:val="none"/>
        </w:rPr>
        <w:t>eritropoezei</w:t>
      </w:r>
      <w:proofErr w:type="spellEnd"/>
      <w:r w:rsidRPr="008E7EE0">
        <w:rPr>
          <w:rFonts w:ascii="Times New Roman" w:eastAsia="Calibri" w:hAnsi="Times New Roman" w:cs="Times New Roman"/>
          <w:kern w:val="0"/>
          <w:sz w:val="22"/>
          <w:szCs w:val="22"/>
          <w:lang w:eastAsia="lt-LT"/>
          <w14:ligatures w14:val="none"/>
        </w:rPr>
        <w:t xml:space="preserve"> ir geležies sunaudojimui. Jei pacientui reikia tolimesnio geležies papildymo, geležies poreikis turi būti perskaičiuotas. </w:t>
      </w:r>
    </w:p>
    <w:p w14:paraId="0D7BDB85"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63A12F4B"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i/>
          <w:iCs/>
          <w:kern w:val="0"/>
          <w:sz w:val="22"/>
          <w:szCs w:val="22"/>
          <w:u w:val="single"/>
          <w:lang w:eastAsia="lt-LT"/>
          <w14:ligatures w14:val="none"/>
        </w:rPr>
      </w:pPr>
      <w:r w:rsidRPr="008E7EE0">
        <w:rPr>
          <w:rFonts w:ascii="Times New Roman" w:eastAsia="Calibri" w:hAnsi="Times New Roman" w:cs="Times New Roman"/>
          <w:i/>
          <w:iCs/>
          <w:kern w:val="0"/>
          <w:sz w:val="22"/>
          <w:szCs w:val="22"/>
          <w:u w:val="single"/>
          <w:lang w:eastAsia="lt-LT"/>
          <w14:ligatures w14:val="none"/>
        </w:rPr>
        <w:t>Vaikai ir paaugliai:</w:t>
      </w:r>
    </w:p>
    <w:p w14:paraId="39A03001"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i/>
          <w:iCs/>
          <w:kern w:val="0"/>
          <w:sz w:val="22"/>
          <w:szCs w:val="22"/>
          <w:lang w:eastAsia="lt-LT"/>
          <w14:ligatures w14:val="none"/>
        </w:rPr>
      </w:pPr>
    </w:p>
    <w:p w14:paraId="515E7572" w14:textId="289E9373" w:rsidR="008E7EE0" w:rsidRPr="008E7EE0" w:rsidRDefault="00D23A58"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sidRPr="00D23A58">
        <w:rPr>
          <w:rFonts w:ascii="Times New Roman" w:eastAsia="Calibri" w:hAnsi="Times New Roman" w:cs="Times New Roman"/>
          <w:kern w:val="0"/>
          <w:sz w:val="22"/>
          <w:szCs w:val="22"/>
          <w:lang w:eastAsia="lt-LT"/>
          <w14:ligatures w14:val="none"/>
        </w:rPr>
        <w:lastRenderedPageBreak/>
        <w:t>Monoferric</w:t>
      </w:r>
      <w:proofErr w:type="spellEnd"/>
      <w:r w:rsidR="008E7EE0" w:rsidRPr="008E7EE0">
        <w:rPr>
          <w:rFonts w:ascii="Times New Roman" w:eastAsia="Calibri" w:hAnsi="Times New Roman" w:cs="Times New Roman"/>
          <w:kern w:val="0"/>
          <w:sz w:val="22"/>
          <w:szCs w:val="22"/>
          <w:lang w:eastAsia="lt-LT"/>
          <w14:ligatures w14:val="none"/>
        </w:rPr>
        <w:t xml:space="preserve"> nerekomenduojama vartoti vaikams ir paaugliams, jaunesniems kaip 18 metų, dėl nepakankamų saugumo ir efektyvumo duomenų.</w:t>
      </w:r>
    </w:p>
    <w:p w14:paraId="2FCC8383"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i/>
          <w:iCs/>
          <w:kern w:val="0"/>
          <w:sz w:val="22"/>
          <w:szCs w:val="22"/>
          <w:lang w:eastAsia="lt-LT"/>
          <w14:ligatures w14:val="none"/>
        </w:rPr>
      </w:pPr>
    </w:p>
    <w:p w14:paraId="53DDFE0C"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Cs/>
          <w:kern w:val="0"/>
          <w:sz w:val="22"/>
          <w:szCs w:val="22"/>
          <w:u w:val="single"/>
          <w:lang w:eastAsia="lt-LT"/>
          <w14:ligatures w14:val="none"/>
        </w:rPr>
      </w:pPr>
      <w:r w:rsidRPr="008E7EE0">
        <w:rPr>
          <w:rFonts w:ascii="Times New Roman" w:eastAsia="Calibri" w:hAnsi="Times New Roman" w:cs="Times New Roman"/>
          <w:bCs/>
          <w:kern w:val="0"/>
          <w:sz w:val="22"/>
          <w:szCs w:val="22"/>
          <w:u w:val="single"/>
          <w:lang w:eastAsia="lt-LT"/>
          <w14:ligatures w14:val="none"/>
        </w:rPr>
        <w:t>Vartojimo metodas</w:t>
      </w:r>
    </w:p>
    <w:p w14:paraId="0667FAD0"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u w:val="single"/>
          <w:lang w:eastAsia="lt-LT"/>
          <w14:ligatures w14:val="none"/>
        </w:rPr>
      </w:pPr>
    </w:p>
    <w:p w14:paraId="5E0DB8FB" w14:textId="0ACF0969" w:rsidR="008E7EE0" w:rsidRPr="008E7EE0" w:rsidRDefault="00D23A58" w:rsidP="008E7EE0">
      <w:pPr>
        <w:tabs>
          <w:tab w:val="left" w:pos="120"/>
          <w:tab w:val="left" w:pos="567"/>
        </w:tabs>
        <w:spacing w:after="0" w:line="240" w:lineRule="auto"/>
        <w:rPr>
          <w:rFonts w:ascii="Times New Roman" w:eastAsia="Calibri" w:hAnsi="Times New Roman" w:cs="Times New Roman"/>
          <w:kern w:val="0"/>
          <w:sz w:val="22"/>
          <w:szCs w:val="22"/>
          <w:u w:val="single"/>
          <w:lang w:eastAsia="lt-LT"/>
          <w14:ligatures w14:val="none"/>
        </w:rPr>
      </w:pPr>
      <w:proofErr w:type="spellStart"/>
      <w:r w:rsidRPr="00D23A58">
        <w:rPr>
          <w:rFonts w:ascii="Times New Roman" w:eastAsia="Calibri" w:hAnsi="Times New Roman" w:cs="Times New Roman"/>
          <w:kern w:val="0"/>
          <w:sz w:val="22"/>
          <w:szCs w:val="22"/>
          <w:u w:val="single"/>
          <w:lang w:eastAsia="lt-LT"/>
          <w14:ligatures w14:val="none"/>
        </w:rPr>
        <w:t>Monoferric</w:t>
      </w:r>
      <w:proofErr w:type="spellEnd"/>
      <w:r w:rsidR="008E7EE0" w:rsidRPr="008E7EE0">
        <w:rPr>
          <w:rFonts w:ascii="Times New Roman" w:eastAsia="Calibri" w:hAnsi="Times New Roman" w:cs="Times New Roman"/>
          <w:kern w:val="0"/>
          <w:sz w:val="22"/>
          <w:szCs w:val="22"/>
          <w:u w:val="single"/>
          <w:lang w:eastAsia="lt-LT"/>
          <w14:ligatures w14:val="none"/>
        </w:rPr>
        <w:t xml:space="preserve"> turi būti skiriamas intraveniniam vartojimui injekcijomis arba infuzijomis. </w:t>
      </w:r>
    </w:p>
    <w:p w14:paraId="4F7E5098"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u w:val="single"/>
          <w:lang w:eastAsia="lt-LT"/>
          <w14:ligatures w14:val="none"/>
        </w:rPr>
      </w:pPr>
    </w:p>
    <w:p w14:paraId="3BE6C823" w14:textId="38CD18F4"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Negalima vartoti geriamųjų geležies preparatų kartu su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8E7EE0">
        <w:rPr>
          <w:rFonts w:ascii="Times New Roman" w:eastAsia="Calibri" w:hAnsi="Times New Roman" w:cs="Times New Roman"/>
          <w:kern w:val="0"/>
          <w:sz w:val="22"/>
          <w:szCs w:val="22"/>
          <w:lang w:eastAsia="lt-LT"/>
          <w14:ligatures w14:val="none"/>
        </w:rPr>
        <w:t>, nes geriamosios geležies absorbcija gali sumažėti.</w:t>
      </w:r>
    </w:p>
    <w:p w14:paraId="1F98B64A"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u w:val="single"/>
          <w:lang w:eastAsia="lt-LT"/>
          <w14:ligatures w14:val="none"/>
        </w:rPr>
      </w:pPr>
    </w:p>
    <w:p w14:paraId="40960AFA" w14:textId="3CDC6260"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sidRPr="008E7EE0">
        <w:rPr>
          <w:rFonts w:ascii="Times New Roman" w:eastAsia="Calibri" w:hAnsi="Times New Roman" w:cs="Times New Roman"/>
          <w:i/>
          <w:kern w:val="0"/>
          <w:sz w:val="22"/>
          <w:szCs w:val="22"/>
          <w:lang w:eastAsia="lt-LT"/>
          <w14:ligatures w14:val="none"/>
        </w:rPr>
        <w:t>B</w:t>
      </w:r>
      <w:r w:rsidRPr="008E7EE0">
        <w:rPr>
          <w:rFonts w:ascii="Times New Roman" w:eastAsia="Calibri" w:hAnsi="Times New Roman" w:cs="Times New Roman"/>
          <w:bCs/>
          <w:i/>
          <w:kern w:val="0"/>
          <w:sz w:val="22"/>
          <w:szCs w:val="22"/>
          <w:lang w:eastAsia="lt-LT"/>
          <w14:ligatures w14:val="none"/>
        </w:rPr>
        <w:t>olus</w:t>
      </w:r>
      <w:proofErr w:type="spellEnd"/>
      <w:r w:rsidRPr="008E7EE0">
        <w:rPr>
          <w:rFonts w:ascii="Times New Roman" w:eastAsia="Calibri" w:hAnsi="Times New Roman" w:cs="Times New Roman"/>
          <w:bCs/>
          <w:i/>
          <w:kern w:val="0"/>
          <w:sz w:val="22"/>
          <w:szCs w:val="22"/>
          <w:lang w:eastAsia="lt-LT"/>
          <w14:ligatures w14:val="none"/>
        </w:rPr>
        <w:t xml:space="preserve"> (smūginė)</w:t>
      </w:r>
      <w:r w:rsidRPr="008E7EE0">
        <w:rPr>
          <w:rFonts w:ascii="Times New Roman" w:eastAsia="Calibri" w:hAnsi="Times New Roman" w:cs="Times New Roman"/>
          <w:b/>
          <w:bCs/>
          <w:i/>
          <w:kern w:val="0"/>
          <w:sz w:val="22"/>
          <w:szCs w:val="22"/>
          <w:lang w:eastAsia="lt-LT"/>
          <w14:ligatures w14:val="none"/>
        </w:rPr>
        <w:t xml:space="preserve"> </w:t>
      </w:r>
      <w:r w:rsidRPr="008E7EE0">
        <w:rPr>
          <w:rFonts w:ascii="Times New Roman" w:eastAsia="Calibri" w:hAnsi="Times New Roman" w:cs="Times New Roman"/>
          <w:bCs/>
          <w:i/>
          <w:kern w:val="0"/>
          <w:sz w:val="22"/>
          <w:szCs w:val="22"/>
          <w:lang w:eastAsia="lt-LT"/>
          <w14:ligatures w14:val="none"/>
        </w:rPr>
        <w:t>injekcija į veną</w:t>
      </w:r>
      <w:r w:rsidRPr="008E7EE0">
        <w:rPr>
          <w:rFonts w:ascii="Times New Roman" w:eastAsia="Calibri" w:hAnsi="Times New Roman" w:cs="Times New Roman"/>
          <w:kern w:val="0"/>
          <w:sz w:val="22"/>
          <w:szCs w:val="22"/>
          <w:lang w:eastAsia="lt-LT"/>
          <w14:ligatures w14:val="none"/>
        </w:rPr>
        <w:br/>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8E7EE0">
        <w:rPr>
          <w:rFonts w:ascii="Times New Roman" w:eastAsia="Calibri" w:hAnsi="Times New Roman" w:cs="Times New Roman"/>
          <w:kern w:val="0"/>
          <w:sz w:val="22"/>
          <w:szCs w:val="22"/>
          <w:lang w:eastAsia="lt-LT"/>
          <w14:ligatures w14:val="none"/>
        </w:rPr>
        <w:t xml:space="preserve"> gali būti vartojamas kaip </w:t>
      </w:r>
      <w:proofErr w:type="spellStart"/>
      <w:r w:rsidRPr="008E7EE0">
        <w:rPr>
          <w:rFonts w:ascii="Times New Roman" w:eastAsia="Calibri" w:hAnsi="Times New Roman" w:cs="Times New Roman"/>
          <w:kern w:val="0"/>
          <w:sz w:val="22"/>
          <w:szCs w:val="22"/>
          <w:lang w:eastAsia="lt-LT"/>
          <w14:ligatures w14:val="none"/>
        </w:rPr>
        <w:t>bolus</w:t>
      </w:r>
      <w:proofErr w:type="spellEnd"/>
      <w:r w:rsidRPr="008E7EE0">
        <w:rPr>
          <w:rFonts w:ascii="Times New Roman" w:eastAsia="Calibri" w:hAnsi="Times New Roman" w:cs="Times New Roman"/>
          <w:kern w:val="0"/>
          <w:sz w:val="22"/>
          <w:szCs w:val="22"/>
          <w:lang w:eastAsia="lt-LT"/>
          <w14:ligatures w14:val="none"/>
        </w:rPr>
        <w:t xml:space="preserve"> injekcija į veną, skiriant iki 500 mg iki 3 kartų per savaitę, vartojant iki 250 mg geležies per minutę greičiu. Preparatas gali būti vartojamas nepraskiestas arba praskiestas iki 20 ml steriliu 0,9% natrio chlorido tirpalu. </w:t>
      </w:r>
    </w:p>
    <w:p w14:paraId="572FE758"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63CB0298"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3 lentelė. </w:t>
      </w:r>
      <w:proofErr w:type="spellStart"/>
      <w:r w:rsidRPr="008E7EE0">
        <w:rPr>
          <w:rFonts w:ascii="Times New Roman" w:eastAsia="Calibri" w:hAnsi="Times New Roman" w:cs="Times New Roman"/>
          <w:kern w:val="0"/>
          <w:sz w:val="22"/>
          <w:szCs w:val="22"/>
          <w:lang w:eastAsia="lt-LT"/>
          <w14:ligatures w14:val="none"/>
        </w:rPr>
        <w:t>Bolus</w:t>
      </w:r>
      <w:proofErr w:type="spellEnd"/>
      <w:r w:rsidRPr="008E7EE0">
        <w:rPr>
          <w:rFonts w:ascii="Times New Roman" w:eastAsia="Calibri" w:hAnsi="Times New Roman" w:cs="Times New Roman"/>
          <w:kern w:val="0"/>
          <w:sz w:val="22"/>
          <w:szCs w:val="22"/>
          <w:lang w:eastAsia="lt-LT"/>
          <w14:ligatures w14:val="none"/>
        </w:rPr>
        <w:t xml:space="preserve"> injekcijos į veną vartojimo normos</w:t>
      </w:r>
    </w:p>
    <w:tbl>
      <w:tblPr>
        <w:tblStyle w:val="Lentelstinklelis1"/>
        <w:tblW w:w="0" w:type="auto"/>
        <w:tblLook w:val="04A0" w:firstRow="1" w:lastRow="0" w:firstColumn="1" w:lastColumn="0" w:noHBand="0" w:noVBand="1"/>
      </w:tblPr>
      <w:tblGrid>
        <w:gridCol w:w="2352"/>
        <w:gridCol w:w="2349"/>
        <w:gridCol w:w="2359"/>
        <w:gridCol w:w="2334"/>
      </w:tblGrid>
      <w:tr w:rsidR="008E7EE0" w:rsidRPr="008E7EE0" w14:paraId="3783FD30" w14:textId="77777777" w:rsidTr="00ED082F">
        <w:tc>
          <w:tcPr>
            <w:tcW w:w="2407" w:type="dxa"/>
          </w:tcPr>
          <w:p w14:paraId="7E2F6312" w14:textId="1852936F" w:rsidR="008E7EE0" w:rsidRPr="008E7EE0" w:rsidRDefault="00D23A58" w:rsidP="008E7EE0">
            <w:pPr>
              <w:tabs>
                <w:tab w:val="left" w:pos="120"/>
                <w:tab w:val="left" w:pos="567"/>
              </w:tabs>
              <w:spacing w:line="259" w:lineRule="auto"/>
              <w:rPr>
                <w:rFonts w:ascii="Times New Roman" w:eastAsia="Calibri" w:hAnsi="Times New Roman" w:cs="Times New Roman"/>
                <w:lang w:eastAsia="lt-LT"/>
              </w:rPr>
            </w:pPr>
            <w:proofErr w:type="spellStart"/>
            <w:r w:rsidRPr="00D23A58">
              <w:rPr>
                <w:rFonts w:ascii="Times New Roman" w:eastAsia="Calibri" w:hAnsi="Times New Roman" w:cs="Times New Roman"/>
                <w:lang w:eastAsia="lt-LT"/>
              </w:rPr>
              <w:t>Monoferric</w:t>
            </w:r>
            <w:proofErr w:type="spellEnd"/>
            <w:r w:rsidR="008E7EE0" w:rsidRPr="008E7EE0">
              <w:rPr>
                <w:rFonts w:ascii="Times New Roman" w:eastAsia="Calibri" w:hAnsi="Times New Roman" w:cs="Times New Roman"/>
                <w:lang w:eastAsia="lt-LT"/>
              </w:rPr>
              <w:t xml:space="preserve"> tūris</w:t>
            </w:r>
          </w:p>
        </w:tc>
        <w:tc>
          <w:tcPr>
            <w:tcW w:w="2407" w:type="dxa"/>
          </w:tcPr>
          <w:p w14:paraId="7AF8B248" w14:textId="77777777" w:rsidR="008E7EE0" w:rsidRPr="008E7EE0" w:rsidRDefault="008E7EE0" w:rsidP="008E7EE0">
            <w:pPr>
              <w:tabs>
                <w:tab w:val="left" w:pos="120"/>
                <w:tab w:val="left" w:pos="567"/>
              </w:tabs>
              <w:spacing w:line="259" w:lineRule="auto"/>
              <w:rPr>
                <w:rFonts w:ascii="Times New Roman" w:eastAsia="Calibri" w:hAnsi="Times New Roman" w:cs="Times New Roman"/>
                <w:lang w:eastAsia="lt-LT"/>
              </w:rPr>
            </w:pPr>
            <w:r w:rsidRPr="008E7EE0">
              <w:rPr>
                <w:rFonts w:ascii="Times New Roman" w:eastAsia="Calibri" w:hAnsi="Times New Roman" w:cs="Times New Roman"/>
                <w:lang w:eastAsia="lt-LT"/>
              </w:rPr>
              <w:t>Lygiavertė geležies dozė</w:t>
            </w:r>
          </w:p>
        </w:tc>
        <w:tc>
          <w:tcPr>
            <w:tcW w:w="2407" w:type="dxa"/>
          </w:tcPr>
          <w:p w14:paraId="31DC6107" w14:textId="77777777" w:rsidR="008E7EE0" w:rsidRPr="008E7EE0" w:rsidRDefault="008E7EE0" w:rsidP="008E7EE0">
            <w:pPr>
              <w:tabs>
                <w:tab w:val="left" w:pos="120"/>
                <w:tab w:val="left" w:pos="567"/>
              </w:tabs>
              <w:spacing w:line="259" w:lineRule="auto"/>
              <w:rPr>
                <w:rFonts w:ascii="Times New Roman" w:eastAsia="Calibri" w:hAnsi="Times New Roman" w:cs="Times New Roman"/>
                <w:lang w:eastAsia="lt-LT"/>
              </w:rPr>
            </w:pPr>
            <w:r w:rsidRPr="008E7EE0">
              <w:rPr>
                <w:rFonts w:ascii="Times New Roman" w:eastAsia="Calibri" w:hAnsi="Times New Roman" w:cs="Times New Roman"/>
                <w:lang w:eastAsia="lt-LT"/>
              </w:rPr>
              <w:t>Vartojimo greitis / Minimalus vartojimo laikas</w:t>
            </w:r>
          </w:p>
        </w:tc>
        <w:tc>
          <w:tcPr>
            <w:tcW w:w="2407" w:type="dxa"/>
          </w:tcPr>
          <w:p w14:paraId="6E832088" w14:textId="77777777" w:rsidR="008E7EE0" w:rsidRPr="008E7EE0" w:rsidRDefault="008E7EE0" w:rsidP="008E7EE0">
            <w:pPr>
              <w:tabs>
                <w:tab w:val="left" w:pos="120"/>
                <w:tab w:val="left" w:pos="567"/>
              </w:tabs>
              <w:spacing w:line="259" w:lineRule="auto"/>
              <w:jc w:val="center"/>
              <w:rPr>
                <w:rFonts w:ascii="Times New Roman" w:eastAsia="Calibri" w:hAnsi="Times New Roman" w:cs="Times New Roman"/>
                <w:lang w:eastAsia="lt-LT"/>
              </w:rPr>
            </w:pPr>
            <w:r w:rsidRPr="008E7EE0">
              <w:rPr>
                <w:rFonts w:ascii="Times New Roman" w:eastAsia="Calibri" w:hAnsi="Times New Roman" w:cs="Times New Roman"/>
                <w:lang w:eastAsia="lt-LT"/>
              </w:rPr>
              <w:t>Dažnis</w:t>
            </w:r>
          </w:p>
        </w:tc>
      </w:tr>
      <w:tr w:rsidR="008E7EE0" w:rsidRPr="008E7EE0" w14:paraId="383696F3" w14:textId="77777777" w:rsidTr="00ED082F">
        <w:tc>
          <w:tcPr>
            <w:tcW w:w="2407" w:type="dxa"/>
          </w:tcPr>
          <w:p w14:paraId="5D94F6F9" w14:textId="77777777" w:rsidR="008E7EE0" w:rsidRPr="008E7EE0" w:rsidRDefault="008E7EE0" w:rsidP="008E7EE0">
            <w:pPr>
              <w:tabs>
                <w:tab w:val="left" w:pos="120"/>
                <w:tab w:val="left" w:pos="567"/>
              </w:tabs>
              <w:spacing w:line="259" w:lineRule="auto"/>
              <w:rPr>
                <w:rFonts w:ascii="Times New Roman" w:eastAsia="Calibri" w:hAnsi="Times New Roman" w:cs="Times New Roman"/>
                <w:lang w:eastAsia="lt-LT"/>
              </w:rPr>
            </w:pPr>
            <w:r w:rsidRPr="008E7EE0">
              <w:rPr>
                <w:rFonts w:ascii="Times New Roman" w:eastAsia="Calibri" w:hAnsi="Times New Roman" w:cs="Times New Roman"/>
                <w:color w:val="000000"/>
                <w:lang w:eastAsia="en-GB"/>
              </w:rPr>
              <w:t>≤5 ml</w:t>
            </w:r>
          </w:p>
        </w:tc>
        <w:tc>
          <w:tcPr>
            <w:tcW w:w="2407" w:type="dxa"/>
          </w:tcPr>
          <w:p w14:paraId="36D394CF" w14:textId="77777777" w:rsidR="008E7EE0" w:rsidRPr="008E7EE0" w:rsidRDefault="008E7EE0" w:rsidP="008E7EE0">
            <w:pPr>
              <w:tabs>
                <w:tab w:val="left" w:pos="120"/>
                <w:tab w:val="left" w:pos="567"/>
              </w:tabs>
              <w:spacing w:line="259" w:lineRule="auto"/>
              <w:rPr>
                <w:rFonts w:ascii="Times New Roman" w:eastAsia="Calibri" w:hAnsi="Times New Roman" w:cs="Times New Roman"/>
                <w:lang w:eastAsia="lt-LT"/>
              </w:rPr>
            </w:pPr>
            <w:r w:rsidRPr="008E7EE0">
              <w:rPr>
                <w:rFonts w:ascii="Times New Roman" w:eastAsia="Calibri" w:hAnsi="Times New Roman" w:cs="Times New Roman"/>
                <w:color w:val="000000"/>
                <w:lang w:eastAsia="en-GB"/>
              </w:rPr>
              <w:t>≤500 mg</w:t>
            </w:r>
          </w:p>
        </w:tc>
        <w:tc>
          <w:tcPr>
            <w:tcW w:w="2407" w:type="dxa"/>
          </w:tcPr>
          <w:p w14:paraId="6E00A7AE" w14:textId="77777777" w:rsidR="008E7EE0" w:rsidRPr="008E7EE0" w:rsidRDefault="008E7EE0" w:rsidP="008E7EE0">
            <w:pPr>
              <w:tabs>
                <w:tab w:val="left" w:pos="120"/>
                <w:tab w:val="left" w:pos="567"/>
              </w:tabs>
              <w:spacing w:line="259" w:lineRule="auto"/>
              <w:rPr>
                <w:rFonts w:ascii="Times New Roman" w:eastAsia="Calibri" w:hAnsi="Times New Roman" w:cs="Times New Roman"/>
                <w:lang w:eastAsia="lt-LT"/>
              </w:rPr>
            </w:pPr>
            <w:r w:rsidRPr="008E7EE0">
              <w:rPr>
                <w:rFonts w:ascii="Times New Roman" w:eastAsia="Calibri" w:hAnsi="Times New Roman" w:cs="Times New Roman"/>
                <w:color w:val="000000"/>
                <w:lang w:eastAsia="en-GB"/>
              </w:rPr>
              <w:t>250 mg geležies/min.</w:t>
            </w:r>
          </w:p>
        </w:tc>
        <w:tc>
          <w:tcPr>
            <w:tcW w:w="2407" w:type="dxa"/>
          </w:tcPr>
          <w:p w14:paraId="2A2DC04A" w14:textId="77777777" w:rsidR="008E7EE0" w:rsidRPr="008E7EE0" w:rsidRDefault="008E7EE0" w:rsidP="008E7EE0">
            <w:pPr>
              <w:tabs>
                <w:tab w:val="left" w:pos="120"/>
                <w:tab w:val="left" w:pos="567"/>
              </w:tabs>
              <w:spacing w:line="259" w:lineRule="auto"/>
              <w:rPr>
                <w:rFonts w:ascii="Times New Roman" w:eastAsia="Calibri" w:hAnsi="Times New Roman" w:cs="Times New Roman"/>
                <w:lang w:eastAsia="lt-LT"/>
              </w:rPr>
            </w:pPr>
            <w:r w:rsidRPr="008E7EE0">
              <w:rPr>
                <w:rFonts w:ascii="Times New Roman" w:eastAsia="Calibri" w:hAnsi="Times New Roman" w:cs="Times New Roman"/>
                <w:lang w:eastAsia="lt-LT"/>
              </w:rPr>
              <w:t>1-3 kartus per savaitę</w:t>
            </w:r>
          </w:p>
        </w:tc>
      </w:tr>
    </w:tbl>
    <w:p w14:paraId="2149A75F"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21A698BE"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Cs/>
          <w:kern w:val="0"/>
          <w:sz w:val="22"/>
          <w:szCs w:val="22"/>
          <w:lang w:eastAsia="lt-LT"/>
          <w14:ligatures w14:val="none"/>
        </w:rPr>
      </w:pPr>
      <w:r w:rsidRPr="008E7EE0">
        <w:rPr>
          <w:rFonts w:ascii="Times New Roman" w:eastAsia="Calibri" w:hAnsi="Times New Roman" w:cs="Times New Roman"/>
          <w:bCs/>
          <w:i/>
          <w:kern w:val="0"/>
          <w:sz w:val="22"/>
          <w:szCs w:val="22"/>
          <w:lang w:eastAsia="lt-LT"/>
          <w14:ligatures w14:val="none"/>
        </w:rPr>
        <w:t>Infuzija į veną</w:t>
      </w:r>
    </w:p>
    <w:p w14:paraId="0F3E7177" w14:textId="0DB0C06C" w:rsidR="008E7EE0" w:rsidRPr="008E7EE0" w:rsidRDefault="008E7EE0" w:rsidP="008E7EE0">
      <w:pPr>
        <w:tabs>
          <w:tab w:val="left" w:pos="120"/>
          <w:tab w:val="left" w:pos="567"/>
          <w:tab w:val="left" w:pos="3420"/>
        </w:tabs>
        <w:spacing w:after="0" w:line="240" w:lineRule="auto"/>
        <w:rPr>
          <w:rFonts w:ascii="Times New Roman" w:eastAsia="Calibri" w:hAnsi="Times New Roman" w:cs="Times New Roman"/>
          <w:bCs/>
          <w:kern w:val="0"/>
          <w:sz w:val="22"/>
          <w:szCs w:val="22"/>
          <w:lang w:eastAsia="lt-LT"/>
          <w14:ligatures w14:val="none"/>
        </w:rPr>
      </w:pPr>
      <w:r w:rsidRPr="008E7EE0">
        <w:rPr>
          <w:rFonts w:ascii="Times New Roman" w:eastAsia="Calibri" w:hAnsi="Times New Roman" w:cs="Times New Roman"/>
          <w:bCs/>
          <w:kern w:val="0"/>
          <w:sz w:val="22"/>
          <w:szCs w:val="22"/>
          <w:lang w:eastAsia="lt-LT"/>
          <w14:ligatures w14:val="none"/>
        </w:rPr>
        <w:t xml:space="preserve">Reikalinga geležies dozė gali būti suvartojama viena </w:t>
      </w:r>
      <w:proofErr w:type="spellStart"/>
      <w:r w:rsidR="00D23A58" w:rsidRPr="00D23A58">
        <w:rPr>
          <w:rFonts w:ascii="Times New Roman" w:eastAsia="Calibri" w:hAnsi="Times New Roman" w:cs="Times New Roman"/>
          <w:bCs/>
          <w:kern w:val="0"/>
          <w:sz w:val="22"/>
          <w:szCs w:val="22"/>
          <w:lang w:eastAsia="lt-LT"/>
          <w14:ligatures w14:val="none"/>
        </w:rPr>
        <w:t>Monoferric</w:t>
      </w:r>
      <w:proofErr w:type="spellEnd"/>
      <w:r w:rsidRPr="008E7EE0">
        <w:rPr>
          <w:rFonts w:ascii="Times New Roman" w:eastAsia="Calibri" w:hAnsi="Times New Roman" w:cs="Times New Roman"/>
          <w:bCs/>
          <w:kern w:val="0"/>
          <w:sz w:val="22"/>
          <w:szCs w:val="22"/>
          <w:lang w:eastAsia="lt-LT"/>
          <w14:ligatures w14:val="none"/>
        </w:rPr>
        <w:t xml:space="preserve"> infuzija, skiriant iki 20 mg geležies kilogramui kūno svorio arba infuzijomis vieną kartą per savaitę iki tol, kol suvartojamas reikalingas geležies kiekis.</w:t>
      </w:r>
    </w:p>
    <w:p w14:paraId="69939DCC" w14:textId="77777777" w:rsidR="008E7EE0" w:rsidRPr="008E7EE0" w:rsidRDefault="008E7EE0" w:rsidP="008E7EE0">
      <w:pPr>
        <w:tabs>
          <w:tab w:val="left" w:pos="120"/>
          <w:tab w:val="left" w:pos="567"/>
          <w:tab w:val="left" w:pos="3420"/>
        </w:tabs>
        <w:spacing w:after="0" w:line="240" w:lineRule="auto"/>
        <w:rPr>
          <w:rFonts w:ascii="Times New Roman" w:eastAsia="Calibri" w:hAnsi="Times New Roman" w:cs="Times New Roman"/>
          <w:bCs/>
          <w:kern w:val="0"/>
          <w:sz w:val="22"/>
          <w:szCs w:val="22"/>
          <w:lang w:eastAsia="lt-LT"/>
          <w14:ligatures w14:val="none"/>
        </w:rPr>
      </w:pPr>
    </w:p>
    <w:p w14:paraId="5F198475" w14:textId="77777777" w:rsidR="008E7EE0" w:rsidRPr="008E7EE0" w:rsidRDefault="008E7EE0" w:rsidP="008E7EE0">
      <w:pPr>
        <w:tabs>
          <w:tab w:val="left" w:pos="120"/>
          <w:tab w:val="left" w:pos="567"/>
          <w:tab w:val="left" w:pos="3420"/>
        </w:tabs>
        <w:spacing w:after="0" w:line="240" w:lineRule="auto"/>
        <w:rPr>
          <w:rFonts w:ascii="Times New Roman" w:eastAsia="Calibri" w:hAnsi="Times New Roman" w:cs="Times New Roman"/>
          <w:bCs/>
          <w:kern w:val="0"/>
          <w:sz w:val="22"/>
          <w:szCs w:val="22"/>
          <w:lang w:eastAsia="lt-LT"/>
          <w14:ligatures w14:val="none"/>
        </w:rPr>
      </w:pPr>
      <w:r w:rsidRPr="008E7EE0">
        <w:rPr>
          <w:rFonts w:ascii="Times New Roman" w:eastAsia="Calibri" w:hAnsi="Times New Roman" w:cs="Times New Roman"/>
          <w:bCs/>
          <w:kern w:val="0"/>
          <w:sz w:val="22"/>
          <w:szCs w:val="22"/>
          <w:lang w:eastAsia="lt-LT"/>
          <w14:ligatures w14:val="none"/>
        </w:rPr>
        <w:t>Jei geležies poreikis viršija 20 mg kilogramui kūno svorio, dozė turėtų būti padalinta į dvi dalis ir vartojama su mažiausiai vienos savaitės intervalu. Jei įmanoma, pirmą kartą vartojant rekomenduojama skirti 20 mg geležies/kilogramui kūno svorio. Priklausomai nuo klinikinės situacijos, antrasis vartojimas skiriamas remiantis laboratoriniais tyrimais.</w:t>
      </w:r>
    </w:p>
    <w:p w14:paraId="70FB652D" w14:textId="77777777" w:rsidR="008E7EE0" w:rsidRPr="008E7EE0" w:rsidRDefault="008E7EE0" w:rsidP="008E7EE0">
      <w:pPr>
        <w:tabs>
          <w:tab w:val="left" w:pos="120"/>
          <w:tab w:val="left" w:pos="567"/>
          <w:tab w:val="left" w:pos="3420"/>
        </w:tabs>
        <w:spacing w:after="0" w:line="240" w:lineRule="auto"/>
        <w:rPr>
          <w:rFonts w:ascii="Times New Roman" w:eastAsia="Calibri" w:hAnsi="Times New Roman" w:cs="Times New Roman"/>
          <w:bCs/>
          <w:kern w:val="0"/>
          <w:sz w:val="22"/>
          <w:szCs w:val="22"/>
          <w:lang w:eastAsia="lt-LT"/>
          <w14:ligatures w14:val="none"/>
        </w:rPr>
      </w:pPr>
    </w:p>
    <w:p w14:paraId="77656608"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4 lentelė. Infuzijos į veną vartojimo normos</w:t>
      </w:r>
    </w:p>
    <w:tbl>
      <w:tblPr>
        <w:tblStyle w:val="Lentelstinklelis1"/>
        <w:tblW w:w="0" w:type="auto"/>
        <w:tblLook w:val="04A0" w:firstRow="1" w:lastRow="0" w:firstColumn="1" w:lastColumn="0" w:noHBand="0" w:noVBand="1"/>
      </w:tblPr>
      <w:tblGrid>
        <w:gridCol w:w="4694"/>
        <w:gridCol w:w="4700"/>
      </w:tblGrid>
      <w:tr w:rsidR="008E7EE0" w:rsidRPr="008E7EE0" w14:paraId="54ACA779" w14:textId="77777777" w:rsidTr="00ED082F">
        <w:tc>
          <w:tcPr>
            <w:tcW w:w="4814" w:type="dxa"/>
          </w:tcPr>
          <w:p w14:paraId="08083653" w14:textId="77777777" w:rsidR="008E7EE0" w:rsidRPr="008E7EE0" w:rsidRDefault="008E7EE0" w:rsidP="008E7EE0">
            <w:pPr>
              <w:tabs>
                <w:tab w:val="left" w:pos="120"/>
                <w:tab w:val="left" w:pos="567"/>
              </w:tabs>
              <w:spacing w:line="259" w:lineRule="auto"/>
              <w:rPr>
                <w:rFonts w:ascii="Times New Roman" w:eastAsia="Calibri" w:hAnsi="Times New Roman" w:cs="Times New Roman"/>
                <w:lang w:eastAsia="lt-LT"/>
              </w:rPr>
            </w:pPr>
            <w:r w:rsidRPr="008E7EE0">
              <w:rPr>
                <w:rFonts w:ascii="Times New Roman" w:eastAsia="Calibri" w:hAnsi="Times New Roman" w:cs="Times New Roman"/>
                <w:lang w:eastAsia="lt-LT"/>
              </w:rPr>
              <w:t>Geležies dozė</w:t>
            </w:r>
          </w:p>
        </w:tc>
        <w:tc>
          <w:tcPr>
            <w:tcW w:w="4814" w:type="dxa"/>
          </w:tcPr>
          <w:p w14:paraId="3E18B38B" w14:textId="77777777" w:rsidR="008E7EE0" w:rsidRPr="008E7EE0" w:rsidRDefault="008E7EE0" w:rsidP="008E7EE0">
            <w:pPr>
              <w:tabs>
                <w:tab w:val="left" w:pos="120"/>
                <w:tab w:val="left" w:pos="567"/>
              </w:tabs>
              <w:spacing w:line="259" w:lineRule="auto"/>
              <w:rPr>
                <w:rFonts w:ascii="Times New Roman" w:eastAsia="Calibri" w:hAnsi="Times New Roman" w:cs="Times New Roman"/>
                <w:lang w:eastAsia="lt-LT"/>
              </w:rPr>
            </w:pPr>
            <w:r w:rsidRPr="008E7EE0">
              <w:rPr>
                <w:rFonts w:ascii="Times New Roman" w:eastAsia="Calibri" w:hAnsi="Times New Roman" w:cs="Times New Roman"/>
                <w:lang w:eastAsia="lt-LT"/>
              </w:rPr>
              <w:t>Minimalus vartojimo laikas</w:t>
            </w:r>
          </w:p>
        </w:tc>
      </w:tr>
      <w:tr w:rsidR="008E7EE0" w:rsidRPr="008E7EE0" w14:paraId="5AF8A3EE" w14:textId="77777777" w:rsidTr="00ED082F">
        <w:tc>
          <w:tcPr>
            <w:tcW w:w="4814" w:type="dxa"/>
          </w:tcPr>
          <w:p w14:paraId="7EA1ADD6" w14:textId="77777777" w:rsidR="008E7EE0" w:rsidRPr="008E7EE0" w:rsidRDefault="008E7EE0" w:rsidP="008E7EE0">
            <w:pPr>
              <w:spacing w:line="259" w:lineRule="auto"/>
              <w:rPr>
                <w:rFonts w:ascii="Times New Roman" w:eastAsia="Calibri" w:hAnsi="Times New Roman" w:cs="Times New Roman"/>
                <w:iCs/>
                <w:color w:val="000000"/>
                <w:lang w:eastAsia="en-GB"/>
              </w:rPr>
            </w:pPr>
            <w:r w:rsidRPr="008E7EE0">
              <w:rPr>
                <w:rFonts w:ascii="Times New Roman" w:eastAsia="Calibri" w:hAnsi="Times New Roman" w:cs="Times New Roman"/>
                <w:iCs/>
                <w:color w:val="000000"/>
                <w:lang w:eastAsia="en-GB"/>
              </w:rPr>
              <w:t>≤1000 mg</w:t>
            </w:r>
          </w:p>
          <w:p w14:paraId="1B96E5A1" w14:textId="77777777" w:rsidR="008E7EE0" w:rsidRPr="008E7EE0" w:rsidRDefault="008E7EE0" w:rsidP="008E7EE0">
            <w:pPr>
              <w:tabs>
                <w:tab w:val="left" w:pos="120"/>
                <w:tab w:val="left" w:pos="567"/>
              </w:tabs>
              <w:spacing w:line="259" w:lineRule="auto"/>
              <w:rPr>
                <w:rFonts w:ascii="Times New Roman" w:eastAsia="Calibri" w:hAnsi="Times New Roman" w:cs="Times New Roman"/>
                <w:lang w:eastAsia="lt-LT"/>
              </w:rPr>
            </w:pPr>
            <w:r w:rsidRPr="008E7EE0">
              <w:rPr>
                <w:rFonts w:ascii="Times New Roman" w:eastAsia="Calibri" w:hAnsi="Times New Roman" w:cs="Times New Roman"/>
                <w:iCs/>
                <w:color w:val="000000"/>
                <w:lang w:eastAsia="en-GB"/>
              </w:rPr>
              <w:t>&gt;1000 mg</w:t>
            </w:r>
          </w:p>
        </w:tc>
        <w:tc>
          <w:tcPr>
            <w:tcW w:w="4814" w:type="dxa"/>
          </w:tcPr>
          <w:p w14:paraId="06F400C6" w14:textId="77777777" w:rsidR="008E7EE0" w:rsidRPr="008E7EE0" w:rsidRDefault="008E7EE0" w:rsidP="008E7EE0">
            <w:pPr>
              <w:tabs>
                <w:tab w:val="left" w:pos="120"/>
                <w:tab w:val="left" w:pos="567"/>
              </w:tabs>
              <w:spacing w:line="259" w:lineRule="auto"/>
              <w:rPr>
                <w:rFonts w:ascii="Times New Roman" w:eastAsia="Calibri" w:hAnsi="Times New Roman" w:cs="Times New Roman"/>
                <w:lang w:eastAsia="lt-LT"/>
              </w:rPr>
            </w:pPr>
            <w:r w:rsidRPr="008E7EE0">
              <w:rPr>
                <w:rFonts w:ascii="Times New Roman" w:eastAsia="Calibri" w:hAnsi="Times New Roman" w:cs="Times New Roman"/>
                <w:lang w:eastAsia="lt-LT"/>
              </w:rPr>
              <w:t>Ilgiau nei 15 min.</w:t>
            </w:r>
          </w:p>
          <w:p w14:paraId="59CE50A5" w14:textId="77777777" w:rsidR="008E7EE0" w:rsidRPr="008E7EE0" w:rsidRDefault="008E7EE0" w:rsidP="008E7EE0">
            <w:pPr>
              <w:tabs>
                <w:tab w:val="left" w:pos="120"/>
                <w:tab w:val="left" w:pos="567"/>
              </w:tabs>
              <w:spacing w:line="259" w:lineRule="auto"/>
              <w:rPr>
                <w:rFonts w:ascii="Times New Roman" w:eastAsia="Calibri" w:hAnsi="Times New Roman" w:cs="Times New Roman"/>
                <w:lang w:eastAsia="lt-LT"/>
              </w:rPr>
            </w:pPr>
            <w:r w:rsidRPr="008E7EE0">
              <w:rPr>
                <w:rFonts w:ascii="Times New Roman" w:eastAsia="Calibri" w:hAnsi="Times New Roman" w:cs="Times New Roman"/>
                <w:lang w:eastAsia="lt-LT"/>
              </w:rPr>
              <w:t>30 min. ir ilgiau</w:t>
            </w:r>
          </w:p>
        </w:tc>
      </w:tr>
    </w:tbl>
    <w:p w14:paraId="0FB5C113"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
    <w:p w14:paraId="4ABCA0B0" w14:textId="3B62B5AB" w:rsidR="008E7EE0" w:rsidRPr="008E7EE0" w:rsidRDefault="00D23A58"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sidRPr="00D23A58">
        <w:rPr>
          <w:rFonts w:ascii="Times New Roman" w:eastAsia="Calibri" w:hAnsi="Times New Roman" w:cs="Times New Roman"/>
          <w:kern w:val="0"/>
          <w:sz w:val="22"/>
          <w:szCs w:val="22"/>
          <w:lang w:eastAsia="lt-LT"/>
          <w14:ligatures w14:val="none"/>
        </w:rPr>
        <w:t>Monoferric</w:t>
      </w:r>
      <w:proofErr w:type="spellEnd"/>
      <w:r w:rsidR="008E7EE0" w:rsidRPr="008E7EE0">
        <w:rPr>
          <w:rFonts w:ascii="Times New Roman" w:eastAsia="Calibri" w:hAnsi="Times New Roman" w:cs="Times New Roman"/>
          <w:kern w:val="0"/>
          <w:sz w:val="22"/>
          <w:szCs w:val="22"/>
          <w:lang w:eastAsia="lt-LT"/>
          <w14:ligatures w14:val="none"/>
        </w:rPr>
        <w:t xml:space="preserve"> turi būti leidžiamas neskiestas arba praskiestas steriliu 0,9% natrio chlorido tirpalu. </w:t>
      </w:r>
    </w:p>
    <w:p w14:paraId="416D4EEA" w14:textId="3A793313" w:rsidR="008E7EE0" w:rsidRPr="008E7EE0" w:rsidRDefault="008E7EE0"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r w:rsidRPr="008E7EE0">
        <w:rPr>
          <w:rFonts w:ascii="Times New Roman" w:eastAsia="Calibri" w:hAnsi="Times New Roman" w:cs="Times New Roman"/>
          <w:kern w:val="0"/>
          <w:sz w:val="22"/>
          <w:szCs w:val="22"/>
          <w:lang w:eastAsia="lt-LT"/>
          <w14:ligatures w14:val="none"/>
        </w:rPr>
        <w:t xml:space="preserve">Dėl stabilumo, </w:t>
      </w:r>
      <w:proofErr w:type="spellStart"/>
      <w:r w:rsidR="00D23A58" w:rsidRPr="00D23A58">
        <w:rPr>
          <w:rFonts w:ascii="Times New Roman" w:eastAsia="Calibri" w:hAnsi="Times New Roman" w:cs="Times New Roman"/>
          <w:kern w:val="0"/>
          <w:sz w:val="22"/>
          <w:szCs w:val="22"/>
          <w:lang w:eastAsia="lt-LT"/>
          <w14:ligatures w14:val="none"/>
        </w:rPr>
        <w:t>Monoferric</w:t>
      </w:r>
      <w:proofErr w:type="spellEnd"/>
      <w:r w:rsidRPr="008E7EE0">
        <w:rPr>
          <w:rFonts w:ascii="Times New Roman" w:eastAsia="Calibri" w:hAnsi="Times New Roman" w:cs="Times New Roman"/>
          <w:kern w:val="0"/>
          <w:sz w:val="22"/>
          <w:szCs w:val="22"/>
          <w:lang w:eastAsia="lt-LT"/>
          <w14:ligatures w14:val="none"/>
        </w:rPr>
        <w:t xml:space="preserve"> neturėtų būti skiedžiamas iki mažesnės kaip 1 mg geležies/ml koncentracijos (neįskaitant geležies </w:t>
      </w:r>
      <w:proofErr w:type="spellStart"/>
      <w:r w:rsidRPr="008E7EE0">
        <w:rPr>
          <w:rFonts w:ascii="Times New Roman" w:eastAsia="Calibri" w:hAnsi="Times New Roman" w:cs="Times New Roman"/>
          <w:kern w:val="0"/>
          <w:sz w:val="22"/>
          <w:szCs w:val="22"/>
          <w:lang w:eastAsia="lt-LT"/>
          <w14:ligatures w14:val="none"/>
        </w:rPr>
        <w:t>derisomaltozės</w:t>
      </w:r>
      <w:proofErr w:type="spellEnd"/>
      <w:r w:rsidRPr="008E7EE0">
        <w:rPr>
          <w:rFonts w:ascii="Times New Roman" w:eastAsia="Calibri" w:hAnsi="Times New Roman" w:cs="Times New Roman"/>
          <w:kern w:val="0"/>
          <w:sz w:val="22"/>
          <w:szCs w:val="22"/>
          <w:lang w:eastAsia="lt-LT"/>
          <w14:ligatures w14:val="none"/>
        </w:rPr>
        <w:t xml:space="preserve"> tirpalo tūrio) ir niekada neturėtų būti skiedžiamas daugiau kaip 500 ml. </w:t>
      </w:r>
    </w:p>
    <w:p w14:paraId="19792BB8"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Cs/>
          <w:i/>
          <w:kern w:val="0"/>
          <w:sz w:val="22"/>
          <w:szCs w:val="22"/>
          <w:lang w:eastAsia="lt-LT"/>
          <w14:ligatures w14:val="none"/>
        </w:rPr>
      </w:pPr>
    </w:p>
    <w:p w14:paraId="588EFAF9"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bCs/>
          <w:i/>
          <w:kern w:val="0"/>
          <w:sz w:val="22"/>
          <w:szCs w:val="22"/>
          <w:lang w:eastAsia="lt-LT"/>
          <w14:ligatures w14:val="none"/>
        </w:rPr>
      </w:pPr>
      <w:r w:rsidRPr="008E7EE0">
        <w:rPr>
          <w:rFonts w:ascii="Times New Roman" w:eastAsia="Calibri" w:hAnsi="Times New Roman" w:cs="Times New Roman"/>
          <w:bCs/>
          <w:i/>
          <w:kern w:val="0"/>
          <w:sz w:val="22"/>
          <w:szCs w:val="22"/>
          <w:lang w:eastAsia="lt-LT"/>
          <w14:ligatures w14:val="none"/>
        </w:rPr>
        <w:t>Injekcija į dializės aparatą</w:t>
      </w:r>
    </w:p>
    <w:p w14:paraId="003F0717" w14:textId="77777777" w:rsidR="008E7EE0" w:rsidRPr="008E7EE0" w:rsidRDefault="008E7EE0" w:rsidP="008E7EE0">
      <w:pPr>
        <w:tabs>
          <w:tab w:val="left" w:pos="120"/>
          <w:tab w:val="left" w:pos="567"/>
        </w:tabs>
        <w:spacing w:after="0" w:line="240" w:lineRule="auto"/>
        <w:rPr>
          <w:rFonts w:ascii="Times New Roman" w:eastAsia="Calibri" w:hAnsi="Times New Roman" w:cs="Times New Roman"/>
          <w:i/>
          <w:kern w:val="0"/>
          <w:sz w:val="22"/>
          <w:szCs w:val="22"/>
          <w:lang w:eastAsia="lt-LT"/>
          <w14:ligatures w14:val="none"/>
        </w:rPr>
      </w:pPr>
    </w:p>
    <w:p w14:paraId="0CFFAEA9" w14:textId="3192684E" w:rsidR="008E7EE0" w:rsidRPr="008E7EE0" w:rsidRDefault="00D23A58" w:rsidP="008E7EE0">
      <w:pPr>
        <w:tabs>
          <w:tab w:val="left" w:pos="120"/>
          <w:tab w:val="left" w:pos="567"/>
        </w:tabs>
        <w:spacing w:after="0" w:line="240" w:lineRule="auto"/>
        <w:rPr>
          <w:rFonts w:ascii="Times New Roman" w:eastAsia="Calibri" w:hAnsi="Times New Roman" w:cs="Times New Roman"/>
          <w:kern w:val="0"/>
          <w:sz w:val="22"/>
          <w:szCs w:val="22"/>
          <w:lang w:eastAsia="lt-LT"/>
          <w14:ligatures w14:val="none"/>
        </w:rPr>
      </w:pPr>
      <w:proofErr w:type="spellStart"/>
      <w:r w:rsidRPr="00D23A58">
        <w:rPr>
          <w:rFonts w:ascii="Times New Roman" w:eastAsia="Calibri" w:hAnsi="Times New Roman" w:cs="Times New Roman"/>
          <w:kern w:val="0"/>
          <w:sz w:val="22"/>
          <w:szCs w:val="22"/>
          <w:lang w:eastAsia="lt-LT"/>
          <w14:ligatures w14:val="none"/>
        </w:rPr>
        <w:t>Monoferric</w:t>
      </w:r>
      <w:proofErr w:type="spellEnd"/>
      <w:r w:rsidR="008E7EE0" w:rsidRPr="008E7EE0">
        <w:rPr>
          <w:rFonts w:ascii="Times New Roman" w:eastAsia="Calibri" w:hAnsi="Times New Roman" w:cs="Times New Roman"/>
          <w:kern w:val="0"/>
          <w:sz w:val="22"/>
          <w:szCs w:val="22"/>
          <w:lang w:eastAsia="lt-LT"/>
          <w14:ligatures w14:val="none"/>
        </w:rPr>
        <w:t xml:space="preserve"> gali būti skiriamas tiesiogiai į dializės aparato veninę dalį hemodializės metu, tokia pačia procedūra, kaip nurodyta </w:t>
      </w:r>
      <w:proofErr w:type="spellStart"/>
      <w:r w:rsidR="008E7EE0" w:rsidRPr="008E7EE0">
        <w:rPr>
          <w:rFonts w:ascii="Times New Roman" w:eastAsia="Calibri" w:hAnsi="Times New Roman" w:cs="Times New Roman"/>
          <w:kern w:val="0"/>
          <w:sz w:val="22"/>
          <w:szCs w:val="22"/>
          <w:lang w:eastAsia="lt-LT"/>
          <w14:ligatures w14:val="none"/>
        </w:rPr>
        <w:t>bolus</w:t>
      </w:r>
      <w:proofErr w:type="spellEnd"/>
      <w:r w:rsidR="008E7EE0" w:rsidRPr="008E7EE0">
        <w:rPr>
          <w:rFonts w:ascii="Times New Roman" w:eastAsia="Calibri" w:hAnsi="Times New Roman" w:cs="Times New Roman"/>
          <w:kern w:val="0"/>
          <w:sz w:val="22"/>
          <w:szCs w:val="22"/>
          <w:lang w:eastAsia="lt-LT"/>
          <w14:ligatures w14:val="none"/>
        </w:rPr>
        <w:t xml:space="preserve"> (smūginės dozės) injekcijos vartojimo į veną metoduose. </w:t>
      </w:r>
    </w:p>
    <w:p w14:paraId="47DC50CD" w14:textId="77777777" w:rsidR="008E7EE0" w:rsidRPr="008E7EE0" w:rsidRDefault="008E7EE0" w:rsidP="008E7EE0">
      <w:pPr>
        <w:tabs>
          <w:tab w:val="left" w:pos="567"/>
        </w:tabs>
        <w:spacing w:after="0" w:line="240" w:lineRule="auto"/>
        <w:rPr>
          <w:rFonts w:ascii="Times New Roman" w:eastAsia="SimSun" w:hAnsi="Times New Roman" w:cs="Times New Roman"/>
          <w:kern w:val="0"/>
          <w:sz w:val="22"/>
          <w:szCs w:val="22"/>
          <w14:ligatures w14:val="none"/>
        </w:rPr>
      </w:pPr>
    </w:p>
    <w:p w14:paraId="127DAA53" w14:textId="30976CA5" w:rsidR="000E75BE" w:rsidRPr="00D23A58" w:rsidRDefault="008E7EE0" w:rsidP="008E7EE0">
      <w:pPr>
        <w:tabs>
          <w:tab w:val="left" w:pos="567"/>
        </w:tabs>
        <w:spacing w:after="0" w:line="240" w:lineRule="auto"/>
        <w:rPr>
          <w:rFonts w:ascii="Calibri" w:eastAsia="Calibri" w:hAnsi="Calibri" w:cs="Myanmar Text"/>
          <w:kern w:val="0"/>
          <w:sz w:val="22"/>
          <w:szCs w:val="22"/>
          <w14:ligatures w14:val="none"/>
        </w:rPr>
      </w:pPr>
      <w:r w:rsidRPr="008E7EE0">
        <w:rPr>
          <w:rFonts w:ascii="Times New Roman" w:eastAsia="SimSun" w:hAnsi="Times New Roman" w:cs="Times New Roman"/>
          <w:kern w:val="0"/>
          <w:sz w:val="22"/>
          <w:szCs w:val="22"/>
          <w14:ligatures w14:val="none"/>
        </w:rPr>
        <w:t xml:space="preserve">Daugiau informacijos apie </w:t>
      </w:r>
      <w:proofErr w:type="spellStart"/>
      <w:r w:rsidR="00D23A58" w:rsidRPr="00D23A58">
        <w:rPr>
          <w:rFonts w:ascii="Times New Roman" w:eastAsia="SimSun" w:hAnsi="Times New Roman" w:cs="Times New Roman"/>
          <w:kern w:val="0"/>
          <w:sz w:val="22"/>
          <w:szCs w:val="22"/>
          <w14:ligatures w14:val="none"/>
        </w:rPr>
        <w:t>Monoferric</w:t>
      </w:r>
      <w:proofErr w:type="spellEnd"/>
      <w:r w:rsidRPr="008E7EE0">
        <w:rPr>
          <w:rFonts w:ascii="Times New Roman" w:eastAsia="SimSun" w:hAnsi="Times New Roman" w:cs="Times New Roman"/>
          <w:kern w:val="0"/>
          <w:sz w:val="22"/>
          <w:szCs w:val="22"/>
          <w14:ligatures w14:val="none"/>
        </w:rPr>
        <w:t xml:space="preserve"> pateikta PCS.</w:t>
      </w:r>
    </w:p>
    <w:sectPr w:rsidR="000E75BE" w:rsidRPr="00D23A58" w:rsidSect="008E7EE0">
      <w:headerReference w:type="default" r:id="rId9"/>
      <w:footerReference w:type="default" r:id="rId10"/>
      <w:pgSz w:w="12240" w:h="15840" w:code="1"/>
      <w:pgMar w:top="1134" w:right="1418"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6C4F" w14:textId="77777777" w:rsidR="00396772" w:rsidRDefault="00396772">
      <w:pPr>
        <w:spacing w:after="0" w:line="240" w:lineRule="auto"/>
      </w:pPr>
      <w:r>
        <w:separator/>
      </w:r>
    </w:p>
  </w:endnote>
  <w:endnote w:type="continuationSeparator" w:id="0">
    <w:p w14:paraId="5D17843A" w14:textId="77777777" w:rsidR="00396772" w:rsidRDefault="0039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00"/>
    <w:family w:val="auto"/>
    <w:pitch w:val="default"/>
  </w:font>
  <w:font w:name="T4">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095277"/>
      <w:docPartObj>
        <w:docPartGallery w:val="Page Numbers (Bottom of Page)"/>
        <w:docPartUnique/>
      </w:docPartObj>
    </w:sdtPr>
    <w:sdtEndPr>
      <w:rPr>
        <w:rFonts w:ascii="Times New Roman" w:hAnsi="Times New Roman" w:cs="Times New Roman"/>
      </w:rPr>
    </w:sdtEndPr>
    <w:sdtContent>
      <w:p w14:paraId="5A5DF37B" w14:textId="77777777" w:rsidR="008E7EE0" w:rsidRPr="00871B31" w:rsidRDefault="008E7EE0">
        <w:pPr>
          <w:pStyle w:val="Porat"/>
          <w:jc w:val="center"/>
          <w:rPr>
            <w:rFonts w:ascii="Times New Roman" w:hAnsi="Times New Roman" w:cs="Times New Roman"/>
          </w:rPr>
        </w:pPr>
        <w:r w:rsidRPr="00871B31">
          <w:rPr>
            <w:rFonts w:ascii="Times New Roman" w:hAnsi="Times New Roman" w:cs="Times New Roman"/>
          </w:rPr>
          <w:fldChar w:fldCharType="begin"/>
        </w:r>
        <w:r w:rsidRPr="00871B31">
          <w:rPr>
            <w:rFonts w:ascii="Times New Roman" w:hAnsi="Times New Roman" w:cs="Times New Roman"/>
          </w:rPr>
          <w:instrText>PAGE   \* MERGEFORMAT</w:instrText>
        </w:r>
        <w:r w:rsidRPr="00871B31">
          <w:rPr>
            <w:rFonts w:ascii="Times New Roman" w:hAnsi="Times New Roman" w:cs="Times New Roman"/>
          </w:rPr>
          <w:fldChar w:fldCharType="separate"/>
        </w:r>
        <w:r w:rsidRPr="005A24FA">
          <w:rPr>
            <w:rFonts w:ascii="Times New Roman" w:hAnsi="Times New Roman" w:cs="Times New Roman"/>
            <w:noProof/>
          </w:rPr>
          <w:t>2</w:t>
        </w:r>
        <w:r w:rsidRPr="005A24FA">
          <w:rPr>
            <w:rFonts w:ascii="Times New Roman" w:hAnsi="Times New Roman" w:cs="Times New Roman"/>
            <w:noProof/>
          </w:rPr>
          <w:t>9</w:t>
        </w:r>
        <w:r w:rsidRPr="00871B31">
          <w:rPr>
            <w:rFonts w:ascii="Times New Roman" w:hAnsi="Times New Roman" w:cs="Times New Roman"/>
          </w:rPr>
          <w:fldChar w:fldCharType="end"/>
        </w:r>
      </w:p>
    </w:sdtContent>
  </w:sdt>
  <w:p w14:paraId="6152A301" w14:textId="77777777" w:rsidR="008E7EE0" w:rsidRDefault="008E7E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1593" w14:textId="77777777" w:rsidR="00396772" w:rsidRDefault="00396772">
      <w:pPr>
        <w:spacing w:after="0" w:line="240" w:lineRule="auto"/>
      </w:pPr>
      <w:r>
        <w:separator/>
      </w:r>
    </w:p>
  </w:footnote>
  <w:footnote w:type="continuationSeparator" w:id="0">
    <w:p w14:paraId="221E087D" w14:textId="77777777" w:rsidR="00396772" w:rsidRDefault="0039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B71B" w14:textId="77777777" w:rsidR="008E7EE0" w:rsidRDefault="008E7E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659"/>
    <w:multiLevelType w:val="hybridMultilevel"/>
    <w:tmpl w:val="3DDCA344"/>
    <w:lvl w:ilvl="0" w:tplc="15780B96">
      <w:start w:val="4"/>
      <w:numFmt w:val="bullet"/>
      <w:lvlText w:val="-"/>
      <w:lvlJc w:val="left"/>
      <w:pPr>
        <w:tabs>
          <w:tab w:val="num" w:pos="1080"/>
        </w:tabs>
        <w:ind w:left="1080" w:hanging="360"/>
      </w:pPr>
      <w:rPr>
        <w:rFonts w:ascii="Times New Roman" w:eastAsia="Times New Roman" w:hAnsi="Times New Roman" w:cs="Times New Roman" w:hint="default"/>
      </w:rPr>
    </w:lvl>
    <w:lvl w:ilvl="1" w:tplc="02DADC9C">
      <w:numFmt w:val="bullet"/>
      <w:lvlText w:val="•"/>
      <w:lvlJc w:val="left"/>
      <w:pPr>
        <w:ind w:left="1800" w:hanging="360"/>
      </w:pPr>
      <w:rPr>
        <w:rFonts w:ascii="Times New Roman" w:eastAsia="Calibri" w:hAnsi="Times New Roman" w:cs="Times New Roman"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4B085E"/>
    <w:multiLevelType w:val="hybridMultilevel"/>
    <w:tmpl w:val="42FC34C2"/>
    <w:lvl w:ilvl="0" w:tplc="15780B96">
      <w:start w:val="4"/>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9690FA0"/>
    <w:multiLevelType w:val="hybridMultilevel"/>
    <w:tmpl w:val="29646584"/>
    <w:lvl w:ilvl="0" w:tplc="15780B96">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671D78"/>
    <w:multiLevelType w:val="hybridMultilevel"/>
    <w:tmpl w:val="7764CD22"/>
    <w:lvl w:ilvl="0" w:tplc="15780B96">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D835B9"/>
    <w:multiLevelType w:val="hybridMultilevel"/>
    <w:tmpl w:val="8C80B3B0"/>
    <w:lvl w:ilvl="0" w:tplc="15780B96">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0D5ADF"/>
    <w:multiLevelType w:val="hybridMultilevel"/>
    <w:tmpl w:val="DD5EF9B6"/>
    <w:lvl w:ilvl="0" w:tplc="15780B9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1F6EFE"/>
    <w:multiLevelType w:val="hybridMultilevel"/>
    <w:tmpl w:val="97180BA0"/>
    <w:lvl w:ilvl="0" w:tplc="15780B9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A41490"/>
    <w:multiLevelType w:val="hybridMultilevel"/>
    <w:tmpl w:val="2F52C6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0296B"/>
    <w:multiLevelType w:val="hybridMultilevel"/>
    <w:tmpl w:val="474457C4"/>
    <w:lvl w:ilvl="0" w:tplc="15780B96">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924E6"/>
    <w:multiLevelType w:val="hybridMultilevel"/>
    <w:tmpl w:val="FE22F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6261DB"/>
    <w:multiLevelType w:val="hybridMultilevel"/>
    <w:tmpl w:val="A056955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1692CB4"/>
    <w:multiLevelType w:val="hybridMultilevel"/>
    <w:tmpl w:val="FB8244F0"/>
    <w:lvl w:ilvl="0" w:tplc="15780B96">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DC6952"/>
    <w:multiLevelType w:val="hybridMultilevel"/>
    <w:tmpl w:val="86C477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0D78D6"/>
    <w:multiLevelType w:val="hybridMultilevel"/>
    <w:tmpl w:val="0AC2F334"/>
    <w:lvl w:ilvl="0" w:tplc="15780B9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4926D0"/>
    <w:multiLevelType w:val="hybridMultilevel"/>
    <w:tmpl w:val="648CBA5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933B77"/>
    <w:multiLevelType w:val="hybridMultilevel"/>
    <w:tmpl w:val="2104D7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691668"/>
    <w:multiLevelType w:val="hybridMultilevel"/>
    <w:tmpl w:val="7408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048A7"/>
    <w:multiLevelType w:val="hybridMultilevel"/>
    <w:tmpl w:val="DE923682"/>
    <w:lvl w:ilvl="0" w:tplc="15780B96">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110F63"/>
    <w:multiLevelType w:val="hybridMultilevel"/>
    <w:tmpl w:val="420C1CD0"/>
    <w:lvl w:ilvl="0" w:tplc="15780B9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260B3A"/>
    <w:multiLevelType w:val="hybridMultilevel"/>
    <w:tmpl w:val="6D4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AF1105"/>
    <w:multiLevelType w:val="hybridMultilevel"/>
    <w:tmpl w:val="385CA94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A9C7DFF"/>
    <w:multiLevelType w:val="hybridMultilevel"/>
    <w:tmpl w:val="8304B74E"/>
    <w:lvl w:ilvl="0" w:tplc="EBB054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350468">
    <w:abstractNumId w:val="12"/>
  </w:num>
  <w:num w:numId="2" w16cid:durableId="1482381982">
    <w:abstractNumId w:val="20"/>
  </w:num>
  <w:num w:numId="3" w16cid:durableId="746534130">
    <w:abstractNumId w:val="10"/>
  </w:num>
  <w:num w:numId="4" w16cid:durableId="815145741">
    <w:abstractNumId w:val="14"/>
  </w:num>
  <w:num w:numId="5" w16cid:durableId="1801459761">
    <w:abstractNumId w:val="15"/>
  </w:num>
  <w:num w:numId="6" w16cid:durableId="5207980">
    <w:abstractNumId w:val="21"/>
  </w:num>
  <w:num w:numId="7" w16cid:durableId="486015081">
    <w:abstractNumId w:val="16"/>
  </w:num>
  <w:num w:numId="8" w16cid:durableId="2090224228">
    <w:abstractNumId w:val="19"/>
  </w:num>
  <w:num w:numId="9" w16cid:durableId="1428966436">
    <w:abstractNumId w:val="13"/>
  </w:num>
  <w:num w:numId="10" w16cid:durableId="1045833514">
    <w:abstractNumId w:val="6"/>
  </w:num>
  <w:num w:numId="11" w16cid:durableId="499928419">
    <w:abstractNumId w:val="1"/>
  </w:num>
  <w:num w:numId="12" w16cid:durableId="221714806">
    <w:abstractNumId w:val="0"/>
  </w:num>
  <w:num w:numId="13" w16cid:durableId="883908190">
    <w:abstractNumId w:val="11"/>
  </w:num>
  <w:num w:numId="14" w16cid:durableId="724379840">
    <w:abstractNumId w:val="2"/>
  </w:num>
  <w:num w:numId="15" w16cid:durableId="24017493">
    <w:abstractNumId w:val="17"/>
  </w:num>
  <w:num w:numId="16" w16cid:durableId="1085880364">
    <w:abstractNumId w:val="3"/>
  </w:num>
  <w:num w:numId="17" w16cid:durableId="913659640">
    <w:abstractNumId w:val="8"/>
  </w:num>
  <w:num w:numId="18" w16cid:durableId="836964437">
    <w:abstractNumId w:val="7"/>
  </w:num>
  <w:num w:numId="19" w16cid:durableId="619579945">
    <w:abstractNumId w:val="9"/>
  </w:num>
  <w:num w:numId="20" w16cid:durableId="898173049">
    <w:abstractNumId w:val="5"/>
  </w:num>
  <w:num w:numId="21" w16cid:durableId="653531491">
    <w:abstractNumId w:val="18"/>
  </w:num>
  <w:num w:numId="22" w16cid:durableId="558126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5E"/>
    <w:rsid w:val="00074DF4"/>
    <w:rsid w:val="00076C40"/>
    <w:rsid w:val="00090DCA"/>
    <w:rsid w:val="000A0C39"/>
    <w:rsid w:val="000E75BE"/>
    <w:rsid w:val="001A54FE"/>
    <w:rsid w:val="00260B95"/>
    <w:rsid w:val="0027057E"/>
    <w:rsid w:val="00396772"/>
    <w:rsid w:val="00441D4C"/>
    <w:rsid w:val="00531D5C"/>
    <w:rsid w:val="00532CEA"/>
    <w:rsid w:val="005677BE"/>
    <w:rsid w:val="00617FA6"/>
    <w:rsid w:val="00756C36"/>
    <w:rsid w:val="007622AA"/>
    <w:rsid w:val="007949FF"/>
    <w:rsid w:val="007D11C2"/>
    <w:rsid w:val="007D263E"/>
    <w:rsid w:val="00853E49"/>
    <w:rsid w:val="00870C5D"/>
    <w:rsid w:val="008E7EE0"/>
    <w:rsid w:val="00B01BA2"/>
    <w:rsid w:val="00B138AA"/>
    <w:rsid w:val="00C31A16"/>
    <w:rsid w:val="00C41CF9"/>
    <w:rsid w:val="00C55013"/>
    <w:rsid w:val="00D023A6"/>
    <w:rsid w:val="00D23A58"/>
    <w:rsid w:val="00DD2DB2"/>
    <w:rsid w:val="00DF475E"/>
    <w:rsid w:val="00E416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6A2F"/>
  <w15:chartTrackingRefBased/>
  <w15:docId w15:val="{6C88F715-75B3-42A3-AF60-45707154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F4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F4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475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475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475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F47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47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47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47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47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47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47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47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47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F47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47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47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47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4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47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47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47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47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475E"/>
    <w:rPr>
      <w:i/>
      <w:iCs/>
      <w:color w:val="404040" w:themeColor="text1" w:themeTint="BF"/>
    </w:rPr>
  </w:style>
  <w:style w:type="paragraph" w:styleId="Sraopastraipa">
    <w:name w:val="List Paragraph"/>
    <w:basedOn w:val="prastasis"/>
    <w:uiPriority w:val="34"/>
    <w:qFormat/>
    <w:rsid w:val="00DF475E"/>
    <w:pPr>
      <w:ind w:left="720"/>
      <w:contextualSpacing/>
    </w:pPr>
  </w:style>
  <w:style w:type="character" w:styleId="Rykuspabraukimas">
    <w:name w:val="Intense Emphasis"/>
    <w:basedOn w:val="Numatytasispastraiposriftas"/>
    <w:uiPriority w:val="21"/>
    <w:qFormat/>
    <w:rsid w:val="00DF475E"/>
    <w:rPr>
      <w:i/>
      <w:iCs/>
      <w:color w:val="0F4761" w:themeColor="accent1" w:themeShade="BF"/>
    </w:rPr>
  </w:style>
  <w:style w:type="paragraph" w:styleId="Iskirtacitata">
    <w:name w:val="Intense Quote"/>
    <w:basedOn w:val="prastasis"/>
    <w:next w:val="prastasis"/>
    <w:link w:val="IskirtacitataDiagrama"/>
    <w:uiPriority w:val="30"/>
    <w:qFormat/>
    <w:rsid w:val="00DF4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475E"/>
    <w:rPr>
      <w:i/>
      <w:iCs/>
      <w:color w:val="0F4761" w:themeColor="accent1" w:themeShade="BF"/>
    </w:rPr>
  </w:style>
  <w:style w:type="character" w:styleId="Rykinuoroda">
    <w:name w:val="Intense Reference"/>
    <w:basedOn w:val="Numatytasispastraiposriftas"/>
    <w:uiPriority w:val="32"/>
    <w:qFormat/>
    <w:rsid w:val="00DF475E"/>
    <w:rPr>
      <w:b/>
      <w:bCs/>
      <w:smallCaps/>
      <w:color w:val="0F4761" w:themeColor="accent1" w:themeShade="BF"/>
      <w:spacing w:val="5"/>
    </w:rPr>
  </w:style>
  <w:style w:type="paragraph" w:styleId="Porat">
    <w:name w:val="footer"/>
    <w:basedOn w:val="prastasis"/>
    <w:link w:val="PoratDiagrama"/>
    <w:uiPriority w:val="99"/>
    <w:semiHidden/>
    <w:unhideWhenUsed/>
    <w:rsid w:val="008E7EE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E7EE0"/>
  </w:style>
  <w:style w:type="paragraph" w:styleId="Antrats">
    <w:name w:val="header"/>
    <w:basedOn w:val="prastasis"/>
    <w:link w:val="AntratsDiagrama"/>
    <w:uiPriority w:val="99"/>
    <w:semiHidden/>
    <w:unhideWhenUsed/>
    <w:rsid w:val="008E7EE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E7EE0"/>
  </w:style>
  <w:style w:type="table" w:customStyle="1" w:styleId="Lentelstinklelis1">
    <w:name w:val="Lentelės tinklelis1"/>
    <w:basedOn w:val="prastojilentel"/>
    <w:next w:val="Lentelstinklelis"/>
    <w:uiPriority w:val="39"/>
    <w:rsid w:val="008E7EE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E7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55013"/>
    <w:rPr>
      <w:color w:val="467886" w:themeColor="hyperlink"/>
      <w:u w:val="single"/>
    </w:rPr>
  </w:style>
  <w:style w:type="character" w:styleId="Neapdorotaspaminjimas">
    <w:name w:val="Unresolved Mention"/>
    <w:basedOn w:val="Numatytasispastraiposriftas"/>
    <w:uiPriority w:val="99"/>
    <w:semiHidden/>
    <w:unhideWhenUsed/>
    <w:rsid w:val="00C55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10271</Words>
  <Characters>5856</Characters>
  <Application>Microsoft Office Word</Application>
  <DocSecurity>0</DocSecurity>
  <Lines>48</Lines>
  <Paragraphs>32</Paragraphs>
  <ScaleCrop>false</ScaleCrop>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20</cp:revision>
  <dcterms:created xsi:type="dcterms:W3CDTF">2026-01-18T19:48:00Z</dcterms:created>
  <dcterms:modified xsi:type="dcterms:W3CDTF">2026-04-28T06:10:00Z</dcterms:modified>
</cp:coreProperties>
</file>