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9F62" w14:textId="77777777" w:rsidR="00851D5E" w:rsidRPr="0042007A" w:rsidRDefault="00851D5E" w:rsidP="0042007A">
      <w:pPr>
        <w:ind w:left="567" w:hanging="567"/>
        <w:rPr>
          <w:bCs/>
          <w:caps/>
          <w:szCs w:val="22"/>
        </w:rPr>
      </w:pPr>
    </w:p>
    <w:p w14:paraId="12E3629F" w14:textId="77777777" w:rsidR="00851D5E" w:rsidRPr="0042007A" w:rsidRDefault="00851D5E" w:rsidP="0042007A">
      <w:pPr>
        <w:ind w:left="567" w:hanging="567"/>
        <w:rPr>
          <w:bCs/>
          <w:caps/>
          <w:szCs w:val="22"/>
        </w:rPr>
      </w:pPr>
    </w:p>
    <w:p w14:paraId="384B3685" w14:textId="77777777" w:rsidR="00851D5E" w:rsidRPr="0042007A" w:rsidRDefault="00851D5E" w:rsidP="0042007A">
      <w:pPr>
        <w:ind w:left="567" w:hanging="567"/>
        <w:rPr>
          <w:bCs/>
          <w:caps/>
          <w:szCs w:val="22"/>
        </w:rPr>
      </w:pPr>
    </w:p>
    <w:p w14:paraId="38774E1B" w14:textId="77777777" w:rsidR="00851D5E" w:rsidRPr="0042007A" w:rsidRDefault="00851D5E" w:rsidP="0042007A">
      <w:pPr>
        <w:ind w:left="567" w:hanging="567"/>
        <w:rPr>
          <w:bCs/>
          <w:caps/>
          <w:szCs w:val="22"/>
        </w:rPr>
      </w:pPr>
    </w:p>
    <w:p w14:paraId="53FC27B7" w14:textId="77777777" w:rsidR="00851D5E" w:rsidRPr="0042007A" w:rsidRDefault="00851D5E" w:rsidP="0042007A">
      <w:pPr>
        <w:ind w:left="567" w:hanging="567"/>
        <w:rPr>
          <w:bCs/>
          <w:caps/>
          <w:szCs w:val="22"/>
        </w:rPr>
      </w:pPr>
    </w:p>
    <w:p w14:paraId="0B8C8361" w14:textId="77777777" w:rsidR="00851D5E" w:rsidRPr="0042007A" w:rsidRDefault="00851D5E" w:rsidP="0042007A">
      <w:pPr>
        <w:ind w:left="567" w:hanging="567"/>
        <w:rPr>
          <w:bCs/>
          <w:caps/>
          <w:szCs w:val="22"/>
        </w:rPr>
      </w:pPr>
    </w:p>
    <w:p w14:paraId="2898E94C" w14:textId="77777777" w:rsidR="00851D5E" w:rsidRPr="0042007A" w:rsidRDefault="00851D5E" w:rsidP="0042007A">
      <w:pPr>
        <w:ind w:left="567" w:hanging="567"/>
        <w:rPr>
          <w:bCs/>
          <w:caps/>
          <w:szCs w:val="22"/>
        </w:rPr>
      </w:pPr>
    </w:p>
    <w:p w14:paraId="0D3ABFE9" w14:textId="77777777" w:rsidR="00851D5E" w:rsidRPr="0042007A" w:rsidRDefault="00851D5E" w:rsidP="0042007A">
      <w:pPr>
        <w:ind w:left="567" w:hanging="567"/>
        <w:rPr>
          <w:bCs/>
          <w:caps/>
          <w:szCs w:val="22"/>
        </w:rPr>
      </w:pPr>
    </w:p>
    <w:p w14:paraId="21E10312" w14:textId="77777777" w:rsidR="00851D5E" w:rsidRPr="0042007A" w:rsidRDefault="00851D5E" w:rsidP="0042007A">
      <w:pPr>
        <w:ind w:left="567" w:hanging="567"/>
        <w:rPr>
          <w:bCs/>
          <w:caps/>
          <w:szCs w:val="22"/>
        </w:rPr>
      </w:pPr>
    </w:p>
    <w:p w14:paraId="503F9092" w14:textId="77777777" w:rsidR="00851D5E" w:rsidRPr="0042007A" w:rsidRDefault="00851D5E" w:rsidP="0042007A">
      <w:pPr>
        <w:ind w:left="567" w:hanging="567"/>
        <w:rPr>
          <w:bCs/>
          <w:caps/>
          <w:szCs w:val="22"/>
        </w:rPr>
      </w:pPr>
    </w:p>
    <w:p w14:paraId="319A125F" w14:textId="77777777" w:rsidR="00851D5E" w:rsidRPr="0042007A" w:rsidRDefault="00851D5E" w:rsidP="0042007A">
      <w:pPr>
        <w:ind w:left="567" w:hanging="567"/>
        <w:rPr>
          <w:bCs/>
          <w:caps/>
          <w:szCs w:val="22"/>
        </w:rPr>
      </w:pPr>
    </w:p>
    <w:p w14:paraId="7EBF9E79" w14:textId="77777777" w:rsidR="00851D5E" w:rsidRPr="0042007A" w:rsidRDefault="00851D5E" w:rsidP="0042007A">
      <w:pPr>
        <w:ind w:left="567" w:hanging="567"/>
        <w:rPr>
          <w:bCs/>
          <w:caps/>
          <w:szCs w:val="22"/>
        </w:rPr>
      </w:pPr>
    </w:p>
    <w:p w14:paraId="182F919A" w14:textId="77777777" w:rsidR="00851D5E" w:rsidRPr="0042007A" w:rsidRDefault="00851D5E" w:rsidP="0042007A">
      <w:pPr>
        <w:ind w:left="567" w:hanging="567"/>
        <w:rPr>
          <w:bCs/>
          <w:caps/>
          <w:szCs w:val="22"/>
        </w:rPr>
      </w:pPr>
    </w:p>
    <w:p w14:paraId="73F18E58" w14:textId="77777777" w:rsidR="00851D5E" w:rsidRPr="0042007A" w:rsidRDefault="00851D5E" w:rsidP="0042007A">
      <w:pPr>
        <w:ind w:left="567" w:hanging="567"/>
        <w:rPr>
          <w:bCs/>
          <w:caps/>
          <w:szCs w:val="22"/>
        </w:rPr>
      </w:pPr>
    </w:p>
    <w:p w14:paraId="14EEB82A" w14:textId="77777777" w:rsidR="00851D5E" w:rsidRPr="0042007A" w:rsidRDefault="00851D5E" w:rsidP="0042007A">
      <w:pPr>
        <w:ind w:left="567" w:hanging="567"/>
        <w:rPr>
          <w:bCs/>
          <w:caps/>
          <w:szCs w:val="22"/>
        </w:rPr>
      </w:pPr>
    </w:p>
    <w:p w14:paraId="66482799" w14:textId="77777777" w:rsidR="001076FF" w:rsidRPr="0042007A" w:rsidRDefault="001076FF" w:rsidP="0042007A">
      <w:pPr>
        <w:ind w:left="567" w:hanging="567"/>
        <w:rPr>
          <w:bCs/>
          <w:caps/>
          <w:szCs w:val="22"/>
        </w:rPr>
      </w:pPr>
    </w:p>
    <w:p w14:paraId="251BCFD8" w14:textId="77777777" w:rsidR="00851D5E" w:rsidRDefault="00851D5E" w:rsidP="0042007A">
      <w:pPr>
        <w:ind w:left="567" w:hanging="567"/>
        <w:rPr>
          <w:bCs/>
          <w:caps/>
          <w:szCs w:val="22"/>
        </w:rPr>
      </w:pPr>
    </w:p>
    <w:p w14:paraId="3A9C3D57" w14:textId="77777777" w:rsidR="001462C7" w:rsidRDefault="001462C7" w:rsidP="0042007A">
      <w:pPr>
        <w:ind w:left="567" w:hanging="567"/>
        <w:rPr>
          <w:bCs/>
          <w:caps/>
          <w:szCs w:val="22"/>
        </w:rPr>
      </w:pPr>
    </w:p>
    <w:p w14:paraId="2848ECFD" w14:textId="77777777" w:rsidR="001462C7" w:rsidRPr="0042007A" w:rsidRDefault="001462C7" w:rsidP="0042007A">
      <w:pPr>
        <w:ind w:left="567" w:hanging="567"/>
        <w:rPr>
          <w:bCs/>
          <w:caps/>
          <w:szCs w:val="22"/>
        </w:rPr>
      </w:pPr>
    </w:p>
    <w:p w14:paraId="370147DE" w14:textId="77777777" w:rsidR="00851D5E" w:rsidRPr="0042007A" w:rsidRDefault="00851D5E" w:rsidP="0042007A">
      <w:pPr>
        <w:ind w:left="567" w:hanging="567"/>
        <w:rPr>
          <w:bCs/>
          <w:caps/>
          <w:szCs w:val="22"/>
        </w:rPr>
      </w:pPr>
    </w:p>
    <w:p w14:paraId="472EE48B" w14:textId="77777777" w:rsidR="00851D5E" w:rsidRPr="0042007A" w:rsidRDefault="00851D5E" w:rsidP="0042007A">
      <w:pPr>
        <w:ind w:left="567" w:hanging="567"/>
        <w:rPr>
          <w:bCs/>
          <w:caps/>
          <w:szCs w:val="22"/>
        </w:rPr>
      </w:pPr>
    </w:p>
    <w:p w14:paraId="6D027A9D" w14:textId="77777777" w:rsidR="00851D5E" w:rsidRPr="0042007A" w:rsidRDefault="00851D5E" w:rsidP="0042007A">
      <w:pPr>
        <w:ind w:left="567" w:hanging="567"/>
        <w:rPr>
          <w:bCs/>
          <w:caps/>
          <w:szCs w:val="22"/>
        </w:rPr>
      </w:pPr>
    </w:p>
    <w:p w14:paraId="1326DC3D" w14:textId="77777777" w:rsidR="00851D5E" w:rsidRPr="0042007A" w:rsidRDefault="00851D5E" w:rsidP="0042007A">
      <w:pPr>
        <w:ind w:left="567" w:hanging="567"/>
        <w:rPr>
          <w:bCs/>
          <w:caps/>
          <w:szCs w:val="22"/>
        </w:rPr>
      </w:pPr>
    </w:p>
    <w:p w14:paraId="54DBC5BC" w14:textId="77777777" w:rsidR="00851D5E" w:rsidRPr="0042007A" w:rsidRDefault="00851D5E" w:rsidP="0042007A">
      <w:pPr>
        <w:ind w:left="567" w:hanging="567"/>
        <w:rPr>
          <w:bCs/>
          <w:caps/>
          <w:szCs w:val="22"/>
        </w:rPr>
      </w:pPr>
    </w:p>
    <w:p w14:paraId="0E3D9245" w14:textId="77777777" w:rsidR="00851D5E" w:rsidRPr="0042007A" w:rsidRDefault="00851D5E" w:rsidP="0042007A">
      <w:pPr>
        <w:ind w:left="567" w:hanging="567"/>
        <w:rPr>
          <w:bCs/>
          <w:caps/>
          <w:szCs w:val="22"/>
        </w:rPr>
      </w:pPr>
    </w:p>
    <w:p w14:paraId="6B2113CA" w14:textId="77777777" w:rsidR="00851D5E" w:rsidRPr="0060061D" w:rsidRDefault="00851D5E" w:rsidP="0042007A">
      <w:pPr>
        <w:ind w:left="567" w:hanging="567"/>
        <w:jc w:val="center"/>
        <w:rPr>
          <w:bCs/>
          <w:caps/>
          <w:szCs w:val="22"/>
        </w:rPr>
      </w:pPr>
      <w:r w:rsidRPr="0042007A">
        <w:rPr>
          <w:b/>
          <w:caps/>
          <w:szCs w:val="22"/>
        </w:rPr>
        <w:t>B. PAKUOTĖS lapelis</w:t>
      </w:r>
    </w:p>
    <w:p w14:paraId="6F012B75" w14:textId="77777777" w:rsidR="00851D5E" w:rsidRPr="0042007A" w:rsidRDefault="00851D5E" w:rsidP="0042007A">
      <w:pPr>
        <w:pStyle w:val="Pagrindinistekstas"/>
        <w:spacing w:after="0"/>
        <w:jc w:val="center"/>
        <w:outlineLvl w:val="0"/>
        <w:rPr>
          <w:bCs/>
          <w:szCs w:val="22"/>
        </w:rPr>
      </w:pPr>
      <w:r w:rsidRPr="0042007A">
        <w:rPr>
          <w:szCs w:val="22"/>
        </w:rPr>
        <w:br w:type="page"/>
      </w:r>
      <w:r w:rsidRPr="0042007A">
        <w:rPr>
          <w:b/>
          <w:szCs w:val="22"/>
        </w:rPr>
        <w:lastRenderedPageBreak/>
        <w:t>Pakuotės lapelis: informacija vartotojui</w:t>
      </w:r>
    </w:p>
    <w:p w14:paraId="1AED2A1B" w14:textId="77777777" w:rsidR="00851D5E" w:rsidRPr="0042007A" w:rsidRDefault="00851D5E" w:rsidP="0042007A">
      <w:pPr>
        <w:pStyle w:val="Pagrindinistekstas"/>
        <w:spacing w:after="0"/>
        <w:rPr>
          <w:szCs w:val="22"/>
        </w:rPr>
      </w:pPr>
    </w:p>
    <w:p w14:paraId="1775185D" w14:textId="77777777" w:rsidR="00851D5E" w:rsidRPr="0042007A" w:rsidRDefault="00851D5E" w:rsidP="0042007A">
      <w:pPr>
        <w:pStyle w:val="Pagrindinistekstas"/>
        <w:spacing w:after="0"/>
        <w:jc w:val="center"/>
        <w:outlineLvl w:val="0"/>
        <w:rPr>
          <w:bCs/>
          <w:szCs w:val="22"/>
        </w:rPr>
      </w:pPr>
      <w:r w:rsidRPr="0042007A">
        <w:rPr>
          <w:b/>
          <w:szCs w:val="22"/>
        </w:rPr>
        <w:t>VARIVAX milteliai ir tirpiklis injekcinei suspensijai užpildytame švirkšte</w:t>
      </w:r>
    </w:p>
    <w:p w14:paraId="0234775D" w14:textId="2780C716" w:rsidR="00851D5E" w:rsidRPr="0042007A" w:rsidRDefault="001076FF" w:rsidP="0042007A">
      <w:pPr>
        <w:pStyle w:val="Pagrindinistekstas"/>
        <w:spacing w:after="0"/>
        <w:jc w:val="center"/>
        <w:outlineLvl w:val="0"/>
        <w:rPr>
          <w:szCs w:val="22"/>
        </w:rPr>
      </w:pPr>
      <w:r w:rsidRPr="0042007A">
        <w:rPr>
          <w:szCs w:val="22"/>
        </w:rPr>
        <w:t>v</w:t>
      </w:r>
      <w:r w:rsidR="00851D5E" w:rsidRPr="0042007A">
        <w:rPr>
          <w:szCs w:val="22"/>
        </w:rPr>
        <w:t>akcina nuo vėjaraupių (gyvoji)</w:t>
      </w:r>
    </w:p>
    <w:p w14:paraId="31D3DA84" w14:textId="77777777" w:rsidR="00851D5E" w:rsidRPr="0042007A" w:rsidRDefault="00851D5E" w:rsidP="0042007A">
      <w:pPr>
        <w:pStyle w:val="Pagrindinistekstas"/>
        <w:spacing w:after="0"/>
        <w:rPr>
          <w:szCs w:val="22"/>
        </w:rPr>
      </w:pPr>
    </w:p>
    <w:p w14:paraId="7981EEF2" w14:textId="77777777" w:rsidR="00851D5E" w:rsidRPr="0042007A" w:rsidRDefault="00851D5E" w:rsidP="0042007A">
      <w:pPr>
        <w:pStyle w:val="Pagrindinistekstas"/>
        <w:spacing w:after="0"/>
        <w:outlineLvl w:val="0"/>
        <w:rPr>
          <w:bCs/>
          <w:szCs w:val="22"/>
        </w:rPr>
      </w:pPr>
      <w:r w:rsidRPr="0042007A">
        <w:rPr>
          <w:b/>
          <w:szCs w:val="22"/>
        </w:rPr>
        <w:t>Atidžiai perskaitykite visą šį lapelį, prieš skiepydamiesi arba prieš skiepijant Jūsų vaiką.</w:t>
      </w:r>
    </w:p>
    <w:p w14:paraId="31A0A475" w14:textId="0CFB4D73" w:rsidR="00851D5E" w:rsidRPr="0042007A" w:rsidRDefault="00851D5E" w:rsidP="005C5688">
      <w:pPr>
        <w:numPr>
          <w:ilvl w:val="0"/>
          <w:numId w:val="2"/>
        </w:numPr>
        <w:tabs>
          <w:tab w:val="clear" w:pos="360"/>
          <w:tab w:val="num" w:pos="567"/>
        </w:tabs>
        <w:ind w:left="567" w:hanging="567"/>
        <w:rPr>
          <w:szCs w:val="22"/>
        </w:rPr>
      </w:pPr>
      <w:r w:rsidRPr="0042007A">
        <w:rPr>
          <w:szCs w:val="22"/>
        </w:rPr>
        <w:t>Neišmeskite šio lapelio, nes vėl gali prireikti jį perskaityti.</w:t>
      </w:r>
    </w:p>
    <w:p w14:paraId="7AD1E9D4" w14:textId="72718FBF" w:rsidR="00851D5E" w:rsidRPr="0042007A" w:rsidRDefault="00851D5E" w:rsidP="005C5688">
      <w:pPr>
        <w:numPr>
          <w:ilvl w:val="0"/>
          <w:numId w:val="2"/>
        </w:numPr>
        <w:tabs>
          <w:tab w:val="clear" w:pos="360"/>
          <w:tab w:val="num" w:pos="567"/>
        </w:tabs>
        <w:ind w:left="567" w:hanging="567"/>
        <w:rPr>
          <w:szCs w:val="22"/>
        </w:rPr>
      </w:pPr>
      <w:r w:rsidRPr="0042007A">
        <w:rPr>
          <w:szCs w:val="22"/>
        </w:rPr>
        <w:t>Jeigu kiltų daugiau klausimų, kreipkitės į gydytoją arba vaistininką.</w:t>
      </w:r>
    </w:p>
    <w:p w14:paraId="6204553C" w14:textId="0E9181E3" w:rsidR="00851D5E" w:rsidRPr="0042007A" w:rsidRDefault="00851D5E" w:rsidP="005C5688">
      <w:pPr>
        <w:numPr>
          <w:ilvl w:val="0"/>
          <w:numId w:val="2"/>
        </w:numPr>
        <w:tabs>
          <w:tab w:val="clear" w:pos="360"/>
          <w:tab w:val="num" w:pos="567"/>
        </w:tabs>
        <w:ind w:left="567" w:hanging="567"/>
        <w:rPr>
          <w:szCs w:val="22"/>
        </w:rPr>
      </w:pPr>
      <w:r w:rsidRPr="0042007A">
        <w:rPr>
          <w:szCs w:val="22"/>
        </w:rPr>
        <w:t>Ši vakcina skirta tik Jums arba Jūsų vaikui, todėl kitiems žmonėms jos duoti negalima. Vakcina gali jiems pakenkti (net tiems, kurių ligos požymiai yra tokie patys kaip Jūsų).</w:t>
      </w:r>
    </w:p>
    <w:p w14:paraId="5B46DC4D" w14:textId="6DF770A7" w:rsidR="00851D5E" w:rsidRPr="0042007A" w:rsidRDefault="00851D5E" w:rsidP="005C5688">
      <w:pPr>
        <w:numPr>
          <w:ilvl w:val="0"/>
          <w:numId w:val="2"/>
        </w:numPr>
        <w:tabs>
          <w:tab w:val="clear" w:pos="360"/>
          <w:tab w:val="num" w:pos="567"/>
        </w:tabs>
        <w:ind w:left="567" w:hanging="567"/>
        <w:rPr>
          <w:szCs w:val="22"/>
        </w:rPr>
      </w:pPr>
      <w:r w:rsidRPr="0042007A">
        <w:rPr>
          <w:szCs w:val="22"/>
        </w:rPr>
        <w:t>Jeigu pasireiškė šalutinis poveikis (net jeigu jis šiame lapelyje nenurodytas), kreipkitės į gydytoją arba vaistininką. Žr. 4 skyrių.</w:t>
      </w:r>
    </w:p>
    <w:p w14:paraId="487E5954" w14:textId="77777777" w:rsidR="00851D5E" w:rsidRPr="0042007A" w:rsidRDefault="00851D5E" w:rsidP="0042007A">
      <w:pPr>
        <w:pStyle w:val="Pagrindinistekstas"/>
        <w:spacing w:after="0"/>
        <w:rPr>
          <w:szCs w:val="22"/>
        </w:rPr>
      </w:pPr>
    </w:p>
    <w:p w14:paraId="3235BFD0" w14:textId="77777777" w:rsidR="00851D5E" w:rsidRPr="0042007A" w:rsidRDefault="00851D5E" w:rsidP="0042007A">
      <w:pPr>
        <w:pStyle w:val="Pagrindinistekstas"/>
        <w:spacing w:after="0"/>
        <w:outlineLvl w:val="0"/>
        <w:rPr>
          <w:bCs/>
          <w:szCs w:val="22"/>
        </w:rPr>
      </w:pPr>
      <w:r w:rsidRPr="0042007A">
        <w:rPr>
          <w:b/>
          <w:szCs w:val="22"/>
        </w:rPr>
        <w:t>Apie ką rašoma šiame lapelyje?</w:t>
      </w:r>
    </w:p>
    <w:p w14:paraId="1A4B146B" w14:textId="77777777" w:rsidR="00851D5E" w:rsidRPr="0042007A" w:rsidRDefault="00851D5E" w:rsidP="0042007A">
      <w:pPr>
        <w:pStyle w:val="Pagrindinistekstas"/>
        <w:tabs>
          <w:tab w:val="left" w:pos="567"/>
        </w:tabs>
        <w:spacing w:after="0"/>
        <w:rPr>
          <w:szCs w:val="22"/>
        </w:rPr>
      </w:pPr>
      <w:r w:rsidRPr="0042007A">
        <w:rPr>
          <w:szCs w:val="22"/>
        </w:rPr>
        <w:t>1.</w:t>
      </w:r>
      <w:r w:rsidRPr="0042007A">
        <w:rPr>
          <w:szCs w:val="22"/>
        </w:rPr>
        <w:tab/>
        <w:t>Kas yra VARIVAX ir kam jis vartojamas</w:t>
      </w:r>
    </w:p>
    <w:p w14:paraId="4D5AFF5F" w14:textId="77777777" w:rsidR="00851D5E" w:rsidRPr="0042007A" w:rsidRDefault="00851D5E" w:rsidP="0042007A">
      <w:pPr>
        <w:pStyle w:val="Pagrindinistekstas"/>
        <w:tabs>
          <w:tab w:val="left" w:pos="567"/>
        </w:tabs>
        <w:spacing w:after="0"/>
        <w:rPr>
          <w:szCs w:val="22"/>
        </w:rPr>
      </w:pPr>
      <w:r w:rsidRPr="0042007A">
        <w:rPr>
          <w:szCs w:val="22"/>
        </w:rPr>
        <w:t>2.</w:t>
      </w:r>
      <w:r w:rsidRPr="0042007A">
        <w:rPr>
          <w:szCs w:val="22"/>
        </w:rPr>
        <w:tab/>
        <w:t>Kas žinotina prieš skiepijantis arba prieš Jūsų vaiką skiepijant VARIVAX</w:t>
      </w:r>
    </w:p>
    <w:p w14:paraId="3703C9B0" w14:textId="77777777" w:rsidR="00851D5E" w:rsidRPr="0042007A" w:rsidRDefault="00851D5E" w:rsidP="0042007A">
      <w:pPr>
        <w:pStyle w:val="Pagrindinistekstas"/>
        <w:tabs>
          <w:tab w:val="left" w:pos="567"/>
        </w:tabs>
        <w:spacing w:after="0"/>
        <w:rPr>
          <w:szCs w:val="22"/>
        </w:rPr>
      </w:pPr>
      <w:r w:rsidRPr="0042007A">
        <w:rPr>
          <w:szCs w:val="22"/>
        </w:rPr>
        <w:t>3.</w:t>
      </w:r>
      <w:r w:rsidRPr="0042007A">
        <w:rPr>
          <w:szCs w:val="22"/>
        </w:rPr>
        <w:tab/>
        <w:t>Kaip vartoti VARIVAX</w:t>
      </w:r>
    </w:p>
    <w:p w14:paraId="275D272D" w14:textId="77777777" w:rsidR="00851D5E" w:rsidRPr="0042007A" w:rsidRDefault="00851D5E" w:rsidP="0042007A">
      <w:pPr>
        <w:pStyle w:val="Pagrindinistekstas"/>
        <w:tabs>
          <w:tab w:val="left" w:pos="567"/>
        </w:tabs>
        <w:spacing w:after="0"/>
        <w:rPr>
          <w:szCs w:val="22"/>
        </w:rPr>
      </w:pPr>
      <w:r w:rsidRPr="0042007A">
        <w:rPr>
          <w:szCs w:val="22"/>
        </w:rPr>
        <w:t>4.</w:t>
      </w:r>
      <w:r w:rsidRPr="0042007A">
        <w:rPr>
          <w:szCs w:val="22"/>
        </w:rPr>
        <w:tab/>
        <w:t>Galimas šalutinis poveikis</w:t>
      </w:r>
    </w:p>
    <w:p w14:paraId="3BB4B2B4" w14:textId="77777777" w:rsidR="00851D5E" w:rsidRPr="0042007A" w:rsidRDefault="00851D5E" w:rsidP="0042007A">
      <w:pPr>
        <w:pStyle w:val="Pagrindinistekstas"/>
        <w:tabs>
          <w:tab w:val="left" w:pos="567"/>
        </w:tabs>
        <w:spacing w:after="0"/>
        <w:rPr>
          <w:szCs w:val="22"/>
        </w:rPr>
      </w:pPr>
      <w:r w:rsidRPr="0042007A">
        <w:rPr>
          <w:szCs w:val="22"/>
        </w:rPr>
        <w:t>5.</w:t>
      </w:r>
      <w:r w:rsidRPr="0042007A">
        <w:rPr>
          <w:szCs w:val="22"/>
        </w:rPr>
        <w:tab/>
        <w:t>Kaip laikyti VARIVAX</w:t>
      </w:r>
    </w:p>
    <w:p w14:paraId="1E387690" w14:textId="77777777" w:rsidR="00851D5E" w:rsidRPr="0042007A" w:rsidRDefault="00851D5E" w:rsidP="0042007A">
      <w:pPr>
        <w:pStyle w:val="Pagrindinistekstas"/>
        <w:tabs>
          <w:tab w:val="left" w:pos="567"/>
        </w:tabs>
        <w:spacing w:after="0"/>
        <w:rPr>
          <w:szCs w:val="22"/>
        </w:rPr>
      </w:pPr>
      <w:r w:rsidRPr="0042007A">
        <w:rPr>
          <w:szCs w:val="22"/>
        </w:rPr>
        <w:t>6.</w:t>
      </w:r>
      <w:r w:rsidRPr="0042007A">
        <w:rPr>
          <w:szCs w:val="22"/>
        </w:rPr>
        <w:tab/>
        <w:t>Pakuotės turinys ir kita informacija</w:t>
      </w:r>
    </w:p>
    <w:p w14:paraId="77293D9D" w14:textId="77777777" w:rsidR="00851D5E" w:rsidRPr="0042007A" w:rsidDel="006C1F21" w:rsidRDefault="00851D5E" w:rsidP="0042007A">
      <w:pPr>
        <w:pStyle w:val="Pagrindinistekstas"/>
        <w:spacing w:after="0"/>
        <w:rPr>
          <w:szCs w:val="22"/>
        </w:rPr>
      </w:pPr>
    </w:p>
    <w:p w14:paraId="042D9EEF" w14:textId="77777777" w:rsidR="00851D5E" w:rsidRPr="0042007A" w:rsidDel="006C1F21" w:rsidRDefault="00851D5E" w:rsidP="0042007A">
      <w:pPr>
        <w:pStyle w:val="Pagrindinistekstas"/>
        <w:spacing w:after="0"/>
        <w:rPr>
          <w:szCs w:val="22"/>
        </w:rPr>
      </w:pPr>
    </w:p>
    <w:p w14:paraId="6536E3B4" w14:textId="77777777" w:rsidR="00851D5E" w:rsidRPr="0042007A" w:rsidRDefault="00851D5E" w:rsidP="0042007A">
      <w:pPr>
        <w:pStyle w:val="Antrat2"/>
        <w:rPr>
          <w:b w:val="0"/>
          <w:bCs/>
          <w:szCs w:val="22"/>
        </w:rPr>
      </w:pPr>
      <w:r w:rsidRPr="0042007A">
        <w:rPr>
          <w:szCs w:val="22"/>
        </w:rPr>
        <w:t>1.</w:t>
      </w:r>
      <w:r w:rsidRPr="0042007A">
        <w:rPr>
          <w:szCs w:val="22"/>
        </w:rPr>
        <w:tab/>
        <w:t>Kas yra VARIVAX ir kam jis vartojamas</w:t>
      </w:r>
    </w:p>
    <w:p w14:paraId="05CA6907" w14:textId="77777777" w:rsidR="00851D5E" w:rsidRPr="0042007A" w:rsidRDefault="00851D5E" w:rsidP="0042007A">
      <w:pPr>
        <w:keepNext/>
        <w:rPr>
          <w:szCs w:val="22"/>
        </w:rPr>
      </w:pPr>
    </w:p>
    <w:p w14:paraId="412BF5F4" w14:textId="77777777" w:rsidR="00851D5E" w:rsidRPr="0042007A" w:rsidRDefault="00851D5E" w:rsidP="0042007A">
      <w:pPr>
        <w:rPr>
          <w:szCs w:val="22"/>
        </w:rPr>
      </w:pPr>
      <w:r w:rsidRPr="0042007A">
        <w:rPr>
          <w:szCs w:val="22"/>
        </w:rPr>
        <w:t>VARIVAX yra vakcina, kuri padeda apsaugoti suaugusius žmones ir vaikus nuo vėjaraupių. Vakcinos yra vartojamos apsaugoti Jus arba Jūsų vaiką nuo infekcinių ligų.</w:t>
      </w:r>
    </w:p>
    <w:p w14:paraId="4E876543" w14:textId="77777777" w:rsidR="00851D5E" w:rsidRPr="0042007A" w:rsidRDefault="00851D5E" w:rsidP="0042007A">
      <w:pPr>
        <w:rPr>
          <w:szCs w:val="22"/>
        </w:rPr>
      </w:pPr>
    </w:p>
    <w:p w14:paraId="3B448A17" w14:textId="77777777" w:rsidR="00851D5E" w:rsidRPr="0042007A" w:rsidRDefault="00851D5E" w:rsidP="0042007A">
      <w:pPr>
        <w:rPr>
          <w:szCs w:val="22"/>
        </w:rPr>
      </w:pPr>
      <w:r w:rsidRPr="0042007A">
        <w:rPr>
          <w:szCs w:val="22"/>
        </w:rPr>
        <w:t>VARIVAX galima leisti 12 mėnesių ir vyresniems žmonėms.</w:t>
      </w:r>
    </w:p>
    <w:p w14:paraId="4F726A86" w14:textId="77777777" w:rsidR="00851D5E" w:rsidRPr="0042007A" w:rsidRDefault="00851D5E" w:rsidP="0042007A">
      <w:pPr>
        <w:rPr>
          <w:szCs w:val="22"/>
        </w:rPr>
      </w:pPr>
    </w:p>
    <w:p w14:paraId="736D6C2C" w14:textId="77777777" w:rsidR="00851D5E" w:rsidRPr="0042007A" w:rsidRDefault="00851D5E" w:rsidP="0042007A">
      <w:pPr>
        <w:rPr>
          <w:szCs w:val="22"/>
          <w:u w:val="single"/>
        </w:rPr>
      </w:pPr>
      <w:r w:rsidRPr="0042007A">
        <w:rPr>
          <w:szCs w:val="22"/>
        </w:rPr>
        <w:t>Be to, ypatingais atvejais, pvz., jei to reikia pagal nacionalinį skiepų kalendorių arba esant protrūkiui, VARIVAX galima skirti kūdikiams nuo 9 mėnesių amžiaus</w:t>
      </w:r>
      <w:r w:rsidRPr="00572468">
        <w:rPr>
          <w:szCs w:val="22"/>
        </w:rPr>
        <w:t>.</w:t>
      </w:r>
    </w:p>
    <w:p w14:paraId="47DBB77D" w14:textId="77777777" w:rsidR="00851D5E" w:rsidRPr="0042007A" w:rsidRDefault="00851D5E" w:rsidP="0042007A">
      <w:pPr>
        <w:rPr>
          <w:szCs w:val="22"/>
        </w:rPr>
      </w:pPr>
    </w:p>
    <w:p w14:paraId="531B18A4" w14:textId="77777777" w:rsidR="00851D5E" w:rsidRPr="0042007A" w:rsidRDefault="00851D5E" w:rsidP="0042007A">
      <w:pPr>
        <w:rPr>
          <w:szCs w:val="22"/>
        </w:rPr>
      </w:pPr>
      <w:r w:rsidRPr="0042007A">
        <w:rPr>
          <w:szCs w:val="22"/>
        </w:rPr>
        <w:t>VARIVAX galima skiepyti žmones, kurie nesirgo vėjaraupiais, bet artimai bendravo su vėjaraupiais sergančiu žmogumi.</w:t>
      </w:r>
    </w:p>
    <w:p w14:paraId="518D2A70" w14:textId="77777777" w:rsidR="00851D5E" w:rsidRPr="0042007A" w:rsidRDefault="00851D5E" w:rsidP="0042007A">
      <w:pPr>
        <w:rPr>
          <w:szCs w:val="22"/>
        </w:rPr>
      </w:pPr>
      <w:r w:rsidRPr="0042007A">
        <w:rPr>
          <w:szCs w:val="22"/>
        </w:rPr>
        <w:t>Per 3 paras po kontakto atlikta vakcinacija gali padėti apsisaugoti nuo vėjaraupių arba palengvinti šios infekcinės ligos eigą, dėl to sumažėja odos pažeidimų ir trumpiau sergama. Be to, yra nedaug duomenų, kad pasiskiepijus ir per 5 paras po kontakto ligos eiga gali palengvėti.</w:t>
      </w:r>
    </w:p>
    <w:p w14:paraId="2FA1E2E1" w14:textId="77777777" w:rsidR="00851D5E" w:rsidRPr="0042007A" w:rsidRDefault="00851D5E" w:rsidP="0042007A">
      <w:pPr>
        <w:rPr>
          <w:szCs w:val="22"/>
        </w:rPr>
      </w:pPr>
    </w:p>
    <w:p w14:paraId="7089A38F" w14:textId="77777777" w:rsidR="00851D5E" w:rsidRPr="0042007A" w:rsidRDefault="00851D5E" w:rsidP="0042007A">
      <w:pPr>
        <w:rPr>
          <w:bCs/>
          <w:szCs w:val="22"/>
        </w:rPr>
      </w:pPr>
      <w:r w:rsidRPr="0042007A">
        <w:rPr>
          <w:szCs w:val="22"/>
        </w:rPr>
        <w:t>VARIVAX, kaip ir kitos vakcinos, visų žmonių nuo natūraliu keliu įgytų vėjaraupių visiškai neapsaugo.</w:t>
      </w:r>
    </w:p>
    <w:p w14:paraId="6B548C46" w14:textId="77777777" w:rsidR="00851D5E" w:rsidRPr="0042007A" w:rsidRDefault="00851D5E" w:rsidP="0042007A">
      <w:pPr>
        <w:rPr>
          <w:bCs/>
          <w:szCs w:val="22"/>
        </w:rPr>
      </w:pPr>
    </w:p>
    <w:p w14:paraId="259645DA" w14:textId="77777777" w:rsidR="00851D5E" w:rsidRPr="0042007A" w:rsidRDefault="00851D5E" w:rsidP="0042007A">
      <w:pPr>
        <w:rPr>
          <w:szCs w:val="22"/>
        </w:rPr>
      </w:pPr>
    </w:p>
    <w:p w14:paraId="11028FBE" w14:textId="77777777" w:rsidR="00851D5E" w:rsidRPr="0042007A" w:rsidRDefault="00851D5E" w:rsidP="0042007A">
      <w:pPr>
        <w:pStyle w:val="Antrat2"/>
        <w:rPr>
          <w:b w:val="0"/>
          <w:bCs/>
          <w:szCs w:val="22"/>
        </w:rPr>
      </w:pPr>
      <w:r w:rsidRPr="0042007A">
        <w:rPr>
          <w:szCs w:val="22"/>
        </w:rPr>
        <w:t>2.</w:t>
      </w:r>
      <w:r w:rsidRPr="0042007A">
        <w:rPr>
          <w:szCs w:val="22"/>
        </w:rPr>
        <w:tab/>
        <w:t>Kas žinotina prieš skiepijantis arba prieš skiepijant Jūsų vaiką VARIVAX</w:t>
      </w:r>
    </w:p>
    <w:p w14:paraId="2A5133CE" w14:textId="77777777" w:rsidR="00851D5E" w:rsidRPr="0042007A" w:rsidRDefault="00851D5E" w:rsidP="0042007A">
      <w:pPr>
        <w:pStyle w:val="Pagrindinistekstas"/>
        <w:keepNext/>
        <w:spacing w:after="0"/>
        <w:rPr>
          <w:szCs w:val="22"/>
        </w:rPr>
      </w:pPr>
    </w:p>
    <w:p w14:paraId="083D4021" w14:textId="12625CD4" w:rsidR="00851D5E" w:rsidRPr="0042007A" w:rsidRDefault="00851D5E" w:rsidP="0042007A">
      <w:pPr>
        <w:pStyle w:val="Antrat3"/>
        <w:rPr>
          <w:b w:val="0"/>
          <w:bCs/>
          <w:szCs w:val="22"/>
        </w:rPr>
      </w:pPr>
      <w:r w:rsidRPr="0042007A">
        <w:rPr>
          <w:szCs w:val="22"/>
        </w:rPr>
        <w:t xml:space="preserve">VARIVAX vartoti </w:t>
      </w:r>
      <w:r w:rsidR="00456C48" w:rsidRPr="0042007A">
        <w:rPr>
          <w:szCs w:val="22"/>
        </w:rPr>
        <w:t>draudžiama</w:t>
      </w:r>
      <w:r w:rsidR="001076FF" w:rsidRPr="0042007A">
        <w:rPr>
          <w:szCs w:val="22"/>
        </w:rPr>
        <w:t>:</w:t>
      </w:r>
    </w:p>
    <w:p w14:paraId="7EA7C00C"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t xml:space="preserve">jeigu Jums arba Jūsų vaikui yra alergija bet kuriai vakcinai nuo vėjaraupių, bet kuriai pagalbinei šios vakcinos medžiagai (jos išvardytos 6 skyriuje) arba </w:t>
      </w:r>
      <w:proofErr w:type="spellStart"/>
      <w:r w:rsidRPr="0042007A">
        <w:rPr>
          <w:szCs w:val="22"/>
        </w:rPr>
        <w:t>neomicinui</w:t>
      </w:r>
      <w:proofErr w:type="spellEnd"/>
      <w:r w:rsidRPr="0042007A">
        <w:rPr>
          <w:szCs w:val="22"/>
        </w:rPr>
        <w:t xml:space="preserve"> (kurio pėdsakų gali būti vakcinoje);</w:t>
      </w:r>
    </w:p>
    <w:p w14:paraId="047F8333"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t>jeigu Jums arba Jūsų vaikui yra kraujo sutrikimas arba bet koks piktybinis auglys, įskaitant leukemiją ir limfomą, kuris turi poveikį imuninei sistemai;</w:t>
      </w:r>
    </w:p>
    <w:p w14:paraId="2AD8F24D"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t>jeigu Jums arba Jūsų vaikui taikomas imuninę sistemą slopinantis gydymas, įskaitant dideles kortikosteroidų dozes;</w:t>
      </w:r>
    </w:p>
    <w:p w14:paraId="5FD44558"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rFonts w:eastAsia="Verdana"/>
          <w:iCs/>
          <w:szCs w:val="22"/>
          <w:lang w:eastAsia="en-GB"/>
        </w:rPr>
        <w:t>jei Jūs ar Jūsų vaikas sergate kokia nors imuninę sistemą silpninančia liga (pvz., esate užsikrėtę žmogaus imunodeficito virusu (ŽIV) arba sergate įgytu imunodeficito sindromu [AIDS]) arba vartojate kokius nors vaistus, kurie silpnina imuninę sistemą. Ar Jūs arba Jūsų vaikas būsite paskiepyti vakcina priklausys nuo jūsų imuninės apsaugos lygio</w:t>
      </w:r>
      <w:r w:rsidRPr="0042007A">
        <w:rPr>
          <w:szCs w:val="22"/>
        </w:rPr>
        <w:t>;</w:t>
      </w:r>
    </w:p>
    <w:p w14:paraId="6D7524D9"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lastRenderedPageBreak/>
        <w:t>jeigu Jūsų arba Jūsų vaiko kraujo giminaičiui yra įgimtas imuniteto nepakankamumas arba apie tai žinoma iš šeimos istorijos;</w:t>
      </w:r>
    </w:p>
    <w:p w14:paraId="4213778B"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t>jeigu Jūs arba Jūsų vaikas serga aktyvia nepagydyta tuberkulioze;</w:t>
      </w:r>
    </w:p>
    <w:p w14:paraId="7FDDD9BF"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szCs w:val="22"/>
        </w:rPr>
        <w:t>jeigu Jūs arba Jūsų vaikas karščiuoja &gt; 38,5 ºC; tačiau šiek tiek padidėjus temperatūrai skiepyti nedraudžiama;</w:t>
      </w:r>
    </w:p>
    <w:p w14:paraId="7CF774CF" w14:textId="77777777" w:rsidR="00851D5E" w:rsidRPr="0042007A" w:rsidRDefault="00851D5E" w:rsidP="0042007A">
      <w:pPr>
        <w:pStyle w:val="Pagrindinistekstas"/>
        <w:numPr>
          <w:ilvl w:val="0"/>
          <w:numId w:val="2"/>
        </w:numPr>
        <w:tabs>
          <w:tab w:val="clear" w:pos="360"/>
          <w:tab w:val="num" w:pos="567"/>
        </w:tabs>
        <w:spacing w:after="0"/>
        <w:ind w:left="567" w:hanging="567"/>
        <w:rPr>
          <w:szCs w:val="22"/>
        </w:rPr>
      </w:pPr>
      <w:r w:rsidRPr="0042007A">
        <w:rPr>
          <w:rFonts w:eastAsia="Verdana"/>
          <w:iCs/>
          <w:szCs w:val="22"/>
          <w:lang w:eastAsia="en-GB"/>
        </w:rPr>
        <w:t>jei esate nėščia. Be to, negalima pastoti 1 mėnesį po skiepijimo.</w:t>
      </w:r>
    </w:p>
    <w:p w14:paraId="3C49364A" w14:textId="77777777" w:rsidR="00851D5E" w:rsidRPr="0042007A" w:rsidRDefault="00851D5E" w:rsidP="0042007A">
      <w:pPr>
        <w:pStyle w:val="Pagrindiniotekstotrauka"/>
        <w:ind w:left="0"/>
        <w:jc w:val="left"/>
        <w:rPr>
          <w:rFonts w:ascii="Times New Roman" w:hAnsi="Times New Roman"/>
          <w:szCs w:val="22"/>
          <w:lang w:val="lt-LT"/>
        </w:rPr>
      </w:pPr>
    </w:p>
    <w:p w14:paraId="5FB48FEB" w14:textId="77777777" w:rsidR="00851D5E" w:rsidRPr="0042007A" w:rsidRDefault="00851D5E" w:rsidP="0042007A">
      <w:pPr>
        <w:pStyle w:val="Antrat3"/>
        <w:rPr>
          <w:b w:val="0"/>
          <w:bCs/>
          <w:szCs w:val="22"/>
        </w:rPr>
      </w:pPr>
      <w:r w:rsidRPr="0042007A">
        <w:rPr>
          <w:szCs w:val="22"/>
        </w:rPr>
        <w:t>Įspėjimai ir atsargumo priemonės</w:t>
      </w:r>
    </w:p>
    <w:p w14:paraId="4564CF61" w14:textId="77777777" w:rsidR="00851D5E" w:rsidRPr="0042007A" w:rsidRDefault="00851D5E" w:rsidP="0042007A">
      <w:pPr>
        <w:pStyle w:val="Pagrindiniotekstotrauka"/>
        <w:ind w:left="0"/>
        <w:jc w:val="left"/>
        <w:rPr>
          <w:rFonts w:ascii="Times New Roman" w:hAnsi="Times New Roman"/>
          <w:bCs/>
          <w:szCs w:val="22"/>
          <w:lang w:val="lt-LT"/>
        </w:rPr>
      </w:pPr>
      <w:r w:rsidRPr="0042007A">
        <w:rPr>
          <w:rFonts w:ascii="Times New Roman" w:hAnsi="Times New Roman"/>
          <w:bCs/>
          <w:szCs w:val="22"/>
          <w:lang w:val="lt-LT"/>
        </w:rPr>
        <w:t xml:space="preserve">Retais atvejais yra tikimybė nuo VARIVAX paskiepyto asmens užsikrėsti vėjaraupiais, įskaitant ir sunkią jų sukeliamą ligą. Tai gali atsitikti žmonėms, kurie anksčiau nebuvo skiepyti nuo vėjaraupių ar nesirgo šia liga, o taip pat asmenims, kurie </w:t>
      </w:r>
      <w:r w:rsidRPr="0042007A">
        <w:rPr>
          <w:rFonts w:ascii="Times New Roman" w:hAnsi="Times New Roman"/>
          <w:szCs w:val="22"/>
          <w:lang w:val="lt-LT"/>
        </w:rPr>
        <w:t>patenka į vieną iš šių kategorijų</w:t>
      </w:r>
      <w:r w:rsidRPr="0042007A">
        <w:rPr>
          <w:rFonts w:ascii="Times New Roman" w:hAnsi="Times New Roman"/>
          <w:bCs/>
          <w:szCs w:val="22"/>
          <w:lang w:val="lt-LT"/>
        </w:rPr>
        <w:t>:</w:t>
      </w:r>
    </w:p>
    <w:p w14:paraId="47749075" w14:textId="77777777" w:rsidR="00851D5E" w:rsidRPr="0042007A" w:rsidRDefault="00851D5E" w:rsidP="005C5688">
      <w:pPr>
        <w:numPr>
          <w:ilvl w:val="0"/>
          <w:numId w:val="2"/>
        </w:numPr>
        <w:tabs>
          <w:tab w:val="clear" w:pos="360"/>
          <w:tab w:val="num" w:pos="567"/>
        </w:tabs>
        <w:ind w:left="567" w:hanging="567"/>
        <w:rPr>
          <w:szCs w:val="22"/>
        </w:rPr>
      </w:pPr>
      <w:r w:rsidRPr="0042007A">
        <w:rPr>
          <w:szCs w:val="22"/>
        </w:rPr>
        <w:t>žmonėms, kurių imuninė sistema nusilpusi;</w:t>
      </w:r>
    </w:p>
    <w:p w14:paraId="5DD6B8A3" w14:textId="77777777" w:rsidR="00851D5E" w:rsidRPr="0042007A" w:rsidRDefault="00851D5E" w:rsidP="000B1D79">
      <w:pPr>
        <w:pStyle w:val="Pagrindinistekstas"/>
        <w:numPr>
          <w:ilvl w:val="0"/>
          <w:numId w:val="2"/>
        </w:numPr>
        <w:tabs>
          <w:tab w:val="clear" w:pos="360"/>
          <w:tab w:val="num" w:pos="567"/>
        </w:tabs>
        <w:spacing w:after="0"/>
        <w:ind w:left="567" w:hanging="567"/>
        <w:rPr>
          <w:szCs w:val="22"/>
        </w:rPr>
      </w:pPr>
      <w:r w:rsidRPr="0042007A">
        <w:rPr>
          <w:szCs w:val="22"/>
        </w:rPr>
        <w:t>nėščioms moterims, kurios nesirgo vėjaraupiais;</w:t>
      </w:r>
    </w:p>
    <w:p w14:paraId="117620C8" w14:textId="77777777" w:rsidR="00851D5E" w:rsidRPr="0042007A" w:rsidRDefault="00851D5E" w:rsidP="000B1D79">
      <w:pPr>
        <w:pStyle w:val="Pagrindinistekstas"/>
        <w:numPr>
          <w:ilvl w:val="0"/>
          <w:numId w:val="2"/>
        </w:numPr>
        <w:tabs>
          <w:tab w:val="clear" w:pos="360"/>
          <w:tab w:val="num" w:pos="567"/>
        </w:tabs>
        <w:spacing w:after="0"/>
        <w:ind w:left="567" w:hanging="567"/>
        <w:rPr>
          <w:szCs w:val="22"/>
        </w:rPr>
      </w:pPr>
      <w:r w:rsidRPr="0042007A">
        <w:rPr>
          <w:szCs w:val="22"/>
        </w:rPr>
        <w:t>naujagimiams, kurių motinos nesirgo vėjaraupiais.</w:t>
      </w:r>
    </w:p>
    <w:p w14:paraId="7BD44AC8" w14:textId="77777777" w:rsidR="00851D5E" w:rsidRPr="0042007A" w:rsidRDefault="00851D5E" w:rsidP="0042007A">
      <w:pPr>
        <w:pStyle w:val="Porat"/>
        <w:rPr>
          <w:szCs w:val="22"/>
        </w:rPr>
      </w:pPr>
    </w:p>
    <w:p w14:paraId="1A45C85B" w14:textId="77777777" w:rsidR="00851D5E" w:rsidRPr="0042007A" w:rsidRDefault="00851D5E" w:rsidP="0042007A">
      <w:pPr>
        <w:pStyle w:val="Porat"/>
        <w:rPr>
          <w:szCs w:val="22"/>
        </w:rPr>
      </w:pPr>
      <w:r w:rsidRPr="0042007A">
        <w:rPr>
          <w:szCs w:val="22"/>
        </w:rPr>
        <w:t>Jeigu tik įmanoma, VARIVAX paskiepyti asmenys iki 6 savaičių po skiepijimo turi stengtis vengti artimo kontakto su visais žmonėmis, kurie patenka į vieną iš anksčiau nurodytų kategorijų. Pasakykite gydytojui, jeigu kuris nors žmogus, kuris patenka į vieną iš anksčiau nurodytų kategorijų, gali artimai kontaktuoti su paskiepytu asmeniu.</w:t>
      </w:r>
    </w:p>
    <w:p w14:paraId="0223FB8B" w14:textId="77777777" w:rsidR="00851D5E" w:rsidRPr="0042007A" w:rsidRDefault="00851D5E" w:rsidP="0042007A">
      <w:pPr>
        <w:pStyle w:val="Porat"/>
        <w:tabs>
          <w:tab w:val="num" w:pos="567"/>
        </w:tabs>
        <w:rPr>
          <w:szCs w:val="22"/>
        </w:rPr>
      </w:pPr>
    </w:p>
    <w:p w14:paraId="3975A49D" w14:textId="77777777" w:rsidR="00851D5E" w:rsidRPr="0042007A" w:rsidRDefault="00851D5E" w:rsidP="0042007A">
      <w:pPr>
        <w:autoSpaceDE w:val="0"/>
        <w:autoSpaceDN w:val="0"/>
        <w:adjustRightInd w:val="0"/>
        <w:rPr>
          <w:rFonts w:eastAsia="Verdana"/>
          <w:szCs w:val="22"/>
          <w:lang w:eastAsia="en-GB"/>
        </w:rPr>
      </w:pPr>
      <w:r w:rsidRPr="0042007A">
        <w:rPr>
          <w:rFonts w:eastAsia="Verdana"/>
          <w:szCs w:val="22"/>
          <w:lang w:eastAsia="en-GB"/>
        </w:rPr>
        <w:t>Pasitarkite su savo gydytoju ar vaistininku prieš paskiepijant Jus ar Jūsų vaiką VARIVAX:</w:t>
      </w:r>
    </w:p>
    <w:p w14:paraId="7138FFD0" w14:textId="256819E8" w:rsidR="00851D5E" w:rsidRPr="0042007A" w:rsidRDefault="00851D5E" w:rsidP="000B1D79">
      <w:pPr>
        <w:pStyle w:val="Pagrindinistekstas"/>
        <w:numPr>
          <w:ilvl w:val="0"/>
          <w:numId w:val="2"/>
        </w:numPr>
        <w:tabs>
          <w:tab w:val="clear" w:pos="360"/>
          <w:tab w:val="num" w:pos="567"/>
        </w:tabs>
        <w:spacing w:after="0"/>
        <w:ind w:left="567" w:hanging="567"/>
        <w:rPr>
          <w:szCs w:val="22"/>
        </w:rPr>
      </w:pPr>
      <w:r w:rsidRPr="0042007A">
        <w:rPr>
          <w:rFonts w:eastAsia="Verdana"/>
          <w:szCs w:val="22"/>
          <w:lang w:eastAsia="en-GB"/>
        </w:rPr>
        <w:t>jeigu Jūsų ar Jūsų vaiko imuninė sistema nusilpusi (pavyzdžiui, dėl ŽIV infekcijos). Jūs ar Jūsų vaikas turi būti atidžiai stebimas, nes reakcija į vakciną gali būti nepakankama, kad būtų užtikrinta apsauga nuo ligų (žr.</w:t>
      </w:r>
      <w:r w:rsidR="00EC3B36">
        <w:rPr>
          <w:rFonts w:eastAsia="Verdana"/>
          <w:szCs w:val="22"/>
          <w:lang w:eastAsia="en-GB"/>
        </w:rPr>
        <w:t> </w:t>
      </w:r>
      <w:r w:rsidRPr="0042007A">
        <w:rPr>
          <w:rFonts w:eastAsia="Verdana"/>
          <w:szCs w:val="22"/>
          <w:lang w:eastAsia="en-GB"/>
        </w:rPr>
        <w:t>2</w:t>
      </w:r>
      <w:r w:rsidR="00EC3B36">
        <w:rPr>
          <w:rFonts w:eastAsia="Verdana"/>
          <w:szCs w:val="22"/>
          <w:lang w:eastAsia="en-GB"/>
        </w:rPr>
        <w:t> </w:t>
      </w:r>
      <w:r w:rsidRPr="0042007A">
        <w:rPr>
          <w:rFonts w:eastAsia="Verdana"/>
          <w:szCs w:val="22"/>
          <w:lang w:eastAsia="en-GB"/>
        </w:rPr>
        <w:t xml:space="preserve">skyrių „VARIVAX vartoti </w:t>
      </w:r>
      <w:r w:rsidR="00EC3B36">
        <w:rPr>
          <w:rFonts w:eastAsia="Verdana"/>
          <w:szCs w:val="22"/>
          <w:lang w:eastAsia="en-GB"/>
        </w:rPr>
        <w:t>draudžiama</w:t>
      </w:r>
      <w:r w:rsidRPr="0042007A">
        <w:rPr>
          <w:rFonts w:eastAsia="Verdana"/>
          <w:szCs w:val="22"/>
          <w:lang w:eastAsia="en-GB"/>
        </w:rPr>
        <w:t>“)</w:t>
      </w:r>
      <w:r w:rsidRPr="0042007A">
        <w:rPr>
          <w:szCs w:val="22"/>
        </w:rPr>
        <w:t>.</w:t>
      </w:r>
    </w:p>
    <w:p w14:paraId="32BACB2B" w14:textId="77777777" w:rsidR="00851D5E" w:rsidRPr="0042007A" w:rsidRDefault="00851D5E" w:rsidP="0042007A">
      <w:pPr>
        <w:pStyle w:val="Antrat3"/>
        <w:rPr>
          <w:b w:val="0"/>
          <w:bCs/>
          <w:szCs w:val="22"/>
        </w:rPr>
      </w:pPr>
    </w:p>
    <w:p w14:paraId="43110D28" w14:textId="77777777" w:rsidR="00851D5E" w:rsidRPr="0042007A" w:rsidRDefault="00851D5E" w:rsidP="0042007A">
      <w:pPr>
        <w:pStyle w:val="Antrat3"/>
        <w:rPr>
          <w:b w:val="0"/>
          <w:bCs/>
          <w:szCs w:val="22"/>
        </w:rPr>
      </w:pPr>
      <w:r w:rsidRPr="0042007A">
        <w:rPr>
          <w:szCs w:val="22"/>
        </w:rPr>
        <w:t>Kiti vaistai (arba kitos vakcinos) ir VARIVAX</w:t>
      </w:r>
    </w:p>
    <w:p w14:paraId="30DFC596" w14:textId="77777777" w:rsidR="00851D5E" w:rsidRPr="0042007A" w:rsidRDefault="00851D5E" w:rsidP="0042007A">
      <w:pPr>
        <w:rPr>
          <w:szCs w:val="22"/>
        </w:rPr>
      </w:pPr>
      <w:r w:rsidRPr="0042007A">
        <w:rPr>
          <w:szCs w:val="22"/>
        </w:rPr>
        <w:t>Jeigu Jūsų vaikas ar Jūs vartojate arba neseniai vartojote kitų vaistų (ar kitų vakcinų), pasakykite gydytojui arba vaistininkui.</w:t>
      </w:r>
    </w:p>
    <w:p w14:paraId="13ABE735" w14:textId="77777777" w:rsidR="00851D5E" w:rsidRPr="0042007A" w:rsidRDefault="00851D5E" w:rsidP="0042007A">
      <w:pPr>
        <w:rPr>
          <w:szCs w:val="22"/>
        </w:rPr>
      </w:pPr>
    </w:p>
    <w:p w14:paraId="44D1AAB4" w14:textId="77777777" w:rsidR="00851D5E" w:rsidRPr="0042007A" w:rsidRDefault="00851D5E" w:rsidP="0042007A">
      <w:pPr>
        <w:rPr>
          <w:szCs w:val="22"/>
        </w:rPr>
      </w:pPr>
      <w:r w:rsidRPr="0042007A">
        <w:rPr>
          <w:szCs w:val="22"/>
        </w:rPr>
        <w:t xml:space="preserve">Jeigu bet kuriomis kitomis vakcinomis turi būti skiepijama tuo pat metu kaip VARIVAX, Jūsų gydytojas arba sveikatos priežiūros specialistas patars, ar galima taip daryti. VARIVAX galima vartoti tuo pat metu su šiomis įprastomis vaikų vakcinomis: tymų, parotito ir raudonukės vakcina (MMR), vakcinomis nuo B tipo </w:t>
      </w:r>
      <w:proofErr w:type="spellStart"/>
      <w:r w:rsidRPr="0042007A">
        <w:rPr>
          <w:i/>
          <w:szCs w:val="22"/>
        </w:rPr>
        <w:t>Haemophilus</w:t>
      </w:r>
      <w:proofErr w:type="spellEnd"/>
      <w:r w:rsidRPr="0042007A">
        <w:rPr>
          <w:i/>
          <w:szCs w:val="22"/>
        </w:rPr>
        <w:t xml:space="preserve"> </w:t>
      </w:r>
      <w:proofErr w:type="spellStart"/>
      <w:r w:rsidRPr="0042007A">
        <w:rPr>
          <w:i/>
          <w:szCs w:val="22"/>
        </w:rPr>
        <w:t>influenzae</w:t>
      </w:r>
      <w:proofErr w:type="spellEnd"/>
      <w:r w:rsidRPr="0042007A">
        <w:rPr>
          <w:szCs w:val="22"/>
        </w:rPr>
        <w:t xml:space="preserve"> infekcijos, hepatito B, difterijos, stabligės, kokliušo (</w:t>
      </w:r>
      <w:proofErr w:type="spellStart"/>
      <w:r w:rsidRPr="0042007A">
        <w:rPr>
          <w:szCs w:val="22"/>
        </w:rPr>
        <w:t>kokliušinio</w:t>
      </w:r>
      <w:proofErr w:type="spellEnd"/>
      <w:r w:rsidRPr="0042007A">
        <w:rPr>
          <w:szCs w:val="22"/>
        </w:rPr>
        <w:t xml:space="preserve"> kosulio) ir geriamąja poliomielito vakcina.</w:t>
      </w:r>
    </w:p>
    <w:p w14:paraId="3A8E9C0C" w14:textId="77777777" w:rsidR="00851D5E" w:rsidRPr="0042007A" w:rsidRDefault="00851D5E" w:rsidP="0042007A">
      <w:pPr>
        <w:rPr>
          <w:szCs w:val="22"/>
        </w:rPr>
      </w:pPr>
    </w:p>
    <w:p w14:paraId="79CEF2B2" w14:textId="3BDBCA29" w:rsidR="00E878ED" w:rsidRPr="0042007A" w:rsidRDefault="00E878ED" w:rsidP="0042007A">
      <w:pPr>
        <w:rPr>
          <w:szCs w:val="22"/>
        </w:rPr>
      </w:pPr>
      <w:r w:rsidRPr="0042007A">
        <w:rPr>
          <w:szCs w:val="22"/>
        </w:rPr>
        <w:t xml:space="preserve">VARIVAX </w:t>
      </w:r>
      <w:r w:rsidR="00A63A1D" w:rsidRPr="0042007A">
        <w:rPr>
          <w:szCs w:val="22"/>
        </w:rPr>
        <w:t xml:space="preserve">galima skiepyti kartu su </w:t>
      </w:r>
      <w:r w:rsidRPr="0042007A">
        <w:rPr>
          <w:szCs w:val="22"/>
        </w:rPr>
        <w:t>pneumo</w:t>
      </w:r>
      <w:r w:rsidR="00A63A1D" w:rsidRPr="0042007A">
        <w:rPr>
          <w:szCs w:val="22"/>
        </w:rPr>
        <w:t xml:space="preserve">kokine </w:t>
      </w:r>
      <w:proofErr w:type="spellStart"/>
      <w:r w:rsidR="00A63A1D" w:rsidRPr="0042007A">
        <w:rPr>
          <w:szCs w:val="22"/>
        </w:rPr>
        <w:t>konjuguota</w:t>
      </w:r>
      <w:proofErr w:type="spellEnd"/>
      <w:r w:rsidR="00A63A1D" w:rsidRPr="0042007A">
        <w:rPr>
          <w:szCs w:val="22"/>
        </w:rPr>
        <w:t xml:space="preserve"> vakcina</w:t>
      </w:r>
      <w:r w:rsidR="002B5E03" w:rsidRPr="0042007A">
        <w:rPr>
          <w:szCs w:val="22"/>
        </w:rPr>
        <w:t xml:space="preserve"> </w:t>
      </w:r>
      <w:r w:rsidR="00AF485D" w:rsidRPr="0042007A">
        <w:rPr>
          <w:szCs w:val="22"/>
        </w:rPr>
        <w:t>į skirtingas kūno vietas</w:t>
      </w:r>
      <w:r w:rsidR="006019C1" w:rsidRPr="0042007A">
        <w:rPr>
          <w:szCs w:val="22"/>
        </w:rPr>
        <w:t xml:space="preserve"> to paties apsilankymo metu</w:t>
      </w:r>
      <w:r w:rsidRPr="0042007A">
        <w:rPr>
          <w:szCs w:val="22"/>
        </w:rPr>
        <w:t>.</w:t>
      </w:r>
    </w:p>
    <w:p w14:paraId="4C76ACF3" w14:textId="77777777" w:rsidR="00E878ED" w:rsidRPr="0042007A" w:rsidRDefault="00E878ED" w:rsidP="0042007A">
      <w:pPr>
        <w:rPr>
          <w:szCs w:val="22"/>
        </w:rPr>
      </w:pPr>
    </w:p>
    <w:p w14:paraId="0C055E57" w14:textId="77777777" w:rsidR="00851D5E" w:rsidRPr="0042007A" w:rsidRDefault="00851D5E" w:rsidP="0042007A">
      <w:pPr>
        <w:rPr>
          <w:szCs w:val="22"/>
        </w:rPr>
      </w:pPr>
      <w:r w:rsidRPr="0042007A">
        <w:rPr>
          <w:szCs w:val="22"/>
        </w:rPr>
        <w:t xml:space="preserve">Žmonėms, kuriems buvo perpilta kraujo ar kraujo plazmos arba kurie buvo </w:t>
      </w:r>
      <w:proofErr w:type="spellStart"/>
      <w:r w:rsidRPr="0042007A">
        <w:rPr>
          <w:szCs w:val="22"/>
        </w:rPr>
        <w:t>imunizuoti</w:t>
      </w:r>
      <w:proofErr w:type="spellEnd"/>
      <w:r w:rsidRPr="0042007A">
        <w:rPr>
          <w:szCs w:val="22"/>
        </w:rPr>
        <w:t xml:space="preserve"> žmogaus normaliuoju imunoglobulinu (natūralių, iš žmogaus duoto kraujo išskirtų, antikūnų steriliu tirpalu) arba </w:t>
      </w:r>
      <w:proofErr w:type="spellStart"/>
      <w:r w:rsidRPr="0042007A">
        <w:rPr>
          <w:i/>
          <w:szCs w:val="22"/>
        </w:rPr>
        <w:t>Varicella</w:t>
      </w:r>
      <w:proofErr w:type="spellEnd"/>
      <w:r w:rsidRPr="0042007A">
        <w:rPr>
          <w:i/>
          <w:szCs w:val="22"/>
        </w:rPr>
        <w:t xml:space="preserve"> </w:t>
      </w:r>
      <w:proofErr w:type="spellStart"/>
      <w:r w:rsidRPr="0042007A">
        <w:rPr>
          <w:i/>
          <w:szCs w:val="22"/>
        </w:rPr>
        <w:t>zoster</w:t>
      </w:r>
      <w:proofErr w:type="spellEnd"/>
      <w:r w:rsidRPr="0042007A">
        <w:rPr>
          <w:i/>
          <w:szCs w:val="22"/>
        </w:rPr>
        <w:t xml:space="preserve"> </w:t>
      </w:r>
      <w:r w:rsidRPr="0042007A">
        <w:rPr>
          <w:szCs w:val="22"/>
        </w:rPr>
        <w:t>imunoglobulinu (VZIG), vakcinaciją reikia atidėti mažiausiai penkis mėnesius.</w:t>
      </w:r>
    </w:p>
    <w:p w14:paraId="4500EB40" w14:textId="77777777" w:rsidR="00851D5E" w:rsidRPr="0042007A" w:rsidRDefault="00851D5E" w:rsidP="0042007A">
      <w:pPr>
        <w:rPr>
          <w:szCs w:val="22"/>
        </w:rPr>
      </w:pPr>
    </w:p>
    <w:p w14:paraId="4F4DC034" w14:textId="77777777" w:rsidR="00851D5E" w:rsidRPr="0042007A" w:rsidRDefault="00851D5E" w:rsidP="0042007A">
      <w:pPr>
        <w:rPr>
          <w:szCs w:val="22"/>
        </w:rPr>
      </w:pPr>
      <w:r w:rsidRPr="0042007A">
        <w:rPr>
          <w:szCs w:val="22"/>
        </w:rPr>
        <w:t>Jokių imunoglobulinų preparatų, įskaitant VZIG, Jums ir Jūsų vaikui negalima vartoti vieną mėnesį po VARIVAX injekcijos, nebent gydytojas nuspręstų, kad tai yra būtina.</w:t>
      </w:r>
    </w:p>
    <w:p w14:paraId="74D36F71" w14:textId="77777777" w:rsidR="00851D5E" w:rsidRPr="0042007A" w:rsidRDefault="00851D5E" w:rsidP="0042007A">
      <w:pPr>
        <w:rPr>
          <w:szCs w:val="22"/>
        </w:rPr>
      </w:pPr>
    </w:p>
    <w:p w14:paraId="6E67391C" w14:textId="77777777" w:rsidR="00851D5E" w:rsidRPr="0042007A" w:rsidRDefault="00851D5E" w:rsidP="0042007A">
      <w:pPr>
        <w:rPr>
          <w:szCs w:val="22"/>
        </w:rPr>
      </w:pPr>
      <w:r w:rsidRPr="0042007A">
        <w:rPr>
          <w:szCs w:val="22"/>
        </w:rPr>
        <w:t>Šešias savaites po vakcinacijos VARIVAX nerekomenduojama vartoti vaistų, kurių sudėtyje yra aspirino (</w:t>
      </w:r>
      <w:proofErr w:type="spellStart"/>
      <w:r w:rsidRPr="0042007A">
        <w:rPr>
          <w:szCs w:val="22"/>
        </w:rPr>
        <w:t>salicilatų</w:t>
      </w:r>
      <w:proofErr w:type="spellEnd"/>
      <w:r w:rsidRPr="0042007A">
        <w:rPr>
          <w:szCs w:val="22"/>
        </w:rPr>
        <w:t xml:space="preserve">), nes tai gali sukelti sunkią, </w:t>
      </w:r>
      <w:proofErr w:type="spellStart"/>
      <w:r w:rsidRPr="0042007A">
        <w:rPr>
          <w:i/>
          <w:iCs/>
          <w:szCs w:val="22"/>
        </w:rPr>
        <w:t>Reye</w:t>
      </w:r>
      <w:proofErr w:type="spellEnd"/>
      <w:r w:rsidRPr="0042007A">
        <w:rPr>
          <w:i/>
          <w:szCs w:val="22"/>
        </w:rPr>
        <w:t xml:space="preserve"> </w:t>
      </w:r>
      <w:r w:rsidRPr="0042007A">
        <w:rPr>
          <w:szCs w:val="22"/>
        </w:rPr>
        <w:t>sindromu vadinamą ligą, galinčią pažeisti visus kūno organus.</w:t>
      </w:r>
    </w:p>
    <w:p w14:paraId="0906D924" w14:textId="77777777" w:rsidR="00851D5E" w:rsidRPr="0042007A" w:rsidRDefault="00851D5E" w:rsidP="0042007A">
      <w:pPr>
        <w:pStyle w:val="Antrat3"/>
        <w:rPr>
          <w:b w:val="0"/>
          <w:bCs/>
          <w:szCs w:val="22"/>
        </w:rPr>
      </w:pPr>
    </w:p>
    <w:p w14:paraId="66C4F831" w14:textId="77777777" w:rsidR="00851D5E" w:rsidRPr="0042007A" w:rsidRDefault="00851D5E" w:rsidP="0042007A">
      <w:pPr>
        <w:pStyle w:val="Antrat3"/>
        <w:keepNext/>
        <w:widowControl w:val="0"/>
        <w:rPr>
          <w:b w:val="0"/>
          <w:bCs/>
          <w:szCs w:val="22"/>
        </w:rPr>
      </w:pPr>
      <w:r w:rsidRPr="0042007A">
        <w:rPr>
          <w:szCs w:val="22"/>
        </w:rPr>
        <w:t>Nėštumas ir žindymo laikotarpis</w:t>
      </w:r>
    </w:p>
    <w:p w14:paraId="17D5A3D8" w14:textId="70790E2C" w:rsidR="00851D5E" w:rsidRPr="0042007A" w:rsidRDefault="00851D5E" w:rsidP="0042007A">
      <w:pPr>
        <w:autoSpaceDE w:val="0"/>
        <w:autoSpaceDN w:val="0"/>
        <w:adjustRightInd w:val="0"/>
        <w:rPr>
          <w:szCs w:val="22"/>
        </w:rPr>
      </w:pPr>
      <w:r w:rsidRPr="0042007A">
        <w:rPr>
          <w:rFonts w:eastAsia="Verdana"/>
          <w:szCs w:val="22"/>
        </w:rPr>
        <w:t>VARIVAX skiepyti nėščias moteris negalima.</w:t>
      </w:r>
    </w:p>
    <w:p w14:paraId="79FB4C2A" w14:textId="77777777" w:rsidR="00851D5E" w:rsidRPr="0042007A" w:rsidRDefault="00851D5E" w:rsidP="0042007A">
      <w:pPr>
        <w:rPr>
          <w:rFonts w:eastAsia="Verdana"/>
          <w:szCs w:val="22"/>
        </w:rPr>
      </w:pPr>
    </w:p>
    <w:p w14:paraId="38A5D807" w14:textId="3C4A7CDB" w:rsidR="00851D5E" w:rsidRPr="0042007A" w:rsidRDefault="00851D5E" w:rsidP="0042007A">
      <w:pPr>
        <w:rPr>
          <w:szCs w:val="22"/>
        </w:rPr>
      </w:pPr>
      <w:r w:rsidRPr="0042007A">
        <w:rPr>
          <w:rFonts w:eastAsia="Verdana"/>
          <w:szCs w:val="22"/>
        </w:rPr>
        <w:t>Jeigu esate nėščia, žindote kūdikį, manote, kad galbūt esate nėščia arba planuojate pastoti, tai prieš vartodama šią vakciną pasitarkite su gydytoju arba vaistininku. Be to, svarbu, kad nepastotumėte vieną mėnesį po skiepijimo. Šiuo laikotarpiu</w:t>
      </w:r>
      <w:r w:rsidR="00593C91" w:rsidRPr="0042007A">
        <w:rPr>
          <w:rFonts w:eastAsia="Verdana"/>
          <w:szCs w:val="22"/>
        </w:rPr>
        <w:t>,</w:t>
      </w:r>
      <w:r w:rsidRPr="0042007A">
        <w:rPr>
          <w:rFonts w:eastAsia="Verdana"/>
          <w:szCs w:val="22"/>
        </w:rPr>
        <w:t xml:space="preserve"> Jūs turite naudoti veiksmingą kontracepcijos metodą, kad išvengtumėte nėštumo.</w:t>
      </w:r>
    </w:p>
    <w:p w14:paraId="4D5D4641" w14:textId="77777777" w:rsidR="00851D5E" w:rsidRPr="0042007A" w:rsidRDefault="00851D5E" w:rsidP="0042007A">
      <w:pPr>
        <w:rPr>
          <w:szCs w:val="22"/>
        </w:rPr>
      </w:pPr>
    </w:p>
    <w:p w14:paraId="0E5D10EB" w14:textId="77777777" w:rsidR="00851D5E" w:rsidRPr="0042007A" w:rsidRDefault="00851D5E" w:rsidP="0042007A">
      <w:pPr>
        <w:rPr>
          <w:szCs w:val="22"/>
        </w:rPr>
      </w:pPr>
      <w:r w:rsidRPr="0042007A">
        <w:rPr>
          <w:szCs w:val="22"/>
        </w:rPr>
        <w:lastRenderedPageBreak/>
        <w:t>Jeigu žindote arba ketinate tai daryti, pasakykite savo gydytojui. Jis nuspręs, ar galite skiepytis VARIVAX.</w:t>
      </w:r>
    </w:p>
    <w:p w14:paraId="235ED107" w14:textId="77777777" w:rsidR="00851D5E" w:rsidRPr="0042007A" w:rsidRDefault="00851D5E" w:rsidP="0042007A">
      <w:pPr>
        <w:ind w:left="567" w:hanging="567"/>
        <w:rPr>
          <w:bCs/>
          <w:szCs w:val="22"/>
        </w:rPr>
      </w:pPr>
    </w:p>
    <w:p w14:paraId="0785C23A" w14:textId="77777777" w:rsidR="00851D5E" w:rsidRPr="0042007A" w:rsidRDefault="00851D5E" w:rsidP="0042007A">
      <w:pPr>
        <w:keepNext/>
        <w:keepLines/>
        <w:ind w:left="567" w:hanging="567"/>
        <w:rPr>
          <w:bCs/>
          <w:szCs w:val="22"/>
        </w:rPr>
      </w:pPr>
      <w:r w:rsidRPr="0042007A">
        <w:rPr>
          <w:b/>
          <w:szCs w:val="22"/>
        </w:rPr>
        <w:t>Vairavimas ir mechanizmų valdymas</w:t>
      </w:r>
    </w:p>
    <w:p w14:paraId="061825DC" w14:textId="77777777" w:rsidR="00851D5E" w:rsidRPr="0042007A" w:rsidRDefault="00851D5E" w:rsidP="0042007A">
      <w:pPr>
        <w:widowControl w:val="0"/>
        <w:rPr>
          <w:szCs w:val="22"/>
        </w:rPr>
      </w:pPr>
      <w:r w:rsidRPr="0042007A">
        <w:rPr>
          <w:szCs w:val="22"/>
        </w:rPr>
        <w:t>Informacijos, kad VARIVAX galėtų paveikti gebėjimą vairuoti ir valdyti mechanizmus, nėra.</w:t>
      </w:r>
    </w:p>
    <w:p w14:paraId="67712E14" w14:textId="77777777" w:rsidR="00851D5E" w:rsidRPr="0042007A" w:rsidRDefault="00851D5E" w:rsidP="0042007A">
      <w:pPr>
        <w:pStyle w:val="Pagrindinistekstas"/>
        <w:spacing w:after="0"/>
        <w:rPr>
          <w:szCs w:val="22"/>
        </w:rPr>
      </w:pPr>
    </w:p>
    <w:p w14:paraId="7C01A834" w14:textId="77777777" w:rsidR="00851D5E" w:rsidRPr="0042007A" w:rsidRDefault="00851D5E" w:rsidP="0042007A">
      <w:pPr>
        <w:keepNext/>
        <w:rPr>
          <w:szCs w:val="22"/>
        </w:rPr>
      </w:pPr>
      <w:r w:rsidRPr="0042007A">
        <w:rPr>
          <w:b/>
          <w:bCs/>
          <w:szCs w:val="22"/>
        </w:rPr>
        <w:t>VARIVAX sudėtyje yra natrio</w:t>
      </w:r>
    </w:p>
    <w:p w14:paraId="73FE6984" w14:textId="2EA1C982" w:rsidR="00851D5E" w:rsidRPr="0042007A" w:rsidRDefault="00851D5E" w:rsidP="0042007A">
      <w:pPr>
        <w:rPr>
          <w:szCs w:val="22"/>
        </w:rPr>
      </w:pPr>
      <w:r w:rsidRPr="0042007A">
        <w:rPr>
          <w:szCs w:val="22"/>
        </w:rPr>
        <w:t>Šio vaisto dozėje yra mažiau kaip 1 </w:t>
      </w:r>
      <w:proofErr w:type="spellStart"/>
      <w:r w:rsidRPr="0042007A">
        <w:rPr>
          <w:szCs w:val="22"/>
        </w:rPr>
        <w:t>mmol</w:t>
      </w:r>
      <w:proofErr w:type="spellEnd"/>
      <w:r w:rsidRPr="0042007A">
        <w:rPr>
          <w:szCs w:val="22"/>
        </w:rPr>
        <w:t xml:space="preserve"> (23 mg) natrio, </w:t>
      </w:r>
      <w:proofErr w:type="spellStart"/>
      <w:r w:rsidRPr="0042007A">
        <w:rPr>
          <w:szCs w:val="22"/>
        </w:rPr>
        <w:t>t.y</w:t>
      </w:r>
      <w:proofErr w:type="spellEnd"/>
      <w:r w:rsidRPr="0042007A">
        <w:rPr>
          <w:szCs w:val="22"/>
        </w:rPr>
        <w:t>. jis beveik neturi reikšmės.</w:t>
      </w:r>
    </w:p>
    <w:p w14:paraId="0222F2EE" w14:textId="77777777" w:rsidR="00851D5E" w:rsidRPr="0042007A" w:rsidRDefault="00851D5E" w:rsidP="0042007A">
      <w:pPr>
        <w:rPr>
          <w:szCs w:val="22"/>
        </w:rPr>
      </w:pPr>
    </w:p>
    <w:p w14:paraId="11CE3F40" w14:textId="77777777" w:rsidR="00851D5E" w:rsidRPr="0042007A" w:rsidRDefault="00851D5E" w:rsidP="0042007A">
      <w:pPr>
        <w:keepNext/>
        <w:rPr>
          <w:szCs w:val="22"/>
        </w:rPr>
      </w:pPr>
      <w:r w:rsidRPr="0042007A">
        <w:rPr>
          <w:b/>
          <w:bCs/>
          <w:szCs w:val="22"/>
        </w:rPr>
        <w:t>VARIVAX sudėtyje yra kalio</w:t>
      </w:r>
    </w:p>
    <w:p w14:paraId="000F5400" w14:textId="0FBC54D3" w:rsidR="00851D5E" w:rsidRPr="0042007A" w:rsidRDefault="00851D5E" w:rsidP="0042007A">
      <w:pPr>
        <w:rPr>
          <w:szCs w:val="22"/>
        </w:rPr>
      </w:pPr>
      <w:r w:rsidRPr="0042007A">
        <w:rPr>
          <w:szCs w:val="22"/>
        </w:rPr>
        <w:t>Šio vaisto dozėje yra mažiau kaip 1 </w:t>
      </w:r>
      <w:proofErr w:type="spellStart"/>
      <w:r w:rsidRPr="0042007A">
        <w:rPr>
          <w:szCs w:val="22"/>
        </w:rPr>
        <w:t>mmol</w:t>
      </w:r>
      <w:proofErr w:type="spellEnd"/>
      <w:r w:rsidRPr="0042007A">
        <w:rPr>
          <w:szCs w:val="22"/>
        </w:rPr>
        <w:t xml:space="preserve"> (39 mg) kalio, </w:t>
      </w:r>
      <w:proofErr w:type="spellStart"/>
      <w:r w:rsidRPr="0042007A">
        <w:rPr>
          <w:szCs w:val="22"/>
        </w:rPr>
        <w:t>t.y</w:t>
      </w:r>
      <w:proofErr w:type="spellEnd"/>
      <w:r w:rsidRPr="0042007A">
        <w:rPr>
          <w:szCs w:val="22"/>
        </w:rPr>
        <w:t>. jis beveik neturi reikšmės.</w:t>
      </w:r>
    </w:p>
    <w:p w14:paraId="67164410" w14:textId="77777777" w:rsidR="00851D5E" w:rsidRPr="0042007A" w:rsidRDefault="00851D5E" w:rsidP="0042007A">
      <w:pPr>
        <w:pStyle w:val="Pagrindinistekstas"/>
        <w:spacing w:after="0"/>
        <w:rPr>
          <w:szCs w:val="22"/>
        </w:rPr>
      </w:pPr>
    </w:p>
    <w:p w14:paraId="5C3DFF44" w14:textId="77777777" w:rsidR="00851D5E" w:rsidRPr="0042007A" w:rsidRDefault="00851D5E" w:rsidP="0042007A">
      <w:pPr>
        <w:pStyle w:val="Pagrindinistekstas"/>
        <w:spacing w:after="0"/>
        <w:rPr>
          <w:szCs w:val="22"/>
        </w:rPr>
      </w:pPr>
    </w:p>
    <w:p w14:paraId="5176B8EE" w14:textId="79E76DD8" w:rsidR="00851D5E" w:rsidRPr="0042007A" w:rsidRDefault="00851D5E" w:rsidP="0042007A">
      <w:pPr>
        <w:pStyle w:val="Antrat2"/>
        <w:rPr>
          <w:b w:val="0"/>
          <w:bCs/>
          <w:szCs w:val="22"/>
        </w:rPr>
      </w:pPr>
      <w:r w:rsidRPr="0042007A">
        <w:rPr>
          <w:szCs w:val="22"/>
        </w:rPr>
        <w:t>3.</w:t>
      </w:r>
      <w:r w:rsidRPr="0042007A">
        <w:rPr>
          <w:szCs w:val="22"/>
        </w:rPr>
        <w:tab/>
        <w:t xml:space="preserve">Kaip </w:t>
      </w:r>
      <w:r w:rsidR="007A61B4" w:rsidRPr="0042007A">
        <w:rPr>
          <w:szCs w:val="22"/>
        </w:rPr>
        <w:t>skiriamas</w:t>
      </w:r>
      <w:r w:rsidRPr="0042007A">
        <w:rPr>
          <w:szCs w:val="22"/>
        </w:rPr>
        <w:t xml:space="preserve"> VARIVAX</w:t>
      </w:r>
    </w:p>
    <w:p w14:paraId="52A16B82" w14:textId="77777777" w:rsidR="00851D5E" w:rsidRPr="0042007A" w:rsidRDefault="00851D5E" w:rsidP="0042007A">
      <w:pPr>
        <w:pStyle w:val="Pagrindinistekstas"/>
        <w:keepNext/>
        <w:spacing w:after="0"/>
        <w:rPr>
          <w:szCs w:val="22"/>
        </w:rPr>
      </w:pPr>
    </w:p>
    <w:p w14:paraId="15A64D65" w14:textId="77777777" w:rsidR="00851D5E" w:rsidRPr="0042007A" w:rsidRDefault="00851D5E" w:rsidP="0042007A">
      <w:pPr>
        <w:pStyle w:val="Pagrindinistekstas"/>
        <w:spacing w:after="0"/>
        <w:rPr>
          <w:szCs w:val="22"/>
        </w:rPr>
      </w:pPr>
      <w:r w:rsidRPr="0042007A">
        <w:rPr>
          <w:szCs w:val="22"/>
        </w:rPr>
        <w:t>VARIVAX paskiria gydytojas arba sveikatos priežiūros specialistas.</w:t>
      </w:r>
    </w:p>
    <w:p w14:paraId="27F3D623" w14:textId="77777777" w:rsidR="00851D5E" w:rsidRPr="0042007A" w:rsidRDefault="00851D5E" w:rsidP="0042007A">
      <w:pPr>
        <w:jc w:val="both"/>
        <w:rPr>
          <w:bCs/>
          <w:szCs w:val="22"/>
        </w:rPr>
      </w:pPr>
    </w:p>
    <w:p w14:paraId="506ACA44" w14:textId="77777777" w:rsidR="00851D5E" w:rsidRPr="0042007A" w:rsidRDefault="00851D5E" w:rsidP="0042007A">
      <w:pPr>
        <w:pStyle w:val="Pagrindiniotekstotrauka2"/>
        <w:ind w:left="0"/>
        <w:rPr>
          <w:rFonts w:ascii="Times New Roman" w:hAnsi="Times New Roman"/>
          <w:szCs w:val="22"/>
          <w:lang w:val="lt-LT"/>
        </w:rPr>
      </w:pPr>
      <w:r w:rsidRPr="0042007A">
        <w:rPr>
          <w:rFonts w:ascii="Times New Roman" w:hAnsi="Times New Roman"/>
          <w:szCs w:val="22"/>
          <w:lang w:val="lt-LT"/>
        </w:rPr>
        <w:t>VARIVAX leidžiamas:</w:t>
      </w:r>
    </w:p>
    <w:p w14:paraId="2BDE6C78" w14:textId="77777777" w:rsidR="00851D5E" w:rsidRPr="0042007A" w:rsidRDefault="00851D5E" w:rsidP="005C5688">
      <w:pPr>
        <w:numPr>
          <w:ilvl w:val="0"/>
          <w:numId w:val="2"/>
        </w:numPr>
        <w:tabs>
          <w:tab w:val="clear" w:pos="360"/>
          <w:tab w:val="num" w:pos="567"/>
        </w:tabs>
        <w:ind w:left="567" w:hanging="567"/>
        <w:rPr>
          <w:szCs w:val="22"/>
        </w:rPr>
      </w:pPr>
      <w:r w:rsidRPr="0042007A">
        <w:rPr>
          <w:szCs w:val="22"/>
        </w:rPr>
        <w:t>9 mėnesių – 12 mėnesių kūdikiams:</w:t>
      </w:r>
    </w:p>
    <w:p w14:paraId="0EF4024D" w14:textId="77777777" w:rsidR="00851D5E" w:rsidRPr="0042007A" w:rsidRDefault="00851D5E" w:rsidP="0042007A">
      <w:pPr>
        <w:tabs>
          <w:tab w:val="num" w:pos="567"/>
        </w:tabs>
        <w:ind w:left="567"/>
        <w:rPr>
          <w:szCs w:val="22"/>
        </w:rPr>
      </w:pPr>
      <w:r w:rsidRPr="0042007A">
        <w:rPr>
          <w:szCs w:val="22"/>
        </w:rPr>
        <w:t>Ypatingais atvejais, pvz., jei to reikalauja nacionalinis skiepų kalendorius arba esant protrūkiui,</w:t>
      </w:r>
      <w:r w:rsidRPr="0042007A">
        <w:rPr>
          <w:szCs w:val="22"/>
          <w:u w:val="single"/>
        </w:rPr>
        <w:t xml:space="preserve"> </w:t>
      </w:r>
      <w:r w:rsidRPr="0042007A">
        <w:rPr>
          <w:szCs w:val="22"/>
        </w:rPr>
        <w:t>VARIVAX galima skirti kūdikiams nuo 9 iki 12 mėnesių amžiaus. Norint užtikrinti tinkamą apsaugą nuo vėjaraupių</w:t>
      </w:r>
      <w:r w:rsidRPr="0042007A">
        <w:rPr>
          <w:bCs/>
          <w:iCs/>
          <w:szCs w:val="22"/>
        </w:rPr>
        <w:t xml:space="preserve"> yra reikalinga antroji dozė, kuri turi būti suleista</w:t>
      </w:r>
      <w:r w:rsidRPr="0042007A">
        <w:rPr>
          <w:szCs w:val="22"/>
        </w:rPr>
        <w:t xml:space="preserve"> ne greičiau kaip po 3 mėnesių.</w:t>
      </w:r>
    </w:p>
    <w:p w14:paraId="4208FB1F" w14:textId="77777777" w:rsidR="00851D5E" w:rsidRPr="0042007A" w:rsidRDefault="00851D5E" w:rsidP="005C5688">
      <w:pPr>
        <w:numPr>
          <w:ilvl w:val="0"/>
          <w:numId w:val="2"/>
        </w:numPr>
        <w:tabs>
          <w:tab w:val="clear" w:pos="360"/>
          <w:tab w:val="num" w:pos="567"/>
        </w:tabs>
        <w:ind w:left="567" w:hanging="567"/>
        <w:rPr>
          <w:szCs w:val="22"/>
        </w:rPr>
      </w:pPr>
      <w:r w:rsidRPr="0042007A">
        <w:rPr>
          <w:szCs w:val="22"/>
        </w:rPr>
        <w:t>12 mėnesių – 12 metų vaikams:</w:t>
      </w:r>
    </w:p>
    <w:p w14:paraId="6D96A21C" w14:textId="77777777" w:rsidR="00851D5E" w:rsidRPr="0042007A" w:rsidRDefault="00851D5E" w:rsidP="0042007A">
      <w:pPr>
        <w:pStyle w:val="Pagrindiniotekstotrauka2"/>
        <w:tabs>
          <w:tab w:val="num" w:pos="567"/>
        </w:tabs>
        <w:ind w:left="567"/>
        <w:jc w:val="left"/>
        <w:rPr>
          <w:rFonts w:ascii="Times New Roman" w:hAnsi="Times New Roman"/>
          <w:szCs w:val="22"/>
          <w:lang w:val="lt-LT"/>
        </w:rPr>
      </w:pPr>
      <w:r w:rsidRPr="0042007A">
        <w:rPr>
          <w:rFonts w:ascii="Times New Roman" w:hAnsi="Times New Roman"/>
          <w:szCs w:val="22"/>
          <w:lang w:val="lt-LT"/>
        </w:rPr>
        <w:t>Norint užtikrinti tinkamą apsaugą nuo vėjaraupių, reikia suleisti dvi VARIVAX dozes, tarp jų padarant ne mažesnę kaip vieno mėnesio pertrauką.</w:t>
      </w:r>
    </w:p>
    <w:p w14:paraId="46D601CF" w14:textId="77777777" w:rsidR="00851D5E" w:rsidRPr="0042007A" w:rsidRDefault="00851D5E" w:rsidP="005C5688">
      <w:pPr>
        <w:numPr>
          <w:ilvl w:val="0"/>
          <w:numId w:val="2"/>
        </w:numPr>
        <w:tabs>
          <w:tab w:val="clear" w:pos="360"/>
          <w:tab w:val="num" w:pos="567"/>
        </w:tabs>
        <w:ind w:left="567" w:hanging="567"/>
        <w:rPr>
          <w:szCs w:val="22"/>
        </w:rPr>
      </w:pPr>
      <w:r w:rsidRPr="0042007A">
        <w:rPr>
          <w:szCs w:val="22"/>
        </w:rPr>
        <w:t xml:space="preserve">12 mėnesių – 12 metų vaikams, kuriems yra </w:t>
      </w:r>
      <w:proofErr w:type="spellStart"/>
      <w:r w:rsidRPr="0042007A">
        <w:rPr>
          <w:szCs w:val="22"/>
        </w:rPr>
        <w:t>besimptomė</w:t>
      </w:r>
      <w:proofErr w:type="spellEnd"/>
      <w:r w:rsidRPr="0042007A">
        <w:rPr>
          <w:szCs w:val="22"/>
        </w:rPr>
        <w:t xml:space="preserve"> ŽIV infekcija:</w:t>
      </w:r>
    </w:p>
    <w:p w14:paraId="1B1042EF" w14:textId="77777777" w:rsidR="00851D5E" w:rsidRPr="0042007A" w:rsidRDefault="00851D5E" w:rsidP="0042007A">
      <w:pPr>
        <w:pStyle w:val="Pagrindiniotekstotrauka2"/>
        <w:tabs>
          <w:tab w:val="num" w:pos="567"/>
        </w:tabs>
        <w:ind w:left="567"/>
        <w:jc w:val="left"/>
        <w:rPr>
          <w:rFonts w:ascii="Times New Roman" w:hAnsi="Times New Roman"/>
          <w:szCs w:val="22"/>
          <w:lang w:val="lt-LT"/>
        </w:rPr>
      </w:pPr>
      <w:r w:rsidRPr="0042007A">
        <w:rPr>
          <w:rFonts w:ascii="Times New Roman" w:hAnsi="Times New Roman"/>
          <w:szCs w:val="22"/>
          <w:lang w:val="lt-LT"/>
        </w:rPr>
        <w:t>Reikia suleisti dvi VARIVAX dozes, tarp jų padarant 12 savaičių pertrauką. Daugiau informacijos teiraukitės sveikatos priežiūros specialisto.</w:t>
      </w:r>
    </w:p>
    <w:p w14:paraId="59E49168" w14:textId="77777777" w:rsidR="00851D5E" w:rsidRPr="0042007A" w:rsidRDefault="00851D5E" w:rsidP="005C5688">
      <w:pPr>
        <w:numPr>
          <w:ilvl w:val="0"/>
          <w:numId w:val="2"/>
        </w:numPr>
        <w:tabs>
          <w:tab w:val="clear" w:pos="360"/>
          <w:tab w:val="num" w:pos="567"/>
        </w:tabs>
        <w:ind w:left="567" w:hanging="567"/>
        <w:rPr>
          <w:szCs w:val="22"/>
        </w:rPr>
      </w:pPr>
      <w:r w:rsidRPr="0042007A">
        <w:rPr>
          <w:szCs w:val="22"/>
        </w:rPr>
        <w:t>13 metų ir vyresniems paaugliams bei suaugusiesiems:</w:t>
      </w:r>
    </w:p>
    <w:p w14:paraId="30AB20AB" w14:textId="270BEA5D" w:rsidR="00851D5E" w:rsidRPr="0042007A" w:rsidRDefault="00851D5E" w:rsidP="0042007A">
      <w:pPr>
        <w:pStyle w:val="Pagrindiniotekstotrauka2"/>
        <w:tabs>
          <w:tab w:val="num" w:pos="567"/>
        </w:tabs>
        <w:ind w:left="567"/>
        <w:jc w:val="left"/>
        <w:rPr>
          <w:rFonts w:ascii="Times New Roman" w:hAnsi="Times New Roman"/>
          <w:szCs w:val="22"/>
          <w:lang w:val="lt-LT"/>
        </w:rPr>
      </w:pPr>
      <w:r w:rsidRPr="0042007A">
        <w:rPr>
          <w:rFonts w:ascii="Times New Roman" w:hAnsi="Times New Roman"/>
          <w:szCs w:val="22"/>
          <w:lang w:val="lt-LT"/>
        </w:rPr>
        <w:t>Leidžiamos dvi VARIVAX dozės. Antroji dozė suleidžiama po 4</w:t>
      </w:r>
      <w:r w:rsidR="00EC3B36">
        <w:rPr>
          <w:rFonts w:ascii="Times New Roman" w:hAnsi="Times New Roman"/>
          <w:szCs w:val="22"/>
          <w:lang w:val="lt-LT"/>
        </w:rPr>
        <w:t xml:space="preserve"> </w:t>
      </w:r>
      <w:r w:rsidRPr="0042007A">
        <w:rPr>
          <w:rFonts w:ascii="Times New Roman" w:hAnsi="Times New Roman"/>
          <w:szCs w:val="22"/>
          <w:lang w:val="lt-LT"/>
        </w:rPr>
        <w:noBreakHyphen/>
      </w:r>
      <w:r w:rsidR="00EC3B36">
        <w:rPr>
          <w:rFonts w:ascii="Times New Roman" w:hAnsi="Times New Roman"/>
          <w:szCs w:val="22"/>
          <w:lang w:val="lt-LT"/>
        </w:rPr>
        <w:t xml:space="preserve"> </w:t>
      </w:r>
      <w:r w:rsidRPr="0042007A">
        <w:rPr>
          <w:rFonts w:ascii="Times New Roman" w:hAnsi="Times New Roman"/>
          <w:szCs w:val="22"/>
          <w:lang w:val="lt-LT"/>
        </w:rPr>
        <w:t>8 savaičių po pirmosios dozės.</w:t>
      </w:r>
    </w:p>
    <w:p w14:paraId="30110A74" w14:textId="77777777" w:rsidR="00851D5E" w:rsidRPr="0042007A" w:rsidRDefault="00851D5E" w:rsidP="0042007A">
      <w:pPr>
        <w:pStyle w:val="Pagrindiniotekstotrauka2"/>
        <w:tabs>
          <w:tab w:val="num" w:pos="0"/>
        </w:tabs>
        <w:ind w:left="0"/>
        <w:jc w:val="left"/>
        <w:rPr>
          <w:rFonts w:ascii="Times New Roman" w:hAnsi="Times New Roman"/>
          <w:szCs w:val="22"/>
          <w:lang w:val="lt-LT"/>
        </w:rPr>
      </w:pPr>
    </w:p>
    <w:p w14:paraId="18CABED0" w14:textId="77777777" w:rsidR="00851D5E" w:rsidRPr="0042007A" w:rsidRDefault="00851D5E" w:rsidP="0042007A">
      <w:pPr>
        <w:pStyle w:val="Pagrindiniotekstotrauka2"/>
        <w:tabs>
          <w:tab w:val="num" w:pos="0"/>
        </w:tabs>
        <w:ind w:left="0"/>
        <w:jc w:val="left"/>
        <w:rPr>
          <w:rFonts w:ascii="Times New Roman" w:hAnsi="Times New Roman"/>
          <w:szCs w:val="22"/>
          <w:lang w:val="lt-LT"/>
        </w:rPr>
      </w:pPr>
      <w:r w:rsidRPr="0042007A">
        <w:rPr>
          <w:rFonts w:ascii="Times New Roman" w:hAnsi="Times New Roman"/>
          <w:szCs w:val="22"/>
          <w:lang w:val="lt-LT"/>
        </w:rPr>
        <w:t>Dozių skaičių ir jų suleidimo datas nustatys gydytojas, vadovaudamasis oficialiomis rekomendacijomis.</w:t>
      </w:r>
    </w:p>
    <w:p w14:paraId="3506EDA8" w14:textId="77777777" w:rsidR="00851D5E" w:rsidRPr="0042007A" w:rsidRDefault="00851D5E" w:rsidP="0042007A">
      <w:pPr>
        <w:pStyle w:val="Pagrindiniotekstotrauka2"/>
        <w:tabs>
          <w:tab w:val="num" w:pos="0"/>
        </w:tabs>
        <w:ind w:left="0"/>
        <w:jc w:val="left"/>
        <w:rPr>
          <w:rFonts w:ascii="Times New Roman" w:hAnsi="Times New Roman"/>
          <w:szCs w:val="22"/>
          <w:lang w:val="lt-LT"/>
        </w:rPr>
      </w:pPr>
    </w:p>
    <w:p w14:paraId="65D8136E" w14:textId="77777777" w:rsidR="00851D5E" w:rsidRPr="0042007A" w:rsidRDefault="00851D5E" w:rsidP="0042007A">
      <w:pPr>
        <w:pStyle w:val="Pagrindiniotekstotrauka2"/>
        <w:ind w:left="0"/>
        <w:rPr>
          <w:rFonts w:ascii="Times New Roman" w:hAnsi="Times New Roman"/>
          <w:szCs w:val="22"/>
          <w:lang w:val="lt-LT"/>
        </w:rPr>
      </w:pPr>
      <w:r w:rsidRPr="0042007A">
        <w:rPr>
          <w:rFonts w:ascii="Times New Roman" w:hAnsi="Times New Roman"/>
          <w:szCs w:val="22"/>
          <w:lang w:val="lt-LT"/>
        </w:rPr>
        <w:t>Jaunesniems kaip 9 mėnesių vaikams VARIVAX leisti negalima.</w:t>
      </w:r>
    </w:p>
    <w:p w14:paraId="2D6E5527" w14:textId="77777777" w:rsidR="00851D5E" w:rsidRPr="0042007A" w:rsidRDefault="00851D5E" w:rsidP="0042007A">
      <w:pPr>
        <w:pStyle w:val="Pagrindiniotekstotrauka2"/>
        <w:ind w:left="0"/>
        <w:jc w:val="left"/>
        <w:rPr>
          <w:rFonts w:ascii="Times New Roman" w:hAnsi="Times New Roman"/>
          <w:szCs w:val="22"/>
          <w:lang w:val="lt-LT"/>
        </w:rPr>
      </w:pPr>
    </w:p>
    <w:p w14:paraId="7CC58C1C" w14:textId="69669F7D" w:rsidR="00851D5E" w:rsidRPr="0042007A" w:rsidRDefault="00851D5E" w:rsidP="0042007A">
      <w:pPr>
        <w:rPr>
          <w:szCs w:val="22"/>
        </w:rPr>
      </w:pPr>
      <w:r w:rsidRPr="0042007A">
        <w:rPr>
          <w:szCs w:val="22"/>
        </w:rPr>
        <w:t>VARIVAX leidžiamas į raumenis arba po oda išorinėje šlaunies dalyje arba viršutinėje rankos dalyje. Paprastai mažiems vaikams geriau leisti į išorinės šlaunies dalies raumenis, vyresniems žmonėms – į viršutinės rankos dalies raumenis.</w:t>
      </w:r>
    </w:p>
    <w:p w14:paraId="419D114C" w14:textId="77777777" w:rsidR="00851D5E" w:rsidRPr="0042007A" w:rsidRDefault="00851D5E" w:rsidP="0042007A">
      <w:pPr>
        <w:pStyle w:val="Pagrindiniotekstotrauka2"/>
        <w:ind w:left="0"/>
        <w:jc w:val="left"/>
        <w:rPr>
          <w:rFonts w:ascii="Times New Roman" w:hAnsi="Times New Roman"/>
          <w:szCs w:val="22"/>
          <w:lang w:val="lt-LT"/>
        </w:rPr>
      </w:pPr>
    </w:p>
    <w:p w14:paraId="41AD65A7" w14:textId="77777777" w:rsidR="00851D5E" w:rsidRPr="0042007A" w:rsidRDefault="00851D5E" w:rsidP="0042007A">
      <w:pPr>
        <w:pStyle w:val="Pagrindiniotekstotrauka2"/>
        <w:ind w:left="0"/>
        <w:jc w:val="left"/>
        <w:rPr>
          <w:rFonts w:ascii="Times New Roman" w:hAnsi="Times New Roman"/>
          <w:szCs w:val="22"/>
          <w:lang w:val="lt-LT"/>
        </w:rPr>
      </w:pPr>
      <w:r w:rsidRPr="0042007A">
        <w:rPr>
          <w:rFonts w:ascii="Times New Roman" w:hAnsi="Times New Roman"/>
          <w:szCs w:val="22"/>
          <w:lang w:val="lt-LT"/>
        </w:rPr>
        <w:t>Jeigu Jūsų kraujo krešėjimas yra sutrikęs arba jeigu Jūsų kraujyje yra per mažai trombocitų, vakciną Jums suleis po oda.</w:t>
      </w:r>
    </w:p>
    <w:p w14:paraId="342197BA" w14:textId="77777777" w:rsidR="00851D5E" w:rsidRPr="0042007A" w:rsidRDefault="00851D5E" w:rsidP="0042007A">
      <w:pPr>
        <w:pStyle w:val="Pagrindiniotekstotrauka2"/>
        <w:ind w:left="0"/>
        <w:jc w:val="left"/>
        <w:rPr>
          <w:rFonts w:ascii="Times New Roman" w:hAnsi="Times New Roman"/>
          <w:szCs w:val="22"/>
          <w:lang w:val="lt-LT"/>
        </w:rPr>
      </w:pPr>
    </w:p>
    <w:p w14:paraId="07C68F2B" w14:textId="669B2851" w:rsidR="00851D5E" w:rsidRPr="0042007A" w:rsidRDefault="00851D5E" w:rsidP="0042007A">
      <w:pPr>
        <w:pStyle w:val="Pagrindiniotekstotrauka2"/>
        <w:ind w:left="0"/>
        <w:jc w:val="left"/>
        <w:rPr>
          <w:rFonts w:ascii="Times New Roman" w:hAnsi="Times New Roman"/>
          <w:szCs w:val="22"/>
          <w:lang w:val="lt-LT"/>
        </w:rPr>
      </w:pPr>
      <w:r w:rsidRPr="0042007A">
        <w:rPr>
          <w:rFonts w:ascii="Times New Roman" w:hAnsi="Times New Roman"/>
          <w:szCs w:val="22"/>
          <w:lang w:val="lt-LT"/>
        </w:rPr>
        <w:t>Gydytojas arba sveikatos priežiūros specialistas stengsis, kad VARIVAX nesuleistų į kraujagyslę.</w:t>
      </w:r>
    </w:p>
    <w:p w14:paraId="676F1ADE" w14:textId="77777777" w:rsidR="00851D5E" w:rsidRPr="0042007A" w:rsidRDefault="00851D5E" w:rsidP="0042007A">
      <w:pPr>
        <w:pStyle w:val="Pagrindiniotekstotrauka2"/>
        <w:ind w:left="0"/>
        <w:jc w:val="left"/>
        <w:rPr>
          <w:rFonts w:ascii="Times New Roman" w:hAnsi="Times New Roman"/>
          <w:szCs w:val="22"/>
          <w:lang w:val="lt-LT"/>
        </w:rPr>
      </w:pPr>
    </w:p>
    <w:p w14:paraId="2C66A3F8" w14:textId="77777777" w:rsidR="00851D5E" w:rsidRPr="0042007A" w:rsidRDefault="00851D5E" w:rsidP="0042007A">
      <w:pPr>
        <w:rPr>
          <w:szCs w:val="22"/>
        </w:rPr>
      </w:pPr>
      <w:r w:rsidRPr="0042007A">
        <w:rPr>
          <w:b/>
          <w:bCs/>
          <w:szCs w:val="22"/>
        </w:rPr>
        <w:t>Ką daryti pavartojus per didelę VARIVAX dozę?</w:t>
      </w:r>
    </w:p>
    <w:p w14:paraId="28CED398" w14:textId="77777777" w:rsidR="00851D5E" w:rsidRPr="0042007A" w:rsidRDefault="00851D5E" w:rsidP="0042007A">
      <w:pPr>
        <w:rPr>
          <w:szCs w:val="22"/>
        </w:rPr>
      </w:pPr>
      <w:r w:rsidRPr="0042007A">
        <w:rPr>
          <w:szCs w:val="22"/>
        </w:rPr>
        <w:t>Nėra tikėtina, kad būtų galima perdozuoti, nes vakcina tiekiama vienkartinės dozės flakonuose, ją suleidžia gydytojas arba sveikatos priežiūros specialistas.</w:t>
      </w:r>
    </w:p>
    <w:p w14:paraId="21982AD7" w14:textId="77777777" w:rsidR="00851D5E" w:rsidRPr="0042007A" w:rsidRDefault="00851D5E" w:rsidP="0042007A">
      <w:pPr>
        <w:pStyle w:val="Pagrindiniotekstotrauka2"/>
        <w:ind w:left="0"/>
        <w:jc w:val="left"/>
        <w:rPr>
          <w:rFonts w:ascii="Times New Roman" w:hAnsi="Times New Roman"/>
          <w:szCs w:val="22"/>
          <w:lang w:val="lt-LT"/>
        </w:rPr>
      </w:pPr>
    </w:p>
    <w:p w14:paraId="65B02B8E" w14:textId="77777777" w:rsidR="00851D5E" w:rsidRPr="0042007A" w:rsidRDefault="00851D5E" w:rsidP="0042007A">
      <w:pPr>
        <w:ind w:left="567" w:hanging="567"/>
        <w:outlineLvl w:val="0"/>
        <w:rPr>
          <w:bCs/>
          <w:szCs w:val="22"/>
        </w:rPr>
      </w:pPr>
      <w:r w:rsidRPr="0042007A">
        <w:rPr>
          <w:b/>
          <w:szCs w:val="22"/>
        </w:rPr>
        <w:t>Jeigu manote, kad pamiršote pavartoti VARIVAX</w:t>
      </w:r>
    </w:p>
    <w:p w14:paraId="088D2CD1" w14:textId="77777777" w:rsidR="00851D5E" w:rsidRPr="0042007A" w:rsidRDefault="00851D5E" w:rsidP="0042007A">
      <w:pPr>
        <w:ind w:left="567" w:hanging="567"/>
        <w:outlineLvl w:val="0"/>
        <w:rPr>
          <w:szCs w:val="22"/>
        </w:rPr>
      </w:pPr>
      <w:r w:rsidRPr="0042007A">
        <w:rPr>
          <w:szCs w:val="22"/>
        </w:rPr>
        <w:t>Kreipkitės į gydytoją ir jis nuspręs, ar reikia skiepyti ir kada tai atlikti.</w:t>
      </w:r>
    </w:p>
    <w:p w14:paraId="2AFD120A" w14:textId="77777777" w:rsidR="00851D5E" w:rsidRPr="0042007A" w:rsidRDefault="00851D5E" w:rsidP="0042007A">
      <w:pPr>
        <w:rPr>
          <w:szCs w:val="22"/>
        </w:rPr>
      </w:pPr>
    </w:p>
    <w:p w14:paraId="49A9C161" w14:textId="0DFFE0AA" w:rsidR="005C5688" w:rsidRDefault="005C5688">
      <w:pPr>
        <w:spacing w:after="160" w:line="259" w:lineRule="auto"/>
        <w:rPr>
          <w:szCs w:val="22"/>
        </w:rPr>
      </w:pPr>
      <w:r>
        <w:rPr>
          <w:szCs w:val="22"/>
        </w:rPr>
        <w:br w:type="page"/>
      </w:r>
    </w:p>
    <w:p w14:paraId="106C857A" w14:textId="77777777" w:rsidR="00851D5E" w:rsidRPr="00EC3B36" w:rsidRDefault="00851D5E" w:rsidP="0042007A">
      <w:pPr>
        <w:pStyle w:val="Antrat2"/>
        <w:rPr>
          <w:b w:val="0"/>
          <w:bCs/>
          <w:szCs w:val="22"/>
        </w:rPr>
      </w:pPr>
      <w:r w:rsidRPr="0042007A">
        <w:rPr>
          <w:szCs w:val="22"/>
        </w:rPr>
        <w:lastRenderedPageBreak/>
        <w:t>4.</w:t>
      </w:r>
      <w:r w:rsidRPr="0042007A">
        <w:rPr>
          <w:szCs w:val="22"/>
        </w:rPr>
        <w:tab/>
        <w:t>Galimas šalutinis poveikis</w:t>
      </w:r>
    </w:p>
    <w:p w14:paraId="2E4947A1" w14:textId="77777777" w:rsidR="00851D5E" w:rsidRPr="0042007A" w:rsidRDefault="00851D5E" w:rsidP="0042007A">
      <w:pPr>
        <w:rPr>
          <w:szCs w:val="22"/>
        </w:rPr>
      </w:pPr>
    </w:p>
    <w:p w14:paraId="4C4DA8B4" w14:textId="77777777" w:rsidR="00851D5E" w:rsidRPr="0042007A" w:rsidRDefault="00851D5E" w:rsidP="0042007A">
      <w:pPr>
        <w:rPr>
          <w:szCs w:val="22"/>
        </w:rPr>
      </w:pPr>
      <w:r w:rsidRPr="0042007A">
        <w:rPr>
          <w:szCs w:val="22"/>
        </w:rPr>
        <w:t>Ši vakcina, kaip ir visos kitos bei visi vaistai, gali sukelti šalutinį poveikį, nors jis pasireiškia ne visiems žmonėms.</w:t>
      </w:r>
    </w:p>
    <w:p w14:paraId="5A4DEA97" w14:textId="77777777" w:rsidR="00851D5E" w:rsidRPr="0042007A" w:rsidRDefault="00851D5E" w:rsidP="0042007A">
      <w:pPr>
        <w:rPr>
          <w:szCs w:val="22"/>
        </w:rPr>
      </w:pPr>
    </w:p>
    <w:p w14:paraId="7A2D7D97" w14:textId="77777777" w:rsidR="00851D5E" w:rsidRPr="0042007A" w:rsidRDefault="00851D5E" w:rsidP="0042007A">
      <w:pPr>
        <w:rPr>
          <w:szCs w:val="22"/>
        </w:rPr>
      </w:pPr>
      <w:r w:rsidRPr="0042007A">
        <w:rPr>
          <w:szCs w:val="22"/>
        </w:rPr>
        <w:t>Labai retai (pastebėta rečiau kaip 1 iš 10 000 asmenų) gali pasireikšti sunkios alerginės reakcijos, kurių simptomai gali būti veido patinimas, sumažėjęs kraujospūdis ir dusulys su arba be išbėrimo. Šios reakcijos dažnai pasireiškia tuoj pat po injekcijos. Jeigu po paskiepijimo pastebėjote bet kurį iš išvardintų simptomų arba kokį nors kitą sunkų simptomą, būtinai nedelsdami kreipkitės į gydytoją.</w:t>
      </w:r>
    </w:p>
    <w:p w14:paraId="3E3808C9" w14:textId="77777777" w:rsidR="00851D5E" w:rsidRPr="0042007A" w:rsidRDefault="00851D5E" w:rsidP="0042007A">
      <w:pPr>
        <w:rPr>
          <w:szCs w:val="22"/>
        </w:rPr>
      </w:pPr>
    </w:p>
    <w:p w14:paraId="06B5D579" w14:textId="77777777" w:rsidR="00851D5E" w:rsidRPr="0042007A" w:rsidRDefault="00851D5E" w:rsidP="0042007A">
      <w:pPr>
        <w:rPr>
          <w:szCs w:val="22"/>
        </w:rPr>
      </w:pPr>
      <w:r w:rsidRPr="0042007A">
        <w:rPr>
          <w:szCs w:val="22"/>
        </w:rPr>
        <w:t>Pasakykite savo gydytojui, jeigu pastebėjote toliau išvardintą labai retai arba retai pasireiškiantį nepageidaujamą poveikį:</w:t>
      </w:r>
    </w:p>
    <w:p w14:paraId="08CB3D41"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kraujosruvų susidarymas arba kraujavimas nuo silpnesnio poveikio nei įprastai; raudonos arba violetinės spalvos, plokščios, smeigtuko galvutės dydžio dėmelės po oda, smarkus blyškumas;</w:t>
      </w:r>
    </w:p>
    <w:p w14:paraId="77F9A639"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 xml:space="preserve">sunkus odos išbėrimas (opos ir pūslės, kurios gali atsirasti akyse, burnoje ir (arba) lyties organuose; raudonos, dažnai niežtinčios dėmės, kurios pradžioje atsiranda galūnėse, o kartais veide ir kitose kūno vietose); </w:t>
      </w:r>
      <w:proofErr w:type="spellStart"/>
      <w:r w:rsidRPr="0042007A">
        <w:rPr>
          <w:i/>
          <w:szCs w:val="22"/>
        </w:rPr>
        <w:t>Stevens-Johnson</w:t>
      </w:r>
      <w:proofErr w:type="spellEnd"/>
      <w:r w:rsidRPr="0042007A">
        <w:rPr>
          <w:szCs w:val="22"/>
        </w:rPr>
        <w:t xml:space="preserve"> sindromas, daugiaformė </w:t>
      </w:r>
      <w:proofErr w:type="spellStart"/>
      <w:r w:rsidRPr="0042007A">
        <w:rPr>
          <w:szCs w:val="22"/>
        </w:rPr>
        <w:t>eritema</w:t>
      </w:r>
      <w:proofErr w:type="spellEnd"/>
      <w:r w:rsidRPr="0042007A">
        <w:rPr>
          <w:szCs w:val="22"/>
        </w:rPr>
        <w:t>;</w:t>
      </w:r>
    </w:p>
    <w:p w14:paraId="3F6AE114"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raumenų silpnumas, nenormalūs jutimai, rankų, pėdų ir viršutinės kūno dalies dilgčiojimas (</w:t>
      </w:r>
      <w:proofErr w:type="spellStart"/>
      <w:r w:rsidRPr="0042007A">
        <w:rPr>
          <w:i/>
          <w:szCs w:val="22"/>
        </w:rPr>
        <w:t>Guillain-Barré</w:t>
      </w:r>
      <w:proofErr w:type="spellEnd"/>
      <w:r w:rsidRPr="0042007A">
        <w:rPr>
          <w:szCs w:val="22"/>
        </w:rPr>
        <w:t xml:space="preserve"> sindromas);</w:t>
      </w:r>
    </w:p>
    <w:p w14:paraId="02498639"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karščiavimas, pykinimas, vėmimas, galvos skausmas, kaklo sustingimas ir padidėjęs jautrumas šviesai (meningitas);</w:t>
      </w:r>
    </w:p>
    <w:p w14:paraId="59AEF6E5"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insultas;</w:t>
      </w:r>
    </w:p>
    <w:p w14:paraId="2842A642"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traukuliai kartu su arba be karščiavimo.</w:t>
      </w:r>
    </w:p>
    <w:p w14:paraId="1FF0EE25" w14:textId="77777777" w:rsidR="00851D5E" w:rsidRPr="0042007A" w:rsidRDefault="00851D5E" w:rsidP="0042007A">
      <w:pPr>
        <w:rPr>
          <w:szCs w:val="22"/>
        </w:rPr>
      </w:pPr>
    </w:p>
    <w:p w14:paraId="78ECD5CF" w14:textId="77777777" w:rsidR="00851D5E" w:rsidRPr="0042007A" w:rsidRDefault="00851D5E" w:rsidP="0042007A">
      <w:pPr>
        <w:rPr>
          <w:szCs w:val="22"/>
        </w:rPr>
      </w:pPr>
      <w:r w:rsidRPr="0042007A">
        <w:rPr>
          <w:szCs w:val="22"/>
        </w:rPr>
        <w:t>Toliau išvardyti pastebėti šalutiniai poveikiai:</w:t>
      </w:r>
    </w:p>
    <w:p w14:paraId="30D35445" w14:textId="77777777" w:rsidR="00851D5E" w:rsidRPr="0042007A" w:rsidRDefault="00851D5E" w:rsidP="0042007A">
      <w:pPr>
        <w:rPr>
          <w:szCs w:val="22"/>
        </w:rPr>
      </w:pPr>
    </w:p>
    <w:p w14:paraId="2993C242" w14:textId="747EC0F5" w:rsidR="007E3147" w:rsidRPr="007E3147" w:rsidRDefault="007E3147" w:rsidP="007E3147">
      <w:pPr>
        <w:rPr>
          <w:szCs w:val="22"/>
        </w:rPr>
      </w:pPr>
      <w:r w:rsidRPr="007E3147">
        <w:rPr>
          <w:b/>
          <w:bCs/>
          <w:szCs w:val="22"/>
        </w:rPr>
        <w:t>Labai dažni šalutinio poveikio reiškiniai (gali pasireikšti ne rečiau kaip 1 iš 10</w:t>
      </w:r>
      <w:r w:rsidR="0003013C">
        <w:rPr>
          <w:b/>
          <w:bCs/>
          <w:szCs w:val="22"/>
        </w:rPr>
        <w:t> </w:t>
      </w:r>
      <w:r w:rsidRPr="007E3147">
        <w:rPr>
          <w:b/>
          <w:bCs/>
          <w:szCs w:val="22"/>
        </w:rPr>
        <w:t>asmenų):</w:t>
      </w:r>
    </w:p>
    <w:p w14:paraId="69B5C513" w14:textId="5E8EDBD1" w:rsidR="00851D5E" w:rsidRPr="0042007A" w:rsidRDefault="00851D5E" w:rsidP="00251C8E">
      <w:pPr>
        <w:numPr>
          <w:ilvl w:val="0"/>
          <w:numId w:val="2"/>
        </w:numPr>
        <w:tabs>
          <w:tab w:val="clear" w:pos="360"/>
          <w:tab w:val="num" w:pos="567"/>
        </w:tabs>
        <w:ind w:left="567" w:hanging="567"/>
        <w:rPr>
          <w:szCs w:val="22"/>
        </w:rPr>
      </w:pPr>
      <w:r w:rsidRPr="0042007A">
        <w:rPr>
          <w:szCs w:val="22"/>
        </w:rPr>
        <w:t>karščiavimas;</w:t>
      </w:r>
    </w:p>
    <w:p w14:paraId="7D564C6E"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odos paraudimas, skausmas ar jautrumas lietimui arba gėla, pabrinkimas injekcijos vietoje.</w:t>
      </w:r>
    </w:p>
    <w:p w14:paraId="72BF12B1" w14:textId="77777777" w:rsidR="00851D5E" w:rsidRPr="0042007A" w:rsidRDefault="00851D5E" w:rsidP="0042007A">
      <w:pPr>
        <w:rPr>
          <w:szCs w:val="22"/>
        </w:rPr>
      </w:pPr>
    </w:p>
    <w:p w14:paraId="273CFE86" w14:textId="0995BB18" w:rsidR="00851D5E" w:rsidRPr="00EC3B36" w:rsidRDefault="0003013C" w:rsidP="0042007A">
      <w:pPr>
        <w:rPr>
          <w:szCs w:val="22"/>
        </w:rPr>
      </w:pPr>
      <w:r w:rsidRPr="0003013C">
        <w:rPr>
          <w:b/>
          <w:bCs/>
          <w:szCs w:val="22"/>
        </w:rPr>
        <w:t>Dažni šalutinio poveikio reiškiniai (gali pasireikšti rečiau kaip 1 iš 10</w:t>
      </w:r>
      <w:r>
        <w:rPr>
          <w:b/>
          <w:bCs/>
          <w:szCs w:val="22"/>
        </w:rPr>
        <w:t> </w:t>
      </w:r>
      <w:r w:rsidRPr="0003013C">
        <w:rPr>
          <w:b/>
          <w:bCs/>
          <w:szCs w:val="22"/>
        </w:rPr>
        <w:t>asmenų):</w:t>
      </w:r>
    </w:p>
    <w:p w14:paraId="69FD15A5"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viršutinių kvėpavimo takų (nosies, gerklės) infekcija;</w:t>
      </w:r>
    </w:p>
    <w:p w14:paraId="2D345946"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sudirginimas;</w:t>
      </w:r>
    </w:p>
    <w:p w14:paraId="4C518F59" w14:textId="3A6D6BB2" w:rsidR="00851D5E" w:rsidRPr="0042007A" w:rsidRDefault="00851D5E" w:rsidP="00251C8E">
      <w:pPr>
        <w:numPr>
          <w:ilvl w:val="0"/>
          <w:numId w:val="2"/>
        </w:numPr>
        <w:tabs>
          <w:tab w:val="clear" w:pos="360"/>
          <w:tab w:val="num" w:pos="567"/>
        </w:tabs>
        <w:ind w:left="567" w:hanging="567"/>
        <w:rPr>
          <w:szCs w:val="22"/>
        </w:rPr>
      </w:pPr>
      <w:r w:rsidRPr="0042007A">
        <w:rPr>
          <w:szCs w:val="22"/>
        </w:rPr>
        <w:t xml:space="preserve">išbėrimas, </w:t>
      </w:r>
      <w:r w:rsidR="00C83973" w:rsidRPr="0042007A">
        <w:rPr>
          <w:szCs w:val="22"/>
        </w:rPr>
        <w:t xml:space="preserve">išbėrimas, </w:t>
      </w:r>
      <w:r w:rsidR="009867D7" w:rsidRPr="0042007A">
        <w:rPr>
          <w:szCs w:val="22"/>
        </w:rPr>
        <w:t>pasireiškiantis</w:t>
      </w:r>
      <w:r w:rsidR="007056EA" w:rsidRPr="0042007A">
        <w:rPr>
          <w:szCs w:val="22"/>
        </w:rPr>
        <w:t xml:space="preserve"> plokščia </w:t>
      </w:r>
      <w:r w:rsidR="00FC525C" w:rsidRPr="0042007A">
        <w:rPr>
          <w:szCs w:val="22"/>
        </w:rPr>
        <w:t>raudona od</w:t>
      </w:r>
      <w:r w:rsidR="009867D7" w:rsidRPr="0042007A">
        <w:rPr>
          <w:szCs w:val="22"/>
        </w:rPr>
        <w:t>a</w:t>
      </w:r>
      <w:r w:rsidR="00FC525C" w:rsidRPr="0042007A">
        <w:rPr>
          <w:szCs w:val="22"/>
        </w:rPr>
        <w:t xml:space="preserve"> </w:t>
      </w:r>
      <w:r w:rsidR="009867D7" w:rsidRPr="0042007A">
        <w:rPr>
          <w:szCs w:val="22"/>
        </w:rPr>
        <w:t>su</w:t>
      </w:r>
      <w:r w:rsidR="00FC525C" w:rsidRPr="0042007A">
        <w:rPr>
          <w:szCs w:val="22"/>
        </w:rPr>
        <w:t xml:space="preserve"> mažais susiliejančiais </w:t>
      </w:r>
      <w:r w:rsidR="00C83973" w:rsidRPr="0042007A">
        <w:rPr>
          <w:szCs w:val="22"/>
        </w:rPr>
        <w:t>iškilimais</w:t>
      </w:r>
      <w:r w:rsidR="00FC525C" w:rsidRPr="0042007A">
        <w:rPr>
          <w:szCs w:val="22"/>
        </w:rPr>
        <w:t xml:space="preserve">, </w:t>
      </w:r>
      <w:r w:rsidR="007B35AF" w:rsidRPr="0042007A">
        <w:rPr>
          <w:szCs w:val="22"/>
        </w:rPr>
        <w:t xml:space="preserve">į vėjaraupius panašus </w:t>
      </w:r>
      <w:r w:rsidRPr="0042007A">
        <w:rPr>
          <w:szCs w:val="22"/>
        </w:rPr>
        <w:t>išbėrimas;</w:t>
      </w:r>
    </w:p>
    <w:p w14:paraId="6FF516A8"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niežėjimas ar išbėrimas injekcijos vietoje.</w:t>
      </w:r>
    </w:p>
    <w:p w14:paraId="28731641" w14:textId="77777777" w:rsidR="00851D5E" w:rsidRPr="0042007A" w:rsidRDefault="00851D5E" w:rsidP="0042007A">
      <w:pPr>
        <w:rPr>
          <w:szCs w:val="22"/>
        </w:rPr>
      </w:pPr>
    </w:p>
    <w:p w14:paraId="622992C1" w14:textId="11117AA8" w:rsidR="00851D5E" w:rsidRPr="001B3069" w:rsidRDefault="001B3069" w:rsidP="0042007A">
      <w:pPr>
        <w:rPr>
          <w:szCs w:val="22"/>
        </w:rPr>
      </w:pPr>
      <w:r w:rsidRPr="001B3069">
        <w:rPr>
          <w:b/>
          <w:bCs/>
          <w:szCs w:val="22"/>
        </w:rPr>
        <w:t>Nedažni šalutinio poveikio reiškiniai (gali pasireikšti rečiau kaip 1 iš 100</w:t>
      </w:r>
      <w:r w:rsidR="00EC3B36">
        <w:rPr>
          <w:b/>
          <w:bCs/>
          <w:szCs w:val="22"/>
        </w:rPr>
        <w:t> </w:t>
      </w:r>
      <w:r w:rsidRPr="001B3069">
        <w:rPr>
          <w:b/>
          <w:bCs/>
          <w:szCs w:val="22"/>
        </w:rPr>
        <w:t>asmenų):</w:t>
      </w:r>
    </w:p>
    <w:p w14:paraId="6FEFD977"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galvos skausmas, mieguistumas;</w:t>
      </w:r>
    </w:p>
    <w:p w14:paraId="5F76A4E3"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išskyros iš akių ir peršulys kartu su akių vokų traiškanojimu (konjunktyvitas);</w:t>
      </w:r>
    </w:p>
    <w:p w14:paraId="65A07FA4" w14:textId="12C95279" w:rsidR="00851D5E" w:rsidRPr="0042007A" w:rsidRDefault="00851D5E" w:rsidP="00251C8E">
      <w:pPr>
        <w:numPr>
          <w:ilvl w:val="0"/>
          <w:numId w:val="2"/>
        </w:numPr>
        <w:tabs>
          <w:tab w:val="clear" w:pos="360"/>
          <w:tab w:val="num" w:pos="567"/>
        </w:tabs>
        <w:ind w:left="567" w:hanging="567"/>
        <w:rPr>
          <w:szCs w:val="22"/>
        </w:rPr>
      </w:pPr>
      <w:r w:rsidRPr="0042007A">
        <w:rPr>
          <w:szCs w:val="22"/>
        </w:rPr>
        <w:t>kosulys, nosies užgulimas, plaučių uždegimas, varvanti nosis, apetito stoka;</w:t>
      </w:r>
    </w:p>
    <w:p w14:paraId="594D94FD" w14:textId="77777777" w:rsidR="00851D5E" w:rsidRPr="0042007A" w:rsidRDefault="00851D5E" w:rsidP="00251C8E">
      <w:pPr>
        <w:numPr>
          <w:ilvl w:val="0"/>
          <w:numId w:val="2"/>
        </w:numPr>
        <w:tabs>
          <w:tab w:val="clear" w:pos="360"/>
          <w:tab w:val="num" w:pos="567"/>
        </w:tabs>
        <w:ind w:left="567" w:hanging="567"/>
        <w:rPr>
          <w:szCs w:val="22"/>
        </w:rPr>
      </w:pPr>
      <w:proofErr w:type="spellStart"/>
      <w:r w:rsidRPr="0042007A">
        <w:rPr>
          <w:szCs w:val="22"/>
        </w:rPr>
        <w:t>nevirškinimas</w:t>
      </w:r>
      <w:proofErr w:type="spellEnd"/>
      <w:r w:rsidRPr="0042007A">
        <w:rPr>
          <w:szCs w:val="22"/>
        </w:rPr>
        <w:t xml:space="preserve"> su vėmimu, pilvo diegliai, virusinės kilmės viduriavimas;</w:t>
      </w:r>
    </w:p>
    <w:p w14:paraId="105982A8"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viduriavimas, vėmimas (</w:t>
      </w:r>
      <w:proofErr w:type="spellStart"/>
      <w:r w:rsidRPr="0042007A">
        <w:rPr>
          <w:szCs w:val="22"/>
        </w:rPr>
        <w:t>gastroenteritas</w:t>
      </w:r>
      <w:proofErr w:type="spellEnd"/>
      <w:r w:rsidRPr="0042007A">
        <w:rPr>
          <w:szCs w:val="22"/>
        </w:rPr>
        <w:t>);</w:t>
      </w:r>
    </w:p>
    <w:p w14:paraId="54F62B37"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ausų infekcija, gerklės skausmas;</w:t>
      </w:r>
    </w:p>
    <w:p w14:paraId="02E4C210" w14:textId="77777777" w:rsidR="00851D5E" w:rsidRPr="0042007A" w:rsidRDefault="00851D5E" w:rsidP="00251C8E">
      <w:pPr>
        <w:numPr>
          <w:ilvl w:val="0"/>
          <w:numId w:val="2"/>
        </w:numPr>
        <w:tabs>
          <w:tab w:val="clear" w:pos="360"/>
          <w:tab w:val="num" w:pos="567"/>
        </w:tabs>
        <w:ind w:left="567" w:hanging="567"/>
        <w:rPr>
          <w:szCs w:val="22"/>
        </w:rPr>
      </w:pPr>
      <w:proofErr w:type="spellStart"/>
      <w:r w:rsidRPr="0042007A">
        <w:rPr>
          <w:szCs w:val="22"/>
        </w:rPr>
        <w:t>verksmingumas</w:t>
      </w:r>
      <w:proofErr w:type="spellEnd"/>
      <w:r w:rsidRPr="0042007A">
        <w:rPr>
          <w:szCs w:val="22"/>
        </w:rPr>
        <w:t>, negalėjimas užmigti, miego sutrikimas;</w:t>
      </w:r>
    </w:p>
    <w:p w14:paraId="1CF59491" w14:textId="0D67FA8F" w:rsidR="00851D5E" w:rsidRPr="0042007A" w:rsidRDefault="00851D5E" w:rsidP="00251C8E">
      <w:pPr>
        <w:numPr>
          <w:ilvl w:val="0"/>
          <w:numId w:val="2"/>
        </w:numPr>
        <w:tabs>
          <w:tab w:val="clear" w:pos="360"/>
          <w:tab w:val="num" w:pos="567"/>
        </w:tabs>
        <w:ind w:left="567" w:hanging="567"/>
        <w:rPr>
          <w:szCs w:val="22"/>
        </w:rPr>
      </w:pPr>
      <w:r w:rsidRPr="0042007A">
        <w:rPr>
          <w:szCs w:val="22"/>
        </w:rPr>
        <w:t>viruso sukeltas vėjaraupi</w:t>
      </w:r>
      <w:r w:rsidR="007649FF" w:rsidRPr="0042007A">
        <w:rPr>
          <w:szCs w:val="22"/>
        </w:rPr>
        <w:t>ų</w:t>
      </w:r>
      <w:r w:rsidRPr="0042007A">
        <w:rPr>
          <w:szCs w:val="22"/>
        </w:rPr>
        <w:t xml:space="preserve"> odos išbėrimas (vėjaraupiai), virusinis susirgimas, odos uždegimas, odos paraudimas, dilgėlinė;</w:t>
      </w:r>
    </w:p>
    <w:p w14:paraId="14512D5D" w14:textId="5B5FDD67" w:rsidR="00851D5E" w:rsidRPr="0042007A" w:rsidRDefault="00851D5E" w:rsidP="00251C8E">
      <w:pPr>
        <w:numPr>
          <w:ilvl w:val="0"/>
          <w:numId w:val="2"/>
        </w:numPr>
        <w:tabs>
          <w:tab w:val="clear" w:pos="360"/>
          <w:tab w:val="num" w:pos="567"/>
        </w:tabs>
        <w:ind w:left="567" w:hanging="567"/>
        <w:rPr>
          <w:szCs w:val="22"/>
        </w:rPr>
      </w:pPr>
      <w:r w:rsidRPr="0042007A">
        <w:rPr>
          <w:szCs w:val="22"/>
        </w:rPr>
        <w:t>silpnumas ir (arba) nuovargis, bloga savijauta, injekcijos vietos reakcijos, tarp jų tirpulys, kraujavimas, kraujosruva, iškilusi sukietėjusi odos sritis, šilumos pojūtis ir šiltumas liečiant.</w:t>
      </w:r>
    </w:p>
    <w:p w14:paraId="0945F320" w14:textId="77777777" w:rsidR="00851D5E" w:rsidRPr="0042007A" w:rsidRDefault="00851D5E" w:rsidP="0042007A">
      <w:pPr>
        <w:rPr>
          <w:szCs w:val="22"/>
        </w:rPr>
      </w:pPr>
    </w:p>
    <w:p w14:paraId="5B8CB7CA" w14:textId="12A3A671" w:rsidR="00851D5E" w:rsidRPr="00EC3B36" w:rsidRDefault="00851D5E" w:rsidP="0042007A">
      <w:pPr>
        <w:rPr>
          <w:szCs w:val="22"/>
        </w:rPr>
      </w:pPr>
      <w:r w:rsidRPr="009E2405">
        <w:rPr>
          <w:b/>
          <w:bCs/>
          <w:szCs w:val="22"/>
        </w:rPr>
        <w:t>Ret</w:t>
      </w:r>
      <w:r w:rsidR="009E2405" w:rsidRPr="009E2405">
        <w:rPr>
          <w:b/>
          <w:bCs/>
          <w:szCs w:val="22"/>
        </w:rPr>
        <w:t>i šalutinio poveikio reiškiniai (gali pasireikšti rečiau kaip 1 iš 1</w:t>
      </w:r>
      <w:r w:rsidR="009E2405">
        <w:rPr>
          <w:b/>
          <w:bCs/>
          <w:szCs w:val="22"/>
        </w:rPr>
        <w:t> </w:t>
      </w:r>
      <w:r w:rsidR="009E2405" w:rsidRPr="009E2405">
        <w:rPr>
          <w:b/>
          <w:bCs/>
          <w:szCs w:val="22"/>
        </w:rPr>
        <w:t>000</w:t>
      </w:r>
      <w:r w:rsidR="009E2405">
        <w:rPr>
          <w:b/>
          <w:bCs/>
          <w:szCs w:val="22"/>
        </w:rPr>
        <w:t> </w:t>
      </w:r>
      <w:r w:rsidR="009E2405" w:rsidRPr="009E2405">
        <w:rPr>
          <w:b/>
          <w:bCs/>
          <w:szCs w:val="22"/>
        </w:rPr>
        <w:t>asmenų):</w:t>
      </w:r>
    </w:p>
    <w:p w14:paraId="40739DD2"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tonzilių pabrinkimas, kraujosruvų susidarymas arba kraujavimas nuo silpnesnio poveikio nei įprastai;</w:t>
      </w:r>
    </w:p>
    <w:p w14:paraId="2E7A482C" w14:textId="5A982BFF" w:rsidR="00851D5E" w:rsidRPr="0042007A" w:rsidRDefault="00851D5E" w:rsidP="00251C8E">
      <w:pPr>
        <w:numPr>
          <w:ilvl w:val="0"/>
          <w:numId w:val="2"/>
        </w:numPr>
        <w:tabs>
          <w:tab w:val="clear" w:pos="360"/>
          <w:tab w:val="num" w:pos="567"/>
        </w:tabs>
        <w:ind w:left="567" w:hanging="567"/>
        <w:rPr>
          <w:szCs w:val="22"/>
        </w:rPr>
      </w:pPr>
      <w:r w:rsidRPr="0042007A">
        <w:rPr>
          <w:szCs w:val="22"/>
        </w:rPr>
        <w:t>sujaudinimas, pernelyg ilgas miegojimas, pasunkėjęs vaikščiojimas, traukuliai kartu su karščiavimu, drebulys;</w:t>
      </w:r>
    </w:p>
    <w:p w14:paraId="242F9362"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akių vokų pabrinkimas, akių suerzinimas;</w:t>
      </w:r>
    </w:p>
    <w:p w14:paraId="5035D072" w14:textId="77777777" w:rsidR="00851D5E" w:rsidRPr="0042007A" w:rsidRDefault="00851D5E" w:rsidP="00251C8E">
      <w:pPr>
        <w:numPr>
          <w:ilvl w:val="0"/>
          <w:numId w:val="2"/>
        </w:numPr>
        <w:tabs>
          <w:tab w:val="clear" w:pos="360"/>
          <w:tab w:val="num" w:pos="567"/>
        </w:tabs>
        <w:ind w:left="567" w:hanging="567"/>
        <w:rPr>
          <w:szCs w:val="22"/>
        </w:rPr>
      </w:pPr>
      <w:r w:rsidRPr="0042007A">
        <w:rPr>
          <w:szCs w:val="22"/>
        </w:rPr>
        <w:t>ausų skausmas;</w:t>
      </w:r>
    </w:p>
    <w:p w14:paraId="3B8A87F2" w14:textId="5C75FFED" w:rsidR="00851D5E" w:rsidRPr="0042007A" w:rsidRDefault="00851D5E" w:rsidP="00251C8E">
      <w:pPr>
        <w:numPr>
          <w:ilvl w:val="0"/>
          <w:numId w:val="2"/>
        </w:numPr>
        <w:tabs>
          <w:tab w:val="clear" w:pos="360"/>
          <w:tab w:val="num" w:pos="567"/>
        </w:tabs>
        <w:ind w:left="567" w:hanging="567"/>
        <w:rPr>
          <w:szCs w:val="22"/>
        </w:rPr>
      </w:pPr>
      <w:r w:rsidRPr="0042007A">
        <w:rPr>
          <w:szCs w:val="22"/>
        </w:rPr>
        <w:lastRenderedPageBreak/>
        <w:t>nosies pilnumo jausmas, kartais lydimas pulsuojančios gėlos ir spaudimo ar skausmo veide (sinusitas), čiaudėjimas,</w:t>
      </w:r>
      <w:r w:rsidR="00456C48" w:rsidRPr="0042007A">
        <w:rPr>
          <w:szCs w:val="22"/>
        </w:rPr>
        <w:t xml:space="preserve"> </w:t>
      </w:r>
      <w:r w:rsidR="00383147" w:rsidRPr="0042007A">
        <w:rPr>
          <w:szCs w:val="22"/>
        </w:rPr>
        <w:t xml:space="preserve">plaučių </w:t>
      </w:r>
      <w:r w:rsidR="000D1347" w:rsidRPr="0042007A">
        <w:rPr>
          <w:szCs w:val="22"/>
        </w:rPr>
        <w:t>stazė</w:t>
      </w:r>
      <w:r w:rsidR="00456C48" w:rsidRPr="0042007A">
        <w:rPr>
          <w:szCs w:val="22"/>
        </w:rPr>
        <w:t>,</w:t>
      </w:r>
      <w:r w:rsidRPr="0042007A">
        <w:rPr>
          <w:szCs w:val="22"/>
        </w:rPr>
        <w:t xml:space="preserve"> nosies varvėjimas (rinitas), švokštimas, apatinių kvėpavimo takų (bronchų) pabrinkimas (bronchitas), plaučių infekcija, sunki plaučių infekcija su karščiavimu, šaltkrėtis, kosulys, pasunkintas kvėpavimas ir dusulys (pneumonija);</w:t>
      </w:r>
    </w:p>
    <w:p w14:paraId="4C8E2348" w14:textId="0FB99F20" w:rsidR="00851D5E" w:rsidRPr="0042007A" w:rsidRDefault="00851D5E" w:rsidP="00251C8E">
      <w:pPr>
        <w:numPr>
          <w:ilvl w:val="0"/>
          <w:numId w:val="2"/>
        </w:numPr>
        <w:tabs>
          <w:tab w:val="clear" w:pos="360"/>
          <w:tab w:val="num" w:pos="567"/>
        </w:tabs>
        <w:ind w:left="567" w:hanging="567"/>
        <w:rPr>
          <w:szCs w:val="22"/>
        </w:rPr>
      </w:pPr>
      <w:r w:rsidRPr="0042007A">
        <w:rPr>
          <w:szCs w:val="22"/>
        </w:rPr>
        <w:t>į gripą panašus susirgimas;</w:t>
      </w:r>
    </w:p>
    <w:p w14:paraId="03EC6F3B" w14:textId="5F1A46D2" w:rsidR="00851D5E" w:rsidRPr="0042007A" w:rsidRDefault="00851D5E" w:rsidP="00251C8E">
      <w:pPr>
        <w:numPr>
          <w:ilvl w:val="0"/>
          <w:numId w:val="2"/>
        </w:numPr>
        <w:tabs>
          <w:tab w:val="clear" w:pos="360"/>
          <w:tab w:val="num" w:pos="567"/>
        </w:tabs>
        <w:ind w:left="567" w:hanging="567"/>
        <w:rPr>
          <w:szCs w:val="22"/>
        </w:rPr>
      </w:pPr>
      <w:r w:rsidRPr="0042007A">
        <w:rPr>
          <w:szCs w:val="22"/>
        </w:rPr>
        <w:t xml:space="preserve">pilvo skausmas, </w:t>
      </w:r>
      <w:proofErr w:type="spellStart"/>
      <w:r w:rsidRPr="0042007A">
        <w:rPr>
          <w:szCs w:val="22"/>
        </w:rPr>
        <w:t>nevirškinimas</w:t>
      </w:r>
      <w:proofErr w:type="spellEnd"/>
      <w:r w:rsidRPr="0042007A">
        <w:rPr>
          <w:szCs w:val="22"/>
        </w:rPr>
        <w:t xml:space="preserve"> ir pykinimas, kraujas išmatose, burnos opa;</w:t>
      </w:r>
    </w:p>
    <w:p w14:paraId="2073D765" w14:textId="0A0CB62F" w:rsidR="00851D5E" w:rsidRPr="0042007A" w:rsidRDefault="00851D5E" w:rsidP="00251C8E">
      <w:pPr>
        <w:numPr>
          <w:ilvl w:val="0"/>
          <w:numId w:val="2"/>
        </w:numPr>
        <w:tabs>
          <w:tab w:val="clear" w:pos="360"/>
          <w:tab w:val="num" w:pos="567"/>
        </w:tabs>
        <w:ind w:left="567" w:hanging="567"/>
        <w:rPr>
          <w:szCs w:val="22"/>
        </w:rPr>
      </w:pPr>
      <w:r w:rsidRPr="0042007A">
        <w:rPr>
          <w:szCs w:val="22"/>
        </w:rPr>
        <w:t>kraujo priplūdimas į kaklą ir veidą, pūslės, odos sutrikimai (įskaitant kraujosruvas</w:t>
      </w:r>
      <w:r w:rsidR="0055212E" w:rsidRPr="0042007A">
        <w:rPr>
          <w:szCs w:val="22"/>
        </w:rPr>
        <w:t xml:space="preserve"> ir </w:t>
      </w:r>
      <w:r w:rsidRPr="0042007A">
        <w:rPr>
          <w:szCs w:val="22"/>
        </w:rPr>
        <w:t>dilgėlinę);</w:t>
      </w:r>
    </w:p>
    <w:p w14:paraId="7F8BD153" w14:textId="3CE55D79" w:rsidR="00851D5E" w:rsidRPr="0042007A" w:rsidRDefault="00851D5E" w:rsidP="00251C8E">
      <w:pPr>
        <w:numPr>
          <w:ilvl w:val="0"/>
          <w:numId w:val="2"/>
        </w:numPr>
        <w:tabs>
          <w:tab w:val="clear" w:pos="360"/>
          <w:tab w:val="num" w:pos="567"/>
        </w:tabs>
        <w:ind w:left="567" w:hanging="567"/>
        <w:rPr>
          <w:szCs w:val="22"/>
        </w:rPr>
      </w:pPr>
      <w:r w:rsidRPr="0042007A">
        <w:rPr>
          <w:szCs w:val="22"/>
        </w:rPr>
        <w:t>raumenų ir (arba) kaulų skausmas, raumenų gėla, sustingimas;</w:t>
      </w:r>
    </w:p>
    <w:p w14:paraId="31EA5783" w14:textId="3707F55F" w:rsidR="00851D5E" w:rsidRPr="0042007A" w:rsidRDefault="00851D5E" w:rsidP="00251C8E">
      <w:pPr>
        <w:numPr>
          <w:ilvl w:val="0"/>
          <w:numId w:val="2"/>
        </w:numPr>
        <w:tabs>
          <w:tab w:val="clear" w:pos="360"/>
          <w:tab w:val="num" w:pos="567"/>
        </w:tabs>
        <w:ind w:left="567" w:hanging="567"/>
        <w:rPr>
          <w:szCs w:val="22"/>
        </w:rPr>
      </w:pPr>
      <w:r w:rsidRPr="0042007A">
        <w:rPr>
          <w:szCs w:val="22"/>
        </w:rPr>
        <w:t>injekcijos vietos reakcijos</w:t>
      </w:r>
      <w:r w:rsidR="0055212E" w:rsidRPr="0042007A">
        <w:rPr>
          <w:szCs w:val="22"/>
        </w:rPr>
        <w:t xml:space="preserve"> įskaitant</w:t>
      </w:r>
      <w:r w:rsidRPr="0042007A">
        <w:rPr>
          <w:szCs w:val="22"/>
        </w:rPr>
        <w:t xml:space="preserve"> odos spalvos pakitim</w:t>
      </w:r>
      <w:r w:rsidR="0055212E" w:rsidRPr="0042007A">
        <w:rPr>
          <w:szCs w:val="22"/>
        </w:rPr>
        <w:t>ą</w:t>
      </w:r>
      <w:r w:rsidR="00456C48" w:rsidRPr="0042007A">
        <w:rPr>
          <w:szCs w:val="22"/>
        </w:rPr>
        <w:t>, į dilgėlinę panaš</w:t>
      </w:r>
      <w:r w:rsidR="000D1347" w:rsidRPr="0042007A">
        <w:rPr>
          <w:szCs w:val="22"/>
        </w:rPr>
        <w:t>u</w:t>
      </w:r>
      <w:r w:rsidR="00456C48" w:rsidRPr="0042007A">
        <w:rPr>
          <w:szCs w:val="22"/>
        </w:rPr>
        <w:t xml:space="preserve">s </w:t>
      </w:r>
      <w:r w:rsidR="000D1347" w:rsidRPr="0042007A">
        <w:rPr>
          <w:szCs w:val="22"/>
        </w:rPr>
        <w:t>išbėrimas</w:t>
      </w:r>
      <w:r w:rsidRPr="0042007A">
        <w:rPr>
          <w:szCs w:val="22"/>
        </w:rPr>
        <w:t>.</w:t>
      </w:r>
    </w:p>
    <w:p w14:paraId="062C07E6" w14:textId="77777777" w:rsidR="00851D5E" w:rsidRPr="0042007A" w:rsidRDefault="00851D5E" w:rsidP="0042007A">
      <w:pPr>
        <w:rPr>
          <w:szCs w:val="22"/>
        </w:rPr>
      </w:pPr>
    </w:p>
    <w:p w14:paraId="5299079B" w14:textId="188C730D" w:rsidR="008848C3" w:rsidRPr="00EC3B36" w:rsidRDefault="008848C3" w:rsidP="0042007A">
      <w:pPr>
        <w:autoSpaceDE w:val="0"/>
        <w:autoSpaceDN w:val="0"/>
        <w:adjustRightInd w:val="0"/>
        <w:rPr>
          <w:szCs w:val="22"/>
        </w:rPr>
      </w:pPr>
      <w:r w:rsidRPr="00D62D82">
        <w:rPr>
          <w:b/>
          <w:bCs/>
          <w:szCs w:val="22"/>
        </w:rPr>
        <w:t>Šalutinis poveikis, apie kurį pranešta vartojant į rinką pateiktą VARIVAX yra toks:</w:t>
      </w:r>
    </w:p>
    <w:p w14:paraId="583FBC0C" w14:textId="519956D5" w:rsidR="008848C3" w:rsidRPr="0042007A" w:rsidRDefault="008848C3" w:rsidP="00251C8E">
      <w:pPr>
        <w:numPr>
          <w:ilvl w:val="0"/>
          <w:numId w:val="2"/>
        </w:numPr>
        <w:tabs>
          <w:tab w:val="clear" w:pos="360"/>
          <w:tab w:val="num" w:pos="567"/>
        </w:tabs>
        <w:ind w:left="567" w:hanging="567"/>
        <w:rPr>
          <w:szCs w:val="22"/>
        </w:rPr>
      </w:pPr>
      <w:r w:rsidRPr="0042007A">
        <w:rPr>
          <w:szCs w:val="22"/>
        </w:rPr>
        <w:t xml:space="preserve">po vakcinacijos gyvosiomis </w:t>
      </w:r>
      <w:proofErr w:type="spellStart"/>
      <w:r w:rsidRPr="0042007A">
        <w:rPr>
          <w:szCs w:val="22"/>
        </w:rPr>
        <w:t>susilpnintomis</w:t>
      </w:r>
      <w:proofErr w:type="spellEnd"/>
      <w:r w:rsidRPr="0042007A">
        <w:rPr>
          <w:szCs w:val="22"/>
        </w:rPr>
        <w:t xml:space="preserve"> vakcinomis nuo vėjaraupių pranešta apie infekcijos arba galvos smegenų uždegimo (encefalito) atvejus. Keli tokie atvejai baigėsi mirtimi, visų pirma asmenims, kurių imuninė sistema susilpnėjusi (kaip nurodyta 2</w:t>
      </w:r>
      <w:r w:rsidR="00EC3B36">
        <w:rPr>
          <w:szCs w:val="22"/>
        </w:rPr>
        <w:t> </w:t>
      </w:r>
      <w:r w:rsidRPr="0042007A">
        <w:rPr>
          <w:szCs w:val="22"/>
        </w:rPr>
        <w:t xml:space="preserve">skyriuje, </w:t>
      </w:r>
      <w:proofErr w:type="spellStart"/>
      <w:r w:rsidRPr="0042007A">
        <w:rPr>
          <w:szCs w:val="22"/>
        </w:rPr>
        <w:t>Varivax</w:t>
      </w:r>
      <w:proofErr w:type="spellEnd"/>
      <w:r w:rsidRPr="0042007A">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gyvąja </w:t>
      </w:r>
      <w:proofErr w:type="spellStart"/>
      <w:r w:rsidRPr="0042007A">
        <w:rPr>
          <w:szCs w:val="22"/>
        </w:rPr>
        <w:t>susilpninta</w:t>
      </w:r>
      <w:proofErr w:type="spellEnd"/>
      <w:r w:rsidRPr="0042007A">
        <w:rPr>
          <w:szCs w:val="22"/>
        </w:rPr>
        <w:t xml:space="preserve"> vakcina nuo vėjaraupių;</w:t>
      </w:r>
    </w:p>
    <w:p w14:paraId="0BB72075" w14:textId="463E455B" w:rsidR="00851D5E" w:rsidRPr="0042007A" w:rsidRDefault="00851D5E" w:rsidP="00251C8E">
      <w:pPr>
        <w:numPr>
          <w:ilvl w:val="0"/>
          <w:numId w:val="2"/>
        </w:numPr>
        <w:tabs>
          <w:tab w:val="clear" w:pos="360"/>
          <w:tab w:val="num" w:pos="567"/>
        </w:tabs>
        <w:ind w:left="567" w:hanging="567"/>
        <w:rPr>
          <w:szCs w:val="22"/>
        </w:rPr>
      </w:pPr>
      <w:r w:rsidRPr="0042007A">
        <w:rPr>
          <w:szCs w:val="22"/>
        </w:rPr>
        <w:t xml:space="preserve">nervų sistemą (galvos ir </w:t>
      </w:r>
      <w:r w:rsidR="006D1BBF" w:rsidRPr="0042007A">
        <w:rPr>
          <w:szCs w:val="22"/>
        </w:rPr>
        <w:t>(</w:t>
      </w:r>
      <w:r w:rsidRPr="0042007A">
        <w:rPr>
          <w:szCs w:val="22"/>
        </w:rPr>
        <w:t>arba</w:t>
      </w:r>
      <w:r w:rsidR="006D1BBF" w:rsidRPr="0042007A">
        <w:rPr>
          <w:szCs w:val="22"/>
        </w:rPr>
        <w:t>)</w:t>
      </w:r>
      <w:r w:rsidRPr="0042007A">
        <w:rPr>
          <w:szCs w:val="22"/>
        </w:rPr>
        <w:t xml:space="preserve"> nugaros smegenis)</w:t>
      </w:r>
      <w:r w:rsidR="006D1BBF" w:rsidRPr="0042007A">
        <w:rPr>
          <w:szCs w:val="22"/>
        </w:rPr>
        <w:t xml:space="preserve"> pažeidžiantys susirgimai</w:t>
      </w:r>
      <w:r w:rsidRPr="0042007A">
        <w:rPr>
          <w:szCs w:val="22"/>
        </w:rPr>
        <w:t xml:space="preserve">, </w:t>
      </w:r>
      <w:r w:rsidR="007356BE" w:rsidRPr="0042007A">
        <w:rPr>
          <w:szCs w:val="22"/>
        </w:rPr>
        <w:t>kaip antai nukarę</w:t>
      </w:r>
      <w:r w:rsidR="007356BE" w:rsidRPr="0042007A" w:rsidDel="007356BE">
        <w:rPr>
          <w:szCs w:val="22"/>
        </w:rPr>
        <w:t xml:space="preserve"> </w:t>
      </w:r>
      <w:r w:rsidRPr="0042007A">
        <w:rPr>
          <w:szCs w:val="22"/>
        </w:rPr>
        <w:t>veido raumenys</w:t>
      </w:r>
      <w:r w:rsidR="007356BE" w:rsidRPr="0042007A">
        <w:rPr>
          <w:szCs w:val="22"/>
        </w:rPr>
        <w:t xml:space="preserve"> ir vienoje veido pusėje užkritęs</w:t>
      </w:r>
      <w:r w:rsidR="007356BE" w:rsidRPr="0042007A" w:rsidDel="007356BE">
        <w:rPr>
          <w:szCs w:val="22"/>
        </w:rPr>
        <w:t xml:space="preserve"> </w:t>
      </w:r>
      <w:r w:rsidRPr="0042007A">
        <w:rPr>
          <w:szCs w:val="22"/>
        </w:rPr>
        <w:t>akies vokas (</w:t>
      </w:r>
      <w:proofErr w:type="spellStart"/>
      <w:r w:rsidRPr="0042007A">
        <w:rPr>
          <w:i/>
          <w:szCs w:val="22"/>
        </w:rPr>
        <w:t>Bell</w:t>
      </w:r>
      <w:proofErr w:type="spellEnd"/>
      <w:r w:rsidRPr="0042007A">
        <w:rPr>
          <w:szCs w:val="22"/>
        </w:rPr>
        <w:t xml:space="preserve"> paralyžius), </w:t>
      </w:r>
      <w:r w:rsidR="004C5906" w:rsidRPr="0042007A">
        <w:rPr>
          <w:szCs w:val="22"/>
        </w:rPr>
        <w:t>netvirta eisena,</w:t>
      </w:r>
      <w:r w:rsidR="004C5906" w:rsidRPr="0042007A" w:rsidDel="004C5906">
        <w:rPr>
          <w:szCs w:val="22"/>
        </w:rPr>
        <w:t xml:space="preserve"> </w:t>
      </w:r>
      <w:r w:rsidRPr="0042007A">
        <w:rPr>
          <w:szCs w:val="22"/>
        </w:rPr>
        <w:t xml:space="preserve">svaigulys, rankų </w:t>
      </w:r>
      <w:r w:rsidR="009D2A2F" w:rsidRPr="0042007A">
        <w:rPr>
          <w:szCs w:val="22"/>
        </w:rPr>
        <w:t>ir</w:t>
      </w:r>
      <w:r w:rsidRPr="0042007A">
        <w:rPr>
          <w:szCs w:val="22"/>
        </w:rPr>
        <w:t xml:space="preserve"> pėdų dilgčiojimas ar </w:t>
      </w:r>
      <w:r w:rsidR="004C5906" w:rsidRPr="0042007A">
        <w:rPr>
          <w:szCs w:val="22"/>
        </w:rPr>
        <w:t>tirpimas</w:t>
      </w:r>
      <w:r w:rsidR="00E460C6" w:rsidRPr="0042007A">
        <w:rPr>
          <w:szCs w:val="22"/>
        </w:rPr>
        <w:t>, galvos smegenų žievės ir nugaros smegenų uždegimas, kurį sukėlė ne bakterinė infekcija (</w:t>
      </w:r>
      <w:proofErr w:type="spellStart"/>
      <w:r w:rsidR="00E460C6" w:rsidRPr="0042007A">
        <w:rPr>
          <w:szCs w:val="22"/>
        </w:rPr>
        <w:t>aseptinis</w:t>
      </w:r>
      <w:proofErr w:type="spellEnd"/>
      <w:r w:rsidR="00E460C6" w:rsidRPr="0042007A">
        <w:rPr>
          <w:szCs w:val="22"/>
        </w:rPr>
        <w:t xml:space="preserve"> meningitas), sąmonės netekimas</w:t>
      </w:r>
      <w:r w:rsidR="00B70BFA" w:rsidRPr="0042007A">
        <w:rPr>
          <w:szCs w:val="22"/>
        </w:rPr>
        <w:t>;</w:t>
      </w:r>
    </w:p>
    <w:p w14:paraId="0B64D46A" w14:textId="63D14D7B" w:rsidR="00851D5E" w:rsidRPr="0042007A" w:rsidRDefault="00851D5E" w:rsidP="00251C8E">
      <w:pPr>
        <w:numPr>
          <w:ilvl w:val="0"/>
          <w:numId w:val="2"/>
        </w:numPr>
        <w:tabs>
          <w:tab w:val="clear" w:pos="360"/>
          <w:tab w:val="num" w:pos="567"/>
        </w:tabs>
        <w:ind w:left="567" w:hanging="567"/>
        <w:rPr>
          <w:szCs w:val="22"/>
        </w:rPr>
      </w:pPr>
      <w:r w:rsidRPr="0042007A">
        <w:rPr>
          <w:szCs w:val="22"/>
        </w:rPr>
        <w:t>juostinė pūslelinė, gerklės skausmas (</w:t>
      </w:r>
      <w:proofErr w:type="spellStart"/>
      <w:r w:rsidRPr="0042007A">
        <w:rPr>
          <w:szCs w:val="22"/>
        </w:rPr>
        <w:t>faringitas</w:t>
      </w:r>
      <w:proofErr w:type="spellEnd"/>
      <w:r w:rsidRPr="0042007A">
        <w:rPr>
          <w:szCs w:val="22"/>
        </w:rPr>
        <w:t>), per odą įžiūrimos purpurinės spalvos ar raudonai rudos dėmės (</w:t>
      </w:r>
      <w:proofErr w:type="spellStart"/>
      <w:r w:rsidRPr="0042007A">
        <w:rPr>
          <w:i/>
          <w:szCs w:val="22"/>
        </w:rPr>
        <w:t>Henoch-Schönlein</w:t>
      </w:r>
      <w:proofErr w:type="spellEnd"/>
      <w:r w:rsidRPr="0042007A">
        <w:rPr>
          <w:szCs w:val="22"/>
        </w:rPr>
        <w:t xml:space="preserve"> purpura), antrinės odos ir minkštųjų audinių bakterinės infekcijos</w:t>
      </w:r>
      <w:r w:rsidR="00112A90" w:rsidRPr="0042007A">
        <w:rPr>
          <w:szCs w:val="22"/>
        </w:rPr>
        <w:t xml:space="preserve"> (</w:t>
      </w:r>
      <w:r w:rsidRPr="0042007A">
        <w:rPr>
          <w:szCs w:val="22"/>
        </w:rPr>
        <w:t>įskaitant celiulitą</w:t>
      </w:r>
      <w:r w:rsidR="00112A90" w:rsidRPr="0042007A">
        <w:rPr>
          <w:szCs w:val="22"/>
        </w:rPr>
        <w:t>)</w:t>
      </w:r>
      <w:r w:rsidRPr="0042007A">
        <w:rPr>
          <w:szCs w:val="22"/>
        </w:rPr>
        <w:t xml:space="preserve">, vėjaraupiai, </w:t>
      </w:r>
      <w:proofErr w:type="spellStart"/>
      <w:r w:rsidRPr="0042007A">
        <w:rPr>
          <w:szCs w:val="22"/>
        </w:rPr>
        <w:t>aplastinė</w:t>
      </w:r>
      <w:proofErr w:type="spellEnd"/>
      <w:r w:rsidRPr="0042007A">
        <w:rPr>
          <w:szCs w:val="22"/>
        </w:rPr>
        <w:t xml:space="preserve"> anemija, kuri gali pasireikšti lengviau nei įprastai atsirandančiomis kraujosruvomis arba kraujavimu; raudonos arba violetinės spalvos plokščios, smeigtuko galvutės dydžio dėmelės po oda; smarkus blyškumas.</w:t>
      </w:r>
    </w:p>
    <w:p w14:paraId="3635AAEB" w14:textId="77777777" w:rsidR="00851D5E" w:rsidRPr="0042007A" w:rsidRDefault="00851D5E" w:rsidP="0042007A">
      <w:pPr>
        <w:rPr>
          <w:szCs w:val="22"/>
        </w:rPr>
      </w:pPr>
    </w:p>
    <w:p w14:paraId="43EACCFE" w14:textId="77777777" w:rsidR="00851D5E" w:rsidRPr="0042007A" w:rsidRDefault="00851D5E" w:rsidP="0042007A">
      <w:pPr>
        <w:keepNext/>
        <w:widowControl w:val="0"/>
        <w:tabs>
          <w:tab w:val="left" w:pos="567"/>
        </w:tabs>
        <w:rPr>
          <w:bCs/>
          <w:snapToGrid w:val="0"/>
          <w:szCs w:val="22"/>
          <w:lang w:eastAsia="en-US"/>
        </w:rPr>
      </w:pPr>
      <w:r w:rsidRPr="0042007A">
        <w:rPr>
          <w:b/>
          <w:snapToGrid w:val="0"/>
          <w:szCs w:val="22"/>
          <w:lang w:eastAsia="en-US"/>
        </w:rPr>
        <w:t>Pranešimas apie šalutinį poveikį</w:t>
      </w:r>
    </w:p>
    <w:p w14:paraId="29499AF2" w14:textId="10C6BD65" w:rsidR="0032646A" w:rsidRPr="0042007A" w:rsidRDefault="0032646A" w:rsidP="0042007A">
      <w:pPr>
        <w:tabs>
          <w:tab w:val="left" w:pos="567"/>
        </w:tabs>
        <w:ind w:right="-1"/>
        <w:rPr>
          <w:szCs w:val="22"/>
        </w:rPr>
      </w:pPr>
      <w:r w:rsidRPr="0042007A">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2007A">
        <w:rPr>
          <w:color w:val="0000EE"/>
          <w:szCs w:val="22"/>
          <w:u w:val="single"/>
        </w:rPr>
        <w:t>https://vvkt.lrv.lt/lt/</w:t>
      </w:r>
      <w:r w:rsidRPr="0042007A">
        <w:rPr>
          <w:szCs w:val="22"/>
        </w:rPr>
        <w:t xml:space="preserve"> nurodytais būdais arba paskambinti nemokamu telefonu </w:t>
      </w:r>
      <w:r w:rsidR="00D861A7" w:rsidRPr="0042007A">
        <w:rPr>
          <w:szCs w:val="22"/>
        </w:rPr>
        <w:t>+370 </w:t>
      </w:r>
      <w:r w:rsidRPr="0042007A">
        <w:rPr>
          <w:szCs w:val="22"/>
        </w:rPr>
        <w:t>800</w:t>
      </w:r>
      <w:r w:rsidR="00D861A7" w:rsidRPr="0042007A">
        <w:rPr>
          <w:szCs w:val="22"/>
        </w:rPr>
        <w:t> </w:t>
      </w:r>
      <w:r w:rsidRPr="0042007A">
        <w:rPr>
          <w:szCs w:val="22"/>
        </w:rPr>
        <w:t>73</w:t>
      </w:r>
      <w:r w:rsidR="00D861A7" w:rsidRPr="0042007A">
        <w:rPr>
          <w:szCs w:val="22"/>
        </w:rPr>
        <w:t> </w:t>
      </w:r>
      <w:r w:rsidRPr="0042007A">
        <w:rPr>
          <w:szCs w:val="22"/>
        </w:rPr>
        <w:t>568. Pranešdami apie šalutinį poveikį galite mums padėti gauti daugiau informacijos apie šio vaisto saugumą.</w:t>
      </w:r>
    </w:p>
    <w:p w14:paraId="6998EB58" w14:textId="77777777" w:rsidR="00851D5E" w:rsidRPr="0042007A" w:rsidRDefault="00851D5E" w:rsidP="0042007A">
      <w:pPr>
        <w:rPr>
          <w:szCs w:val="22"/>
        </w:rPr>
      </w:pPr>
    </w:p>
    <w:p w14:paraId="2A898AD4" w14:textId="77777777" w:rsidR="00851D5E" w:rsidRPr="0042007A" w:rsidRDefault="00851D5E" w:rsidP="0042007A">
      <w:pPr>
        <w:rPr>
          <w:szCs w:val="22"/>
        </w:rPr>
      </w:pPr>
    </w:p>
    <w:p w14:paraId="799FA427" w14:textId="11C57AB8" w:rsidR="00851D5E" w:rsidRPr="0042007A" w:rsidRDefault="00851D5E" w:rsidP="0042007A">
      <w:pPr>
        <w:pStyle w:val="Antrat2"/>
        <w:rPr>
          <w:b w:val="0"/>
          <w:bCs/>
          <w:szCs w:val="22"/>
        </w:rPr>
      </w:pPr>
      <w:r w:rsidRPr="0042007A">
        <w:rPr>
          <w:szCs w:val="22"/>
        </w:rPr>
        <w:t>5.</w:t>
      </w:r>
      <w:r w:rsidRPr="0042007A">
        <w:rPr>
          <w:szCs w:val="22"/>
        </w:rPr>
        <w:tab/>
        <w:t>Kaip laikyti VARIVAX</w:t>
      </w:r>
    </w:p>
    <w:p w14:paraId="7C6974C2" w14:textId="77777777" w:rsidR="00851D5E" w:rsidRPr="0042007A" w:rsidDel="00DD7F11" w:rsidRDefault="00851D5E" w:rsidP="0042007A">
      <w:pPr>
        <w:rPr>
          <w:szCs w:val="22"/>
        </w:rPr>
      </w:pPr>
    </w:p>
    <w:p w14:paraId="74B13BC5" w14:textId="77777777" w:rsidR="00851D5E" w:rsidRPr="0042007A" w:rsidRDefault="00851D5E" w:rsidP="0042007A">
      <w:pPr>
        <w:rPr>
          <w:szCs w:val="22"/>
        </w:rPr>
      </w:pPr>
      <w:r w:rsidRPr="0042007A">
        <w:rPr>
          <w:szCs w:val="22"/>
        </w:rPr>
        <w:t>Šią vakciną laikykite vaikams nepastebimoje ir nepasiekiamoje vietoje.</w:t>
      </w:r>
    </w:p>
    <w:p w14:paraId="4E4EFA2A" w14:textId="77777777" w:rsidR="00851D5E" w:rsidRPr="0042007A" w:rsidRDefault="00851D5E" w:rsidP="0042007A">
      <w:pPr>
        <w:rPr>
          <w:szCs w:val="22"/>
        </w:rPr>
      </w:pPr>
    </w:p>
    <w:p w14:paraId="46DFF200" w14:textId="77777777" w:rsidR="00851D5E" w:rsidRPr="0042007A" w:rsidRDefault="00851D5E" w:rsidP="0042007A">
      <w:pPr>
        <w:rPr>
          <w:szCs w:val="22"/>
        </w:rPr>
      </w:pPr>
      <w:r w:rsidRPr="0042007A">
        <w:rPr>
          <w:szCs w:val="22"/>
        </w:rPr>
        <w:t>Ant dėžutės po „EXP“ nurodytam tinkamumo laikui pasibaigus, šios vakcinos vartoti negalima. Vaistas tinkamas vartoti iki paskutinės nurodyto mėnesio dienos.</w:t>
      </w:r>
    </w:p>
    <w:p w14:paraId="1853D48D" w14:textId="77777777" w:rsidR="00851D5E" w:rsidRPr="0042007A" w:rsidRDefault="00851D5E" w:rsidP="0042007A">
      <w:pPr>
        <w:rPr>
          <w:szCs w:val="22"/>
        </w:rPr>
      </w:pPr>
    </w:p>
    <w:p w14:paraId="630DE3F0" w14:textId="71E98001" w:rsidR="00851D5E" w:rsidRPr="0042007A" w:rsidRDefault="00851D5E" w:rsidP="0042007A">
      <w:pPr>
        <w:rPr>
          <w:szCs w:val="22"/>
        </w:rPr>
      </w:pPr>
      <w:r w:rsidRPr="0042007A">
        <w:rPr>
          <w:szCs w:val="22"/>
        </w:rPr>
        <w:t>Laikyti ir transportuoti šaltai (2</w:t>
      </w:r>
      <w:r w:rsidR="002B1C70">
        <w:rPr>
          <w:szCs w:val="22"/>
        </w:rPr>
        <w:t> </w:t>
      </w:r>
      <w:r w:rsidRPr="0042007A">
        <w:rPr>
          <w:szCs w:val="22"/>
        </w:rPr>
        <w:t>°C – 8 °C). Negalima užšaldyti. Flakoną laikyti išorinėje dėžutėje, kad vaistas būtų apsaugotas nuo šviesos.</w:t>
      </w:r>
    </w:p>
    <w:p w14:paraId="26EE494D" w14:textId="77777777" w:rsidR="00851D5E" w:rsidRPr="0042007A" w:rsidRDefault="00851D5E" w:rsidP="0042007A">
      <w:pPr>
        <w:rPr>
          <w:szCs w:val="22"/>
        </w:rPr>
      </w:pPr>
    </w:p>
    <w:p w14:paraId="1E7EE405" w14:textId="0795E0BF" w:rsidR="00851D5E" w:rsidRPr="0042007A" w:rsidRDefault="00851D5E" w:rsidP="0042007A">
      <w:pPr>
        <w:rPr>
          <w:szCs w:val="22"/>
        </w:rPr>
      </w:pPr>
      <w:r w:rsidRPr="0042007A">
        <w:rPr>
          <w:szCs w:val="22"/>
        </w:rPr>
        <w:t>Paruoštą vartoti vakciną būtina suleisti nedelsiant. Laikant 20 °C</w:t>
      </w:r>
      <w:r w:rsidR="002B1C70">
        <w:rPr>
          <w:szCs w:val="22"/>
        </w:rPr>
        <w:t xml:space="preserve"> </w:t>
      </w:r>
      <w:r w:rsidRPr="0042007A">
        <w:rPr>
          <w:szCs w:val="22"/>
        </w:rPr>
        <w:t>–</w:t>
      </w:r>
      <w:r w:rsidR="002B1C70">
        <w:rPr>
          <w:szCs w:val="22"/>
        </w:rPr>
        <w:t xml:space="preserve"> </w:t>
      </w:r>
      <w:r w:rsidRPr="0042007A">
        <w:rPr>
          <w:szCs w:val="22"/>
        </w:rPr>
        <w:t>25 °C temperatūroje ji išlieka stabili ir tinkama vartoti 30 minučių.</w:t>
      </w:r>
    </w:p>
    <w:p w14:paraId="04FE4D84" w14:textId="77777777" w:rsidR="00851D5E" w:rsidRPr="0042007A" w:rsidRDefault="00851D5E" w:rsidP="0042007A">
      <w:pPr>
        <w:rPr>
          <w:szCs w:val="22"/>
        </w:rPr>
      </w:pPr>
    </w:p>
    <w:p w14:paraId="2AF06F2F" w14:textId="77777777" w:rsidR="00851D5E" w:rsidRPr="0042007A" w:rsidDel="009F56A7" w:rsidRDefault="00851D5E" w:rsidP="0042007A">
      <w:pPr>
        <w:rPr>
          <w:szCs w:val="22"/>
        </w:rPr>
      </w:pPr>
      <w:r w:rsidRPr="0042007A">
        <w:rPr>
          <w:szCs w:val="22"/>
        </w:rPr>
        <w:t>Vakcinų negalima išmesti į kanalizaciją arba su buitinėmis atliekomis. Kaip išmesti nereikalingas vakcinas, klauskite vaistininko. Šios priemonės padės apsaugoti aplinką.</w:t>
      </w:r>
    </w:p>
    <w:p w14:paraId="64E63AAF" w14:textId="77777777" w:rsidR="00851D5E" w:rsidRPr="0042007A" w:rsidRDefault="00851D5E" w:rsidP="0042007A">
      <w:pPr>
        <w:rPr>
          <w:szCs w:val="22"/>
        </w:rPr>
      </w:pPr>
    </w:p>
    <w:p w14:paraId="6F6638E4" w14:textId="77777777" w:rsidR="00851D5E" w:rsidRPr="0042007A" w:rsidRDefault="00851D5E" w:rsidP="0042007A">
      <w:pPr>
        <w:rPr>
          <w:szCs w:val="22"/>
        </w:rPr>
      </w:pPr>
    </w:p>
    <w:p w14:paraId="3FA1838E" w14:textId="77777777" w:rsidR="00851D5E" w:rsidRPr="0042007A" w:rsidRDefault="00851D5E" w:rsidP="0042007A">
      <w:pPr>
        <w:pStyle w:val="Antrat2"/>
        <w:rPr>
          <w:b w:val="0"/>
          <w:bCs/>
          <w:szCs w:val="22"/>
        </w:rPr>
      </w:pPr>
      <w:r w:rsidRPr="0042007A">
        <w:rPr>
          <w:szCs w:val="22"/>
        </w:rPr>
        <w:t>6.</w:t>
      </w:r>
      <w:r w:rsidRPr="0042007A">
        <w:rPr>
          <w:szCs w:val="22"/>
        </w:rPr>
        <w:tab/>
        <w:t>Pakuotės turinys ir kita informacija</w:t>
      </w:r>
    </w:p>
    <w:p w14:paraId="3240BAD3" w14:textId="77777777" w:rsidR="00851D5E" w:rsidRPr="0042007A" w:rsidRDefault="00851D5E" w:rsidP="0042007A">
      <w:pPr>
        <w:rPr>
          <w:szCs w:val="22"/>
        </w:rPr>
      </w:pPr>
    </w:p>
    <w:p w14:paraId="784BFB21" w14:textId="77777777" w:rsidR="00851D5E" w:rsidRPr="0042007A" w:rsidRDefault="00851D5E" w:rsidP="0042007A">
      <w:pPr>
        <w:rPr>
          <w:bCs/>
          <w:szCs w:val="22"/>
        </w:rPr>
      </w:pPr>
      <w:r w:rsidRPr="0042007A">
        <w:rPr>
          <w:b/>
          <w:szCs w:val="22"/>
        </w:rPr>
        <w:lastRenderedPageBreak/>
        <w:t>VARIVAX sudėtis</w:t>
      </w:r>
    </w:p>
    <w:p w14:paraId="6CDB84CF" w14:textId="71CB66A7" w:rsidR="00851D5E" w:rsidRPr="0042007A" w:rsidRDefault="00851D5E" w:rsidP="0042007A">
      <w:pPr>
        <w:pStyle w:val="Pagrindinistekstas"/>
        <w:spacing w:after="0"/>
        <w:rPr>
          <w:szCs w:val="22"/>
        </w:rPr>
      </w:pPr>
      <w:r w:rsidRPr="0042007A">
        <w:rPr>
          <w:b/>
          <w:szCs w:val="22"/>
        </w:rPr>
        <w:t>Veiklioji medžiaga yra</w:t>
      </w:r>
      <w:r w:rsidRPr="0042007A">
        <w:rPr>
          <w:szCs w:val="22"/>
        </w:rPr>
        <w:t xml:space="preserve"> gyvas </w:t>
      </w:r>
      <w:proofErr w:type="spellStart"/>
      <w:r w:rsidRPr="0042007A">
        <w:rPr>
          <w:szCs w:val="22"/>
        </w:rPr>
        <w:t>susilpnintas</w:t>
      </w:r>
      <w:proofErr w:type="spellEnd"/>
      <w:r w:rsidRPr="0042007A">
        <w:rPr>
          <w:szCs w:val="22"/>
        </w:rPr>
        <w:t xml:space="preserve"> vėjaraupių virusas (</w:t>
      </w:r>
      <w:r w:rsidRPr="0042007A">
        <w:rPr>
          <w:i/>
          <w:iCs/>
          <w:szCs w:val="22"/>
        </w:rPr>
        <w:t>Oka/</w:t>
      </w:r>
      <w:proofErr w:type="spellStart"/>
      <w:r w:rsidRPr="0042007A">
        <w:rPr>
          <w:i/>
          <w:iCs/>
          <w:szCs w:val="22"/>
        </w:rPr>
        <w:t>Merck</w:t>
      </w:r>
      <w:proofErr w:type="spellEnd"/>
      <w:r w:rsidRPr="0042007A">
        <w:rPr>
          <w:szCs w:val="22"/>
        </w:rPr>
        <w:t xml:space="preserve"> padermės) (išaugintas žmogaus </w:t>
      </w:r>
      <w:proofErr w:type="spellStart"/>
      <w:r w:rsidRPr="0042007A">
        <w:rPr>
          <w:szCs w:val="22"/>
        </w:rPr>
        <w:t>diploidinių</w:t>
      </w:r>
      <w:proofErr w:type="spellEnd"/>
      <w:r w:rsidRPr="0042007A">
        <w:rPr>
          <w:szCs w:val="22"/>
        </w:rPr>
        <w:t xml:space="preserve"> ląstelių MRC-5 kultūroje).</w:t>
      </w:r>
      <w:r w:rsidR="00EC3B36">
        <w:rPr>
          <w:szCs w:val="22"/>
        </w:rPr>
        <w:t xml:space="preserve"> </w:t>
      </w:r>
      <w:r w:rsidRPr="0042007A">
        <w:rPr>
          <w:szCs w:val="22"/>
        </w:rPr>
        <w:t>Kiekvienoje paruoštos vartoti vakcinos 0,5 ml dozėje yra ne mažiau kaip 1350 PFU (plokšteles formuojančių vienetų) vėjaraupių viruso (</w:t>
      </w:r>
      <w:r w:rsidRPr="0042007A">
        <w:rPr>
          <w:i/>
          <w:iCs/>
          <w:szCs w:val="22"/>
        </w:rPr>
        <w:t>Oka/</w:t>
      </w:r>
      <w:proofErr w:type="spellStart"/>
      <w:r w:rsidRPr="0042007A">
        <w:rPr>
          <w:i/>
          <w:iCs/>
          <w:szCs w:val="22"/>
        </w:rPr>
        <w:t>Merck</w:t>
      </w:r>
      <w:proofErr w:type="spellEnd"/>
      <w:r w:rsidRPr="0042007A">
        <w:rPr>
          <w:szCs w:val="22"/>
        </w:rPr>
        <w:t xml:space="preserve"> padermės).</w:t>
      </w:r>
    </w:p>
    <w:p w14:paraId="3C82F00A" w14:textId="77777777" w:rsidR="00851D5E" w:rsidRPr="0042007A" w:rsidRDefault="00851D5E" w:rsidP="0042007A">
      <w:pPr>
        <w:pStyle w:val="Pagrindinistekstas"/>
        <w:spacing w:after="0"/>
        <w:rPr>
          <w:szCs w:val="22"/>
        </w:rPr>
      </w:pPr>
    </w:p>
    <w:p w14:paraId="063F71CC" w14:textId="77777777" w:rsidR="00851D5E" w:rsidRPr="0042007A" w:rsidRDefault="00851D5E" w:rsidP="0042007A">
      <w:pPr>
        <w:pStyle w:val="Pagrindinistekstas"/>
        <w:spacing w:after="0"/>
        <w:rPr>
          <w:bCs/>
          <w:szCs w:val="22"/>
        </w:rPr>
      </w:pPr>
      <w:r w:rsidRPr="0042007A">
        <w:rPr>
          <w:b/>
          <w:szCs w:val="22"/>
        </w:rPr>
        <w:t>Pagalbinės medžiagos yra:</w:t>
      </w:r>
    </w:p>
    <w:p w14:paraId="75921C6D" w14:textId="77777777" w:rsidR="00851D5E" w:rsidRPr="0042007A" w:rsidRDefault="00851D5E" w:rsidP="0042007A">
      <w:pPr>
        <w:rPr>
          <w:bCs/>
          <w:iCs/>
          <w:szCs w:val="22"/>
        </w:rPr>
      </w:pPr>
      <w:r w:rsidRPr="0042007A">
        <w:rPr>
          <w:b/>
          <w:i/>
          <w:szCs w:val="22"/>
          <w:u w:val="single"/>
        </w:rPr>
        <w:t>Milteliai</w:t>
      </w:r>
    </w:p>
    <w:p w14:paraId="015972E5" w14:textId="2B926EF9" w:rsidR="00851D5E" w:rsidRPr="0042007A" w:rsidRDefault="00851D5E" w:rsidP="0042007A">
      <w:pPr>
        <w:rPr>
          <w:szCs w:val="22"/>
        </w:rPr>
      </w:pPr>
      <w:r w:rsidRPr="0042007A">
        <w:rPr>
          <w:szCs w:val="22"/>
        </w:rPr>
        <w:t xml:space="preserve">Sacharozė, hidrolizuota želatina, </w:t>
      </w:r>
      <w:proofErr w:type="spellStart"/>
      <w:r w:rsidRPr="0042007A">
        <w:rPr>
          <w:szCs w:val="22"/>
        </w:rPr>
        <w:t>urėja</w:t>
      </w:r>
      <w:proofErr w:type="spellEnd"/>
      <w:r w:rsidRPr="0042007A">
        <w:rPr>
          <w:szCs w:val="22"/>
        </w:rPr>
        <w:t>, natrio chloridas, natrio L-</w:t>
      </w:r>
      <w:proofErr w:type="spellStart"/>
      <w:r w:rsidRPr="0042007A">
        <w:rPr>
          <w:szCs w:val="22"/>
        </w:rPr>
        <w:t>glutamatas</w:t>
      </w:r>
      <w:proofErr w:type="spellEnd"/>
      <w:r w:rsidRPr="0042007A">
        <w:rPr>
          <w:szCs w:val="22"/>
        </w:rPr>
        <w:t>, b</w:t>
      </w:r>
      <w:r w:rsidRPr="0042007A">
        <w:rPr>
          <w:snapToGrid w:val="0"/>
          <w:szCs w:val="22"/>
          <w:lang w:eastAsia="en-US"/>
        </w:rPr>
        <w:t xml:space="preserve">evandenis </w:t>
      </w:r>
      <w:proofErr w:type="spellStart"/>
      <w:r w:rsidRPr="0042007A">
        <w:rPr>
          <w:snapToGrid w:val="0"/>
          <w:szCs w:val="22"/>
          <w:lang w:eastAsia="en-US"/>
        </w:rPr>
        <w:t>dinatrio</w:t>
      </w:r>
      <w:proofErr w:type="spellEnd"/>
      <w:r w:rsidRPr="0042007A">
        <w:rPr>
          <w:snapToGrid w:val="0"/>
          <w:szCs w:val="22"/>
          <w:lang w:eastAsia="en-US"/>
        </w:rPr>
        <w:t xml:space="preserve"> fosfatas, k</w:t>
      </w:r>
      <w:r w:rsidRPr="0042007A">
        <w:rPr>
          <w:szCs w:val="22"/>
        </w:rPr>
        <w:t>alio-</w:t>
      </w:r>
      <w:proofErr w:type="spellStart"/>
      <w:r w:rsidRPr="0042007A">
        <w:rPr>
          <w:szCs w:val="22"/>
        </w:rPr>
        <w:t>divandenilio</w:t>
      </w:r>
      <w:proofErr w:type="spellEnd"/>
      <w:r w:rsidRPr="0042007A">
        <w:rPr>
          <w:szCs w:val="22"/>
        </w:rPr>
        <w:t xml:space="preserve"> fosfatas ir kalio chloridas.</w:t>
      </w:r>
    </w:p>
    <w:p w14:paraId="5F9960E1" w14:textId="77777777" w:rsidR="00851D5E" w:rsidRPr="0042007A" w:rsidRDefault="00851D5E" w:rsidP="0042007A">
      <w:pPr>
        <w:rPr>
          <w:bCs/>
          <w:szCs w:val="22"/>
        </w:rPr>
      </w:pPr>
    </w:p>
    <w:p w14:paraId="1A267F98" w14:textId="77777777" w:rsidR="00851D5E" w:rsidRPr="0042007A" w:rsidRDefault="00851D5E" w:rsidP="0042007A">
      <w:pPr>
        <w:rPr>
          <w:szCs w:val="22"/>
        </w:rPr>
      </w:pPr>
      <w:r w:rsidRPr="0042007A">
        <w:rPr>
          <w:szCs w:val="22"/>
        </w:rPr>
        <w:t xml:space="preserve">Gali būti likę </w:t>
      </w:r>
      <w:proofErr w:type="spellStart"/>
      <w:r w:rsidRPr="0042007A">
        <w:rPr>
          <w:szCs w:val="22"/>
        </w:rPr>
        <w:t>neomicino</w:t>
      </w:r>
      <w:proofErr w:type="spellEnd"/>
      <w:r w:rsidRPr="0042007A">
        <w:rPr>
          <w:szCs w:val="22"/>
        </w:rPr>
        <w:t xml:space="preserve"> pėdsakų.</w:t>
      </w:r>
    </w:p>
    <w:p w14:paraId="51F99FB7" w14:textId="77777777" w:rsidR="00851D5E" w:rsidRPr="0042007A" w:rsidRDefault="00851D5E" w:rsidP="0042007A">
      <w:pPr>
        <w:rPr>
          <w:szCs w:val="22"/>
        </w:rPr>
      </w:pPr>
    </w:p>
    <w:p w14:paraId="707123D7" w14:textId="77777777" w:rsidR="00851D5E" w:rsidRPr="0042007A" w:rsidRDefault="00851D5E" w:rsidP="0042007A">
      <w:pPr>
        <w:rPr>
          <w:bCs/>
          <w:iCs/>
          <w:szCs w:val="22"/>
        </w:rPr>
      </w:pPr>
      <w:r w:rsidRPr="0042007A">
        <w:rPr>
          <w:b/>
          <w:i/>
          <w:szCs w:val="22"/>
          <w:u w:val="single"/>
        </w:rPr>
        <w:t>Tirpiklis</w:t>
      </w:r>
    </w:p>
    <w:p w14:paraId="3F78F2AE" w14:textId="77777777" w:rsidR="00851D5E" w:rsidRPr="0042007A" w:rsidRDefault="00851D5E" w:rsidP="0042007A">
      <w:pPr>
        <w:rPr>
          <w:szCs w:val="22"/>
        </w:rPr>
      </w:pPr>
      <w:r w:rsidRPr="0042007A">
        <w:rPr>
          <w:szCs w:val="22"/>
        </w:rPr>
        <w:t>Injekcinis vanduo.</w:t>
      </w:r>
    </w:p>
    <w:p w14:paraId="1E02D58E" w14:textId="77777777" w:rsidR="00851D5E" w:rsidRPr="0042007A" w:rsidRDefault="00851D5E" w:rsidP="0042007A">
      <w:pPr>
        <w:rPr>
          <w:szCs w:val="22"/>
        </w:rPr>
      </w:pPr>
    </w:p>
    <w:p w14:paraId="6DC761FB" w14:textId="77777777" w:rsidR="00851D5E" w:rsidRPr="0042007A" w:rsidRDefault="00851D5E" w:rsidP="0042007A">
      <w:pPr>
        <w:keepNext/>
        <w:keepLines/>
        <w:rPr>
          <w:bCs/>
          <w:szCs w:val="22"/>
        </w:rPr>
      </w:pPr>
      <w:r w:rsidRPr="0042007A">
        <w:rPr>
          <w:b/>
          <w:szCs w:val="22"/>
        </w:rPr>
        <w:t>VARIVAX išvaizda ir kiekis pakuotėje</w:t>
      </w:r>
    </w:p>
    <w:p w14:paraId="3DFE52E0" w14:textId="77777777" w:rsidR="00851D5E" w:rsidRPr="0042007A" w:rsidRDefault="00851D5E" w:rsidP="0042007A">
      <w:pPr>
        <w:rPr>
          <w:szCs w:val="22"/>
        </w:rPr>
      </w:pPr>
      <w:r w:rsidRPr="0042007A">
        <w:rPr>
          <w:szCs w:val="22"/>
        </w:rPr>
        <w:t>Farmacinė forma: milteliai ir tirpiklis injekcinei suspensijai.</w:t>
      </w:r>
    </w:p>
    <w:p w14:paraId="60BE27CD" w14:textId="77777777" w:rsidR="00851D5E" w:rsidRPr="0042007A" w:rsidRDefault="00851D5E" w:rsidP="0042007A">
      <w:pPr>
        <w:rPr>
          <w:szCs w:val="22"/>
        </w:rPr>
      </w:pPr>
    </w:p>
    <w:p w14:paraId="7A09C7CC" w14:textId="65053F88" w:rsidR="00851D5E" w:rsidRPr="0042007A" w:rsidRDefault="00851D5E" w:rsidP="0042007A">
      <w:pPr>
        <w:rPr>
          <w:szCs w:val="22"/>
        </w:rPr>
      </w:pPr>
      <w:r w:rsidRPr="0042007A">
        <w:rPr>
          <w:szCs w:val="22"/>
        </w:rPr>
        <w:t>Vakciną sudaro balti arba balkšvi milteliai flakone ir skaidrus bespalvis skystas tirpiklis užpildytame švirkšte. Pakuotėje yra viena doz</w:t>
      </w:r>
      <w:r w:rsidR="00662D5D">
        <w:rPr>
          <w:szCs w:val="22"/>
        </w:rPr>
        <w:t>ė</w:t>
      </w:r>
      <w:r w:rsidRPr="0042007A">
        <w:rPr>
          <w:szCs w:val="22"/>
        </w:rPr>
        <w:t>.</w:t>
      </w:r>
    </w:p>
    <w:p w14:paraId="6442E5A0" w14:textId="77777777" w:rsidR="00851D5E" w:rsidRPr="0042007A" w:rsidRDefault="00851D5E" w:rsidP="0042007A">
      <w:pPr>
        <w:rPr>
          <w:szCs w:val="22"/>
        </w:rPr>
      </w:pPr>
    </w:p>
    <w:p w14:paraId="75702987" w14:textId="77777777" w:rsidR="00851D5E" w:rsidRPr="0042007A" w:rsidRDefault="00851D5E" w:rsidP="0042007A">
      <w:pPr>
        <w:rPr>
          <w:szCs w:val="22"/>
        </w:rPr>
      </w:pPr>
      <w:r w:rsidRPr="0042007A">
        <w:rPr>
          <w:szCs w:val="22"/>
        </w:rPr>
        <w:t>Tiekiami injekciniu vandeniu užpildyti švirkštai. Išorinėje pakuotėje taip pat gali būti 2 atskiros adatos.</w:t>
      </w:r>
    </w:p>
    <w:p w14:paraId="1A51EF31" w14:textId="77777777" w:rsidR="00851D5E" w:rsidRPr="00707E0A" w:rsidRDefault="00851D5E" w:rsidP="0042007A">
      <w:pPr>
        <w:rPr>
          <w:szCs w:val="22"/>
        </w:rPr>
      </w:pPr>
    </w:p>
    <w:p w14:paraId="28C60FF8" w14:textId="52892EAE" w:rsidR="00851D5E" w:rsidRPr="00707E0A" w:rsidRDefault="00707E0A" w:rsidP="00EC3B36">
      <w:pPr>
        <w:keepNext/>
        <w:tabs>
          <w:tab w:val="left" w:pos="567"/>
        </w:tabs>
        <w:jc w:val="both"/>
        <w:outlineLvl w:val="3"/>
        <w:rPr>
          <w:szCs w:val="22"/>
        </w:rPr>
      </w:pPr>
      <w:r w:rsidRPr="00707E0A">
        <w:rPr>
          <w:b/>
          <w:szCs w:val="22"/>
          <w:lang w:eastAsia="en-US"/>
        </w:rPr>
        <w:t>G</w:t>
      </w:r>
      <w:r w:rsidR="00851D5E" w:rsidRPr="00707E0A">
        <w:rPr>
          <w:b/>
          <w:szCs w:val="22"/>
          <w:lang w:eastAsia="en-US"/>
        </w:rPr>
        <w:t>amintojas</w:t>
      </w:r>
      <w:r w:rsidRPr="00707E0A">
        <w:rPr>
          <w:b/>
          <w:szCs w:val="22"/>
          <w:lang w:eastAsia="en-US"/>
        </w:rPr>
        <w:t xml:space="preserve"> ir </w:t>
      </w:r>
      <w:r w:rsidRPr="00707E0A">
        <w:rPr>
          <w:b/>
          <w:bCs/>
          <w:szCs w:val="22"/>
        </w:rPr>
        <w:t xml:space="preserve">registruotojas eksportuojančioje valstybėje yra </w:t>
      </w:r>
      <w:proofErr w:type="spellStart"/>
      <w:r w:rsidR="00851D5E" w:rsidRPr="00707E0A">
        <w:rPr>
          <w:szCs w:val="22"/>
        </w:rPr>
        <w:t>Merck</w:t>
      </w:r>
      <w:proofErr w:type="spellEnd"/>
      <w:r w:rsidR="00851D5E" w:rsidRPr="00707E0A">
        <w:rPr>
          <w:szCs w:val="22"/>
        </w:rPr>
        <w:t xml:space="preserve"> Sharp &amp; </w:t>
      </w:r>
      <w:proofErr w:type="spellStart"/>
      <w:r w:rsidR="00851D5E" w:rsidRPr="00707E0A">
        <w:rPr>
          <w:szCs w:val="22"/>
        </w:rPr>
        <w:t>Dohme</w:t>
      </w:r>
      <w:proofErr w:type="spellEnd"/>
      <w:r w:rsidR="00851D5E" w:rsidRPr="00707E0A">
        <w:rPr>
          <w:szCs w:val="22"/>
        </w:rPr>
        <w:t xml:space="preserve"> B.V.</w:t>
      </w:r>
      <w:r w:rsidRPr="00707E0A">
        <w:rPr>
          <w:szCs w:val="22"/>
        </w:rPr>
        <w:t xml:space="preserve">, </w:t>
      </w:r>
      <w:proofErr w:type="spellStart"/>
      <w:r w:rsidR="00851D5E" w:rsidRPr="00707E0A">
        <w:rPr>
          <w:szCs w:val="22"/>
        </w:rPr>
        <w:t>Waarderweg</w:t>
      </w:r>
      <w:proofErr w:type="spellEnd"/>
      <w:r w:rsidR="00851D5E" w:rsidRPr="00707E0A">
        <w:rPr>
          <w:szCs w:val="22"/>
        </w:rPr>
        <w:t xml:space="preserve"> 39</w:t>
      </w:r>
      <w:r w:rsidRPr="00707E0A">
        <w:rPr>
          <w:szCs w:val="22"/>
        </w:rPr>
        <w:t xml:space="preserve">, </w:t>
      </w:r>
      <w:r w:rsidR="00851D5E" w:rsidRPr="00707E0A">
        <w:rPr>
          <w:szCs w:val="22"/>
        </w:rPr>
        <w:t xml:space="preserve">2031 BN </w:t>
      </w:r>
      <w:proofErr w:type="spellStart"/>
      <w:r w:rsidR="00851D5E" w:rsidRPr="00707E0A">
        <w:rPr>
          <w:szCs w:val="22"/>
        </w:rPr>
        <w:t>Haarlem</w:t>
      </w:r>
      <w:proofErr w:type="spellEnd"/>
      <w:r w:rsidRPr="00707E0A">
        <w:rPr>
          <w:szCs w:val="22"/>
        </w:rPr>
        <w:t xml:space="preserve">, </w:t>
      </w:r>
      <w:r w:rsidR="00851D5E" w:rsidRPr="00707E0A">
        <w:rPr>
          <w:szCs w:val="22"/>
        </w:rPr>
        <w:t>Nyderlandai</w:t>
      </w:r>
    </w:p>
    <w:p w14:paraId="20F31F77" w14:textId="77777777" w:rsidR="00AB129E" w:rsidRDefault="00AB129E" w:rsidP="0042007A">
      <w:pPr>
        <w:rPr>
          <w:szCs w:val="22"/>
        </w:rPr>
      </w:pPr>
    </w:p>
    <w:p w14:paraId="20915CA9" w14:textId="77777777" w:rsidR="00AB129E" w:rsidRPr="0099722E" w:rsidRDefault="00AB129E" w:rsidP="00AB129E">
      <w:pPr>
        <w:widowControl w:val="0"/>
        <w:autoSpaceDE w:val="0"/>
        <w:autoSpaceDN w:val="0"/>
        <w:adjustRightInd w:val="0"/>
        <w:rPr>
          <w:szCs w:val="22"/>
        </w:rPr>
      </w:pPr>
      <w:r w:rsidRPr="0099722E">
        <w:rPr>
          <w:b/>
          <w:bCs/>
          <w:szCs w:val="22"/>
        </w:rPr>
        <w:t>Lygiagretus importuotojas</w:t>
      </w:r>
    </w:p>
    <w:p w14:paraId="039C8EBF" w14:textId="77777777" w:rsidR="00AB129E" w:rsidRDefault="00AB129E" w:rsidP="00AB129E">
      <w:pPr>
        <w:widowControl w:val="0"/>
        <w:autoSpaceDE w:val="0"/>
        <w:autoSpaceDN w:val="0"/>
        <w:adjustRightInd w:val="0"/>
        <w:rPr>
          <w:szCs w:val="22"/>
        </w:rPr>
      </w:pPr>
      <w:r w:rsidRPr="0099722E">
        <w:rPr>
          <w:szCs w:val="22"/>
        </w:rPr>
        <w:t>UAB „</w:t>
      </w:r>
      <w:proofErr w:type="spellStart"/>
      <w:r w:rsidRPr="0099722E">
        <w:rPr>
          <w:szCs w:val="22"/>
        </w:rPr>
        <w:t>Lex</w:t>
      </w:r>
      <w:proofErr w:type="spellEnd"/>
      <w:r w:rsidRPr="0099722E">
        <w:rPr>
          <w:szCs w:val="22"/>
        </w:rPr>
        <w:t xml:space="preserve"> ano“, Naugarduko g. 3, LT-03231 Vilnius, Lietuva</w:t>
      </w:r>
    </w:p>
    <w:p w14:paraId="48F26711" w14:textId="77777777" w:rsidR="00D16E9D" w:rsidRDefault="00D16E9D" w:rsidP="00AB129E">
      <w:pPr>
        <w:widowControl w:val="0"/>
        <w:autoSpaceDE w:val="0"/>
        <w:autoSpaceDN w:val="0"/>
        <w:adjustRightInd w:val="0"/>
        <w:rPr>
          <w:szCs w:val="22"/>
        </w:rPr>
      </w:pPr>
    </w:p>
    <w:p w14:paraId="583463F8" w14:textId="77777777" w:rsidR="00D16E9D" w:rsidRPr="0099722E" w:rsidRDefault="00D16E9D" w:rsidP="00D16E9D">
      <w:pPr>
        <w:widowControl w:val="0"/>
        <w:autoSpaceDE w:val="0"/>
        <w:autoSpaceDN w:val="0"/>
        <w:adjustRightInd w:val="0"/>
        <w:rPr>
          <w:szCs w:val="22"/>
        </w:rPr>
      </w:pPr>
      <w:r w:rsidRPr="0099722E">
        <w:rPr>
          <w:b/>
          <w:bCs/>
          <w:szCs w:val="22"/>
        </w:rPr>
        <w:t>Perpakavo</w:t>
      </w:r>
    </w:p>
    <w:p w14:paraId="6CEC1528" w14:textId="73D0B6FA" w:rsidR="00D16E9D" w:rsidRPr="0099722E" w:rsidRDefault="00D16E9D" w:rsidP="00D16E9D">
      <w:pPr>
        <w:widowControl w:val="0"/>
        <w:autoSpaceDE w:val="0"/>
        <w:autoSpaceDN w:val="0"/>
        <w:adjustRightInd w:val="0"/>
        <w:rPr>
          <w:szCs w:val="22"/>
        </w:rPr>
      </w:pPr>
      <w:r w:rsidRPr="0099722E">
        <w:rPr>
          <w:szCs w:val="22"/>
        </w:rPr>
        <w:t>Lietuvos ir Norvegijos UAB „</w:t>
      </w:r>
      <w:proofErr w:type="spellStart"/>
      <w:r w:rsidRPr="0099722E">
        <w:rPr>
          <w:szCs w:val="22"/>
        </w:rPr>
        <w:t>Norfachema</w:t>
      </w:r>
      <w:proofErr w:type="spellEnd"/>
      <w:r w:rsidRPr="0099722E">
        <w:rPr>
          <w:szCs w:val="22"/>
        </w:rPr>
        <w:t>“, Vytauto g. 6, LT-55175 Jonava, Lietuva</w:t>
      </w:r>
    </w:p>
    <w:p w14:paraId="37F4873C" w14:textId="77777777" w:rsidR="00D16E9D" w:rsidRPr="0099722E" w:rsidRDefault="00D16E9D" w:rsidP="00D16E9D">
      <w:pPr>
        <w:widowControl w:val="0"/>
        <w:autoSpaceDE w:val="0"/>
        <w:autoSpaceDN w:val="0"/>
        <w:adjustRightInd w:val="0"/>
        <w:rPr>
          <w:szCs w:val="22"/>
        </w:rPr>
      </w:pPr>
      <w:r w:rsidRPr="0099722E">
        <w:rPr>
          <w:szCs w:val="22"/>
        </w:rPr>
        <w:t>arba</w:t>
      </w:r>
    </w:p>
    <w:p w14:paraId="3AF4CB42" w14:textId="77777777" w:rsidR="00D16E9D" w:rsidRPr="0099722E" w:rsidRDefault="00D16E9D" w:rsidP="00D16E9D">
      <w:pPr>
        <w:widowControl w:val="0"/>
        <w:autoSpaceDE w:val="0"/>
        <w:autoSpaceDN w:val="0"/>
        <w:adjustRightInd w:val="0"/>
        <w:rPr>
          <w:szCs w:val="22"/>
        </w:rPr>
      </w:pPr>
      <w:r w:rsidRPr="0099722E">
        <w:rPr>
          <w:szCs w:val="22"/>
        </w:rPr>
        <w:t xml:space="preserve">UAB „ENTAFARMA“, </w:t>
      </w:r>
      <w:proofErr w:type="spellStart"/>
      <w:r w:rsidRPr="0099722E">
        <w:rPr>
          <w:szCs w:val="22"/>
        </w:rPr>
        <w:t>Klonėnų</w:t>
      </w:r>
      <w:proofErr w:type="spellEnd"/>
      <w:r w:rsidRPr="0099722E">
        <w:rPr>
          <w:szCs w:val="22"/>
        </w:rPr>
        <w:t xml:space="preserve"> vs. 1, LT-19156 Širvintų r. sav., Lietuva</w:t>
      </w:r>
    </w:p>
    <w:p w14:paraId="5C26813C" w14:textId="290898FF" w:rsidR="00D16E9D" w:rsidRPr="0099722E" w:rsidRDefault="00D16E9D" w:rsidP="00D16E9D">
      <w:pPr>
        <w:widowControl w:val="0"/>
        <w:autoSpaceDE w:val="0"/>
        <w:autoSpaceDN w:val="0"/>
        <w:adjustRightInd w:val="0"/>
        <w:rPr>
          <w:szCs w:val="22"/>
        </w:rPr>
      </w:pPr>
      <w:r w:rsidRPr="0099722E">
        <w:rPr>
          <w:szCs w:val="22"/>
        </w:rPr>
        <w:t>arba</w:t>
      </w:r>
    </w:p>
    <w:p w14:paraId="4C38C7F8" w14:textId="77777777" w:rsidR="00D16E9D" w:rsidRDefault="00D16E9D" w:rsidP="00D16E9D">
      <w:pPr>
        <w:pStyle w:val="BTEMEASMCA"/>
        <w:rPr>
          <w:sz w:val="22"/>
          <w:szCs w:val="22"/>
          <w:lang w:eastAsia="zh-CN"/>
        </w:rPr>
      </w:pPr>
      <w:proofErr w:type="spellStart"/>
      <w:r w:rsidRPr="005840F5">
        <w:rPr>
          <w:sz w:val="22"/>
          <w:szCs w:val="22"/>
          <w:lang w:eastAsia="zh-CN"/>
        </w:rPr>
        <w:t>Medezin</w:t>
      </w:r>
      <w:proofErr w:type="spellEnd"/>
      <w:r w:rsidRPr="005840F5">
        <w:rPr>
          <w:sz w:val="22"/>
          <w:szCs w:val="22"/>
          <w:lang w:eastAsia="zh-CN"/>
        </w:rPr>
        <w:t xml:space="preserve"> Sp. z </w:t>
      </w:r>
      <w:proofErr w:type="spellStart"/>
      <w:r w:rsidRPr="005840F5">
        <w:rPr>
          <w:sz w:val="22"/>
          <w:szCs w:val="22"/>
          <w:lang w:eastAsia="zh-CN"/>
        </w:rPr>
        <w:t>o.o</w:t>
      </w:r>
      <w:proofErr w:type="spellEnd"/>
      <w:r w:rsidRPr="005840F5">
        <w:rPr>
          <w:sz w:val="22"/>
          <w:szCs w:val="22"/>
          <w:lang w:eastAsia="zh-CN"/>
        </w:rPr>
        <w:t xml:space="preserve">., </w:t>
      </w:r>
      <w:proofErr w:type="spellStart"/>
      <w:r w:rsidRPr="005840F5">
        <w:rPr>
          <w:sz w:val="22"/>
          <w:szCs w:val="22"/>
          <w:lang w:eastAsia="zh-CN"/>
        </w:rPr>
        <w:t>Ul</w:t>
      </w:r>
      <w:proofErr w:type="spellEnd"/>
      <w:r w:rsidRPr="005840F5">
        <w:rPr>
          <w:sz w:val="22"/>
          <w:szCs w:val="22"/>
          <w:lang w:eastAsia="zh-CN"/>
        </w:rPr>
        <w:t xml:space="preserve">. </w:t>
      </w:r>
      <w:proofErr w:type="spellStart"/>
      <w:r w:rsidRPr="005840F5">
        <w:rPr>
          <w:sz w:val="22"/>
          <w:szCs w:val="22"/>
          <w:lang w:eastAsia="zh-CN"/>
        </w:rPr>
        <w:t>Księdza</w:t>
      </w:r>
      <w:proofErr w:type="spellEnd"/>
      <w:r w:rsidRPr="005840F5">
        <w:rPr>
          <w:sz w:val="22"/>
          <w:szCs w:val="22"/>
          <w:lang w:eastAsia="zh-CN"/>
        </w:rPr>
        <w:t xml:space="preserve"> </w:t>
      </w:r>
      <w:proofErr w:type="spellStart"/>
      <w:r w:rsidRPr="005840F5">
        <w:rPr>
          <w:sz w:val="22"/>
          <w:szCs w:val="22"/>
          <w:lang w:eastAsia="zh-CN"/>
        </w:rPr>
        <w:t>Kazimierza</w:t>
      </w:r>
      <w:proofErr w:type="spellEnd"/>
      <w:r w:rsidRPr="005840F5">
        <w:rPr>
          <w:sz w:val="22"/>
          <w:szCs w:val="22"/>
          <w:lang w:eastAsia="zh-CN"/>
        </w:rPr>
        <w:t xml:space="preserve"> </w:t>
      </w:r>
      <w:proofErr w:type="spellStart"/>
      <w:r w:rsidRPr="005840F5">
        <w:rPr>
          <w:sz w:val="22"/>
          <w:szCs w:val="22"/>
          <w:lang w:eastAsia="zh-CN"/>
        </w:rPr>
        <w:t>Janika</w:t>
      </w:r>
      <w:proofErr w:type="spellEnd"/>
      <w:r w:rsidRPr="005840F5">
        <w:rPr>
          <w:sz w:val="22"/>
          <w:szCs w:val="22"/>
          <w:lang w:eastAsia="zh-CN"/>
        </w:rPr>
        <w:t xml:space="preserve"> 14, </w:t>
      </w:r>
      <w:proofErr w:type="spellStart"/>
      <w:r w:rsidRPr="005840F5">
        <w:rPr>
          <w:sz w:val="22"/>
          <w:szCs w:val="22"/>
          <w:lang w:eastAsia="zh-CN"/>
        </w:rPr>
        <w:t>Konstantynów</w:t>
      </w:r>
      <w:proofErr w:type="spellEnd"/>
      <w:r w:rsidRPr="005840F5">
        <w:rPr>
          <w:sz w:val="22"/>
          <w:szCs w:val="22"/>
          <w:lang w:eastAsia="zh-CN"/>
        </w:rPr>
        <w:t xml:space="preserve"> </w:t>
      </w:r>
      <w:proofErr w:type="spellStart"/>
      <w:r w:rsidRPr="005840F5">
        <w:rPr>
          <w:sz w:val="22"/>
          <w:szCs w:val="22"/>
          <w:lang w:eastAsia="zh-CN"/>
        </w:rPr>
        <w:t>Łódzki</w:t>
      </w:r>
      <w:proofErr w:type="spellEnd"/>
      <w:r w:rsidRPr="005840F5">
        <w:rPr>
          <w:sz w:val="22"/>
          <w:szCs w:val="22"/>
          <w:lang w:eastAsia="zh-CN"/>
        </w:rPr>
        <w:t>, 95-050, Lenkija</w:t>
      </w:r>
    </w:p>
    <w:p w14:paraId="7B3E5009" w14:textId="591BCDE1" w:rsidR="00AB129E" w:rsidRPr="0042007A" w:rsidRDefault="00AB129E" w:rsidP="0042007A">
      <w:pPr>
        <w:rPr>
          <w:szCs w:val="22"/>
        </w:rPr>
      </w:pPr>
    </w:p>
    <w:p w14:paraId="0D5774BA" w14:textId="7779F277" w:rsidR="00851D5E" w:rsidRPr="00EC3B36" w:rsidRDefault="00851D5E" w:rsidP="0042007A">
      <w:pPr>
        <w:pStyle w:val="Pagrindinistekstas"/>
        <w:spacing w:after="0"/>
        <w:outlineLvl w:val="0"/>
        <w:rPr>
          <w:bCs/>
          <w:szCs w:val="22"/>
        </w:rPr>
      </w:pPr>
      <w:r w:rsidRPr="0042007A">
        <w:rPr>
          <w:b/>
          <w:bCs/>
          <w:szCs w:val="22"/>
        </w:rPr>
        <w:t xml:space="preserve">Šis pakuotės </w:t>
      </w:r>
      <w:r w:rsidRPr="0042007A">
        <w:rPr>
          <w:b/>
          <w:szCs w:val="22"/>
        </w:rPr>
        <w:t xml:space="preserve">lapelis paskutinį kartą peržiūrėtas </w:t>
      </w:r>
      <w:r w:rsidR="0044255A">
        <w:rPr>
          <w:b/>
          <w:szCs w:val="22"/>
        </w:rPr>
        <w:t>2026-05-06</w:t>
      </w:r>
      <w:r w:rsidR="00165297" w:rsidRPr="0042007A">
        <w:rPr>
          <w:b/>
          <w:szCs w:val="22"/>
        </w:rPr>
        <w:t>.</w:t>
      </w:r>
    </w:p>
    <w:p w14:paraId="6F25C13C" w14:textId="77777777" w:rsidR="00851D5E" w:rsidRPr="0042007A" w:rsidRDefault="00851D5E" w:rsidP="0042007A">
      <w:pPr>
        <w:pStyle w:val="Pagrindinistekstas"/>
        <w:spacing w:after="0"/>
        <w:outlineLvl w:val="0"/>
        <w:rPr>
          <w:bCs/>
          <w:szCs w:val="22"/>
        </w:rPr>
      </w:pPr>
    </w:p>
    <w:p w14:paraId="55F16293" w14:textId="0F74DD05" w:rsidR="00851D5E" w:rsidRPr="0042007A" w:rsidRDefault="00851D5E" w:rsidP="0042007A">
      <w:pPr>
        <w:tabs>
          <w:tab w:val="left" w:pos="1620"/>
        </w:tabs>
        <w:rPr>
          <w:szCs w:val="22"/>
          <w:highlight w:val="yellow"/>
        </w:rPr>
      </w:pPr>
      <w:r w:rsidRPr="0042007A">
        <w:rPr>
          <w:szCs w:val="22"/>
        </w:rPr>
        <w:t>Išsami informacija apie šį vaistą pateikiama Valstybinės vaistų kontrolės tarnybos prie Lietuvos Respublikos sveikatos apsaugos ministerijos tinklalapyje</w:t>
      </w:r>
      <w:r w:rsidRPr="0042007A">
        <w:rPr>
          <w:i/>
          <w:szCs w:val="22"/>
        </w:rPr>
        <w:t xml:space="preserve"> </w:t>
      </w:r>
      <w:r w:rsidR="00B31803" w:rsidRPr="0042007A">
        <w:rPr>
          <w:color w:val="0000EE"/>
          <w:szCs w:val="22"/>
          <w:u w:val="single"/>
        </w:rPr>
        <w:t>https://vvkt.lrv.lt/lt/</w:t>
      </w:r>
      <w:r w:rsidR="00B31803" w:rsidRPr="0042007A">
        <w:rPr>
          <w:szCs w:val="22"/>
        </w:rPr>
        <w:t>.</w:t>
      </w:r>
    </w:p>
    <w:p w14:paraId="049035A7" w14:textId="77777777" w:rsidR="00597D7A" w:rsidRPr="00597D7A" w:rsidRDefault="00597D7A" w:rsidP="00597D7A">
      <w:pPr>
        <w:rPr>
          <w:szCs w:val="22"/>
        </w:rPr>
      </w:pPr>
    </w:p>
    <w:p w14:paraId="1B0CDBD9" w14:textId="14B636C8" w:rsidR="00597D7A" w:rsidRPr="00C12BB1" w:rsidRDefault="00597D7A" w:rsidP="00597D7A">
      <w:pPr>
        <w:rPr>
          <w:szCs w:val="22"/>
        </w:rPr>
      </w:pPr>
      <w:r w:rsidRPr="00C12BB1">
        <w:rPr>
          <w:b/>
          <w:bCs/>
          <w:szCs w:val="22"/>
        </w:rPr>
        <w:t>--------------------------------------------------------------------------------------------------------------------------</w:t>
      </w:r>
    </w:p>
    <w:p w14:paraId="0D5C5E18" w14:textId="77777777" w:rsidR="00EC3B36" w:rsidRPr="00EC3B36" w:rsidRDefault="00EC3B36" w:rsidP="00EC3B36"/>
    <w:p w14:paraId="68C766CB" w14:textId="1854EEDD" w:rsidR="00851D5E" w:rsidRPr="00EC3B36" w:rsidRDefault="00851D5E" w:rsidP="00EC3B36">
      <w:r w:rsidRPr="00EC3B36">
        <w:rPr>
          <w:b/>
          <w:bCs/>
        </w:rPr>
        <w:t>Toliau pateikta informacija skirta tik sveikatos priežiūros specialistams:</w:t>
      </w:r>
    </w:p>
    <w:p w14:paraId="44BF6C29" w14:textId="77777777" w:rsidR="00851D5E" w:rsidRPr="0042007A" w:rsidRDefault="00851D5E" w:rsidP="0042007A">
      <w:pPr>
        <w:pStyle w:val="Pagrindinistekstas"/>
        <w:spacing w:after="0"/>
        <w:rPr>
          <w:szCs w:val="22"/>
        </w:rPr>
      </w:pPr>
    </w:p>
    <w:p w14:paraId="7EA548BE" w14:textId="77777777" w:rsidR="00851D5E" w:rsidRPr="0042007A" w:rsidRDefault="00851D5E" w:rsidP="0042007A">
      <w:pPr>
        <w:pStyle w:val="Pagrindinistekstas"/>
        <w:spacing w:after="0"/>
        <w:rPr>
          <w:bCs/>
          <w:szCs w:val="22"/>
        </w:rPr>
      </w:pPr>
      <w:r w:rsidRPr="0042007A">
        <w:rPr>
          <w:b/>
          <w:szCs w:val="22"/>
        </w:rPr>
        <w:t>Instrukcija</w:t>
      </w:r>
    </w:p>
    <w:p w14:paraId="4D9FD01D" w14:textId="77777777" w:rsidR="00851D5E" w:rsidRPr="0042007A" w:rsidRDefault="00851D5E" w:rsidP="0042007A">
      <w:pPr>
        <w:rPr>
          <w:szCs w:val="22"/>
        </w:rPr>
      </w:pPr>
      <w:r w:rsidRPr="0042007A">
        <w:rPr>
          <w:szCs w:val="22"/>
        </w:rPr>
        <w:t>Prieš paruošimą flakone yra baltų ar beveik baltų miltelių, o užpildytame švirkšte yra skaidraus bespalvio skysto tirpiklio. Paruošta vakcina yra skaidrus, bespalvis ar šviesiai gelsvas tirpalas.</w:t>
      </w:r>
    </w:p>
    <w:p w14:paraId="06FFB710" w14:textId="77777777" w:rsidR="00851D5E" w:rsidRPr="0042007A" w:rsidRDefault="00851D5E" w:rsidP="0042007A">
      <w:pPr>
        <w:rPr>
          <w:i/>
          <w:szCs w:val="22"/>
        </w:rPr>
      </w:pPr>
    </w:p>
    <w:p w14:paraId="1B1EA214" w14:textId="77777777" w:rsidR="00851D5E" w:rsidRPr="0042007A" w:rsidRDefault="00851D5E" w:rsidP="0042007A">
      <w:pPr>
        <w:rPr>
          <w:szCs w:val="22"/>
        </w:rPr>
      </w:pPr>
      <w:r w:rsidRPr="0042007A">
        <w:rPr>
          <w:szCs w:val="22"/>
        </w:rPr>
        <w:t>Venkite kontakto su dezinfekcijos medžiagomis.</w:t>
      </w:r>
    </w:p>
    <w:p w14:paraId="013C94C3" w14:textId="77777777" w:rsidR="00851D5E" w:rsidRPr="0042007A" w:rsidRDefault="00851D5E" w:rsidP="0042007A">
      <w:pPr>
        <w:rPr>
          <w:szCs w:val="22"/>
        </w:rPr>
      </w:pPr>
    </w:p>
    <w:p w14:paraId="0C23B8DC" w14:textId="77777777" w:rsidR="00851D5E" w:rsidRPr="0042007A" w:rsidRDefault="00851D5E" w:rsidP="0042007A">
      <w:pPr>
        <w:rPr>
          <w:szCs w:val="22"/>
        </w:rPr>
      </w:pPr>
      <w:r w:rsidRPr="0042007A">
        <w:rPr>
          <w:szCs w:val="22"/>
        </w:rPr>
        <w:t>Vakcinai ruošti naudokite tik tirpiklį, esantį užpildytame švirkšte.</w:t>
      </w:r>
    </w:p>
    <w:p w14:paraId="5177965B" w14:textId="77777777" w:rsidR="00851D5E" w:rsidRPr="0042007A" w:rsidRDefault="00851D5E" w:rsidP="0042007A">
      <w:pPr>
        <w:rPr>
          <w:szCs w:val="22"/>
        </w:rPr>
      </w:pPr>
    </w:p>
    <w:p w14:paraId="73CFFC81" w14:textId="77777777" w:rsidR="00851D5E" w:rsidRPr="0042007A" w:rsidRDefault="00851D5E" w:rsidP="0042007A">
      <w:pPr>
        <w:rPr>
          <w:szCs w:val="22"/>
        </w:rPr>
      </w:pPr>
      <w:r w:rsidRPr="0042007A">
        <w:rPr>
          <w:szCs w:val="22"/>
        </w:rPr>
        <w:t>Siekiant infekcinių ligų sukėlėjais neužkrėsti kito paciento, svarbu kiekvienam pacientui vakciną leisti atskiru steriliu švirkštu ir adata.</w:t>
      </w:r>
    </w:p>
    <w:p w14:paraId="0D16E87D" w14:textId="77777777" w:rsidR="00851D5E" w:rsidRPr="0042007A" w:rsidRDefault="00851D5E" w:rsidP="0042007A">
      <w:pPr>
        <w:rPr>
          <w:szCs w:val="22"/>
        </w:rPr>
      </w:pPr>
    </w:p>
    <w:p w14:paraId="42E1AE32" w14:textId="77777777" w:rsidR="00851D5E" w:rsidRPr="0042007A" w:rsidRDefault="00851D5E" w:rsidP="0042007A">
      <w:pPr>
        <w:rPr>
          <w:szCs w:val="22"/>
        </w:rPr>
      </w:pPr>
      <w:r w:rsidRPr="0042007A">
        <w:rPr>
          <w:szCs w:val="22"/>
        </w:rPr>
        <w:t>Vieną adatą reikia naudoti vakcinos paruošimui, o kitą naują adatą – injekcijai.</w:t>
      </w:r>
    </w:p>
    <w:p w14:paraId="66E48323" w14:textId="77777777" w:rsidR="00851D5E" w:rsidRPr="0042007A" w:rsidRDefault="00851D5E" w:rsidP="0042007A">
      <w:pPr>
        <w:rPr>
          <w:szCs w:val="22"/>
        </w:rPr>
      </w:pPr>
    </w:p>
    <w:p w14:paraId="6787C0C9" w14:textId="77777777" w:rsidR="00851D5E" w:rsidRPr="0042007A" w:rsidRDefault="00851D5E" w:rsidP="0042007A">
      <w:pPr>
        <w:keepNext/>
        <w:rPr>
          <w:bCs/>
          <w:iCs/>
          <w:szCs w:val="22"/>
        </w:rPr>
      </w:pPr>
      <w:r w:rsidRPr="0042007A">
        <w:rPr>
          <w:b/>
          <w:i/>
          <w:szCs w:val="22"/>
        </w:rPr>
        <w:t>Vakcinos ruošimo instrukcija</w:t>
      </w:r>
    </w:p>
    <w:p w14:paraId="202E5C39" w14:textId="1E182599" w:rsidR="00851D5E" w:rsidRPr="0042007A" w:rsidRDefault="00851D5E" w:rsidP="0042007A">
      <w:pPr>
        <w:rPr>
          <w:szCs w:val="22"/>
        </w:rPr>
      </w:pPr>
      <w:r w:rsidRPr="0042007A">
        <w:rPr>
          <w:szCs w:val="22"/>
        </w:rPr>
        <w:t>Norint pritvirtinti adatą, ją reikia tvirtai uždėti ant švirkšto galo ir įtvirtinti pasukant.</w:t>
      </w:r>
    </w:p>
    <w:p w14:paraId="2D94A803" w14:textId="77777777" w:rsidR="00851D5E" w:rsidRPr="0042007A" w:rsidRDefault="00851D5E" w:rsidP="0042007A">
      <w:pPr>
        <w:rPr>
          <w:szCs w:val="22"/>
        </w:rPr>
      </w:pPr>
    </w:p>
    <w:p w14:paraId="3AFE427F" w14:textId="77777777" w:rsidR="00851D5E" w:rsidRPr="0042007A" w:rsidRDefault="00851D5E" w:rsidP="0042007A">
      <w:pPr>
        <w:rPr>
          <w:szCs w:val="22"/>
        </w:rPr>
      </w:pPr>
      <w:r w:rsidRPr="0042007A">
        <w:rPr>
          <w:szCs w:val="22"/>
        </w:rPr>
        <w:t>Suleiskite visą švirkšto turinį į flakoną, kuriame yra miltelių. Atsargiai kratykite flakoną, kol suspensija visiškai susimaišys.</w:t>
      </w:r>
    </w:p>
    <w:p w14:paraId="4749DFF2" w14:textId="77777777" w:rsidR="00851D5E" w:rsidRPr="0042007A" w:rsidRDefault="00851D5E" w:rsidP="0042007A">
      <w:pPr>
        <w:rPr>
          <w:szCs w:val="22"/>
        </w:rPr>
      </w:pPr>
    </w:p>
    <w:p w14:paraId="782130A3" w14:textId="77777777" w:rsidR="00851D5E" w:rsidRPr="0042007A" w:rsidRDefault="00851D5E" w:rsidP="0042007A">
      <w:pPr>
        <w:rPr>
          <w:szCs w:val="22"/>
        </w:rPr>
      </w:pPr>
      <w:r w:rsidRPr="0042007A">
        <w:rPr>
          <w:szCs w:val="22"/>
        </w:rPr>
        <w:t>Paruoštą vakciną reikia apžiūrėti, ar nėra matomų pašalinių dalelių ir (ar) nepakitusios jos fizinės savybės. Jeigu yra bet kokių dalelių arba paruošta vakcina nėra skaidrus, bespalvis arba šviesiai gelsvas skystis, tokios vakcinos vartoti negalima.</w:t>
      </w:r>
    </w:p>
    <w:p w14:paraId="2C53C25F" w14:textId="77777777" w:rsidR="00851D5E" w:rsidRPr="0042007A" w:rsidRDefault="00851D5E" w:rsidP="0042007A">
      <w:pPr>
        <w:rPr>
          <w:szCs w:val="22"/>
        </w:rPr>
      </w:pPr>
    </w:p>
    <w:p w14:paraId="24547262" w14:textId="77777777" w:rsidR="00851D5E" w:rsidRPr="0042007A" w:rsidRDefault="00851D5E" w:rsidP="0042007A">
      <w:pPr>
        <w:rPr>
          <w:bCs/>
          <w:szCs w:val="22"/>
        </w:rPr>
      </w:pPr>
      <w:r w:rsidRPr="0042007A">
        <w:rPr>
          <w:b/>
          <w:szCs w:val="22"/>
        </w:rPr>
        <w:t>Kad nesusilpnėtų vakcinos poveikis, ją rekomenduojama suleisti iš karto po jos paruošimo. Jei paruošta vakcina per 30 minučių nesuleidžiama, ją reikia išmesti.</w:t>
      </w:r>
    </w:p>
    <w:p w14:paraId="56B4D219" w14:textId="77777777" w:rsidR="00851D5E" w:rsidRPr="0042007A" w:rsidRDefault="00851D5E" w:rsidP="0042007A">
      <w:pPr>
        <w:rPr>
          <w:bCs/>
          <w:szCs w:val="22"/>
        </w:rPr>
      </w:pPr>
    </w:p>
    <w:p w14:paraId="71ECE145" w14:textId="77777777" w:rsidR="00851D5E" w:rsidRPr="0042007A" w:rsidRDefault="00851D5E" w:rsidP="0042007A">
      <w:pPr>
        <w:pStyle w:val="Pagrindiniotekstotrauka3"/>
        <w:ind w:left="0"/>
        <w:jc w:val="left"/>
        <w:rPr>
          <w:rFonts w:ascii="Times New Roman" w:hAnsi="Times New Roman"/>
          <w:bCs/>
          <w:i w:val="0"/>
          <w:szCs w:val="22"/>
          <w:lang w:val="lt-LT"/>
        </w:rPr>
      </w:pPr>
      <w:r w:rsidRPr="0042007A">
        <w:rPr>
          <w:rFonts w:ascii="Times New Roman" w:hAnsi="Times New Roman"/>
          <w:b/>
          <w:i w:val="0"/>
          <w:szCs w:val="22"/>
          <w:lang w:val="lt-LT"/>
        </w:rPr>
        <w:t>Paruoštos vakcinos negalima užšaldyti.</w:t>
      </w:r>
    </w:p>
    <w:p w14:paraId="1C61DA94" w14:textId="77777777" w:rsidR="00851D5E" w:rsidRPr="0042007A" w:rsidRDefault="00851D5E" w:rsidP="0042007A">
      <w:pPr>
        <w:rPr>
          <w:szCs w:val="22"/>
        </w:rPr>
      </w:pPr>
      <w:r w:rsidRPr="0042007A">
        <w:rPr>
          <w:szCs w:val="22"/>
        </w:rPr>
        <w:t>Ištraukite visą flakono turinį į švirkštą, pakeiskite adatą ir suleiskite vakciną po oda arba į raumenis.</w:t>
      </w:r>
    </w:p>
    <w:p w14:paraId="710B25BF" w14:textId="77777777" w:rsidR="00851D5E" w:rsidRPr="0042007A" w:rsidRDefault="00851D5E" w:rsidP="0042007A">
      <w:pPr>
        <w:rPr>
          <w:bCs/>
          <w:szCs w:val="22"/>
        </w:rPr>
      </w:pPr>
    </w:p>
    <w:p w14:paraId="53B40340" w14:textId="77777777" w:rsidR="00851D5E" w:rsidRPr="0042007A" w:rsidRDefault="00851D5E" w:rsidP="0042007A">
      <w:pPr>
        <w:rPr>
          <w:szCs w:val="22"/>
        </w:rPr>
      </w:pPr>
      <w:r w:rsidRPr="0042007A">
        <w:rPr>
          <w:szCs w:val="22"/>
        </w:rPr>
        <w:t>Nesuvartotą vaistinį preparatą ar atliekas tvarkyti laikantis vietinių reikalavimų.</w:t>
      </w:r>
    </w:p>
    <w:p w14:paraId="3BED999F" w14:textId="77777777" w:rsidR="00851D5E" w:rsidRPr="0042007A" w:rsidRDefault="00851D5E" w:rsidP="0042007A">
      <w:pPr>
        <w:rPr>
          <w:szCs w:val="22"/>
        </w:rPr>
      </w:pPr>
    </w:p>
    <w:p w14:paraId="065396BA" w14:textId="2CDD81A9" w:rsidR="00AE4219" w:rsidRPr="0042007A" w:rsidRDefault="00851D5E" w:rsidP="0042007A">
      <w:pPr>
        <w:rPr>
          <w:szCs w:val="22"/>
        </w:rPr>
      </w:pPr>
      <w:r w:rsidRPr="0042007A">
        <w:rPr>
          <w:b/>
          <w:szCs w:val="22"/>
        </w:rPr>
        <w:t xml:space="preserve">Taip pat žr. 3 skyrių „Kaip </w:t>
      </w:r>
      <w:r w:rsidR="00DB10EC" w:rsidRPr="0042007A">
        <w:rPr>
          <w:b/>
          <w:szCs w:val="22"/>
        </w:rPr>
        <w:t>skiriamas</w:t>
      </w:r>
      <w:r w:rsidRPr="0042007A">
        <w:rPr>
          <w:b/>
          <w:szCs w:val="22"/>
        </w:rPr>
        <w:t xml:space="preserve"> VARIVAX“.</w:t>
      </w:r>
    </w:p>
    <w:sectPr w:rsidR="00AE4219" w:rsidRPr="0042007A" w:rsidSect="00F16989">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ADC7" w14:textId="77777777" w:rsidR="00B50A92" w:rsidRDefault="00B50A92">
      <w:r>
        <w:separator/>
      </w:r>
    </w:p>
  </w:endnote>
  <w:endnote w:type="continuationSeparator" w:id="0">
    <w:p w14:paraId="08AB55ED" w14:textId="77777777" w:rsidR="00B50A92" w:rsidRDefault="00B5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A6A3" w14:textId="77777777" w:rsidR="00AE4219" w:rsidRDefault="00851D5E" w:rsidP="00F169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683F804C" w14:textId="77777777" w:rsidR="00AE4219" w:rsidRDefault="00AE42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6773"/>
      <w:docPartObj>
        <w:docPartGallery w:val="Page Numbers (Bottom of Page)"/>
        <w:docPartUnique/>
      </w:docPartObj>
    </w:sdtPr>
    <w:sdtEndPr>
      <w:rPr>
        <w:noProof/>
        <w:sz w:val="16"/>
        <w:szCs w:val="16"/>
      </w:rPr>
    </w:sdtEndPr>
    <w:sdtContent>
      <w:p w14:paraId="7CD54CB4" w14:textId="2C49E185" w:rsidR="00AE4219" w:rsidRPr="00EC3B36" w:rsidRDefault="00851D5E" w:rsidP="001F7AD0">
        <w:pPr>
          <w:pStyle w:val="Porat"/>
          <w:jc w:val="center"/>
          <w:rPr>
            <w:rStyle w:val="Puslapionumeris"/>
            <w:sz w:val="16"/>
            <w:szCs w:val="16"/>
          </w:rPr>
        </w:pPr>
        <w:r w:rsidRPr="00EC3B36">
          <w:rPr>
            <w:sz w:val="16"/>
            <w:szCs w:val="16"/>
          </w:rPr>
          <w:fldChar w:fldCharType="begin"/>
        </w:r>
        <w:r w:rsidRPr="00EC3B36">
          <w:rPr>
            <w:sz w:val="16"/>
            <w:szCs w:val="16"/>
          </w:rPr>
          <w:instrText xml:space="preserve"> PAGE   \* MERGEFORMAT </w:instrText>
        </w:r>
        <w:r w:rsidRPr="00EC3B36">
          <w:rPr>
            <w:sz w:val="16"/>
            <w:szCs w:val="16"/>
          </w:rPr>
          <w:fldChar w:fldCharType="separate"/>
        </w:r>
        <w:r w:rsidR="00F64195" w:rsidRPr="00EC3B36">
          <w:rPr>
            <w:noProof/>
            <w:sz w:val="16"/>
            <w:szCs w:val="16"/>
          </w:rPr>
          <w:t>1</w:t>
        </w:r>
        <w:r w:rsidR="00F64195" w:rsidRPr="00EC3B36">
          <w:rPr>
            <w:noProof/>
            <w:sz w:val="16"/>
            <w:szCs w:val="16"/>
          </w:rPr>
          <w:t>7</w:t>
        </w:r>
        <w:r w:rsidRPr="00EC3B3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DD5D" w14:textId="77777777" w:rsidR="00B50A92" w:rsidRDefault="00B50A92">
      <w:r>
        <w:separator/>
      </w:r>
    </w:p>
  </w:footnote>
  <w:footnote w:type="continuationSeparator" w:id="0">
    <w:p w14:paraId="16091CC9" w14:textId="77777777" w:rsidR="00B50A92" w:rsidRDefault="00B5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92C12"/>
    <w:multiLevelType w:val="hybridMultilevel"/>
    <w:tmpl w:val="F758B2EA"/>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1EA7"/>
    <w:multiLevelType w:val="hybridMultilevel"/>
    <w:tmpl w:val="C5863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C3ECE"/>
    <w:multiLevelType w:val="hybridMultilevel"/>
    <w:tmpl w:val="5A9C9ED4"/>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95E71"/>
    <w:multiLevelType w:val="multilevel"/>
    <w:tmpl w:val="B07C2640"/>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F001668"/>
    <w:multiLevelType w:val="hybridMultilevel"/>
    <w:tmpl w:val="670A737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C26E4"/>
    <w:multiLevelType w:val="hybridMultilevel"/>
    <w:tmpl w:val="87C04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330436"/>
    <w:multiLevelType w:val="hybridMultilevel"/>
    <w:tmpl w:val="A0A68E72"/>
    <w:lvl w:ilvl="0" w:tplc="D226B32E">
      <w:start w:val="1"/>
      <w:numFmt w:val="bullet"/>
      <w:lvlText w:val=""/>
      <w:lvlJc w:val="left"/>
      <w:pPr>
        <w:tabs>
          <w:tab w:val="num" w:pos="1426"/>
        </w:tabs>
        <w:ind w:left="1426" w:hanging="360"/>
      </w:pPr>
      <w:rPr>
        <w:rFonts w:ascii="Symbol" w:hAnsi="Symbol" w:hint="default"/>
      </w:rPr>
    </w:lvl>
    <w:lvl w:ilvl="1" w:tplc="04100003" w:tentative="1">
      <w:start w:val="1"/>
      <w:numFmt w:val="bullet"/>
      <w:lvlText w:val="o"/>
      <w:lvlJc w:val="left"/>
      <w:pPr>
        <w:tabs>
          <w:tab w:val="num" w:pos="2146"/>
        </w:tabs>
        <w:ind w:left="2146"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100001" w:tentative="1">
      <w:start w:val="1"/>
      <w:numFmt w:val="bullet"/>
      <w:lvlText w:val=""/>
      <w:lvlJc w:val="left"/>
      <w:pPr>
        <w:tabs>
          <w:tab w:val="num" w:pos="3586"/>
        </w:tabs>
        <w:ind w:left="3586" w:hanging="360"/>
      </w:pPr>
      <w:rPr>
        <w:rFonts w:ascii="Symbol" w:hAnsi="Symbol" w:hint="default"/>
      </w:rPr>
    </w:lvl>
    <w:lvl w:ilvl="4" w:tplc="04100003" w:tentative="1">
      <w:start w:val="1"/>
      <w:numFmt w:val="bullet"/>
      <w:lvlText w:val="o"/>
      <w:lvlJc w:val="left"/>
      <w:pPr>
        <w:tabs>
          <w:tab w:val="num" w:pos="4306"/>
        </w:tabs>
        <w:ind w:left="4306" w:hanging="360"/>
      </w:pPr>
      <w:rPr>
        <w:rFonts w:ascii="Courier New" w:hAnsi="Courier New" w:cs="Courier New" w:hint="default"/>
      </w:rPr>
    </w:lvl>
    <w:lvl w:ilvl="5" w:tplc="04100005" w:tentative="1">
      <w:start w:val="1"/>
      <w:numFmt w:val="bullet"/>
      <w:lvlText w:val=""/>
      <w:lvlJc w:val="left"/>
      <w:pPr>
        <w:tabs>
          <w:tab w:val="num" w:pos="5026"/>
        </w:tabs>
        <w:ind w:left="5026" w:hanging="360"/>
      </w:pPr>
      <w:rPr>
        <w:rFonts w:ascii="Wingdings" w:hAnsi="Wingdings" w:hint="default"/>
      </w:rPr>
    </w:lvl>
    <w:lvl w:ilvl="6" w:tplc="04100001" w:tentative="1">
      <w:start w:val="1"/>
      <w:numFmt w:val="bullet"/>
      <w:lvlText w:val=""/>
      <w:lvlJc w:val="left"/>
      <w:pPr>
        <w:tabs>
          <w:tab w:val="num" w:pos="5746"/>
        </w:tabs>
        <w:ind w:left="5746" w:hanging="360"/>
      </w:pPr>
      <w:rPr>
        <w:rFonts w:ascii="Symbol" w:hAnsi="Symbol" w:hint="default"/>
      </w:rPr>
    </w:lvl>
    <w:lvl w:ilvl="7" w:tplc="04100003" w:tentative="1">
      <w:start w:val="1"/>
      <w:numFmt w:val="bullet"/>
      <w:lvlText w:val="o"/>
      <w:lvlJc w:val="left"/>
      <w:pPr>
        <w:tabs>
          <w:tab w:val="num" w:pos="6466"/>
        </w:tabs>
        <w:ind w:left="6466" w:hanging="360"/>
      </w:pPr>
      <w:rPr>
        <w:rFonts w:ascii="Courier New" w:hAnsi="Courier New" w:cs="Courier New" w:hint="default"/>
      </w:rPr>
    </w:lvl>
    <w:lvl w:ilvl="8" w:tplc="04100005"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485E7D9A"/>
    <w:multiLevelType w:val="hybridMultilevel"/>
    <w:tmpl w:val="FD74EAC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A1E48"/>
    <w:multiLevelType w:val="hybridMultilevel"/>
    <w:tmpl w:val="CE5C4E70"/>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F1E7E"/>
    <w:multiLevelType w:val="hybridMultilevel"/>
    <w:tmpl w:val="E6284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3037DA"/>
    <w:multiLevelType w:val="hybridMultilevel"/>
    <w:tmpl w:val="E5E40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17B56"/>
    <w:multiLevelType w:val="hybridMultilevel"/>
    <w:tmpl w:val="A50C2DBA"/>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B67BB"/>
    <w:multiLevelType w:val="singleLevel"/>
    <w:tmpl w:val="9510338A"/>
    <w:lvl w:ilvl="0">
      <w:numFmt w:val="bullet"/>
      <w:lvlText w:val="-"/>
      <w:lvlJc w:val="left"/>
      <w:pPr>
        <w:tabs>
          <w:tab w:val="num" w:pos="360"/>
        </w:tabs>
        <w:ind w:left="360" w:hanging="360"/>
      </w:pPr>
      <w:rPr>
        <w:rFonts w:hint="default"/>
        <w:b/>
        <w:bCs/>
      </w:rPr>
    </w:lvl>
  </w:abstractNum>
  <w:abstractNum w:abstractNumId="14" w15:restartNumberingAfterBreak="0">
    <w:nsid w:val="720A3607"/>
    <w:multiLevelType w:val="hybridMultilevel"/>
    <w:tmpl w:val="A9269B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45A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0376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3268171">
    <w:abstractNumId w:val="13"/>
  </w:num>
  <w:num w:numId="3" w16cid:durableId="642849226">
    <w:abstractNumId w:val="15"/>
  </w:num>
  <w:num w:numId="4" w16cid:durableId="828834142">
    <w:abstractNumId w:val="5"/>
  </w:num>
  <w:num w:numId="5" w16cid:durableId="75326929">
    <w:abstractNumId w:val="3"/>
  </w:num>
  <w:num w:numId="6" w16cid:durableId="755322057">
    <w:abstractNumId w:val="12"/>
  </w:num>
  <w:num w:numId="7" w16cid:durableId="967710026">
    <w:abstractNumId w:val="7"/>
  </w:num>
  <w:num w:numId="8" w16cid:durableId="872689327">
    <w:abstractNumId w:val="2"/>
  </w:num>
  <w:num w:numId="9" w16cid:durableId="1518539304">
    <w:abstractNumId w:val="11"/>
  </w:num>
  <w:num w:numId="10" w16cid:durableId="1210071791">
    <w:abstractNumId w:val="9"/>
  </w:num>
  <w:num w:numId="11" w16cid:durableId="474027059">
    <w:abstractNumId w:val="1"/>
  </w:num>
  <w:num w:numId="12" w16cid:durableId="74910480">
    <w:abstractNumId w:val="4"/>
  </w:num>
  <w:num w:numId="13" w16cid:durableId="1802071675">
    <w:abstractNumId w:val="14"/>
  </w:num>
  <w:num w:numId="14" w16cid:durableId="387261644">
    <w:abstractNumId w:val="10"/>
  </w:num>
  <w:num w:numId="15" w16cid:durableId="1635058065">
    <w:abstractNumId w:val="6"/>
  </w:num>
  <w:num w:numId="16" w16cid:durableId="798231615">
    <w:abstractNumId w:val="8"/>
  </w:num>
  <w:num w:numId="17" w16cid:durableId="1903829170">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C3"/>
    <w:rsid w:val="00000A37"/>
    <w:rsid w:val="00010E1E"/>
    <w:rsid w:val="000259E0"/>
    <w:rsid w:val="0003013C"/>
    <w:rsid w:val="00031E6B"/>
    <w:rsid w:val="000530B6"/>
    <w:rsid w:val="00092514"/>
    <w:rsid w:val="00094E1D"/>
    <w:rsid w:val="0009551E"/>
    <w:rsid w:val="000972D0"/>
    <w:rsid w:val="000A0DCD"/>
    <w:rsid w:val="000A6312"/>
    <w:rsid w:val="000B1274"/>
    <w:rsid w:val="000B1D79"/>
    <w:rsid w:val="000D1347"/>
    <w:rsid w:val="000E0EAA"/>
    <w:rsid w:val="000F3F0D"/>
    <w:rsid w:val="00105944"/>
    <w:rsid w:val="001076FF"/>
    <w:rsid w:val="00112A90"/>
    <w:rsid w:val="00116F16"/>
    <w:rsid w:val="00133D53"/>
    <w:rsid w:val="001462C7"/>
    <w:rsid w:val="00150981"/>
    <w:rsid w:val="00165297"/>
    <w:rsid w:val="00181E37"/>
    <w:rsid w:val="0018549C"/>
    <w:rsid w:val="00197AA7"/>
    <w:rsid w:val="001A447C"/>
    <w:rsid w:val="001A4813"/>
    <w:rsid w:val="001B3069"/>
    <w:rsid w:val="001C24CB"/>
    <w:rsid w:val="001C3517"/>
    <w:rsid w:val="001C36D0"/>
    <w:rsid w:val="001D05D2"/>
    <w:rsid w:val="001D6673"/>
    <w:rsid w:val="001E0CB9"/>
    <w:rsid w:val="001E3220"/>
    <w:rsid w:val="001F7AD0"/>
    <w:rsid w:val="00206316"/>
    <w:rsid w:val="00211279"/>
    <w:rsid w:val="00220984"/>
    <w:rsid w:val="002250F0"/>
    <w:rsid w:val="00230F9B"/>
    <w:rsid w:val="00236DCD"/>
    <w:rsid w:val="00251C8E"/>
    <w:rsid w:val="00252259"/>
    <w:rsid w:val="00267FDE"/>
    <w:rsid w:val="002B1C70"/>
    <w:rsid w:val="002B5E03"/>
    <w:rsid w:val="002C7E8B"/>
    <w:rsid w:val="002F5975"/>
    <w:rsid w:val="0032646A"/>
    <w:rsid w:val="00355B0C"/>
    <w:rsid w:val="0036506E"/>
    <w:rsid w:val="00367BCE"/>
    <w:rsid w:val="00374FDA"/>
    <w:rsid w:val="00383147"/>
    <w:rsid w:val="003A3E72"/>
    <w:rsid w:val="003B0CAF"/>
    <w:rsid w:val="003B2E06"/>
    <w:rsid w:val="003C1A96"/>
    <w:rsid w:val="003C5A3E"/>
    <w:rsid w:val="003E59FE"/>
    <w:rsid w:val="003E6D43"/>
    <w:rsid w:val="003F5A99"/>
    <w:rsid w:val="0042007A"/>
    <w:rsid w:val="004204FA"/>
    <w:rsid w:val="00423AE9"/>
    <w:rsid w:val="0044255A"/>
    <w:rsid w:val="004432D2"/>
    <w:rsid w:val="00456C48"/>
    <w:rsid w:val="00464FFD"/>
    <w:rsid w:val="00467EDE"/>
    <w:rsid w:val="00472B1C"/>
    <w:rsid w:val="004A3F8C"/>
    <w:rsid w:val="004A7C11"/>
    <w:rsid w:val="004B2613"/>
    <w:rsid w:val="004C5906"/>
    <w:rsid w:val="004D32FD"/>
    <w:rsid w:val="004E01E6"/>
    <w:rsid w:val="004E5756"/>
    <w:rsid w:val="00500771"/>
    <w:rsid w:val="00507C5C"/>
    <w:rsid w:val="005148F0"/>
    <w:rsid w:val="00515A6F"/>
    <w:rsid w:val="005231E9"/>
    <w:rsid w:val="00526B38"/>
    <w:rsid w:val="00546B6B"/>
    <w:rsid w:val="0055212E"/>
    <w:rsid w:val="00552632"/>
    <w:rsid w:val="00560065"/>
    <w:rsid w:val="00572468"/>
    <w:rsid w:val="005861D9"/>
    <w:rsid w:val="00593C91"/>
    <w:rsid w:val="00596E1E"/>
    <w:rsid w:val="00597D7A"/>
    <w:rsid w:val="005B69F3"/>
    <w:rsid w:val="005C5688"/>
    <w:rsid w:val="005E31DD"/>
    <w:rsid w:val="0060061D"/>
    <w:rsid w:val="006019C1"/>
    <w:rsid w:val="00603C87"/>
    <w:rsid w:val="00604DC6"/>
    <w:rsid w:val="0060598F"/>
    <w:rsid w:val="006121A3"/>
    <w:rsid w:val="00627E6C"/>
    <w:rsid w:val="00636CFE"/>
    <w:rsid w:val="006430CE"/>
    <w:rsid w:val="0065223A"/>
    <w:rsid w:val="006546B2"/>
    <w:rsid w:val="00662D5D"/>
    <w:rsid w:val="00676A78"/>
    <w:rsid w:val="00683177"/>
    <w:rsid w:val="006A010F"/>
    <w:rsid w:val="006B1833"/>
    <w:rsid w:val="006C6150"/>
    <w:rsid w:val="006D1BBF"/>
    <w:rsid w:val="006D2180"/>
    <w:rsid w:val="006D24A3"/>
    <w:rsid w:val="006D3CC9"/>
    <w:rsid w:val="00701CEB"/>
    <w:rsid w:val="00703FC7"/>
    <w:rsid w:val="007056EA"/>
    <w:rsid w:val="00707E0A"/>
    <w:rsid w:val="00715EA1"/>
    <w:rsid w:val="00716AA7"/>
    <w:rsid w:val="00721AF4"/>
    <w:rsid w:val="00721D55"/>
    <w:rsid w:val="007356BE"/>
    <w:rsid w:val="007459E6"/>
    <w:rsid w:val="007649FF"/>
    <w:rsid w:val="0076630E"/>
    <w:rsid w:val="00780167"/>
    <w:rsid w:val="00783E98"/>
    <w:rsid w:val="00791A23"/>
    <w:rsid w:val="007A61B4"/>
    <w:rsid w:val="007B0726"/>
    <w:rsid w:val="007B35AF"/>
    <w:rsid w:val="007B6479"/>
    <w:rsid w:val="007C3AB0"/>
    <w:rsid w:val="007D7031"/>
    <w:rsid w:val="007E1A19"/>
    <w:rsid w:val="007E3147"/>
    <w:rsid w:val="007E4C0B"/>
    <w:rsid w:val="007E7599"/>
    <w:rsid w:val="007F560A"/>
    <w:rsid w:val="007F5825"/>
    <w:rsid w:val="00814AD4"/>
    <w:rsid w:val="008164A2"/>
    <w:rsid w:val="00820B84"/>
    <w:rsid w:val="008433E9"/>
    <w:rsid w:val="00851D5E"/>
    <w:rsid w:val="00852709"/>
    <w:rsid w:val="00880EE8"/>
    <w:rsid w:val="008848C3"/>
    <w:rsid w:val="00896716"/>
    <w:rsid w:val="008A63AE"/>
    <w:rsid w:val="008B1CC3"/>
    <w:rsid w:val="008B6B89"/>
    <w:rsid w:val="008C6993"/>
    <w:rsid w:val="008D3E7D"/>
    <w:rsid w:val="008D4D81"/>
    <w:rsid w:val="009011F5"/>
    <w:rsid w:val="00920677"/>
    <w:rsid w:val="00937971"/>
    <w:rsid w:val="00942242"/>
    <w:rsid w:val="0095275D"/>
    <w:rsid w:val="009603E4"/>
    <w:rsid w:val="00970632"/>
    <w:rsid w:val="00973ADA"/>
    <w:rsid w:val="009751B3"/>
    <w:rsid w:val="0098081F"/>
    <w:rsid w:val="00984A0A"/>
    <w:rsid w:val="009863DB"/>
    <w:rsid w:val="009867D7"/>
    <w:rsid w:val="00986B7D"/>
    <w:rsid w:val="00993219"/>
    <w:rsid w:val="009D2A2F"/>
    <w:rsid w:val="009D5831"/>
    <w:rsid w:val="009E2405"/>
    <w:rsid w:val="00A01918"/>
    <w:rsid w:val="00A4332A"/>
    <w:rsid w:val="00A6065B"/>
    <w:rsid w:val="00A63A1D"/>
    <w:rsid w:val="00A70A5D"/>
    <w:rsid w:val="00AA1B48"/>
    <w:rsid w:val="00AB129E"/>
    <w:rsid w:val="00AC6ADD"/>
    <w:rsid w:val="00AE0188"/>
    <w:rsid w:val="00AE4219"/>
    <w:rsid w:val="00AF485D"/>
    <w:rsid w:val="00B24B57"/>
    <w:rsid w:val="00B31803"/>
    <w:rsid w:val="00B41F5C"/>
    <w:rsid w:val="00B42253"/>
    <w:rsid w:val="00B50A92"/>
    <w:rsid w:val="00B60B06"/>
    <w:rsid w:val="00B644AD"/>
    <w:rsid w:val="00B66F8F"/>
    <w:rsid w:val="00B70BFA"/>
    <w:rsid w:val="00B9717B"/>
    <w:rsid w:val="00BA5AC4"/>
    <w:rsid w:val="00BA7248"/>
    <w:rsid w:val="00BB340D"/>
    <w:rsid w:val="00BE3E6B"/>
    <w:rsid w:val="00BE6820"/>
    <w:rsid w:val="00C03F5D"/>
    <w:rsid w:val="00C076BC"/>
    <w:rsid w:val="00C07DB9"/>
    <w:rsid w:val="00C22F7C"/>
    <w:rsid w:val="00C2549A"/>
    <w:rsid w:val="00C56157"/>
    <w:rsid w:val="00C60DDC"/>
    <w:rsid w:val="00C65CAA"/>
    <w:rsid w:val="00C74F24"/>
    <w:rsid w:val="00C82C9C"/>
    <w:rsid w:val="00C83973"/>
    <w:rsid w:val="00C915C3"/>
    <w:rsid w:val="00CC54D4"/>
    <w:rsid w:val="00CF1E46"/>
    <w:rsid w:val="00D16E9D"/>
    <w:rsid w:val="00D20547"/>
    <w:rsid w:val="00D2522A"/>
    <w:rsid w:val="00D27023"/>
    <w:rsid w:val="00D27521"/>
    <w:rsid w:val="00D44B80"/>
    <w:rsid w:val="00D52AF1"/>
    <w:rsid w:val="00D62D82"/>
    <w:rsid w:val="00D7366B"/>
    <w:rsid w:val="00D73CF7"/>
    <w:rsid w:val="00D73E39"/>
    <w:rsid w:val="00D81C36"/>
    <w:rsid w:val="00D861A7"/>
    <w:rsid w:val="00D90CDA"/>
    <w:rsid w:val="00D94992"/>
    <w:rsid w:val="00DA53B0"/>
    <w:rsid w:val="00DB10EC"/>
    <w:rsid w:val="00DB76C5"/>
    <w:rsid w:val="00DC0A50"/>
    <w:rsid w:val="00DD4ADC"/>
    <w:rsid w:val="00DE15B3"/>
    <w:rsid w:val="00DF793D"/>
    <w:rsid w:val="00E0712D"/>
    <w:rsid w:val="00E14AD8"/>
    <w:rsid w:val="00E21F62"/>
    <w:rsid w:val="00E27565"/>
    <w:rsid w:val="00E460C6"/>
    <w:rsid w:val="00E70A48"/>
    <w:rsid w:val="00E878ED"/>
    <w:rsid w:val="00E9709E"/>
    <w:rsid w:val="00EA4165"/>
    <w:rsid w:val="00EB2A89"/>
    <w:rsid w:val="00EC080B"/>
    <w:rsid w:val="00EC2C05"/>
    <w:rsid w:val="00EC3B36"/>
    <w:rsid w:val="00ED22FF"/>
    <w:rsid w:val="00ED3211"/>
    <w:rsid w:val="00F40ABD"/>
    <w:rsid w:val="00F62075"/>
    <w:rsid w:val="00F62373"/>
    <w:rsid w:val="00F64195"/>
    <w:rsid w:val="00F64C7F"/>
    <w:rsid w:val="00F739C8"/>
    <w:rsid w:val="00F96C41"/>
    <w:rsid w:val="00FA6298"/>
    <w:rsid w:val="00FB1467"/>
    <w:rsid w:val="00FB4BA8"/>
    <w:rsid w:val="00FC525C"/>
    <w:rsid w:val="00FD0210"/>
    <w:rsid w:val="00FE0FCF"/>
    <w:rsid w:val="00FF0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7318"/>
  <w15:chartTrackingRefBased/>
  <w15:docId w15:val="{C978A660-734F-4A72-AB34-9BD00340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D5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51D5E"/>
    <w:pPr>
      <w:keepNext/>
      <w:ind w:left="567" w:hanging="567"/>
      <w:outlineLvl w:val="0"/>
    </w:pPr>
    <w:rPr>
      <w:b/>
    </w:rPr>
  </w:style>
  <w:style w:type="paragraph" w:styleId="Antrat2">
    <w:name w:val="heading 2"/>
    <w:basedOn w:val="prastasis"/>
    <w:next w:val="prastasis"/>
    <w:link w:val="Antrat2Diagrama"/>
    <w:autoRedefine/>
    <w:qFormat/>
    <w:rsid w:val="007459E6"/>
    <w:pPr>
      <w:keepNext/>
      <w:keepLines/>
      <w:tabs>
        <w:tab w:val="left" w:pos="567"/>
      </w:tabs>
      <w:outlineLvl w:val="1"/>
    </w:pPr>
    <w:rPr>
      <w:b/>
    </w:rPr>
  </w:style>
  <w:style w:type="paragraph" w:styleId="Antrat3">
    <w:name w:val="heading 3"/>
    <w:basedOn w:val="prastasis"/>
    <w:next w:val="prastasis"/>
    <w:link w:val="Antrat3Diagrama"/>
    <w:autoRedefine/>
    <w:qFormat/>
    <w:rsid w:val="00851D5E"/>
    <w:pPr>
      <w:tabs>
        <w:tab w:val="left" w:pos="567"/>
      </w:tabs>
      <w:outlineLvl w:val="2"/>
    </w:pPr>
    <w:rPr>
      <w:b/>
      <w:iCs/>
    </w:rPr>
  </w:style>
  <w:style w:type="paragraph" w:styleId="Antrat4">
    <w:name w:val="heading 4"/>
    <w:basedOn w:val="prastasis"/>
    <w:next w:val="prastasis"/>
    <w:link w:val="Antrat4Diagrama"/>
    <w:qFormat/>
    <w:rsid w:val="00851D5E"/>
    <w:pPr>
      <w:keepNext/>
      <w:jc w:val="both"/>
      <w:outlineLvl w:val="3"/>
    </w:pPr>
    <w:rPr>
      <w:u w:val="single"/>
    </w:rPr>
  </w:style>
  <w:style w:type="paragraph" w:styleId="Antrat5">
    <w:name w:val="heading 5"/>
    <w:basedOn w:val="prastasis"/>
    <w:next w:val="prastasis"/>
    <w:link w:val="Antrat5Diagrama"/>
    <w:qFormat/>
    <w:rsid w:val="00851D5E"/>
    <w:pPr>
      <w:keepNext/>
      <w:outlineLvl w:val="4"/>
    </w:pPr>
    <w:rPr>
      <w:u w:val="single"/>
      <w:lang w:val="en-GB"/>
    </w:rPr>
  </w:style>
  <w:style w:type="paragraph" w:styleId="Antrat6">
    <w:name w:val="heading 6"/>
    <w:basedOn w:val="prastasis"/>
    <w:next w:val="prastasis"/>
    <w:link w:val="Antrat6Diagrama"/>
    <w:qFormat/>
    <w:rsid w:val="00851D5E"/>
    <w:pPr>
      <w:keepNext/>
      <w:ind w:left="855"/>
      <w:jc w:val="both"/>
      <w:outlineLvl w:val="5"/>
    </w:pPr>
    <w:rPr>
      <w:rFonts w:ascii="Arial" w:hAnsi="Arial"/>
      <w:b/>
      <w:i/>
      <w:u w:val="single"/>
      <w:lang w:val="en-GB"/>
    </w:rPr>
  </w:style>
  <w:style w:type="paragraph" w:styleId="Antrat7">
    <w:name w:val="heading 7"/>
    <w:basedOn w:val="prastasis"/>
    <w:next w:val="prastasis"/>
    <w:link w:val="Antrat7Diagrama"/>
    <w:qFormat/>
    <w:rsid w:val="00851D5E"/>
    <w:pPr>
      <w:keepNext/>
      <w:ind w:left="342"/>
      <w:jc w:val="both"/>
      <w:outlineLvl w:val="6"/>
    </w:pPr>
    <w:rPr>
      <w:rFonts w:ascii="Arial" w:hAnsi="Arial"/>
      <w:b/>
      <w:i/>
      <w:sz w:val="20"/>
      <w:u w:val="single"/>
      <w:lang w:val="en-GB"/>
    </w:rPr>
  </w:style>
  <w:style w:type="paragraph" w:styleId="Antrat8">
    <w:name w:val="heading 8"/>
    <w:basedOn w:val="prastasis"/>
    <w:next w:val="prastasis"/>
    <w:link w:val="Antrat8Diagrama"/>
    <w:qFormat/>
    <w:rsid w:val="00851D5E"/>
    <w:pPr>
      <w:spacing w:before="240" w:after="60"/>
      <w:outlineLvl w:val="7"/>
    </w:pPr>
    <w:rPr>
      <w:i/>
      <w:iCs/>
      <w:sz w:val="24"/>
      <w:szCs w:val="24"/>
    </w:rPr>
  </w:style>
  <w:style w:type="paragraph" w:styleId="Antrat9">
    <w:name w:val="heading 9"/>
    <w:basedOn w:val="prastasis"/>
    <w:next w:val="prastasis"/>
    <w:link w:val="Antrat9Diagrama"/>
    <w:qFormat/>
    <w:rsid w:val="00851D5E"/>
    <w:pPr>
      <w:keepNext/>
      <w:ind w:left="342"/>
      <w:jc w:val="both"/>
      <w:outlineLvl w:val="8"/>
    </w:pPr>
    <w:rPr>
      <w:rFonts w:ascii="Arial" w:hAnsi="Arial"/>
      <w:sz w:val="20"/>
      <w:u w:val="single"/>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1D5E"/>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459E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851D5E"/>
    <w:rPr>
      <w:rFonts w:ascii="Times New Roman" w:eastAsia="Times New Roman" w:hAnsi="Times New Roman" w:cs="Times New Roman"/>
      <w:b/>
      <w:iCs/>
      <w:szCs w:val="20"/>
      <w:lang w:val="lt-LT" w:eastAsia="lt-LT"/>
    </w:rPr>
  </w:style>
  <w:style w:type="character" w:customStyle="1" w:styleId="Antrat4Diagrama">
    <w:name w:val="Antraštė 4 Diagrama"/>
    <w:basedOn w:val="Numatytasispastraiposriftas"/>
    <w:link w:val="Antrat4"/>
    <w:rsid w:val="00851D5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851D5E"/>
    <w:rPr>
      <w:rFonts w:ascii="Times New Roman" w:eastAsia="Times New Roman" w:hAnsi="Times New Roman" w:cs="Times New Roman"/>
      <w:szCs w:val="20"/>
      <w:u w:val="single"/>
      <w:lang w:val="en-GB" w:eastAsia="lt-LT"/>
    </w:rPr>
  </w:style>
  <w:style w:type="character" w:customStyle="1" w:styleId="Antrat6Diagrama">
    <w:name w:val="Antraštė 6 Diagrama"/>
    <w:basedOn w:val="Numatytasispastraiposriftas"/>
    <w:link w:val="Antrat6"/>
    <w:rsid w:val="00851D5E"/>
    <w:rPr>
      <w:rFonts w:ascii="Arial" w:eastAsia="Times New Roman" w:hAnsi="Arial" w:cs="Times New Roman"/>
      <w:b/>
      <w:i/>
      <w:szCs w:val="20"/>
      <w:u w:val="single"/>
      <w:lang w:val="en-GB" w:eastAsia="lt-LT"/>
    </w:rPr>
  </w:style>
  <w:style w:type="character" w:customStyle="1" w:styleId="Antrat7Diagrama">
    <w:name w:val="Antraštė 7 Diagrama"/>
    <w:basedOn w:val="Numatytasispastraiposriftas"/>
    <w:link w:val="Antrat7"/>
    <w:rsid w:val="00851D5E"/>
    <w:rPr>
      <w:rFonts w:ascii="Arial" w:eastAsia="Times New Roman" w:hAnsi="Arial" w:cs="Times New Roman"/>
      <w:b/>
      <w:i/>
      <w:sz w:val="20"/>
      <w:szCs w:val="20"/>
      <w:u w:val="single"/>
      <w:lang w:val="en-GB" w:eastAsia="lt-LT"/>
    </w:rPr>
  </w:style>
  <w:style w:type="character" w:customStyle="1" w:styleId="Antrat8Diagrama">
    <w:name w:val="Antraštė 8 Diagrama"/>
    <w:basedOn w:val="Numatytasispastraiposriftas"/>
    <w:link w:val="Antrat8"/>
    <w:rsid w:val="00851D5E"/>
    <w:rPr>
      <w:rFonts w:ascii="Times New Roman" w:eastAsia="Times New Roman" w:hAnsi="Times New Roman" w:cs="Times New Roman"/>
      <w:i/>
      <w:iCs/>
      <w:sz w:val="24"/>
      <w:szCs w:val="24"/>
      <w:lang w:val="lt-LT" w:eastAsia="lt-LT"/>
    </w:rPr>
  </w:style>
  <w:style w:type="character" w:customStyle="1" w:styleId="Antrat9Diagrama">
    <w:name w:val="Antraštė 9 Diagrama"/>
    <w:basedOn w:val="Numatytasispastraiposriftas"/>
    <w:link w:val="Antrat9"/>
    <w:rsid w:val="00851D5E"/>
    <w:rPr>
      <w:rFonts w:ascii="Arial" w:eastAsia="Times New Roman" w:hAnsi="Arial" w:cs="Times New Roman"/>
      <w:sz w:val="20"/>
      <w:szCs w:val="20"/>
      <w:u w:val="single"/>
      <w:lang w:val="en-GB"/>
    </w:rPr>
  </w:style>
  <w:style w:type="paragraph" w:styleId="Antrats">
    <w:name w:val="header"/>
    <w:basedOn w:val="prastasis"/>
    <w:link w:val="AntratsDiagrama"/>
    <w:unhideWhenUsed/>
    <w:rsid w:val="00851D5E"/>
    <w:pPr>
      <w:tabs>
        <w:tab w:val="center" w:pos="4680"/>
        <w:tab w:val="right" w:pos="9360"/>
      </w:tabs>
    </w:pPr>
  </w:style>
  <w:style w:type="character" w:customStyle="1" w:styleId="AntratsDiagrama">
    <w:name w:val="Antraštės Diagrama"/>
    <w:basedOn w:val="Numatytasispastraiposriftas"/>
    <w:link w:val="Antrats"/>
    <w:rsid w:val="00851D5E"/>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851D5E"/>
    <w:pPr>
      <w:tabs>
        <w:tab w:val="center" w:pos="4680"/>
        <w:tab w:val="right" w:pos="9360"/>
      </w:tabs>
    </w:pPr>
  </w:style>
  <w:style w:type="character" w:customStyle="1" w:styleId="PoratDiagrama">
    <w:name w:val="Poraštė Diagrama"/>
    <w:basedOn w:val="Numatytasispastraiposriftas"/>
    <w:link w:val="Porat"/>
    <w:rsid w:val="00851D5E"/>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851D5E"/>
    <w:pPr>
      <w:spacing w:after="120"/>
    </w:pPr>
  </w:style>
  <w:style w:type="character" w:customStyle="1" w:styleId="PagrindinistekstasDiagrama">
    <w:name w:val="Pagrindinis tekstas Diagrama"/>
    <w:basedOn w:val="Numatytasispastraiposriftas"/>
    <w:link w:val="Pagrindinistekstas"/>
    <w:rsid w:val="00851D5E"/>
    <w:rPr>
      <w:rFonts w:ascii="Times New Roman" w:eastAsia="Times New Roman" w:hAnsi="Times New Roman" w:cs="Times New Roman"/>
      <w:szCs w:val="20"/>
      <w:lang w:val="lt-LT" w:eastAsia="lt-LT"/>
    </w:rPr>
  </w:style>
  <w:style w:type="character" w:styleId="Puslapionumeris">
    <w:name w:val="page number"/>
    <w:basedOn w:val="Numatytasispastraiposriftas"/>
    <w:rsid w:val="00851D5E"/>
  </w:style>
  <w:style w:type="paragraph" w:styleId="Pavadinimas">
    <w:name w:val="Title"/>
    <w:basedOn w:val="prastasis"/>
    <w:link w:val="PavadinimasDiagrama"/>
    <w:autoRedefine/>
    <w:qFormat/>
    <w:rsid w:val="00851D5E"/>
    <w:pPr>
      <w:jc w:val="center"/>
      <w:outlineLvl w:val="0"/>
    </w:pPr>
    <w:rPr>
      <w:b/>
      <w:kern w:val="28"/>
    </w:rPr>
  </w:style>
  <w:style w:type="character" w:customStyle="1" w:styleId="PavadinimasDiagrama">
    <w:name w:val="Pavadinimas Diagrama"/>
    <w:basedOn w:val="Numatytasispastraiposriftas"/>
    <w:link w:val="Pavadinimas"/>
    <w:rsid w:val="00851D5E"/>
    <w:rPr>
      <w:rFonts w:ascii="Times New Roman" w:eastAsia="Times New Roman" w:hAnsi="Times New Roman" w:cs="Times New Roman"/>
      <w:b/>
      <w:kern w:val="28"/>
      <w:szCs w:val="20"/>
      <w:lang w:val="lt-LT" w:eastAsia="lt-LT"/>
    </w:rPr>
  </w:style>
  <w:style w:type="character" w:styleId="Hipersaitas">
    <w:name w:val="Hyperlink"/>
    <w:uiPriority w:val="99"/>
    <w:rsid w:val="00851D5E"/>
    <w:rPr>
      <w:color w:val="0000FF"/>
      <w:u w:val="single"/>
    </w:rPr>
  </w:style>
  <w:style w:type="paragraph" w:styleId="Paantrat">
    <w:name w:val="Subtitle"/>
    <w:basedOn w:val="prastasis"/>
    <w:link w:val="PaantratDiagrama"/>
    <w:qFormat/>
    <w:rsid w:val="00851D5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851D5E"/>
    <w:rPr>
      <w:rFonts w:ascii="TimesNewRoman,Bold" w:eastAsia="Times New Roman" w:hAnsi="TimesNewRoman,Bold" w:cs="Times New Roman"/>
      <w:b/>
      <w:color w:val="000000"/>
      <w:szCs w:val="20"/>
      <w:lang w:eastAsia="lt-LT"/>
    </w:rPr>
  </w:style>
  <w:style w:type="paragraph" w:customStyle="1" w:styleId="Body">
    <w:name w:val="Body"/>
    <w:basedOn w:val="prastasis"/>
    <w:rsid w:val="00851D5E"/>
    <w:pPr>
      <w:ind w:firstLine="288"/>
      <w:jc w:val="both"/>
    </w:pPr>
    <w:rPr>
      <w:rFonts w:ascii="Arial" w:hAnsi="Arial"/>
      <w:sz w:val="20"/>
      <w:lang w:val="en-US"/>
    </w:rPr>
  </w:style>
  <w:style w:type="paragraph" w:styleId="Pagrindiniotekstotrauka3">
    <w:name w:val="Body Text Indent 3"/>
    <w:basedOn w:val="prastasis"/>
    <w:link w:val="Pagrindiniotekstotrauka3Diagrama"/>
    <w:rsid w:val="00851D5E"/>
    <w:pPr>
      <w:ind w:left="855"/>
      <w:jc w:val="both"/>
    </w:pPr>
    <w:rPr>
      <w:rFonts w:ascii="Arial" w:hAnsi="Arial"/>
      <w:i/>
      <w:lang w:val="en-GB"/>
    </w:rPr>
  </w:style>
  <w:style w:type="character" w:customStyle="1" w:styleId="Pagrindiniotekstotrauka3Diagrama">
    <w:name w:val="Pagrindinio teksto įtrauka 3 Diagrama"/>
    <w:basedOn w:val="Numatytasispastraiposriftas"/>
    <w:link w:val="Pagrindiniotekstotrauka3"/>
    <w:rsid w:val="00851D5E"/>
    <w:rPr>
      <w:rFonts w:ascii="Arial" w:eastAsia="Times New Roman" w:hAnsi="Arial" w:cs="Times New Roman"/>
      <w:i/>
      <w:szCs w:val="20"/>
      <w:lang w:val="en-GB" w:eastAsia="lt-LT"/>
    </w:rPr>
  </w:style>
  <w:style w:type="paragraph" w:styleId="Pagrindiniotekstotrauka">
    <w:name w:val="Body Text Indent"/>
    <w:basedOn w:val="prastasis"/>
    <w:link w:val="PagrindiniotekstotraukaDiagrama"/>
    <w:rsid w:val="00851D5E"/>
    <w:pPr>
      <w:ind w:left="1026"/>
      <w:jc w:val="both"/>
    </w:pPr>
    <w:rPr>
      <w:rFonts w:ascii="Arial" w:hAnsi="Arial"/>
      <w:lang w:val="en-GB"/>
    </w:rPr>
  </w:style>
  <w:style w:type="character" w:customStyle="1" w:styleId="PagrindiniotekstotraukaDiagrama">
    <w:name w:val="Pagrindinio teksto įtrauka Diagrama"/>
    <w:basedOn w:val="Numatytasispastraiposriftas"/>
    <w:link w:val="Pagrindiniotekstotrauka"/>
    <w:rsid w:val="00851D5E"/>
    <w:rPr>
      <w:rFonts w:ascii="Arial" w:eastAsia="Times New Roman" w:hAnsi="Arial" w:cs="Times New Roman"/>
      <w:szCs w:val="20"/>
      <w:lang w:val="en-GB" w:eastAsia="lt-LT"/>
    </w:rPr>
  </w:style>
  <w:style w:type="paragraph" w:styleId="Pagrindinistekstas2">
    <w:name w:val="Body Text 2"/>
    <w:basedOn w:val="prastasis"/>
    <w:link w:val="Pagrindinistekstas2Diagrama"/>
    <w:rsid w:val="00851D5E"/>
    <w:pPr>
      <w:jc w:val="both"/>
    </w:pPr>
  </w:style>
  <w:style w:type="character" w:customStyle="1" w:styleId="Pagrindinistekstas2Diagrama">
    <w:name w:val="Pagrindinis tekstas 2 Diagrama"/>
    <w:basedOn w:val="Numatytasispastraiposriftas"/>
    <w:link w:val="Pagrindinistekstas2"/>
    <w:rsid w:val="00851D5E"/>
    <w:rPr>
      <w:rFonts w:ascii="Times New Roman" w:eastAsia="Times New Roman" w:hAnsi="Times New Roman" w:cs="Times New Roman"/>
      <w:szCs w:val="20"/>
      <w:lang w:val="lt-LT" w:eastAsia="lt-LT"/>
    </w:rPr>
  </w:style>
  <w:style w:type="character" w:styleId="Perirtashipersaitas">
    <w:name w:val="FollowedHyperlink"/>
    <w:rsid w:val="00851D5E"/>
    <w:rPr>
      <w:color w:val="800080"/>
      <w:u w:val="single"/>
    </w:rPr>
  </w:style>
  <w:style w:type="paragraph" w:styleId="Pagrindiniotekstotrauka2">
    <w:name w:val="Body Text Indent 2"/>
    <w:basedOn w:val="prastasis"/>
    <w:link w:val="Pagrindiniotekstotrauka2Diagrama"/>
    <w:rsid w:val="00851D5E"/>
    <w:pPr>
      <w:ind w:left="855"/>
      <w:jc w:val="both"/>
    </w:pPr>
    <w:rPr>
      <w:rFonts w:ascii="Arial" w:hAnsi="Arial"/>
      <w:lang w:val="en-GB"/>
    </w:rPr>
  </w:style>
  <w:style w:type="character" w:customStyle="1" w:styleId="Pagrindiniotekstotrauka2Diagrama">
    <w:name w:val="Pagrindinio teksto įtrauka 2 Diagrama"/>
    <w:basedOn w:val="Numatytasispastraiposriftas"/>
    <w:link w:val="Pagrindiniotekstotrauka2"/>
    <w:rsid w:val="00851D5E"/>
    <w:rPr>
      <w:rFonts w:ascii="Arial" w:eastAsia="Times New Roman" w:hAnsi="Arial" w:cs="Times New Roman"/>
      <w:szCs w:val="20"/>
      <w:lang w:val="en-GB" w:eastAsia="lt-LT"/>
    </w:rPr>
  </w:style>
  <w:style w:type="paragraph" w:customStyle="1" w:styleId="BTEMEASMCA">
    <w:name w:val="BT EMEA_SMCA"/>
    <w:basedOn w:val="prastasis"/>
    <w:link w:val="BTEMEASMCAChar"/>
    <w:autoRedefine/>
    <w:rsid w:val="00851D5E"/>
    <w:pPr>
      <w:tabs>
        <w:tab w:val="left" w:pos="1620"/>
      </w:tabs>
    </w:pPr>
    <w:rPr>
      <w:sz w:val="20"/>
      <w:lang w:eastAsia="x-none"/>
    </w:rPr>
  </w:style>
  <w:style w:type="character" w:customStyle="1" w:styleId="BTEMEASMCAChar">
    <w:name w:val="BT EMEA_SMCA Char"/>
    <w:link w:val="BTEMEASMCA"/>
    <w:rsid w:val="00851D5E"/>
    <w:rPr>
      <w:rFonts w:ascii="Times New Roman" w:eastAsia="Times New Roman" w:hAnsi="Times New Roman" w:cs="Times New Roman"/>
      <w:sz w:val="20"/>
      <w:szCs w:val="20"/>
      <w:lang w:val="lt-LT" w:eastAsia="x-none"/>
    </w:rPr>
  </w:style>
  <w:style w:type="paragraph" w:customStyle="1" w:styleId="TTEMEASMCA">
    <w:name w:val="TT EMEA_SMCA"/>
    <w:basedOn w:val="Antrat1"/>
    <w:link w:val="TTEMEASMCAChar"/>
    <w:autoRedefine/>
    <w:rsid w:val="00851D5E"/>
    <w:pPr>
      <w:keepNext w:val="0"/>
      <w:tabs>
        <w:tab w:val="left" w:pos="567"/>
      </w:tabs>
      <w:jc w:val="center"/>
    </w:pPr>
    <w:rPr>
      <w:caps/>
      <w:sz w:val="20"/>
      <w:lang w:val="x-none" w:eastAsia="x-none"/>
    </w:rPr>
  </w:style>
  <w:style w:type="character" w:customStyle="1" w:styleId="TTEMEASMCAChar">
    <w:name w:val="TT EMEA_SMCA Char"/>
    <w:link w:val="TTEMEASMCA"/>
    <w:rsid w:val="00851D5E"/>
    <w:rPr>
      <w:rFonts w:ascii="Times New Roman" w:eastAsia="Times New Roman" w:hAnsi="Times New Roman" w:cs="Times New Roman"/>
      <w:b/>
      <w:caps/>
      <w:sz w:val="20"/>
      <w:szCs w:val="20"/>
      <w:lang w:val="x-none" w:eastAsia="x-none"/>
    </w:rPr>
  </w:style>
  <w:style w:type="paragraph" w:customStyle="1" w:styleId="PI-2EMEASMCA">
    <w:name w:val="PI-2 EMEA_SMCA"/>
    <w:basedOn w:val="Antrat3"/>
    <w:autoRedefine/>
    <w:rsid w:val="00851D5E"/>
    <w:pPr>
      <w:keepLines/>
      <w:ind w:left="567" w:hanging="567"/>
    </w:pPr>
    <w:rPr>
      <w:iCs w:val="0"/>
      <w:kern w:val="28"/>
      <w:szCs w:val="22"/>
      <w:lang w:eastAsia="en-US"/>
    </w:rPr>
  </w:style>
  <w:style w:type="paragraph" w:customStyle="1" w:styleId="Pataisymai1">
    <w:name w:val="Pataisymai1"/>
    <w:hidden/>
    <w:uiPriority w:val="99"/>
    <w:semiHidden/>
    <w:rsid w:val="00851D5E"/>
    <w:pPr>
      <w:spacing w:after="0" w:line="240" w:lineRule="auto"/>
    </w:pPr>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rsid w:val="00851D5E"/>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851D5E"/>
    <w:rPr>
      <w:rFonts w:ascii="Tahoma" w:eastAsia="Times New Roman" w:hAnsi="Tahoma" w:cs="Times New Roman"/>
      <w:sz w:val="16"/>
      <w:szCs w:val="16"/>
      <w:lang w:val="x-none" w:eastAsia="x-none"/>
    </w:rPr>
  </w:style>
  <w:style w:type="table" w:styleId="Lentelstinklelis">
    <w:name w:val="Table Grid"/>
    <w:basedOn w:val="prastojilentel"/>
    <w:rsid w:val="00851D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51D5E"/>
    <w:pPr>
      <w:widowControl w:val="0"/>
      <w:tabs>
        <w:tab w:val="left" w:pos="-720"/>
        <w:tab w:val="left" w:pos="4536"/>
      </w:tabs>
      <w:overflowPunct w:val="0"/>
      <w:autoSpaceDE w:val="0"/>
      <w:autoSpaceDN w:val="0"/>
      <w:adjustRightInd w:val="0"/>
      <w:textAlignment w:val="baseline"/>
    </w:pPr>
    <w:rPr>
      <w:i/>
      <w:lang w:val="en-GB" w:eastAsia="en-US"/>
    </w:rPr>
  </w:style>
  <w:style w:type="character" w:styleId="Komentaronuoroda">
    <w:name w:val="annotation reference"/>
    <w:semiHidden/>
    <w:rsid w:val="00851D5E"/>
    <w:rPr>
      <w:sz w:val="16"/>
      <w:szCs w:val="16"/>
    </w:rPr>
  </w:style>
  <w:style w:type="paragraph" w:styleId="Komentarotekstas">
    <w:name w:val="annotation text"/>
    <w:basedOn w:val="prastasis"/>
    <w:link w:val="KomentarotekstasDiagrama"/>
    <w:semiHidden/>
    <w:rsid w:val="00851D5E"/>
    <w:rPr>
      <w:sz w:val="20"/>
    </w:rPr>
  </w:style>
  <w:style w:type="character" w:customStyle="1" w:styleId="KomentarotekstasDiagrama">
    <w:name w:val="Komentaro tekstas Diagrama"/>
    <w:basedOn w:val="Numatytasispastraiposriftas"/>
    <w:link w:val="Komentarotekstas"/>
    <w:semiHidden/>
    <w:rsid w:val="00851D5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851D5E"/>
    <w:rPr>
      <w:b/>
      <w:bCs/>
    </w:rPr>
  </w:style>
  <w:style w:type="character" w:customStyle="1" w:styleId="KomentarotemaDiagrama">
    <w:name w:val="Komentaro tema Diagrama"/>
    <w:basedOn w:val="KomentarotekstasDiagrama"/>
    <w:link w:val="Komentarotema"/>
    <w:semiHidden/>
    <w:rsid w:val="00851D5E"/>
    <w:rPr>
      <w:rFonts w:ascii="Times New Roman" w:eastAsia="Times New Roman" w:hAnsi="Times New Roman" w:cs="Times New Roman"/>
      <w:b/>
      <w:bCs/>
      <w:sz w:val="20"/>
      <w:szCs w:val="20"/>
      <w:lang w:val="lt-LT" w:eastAsia="lt-LT"/>
    </w:rPr>
  </w:style>
  <w:style w:type="paragraph" w:customStyle="1" w:styleId="Pataisymai2">
    <w:name w:val="Pataisymai2"/>
    <w:hidden/>
    <w:uiPriority w:val="99"/>
    <w:semiHidden/>
    <w:rsid w:val="00851D5E"/>
    <w:pPr>
      <w:spacing w:after="0" w:line="240" w:lineRule="auto"/>
    </w:pPr>
    <w:rPr>
      <w:rFonts w:ascii="Times New Roman" w:eastAsia="Times New Roman" w:hAnsi="Times New Roman" w:cs="Times New Roman"/>
      <w:szCs w:val="20"/>
      <w:lang w:val="lt-LT" w:eastAsia="lt-LT"/>
    </w:rPr>
  </w:style>
  <w:style w:type="paragraph" w:styleId="Pataisymai">
    <w:name w:val="Revision"/>
    <w:hidden/>
    <w:uiPriority w:val="99"/>
    <w:semiHidden/>
    <w:rsid w:val="00851D5E"/>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itle xmlns="f54b7f8f-08ec-49bb-85a0-2a8df40be65f" xsi:nil="true"/>
    <Artifact_x0020_Name xmlns="f54b7f8f-08ec-49bb-85a0-2a8df40be65f" xsi:nil="true"/>
    <Primary_x0020_Group xmlns="f54b7f8f-08ec-49bb-85a0-2a8df40be65f" xsi:nil="true"/>
    <Product_x0020_Code xmlns="f54b7f8f-08ec-49bb-85a0-2a8df40be65f" xsi:nil="true"/>
    <dctm_isservice xmlns="f54b7f8f-08ec-49bb-85a0-2a8df40be65f">true</dctm_isservi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8BD2111C7E346BF8C2FB9F01A64B9" ma:contentTypeVersion="5" ma:contentTypeDescription="Create a new document." ma:contentTypeScope="" ma:versionID="96b9ce8f1d5fe716dd9b3d12fcbedac2">
  <xsd:schema xmlns:xsd="http://www.w3.org/2001/XMLSchema" xmlns:xs="http://www.w3.org/2001/XMLSchema" xmlns:p="http://schemas.microsoft.com/office/2006/metadata/properties" xmlns:ns2="f54b7f8f-08ec-49bb-85a0-2a8df40be65f" targetNamespace="http://schemas.microsoft.com/office/2006/metadata/properties" ma:root="true" ma:fieldsID="b3e48e7834a3ff9e5ef79a664abc238f" ns2:_="">
    <xsd:import namespace="f54b7f8f-08ec-49bb-85a0-2a8df40be65f"/>
    <xsd:element name="properties">
      <xsd:complexType>
        <xsd:sequence>
          <xsd:element name="documentManagement">
            <xsd:complexType>
              <xsd:all>
                <xsd:element ref="ns2:dctm_isservice" minOccurs="0"/>
                <xsd:element ref="ns2:Artifact_x0020_Name" minOccurs="0"/>
                <xsd:element ref="ns2:Document_x0020_Title" minOccurs="0"/>
                <xsd:element ref="ns2:Primary_x0020_Group" minOccurs="0"/>
                <xsd:element ref="ns2:Produ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7f8f-08ec-49bb-85a0-2a8df40be65f" elementFormDefault="qualified">
    <xsd:import namespace="http://schemas.microsoft.com/office/2006/documentManagement/types"/>
    <xsd:import namespace="http://schemas.microsoft.com/office/infopath/2007/PartnerControls"/>
    <xsd:element name="dctm_isservice" ma:index="8" nillable="true" ma:displayName="dctm_isservice" ma:default="FALSE" ma:internalName="dctm_isservice" ma:readOnly="true">
      <xsd:simpleType>
        <xsd:restriction base="dms:Boolean"/>
      </xsd:simpleType>
    </xsd:element>
    <xsd:element name="Artifact_x0020_Name" ma:index="9" nillable="true" ma:displayName="Artifact Name" ma:internalName="Artifact_x0020_Name">
      <xsd:simpleType>
        <xsd:restriction base="dms:Text">
          <xsd:maxLength value="255"/>
        </xsd:restriction>
      </xsd:simpleType>
    </xsd:element>
    <xsd:element name="Document_x0020_Title" ma:index="10" nillable="true" ma:displayName="Document Title" ma:internalName="Document_x0020_Title">
      <xsd:simpleType>
        <xsd:restriction base="dms:Text">
          <xsd:maxLength value="255"/>
        </xsd:restriction>
      </xsd:simpleType>
    </xsd:element>
    <xsd:element name="Primary_x0020_Group" ma:index="11" nillable="true" ma:displayName="Primary Group" ma:internalName="Primary_x0020_Group">
      <xsd:simpleType>
        <xsd:restriction base="dms:Text">
          <xsd:maxLength value="255"/>
        </xsd:restriction>
      </xsd:simpleType>
    </xsd:element>
    <xsd:element name="Product_x0020_Code" ma:index="12" nillable="true" ma:displayName="Product Code" ma:internalName="Product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3FD66-70E2-4FF6-B003-CD292A97766E}">
  <ds:schemaRefs>
    <ds:schemaRef ds:uri="http://schemas.microsoft.com/sharepoint/v3/contenttype/forms"/>
  </ds:schemaRefs>
</ds:datastoreItem>
</file>

<file path=customXml/itemProps2.xml><?xml version="1.0" encoding="utf-8"?>
<ds:datastoreItem xmlns:ds="http://schemas.openxmlformats.org/officeDocument/2006/customXml" ds:itemID="{584CBA31-4E0F-4D13-8772-BE3CD6040CAC}">
  <ds:schemaRefs>
    <ds:schemaRef ds:uri="http://schemas.microsoft.com/office/2006/metadata/properties"/>
    <ds:schemaRef ds:uri="http://schemas.microsoft.com/office/infopath/2007/PartnerControls"/>
    <ds:schemaRef ds:uri="f54b7f8f-08ec-49bb-85a0-2a8df40be65f"/>
  </ds:schemaRefs>
</ds:datastoreItem>
</file>

<file path=customXml/itemProps3.xml><?xml version="1.0" encoding="utf-8"?>
<ds:datastoreItem xmlns:ds="http://schemas.openxmlformats.org/officeDocument/2006/customXml" ds:itemID="{F1F91F5C-BB20-4429-9AC4-2AD8BC27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7f8f-08ec-49bb-85a0-2a8df40be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11916</Words>
  <Characters>6793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Author1</dc:creator>
  <cp:keywords/>
  <dc:description/>
  <cp:lastModifiedBy>Karolina Kontrauskaitė</cp:lastModifiedBy>
  <cp:revision>42</cp:revision>
  <dcterms:created xsi:type="dcterms:W3CDTF">2025-11-26T14:08:00Z</dcterms:created>
  <dcterms:modified xsi:type="dcterms:W3CDTF">2026-05-15T04:54:00Z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2022-07-19T15:44:46Z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f20a8c78-86c1-44b7-89d3-59a4d5504c18</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NewReviewCycle">
    <vt:lpwstr/>
  </property>
  <property fmtid="{D5CDD505-2E9C-101B-9397-08002B2CF9AE}" pid="12" name="ContentTypeId">
    <vt:lpwstr>0x0101007368BD2111C7E346BF8C2FB9F01A64B9</vt:lpwstr>
  </property>
</Properties>
</file>