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7822"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4F85C7D"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700DA5D"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6C6000A"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4FC3727"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ADCC3DD"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252AFF4"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9350619"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237BA7C"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EF9F2DF"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5E74E52"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5B47CA1"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81DE1FD"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D7374E9"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158EBDB"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B5D08E7"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B2B3F51"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528BF26"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739DB89"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1A80298"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5784362"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1BDC8FE"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8D474B4"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498DF6F8" w14:textId="77777777" w:rsidR="00FB407F" w:rsidRPr="00C24DBC" w:rsidRDefault="00FB407F" w:rsidP="00FB407F">
      <w:pPr>
        <w:widowControl w:val="0"/>
        <w:tabs>
          <w:tab w:val="left" w:pos="567"/>
        </w:tabs>
        <w:ind w:left="0" w:firstLine="0"/>
        <w:jc w:val="center"/>
        <w:outlineLvl w:val="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B. PAKUOTĖS LAPELIS</w:t>
      </w:r>
    </w:p>
    <w:p w14:paraId="66485485" w14:textId="77777777" w:rsidR="00FB407F" w:rsidRPr="00C24DBC" w:rsidRDefault="00FB407F" w:rsidP="00FB407F">
      <w:pPr>
        <w:widowControl w:val="0"/>
        <w:tabs>
          <w:tab w:val="left" w:pos="567"/>
        </w:tabs>
        <w:ind w:left="0" w:firstLine="0"/>
        <w:jc w:val="center"/>
        <w:outlineLvl w:val="1"/>
        <w:rPr>
          <w:rFonts w:ascii="Times New Roman" w:eastAsia="Times New Roman" w:hAnsi="Times New Roman" w:cs="Times New Roman"/>
          <w:b/>
          <w:snapToGrid w:val="0"/>
          <w:kern w:val="0"/>
          <w:sz w:val="22"/>
          <w:szCs w:val="22"/>
          <w:lang w:eastAsia="sl-SI"/>
          <w14:ligatures w14:val="none"/>
        </w:rPr>
      </w:pPr>
      <w:r w:rsidRPr="00C24DBC">
        <w:rPr>
          <w:rFonts w:ascii="Times New Roman" w:eastAsia="Times New Roman" w:hAnsi="Times New Roman" w:cs="Times New Roman"/>
          <w:b/>
          <w:bCs/>
          <w:iCs/>
          <w:snapToGrid w:val="0"/>
          <w:kern w:val="0"/>
          <w:sz w:val="22"/>
          <w:szCs w:val="22"/>
          <w:lang w:eastAsia="sl-SI"/>
          <w14:ligatures w14:val="none"/>
        </w:rPr>
        <w:br w:type="page"/>
      </w:r>
      <w:r w:rsidRPr="00C24DBC">
        <w:rPr>
          <w:rFonts w:ascii="Times New Roman" w:eastAsia="Times New Roman" w:hAnsi="Times New Roman" w:cs="Times New Roman"/>
          <w:b/>
          <w:bCs/>
          <w:iCs/>
          <w:snapToGrid w:val="0"/>
          <w:kern w:val="0"/>
          <w:sz w:val="22"/>
          <w:szCs w:val="22"/>
          <w:lang w:eastAsia="sl-SI"/>
          <w14:ligatures w14:val="none"/>
        </w:rPr>
        <w:lastRenderedPageBreak/>
        <w:t>Pakuotės lapelis:</w:t>
      </w:r>
      <w:r w:rsidRPr="00C24DBC">
        <w:rPr>
          <w:rFonts w:ascii="Times New Roman" w:eastAsia="Times New Roman" w:hAnsi="Times New Roman" w:cs="Times New Roman"/>
          <w:b/>
          <w:snapToGrid w:val="0"/>
          <w:kern w:val="0"/>
          <w:sz w:val="22"/>
          <w:szCs w:val="22"/>
          <w:lang w:eastAsia="sl-SI"/>
          <w14:ligatures w14:val="none"/>
        </w:rPr>
        <w:t xml:space="preserve"> </w:t>
      </w:r>
      <w:r w:rsidRPr="00C24DBC">
        <w:rPr>
          <w:rFonts w:ascii="Times New Roman" w:eastAsia="Times New Roman" w:hAnsi="Times New Roman" w:cs="Times New Roman"/>
          <w:b/>
          <w:bCs/>
          <w:iCs/>
          <w:snapToGrid w:val="0"/>
          <w:kern w:val="0"/>
          <w:sz w:val="22"/>
          <w:szCs w:val="22"/>
          <w:lang w:eastAsia="sl-SI"/>
          <w14:ligatures w14:val="none"/>
        </w:rPr>
        <w:t>informacija vartotojui</w:t>
      </w:r>
    </w:p>
    <w:p w14:paraId="7FDF56A4" w14:textId="77777777" w:rsidR="00FB407F" w:rsidRPr="00C24DBC" w:rsidRDefault="00FB407F" w:rsidP="00FB407F">
      <w:pPr>
        <w:widowControl w:val="0"/>
        <w:numPr>
          <w:ilvl w:val="12"/>
          <w:numId w:val="0"/>
        </w:numPr>
        <w:shd w:val="clear" w:color="auto" w:fill="FFFFFF"/>
        <w:jc w:val="center"/>
        <w:rPr>
          <w:rFonts w:ascii="Times New Roman" w:eastAsia="Times New Roman" w:hAnsi="Times New Roman" w:cs="Times New Roman"/>
          <w:snapToGrid w:val="0"/>
          <w:kern w:val="0"/>
          <w:sz w:val="22"/>
          <w:szCs w:val="22"/>
          <w14:ligatures w14:val="none"/>
        </w:rPr>
      </w:pPr>
    </w:p>
    <w:p w14:paraId="360BDA19" w14:textId="122CC36E" w:rsidR="00FB407F" w:rsidRPr="00C24DBC" w:rsidRDefault="00146696" w:rsidP="00FB407F">
      <w:pPr>
        <w:widowControl w:val="0"/>
        <w:tabs>
          <w:tab w:val="left" w:pos="567"/>
        </w:tabs>
        <w:ind w:left="0" w:firstLine="0"/>
        <w:jc w:val="center"/>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Linezolid Kabi</w:t>
      </w:r>
      <w:r w:rsidR="00FB407F" w:rsidRPr="00C24DBC">
        <w:rPr>
          <w:rFonts w:ascii="Times New Roman" w:eastAsia="Times New Roman" w:hAnsi="Times New Roman" w:cs="Times New Roman"/>
          <w:b/>
          <w:snapToGrid w:val="0"/>
          <w:kern w:val="0"/>
          <w:sz w:val="22"/>
          <w:szCs w:val="22"/>
          <w14:ligatures w14:val="none"/>
        </w:rPr>
        <w:t xml:space="preserve"> 2 mg/ml infuzinis tirpalas</w:t>
      </w:r>
    </w:p>
    <w:p w14:paraId="7FBAC91F" w14:textId="77777777" w:rsidR="00FB407F" w:rsidRPr="00C24DBC" w:rsidRDefault="00FB407F" w:rsidP="00FB407F">
      <w:pPr>
        <w:widowControl w:val="0"/>
        <w:numPr>
          <w:ilvl w:val="12"/>
          <w:numId w:val="0"/>
        </w:numPr>
        <w:jc w:val="center"/>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w:t>
      </w:r>
    </w:p>
    <w:p w14:paraId="3BC29483"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p>
    <w:p w14:paraId="32C82EF2"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Atidžiai perskaitykite visą šį lapelį, prieš pradėdami vartoti vaistą, nes jame pateikiama Jums svarbi informacija.</w:t>
      </w:r>
    </w:p>
    <w:p w14:paraId="44BDCD16" w14:textId="77777777" w:rsidR="00FB407F" w:rsidRPr="00C24DBC" w:rsidRDefault="00FB407F" w:rsidP="00FB407F">
      <w:pPr>
        <w:widowControl w:val="0"/>
        <w:numPr>
          <w:ilvl w:val="0"/>
          <w:numId w:val="5"/>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Neišmeskite šio lapelio, nes vėl gali prireikti jį perskaityti.</w:t>
      </w:r>
    </w:p>
    <w:p w14:paraId="4071904C" w14:textId="77777777" w:rsidR="00FB407F" w:rsidRPr="00C24DBC" w:rsidRDefault="00FB407F" w:rsidP="00FB407F">
      <w:pPr>
        <w:widowControl w:val="0"/>
        <w:numPr>
          <w:ilvl w:val="0"/>
          <w:numId w:val="5"/>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kiltų daugiau klausimų, kreipkitės į gydytoją, vaistininką arba slaugytoją.</w:t>
      </w:r>
    </w:p>
    <w:p w14:paraId="5FB97C23" w14:textId="77777777" w:rsidR="00FB407F" w:rsidRPr="00C24DBC" w:rsidRDefault="00FB407F" w:rsidP="00FB407F">
      <w:pPr>
        <w:widowControl w:val="0"/>
        <w:numPr>
          <w:ilvl w:val="0"/>
          <w:numId w:val="5"/>
        </w:numPr>
        <w:ind w:left="567"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pasireiškė šalutinis poveikis (net jeigu jis šiame lapelyje nenurodytas), kreipkitės į gydytoją, vaistininką arba slaugytoją. Žr. 4 skyrių.</w:t>
      </w:r>
    </w:p>
    <w:p w14:paraId="69DC4452" w14:textId="77777777" w:rsidR="00FB407F" w:rsidRPr="00C24DBC" w:rsidRDefault="00FB407F" w:rsidP="00FB407F">
      <w:pPr>
        <w:widowControl w:val="0"/>
        <w:ind w:left="567" w:right="-2" w:hanging="567"/>
        <w:rPr>
          <w:rFonts w:ascii="Times New Roman" w:eastAsia="Times New Roman" w:hAnsi="Times New Roman" w:cs="Times New Roman"/>
          <w:snapToGrid w:val="0"/>
          <w:kern w:val="0"/>
          <w:sz w:val="22"/>
          <w:szCs w:val="22"/>
          <w14:ligatures w14:val="none"/>
        </w:rPr>
      </w:pPr>
    </w:p>
    <w:p w14:paraId="4235F66C"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Apie ką rašoma šiame lapelyje?</w:t>
      </w:r>
    </w:p>
    <w:p w14:paraId="2B3B7802"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377B859" w14:textId="199C938A" w:rsidR="00FB407F" w:rsidRPr="00C24DBC" w:rsidRDefault="00FB407F" w:rsidP="00FB407F">
      <w:pPr>
        <w:pStyle w:val="Sraopastraipa"/>
        <w:widowControl w:val="0"/>
        <w:numPr>
          <w:ilvl w:val="0"/>
          <w:numId w:val="12"/>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Kas yra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xml:space="preserve"> ir kam jis vartojamas</w:t>
      </w:r>
    </w:p>
    <w:p w14:paraId="42E7FD15" w14:textId="501D4C6F" w:rsidR="00FB407F" w:rsidRPr="00C24DBC" w:rsidRDefault="00FB407F" w:rsidP="00FB407F">
      <w:pPr>
        <w:pStyle w:val="Sraopastraipa"/>
        <w:widowControl w:val="0"/>
        <w:numPr>
          <w:ilvl w:val="0"/>
          <w:numId w:val="12"/>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Kas žinotina prieš vartojant </w:t>
      </w:r>
      <w:r w:rsidR="00146696" w:rsidRPr="00C24DBC">
        <w:rPr>
          <w:rFonts w:ascii="Times New Roman" w:eastAsia="Times New Roman" w:hAnsi="Times New Roman" w:cs="Times New Roman"/>
          <w:snapToGrid w:val="0"/>
          <w:kern w:val="0"/>
          <w:sz w:val="22"/>
          <w:szCs w:val="22"/>
          <w14:ligatures w14:val="none"/>
        </w:rPr>
        <w:t>Linezolid Kabi</w:t>
      </w:r>
    </w:p>
    <w:p w14:paraId="58E4E4CC" w14:textId="10763EA2" w:rsidR="00FB407F" w:rsidRPr="00C24DBC" w:rsidRDefault="00FB407F" w:rsidP="00FB407F">
      <w:pPr>
        <w:pStyle w:val="Sraopastraipa"/>
        <w:widowControl w:val="0"/>
        <w:numPr>
          <w:ilvl w:val="0"/>
          <w:numId w:val="12"/>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Kaip vartoti </w:t>
      </w:r>
      <w:r w:rsidR="00146696" w:rsidRPr="00C24DBC">
        <w:rPr>
          <w:rFonts w:ascii="Times New Roman" w:eastAsia="Times New Roman" w:hAnsi="Times New Roman" w:cs="Times New Roman"/>
          <w:snapToGrid w:val="0"/>
          <w:kern w:val="0"/>
          <w:sz w:val="22"/>
          <w:szCs w:val="22"/>
          <w14:ligatures w14:val="none"/>
        </w:rPr>
        <w:t>Linezolid Kabi</w:t>
      </w:r>
    </w:p>
    <w:p w14:paraId="602A3B9A" w14:textId="77777777" w:rsidR="00FB407F" w:rsidRPr="00C24DBC" w:rsidRDefault="00FB407F" w:rsidP="00FB407F">
      <w:pPr>
        <w:pStyle w:val="Sraopastraipa"/>
        <w:widowControl w:val="0"/>
        <w:numPr>
          <w:ilvl w:val="0"/>
          <w:numId w:val="12"/>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Galimas šalutinis poveikis</w:t>
      </w:r>
    </w:p>
    <w:p w14:paraId="4F3D6673" w14:textId="6F830536" w:rsidR="00FB407F" w:rsidRPr="00C24DBC" w:rsidRDefault="00FB407F" w:rsidP="00FB407F">
      <w:pPr>
        <w:pStyle w:val="Sraopastraipa"/>
        <w:widowControl w:val="0"/>
        <w:numPr>
          <w:ilvl w:val="0"/>
          <w:numId w:val="12"/>
        </w:numPr>
        <w:tabs>
          <w:tab w:val="left" w:pos="709"/>
        </w:tabs>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Kaip laikyti </w:t>
      </w:r>
      <w:r w:rsidR="00146696" w:rsidRPr="00C24DBC">
        <w:rPr>
          <w:rFonts w:ascii="Times New Roman" w:eastAsia="Times New Roman" w:hAnsi="Times New Roman" w:cs="Times New Roman"/>
          <w:snapToGrid w:val="0"/>
          <w:kern w:val="0"/>
          <w:sz w:val="22"/>
          <w:szCs w:val="22"/>
          <w14:ligatures w14:val="none"/>
        </w:rPr>
        <w:t>Linezolid Kabi</w:t>
      </w:r>
    </w:p>
    <w:p w14:paraId="01902C03" w14:textId="77777777" w:rsidR="00FB407F" w:rsidRPr="00C24DBC" w:rsidRDefault="00FB407F" w:rsidP="00FB407F">
      <w:pPr>
        <w:pStyle w:val="Sraopastraipa"/>
        <w:widowControl w:val="0"/>
        <w:numPr>
          <w:ilvl w:val="0"/>
          <w:numId w:val="12"/>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Pakuotės turinys ir kita informacija</w:t>
      </w:r>
    </w:p>
    <w:p w14:paraId="12F52797"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61FC7DAF"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E6E7FE6" w14:textId="140991E8"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1.</w:t>
      </w:r>
      <w:r w:rsidRPr="00C24DBC">
        <w:rPr>
          <w:rFonts w:ascii="Times New Roman" w:eastAsia="Times New Roman" w:hAnsi="Times New Roman" w:cs="Times New Roman"/>
          <w:b/>
          <w:bCs/>
          <w:snapToGrid w:val="0"/>
          <w:kern w:val="0"/>
          <w:sz w:val="22"/>
          <w:szCs w:val="22"/>
          <w:lang w:eastAsia="sl-SI"/>
          <w14:ligatures w14:val="none"/>
        </w:rPr>
        <w:tab/>
        <w:t xml:space="preserve">Kas yra </w:t>
      </w:r>
      <w:r w:rsidR="00146696" w:rsidRPr="00C24DBC">
        <w:rPr>
          <w:rFonts w:ascii="Times New Roman" w:eastAsia="Times New Roman" w:hAnsi="Times New Roman" w:cs="Times New Roman"/>
          <w:b/>
          <w:bCs/>
          <w:snapToGrid w:val="0"/>
          <w:kern w:val="0"/>
          <w:sz w:val="22"/>
          <w:szCs w:val="22"/>
          <w:lang w:eastAsia="sl-SI"/>
          <w14:ligatures w14:val="none"/>
        </w:rPr>
        <w:t>Linezolid Kabi</w:t>
      </w:r>
      <w:r w:rsidRPr="00C24DBC">
        <w:rPr>
          <w:rFonts w:ascii="Times New Roman" w:eastAsia="Times New Roman" w:hAnsi="Times New Roman" w:cs="Times New Roman"/>
          <w:b/>
          <w:bCs/>
          <w:snapToGrid w:val="0"/>
          <w:kern w:val="0"/>
          <w:sz w:val="22"/>
          <w:szCs w:val="22"/>
          <w:lang w:eastAsia="sl-SI"/>
          <w14:ligatures w14:val="none"/>
        </w:rPr>
        <w:t xml:space="preserve"> ir kam jis vartojamas</w:t>
      </w:r>
    </w:p>
    <w:p w14:paraId="602D6A20"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494D4A15" w14:textId="064E2988" w:rsidR="00FB407F" w:rsidRPr="00C24DBC" w:rsidRDefault="00146696"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 Kabi</w:t>
      </w:r>
      <w:r w:rsidR="00FB407F" w:rsidRPr="00C24DBC">
        <w:rPr>
          <w:rFonts w:ascii="Times New Roman" w:eastAsia="Times New Roman" w:hAnsi="Times New Roman" w:cs="Times New Roman"/>
          <w:snapToGrid w:val="0"/>
          <w:kern w:val="0"/>
          <w:sz w:val="22"/>
          <w:szCs w:val="22"/>
          <w14:ligatures w14:val="none"/>
        </w:rPr>
        <w:t xml:space="preserve"> yra oksazolidinonų grupės antibiotikas, kuris suaugusiems žmonėms slopina tam tikrų rūšių bakterijų (mikrobų), kurios sukelia infekcines ligas, augimą. Jis vartojamas plaučių uždegimui ir kai kurioms odos ir poodinio audinio infekcinėms ligoms gydyti. Jūsų gydytojas nuspręs, ar </w:t>
      </w:r>
      <w:r w:rsidRPr="00C24DBC">
        <w:rPr>
          <w:rFonts w:ascii="Times New Roman" w:eastAsia="Times New Roman" w:hAnsi="Times New Roman" w:cs="Times New Roman"/>
          <w:snapToGrid w:val="0"/>
          <w:kern w:val="0"/>
          <w:sz w:val="22"/>
          <w:szCs w:val="22"/>
          <w14:ligatures w14:val="none"/>
        </w:rPr>
        <w:t>Linezolid Kabi</w:t>
      </w:r>
      <w:r w:rsidR="00FB407F" w:rsidRPr="00C24DBC">
        <w:rPr>
          <w:rFonts w:ascii="Times New Roman" w:eastAsia="Times New Roman" w:hAnsi="Times New Roman" w:cs="Times New Roman"/>
          <w:snapToGrid w:val="0"/>
          <w:kern w:val="0"/>
          <w:sz w:val="22"/>
          <w:szCs w:val="22"/>
          <w14:ligatures w14:val="none"/>
        </w:rPr>
        <w:t xml:space="preserve"> tinka Jūsų infekcinės ligos gydymui.</w:t>
      </w:r>
    </w:p>
    <w:p w14:paraId="351FD628"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1677DCC"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A51B69B" w14:textId="1E833CA1"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2.</w:t>
      </w:r>
      <w:r w:rsidRPr="00C24DBC">
        <w:rPr>
          <w:rFonts w:ascii="Times New Roman" w:eastAsia="Times New Roman" w:hAnsi="Times New Roman" w:cs="Times New Roman"/>
          <w:b/>
          <w:bCs/>
          <w:snapToGrid w:val="0"/>
          <w:kern w:val="0"/>
          <w:sz w:val="22"/>
          <w:szCs w:val="22"/>
          <w:lang w:eastAsia="sl-SI"/>
          <w14:ligatures w14:val="none"/>
        </w:rPr>
        <w:tab/>
        <w:t xml:space="preserve">Kas žinotina prieš vartojant </w:t>
      </w:r>
      <w:r w:rsidR="00146696" w:rsidRPr="00C24DBC">
        <w:rPr>
          <w:rFonts w:ascii="Times New Roman" w:eastAsia="Times New Roman" w:hAnsi="Times New Roman" w:cs="Times New Roman"/>
          <w:b/>
          <w:bCs/>
          <w:snapToGrid w:val="0"/>
          <w:kern w:val="0"/>
          <w:sz w:val="22"/>
          <w:szCs w:val="22"/>
          <w:lang w:eastAsia="sl-SI"/>
          <w14:ligatures w14:val="none"/>
        </w:rPr>
        <w:t>Linezolid Kabi</w:t>
      </w:r>
    </w:p>
    <w:p w14:paraId="4BD71453"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533A0F3" w14:textId="0C8249AA" w:rsidR="00FB407F" w:rsidRPr="00C24DBC" w:rsidRDefault="00146696"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Linezolid Kabi</w:t>
      </w:r>
      <w:r w:rsidR="00FB407F" w:rsidRPr="00C24DBC">
        <w:rPr>
          <w:rFonts w:ascii="Times New Roman" w:eastAsia="Times New Roman" w:hAnsi="Times New Roman" w:cs="Times New Roman"/>
          <w:b/>
          <w:bCs/>
          <w:snapToGrid w:val="0"/>
          <w:kern w:val="0"/>
          <w:sz w:val="22"/>
          <w:szCs w:val="22"/>
          <w:lang w:eastAsia="sl-SI"/>
          <w14:ligatures w14:val="none"/>
        </w:rPr>
        <w:t xml:space="preserve"> vartoti draudžiama:</w:t>
      </w:r>
    </w:p>
    <w:p w14:paraId="78B25A39" w14:textId="77777777" w:rsidR="00FB407F" w:rsidRPr="00C24DBC" w:rsidRDefault="00FB407F" w:rsidP="00FB407F">
      <w:pPr>
        <w:widowControl w:val="0"/>
        <w:numPr>
          <w:ilvl w:val="0"/>
          <w:numId w:val="1"/>
        </w:numPr>
        <w:ind w:left="567"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yra alergija linezolidui arba bet kuriai pagalbinei šio vaisto medžiagai (jos išvardytos 6 skyriuje).</w:t>
      </w:r>
    </w:p>
    <w:p w14:paraId="6D3C35A4" w14:textId="77777777" w:rsidR="00FB407F" w:rsidRPr="00C24DBC" w:rsidRDefault="00FB407F" w:rsidP="00FB407F">
      <w:pPr>
        <w:widowControl w:val="0"/>
        <w:numPr>
          <w:ilvl w:val="0"/>
          <w:numId w:val="1"/>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jeigu vartojate arba per praėjusias 2 savaites vartojote kitų vaistų, kurie yra žinomi kaip monoaminooksidazės inhibitoriai (MAOI, pvz., fenelzino, izokarboksazido, selegilino, moklobemido). Jie gali būti vartojami depresijai ar Parkinsono ligai gydyti;</w:t>
      </w:r>
    </w:p>
    <w:p w14:paraId="39E2B503" w14:textId="1A570A8B" w:rsidR="00FB407F" w:rsidRPr="00C24DBC" w:rsidRDefault="00FB407F" w:rsidP="00FB407F">
      <w:pPr>
        <w:widowControl w:val="0"/>
        <w:numPr>
          <w:ilvl w:val="0"/>
          <w:numId w:val="1"/>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jeigu esate žindyvė. Tai yra todėl, kad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pereina į žindyvės pieną ir gali paveikti kūdikį.</w:t>
      </w:r>
    </w:p>
    <w:p w14:paraId="4947053D"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44A0C422"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Įspėjimai ir atsargumo priemonės</w:t>
      </w:r>
    </w:p>
    <w:p w14:paraId="6691376C" w14:textId="581FFBBF"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Pasitarkite su gydytoju, vaistininku arba slaugytoju, prieš pradėdami vartoti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w:t>
      </w:r>
    </w:p>
    <w:p w14:paraId="6C0819BA" w14:textId="369B274F" w:rsidR="00FB407F" w:rsidRPr="00C24DBC" w:rsidRDefault="00146696"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Linezolid Kabi</w:t>
      </w:r>
      <w:r w:rsidR="00FB407F" w:rsidRPr="00C24DBC">
        <w:rPr>
          <w:rFonts w:ascii="Times New Roman" w:eastAsia="Times New Roman" w:hAnsi="Times New Roman" w:cs="Times New Roman"/>
          <w:bCs/>
          <w:snapToGrid w:val="0"/>
          <w:kern w:val="0"/>
          <w:sz w:val="22"/>
          <w:szCs w:val="22"/>
          <w14:ligatures w14:val="none"/>
        </w:rPr>
        <w:t xml:space="preserve"> Jums gali netikti, jeigu atsakysite „taip“ į bet kurį toliau pateiktą klausimą. Tokiu atveju pasakykite savo gydytojui, nes jam gali reikėti tikrinti bendrąją Jūsų sveikatos būklę ir kraujospūdį prieš gydymą bei jo metu arba jis gali nuspręsti, kad kitoks gydymas Jums yra tinkamesnis.</w:t>
      </w:r>
    </w:p>
    <w:p w14:paraId="0DCFD934"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Pasiklauskite savo gydytojo, jeigu abejojate, ar Jums tinka šios kategorijos:</w:t>
      </w:r>
    </w:p>
    <w:p w14:paraId="79CC5144" w14:textId="77777777" w:rsidR="00FB407F" w:rsidRPr="00C24DBC" w:rsidRDefault="00FB407F" w:rsidP="00FB407F">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Ar yra padidėjęs kraujospūdis, ar vartojate jį mažinančių vaistų?</w:t>
      </w:r>
    </w:p>
    <w:p w14:paraId="2E569271" w14:textId="77777777" w:rsidR="00FB407F" w:rsidRPr="00C24DBC" w:rsidRDefault="00FB407F" w:rsidP="00FB407F">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Ar yra diagnozuotas padidėjęs skydliaukės aktyvumas?</w:t>
      </w:r>
    </w:p>
    <w:p w14:paraId="4A3CD2E4" w14:textId="77777777" w:rsidR="00FB407F" w:rsidRPr="00C24DBC" w:rsidRDefault="00FB407F" w:rsidP="00FB407F">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Ar yra diagnozuotas antinksčių navikas (feochromocitoma) arba karcinoido sindromas (sukeltas hormonų sistemos navikų ir pasireiškiantis tokiais simptomais kaip viduriavimas, odos paraudimas, švokštimas)?</w:t>
      </w:r>
    </w:p>
    <w:p w14:paraId="1A734681" w14:textId="77777777" w:rsidR="00FB407F" w:rsidRPr="00C24DBC" w:rsidRDefault="00FB407F" w:rsidP="00FB407F">
      <w:pPr>
        <w:widowControl w:val="0"/>
        <w:numPr>
          <w:ilvl w:val="0"/>
          <w:numId w:val="2"/>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Ar Jus kamuoja maniakinė depresija, šizoafektinis sutrikimas, psichikos sutrikimas arba kitos psichikos problemos?</w:t>
      </w:r>
    </w:p>
    <w:p w14:paraId="536475E3" w14:textId="77777777" w:rsidR="00FB407F" w:rsidRPr="00C24DBC" w:rsidRDefault="00FB407F" w:rsidP="00FB407F">
      <w:pPr>
        <w:widowControl w:val="0"/>
        <w:numPr>
          <w:ilvl w:val="0"/>
          <w:numId w:val="2"/>
        </w:numPr>
        <w:tabs>
          <w:tab w:val="num" w:pos="540"/>
        </w:tabs>
        <w:ind w:left="567" w:hanging="283"/>
        <w:rPr>
          <w:rFonts w:ascii="Times New Roman" w:eastAsia="Times New Roman" w:hAnsi="Times New Roman" w:cs="Times New Roman"/>
          <w:bCs/>
          <w:snapToGrid w:val="0"/>
          <w:kern w:val="0"/>
          <w:sz w:val="22"/>
          <w:szCs w:val="22"/>
          <w:lang w:eastAsia="sl-SI"/>
          <w14:ligatures w14:val="none"/>
        </w:rPr>
      </w:pPr>
      <w:r w:rsidRPr="00C24DBC">
        <w:rPr>
          <w:rFonts w:ascii="Times New Roman" w:eastAsia="Times New Roman" w:hAnsi="Times New Roman" w:cs="Times New Roman"/>
          <w:bCs/>
          <w:snapToGrid w:val="0"/>
          <w:kern w:val="0"/>
          <w:sz w:val="22"/>
          <w:szCs w:val="22"/>
          <w:lang w:eastAsia="sl-SI"/>
          <w14:ligatures w14:val="none"/>
        </w:rPr>
        <w:t xml:space="preserve">Ar Jums yra buvusi hiponatremija (mažas natrio kiekis kraujyje) </w:t>
      </w:r>
      <w:bookmarkStart w:id="0" w:name="_Hlk96349336"/>
      <w:r w:rsidRPr="00C24DBC">
        <w:rPr>
          <w:rFonts w:ascii="Times New Roman" w:eastAsia="Times New Roman" w:hAnsi="Times New Roman" w:cs="Times New Roman"/>
          <w:bCs/>
          <w:snapToGrid w:val="0"/>
          <w:kern w:val="0"/>
          <w:sz w:val="22"/>
          <w:szCs w:val="22"/>
          <w:lang w:eastAsia="sl-SI"/>
          <w14:ligatures w14:val="none"/>
        </w:rPr>
        <w:t xml:space="preserve">arba Jūs vartojote vaistų, kurie mažina natrio kiekį kraujyje, pavyzdžiui, tam tikrų diuretikų (taip pat dar vadinamų „vandens </w:t>
      </w:r>
      <w:r w:rsidRPr="00C24DBC">
        <w:rPr>
          <w:rFonts w:ascii="Times New Roman" w:eastAsia="Times New Roman" w:hAnsi="Times New Roman" w:cs="Times New Roman"/>
          <w:bCs/>
          <w:snapToGrid w:val="0"/>
          <w:kern w:val="0"/>
          <w:sz w:val="22"/>
          <w:szCs w:val="22"/>
          <w:lang w:eastAsia="sl-SI"/>
          <w14:ligatures w14:val="none"/>
        </w:rPr>
        <w:lastRenderedPageBreak/>
        <w:t>tabletės“), tokių kaip hidrochlorotiazidas</w:t>
      </w:r>
      <w:bookmarkEnd w:id="0"/>
      <w:r w:rsidRPr="00C24DBC">
        <w:rPr>
          <w:rFonts w:ascii="Times New Roman" w:eastAsia="Times New Roman" w:hAnsi="Times New Roman" w:cs="Times New Roman"/>
          <w:bCs/>
          <w:snapToGrid w:val="0"/>
          <w:kern w:val="0"/>
          <w:sz w:val="22"/>
          <w:szCs w:val="22"/>
          <w:lang w:eastAsia="sl-SI"/>
          <w14:ligatures w14:val="none"/>
        </w:rPr>
        <w:t>?</w:t>
      </w:r>
    </w:p>
    <w:p w14:paraId="500B7A0D" w14:textId="77777777" w:rsidR="00FB407F" w:rsidRPr="00C24DBC" w:rsidRDefault="00FB407F" w:rsidP="00FB407F">
      <w:pPr>
        <w:widowControl w:val="0"/>
        <w:numPr>
          <w:ilvl w:val="0"/>
          <w:numId w:val="2"/>
        </w:numPr>
        <w:ind w:left="567" w:hanging="283"/>
        <w:rPr>
          <w:rFonts w:ascii="Times New Roman" w:eastAsia="Times New Roman" w:hAnsi="Times New Roman" w:cs="Times New Roman"/>
          <w:bCs/>
          <w:snapToGrid w:val="0"/>
          <w:kern w:val="0"/>
          <w:sz w:val="22"/>
          <w:szCs w:val="22"/>
          <w:lang w:eastAsia="sl-SI"/>
          <w14:ligatures w14:val="none"/>
        </w:rPr>
      </w:pPr>
      <w:r w:rsidRPr="00C24DBC">
        <w:rPr>
          <w:rFonts w:ascii="Times New Roman" w:eastAsia="Times New Roman" w:hAnsi="Times New Roman" w:cs="Times New Roman"/>
          <w:bCs/>
          <w:snapToGrid w:val="0"/>
          <w:kern w:val="0"/>
          <w:sz w:val="22"/>
          <w:szCs w:val="22"/>
          <w:lang w:eastAsia="sl-SI"/>
          <w14:ligatures w14:val="none"/>
        </w:rPr>
        <w:t>Ar Jūs vartojate opioidus?</w:t>
      </w:r>
    </w:p>
    <w:p w14:paraId="635636D6" w14:textId="12BCA6CF" w:rsidR="00FB407F" w:rsidRPr="00C24DBC" w:rsidRDefault="00FB407F" w:rsidP="00FB407F">
      <w:pPr>
        <w:widowControl w:val="0"/>
        <w:ind w:left="0" w:firstLine="0"/>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Kai kurių vaistų, įskaitant antidepresantus ir opioidus, vartojimas kartu su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gali sukelti serotonino sindromą, galimai pavojingą gyvybei sutrikimą (žr. 2 skyriaus poskyrį „Kiti vaistai ir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ir 4 skyrių).</w:t>
      </w:r>
    </w:p>
    <w:p w14:paraId="7D82A214"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1790E084" w14:textId="500A553D"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 xml:space="preserve">Specialios atsargumo priemonės vartojant </w:t>
      </w:r>
      <w:r w:rsidR="00146696" w:rsidRPr="00C24DBC">
        <w:rPr>
          <w:rFonts w:ascii="Times New Roman" w:eastAsia="Times New Roman" w:hAnsi="Times New Roman" w:cs="Times New Roman"/>
          <w:b/>
          <w:bCs/>
          <w:snapToGrid w:val="0"/>
          <w:kern w:val="0"/>
          <w:sz w:val="22"/>
          <w:szCs w:val="22"/>
          <w14:ligatures w14:val="none"/>
        </w:rPr>
        <w:t>Linezolid Kabi</w:t>
      </w:r>
    </w:p>
    <w:p w14:paraId="2C01D62F"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Pasitarkite su gydytoju, prieš pradėdami vartoti šį vaistą, jeigu:</w:t>
      </w:r>
    </w:p>
    <w:p w14:paraId="5D82A5AF"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esate senyvo amžiaus;</w:t>
      </w:r>
    </w:p>
    <w:p w14:paraId="781B17E4"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lengvai atsiranda kraujosruvų (mėlynių) ir kraujavimas;</w:t>
      </w:r>
    </w:p>
    <w:p w14:paraId="4270868E"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yra mažakraujystė (raudonųjų kraujo ląstelių kiekio sumažėjimas);</w:t>
      </w:r>
    </w:p>
    <w:p w14:paraId="71E6D1D2"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yra polinkis sirgti infekcinėmis ligomis;</w:t>
      </w:r>
    </w:p>
    <w:p w14:paraId="3F0C5622"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yra buvę traukulių;</w:t>
      </w:r>
    </w:p>
    <w:p w14:paraId="57511F1B"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yra kepenų ar inkstų sutrikimų, ypač jeigu jums taikoma dializė;</w:t>
      </w:r>
    </w:p>
    <w:p w14:paraId="5E2336F5"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viduriuojate.</w:t>
      </w:r>
    </w:p>
    <w:p w14:paraId="08004147"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0CD50654"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Nedelsdami pasakykite gydytojui, jeigu gydymo metu Jus kamuoja:</w:t>
      </w:r>
    </w:p>
    <w:p w14:paraId="63608D92"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regėjimo sutrikimas, pvz., pradedate matyti lyg per miglą, atsiranda spalvų matymo pokyčių, sunku įžiūrėti detales arba sumažėja regėjimo laukas;</w:t>
      </w:r>
    </w:p>
    <w:p w14:paraId="0A23F7B4"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rankų ar kojų jautrumo sumažėjimas arba dilgčiojimo ar badymo pojūtis rankose ar kojose;</w:t>
      </w:r>
    </w:p>
    <w:p w14:paraId="20E269D1" w14:textId="543E3A53"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viduriavimas vartojant antibiotikų, įskaitant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arba po jų pavartojimo. Jeigu jis tampa sunkus arba nepraeina, arba pastebėjote, kad išmatose yra kraujo ar gleivių, turite nedelsiant nutraukti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vartojimą ir pasitarti su savo gydytoju. Tokiu atveju turite nevartoti vaistų, kurie stabdo arba lėtina žarnų judesius;</w:t>
      </w:r>
    </w:p>
    <w:p w14:paraId="29023DF6"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pasikartojantis pykinimas ar vėmimas, pilvo skausmas arba dažnas kvėpavimas;</w:t>
      </w:r>
    </w:p>
    <w:p w14:paraId="560FC156"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bookmarkStart w:id="1" w:name="_Hlk157527342"/>
      <w:r w:rsidRPr="00C24DBC">
        <w:rPr>
          <w:rFonts w:ascii="Times New Roman" w:eastAsia="Calibri" w:hAnsi="Times New Roman" w:cs="Times New Roman"/>
          <w:bCs/>
          <w:kern w:val="0"/>
          <w:sz w:val="22"/>
          <w:szCs w:val="22"/>
          <w14:ligatures w14:val="none"/>
        </w:rPr>
        <w:t>nepaaiškinamas raumenų skausmas, jautrumas ar silpnumas ir (arba) tamsus šlapimas. Tokie požymiai gali rodyti rimtą būklę, vadinamą rabdomiolize (raumenų irimas), kuri gali sukelti inkstų pažeidimą;</w:t>
      </w:r>
      <w:bookmarkEnd w:id="1"/>
    </w:p>
    <w:p w14:paraId="3578D835" w14:textId="77777777" w:rsidR="00FB407F" w:rsidRPr="00C24DBC" w:rsidRDefault="00FB407F" w:rsidP="00FB407F">
      <w:pPr>
        <w:widowControl w:val="0"/>
        <w:numPr>
          <w:ilvl w:val="0"/>
          <w:numId w:val="6"/>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Calibri" w:hAnsi="Times New Roman" w:cs="Times New Roman"/>
          <w:bCs/>
          <w:snapToGrid w:val="0"/>
          <w:kern w:val="0"/>
          <w:sz w:val="22"/>
          <w:szCs w:val="22"/>
          <w14:ligatures w14:val="none"/>
        </w:rPr>
        <w:t>pykinimas ir prasta savijauta kartu su raumenų silpnumu, galvos skausmu, sumišimu ir atminties praradimu, kurie gali rodyti hiponatremiją (mažą natrio kiekį kraujyje).</w:t>
      </w:r>
    </w:p>
    <w:p w14:paraId="780B4C88"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6483F118" w14:textId="0FBDB2C2"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 xml:space="preserve">Kiti vaistai ir </w:t>
      </w:r>
      <w:r w:rsidR="00146696" w:rsidRPr="00C24DBC">
        <w:rPr>
          <w:rFonts w:ascii="Times New Roman" w:eastAsia="Times New Roman" w:hAnsi="Times New Roman" w:cs="Times New Roman"/>
          <w:b/>
          <w:snapToGrid w:val="0"/>
          <w:kern w:val="0"/>
          <w:sz w:val="22"/>
          <w:szCs w:val="22"/>
          <w14:ligatures w14:val="none"/>
        </w:rPr>
        <w:t>Linezolid Kabi</w:t>
      </w:r>
    </w:p>
    <w:p w14:paraId="34C510F1" w14:textId="65CB14B8"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Yra rizika, kad kartais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w:t>
      </w:r>
      <w:r w:rsidRPr="00C24DBC">
        <w:rPr>
          <w:rFonts w:ascii="Times New Roman" w:eastAsia="Times New Roman" w:hAnsi="Times New Roman" w:cs="Times New Roman"/>
          <w:snapToGrid w:val="0"/>
          <w:kern w:val="0"/>
          <w:sz w:val="22"/>
          <w:szCs w:val="22"/>
          <w14:ligatures w14:val="none"/>
        </w:rPr>
        <w:t>gali sąveikauti su kai kuriais kitais vaistais ir sukelti šalutinį poveikį, pvz., kraujospūdžio, kūno temperatūros ar širdies susitraukimų dažnio pokyčius.</w:t>
      </w:r>
    </w:p>
    <w:p w14:paraId="0727C49F"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1BAEBDCA" w14:textId="77777777" w:rsidR="00FB407F" w:rsidRPr="00C24DBC" w:rsidRDefault="00FB407F" w:rsidP="00FB407F">
      <w:pPr>
        <w:widowControl w:val="0"/>
        <w:numPr>
          <w:ilvl w:val="12"/>
          <w:numId w:val="0"/>
        </w:numPr>
        <w:rPr>
          <w:rFonts w:ascii="Times New Roman" w:eastAsia="Times New Roman" w:hAnsi="Times New Roman" w:cs="Times New Roman"/>
          <w:kern w:val="0"/>
          <w:sz w:val="22"/>
          <w:szCs w:val="22"/>
          <w:lang w:eastAsia="lt-LT"/>
          <w14:ligatures w14:val="none"/>
        </w:rPr>
      </w:pPr>
      <w:r w:rsidRPr="00C24DBC">
        <w:rPr>
          <w:rFonts w:ascii="Times New Roman" w:eastAsia="Times New Roman" w:hAnsi="Times New Roman" w:cs="Times New Roman"/>
          <w:kern w:val="0"/>
          <w:sz w:val="22"/>
          <w:szCs w:val="22"/>
          <w:lang w:eastAsia="lt-LT"/>
          <w14:ligatures w14:val="none"/>
        </w:rPr>
        <w:t>Jeigu vartojate ar neseniai vartojote kitų vaistų arba dėl to nesate tikri, apie tai pasakykite gydytojui.</w:t>
      </w:r>
    </w:p>
    <w:p w14:paraId="19B3A070"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1B1EA90E" w14:textId="59B0913B"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Jeigu </w:t>
      </w:r>
      <w:r w:rsidRPr="00C24DBC">
        <w:rPr>
          <w:rFonts w:ascii="Times New Roman" w:eastAsia="Times New Roman" w:hAnsi="Times New Roman" w:cs="Times New Roman"/>
          <w:b/>
          <w:bCs/>
          <w:snapToGrid w:val="0"/>
          <w:kern w:val="0"/>
          <w:sz w:val="22"/>
          <w:szCs w:val="22"/>
          <w14:ligatures w14:val="none"/>
        </w:rPr>
        <w:t xml:space="preserve">vartojate arba per praėjusias 2 savaites vartojote </w:t>
      </w:r>
      <w:r w:rsidRPr="00C24DBC">
        <w:rPr>
          <w:rFonts w:ascii="Times New Roman" w:eastAsia="Times New Roman" w:hAnsi="Times New Roman" w:cs="Times New Roman"/>
          <w:snapToGrid w:val="0"/>
          <w:kern w:val="0"/>
          <w:sz w:val="22"/>
          <w:szCs w:val="22"/>
          <w14:ligatures w14:val="none"/>
        </w:rPr>
        <w:t xml:space="preserve">išvardytų vaistų, </w:t>
      </w:r>
      <w:r w:rsidRPr="00C24DBC">
        <w:rPr>
          <w:rFonts w:ascii="Times New Roman" w:eastAsia="Times New Roman" w:hAnsi="Times New Roman" w:cs="Times New Roman"/>
          <w:b/>
          <w:bCs/>
          <w:snapToGrid w:val="0"/>
          <w:kern w:val="0"/>
          <w:sz w:val="22"/>
          <w:szCs w:val="22"/>
          <w14:ligatures w14:val="none"/>
        </w:rPr>
        <w:t>pasakykite savo gydytojui</w:t>
      </w:r>
      <w:r w:rsidRPr="00C24DBC">
        <w:rPr>
          <w:rFonts w:ascii="Times New Roman" w:eastAsia="Times New Roman" w:hAnsi="Times New Roman" w:cs="Times New Roman"/>
          <w:bCs/>
          <w:snapToGrid w:val="0"/>
          <w:kern w:val="0"/>
          <w:sz w:val="22"/>
          <w:szCs w:val="22"/>
          <w14:ligatures w14:val="none"/>
        </w:rPr>
        <w:t>,</w:t>
      </w:r>
      <w:r w:rsidRPr="00C24DBC">
        <w:rPr>
          <w:rFonts w:ascii="Times New Roman" w:eastAsia="Times New Roman" w:hAnsi="Times New Roman" w:cs="Times New Roman"/>
          <w:snapToGrid w:val="0"/>
          <w:kern w:val="0"/>
          <w:sz w:val="22"/>
          <w:szCs w:val="22"/>
          <w14:ligatures w14:val="none"/>
        </w:rPr>
        <w:t xml:space="preserve"> nes vartojant arba neseniai vartojus šių vaistų,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w:t>
      </w:r>
      <w:r w:rsidRPr="00C24DBC">
        <w:rPr>
          <w:rFonts w:ascii="Times New Roman" w:eastAsia="Times New Roman" w:hAnsi="Times New Roman" w:cs="Times New Roman"/>
          <w:b/>
          <w:bCs/>
          <w:snapToGrid w:val="0"/>
          <w:kern w:val="0"/>
          <w:sz w:val="22"/>
          <w:szCs w:val="22"/>
          <w14:ligatures w14:val="none"/>
        </w:rPr>
        <w:t>vartoti draudžiama</w:t>
      </w:r>
      <w:r w:rsidRPr="00C24DBC">
        <w:rPr>
          <w:rFonts w:ascii="Times New Roman" w:eastAsia="Times New Roman" w:hAnsi="Times New Roman" w:cs="Times New Roman"/>
          <w:snapToGrid w:val="0"/>
          <w:kern w:val="0"/>
          <w:sz w:val="22"/>
          <w:szCs w:val="22"/>
          <w14:ligatures w14:val="none"/>
        </w:rPr>
        <w:t xml:space="preserve"> (žr. 2 skyriaus poskyrį</w:t>
      </w:r>
      <w:r w:rsidR="00C24DBC">
        <w:rPr>
          <w:rFonts w:ascii="Times New Roman" w:eastAsia="Times New Roman" w:hAnsi="Times New Roman" w:cs="Times New Roman"/>
          <w:snapToGrid w:val="0"/>
          <w:kern w:val="0"/>
          <w:sz w:val="22"/>
          <w:szCs w:val="22"/>
          <w14:ligatures w14:val="none"/>
        </w:rPr>
        <w:t xml:space="preserve"> „</w:t>
      </w:r>
      <w:r w:rsidR="00146696" w:rsidRPr="00C24DBC">
        <w:rPr>
          <w:rFonts w:ascii="Times New Roman" w:eastAsia="Times New Roman" w:hAnsi="Times New Roman" w:cs="Times New Roman"/>
          <w:b/>
          <w:bCs/>
          <w:snapToGrid w:val="0"/>
          <w:kern w:val="0"/>
          <w:sz w:val="22"/>
          <w:szCs w:val="22"/>
          <w14:ligatures w14:val="none"/>
        </w:rPr>
        <w:t>Linezolid Kabi</w:t>
      </w:r>
      <w:r w:rsidRPr="00C24DBC">
        <w:rPr>
          <w:rFonts w:ascii="Times New Roman" w:eastAsia="Times New Roman" w:hAnsi="Times New Roman" w:cs="Times New Roman"/>
          <w:b/>
          <w:bCs/>
          <w:snapToGrid w:val="0"/>
          <w:kern w:val="0"/>
          <w:sz w:val="22"/>
          <w:szCs w:val="22"/>
          <w14:ligatures w14:val="none"/>
        </w:rPr>
        <w:t xml:space="preserve"> </w:t>
      </w:r>
      <w:r w:rsidRPr="00C24DBC">
        <w:rPr>
          <w:rFonts w:ascii="Times New Roman" w:eastAsia="Times New Roman" w:hAnsi="Times New Roman" w:cs="Times New Roman"/>
          <w:b/>
          <w:snapToGrid w:val="0"/>
          <w:kern w:val="0"/>
          <w:sz w:val="22"/>
          <w:szCs w:val="22"/>
          <w14:ligatures w14:val="none"/>
        </w:rPr>
        <w:t>vartoti draudžiama</w:t>
      </w:r>
      <w:r w:rsidR="00C24DBC">
        <w:rPr>
          <w:rFonts w:ascii="Times New Roman" w:eastAsia="Times New Roman" w:hAnsi="Times New Roman" w:cs="Times New Roman"/>
          <w:snapToGrid w:val="0"/>
          <w:kern w:val="0"/>
          <w:sz w:val="22"/>
          <w:szCs w:val="22"/>
          <w14:ligatures w14:val="none"/>
        </w:rPr>
        <w:t>“</w:t>
      </w:r>
      <w:r w:rsidRPr="00C24DBC">
        <w:rPr>
          <w:rFonts w:ascii="Times New Roman" w:eastAsia="Times New Roman" w:hAnsi="Times New Roman" w:cs="Times New Roman"/>
          <w:snapToGrid w:val="0"/>
          <w:kern w:val="0"/>
          <w:sz w:val="22"/>
          <w:szCs w:val="22"/>
          <w14:ligatures w14:val="none"/>
        </w:rPr>
        <w:t>).</w:t>
      </w:r>
    </w:p>
    <w:p w14:paraId="024832B1" w14:textId="77777777" w:rsidR="00FB407F" w:rsidRPr="00C24DBC" w:rsidRDefault="00FB407F" w:rsidP="00FB407F">
      <w:pPr>
        <w:widowControl w:val="0"/>
        <w:numPr>
          <w:ilvl w:val="0"/>
          <w:numId w:val="7"/>
        </w:numPr>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monoaminooksidazės inhibitorių (MAOI, pvz., fenelzino, izokarboksazido, selegilino, moklobemido). Jie gali būti vartojami depresijai arba Parkinsono ligai gydyti.</w:t>
      </w:r>
    </w:p>
    <w:p w14:paraId="26CD510C"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2DAAFB4D" w14:textId="512B66DB"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Be to, pasakykite savo gydytojui, jeigu vartojate toliau išvardytų vaistų. Gydytojas vis dėlto gali nuspręsti skirti Jums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bet turės dažniau tikrinti bendrąją Jūsų sveikatos būklę ir kraujospūdį prieš gydymą ir jo metu. Kitais atvejais gydytojas gali nuspręsti, kad Jums geriau tinka kitoks gydymas.</w:t>
      </w:r>
    </w:p>
    <w:p w14:paraId="13777D76"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Gleivinės paburkimą mažinančių vaistų nuo peršalimo ar gripo, kurių sudėtyje yra pseudoefedrino ar fenilpropanolamino.</w:t>
      </w:r>
    </w:p>
    <w:p w14:paraId="6A14CC17"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Vaistų, vartojamų astmai gydyti, pvz., salbutamolio, terbutalino, fenoterolio.</w:t>
      </w:r>
    </w:p>
    <w:p w14:paraId="3AE67F59" w14:textId="65C05D99"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Tam tikrų antidepresantų, žinomų kaip tricikliai ar SSRI (selekty</w:t>
      </w:r>
      <w:r w:rsidR="00C24DBC">
        <w:rPr>
          <w:rFonts w:ascii="Times New Roman" w:eastAsia="Times New Roman" w:hAnsi="Times New Roman" w:cs="Times New Roman"/>
          <w:bCs/>
          <w:snapToGrid w:val="0"/>
          <w:kern w:val="0"/>
          <w:sz w:val="22"/>
          <w:szCs w:val="22"/>
          <w14:ligatures w14:val="none"/>
        </w:rPr>
        <w:t>v</w:t>
      </w:r>
      <w:r w:rsidRPr="00C24DBC">
        <w:rPr>
          <w:rFonts w:ascii="Times New Roman" w:eastAsia="Times New Roman" w:hAnsi="Times New Roman" w:cs="Times New Roman"/>
          <w:bCs/>
          <w:snapToGrid w:val="0"/>
          <w:kern w:val="0"/>
          <w:sz w:val="22"/>
          <w:szCs w:val="22"/>
          <w14:ligatures w14:val="none"/>
        </w:rPr>
        <w:t>ūs serotonino reabsorbcijos inhibitoriai), pvz., amitriptilino, citalopramo, klomipramino, dosulepino, doksepino, fluoksetino, fluvoksamino, imipramino, lofepramino, paroksetino, sertralino</w:t>
      </w:r>
      <w:r w:rsidRPr="00C24DBC">
        <w:rPr>
          <w:rFonts w:ascii="Times New Roman" w:eastAsia="Times New Roman" w:hAnsi="Times New Roman" w:cs="Times New Roman"/>
          <w:bCs/>
          <w:snapToGrid w:val="0"/>
          <w:kern w:val="0"/>
          <w:sz w:val="22"/>
          <w:szCs w:val="22"/>
          <w:lang w:eastAsia="sl-SI"/>
          <w14:ligatures w14:val="none"/>
        </w:rPr>
        <w:t>.</w:t>
      </w:r>
    </w:p>
    <w:p w14:paraId="37B04FE0"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Vaistų, vartojamų migrenai gydyti, pvz., sumatriptano ir zolmitriptano.</w:t>
      </w:r>
    </w:p>
    <w:p w14:paraId="01F5165A"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Vaistų, vartojamų staigiai pasireiškusioms sunkioms alerginėms reakcijoms gydyti, pvz., adrenalino (epinefrino).</w:t>
      </w:r>
    </w:p>
    <w:p w14:paraId="3267233C"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lastRenderedPageBreak/>
        <w:t>Vaistų, kurie didina jūsų kraujospūdį, pvz., noradrenalino (norepinefrino), dopamino ir dobutamino.</w:t>
      </w:r>
    </w:p>
    <w:p w14:paraId="39BF728A"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Opioidų, pvz. petidino, vartojamų vidutinio sunkumo ir sunkiam skausmui malšinti.</w:t>
      </w:r>
    </w:p>
    <w:p w14:paraId="0099FC64"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Vaistų, vartojamų nerimo sutrikimams gydyti, pvz., buspirono.</w:t>
      </w:r>
    </w:p>
    <w:p w14:paraId="2E743D27"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Vaistų, stabdančių kraujo krešėjimą, tokių kaip varfarinas.</w:t>
      </w:r>
    </w:p>
    <w:p w14:paraId="3C5ADD2E" w14:textId="77777777" w:rsidR="00FB407F" w:rsidRPr="00C24DBC" w:rsidRDefault="00FB407F" w:rsidP="00FB407F">
      <w:pPr>
        <w:widowControl w:val="0"/>
        <w:numPr>
          <w:ilvl w:val="0"/>
          <w:numId w:val="8"/>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Antibiotiko rifampicino.</w:t>
      </w:r>
    </w:p>
    <w:p w14:paraId="04E41527"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3D0C3676" w14:textId="22C98078" w:rsidR="00FB407F" w:rsidRPr="00C24DBC" w:rsidRDefault="00146696" w:rsidP="00FB407F">
      <w:pPr>
        <w:widowControl w:val="0"/>
        <w:numPr>
          <w:ilvl w:val="12"/>
          <w:numId w:val="0"/>
        </w:numPr>
        <w:tabs>
          <w:tab w:val="left" w:pos="567"/>
        </w:tabs>
        <w:ind w:left="567" w:hanging="567"/>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Linezolid Kabi</w:t>
      </w:r>
      <w:r w:rsidR="00FB407F" w:rsidRPr="00C24DBC">
        <w:rPr>
          <w:rFonts w:ascii="Times New Roman" w:eastAsia="Times New Roman" w:hAnsi="Times New Roman" w:cs="Times New Roman"/>
          <w:b/>
          <w:bCs/>
          <w:snapToGrid w:val="0"/>
          <w:kern w:val="0"/>
          <w:sz w:val="22"/>
          <w:szCs w:val="22"/>
          <w14:ligatures w14:val="none"/>
        </w:rPr>
        <w:t xml:space="preserve"> </w:t>
      </w:r>
      <w:r w:rsidR="00FB407F" w:rsidRPr="00C24DBC">
        <w:rPr>
          <w:rFonts w:ascii="Times New Roman" w:eastAsia="Times New Roman" w:hAnsi="Times New Roman" w:cs="Times New Roman"/>
          <w:b/>
          <w:snapToGrid w:val="0"/>
          <w:kern w:val="0"/>
          <w:sz w:val="22"/>
          <w:szCs w:val="22"/>
          <w14:ligatures w14:val="none"/>
        </w:rPr>
        <w:t>vartojimas su maistu ir gėrimais</w:t>
      </w:r>
    </w:p>
    <w:p w14:paraId="189216AD" w14:textId="18B08286" w:rsidR="00FB407F" w:rsidRPr="00C24DBC" w:rsidRDefault="00146696" w:rsidP="00FB407F">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 Kabi</w:t>
      </w:r>
      <w:r w:rsidR="00FB407F" w:rsidRPr="00C24DBC">
        <w:rPr>
          <w:rFonts w:ascii="Times New Roman" w:eastAsia="Times New Roman" w:hAnsi="Times New Roman" w:cs="Times New Roman"/>
          <w:snapToGrid w:val="0"/>
          <w:kern w:val="0"/>
          <w:sz w:val="22"/>
          <w:szCs w:val="22"/>
          <w14:ligatures w14:val="none"/>
        </w:rPr>
        <w:t xml:space="preserve"> galima vartoti tiek valgio metu, tiek nevalgius.</w:t>
      </w:r>
    </w:p>
    <w:p w14:paraId="377C9B1A" w14:textId="77777777" w:rsidR="00FB407F" w:rsidRPr="00C24DBC" w:rsidRDefault="00FB407F" w:rsidP="00FB407F">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Venkite valgyti didelių kiekių brandinto sūrio, mielių ar sojos pupelių ekstraktų, pvz., sojos padažo, ir gerti alkoholio, ypač pilstomo alaus ir vyno. Šis vaistas gali sąveikauti su medžiaga, vadinama tiraminu, kurio natūraliai būna kai kuriuose maisto produktuose. Dėl šios sąveikos gali padidėti Jūsų kraujospūdis.</w:t>
      </w:r>
    </w:p>
    <w:p w14:paraId="42570D63" w14:textId="77777777" w:rsidR="00FB407F" w:rsidRPr="00C24DBC" w:rsidRDefault="00FB407F" w:rsidP="00FB407F">
      <w:pPr>
        <w:widowControl w:val="0"/>
        <w:numPr>
          <w:ilvl w:val="0"/>
          <w:numId w:val="9"/>
        </w:numPr>
        <w:tabs>
          <w:tab w:val="clear" w:pos="360"/>
        </w:tabs>
        <w:ind w:left="567" w:hanging="283"/>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pavalgius ar išgėrus prasidėjo tvinkčiojantis galvos skausmas, nedelsiant pasakykite savo gydytojui, vaistininkui arba slaugytojui.</w:t>
      </w:r>
    </w:p>
    <w:p w14:paraId="20A959BF"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1BE4B281"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Nėštumas, žindymo laikotarpis ir vaisingumas</w:t>
      </w:r>
    </w:p>
    <w:p w14:paraId="2FA0C898" w14:textId="03165766" w:rsidR="00FB407F" w:rsidRPr="00C24DBC" w:rsidRDefault="00146696" w:rsidP="00FB407F">
      <w:pPr>
        <w:widowControl w:val="0"/>
        <w:numPr>
          <w:ilvl w:val="12"/>
          <w:numId w:val="0"/>
        </w:numPr>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Linezolid Kabi</w:t>
      </w:r>
      <w:r w:rsidR="00FB407F" w:rsidRPr="00C24DBC">
        <w:rPr>
          <w:rFonts w:ascii="Times New Roman" w:eastAsia="Times New Roman" w:hAnsi="Times New Roman" w:cs="Times New Roman"/>
          <w:bCs/>
          <w:snapToGrid w:val="0"/>
          <w:kern w:val="0"/>
          <w:sz w:val="22"/>
          <w:szCs w:val="22"/>
          <w14:ligatures w14:val="none"/>
        </w:rPr>
        <w:t xml:space="preserve"> </w:t>
      </w:r>
      <w:r w:rsidR="00FB407F" w:rsidRPr="00C24DBC">
        <w:rPr>
          <w:rFonts w:ascii="Times New Roman" w:eastAsia="Times New Roman" w:hAnsi="Times New Roman" w:cs="Times New Roman"/>
          <w:snapToGrid w:val="0"/>
          <w:kern w:val="0"/>
          <w:sz w:val="22"/>
          <w:szCs w:val="22"/>
          <w14:ligatures w14:val="none"/>
        </w:rPr>
        <w:t>poveikis nėščiai moteriai yra nežinomas. Todėl vaisto nėštumo metu vartoti negalima, išskyrus atvejus, kai tai daryti nurodo gydytojas. Jeigu esate nėščia, žindote kūdikį, manote, kad galbūt esate nėščia, arba planuojate pastoti, tai prieš vartodama šį vaistą, pasitarkite su gydytoju arba vaistininku.</w:t>
      </w:r>
    </w:p>
    <w:p w14:paraId="463C3EDE" w14:textId="6F2891B3"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Vartojant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žindyti negalima, nes vaistas išsiskiria į motinos pieną ir gali daryti poveikį kūdikiui.</w:t>
      </w:r>
    </w:p>
    <w:p w14:paraId="1044A7B6"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snapToGrid w:val="0"/>
          <w:kern w:val="0"/>
          <w:sz w:val="22"/>
          <w:szCs w:val="22"/>
          <w14:ligatures w14:val="none"/>
        </w:rPr>
      </w:pPr>
    </w:p>
    <w:p w14:paraId="34E2BB86"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Vairavimas ir mechanizmų valdymas</w:t>
      </w:r>
    </w:p>
    <w:p w14:paraId="7940C550" w14:textId="4872C803"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Vartojant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gali svaigti galva arba sutrikti regėjimas. Jeigu pasireiškė toks poveikis, nevairuokite ir nevaldykite mechanizmų. Atminkite, kad Jūsų gebėjimas vairuoti ar valdyti mechanizmus gali būti sutrikęs, jeigu jaučiatės blogai.</w:t>
      </w:r>
    </w:p>
    <w:p w14:paraId="44DE92C3"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29B110B1" w14:textId="4324F3D4" w:rsidR="00FB407F" w:rsidRPr="00C24DBC" w:rsidRDefault="00146696" w:rsidP="00FB407F">
      <w:pPr>
        <w:widowControl w:val="0"/>
        <w:numPr>
          <w:ilvl w:val="12"/>
          <w:numId w:val="0"/>
        </w:numPr>
        <w:rPr>
          <w:rFonts w:ascii="Times New Roman" w:eastAsia="Calibri" w:hAnsi="Times New Roman" w:cs="Times New Roman"/>
          <w:b/>
          <w:kern w:val="0"/>
          <w:sz w:val="22"/>
          <w:szCs w:val="22"/>
          <w14:ligatures w14:val="none"/>
        </w:rPr>
      </w:pPr>
      <w:r w:rsidRPr="00C24DBC">
        <w:rPr>
          <w:rFonts w:ascii="Times New Roman" w:eastAsia="Calibri" w:hAnsi="Times New Roman" w:cs="Times New Roman"/>
          <w:b/>
          <w:kern w:val="0"/>
          <w:sz w:val="22"/>
          <w:szCs w:val="22"/>
          <w14:ligatures w14:val="none"/>
        </w:rPr>
        <w:t>Linezolid Kabi</w:t>
      </w:r>
      <w:r w:rsidR="00FB407F" w:rsidRPr="00C24DBC">
        <w:rPr>
          <w:rFonts w:ascii="Times New Roman" w:eastAsia="Calibri" w:hAnsi="Times New Roman" w:cs="Times New Roman"/>
          <w:b/>
          <w:kern w:val="0"/>
          <w:sz w:val="22"/>
          <w:szCs w:val="22"/>
          <w14:ligatures w14:val="none"/>
        </w:rPr>
        <w:t xml:space="preserve"> sudėtyje yra gliukozės</w:t>
      </w:r>
    </w:p>
    <w:p w14:paraId="08DA2594" w14:textId="77777777" w:rsidR="00FB407F" w:rsidRPr="00C24DBC" w:rsidRDefault="00FB407F" w:rsidP="00FB407F">
      <w:pPr>
        <w:widowControl w:val="0"/>
        <w:numPr>
          <w:ilvl w:val="12"/>
          <w:numId w:val="0"/>
        </w:numPr>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300 ml infuzinio tirpalo yra 13,7 g gliukozės. Būtina atsižvelgti cukriniu diabetu sergantiems pacientams.</w:t>
      </w:r>
    </w:p>
    <w:p w14:paraId="33E058FC" w14:textId="68B937C7" w:rsidR="00FB407F" w:rsidRPr="00C24DBC" w:rsidRDefault="00146696" w:rsidP="00FB407F">
      <w:pPr>
        <w:widowControl w:val="0"/>
        <w:numPr>
          <w:ilvl w:val="12"/>
          <w:numId w:val="0"/>
        </w:numPr>
        <w:rPr>
          <w:rFonts w:ascii="Times New Roman" w:eastAsia="Calibri" w:hAnsi="Times New Roman" w:cs="Times New Roman"/>
          <w:b/>
          <w:kern w:val="0"/>
          <w:sz w:val="22"/>
          <w:szCs w:val="22"/>
          <w14:ligatures w14:val="none"/>
        </w:rPr>
      </w:pPr>
      <w:r w:rsidRPr="00C24DBC">
        <w:rPr>
          <w:rFonts w:ascii="Times New Roman" w:eastAsia="Calibri" w:hAnsi="Times New Roman" w:cs="Times New Roman"/>
          <w:b/>
          <w:kern w:val="0"/>
          <w:sz w:val="22"/>
          <w:szCs w:val="22"/>
          <w14:ligatures w14:val="none"/>
        </w:rPr>
        <w:t>Linezolid Kabi</w:t>
      </w:r>
      <w:r w:rsidR="00FB407F" w:rsidRPr="00C24DBC">
        <w:rPr>
          <w:rFonts w:ascii="Times New Roman" w:eastAsia="Calibri" w:hAnsi="Times New Roman" w:cs="Times New Roman"/>
          <w:b/>
          <w:kern w:val="0"/>
          <w:sz w:val="22"/>
          <w:szCs w:val="22"/>
          <w14:ligatures w14:val="none"/>
        </w:rPr>
        <w:t xml:space="preserve"> sudėtyje yra natrio</w:t>
      </w:r>
    </w:p>
    <w:p w14:paraId="40C29A8E" w14:textId="77777777" w:rsidR="00FB407F" w:rsidRPr="00C24DBC" w:rsidRDefault="00FB407F" w:rsidP="00FB407F">
      <w:pPr>
        <w:widowControl w:val="0"/>
        <w:numPr>
          <w:ilvl w:val="12"/>
          <w:numId w:val="0"/>
        </w:numPr>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300 ml infuzinio tirpalo yra 114 mg natrio (valgomosios druskos sudedamosios dalies). Tai atitinka 5,7 % didžiausios rekomenduojamos natrio paros normos suaugusiesiems.</w:t>
      </w:r>
    </w:p>
    <w:p w14:paraId="04B01FB8"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73BD790F"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46DA1C86" w14:textId="51327D3A" w:rsidR="00FB407F" w:rsidRPr="00C24DBC" w:rsidRDefault="00FB407F" w:rsidP="00FB407F">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3.</w:t>
      </w:r>
      <w:r w:rsidRPr="00C24DBC">
        <w:rPr>
          <w:rFonts w:ascii="Times New Roman" w:eastAsia="Times New Roman" w:hAnsi="Times New Roman" w:cs="Times New Roman"/>
          <w:b/>
          <w:bCs/>
          <w:snapToGrid w:val="0"/>
          <w:kern w:val="0"/>
          <w:sz w:val="22"/>
          <w:szCs w:val="22"/>
          <w:lang w:eastAsia="sl-SI"/>
          <w14:ligatures w14:val="none"/>
        </w:rPr>
        <w:tab/>
        <w:t xml:space="preserve">Kaip vartoti </w:t>
      </w:r>
      <w:r w:rsidR="00146696" w:rsidRPr="00C24DBC">
        <w:rPr>
          <w:rFonts w:ascii="Times New Roman" w:eastAsia="Times New Roman" w:hAnsi="Times New Roman" w:cs="Times New Roman"/>
          <w:b/>
          <w:bCs/>
          <w:snapToGrid w:val="0"/>
          <w:kern w:val="0"/>
          <w:sz w:val="22"/>
          <w:szCs w:val="22"/>
          <w:lang w:eastAsia="sl-SI"/>
          <w14:ligatures w14:val="none"/>
        </w:rPr>
        <w:t>Linezolid Kabi</w:t>
      </w:r>
    </w:p>
    <w:p w14:paraId="3885260F"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6711DE12" w14:textId="77777777" w:rsidR="00FB407F" w:rsidRPr="00C24DBC" w:rsidRDefault="00FB407F" w:rsidP="00FB407F">
      <w:pPr>
        <w:widowControl w:val="0"/>
        <w:numPr>
          <w:ilvl w:val="12"/>
          <w:numId w:val="0"/>
        </w:numPr>
        <w:ind w:right="-2"/>
        <w:rPr>
          <w:rFonts w:ascii="Times New Roman" w:eastAsia="Calibri" w:hAnsi="Times New Roman" w:cs="Times New Roman"/>
          <w:b/>
          <w:kern w:val="0"/>
          <w:sz w:val="22"/>
          <w:szCs w:val="22"/>
          <w14:ligatures w14:val="none"/>
        </w:rPr>
      </w:pPr>
      <w:r w:rsidRPr="00C24DBC">
        <w:rPr>
          <w:rFonts w:ascii="Times New Roman" w:eastAsia="Calibri" w:hAnsi="Times New Roman" w:cs="Times New Roman"/>
          <w:b/>
          <w:kern w:val="0"/>
          <w:sz w:val="22"/>
          <w:szCs w:val="22"/>
          <w14:ligatures w14:val="none"/>
        </w:rPr>
        <w:t>Suaugusiesiems</w:t>
      </w:r>
    </w:p>
    <w:p w14:paraId="33814376"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Visada vartokite šį vaistą tiksliai, </w:t>
      </w:r>
      <w:r w:rsidRPr="00C24DBC">
        <w:rPr>
          <w:rFonts w:ascii="Times New Roman" w:eastAsia="Times New Roman" w:hAnsi="Times New Roman" w:cs="Times New Roman"/>
          <w:noProof/>
          <w:snapToGrid w:val="0"/>
          <w:kern w:val="0"/>
          <w:sz w:val="22"/>
          <w:szCs w:val="20"/>
          <w14:ligatures w14:val="none"/>
        </w:rPr>
        <w:t>kaip aprašyta šiame lapelyje arba</w:t>
      </w:r>
      <w:r w:rsidRPr="00C24DBC">
        <w:rPr>
          <w:rFonts w:ascii="Times New Roman" w:eastAsia="Times New Roman" w:hAnsi="Times New Roman" w:cs="Times New Roman"/>
          <w:snapToGrid w:val="0"/>
          <w:kern w:val="0"/>
          <w:sz w:val="22"/>
          <w:szCs w:val="22"/>
          <w14:ligatures w14:val="none"/>
        </w:rPr>
        <w:t xml:space="preserve"> kaip nurodė gydytojas, vaistininkas arba slaugytojas. Jeigu abejojate, kreipkitės į gydytoją, vaistininką arba slaugytoją.</w:t>
      </w:r>
    </w:p>
    <w:p w14:paraId="0105E76E" w14:textId="77777777" w:rsidR="00FB407F" w:rsidRPr="00C24DBC" w:rsidRDefault="00FB407F" w:rsidP="00FB407F">
      <w:pPr>
        <w:widowControl w:val="0"/>
        <w:numPr>
          <w:ilvl w:val="12"/>
          <w:numId w:val="0"/>
        </w:numPr>
        <w:ind w:right="-2"/>
        <w:rPr>
          <w:rFonts w:ascii="Times New Roman" w:eastAsia="Calibri" w:hAnsi="Times New Roman" w:cs="Times New Roman"/>
          <w:b/>
          <w:kern w:val="0"/>
          <w:sz w:val="22"/>
          <w:szCs w:val="22"/>
          <w14:ligatures w14:val="none"/>
        </w:rPr>
      </w:pPr>
    </w:p>
    <w:p w14:paraId="5A8C071B" w14:textId="77777777" w:rsidR="00FB407F" w:rsidRPr="00C24DBC" w:rsidRDefault="00FB407F" w:rsidP="00FB407F">
      <w:pPr>
        <w:widowControl w:val="0"/>
        <w:numPr>
          <w:ilvl w:val="12"/>
          <w:numId w:val="0"/>
        </w:numPr>
        <w:ind w:right="-2"/>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Šį vaistą Jums sulašins (infuzija į veną) gydytojas arba kitas sveikatos priežiūros specialistas. Įprastinė dozė suaugusiesiems (vyresniems nei 18 metų) yra 300 ml (600 mg linezolido) du kartus per parą, tokia dozė sulašinama į veną per 30</w:t>
      </w:r>
      <w:r w:rsidRPr="00C24DBC">
        <w:rPr>
          <w:rFonts w:ascii="Times New Roman" w:eastAsia="Calibri" w:hAnsi="Times New Roman" w:cs="Times New Roman"/>
          <w:kern w:val="0"/>
          <w:sz w:val="22"/>
          <w:szCs w:val="22"/>
          <w14:ligatures w14:val="none"/>
        </w:rPr>
        <w:noBreakHyphen/>
        <w:t>120 min.</w:t>
      </w:r>
    </w:p>
    <w:p w14:paraId="48F96DBA" w14:textId="7777777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p>
    <w:p w14:paraId="23F3527C" w14:textId="6FB3B492"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Jeigu Jums taikoma inkstų dializė,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turite vartoti po dializės gydymo.</w:t>
      </w:r>
    </w:p>
    <w:p w14:paraId="48B037B0" w14:textId="77777777" w:rsidR="00FB407F" w:rsidRPr="00C24DBC" w:rsidRDefault="00FB407F" w:rsidP="00FB407F">
      <w:pPr>
        <w:widowControl w:val="0"/>
        <w:numPr>
          <w:ilvl w:val="12"/>
          <w:numId w:val="0"/>
        </w:numPr>
        <w:tabs>
          <w:tab w:val="left" w:pos="567"/>
        </w:tabs>
        <w:ind w:left="567" w:hanging="567"/>
        <w:rPr>
          <w:rFonts w:ascii="Times New Roman" w:eastAsia="Times New Roman" w:hAnsi="Times New Roman" w:cs="Times New Roman"/>
          <w:bCs/>
          <w:snapToGrid w:val="0"/>
          <w:kern w:val="0"/>
          <w:sz w:val="22"/>
          <w:szCs w:val="22"/>
          <w14:ligatures w14:val="none"/>
        </w:rPr>
      </w:pPr>
    </w:p>
    <w:p w14:paraId="2B553035" w14:textId="7777777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Gydymo kursas paprastai trunka 10</w:t>
      </w:r>
      <w:r w:rsidRPr="00C24DBC">
        <w:rPr>
          <w:rFonts w:ascii="Times New Roman" w:eastAsia="Times New Roman" w:hAnsi="Times New Roman" w:cs="Times New Roman"/>
          <w:bCs/>
          <w:snapToGrid w:val="0"/>
          <w:kern w:val="0"/>
          <w:sz w:val="22"/>
          <w:szCs w:val="22"/>
          <w14:ligatures w14:val="none"/>
        </w:rPr>
        <w:noBreakHyphen/>
        <w:t>14 dienų, tačiau gali trukti iki 28 dienų. Šio vaisto saugumas ir veiksmingumas, juo gydant ilgiau kaip 28 dienas, nėra nustatytas. Kiek laiko Jūs turite būti gydomas, nuspręs Jūsų gydytojas.</w:t>
      </w:r>
    </w:p>
    <w:p w14:paraId="7E272FDA" w14:textId="7777777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p>
    <w:p w14:paraId="4063ACCA" w14:textId="4EA8BE5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Kol vartosite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gydytojas turėtų reguliariai atlikti kraujo tyrimus, kad nustatytų kraujo ląstelių skaičių.</w:t>
      </w:r>
    </w:p>
    <w:p w14:paraId="4AE89F1E" w14:textId="7777777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p>
    <w:p w14:paraId="592D24A7" w14:textId="65FD14EF"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Jūsų gydytojas turėtų stebėti Jūsų regėjimą, jeigu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vartojate ilgiau kaip 28 dienas.</w:t>
      </w:r>
    </w:p>
    <w:p w14:paraId="33E403F1" w14:textId="77777777"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p>
    <w:p w14:paraId="4D781642"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Vartojimas vaikams ir paaugliams</w:t>
      </w:r>
    </w:p>
    <w:p w14:paraId="12FAB66C" w14:textId="10E6EF20" w:rsidR="00FB407F" w:rsidRPr="00C24DBC" w:rsidRDefault="00146696"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Linezolid Kabi</w:t>
      </w:r>
      <w:r w:rsidR="00FB407F" w:rsidRPr="00C24DBC">
        <w:rPr>
          <w:rFonts w:ascii="Times New Roman" w:eastAsia="Times New Roman" w:hAnsi="Times New Roman" w:cs="Times New Roman"/>
          <w:bCs/>
          <w:snapToGrid w:val="0"/>
          <w:kern w:val="0"/>
          <w:sz w:val="22"/>
          <w:szCs w:val="22"/>
          <w14:ligatures w14:val="none"/>
        </w:rPr>
        <w:t xml:space="preserve"> vaikai ir paaugliai (jaunesniems nei 18 metų) paprastai nėra gydomi.</w:t>
      </w:r>
    </w:p>
    <w:p w14:paraId="37351BE9"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Cs/>
          <w:iCs/>
          <w:snapToGrid w:val="0"/>
          <w:kern w:val="0"/>
          <w:sz w:val="22"/>
          <w:szCs w:val="22"/>
          <w:u w:val="single"/>
          <w14:ligatures w14:val="none"/>
        </w:rPr>
      </w:pPr>
    </w:p>
    <w:p w14:paraId="0B7C88D9" w14:textId="1F3293CD" w:rsidR="00FB407F" w:rsidRPr="00C24DBC" w:rsidRDefault="00FB407F" w:rsidP="00FB407F">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 xml:space="preserve">Ką daryti pavartojus per didelę </w:t>
      </w:r>
      <w:r w:rsidR="00146696" w:rsidRPr="00C24DBC">
        <w:rPr>
          <w:rFonts w:ascii="Times New Roman" w:eastAsia="Times New Roman" w:hAnsi="Times New Roman" w:cs="Times New Roman"/>
          <w:b/>
          <w:bCs/>
          <w:snapToGrid w:val="0"/>
          <w:kern w:val="0"/>
          <w:sz w:val="22"/>
          <w:szCs w:val="22"/>
          <w14:ligatures w14:val="none"/>
        </w:rPr>
        <w:t>Linezolid Kabi</w:t>
      </w:r>
      <w:r w:rsidRPr="00C24DBC">
        <w:rPr>
          <w:rFonts w:ascii="Times New Roman" w:eastAsia="Times New Roman" w:hAnsi="Times New Roman" w:cs="Times New Roman"/>
          <w:b/>
          <w:bCs/>
          <w:snapToGrid w:val="0"/>
          <w:kern w:val="0"/>
          <w:sz w:val="22"/>
          <w:szCs w:val="22"/>
          <w14:ligatures w14:val="none"/>
        </w:rPr>
        <w:t xml:space="preserve"> dozę</w:t>
      </w:r>
    </w:p>
    <w:p w14:paraId="439AA015" w14:textId="6DA56AFE" w:rsidR="00FB407F" w:rsidRPr="00C24DBC" w:rsidRDefault="00FB407F" w:rsidP="00FB407F">
      <w:pPr>
        <w:widowControl w:val="0"/>
        <w:numPr>
          <w:ilvl w:val="12"/>
          <w:numId w:val="0"/>
        </w:numPr>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 xml:space="preserve">Jei manote, kad Jums buvo sulašinta per daug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nedelsiant pasakykite gydytojui arba slaugytojui.</w:t>
      </w:r>
    </w:p>
    <w:p w14:paraId="1DFC28C3"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p>
    <w:p w14:paraId="6DB4803A" w14:textId="5876DA62" w:rsidR="00FB407F" w:rsidRPr="00C24DBC" w:rsidRDefault="00FB407F" w:rsidP="00FB407F">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 xml:space="preserve">Pamiršus pavartoti </w:t>
      </w:r>
      <w:r w:rsidR="00146696" w:rsidRPr="00C24DBC">
        <w:rPr>
          <w:rFonts w:ascii="Times New Roman" w:eastAsia="Times New Roman" w:hAnsi="Times New Roman" w:cs="Times New Roman"/>
          <w:b/>
          <w:bCs/>
          <w:snapToGrid w:val="0"/>
          <w:kern w:val="0"/>
          <w:sz w:val="22"/>
          <w:szCs w:val="22"/>
          <w14:ligatures w14:val="none"/>
        </w:rPr>
        <w:t>Linezolid Kabi</w:t>
      </w:r>
    </w:p>
    <w:p w14:paraId="40A82489"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Kadangi vartojant šio vaisto Jus atidžiai stebės, nėra tikėtina, kad Jums bus praleista dozė. Jei manote, kad Jums dozė buvo praleista, nedelsiant pasakykite gydytojui ar slaugytojui. Negalima vartoti dvigubos dozės norint kompensuoti praleistą dozę.</w:t>
      </w:r>
    </w:p>
    <w:p w14:paraId="0D8E722A"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
          <w:bCs/>
          <w:snapToGrid w:val="0"/>
          <w:kern w:val="0"/>
          <w:sz w:val="22"/>
          <w:szCs w:val="22"/>
          <w14:ligatures w14:val="none"/>
        </w:rPr>
      </w:pPr>
    </w:p>
    <w:p w14:paraId="2CBE794B" w14:textId="77777777" w:rsidR="00FB407F" w:rsidRPr="00C24DBC" w:rsidRDefault="00FB407F" w:rsidP="00FB407F">
      <w:pPr>
        <w:widowControl w:val="0"/>
        <w:numPr>
          <w:ilvl w:val="12"/>
          <w:numId w:val="0"/>
        </w:numPr>
        <w:tabs>
          <w:tab w:val="left" w:pos="567"/>
        </w:tabs>
        <w:rPr>
          <w:rFonts w:ascii="Times New Roman" w:eastAsia="Times New Roman" w:hAnsi="Times New Roman" w:cs="Times New Roman"/>
          <w:bCs/>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Jeigu kiltų daugiau klausimų dėl šio vaisto vartojimo, kreipkitės į gydytoją, vaistininką arba slaugytoją.</w:t>
      </w:r>
    </w:p>
    <w:p w14:paraId="22400964"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0DB4FE53"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738D6415" w14:textId="77777777" w:rsidR="00FB407F" w:rsidRPr="00C24DBC" w:rsidRDefault="00FB407F" w:rsidP="00FB407F">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4.</w:t>
      </w:r>
      <w:r w:rsidRPr="00C24DBC">
        <w:rPr>
          <w:rFonts w:ascii="Times New Roman" w:eastAsia="Times New Roman" w:hAnsi="Times New Roman" w:cs="Times New Roman"/>
          <w:b/>
          <w:bCs/>
          <w:snapToGrid w:val="0"/>
          <w:kern w:val="0"/>
          <w:sz w:val="22"/>
          <w:szCs w:val="22"/>
          <w:lang w:eastAsia="sl-SI"/>
          <w14:ligatures w14:val="none"/>
        </w:rPr>
        <w:tab/>
        <w:t>Galimas šalutinis poveikis</w:t>
      </w:r>
    </w:p>
    <w:p w14:paraId="124560BC"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0A9CBD61"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Šis vaistas, kaip ir visi kiti, gali sukelti šalutinį poveikį, nors jis pasireiškia ne visiems žmonėms.</w:t>
      </w:r>
    </w:p>
    <w:p w14:paraId="3A19E4BE"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0E6910D6" w14:textId="66611C95"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Nedelsdami pasakykite savo gydytojui, slaugytojui ar vaistininkui</w:t>
      </w:r>
      <w:r w:rsidRPr="00C24DBC">
        <w:rPr>
          <w:rFonts w:ascii="Times New Roman" w:eastAsia="Times New Roman" w:hAnsi="Times New Roman" w:cs="Times New Roman"/>
          <w:bCs/>
          <w:snapToGrid w:val="0"/>
          <w:kern w:val="0"/>
          <w:sz w:val="22"/>
          <w:szCs w:val="22"/>
          <w14:ligatures w14:val="none"/>
        </w:rPr>
        <w:t xml:space="preserve">, </w:t>
      </w:r>
      <w:r w:rsidRPr="00C24DBC">
        <w:rPr>
          <w:rFonts w:ascii="Times New Roman" w:eastAsia="Times New Roman" w:hAnsi="Times New Roman" w:cs="Times New Roman"/>
          <w:snapToGrid w:val="0"/>
          <w:kern w:val="0"/>
          <w:sz w:val="22"/>
          <w:szCs w:val="22"/>
          <w14:ligatures w14:val="none"/>
        </w:rPr>
        <w:t xml:space="preserve">jeigu gydymo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metu</w:t>
      </w:r>
      <w:r w:rsidRPr="00C24DBC">
        <w:rPr>
          <w:rFonts w:ascii="Times New Roman" w:eastAsia="Times New Roman" w:hAnsi="Times New Roman" w:cs="Times New Roman"/>
          <w:snapToGrid w:val="0"/>
          <w:kern w:val="0"/>
          <w:sz w:val="22"/>
          <w:szCs w:val="22"/>
          <w14:ligatures w14:val="none"/>
        </w:rPr>
        <w:t>, pastebėjote bet kurį toliau paminėtą šalutinį poveikį:</w:t>
      </w:r>
    </w:p>
    <w:p w14:paraId="6FB7A3FA"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731A9D89" w14:textId="28168AD2"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Sunkus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xml:space="preserve"> šalutinis poveikis (dažnis skliausteliuose) yra:</w:t>
      </w:r>
    </w:p>
    <w:p w14:paraId="5F1A8A60" w14:textId="1FD39645"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Sunkus odos sutrikimas (nedažnas) patinimas, ypač veido ir kaklo srityje (nedažnas), švokštimas ir (arba) pasunkėjęs kvėpavimas (retas). Tai gali būti alerginės reakcijos požymiai ir gali būti privalu nutraukti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vartojimą</w:t>
      </w:r>
      <w:r w:rsidRPr="00C24DBC">
        <w:rPr>
          <w:rFonts w:ascii="Times New Roman" w:eastAsia="Times New Roman" w:hAnsi="Times New Roman" w:cs="Times New Roman"/>
          <w:snapToGrid w:val="0"/>
          <w:kern w:val="0"/>
          <w:sz w:val="22"/>
          <w:szCs w:val="22"/>
          <w14:ligatures w14:val="none"/>
        </w:rPr>
        <w:t xml:space="preserve">. Odos reakcijos, tokios kaip </w:t>
      </w:r>
      <w:r w:rsidR="00C24DBC">
        <w:rPr>
          <w:rFonts w:ascii="Times New Roman" w:eastAsia="Times New Roman" w:hAnsi="Times New Roman" w:cs="Times New Roman"/>
          <w:snapToGrid w:val="0"/>
          <w:kern w:val="0"/>
          <w:sz w:val="22"/>
          <w:szCs w:val="22"/>
          <w14:ligatures w14:val="none"/>
        </w:rPr>
        <w:t>i</w:t>
      </w:r>
      <w:r w:rsidRPr="00C24DBC">
        <w:rPr>
          <w:rFonts w:ascii="Times New Roman" w:eastAsia="Times New Roman" w:hAnsi="Times New Roman" w:cs="Times New Roman"/>
          <w:kern w:val="0"/>
          <w:sz w:val="22"/>
          <w:szCs w:val="22"/>
          <w:lang w:eastAsia="lt-LT"/>
          <w14:ligatures w14:val="none"/>
        </w:rPr>
        <w:t xml:space="preserve">škilus išbėrimas violetinėmis dėmėmis dėl kraujagyslių uždegimo (retas), </w:t>
      </w:r>
      <w:r w:rsidRPr="00C24DBC">
        <w:rPr>
          <w:rFonts w:ascii="Times New Roman" w:eastAsia="Times New Roman" w:hAnsi="Times New Roman" w:cs="Times New Roman"/>
          <w:snapToGrid w:val="0"/>
          <w:kern w:val="0"/>
          <w:sz w:val="22"/>
          <w:szCs w:val="22"/>
          <w14:ligatures w14:val="none"/>
        </w:rPr>
        <w:t>paraudusi oda ir pleiskanojimas (dermatitas) (nedažnas), išbėrimas (dažnas), niežėjimas (dažnas).</w:t>
      </w:r>
    </w:p>
    <w:p w14:paraId="183B7D96"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Regėjimo sutrikimai (nedažnas), tokie, kaip vaizdo ryškumo sumažėjimas (nedažnas), spalvų matymo pokyčiai (dažnis nežinomas), negalėjimas įžiūrėti detalių (dažnis nežinomas) arba regėjimo lauko sumažėjimas (nedažnas).</w:t>
      </w:r>
    </w:p>
    <w:p w14:paraId="3D4DAEDF"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Sunkus viduriavimas išmatomis su krauju ir (arba) gleivėmis (su antibiotikų vartojimu susijęs kolitas, įskaitant pseudomembraninį kolitą), kuris labai retomis aplinkybėmis gali sukelti gyvybei pavojingas komplikacijas (nedažnas).</w:t>
      </w:r>
    </w:p>
    <w:p w14:paraId="683A7082"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Pasikartojantis pykinimas ar vėmimas, pilvo skausmas arba dažnas kvėpavimas (retas).</w:t>
      </w:r>
    </w:p>
    <w:p w14:paraId="24FB20B7" w14:textId="7DDB654B"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Gauta pranešimų apie priepuolių ar traukulių (nedažnas) atsiradimą vartojant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w:t>
      </w:r>
    </w:p>
    <w:p w14:paraId="5122DF20" w14:textId="77777777" w:rsidR="00FB407F" w:rsidRPr="00C24DBC" w:rsidRDefault="00FB407F" w:rsidP="00FB407F">
      <w:pPr>
        <w:widowControl w:val="0"/>
        <w:numPr>
          <w:ilvl w:val="0"/>
          <w:numId w:val="10"/>
        </w:numPr>
        <w:tabs>
          <w:tab w:val="clear" w:pos="720"/>
          <w:tab w:val="num" w:pos="567"/>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Serotonino sindromas (dažnis nežinomas). Turite pasakyti savo gydytojui, jeigu pasireiškia susijaudinimas, sumišimas, kliedesiai, sąstingis, drebulys, koordinacijos sutrikimas, priepuoliai, dažnas širdies plakimas, sunkūs kvėpavimo sutrikimai ir viduriavimas (tai gali rodyti serotonino sindromą), pasakykite gydytojui. Kartu vartojant antidepresantų, vadinamų SSRI arba opioidais(žr. 2 skyrių).</w:t>
      </w:r>
    </w:p>
    <w:p w14:paraId="41D6B5E0"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Nepaaiškinamas kraujavimas ar kraujosruvos (mėlynės), kurių gali atsirasti dėl tam tikrų kraujo ląstelių, kurios turi įtakos kraujo krešėjimui arba mažakraujystės atsiradimui, kiekio pokyčių (dažnas).</w:t>
      </w:r>
    </w:p>
    <w:p w14:paraId="650C37C0"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Tam tikrų kraujo ląstelių, kurios gali paveikti Jūsų gebėjimą kovoti su infekcijoms (dažnas), kiekio pokyčiai: bet koks karščiavimas (nedažnas), gerklės skausmas (nedažnas), burnos opos (nedažnas) ir nuovargis (nedažnas);</w:t>
      </w:r>
    </w:p>
    <w:p w14:paraId="20C3B7BD" w14:textId="77777777" w:rsidR="00FB407F" w:rsidRPr="00C24DBC" w:rsidRDefault="00FB407F" w:rsidP="00FB407F">
      <w:pPr>
        <w:widowControl w:val="0"/>
        <w:numPr>
          <w:ilvl w:val="0"/>
          <w:numId w:val="10"/>
        </w:numPr>
        <w:tabs>
          <w:tab w:val="clear" w:pos="720"/>
          <w:tab w:val="num" w:pos="567"/>
        </w:tabs>
        <w:ind w:left="567" w:right="-29" w:hanging="283"/>
        <w:rPr>
          <w:rFonts w:ascii="Times New Roman" w:eastAsia="Times New Roman" w:hAnsi="Times New Roman" w:cs="Times New Roman"/>
          <w:snapToGrid w:val="0"/>
          <w:kern w:val="0"/>
          <w:sz w:val="22"/>
          <w:szCs w:val="22"/>
          <w:lang w:eastAsia="sl-SI"/>
          <w14:ligatures w14:val="none"/>
        </w:rPr>
      </w:pPr>
      <w:r w:rsidRPr="00C24DBC">
        <w:rPr>
          <w:rFonts w:ascii="Times New Roman" w:eastAsia="Times New Roman" w:hAnsi="Times New Roman" w:cs="Times New Roman"/>
          <w:snapToGrid w:val="0"/>
          <w:kern w:val="0"/>
          <w:sz w:val="22"/>
          <w:szCs w:val="22"/>
          <w:lang w:eastAsia="sl-SI"/>
          <w14:ligatures w14:val="none"/>
        </w:rPr>
        <w:t>Rabdomiolizė (retas): požymiai ir simptomai yra nepaaiškinamas raumenų skausmas, jautrumas ar silpnumas ir (arba) tamsus šlapimas. Tokie požymiai gali rodyti rimtą būklę, vadinamą rabdomiolize (raumenų irimas), kuri gali sukelti inkstų pažeidimą;</w:t>
      </w:r>
    </w:p>
    <w:p w14:paraId="0F6C9239"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kasos uždegimas (nedažnas);</w:t>
      </w:r>
    </w:p>
    <w:p w14:paraId="53324FE6"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traukuliai (nedažnas);</w:t>
      </w:r>
    </w:p>
    <w:p w14:paraId="4C30176D"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praeinantieji smegenų išemijos priepuoliai (laikinas smegenų kraujotakos sutrikimas, sukeliantis trumpalaikius simptomus, tokius kaip apakimas, kojų ir rankų silpnumas, neaiški kalba ir </w:t>
      </w:r>
      <w:r w:rsidRPr="00C24DBC">
        <w:rPr>
          <w:rFonts w:ascii="Times New Roman" w:eastAsia="Times New Roman" w:hAnsi="Times New Roman" w:cs="Times New Roman"/>
          <w:snapToGrid w:val="0"/>
          <w:kern w:val="0"/>
          <w:sz w:val="22"/>
          <w:szCs w:val="22"/>
          <w14:ligatures w14:val="none"/>
        </w:rPr>
        <w:lastRenderedPageBreak/>
        <w:t>sąmonės netekimas) (nedažnas);</w:t>
      </w:r>
    </w:p>
    <w:p w14:paraId="6BFF8783" w14:textId="77777777" w:rsidR="00FB407F" w:rsidRPr="00C24DBC" w:rsidRDefault="00FB407F" w:rsidP="00FB407F">
      <w:pPr>
        <w:widowControl w:val="0"/>
        <w:numPr>
          <w:ilvl w:val="0"/>
          <w:numId w:val="10"/>
        </w:numPr>
        <w:tabs>
          <w:tab w:val="clear" w:pos="720"/>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spengimas ausyse (tinitas) (nedažnas).</w:t>
      </w:r>
    </w:p>
    <w:p w14:paraId="44FEA167"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7782CD26" w14:textId="2E86294A"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Pranešta, kad pacientams, kurie vartojo </w:t>
      </w:r>
      <w:r w:rsidR="00146696" w:rsidRPr="00C24DBC">
        <w:rPr>
          <w:rFonts w:ascii="Times New Roman" w:eastAsia="Times New Roman" w:hAnsi="Times New Roman" w:cs="Times New Roman"/>
          <w:bCs/>
          <w:snapToGrid w:val="0"/>
          <w:kern w:val="0"/>
          <w:sz w:val="22"/>
          <w:szCs w:val="22"/>
          <w14:ligatures w14:val="none"/>
        </w:rPr>
        <w:t>Linezolid Kabi</w:t>
      </w:r>
      <w:r w:rsidRPr="00C24DBC">
        <w:rPr>
          <w:rFonts w:ascii="Times New Roman" w:eastAsia="Times New Roman" w:hAnsi="Times New Roman" w:cs="Times New Roman"/>
          <w:bCs/>
          <w:snapToGrid w:val="0"/>
          <w:kern w:val="0"/>
          <w:sz w:val="22"/>
          <w:szCs w:val="22"/>
          <w14:ligatures w14:val="none"/>
        </w:rPr>
        <w:t xml:space="preserve"> </w:t>
      </w:r>
      <w:r w:rsidRPr="00C24DBC">
        <w:rPr>
          <w:rFonts w:ascii="Times New Roman" w:eastAsia="Times New Roman" w:hAnsi="Times New Roman" w:cs="Times New Roman"/>
          <w:snapToGrid w:val="0"/>
          <w:kern w:val="0"/>
          <w:sz w:val="22"/>
          <w:szCs w:val="22"/>
          <w14:ligatures w14:val="none"/>
        </w:rPr>
        <w:t>ilgiau kaip 28 dienas, pasireiškė nutirpimas, dilgčiojimas ar vaizdo ryškumo sumažėjimas. Jeigu sutriko regėjimas, turite kuo greičiau kreiptis į savo gydytoją.</w:t>
      </w:r>
    </w:p>
    <w:p w14:paraId="700517BF"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0E6CFECA" w14:textId="77777777" w:rsidR="00FB407F" w:rsidRPr="00C24DBC" w:rsidRDefault="00FB407F" w:rsidP="00FB407F">
      <w:pPr>
        <w:widowControl w:val="0"/>
        <w:numPr>
          <w:ilvl w:val="12"/>
          <w:numId w:val="0"/>
        </w:numPr>
        <w:ind w:right="-29"/>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Kitas šalutinis poveikis</w:t>
      </w:r>
    </w:p>
    <w:p w14:paraId="06773D5D"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u w:val="single"/>
          <w14:ligatures w14:val="none"/>
        </w:rPr>
      </w:pPr>
    </w:p>
    <w:p w14:paraId="2779D22F"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 xml:space="preserve">Dažni šalutinio poveikio reiškiniai </w:t>
      </w:r>
      <w:r w:rsidRPr="00C24DBC">
        <w:rPr>
          <w:rFonts w:ascii="Times New Roman" w:eastAsia="Times New Roman" w:hAnsi="Times New Roman" w:cs="Times New Roman"/>
          <w:snapToGrid w:val="0"/>
          <w:kern w:val="0"/>
          <w:sz w:val="22"/>
          <w:szCs w:val="22"/>
          <w14:ligatures w14:val="none"/>
        </w:rPr>
        <w:t>(gali pasireikšti rečiau kaip 1 iš 10 asmenų):</w:t>
      </w:r>
    </w:p>
    <w:p w14:paraId="07810DCC"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grybelių sukeltos infekcinės ligos, ypač makšties arba burnos pienligė;</w:t>
      </w:r>
    </w:p>
    <w:p w14:paraId="7CFB11D7"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galvos skausmas;</w:t>
      </w:r>
    </w:p>
    <w:p w14:paraId="46E850ED"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metalo skonis burnoje;</w:t>
      </w:r>
    </w:p>
    <w:p w14:paraId="59757C9F"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viduriavimas, pykinimas ar vėmimas;</w:t>
      </w:r>
    </w:p>
    <w:p w14:paraId="0B3AC884"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kai kurių kraujo tyrimų, įskaitant inkstų ar kepenų funkciją </w:t>
      </w:r>
      <w:r w:rsidRPr="00C24DBC">
        <w:rPr>
          <w:rFonts w:ascii="Times New Roman" w:eastAsia="Times New Roman" w:hAnsi="Times New Roman" w:cs="Times New Roman"/>
          <w:kern w:val="0"/>
          <w:sz w:val="22"/>
          <w:szCs w:val="22"/>
          <w:lang w:eastAsia="lt-LT"/>
          <w14:ligatures w14:val="none"/>
        </w:rPr>
        <w:t>rodančių baltymų, druskų ar fermentų</w:t>
      </w:r>
      <w:r w:rsidRPr="00C24DBC">
        <w:rPr>
          <w:rFonts w:ascii="Times New Roman" w:eastAsia="Times New Roman" w:hAnsi="Times New Roman" w:cs="Times New Roman"/>
          <w:snapToGrid w:val="0"/>
          <w:kern w:val="0"/>
          <w:sz w:val="22"/>
          <w:szCs w:val="22"/>
          <w14:ligatures w14:val="none"/>
        </w:rPr>
        <w:t xml:space="preserve"> arba cukraus kiekio kraujyje tyrimus, rodmenų pokyčiai;</w:t>
      </w:r>
    </w:p>
    <w:p w14:paraId="692B20E1"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miego sutrikimai;</w:t>
      </w:r>
    </w:p>
    <w:p w14:paraId="36994908"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kraujospūdžio padidėjimas;</w:t>
      </w:r>
    </w:p>
    <w:p w14:paraId="319383F6"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mažakraujystė (raudonųjų kraujo ląstelių kiekio sumažėjimas);</w:t>
      </w:r>
    </w:p>
    <w:p w14:paraId="033A35DC"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svaigulys;</w:t>
      </w:r>
    </w:p>
    <w:p w14:paraId="6B30E2F4"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lokalus ar išplitęs pilvo skausmas;</w:t>
      </w:r>
    </w:p>
    <w:p w14:paraId="4D7FA706"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vidurių užkietėjimas;</w:t>
      </w:r>
    </w:p>
    <w:p w14:paraId="35376FD1"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virškinimo sutrikimas;</w:t>
      </w:r>
    </w:p>
    <w:p w14:paraId="2AC96837"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lokalus skausmas;</w:t>
      </w:r>
    </w:p>
    <w:p w14:paraId="0BAFBDCE"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karščiavimas;</w:t>
      </w:r>
    </w:p>
    <w:p w14:paraId="701147AC"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trombocitų skaičiaus sumažėjimas.</w:t>
      </w:r>
    </w:p>
    <w:p w14:paraId="61F78865"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70386EB8"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 xml:space="preserve">Nedažni šalutinio poveikio reiškiniai </w:t>
      </w:r>
      <w:r w:rsidRPr="00C24DBC">
        <w:rPr>
          <w:rFonts w:ascii="Times New Roman" w:eastAsia="Times New Roman" w:hAnsi="Times New Roman" w:cs="Times New Roman"/>
          <w:snapToGrid w:val="0"/>
          <w:kern w:val="0"/>
          <w:sz w:val="22"/>
          <w:szCs w:val="22"/>
          <w14:ligatures w14:val="none"/>
        </w:rPr>
        <w:t>(gali pasireikšti rečiau kaip 1 iš 100 asmenų):</w:t>
      </w:r>
    </w:p>
    <w:p w14:paraId="3FFC757D"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makšties ar lytinių organų srities uždegimas moterims;</w:t>
      </w:r>
    </w:p>
    <w:p w14:paraId="533424EF"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tokie pojūčiai kaip dilgčiojimas ar nutirpimas;</w:t>
      </w:r>
    </w:p>
    <w:p w14:paraId="1279CD94"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liežuvio patinimas, skausmas ar spalvos pokytis;</w:t>
      </w:r>
    </w:p>
    <w:p w14:paraId="65D057B1"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burnos sausmė;</w:t>
      </w:r>
    </w:p>
    <w:p w14:paraId="04C11299" w14:textId="77777777" w:rsidR="00FB407F" w:rsidRPr="00C24DBC" w:rsidRDefault="00FB407F" w:rsidP="00FB407F">
      <w:pPr>
        <w:widowControl w:val="0"/>
        <w:numPr>
          <w:ilvl w:val="0"/>
          <w:numId w:val="3"/>
        </w:numPr>
        <w:tabs>
          <w:tab w:val="left" w:pos="567"/>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skausmas infuzijos vietoje ar aplink ją;</w:t>
      </w:r>
    </w:p>
    <w:p w14:paraId="7DF31D44" w14:textId="77777777" w:rsidR="00FB407F" w:rsidRPr="00C24DBC" w:rsidRDefault="00FB407F" w:rsidP="00FB407F">
      <w:pPr>
        <w:widowControl w:val="0"/>
        <w:numPr>
          <w:ilvl w:val="0"/>
          <w:numId w:val="3"/>
        </w:numPr>
        <w:tabs>
          <w:tab w:val="left" w:pos="567"/>
        </w:tabs>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venų uždegimas (taip pat ir venos, į kurią atliekama infuzija);</w:t>
      </w:r>
    </w:p>
    <w:p w14:paraId="72B6C7EA"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padažnėjęs noras šlapintis;</w:t>
      </w:r>
    </w:p>
    <w:p w14:paraId="692052EB"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šaltkrėtis;</w:t>
      </w:r>
    </w:p>
    <w:p w14:paraId="1819E567"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troškulio pojūtis;</w:t>
      </w:r>
    </w:p>
    <w:p w14:paraId="348266B4"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sustiprėjęs prakaitavimas;</w:t>
      </w:r>
    </w:p>
    <w:p w14:paraId="09AAC968"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hiponatremija (mažas natrio kiekis kraujyje);</w:t>
      </w:r>
    </w:p>
    <w:p w14:paraId="77FD4F3A"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inkstų nepakankamumas;</w:t>
      </w:r>
    </w:p>
    <w:p w14:paraId="4BD569F7"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pilvo pūtimas;</w:t>
      </w:r>
    </w:p>
    <w:p w14:paraId="554F1959"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injekcijos vietos reakcija;</w:t>
      </w:r>
    </w:p>
    <w:p w14:paraId="568C4565"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kreatinino kiekio padidėjimas;</w:t>
      </w:r>
    </w:p>
    <w:p w14:paraId="5E4F1A44"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pilvo skausmas;</w:t>
      </w:r>
    </w:p>
    <w:p w14:paraId="1BAF9618"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širdies susitraukimų dažnio pokyčiai (pvz., padažnėjimas);</w:t>
      </w:r>
    </w:p>
    <w:p w14:paraId="3A1DE612"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kern w:val="0"/>
          <w:sz w:val="22"/>
          <w:szCs w:val="22"/>
          <w:lang w:eastAsia="lt-LT"/>
          <w14:ligatures w14:val="none"/>
        </w:rPr>
        <w:t>kraujo ląstelių skaičiaus sumažėjimas;</w:t>
      </w:r>
    </w:p>
    <w:p w14:paraId="281001BA"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pojūčių silpnumas ir/arba pokyčiai.</w:t>
      </w:r>
    </w:p>
    <w:p w14:paraId="091F1776"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08D3CA02"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 xml:space="preserve">Reti šalutinio poveikio reiškiniai </w:t>
      </w:r>
      <w:r w:rsidRPr="00C24DBC">
        <w:rPr>
          <w:rFonts w:ascii="Times New Roman" w:eastAsia="Times New Roman" w:hAnsi="Times New Roman" w:cs="Times New Roman"/>
          <w:snapToGrid w:val="0"/>
          <w:kern w:val="0"/>
          <w:sz w:val="22"/>
          <w:szCs w:val="22"/>
          <w14:ligatures w14:val="none"/>
        </w:rPr>
        <w:t>(gali pasireikšti rečiau kaip 1 iš 1 000 asmenų):</w:t>
      </w:r>
    </w:p>
    <w:p w14:paraId="3FF974C9"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dantų paviršiaus spalvos pokytis, kurį galima pašalinti profesionalios dantų higienos būdu (dantų akmenų pašalinimas).</w:t>
      </w:r>
    </w:p>
    <w:p w14:paraId="6002167D"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4B25A096"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Taip pat pranešama apie tokį šalutinį poveikį (dažnis nežinomas: dažnis negali būti apskaičiuotas pagal turimus duomenis):</w:t>
      </w:r>
    </w:p>
    <w:p w14:paraId="7D8E78E6" w14:textId="77777777" w:rsidR="00FB407F" w:rsidRPr="00C24DBC" w:rsidRDefault="00FB407F" w:rsidP="00FB407F">
      <w:pPr>
        <w:widowControl w:val="0"/>
        <w:numPr>
          <w:ilvl w:val="0"/>
          <w:numId w:val="3"/>
        </w:numPr>
        <w:ind w:left="567" w:right="-29"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alopecija (plaukų slinkimas).</w:t>
      </w:r>
    </w:p>
    <w:p w14:paraId="5DC10AA9" w14:textId="77777777" w:rsidR="00FB407F" w:rsidRPr="00C24DBC" w:rsidRDefault="00FB407F" w:rsidP="00FB407F">
      <w:pPr>
        <w:widowControl w:val="0"/>
        <w:numPr>
          <w:ilvl w:val="12"/>
          <w:numId w:val="0"/>
        </w:numPr>
        <w:ind w:right="-29"/>
        <w:rPr>
          <w:rFonts w:ascii="Times New Roman" w:eastAsia="Times New Roman" w:hAnsi="Times New Roman" w:cs="Times New Roman"/>
          <w:snapToGrid w:val="0"/>
          <w:kern w:val="0"/>
          <w:sz w:val="22"/>
          <w:szCs w:val="22"/>
          <w14:ligatures w14:val="none"/>
        </w:rPr>
      </w:pPr>
    </w:p>
    <w:p w14:paraId="51C2E004"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Pranešimas apie šalutinį poveikį</w:t>
      </w:r>
    </w:p>
    <w:p w14:paraId="3C18E580" w14:textId="77777777" w:rsidR="00FB407F" w:rsidRPr="00C24DBC" w:rsidRDefault="00FB407F" w:rsidP="00FB407F">
      <w:pPr>
        <w:tabs>
          <w:tab w:val="left" w:pos="567"/>
        </w:tabs>
        <w:ind w:left="0" w:right="-29" w:firstLine="0"/>
        <w:rPr>
          <w:rFonts w:ascii="Times New Roman" w:eastAsia="Times New Roman" w:hAnsi="Times New Roman" w:cs="Times New Roman"/>
          <w:noProof/>
          <w:snapToGrid w:val="0"/>
          <w:kern w:val="0"/>
          <w:sz w:val="22"/>
          <w14:ligatures w14:val="none"/>
        </w:rPr>
      </w:pPr>
      <w:bookmarkStart w:id="2" w:name="_Hlk171521894"/>
      <w:r w:rsidRPr="00C24DBC">
        <w:rPr>
          <w:rFonts w:ascii="Times New Roman" w:eastAsia="Times New Roman" w:hAnsi="Times New Roman" w:cs="Times New Roman"/>
          <w:kern w:val="0"/>
          <w:sz w:val="22"/>
          <w:szCs w:val="22"/>
          <w:lang w:eastAsia="lt-LT"/>
          <w14:ligatures w14:val="none"/>
        </w:rPr>
        <w:lastRenderedPageBreak/>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C24DBC">
        <w:rPr>
          <w:rFonts w:ascii="Times New Roman" w:eastAsia="Times New Roman" w:hAnsi="Times New Roman" w:cs="Times New Roman"/>
          <w:color w:val="0000EE"/>
          <w:kern w:val="0"/>
          <w:sz w:val="22"/>
          <w:szCs w:val="22"/>
          <w:u w:val="single"/>
          <w:lang w:eastAsia="lt-LT"/>
          <w14:ligatures w14:val="none"/>
        </w:rPr>
        <w:t>https://vvkt.lrv.lt/lt/</w:t>
      </w:r>
      <w:r w:rsidRPr="00C24DBC">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p>
    <w:bookmarkEnd w:id="2"/>
    <w:p w14:paraId="2229367E" w14:textId="77777777" w:rsidR="00FB407F" w:rsidRPr="00C24DBC" w:rsidRDefault="00FB407F" w:rsidP="00FB407F">
      <w:pPr>
        <w:widowControl w:val="0"/>
        <w:tabs>
          <w:tab w:val="left" w:pos="567"/>
        </w:tabs>
        <w:ind w:left="0" w:right="-449" w:firstLine="0"/>
        <w:rPr>
          <w:rFonts w:ascii="Times New Roman" w:eastAsia="Times New Roman" w:hAnsi="Times New Roman" w:cs="Times New Roman"/>
          <w:snapToGrid w:val="0"/>
          <w:kern w:val="0"/>
          <w:sz w:val="22"/>
          <w:szCs w:val="22"/>
          <w14:ligatures w14:val="none"/>
        </w:rPr>
      </w:pPr>
    </w:p>
    <w:p w14:paraId="221C5532" w14:textId="77777777" w:rsidR="00FB407F" w:rsidRPr="00C24DBC" w:rsidRDefault="00FB407F" w:rsidP="00FB407F">
      <w:pPr>
        <w:widowControl w:val="0"/>
        <w:tabs>
          <w:tab w:val="left" w:pos="567"/>
        </w:tabs>
        <w:ind w:left="0" w:right="-449" w:firstLine="0"/>
        <w:rPr>
          <w:rFonts w:ascii="Times New Roman" w:eastAsia="Times New Roman" w:hAnsi="Times New Roman" w:cs="Times New Roman"/>
          <w:snapToGrid w:val="0"/>
          <w:kern w:val="0"/>
          <w:sz w:val="22"/>
          <w:szCs w:val="22"/>
          <w14:ligatures w14:val="none"/>
        </w:rPr>
      </w:pPr>
    </w:p>
    <w:p w14:paraId="33FD1557" w14:textId="286CAA88" w:rsidR="00FB407F" w:rsidRPr="00C24DBC" w:rsidRDefault="00FB407F" w:rsidP="00FB407F">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5.</w:t>
      </w:r>
      <w:r w:rsidRPr="00C24DBC">
        <w:rPr>
          <w:rFonts w:ascii="Times New Roman" w:eastAsia="Times New Roman" w:hAnsi="Times New Roman" w:cs="Times New Roman"/>
          <w:b/>
          <w:bCs/>
          <w:snapToGrid w:val="0"/>
          <w:kern w:val="0"/>
          <w:sz w:val="22"/>
          <w:szCs w:val="22"/>
          <w:lang w:eastAsia="sl-SI"/>
          <w14:ligatures w14:val="none"/>
        </w:rPr>
        <w:tab/>
        <w:t xml:space="preserve">Kaip laikyti </w:t>
      </w:r>
      <w:r w:rsidR="00146696" w:rsidRPr="00C24DBC">
        <w:rPr>
          <w:rFonts w:ascii="Times New Roman" w:eastAsia="Times New Roman" w:hAnsi="Times New Roman" w:cs="Times New Roman"/>
          <w:b/>
          <w:bCs/>
          <w:snapToGrid w:val="0"/>
          <w:kern w:val="0"/>
          <w:sz w:val="22"/>
          <w:szCs w:val="22"/>
          <w:lang w:eastAsia="sl-SI"/>
          <w14:ligatures w14:val="none"/>
        </w:rPr>
        <w:t>Linezolid Kabi</w:t>
      </w:r>
    </w:p>
    <w:p w14:paraId="0F286A99"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C8E27B5"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Šį vaistą laikykite vaikams nepastebimoje ir nepasiekiamoje vietoje.</w:t>
      </w:r>
    </w:p>
    <w:p w14:paraId="1496001B"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598ECBDF"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Ant pakuotės po „EXP“ nurodytam tinkamumo laikui pasibaigus, šio vaisto vartoti negalima. Vaistas tinkamas vartoti iki paskutinės nurodyto mėnesio dienos.</w:t>
      </w:r>
    </w:p>
    <w:p w14:paraId="56300F77"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038C0036" w14:textId="77777777" w:rsidR="006F0F7D" w:rsidRPr="00C24DBC" w:rsidRDefault="006F0F7D" w:rsidP="00FB407F">
      <w:pPr>
        <w:widowControl w:val="0"/>
        <w:ind w:left="0" w:firstLine="0"/>
        <w:rPr>
          <w:rFonts w:ascii="Times New Roman" w:eastAsia="Times New Roman" w:hAnsi="Times New Roman" w:cs="Times New Roman"/>
          <w:kern w:val="0"/>
          <w:sz w:val="22"/>
          <w:szCs w:val="22"/>
          <w14:ligatures w14:val="none"/>
        </w:rPr>
      </w:pPr>
      <w:r w:rsidRPr="00C24DBC">
        <w:rPr>
          <w:rFonts w:ascii="Times New Roman" w:eastAsia="Times New Roman" w:hAnsi="Times New Roman" w:cs="Times New Roman"/>
          <w:kern w:val="0"/>
          <w:sz w:val="22"/>
          <w:szCs w:val="22"/>
          <w14:ligatures w14:val="none"/>
        </w:rPr>
        <w:t>Šio vaisto laikymui specialių temperatūros sąlygų nereikalaujama.</w:t>
      </w:r>
    </w:p>
    <w:p w14:paraId="5AA7A217" w14:textId="2CF0BC1C" w:rsidR="00FB407F" w:rsidRPr="00C24DBC" w:rsidRDefault="00FB407F" w:rsidP="00FB407F">
      <w:pPr>
        <w:widowControl w:val="0"/>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Laikyti gamintojo pakuotėje, kad vaistas būtų apsaugotas nuo šviesos.</w:t>
      </w:r>
    </w:p>
    <w:p w14:paraId="6C022E49"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AB68FDF" w14:textId="73919382"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 xml:space="preserve">Po atidarymo: </w:t>
      </w:r>
      <w:r w:rsidRPr="00C24DBC">
        <w:rPr>
          <w:rFonts w:ascii="Times New Roman" w:eastAsia="Times New Roman" w:hAnsi="Times New Roman" w:cs="Times New Roman"/>
          <w:snapToGrid w:val="0"/>
          <w:kern w:val="0"/>
          <w:sz w:val="22"/>
          <w:szCs w:val="22"/>
          <w14:ligatures w14:val="none"/>
        </w:rPr>
        <w:t xml:space="preserve">cheminis ir fizinis stabilumas išlieka 24 valandas kambario temperatūroje </w:t>
      </w:r>
      <w:r w:rsidR="00D12D32" w:rsidRPr="00C24DBC">
        <w:rPr>
          <w:rFonts w:ascii="Times New Roman" w:eastAsia="Times New Roman" w:hAnsi="Times New Roman" w:cs="Times New Roman"/>
          <w:snapToGrid w:val="0"/>
          <w:kern w:val="0"/>
          <w:sz w:val="22"/>
          <w:szCs w:val="22"/>
          <w14:ligatures w14:val="none"/>
        </w:rPr>
        <w:t>buteliuke</w:t>
      </w:r>
      <w:r w:rsidRPr="00C24DBC">
        <w:rPr>
          <w:rFonts w:ascii="Times New Roman" w:eastAsia="Times New Roman" w:hAnsi="Times New Roman" w:cs="Times New Roman"/>
          <w:snapToGrid w:val="0"/>
          <w:kern w:val="0"/>
          <w:sz w:val="22"/>
          <w:szCs w:val="22"/>
          <w14:ligatures w14:val="none"/>
        </w:rPr>
        <w:t>, pašalinus antrinę pakuotę (</w:t>
      </w:r>
      <w:r w:rsidR="00D12D32" w:rsidRPr="00C24DBC">
        <w:rPr>
          <w:rFonts w:ascii="Times New Roman" w:eastAsia="Times New Roman" w:hAnsi="Times New Roman" w:cs="Times New Roman"/>
          <w:snapToGrid w:val="0"/>
          <w:kern w:val="0"/>
          <w:sz w:val="22"/>
          <w:szCs w:val="22"/>
          <w14:ligatures w14:val="none"/>
        </w:rPr>
        <w:t>d</w:t>
      </w:r>
      <w:r w:rsidR="0099209F" w:rsidRPr="00C24DBC">
        <w:rPr>
          <w:rFonts w:ascii="Times New Roman" w:eastAsia="Times New Roman" w:hAnsi="Times New Roman" w:cs="Times New Roman"/>
          <w:snapToGrid w:val="0"/>
          <w:kern w:val="0"/>
          <w:sz w:val="22"/>
          <w:szCs w:val="22"/>
          <w14:ligatures w14:val="none"/>
        </w:rPr>
        <w:t>ė</w:t>
      </w:r>
      <w:r w:rsidR="00D12D32" w:rsidRPr="00C24DBC">
        <w:rPr>
          <w:rFonts w:ascii="Times New Roman" w:eastAsia="Times New Roman" w:hAnsi="Times New Roman" w:cs="Times New Roman"/>
          <w:snapToGrid w:val="0"/>
          <w:kern w:val="0"/>
          <w:sz w:val="22"/>
          <w:szCs w:val="22"/>
          <w14:ligatures w14:val="none"/>
        </w:rPr>
        <w:t>žutę</w:t>
      </w:r>
      <w:r w:rsidRPr="00C24DBC">
        <w:rPr>
          <w:rFonts w:ascii="Times New Roman" w:eastAsia="Times New Roman" w:hAnsi="Times New Roman" w:cs="Times New Roman"/>
          <w:snapToGrid w:val="0"/>
          <w:kern w:val="0"/>
          <w:sz w:val="22"/>
          <w:szCs w:val="22"/>
          <w14:ligatures w14:val="none"/>
        </w:rPr>
        <w:t>). Mikrobiologiniu požiūriu, vaistas turi būti vartojamas nedelsiant. Jei jis iš karto nesuvartojamas, už laikymo trukmę ir naudojimo sąlygas prieš vartojimą yra atsakingas vartotojas.</w:t>
      </w:r>
    </w:p>
    <w:p w14:paraId="38BA2079"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577CA037"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Pastebėjus, kad tirpalas nėra skaidrus, bespalvis, geltonas ar gelsvai rudas, šio vaisto vartoti negalima.</w:t>
      </w:r>
    </w:p>
    <w:p w14:paraId="631B4B26"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291EE399" w14:textId="77777777" w:rsidR="00FB407F" w:rsidRPr="00C24DBC" w:rsidRDefault="00FB407F" w:rsidP="00FB407F">
      <w:pPr>
        <w:widowControl w:val="0"/>
        <w:numPr>
          <w:ilvl w:val="12"/>
          <w:numId w:val="0"/>
        </w:numPr>
        <w:ind w:right="-2"/>
        <w:rPr>
          <w:rFonts w:ascii="Times New Roman" w:eastAsia="Times New Roman" w:hAnsi="Times New Roman" w:cs="Times New Roman"/>
          <w:i/>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Vaistų negalima išmesti į kanalizaciją arba su buitinėmis atliekomis. Kaip išmesti nereikalingus vaistus, klauskite vaistininko. Šios priemonės padės apsaugoti aplinką.</w:t>
      </w:r>
    </w:p>
    <w:p w14:paraId="210E228D"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36503704"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3E5B6C58" w14:textId="77777777" w:rsidR="00FB407F" w:rsidRPr="00C24DBC" w:rsidRDefault="00FB407F" w:rsidP="00FB407F">
      <w:pPr>
        <w:widowControl w:val="0"/>
        <w:tabs>
          <w:tab w:val="left" w:pos="567"/>
        </w:tabs>
        <w:ind w:left="0" w:firstLine="0"/>
        <w:outlineLvl w:val="2"/>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6.</w:t>
      </w:r>
      <w:r w:rsidRPr="00C24DBC">
        <w:rPr>
          <w:rFonts w:ascii="Times New Roman" w:eastAsia="Times New Roman" w:hAnsi="Times New Roman" w:cs="Times New Roman"/>
          <w:bCs/>
          <w:snapToGrid w:val="0"/>
          <w:kern w:val="0"/>
          <w:sz w:val="22"/>
          <w:szCs w:val="22"/>
          <w:lang w:eastAsia="sl-SI"/>
          <w14:ligatures w14:val="none"/>
        </w:rPr>
        <w:tab/>
      </w:r>
      <w:r w:rsidRPr="00C24DBC">
        <w:rPr>
          <w:rFonts w:ascii="Times New Roman" w:eastAsia="Times New Roman" w:hAnsi="Times New Roman" w:cs="Times New Roman"/>
          <w:b/>
          <w:bCs/>
          <w:snapToGrid w:val="0"/>
          <w:kern w:val="0"/>
          <w:sz w:val="22"/>
          <w:szCs w:val="22"/>
          <w:lang w:eastAsia="sl-SI"/>
          <w14:ligatures w14:val="none"/>
        </w:rPr>
        <w:t>Pakuotės turinys ir kita informacija</w:t>
      </w:r>
    </w:p>
    <w:p w14:paraId="54584848" w14:textId="77777777" w:rsidR="00FB407F" w:rsidRPr="00C24DBC" w:rsidRDefault="00FB407F" w:rsidP="00FB407F">
      <w:pPr>
        <w:widowControl w:val="0"/>
        <w:numPr>
          <w:ilvl w:val="12"/>
          <w:numId w:val="0"/>
        </w:numPr>
        <w:rPr>
          <w:rFonts w:ascii="Times New Roman" w:eastAsia="Times New Roman" w:hAnsi="Times New Roman" w:cs="Times New Roman"/>
          <w:snapToGrid w:val="0"/>
          <w:kern w:val="0"/>
          <w:sz w:val="22"/>
          <w:szCs w:val="22"/>
          <w14:ligatures w14:val="none"/>
        </w:rPr>
      </w:pPr>
    </w:p>
    <w:p w14:paraId="59D9C39A" w14:textId="2E939008" w:rsidR="00FB407F" w:rsidRPr="00C24DBC" w:rsidRDefault="00146696"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Linezolid Kabi</w:t>
      </w:r>
      <w:r w:rsidR="00FB407F" w:rsidRPr="00C24DBC">
        <w:rPr>
          <w:rFonts w:ascii="Times New Roman" w:eastAsia="Times New Roman" w:hAnsi="Times New Roman" w:cs="Times New Roman"/>
          <w:b/>
          <w:bCs/>
          <w:snapToGrid w:val="0"/>
          <w:kern w:val="0"/>
          <w:sz w:val="22"/>
          <w:szCs w:val="22"/>
          <w:lang w:eastAsia="sl-SI"/>
          <w14:ligatures w14:val="none"/>
        </w:rPr>
        <w:t xml:space="preserve"> sudėtis</w:t>
      </w:r>
    </w:p>
    <w:p w14:paraId="1231D5CC" w14:textId="1EF28B7E" w:rsidR="00FB407F" w:rsidRPr="00C24DBC" w:rsidRDefault="00FB407F" w:rsidP="00FB407F">
      <w:pPr>
        <w:widowControl w:val="0"/>
        <w:numPr>
          <w:ilvl w:val="0"/>
          <w:numId w:val="11"/>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Veiklioji medžiaga yra linezolidas. 1 ml infuzinio tirpalo yra 2 mg linezolido. Kiekviename 300 ml infuziniame </w:t>
      </w:r>
      <w:r w:rsidR="00964D88" w:rsidRPr="00C24DBC">
        <w:rPr>
          <w:rFonts w:ascii="Times New Roman" w:eastAsia="Times New Roman" w:hAnsi="Times New Roman" w:cs="Times New Roman"/>
          <w:snapToGrid w:val="0"/>
          <w:kern w:val="0"/>
          <w:sz w:val="22"/>
          <w:szCs w:val="22"/>
          <w14:ligatures w14:val="none"/>
        </w:rPr>
        <w:t>buteliuke</w:t>
      </w:r>
      <w:r w:rsidRPr="00C24DBC">
        <w:rPr>
          <w:rFonts w:ascii="Times New Roman" w:eastAsia="Times New Roman" w:hAnsi="Times New Roman" w:cs="Times New Roman"/>
          <w:snapToGrid w:val="0"/>
          <w:kern w:val="0"/>
          <w:sz w:val="22"/>
          <w:szCs w:val="22"/>
          <w14:ligatures w14:val="none"/>
        </w:rPr>
        <w:t xml:space="preserve"> yra 600 mg linezolido.</w:t>
      </w:r>
    </w:p>
    <w:p w14:paraId="1CE3A756" w14:textId="03A66A07" w:rsidR="00FB407F" w:rsidRPr="00C24DBC" w:rsidRDefault="00FB407F" w:rsidP="00FB407F">
      <w:pPr>
        <w:widowControl w:val="0"/>
        <w:numPr>
          <w:ilvl w:val="0"/>
          <w:numId w:val="11"/>
        </w:numPr>
        <w:ind w:left="567" w:right="-2" w:hanging="283"/>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Pagalbinės medžiagos yra gliukozė monohidratas, natrio citratas dihidratas, citrinų rūgštis, natrio hidroksidas (pH koreguoti) ir injekcinis vanduo. Žr. 2 skyrių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xml:space="preserve"> sudėtyje yra gliukozės ir natrio“</w:t>
      </w:r>
    </w:p>
    <w:p w14:paraId="649758DE" w14:textId="77777777" w:rsidR="00FB407F" w:rsidRPr="00C24DBC" w:rsidRDefault="00FB407F" w:rsidP="00FB407F">
      <w:pPr>
        <w:widowControl w:val="0"/>
        <w:numPr>
          <w:ilvl w:val="12"/>
          <w:numId w:val="0"/>
        </w:numPr>
        <w:ind w:left="567" w:right="-2" w:hanging="567"/>
        <w:rPr>
          <w:rFonts w:ascii="Times New Roman" w:eastAsia="Times New Roman" w:hAnsi="Times New Roman" w:cs="Times New Roman"/>
          <w:snapToGrid w:val="0"/>
          <w:kern w:val="0"/>
          <w:sz w:val="22"/>
          <w:szCs w:val="22"/>
          <w14:ligatures w14:val="none"/>
        </w:rPr>
      </w:pPr>
    </w:p>
    <w:p w14:paraId="1D39398E" w14:textId="7490B887" w:rsidR="00FB407F" w:rsidRPr="00C24DBC" w:rsidRDefault="00146696"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Linezolid Kabi</w:t>
      </w:r>
      <w:r w:rsidR="00FB407F" w:rsidRPr="00C24DBC">
        <w:rPr>
          <w:rFonts w:ascii="Times New Roman" w:eastAsia="Times New Roman" w:hAnsi="Times New Roman" w:cs="Times New Roman"/>
          <w:b/>
          <w:bCs/>
          <w:snapToGrid w:val="0"/>
          <w:kern w:val="0"/>
          <w:sz w:val="22"/>
          <w:szCs w:val="22"/>
          <w:lang w:eastAsia="sl-SI"/>
          <w14:ligatures w14:val="none"/>
        </w:rPr>
        <w:t xml:space="preserve"> išvaizda ir kiekis pakuotėje</w:t>
      </w:r>
    </w:p>
    <w:p w14:paraId="3761CE8F" w14:textId="0067D0EA"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Skaidrus, bespalvis, geltonas arba gelsvai rudas</w:t>
      </w:r>
      <w:r w:rsidRPr="00C24DBC">
        <w:rPr>
          <w:rFonts w:ascii="Times New Roman" w:eastAsia="Times New Roman" w:hAnsi="Times New Roman" w:cs="Times New Roman"/>
          <w:snapToGrid w:val="0"/>
          <w:kern w:val="0"/>
          <w:sz w:val="22"/>
          <w:szCs w:val="22"/>
          <w14:ligatures w14:val="none"/>
        </w:rPr>
        <w:t xml:space="preserve"> </w:t>
      </w:r>
      <w:r w:rsidRPr="00C24DBC">
        <w:rPr>
          <w:rFonts w:ascii="Times New Roman" w:eastAsia="Calibri" w:hAnsi="Times New Roman" w:cs="Times New Roman"/>
          <w:kern w:val="0"/>
          <w:sz w:val="22"/>
          <w:szCs w:val="22"/>
          <w14:ligatures w14:val="none"/>
        </w:rPr>
        <w:t xml:space="preserve">tirpalas </w:t>
      </w:r>
      <w:r w:rsidR="00F629A0" w:rsidRPr="00C24DBC">
        <w:rPr>
          <w:rFonts w:ascii="Times New Roman" w:eastAsia="Calibri" w:hAnsi="Times New Roman" w:cs="Times New Roman"/>
          <w:kern w:val="0"/>
          <w:sz w:val="22"/>
          <w:szCs w:val="22"/>
          <w14:ligatures w14:val="none"/>
        </w:rPr>
        <w:t>vienkartinės dozės buteliukuose, kuriuose yra 300 ml (600 mg linezolido) tirpalo.</w:t>
      </w:r>
      <w:r w:rsidR="00247B7C">
        <w:rPr>
          <w:rFonts w:ascii="Times New Roman" w:eastAsia="Calibri" w:hAnsi="Times New Roman" w:cs="Times New Roman"/>
          <w:kern w:val="0"/>
          <w:sz w:val="22"/>
          <w:szCs w:val="22"/>
          <w14:ligatures w14:val="none"/>
        </w:rPr>
        <w:t xml:space="preserve"> </w:t>
      </w:r>
      <w:proofErr w:type="spellStart"/>
      <w:r w:rsidR="00247B7C" w:rsidRPr="00247B7C">
        <w:rPr>
          <w:rFonts w:ascii="Times New Roman" w:eastAsia="Calibri" w:hAnsi="Times New Roman" w:cs="Times New Roman"/>
          <w:kern w:val="0"/>
          <w:sz w:val="22"/>
          <w:szCs w:val="22"/>
          <w14:ligatures w14:val="none"/>
        </w:rPr>
        <w:t>Ph</w:t>
      </w:r>
      <w:proofErr w:type="spellEnd"/>
      <w:r w:rsidR="00247B7C" w:rsidRPr="00247B7C">
        <w:rPr>
          <w:rFonts w:ascii="Times New Roman" w:eastAsia="Calibri" w:hAnsi="Times New Roman" w:cs="Times New Roman"/>
          <w:kern w:val="0"/>
          <w:sz w:val="22"/>
          <w:szCs w:val="22"/>
          <w14:ligatures w14:val="none"/>
        </w:rPr>
        <w:t xml:space="preserve">: 4,6 5,0, </w:t>
      </w:r>
      <w:proofErr w:type="spellStart"/>
      <w:r w:rsidR="00247B7C" w:rsidRPr="00247B7C">
        <w:rPr>
          <w:rFonts w:ascii="Times New Roman" w:eastAsia="Calibri" w:hAnsi="Times New Roman" w:cs="Times New Roman"/>
          <w:kern w:val="0"/>
          <w:sz w:val="22"/>
          <w:szCs w:val="22"/>
          <w14:ligatures w14:val="none"/>
        </w:rPr>
        <w:t>osmoliališkumas</w:t>
      </w:r>
      <w:proofErr w:type="spellEnd"/>
      <w:r w:rsidR="00247B7C" w:rsidRPr="00247B7C">
        <w:rPr>
          <w:rFonts w:ascii="Times New Roman" w:eastAsia="Calibri" w:hAnsi="Times New Roman" w:cs="Times New Roman"/>
          <w:kern w:val="0"/>
          <w:sz w:val="22"/>
          <w:szCs w:val="22"/>
          <w14:ligatures w14:val="none"/>
        </w:rPr>
        <w:t>: 270 330 mOsmol/kg</w:t>
      </w:r>
      <w:r w:rsidR="00247B7C">
        <w:rPr>
          <w:rFonts w:ascii="Times New Roman" w:eastAsia="Calibri" w:hAnsi="Times New Roman" w:cs="Times New Roman"/>
          <w:kern w:val="0"/>
          <w:sz w:val="22"/>
          <w:szCs w:val="22"/>
          <w14:ligatures w14:val="none"/>
        </w:rPr>
        <w:t>.</w:t>
      </w:r>
    </w:p>
    <w:p w14:paraId="3E3E12D9"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7B80CA9F" w14:textId="28537AAF" w:rsidR="00FB407F" w:rsidRPr="00C24DBC" w:rsidRDefault="003658A2"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Buteliukai tiekiami dėžutėse po 10 buteliukų.</w:t>
      </w:r>
    </w:p>
    <w:p w14:paraId="30E324F7" w14:textId="77777777" w:rsidR="00FB407F" w:rsidRPr="00C24DBC" w:rsidRDefault="00FB407F" w:rsidP="00FB407F">
      <w:pPr>
        <w:widowControl w:val="0"/>
        <w:numPr>
          <w:ilvl w:val="12"/>
          <w:numId w:val="0"/>
        </w:numPr>
        <w:ind w:right="-2"/>
        <w:rPr>
          <w:rFonts w:ascii="Times New Roman" w:eastAsia="Times New Roman" w:hAnsi="Times New Roman" w:cs="Times New Roman"/>
          <w:snapToGrid w:val="0"/>
          <w:kern w:val="0"/>
          <w:sz w:val="22"/>
          <w:szCs w:val="22"/>
          <w14:ligatures w14:val="none"/>
        </w:rPr>
      </w:pPr>
    </w:p>
    <w:p w14:paraId="150DD2ED" w14:textId="77777777" w:rsidR="00FB407F" w:rsidRPr="00C24DBC" w:rsidRDefault="00FB407F" w:rsidP="00FB407F">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C24DBC">
        <w:rPr>
          <w:rFonts w:ascii="Times New Roman" w:eastAsia="Times New Roman" w:hAnsi="Times New Roman" w:cs="Times New Roman"/>
          <w:b/>
          <w:noProof/>
          <w:kern w:val="0"/>
          <w:sz w:val="22"/>
          <w:szCs w:val="22"/>
          <w14:ligatures w14:val="none"/>
        </w:rPr>
        <w:t>Registruotojas eksportuojančioje valstybėje ir gamintojas</w:t>
      </w:r>
    </w:p>
    <w:p w14:paraId="4E61949B" w14:textId="77777777" w:rsidR="00FB407F" w:rsidRPr="00C24DBC" w:rsidRDefault="00FB407F" w:rsidP="00FB407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08ED53B" w14:textId="77777777" w:rsidR="00FB407F" w:rsidRPr="00C24DBC" w:rsidRDefault="00FB407F" w:rsidP="00FB407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24DBC">
        <w:rPr>
          <w:rFonts w:ascii="Times New Roman" w:eastAsia="Aptos" w:hAnsi="Times New Roman" w:cs="Times New Roman"/>
          <w:b/>
          <w:color w:val="000000"/>
          <w:kern w:val="0"/>
          <w:sz w:val="22"/>
          <w:szCs w:val="22"/>
          <w14:ligatures w14:val="none"/>
        </w:rPr>
        <w:t>Registruotojas</w:t>
      </w:r>
    </w:p>
    <w:p w14:paraId="161A1C46"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Fresenius Kabi Italia S.r.l.</w:t>
      </w:r>
    </w:p>
    <w:p w14:paraId="02BB6C6B"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Via Camagre, 41</w:t>
      </w:r>
    </w:p>
    <w:p w14:paraId="6B3B072E"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37063 Isola della Scala - Verona</w:t>
      </w:r>
    </w:p>
    <w:p w14:paraId="5296E085" w14:textId="528F6666" w:rsidR="00FB407F"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Italija</w:t>
      </w:r>
    </w:p>
    <w:p w14:paraId="01302EFA" w14:textId="77777777" w:rsidR="00FB407F" w:rsidRPr="00C24DBC" w:rsidRDefault="00FB407F" w:rsidP="00FB407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086EC70" w14:textId="77777777" w:rsidR="00FB407F" w:rsidRPr="00C24DBC" w:rsidRDefault="00FB407F" w:rsidP="00FB407F">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24DBC">
        <w:rPr>
          <w:rFonts w:ascii="Times New Roman" w:eastAsia="Aptos" w:hAnsi="Times New Roman" w:cs="Times New Roman"/>
          <w:b/>
          <w:color w:val="000000"/>
          <w:kern w:val="0"/>
          <w:sz w:val="22"/>
          <w:szCs w:val="22"/>
          <w14:ligatures w14:val="none"/>
        </w:rPr>
        <w:t>Gamintojas</w:t>
      </w:r>
    </w:p>
    <w:p w14:paraId="01A9DF03"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Fresenius Kabi Polska Sp.zo.o.</w:t>
      </w:r>
    </w:p>
    <w:p w14:paraId="6CDD3075"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 xml:space="preserve">ul. Sienkiewicza 25, </w:t>
      </w:r>
    </w:p>
    <w:p w14:paraId="7C98E573" w14:textId="77777777" w:rsidR="001542A0"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 xml:space="preserve">99-300 Kutno </w:t>
      </w:r>
    </w:p>
    <w:p w14:paraId="43294055" w14:textId="10A75634" w:rsidR="00FB407F" w:rsidRPr="00C24DBC" w:rsidRDefault="001542A0" w:rsidP="001542A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24DBC">
        <w:rPr>
          <w:rFonts w:ascii="Times New Roman" w:eastAsia="Aptos" w:hAnsi="Times New Roman" w:cs="Times New Roman"/>
          <w:bCs/>
          <w:color w:val="000000"/>
          <w:kern w:val="0"/>
          <w:sz w:val="22"/>
          <w:szCs w:val="22"/>
          <w14:ligatures w14:val="none"/>
        </w:rPr>
        <w:t>01-209 Lenkija</w:t>
      </w:r>
    </w:p>
    <w:p w14:paraId="2095D256" w14:textId="77777777" w:rsidR="00FB407F" w:rsidRPr="00C24DBC" w:rsidRDefault="00FB407F" w:rsidP="00FB407F">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B2FA1F" w14:textId="77777777" w:rsidR="00FB407F" w:rsidRPr="00C24DBC" w:rsidRDefault="00FB407F" w:rsidP="00FB407F">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C24DBC">
        <w:rPr>
          <w:rFonts w:ascii="Times New Roman" w:eastAsia="Aptos" w:hAnsi="Times New Roman" w:cs="Times New Roman"/>
          <w:b/>
          <w:color w:val="000000"/>
          <w:kern w:val="0"/>
          <w:sz w:val="22"/>
          <w:szCs w:val="22"/>
          <w14:ligatures w14:val="none"/>
        </w:rPr>
        <w:t xml:space="preserve">Lygiagretus importuotojas </w:t>
      </w:r>
      <w:r w:rsidRPr="00C24DBC">
        <w:rPr>
          <w:rFonts w:ascii="Times New Roman" w:eastAsia="Aptos" w:hAnsi="Times New Roman" w:cs="Times New Roman"/>
          <w:b/>
          <w:color w:val="000000"/>
          <w:kern w:val="0"/>
          <w:sz w:val="22"/>
          <w:szCs w:val="22"/>
          <w14:ligatures w14:val="none"/>
        </w:rPr>
        <w:br/>
      </w:r>
      <w:r w:rsidRPr="00C24DBC">
        <w:rPr>
          <w:rFonts w:ascii="Times New Roman" w:eastAsia="TimesNewRoman" w:hAnsi="Times New Roman" w:cs="Times New Roman"/>
          <w:color w:val="000000"/>
          <w:kern w:val="0"/>
          <w:sz w:val="22"/>
          <w:szCs w:val="22"/>
          <w14:ligatures w14:val="none"/>
        </w:rPr>
        <w:t>UAB „Niromed“</w:t>
      </w:r>
      <w:r w:rsidRPr="00C24DBC">
        <w:rPr>
          <w:rFonts w:ascii="Times New Roman" w:eastAsia="Aptos" w:hAnsi="Times New Roman" w:cs="Times New Roman"/>
          <w:b/>
          <w:color w:val="000000"/>
          <w:kern w:val="0"/>
          <w:sz w:val="22"/>
          <w:szCs w:val="22"/>
          <w14:ligatures w14:val="none"/>
        </w:rPr>
        <w:br/>
      </w:r>
      <w:r w:rsidRPr="00C24DBC">
        <w:rPr>
          <w:rFonts w:ascii="Times New Roman" w:eastAsia="TimesNewRoman" w:hAnsi="Times New Roman" w:cs="Times New Roman"/>
          <w:color w:val="000000"/>
          <w:kern w:val="0"/>
          <w:sz w:val="22"/>
          <w:szCs w:val="22"/>
          <w14:ligatures w14:val="none"/>
        </w:rPr>
        <w:t>Žirmūnų g. 139A</w:t>
      </w:r>
      <w:r w:rsidRPr="00C24DBC">
        <w:rPr>
          <w:rFonts w:ascii="Times New Roman" w:eastAsia="Aptos" w:hAnsi="Times New Roman" w:cs="Times New Roman"/>
          <w:b/>
          <w:color w:val="000000"/>
          <w:kern w:val="0"/>
          <w:sz w:val="22"/>
          <w:szCs w:val="22"/>
          <w14:ligatures w14:val="none"/>
        </w:rPr>
        <w:br/>
      </w:r>
      <w:r w:rsidRPr="00C24DBC">
        <w:rPr>
          <w:rFonts w:ascii="Times New Roman" w:eastAsia="TimesNewRoman" w:hAnsi="Times New Roman" w:cs="Times New Roman"/>
          <w:color w:val="000000"/>
          <w:kern w:val="0"/>
          <w:sz w:val="22"/>
          <w:szCs w:val="22"/>
          <w14:ligatures w14:val="none"/>
        </w:rPr>
        <w:t>LT-09120 Vilnius</w:t>
      </w:r>
      <w:r w:rsidRPr="00C24DBC">
        <w:rPr>
          <w:rFonts w:ascii="Times New Roman" w:eastAsia="TimesNewRoman" w:hAnsi="Times New Roman" w:cs="Times New Roman"/>
          <w:color w:val="000000"/>
          <w:kern w:val="0"/>
          <w:sz w:val="22"/>
          <w:szCs w:val="22"/>
          <w14:ligatures w14:val="none"/>
        </w:rPr>
        <w:br/>
        <w:t>Lietuva</w:t>
      </w:r>
    </w:p>
    <w:p w14:paraId="233238AD" w14:textId="77777777" w:rsidR="00FB407F" w:rsidRPr="00C24DBC" w:rsidRDefault="00FB407F" w:rsidP="00FB407F">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8B50E47" w14:textId="77777777" w:rsidR="00FB407F" w:rsidRPr="00C24DBC" w:rsidRDefault="00FB407F" w:rsidP="00FB407F">
      <w:pPr>
        <w:tabs>
          <w:tab w:val="left" w:pos="1296"/>
        </w:tabs>
        <w:snapToGrid w:val="0"/>
        <w:ind w:left="567" w:hanging="567"/>
        <w:rPr>
          <w:rFonts w:ascii="Times New Roman" w:eastAsia="Times New Roman" w:hAnsi="Times New Roman" w:cs="Times New Roman"/>
          <w:b/>
          <w:bCs/>
          <w:kern w:val="0"/>
          <w:sz w:val="22"/>
          <w:szCs w:val="22"/>
          <w14:ligatures w14:val="none"/>
        </w:rPr>
      </w:pPr>
      <w:r w:rsidRPr="00C24DBC">
        <w:rPr>
          <w:rFonts w:ascii="Times New Roman" w:eastAsia="Times New Roman" w:hAnsi="Times New Roman" w:cs="Times New Roman"/>
          <w:b/>
          <w:bCs/>
          <w:kern w:val="0"/>
          <w:sz w:val="22"/>
          <w:szCs w:val="22"/>
          <w14:ligatures w14:val="none"/>
        </w:rPr>
        <w:t>Perpakavo</w:t>
      </w:r>
    </w:p>
    <w:p w14:paraId="34F193EF"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LABOR Przedsiębiorstwo Farmaceutyczno-Chemiczne sp. z o.o.</w:t>
      </w:r>
    </w:p>
    <w:p w14:paraId="32C4FF02"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Ul. Długosza 49,</w:t>
      </w:r>
    </w:p>
    <w:p w14:paraId="4A77B8A2"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51-162 Wrocław,</w:t>
      </w:r>
    </w:p>
    <w:p w14:paraId="6DF2EE93"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Lenkija</w:t>
      </w:r>
    </w:p>
    <w:p w14:paraId="1BB7616F"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521A5AE"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arba</w:t>
      </w:r>
    </w:p>
    <w:p w14:paraId="56DDF38E" w14:textId="77777777" w:rsidR="00FB407F" w:rsidRPr="00C24DBC" w:rsidRDefault="00FB407F" w:rsidP="00FB407F">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BD56548" w14:textId="77777777" w:rsidR="00FB407F" w:rsidRPr="00C24DBC" w:rsidRDefault="00FB407F" w:rsidP="00FB407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UAB „Entafarma“</w:t>
      </w:r>
    </w:p>
    <w:p w14:paraId="649B34B3" w14:textId="77777777" w:rsidR="00FB407F" w:rsidRPr="00C24DBC" w:rsidRDefault="00FB407F" w:rsidP="00FB407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Klonėnų vs. 1,</w:t>
      </w:r>
    </w:p>
    <w:p w14:paraId="3141A40D" w14:textId="77777777" w:rsidR="00FB407F" w:rsidRPr="00C24DBC" w:rsidRDefault="00FB407F" w:rsidP="00FB407F">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24DBC">
        <w:rPr>
          <w:rFonts w:ascii="Times New Roman" w:eastAsia="TimesNewRoman" w:hAnsi="Times New Roman" w:cs="Times New Roman"/>
          <w:color w:val="000000"/>
          <w:kern w:val="0"/>
          <w:sz w:val="22"/>
          <w:szCs w:val="22"/>
          <w14:ligatures w14:val="none"/>
        </w:rPr>
        <w:t>LT-19156 Širvintų r. sav.</w:t>
      </w:r>
    </w:p>
    <w:p w14:paraId="3E3F4537" w14:textId="77777777" w:rsidR="00FB407F" w:rsidRPr="00C24DBC" w:rsidRDefault="00FB407F" w:rsidP="00FB407F">
      <w:pPr>
        <w:tabs>
          <w:tab w:val="left" w:pos="1296"/>
        </w:tabs>
        <w:snapToGrid w:val="0"/>
        <w:ind w:left="0" w:firstLine="0"/>
        <w:rPr>
          <w:rFonts w:ascii="Times New Roman" w:eastAsia="Times New Roman" w:hAnsi="Times New Roman" w:cs="Times New Roman"/>
          <w:kern w:val="0"/>
          <w:sz w:val="22"/>
          <w:szCs w:val="20"/>
          <w14:ligatures w14:val="none"/>
        </w:rPr>
      </w:pPr>
      <w:r w:rsidRPr="00C24DBC">
        <w:rPr>
          <w:rFonts w:ascii="Times New Roman" w:eastAsia="TimesNewRoman" w:hAnsi="Times New Roman" w:cs="Times New Roman"/>
          <w:color w:val="000000"/>
          <w:kern w:val="0"/>
          <w:sz w:val="22"/>
          <w:szCs w:val="22"/>
          <w14:ligatures w14:val="none"/>
        </w:rPr>
        <w:t>Lietuva</w:t>
      </w:r>
    </w:p>
    <w:p w14:paraId="1C4F1531" w14:textId="77777777" w:rsidR="00FB407F" w:rsidRPr="00C24DBC" w:rsidRDefault="00FB407F" w:rsidP="00FB407F">
      <w:pPr>
        <w:widowControl w:val="0"/>
        <w:tabs>
          <w:tab w:val="left" w:pos="567"/>
        </w:tabs>
        <w:ind w:left="567" w:hanging="567"/>
        <w:rPr>
          <w:rFonts w:ascii="Times New Roman" w:eastAsia="Times New Roman" w:hAnsi="Times New Roman" w:cs="Times New Roman"/>
          <w:snapToGrid w:val="0"/>
          <w:kern w:val="0"/>
          <w:sz w:val="22"/>
          <w:szCs w:val="22"/>
          <w14:ligatures w14:val="none"/>
        </w:rPr>
      </w:pPr>
    </w:p>
    <w:p w14:paraId="20ECB3D9" w14:textId="520B14F4" w:rsidR="00FB407F" w:rsidRPr="00C24DBC" w:rsidRDefault="00FB407F" w:rsidP="00FB407F">
      <w:pPr>
        <w:widowControl w:val="0"/>
        <w:numPr>
          <w:ilvl w:val="12"/>
          <w:numId w:val="0"/>
        </w:numPr>
        <w:ind w:right="-2"/>
        <w:rPr>
          <w:rFonts w:ascii="Times New Roman" w:eastAsia="Times New Roman" w:hAnsi="Times New Roman" w:cs="Times New Roman"/>
          <w:i/>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Šis pakuotės lapelis paskutinį kartą peržiūrėtas</w:t>
      </w:r>
      <w:r w:rsidR="005666C6">
        <w:rPr>
          <w:rFonts w:ascii="Times New Roman" w:eastAsia="Times New Roman" w:hAnsi="Times New Roman" w:cs="Times New Roman"/>
          <w:b/>
          <w:snapToGrid w:val="0"/>
          <w:kern w:val="0"/>
          <w:sz w:val="22"/>
          <w:szCs w:val="22"/>
          <w14:ligatures w14:val="none"/>
        </w:rPr>
        <w:t xml:space="preserve"> 2026-06-19.</w:t>
      </w:r>
    </w:p>
    <w:p w14:paraId="33BC4467"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58990293" w14:textId="3AB7A5EC"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C24DBC">
        <w:rPr>
          <w:rFonts w:ascii="Times New Roman" w:eastAsia="Times New Roman" w:hAnsi="Times New Roman" w:cs="Times New Roman"/>
          <w:i/>
          <w:snapToGrid w:val="0"/>
          <w:kern w:val="0"/>
          <w:sz w:val="22"/>
          <w:szCs w:val="22"/>
          <w14:ligatures w14:val="none"/>
        </w:rPr>
        <w:t xml:space="preserve"> </w:t>
      </w:r>
      <w:hyperlink r:id="rId7" w:history="1">
        <w:r w:rsidR="00181137" w:rsidRPr="00C24DBC">
          <w:rPr>
            <w:rStyle w:val="Hipersaitas"/>
            <w:rFonts w:ascii="Times New Roman" w:eastAsia="Times New Roman" w:hAnsi="Times New Roman" w:cs="Times New Roman"/>
            <w:kern w:val="0"/>
            <w:sz w:val="22"/>
            <w:szCs w:val="22"/>
            <w:lang w:eastAsia="lt-LT"/>
            <w14:ligatures w14:val="none"/>
          </w:rPr>
          <w:t>https://vvkt.lrv.lt/lt/</w:t>
        </w:r>
      </w:hyperlink>
      <w:r w:rsidRPr="00C24DBC">
        <w:rPr>
          <w:rFonts w:ascii="Times New Roman" w:eastAsia="Times New Roman" w:hAnsi="Times New Roman" w:cs="Times New Roman"/>
          <w:snapToGrid w:val="0"/>
          <w:kern w:val="0"/>
          <w:sz w:val="22"/>
          <w:szCs w:val="22"/>
          <w14:ligatures w14:val="none"/>
        </w:rPr>
        <w:t>.</w:t>
      </w:r>
    </w:p>
    <w:p w14:paraId="69481D07" w14:textId="77777777" w:rsidR="00181137" w:rsidRPr="00C24DBC" w:rsidRDefault="00181137"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3DDA1E66" w14:textId="77777777" w:rsidR="00181137" w:rsidRPr="00C24DBC" w:rsidRDefault="00181137" w:rsidP="00181137">
      <w:pPr>
        <w:spacing w:after="160" w:line="259" w:lineRule="auto"/>
        <w:ind w:left="0" w:firstLine="0"/>
        <w:rPr>
          <w:rFonts w:ascii="Times New Roman" w:eastAsia="Aptos" w:hAnsi="Times New Roman" w:cs="Times New Roman"/>
          <w:sz w:val="22"/>
          <w:szCs w:val="22"/>
        </w:rPr>
      </w:pPr>
      <w:r w:rsidRPr="00C24DBC">
        <w:rPr>
          <w:rFonts w:ascii="Times New Roman" w:eastAsia="Aptos" w:hAnsi="Times New Roman" w:cs="Times New Roman"/>
          <w:i/>
          <w:iCs/>
          <w:sz w:val="22"/>
          <w:szCs w:val="22"/>
        </w:rPr>
        <w:t>Lygiagrečiai importuojamas vaistas nuo referencinio vaisto skiriasi tinkamumo laiku: referencinio vaisto – 2 metai, lygiagrečiai importuojamo – 3 metai; talpykle: referencinio vaisto – maišeliai, lygiagrečiai importuojamo – buteliukai; laikymo sąlygomis: referencinį vaistą laikyti ne aukštesnėje kaip 30 °C temperatūroje, lygiagrečiai importuojamam vaistui specialių temperatūros sąlygų nereikalaujama.</w:t>
      </w:r>
    </w:p>
    <w:p w14:paraId="2CB27DEF"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w:t>
      </w:r>
    </w:p>
    <w:p w14:paraId="5695FC49" w14:textId="77777777" w:rsidR="00FB407F" w:rsidRPr="00C24DBC" w:rsidRDefault="00FB407F" w:rsidP="00FB407F">
      <w:pPr>
        <w:widowControl w:val="0"/>
        <w:numPr>
          <w:ilvl w:val="12"/>
          <w:numId w:val="0"/>
        </w:numPr>
        <w:tabs>
          <w:tab w:val="left" w:pos="567"/>
          <w:tab w:val="left" w:pos="2657"/>
        </w:tabs>
        <w:ind w:right="-28"/>
        <w:rPr>
          <w:rFonts w:ascii="Times New Roman" w:eastAsia="Times New Roman" w:hAnsi="Times New Roman" w:cs="Times New Roman"/>
          <w:snapToGrid w:val="0"/>
          <w:kern w:val="0"/>
          <w:sz w:val="22"/>
          <w:szCs w:val="22"/>
          <w14:ligatures w14:val="none"/>
        </w:rPr>
      </w:pPr>
    </w:p>
    <w:p w14:paraId="52FC6648" w14:textId="77777777" w:rsidR="00FB407F" w:rsidRPr="00C24DBC" w:rsidRDefault="00FB407F" w:rsidP="00FB407F">
      <w:pPr>
        <w:widowControl w:val="0"/>
        <w:numPr>
          <w:ilvl w:val="12"/>
          <w:numId w:val="0"/>
        </w:numPr>
        <w:tabs>
          <w:tab w:val="left" w:pos="567"/>
          <w:tab w:val="left" w:pos="2657"/>
        </w:tabs>
        <w:ind w:left="-37" w:right="-28"/>
        <w:rPr>
          <w:rFonts w:ascii="Times New Roman" w:eastAsia="Times New Roman" w:hAnsi="Times New Roman" w:cs="Times New Roman"/>
          <w:i/>
          <w:snapToGrid w:val="0"/>
          <w:color w:val="008000"/>
          <w:kern w:val="0"/>
          <w:sz w:val="22"/>
          <w:szCs w:val="22"/>
          <w14:ligatures w14:val="none"/>
        </w:rPr>
      </w:pPr>
      <w:r w:rsidRPr="00C24DBC">
        <w:rPr>
          <w:rFonts w:ascii="Times New Roman" w:eastAsia="Times New Roman" w:hAnsi="Times New Roman" w:cs="Times New Roman"/>
          <w:snapToGrid w:val="0"/>
          <w:kern w:val="0"/>
          <w:sz w:val="22"/>
          <w:szCs w:val="22"/>
          <w14:ligatures w14:val="none"/>
        </w:rPr>
        <w:t>Toliau pateikta informacija skirta tik sveikatos priežiūros specialistams:</w:t>
      </w:r>
    </w:p>
    <w:p w14:paraId="37ECAD93"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0DCBBCF1" w14:textId="06D3F2B5" w:rsidR="00FB407F" w:rsidRPr="00C24DBC" w:rsidRDefault="00146696" w:rsidP="00FB407F">
      <w:pPr>
        <w:widowControl w:val="0"/>
        <w:numPr>
          <w:ilvl w:val="12"/>
          <w:numId w:val="0"/>
        </w:numPr>
        <w:tabs>
          <w:tab w:val="left" w:pos="567"/>
        </w:tabs>
        <w:ind w:right="-2"/>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Linezolid Kabi</w:t>
      </w:r>
      <w:r w:rsidR="00FB407F" w:rsidRPr="00C24DBC">
        <w:rPr>
          <w:rFonts w:ascii="Times New Roman" w:eastAsia="Times New Roman" w:hAnsi="Times New Roman" w:cs="Times New Roman"/>
          <w:b/>
          <w:snapToGrid w:val="0"/>
          <w:kern w:val="0"/>
          <w:sz w:val="22"/>
          <w:szCs w:val="22"/>
          <w14:ligatures w14:val="none"/>
        </w:rPr>
        <w:t xml:space="preserve"> 2 mg/ml infuzinis tirpalas</w:t>
      </w:r>
    </w:p>
    <w:p w14:paraId="5C1C298A"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linezolidas</w:t>
      </w:r>
    </w:p>
    <w:p w14:paraId="3F72719E"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SVARBU: prieš skiriant vaistinį preparatą, būtina perskaityti preparato charakteristikų santrauką.</w:t>
      </w:r>
    </w:p>
    <w:p w14:paraId="247D961D" w14:textId="77777777" w:rsidR="00FB407F" w:rsidRPr="00C24DBC" w:rsidRDefault="00FB407F" w:rsidP="00FB407F">
      <w:pPr>
        <w:widowControl w:val="0"/>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00F4969A"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 neveiksmingas gydant infekcines ligas, sukeltas gramneigiamų ligos sukėlėjų. Būtina pradėti kartu taikyti specifinį gydymą nuo gramneigiamų mikroorganizmų, jeigu yra patvirtintas ar įtariamas gramneigiamas ligos sukėlėjas.</w:t>
      </w:r>
    </w:p>
    <w:p w14:paraId="4242510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52B9DDE" w14:textId="77777777" w:rsidR="00FB407F" w:rsidRPr="00C24DBC" w:rsidRDefault="00FB407F" w:rsidP="00FB407F">
      <w:pPr>
        <w:widowControl w:val="0"/>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Aprašymas</w:t>
      </w:r>
    </w:p>
    <w:p w14:paraId="7553F32F" w14:textId="67F8EE8F"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Skirtas tik vienkartiniam vartojimui. Dėžutėse esančiuose </w:t>
      </w:r>
      <w:r w:rsidR="00964D88" w:rsidRPr="00C24DBC">
        <w:rPr>
          <w:rFonts w:ascii="Times New Roman" w:eastAsia="Times New Roman" w:hAnsi="Times New Roman" w:cs="Times New Roman"/>
          <w:snapToGrid w:val="0"/>
          <w:kern w:val="0"/>
          <w:sz w:val="22"/>
          <w:szCs w:val="22"/>
          <w14:ligatures w14:val="none"/>
        </w:rPr>
        <w:t>buteliukuose</w:t>
      </w:r>
      <w:r w:rsidRPr="00C24DBC">
        <w:rPr>
          <w:rFonts w:ascii="Times New Roman" w:eastAsia="Times New Roman" w:hAnsi="Times New Roman" w:cs="Times New Roman"/>
          <w:snapToGrid w:val="0"/>
          <w:kern w:val="0"/>
          <w:sz w:val="22"/>
          <w:szCs w:val="22"/>
          <w14:ligatures w14:val="none"/>
        </w:rPr>
        <w:t xml:space="preserve"> yra 300 ml tirpalo. Kiekvienoje dėžutėje yra 10 infuzinių </w:t>
      </w:r>
      <w:r w:rsidR="00964D88" w:rsidRPr="00C24DBC">
        <w:rPr>
          <w:rFonts w:ascii="Times New Roman" w:eastAsia="Times New Roman" w:hAnsi="Times New Roman" w:cs="Times New Roman"/>
          <w:snapToGrid w:val="0"/>
          <w:kern w:val="0"/>
          <w:sz w:val="22"/>
          <w:szCs w:val="22"/>
          <w14:ligatures w14:val="none"/>
        </w:rPr>
        <w:t>buteliukų</w:t>
      </w:r>
      <w:r w:rsidRPr="00C24DBC">
        <w:rPr>
          <w:rFonts w:ascii="Times New Roman" w:eastAsia="Times New Roman" w:hAnsi="Times New Roman" w:cs="Times New Roman"/>
          <w:snapToGrid w:val="0"/>
          <w:kern w:val="0"/>
          <w:sz w:val="22"/>
          <w:szCs w:val="22"/>
          <w14:ligatures w14:val="none"/>
        </w:rPr>
        <w:t>.</w:t>
      </w:r>
    </w:p>
    <w:p w14:paraId="30A5525A" w14:textId="48483735" w:rsidR="00FB407F" w:rsidRPr="00C24DBC" w:rsidRDefault="00146696" w:rsidP="00FB407F">
      <w:pPr>
        <w:widowControl w:val="0"/>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Linezolid Kabi</w:t>
      </w:r>
      <w:r w:rsidR="00FB407F" w:rsidRPr="00C24DBC">
        <w:rPr>
          <w:rFonts w:ascii="Times New Roman" w:eastAsia="Calibri" w:hAnsi="Times New Roman" w:cs="Times New Roman"/>
          <w:kern w:val="0"/>
          <w:sz w:val="22"/>
          <w:szCs w:val="22"/>
          <w14:ligatures w14:val="none"/>
        </w:rPr>
        <w:t xml:space="preserve"> 2 mg/ml infuzinio tirpalo sudėtyje yra 2 mg/ml linezolido, tai yra skaidrus, bespalvis, geltonas arba gelsvai rudas tirpalas. Pagalbinės medžiagos yra gliukozė monohidratas, natrio citratas dihidratas, citrinų rūgštis, vandenilio chlorido rūgštis</w:t>
      </w:r>
      <w:r w:rsidR="00FB407F" w:rsidRPr="00C24DBC">
        <w:rPr>
          <w:rFonts w:ascii="Times New Roman" w:eastAsia="Times New Roman" w:hAnsi="Times New Roman" w:cs="Times New Roman"/>
          <w:snapToGrid w:val="0"/>
          <w:kern w:val="0"/>
          <w:sz w:val="22"/>
          <w:szCs w:val="22"/>
          <w14:ligatures w14:val="none"/>
        </w:rPr>
        <w:t>,</w:t>
      </w:r>
      <w:r w:rsidR="00FB407F" w:rsidRPr="00C24DBC">
        <w:rPr>
          <w:rFonts w:ascii="Times New Roman" w:eastAsia="Calibri" w:hAnsi="Times New Roman" w:cs="Times New Roman"/>
          <w:kern w:val="0"/>
          <w:sz w:val="22"/>
          <w:szCs w:val="22"/>
          <w14:ligatures w14:val="none"/>
        </w:rPr>
        <w:t xml:space="preserve"> natrio hidroksidas ir injekcinis vanduo.</w:t>
      </w:r>
    </w:p>
    <w:p w14:paraId="51551F56"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499FFB83"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Dozavimas ir vartojimo metodas</w:t>
      </w:r>
    </w:p>
    <w:p w14:paraId="19809F31"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Gydymą linezolidu būtina pradėti tik ligoninėje ir tik po tiesiogiai susijusio specialisto, tokio, kaip mikrobiologas ar infekcinių ligų specialistas, konsultacijos.</w:t>
      </w:r>
    </w:p>
    <w:p w14:paraId="7667E30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A7D87A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Pradėjus gydymą parenteraliai vartojamu vaistiniu preparatu, jeigu kliniškai reikalinga, vėliau galima vartoti bet kurią geriamą vaistinio preparato formą. Tokiu atveju dozės keisti nereikia, nes geriamo linezolido biologinis prieinamumas yra apytiksliai 100 %.</w:t>
      </w:r>
    </w:p>
    <w:p w14:paraId="0CC9816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lastRenderedPageBreak/>
        <w:t xml:space="preserve">Infuzinis tirpalas turi būti sulašinamas per </w:t>
      </w:r>
      <w:r w:rsidRPr="00C24DBC">
        <w:rPr>
          <w:rFonts w:ascii="Times New Roman" w:eastAsia="Times New Roman" w:hAnsi="Times New Roman" w:cs="Times New Roman"/>
          <w:kern w:val="0"/>
          <w:sz w:val="22"/>
          <w:szCs w:val="20"/>
          <w:lang w:eastAsia="sl-SI"/>
          <w14:ligatures w14:val="none"/>
        </w:rPr>
        <w:t xml:space="preserve">30-120 </w:t>
      </w:r>
      <w:r w:rsidRPr="00C24DBC">
        <w:rPr>
          <w:rFonts w:ascii="Times New Roman" w:eastAsia="Times New Roman" w:hAnsi="Times New Roman" w:cs="Times New Roman"/>
          <w:snapToGrid w:val="0"/>
          <w:kern w:val="0"/>
          <w:sz w:val="22"/>
          <w:szCs w:val="22"/>
          <w14:ligatures w14:val="none"/>
        </w:rPr>
        <w:t>minučių.</w:t>
      </w:r>
    </w:p>
    <w:p w14:paraId="2976630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DC1BAC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Rekomenduojamą linezolido dozę reikia leisti į veną du kartus per parą.</w:t>
      </w:r>
    </w:p>
    <w:p w14:paraId="4C26C60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6879F56" w14:textId="77777777" w:rsidR="00FB407F" w:rsidRPr="00C24DBC" w:rsidRDefault="00FB407F" w:rsidP="00FB407F">
      <w:pPr>
        <w:widowControl w:val="0"/>
        <w:tabs>
          <w:tab w:val="left" w:pos="567"/>
        </w:tabs>
        <w:ind w:left="0" w:firstLine="0"/>
        <w:rPr>
          <w:rFonts w:ascii="Times New Roman" w:eastAsia="Times New Roman" w:hAnsi="Times New Roman" w:cs="Times New Roman"/>
          <w:b/>
          <w:bCs/>
          <w:iCs/>
          <w:snapToGrid w:val="0"/>
          <w:kern w:val="0"/>
          <w:sz w:val="22"/>
          <w:szCs w:val="22"/>
          <w14:ligatures w14:val="none"/>
        </w:rPr>
      </w:pPr>
      <w:r w:rsidRPr="00C24DBC">
        <w:rPr>
          <w:rFonts w:ascii="Times New Roman" w:eastAsia="Times New Roman" w:hAnsi="Times New Roman" w:cs="Times New Roman"/>
          <w:b/>
          <w:bCs/>
          <w:iCs/>
          <w:snapToGrid w:val="0"/>
          <w:kern w:val="0"/>
          <w:sz w:val="22"/>
          <w:szCs w:val="22"/>
          <w14:ligatures w14:val="none"/>
        </w:rPr>
        <w:t>Rekomenduojamas dozavimas ir vartojimo trukmė suaugusiesiems</w:t>
      </w:r>
    </w:p>
    <w:p w14:paraId="1BF860D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Gydymo trukmė priklauso nuo ligos sukėlėjo, infekcijos vietos ir jos sunkumo bei klinikinės paciento reakcijos.</w:t>
      </w:r>
    </w:p>
    <w:p w14:paraId="22A7CD3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A7921F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Toliau pateiktos rekomendacijos dėl gydymo trukmės atspindi gydymo trukmę, taikytą klinikinių tyrimų metu. Kai kurioms infekcinėms ligoms gydyti gali tikti trumpesni gydymo režimai, tačiau jie nebuvo įvertinti klinikiniuose tyrimuose.</w:t>
      </w:r>
    </w:p>
    <w:p w14:paraId="34187F7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ADE81F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Ilgiausia gydymo laikotarpio trukmė yra 28 dienos. Linezolido saugumas ir veiksmingumas, skiriant vaistinį preparatą ilgiau nei 28 dienas, nėra nustatytas.</w:t>
      </w:r>
    </w:p>
    <w:p w14:paraId="352CF87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94499E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Infekcinių ligų, susijusių su bakteriemija, atvejais didinti rekomenduojamą dozę ar ilginti gydymo trukmę nereikia. Infuzinio tirpalo ir tablečių ar granulių geriamajai suspensijai dozavimo rekomendacijos yra tokios pačios, jos pateikiamos toliau.</w:t>
      </w:r>
    </w:p>
    <w:p w14:paraId="77D07D3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9"/>
        <w:gridCol w:w="3261"/>
        <w:gridCol w:w="2403"/>
      </w:tblGrid>
      <w:tr w:rsidR="00FB407F" w:rsidRPr="00C24DBC" w14:paraId="7822B3DD" w14:textId="77777777" w:rsidTr="00B824B8">
        <w:tc>
          <w:tcPr>
            <w:tcW w:w="3289" w:type="dxa"/>
          </w:tcPr>
          <w:p w14:paraId="145FB7F1" w14:textId="77777777" w:rsidR="00FB407F" w:rsidRPr="00C24DBC" w:rsidRDefault="00FB407F" w:rsidP="00B824B8">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Infekcinė liga</w:t>
            </w:r>
          </w:p>
        </w:tc>
        <w:tc>
          <w:tcPr>
            <w:tcW w:w="3261" w:type="dxa"/>
          </w:tcPr>
          <w:p w14:paraId="372044D6" w14:textId="77777777" w:rsidR="00FB407F" w:rsidRPr="00C24DBC" w:rsidRDefault="00FB407F" w:rsidP="00B824B8">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Dozavimas</w:t>
            </w:r>
          </w:p>
        </w:tc>
        <w:tc>
          <w:tcPr>
            <w:tcW w:w="2403" w:type="dxa"/>
          </w:tcPr>
          <w:p w14:paraId="6BFD86A1" w14:textId="77777777" w:rsidR="00FB407F" w:rsidRPr="00C24DBC" w:rsidRDefault="00FB407F" w:rsidP="00B824B8">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b/>
                <w:bCs/>
                <w:snapToGrid w:val="0"/>
                <w:kern w:val="0"/>
                <w:sz w:val="22"/>
                <w:szCs w:val="22"/>
                <w14:ligatures w14:val="none"/>
              </w:rPr>
              <w:t>Vartojimo trukmė</w:t>
            </w:r>
          </w:p>
        </w:tc>
      </w:tr>
      <w:tr w:rsidR="00FB407F" w:rsidRPr="00C24DBC" w14:paraId="292DD032" w14:textId="77777777" w:rsidTr="00B824B8">
        <w:trPr>
          <w:cantSplit/>
          <w:trHeight w:val="292"/>
        </w:trPr>
        <w:tc>
          <w:tcPr>
            <w:tcW w:w="3289" w:type="dxa"/>
          </w:tcPr>
          <w:p w14:paraId="665B1C58"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Ligoninėje įgyta pneumonija</w:t>
            </w:r>
          </w:p>
        </w:tc>
        <w:tc>
          <w:tcPr>
            <w:tcW w:w="3261" w:type="dxa"/>
            <w:vMerge w:val="restart"/>
          </w:tcPr>
          <w:p w14:paraId="505B4DEF"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600 mg du kartus per parą</w:t>
            </w:r>
          </w:p>
        </w:tc>
        <w:tc>
          <w:tcPr>
            <w:tcW w:w="2403" w:type="dxa"/>
            <w:vMerge w:val="restart"/>
          </w:tcPr>
          <w:p w14:paraId="59C9AE3A"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10-14 dienų iš eilės</w:t>
            </w:r>
          </w:p>
        </w:tc>
      </w:tr>
      <w:tr w:rsidR="00FB407F" w:rsidRPr="00C24DBC" w14:paraId="59182B32" w14:textId="77777777" w:rsidTr="00B824B8">
        <w:trPr>
          <w:cantSplit/>
          <w:trHeight w:val="281"/>
        </w:trPr>
        <w:tc>
          <w:tcPr>
            <w:tcW w:w="3289" w:type="dxa"/>
          </w:tcPr>
          <w:p w14:paraId="5D98E1EF"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Visuomenėje įgyta pneumonija</w:t>
            </w:r>
          </w:p>
        </w:tc>
        <w:tc>
          <w:tcPr>
            <w:tcW w:w="3261" w:type="dxa"/>
            <w:vMerge/>
          </w:tcPr>
          <w:p w14:paraId="4D206A83"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c>
          <w:tcPr>
            <w:tcW w:w="2403" w:type="dxa"/>
            <w:vMerge/>
          </w:tcPr>
          <w:p w14:paraId="6FA2F183"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r>
      <w:tr w:rsidR="00FB407F" w:rsidRPr="00C24DBC" w14:paraId="23EA1DEC" w14:textId="77777777" w:rsidTr="00B824B8">
        <w:trPr>
          <w:cantSplit/>
        </w:trPr>
        <w:tc>
          <w:tcPr>
            <w:tcW w:w="3289" w:type="dxa"/>
          </w:tcPr>
          <w:p w14:paraId="0F3DF9B4"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Komplikuotos odos ir poodinio audinio infekcinės ligos </w:t>
            </w:r>
          </w:p>
        </w:tc>
        <w:tc>
          <w:tcPr>
            <w:tcW w:w="3261" w:type="dxa"/>
          </w:tcPr>
          <w:p w14:paraId="57A12E61"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600 mg du kartus per parą</w:t>
            </w:r>
          </w:p>
        </w:tc>
        <w:tc>
          <w:tcPr>
            <w:tcW w:w="2403" w:type="dxa"/>
            <w:vMerge/>
          </w:tcPr>
          <w:p w14:paraId="5D7D1DB9"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kern w:val="0"/>
                <w:sz w:val="22"/>
                <w:szCs w:val="22"/>
                <w14:ligatures w14:val="none"/>
              </w:rPr>
            </w:pPr>
          </w:p>
        </w:tc>
      </w:tr>
    </w:tbl>
    <w:p w14:paraId="678AA6C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D2DC59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bCs/>
          <w:iCs/>
          <w:snapToGrid w:val="0"/>
          <w:kern w:val="0"/>
          <w:sz w:val="22"/>
          <w:szCs w:val="22"/>
          <w14:ligatures w14:val="none"/>
        </w:rPr>
        <w:t>Vaikų populiacija.</w:t>
      </w:r>
      <w:r w:rsidRPr="00C24DBC">
        <w:rPr>
          <w:rFonts w:ascii="Times New Roman" w:eastAsia="Times New Roman" w:hAnsi="Times New Roman" w:cs="Times New Roman"/>
          <w:bCs/>
          <w:i/>
          <w:iCs/>
          <w:snapToGrid w:val="0"/>
          <w:kern w:val="0"/>
          <w:sz w:val="22"/>
          <w:szCs w:val="22"/>
          <w14:ligatures w14:val="none"/>
        </w:rPr>
        <w:t xml:space="preserve"> </w:t>
      </w:r>
      <w:r w:rsidRPr="00C24DBC">
        <w:rPr>
          <w:rFonts w:ascii="Times New Roman" w:eastAsia="Times New Roman" w:hAnsi="Times New Roman" w:cs="Times New Roman"/>
          <w:bCs/>
          <w:iCs/>
          <w:snapToGrid w:val="0"/>
          <w:kern w:val="0"/>
          <w:sz w:val="22"/>
          <w:szCs w:val="22"/>
          <w14:ligatures w14:val="none"/>
        </w:rPr>
        <w:t>Linezolido saugumas ir veiksmingumas vaikams (iki 18 metų) nustatytas nebuvo. Šiuo metu turimi duomenys aprašyti preparato charakteristikų santraukos 4.8, 5.1 ir 5.2 skyriuose, bet dozavimo rekomendacijų pateikti negalima</w:t>
      </w:r>
      <w:r w:rsidRPr="00C24DBC">
        <w:rPr>
          <w:rFonts w:ascii="Times New Roman" w:eastAsia="Times New Roman" w:hAnsi="Times New Roman" w:cs="Times New Roman"/>
          <w:snapToGrid w:val="0"/>
          <w:kern w:val="0"/>
          <w:sz w:val="22"/>
          <w:szCs w:val="22"/>
          <w14:ligatures w14:val="none"/>
        </w:rPr>
        <w:t>.</w:t>
      </w:r>
    </w:p>
    <w:p w14:paraId="7000FCE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0F310B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bCs/>
          <w:iCs/>
          <w:snapToGrid w:val="0"/>
          <w:kern w:val="0"/>
          <w:sz w:val="22"/>
          <w:szCs w:val="22"/>
          <w14:ligatures w14:val="none"/>
        </w:rPr>
        <w:t>Senyvi:</w:t>
      </w:r>
      <w:r w:rsidRPr="00C24DBC">
        <w:rPr>
          <w:rFonts w:ascii="Times New Roman" w:eastAsia="Times New Roman" w:hAnsi="Times New Roman" w:cs="Times New Roman"/>
          <w:snapToGrid w:val="0"/>
          <w:kern w:val="0"/>
          <w:sz w:val="22"/>
          <w:szCs w:val="22"/>
          <w14:ligatures w14:val="none"/>
        </w:rPr>
        <w:t xml:space="preserve"> dozės koreguoti nereikia.</w:t>
      </w:r>
    </w:p>
    <w:p w14:paraId="37D544C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BBC495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bCs/>
          <w:iCs/>
          <w:snapToGrid w:val="0"/>
          <w:kern w:val="0"/>
          <w:sz w:val="22"/>
          <w:szCs w:val="22"/>
          <w14:ligatures w14:val="none"/>
        </w:rPr>
        <w:t>Inkstų funkcijos sutrikimas</w:t>
      </w:r>
      <w:r w:rsidRPr="00C24DBC">
        <w:rPr>
          <w:rFonts w:ascii="Times New Roman" w:eastAsia="Times New Roman" w:hAnsi="Times New Roman" w:cs="Times New Roman"/>
          <w:snapToGrid w:val="0"/>
          <w:kern w:val="0"/>
          <w:sz w:val="22"/>
          <w:szCs w:val="22"/>
          <w14:ligatures w14:val="none"/>
        </w:rPr>
        <w:t>: dozės koreguoti nereikia.</w:t>
      </w:r>
    </w:p>
    <w:p w14:paraId="5156F15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F7562D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Cs/>
          <w:iCs/>
          <w:snapToGrid w:val="0"/>
          <w:kern w:val="0"/>
          <w:sz w:val="22"/>
          <w:szCs w:val="22"/>
          <w:u w:val="single"/>
          <w14:ligatures w14:val="none"/>
        </w:rPr>
        <w:t xml:space="preserve">Sunkus inkstų sutrikimas </w:t>
      </w:r>
      <w:r w:rsidRPr="00C24DBC">
        <w:rPr>
          <w:rFonts w:ascii="Times New Roman" w:eastAsia="Times New Roman" w:hAnsi="Times New Roman" w:cs="Times New Roman"/>
          <w:snapToGrid w:val="0"/>
          <w:kern w:val="0"/>
          <w:sz w:val="22"/>
          <w:szCs w:val="22"/>
          <w:u w:val="single"/>
          <w14:ligatures w14:val="none"/>
        </w:rPr>
        <w:t>(t. y. kreatinino klirensas mažesnis nei 30 ml/min.).</w:t>
      </w:r>
      <w:r w:rsidRPr="00C24DBC">
        <w:rPr>
          <w:rFonts w:ascii="Times New Roman" w:eastAsia="Times New Roman" w:hAnsi="Times New Roman" w:cs="Times New Roman"/>
          <w:i/>
          <w:snapToGrid w:val="0"/>
          <w:kern w:val="0"/>
          <w:sz w:val="22"/>
          <w:szCs w:val="22"/>
          <w14:ligatures w14:val="none"/>
        </w:rPr>
        <w:t xml:space="preserve"> </w:t>
      </w:r>
      <w:r w:rsidRPr="00C24DBC">
        <w:rPr>
          <w:rFonts w:ascii="Times New Roman" w:eastAsia="Times New Roman" w:hAnsi="Times New Roman" w:cs="Times New Roman"/>
          <w:snapToGrid w:val="0"/>
          <w:kern w:val="0"/>
          <w:sz w:val="22"/>
          <w:szCs w:val="22"/>
          <w14:ligatures w14:val="none"/>
        </w:rPr>
        <w:t>Dozės koreguoti nereikia. Kadangi dviejų svarbiausių linezolido metabolitų didesnės (iki 10 kartų) ekspozicijos klinikinė reikšmė pacientams, kuriems yra sunkus inkstų nepakankamumas, yra nežinoma, tokiems pacientams linezolidą reikia vartoti ypatingai atsargiai ir tik kai manoma, jog laukiama nauda yra svarbesnė už teorinę riziką.</w:t>
      </w:r>
    </w:p>
    <w:p w14:paraId="255C6EA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60CB847" w14:textId="20032FEE"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Per 3 hemodializės valandas pašalinama apytiksliai 30 % linezolido dozės, todėl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xml:space="preserve"> gydomiems pacientams linezolido reikia skirti po dializės. Nors hemodializės metu iš organizmo pašalinamas tam tikras pagrindinių linezolido metabolitų kiekis, tačiau dializuojamiems pacientams šių metabolitų koncentracija vis tiek būna gerokai didesnė didesnės nei pacientams, kurių inkstų funkcija normali arba kuriems yra lengvas ar vidutinio sunkumo inkstų nepakankamumas. Taigi, pacientams, kuriems yra sunkus inkstų nepakankamumas ir yra atliekama dializė, linezolidą reikia vartoti ypatingai atsargiai ir tik kai manoma, jog laukiama nauda yra svarbesnė už teorinę riziką.</w:t>
      </w:r>
    </w:p>
    <w:p w14:paraId="110678E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059DC9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Linezolido vartojimo patirties pacientams, kuriems atliekama nuolatinė peritoninė dializė ambulatorinėmis sąlygomis ar taikomas kitoks inkstų nepakankamumo gydymas (ne hemodializė), kol kas nėra.</w:t>
      </w:r>
    </w:p>
    <w:p w14:paraId="52713592"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C210744" w14:textId="77777777"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r w:rsidRPr="00C24DBC">
        <w:rPr>
          <w:rFonts w:ascii="Times New Roman" w:eastAsia="Times New Roman" w:hAnsi="Times New Roman" w:cs="Times New Roman"/>
          <w:b/>
          <w:bCs/>
          <w:iCs/>
          <w:snapToGrid w:val="0"/>
          <w:kern w:val="0"/>
          <w:sz w:val="22"/>
          <w:szCs w:val="22"/>
          <w14:ligatures w14:val="none"/>
        </w:rPr>
        <w:t>Kepenų funkcijos sutrikimas</w:t>
      </w:r>
      <w:r w:rsidRPr="00C24DBC">
        <w:rPr>
          <w:rFonts w:ascii="Times New Roman" w:eastAsia="Calibri" w:hAnsi="Times New Roman" w:cs="Times New Roman"/>
          <w:kern w:val="0"/>
          <w:sz w:val="22"/>
          <w:szCs w:val="22"/>
          <w14:ligatures w14:val="none"/>
        </w:rPr>
        <w:t xml:space="preserve">: pacientams, kuriems yra lengvas ar vidutinio sunkumo kepenų nepakankamumas (A ir B klasės pagal </w:t>
      </w:r>
      <w:r w:rsidRPr="00C24DBC">
        <w:rPr>
          <w:rFonts w:ascii="Times New Roman" w:eastAsia="Calibri" w:hAnsi="Times New Roman" w:cs="Times New Roman"/>
          <w:i/>
          <w:kern w:val="0"/>
          <w:sz w:val="22"/>
          <w:szCs w:val="22"/>
          <w14:ligatures w14:val="none"/>
        </w:rPr>
        <w:t>Child-Pugh</w:t>
      </w:r>
      <w:r w:rsidRPr="00C24DBC">
        <w:rPr>
          <w:rFonts w:ascii="Times New Roman" w:eastAsia="Calibri" w:hAnsi="Times New Roman" w:cs="Times New Roman"/>
          <w:kern w:val="0"/>
          <w:sz w:val="22"/>
          <w:szCs w:val="22"/>
          <w14:ligatures w14:val="none"/>
        </w:rPr>
        <w:t>) dozės koreguoti nereikia.</w:t>
      </w:r>
    </w:p>
    <w:p w14:paraId="7A20A4C0" w14:textId="77777777"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p>
    <w:p w14:paraId="515D4CEA" w14:textId="77777777"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color w:val="000000"/>
          <w:kern w:val="0"/>
          <w:sz w:val="22"/>
          <w:szCs w:val="22"/>
          <w:u w:val="single"/>
          <w14:ligatures w14:val="none"/>
        </w:rPr>
        <w:t>Sunkus kepenų funkcijos sutrikimas (C klasė pagal</w:t>
      </w:r>
      <w:r w:rsidRPr="00C24DBC">
        <w:rPr>
          <w:rFonts w:ascii="Times New Roman" w:eastAsia="Calibri" w:hAnsi="Times New Roman" w:cs="Times New Roman"/>
          <w:i/>
          <w:color w:val="000000"/>
          <w:kern w:val="0"/>
          <w:sz w:val="22"/>
          <w:szCs w:val="22"/>
          <w:u w:val="single"/>
          <w14:ligatures w14:val="none"/>
        </w:rPr>
        <w:t xml:space="preserve"> Child-Pugh</w:t>
      </w:r>
      <w:r w:rsidRPr="00C24DBC">
        <w:rPr>
          <w:rFonts w:ascii="Times New Roman" w:eastAsia="Calibri" w:hAnsi="Times New Roman" w:cs="Times New Roman"/>
          <w:color w:val="000000"/>
          <w:kern w:val="0"/>
          <w:sz w:val="22"/>
          <w:szCs w:val="22"/>
          <w:u w:val="single"/>
          <w14:ligatures w14:val="none"/>
        </w:rPr>
        <w:t xml:space="preserve">). </w:t>
      </w:r>
      <w:r w:rsidRPr="00C24DBC">
        <w:rPr>
          <w:rFonts w:ascii="Times New Roman" w:eastAsia="Calibri" w:hAnsi="Times New Roman" w:cs="Times New Roman"/>
          <w:color w:val="000000"/>
          <w:kern w:val="0"/>
          <w:sz w:val="22"/>
          <w:szCs w:val="22"/>
          <w14:ligatures w14:val="none"/>
        </w:rPr>
        <w:t xml:space="preserve">Dozės koreguoti nereikia, nes linezolidas metabolizuojamas nefermentiniu būdu, todėl kepenų veiklos sutrikimas neturėtų reikšmingai keisti jo metabolizmo. Tačiau klinikinių duomenų nepakanka ir šiems </w:t>
      </w:r>
      <w:r w:rsidRPr="00C24DBC">
        <w:rPr>
          <w:rFonts w:ascii="Times New Roman" w:eastAsia="Calibri" w:hAnsi="Times New Roman" w:cs="Times New Roman"/>
          <w:kern w:val="0"/>
          <w:sz w:val="22"/>
          <w:szCs w:val="22"/>
          <w14:ligatures w14:val="none"/>
        </w:rPr>
        <w:t xml:space="preserve">pacientams </w:t>
      </w:r>
      <w:r w:rsidRPr="00C24DBC">
        <w:rPr>
          <w:rFonts w:ascii="Times New Roman" w:eastAsia="Calibri" w:hAnsi="Times New Roman" w:cs="Times New Roman"/>
          <w:kern w:val="0"/>
          <w:sz w:val="22"/>
          <w:szCs w:val="22"/>
          <w14:ligatures w14:val="none"/>
        </w:rPr>
        <w:lastRenderedPageBreak/>
        <w:t>rekomenduojama linezolidą vartoti ypač atsargiai ir tik kai manoma, jog laukiama nauda yra svarbesnė už teorinę riziką.</w:t>
      </w:r>
    </w:p>
    <w:p w14:paraId="035C8DE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0BC385A"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Kontraindikacijos</w:t>
      </w:r>
    </w:p>
    <w:p w14:paraId="1FCA83F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Padidėjęs jautrumas veikliajai arba bet kuriai pagalbinei medžiagai.</w:t>
      </w:r>
    </w:p>
    <w:p w14:paraId="3735D8E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7CEC98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Linezolido neturi būti skiriama pacientams, vartojantiems arba dviejų pastarųjų savaičių laikotarpiu vartojusiems bet kokių kitų vaistinių preparatų, kurie slopina monoaminooksidazę A ar B (pvz., fenelzino, izokarboksazido, selegilino, moklobemido).</w:t>
      </w:r>
    </w:p>
    <w:p w14:paraId="4316B91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9C811F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Išskyrus atvejus, kai yra sąlygos atidžiai stebėti ir matuoti kraujospūdį, linezolido negalima vartoti pacientams, kuriems yra šios klinikinės būklės arba kurie kartu vartoja nurodytų vaistinių preparatų.</w:t>
      </w:r>
    </w:p>
    <w:p w14:paraId="6B65B2F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7900BE5" w14:textId="77777777" w:rsidR="00FB407F" w:rsidRPr="00C24DBC" w:rsidRDefault="00FB407F" w:rsidP="00FB407F">
      <w:pPr>
        <w:widowControl w:val="0"/>
        <w:numPr>
          <w:ilvl w:val="0"/>
          <w:numId w:val="4"/>
        </w:numPr>
        <w:tabs>
          <w:tab w:val="left" w:pos="567"/>
        </w:tabs>
        <w:ind w:left="567" w:hanging="567"/>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Pacientams, kuriems yra nekontroliuojama hipertenzija, feochromocitoma, karcinoidas, tireotoksikozė, bipolinė depresija, šizoafektinis sutrikimas, ūminės sumišimo būklės.</w:t>
      </w:r>
    </w:p>
    <w:p w14:paraId="2C251966" w14:textId="77777777" w:rsidR="00FB407F" w:rsidRPr="00C24DBC" w:rsidRDefault="00FB407F" w:rsidP="00FB407F">
      <w:pPr>
        <w:widowControl w:val="0"/>
        <w:numPr>
          <w:ilvl w:val="0"/>
          <w:numId w:val="4"/>
        </w:numPr>
        <w:tabs>
          <w:tab w:val="left" w:pos="567"/>
        </w:tabs>
        <w:ind w:left="567" w:hanging="567"/>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Pacientams, kurie vartoja bet kurio iš šių vaistinių preparatų: serotonino reabsorbcijos inhibitorių, triciklių antidepresantų, serotonino 5-HT</w:t>
      </w:r>
      <w:r w:rsidRPr="00C24DBC">
        <w:rPr>
          <w:rFonts w:ascii="Times New Roman" w:eastAsia="Times New Roman" w:hAnsi="Times New Roman" w:cs="Times New Roman"/>
          <w:snapToGrid w:val="0"/>
          <w:kern w:val="0"/>
          <w:sz w:val="22"/>
          <w:szCs w:val="22"/>
          <w:vertAlign w:val="subscript"/>
          <w14:ligatures w14:val="none"/>
        </w:rPr>
        <w:t xml:space="preserve">1 </w:t>
      </w:r>
      <w:r w:rsidRPr="00C24DBC">
        <w:rPr>
          <w:rFonts w:ascii="Times New Roman" w:eastAsia="Times New Roman" w:hAnsi="Times New Roman" w:cs="Times New Roman"/>
          <w:snapToGrid w:val="0"/>
          <w:kern w:val="0"/>
          <w:sz w:val="22"/>
          <w:szCs w:val="22"/>
          <w14:ligatures w14:val="none"/>
        </w:rPr>
        <w:t>receptorių agonistų (triptanų), tiesioginio ir netiesioginio poveikio simpatikomimetikų (įskaitant adrenerginius bronchus plečiančius vaistinius preparatus, pseudoefedriną ir fenilpropanolaminą), kraujagysles sutraukiančių vaistinių preparatų (pvz., epinefrino, norepinefrino), dopaminerginių medžiagų (pvz., dopamino, dobutamino), petidino ar buspirono.</w:t>
      </w:r>
    </w:p>
    <w:p w14:paraId="264C234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1F2A16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Reikia nutraukti žindymą prieš pradedant vartoti linezolidą ir nežindyti gydymo linezolidu metu.</w:t>
      </w:r>
    </w:p>
    <w:p w14:paraId="6427C0BE"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41A134F" w14:textId="77777777" w:rsidR="00FB407F" w:rsidRPr="00C24DBC" w:rsidRDefault="00FB407F" w:rsidP="00FB407F">
      <w:pPr>
        <w:widowControl w:val="0"/>
        <w:tabs>
          <w:tab w:val="left" w:pos="567"/>
        </w:tabs>
        <w:ind w:left="0" w:firstLine="0"/>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Specialūs įspėjimai ir atsargumo priemonės</w:t>
      </w:r>
    </w:p>
    <w:p w14:paraId="5763B92E"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Kaulų čiulpų slopinimas</w:t>
      </w:r>
    </w:p>
    <w:p w14:paraId="27C400B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Gauta pranešimų, kad linezolidą vartojantiems pacientams pasireiškė kaulų čiulpų slopinimas (įskaitant anemiją, leukopeniją, pancitopeniją ir trombocitopeniją). Atvejais, kai ligos baigtis yra žinoma, nutraukus linezolido vartojimą, paveikti kraujo tyrimų rodmenys grįžo į lygį, buvusį prieš pradedant gydymą. Manoma, kad šio poveikio keliama rizika yra susijusi su gydymo trukme. Linezolidu gydomiems senyviems pacientams kraujo sutrikimų rizika gali būti didesnė, nei jaunesniems pacientams. Trombocitopenija gali dažniau pasireikšti pacientams, kuriems yra sunkus inkstų nepakankamumas, nepriklausomai nuo to, taikoma dializė ar ne. Todėl rekomenduojama atidžiai stebėti bendro kraujo tyrimo rodmenis pacientams, kuriems prieš pradedant vartoti vaistinio preparato buvo anemija, granulocitopenija ar trombocitopenija, kurie kartu vartoja vaistinių preparatų, galinčių mažinti hemoglobino kiekį kraujyje, mažinti kraujo ląstelių kiekį ar nepalankiai veikti trombocitų kiekį bei veiklą, kuriems yra sunkus inkstų nepakankamumas ir kurie yra gydomi ilgiau kaip 10</w:t>
      </w:r>
      <w:r w:rsidRPr="00C24DBC">
        <w:rPr>
          <w:rFonts w:ascii="Times New Roman" w:eastAsia="Times New Roman" w:hAnsi="Times New Roman" w:cs="Times New Roman"/>
          <w:snapToGrid w:val="0"/>
          <w:kern w:val="0"/>
          <w:sz w:val="22"/>
          <w:szCs w:val="22"/>
          <w14:ligatures w14:val="none"/>
        </w:rPr>
        <w:noBreakHyphen/>
        <w:t>14 dienų. Tokiems pacientams linezolidą galima vartoti tik jeigu įmanoma atidžiai stebėti hemoglobino, kraujo ląstelių ir trombocitų kiekį kraujyje.</w:t>
      </w:r>
    </w:p>
    <w:p w14:paraId="255D2323"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119AC5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vartojant linezolido pasireiškia reikšmingas kaulų čiulpų slopinimas, gydymą reikia nutraukti, nebent nusprendžiama, kad tęsti gydymą šiuo vaistiniu preparatu yra neabejotinai būtina. Tokiu atveju reikia atidžiai stebėti bendrojo kraujo tyrimo rodmenis ir pradėti taikyti reikiamą gydymo strategiją.</w:t>
      </w:r>
    </w:p>
    <w:p w14:paraId="50F5490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CFFF0C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Be to, rekomenduojama </w:t>
      </w:r>
      <w:r w:rsidRPr="00C24DBC">
        <w:rPr>
          <w:rFonts w:ascii="Times New Roman" w:eastAsia="Times New Roman" w:hAnsi="Times New Roman" w:cs="Times New Roman"/>
          <w:snapToGrid w:val="0"/>
          <w:kern w:val="0"/>
          <w:sz w:val="22"/>
          <w:szCs w:val="22"/>
          <w:u w:val="single"/>
          <w14:ligatures w14:val="none"/>
        </w:rPr>
        <w:t>kas savaitę</w:t>
      </w:r>
      <w:r w:rsidRPr="00C24DBC">
        <w:rPr>
          <w:rFonts w:ascii="Times New Roman" w:eastAsia="Times New Roman" w:hAnsi="Times New Roman" w:cs="Times New Roman"/>
          <w:snapToGrid w:val="0"/>
          <w:kern w:val="0"/>
          <w:sz w:val="22"/>
          <w:szCs w:val="22"/>
          <w14:ligatures w14:val="none"/>
        </w:rPr>
        <w:t xml:space="preserve"> atlikti bendrą kraujo tyrimą (įskaitant hemoglobino, trombocitų kiekį ir bendrą leukocitų kiekį ir leukogramą) pacientams, vartojantiems linezolidą, nepaisant, kokie buvo bendro kraujo tyrimo rodmenys prieš pradedant gydymą.</w:t>
      </w:r>
    </w:p>
    <w:p w14:paraId="31C4058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4815487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,,Paskutinės vilties“ tyrimų metu gauta pranešimų apie sunkios anemijos atvejų padažnėjimą pacientams, gydytiems linezolidu ilgiau nei ilgiausią rekomenduojamą 28 dienų gydymo laikotarpį. Šiems pacientams dažniau prireikė kraujo perpylimo. Po vaistinio preparato patekimo į rinką taip pat pranešta apie anemijos, dėl kurios prireikė kraujo perpylimo, atvejus, kurie buvo dažnesni pacientams, gydytiems linezolidu ilgiau kaip 28 dienas.</w:t>
      </w:r>
    </w:p>
    <w:p w14:paraId="738AB69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B8B3D6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Po vaistinio preparato patekimo į rinką buvo pranešta apie sideroblastinės anemijos atvejus. Tais atvejais, kai buvo žinomas atsiradimo laikas, daugumai pacientų gydymas linezolidu buvo taikytas ilgiau kaip 28 dienas. Nutraukus linezolido vartojimą dauguma pacientų visiškai arba iš dalies </w:t>
      </w:r>
      <w:r w:rsidRPr="00C24DBC">
        <w:rPr>
          <w:rFonts w:ascii="Times New Roman" w:eastAsia="Times New Roman" w:hAnsi="Times New Roman" w:cs="Times New Roman"/>
          <w:snapToGrid w:val="0"/>
          <w:kern w:val="0"/>
          <w:sz w:val="22"/>
          <w:szCs w:val="22"/>
          <w14:ligatures w14:val="none"/>
        </w:rPr>
        <w:lastRenderedPageBreak/>
        <w:t>pasveiko, dėl jų anemijos taikant gydymą ar jo netaikant.</w:t>
      </w:r>
    </w:p>
    <w:p w14:paraId="17C093E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1F7EBAD" w14:textId="77777777" w:rsidR="00FB407F" w:rsidRPr="00C24DBC" w:rsidRDefault="00FB407F" w:rsidP="00FB407F">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C24DBC">
        <w:rPr>
          <w:rFonts w:ascii="Times New Roman" w:eastAsia="Times New Roman" w:hAnsi="Times New Roman" w:cs="Times New Roman"/>
          <w:i/>
          <w:snapToGrid w:val="0"/>
          <w:kern w:val="0"/>
          <w:sz w:val="22"/>
          <w:szCs w:val="22"/>
          <w:u w:val="single"/>
          <w14:ligatures w14:val="none"/>
        </w:rPr>
        <w:t>Mirtingumo disbalansas klinikinio tyrimo, kuriame dalyvavo pacientai, sergantys su kateteriu susijusiomis gramteigiamų mikroorganizmų sukeltomis kraujo infekcinėmis ligomis, metu</w:t>
      </w:r>
    </w:p>
    <w:p w14:paraId="2F191A0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Atviro tyrimo, kuriame dalyvavusiems sunkia liga sergantiems pacientams nustatyta infekcinė liga, susijusi su kraujagyslėje buvusiu kateteriu, metu vartojant linezolidą, palyginti su vankomicino/dikloksaciklino/oksacilino vartojimu, buvo nustatytas mirtingumo padidėjimas (78 iš 363 [21,5 %], palyginti su 58 iš 363 [16,0 %]). Pagrindinis veiksnys, turėjęs įtakos mirtingumui, buvo prieš pradedant gydymą buvusi gramteigiamų mikroorganizmų sukelta infekcinė liga. Pacientų, kuriems nustatyta vien tik gramteigiamų mikroorganizmų sukelta infekcinė liga, mirtingumas buvo panašus (santykinė rizika 0,96; 95 % pasikliautinasis intervalas: 0,58</w:t>
      </w:r>
      <w:r w:rsidRPr="00C24DBC">
        <w:rPr>
          <w:rFonts w:ascii="Times New Roman" w:eastAsia="Times New Roman" w:hAnsi="Times New Roman" w:cs="Times New Roman"/>
          <w:snapToGrid w:val="0"/>
          <w:kern w:val="0"/>
          <w:sz w:val="22"/>
          <w:szCs w:val="22"/>
          <w14:ligatures w14:val="none"/>
        </w:rPr>
        <w:noBreakHyphen/>
        <w:t>1,59), bet reikšmingai didesnis (p= 0,0162) linezolido grupės pacientų, kuriems prieš pradedant gydymą, buvo nustatytas koks nors kitas ligos sukėlėjas arba sukėlėjas neidentifikuotas (santykinė rizika 2,48; 95 % pasikliautinasis intervalas: 1,38</w:t>
      </w:r>
      <w:r w:rsidRPr="00C24DBC">
        <w:rPr>
          <w:rFonts w:ascii="Times New Roman" w:eastAsia="Times New Roman" w:hAnsi="Times New Roman" w:cs="Times New Roman"/>
          <w:snapToGrid w:val="0"/>
          <w:kern w:val="0"/>
          <w:sz w:val="22"/>
          <w:szCs w:val="22"/>
          <w14:ligatures w14:val="none"/>
        </w:rPr>
        <w:noBreakHyphen/>
        <w:t>4,46). Didžiausias disbalansas nustatytas gydymo metu ir per 7 dienas po gydymo tiriamuoju vaistiniu preparatu pabaigos. Daugiau pacientų linezolido grupėje tyrimo metu užsikrėtę gramneigiamais mikroorganizmais ir mirė nuo gramneigiamų ligos sukėlėjų sukeltos ir polimikrobinės infekcijos. Todėl komplikuotas odos ir poodinio audinio infekcines ligas gydyti linezolidu pacientams, kuriems nustatyta arba įtariama ir gramneigiamų mikroorganizmų infekcija, galima tik jeigu nėra galimybės pasirinkti alternatyvų gydymą. Tokiomis aplinkybėmis kartu turi būti pradėtas gydymas nuo gramneigiamų mikroorganizmų.</w:t>
      </w:r>
    </w:p>
    <w:p w14:paraId="710736C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CCD8D1E"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Su antibiotiko vartojimu susiję viduriavimas ir kolitas</w:t>
      </w:r>
    </w:p>
    <w:p w14:paraId="34AB987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Cs/>
          <w:iCs/>
          <w:snapToGrid w:val="0"/>
          <w:kern w:val="0"/>
          <w:sz w:val="22"/>
          <w:szCs w:val="22"/>
          <w14:ligatures w14:val="none"/>
        </w:rPr>
        <w:t xml:space="preserve">Vartojant beveik visų antibiotikų, įskaitant </w:t>
      </w:r>
      <w:r w:rsidRPr="00C24DBC">
        <w:rPr>
          <w:rFonts w:ascii="Times New Roman" w:eastAsia="Times New Roman" w:hAnsi="Times New Roman" w:cs="Times New Roman"/>
          <w:snapToGrid w:val="0"/>
          <w:kern w:val="0"/>
          <w:sz w:val="22"/>
          <w:szCs w:val="22"/>
          <w14:ligatures w14:val="none"/>
        </w:rPr>
        <w:t>linezolido,</w:t>
      </w:r>
      <w:r w:rsidRPr="00C24DBC">
        <w:rPr>
          <w:rFonts w:ascii="Times New Roman" w:eastAsia="Times New Roman" w:hAnsi="Times New Roman" w:cs="Times New Roman"/>
          <w:bCs/>
          <w:iCs/>
          <w:snapToGrid w:val="0"/>
          <w:kern w:val="0"/>
          <w:sz w:val="22"/>
          <w:szCs w:val="22"/>
          <w14:ligatures w14:val="none"/>
        </w:rPr>
        <w:t xml:space="preserve"> pranešta apie su antibiotiko vartojimu susijusį viduriavimą ir su antibiotiko vartojimu susijusį kolitą, įskaitant pseudomembraninį kolitą ir su </w:t>
      </w:r>
      <w:r w:rsidRPr="00C24DBC">
        <w:rPr>
          <w:rFonts w:ascii="Times New Roman" w:eastAsia="Times New Roman" w:hAnsi="Times New Roman" w:cs="Times New Roman"/>
          <w:bCs/>
          <w:i/>
          <w:iCs/>
          <w:snapToGrid w:val="0"/>
          <w:kern w:val="0"/>
          <w:sz w:val="22"/>
          <w:szCs w:val="22"/>
          <w14:ligatures w14:val="none"/>
        </w:rPr>
        <w:t xml:space="preserve">Clostridium difficile </w:t>
      </w:r>
      <w:r w:rsidRPr="00C24DBC">
        <w:rPr>
          <w:rFonts w:ascii="Times New Roman" w:eastAsia="Times New Roman" w:hAnsi="Times New Roman" w:cs="Times New Roman"/>
          <w:bCs/>
          <w:iCs/>
          <w:snapToGrid w:val="0"/>
          <w:kern w:val="0"/>
          <w:sz w:val="22"/>
          <w:szCs w:val="22"/>
          <w14:ligatures w14:val="none"/>
        </w:rPr>
        <w:t>susijusį viduriavimą (sutrikimo sunkumas gali būti nuo lengvo viduriavimo iki mirtino kolito).</w:t>
      </w:r>
      <w:r w:rsidRPr="00C24DBC">
        <w:rPr>
          <w:rFonts w:ascii="Times New Roman" w:eastAsia="Times New Roman" w:hAnsi="Times New Roman" w:cs="Times New Roman"/>
          <w:snapToGrid w:val="0"/>
          <w:kern w:val="0"/>
          <w:sz w:val="22"/>
          <w:szCs w:val="22"/>
          <w14:ligatures w14:val="none"/>
        </w:rPr>
        <w:t xml:space="preserve"> Todėl svarbu turėti omenyje šią diagnozę pacientams, kuriems gydymo metu arba baigus gydymą linezolidu pasireiškia sunkus viduriavimas. Jeigu įtariamas arba patvirtinamas su antibiotiko vartojimu susijęs viduriavimas arba su antibiotiko vartojimu susijęs</w:t>
      </w:r>
      <w:r w:rsidRPr="00C24DBC">
        <w:rPr>
          <w:rFonts w:ascii="Times New Roman" w:eastAsia="Times New Roman" w:hAnsi="Times New Roman" w:cs="Times New Roman"/>
          <w:bCs/>
          <w:iCs/>
          <w:snapToGrid w:val="0"/>
          <w:kern w:val="0"/>
          <w:sz w:val="22"/>
          <w:szCs w:val="22"/>
          <w14:ligatures w14:val="none"/>
        </w:rPr>
        <w:t xml:space="preserve"> kolitas, gydymą antibakteriniais vaistiniais preparatais, įskaitant linezolidą, reikia nutraukti ir nedelsiant pradėti taikyti reikiamą gydymą. Tokiu atveju yra draudžiama skirti peristaltiką slopinančių vaistinių preparatų.</w:t>
      </w:r>
    </w:p>
    <w:p w14:paraId="360585B2"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14:ligatures w14:val="none"/>
        </w:rPr>
      </w:pPr>
    </w:p>
    <w:p w14:paraId="0CE6BD6E"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Pieno rūgšties acidozė</w:t>
      </w:r>
    </w:p>
    <w:p w14:paraId="0AFDEE8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Pranešta apie pieno rūgšties acidozės atvejus vartojant linezolido. Pacientams, kuriems linezolido vartojimo metu atsirado metabolinės acidozės požymių ir simptomų, įskaitant besikartojantį pykinimą ar vėmimą, pilvo skausmą, mažą bikarbonatų kiekį ar hiperventiliaciją, būtina skubi medicininė apžiūra. Jeigu pasireiškė pieno rūgšties acidozė, reikia įvertinti tolimesnio gydymo linezolidu naudos ir galimos rizikos santykį.</w:t>
      </w:r>
    </w:p>
    <w:p w14:paraId="4AB50C3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EA2328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Mitochondrijų funkcijos sutrikimas</w:t>
      </w:r>
    </w:p>
    <w:p w14:paraId="4F7A619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 slopina baltymų sintezę mitochondrijose. Dėl šio slopinimo gali pasireikšti nepageidaujami reiškiniai, pavyzdžiui, pieno rūgšties acidozė, anemija ir neuropatija (regos nervo ir periferinė). Tokie reiškiniai dažnesni vaistinio preparato vartojant ilgiau kaip 28 dienas.</w:t>
      </w:r>
    </w:p>
    <w:p w14:paraId="24FF3FFE"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14:ligatures w14:val="none"/>
        </w:rPr>
      </w:pPr>
    </w:p>
    <w:p w14:paraId="6F46AE17"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Serotonino sindromas</w:t>
      </w:r>
    </w:p>
    <w:p w14:paraId="059198C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Gauta spontaninių pranešimų apie serotonino sindromą, susijusį su linezolido vartojimu kartu su serotoninerginiais vaistiniais preparatais, įskaitant antidepresantus, tokius, kaip selektyvūs serotonino reabsorbcijos inhibitoriai (SSRI)</w:t>
      </w:r>
      <w:r w:rsidRPr="00C24DBC">
        <w:rPr>
          <w:rFonts w:ascii="Times New Roman" w:eastAsia="Times New Roman" w:hAnsi="Times New Roman" w:cs="Times New Roman"/>
          <w:snapToGrid w:val="0"/>
          <w:kern w:val="0"/>
          <w:sz w:val="22"/>
          <w:szCs w:val="22"/>
          <w:lang w:eastAsia="sl-SI"/>
          <w14:ligatures w14:val="none"/>
        </w:rPr>
        <w:t xml:space="preserve"> arba opioidai (žr. 4.5 </w:t>
      </w:r>
      <w:r w:rsidRPr="00C24DBC">
        <w:rPr>
          <w:rFonts w:ascii="Times New Roman" w:eastAsia="Times New Roman" w:hAnsi="Times New Roman" w:cs="Times New Roman"/>
          <w:snapToGrid w:val="0"/>
          <w:kern w:val="0"/>
          <w:sz w:val="22"/>
          <w:szCs w:val="22"/>
          <w14:ligatures w14:val="none"/>
        </w:rPr>
        <w:t>preparato charakteristikų santraukos</w:t>
      </w:r>
      <w:r w:rsidRPr="00C24DBC">
        <w:rPr>
          <w:rFonts w:ascii="Times New Roman" w:eastAsia="Times New Roman" w:hAnsi="Times New Roman" w:cs="Times New Roman"/>
          <w:snapToGrid w:val="0"/>
          <w:kern w:val="0"/>
          <w:sz w:val="22"/>
          <w:szCs w:val="22"/>
          <w:lang w:eastAsia="sl-SI"/>
          <w14:ligatures w14:val="none"/>
        </w:rPr>
        <w:t xml:space="preserve"> skyrių)</w:t>
      </w:r>
      <w:r w:rsidRPr="00C24DBC">
        <w:rPr>
          <w:rFonts w:ascii="Times New Roman" w:eastAsia="Times New Roman" w:hAnsi="Times New Roman" w:cs="Times New Roman"/>
          <w:snapToGrid w:val="0"/>
          <w:kern w:val="0"/>
          <w:sz w:val="22"/>
          <w:szCs w:val="22"/>
          <w14:ligatures w14:val="none"/>
        </w:rPr>
        <w:t xml:space="preserve">. Todėl linezolido vartojimas kartu su serotoninerginiais vaistiniais preparatais yra draudžiamas (žr. 4.3 preparato charakteristikų santraukos skyrių), išskyrus atvejus, kai linezolidą vartoti kartu su serotoninerginiais vaistiniais preparatais būtina. </w:t>
      </w:r>
    </w:p>
    <w:p w14:paraId="3D9DC2E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Tokiais atvejais reikia atidžiai stebėti, ar pacientams neatsiranda serotonino sindromo požymių ir simptomų, pavyzdžiui, pažinimo funkcijos sutrikimas, hiperpireksija, hiperrefleksija ar koordinacijos sutrikimas. Jei atsiranda tokių požymių ar simptomų, gydytojas turi apsvarstyti, ar nutraukti vienos, ar abiejų medžiagų vartojimą. Jei nutraukiamas gydymas kartu su linezolidu vartotais serotoninerginiais vaistiniais preparatais, gali atsirasti nutraukimo simptomų.</w:t>
      </w:r>
    </w:p>
    <w:p w14:paraId="684B3138" w14:textId="77777777" w:rsidR="00FB407F" w:rsidRPr="00C24DBC" w:rsidRDefault="00FB407F" w:rsidP="00FB407F">
      <w:pPr>
        <w:ind w:left="0" w:firstLine="0"/>
        <w:rPr>
          <w:rFonts w:ascii="Times New Roman" w:eastAsia="Times New Roman" w:hAnsi="Times New Roman" w:cs="Times New Roman"/>
          <w:i/>
          <w:iCs/>
          <w:noProof/>
          <w:kern w:val="0"/>
          <w:sz w:val="22"/>
          <w:szCs w:val="22"/>
          <w14:ligatures w14:val="none"/>
        </w:rPr>
      </w:pPr>
    </w:p>
    <w:p w14:paraId="27AC239C" w14:textId="77777777" w:rsidR="00FB407F" w:rsidRPr="00C24DBC" w:rsidRDefault="00FB407F" w:rsidP="00FB407F">
      <w:pPr>
        <w:ind w:left="0" w:firstLine="0"/>
        <w:rPr>
          <w:rFonts w:ascii="Times New Roman" w:eastAsia="Times New Roman" w:hAnsi="Times New Roman" w:cs="Times New Roman"/>
          <w:i/>
          <w:iCs/>
          <w:noProof/>
          <w:kern w:val="0"/>
          <w:sz w:val="22"/>
          <w:szCs w:val="22"/>
          <w14:ligatures w14:val="none"/>
        </w:rPr>
      </w:pPr>
      <w:r w:rsidRPr="00C24DBC">
        <w:rPr>
          <w:rFonts w:ascii="Times New Roman" w:eastAsia="Times New Roman" w:hAnsi="Times New Roman" w:cs="Times New Roman"/>
          <w:i/>
          <w:iCs/>
          <w:noProof/>
          <w:kern w:val="0"/>
          <w:sz w:val="22"/>
          <w:szCs w:val="22"/>
          <w14:ligatures w14:val="none"/>
        </w:rPr>
        <w:t>Rabdomiolizė</w:t>
      </w:r>
    </w:p>
    <w:p w14:paraId="11DEF197" w14:textId="77777777" w:rsidR="00FB407F" w:rsidRPr="00C24DBC" w:rsidRDefault="00FB407F" w:rsidP="00FB407F">
      <w:pPr>
        <w:ind w:left="0" w:firstLine="0"/>
        <w:rPr>
          <w:rFonts w:ascii="Times New Roman" w:eastAsia="Times New Roman" w:hAnsi="Times New Roman" w:cs="Times New Roman"/>
          <w:noProof/>
          <w:kern w:val="0"/>
          <w:sz w:val="22"/>
          <w:szCs w:val="22"/>
          <w14:ligatures w14:val="none"/>
        </w:rPr>
      </w:pPr>
      <w:r w:rsidRPr="00C24DBC">
        <w:rPr>
          <w:rFonts w:ascii="Times New Roman" w:eastAsia="Times New Roman" w:hAnsi="Times New Roman" w:cs="Times New Roman"/>
          <w:noProof/>
          <w:kern w:val="0"/>
          <w:sz w:val="22"/>
          <w:szCs w:val="22"/>
          <w14:ligatures w14:val="none"/>
        </w:rPr>
        <w:lastRenderedPageBreak/>
        <w:t>Vartojant linezolidą gauta pranešimų apie rabdomiolizę. Linezolidas turi būti atsargiai vartojamas pacientams, kuriems yra rabdomiolizę predisponuojančių veiksnių. Pastebėjus rabdomiolizės požymių ar simptomų, linezolido vartojimą reikia nutraukti ir pradėti tinkamą gydymą.</w:t>
      </w:r>
    </w:p>
    <w:p w14:paraId="30E6E022"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4314D9F" w14:textId="77777777" w:rsidR="00FB407F" w:rsidRPr="00C24DBC" w:rsidRDefault="00FB407F" w:rsidP="00FB407F">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C24DBC">
        <w:rPr>
          <w:rFonts w:ascii="Times New Roman" w:eastAsia="Times New Roman" w:hAnsi="Times New Roman" w:cs="Times New Roman"/>
          <w:i/>
          <w:snapToGrid w:val="0"/>
          <w:kern w:val="0"/>
          <w:sz w:val="22"/>
          <w:szCs w:val="22"/>
          <w:u w:val="single"/>
          <w14:ligatures w14:val="none"/>
        </w:rPr>
        <w:t>Hiponatremija ir NAHSS</w:t>
      </w:r>
    </w:p>
    <w:p w14:paraId="127B9B5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Kai kuriems pacientams, gydytiems linezolidu, pasireiškė hiponatremija ir/arba netinkamos antidiurezinio hormono sekrecijos sindromas (NAHSS). Rekomenduojama reguliariai stebėti natrio kiekį serume pacientams, kuriems gresia hiponatremijos rizika, pavyzdžiui, senyviems pacientams ar pacientams, kurie vartoja vaistinių preparatų, galinčių mažinti natrio kiekį kraujyje (pvz., tiazidinių diuretikų, tokių kaip hidrochlorotiazidas).</w:t>
      </w:r>
    </w:p>
    <w:p w14:paraId="2B04070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48E0230"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Periferinė ir regos nervo neuropatija</w:t>
      </w:r>
    </w:p>
    <w:p w14:paraId="66F6CE3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Buvo gauta pranešimų apie periferinės neuropatijos, taip pat regos nervo neuropatijos ir regos nervo neurito, kai kuriais atvejais progresuojančių iki apakimo, atvejus pacientams, gydytiems linezolidu. Tokie pranešimai visų pirma buvo pacientams, kurie buvo gydomi ilgiau nei rekomenduojamą ilgiausią 28 dienų laikotarpį.</w:t>
      </w:r>
    </w:p>
    <w:p w14:paraId="25511714" w14:textId="39DCD52B"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Visiems pacientams reikia patarti, kad praneštų apie atsiradusius regėjimo sutrikimo simptomus, pavyzdžiui, regėjimo aštrumo pokyčius, spalvų skyrimo pokyčius, matymą lyg per miglą ar regėjimo lauko defektus. Tokiais atvejais rekomenduojamas skubus ištyrimas ir oftalmologo konsultacija pagal poreikį. Jeigu pacientas </w:t>
      </w:r>
      <w:r w:rsidR="00146696" w:rsidRPr="00C24DBC">
        <w:rPr>
          <w:rFonts w:ascii="Times New Roman" w:eastAsia="Times New Roman" w:hAnsi="Times New Roman" w:cs="Times New Roman"/>
          <w:snapToGrid w:val="0"/>
          <w:kern w:val="0"/>
          <w:sz w:val="22"/>
          <w:szCs w:val="22"/>
          <w14:ligatures w14:val="none"/>
        </w:rPr>
        <w:t>Linezolid Kabi</w:t>
      </w:r>
      <w:r w:rsidRPr="00C24DBC">
        <w:rPr>
          <w:rFonts w:ascii="Times New Roman" w:eastAsia="Times New Roman" w:hAnsi="Times New Roman" w:cs="Times New Roman"/>
          <w:snapToGrid w:val="0"/>
          <w:kern w:val="0"/>
          <w:sz w:val="22"/>
          <w:szCs w:val="22"/>
          <w14:ligatures w14:val="none"/>
        </w:rPr>
        <w:t xml:space="preserve"> vartoja ilgiau, negu rekomenduojamos 28 dienos, turi būti reguliariai tikrinama jo regėjimo funkcija.</w:t>
      </w:r>
    </w:p>
    <w:p w14:paraId="32EF159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91CD61E"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Jeigu pasireiškė periferinė ar regos nervo neuropatija, turi būti apsvarstyta tolimesnio gydymo linezolidu nauda ir galima rizika.</w:t>
      </w:r>
    </w:p>
    <w:p w14:paraId="024F0B9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Neuropatijos rizika gali būti didesnė, linezolidą vartojant pacientams, kurie jau gydomi arba neseniai vartojo antimikobakterinių vaistinių preparatų tuberkuliozei gydyti.</w:t>
      </w:r>
    </w:p>
    <w:p w14:paraId="2D7BD59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2BE4E9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Traukuliai</w:t>
      </w:r>
    </w:p>
    <w:p w14:paraId="59D8BE1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Buvo gauta pranešimų apie pasireiškusius traukulius linezolidu gydomiems pacientams. Daugeliu šių atvejų buvo pranešta apie anksčiau pasireiškusius priepuolius arba rizikos veiksnius priepuoliams atsirasti. Pacientai turi būti informuoti, kad pasakytų savo gydytojui, jeigu jiems anksčiau yra buvę priepuolių.</w:t>
      </w:r>
    </w:p>
    <w:p w14:paraId="6B01085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1A8F05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Monoaminooksidazės inhibitoriai</w:t>
      </w:r>
    </w:p>
    <w:p w14:paraId="6919A04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 yra grįžtamojo poveikio, neselektyvus monoaminooksidazės inhibitorius (MAOI). Vis dėlto, jis, vartojamas dozėmis antibakteriniam gydymui, antidepresinio poveikio nesukelia. Yra tik labai riboti sąveikos tyrimų duomenys apie linezolido vartojimo saugumą pacientams, kuriems yra pagrindinė liga ir (arba) jie kartu vartoja vaistinių preparatų, kurie gali kelti riziką dėl MAO slopinimo. Todėl tokiomis aplinkybėmis vartoti linezolidą nerekomenduojama, išskyrus atvejus, kai yra įmanoma atidžiai stebėti ir tikrinti vaistinio preparato vartojantį pacientą (žr. 4.3 ir 4.5 skyrius).</w:t>
      </w:r>
    </w:p>
    <w:p w14:paraId="1727DAF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F079DD3"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Maisto, kuriame gausu tiramino, vartojimas</w:t>
      </w:r>
    </w:p>
    <w:p w14:paraId="123EAA0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Pacientai turi būti informuoti, kad vengtų valgyti maistą, kuriame gausu tiramino.</w:t>
      </w:r>
    </w:p>
    <w:p w14:paraId="090DAA7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C5205A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Superinfekcija</w:t>
      </w:r>
    </w:p>
    <w:p w14:paraId="21AFB0C3"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Linezolido poveikis normaliai florai klinikinių tyrimų metu neįvertintas.</w:t>
      </w:r>
    </w:p>
    <w:p w14:paraId="6C1CDB4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Antibiotikų vartojimas gali retkarčiais sukelti labai greitą nejautrių mikroorganizmų dauginimąsi. Pavyzdžiui, apytikriai 3 % pacientų, vartojusių rekomenduojamas linezolido dozes, klinikinių tyrimų metu pasireiškė su vaistinio preparato vartojimu susijusi kandidozė. Jeigu gydymo metu pasireiškia superinfekcija, reikia imtis atitinkamų priemonių.</w:t>
      </w:r>
    </w:p>
    <w:p w14:paraId="2A14A2E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4BA8B0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Ypatingos populiacijos</w:t>
      </w:r>
    </w:p>
    <w:p w14:paraId="33736E5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Linezolidą pacientams, kuriems yra sunkus inkstų nepakankamumas, reikia vartoti labai atsargiai ir tik jeigu manoma, jog laukiama nauda yra svarbesnė už teorinę riziką ( žr. preparato charakteristikų santraukos 4.2 ir 5.2 skyriuose).</w:t>
      </w:r>
    </w:p>
    <w:p w14:paraId="6E5CFCC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Pacientams, kuriems yra sunkus kepenų nepakankamumas, rekomenduojama linezolidą vartoti tik jeigu laukiama nauda svarbesnė už teorinę riziką.</w:t>
      </w:r>
    </w:p>
    <w:p w14:paraId="005B7F0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125ADEC" w14:textId="77777777" w:rsidR="00FB407F" w:rsidRPr="00C24DBC" w:rsidRDefault="00FB407F" w:rsidP="00FB407F">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C24DBC">
        <w:rPr>
          <w:rFonts w:ascii="Times New Roman" w:eastAsia="Times New Roman" w:hAnsi="Times New Roman" w:cs="Times New Roman"/>
          <w:i/>
          <w:snapToGrid w:val="0"/>
          <w:kern w:val="0"/>
          <w:sz w:val="22"/>
          <w:szCs w:val="22"/>
          <w:u w:val="single"/>
          <w14:ligatures w14:val="none"/>
        </w:rPr>
        <w:t>Vaisingumo sutrikimas</w:t>
      </w:r>
    </w:p>
    <w:p w14:paraId="2D8E2A4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 grįžtamai slopina vaisingumą ir sutrikdo normalią spermos morfologiją suaugusiems žiurkių patinams esant maždaug tokiai pat ekspozicijai, kuri yra tikėtina žmogaus organizme. Galimas linezolido poveikis vyrų reprodukcijos sistemai nežinomas.</w:t>
      </w:r>
    </w:p>
    <w:p w14:paraId="41F8AB1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BC8DEF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Klinikiniai tyrimai</w:t>
      </w:r>
    </w:p>
    <w:p w14:paraId="641E470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Linezolido saugumas ir veiksmingumas, skiriant vaistinį preparatą ilgiau kaip 28 dienas, nenustatytas.</w:t>
      </w:r>
    </w:p>
    <w:p w14:paraId="7897B24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6E9F4CB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Kontroliuojamuose klinikiniuose tyrimuose nedalyvavo pacientai, kuriems buvo žaizdų kojose dėl cukrinio diabeto, pragulų ar išeminių pažeidimų, sunkių nudegimų ar gangrena. Todėl linezolido vartojimo patirtis gydant šias būkles yra ribota.</w:t>
      </w:r>
    </w:p>
    <w:p w14:paraId="704F23A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717C4C4" w14:textId="77777777" w:rsidR="00FB407F" w:rsidRPr="00C24DBC" w:rsidRDefault="00FB407F" w:rsidP="00FB407F">
      <w:pPr>
        <w:widowControl w:val="0"/>
        <w:tabs>
          <w:tab w:val="left" w:pos="567"/>
        </w:tabs>
        <w:ind w:left="0" w:firstLine="0"/>
        <w:rPr>
          <w:rFonts w:ascii="Times New Roman" w:eastAsia="Calibri" w:hAnsi="Times New Roman" w:cs="Times New Roman"/>
          <w:i/>
          <w:kern w:val="0"/>
          <w:sz w:val="22"/>
          <w:szCs w:val="22"/>
          <w:u w:val="single"/>
          <w14:ligatures w14:val="none"/>
        </w:rPr>
      </w:pPr>
      <w:r w:rsidRPr="00C24DBC">
        <w:rPr>
          <w:rFonts w:ascii="Times New Roman" w:eastAsia="Calibri" w:hAnsi="Times New Roman" w:cs="Times New Roman"/>
          <w:i/>
          <w:kern w:val="0"/>
          <w:sz w:val="22"/>
          <w:szCs w:val="22"/>
          <w:u w:val="single"/>
          <w14:ligatures w14:val="none"/>
        </w:rPr>
        <w:t>Pagalbinės medžiagos</w:t>
      </w:r>
    </w:p>
    <w:p w14:paraId="55E459DC" w14:textId="77777777"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300 ml tirpalo yra 13,7 g gliukozės. Būtina atsižvelgti cukriniu diabetu sergantiems pacientams.</w:t>
      </w:r>
    </w:p>
    <w:p w14:paraId="345831C7" w14:textId="77777777" w:rsidR="00FB407F" w:rsidRPr="00C24DBC" w:rsidRDefault="00FB407F" w:rsidP="00FB407F">
      <w:pPr>
        <w:widowControl w:val="0"/>
        <w:tabs>
          <w:tab w:val="left" w:pos="567"/>
        </w:tabs>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300 ml tirpalo yra 114 mg (5 mmol) natrio, tai atitinka 5,7 % didžiausios PSO rekomenduojamos paros normos suaugusiesiems, kuri yra 2 g natrio.</w:t>
      </w:r>
    </w:p>
    <w:p w14:paraId="367A658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094C0E9"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Sąveika</w:t>
      </w:r>
    </w:p>
    <w:p w14:paraId="35B96337" w14:textId="77777777" w:rsidR="00FB407F" w:rsidRPr="00C24DBC" w:rsidRDefault="00FB407F" w:rsidP="00FB407F">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Monoaminooksidazės inhibitoriai</w:t>
      </w:r>
    </w:p>
    <w:p w14:paraId="2420142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Linezolidas yra grįžtamojo pobūdžio, neselektyvus monaminooksidazės inhibitorius (MAOI). Yra tik labai riboti sąveikos duomenys iš vaistinių preparatų sąveikos tyrimų ir apie linezolido saugumą jo vartojant pacientams, kurie kartu vartoja vaistinių preparatų, galinčių kelti riziką dėl MAO slopinimo. Todėl tokiomis aplinkybėmis linezolido vartoti nerekomenduojama, išskyrus atvejus, kai yra įmanoma atidžiai stebėti ir tikrinti vaistinio preparato vartojantį pacientą.</w:t>
      </w:r>
    </w:p>
    <w:p w14:paraId="7DB176C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C2697FF"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Galimos sąveikos, sukeliančios kraujospūdžio padidėjimą</w:t>
      </w:r>
    </w:p>
    <w:p w14:paraId="0FA1D41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Sveikiems savanoriams, kurių kraujospūdis buvo normalus, linezolidas sustiprino pseudoefedrino ir fenilpropanolamino hidrochlorido sukeltą kraujospūdžio padidėjimą. Linezolido vartojimas kartu su pseudoefedrinu ar fenilpropanolaminu žmogui sukėlė vidutinį sistolinio kraujospūdžio padidėjimą 30</w:t>
      </w:r>
      <w:r w:rsidRPr="00C24DBC">
        <w:rPr>
          <w:rFonts w:ascii="Times New Roman" w:eastAsia="Times New Roman" w:hAnsi="Times New Roman" w:cs="Times New Roman"/>
          <w:snapToGrid w:val="0"/>
          <w:kern w:val="0"/>
          <w:sz w:val="22"/>
          <w:szCs w:val="22"/>
          <w14:ligatures w14:val="none"/>
        </w:rPr>
        <w:noBreakHyphen/>
        <w:t>40 mmHg, palyginti su 11</w:t>
      </w:r>
      <w:r w:rsidRPr="00C24DBC">
        <w:rPr>
          <w:rFonts w:ascii="Times New Roman" w:eastAsia="Times New Roman" w:hAnsi="Times New Roman" w:cs="Times New Roman"/>
          <w:snapToGrid w:val="0"/>
          <w:kern w:val="0"/>
          <w:sz w:val="22"/>
          <w:szCs w:val="22"/>
          <w14:ligatures w14:val="none"/>
        </w:rPr>
        <w:noBreakHyphen/>
        <w:t>15 mmHg padidėjimu, kurį sukėlė vien linezolido vartojimas, 14</w:t>
      </w:r>
      <w:r w:rsidRPr="00C24DBC">
        <w:rPr>
          <w:rFonts w:ascii="Times New Roman" w:eastAsia="Times New Roman" w:hAnsi="Times New Roman" w:cs="Times New Roman"/>
          <w:snapToGrid w:val="0"/>
          <w:kern w:val="0"/>
          <w:sz w:val="22"/>
          <w:szCs w:val="22"/>
          <w14:ligatures w14:val="none"/>
        </w:rPr>
        <w:noBreakHyphen/>
        <w:t>18 mmHg padidėjimu, kurį sukėlė vien pseudoefedrino ar vien fenilpropanolamino vartojimas, ir 8</w:t>
      </w:r>
      <w:r w:rsidRPr="00C24DBC">
        <w:rPr>
          <w:rFonts w:ascii="Times New Roman" w:eastAsia="Times New Roman" w:hAnsi="Times New Roman" w:cs="Times New Roman"/>
          <w:snapToGrid w:val="0"/>
          <w:kern w:val="0"/>
          <w:sz w:val="22"/>
          <w:szCs w:val="22"/>
          <w14:ligatures w14:val="none"/>
        </w:rPr>
        <w:noBreakHyphen/>
        <w:t>11 mmHg padidėjimu, kurį sukėlė placebo vartojimas. Panašūs tyrimai su hipertenzija sergančiais pacientais neatlikti. Rekomenduojama atidžiai titruoti kraujagysles sutraukiančių vaistinių preparatų, įskaitant dopaminerginius, dozę, norint sukelti pageidaujamą reakciją, jeigu jų vartojama kartu su linezolidu.</w:t>
      </w:r>
    </w:p>
    <w:p w14:paraId="4E52A15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30473C6"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Galimos serotoninerginės sąveikos</w:t>
      </w:r>
    </w:p>
    <w:p w14:paraId="6CDA65B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Tyrimuose, kuriuose dalyvavo sveiki savanoriai, buvo tirta galima sąveika su dekstrometorfanu. Tiriamieji vartojo dekstrometorfano (dvi 20 mg dozės išgertos su 4 valandų pertrauka) kartu su linezolidu arba be jo. Sveikiems tiriamiesiems, vartojusiems linezolido kartu su dekstrometorfanu, serotonino sindromas (sumišimas, kliedesys, neramumas, tremoras, paraudimas, prakaitavimas, karščiavimas) nepasireiškė.</w:t>
      </w:r>
    </w:p>
    <w:p w14:paraId="117D282D"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097B023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Po vaistinio preparato patekimo į rinką buvo gautas vienas pranešimas apie poveikį, panašų į serotonino sindromą, pasireiškusį linezolido kartu su dekstrometorfanu vartojusiam pacientui, kuris išnyko, nutraukus abiejų vaistinių preparatų vartojimą.</w:t>
      </w:r>
    </w:p>
    <w:p w14:paraId="4F10D6D7"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40ECE4C"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Klinikinio vartojimo metu gauta pranešimų apie serotonino sindromo atvejus vartojant linezolido kartu su serotoninerginėmis medžiagomis, įskaitant antidepresantus, tokius, kaip selektyvūs serotonino reabsorbcijos inhibitoriai (SSRI) ir opioidai. Taigi, nors vartojimas kartu yra draudžiamas ( žr. preparato charakteristikų santraukos 4.3 skyriuje), kaip prižiūrėti pacientus, kuriems gydymas linezolidu ir serotoninergine medžiaga yra būtinas, aprašyta skyriuje „Specialūs įspėjimai ir atsargumo priemonės“.</w:t>
      </w:r>
    </w:p>
    <w:p w14:paraId="570D0B6E"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A7C624A" w14:textId="77777777" w:rsidR="00FB407F" w:rsidRPr="00C24DBC" w:rsidRDefault="00FB407F" w:rsidP="00FB407F">
      <w:pPr>
        <w:widowControl w:val="0"/>
        <w:tabs>
          <w:tab w:val="left" w:pos="567"/>
        </w:tabs>
        <w:ind w:left="0" w:firstLine="0"/>
        <w:rPr>
          <w:rFonts w:ascii="Times New Roman" w:eastAsia="Times New Roman" w:hAnsi="Times New Roman" w:cs="Times New Roman"/>
          <w:i/>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Vartojimas kartu su maistu, kuriame gausu tiramino</w:t>
      </w:r>
    </w:p>
    <w:p w14:paraId="00D376D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Reikšmingo poveikio tiriamųjų, kurie linezolido vartojo kartu su mažiau kaip 100 mg tiramino, </w:t>
      </w:r>
      <w:r w:rsidRPr="00C24DBC">
        <w:rPr>
          <w:rFonts w:ascii="Times New Roman" w:eastAsia="Times New Roman" w:hAnsi="Times New Roman" w:cs="Times New Roman"/>
          <w:snapToGrid w:val="0"/>
          <w:kern w:val="0"/>
          <w:sz w:val="22"/>
          <w:szCs w:val="22"/>
          <w14:ligatures w14:val="none"/>
        </w:rPr>
        <w:lastRenderedPageBreak/>
        <w:t>kraujospūdžiui nepastebėta. Tai rodo, kad tik reikia vengti vartoti didelį kiekį maisto ir gėrimų, kuriuose yra daug tiramino (pvz., brandinto sūrio, mielių ekstraktų, nedistiliuotų alkoholinių gėrimų ir fermentuotų sojos pupelių produktų, tokių, kaip sojų padažas).</w:t>
      </w:r>
    </w:p>
    <w:p w14:paraId="4B83EF2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F7A701B"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Citochromo P450 metabolizuojami vaistiniai preparatai</w:t>
      </w:r>
    </w:p>
    <w:p w14:paraId="372B7EF2"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Nenustatyta, kad linezolidą metabolizuotų citochromo P450 (CYP) fermentų sistema, ir jis kliniškai reikšmingai neslopina žmogaus CYP izofermentų (1A2, 2C9, 2C19, 2D6, 2E1, 3A4). Taip pat linezolidas neindukuoja P450 izofermentų žiurkėms. Vadinasi, linezolido sąveika su CYP450 indukuojančias vaistiniais preparatais nėra tikėtina.</w:t>
      </w:r>
    </w:p>
    <w:p w14:paraId="1AB1DA2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340B4557"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Rifampicinas</w:t>
      </w:r>
    </w:p>
    <w:p w14:paraId="2F6FEA68"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Rifampicino poveikio linezolido farmakokinetikai tyrimo metu šešiolika sveikų suaugusių savanorių vyrų 2,5 dienos 2 kartus per parą vartojo po 600 mg linezolido kartu su 8 dienas vieną kartą per parą vartojama 600 mg rifampicino doze arba be jos. Rifampicinas sumažino linezolido C</w:t>
      </w:r>
      <w:r w:rsidRPr="00C24DBC">
        <w:rPr>
          <w:rFonts w:ascii="Times New Roman" w:eastAsia="Times New Roman" w:hAnsi="Times New Roman" w:cs="Times New Roman"/>
          <w:snapToGrid w:val="0"/>
          <w:kern w:val="0"/>
          <w:sz w:val="22"/>
          <w:szCs w:val="22"/>
          <w:vertAlign w:val="subscript"/>
          <w14:ligatures w14:val="none"/>
        </w:rPr>
        <w:t>max</w:t>
      </w:r>
      <w:r w:rsidRPr="00C24DBC">
        <w:rPr>
          <w:rFonts w:ascii="Times New Roman" w:eastAsia="Times New Roman" w:hAnsi="Times New Roman" w:cs="Times New Roman"/>
          <w:snapToGrid w:val="0"/>
          <w:kern w:val="0"/>
          <w:sz w:val="22"/>
          <w:szCs w:val="22"/>
          <w14:ligatures w14:val="none"/>
        </w:rPr>
        <w:t xml:space="preserve"> ir AUC atitinkamai vidutiniškai 21 % (90 % PI, 15, 27) ir vidutiniškai 32 % (90% PI, 27, 37). Šios sąveikos mechanizmas ir jos klinikinė reikšmė nežinomi.</w:t>
      </w:r>
    </w:p>
    <w:p w14:paraId="73805C6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E663709" w14:textId="77777777" w:rsidR="00FB407F" w:rsidRPr="00C24DBC" w:rsidRDefault="00FB407F" w:rsidP="00FB407F">
      <w:pPr>
        <w:widowControl w:val="0"/>
        <w:tabs>
          <w:tab w:val="left" w:pos="567"/>
        </w:tabs>
        <w:ind w:left="0" w:firstLine="0"/>
        <w:rPr>
          <w:rFonts w:ascii="Times New Roman" w:eastAsia="Times New Roman" w:hAnsi="Times New Roman" w:cs="Times New Roman"/>
          <w:i/>
          <w:iCs/>
          <w:snapToGrid w:val="0"/>
          <w:kern w:val="0"/>
          <w:sz w:val="22"/>
          <w:szCs w:val="22"/>
          <w:u w:val="single"/>
          <w14:ligatures w14:val="none"/>
        </w:rPr>
      </w:pPr>
      <w:r w:rsidRPr="00C24DBC">
        <w:rPr>
          <w:rFonts w:ascii="Times New Roman" w:eastAsia="Times New Roman" w:hAnsi="Times New Roman" w:cs="Times New Roman"/>
          <w:i/>
          <w:iCs/>
          <w:snapToGrid w:val="0"/>
          <w:kern w:val="0"/>
          <w:sz w:val="22"/>
          <w:szCs w:val="22"/>
          <w:u w:val="single"/>
          <w14:ligatures w14:val="none"/>
        </w:rPr>
        <w:t>Varfarinas</w:t>
      </w:r>
    </w:p>
    <w:p w14:paraId="525A16B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xml:space="preserve">Linezolido pusiausvyros apykaitos sąlygomis pradėjus kartu vartoti varfarino, nustatytas 10 % mažesnis vidutinis didžiausias tarptautinis normalizuotas santykis (TNS) ir 5 % mažesnis </w:t>
      </w:r>
      <w:r w:rsidRPr="00C24DBC">
        <w:rPr>
          <w:rFonts w:ascii="Times New Roman" w:eastAsia="Times New Roman" w:hAnsi="Times New Roman" w:cs="Times New Roman"/>
          <w:iCs/>
          <w:snapToGrid w:val="0"/>
          <w:kern w:val="0"/>
          <w:sz w:val="22"/>
          <w:szCs w:val="22"/>
          <w14:ligatures w14:val="none"/>
        </w:rPr>
        <w:t>TNS</w:t>
      </w:r>
      <w:r w:rsidRPr="00C24DBC">
        <w:rPr>
          <w:rFonts w:ascii="Times New Roman" w:eastAsia="Times New Roman" w:hAnsi="Times New Roman" w:cs="Times New Roman"/>
          <w:snapToGrid w:val="0"/>
          <w:kern w:val="0"/>
          <w:sz w:val="22"/>
          <w:szCs w:val="22"/>
          <w14:ligatures w14:val="none"/>
        </w:rPr>
        <w:t xml:space="preserve"> AUC. Nepakanka duomenų apie pacientus, kurie kartu vartojo linezolido ir varfarino, kad būtų galima nustatyti šio reiškinio klinikinę reikšmę, jeigu tokia yra.</w:t>
      </w:r>
    </w:p>
    <w:p w14:paraId="6526E231"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1FC05EF9"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Vaisingumas, nėštumo ir žindymo laikotarpis</w:t>
      </w:r>
    </w:p>
    <w:p w14:paraId="320842E3"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Nėštumas</w:t>
      </w:r>
    </w:p>
    <w:p w14:paraId="01FABC6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Duomenų apie nėščių moterų gydymą linezolidu yra ribotas kiekis. Su gyvūnais atlikti tyrimai parodė toksinį poveikį reprodukcijai. Egzistuoja potenciali rizika žmogui.</w:t>
      </w:r>
    </w:p>
    <w:p w14:paraId="0B1BAA1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3F5A18CB"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Linezolido nėštumo metu vartoti negalima, išskyrus neabejotinai būtinu atveju, t. y. tik jeigu galima nauda svarbesnė už teorinę riziką.</w:t>
      </w:r>
    </w:p>
    <w:p w14:paraId="7E75F0A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0D9F6F66"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Žindymas</w:t>
      </w:r>
    </w:p>
    <w:p w14:paraId="38815F6A"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Tyrimų su gyvūnais duomenys rodo, kad linezolido ir jo metabolitų gali patekti į motinos pieną ir todėl prieš pradedant vartoti linezolidą žindymą reikia nutraukti ir gydymo juo metu nežindyti.</w:t>
      </w:r>
    </w:p>
    <w:p w14:paraId="56364AA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p>
    <w:p w14:paraId="7BDB1779"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color w:val="0D0D0D"/>
          <w:kern w:val="0"/>
          <w:sz w:val="22"/>
          <w:szCs w:val="22"/>
          <w14:ligatures w14:val="none"/>
        </w:rPr>
      </w:pPr>
      <w:r w:rsidRPr="00C24DBC">
        <w:rPr>
          <w:rFonts w:ascii="Times New Roman" w:eastAsia="Times New Roman" w:hAnsi="Times New Roman" w:cs="Times New Roman"/>
          <w:snapToGrid w:val="0"/>
          <w:color w:val="0D0D0D"/>
          <w:kern w:val="0"/>
          <w:sz w:val="22"/>
          <w:szCs w:val="22"/>
          <w14:ligatures w14:val="none"/>
        </w:rPr>
        <w:t>Vaisingumas</w:t>
      </w:r>
    </w:p>
    <w:p w14:paraId="1F20743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Tyrimų su gyvūnais metu linezolidas sumažino vaisingumą.</w:t>
      </w:r>
    </w:p>
    <w:p w14:paraId="3B184EF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2E99DE14"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Poveikis gebėjimui vairuoti ir valdyti mechanizmus</w:t>
      </w:r>
    </w:p>
    <w:p w14:paraId="5FE96D45"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Pacientus reikia įspėti, kad vartojant linezolidą, gali pasireikšti svaigulys arba regos sutrikimo simptomai, ir patarti nevairuoti ar nevaldyti mechanizmų, jeigu atsiranda bet kuris iš šių simptomų.</w:t>
      </w:r>
    </w:p>
    <w:p w14:paraId="1911DF43"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DAED618" w14:textId="77777777" w:rsidR="00FB407F" w:rsidRPr="00C24DBC" w:rsidRDefault="00FB407F" w:rsidP="00FB407F">
      <w:pPr>
        <w:widowControl w:val="0"/>
        <w:tabs>
          <w:tab w:val="left" w:pos="567"/>
        </w:tabs>
        <w:ind w:left="0" w:firstLine="0"/>
        <w:outlineLvl w:val="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Nepageidaujamas poveikis</w:t>
      </w:r>
    </w:p>
    <w:p w14:paraId="17583ED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Toliau esančioje lentelėje pateiktos nepageidaujamos reakcijos į vaistinį preparatą, kurių pasireiškimo dažnis pagrįstas visų klinikinių tyrimų, kuriuose dalyvavo daugiau kaip 6000 suaugusių pacientų, vartojusių rekomenduojamas linezolido dozes ne ilgiau kaip 28 dienas, duomenimis.</w:t>
      </w:r>
    </w:p>
    <w:p w14:paraId="2F70B6EC" w14:textId="133886D2"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Dažniausiai pasireiškęs nepageidaujamas poveikis buvo viduriavimas (8,9 %), pykinimas (6,9 %), vėmimas (4,3 %) ir</w:t>
      </w:r>
      <w:r w:rsidR="00C24DBC">
        <w:rPr>
          <w:rFonts w:ascii="Times New Roman" w:eastAsia="Times New Roman" w:hAnsi="Times New Roman" w:cs="Times New Roman"/>
          <w:snapToGrid w:val="0"/>
          <w:kern w:val="0"/>
          <w:sz w:val="22"/>
          <w:szCs w:val="22"/>
          <w14:ligatures w14:val="none"/>
        </w:rPr>
        <w:t xml:space="preserve"> </w:t>
      </w:r>
      <w:r w:rsidRPr="00C24DBC">
        <w:rPr>
          <w:rFonts w:ascii="Times New Roman" w:eastAsia="Times New Roman" w:hAnsi="Times New Roman" w:cs="Times New Roman"/>
          <w:snapToGrid w:val="0"/>
          <w:kern w:val="0"/>
          <w:sz w:val="22"/>
          <w:szCs w:val="22"/>
          <w14:ligatures w14:val="none"/>
        </w:rPr>
        <w:t>galvos skausmas (4,2 %).</w:t>
      </w:r>
    </w:p>
    <w:p w14:paraId="12264145"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60A2BD1F"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Dažniausiai pasireiškusios nepageidaujamos reakcijos į vaistinį preparatą, dėl kurių pacientai nutraukė gydymą, buvo galvos skausmas, viduriavimas, pykinimas ir vėmimas. Maždaug 3 % pacientų nutraukė gydymą dėl su vaistinio preparato vartojimu susijusių nepageidaujamų reiškinių.</w:t>
      </w:r>
    </w:p>
    <w:p w14:paraId="5E3E2BEC" w14:textId="77777777" w:rsidR="00FB407F" w:rsidRPr="00C24DBC" w:rsidRDefault="00FB407F" w:rsidP="00FB407F">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p>
    <w:p w14:paraId="1227D886"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Papildomos nepageidaujamos reakcijos, kurios pasireiškė po vaistinio preparato patekimo į rinką, įrašytos į lentelę nurodant, kad jų dažnis yra nežinomas, kadangi tikslaus dažnio nebuvo galima apskaičiuoti remiantis turimais duomenimis.</w:t>
      </w:r>
    </w:p>
    <w:p w14:paraId="1DAA53B7"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2A5A4E73"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lastRenderedPageBreak/>
        <w:t>Vartojant linezolidą, pasireiškė ir buvo pranešta apie toliau išvardytą nepageidaujamą poveikį. Nepageidaujamo poveikio dažnis apibūdinamas taip: labai dažnas (≥ 1/10); dažnas (nuo ≥ 1/100 iki &lt; 1/10); nedažnas (nuo ≥ 1/1000 iki &lt; 1/100); retas (nuo ≥ 1/10000 iki &lt; 1/1000); labai retas (&lt; 1/10000); nežinomas (negali būti apskaičiuotas pagal turimus duomenis).</w:t>
      </w:r>
    </w:p>
    <w:p w14:paraId="658069BE" w14:textId="77777777" w:rsidR="00FB407F" w:rsidRPr="00C24DBC" w:rsidRDefault="00FB407F" w:rsidP="00FB407F">
      <w:pPr>
        <w:widowControl w:val="0"/>
        <w:tabs>
          <w:tab w:val="left" w:pos="567"/>
        </w:tabs>
        <w:ind w:left="0" w:firstLine="0"/>
        <w:jc w:val="both"/>
        <w:rPr>
          <w:rFonts w:ascii="Times New Roman" w:eastAsia="Times New Roman" w:hAnsi="Times New Roman" w:cs="Times New Roman"/>
          <w:snapToGrid w:val="0"/>
          <w:kern w:val="0"/>
          <w:sz w:val="22"/>
          <w:szCs w:val="22"/>
          <w14:ligatures w14:val="none"/>
        </w:rPr>
      </w:pPr>
    </w:p>
    <w:tbl>
      <w:tblPr>
        <w:tblpPr w:leftFromText="180" w:rightFromText="180" w:vertAnchor="text"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842"/>
        <w:gridCol w:w="1985"/>
        <w:gridCol w:w="1984"/>
        <w:gridCol w:w="1560"/>
      </w:tblGrid>
      <w:tr w:rsidR="00FB407F" w:rsidRPr="00C24DBC" w14:paraId="2EB0D5FD" w14:textId="77777777" w:rsidTr="00B824B8">
        <w:trPr>
          <w:tblHeader/>
        </w:trPr>
        <w:tc>
          <w:tcPr>
            <w:tcW w:w="1668" w:type="dxa"/>
          </w:tcPr>
          <w:p w14:paraId="0A65814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Organų sistemų klasės</w:t>
            </w:r>
          </w:p>
        </w:tc>
        <w:tc>
          <w:tcPr>
            <w:tcW w:w="1842" w:type="dxa"/>
          </w:tcPr>
          <w:p w14:paraId="731E5AA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Dažnas</w:t>
            </w:r>
          </w:p>
          <w:p w14:paraId="6E88F09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 xml:space="preserve">(nuo ≥ 1/100 iki &lt; 1/10) </w:t>
            </w:r>
          </w:p>
        </w:tc>
        <w:tc>
          <w:tcPr>
            <w:tcW w:w="1985" w:type="dxa"/>
          </w:tcPr>
          <w:p w14:paraId="1683B48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Nedažnas</w:t>
            </w:r>
          </w:p>
          <w:p w14:paraId="55B1F590"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(nuo ≥ 1/1 000 iki</w:t>
            </w:r>
          </w:p>
          <w:p w14:paraId="2726709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&lt; 1/100)</w:t>
            </w:r>
          </w:p>
          <w:p w14:paraId="08B99A6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5364796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Retas</w:t>
            </w:r>
          </w:p>
          <w:p w14:paraId="5092D33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(nuo ≥ 1/10 000 iki &lt; 1/1 000)</w:t>
            </w:r>
          </w:p>
          <w:p w14:paraId="2BBDBA8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28AA7756"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lang w:eastAsia="en-GB"/>
                <w14:ligatures w14:val="none"/>
              </w:rPr>
              <w:t xml:space="preserve">Dažnis </w:t>
            </w:r>
            <w:r w:rsidRPr="00C24DBC">
              <w:rPr>
                <w:rFonts w:ascii="Times New Roman" w:eastAsia="Times New Roman" w:hAnsi="Times New Roman" w:cs="Times New Roman"/>
                <w:b/>
                <w:snapToGrid w:val="0"/>
                <w:color w:val="000000"/>
                <w:kern w:val="0"/>
                <w:sz w:val="22"/>
                <w:szCs w:val="22"/>
                <w14:ligatures w14:val="none"/>
              </w:rPr>
              <w:t>nežinomas (negali būti apskaičiuotas pagal turimus duomenis)</w:t>
            </w:r>
          </w:p>
        </w:tc>
      </w:tr>
      <w:tr w:rsidR="00FB407F" w:rsidRPr="00C24DBC" w14:paraId="61B3CC04" w14:textId="77777777" w:rsidTr="00B824B8">
        <w:tc>
          <w:tcPr>
            <w:tcW w:w="1668" w:type="dxa"/>
          </w:tcPr>
          <w:p w14:paraId="510E2A25"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Infekcijos ir infestacijos</w:t>
            </w:r>
          </w:p>
        </w:tc>
        <w:tc>
          <w:tcPr>
            <w:tcW w:w="1842" w:type="dxa"/>
          </w:tcPr>
          <w:p w14:paraId="2773A21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kandidozė, burnos kandidozė, makšties kandidozė grybelių sukeltos infekcijos</w:t>
            </w:r>
          </w:p>
        </w:tc>
        <w:tc>
          <w:tcPr>
            <w:tcW w:w="1985" w:type="dxa"/>
          </w:tcPr>
          <w:p w14:paraId="1A1EEFC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su antibiotikų vartojimu susijęs kolitas, įskaitant pseudomembraninį kolitą*, vaginitas</w:t>
            </w:r>
          </w:p>
        </w:tc>
        <w:tc>
          <w:tcPr>
            <w:tcW w:w="1984" w:type="dxa"/>
          </w:tcPr>
          <w:p w14:paraId="2FE081F3"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52E6220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0CC541F3" w14:textId="77777777" w:rsidTr="00B824B8">
        <w:tc>
          <w:tcPr>
            <w:tcW w:w="1668" w:type="dxa"/>
          </w:tcPr>
          <w:p w14:paraId="49A6AA1E"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Kraujo ir limfinės sistemos sutrikimai</w:t>
            </w:r>
          </w:p>
        </w:tc>
        <w:tc>
          <w:tcPr>
            <w:tcW w:w="1842" w:type="dxa"/>
          </w:tcPr>
          <w:p w14:paraId="19D9139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trombocitopenija*anemija*</w:t>
            </w:r>
            <w:r w:rsidRPr="00C24DBC">
              <w:rPr>
                <w:rFonts w:ascii="Times New Roman" w:eastAsia="Times New Roman" w:hAnsi="Times New Roman" w:cs="Times New Roman"/>
                <w:snapToGrid w:val="0"/>
                <w:color w:val="000000"/>
                <w:kern w:val="0"/>
                <w:sz w:val="22"/>
                <w:szCs w:val="22"/>
                <w:vertAlign w:val="superscript"/>
                <w14:ligatures w14:val="none"/>
              </w:rPr>
              <w:t>†</w:t>
            </w:r>
          </w:p>
        </w:tc>
        <w:tc>
          <w:tcPr>
            <w:tcW w:w="1985" w:type="dxa"/>
          </w:tcPr>
          <w:p w14:paraId="37D2829E"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pancitopenija*, leukopenija*, neutropenija, eozinofilija</w:t>
            </w:r>
          </w:p>
        </w:tc>
        <w:tc>
          <w:tcPr>
            <w:tcW w:w="1984" w:type="dxa"/>
          </w:tcPr>
          <w:p w14:paraId="21E9C8A8"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 xml:space="preserve"> sideroblastinė anemija*</w:t>
            </w:r>
          </w:p>
        </w:tc>
        <w:tc>
          <w:tcPr>
            <w:tcW w:w="1560" w:type="dxa"/>
          </w:tcPr>
          <w:p w14:paraId="20C3A608"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kaulų čiulpų slopinimas*</w:t>
            </w:r>
          </w:p>
        </w:tc>
      </w:tr>
      <w:tr w:rsidR="00FB407F" w:rsidRPr="00C24DBC" w14:paraId="68810BAA" w14:textId="77777777" w:rsidTr="00B824B8">
        <w:tc>
          <w:tcPr>
            <w:tcW w:w="1668" w:type="dxa"/>
          </w:tcPr>
          <w:p w14:paraId="067FADD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Imuninės sistemos sutrikimai</w:t>
            </w:r>
          </w:p>
        </w:tc>
        <w:tc>
          <w:tcPr>
            <w:tcW w:w="1842" w:type="dxa"/>
          </w:tcPr>
          <w:p w14:paraId="6B3DE60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0AE863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025FC693"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anafilaksija</w:t>
            </w:r>
          </w:p>
        </w:tc>
        <w:tc>
          <w:tcPr>
            <w:tcW w:w="1560" w:type="dxa"/>
          </w:tcPr>
          <w:p w14:paraId="2F5199A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357493C0" w14:textId="77777777" w:rsidTr="00B824B8">
        <w:tc>
          <w:tcPr>
            <w:tcW w:w="1668" w:type="dxa"/>
          </w:tcPr>
          <w:p w14:paraId="39A961B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Metabolizmo ir mitybos sutrikimai</w:t>
            </w:r>
          </w:p>
        </w:tc>
        <w:tc>
          <w:tcPr>
            <w:tcW w:w="1842" w:type="dxa"/>
          </w:tcPr>
          <w:p w14:paraId="32172F22"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3E77E9E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hiponatremija</w:t>
            </w:r>
          </w:p>
        </w:tc>
        <w:tc>
          <w:tcPr>
            <w:tcW w:w="1984" w:type="dxa"/>
          </w:tcPr>
          <w:p w14:paraId="1955A98D"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pieno rūgšties acidozė*</w:t>
            </w:r>
          </w:p>
        </w:tc>
        <w:tc>
          <w:tcPr>
            <w:tcW w:w="1560" w:type="dxa"/>
          </w:tcPr>
          <w:p w14:paraId="06563D26"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7C22388D" w14:textId="77777777" w:rsidTr="00B824B8">
        <w:tc>
          <w:tcPr>
            <w:tcW w:w="1668" w:type="dxa"/>
          </w:tcPr>
          <w:p w14:paraId="5455086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Psichikos sutrikimai</w:t>
            </w:r>
          </w:p>
        </w:tc>
        <w:tc>
          <w:tcPr>
            <w:tcW w:w="1842" w:type="dxa"/>
          </w:tcPr>
          <w:p w14:paraId="5D2F9D6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nemiga</w:t>
            </w:r>
          </w:p>
        </w:tc>
        <w:tc>
          <w:tcPr>
            <w:tcW w:w="1985" w:type="dxa"/>
          </w:tcPr>
          <w:p w14:paraId="06B721D0"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3A98D96B"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14D9A1D6"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5C782E05" w14:textId="77777777" w:rsidTr="00B824B8">
        <w:tc>
          <w:tcPr>
            <w:tcW w:w="1668" w:type="dxa"/>
          </w:tcPr>
          <w:p w14:paraId="47E060B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Nervų sistemos sutrikimai</w:t>
            </w:r>
          </w:p>
        </w:tc>
        <w:tc>
          <w:tcPr>
            <w:tcW w:w="1842" w:type="dxa"/>
          </w:tcPr>
          <w:p w14:paraId="05EA8707"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galvos skausmas, skonio pojūčio pokyčiai (metalo skonis burnoje),</w:t>
            </w:r>
          </w:p>
          <w:p w14:paraId="114ABC6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svaigulys</w:t>
            </w:r>
          </w:p>
        </w:tc>
        <w:tc>
          <w:tcPr>
            <w:tcW w:w="1985" w:type="dxa"/>
          </w:tcPr>
          <w:p w14:paraId="7B2AC9B4"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traukuliai*,</w:t>
            </w:r>
          </w:p>
          <w:p w14:paraId="3388FC1F"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periferinė</w:t>
            </w:r>
          </w:p>
          <w:p w14:paraId="293D034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neuropatija*, hipoestezija, parestezija</w:t>
            </w:r>
          </w:p>
        </w:tc>
        <w:tc>
          <w:tcPr>
            <w:tcW w:w="1984" w:type="dxa"/>
          </w:tcPr>
          <w:p w14:paraId="24B4C392"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45BF71A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serotonino sindromas**</w:t>
            </w:r>
          </w:p>
        </w:tc>
      </w:tr>
      <w:tr w:rsidR="00FB407F" w:rsidRPr="00C24DBC" w14:paraId="15D71EEE" w14:textId="77777777" w:rsidTr="00B824B8">
        <w:tc>
          <w:tcPr>
            <w:tcW w:w="1668" w:type="dxa"/>
          </w:tcPr>
          <w:p w14:paraId="098A568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Akių sutrikimai</w:t>
            </w:r>
          </w:p>
        </w:tc>
        <w:tc>
          <w:tcPr>
            <w:tcW w:w="1842" w:type="dxa"/>
          </w:tcPr>
          <w:p w14:paraId="1B2725C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7E22DB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regos nervo neuropatija*, sumažėjęs vaizdo ryškumas*</w:t>
            </w:r>
          </w:p>
        </w:tc>
        <w:tc>
          <w:tcPr>
            <w:tcW w:w="1984" w:type="dxa"/>
          </w:tcPr>
          <w:p w14:paraId="4B00DC89"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regėjimo lauko defektas*</w:t>
            </w:r>
          </w:p>
        </w:tc>
        <w:tc>
          <w:tcPr>
            <w:tcW w:w="1560" w:type="dxa"/>
          </w:tcPr>
          <w:p w14:paraId="7B1954C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regos nervo neuritas*, apakimas*, regėjimo aštrumo pokyčiai*, spalvų regėjimo pokyčiai*</w:t>
            </w:r>
          </w:p>
        </w:tc>
      </w:tr>
      <w:tr w:rsidR="00FB407F" w:rsidRPr="00C24DBC" w14:paraId="493CAE1D" w14:textId="77777777" w:rsidTr="00B824B8">
        <w:tc>
          <w:tcPr>
            <w:tcW w:w="1668" w:type="dxa"/>
          </w:tcPr>
          <w:p w14:paraId="78CA5E02"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Ausų ir labirintų sutrikimai</w:t>
            </w:r>
          </w:p>
        </w:tc>
        <w:tc>
          <w:tcPr>
            <w:tcW w:w="1842" w:type="dxa"/>
          </w:tcPr>
          <w:p w14:paraId="068572D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894066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ūžesys (</w:t>
            </w:r>
            <w:r w:rsidRPr="00C24DBC">
              <w:rPr>
                <w:rFonts w:ascii="Times New Roman" w:eastAsia="Times New Roman" w:hAnsi="Times New Roman" w:cs="Times New Roman"/>
                <w:i/>
                <w:snapToGrid w:val="0"/>
                <w:color w:val="000000"/>
                <w:kern w:val="0"/>
                <w:sz w:val="22"/>
                <w:szCs w:val="22"/>
                <w14:ligatures w14:val="none"/>
              </w:rPr>
              <w:t>tinnitus</w:t>
            </w:r>
            <w:r w:rsidRPr="00C24DBC">
              <w:rPr>
                <w:rFonts w:ascii="Times New Roman" w:eastAsia="Times New Roman" w:hAnsi="Times New Roman" w:cs="Times New Roman"/>
                <w:snapToGrid w:val="0"/>
                <w:color w:val="000000"/>
                <w:kern w:val="0"/>
                <w:sz w:val="22"/>
                <w:szCs w:val="22"/>
                <w14:ligatures w14:val="none"/>
              </w:rPr>
              <w:t>)</w:t>
            </w:r>
          </w:p>
        </w:tc>
        <w:tc>
          <w:tcPr>
            <w:tcW w:w="1984" w:type="dxa"/>
          </w:tcPr>
          <w:p w14:paraId="71C6D597"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560" w:type="dxa"/>
          </w:tcPr>
          <w:p w14:paraId="73FCEDD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78C69B88" w14:textId="77777777" w:rsidTr="00B824B8">
        <w:tc>
          <w:tcPr>
            <w:tcW w:w="1668" w:type="dxa"/>
          </w:tcPr>
          <w:p w14:paraId="37F06F1E"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Širdies sutrikimai</w:t>
            </w:r>
          </w:p>
        </w:tc>
        <w:tc>
          <w:tcPr>
            <w:tcW w:w="1842" w:type="dxa"/>
          </w:tcPr>
          <w:p w14:paraId="1DE3B0E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3069A6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aritmija (tachikardija)</w:t>
            </w:r>
          </w:p>
        </w:tc>
        <w:tc>
          <w:tcPr>
            <w:tcW w:w="1984" w:type="dxa"/>
          </w:tcPr>
          <w:p w14:paraId="6F5E77B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1623DC4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60EE884E" w14:textId="77777777" w:rsidTr="00B824B8">
        <w:tc>
          <w:tcPr>
            <w:tcW w:w="1668" w:type="dxa"/>
          </w:tcPr>
          <w:p w14:paraId="7649A76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Kraujagyslių sutrikimai</w:t>
            </w:r>
          </w:p>
        </w:tc>
        <w:tc>
          <w:tcPr>
            <w:tcW w:w="1842" w:type="dxa"/>
          </w:tcPr>
          <w:p w14:paraId="02A7924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hipertenzija</w:t>
            </w:r>
          </w:p>
        </w:tc>
        <w:tc>
          <w:tcPr>
            <w:tcW w:w="1985" w:type="dxa"/>
          </w:tcPr>
          <w:p w14:paraId="71A282E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praeinantieji smegenų išemijos priepuoliai, venų uždegimas, tromboflebitas</w:t>
            </w:r>
          </w:p>
        </w:tc>
        <w:tc>
          <w:tcPr>
            <w:tcW w:w="1984" w:type="dxa"/>
          </w:tcPr>
          <w:p w14:paraId="0283E595"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190B48A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109070F2" w14:textId="77777777" w:rsidTr="00B824B8">
        <w:tc>
          <w:tcPr>
            <w:tcW w:w="1668" w:type="dxa"/>
          </w:tcPr>
          <w:p w14:paraId="39F0092E"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Virškinimo trakto sutrikimai</w:t>
            </w:r>
          </w:p>
        </w:tc>
        <w:tc>
          <w:tcPr>
            <w:tcW w:w="1842" w:type="dxa"/>
          </w:tcPr>
          <w:p w14:paraId="489CF25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 xml:space="preserve">viduriavimas, pykinimas, vėmimas, lokalus ar išplitęs pilvo </w:t>
            </w:r>
            <w:r w:rsidRPr="00C24DBC">
              <w:rPr>
                <w:rFonts w:ascii="Times New Roman" w:eastAsia="Times New Roman" w:hAnsi="Times New Roman" w:cs="Times New Roman"/>
                <w:snapToGrid w:val="0"/>
                <w:color w:val="000000"/>
                <w:kern w:val="0"/>
                <w:sz w:val="22"/>
                <w:szCs w:val="22"/>
                <w14:ligatures w14:val="none"/>
              </w:rPr>
              <w:lastRenderedPageBreak/>
              <w:t>skausmas, vidurių užkietėjimas, dispepsija</w:t>
            </w:r>
          </w:p>
        </w:tc>
        <w:tc>
          <w:tcPr>
            <w:tcW w:w="1985" w:type="dxa"/>
          </w:tcPr>
          <w:p w14:paraId="4808E7A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lastRenderedPageBreak/>
              <w:t xml:space="preserve">pankreatitas, gastritas, pilvo išpūtimas, burnos sausmė, glositas, </w:t>
            </w:r>
            <w:r w:rsidRPr="00C24DBC">
              <w:rPr>
                <w:rFonts w:ascii="Times New Roman" w:eastAsia="Times New Roman" w:hAnsi="Times New Roman" w:cs="Times New Roman"/>
                <w:snapToGrid w:val="0"/>
                <w:color w:val="000000"/>
                <w:kern w:val="0"/>
                <w:sz w:val="22"/>
                <w:szCs w:val="22"/>
                <w14:ligatures w14:val="none"/>
              </w:rPr>
              <w:lastRenderedPageBreak/>
              <w:t>beformės išmatos, stomatitas, liežuvio spalvos pokytis ar kitokie sutrikimai</w:t>
            </w:r>
          </w:p>
        </w:tc>
        <w:tc>
          <w:tcPr>
            <w:tcW w:w="1984" w:type="dxa"/>
          </w:tcPr>
          <w:p w14:paraId="18AB4CB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lastRenderedPageBreak/>
              <w:t>dantų paviršiaus spalvos pokytis</w:t>
            </w:r>
          </w:p>
        </w:tc>
        <w:tc>
          <w:tcPr>
            <w:tcW w:w="1560" w:type="dxa"/>
          </w:tcPr>
          <w:p w14:paraId="7EAB66B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14AB4C0F" w14:textId="77777777" w:rsidTr="00B824B8">
        <w:tc>
          <w:tcPr>
            <w:tcW w:w="1668" w:type="dxa"/>
          </w:tcPr>
          <w:p w14:paraId="1049AE2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Kepenų, tulžies pūslės ir latakų sutrikimai</w:t>
            </w:r>
          </w:p>
        </w:tc>
        <w:tc>
          <w:tcPr>
            <w:tcW w:w="1842" w:type="dxa"/>
          </w:tcPr>
          <w:p w14:paraId="75AA2D5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nenormalūs kepenų funkcijos tyrimų rodmenys, AST, ALT ar šarminės fosfatazės aktyvumo padidėjimas</w:t>
            </w:r>
          </w:p>
        </w:tc>
        <w:tc>
          <w:tcPr>
            <w:tcW w:w="1985" w:type="dxa"/>
          </w:tcPr>
          <w:p w14:paraId="1C9B088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bendrojo bilirubino kiekio padidėjimas</w:t>
            </w:r>
          </w:p>
        </w:tc>
        <w:tc>
          <w:tcPr>
            <w:tcW w:w="1984" w:type="dxa"/>
          </w:tcPr>
          <w:p w14:paraId="02A3D2E2"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61DDCA6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5169840A" w14:textId="77777777" w:rsidTr="00B824B8">
        <w:tc>
          <w:tcPr>
            <w:tcW w:w="1668" w:type="dxa"/>
          </w:tcPr>
          <w:p w14:paraId="0A91961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Odos ir poodinio audinio sutrikimas</w:t>
            </w:r>
          </w:p>
        </w:tc>
        <w:tc>
          <w:tcPr>
            <w:tcW w:w="1842" w:type="dxa"/>
          </w:tcPr>
          <w:p w14:paraId="0E38DF5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niežėjimas, išbėrimas</w:t>
            </w:r>
          </w:p>
        </w:tc>
        <w:tc>
          <w:tcPr>
            <w:tcW w:w="1985" w:type="dxa"/>
          </w:tcPr>
          <w:p w14:paraId="36DD7376"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angioneurozinė edema, dilgėlinė, pūslinis dermatitas, dermatitas, prakaitavimas</w:t>
            </w:r>
          </w:p>
          <w:p w14:paraId="68A341B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4" w:type="dxa"/>
          </w:tcPr>
          <w:p w14:paraId="5A1C1C9C" w14:textId="77777777" w:rsidR="00FB407F" w:rsidRPr="00C24DBC" w:rsidRDefault="00FB407F" w:rsidP="00B824B8">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toksinė epidermio nekrolizė</w:t>
            </w:r>
            <w:r w:rsidRPr="00C24DBC">
              <w:rPr>
                <w:rFonts w:ascii="Times New Roman" w:eastAsia="Times New Roman" w:hAnsi="Times New Roman" w:cs="Times New Roman"/>
                <w:kern w:val="0"/>
                <w:sz w:val="22"/>
                <w:szCs w:val="22"/>
                <w:vertAlign w:val="superscript"/>
                <w14:ligatures w14:val="none"/>
              </w:rPr>
              <w:t xml:space="preserve"> #</w:t>
            </w:r>
          </w:p>
          <w:p w14:paraId="03826970" w14:textId="77777777" w:rsidR="00FB407F" w:rsidRPr="00C24DBC" w:rsidRDefault="00FB407F" w:rsidP="00B824B8">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Stivenso-Džonsono (</w:t>
            </w:r>
            <w:r w:rsidRPr="00C24DBC">
              <w:rPr>
                <w:rFonts w:ascii="Times New Roman" w:eastAsia="Times New Roman" w:hAnsi="Times New Roman" w:cs="Times New Roman"/>
                <w:i/>
                <w:snapToGrid w:val="0"/>
                <w:color w:val="000000"/>
                <w:kern w:val="0"/>
                <w:sz w:val="22"/>
                <w:szCs w:val="22"/>
                <w14:ligatures w14:val="none"/>
              </w:rPr>
              <w:t>Stevens-Johnson</w:t>
            </w:r>
            <w:r w:rsidRPr="00C24DBC">
              <w:rPr>
                <w:rFonts w:ascii="Times New Roman" w:eastAsia="Times New Roman" w:hAnsi="Times New Roman" w:cs="Times New Roman"/>
                <w:snapToGrid w:val="0"/>
                <w:color w:val="000000"/>
                <w:kern w:val="0"/>
                <w:sz w:val="22"/>
                <w:szCs w:val="22"/>
                <w14:ligatures w14:val="none"/>
              </w:rPr>
              <w:t>) sindromas</w:t>
            </w:r>
            <w:r w:rsidRPr="00C24DBC">
              <w:rPr>
                <w:rFonts w:ascii="Times New Roman" w:eastAsia="Times New Roman" w:hAnsi="Times New Roman" w:cs="Times New Roman"/>
                <w:kern w:val="0"/>
                <w:sz w:val="22"/>
                <w:szCs w:val="22"/>
                <w:vertAlign w:val="superscript"/>
                <w14:ligatures w14:val="none"/>
              </w:rPr>
              <w:t>#</w:t>
            </w:r>
          </w:p>
          <w:p w14:paraId="3D139C38" w14:textId="77777777" w:rsidR="00FB407F" w:rsidRPr="00C24DBC" w:rsidRDefault="00FB407F" w:rsidP="00B824B8">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padidėjęs jautrumas</w:t>
            </w:r>
          </w:p>
          <w:p w14:paraId="345CE27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vaskulitas</w:t>
            </w:r>
          </w:p>
        </w:tc>
        <w:tc>
          <w:tcPr>
            <w:tcW w:w="1560" w:type="dxa"/>
          </w:tcPr>
          <w:p w14:paraId="6A68CC10"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alopecija</w:t>
            </w:r>
          </w:p>
        </w:tc>
      </w:tr>
      <w:tr w:rsidR="00FB407F" w:rsidRPr="00C24DBC" w14:paraId="10083ECF" w14:textId="77777777" w:rsidTr="00B824B8">
        <w:tc>
          <w:tcPr>
            <w:tcW w:w="1668" w:type="dxa"/>
          </w:tcPr>
          <w:p w14:paraId="57FB41A2"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noProof/>
                <w:kern w:val="0"/>
                <w:sz w:val="22"/>
                <w:szCs w:val="22"/>
                <w14:ligatures w14:val="none"/>
              </w:rPr>
              <w:t>Skeleto, raumenų ir jungiamojo audinio sutrikimai</w:t>
            </w:r>
          </w:p>
        </w:tc>
        <w:tc>
          <w:tcPr>
            <w:tcW w:w="1842" w:type="dxa"/>
          </w:tcPr>
          <w:p w14:paraId="5D11C110"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985" w:type="dxa"/>
          </w:tcPr>
          <w:p w14:paraId="0D285B28"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c>
          <w:tcPr>
            <w:tcW w:w="1984" w:type="dxa"/>
          </w:tcPr>
          <w:p w14:paraId="603DC6ED" w14:textId="77777777" w:rsidR="00FB407F" w:rsidRPr="00C24DBC" w:rsidRDefault="00FB407F" w:rsidP="00B824B8">
            <w:pPr>
              <w:widowControl w:val="0"/>
              <w:tabs>
                <w:tab w:val="left" w:pos="567"/>
              </w:tabs>
              <w:spacing w:line="256" w:lineRule="auto"/>
              <w:ind w:left="0" w:firstLine="0"/>
              <w:rPr>
                <w:rFonts w:ascii="Times New Roman" w:eastAsia="Times New Roman" w:hAnsi="Times New Roman" w:cs="Times New Roman"/>
                <w:snapToGrid w:val="0"/>
                <w:color w:val="000000"/>
                <w:kern w:val="0"/>
                <w:sz w:val="22"/>
                <w:szCs w:val="22"/>
                <w14:ligatures w14:val="none"/>
              </w:rPr>
            </w:pPr>
            <w:r w:rsidRPr="00C24DBC">
              <w:rPr>
                <w:rFonts w:ascii="Times New Roman" w:eastAsia="Times New Roman" w:hAnsi="Times New Roman" w:cs="Times New Roman"/>
                <w:noProof/>
                <w:kern w:val="0"/>
                <w:sz w:val="22"/>
                <w:szCs w:val="22"/>
                <w14:ligatures w14:val="none"/>
              </w:rPr>
              <w:t>rabdomiolizė*</w:t>
            </w:r>
          </w:p>
        </w:tc>
        <w:tc>
          <w:tcPr>
            <w:tcW w:w="1560" w:type="dxa"/>
          </w:tcPr>
          <w:p w14:paraId="3D05512F"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14:ligatures w14:val="none"/>
              </w:rPr>
            </w:pPr>
          </w:p>
        </w:tc>
      </w:tr>
      <w:tr w:rsidR="00FB407F" w:rsidRPr="00C24DBC" w14:paraId="6C17C0B5" w14:textId="77777777" w:rsidTr="00B824B8">
        <w:tc>
          <w:tcPr>
            <w:tcW w:w="1668" w:type="dxa"/>
          </w:tcPr>
          <w:p w14:paraId="275E50A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Inkstų ir šlapimo takų sutrikimai</w:t>
            </w:r>
          </w:p>
        </w:tc>
        <w:tc>
          <w:tcPr>
            <w:tcW w:w="1842" w:type="dxa"/>
          </w:tcPr>
          <w:p w14:paraId="6849257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šlapalo kiekio padidėjimas kraujyje</w:t>
            </w:r>
          </w:p>
        </w:tc>
        <w:tc>
          <w:tcPr>
            <w:tcW w:w="1985" w:type="dxa"/>
          </w:tcPr>
          <w:p w14:paraId="592FC17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C24DBC">
              <w:rPr>
                <w:rFonts w:ascii="Times New Roman" w:eastAsia="Times New Roman" w:hAnsi="Times New Roman" w:cs="Times New Roman"/>
                <w:snapToGrid w:val="0"/>
                <w:color w:val="000000"/>
                <w:kern w:val="0"/>
                <w:sz w:val="22"/>
                <w:szCs w:val="22"/>
                <w14:ligatures w14:val="none"/>
              </w:rPr>
              <w:t xml:space="preserve">inkstų nepakankamumas, kreatinino kiekio padidėjimas, gausus šlapinimasis </w:t>
            </w:r>
          </w:p>
        </w:tc>
        <w:tc>
          <w:tcPr>
            <w:tcW w:w="1984" w:type="dxa"/>
          </w:tcPr>
          <w:p w14:paraId="181DCDA5"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4A66FD7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6378FCDE" w14:textId="77777777" w:rsidTr="00B824B8">
        <w:tc>
          <w:tcPr>
            <w:tcW w:w="1668" w:type="dxa"/>
          </w:tcPr>
          <w:p w14:paraId="6648DC35"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 xml:space="preserve">Lytinės sistemos ir krūties sutrikimai </w:t>
            </w:r>
          </w:p>
        </w:tc>
        <w:tc>
          <w:tcPr>
            <w:tcW w:w="1842" w:type="dxa"/>
          </w:tcPr>
          <w:p w14:paraId="1434D238"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985" w:type="dxa"/>
          </w:tcPr>
          <w:p w14:paraId="49717693"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C24DBC">
              <w:rPr>
                <w:rFonts w:ascii="Times New Roman" w:eastAsia="Times New Roman" w:hAnsi="Times New Roman" w:cs="Times New Roman"/>
                <w:snapToGrid w:val="0"/>
                <w:color w:val="000000"/>
                <w:kern w:val="0"/>
                <w:sz w:val="22"/>
                <w:szCs w:val="22"/>
                <w14:ligatures w14:val="none"/>
              </w:rPr>
              <w:t>moters išorinių lyties organų ir makšties sutrikimas</w:t>
            </w:r>
          </w:p>
        </w:tc>
        <w:tc>
          <w:tcPr>
            <w:tcW w:w="1984" w:type="dxa"/>
          </w:tcPr>
          <w:p w14:paraId="20DEC324"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1CF0F87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7CEA07E6" w14:textId="77777777" w:rsidTr="00B824B8">
        <w:tc>
          <w:tcPr>
            <w:tcW w:w="1668" w:type="dxa"/>
          </w:tcPr>
          <w:p w14:paraId="3389B25B"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Bendrieji sutrikimai ir vartojimo vietos pažeidimai</w:t>
            </w:r>
          </w:p>
        </w:tc>
        <w:tc>
          <w:tcPr>
            <w:tcW w:w="1842" w:type="dxa"/>
          </w:tcPr>
          <w:p w14:paraId="448C218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karščiavimas, lokalus skausmas</w:t>
            </w:r>
          </w:p>
        </w:tc>
        <w:tc>
          <w:tcPr>
            <w:tcW w:w="1985" w:type="dxa"/>
          </w:tcPr>
          <w:p w14:paraId="4EEE208A"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lang w:eastAsia="en-GB"/>
                <w14:ligatures w14:val="none"/>
              </w:rPr>
            </w:pPr>
            <w:r w:rsidRPr="00C24DBC">
              <w:rPr>
                <w:rFonts w:ascii="Times New Roman" w:eastAsia="Times New Roman" w:hAnsi="Times New Roman" w:cs="Times New Roman"/>
                <w:snapToGrid w:val="0"/>
                <w:color w:val="000000"/>
                <w:kern w:val="0"/>
                <w:sz w:val="22"/>
                <w:szCs w:val="22"/>
                <w14:ligatures w14:val="none"/>
              </w:rPr>
              <w:t xml:space="preserve">tremoras, nuovargis, skausmas injekcijos vietoje, padidėjęs troškulys </w:t>
            </w:r>
          </w:p>
        </w:tc>
        <w:tc>
          <w:tcPr>
            <w:tcW w:w="1984" w:type="dxa"/>
          </w:tcPr>
          <w:p w14:paraId="20631D56"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15691F7F"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r w:rsidR="00FB407F" w:rsidRPr="00C24DBC" w14:paraId="479CEFB6" w14:textId="77777777" w:rsidTr="00B824B8">
        <w:tc>
          <w:tcPr>
            <w:tcW w:w="1668" w:type="dxa"/>
          </w:tcPr>
          <w:p w14:paraId="393E0EAC"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b/>
                <w:snapToGrid w:val="0"/>
                <w:color w:val="000000"/>
                <w:kern w:val="0"/>
                <w:sz w:val="22"/>
                <w:szCs w:val="22"/>
                <w14:ligatures w14:val="none"/>
              </w:rPr>
              <w:t>Tyrimai</w:t>
            </w:r>
          </w:p>
        </w:tc>
        <w:tc>
          <w:tcPr>
            <w:tcW w:w="1842" w:type="dxa"/>
          </w:tcPr>
          <w:p w14:paraId="1CC5A9BD"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u w:val="single"/>
                <w14:ligatures w14:val="none"/>
              </w:rPr>
            </w:pPr>
            <w:r w:rsidRPr="00C24DBC">
              <w:rPr>
                <w:rFonts w:ascii="Times New Roman" w:eastAsia="Times New Roman" w:hAnsi="Times New Roman" w:cs="Times New Roman"/>
                <w:snapToGrid w:val="0"/>
                <w:color w:val="000000"/>
                <w:kern w:val="0"/>
                <w:sz w:val="22"/>
                <w:szCs w:val="22"/>
                <w:u w:val="single"/>
                <w14:ligatures w14:val="none"/>
              </w:rPr>
              <w:t>Biocheminiai</w:t>
            </w:r>
          </w:p>
          <w:p w14:paraId="660D758D"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 xml:space="preserve">LDH, kreatinkinazės, lipazės, amilazės aktyvumo padidėjimas ar gliukozės kiekio pavalgius padidėjimas. Bendrojo baltymo, albuminų, natrio </w:t>
            </w:r>
            <w:r w:rsidRPr="00C24DBC">
              <w:rPr>
                <w:rFonts w:ascii="Times New Roman" w:eastAsia="Times New Roman" w:hAnsi="Times New Roman" w:cs="Times New Roman"/>
                <w:snapToGrid w:val="0"/>
                <w:color w:val="000000"/>
                <w:kern w:val="0"/>
                <w:sz w:val="22"/>
                <w:szCs w:val="22"/>
                <w14:ligatures w14:val="none"/>
              </w:rPr>
              <w:lastRenderedPageBreak/>
              <w:t>ar kalcio kiekio sumažėjimas. Kalio ar bikarbonatų kiekio padidėjimas arba sumažėjimas.</w:t>
            </w:r>
          </w:p>
          <w:p w14:paraId="2D637D6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p w14:paraId="5CCF0128"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u w:val="single"/>
                <w14:ligatures w14:val="none"/>
              </w:rPr>
            </w:pPr>
            <w:r w:rsidRPr="00C24DBC">
              <w:rPr>
                <w:rFonts w:ascii="Times New Roman" w:eastAsia="Times New Roman" w:hAnsi="Times New Roman" w:cs="Times New Roman"/>
                <w:snapToGrid w:val="0"/>
                <w:color w:val="000000"/>
                <w:kern w:val="0"/>
                <w:sz w:val="22"/>
                <w:szCs w:val="22"/>
                <w:u w:val="single"/>
                <w14:ligatures w14:val="none"/>
              </w:rPr>
              <w:t>Hematologiniai</w:t>
            </w:r>
          </w:p>
          <w:p w14:paraId="0C6C377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Padidėjęs neutrofilų ar eozinofilų kiekis. Sumažėjęs hemoglobino kiekis, hematokritas ar eritrocitų kiekis. Padidėjęs ar sumažėjęs trombocitų ar leukocitų kiekis.</w:t>
            </w:r>
          </w:p>
        </w:tc>
        <w:tc>
          <w:tcPr>
            <w:tcW w:w="1985" w:type="dxa"/>
          </w:tcPr>
          <w:p w14:paraId="2E98CB90" w14:textId="77777777" w:rsidR="00FB407F" w:rsidRPr="00C24DBC" w:rsidRDefault="00FB407F" w:rsidP="00B824B8">
            <w:pPr>
              <w:widowControl w:val="0"/>
              <w:tabs>
                <w:tab w:val="left" w:pos="567"/>
              </w:tabs>
              <w:ind w:left="0" w:firstLine="0"/>
              <w:rPr>
                <w:rFonts w:ascii="Times New Roman" w:eastAsia="Times New Roman" w:hAnsi="Times New Roman" w:cs="Times New Roman"/>
                <w:snapToGrid w:val="0"/>
                <w:color w:val="000000"/>
                <w:kern w:val="0"/>
                <w:sz w:val="22"/>
                <w:szCs w:val="22"/>
                <w:u w:val="single"/>
                <w14:ligatures w14:val="none"/>
              </w:rPr>
            </w:pPr>
            <w:r w:rsidRPr="00C24DBC">
              <w:rPr>
                <w:rFonts w:ascii="Times New Roman" w:eastAsia="Times New Roman" w:hAnsi="Times New Roman" w:cs="Times New Roman"/>
                <w:snapToGrid w:val="0"/>
                <w:color w:val="000000"/>
                <w:kern w:val="0"/>
                <w:sz w:val="22"/>
                <w:szCs w:val="22"/>
                <w:u w:val="single"/>
                <w14:ligatures w14:val="none"/>
              </w:rPr>
              <w:lastRenderedPageBreak/>
              <w:t>Biocheminiai</w:t>
            </w:r>
          </w:p>
          <w:p w14:paraId="36C62C6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Natrio ar kalcio kiekio padidėjimas.</w:t>
            </w:r>
            <w:r w:rsidRPr="00C24DBC">
              <w:rPr>
                <w:rFonts w:ascii="Times New Roman" w:eastAsia="Times New Roman" w:hAnsi="Times New Roman" w:cs="Times New Roman"/>
                <w:snapToGrid w:val="0"/>
                <w:color w:val="000000"/>
                <w:kern w:val="0"/>
                <w:sz w:val="22"/>
                <w:szCs w:val="22"/>
                <w:lang w:eastAsia="en-GB"/>
                <w14:ligatures w14:val="none"/>
              </w:rPr>
              <w:t xml:space="preserve"> </w:t>
            </w:r>
            <w:r w:rsidRPr="00C24DBC">
              <w:rPr>
                <w:rFonts w:ascii="Times New Roman" w:eastAsia="Times New Roman" w:hAnsi="Times New Roman" w:cs="Times New Roman"/>
                <w:snapToGrid w:val="0"/>
                <w:color w:val="000000"/>
                <w:kern w:val="0"/>
                <w:sz w:val="22"/>
                <w:szCs w:val="22"/>
                <w14:ligatures w14:val="none"/>
              </w:rPr>
              <w:t>Gliukozės kiekio pavalgius sumažėjimas. Chloridų kiekio padidėjimas arba sumažėjimas.</w:t>
            </w:r>
          </w:p>
          <w:p w14:paraId="6BA24421"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p w14:paraId="4B1CA897"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u w:val="single"/>
                <w14:ligatures w14:val="none"/>
              </w:rPr>
            </w:pPr>
            <w:r w:rsidRPr="00C24DBC">
              <w:rPr>
                <w:rFonts w:ascii="Times New Roman" w:eastAsia="Times New Roman" w:hAnsi="Times New Roman" w:cs="Times New Roman"/>
                <w:snapToGrid w:val="0"/>
                <w:color w:val="000000"/>
                <w:kern w:val="0"/>
                <w:sz w:val="22"/>
                <w:szCs w:val="22"/>
                <w:u w:val="single"/>
                <w14:ligatures w14:val="none"/>
              </w:rPr>
              <w:t>Hematologiniai</w:t>
            </w:r>
          </w:p>
          <w:p w14:paraId="257C7369"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r w:rsidRPr="00C24DBC">
              <w:rPr>
                <w:rFonts w:ascii="Times New Roman" w:eastAsia="Times New Roman" w:hAnsi="Times New Roman" w:cs="Times New Roman"/>
                <w:snapToGrid w:val="0"/>
                <w:color w:val="000000"/>
                <w:kern w:val="0"/>
                <w:sz w:val="22"/>
                <w:szCs w:val="22"/>
                <w14:ligatures w14:val="none"/>
              </w:rPr>
              <w:t xml:space="preserve">Padidėjęs </w:t>
            </w:r>
            <w:r w:rsidRPr="00C24DBC">
              <w:rPr>
                <w:rFonts w:ascii="Times New Roman" w:eastAsia="Times New Roman" w:hAnsi="Times New Roman" w:cs="Times New Roman"/>
                <w:snapToGrid w:val="0"/>
                <w:color w:val="000000"/>
                <w:kern w:val="0"/>
                <w:sz w:val="22"/>
                <w:szCs w:val="22"/>
                <w14:ligatures w14:val="none"/>
              </w:rPr>
              <w:lastRenderedPageBreak/>
              <w:t>retikulocitų kiekis. Sumažėjęs neutrofilų kiekis.</w:t>
            </w:r>
          </w:p>
        </w:tc>
        <w:tc>
          <w:tcPr>
            <w:tcW w:w="1984" w:type="dxa"/>
          </w:tcPr>
          <w:p w14:paraId="326452B8"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c>
          <w:tcPr>
            <w:tcW w:w="1560" w:type="dxa"/>
          </w:tcPr>
          <w:p w14:paraId="4DC632F0" w14:textId="77777777" w:rsidR="00FB407F" w:rsidRPr="00C24DBC" w:rsidRDefault="00FB407F" w:rsidP="00B824B8">
            <w:pPr>
              <w:widowControl w:val="0"/>
              <w:tabs>
                <w:tab w:val="left" w:pos="567"/>
              </w:tabs>
              <w:ind w:left="0" w:firstLine="0"/>
              <w:rPr>
                <w:rFonts w:ascii="Times New Roman" w:eastAsia="Times New Roman" w:hAnsi="Times New Roman" w:cs="Times New Roman"/>
                <w:b/>
                <w:snapToGrid w:val="0"/>
                <w:color w:val="000000"/>
                <w:kern w:val="0"/>
                <w:sz w:val="22"/>
                <w:szCs w:val="22"/>
                <w14:ligatures w14:val="none"/>
              </w:rPr>
            </w:pPr>
          </w:p>
        </w:tc>
      </w:tr>
    </w:tbl>
    <w:p w14:paraId="6AA500BE"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571A5AE1"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Žr. skyrių „Specialūs įspėjimai ir atsargumo priemonės“.</w:t>
      </w:r>
    </w:p>
    <w:p w14:paraId="291D4C1F"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 Žr. skyrius „Kontraindikacijos“ „Sąveika“.</w:t>
      </w:r>
    </w:p>
    <w:p w14:paraId="63FE07B1"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Šalutinio poveikio dažnis nustatytas vadovaujantis „3 apibrėžimų taisykle“.</w:t>
      </w:r>
    </w:p>
    <w:p w14:paraId="237A079D" w14:textId="77777777" w:rsidR="00FB407F" w:rsidRPr="00C24DBC" w:rsidRDefault="00FB407F" w:rsidP="00FB407F">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vertAlign w:val="superscript"/>
          <w14:ligatures w14:val="none"/>
        </w:rPr>
        <w:t xml:space="preserve">† </w:t>
      </w:r>
      <w:r w:rsidRPr="00C24DBC">
        <w:rPr>
          <w:rFonts w:ascii="Times New Roman" w:eastAsia="Times New Roman" w:hAnsi="Times New Roman" w:cs="Times New Roman"/>
          <w:snapToGrid w:val="0"/>
          <w:kern w:val="0"/>
          <w:sz w:val="22"/>
          <w:szCs w:val="22"/>
          <w14:ligatures w14:val="none"/>
        </w:rPr>
        <w:t>Žr. žemiau.</w:t>
      </w:r>
    </w:p>
    <w:p w14:paraId="1B82E49C" w14:textId="77777777" w:rsidR="00FB407F" w:rsidRPr="00C24DBC" w:rsidRDefault="00FB407F" w:rsidP="00FB407F">
      <w:pPr>
        <w:widowControl w:val="0"/>
        <w:tabs>
          <w:tab w:val="left" w:pos="567"/>
        </w:tabs>
        <w:ind w:left="0" w:firstLine="0"/>
        <w:jc w:val="both"/>
        <w:rPr>
          <w:rFonts w:ascii="Times New Roman" w:eastAsia="Times New Roman" w:hAnsi="Times New Roman" w:cs="Times New Roman"/>
          <w:b/>
          <w:snapToGrid w:val="0"/>
          <w:kern w:val="0"/>
          <w:sz w:val="22"/>
          <w:szCs w:val="22"/>
          <w14:ligatures w14:val="none"/>
        </w:rPr>
      </w:pPr>
    </w:p>
    <w:p w14:paraId="0788EE98"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Išvardytos nepageidaujamos reakcijos į linezolidą retais atvejais gali būti įvertintos kaip sunkios: lokalus pilvo skausmas, praeinantieji smegenų išemijos priepuoliai ir hipertenzija.</w:t>
      </w:r>
    </w:p>
    <w:p w14:paraId="2B36005B"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p>
    <w:p w14:paraId="51B8734E" w14:textId="186EA9ED" w:rsidR="00FB407F" w:rsidRPr="00C24DBC" w:rsidRDefault="00FB407F" w:rsidP="00FB407F">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r w:rsidRPr="00C24DBC">
        <w:rPr>
          <w:rFonts w:ascii="Times New Roman" w:eastAsia="Times New Roman" w:hAnsi="Times New Roman" w:cs="Times New Roman"/>
          <w:snapToGrid w:val="0"/>
          <w:kern w:val="0"/>
          <w:sz w:val="22"/>
          <w:szCs w:val="22"/>
          <w:vertAlign w:val="superscript"/>
          <w14:ligatures w14:val="none"/>
        </w:rPr>
        <w:t xml:space="preserve">† </w:t>
      </w:r>
      <w:r w:rsidRPr="00C24DBC">
        <w:rPr>
          <w:rFonts w:ascii="Times New Roman" w:eastAsia="Times New Roman" w:hAnsi="Times New Roman" w:cs="Times New Roman"/>
          <w:bCs/>
          <w:snapToGrid w:val="0"/>
          <w:kern w:val="0"/>
          <w:sz w:val="22"/>
          <w:szCs w:val="22"/>
          <w14:ligatures w14:val="none"/>
        </w:rPr>
        <w:t>Kontroliuojamų klinikinių tyrimų metu linezolidą vartojant trumpiau kaip 28 dienas, anemija buvo nustatyta 2,0 % pacientų.</w:t>
      </w:r>
      <w:r w:rsidR="00C24DBC">
        <w:rPr>
          <w:rFonts w:ascii="Times New Roman" w:eastAsia="Times New Roman" w:hAnsi="Times New Roman" w:cs="Times New Roman"/>
          <w:bCs/>
          <w:snapToGrid w:val="0"/>
          <w:kern w:val="0"/>
          <w:sz w:val="22"/>
          <w:szCs w:val="22"/>
          <w14:ligatures w14:val="none"/>
        </w:rPr>
        <w:t xml:space="preserve"> „</w:t>
      </w:r>
      <w:r w:rsidRPr="00C24DBC">
        <w:rPr>
          <w:rFonts w:ascii="Times New Roman" w:eastAsia="Times New Roman" w:hAnsi="Times New Roman" w:cs="Times New Roman"/>
          <w:bCs/>
          <w:snapToGrid w:val="0"/>
          <w:kern w:val="0"/>
          <w:sz w:val="22"/>
          <w:szCs w:val="22"/>
          <w14:ligatures w14:val="none"/>
        </w:rPr>
        <w:t>Paskutinės vilties</w:t>
      </w:r>
      <w:r w:rsidR="00C24DBC">
        <w:rPr>
          <w:rFonts w:ascii="Times New Roman" w:eastAsia="Times New Roman" w:hAnsi="Times New Roman" w:cs="Times New Roman"/>
          <w:bCs/>
          <w:snapToGrid w:val="0"/>
          <w:kern w:val="0"/>
          <w:sz w:val="22"/>
          <w:szCs w:val="22"/>
          <w14:ligatures w14:val="none"/>
        </w:rPr>
        <w:t>“</w:t>
      </w:r>
      <w:r w:rsidRPr="00C24DBC">
        <w:rPr>
          <w:rFonts w:ascii="Times New Roman" w:eastAsia="Times New Roman" w:hAnsi="Times New Roman" w:cs="Times New Roman"/>
          <w:bCs/>
          <w:snapToGrid w:val="0"/>
          <w:kern w:val="0"/>
          <w:sz w:val="22"/>
          <w:szCs w:val="22"/>
          <w14:ligatures w14:val="none"/>
        </w:rPr>
        <w:t xml:space="preserve"> tyrimų programos metu sergantiesiems gyvybei pavojingomis infekcinėmis kartu su pagrindinėmis ligomis anemija pasireiškė 2,5 % (33 iš 1326) pacientų, gydytų linezolidu ≤ 28 dienas, palyginti su 12,3 % (53 iš 430) pacientų, gydytų &gt; 28 dienas. Sunkios anemijos, kai prireikė kraujo perpylimo, atvejų buvo 9 % (3 iš 33) pacientams, gydytiems ≤ 28 dienas, ir 15 % (8 iš 53) – gydytiems &gt; 28 dienas.</w:t>
      </w:r>
    </w:p>
    <w:p w14:paraId="2C2C65C8" w14:textId="77777777" w:rsidR="00FB407F" w:rsidRPr="00C24DBC" w:rsidRDefault="00FB407F" w:rsidP="00FB407F">
      <w:pPr>
        <w:widowControl w:val="0"/>
        <w:tabs>
          <w:tab w:val="left" w:pos="567"/>
        </w:tabs>
        <w:ind w:left="0" w:firstLine="0"/>
        <w:rPr>
          <w:rFonts w:ascii="Times New Roman" w:eastAsia="Times New Roman" w:hAnsi="Times New Roman" w:cs="Times New Roman"/>
          <w:b/>
          <w:bCs/>
          <w:snapToGrid w:val="0"/>
          <w:kern w:val="0"/>
          <w:sz w:val="22"/>
          <w:szCs w:val="22"/>
          <w14:ligatures w14:val="none"/>
        </w:rPr>
      </w:pPr>
    </w:p>
    <w:p w14:paraId="3E497975" w14:textId="77777777" w:rsidR="00FB407F" w:rsidRPr="00C24DBC" w:rsidRDefault="00FB407F" w:rsidP="00FB407F">
      <w:pPr>
        <w:widowControl w:val="0"/>
        <w:tabs>
          <w:tab w:val="left" w:pos="567"/>
        </w:tabs>
        <w:ind w:left="0" w:firstLine="0"/>
        <w:rPr>
          <w:rFonts w:ascii="Times New Roman" w:eastAsia="Times New Roman" w:hAnsi="Times New Roman" w:cs="Times New Roman"/>
          <w:b/>
          <w:bCs/>
          <w:snapToGrid w:val="0"/>
          <w:kern w:val="0"/>
          <w:sz w:val="22"/>
          <w:szCs w:val="22"/>
          <w:u w:val="single"/>
          <w14:ligatures w14:val="none"/>
        </w:rPr>
      </w:pPr>
      <w:r w:rsidRPr="00C24DBC">
        <w:rPr>
          <w:rFonts w:ascii="Times New Roman" w:eastAsia="Times New Roman" w:hAnsi="Times New Roman" w:cs="Times New Roman"/>
          <w:bCs/>
          <w:snapToGrid w:val="0"/>
          <w:kern w:val="0"/>
          <w:sz w:val="22"/>
          <w:szCs w:val="22"/>
          <w:u w:val="single"/>
          <w14:ligatures w14:val="none"/>
        </w:rPr>
        <w:t>Vaikų populiacija</w:t>
      </w:r>
    </w:p>
    <w:p w14:paraId="23C54224" w14:textId="77777777" w:rsidR="00FB407F" w:rsidRPr="00C24DBC" w:rsidRDefault="00FB407F" w:rsidP="00FB407F">
      <w:pPr>
        <w:widowControl w:val="0"/>
        <w:tabs>
          <w:tab w:val="left" w:pos="567"/>
        </w:tabs>
        <w:ind w:left="0" w:firstLine="0"/>
        <w:rPr>
          <w:rFonts w:ascii="Times New Roman" w:eastAsia="Times New Roman" w:hAnsi="Times New Roman" w:cs="Times New Roman"/>
          <w:b/>
          <w:snapToGrid w:val="0"/>
          <w:kern w:val="0"/>
          <w:sz w:val="22"/>
          <w:szCs w:val="22"/>
          <w14:ligatures w14:val="none"/>
        </w:rPr>
      </w:pPr>
      <w:r w:rsidRPr="00C24DBC">
        <w:rPr>
          <w:rFonts w:ascii="Times New Roman" w:eastAsia="Times New Roman" w:hAnsi="Times New Roman" w:cs="Times New Roman"/>
          <w:bCs/>
          <w:snapToGrid w:val="0"/>
          <w:kern w:val="0"/>
          <w:sz w:val="22"/>
          <w:szCs w:val="22"/>
          <w14:ligatures w14:val="none"/>
        </w:rPr>
        <w:t>Klinikinių tyrimų, kuriuose dalyvavo daugiau kaip 500 kūdikių, vaikų ir paauglių (nuo gimimo iki 17 metų), saugumo duomenys nerodo, kad linezolido saugumo savybės kūdikiams, vaikams ir paaugliams skirtųsi nuo suaugusių pacientų duomenų.</w:t>
      </w:r>
    </w:p>
    <w:p w14:paraId="6187213D" w14:textId="77777777" w:rsidR="00FB407F" w:rsidRPr="00C24DBC" w:rsidRDefault="00FB407F" w:rsidP="00FB407F">
      <w:pPr>
        <w:widowControl w:val="0"/>
        <w:tabs>
          <w:tab w:val="left" w:pos="567"/>
        </w:tabs>
        <w:autoSpaceDE w:val="0"/>
        <w:autoSpaceDN w:val="0"/>
        <w:adjustRightInd w:val="0"/>
        <w:ind w:left="0" w:firstLine="0"/>
        <w:rPr>
          <w:rFonts w:ascii="Times New Roman" w:eastAsia="Times New Roman" w:hAnsi="Times New Roman" w:cs="Times New Roman"/>
          <w:snapToGrid w:val="0"/>
          <w:kern w:val="0"/>
          <w:sz w:val="22"/>
          <w:szCs w:val="22"/>
          <w:u w:val="single"/>
          <w14:ligatures w14:val="none"/>
        </w:rPr>
      </w:pPr>
    </w:p>
    <w:p w14:paraId="181309EA" w14:textId="77777777" w:rsidR="00FB407F" w:rsidRPr="00C24DBC" w:rsidRDefault="00FB407F" w:rsidP="00FB407F">
      <w:pPr>
        <w:widowControl w:val="0"/>
        <w:tabs>
          <w:tab w:val="left" w:pos="567"/>
        </w:tabs>
        <w:ind w:left="0" w:firstLine="0"/>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Perdozavimas</w:t>
      </w:r>
    </w:p>
    <w:p w14:paraId="2D7006F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Specifinio priešnuodžio nėra.</w:t>
      </w:r>
    </w:p>
    <w:p w14:paraId="3DC6F01E"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Pranešimų apie perdozavimo atvejus negauta. Vis dėlto, toliau pateikta informacija gali būti naudinga:</w:t>
      </w:r>
    </w:p>
    <w:p w14:paraId="13F67AF4"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p>
    <w:p w14:paraId="71D7A420" w14:textId="7777777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Patartina taikyti palaikomąjį gydymą tuo pat metu užtikrinant glomerulų filtraciją. Per 3 hemodializės valandas pašalinama maždaug 30 % linezolido dozės, bet duomenų apie linezolido šalinimą peritoninės dializės ir kraujo perpylimo metu nėra.</w:t>
      </w:r>
    </w:p>
    <w:p w14:paraId="78C05662"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p>
    <w:p w14:paraId="05BEEA10"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bCs/>
          <w:snapToGrid w:val="0"/>
          <w:kern w:val="0"/>
          <w:sz w:val="22"/>
          <w:szCs w:val="22"/>
          <w:lang w:eastAsia="sl-SI"/>
          <w14:ligatures w14:val="none"/>
        </w:rPr>
        <w:t>Reikalavimai vaistinio preparato ruošimui ir vartojimui</w:t>
      </w:r>
    </w:p>
    <w:p w14:paraId="0826100D" w14:textId="7BD16C62" w:rsidR="00FB407F" w:rsidRPr="00C24DBC" w:rsidRDefault="00FB407F" w:rsidP="00FB407F">
      <w:pPr>
        <w:widowControl w:val="0"/>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lastRenderedPageBreak/>
        <w:t>Tik vienkartiniam vartojimui. Išorin</w:t>
      </w:r>
      <w:r w:rsidR="00964D88" w:rsidRPr="00C24DBC">
        <w:rPr>
          <w:rFonts w:ascii="Times New Roman" w:eastAsia="Calibri" w:hAnsi="Times New Roman" w:cs="Times New Roman"/>
          <w:kern w:val="0"/>
          <w:sz w:val="22"/>
          <w:szCs w:val="22"/>
          <w14:ligatures w14:val="none"/>
        </w:rPr>
        <w:t>ę</w:t>
      </w:r>
      <w:r w:rsidRPr="00C24DBC">
        <w:rPr>
          <w:rFonts w:ascii="Times New Roman" w:eastAsia="Calibri" w:hAnsi="Times New Roman" w:cs="Times New Roman"/>
          <w:kern w:val="0"/>
          <w:sz w:val="22"/>
          <w:szCs w:val="22"/>
          <w14:ligatures w14:val="none"/>
        </w:rPr>
        <w:t xml:space="preserve"> </w:t>
      </w:r>
      <w:r w:rsidR="00964D88" w:rsidRPr="00C24DBC">
        <w:rPr>
          <w:rFonts w:ascii="Times New Roman" w:eastAsia="Calibri" w:hAnsi="Times New Roman" w:cs="Times New Roman"/>
          <w:kern w:val="0"/>
          <w:sz w:val="22"/>
          <w:szCs w:val="22"/>
          <w14:ligatures w14:val="none"/>
        </w:rPr>
        <w:t xml:space="preserve">dėžutę </w:t>
      </w:r>
      <w:r w:rsidRPr="00C24DBC">
        <w:rPr>
          <w:rFonts w:ascii="Times New Roman" w:eastAsia="Calibri" w:hAnsi="Times New Roman" w:cs="Times New Roman"/>
          <w:kern w:val="0"/>
          <w:sz w:val="22"/>
          <w:szCs w:val="22"/>
          <w14:ligatures w14:val="none"/>
        </w:rPr>
        <w:t xml:space="preserve">nuimkite tik pasiruošę vartoti. Vieną minutę tvirtai paspaudę </w:t>
      </w:r>
      <w:r w:rsidR="0099209F" w:rsidRPr="00C24DBC">
        <w:rPr>
          <w:rFonts w:ascii="Times New Roman" w:eastAsia="Calibri" w:hAnsi="Times New Roman" w:cs="Times New Roman"/>
          <w:kern w:val="0"/>
          <w:sz w:val="22"/>
          <w:szCs w:val="22"/>
          <w14:ligatures w14:val="none"/>
        </w:rPr>
        <w:t>buteliuką</w:t>
      </w:r>
      <w:r w:rsidRPr="00C24DBC">
        <w:rPr>
          <w:rFonts w:ascii="Times New Roman" w:eastAsia="Calibri" w:hAnsi="Times New Roman" w:cs="Times New Roman"/>
          <w:kern w:val="0"/>
          <w:sz w:val="22"/>
          <w:szCs w:val="22"/>
          <w14:ligatures w14:val="none"/>
        </w:rPr>
        <w:t xml:space="preserve">, patikrinkite, ar iš jo nelaša tirpalas. Jei iš </w:t>
      </w:r>
      <w:r w:rsidR="0099209F" w:rsidRPr="00C24DBC">
        <w:rPr>
          <w:rFonts w:ascii="Times New Roman" w:eastAsia="Calibri" w:hAnsi="Times New Roman" w:cs="Times New Roman"/>
          <w:kern w:val="0"/>
          <w:sz w:val="22"/>
          <w:szCs w:val="22"/>
          <w14:ligatures w14:val="none"/>
        </w:rPr>
        <w:t xml:space="preserve">buteliuko </w:t>
      </w:r>
      <w:r w:rsidRPr="00C24DBC">
        <w:rPr>
          <w:rFonts w:ascii="Times New Roman" w:eastAsia="Calibri" w:hAnsi="Times New Roman" w:cs="Times New Roman"/>
          <w:kern w:val="0"/>
          <w:sz w:val="22"/>
          <w:szCs w:val="22"/>
          <w14:ligatures w14:val="none"/>
        </w:rPr>
        <w:t xml:space="preserve">laša tirpalas, jo vartoti negalima, nes tirpalas jame gali būti nesterilus. Prieš vartojimą tirpalą reikia apžiūrėti. Galima vartoti tik skaidrų tirpalą, kuriame nėra dalelių. Šių </w:t>
      </w:r>
      <w:r w:rsidR="0099209F" w:rsidRPr="00C24DBC">
        <w:rPr>
          <w:rFonts w:ascii="Times New Roman" w:eastAsia="Calibri" w:hAnsi="Times New Roman" w:cs="Times New Roman"/>
          <w:kern w:val="0"/>
          <w:sz w:val="22"/>
          <w:szCs w:val="22"/>
          <w14:ligatures w14:val="none"/>
        </w:rPr>
        <w:t>buteliukų</w:t>
      </w:r>
      <w:r w:rsidRPr="00C24DBC">
        <w:rPr>
          <w:rFonts w:ascii="Times New Roman" w:eastAsia="Calibri" w:hAnsi="Times New Roman" w:cs="Times New Roman"/>
          <w:kern w:val="0"/>
          <w:sz w:val="22"/>
          <w:szCs w:val="22"/>
          <w14:ligatures w14:val="none"/>
        </w:rPr>
        <w:t xml:space="preserve"> negalima jungti nuosekliai. Nesuvartotą tirpalą reikia išpilti. Specialių reikalavimų atliekoms tvarkyti nėra. Nesuvartotą vaistinį preparatą ar atliekas reikia tvarkyti laikantis vietinių reikalavimų. Iš dalies suvartotų </w:t>
      </w:r>
      <w:r w:rsidR="0099209F" w:rsidRPr="00C24DBC">
        <w:rPr>
          <w:rFonts w:ascii="Times New Roman" w:eastAsia="Calibri" w:hAnsi="Times New Roman" w:cs="Times New Roman"/>
          <w:kern w:val="0"/>
          <w:sz w:val="22"/>
          <w:szCs w:val="22"/>
          <w14:ligatures w14:val="none"/>
        </w:rPr>
        <w:t>buteliukų</w:t>
      </w:r>
      <w:r w:rsidRPr="00C24DBC">
        <w:rPr>
          <w:rFonts w:ascii="Times New Roman" w:eastAsia="Calibri" w:hAnsi="Times New Roman" w:cs="Times New Roman"/>
          <w:kern w:val="0"/>
          <w:sz w:val="22"/>
          <w:szCs w:val="22"/>
          <w14:ligatures w14:val="none"/>
        </w:rPr>
        <w:t xml:space="preserve"> vėl prijungti negalima.</w:t>
      </w:r>
    </w:p>
    <w:p w14:paraId="37428AF4" w14:textId="77777777" w:rsidR="00FB407F" w:rsidRPr="00C24DBC" w:rsidRDefault="00FB407F" w:rsidP="00FB407F">
      <w:pPr>
        <w:widowControl w:val="0"/>
        <w:ind w:left="0" w:firstLine="0"/>
        <w:rPr>
          <w:rFonts w:ascii="Times New Roman" w:eastAsia="Calibri" w:hAnsi="Times New Roman" w:cs="Times New Roman"/>
          <w:kern w:val="0"/>
          <w:sz w:val="22"/>
          <w:szCs w:val="22"/>
          <w14:ligatures w14:val="none"/>
        </w:rPr>
      </w:pPr>
    </w:p>
    <w:p w14:paraId="0ED99061" w14:textId="2D1B6841" w:rsidR="00FB407F" w:rsidRPr="00C24DBC" w:rsidRDefault="00146696" w:rsidP="00FB407F">
      <w:pPr>
        <w:widowControl w:val="0"/>
        <w:ind w:left="0" w:firstLine="0"/>
        <w:rPr>
          <w:rFonts w:ascii="Times New Roman" w:eastAsia="Calibri" w:hAnsi="Times New Roman" w:cs="Times New Roman"/>
          <w:kern w:val="0"/>
          <w:sz w:val="22"/>
          <w:szCs w:val="22"/>
          <w14:ligatures w14:val="none"/>
        </w:rPr>
      </w:pPr>
      <w:r w:rsidRPr="00C24DBC">
        <w:rPr>
          <w:rFonts w:ascii="Times New Roman" w:eastAsia="Times New Roman" w:hAnsi="Times New Roman" w:cs="Times New Roman"/>
          <w:snapToGrid w:val="0"/>
          <w:kern w:val="0"/>
          <w:sz w:val="22"/>
          <w:szCs w:val="22"/>
          <w14:ligatures w14:val="none"/>
        </w:rPr>
        <w:t>Linezolid Kabi</w:t>
      </w:r>
      <w:r w:rsidR="00FB407F" w:rsidRPr="00C24DBC">
        <w:rPr>
          <w:rFonts w:ascii="Times New Roman" w:eastAsia="Calibri" w:hAnsi="Times New Roman" w:cs="Times New Roman"/>
          <w:kern w:val="0"/>
          <w:sz w:val="22"/>
          <w:szCs w:val="22"/>
          <w14:ligatures w14:val="none"/>
        </w:rPr>
        <w:t xml:space="preserve"> infuzinis tirpalas yra suderinamas su šiais tirpalais: 5 % gliukozės intraveniniu infuziniu tirpalu, 0,9 % natrio chlorido intraveniniu infuziniu tirpalu, Ringerio laktato injekciniu tirpalu (Hartmano injekciniu tirpalu).</w:t>
      </w:r>
    </w:p>
    <w:p w14:paraId="4B8495A1" w14:textId="77777777" w:rsidR="00FB407F" w:rsidRPr="00C24DBC" w:rsidRDefault="00FB407F" w:rsidP="00FB407F">
      <w:pPr>
        <w:widowControl w:val="0"/>
        <w:ind w:left="0" w:firstLine="0"/>
        <w:rPr>
          <w:rFonts w:ascii="Times New Roman" w:eastAsia="Calibri" w:hAnsi="Times New Roman" w:cs="Times New Roman"/>
          <w:kern w:val="0"/>
          <w:sz w:val="22"/>
          <w:szCs w:val="22"/>
          <w14:ligatures w14:val="none"/>
        </w:rPr>
      </w:pPr>
    </w:p>
    <w:p w14:paraId="386D2AC3"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Nesuderinamumas</w:t>
      </w:r>
    </w:p>
    <w:p w14:paraId="4F0E5C8C"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Maišyti tirpalo su kitomis medžiagomis negalima. Jei vartojant linezolidą vartojama kitų vaistinių preparatų, jų reikia vartoti atskirai, laikantis kiekvienam vaistiniam preparatui skirtų nurodymų. Atitinkamai, jei bus naudojama ta pati sistema infuzuoti keletui vaistinių preparatų į veną, prieš ir po linezolido skyrimo, infuzijų sistemą reikia praplauti suderinamu infuziniu tirpalu.</w:t>
      </w:r>
    </w:p>
    <w:p w14:paraId="75013B4D"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p>
    <w:p w14:paraId="4B4CEE03"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Žinoma, kad linezolido infuzinis tirpalas fizikiniu požiūriu yra nesuderinamas su šiomis medžiagomis: amfotericinu B, chlorpromazino hidrochloridu, diazepamu, pentamidino izetionatu, eritromicino laktobionatu, fenitoino natrio druska ir sulfametoksazolu / trimetoprimu. Be to, vartojant kartu su ceftriaksono natrio druska pasireiškia cheminis nesuderinamumas.</w:t>
      </w:r>
    </w:p>
    <w:p w14:paraId="6153B870"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p>
    <w:p w14:paraId="63D7883D"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Tinkamumo laikas</w:t>
      </w:r>
    </w:p>
    <w:p w14:paraId="5E92670C"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snapToGrid w:val="0"/>
          <w:kern w:val="0"/>
          <w:sz w:val="22"/>
          <w:szCs w:val="22"/>
          <w14:ligatures w14:val="none"/>
        </w:rPr>
        <w:t>2 metai</w:t>
      </w:r>
    </w:p>
    <w:p w14:paraId="31881DDD" w14:textId="2BCB8FA7" w:rsidR="00FB407F" w:rsidRPr="00C24DBC" w:rsidRDefault="00FB407F" w:rsidP="00FB407F">
      <w:pPr>
        <w:widowControl w:val="0"/>
        <w:tabs>
          <w:tab w:val="left" w:pos="567"/>
        </w:tabs>
        <w:ind w:left="0" w:firstLine="0"/>
        <w:rPr>
          <w:rFonts w:ascii="Times New Roman" w:eastAsia="Times New Roman" w:hAnsi="Times New Roman" w:cs="Times New Roman"/>
          <w:snapToGrid w:val="0"/>
          <w:kern w:val="0"/>
          <w:sz w:val="22"/>
          <w:szCs w:val="22"/>
          <w14:ligatures w14:val="none"/>
        </w:rPr>
      </w:pPr>
      <w:r w:rsidRPr="00C24DBC">
        <w:rPr>
          <w:rFonts w:ascii="Times New Roman" w:eastAsia="Times New Roman" w:hAnsi="Times New Roman" w:cs="Times New Roman"/>
          <w:b/>
          <w:snapToGrid w:val="0"/>
          <w:kern w:val="0"/>
          <w:sz w:val="22"/>
          <w:szCs w:val="22"/>
          <w14:ligatures w14:val="none"/>
        </w:rPr>
        <w:t>Po atidarymo</w:t>
      </w:r>
      <w:r w:rsidRPr="00C24DBC">
        <w:rPr>
          <w:rFonts w:ascii="Times New Roman" w:eastAsia="Times New Roman" w:hAnsi="Times New Roman" w:cs="Times New Roman"/>
          <w:snapToGrid w:val="0"/>
          <w:kern w:val="0"/>
          <w:sz w:val="22"/>
          <w:szCs w:val="22"/>
          <w14:ligatures w14:val="none"/>
        </w:rPr>
        <w:t xml:space="preserve">: po </w:t>
      </w:r>
      <w:r w:rsidR="0099209F" w:rsidRPr="00C24DBC">
        <w:rPr>
          <w:rFonts w:ascii="Times New Roman" w:eastAsia="Times New Roman" w:hAnsi="Times New Roman" w:cs="Times New Roman"/>
          <w:snapToGrid w:val="0"/>
          <w:kern w:val="0"/>
          <w:sz w:val="22"/>
          <w:szCs w:val="22"/>
          <w14:ligatures w14:val="none"/>
        </w:rPr>
        <w:t>buteliuko</w:t>
      </w:r>
      <w:r w:rsidRPr="00C24DBC">
        <w:rPr>
          <w:rFonts w:ascii="Times New Roman" w:eastAsia="Times New Roman" w:hAnsi="Times New Roman" w:cs="Times New Roman"/>
          <w:snapToGrid w:val="0"/>
          <w:kern w:val="0"/>
          <w:sz w:val="22"/>
          <w:szCs w:val="22"/>
          <w14:ligatures w14:val="none"/>
        </w:rPr>
        <w:t xml:space="preserve"> išėmimo iš </w:t>
      </w:r>
      <w:r w:rsidR="0099209F" w:rsidRPr="00C24DBC">
        <w:rPr>
          <w:rFonts w:ascii="Times New Roman" w:eastAsia="Times New Roman" w:hAnsi="Times New Roman" w:cs="Times New Roman"/>
          <w:snapToGrid w:val="0"/>
          <w:kern w:val="0"/>
          <w:sz w:val="22"/>
          <w:szCs w:val="22"/>
          <w14:ligatures w14:val="none"/>
        </w:rPr>
        <w:t>dėžutės</w:t>
      </w:r>
      <w:r w:rsidRPr="00C24DBC">
        <w:rPr>
          <w:rFonts w:ascii="Times New Roman" w:eastAsia="Times New Roman" w:hAnsi="Times New Roman" w:cs="Times New Roman"/>
          <w:snapToGrid w:val="0"/>
          <w:kern w:val="0"/>
          <w:sz w:val="22"/>
          <w:szCs w:val="22"/>
          <w14:ligatures w14:val="none"/>
        </w:rPr>
        <w:t xml:space="preserve"> tirpalas cheminiu ir fizikiniu požiūriu kambario temperatūroje išlieka stabilus 24 valandas. Mikrobiologiniu požiūriu tirpalą būtina suvartoti iš karto. Jei tirpalas tuoj pat nesuvartojamas, už tinkamumo laiką ir laikymo iki vartojimo sąlygas atsako vartotojas.</w:t>
      </w:r>
    </w:p>
    <w:p w14:paraId="4DEE6D58" w14:textId="77777777" w:rsidR="00FB407F" w:rsidRPr="00C24DBC" w:rsidRDefault="00FB407F" w:rsidP="00FB407F">
      <w:pPr>
        <w:widowControl w:val="0"/>
        <w:ind w:left="0" w:firstLine="0"/>
        <w:rPr>
          <w:rFonts w:ascii="Times New Roman" w:eastAsia="Times New Roman" w:hAnsi="Times New Roman" w:cs="Times New Roman"/>
          <w:snapToGrid w:val="0"/>
          <w:kern w:val="0"/>
          <w:sz w:val="22"/>
          <w:szCs w:val="22"/>
          <w14:ligatures w14:val="none"/>
        </w:rPr>
      </w:pPr>
    </w:p>
    <w:p w14:paraId="4EE59C70" w14:textId="77777777" w:rsidR="00FB407F" w:rsidRPr="00C24DBC" w:rsidRDefault="00FB407F" w:rsidP="00FB407F">
      <w:pPr>
        <w:widowControl w:val="0"/>
        <w:tabs>
          <w:tab w:val="left" w:pos="567"/>
        </w:tabs>
        <w:ind w:left="0" w:firstLine="0"/>
        <w:jc w:val="both"/>
        <w:outlineLvl w:val="3"/>
        <w:rPr>
          <w:rFonts w:ascii="Times New Roman" w:eastAsia="Times New Roman" w:hAnsi="Times New Roman" w:cs="Times New Roman"/>
          <w:b/>
          <w:bCs/>
          <w:snapToGrid w:val="0"/>
          <w:kern w:val="0"/>
          <w:sz w:val="22"/>
          <w:szCs w:val="22"/>
          <w:lang w:eastAsia="sl-SI"/>
          <w14:ligatures w14:val="none"/>
        </w:rPr>
      </w:pPr>
      <w:r w:rsidRPr="00C24DBC">
        <w:rPr>
          <w:rFonts w:ascii="Times New Roman" w:eastAsia="Times New Roman" w:hAnsi="Times New Roman" w:cs="Times New Roman"/>
          <w:b/>
          <w:bCs/>
          <w:snapToGrid w:val="0"/>
          <w:kern w:val="0"/>
          <w:sz w:val="22"/>
          <w:szCs w:val="22"/>
          <w:lang w:eastAsia="sl-SI"/>
          <w14:ligatures w14:val="none"/>
        </w:rPr>
        <w:t>Specialios laikymo sąlygos</w:t>
      </w:r>
    </w:p>
    <w:p w14:paraId="1D819601" w14:textId="77777777" w:rsidR="00EC26B8" w:rsidRPr="00C24DBC" w:rsidRDefault="00EC26B8" w:rsidP="00FB407F">
      <w:pPr>
        <w:widowControl w:val="0"/>
        <w:ind w:left="0" w:firstLine="0"/>
        <w:rPr>
          <w:rFonts w:ascii="Times New Roman" w:eastAsia="Times New Roman" w:hAnsi="Times New Roman" w:cs="Times New Roman"/>
          <w:kern w:val="0"/>
          <w:sz w:val="22"/>
          <w:szCs w:val="22"/>
          <w14:ligatures w14:val="none"/>
        </w:rPr>
      </w:pPr>
      <w:r w:rsidRPr="00C24DBC">
        <w:rPr>
          <w:rFonts w:ascii="Times New Roman" w:eastAsia="Times New Roman" w:hAnsi="Times New Roman" w:cs="Times New Roman"/>
          <w:kern w:val="0"/>
          <w:sz w:val="22"/>
          <w:szCs w:val="22"/>
          <w14:ligatures w14:val="none"/>
        </w:rPr>
        <w:t>Šio vaisto laikymui specialių temperatūros sąlygų nereikalaujama.</w:t>
      </w:r>
    </w:p>
    <w:p w14:paraId="1A19B3A4" w14:textId="7834D2A2" w:rsidR="000E75BE" w:rsidRPr="00C24DBC" w:rsidRDefault="00FB407F" w:rsidP="00FB407F">
      <w:pPr>
        <w:widowControl w:val="0"/>
        <w:ind w:left="0" w:firstLine="0"/>
        <w:rPr>
          <w:rFonts w:ascii="Times New Roman" w:eastAsia="Calibri" w:hAnsi="Times New Roman" w:cs="Times New Roman"/>
          <w:kern w:val="0"/>
          <w:sz w:val="22"/>
          <w:szCs w:val="22"/>
          <w14:ligatures w14:val="none"/>
        </w:rPr>
      </w:pPr>
      <w:r w:rsidRPr="00C24DBC">
        <w:rPr>
          <w:rFonts w:ascii="Times New Roman" w:eastAsia="Calibri" w:hAnsi="Times New Roman" w:cs="Times New Roman"/>
          <w:kern w:val="0"/>
          <w:sz w:val="22"/>
          <w:szCs w:val="22"/>
          <w14:ligatures w14:val="none"/>
        </w:rPr>
        <w:t>Laikyti gamintojo pakuotėje, kad vaistinis preparatas būtų apsaugotas nuo šviesos.</w:t>
      </w:r>
    </w:p>
    <w:sectPr w:rsidR="000E75BE" w:rsidRPr="00C24DBC" w:rsidSect="00FB407F">
      <w:headerReference w:type="default" r:id="rId8"/>
      <w:footerReference w:type="even" r:id="rId9"/>
      <w:footerReference w:type="default" r:id="rId10"/>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05EAB" w14:textId="77777777" w:rsidR="00BE0302" w:rsidRDefault="00BE0302">
      <w:r>
        <w:separator/>
      </w:r>
    </w:p>
  </w:endnote>
  <w:endnote w:type="continuationSeparator" w:id="0">
    <w:p w14:paraId="3191A7F4" w14:textId="77777777" w:rsidR="00BE0302" w:rsidRDefault="00BE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83CA" w14:textId="77777777" w:rsidR="00FB407F" w:rsidRDefault="00FB407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613D757" w14:textId="77777777" w:rsidR="00FB407F" w:rsidRDefault="00FB407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CC55" w14:textId="77777777" w:rsidR="00FB407F" w:rsidRPr="00D10048" w:rsidRDefault="00FB407F" w:rsidP="00D10048">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315AC" w14:textId="77777777" w:rsidR="00BE0302" w:rsidRDefault="00BE0302">
      <w:r>
        <w:separator/>
      </w:r>
    </w:p>
  </w:footnote>
  <w:footnote w:type="continuationSeparator" w:id="0">
    <w:p w14:paraId="27370D90" w14:textId="77777777" w:rsidR="00BE0302" w:rsidRDefault="00BE0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7B98" w14:textId="77777777" w:rsidR="00FB407F" w:rsidRDefault="00FB407F">
    <w:pPr>
      <w:spacing w:line="20" w:lineRule="exact"/>
    </w:pPr>
  </w:p>
  <w:p w14:paraId="202F5155" w14:textId="77777777" w:rsidR="00FB407F" w:rsidRDefault="00FB407F">
    <w:pPr>
      <w:pStyle w:val="Antrats"/>
    </w:pPr>
    <w:bookmarkStart w:id="3" w:name="TableTag1"/>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2057"/>
    <w:multiLevelType w:val="hybridMultilevel"/>
    <w:tmpl w:val="C4EC2EE2"/>
    <w:lvl w:ilvl="0" w:tplc="BF06C694">
      <w:start w:val="1"/>
      <w:numFmt w:val="bullet"/>
      <w:lvlText w:val="-"/>
      <w:lvlJc w:val="left"/>
      <w:pPr>
        <w:ind w:left="360" w:hanging="360"/>
      </w:pPr>
      <w:rPr>
        <w:rFonts w:ascii="Times New Roman" w:hAnsi="Times New Roman" w:cs="Times New Roman"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15F77EE"/>
    <w:multiLevelType w:val="hybridMultilevel"/>
    <w:tmpl w:val="4FB426BE"/>
    <w:lvl w:ilvl="0" w:tplc="A19C5E3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250698457">
    <w:abstractNumId w:val="10"/>
  </w:num>
  <w:num w:numId="2" w16cid:durableId="141238329">
    <w:abstractNumId w:val="7"/>
  </w:num>
  <w:num w:numId="3" w16cid:durableId="1928267953">
    <w:abstractNumId w:val="4"/>
  </w:num>
  <w:num w:numId="4" w16cid:durableId="41171359">
    <w:abstractNumId w:val="8"/>
  </w:num>
  <w:num w:numId="5" w16cid:durableId="1445684714">
    <w:abstractNumId w:val="6"/>
  </w:num>
  <w:num w:numId="6" w16cid:durableId="98840163">
    <w:abstractNumId w:val="11"/>
  </w:num>
  <w:num w:numId="7" w16cid:durableId="1199776208">
    <w:abstractNumId w:val="0"/>
  </w:num>
  <w:num w:numId="8" w16cid:durableId="472022881">
    <w:abstractNumId w:val="2"/>
  </w:num>
  <w:num w:numId="9" w16cid:durableId="2070573238">
    <w:abstractNumId w:val="5"/>
  </w:num>
  <w:num w:numId="10" w16cid:durableId="817845340">
    <w:abstractNumId w:val="1"/>
  </w:num>
  <w:num w:numId="11" w16cid:durableId="693770948">
    <w:abstractNumId w:val="9"/>
  </w:num>
  <w:num w:numId="12" w16cid:durableId="8648272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2F"/>
    <w:rsid w:val="00090DCA"/>
    <w:rsid w:val="000E75BE"/>
    <w:rsid w:val="00146696"/>
    <w:rsid w:val="001542A0"/>
    <w:rsid w:val="00181137"/>
    <w:rsid w:val="00247B7C"/>
    <w:rsid w:val="0028414A"/>
    <w:rsid w:val="00322142"/>
    <w:rsid w:val="003658A2"/>
    <w:rsid w:val="003E4E5D"/>
    <w:rsid w:val="00462A2F"/>
    <w:rsid w:val="004C7903"/>
    <w:rsid w:val="005666C6"/>
    <w:rsid w:val="006F0F7D"/>
    <w:rsid w:val="0075440F"/>
    <w:rsid w:val="00964D88"/>
    <w:rsid w:val="0099209F"/>
    <w:rsid w:val="00BE0302"/>
    <w:rsid w:val="00C24DBC"/>
    <w:rsid w:val="00CF456B"/>
    <w:rsid w:val="00D10048"/>
    <w:rsid w:val="00D12D32"/>
    <w:rsid w:val="00D93C28"/>
    <w:rsid w:val="00E77089"/>
    <w:rsid w:val="00EC26B8"/>
    <w:rsid w:val="00F629A0"/>
    <w:rsid w:val="00FB407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0FE15"/>
  <w15:chartTrackingRefBased/>
  <w15:docId w15:val="{D28565C4-96C1-424E-AE4D-AB95257C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B407F"/>
  </w:style>
  <w:style w:type="paragraph" w:styleId="Antrat1">
    <w:name w:val="heading 1"/>
    <w:basedOn w:val="prastasis"/>
    <w:next w:val="prastasis"/>
    <w:link w:val="Antrat1Diagrama"/>
    <w:uiPriority w:val="9"/>
    <w:qFormat/>
    <w:rsid w:val="0046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6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62A2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62A2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62A2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62A2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62A2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62A2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62A2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62A2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62A2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62A2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62A2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62A2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62A2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62A2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62A2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62A2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62A2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62A2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62A2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62A2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62A2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62A2F"/>
    <w:rPr>
      <w:i/>
      <w:iCs/>
      <w:color w:val="404040" w:themeColor="text1" w:themeTint="BF"/>
    </w:rPr>
  </w:style>
  <w:style w:type="paragraph" w:styleId="Sraopastraipa">
    <w:name w:val="List Paragraph"/>
    <w:basedOn w:val="prastasis"/>
    <w:uiPriority w:val="34"/>
    <w:qFormat/>
    <w:rsid w:val="00462A2F"/>
    <w:pPr>
      <w:ind w:left="720"/>
      <w:contextualSpacing/>
    </w:pPr>
  </w:style>
  <w:style w:type="character" w:styleId="Rykuspabraukimas">
    <w:name w:val="Intense Emphasis"/>
    <w:basedOn w:val="Numatytasispastraiposriftas"/>
    <w:uiPriority w:val="21"/>
    <w:qFormat/>
    <w:rsid w:val="00462A2F"/>
    <w:rPr>
      <w:i/>
      <w:iCs/>
      <w:color w:val="0F4761" w:themeColor="accent1" w:themeShade="BF"/>
    </w:rPr>
  </w:style>
  <w:style w:type="paragraph" w:styleId="Iskirtacitata">
    <w:name w:val="Intense Quote"/>
    <w:basedOn w:val="prastasis"/>
    <w:next w:val="prastasis"/>
    <w:link w:val="IskirtacitataDiagrama"/>
    <w:uiPriority w:val="30"/>
    <w:qFormat/>
    <w:rsid w:val="0046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62A2F"/>
    <w:rPr>
      <w:i/>
      <w:iCs/>
      <w:color w:val="0F4761" w:themeColor="accent1" w:themeShade="BF"/>
    </w:rPr>
  </w:style>
  <w:style w:type="character" w:styleId="Rykinuoroda">
    <w:name w:val="Intense Reference"/>
    <w:basedOn w:val="Numatytasispastraiposriftas"/>
    <w:uiPriority w:val="32"/>
    <w:qFormat/>
    <w:rsid w:val="00462A2F"/>
    <w:rPr>
      <w:b/>
      <w:bCs/>
      <w:smallCaps/>
      <w:color w:val="0F4761" w:themeColor="accent1" w:themeShade="BF"/>
      <w:spacing w:val="5"/>
    </w:rPr>
  </w:style>
  <w:style w:type="paragraph" w:styleId="Antrats">
    <w:name w:val="header"/>
    <w:basedOn w:val="prastasis"/>
    <w:link w:val="AntratsDiagrama"/>
    <w:uiPriority w:val="99"/>
    <w:semiHidden/>
    <w:unhideWhenUsed/>
    <w:rsid w:val="00FB407F"/>
    <w:pPr>
      <w:tabs>
        <w:tab w:val="center" w:pos="4819"/>
        <w:tab w:val="right" w:pos="9638"/>
      </w:tabs>
    </w:pPr>
  </w:style>
  <w:style w:type="character" w:customStyle="1" w:styleId="AntratsDiagrama">
    <w:name w:val="Antraštės Diagrama"/>
    <w:basedOn w:val="Numatytasispastraiposriftas"/>
    <w:link w:val="Antrats"/>
    <w:uiPriority w:val="99"/>
    <w:semiHidden/>
    <w:rsid w:val="00FB407F"/>
  </w:style>
  <w:style w:type="paragraph" w:styleId="Porat">
    <w:name w:val="footer"/>
    <w:basedOn w:val="prastasis"/>
    <w:link w:val="PoratDiagrama"/>
    <w:uiPriority w:val="99"/>
    <w:unhideWhenUsed/>
    <w:rsid w:val="00FB407F"/>
    <w:pPr>
      <w:tabs>
        <w:tab w:val="center" w:pos="4819"/>
        <w:tab w:val="right" w:pos="9638"/>
      </w:tabs>
    </w:pPr>
  </w:style>
  <w:style w:type="character" w:customStyle="1" w:styleId="PoratDiagrama">
    <w:name w:val="Poraštė Diagrama"/>
    <w:basedOn w:val="Numatytasispastraiposriftas"/>
    <w:link w:val="Porat"/>
    <w:uiPriority w:val="99"/>
    <w:rsid w:val="00FB407F"/>
  </w:style>
  <w:style w:type="character" w:styleId="Puslapionumeris">
    <w:name w:val="page number"/>
    <w:basedOn w:val="Numatytasispastraiposriftas"/>
    <w:uiPriority w:val="99"/>
    <w:rsid w:val="00FB407F"/>
  </w:style>
  <w:style w:type="character" w:styleId="Hipersaitas">
    <w:name w:val="Hyperlink"/>
    <w:basedOn w:val="Numatytasispastraiposriftas"/>
    <w:uiPriority w:val="99"/>
    <w:unhideWhenUsed/>
    <w:rsid w:val="00181137"/>
    <w:rPr>
      <w:color w:val="467886" w:themeColor="hyperlink"/>
      <w:u w:val="single"/>
    </w:rPr>
  </w:style>
  <w:style w:type="character" w:styleId="Neapdorotaspaminjimas">
    <w:name w:val="Unresolved Mention"/>
    <w:basedOn w:val="Numatytasispastraiposriftas"/>
    <w:uiPriority w:val="99"/>
    <w:semiHidden/>
    <w:unhideWhenUsed/>
    <w:rsid w:val="00181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31514</Words>
  <Characters>17964</Characters>
  <Application>Microsoft Office Word</Application>
  <DocSecurity>0</DocSecurity>
  <Lines>149</Lines>
  <Paragraphs>98</Paragraphs>
  <ScaleCrop>false</ScaleCrop>
  <Company/>
  <LinksUpToDate>false</LinksUpToDate>
  <CharactersWithSpaces>49380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16</cp:revision>
  <dcterms:created xsi:type="dcterms:W3CDTF">2026-05-09T21:26:00Z</dcterms:created>
  <dcterms:modified xsi:type="dcterms:W3CDTF">2026-06-23T09:01:00Z</dcterms:modified>
</cp:coreProperties>
</file>