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42183"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29F681DF"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70E11556"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05FC6F78"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404CFF5F"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64EDC2DD"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105992F2"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57670EA7"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27A9F41C"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3E06AF0A"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2175D672"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40B095A7"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5169F106"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8504659"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AA7B5FF"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3EFDE688"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2D81C2A7"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61552F0"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5B1BABF6"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4FA0CFFD"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6757EBA8"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32F88890"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p>
    <w:p w14:paraId="039BD1CF" w14:textId="77777777" w:rsidR="00185973" w:rsidRPr="0077622E" w:rsidRDefault="00185973" w:rsidP="00185973">
      <w:pPr>
        <w:widowControl w:val="0"/>
        <w:ind w:left="0" w:firstLine="0"/>
        <w:jc w:val="center"/>
        <w:outlineLvl w:val="0"/>
        <w:rPr>
          <w:rFonts w:ascii="Times New Roman" w:eastAsia="Times New Roman" w:hAnsi="Times New Roman" w:cs="Times New Roman"/>
          <w:b/>
          <w:kern w:val="28"/>
          <w:sz w:val="22"/>
          <w:szCs w:val="22"/>
          <w:lang w:eastAsia="lt-LT"/>
          <w14:ligatures w14:val="none"/>
        </w:rPr>
      </w:pPr>
      <w:r w:rsidRPr="0077622E">
        <w:rPr>
          <w:rFonts w:ascii="Times New Roman" w:eastAsia="Times New Roman" w:hAnsi="Times New Roman" w:cs="Times New Roman"/>
          <w:b/>
          <w:kern w:val="28"/>
          <w:sz w:val="22"/>
          <w:szCs w:val="22"/>
          <w:lang w:eastAsia="lt-LT"/>
          <w14:ligatures w14:val="none"/>
        </w:rPr>
        <w:t>B. PAKUOTĖS LAPELIS</w:t>
      </w:r>
    </w:p>
    <w:p w14:paraId="15E9CF79" w14:textId="77777777" w:rsidR="00D809C1" w:rsidRDefault="00D809C1"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4C4F9C41" w14:textId="77777777" w:rsidR="00D809C1" w:rsidRPr="00D809C1" w:rsidRDefault="00D809C1" w:rsidP="00D809C1">
      <w:pPr>
        <w:rPr>
          <w:rFonts w:ascii="Times New Roman" w:eastAsia="Times New Roman" w:hAnsi="Times New Roman" w:cs="Times New Roman"/>
          <w:sz w:val="22"/>
          <w:szCs w:val="22"/>
          <w:lang w:eastAsia="lt-LT"/>
        </w:rPr>
      </w:pPr>
    </w:p>
    <w:p w14:paraId="62957D5C" w14:textId="77777777" w:rsidR="00D809C1" w:rsidRPr="00D809C1" w:rsidRDefault="00D809C1" w:rsidP="00D809C1">
      <w:pPr>
        <w:rPr>
          <w:rFonts w:ascii="Times New Roman" w:eastAsia="Times New Roman" w:hAnsi="Times New Roman" w:cs="Times New Roman"/>
          <w:sz w:val="22"/>
          <w:szCs w:val="22"/>
          <w:lang w:eastAsia="lt-LT"/>
        </w:rPr>
      </w:pPr>
    </w:p>
    <w:p w14:paraId="744FC1F3" w14:textId="77777777" w:rsidR="00D809C1" w:rsidRPr="00D809C1" w:rsidRDefault="00D809C1" w:rsidP="00D809C1">
      <w:pPr>
        <w:rPr>
          <w:rFonts w:ascii="Times New Roman" w:eastAsia="Times New Roman" w:hAnsi="Times New Roman" w:cs="Times New Roman"/>
          <w:sz w:val="22"/>
          <w:szCs w:val="22"/>
          <w:lang w:eastAsia="lt-LT"/>
        </w:rPr>
      </w:pPr>
    </w:p>
    <w:p w14:paraId="0568C5BE" w14:textId="77777777" w:rsidR="00D809C1" w:rsidRPr="00D809C1" w:rsidRDefault="00D809C1" w:rsidP="00D809C1">
      <w:pPr>
        <w:rPr>
          <w:rFonts w:ascii="Times New Roman" w:eastAsia="Times New Roman" w:hAnsi="Times New Roman" w:cs="Times New Roman"/>
          <w:sz w:val="22"/>
          <w:szCs w:val="22"/>
          <w:lang w:eastAsia="lt-LT"/>
        </w:rPr>
      </w:pPr>
    </w:p>
    <w:p w14:paraId="2BDD2BD1" w14:textId="77777777" w:rsidR="00D809C1" w:rsidRPr="00D809C1" w:rsidRDefault="00D809C1" w:rsidP="00D809C1">
      <w:pPr>
        <w:rPr>
          <w:rFonts w:ascii="Times New Roman" w:eastAsia="Times New Roman" w:hAnsi="Times New Roman" w:cs="Times New Roman"/>
          <w:sz w:val="22"/>
          <w:szCs w:val="22"/>
          <w:lang w:eastAsia="lt-LT"/>
        </w:rPr>
      </w:pPr>
    </w:p>
    <w:p w14:paraId="54B60D21" w14:textId="77777777" w:rsidR="00D809C1" w:rsidRPr="00D809C1" w:rsidRDefault="00D809C1" w:rsidP="00D809C1">
      <w:pPr>
        <w:rPr>
          <w:rFonts w:ascii="Times New Roman" w:eastAsia="Times New Roman" w:hAnsi="Times New Roman" w:cs="Times New Roman"/>
          <w:sz w:val="22"/>
          <w:szCs w:val="22"/>
          <w:lang w:eastAsia="lt-LT"/>
        </w:rPr>
      </w:pPr>
    </w:p>
    <w:p w14:paraId="3120B845" w14:textId="77777777" w:rsidR="00D809C1" w:rsidRPr="00D809C1" w:rsidRDefault="00D809C1" w:rsidP="00D809C1">
      <w:pPr>
        <w:rPr>
          <w:rFonts w:ascii="Times New Roman" w:eastAsia="Times New Roman" w:hAnsi="Times New Roman" w:cs="Times New Roman"/>
          <w:sz w:val="22"/>
          <w:szCs w:val="22"/>
          <w:lang w:eastAsia="lt-LT"/>
        </w:rPr>
      </w:pPr>
    </w:p>
    <w:p w14:paraId="620E8E73" w14:textId="77777777" w:rsidR="00D809C1" w:rsidRPr="00D809C1" w:rsidRDefault="00D809C1" w:rsidP="00D809C1">
      <w:pPr>
        <w:rPr>
          <w:rFonts w:ascii="Times New Roman" w:eastAsia="Times New Roman" w:hAnsi="Times New Roman" w:cs="Times New Roman"/>
          <w:sz w:val="22"/>
          <w:szCs w:val="22"/>
          <w:lang w:eastAsia="lt-LT"/>
        </w:rPr>
      </w:pPr>
    </w:p>
    <w:p w14:paraId="1C032C19" w14:textId="77777777" w:rsidR="00D809C1" w:rsidRPr="00D809C1" w:rsidRDefault="00D809C1" w:rsidP="00D809C1">
      <w:pPr>
        <w:rPr>
          <w:rFonts w:ascii="Times New Roman" w:eastAsia="Times New Roman" w:hAnsi="Times New Roman" w:cs="Times New Roman"/>
          <w:sz w:val="22"/>
          <w:szCs w:val="22"/>
          <w:lang w:eastAsia="lt-LT"/>
        </w:rPr>
      </w:pPr>
    </w:p>
    <w:p w14:paraId="0B5491E0" w14:textId="77777777" w:rsidR="00D809C1" w:rsidRPr="00D809C1" w:rsidRDefault="00D809C1" w:rsidP="00D809C1">
      <w:pPr>
        <w:rPr>
          <w:rFonts w:ascii="Times New Roman" w:eastAsia="Times New Roman" w:hAnsi="Times New Roman" w:cs="Times New Roman"/>
          <w:sz w:val="22"/>
          <w:szCs w:val="22"/>
          <w:lang w:eastAsia="lt-LT"/>
        </w:rPr>
      </w:pPr>
    </w:p>
    <w:p w14:paraId="5BCC3246" w14:textId="77777777" w:rsidR="00D809C1" w:rsidRPr="00D809C1" w:rsidRDefault="00D809C1" w:rsidP="00D809C1">
      <w:pPr>
        <w:rPr>
          <w:rFonts w:ascii="Times New Roman" w:eastAsia="Times New Roman" w:hAnsi="Times New Roman" w:cs="Times New Roman"/>
          <w:sz w:val="22"/>
          <w:szCs w:val="22"/>
          <w:lang w:eastAsia="lt-LT"/>
        </w:rPr>
      </w:pPr>
    </w:p>
    <w:p w14:paraId="0B8DE7AF" w14:textId="77777777" w:rsidR="00D809C1" w:rsidRPr="00D809C1" w:rsidRDefault="00D809C1" w:rsidP="00D809C1">
      <w:pPr>
        <w:rPr>
          <w:rFonts w:ascii="Times New Roman" w:eastAsia="Times New Roman" w:hAnsi="Times New Roman" w:cs="Times New Roman"/>
          <w:sz w:val="22"/>
          <w:szCs w:val="22"/>
          <w:lang w:eastAsia="lt-LT"/>
        </w:rPr>
      </w:pPr>
    </w:p>
    <w:p w14:paraId="6C08F6E7" w14:textId="77777777" w:rsidR="00D809C1" w:rsidRPr="00D809C1" w:rsidRDefault="00D809C1" w:rsidP="00D809C1">
      <w:pPr>
        <w:rPr>
          <w:rFonts w:ascii="Times New Roman" w:eastAsia="Times New Roman" w:hAnsi="Times New Roman" w:cs="Times New Roman"/>
          <w:sz w:val="22"/>
          <w:szCs w:val="22"/>
          <w:lang w:eastAsia="lt-LT"/>
        </w:rPr>
      </w:pPr>
    </w:p>
    <w:p w14:paraId="0787624A" w14:textId="77777777" w:rsidR="00D809C1" w:rsidRPr="00D809C1" w:rsidRDefault="00D809C1" w:rsidP="00D809C1">
      <w:pPr>
        <w:rPr>
          <w:rFonts w:ascii="Times New Roman" w:eastAsia="Times New Roman" w:hAnsi="Times New Roman" w:cs="Times New Roman"/>
          <w:sz w:val="22"/>
          <w:szCs w:val="22"/>
          <w:lang w:eastAsia="lt-LT"/>
        </w:rPr>
      </w:pPr>
    </w:p>
    <w:p w14:paraId="77F8F137" w14:textId="77777777" w:rsidR="00D809C1" w:rsidRPr="00D809C1" w:rsidRDefault="00D809C1" w:rsidP="00D809C1">
      <w:pPr>
        <w:rPr>
          <w:rFonts w:ascii="Times New Roman" w:eastAsia="Times New Roman" w:hAnsi="Times New Roman" w:cs="Times New Roman"/>
          <w:sz w:val="22"/>
          <w:szCs w:val="22"/>
          <w:lang w:eastAsia="lt-LT"/>
        </w:rPr>
      </w:pPr>
    </w:p>
    <w:p w14:paraId="6564502E" w14:textId="77777777" w:rsidR="00D809C1" w:rsidRPr="00D809C1" w:rsidRDefault="00D809C1" w:rsidP="00D809C1">
      <w:pPr>
        <w:rPr>
          <w:rFonts w:ascii="Times New Roman" w:eastAsia="Times New Roman" w:hAnsi="Times New Roman" w:cs="Times New Roman"/>
          <w:sz w:val="22"/>
          <w:szCs w:val="22"/>
          <w:lang w:eastAsia="lt-LT"/>
        </w:rPr>
      </w:pPr>
    </w:p>
    <w:p w14:paraId="3D3787A9" w14:textId="77777777" w:rsidR="00D809C1" w:rsidRPr="00D809C1" w:rsidRDefault="00D809C1" w:rsidP="00D809C1">
      <w:pPr>
        <w:rPr>
          <w:rFonts w:ascii="Times New Roman" w:eastAsia="Times New Roman" w:hAnsi="Times New Roman" w:cs="Times New Roman"/>
          <w:sz w:val="22"/>
          <w:szCs w:val="22"/>
          <w:lang w:eastAsia="lt-LT"/>
        </w:rPr>
      </w:pPr>
    </w:p>
    <w:p w14:paraId="6756F077" w14:textId="6D8D36A4" w:rsidR="00D809C1" w:rsidRDefault="00D809C1" w:rsidP="00D809C1">
      <w:pPr>
        <w:widowControl w:val="0"/>
        <w:tabs>
          <w:tab w:val="left" w:pos="6120"/>
        </w:tabs>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ab/>
      </w:r>
    </w:p>
    <w:p w14:paraId="0BCCAF58" w14:textId="165C207C" w:rsidR="00185973" w:rsidRPr="0077622E" w:rsidRDefault="00185973" w:rsidP="00185973">
      <w:pPr>
        <w:widowControl w:val="0"/>
        <w:ind w:left="0" w:firstLine="0"/>
        <w:jc w:val="center"/>
        <w:rPr>
          <w:rFonts w:ascii="Times New Roman" w:eastAsia="Times New Roman" w:hAnsi="Times New Roman" w:cs="Times New Roman"/>
          <w:b/>
          <w:kern w:val="0"/>
          <w:sz w:val="22"/>
          <w:szCs w:val="22"/>
          <w:lang w:eastAsia="lt-LT"/>
          <w14:ligatures w14:val="none"/>
        </w:rPr>
      </w:pPr>
      <w:r w:rsidRPr="00D809C1">
        <w:rPr>
          <w:rFonts w:ascii="Times New Roman" w:eastAsia="Times New Roman" w:hAnsi="Times New Roman" w:cs="Times New Roman"/>
          <w:sz w:val="22"/>
          <w:szCs w:val="22"/>
          <w:lang w:eastAsia="lt-LT"/>
        </w:rPr>
        <w:br w:type="page"/>
      </w:r>
      <w:bookmarkStart w:id="0" w:name="_Toc129243263"/>
      <w:bookmarkStart w:id="1" w:name="_Toc129243138"/>
      <w:r w:rsidRPr="0077622E">
        <w:rPr>
          <w:rFonts w:ascii="Times New Roman" w:eastAsia="Times New Roman" w:hAnsi="Times New Roman" w:cs="Times New Roman"/>
          <w:b/>
          <w:kern w:val="0"/>
          <w:sz w:val="22"/>
          <w:szCs w:val="22"/>
          <w:lang w:eastAsia="lt-LT"/>
          <w14:ligatures w14:val="none"/>
        </w:rPr>
        <w:lastRenderedPageBreak/>
        <w:t>Pakuotės lapelis: informacija vartotojui</w:t>
      </w:r>
      <w:bookmarkEnd w:id="0"/>
      <w:bookmarkEnd w:id="1"/>
    </w:p>
    <w:p w14:paraId="466F7ED6" w14:textId="77777777" w:rsidR="00185973" w:rsidRPr="0077622E" w:rsidRDefault="00185973" w:rsidP="00185973">
      <w:pPr>
        <w:widowControl w:val="0"/>
        <w:ind w:left="0" w:firstLine="0"/>
        <w:jc w:val="center"/>
        <w:rPr>
          <w:rFonts w:ascii="Times New Roman" w:eastAsia="Times New Roman" w:hAnsi="Times New Roman" w:cs="Times New Roman"/>
          <w:b/>
          <w:kern w:val="0"/>
          <w:sz w:val="22"/>
          <w:szCs w:val="22"/>
          <w:lang w:eastAsia="lt-LT"/>
          <w14:ligatures w14:val="none"/>
        </w:rPr>
      </w:pPr>
    </w:p>
    <w:p w14:paraId="3E61B69A" w14:textId="6242A0B9" w:rsidR="00185973" w:rsidRPr="0077622E" w:rsidRDefault="00185973" w:rsidP="00185973">
      <w:pPr>
        <w:widowControl w:val="0"/>
        <w:ind w:left="0" w:firstLine="0"/>
        <w:jc w:val="center"/>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Kenalog 40 mg/ml injekcinė suspensija</w:t>
      </w:r>
    </w:p>
    <w:p w14:paraId="45A70A23"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triamcinolono acetonidas</w:t>
      </w:r>
    </w:p>
    <w:p w14:paraId="343CB28A" w14:textId="77777777" w:rsidR="00185973" w:rsidRPr="0077622E" w:rsidRDefault="00185973" w:rsidP="00185973">
      <w:pPr>
        <w:widowControl w:val="0"/>
        <w:ind w:left="0" w:firstLine="0"/>
        <w:jc w:val="center"/>
        <w:rPr>
          <w:rFonts w:ascii="Times New Roman" w:eastAsia="Times New Roman" w:hAnsi="Times New Roman" w:cs="Times New Roman"/>
          <w:kern w:val="0"/>
          <w:sz w:val="22"/>
          <w:szCs w:val="22"/>
          <w:lang w:eastAsia="lt-LT"/>
          <w14:ligatures w14:val="none"/>
        </w:rPr>
      </w:pPr>
    </w:p>
    <w:p w14:paraId="179A1919"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0DC19A12" w14:textId="77777777" w:rsidR="00185973" w:rsidRPr="0077622E" w:rsidRDefault="00185973" w:rsidP="0077622E">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Neišmeskite šio lapelio, nes vėl gali prireikti jį perskaityti.</w:t>
      </w:r>
    </w:p>
    <w:p w14:paraId="57404AAD" w14:textId="77777777" w:rsidR="00185973" w:rsidRPr="0077622E" w:rsidRDefault="00185973" w:rsidP="0077622E">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kiltų daugiau klausimų, kreipkitės į gydytoją arba vaistininką.</w:t>
      </w:r>
    </w:p>
    <w:p w14:paraId="587DBA25" w14:textId="77777777" w:rsidR="00185973" w:rsidRPr="0077622E" w:rsidRDefault="00185973" w:rsidP="0077622E">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Šis vaistas skirtas tik Jums, todėl kitiems žmonėms jo duoti negalima. Vaistas gali jiems pakenkti (net tiems, kurių ligos požymiai yra tokie patys kaip Jūsų).</w:t>
      </w:r>
    </w:p>
    <w:p w14:paraId="6A5AFB79" w14:textId="77777777" w:rsidR="00185973" w:rsidRPr="0077622E" w:rsidRDefault="00185973" w:rsidP="0077622E">
      <w:pPr>
        <w:widowControl w:val="0"/>
        <w:numPr>
          <w:ilvl w:val="0"/>
          <w:numId w:val="16"/>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pasireiškė šalutinis poveikis (net jeigu jis šiame lapelyje nenurodytas), kreipkitės į gydytoją arba vaistininką arba slaugytoją. Žr. 4 skyrių.</w:t>
      </w:r>
    </w:p>
    <w:p w14:paraId="3F6E4F9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5F00649" w14:textId="77777777" w:rsidR="00185973" w:rsidRPr="0077622E" w:rsidRDefault="00185973" w:rsidP="00185973">
      <w:pPr>
        <w:widowControl w:val="0"/>
        <w:ind w:left="0" w:firstLine="0"/>
        <w:outlineLvl w:val="3"/>
        <w:rPr>
          <w:rFonts w:ascii="Times New Roman" w:eastAsia="Times New Roman" w:hAnsi="Times New Roman" w:cs="Times New Roman"/>
          <w:b/>
          <w:bCs/>
          <w:iCs/>
          <w:kern w:val="0"/>
          <w:sz w:val="22"/>
          <w:szCs w:val="22"/>
          <w:lang w:eastAsia="lt-LT"/>
          <w14:ligatures w14:val="none"/>
        </w:rPr>
      </w:pPr>
      <w:r w:rsidRPr="0077622E">
        <w:rPr>
          <w:rFonts w:ascii="Times New Roman" w:eastAsia="Times New Roman" w:hAnsi="Times New Roman" w:cs="Times New Roman"/>
          <w:b/>
          <w:bCs/>
          <w:iCs/>
          <w:kern w:val="0"/>
          <w:sz w:val="22"/>
          <w:szCs w:val="22"/>
          <w:lang w:eastAsia="lt-LT"/>
          <w14:ligatures w14:val="none"/>
        </w:rPr>
        <w:t>Apie ką rašoma šiame lapelyje?</w:t>
      </w:r>
    </w:p>
    <w:p w14:paraId="2FE841D2" w14:textId="77777777" w:rsidR="0077622E" w:rsidRPr="0077622E" w:rsidRDefault="0077622E" w:rsidP="00185973">
      <w:pPr>
        <w:widowControl w:val="0"/>
        <w:ind w:left="0" w:firstLine="0"/>
        <w:outlineLvl w:val="3"/>
        <w:rPr>
          <w:rFonts w:ascii="Times New Roman" w:eastAsia="Times New Roman" w:hAnsi="Times New Roman" w:cs="Times New Roman"/>
          <w:bCs/>
          <w:i/>
          <w:iCs/>
          <w:kern w:val="0"/>
          <w:sz w:val="22"/>
          <w:szCs w:val="22"/>
          <w:lang w:eastAsia="lt-LT"/>
          <w14:ligatures w14:val="none"/>
        </w:rPr>
      </w:pPr>
    </w:p>
    <w:p w14:paraId="642DDB5C" w14:textId="08FF61A2" w:rsidR="00185973" w:rsidRPr="0077622E" w:rsidRDefault="00185973" w:rsidP="0077622E">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Kas yra Kenalog kam jis vartojamas</w:t>
      </w:r>
    </w:p>
    <w:p w14:paraId="4E454524" w14:textId="765E01AF" w:rsidR="00185973" w:rsidRPr="0077622E" w:rsidRDefault="00185973" w:rsidP="0077622E">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Kas žinotina prieš vartojant Kenalog</w:t>
      </w:r>
    </w:p>
    <w:p w14:paraId="527A656C" w14:textId="199D7161" w:rsidR="00185973" w:rsidRPr="0077622E" w:rsidRDefault="00185973" w:rsidP="0077622E">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Kaip vartoti Kenalog</w:t>
      </w:r>
    </w:p>
    <w:p w14:paraId="3C91B6ED" w14:textId="1E956296" w:rsidR="00185973" w:rsidRPr="0077622E" w:rsidRDefault="00185973" w:rsidP="0077622E">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Galimas šalutinis poveikis</w:t>
      </w:r>
    </w:p>
    <w:p w14:paraId="3D238202" w14:textId="0D77CC65" w:rsidR="00185973" w:rsidRPr="0077622E" w:rsidRDefault="00185973" w:rsidP="0077622E">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Kaip laikyti Kenalog</w:t>
      </w:r>
    </w:p>
    <w:p w14:paraId="163F4D63" w14:textId="15971470" w:rsidR="00185973" w:rsidRPr="0077622E" w:rsidRDefault="00185973" w:rsidP="0077622E">
      <w:pPr>
        <w:pStyle w:val="Sraopastraipa"/>
        <w:widowControl w:val="0"/>
        <w:numPr>
          <w:ilvl w:val="0"/>
          <w:numId w:val="1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Pakuotės turinys ir kita informacija</w:t>
      </w:r>
    </w:p>
    <w:p w14:paraId="15888D75"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2A787B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00E3286" w14:textId="77777777" w:rsidR="00185973" w:rsidRPr="0077622E" w:rsidRDefault="00185973" w:rsidP="00185973">
      <w:pPr>
        <w:widowControl w:val="0"/>
        <w:ind w:left="567" w:hanging="567"/>
        <w:outlineLvl w:val="1"/>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1.</w:t>
      </w:r>
      <w:r w:rsidRPr="0077622E">
        <w:rPr>
          <w:rFonts w:ascii="Times New Roman" w:eastAsia="Times New Roman" w:hAnsi="Times New Roman" w:cs="Times New Roman"/>
          <w:b/>
          <w:kern w:val="0"/>
          <w:sz w:val="22"/>
          <w:szCs w:val="22"/>
          <w:lang w:eastAsia="lt-LT"/>
          <w14:ligatures w14:val="none"/>
        </w:rPr>
        <w:tab/>
        <w:t>Kas yra Kenalog ir kam jis vartojamas</w:t>
      </w:r>
    </w:p>
    <w:p w14:paraId="1BB51D9E"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E3DEF33"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Kenalog yra triamcinolono acetonido pailginto veikimo vandeninė injekcinė suspensija, skirta sisteminiam ir lokaliam vartojimui. Tai sintetinis kortikosteroidas, kuris slopina uždegimą, imuninę sistemą, niežulį ir alergines reakcijas. Kraujospūdžio triamcinolonas beveik neveikia. Šis vaistas slopina posmegeninės liaukos (hipofizės) veiklą truputį silpniau už kitus kortikosteroidus, vartojamus atitinkamomis dozėmis.</w:t>
      </w:r>
    </w:p>
    <w:p w14:paraId="790E1EDD"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DC2EBFD"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Kenalog vartojama įvairioms uždegimu pasireiškiančioms ir (arba) alerginėms ligoms gydyti. Tokios ligos yra astma, sezoninė alergija, kraujo ligos, hormoniniai sutrikimai, reumatas bei inkstų, plaučių ar odos sutrikimai, uždegiminės sąnarių ir aplink sąnarį esančių audinių ligos.</w:t>
      </w:r>
    </w:p>
    <w:p w14:paraId="29E40B6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C9519C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F0A87BC" w14:textId="77777777" w:rsidR="00185973" w:rsidRPr="0077622E" w:rsidRDefault="00185973" w:rsidP="00185973">
      <w:pPr>
        <w:widowControl w:val="0"/>
        <w:ind w:left="567" w:hanging="567"/>
        <w:outlineLvl w:val="1"/>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2.</w:t>
      </w:r>
      <w:r w:rsidRPr="0077622E">
        <w:rPr>
          <w:rFonts w:ascii="Times New Roman" w:eastAsia="Times New Roman" w:hAnsi="Times New Roman" w:cs="Times New Roman"/>
          <w:b/>
          <w:kern w:val="0"/>
          <w:sz w:val="22"/>
          <w:szCs w:val="22"/>
          <w:lang w:eastAsia="lt-LT"/>
          <w14:ligatures w14:val="none"/>
        </w:rPr>
        <w:tab/>
        <w:t>Kas žinotina prieš vartojant Kenalog</w:t>
      </w:r>
    </w:p>
    <w:p w14:paraId="02062A1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189725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Pasakykite gydytojui apie visas lėtines ar medžiagų apykaitos ligas arba jeigu yra padidėjęs jautrumas arba vartojate kokių nors kitų vaistų.</w:t>
      </w:r>
    </w:p>
    <w:p w14:paraId="50F395F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BCC53CF"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Kenalog vartoti draudžiama:</w:t>
      </w:r>
    </w:p>
    <w:p w14:paraId="58B7FF72" w14:textId="77777777" w:rsidR="00185973" w:rsidRPr="0077622E" w:rsidRDefault="00185973" w:rsidP="0077622E">
      <w:pPr>
        <w:widowControl w:val="0"/>
        <w:numPr>
          <w:ilvl w:val="0"/>
          <w:numId w:val="13"/>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yra alergija veikliajai medžiagai arba bet kuriai pagalbinei šio vaisto medžiagai (jos išvardytos 6 skyriuje);</w:t>
      </w:r>
    </w:p>
    <w:p w14:paraId="25CF8AB0" w14:textId="77777777" w:rsidR="00185973" w:rsidRPr="0077622E" w:rsidRDefault="00185973" w:rsidP="0077622E">
      <w:pPr>
        <w:widowControl w:val="0"/>
        <w:numPr>
          <w:ilvl w:val="0"/>
          <w:numId w:val="13"/>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sergate infekcija, nebent gydytojas taip pat paskyrė gydymą nuo infekcijos;</w:t>
      </w:r>
    </w:p>
    <w:p w14:paraId="26084659" w14:textId="77777777" w:rsidR="00185973" w:rsidRPr="0077622E" w:rsidRDefault="00185973" w:rsidP="0077622E">
      <w:pPr>
        <w:widowControl w:val="0"/>
        <w:numPr>
          <w:ilvl w:val="0"/>
          <w:numId w:val="13"/>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sergate idiopatine trombocitopenine purpura (autoimunine liga, sumažėjęs trombocitų skaičius).</w:t>
      </w:r>
    </w:p>
    <w:p w14:paraId="267F97F4" w14:textId="77777777" w:rsidR="00185973" w:rsidRPr="0077622E" w:rsidRDefault="00185973" w:rsidP="00185973">
      <w:pPr>
        <w:widowControl w:val="0"/>
        <w:ind w:left="0" w:firstLine="0"/>
        <w:outlineLvl w:val="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Kenalog negalima švirkšti į veną (į veną), intratekaliai (į stuburo kanalą), epiduriniu būdu (švirkšti aplink nugaros smegenis) ir į akį (į akis).</w:t>
      </w:r>
    </w:p>
    <w:p w14:paraId="07F53A65" w14:textId="77777777" w:rsidR="00185973" w:rsidRPr="0077622E" w:rsidRDefault="00185973" w:rsidP="00185973">
      <w:pPr>
        <w:widowControl w:val="0"/>
        <w:ind w:left="0" w:firstLine="0"/>
        <w:outlineLvl w:val="3"/>
        <w:rPr>
          <w:rFonts w:ascii="Times New Roman" w:eastAsia="Times New Roman" w:hAnsi="Times New Roman" w:cs="Times New Roman"/>
          <w:bCs/>
          <w:iCs/>
          <w:kern w:val="0"/>
          <w:sz w:val="22"/>
          <w:szCs w:val="22"/>
          <w:lang w:eastAsia="lt-LT"/>
          <w14:ligatures w14:val="none"/>
        </w:rPr>
      </w:pPr>
    </w:p>
    <w:p w14:paraId="65CDE47E" w14:textId="77777777" w:rsidR="00185973" w:rsidRPr="0077622E" w:rsidRDefault="00185973" w:rsidP="00185973">
      <w:pPr>
        <w:widowControl w:val="0"/>
        <w:ind w:left="0" w:firstLine="0"/>
        <w:outlineLvl w:val="3"/>
        <w:rPr>
          <w:rFonts w:ascii="Times New Roman" w:eastAsia="Times New Roman" w:hAnsi="Times New Roman" w:cs="Times New Roman"/>
          <w:b/>
          <w:bCs/>
          <w:iCs/>
          <w:kern w:val="0"/>
          <w:sz w:val="22"/>
          <w:szCs w:val="22"/>
          <w:lang w:eastAsia="lt-LT"/>
          <w14:ligatures w14:val="none"/>
        </w:rPr>
      </w:pPr>
      <w:r w:rsidRPr="0077622E">
        <w:rPr>
          <w:rFonts w:ascii="Times New Roman" w:eastAsia="Times New Roman" w:hAnsi="Times New Roman" w:cs="Times New Roman"/>
          <w:b/>
          <w:bCs/>
          <w:iCs/>
          <w:kern w:val="0"/>
          <w:sz w:val="22"/>
          <w:szCs w:val="22"/>
          <w:lang w:eastAsia="lt-LT"/>
          <w14:ligatures w14:val="none"/>
        </w:rPr>
        <w:t>Įspėjimai ir atsargumo priemonės</w:t>
      </w:r>
    </w:p>
    <w:p w14:paraId="26C3B1A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Pasitarkite su gydytoju arba vaistininku, prieš pradėdami vartoti Kenalog.</w:t>
      </w:r>
    </w:p>
    <w:p w14:paraId="3C8250FE" w14:textId="77777777" w:rsidR="00185973" w:rsidRPr="0077622E" w:rsidRDefault="00185973" w:rsidP="00185973">
      <w:pPr>
        <w:widowControl w:val="0"/>
        <w:ind w:left="0" w:firstLine="0"/>
        <w:rPr>
          <w:rFonts w:ascii="Times New Roman" w:eastAsia="Times New Roman" w:hAnsi="Times New Roman" w:cs="Times New Roman"/>
          <w:b/>
          <w:bCs/>
          <w:kern w:val="0"/>
          <w:sz w:val="22"/>
          <w:szCs w:val="22"/>
          <w:lang w:eastAsia="sl-SI"/>
          <w14:ligatures w14:val="none"/>
        </w:rPr>
      </w:pPr>
    </w:p>
    <w:p w14:paraId="6E6A028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Prieš pradėdami vartoti Kenalog, pasakykite gydytojui, jeigu:</w:t>
      </w:r>
    </w:p>
    <w:p w14:paraId="73EEEDB8"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buvo alergija bet kuriam vaistui;</w:t>
      </w:r>
    </w:p>
    <w:p w14:paraId="3022AA8C"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sergate ar anksčiau sirgote žarnyno liga ar skrandžio opalige;</w:t>
      </w:r>
    </w:p>
    <w:p w14:paraId="3CF59CB1"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infekcija ar uždegimas kojų venose;</w:t>
      </w:r>
    </w:p>
    <w:p w14:paraId="3589185B"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neseniai buvo atlikta žarnyno operacija;</w:t>
      </w:r>
    </w:p>
    <w:p w14:paraId="67781DAB"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Jūs ar Jūsų giminaitis sergate glaukoma (yra padidėjęs akispūdis);</w:t>
      </w:r>
    </w:p>
    <w:p w14:paraId="06171552"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neryškus matymas ar kitų regos sutrikimų, apakimas, akies uždegimas ar virusinis retinitas (tinklainės uždegimas, kurį dažniausiai sukelia citomegalovirusas);</w:t>
      </w:r>
    </w:p>
    <w:p w14:paraId="3E99A95B"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sergate sunkų (egzanteminį) išbėrimą sukeliančia liga;</w:t>
      </w:r>
    </w:p>
    <w:p w14:paraId="2802D53D"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sergate cukriniu diabetu, nes gali reikėti keisti insulino dozę;</w:t>
      </w:r>
    </w:p>
    <w:p w14:paraId="0FBB3C16"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suplonėję ar trapūs kaulai (osteoporozė);</w:t>
      </w:r>
    </w:p>
    <w:p w14:paraId="1CFCD0F1"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sergate generalizuota miastenija (raumenų silpnumą sukeliančia liga);</w:t>
      </w:r>
    </w:p>
    <w:p w14:paraId="29E862D4"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neseniai buvo pasireiškusi bet kokia infekcija (įskaitant tuberkuliozę);</w:t>
      </w:r>
    </w:p>
    <w:p w14:paraId="5324181C"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neseniai sirgote vėjaraupiais arba tymais;</w:t>
      </w:r>
    </w:p>
    <w:p w14:paraId="2ABDD3BF"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padidėjęs kraujospūdis ar širdies nepakankamumas;</w:t>
      </w:r>
    </w:p>
    <w:p w14:paraId="4F711D9A"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sergate bet kokia psichikos liga arba epilepsija;</w:t>
      </w:r>
    </w:p>
    <w:p w14:paraId="41898745"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Jums buvo kepenų nepakankamumas;</w:t>
      </w:r>
    </w:p>
    <w:p w14:paraId="5417323D"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bet kokia inkstų, kepenų ar skydliaukės problema, kadangi gali reikėti koreguoti Kenalog dozę;</w:t>
      </w:r>
    </w:p>
    <w:p w14:paraId="18EF35A4"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neseniai sirgote bet kokios formos vėžiu;</w:t>
      </w:r>
    </w:p>
    <w:p w14:paraId="2BE98223"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buvusi steroidinė miopatija (gydymo kortikosteroidais sukeltas raumenų skaidulų pažeidimas);</w:t>
      </w:r>
    </w:p>
    <w:p w14:paraId="38323CFA"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susilpnėjusi skydliaukės veikla;</w:t>
      </w:r>
    </w:p>
    <w:p w14:paraId="7A5A0880" w14:textId="77777777" w:rsidR="00185973" w:rsidRPr="0077622E" w:rsidRDefault="00185973" w:rsidP="0077622E">
      <w:pPr>
        <w:widowControl w:val="0"/>
        <w:numPr>
          <w:ilvl w:val="0"/>
          <w:numId w:val="12"/>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yra menopauzė.</w:t>
      </w:r>
    </w:p>
    <w:p w14:paraId="6B0513DA"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CD78E0D"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b/>
          <w:kern w:val="0"/>
          <w:sz w:val="22"/>
          <w:szCs w:val="22"/>
          <w14:ligatures w14:val="none"/>
        </w:rPr>
      </w:pPr>
      <w:r w:rsidRPr="0077622E">
        <w:rPr>
          <w:rFonts w:ascii="Times New Roman" w:eastAsia="Times New Roman" w:hAnsi="Times New Roman" w:cs="Times New Roman"/>
          <w:b/>
          <w:kern w:val="0"/>
          <w:sz w:val="22"/>
          <w:szCs w:val="22"/>
          <w14:ligatures w14:val="none"/>
        </w:rPr>
        <w:t>Pirmiausia pasitarkite su gydytoju:</w:t>
      </w:r>
    </w:p>
    <w:p w14:paraId="34716C4E" w14:textId="77777777" w:rsidR="00185973" w:rsidRPr="0077622E" w:rsidRDefault="00185973" w:rsidP="0077622E">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jeigu yra buvusi sunki depresija arba manija-depresija (bipolinis sutrikimas), įskaitant anksčiau pasireiškusią depresiją vartojant steroidinių vaistų, tokių kaip Kenalog;</w:t>
      </w:r>
    </w:p>
    <w:p w14:paraId="7E54AF2B" w14:textId="77777777" w:rsidR="00185973" w:rsidRPr="0077622E" w:rsidRDefault="00185973" w:rsidP="0077622E">
      <w:pPr>
        <w:numPr>
          <w:ilvl w:val="0"/>
          <w:numId w:val="11"/>
        </w:numPr>
        <w:spacing w:line="260" w:lineRule="exact"/>
        <w:ind w:left="567" w:hanging="283"/>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jeigu bet kuria iš šių ligų sirgo Jūsų kraujo giminaitis.</w:t>
      </w:r>
    </w:p>
    <w:p w14:paraId="11D105BA"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Jeigu bet kuri paminėta būklė Jums tinka, pasitarkite su gydytoju prieš pradėdami vartoti Kenalog 40 mg/ml injekcinę suspensiją.</w:t>
      </w:r>
    </w:p>
    <w:p w14:paraId="1AD562DA"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073DF41B"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Patariama būti atsargiems, jeigu vartojate Kenalog ir vaistų ŽIV kontroliuoti (antiretrovirusinių vaistų) arba vaistų nuo grybelių infekcijos (priešgrybelinių vaistų), nes gali pasireikšti daugiau šalutinio poveikio reiškinių ir gydytojas gali norėti atidžiau stebėti Jūsų būklę. Taip pat žr. skyrių „Kiti vaistai ir Kenalog“.</w:t>
      </w:r>
    </w:p>
    <w:p w14:paraId="6ECA580B"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63A08C97"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highlight w:val="yellow"/>
          <w14:ligatures w14:val="none"/>
        </w:rPr>
      </w:pPr>
      <w:r w:rsidRPr="0077622E">
        <w:rPr>
          <w:rFonts w:ascii="Times New Roman" w:eastAsia="Times New Roman" w:hAnsi="Times New Roman" w:cs="Times New Roman"/>
          <w:kern w:val="0"/>
          <w:sz w:val="22"/>
          <w:szCs w:val="22"/>
          <w14:ligatures w14:val="none"/>
        </w:rPr>
        <w:t>Steroidiniai vaistai slopina natūralų imuninį Jūsų organizmo atsaką. Jeigu pasireiškia sunki infekcija, Kenalog galima vartoti tik kartu taikant tinkamą gydymą antibiotikais. Gydymo Kenalog 40 mg/ml injekcine suspensija metu būtina vengti kontakto su infekcinėmis ligomis, tokiomis kaip vėjaraupiai, juostinė pūslelinė ar tymai, sergančiais asmenimis. Jei toks kontaktas įvyksta, būtina kiek įmanoma greičiau pasitarti su gydytoju.</w:t>
      </w:r>
    </w:p>
    <w:p w14:paraId="213E5A98"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026359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Kol vartojate šį vaistą (arba neseniai nutraukėte gydymo kursą), nepasitarę su gydytoju, nesiskiepykite.</w:t>
      </w:r>
    </w:p>
    <w:p w14:paraId="04E38AF3"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Vartojant Kenalog, gali sumažėti kalio koncentracija, todėl, jei šį vaistą vartosite ilgai, būtina kontroliuoti kalio koncentraciją</w:t>
      </w:r>
    </w:p>
    <w:p w14:paraId="285647B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1109531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Ilgai didelėmis dozėmis vartojamas triamcinolono acetonidas slopina antinksčių hormonų sekreciją, todėl baigti jį vartoti reikia palaipsniui. Po to antinksčių funkcija gali likti susilpnėjusi dar kelis mėnesius.</w:t>
      </w:r>
    </w:p>
    <w:p w14:paraId="2DC4F0D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75777DC" w14:textId="77777777" w:rsidR="00185973" w:rsidRPr="0077622E" w:rsidRDefault="00185973" w:rsidP="00185973">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Būtina vengtų per didelio krūvio sąnariams, kurių būklė pagerėjo po Kenalog 40 mg/ml injekcinės suspensijos suleidimo. Sąnariui reikia atsigauti po uždegimo, kuris sukėlė Jūsų simptomus.</w:t>
      </w:r>
    </w:p>
    <w:p w14:paraId="719E2F60"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14:ligatures w14:val="none"/>
        </w:rPr>
      </w:pPr>
    </w:p>
    <w:p w14:paraId="5C8C6AD6" w14:textId="77777777" w:rsidR="00185973" w:rsidRPr="0077622E" w:rsidRDefault="00185973" w:rsidP="00185973">
      <w:pPr>
        <w:tabs>
          <w:tab w:val="left" w:pos="567"/>
        </w:tabs>
        <w:spacing w:line="260" w:lineRule="exact"/>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Menstruacijos gali tapti nereguliarios, be to, buvo kraujavimo iš makšties atvejų moterims po menopauzės.</w:t>
      </w:r>
    </w:p>
    <w:p w14:paraId="11EB826A"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12F6DADA"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Kreipkitės į gydytoją jei Jums pasireiškė neryškus regėjimas ar kiti regėjimo sutrikimai.</w:t>
      </w:r>
    </w:p>
    <w:p w14:paraId="23369578"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010DFE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Vaikams ir paaugliams</w:t>
      </w:r>
    </w:p>
    <w:p w14:paraId="226998ED" w14:textId="77777777" w:rsidR="00185973" w:rsidRPr="0077622E" w:rsidRDefault="00185973" w:rsidP="00185973">
      <w:pPr>
        <w:widowControl w:val="0"/>
        <w:ind w:left="0" w:firstLine="0"/>
        <w:rPr>
          <w:rFonts w:ascii="Times New Roman" w:eastAsia="Times New Roman" w:hAnsi="Times New Roman" w:cs="Times New Roman"/>
          <w:i/>
          <w:kern w:val="0"/>
          <w:sz w:val="22"/>
          <w:szCs w:val="22"/>
          <w:lang w:eastAsia="lt-LT"/>
          <w14:ligatures w14:val="none"/>
        </w:rPr>
      </w:pPr>
      <w:r w:rsidRPr="0077622E">
        <w:rPr>
          <w:rFonts w:ascii="Times New Roman" w:eastAsia="Times New Roman" w:hAnsi="Times New Roman" w:cs="Times New Roman"/>
          <w:i/>
          <w:kern w:val="0"/>
          <w:sz w:val="22"/>
          <w:szCs w:val="22"/>
          <w:lang w:eastAsia="lt-LT"/>
          <w14:ligatures w14:val="none"/>
        </w:rPr>
        <w:t>Vaikams jaunesniems nei 6 metų</w:t>
      </w:r>
    </w:p>
    <w:p w14:paraId="481C7BF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Kenalog nerekomenduojamas vaikams jaunesniems nei 6 metų.</w:t>
      </w:r>
    </w:p>
    <w:p w14:paraId="07CB846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5A216B7" w14:textId="77777777" w:rsidR="00185973" w:rsidRPr="0077622E" w:rsidRDefault="00185973" w:rsidP="00185973">
      <w:pPr>
        <w:widowControl w:val="0"/>
        <w:ind w:left="0" w:firstLine="0"/>
        <w:rPr>
          <w:rFonts w:ascii="Times New Roman" w:eastAsia="Times New Roman" w:hAnsi="Times New Roman" w:cs="Times New Roman"/>
          <w:i/>
          <w:kern w:val="0"/>
          <w:sz w:val="22"/>
          <w:szCs w:val="22"/>
          <w:lang w:eastAsia="lt-LT"/>
          <w14:ligatures w14:val="none"/>
        </w:rPr>
      </w:pPr>
      <w:r w:rsidRPr="0077622E">
        <w:rPr>
          <w:rFonts w:ascii="Times New Roman" w:eastAsia="Times New Roman" w:hAnsi="Times New Roman" w:cs="Times New Roman"/>
          <w:i/>
          <w:kern w:val="0"/>
          <w:sz w:val="22"/>
          <w:szCs w:val="22"/>
          <w:lang w:eastAsia="lt-LT"/>
          <w14:ligatures w14:val="none"/>
        </w:rPr>
        <w:t>Vaikams ir paaugliams 6 – 12 metų</w:t>
      </w:r>
    </w:p>
    <w:p w14:paraId="564E3B0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Kenalog gali būti skiriamas į sąnarį, jei gydytojas nusprendžia, kad to reikia.</w:t>
      </w:r>
    </w:p>
    <w:p w14:paraId="123B5F8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ACB70D1"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Kiti vaistai ir Kenalog</w:t>
      </w:r>
    </w:p>
    <w:p w14:paraId="39B3C80F"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vartojate arba neseniai vartojote kitų vaistų, įskaitant įsigytus be recepto, arba dėl to nesate tikri, apie tai pasakykite gydytojui arba vaistininkui.</w:t>
      </w:r>
    </w:p>
    <w:p w14:paraId="410EC1E3"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Kai kurie vaistai gali stiprinti Kenalog poveikį ir gydytojas tokių vaistų (įskaitant tam tikrus vaistus nuo ŽIV: ritonavirą, kobicistatą) vartojimo laikotarpiu gali norėti atidžiau stebėti Jūsų būklę.</w:t>
      </w:r>
    </w:p>
    <w:p w14:paraId="6E31048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9874119"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Ypač svarbu informuoti gydytoją arba vaistininką, jeigu vartojate:</w:t>
      </w:r>
    </w:p>
    <w:p w14:paraId="04D953BF"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varfarino ar kitokių kraujui skystinti skiriamų vaistų;</w:t>
      </w:r>
    </w:p>
    <w:p w14:paraId="206E7CF0"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acetilsalicilo rūgšties, ibuprofeno ar kitokių nesteroidinių vaistų nuo uždegimo (NVNU), nes kortikosteroidai gali didinti kraujavimo iš žarnyno riziką;</w:t>
      </w:r>
    </w:p>
    <w:p w14:paraId="49BBBFA8"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cukrinio diabeto;</w:t>
      </w:r>
    </w:p>
    <w:p w14:paraId="42B459E9"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skydliaukės sutrikimų;</w:t>
      </w:r>
    </w:p>
    <w:p w14:paraId="1BEA1D3C"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kalio kiekį organizme mažinančių vaistų;</w:t>
      </w:r>
    </w:p>
    <w:p w14:paraId="7F703540"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šlapimo išskyrimą didinančių vaistų (diuretikų), pvz., acetazolamido, Henlės kilpoje veikiančių diuretikų, tiazidinių diuretikų ir karbenoksolono;</w:t>
      </w:r>
    </w:p>
    <w:p w14:paraId="0EB7C9C5"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širdies nepakankamumo (rusmenės glikozidų);</w:t>
      </w:r>
    </w:p>
    <w:p w14:paraId="3BC4453C"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geriamųjų kontraceptikų ar hormonų pakeičiamosios terapijos (HPT) vaistų;</w:t>
      </w:r>
    </w:p>
    <w:p w14:paraId="73A0F140"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žmogaus augimo hormono (somatropino);</w:t>
      </w:r>
    </w:p>
    <w:p w14:paraId="00541805"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vaisto, vadinamo ciklosporinu;</w:t>
      </w:r>
    </w:p>
    <w:p w14:paraId="352A1D5B"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barbitūratų, karbamazepino, primidono arba aminoglutetimido;</w:t>
      </w:r>
    </w:p>
    <w:p w14:paraId="2BB505FA"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epilepsijos ar priepuolių (pvz., fenitoino);</w:t>
      </w:r>
    </w:p>
    <w:p w14:paraId="5AB3087B"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nedepoliarizuojamojo tipo raumenų relaksantų, kurie atpalaiduoja raumenis operacijos metu;</w:t>
      </w:r>
    </w:p>
    <w:p w14:paraId="21594D86"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generalizuotos miastenijos (raumenų silpnumą sukeliančios ligos);</w:t>
      </w:r>
    </w:p>
    <w:p w14:paraId="79FFC44D"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tuberkuliozės (rifampicino, izoniazido);</w:t>
      </w:r>
    </w:p>
    <w:p w14:paraId="641AA7C5"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nuo padidėjusio kraujospūdžio;</w:t>
      </w:r>
    </w:p>
    <w:p w14:paraId="6DA31CAF"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antiretrovirusinių ir priešgrybelinių vaistų: rekomenduojama imtis atsargumo priemonių, jei kartu su triamcinolonu vartojama ritonaviro, atazanaviro, klaritromicino, indinaviro, itrakonazolo, nefazodono, nelfinaviro, sakvinaviro, ketokonazolo ir telitromicino, nes gali sustiprėti šalutinis poveikis, įskaitant Kušingo sindromą ir hormono susidarymo sumažėjimą.</w:t>
      </w:r>
    </w:p>
    <w:p w14:paraId="259069E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03B6E0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 vartojate bet kurį iš šių vaistų, neseniai buvote paskiepyti, turite skiepytis arba dėl to nesate tikri, pasitarkite su gydytoju.</w:t>
      </w:r>
    </w:p>
    <w:p w14:paraId="72F7E0D8"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A79BF6C"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Nėštumas ir žindymo laikotarpis ir vaisingumas</w:t>
      </w:r>
    </w:p>
    <w:p w14:paraId="1BB15CF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Prieš pradėdami vartoti bet kokį vaistą, pasitarkite su gydytoju arba vaistininku.</w:t>
      </w:r>
    </w:p>
    <w:p w14:paraId="7E4740B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kuo greičiau prieš vartodama šį vaistą, pasitarkite su gydytoju.</w:t>
      </w:r>
    </w:p>
    <w:p w14:paraId="0E89E0E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5A84E716"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Vairavimas ir mechanizmų valdymas</w:t>
      </w:r>
    </w:p>
    <w:p w14:paraId="37A21E8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Šis vaistas gebėjimo vairuoti ir valdyti mechanizmus paprastai neveikia, tačiau jis gali paveikti regą. Jei atsiras akių skausmas ar regos sutrikimas, nedelsdami kreipkitės į gydytoją.</w:t>
      </w:r>
    </w:p>
    <w:p w14:paraId="617A956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6C1B71B"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Kenalog sudėtyje yra benzilo alkoholio ir natrio</w:t>
      </w:r>
    </w:p>
    <w:p w14:paraId="409A4CDE"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Kiekviename Kenalog mililitre (1 ampulėje) yra 9,9 mg benzilo alkoholio.</w:t>
      </w:r>
    </w:p>
    <w:p w14:paraId="7A83B41E"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p>
    <w:p w14:paraId="29A1CA14"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 xml:space="preserve">Benzilo alkoholis gali sukelti alerginių reakcijų. </w:t>
      </w:r>
    </w:p>
    <w:p w14:paraId="3ED21963"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kern w:val="0"/>
          <w:sz w:val="22"/>
          <w:szCs w:val="22"/>
          <w:lang w:eastAsia="lt-LT"/>
          <w14:ligatures w14:val="none"/>
        </w:rPr>
        <w:t xml:space="preserve">Mažiems vaikams benzilo alkoholis siejamas su sunkaus šalutinio poveikio, įskaitant kvėpavimo sutrikimą (vadinamąjį žiobčiojimo sindromą), rizika. </w:t>
      </w:r>
      <w:r w:rsidRPr="0077622E">
        <w:rPr>
          <w:rFonts w:ascii="Times New Roman" w:eastAsia="Times New Roman" w:hAnsi="Times New Roman" w:cs="Times New Roman"/>
          <w:kern w:val="0"/>
          <w:sz w:val="22"/>
          <w:szCs w:val="22"/>
          <w:lang w:eastAsia="sl-SI"/>
          <w14:ligatures w14:val="none"/>
        </w:rPr>
        <w:t xml:space="preserve">Neduokite savo naujagimiui (iki 4 savaičių), nebent tai patarė gydytojas. </w:t>
      </w:r>
    </w:p>
    <w:p w14:paraId="1D24C6AE"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kern w:val="0"/>
          <w:sz w:val="22"/>
          <w:szCs w:val="22"/>
          <w:lang w:eastAsia="sl-SI"/>
          <w14:ligatures w14:val="none"/>
        </w:rPr>
        <w:t xml:space="preserve">Nevartokite ilgiau nei savaitę mažiems vaikams (jaunesniems kaip 3 metų), nebent tai patarė gydytojas arba vaistininkas. </w:t>
      </w:r>
    </w:p>
    <w:p w14:paraId="26E6C147"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kern w:val="0"/>
          <w:sz w:val="22"/>
          <w:szCs w:val="22"/>
          <w:lang w:eastAsia="sl-SI"/>
          <w14:ligatures w14:val="none"/>
        </w:rPr>
        <w:t>Pasitarkite su gydytoju arba vaistininku, jeigu esate nėščia arba žindote kūdikį, kadangi didelis benzilo alkoholio kiekis gali kauptis Jūsų organizme ir sukelti šalutinį poveikį (vadinamąją metabolinę acidozę).</w:t>
      </w:r>
    </w:p>
    <w:p w14:paraId="7D917FE1" w14:textId="77777777" w:rsidR="00185973" w:rsidRPr="0077622E" w:rsidRDefault="00185973" w:rsidP="00185973">
      <w:pPr>
        <w:widowControl w:val="0"/>
        <w:autoSpaceDE w:val="0"/>
        <w:autoSpaceDN w:val="0"/>
        <w:adjustRightInd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Pasitarkite su gydytoju arba vaistininku, jeigu sergate kepenų arba inkstų ligomis, kadangi didelis benzilo alkoholio kiekis gali kauptis Jūsų organizme ir sukelti šalutinį poveikį (vadinamąją metabolinę acidozę).</w:t>
      </w:r>
    </w:p>
    <w:p w14:paraId="51E3D8B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CFCE52E"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Šio vaisto sudėtyje (vienoje dozėje) yra mažiau nei 1 mmol (23 mg) natrio, t.y. jis beveik neturi reikšmės.</w:t>
      </w:r>
    </w:p>
    <w:p w14:paraId="7CF0D83E"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EA4CE1E"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538417A9" w14:textId="77777777" w:rsidR="00185973" w:rsidRPr="0077622E" w:rsidRDefault="00185973" w:rsidP="00185973">
      <w:pPr>
        <w:widowControl w:val="0"/>
        <w:ind w:left="567" w:hanging="567"/>
        <w:outlineLvl w:val="1"/>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3.</w:t>
      </w:r>
      <w:r w:rsidRPr="0077622E">
        <w:rPr>
          <w:rFonts w:ascii="Times New Roman" w:eastAsia="Times New Roman" w:hAnsi="Times New Roman" w:cs="Times New Roman"/>
          <w:b/>
          <w:kern w:val="0"/>
          <w:sz w:val="22"/>
          <w:szCs w:val="22"/>
          <w:lang w:eastAsia="lt-LT"/>
          <w14:ligatures w14:val="none"/>
        </w:rPr>
        <w:tab/>
        <w:t>Kaip vartoti Kenalog</w:t>
      </w:r>
    </w:p>
    <w:p w14:paraId="0D8C822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26A61F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Visada vartokite šį vaistą tiksliai kaip nurodė gydytojas. Jeigu abejojate, kreipkitės į gydytoją arba vaistininką.</w:t>
      </w:r>
    </w:p>
    <w:p w14:paraId="263C4ED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2A96458"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Kenalog negalima vartoti į veną.</w:t>
      </w:r>
    </w:p>
    <w:p w14:paraId="677B86C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Dozuojama individualiai, atsižvelgiant į paciento būklę ir ligos sunkumą.</w:t>
      </w:r>
    </w:p>
    <w:p w14:paraId="08EEF949"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52DE095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kern w:val="0"/>
          <w:sz w:val="22"/>
          <w:szCs w:val="22"/>
          <w:lang w:eastAsia="sl-SI"/>
          <w14:ligatures w14:val="none"/>
        </w:rPr>
        <w:t>Vartojimas į raumenis</w:t>
      </w:r>
    </w:p>
    <w:p w14:paraId="2B18FB5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 xml:space="preserve">Įprasta pradinė dozė </w:t>
      </w:r>
      <w:r w:rsidRPr="0077622E">
        <w:rPr>
          <w:rFonts w:ascii="Times New Roman" w:eastAsia="Times New Roman" w:hAnsi="Times New Roman" w:cs="Times New Roman"/>
          <w:kern w:val="0"/>
          <w:sz w:val="22"/>
          <w:szCs w:val="22"/>
          <w:u w:val="single"/>
          <w:lang w:eastAsia="lt-LT"/>
          <w14:ligatures w14:val="none"/>
        </w:rPr>
        <w:t xml:space="preserve">suaugusiems ir </w:t>
      </w:r>
      <w:r w:rsidRPr="0077622E">
        <w:rPr>
          <w:rFonts w:ascii="Times New Roman" w:eastAsia="Times New Roman" w:hAnsi="Times New Roman" w:cs="Times New Roman"/>
          <w:kern w:val="0"/>
          <w:sz w:val="22"/>
          <w:szCs w:val="22"/>
          <w:u w:val="single"/>
          <w:lang w:eastAsia="sl-SI"/>
          <w14:ligatures w14:val="none"/>
        </w:rPr>
        <w:t>vyresniems kaip 12 metų paaugliams</w:t>
      </w:r>
      <w:r w:rsidRPr="0077622E">
        <w:rPr>
          <w:rFonts w:ascii="Times New Roman" w:eastAsia="Times New Roman" w:hAnsi="Times New Roman" w:cs="Times New Roman"/>
          <w:kern w:val="0"/>
          <w:sz w:val="22"/>
          <w:szCs w:val="22"/>
          <w:lang w:eastAsia="lt-LT"/>
          <w14:ligatures w14:val="none"/>
        </w:rPr>
        <w:t xml:space="preserve"> – 40 mg triamcinolono acetonido. Vėliau leidžiama po 40-80 mg triamcinolono acetonido kas 2</w:t>
      </w:r>
      <w:r w:rsidRPr="0077622E">
        <w:rPr>
          <w:rFonts w:ascii="Times New Roman" w:eastAsia="Times New Roman" w:hAnsi="Times New Roman" w:cs="Times New Roman"/>
          <w:kern w:val="0"/>
          <w:sz w:val="22"/>
          <w:szCs w:val="22"/>
          <w:lang w:eastAsia="lt-LT"/>
          <w14:ligatures w14:val="none"/>
        </w:rPr>
        <w:noBreakHyphen/>
        <w:t>4 savaites, priklausomai nuo organizmo atsako. Prireikus iš karto galima leisti iki 120 mg triamcinolono acetonido.</w:t>
      </w:r>
    </w:p>
    <w:p w14:paraId="786EFCF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54EA763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Vartojimas į sąnarį</w:t>
      </w:r>
    </w:p>
    <w:p w14:paraId="41C57BD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502C9D8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Suaugusiesiems</w:t>
      </w:r>
    </w:p>
    <w:p w14:paraId="5AA332C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Į sąnarį galima leisti 5-60 mg triamcinolono acetonido. Vienu kartu į kelis sąnarius iš viso galima leisti iki 80 mg triamcinolono acetonido. Vėl leisti į sąnarį galima po 3-4 savaičių (priklausomai nuo ligos simptomų).</w:t>
      </w:r>
    </w:p>
    <w:p w14:paraId="41DF0E99" w14:textId="77777777" w:rsidR="00185973" w:rsidRPr="0077622E" w:rsidRDefault="00185973" w:rsidP="00185973">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p>
    <w:p w14:paraId="253FE06C" w14:textId="77777777" w:rsidR="00185973" w:rsidRPr="0077622E" w:rsidRDefault="00185973" w:rsidP="00185973">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r w:rsidRPr="0077622E">
        <w:rPr>
          <w:rFonts w:ascii="Times New Roman" w:eastAsia="Times New Roman" w:hAnsi="Times New Roman" w:cs="Times New Roman"/>
          <w:iCs/>
          <w:color w:val="000000"/>
          <w:kern w:val="0"/>
          <w:sz w:val="22"/>
          <w:szCs w:val="22"/>
          <w:lang w:eastAsia="sl-SI"/>
          <w14:ligatures w14:val="none"/>
        </w:rPr>
        <w:t>Pacientams, kurių inkstų funkcija sutrikusi</w:t>
      </w:r>
    </w:p>
    <w:p w14:paraId="1E9144B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Esant sutrikusiai inkstų funkcijai dozės koreguoti nereikia.</w:t>
      </w:r>
    </w:p>
    <w:p w14:paraId="4606AE4C" w14:textId="77777777" w:rsidR="00185973" w:rsidRPr="0077622E" w:rsidRDefault="00185973" w:rsidP="00185973">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p>
    <w:p w14:paraId="095976D3" w14:textId="77777777" w:rsidR="00185973" w:rsidRPr="0077622E" w:rsidRDefault="00185973" w:rsidP="00185973">
      <w:pPr>
        <w:ind w:left="0" w:firstLine="0"/>
        <w:contextualSpacing/>
        <w:outlineLvl w:val="0"/>
        <w:rPr>
          <w:rFonts w:ascii="Times New Roman" w:eastAsia="Times New Roman" w:hAnsi="Times New Roman" w:cs="Times New Roman"/>
          <w:iCs/>
          <w:color w:val="000000"/>
          <w:kern w:val="0"/>
          <w:sz w:val="22"/>
          <w:szCs w:val="22"/>
          <w:lang w:eastAsia="sl-SI"/>
          <w14:ligatures w14:val="none"/>
        </w:rPr>
      </w:pPr>
      <w:r w:rsidRPr="0077622E">
        <w:rPr>
          <w:rFonts w:ascii="Times New Roman" w:eastAsia="Times New Roman" w:hAnsi="Times New Roman" w:cs="Times New Roman"/>
          <w:iCs/>
          <w:color w:val="000000"/>
          <w:kern w:val="0"/>
          <w:sz w:val="22"/>
          <w:szCs w:val="22"/>
          <w:lang w:eastAsia="sl-SI"/>
          <w14:ligatures w14:val="none"/>
        </w:rPr>
        <w:t>Pacientams, kurių kepenų funkcija sutrikusi</w:t>
      </w:r>
    </w:p>
    <w:p w14:paraId="48302EA1" w14:textId="77777777" w:rsidR="00185973" w:rsidRPr="0077622E" w:rsidRDefault="00185973" w:rsidP="00185973">
      <w:pPr>
        <w:ind w:left="0" w:firstLine="0"/>
        <w:contextualSpacing/>
        <w:outlineLvl w:val="0"/>
        <w:rPr>
          <w:rFonts w:ascii="Times New Roman" w:eastAsia="Times New Roman" w:hAnsi="Times New Roman" w:cs="Times New Roman"/>
          <w:iCs/>
          <w:color w:val="000000"/>
          <w:kern w:val="0"/>
          <w:sz w:val="22"/>
          <w:szCs w:val="22"/>
          <w:u w:val="single"/>
          <w:lang w:eastAsia="sl-SI"/>
          <w14:ligatures w14:val="none"/>
        </w:rPr>
      </w:pPr>
      <w:r w:rsidRPr="0077622E">
        <w:rPr>
          <w:rFonts w:ascii="Times New Roman" w:eastAsia="Times New Roman" w:hAnsi="Times New Roman" w:cs="Times New Roman"/>
          <w:kern w:val="0"/>
          <w:sz w:val="22"/>
          <w:szCs w:val="22"/>
          <w:lang w:eastAsia="lt-LT"/>
          <w14:ligatures w14:val="none"/>
        </w:rPr>
        <w:t>Kadangi triamcinolonas daugiausia metabolizuojamas kepenyse, esant kepenų nepakankamumui, gali reikėti koreguoti dozę</w:t>
      </w:r>
    </w:p>
    <w:p w14:paraId="7B79B63E"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7516DF9" w14:textId="77777777" w:rsidR="00185973" w:rsidRPr="0077622E" w:rsidRDefault="00185973" w:rsidP="00185973">
      <w:pPr>
        <w:widowControl w:val="0"/>
        <w:ind w:left="0" w:firstLine="0"/>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Vartojimas vaikams ir paaugliams</w:t>
      </w:r>
    </w:p>
    <w:p w14:paraId="59F4B043"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Vartojimas į raumenis:</w:t>
      </w:r>
    </w:p>
    <w:p w14:paraId="1B1AED22"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Jaunesniems kaip 6 metų vaikams</w:t>
      </w:r>
    </w:p>
    <w:p w14:paraId="7307EF51"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Jaunesnių kaip šešerių metų vaikų gydyti Kenalog nerekomenduojama.</w:t>
      </w:r>
    </w:p>
    <w:p w14:paraId="1274D896"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p>
    <w:p w14:paraId="27A5A42C"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6 – 12 metų vaikams ir paaugliams</w:t>
      </w:r>
    </w:p>
    <w:p w14:paraId="1897EFDF"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 xml:space="preserve">6 – 12 metų vaikams ir paaugliams pradinė Kenalog dozė yra 40 mg. Dozė turi būti leidžiama giliai į sėdmens raumenį. </w:t>
      </w:r>
    </w:p>
    <w:p w14:paraId="17DA0738"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p>
    <w:p w14:paraId="2253B494"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Vartojimas į sąnarį:</w:t>
      </w:r>
    </w:p>
    <w:p w14:paraId="00436551"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Jaunesniems kaip 6 metų vaikams</w:t>
      </w:r>
    </w:p>
    <w:p w14:paraId="349275D8"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Jaunesnių kaip šešerių metų vaikų gydyti Kenalog nerekomenduojama.</w:t>
      </w:r>
    </w:p>
    <w:p w14:paraId="71BFB9C2"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p>
    <w:p w14:paraId="63462AFB"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6 – 12 metų vaikams ir paaugliams</w:t>
      </w:r>
    </w:p>
    <w:p w14:paraId="15EBC16B"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6 – 12 metų vaikams Kenalog leisti į sąnarį nerekomenduojama, nebent tam yra aiškios indikacijos.</w:t>
      </w:r>
    </w:p>
    <w:p w14:paraId="1067DE5F"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p>
    <w:p w14:paraId="7BCA9456" w14:textId="77777777" w:rsidR="00185973" w:rsidRPr="0077622E" w:rsidRDefault="00185973" w:rsidP="00185973">
      <w:pPr>
        <w:widowControl w:val="0"/>
        <w:ind w:left="0" w:firstLine="0"/>
        <w:rPr>
          <w:rFonts w:ascii="Times New Roman" w:eastAsia="Times New Roman" w:hAnsi="Times New Roman" w:cs="Times New Roman"/>
          <w:iCs/>
          <w:kern w:val="0"/>
          <w:sz w:val="22"/>
          <w:szCs w:val="22"/>
          <w:lang w:eastAsia="lt-LT"/>
          <w14:ligatures w14:val="none"/>
        </w:rPr>
      </w:pPr>
      <w:r w:rsidRPr="0077622E">
        <w:rPr>
          <w:rFonts w:ascii="Times New Roman" w:eastAsia="Times New Roman" w:hAnsi="Times New Roman" w:cs="Times New Roman"/>
          <w:iCs/>
          <w:kern w:val="0"/>
          <w:sz w:val="22"/>
          <w:szCs w:val="22"/>
          <w:lang w:eastAsia="lt-LT"/>
          <w14:ligatures w14:val="none"/>
        </w:rPr>
        <w:t>Vyresniems kaip 12 metų paaugliams</w:t>
      </w:r>
    </w:p>
    <w:p w14:paraId="25A99F6E"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12 – 18 metų paaugliams gali būti leidžiama nuo 2,5 iki 40 mg Kenalog dozė į sąnarį.</w:t>
      </w:r>
    </w:p>
    <w:p w14:paraId="7755FFE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947ED15" w14:textId="77777777" w:rsidR="00185973" w:rsidRPr="0077622E" w:rsidRDefault="00185973" w:rsidP="00185973">
      <w:pPr>
        <w:widowControl w:val="0"/>
        <w:ind w:left="0" w:firstLine="0"/>
        <w:rPr>
          <w:rFonts w:ascii="Times New Roman" w:eastAsia="Times New Roman" w:hAnsi="Times New Roman" w:cs="Times New Roman"/>
          <w:bCs/>
          <w:iCs/>
          <w:kern w:val="0"/>
          <w:sz w:val="22"/>
          <w:szCs w:val="22"/>
          <w:lang w:eastAsia="sl-SI"/>
          <w14:ligatures w14:val="none"/>
        </w:rPr>
      </w:pPr>
      <w:r w:rsidRPr="0077622E">
        <w:rPr>
          <w:rFonts w:ascii="Times New Roman" w:eastAsia="Times New Roman" w:hAnsi="Times New Roman" w:cs="Times New Roman"/>
          <w:bCs/>
          <w:iCs/>
          <w:kern w:val="0"/>
          <w:sz w:val="22"/>
          <w:szCs w:val="22"/>
          <w:lang w:eastAsia="sl-SI"/>
          <w14:ligatures w14:val="none"/>
        </w:rPr>
        <w:t>Ilgalaikio gydymo atveju būtina atidžiai stebėti augimą ir vystymąsi.</w:t>
      </w:r>
    </w:p>
    <w:p w14:paraId="175F0B49" w14:textId="77777777" w:rsidR="00185973" w:rsidRPr="0077622E" w:rsidRDefault="00185973" w:rsidP="00185973">
      <w:pPr>
        <w:widowControl w:val="0"/>
        <w:ind w:left="0" w:firstLine="0"/>
        <w:rPr>
          <w:rFonts w:ascii="Times New Roman" w:eastAsia="Times New Roman" w:hAnsi="Times New Roman" w:cs="Times New Roman"/>
          <w:bCs/>
          <w:iCs/>
          <w:kern w:val="0"/>
          <w:sz w:val="22"/>
          <w:szCs w:val="22"/>
          <w:lang w:eastAsia="sl-SI"/>
          <w14:ligatures w14:val="none"/>
        </w:rPr>
      </w:pPr>
    </w:p>
    <w:p w14:paraId="34409C07" w14:textId="77777777" w:rsidR="00185973" w:rsidRPr="0077622E" w:rsidRDefault="00185973" w:rsidP="00185973">
      <w:pPr>
        <w:widowControl w:val="0"/>
        <w:ind w:left="0" w:firstLine="0"/>
        <w:rPr>
          <w:rFonts w:ascii="Times New Roman" w:eastAsia="Times New Roman" w:hAnsi="Times New Roman" w:cs="Times New Roman"/>
          <w:b/>
          <w:bCs/>
          <w:iCs/>
          <w:kern w:val="0"/>
          <w:sz w:val="22"/>
          <w:szCs w:val="22"/>
          <w:lang w:eastAsia="sl-SI"/>
          <w14:ligatures w14:val="none"/>
        </w:rPr>
      </w:pPr>
      <w:r w:rsidRPr="0077622E">
        <w:rPr>
          <w:rFonts w:ascii="Times New Roman" w:eastAsia="Times New Roman" w:hAnsi="Times New Roman" w:cs="Times New Roman"/>
          <w:b/>
          <w:bCs/>
          <w:iCs/>
          <w:kern w:val="0"/>
          <w:sz w:val="22"/>
          <w:szCs w:val="22"/>
          <w:lang w:eastAsia="sl-SI"/>
          <w14:ligatures w14:val="none"/>
        </w:rPr>
        <w:t>Senyvi pacientai</w:t>
      </w:r>
    </w:p>
    <w:p w14:paraId="2DAE8E56" w14:textId="77777777" w:rsidR="00185973" w:rsidRPr="0077622E" w:rsidRDefault="00185973" w:rsidP="00185973">
      <w:pPr>
        <w:widowControl w:val="0"/>
        <w:ind w:left="0" w:firstLine="0"/>
        <w:rPr>
          <w:rFonts w:ascii="Times New Roman" w:eastAsia="Times New Roman" w:hAnsi="Times New Roman" w:cs="Times New Roman"/>
          <w:bCs/>
          <w:iCs/>
          <w:kern w:val="0"/>
          <w:sz w:val="22"/>
          <w:szCs w:val="22"/>
          <w:lang w:eastAsia="sl-SI"/>
          <w14:ligatures w14:val="none"/>
        </w:rPr>
      </w:pPr>
      <w:r w:rsidRPr="0077622E">
        <w:rPr>
          <w:rFonts w:ascii="Times New Roman" w:eastAsia="Times New Roman" w:hAnsi="Times New Roman" w:cs="Times New Roman"/>
          <w:bCs/>
          <w:iCs/>
          <w:kern w:val="0"/>
          <w:sz w:val="22"/>
          <w:szCs w:val="22"/>
          <w:lang w:eastAsia="sl-SI"/>
          <w14:ligatures w14:val="none"/>
        </w:rPr>
        <w:t>Ilgalaikį gydymą būtina prižiūrėti, kad būtų išvengta gyvybei pavojingų reakcijų.</w:t>
      </w:r>
    </w:p>
    <w:p w14:paraId="1C975242" w14:textId="77777777" w:rsidR="00185973" w:rsidRPr="0077622E" w:rsidRDefault="00185973" w:rsidP="00185973">
      <w:pPr>
        <w:widowControl w:val="0"/>
        <w:ind w:left="0" w:firstLine="0"/>
        <w:rPr>
          <w:rFonts w:ascii="Times New Roman" w:eastAsia="Times New Roman" w:hAnsi="Times New Roman" w:cs="Times New Roman"/>
          <w:bCs/>
          <w:iCs/>
          <w:kern w:val="0"/>
          <w:sz w:val="22"/>
          <w:szCs w:val="22"/>
          <w:lang w:eastAsia="sl-SI"/>
          <w14:ligatures w14:val="none"/>
        </w:rPr>
      </w:pPr>
    </w:p>
    <w:p w14:paraId="743B7FB8" w14:textId="77777777" w:rsidR="00185973" w:rsidRPr="0077622E" w:rsidRDefault="00185973" w:rsidP="00185973">
      <w:pPr>
        <w:widowControl w:val="0"/>
        <w:ind w:left="0" w:firstLine="0"/>
        <w:rPr>
          <w:rFonts w:ascii="Times New Roman" w:eastAsia="Times New Roman" w:hAnsi="Times New Roman" w:cs="Times New Roman"/>
          <w:bCs/>
          <w:kern w:val="0"/>
          <w:sz w:val="22"/>
          <w:szCs w:val="22"/>
          <w:lang w:eastAsia="sl-SI"/>
          <w14:ligatures w14:val="none"/>
        </w:rPr>
      </w:pPr>
      <w:r w:rsidRPr="0077622E">
        <w:rPr>
          <w:rFonts w:ascii="Times New Roman" w:eastAsia="Times New Roman" w:hAnsi="Times New Roman" w:cs="Times New Roman"/>
          <w:bCs/>
          <w:kern w:val="0"/>
          <w:sz w:val="22"/>
          <w:szCs w:val="22"/>
          <w:lang w:eastAsia="sl-SI"/>
          <w14:ligatures w14:val="none"/>
        </w:rPr>
        <w:t>Dažnas nepageidaujamas sisteminių kortikosteroidų poveikis gali būti susijęs su rimtesnėmis pasekmėmis senatvėje, ypač osteoporoze, hipertenzija, hipokalemija, diabetu, jautrumu infekcijai ir odos plonėjimu.</w:t>
      </w:r>
    </w:p>
    <w:p w14:paraId="299FBC9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011D0ED"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Vartojimo metodas BŪTINA LAIKYTIS GRIEŽTOS ASEPTIKO TECHNIKOS. Prieš naudojimą ampulę reikia suplakti, kad suspensija būtų vientisa. Prieš ištraukiant, reikia patikrinti, ar suspensija nėra sulipusi arba granuliuota (aglomeruota). Aglomeracija įvyksta, kai vaistinė medžiaga atsiskiria nuo tirpalo ir ampulėje atrodo kaip baltos nuosėdos. Sulipusį produktą reikia išmesti ir jo vartoti negalima. Ištraukus vaistą, nedelsiant sušvirkšti, kad švirkšte nenusėstų.</w:t>
      </w:r>
    </w:p>
    <w:p w14:paraId="7689148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3E53F69"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Ką daryti pavartojus per didelę Kenalog dozę</w:t>
      </w:r>
    </w:p>
    <w:p w14:paraId="0CBE53D3"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Per didelės dozės (paprastai tik po kelių savaičių gydymo) dažniausiai sukelia Kušingo sindromą, antinksčių žievės funkcijos susilpnėjimą, raumenų silpnumą, kaulinio audinio kiekio mažėjimą (osteoporozę), pepsinę ar dvylikapirštės žarnos opą.</w:t>
      </w:r>
    </w:p>
    <w:p w14:paraId="7CA26D5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Gydymas simptominis.</w:t>
      </w:r>
    </w:p>
    <w:p w14:paraId="7E4A6CF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8431407"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Pamiršus pavartoti Kenalog</w:t>
      </w:r>
    </w:p>
    <w:p w14:paraId="1064115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Kokiais laiko intervalais leisti Kenalog, nuspręs gydytojas. Jei laiku Jums nebuvo suleista šio vaisto, apie tai kiek įmanoma greičiau pasakykite gydytojui.</w:t>
      </w:r>
    </w:p>
    <w:p w14:paraId="69FAAE7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51040656" w14:textId="77777777" w:rsidR="00185973" w:rsidRPr="0077622E" w:rsidRDefault="00185973" w:rsidP="00185973">
      <w:pPr>
        <w:widowControl w:val="0"/>
        <w:ind w:left="567" w:hanging="567"/>
        <w:outlineLvl w:val="2"/>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Nustojus vartoti Kenalog</w:t>
      </w:r>
    </w:p>
    <w:p w14:paraId="2273FBC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Savavališkai nutraukti šio vaisto vartojimą gali būti pavojinga. Per anksti nutraukus šio vaisto vartojimą, liga gali pasunkėti.</w:t>
      </w:r>
    </w:p>
    <w:p w14:paraId="568F597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Gydymas steroidais paprastai tęsiamas kiek įmanoma trumpiau ir jo negalima nutraukti staiga. Jei injekcijos kartojamos ilgą laikotarpį, sąnariai gali būti pažeisti negrįžtamai.</w:t>
      </w:r>
    </w:p>
    <w:p w14:paraId="5467DEF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Nutraukus gydymą gali pasireikšti į gripą panašių simptomų, sloga arba akių ar odos niežėjimas.</w:t>
      </w:r>
    </w:p>
    <w:p w14:paraId="2FE2183A"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FC8492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Jeigu kiltų daugiau klausimų dėl šio vaisto vartojimo, kreipkitės į gydytoją arba vaistininką.</w:t>
      </w:r>
    </w:p>
    <w:p w14:paraId="11AA4B9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D226FBD" w14:textId="77777777" w:rsidR="00185973" w:rsidRPr="0077622E" w:rsidRDefault="00185973" w:rsidP="00185973">
      <w:pPr>
        <w:widowControl w:val="0"/>
        <w:ind w:left="0" w:firstLine="0"/>
        <w:rPr>
          <w:rFonts w:ascii="Times New Roman" w:eastAsia="Times New Roman" w:hAnsi="Times New Roman" w:cs="Times New Roman"/>
          <w:b/>
          <w:kern w:val="0"/>
          <w:sz w:val="22"/>
          <w:szCs w:val="22"/>
          <w:u w:val="single"/>
          <w14:ligatures w14:val="none"/>
        </w:rPr>
      </w:pPr>
      <w:r w:rsidRPr="0077622E">
        <w:rPr>
          <w:rFonts w:ascii="Times New Roman" w:eastAsia="Times New Roman" w:hAnsi="Times New Roman" w:cs="Times New Roman"/>
          <w:b/>
          <w:kern w:val="0"/>
          <w:sz w:val="22"/>
          <w:szCs w:val="22"/>
          <w:u w:val="single"/>
          <w14:ligatures w14:val="none"/>
        </w:rPr>
        <w:t>Psichikos problemos vartojant Kenalog</w:t>
      </w:r>
    </w:p>
    <w:p w14:paraId="3D2592FB" w14:textId="77777777" w:rsidR="00185973" w:rsidRPr="0077622E" w:rsidRDefault="00185973" w:rsidP="00185973">
      <w:pPr>
        <w:widowControl w:val="0"/>
        <w:ind w:left="0" w:firstLine="0"/>
        <w:rPr>
          <w:rFonts w:ascii="Times New Roman" w:eastAsia="Times New Roman" w:hAnsi="Times New Roman" w:cs="Times New Roman"/>
          <w:bCs/>
          <w:kern w:val="0"/>
          <w:sz w:val="22"/>
          <w:szCs w:val="22"/>
          <w:u w:val="single"/>
          <w14:ligatures w14:val="none"/>
        </w:rPr>
      </w:pPr>
      <w:r w:rsidRPr="0077622E">
        <w:rPr>
          <w:rFonts w:ascii="Times New Roman" w:eastAsia="Times New Roman" w:hAnsi="Times New Roman" w:cs="Times New Roman"/>
          <w:bCs/>
          <w:kern w:val="0"/>
          <w:sz w:val="22"/>
          <w:szCs w:val="22"/>
          <w:u w:val="single"/>
          <w14:ligatures w14:val="none"/>
        </w:rPr>
        <w:t>Vartojant steroidų, tokių kaip Kenalog, gali kilti psichikos problemų.</w:t>
      </w:r>
    </w:p>
    <w:p w14:paraId="6584818C"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Tokie sutrikimai gali būti sunkūs.</w:t>
      </w:r>
    </w:p>
    <w:p w14:paraId="276AB3F3"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Paprastai jie prasideda per kelias dienas ar savaites nuo vaisto vartojimo pradžios.</w:t>
      </w:r>
    </w:p>
    <w:p w14:paraId="43862DD2"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Vartojant didelių dozių, tokių sutrikimų rizika yra didesnė.</w:t>
      </w:r>
    </w:p>
    <w:p w14:paraId="0D98A224" w14:textId="77777777" w:rsidR="00185973" w:rsidRPr="0077622E" w:rsidRDefault="00185973" w:rsidP="0077622E">
      <w:pPr>
        <w:widowControl w:val="0"/>
        <w:numPr>
          <w:ilvl w:val="0"/>
          <w:numId w:val="5"/>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Dauguma šių problemų išnyksta sumažinus dozę arba nutraukus vaisto vartojimą. Tačiau, jei kyla problemų, gali prireikti gydymo.</w:t>
      </w:r>
    </w:p>
    <w:p w14:paraId="3390F22E" w14:textId="77777777" w:rsidR="00185973" w:rsidRPr="0077622E" w:rsidRDefault="00185973" w:rsidP="00185973">
      <w:pPr>
        <w:widowControl w:val="0"/>
        <w:ind w:left="0" w:firstLine="0"/>
        <w:rPr>
          <w:rFonts w:ascii="Times New Roman" w:eastAsia="Times New Roman" w:hAnsi="Times New Roman" w:cs="Times New Roman"/>
          <w:bCs/>
          <w:kern w:val="0"/>
          <w:sz w:val="22"/>
          <w:szCs w:val="22"/>
          <w:u w:val="single"/>
          <w14:ligatures w14:val="none"/>
        </w:rPr>
      </w:pPr>
      <w:r w:rsidRPr="0077622E">
        <w:rPr>
          <w:rFonts w:ascii="Times New Roman" w:eastAsia="Times New Roman" w:hAnsi="Times New Roman" w:cs="Times New Roman"/>
          <w:bCs/>
          <w:kern w:val="0"/>
          <w:sz w:val="22"/>
          <w:szCs w:val="22"/>
          <w:u w:val="single"/>
          <w14:ligatures w14:val="none"/>
        </w:rPr>
        <w:t>Pasitarkite su gydytoju, jei Jums (ar kam kitam, vartojančiam šį vaistą) atsiranda bet kokių psichikos sutrikimų požymių. Tai ypač svarbu, jei pasireiškia depresija arba galvojate apie savižudybę. Kai kuriais atvejais psichikos sutrikimai pasireiškė mažinant dozę arba gydymą nutraukus.</w:t>
      </w:r>
    </w:p>
    <w:p w14:paraId="5AA7A3E7" w14:textId="77777777" w:rsidR="00185973" w:rsidRPr="0077622E" w:rsidRDefault="00185973" w:rsidP="00185973">
      <w:pPr>
        <w:widowControl w:val="0"/>
        <w:ind w:left="0" w:firstLine="0"/>
        <w:rPr>
          <w:rFonts w:ascii="Times New Roman" w:eastAsia="Times New Roman" w:hAnsi="Times New Roman" w:cs="Times New Roman"/>
          <w:bCs/>
          <w:kern w:val="0"/>
          <w:sz w:val="22"/>
          <w:szCs w:val="22"/>
          <w:u w:val="single"/>
          <w14:ligatures w14:val="none"/>
        </w:rPr>
      </w:pPr>
    </w:p>
    <w:p w14:paraId="6C47C2E9" w14:textId="77777777" w:rsidR="00185973" w:rsidRPr="0077622E" w:rsidRDefault="00185973" w:rsidP="00185973">
      <w:pPr>
        <w:widowControl w:val="0"/>
        <w:ind w:left="0" w:firstLine="0"/>
        <w:rPr>
          <w:rFonts w:ascii="Times New Roman" w:eastAsia="Times New Roman" w:hAnsi="Times New Roman" w:cs="Times New Roman"/>
          <w:bCs/>
          <w:kern w:val="0"/>
          <w:sz w:val="22"/>
          <w:szCs w:val="22"/>
          <w:lang w:eastAsia="lt-LT"/>
          <w14:ligatures w14:val="none"/>
        </w:rPr>
      </w:pPr>
    </w:p>
    <w:p w14:paraId="180D575D" w14:textId="77777777" w:rsidR="00185973" w:rsidRPr="0077622E" w:rsidRDefault="00185973" w:rsidP="00185973">
      <w:pPr>
        <w:widowControl w:val="0"/>
        <w:ind w:left="567" w:hanging="567"/>
        <w:outlineLvl w:val="1"/>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4.</w:t>
      </w:r>
      <w:r w:rsidRPr="0077622E">
        <w:rPr>
          <w:rFonts w:ascii="Times New Roman" w:eastAsia="Times New Roman" w:hAnsi="Times New Roman" w:cs="Times New Roman"/>
          <w:b/>
          <w:kern w:val="0"/>
          <w:sz w:val="22"/>
          <w:szCs w:val="22"/>
          <w:lang w:eastAsia="lt-LT"/>
          <w14:ligatures w14:val="none"/>
        </w:rPr>
        <w:tab/>
        <w:t>Galimas šalutinis poveikis</w:t>
      </w:r>
    </w:p>
    <w:p w14:paraId="52DD41D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D345BCF" w14:textId="77777777" w:rsidR="00185973" w:rsidRPr="0077622E" w:rsidRDefault="00185973" w:rsidP="00185973">
      <w:pPr>
        <w:widowControl w:val="0"/>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lang w:eastAsia="lt-LT"/>
          <w14:ligatures w14:val="none"/>
        </w:rPr>
        <w:t>Šis vaistas kaip ir visi kiti, gali sukelti šalutinį poveikį, nors jis pasireiškia ne visiems pacientams.</w:t>
      </w:r>
      <w:r w:rsidRPr="0077622E">
        <w:rPr>
          <w:rFonts w:ascii="Times New Roman" w:eastAsia="Times New Roman" w:hAnsi="Times New Roman" w:cs="Times New Roman"/>
          <w:kern w:val="0"/>
          <w:szCs w:val="20"/>
          <w:lang w:eastAsia="sl-SI"/>
          <w14:ligatures w14:val="none"/>
        </w:rPr>
        <w:t xml:space="preserve"> </w:t>
      </w:r>
    </w:p>
    <w:p w14:paraId="2CB2C13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0ABD4A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Šalutinis poveikis dažniausiai pasireiškia ilgai vartojant Kenalog didelėmis dozėmis. Jis yra panašus į kitų kortikosteroidų ir išvardytas žemiau.</w:t>
      </w:r>
    </w:p>
    <w:p w14:paraId="3B097A1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59E588A" w14:textId="77777777" w:rsidR="00185973" w:rsidRPr="0077622E" w:rsidRDefault="00185973" w:rsidP="00185973">
      <w:pPr>
        <w:tabs>
          <w:tab w:val="left" w:pos="567"/>
        </w:tabs>
        <w:spacing w:line="260" w:lineRule="exact"/>
        <w:ind w:left="0" w:firstLine="0"/>
        <w:outlineLvl w:val="0"/>
        <w:rPr>
          <w:rFonts w:ascii="Times New Roman" w:eastAsia="Times New Roman" w:hAnsi="Times New Roman" w:cs="Times New Roman"/>
          <w:b/>
          <w:kern w:val="0"/>
          <w:sz w:val="22"/>
          <w:szCs w:val="22"/>
          <w14:ligatures w14:val="none"/>
        </w:rPr>
      </w:pPr>
      <w:r w:rsidRPr="0077622E">
        <w:rPr>
          <w:rFonts w:ascii="Times New Roman" w:eastAsia="Times New Roman" w:hAnsi="Times New Roman" w:cs="Times New Roman"/>
          <w:kern w:val="0"/>
          <w:sz w:val="22"/>
          <w:szCs w:val="22"/>
          <w14:ligatures w14:val="none"/>
        </w:rPr>
        <w:t xml:space="preserve">Pranešta apie sunkius anafilaksinės reakcijos (t. y. sunkios alerginės reakcijos) ir anafilaksinio šoko, įskaitant mirtiną, atvejus. Jei pasireikš bet kuris toliau išvarytas poveikis, </w:t>
      </w:r>
      <w:r w:rsidRPr="0077622E">
        <w:rPr>
          <w:rFonts w:ascii="Times New Roman" w:eastAsia="Times New Roman" w:hAnsi="Times New Roman" w:cs="Times New Roman"/>
          <w:b/>
          <w:kern w:val="0"/>
          <w:sz w:val="22"/>
          <w:szCs w:val="22"/>
          <w14:ligatures w14:val="none"/>
        </w:rPr>
        <w:t>nedelsdami kreipkitės į gydytoją:</w:t>
      </w:r>
    </w:p>
    <w:p w14:paraId="56B79434"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veido, lūpų ar gerklės patinimas,</w:t>
      </w:r>
    </w:p>
    <w:p w14:paraId="5BBD6249"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kvėpavimo pasunkėjimas,</w:t>
      </w:r>
    </w:p>
    <w:p w14:paraId="0B706ABB"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odos niežėjimas, paraudimas arba išbėrimas,</w:t>
      </w:r>
    </w:p>
    <w:p w14:paraId="72BB4419" w14:textId="77777777" w:rsidR="00185973" w:rsidRPr="0077622E" w:rsidRDefault="00185973" w:rsidP="00185973">
      <w:pPr>
        <w:tabs>
          <w:tab w:val="left" w:pos="567"/>
        </w:tabs>
        <w:spacing w:line="260" w:lineRule="exact"/>
        <w:ind w:left="0" w:firstLine="0"/>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nes tai gali būti alerginės reakcijos požymiai.</w:t>
      </w:r>
    </w:p>
    <w:p w14:paraId="15306DD1" w14:textId="77777777" w:rsidR="00185973" w:rsidRPr="0077622E" w:rsidRDefault="00185973" w:rsidP="00185973">
      <w:pPr>
        <w:tabs>
          <w:tab w:val="left" w:pos="567"/>
        </w:tabs>
        <w:spacing w:line="260" w:lineRule="exact"/>
        <w:ind w:left="0" w:firstLine="0"/>
        <w:outlineLvl w:val="0"/>
        <w:rPr>
          <w:rFonts w:ascii="Times New Roman" w:eastAsia="Times New Roman" w:hAnsi="Times New Roman" w:cs="Times New Roman"/>
          <w:kern w:val="0"/>
          <w:sz w:val="22"/>
          <w:szCs w:val="22"/>
          <w14:ligatures w14:val="none"/>
        </w:rPr>
      </w:pPr>
    </w:p>
    <w:p w14:paraId="7DF1B2C7" w14:textId="77777777" w:rsidR="00185973" w:rsidRPr="0077622E" w:rsidRDefault="00185973" w:rsidP="00185973">
      <w:pPr>
        <w:widowControl w:val="0"/>
        <w:tabs>
          <w:tab w:val="left" w:pos="567"/>
        </w:tabs>
        <w:spacing w:line="260" w:lineRule="exact"/>
        <w:ind w:left="0" w:firstLine="0"/>
        <w:rPr>
          <w:rFonts w:ascii="Times New Roman" w:eastAsia="Times New Roman" w:hAnsi="Times New Roman" w:cs="Times New Roman"/>
          <w:b/>
          <w:bCs/>
          <w:kern w:val="0"/>
          <w:sz w:val="22"/>
          <w:szCs w:val="22"/>
          <w14:ligatures w14:val="none"/>
        </w:rPr>
      </w:pPr>
      <w:r w:rsidRPr="0077622E">
        <w:rPr>
          <w:rFonts w:ascii="Times New Roman" w:eastAsia="Times New Roman" w:hAnsi="Times New Roman" w:cs="Times New Roman"/>
          <w:b/>
          <w:bCs/>
          <w:kern w:val="0"/>
          <w:sz w:val="22"/>
          <w:szCs w:val="22"/>
          <w14:ligatures w14:val="none"/>
        </w:rPr>
        <w:t>Jei pasireikš bet kuris toliau išvarytas poveikis, apie tai nedelsdami pasakykite gydytojui.</w:t>
      </w:r>
    </w:p>
    <w:p w14:paraId="3C6483EA" w14:textId="77777777" w:rsidR="00185973" w:rsidRPr="0077622E" w:rsidRDefault="00185973" w:rsidP="00185973">
      <w:pPr>
        <w:widowControl w:val="0"/>
        <w:tabs>
          <w:tab w:val="left" w:pos="567"/>
        </w:tabs>
        <w:spacing w:line="260" w:lineRule="exact"/>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Steroidai, įskaitant Kenalog 40 mg/ml injekcinę suspensiją, gali sukelti sunkių psichikos sutrikimų. Toks poveikis tiek suaugusiesiems, tiek vaikams pasireiškia nedažnai.</w:t>
      </w:r>
    </w:p>
    <w:p w14:paraId="77257927"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Nuotaikos pokyčiai, psichikos sutrikimai, priklausomybės nuo vaisto pojūtis, miego sutrikimas, priepuoliai arba epilepsija, apalpimas ir svaigulys.</w:t>
      </w:r>
    </w:p>
    <w:p w14:paraId="73A5C281"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Depresijos pojūtis, įskaitant mintis apie savižudybę.</w:t>
      </w:r>
    </w:p>
    <w:p w14:paraId="3923BA16"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Pakylėjimo jausmas (euforija ir manija), nuotaikos gerėjimas ir blogėjimas.</w:t>
      </w:r>
    </w:p>
    <w:p w14:paraId="2AA6B523"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Nerimo / irzlumo pojūtis, miego sutrikimai, mąstymo pasunkėjimas, minčių susipainiojimas, atminties pablogėjimas.</w:t>
      </w:r>
    </w:p>
    <w:p w14:paraId="587FBCB5" w14:textId="77777777" w:rsidR="00185973" w:rsidRPr="0077622E" w:rsidRDefault="00185973" w:rsidP="0077622E">
      <w:pPr>
        <w:numPr>
          <w:ilvl w:val="0"/>
          <w:numId w:val="9"/>
        </w:numPr>
        <w:spacing w:line="260" w:lineRule="exact"/>
        <w:ind w:left="567" w:hanging="283"/>
        <w:outlineLvl w:val="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kern w:val="0"/>
          <w:sz w:val="22"/>
          <w:szCs w:val="22"/>
          <w14:ligatures w14:val="none"/>
        </w:rPr>
        <w:t>Nesamų dalymų jautimas, matymas arba girdėjimas. Keistos ir bauginančios mintys, elgesio pokytis arba vienatvės pojūtis.</w:t>
      </w:r>
    </w:p>
    <w:p w14:paraId="3777400D"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4E0F375"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Dažni šalutinio poveikio reiškiniai (gali pasireikšti rečiau kaip 1 iš 10 asmenų):</w:t>
      </w:r>
    </w:p>
    <w:p w14:paraId="74E8CD4E"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padidėjusi infekcijos pasireiškimo rizika;</w:t>
      </w:r>
    </w:p>
    <w:p w14:paraId="221928A4"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reakcijos injekcijos vietoje;</w:t>
      </w:r>
    </w:p>
    <w:p w14:paraId="3A38E66F"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galvos skausmas;</w:t>
      </w:r>
    </w:p>
    <w:p w14:paraId="33ECF569"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sausa burna;</w:t>
      </w:r>
    </w:p>
    <w:p w14:paraId="248F82C1"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sąnarių skausmas;</w:t>
      </w:r>
    </w:p>
    <w:p w14:paraId="3097F623"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mėlynės, smulkių kraujagyslių atsiradimas odos paviršiuje.</w:t>
      </w:r>
    </w:p>
    <w:p w14:paraId="50CA764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22777C7" w14:textId="77777777" w:rsidR="00185973" w:rsidRPr="0077622E" w:rsidRDefault="00185973" w:rsidP="00185973">
      <w:pPr>
        <w:widowControl w:val="0"/>
        <w:ind w:left="0" w:firstLine="0"/>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b/>
          <w:kern w:val="0"/>
          <w:sz w:val="22"/>
          <w:szCs w:val="22"/>
          <w:lang w:eastAsia="lt-LT"/>
          <w14:ligatures w14:val="none"/>
        </w:rPr>
        <w:t>Nedažni šalutinio poveikio reiškiniai (gali pasireikšti rečiau kaip 1 iš 100 asmenų):</w:t>
      </w:r>
    </w:p>
    <w:p w14:paraId="3F2AD0CE"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kraujo biocheminės sudėties pokyčiai, galintys sukelti skysčių susilaikymą;</w:t>
      </w:r>
    </w:p>
    <w:p w14:paraId="68993B90"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širdies nepakankamumas ar neritmiškas širdies plakimas;</w:t>
      </w:r>
    </w:p>
    <w:p w14:paraId="598EF427"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Kušingo sindromas (mėnulio formos veidas ir sprando suapvalėjimas);</w:t>
      </w:r>
    </w:p>
    <w:p w14:paraId="5C396B23"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silpni arba trapūs kaulai arba raumenys, blogas lūžusių kaulų gijimas arba kaulų galų irimas, raumenų masės sumažėjimas, raumenų ar kaulų skausmas, raumenų silpnumas/diskomfortas, kaulų lūžiai;</w:t>
      </w:r>
    </w:p>
    <w:p w14:paraId="21CFF7EE"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kaulų audinio netekimas (osteoporozė);</w:t>
      </w:r>
    </w:p>
    <w:p w14:paraId="4267339C"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plona / trapi oda, išbėrimai, strijos, kraujosruvos, prakaitavimas, paraudimas ir padidėjęs plaukų augimas, niežtintys gumbeliai, odos spalvos praradimas / patamsėjimas, odos uždegimas (dermatitas);</w:t>
      </w:r>
    </w:p>
    <w:p w14:paraId="0C33D2D3"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virškinimo sutrikimas, pilvo skausmas, skrandžio opa ir perforacija, pilvo pūtimas, padidėjęs apetitas ir kūno svorio sumažėjimas, kasos / stemplės uždegimas, kraujavimas iš skrandžio;</w:t>
      </w:r>
    </w:p>
    <w:p w14:paraId="3B2B9263"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akių problemos, įskaitant uždegimą, glaukomą ir kataraktą, aklumą, akies iškilimą, ragenos arba akies baltymo pažeidimą, papiloedemą;</w:t>
      </w:r>
    </w:p>
    <w:p w14:paraId="119BC07A"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nosies infekcija;</w:t>
      </w:r>
    </w:p>
    <w:p w14:paraId="1F33BA00"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menstruacinio kraujavimo nebuvimas, kraujavimas iš makšties po menopauzės;</w:t>
      </w:r>
    </w:p>
    <w:p w14:paraId="1E7355E3"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grybelinė ar virusinė akių infekcija;</w:t>
      </w:r>
    </w:p>
    <w:p w14:paraId="49B2AEAB"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mieliagrybių infekcija, pvz. pienligė;</w:t>
      </w:r>
    </w:p>
    <w:p w14:paraId="66E3C1B7"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nuovargis ir dilgčiojimas, padidėjęs spaudimas smegenyse;</w:t>
      </w:r>
    </w:p>
    <w:p w14:paraId="4A8B8363"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pablogėjęs angliavandenių toleravimas;</w:t>
      </w:r>
    </w:p>
    <w:p w14:paraId="653C5B1C"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lengva cukrinio diabeto forma be aiškių simptomų;</w:t>
      </w:r>
    </w:p>
    <w:p w14:paraId="57801B76"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nepakankamai kontroliuojamas cukrinis diabetas, didelis cukraus kiekis kraujyje;</w:t>
      </w:r>
    </w:p>
    <w:p w14:paraId="68AA52FC"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sąnario, į kurį atlikta injekcija, skausmas, patinimas ir skausmo sustiprėjimas;</w:t>
      </w:r>
    </w:p>
    <w:p w14:paraId="693E7492"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pablogėjęs gijimas;</w:t>
      </w:r>
    </w:p>
    <w:p w14:paraId="1C0AFBE1"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didelė kūno temperatūra;</w:t>
      </w:r>
    </w:p>
    <w:p w14:paraId="6C6D9D5C"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gydymas steroidais gali sustabdyti tam tikrų hormonų susidarymą organizme, todėl gali sulėtėti ar nutrūkti vaikų augimas;</w:t>
      </w:r>
    </w:p>
    <w:p w14:paraId="443ABC38"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gali padidėti arba sumažėto hormonų gamyba tam tikrose liaukose;</w:t>
      </w:r>
    </w:p>
    <w:p w14:paraId="1C539C78"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galvos sukimasis (</w:t>
      </w:r>
      <w:r w:rsidRPr="0077622E">
        <w:rPr>
          <w:rFonts w:ascii="Times New Roman" w:eastAsia="Times New Roman" w:hAnsi="Times New Roman" w:cs="Times New Roman"/>
          <w:i/>
          <w:iCs/>
          <w:kern w:val="0"/>
          <w:sz w:val="22"/>
          <w:szCs w:val="22"/>
          <w:lang w:eastAsia="lt-LT"/>
          <w14:ligatures w14:val="none"/>
        </w:rPr>
        <w:t>vertigo</w:t>
      </w:r>
      <w:r w:rsidRPr="0077622E">
        <w:rPr>
          <w:rFonts w:ascii="Times New Roman" w:eastAsia="Times New Roman" w:hAnsi="Times New Roman" w:cs="Times New Roman"/>
          <w:kern w:val="0"/>
          <w:sz w:val="22"/>
          <w:szCs w:val="22"/>
          <w:lang w:eastAsia="lt-LT"/>
          <w14:ligatures w14:val="none"/>
        </w:rPr>
        <w:t>);</w:t>
      </w:r>
    </w:p>
    <w:p w14:paraId="4EA65F31"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aukštas / žemas kraujospūdis, kraujagyslių uždegimas;</w:t>
      </w:r>
    </w:p>
    <w:p w14:paraId="5F9EAC19" w14:textId="77777777" w:rsidR="00185973" w:rsidRPr="0077622E" w:rsidRDefault="00185973" w:rsidP="0077622E">
      <w:pPr>
        <w:widowControl w:val="0"/>
        <w:numPr>
          <w:ilvl w:val="0"/>
          <w:numId w:val="8"/>
        </w:numPr>
        <w:ind w:left="567" w:hanging="283"/>
        <w:rPr>
          <w:rFonts w:ascii="Times New Roman" w:eastAsia="Times New Roman" w:hAnsi="Times New Roman" w:cs="Times New Roman"/>
          <w:kern w:val="0"/>
          <w:sz w:val="22"/>
          <w:szCs w:val="22"/>
          <w:shd w:val="clear" w:color="auto" w:fill="E6ECF9"/>
          <w:lang w:eastAsia="sl-SI"/>
          <w14:ligatures w14:val="none"/>
        </w:rPr>
      </w:pPr>
      <w:r w:rsidRPr="0077622E">
        <w:rPr>
          <w:rFonts w:ascii="Times New Roman" w:eastAsia="Times New Roman" w:hAnsi="Times New Roman" w:cs="Times New Roman"/>
          <w:kern w:val="0"/>
          <w:sz w:val="22"/>
          <w:szCs w:val="22"/>
          <w:lang w:eastAsia="lt-LT"/>
          <w14:ligatures w14:val="none"/>
        </w:rPr>
        <w:t>nenormalūs kraujo krešuliai, kraujo krešulių susidarymą sukeliantis venos uždegimas (tromboflebitas);</w:t>
      </w:r>
    </w:p>
    <w:p w14:paraId="653D17FE" w14:textId="77777777" w:rsidR="00185973" w:rsidRPr="0077622E" w:rsidRDefault="00185973" w:rsidP="0077622E">
      <w:pPr>
        <w:widowControl w:val="0"/>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gali pasunkėti ilgalaikė lėtinė infekcija, pvz., tuberkuliozė;</w:t>
      </w:r>
    </w:p>
    <w:p w14:paraId="73CE4E1A" w14:textId="77777777" w:rsidR="00185973" w:rsidRPr="0077622E" w:rsidRDefault="00185973" w:rsidP="0077622E">
      <w:pPr>
        <w:widowControl w:val="0"/>
        <w:numPr>
          <w:ilvl w:val="0"/>
          <w:numId w:val="8"/>
        </w:numPr>
        <w:ind w:left="567" w:hanging="283"/>
        <w:jc w:val="both"/>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padidėjęs kraujo riebalų kiekis (trigliceridai, cholesterolis).</w:t>
      </w:r>
    </w:p>
    <w:p w14:paraId="4C972BB0" w14:textId="77777777" w:rsidR="00185973" w:rsidRPr="0077622E" w:rsidRDefault="00185973" w:rsidP="00185973">
      <w:pPr>
        <w:ind w:left="0" w:firstLine="0"/>
        <w:rPr>
          <w:rFonts w:ascii="Calibri" w:eastAsia="Times New Roman" w:hAnsi="Calibri" w:cs="Times New Roman"/>
          <w:kern w:val="0"/>
          <w:sz w:val="22"/>
          <w:szCs w:val="22"/>
          <w:lang w:eastAsia="sl-SI"/>
          <w14:ligatures w14:val="none"/>
        </w:rPr>
      </w:pPr>
    </w:p>
    <w:p w14:paraId="5E73DCAC" w14:textId="77777777" w:rsidR="00185973" w:rsidRPr="0077622E" w:rsidRDefault="00185973" w:rsidP="00185973">
      <w:pPr>
        <w:ind w:left="0" w:firstLine="0"/>
        <w:rPr>
          <w:rFonts w:ascii="Times New Roman" w:eastAsia="Times New Roman" w:hAnsi="Times New Roman" w:cs="Times New Roman"/>
          <w:kern w:val="0"/>
          <w:sz w:val="22"/>
          <w:szCs w:val="22"/>
          <w14:ligatures w14:val="none"/>
        </w:rPr>
      </w:pPr>
      <w:r w:rsidRPr="0077622E">
        <w:rPr>
          <w:rFonts w:ascii="Times New Roman" w:eastAsia="Times New Roman" w:hAnsi="Times New Roman" w:cs="Times New Roman"/>
          <w:b/>
          <w:kern w:val="0"/>
          <w:sz w:val="22"/>
          <w:szCs w:val="22"/>
          <w:lang w:eastAsia="sl-SI"/>
          <w14:ligatures w14:val="none"/>
        </w:rPr>
        <w:t>Reti šalutinio poveikio reiškiniai (gali pasireikšti rečiau kaip 1 iš 1 000 asmenų):</w:t>
      </w:r>
    </w:p>
    <w:p w14:paraId="1DE5953E" w14:textId="77777777" w:rsidR="00185973" w:rsidRPr="0077622E" w:rsidRDefault="00185973" w:rsidP="0077622E">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padidėjęs arba sumažėjęs tam tikrų kraujo ląstelių kiekis (granulocitozė, limfopenija, monocitopenija);</w:t>
      </w:r>
    </w:p>
    <w:p w14:paraId="0B9B2E70" w14:textId="77777777" w:rsidR="00185973" w:rsidRPr="0077622E" w:rsidRDefault="00185973" w:rsidP="0077622E">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porfirija (hemoglobino apykaitos sutrikimai);</w:t>
      </w:r>
    </w:p>
    <w:p w14:paraId="5B513A08" w14:textId="77777777" w:rsidR="00185973" w:rsidRPr="0077622E" w:rsidRDefault="00185973" w:rsidP="0077622E">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neegzistuojančių dalykų matymas ar girdėjimas (haliucinacijos).</w:t>
      </w:r>
    </w:p>
    <w:p w14:paraId="562C1959"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74D5605E" w14:textId="77777777" w:rsidR="00185973" w:rsidRPr="0077622E" w:rsidRDefault="00185973" w:rsidP="00185973">
      <w:pPr>
        <w:ind w:left="0" w:firstLine="0"/>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b/>
          <w:kern w:val="0"/>
          <w:sz w:val="22"/>
          <w:szCs w:val="22"/>
          <w:lang w:eastAsia="sl-SI"/>
          <w14:ligatures w14:val="none"/>
        </w:rPr>
        <w:t>Šalutinio poveikio reiškiniai, kurių dažnis nežinomas (negali būti apskaičiuotas pagal turimus duomenis):</w:t>
      </w:r>
    </w:p>
    <w:p w14:paraId="38DEEBB6" w14:textId="77777777" w:rsidR="00185973" w:rsidRPr="0077622E" w:rsidRDefault="00185973" w:rsidP="0077622E">
      <w:pPr>
        <w:widowControl w:val="0"/>
        <w:numPr>
          <w:ilvl w:val="0"/>
          <w:numId w:val="7"/>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centrinė serozinė chorioretinopatija, matomo vaizdo neryškumas, regėjimo sutrikimas;</w:t>
      </w:r>
    </w:p>
    <w:p w14:paraId="5B057ECE" w14:textId="77777777" w:rsidR="00185973" w:rsidRPr="0077622E" w:rsidRDefault="00185973" w:rsidP="0077622E">
      <w:pPr>
        <w:widowControl w:val="0"/>
        <w:numPr>
          <w:ilvl w:val="0"/>
          <w:numId w:val="7"/>
        </w:numPr>
        <w:ind w:left="567" w:hanging="283"/>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kern w:val="0"/>
          <w:sz w:val="22"/>
          <w:szCs w:val="22"/>
          <w:lang w:eastAsia="sl-SI"/>
          <w14:ligatures w14:val="none"/>
        </w:rPr>
        <w:t>žagsulys;</w:t>
      </w:r>
    </w:p>
    <w:p w14:paraId="7CDE8EEE" w14:textId="77777777" w:rsidR="00185973" w:rsidRPr="0077622E" w:rsidRDefault="00185973" w:rsidP="0077622E">
      <w:pPr>
        <w:widowControl w:val="0"/>
        <w:numPr>
          <w:ilvl w:val="0"/>
          <w:numId w:val="7"/>
        </w:numPr>
        <w:ind w:left="567" w:hanging="283"/>
        <w:rPr>
          <w:rFonts w:ascii="Times New Roman" w:eastAsia="Times New Roman" w:hAnsi="Times New Roman" w:cs="Times New Roman"/>
          <w:kern w:val="0"/>
          <w:sz w:val="22"/>
          <w:szCs w:val="22"/>
          <w:lang w:eastAsia="sl-SI"/>
          <w14:ligatures w14:val="none"/>
        </w:rPr>
      </w:pPr>
      <w:r w:rsidRPr="0077622E">
        <w:rPr>
          <w:rFonts w:ascii="Times New Roman" w:eastAsia="Times New Roman" w:hAnsi="Times New Roman" w:cs="Times New Roman"/>
          <w:kern w:val="0"/>
          <w:sz w:val="22"/>
          <w:szCs w:val="22"/>
          <w:lang w:eastAsia="lt-LT"/>
          <w14:ligatures w14:val="none"/>
        </w:rPr>
        <w:t>sausgyslių plyšimas.</w:t>
      </w:r>
    </w:p>
    <w:p w14:paraId="011E4876" w14:textId="77777777" w:rsidR="00185973" w:rsidRPr="0077622E" w:rsidRDefault="00185973" w:rsidP="00185973">
      <w:pPr>
        <w:widowControl w:val="0"/>
        <w:ind w:left="0" w:firstLine="0"/>
        <w:jc w:val="both"/>
        <w:rPr>
          <w:rFonts w:ascii="Times New Roman" w:eastAsia="Times New Roman" w:hAnsi="Times New Roman" w:cs="Times New Roman"/>
          <w:kern w:val="0"/>
          <w:sz w:val="22"/>
          <w:szCs w:val="22"/>
          <w:lang w:eastAsia="lt-LT"/>
          <w14:ligatures w14:val="none"/>
        </w:rPr>
      </w:pPr>
    </w:p>
    <w:p w14:paraId="01CE7E0F" w14:textId="77777777" w:rsidR="00185973" w:rsidRPr="0077622E" w:rsidRDefault="00185973" w:rsidP="00185973">
      <w:pPr>
        <w:widowControl w:val="0"/>
        <w:tabs>
          <w:tab w:val="left" w:pos="567"/>
        </w:tabs>
        <w:ind w:left="0" w:firstLine="0"/>
        <w:rPr>
          <w:rFonts w:ascii="Times New Roman" w:eastAsia="Times New Roman" w:hAnsi="Times New Roman" w:cs="Times New Roman"/>
          <w:b/>
          <w:snapToGrid w:val="0"/>
          <w:kern w:val="0"/>
          <w:sz w:val="22"/>
          <w:szCs w:val="22"/>
          <w:lang w:eastAsia="sl-SI"/>
          <w14:ligatures w14:val="none"/>
        </w:rPr>
      </w:pPr>
      <w:r w:rsidRPr="0077622E">
        <w:rPr>
          <w:rFonts w:ascii="Times New Roman" w:eastAsia="Times New Roman" w:hAnsi="Times New Roman" w:cs="Times New Roman"/>
          <w:b/>
          <w:snapToGrid w:val="0"/>
          <w:kern w:val="0"/>
          <w:sz w:val="22"/>
          <w:szCs w:val="22"/>
          <w:lang w:eastAsia="sl-SI"/>
          <w14:ligatures w14:val="none"/>
        </w:rPr>
        <w:t>Pranešimas apie šalutinį poveikį</w:t>
      </w:r>
    </w:p>
    <w:p w14:paraId="69C6B8D9" w14:textId="77777777" w:rsidR="00185973" w:rsidRPr="0077622E" w:rsidRDefault="00185973" w:rsidP="00185973">
      <w:pPr>
        <w:tabs>
          <w:tab w:val="left" w:pos="567"/>
        </w:tabs>
        <w:spacing w:line="260" w:lineRule="exact"/>
        <w:ind w:left="0" w:right="-1" w:firstLine="0"/>
        <w:rPr>
          <w:rFonts w:ascii="Times New Roman" w:eastAsia="Times New Roman" w:hAnsi="Times New Roman" w:cs="Times New Roman"/>
          <w:kern w:val="0"/>
          <w:sz w:val="22"/>
          <w:szCs w:val="20"/>
          <w14:ligatures w14:val="none"/>
        </w:rPr>
      </w:pPr>
      <w:r w:rsidRPr="0077622E">
        <w:rPr>
          <w:rFonts w:ascii="Times New Roman" w:eastAsia="Times New Roman" w:hAnsi="Times New Roman" w:cs="Times New Roman"/>
          <w:kern w:val="0"/>
          <w:sz w:val="22"/>
          <w:szCs w:val="22"/>
          <w:lang w:eastAsia="lt-LT"/>
          <w14:ligatures w14:val="none"/>
        </w:rPr>
        <w:t xml:space="preserve">Jeigu pasireiškė šalutinis poveikis, įskaitant šiame lapelyje nenurodytą, pasakykite gydytojui, vaistininkui arba slaugytojui. </w:t>
      </w:r>
      <w:bookmarkStart w:id="2" w:name="_Hlk173407583"/>
      <w:r w:rsidRPr="0077622E">
        <w:rPr>
          <w:rFonts w:ascii="Times New Roman" w:eastAsia="Times New Roman" w:hAnsi="Times New Roman" w:cs="Times New Roman"/>
          <w:kern w:val="0"/>
          <w:sz w:val="22"/>
          <w:szCs w:val="22"/>
          <w:lang w:eastAsia="lt-LT"/>
          <w14:ligatures w14:val="none"/>
        </w:rPr>
        <w:t xml:space="preserve">Pranešimą apie šalutinį poveikį galite užpildyti ir pateikti Valstybinės vaistų kontrolės tarnybos prie Lietuvos Respublikos sveikatos apsaugos ministerijos tinklalapyje </w:t>
      </w:r>
      <w:hyperlink r:id="rId7" w:history="1">
        <w:r w:rsidRPr="0077622E">
          <w:rPr>
            <w:rFonts w:ascii="Times New Roman" w:eastAsia="Times New Roman" w:hAnsi="Times New Roman" w:cs="Times New Roman"/>
            <w:kern w:val="0"/>
            <w:sz w:val="22"/>
            <w:szCs w:val="22"/>
            <w:u w:val="single"/>
            <w:lang w:eastAsia="lt-LT"/>
            <w14:ligatures w14:val="none"/>
          </w:rPr>
          <w:t>https://vvkt.lrv.lt/lt/</w:t>
        </w:r>
      </w:hyperlink>
      <w:r w:rsidRPr="0077622E">
        <w:rPr>
          <w:rFonts w:ascii="Times New Roman" w:eastAsia="Times New Roman" w:hAnsi="Times New Roman" w:cs="Times New Roman"/>
          <w:kern w:val="0"/>
          <w:sz w:val="22"/>
          <w:szCs w:val="22"/>
          <w:lang w:eastAsia="lt-LT"/>
          <w14:ligatures w14:val="none"/>
        </w:rPr>
        <w:t xml:space="preserve"> nurodytais būdais arba paskambinti nemokamu telefonu +370 800 73 568. Pranešdami apie šalutinį poveikį galite mums padėti gauti daugiau informacijos apie šio vaisto saugumą</w:t>
      </w:r>
      <w:r w:rsidRPr="0077622E">
        <w:rPr>
          <w:rFonts w:ascii="Times New Roman" w:eastAsia="Times New Roman" w:hAnsi="Times New Roman" w:cs="Times New Roman"/>
          <w:kern w:val="0"/>
          <w:sz w:val="22"/>
          <w:szCs w:val="20"/>
          <w14:ligatures w14:val="none"/>
        </w:rPr>
        <w:t>.</w:t>
      </w:r>
      <w:bookmarkEnd w:id="2"/>
    </w:p>
    <w:p w14:paraId="07AE596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6A87340"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75A25E2" w14:textId="77777777" w:rsidR="00185973" w:rsidRPr="0077622E" w:rsidRDefault="00185973" w:rsidP="00185973">
      <w:pPr>
        <w:widowControl w:val="0"/>
        <w:ind w:left="567" w:hanging="567"/>
        <w:outlineLvl w:val="1"/>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5.</w:t>
      </w:r>
      <w:r w:rsidRPr="0077622E">
        <w:rPr>
          <w:rFonts w:ascii="Times New Roman" w:eastAsia="Times New Roman" w:hAnsi="Times New Roman" w:cs="Times New Roman"/>
          <w:b/>
          <w:kern w:val="0"/>
          <w:sz w:val="22"/>
          <w:szCs w:val="22"/>
          <w:lang w:eastAsia="lt-LT"/>
          <w14:ligatures w14:val="none"/>
        </w:rPr>
        <w:tab/>
        <w:t>Kaip laikyti Kenalog</w:t>
      </w:r>
    </w:p>
    <w:p w14:paraId="686C1B7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16660E81"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Šį vaistą laikykite vaikams nepastebimoje ir nepasiekiamoje vietoje.</w:t>
      </w:r>
    </w:p>
    <w:p w14:paraId="64472AC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1940EBD0" w14:textId="13B560A1"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Ant dėžutės ir ampulės po „EXP“ nurodytam tinkamumo laikui pasibaigus, šio vaisto vartoti negalima. Vaistas tinkamas vartoti iki paskutinės nurodyto mėnesio dienos.</w:t>
      </w:r>
    </w:p>
    <w:p w14:paraId="6AA34408"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1475CCF6" w14:textId="5D2E75D5" w:rsidR="00185973" w:rsidRPr="0072769B"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2769B">
        <w:rPr>
          <w:rFonts w:ascii="Times New Roman" w:eastAsia="Times New Roman" w:hAnsi="Times New Roman" w:cs="Times New Roman"/>
          <w:kern w:val="0"/>
          <w:sz w:val="22"/>
          <w:szCs w:val="22"/>
          <w:lang w:eastAsia="lt-LT"/>
          <w14:ligatures w14:val="none"/>
        </w:rPr>
        <w:t>Laikyti ne aukštesnėje kaip 25 </w:t>
      </w:r>
      <w:r w:rsidR="0072769B" w:rsidRPr="0072769B">
        <w:rPr>
          <w:rFonts w:ascii="Times New Roman" w:hAnsi="Times New Roman" w:cs="Times New Roman"/>
          <w:bCs/>
          <w:noProof/>
          <w:sz w:val="22"/>
          <w:szCs w:val="22"/>
        </w:rPr>
        <w:t>°</w:t>
      </w:r>
      <w:r w:rsidRPr="0072769B">
        <w:rPr>
          <w:rFonts w:ascii="Times New Roman" w:eastAsia="Times New Roman" w:hAnsi="Times New Roman" w:cs="Times New Roman"/>
          <w:kern w:val="0"/>
          <w:sz w:val="22"/>
          <w:szCs w:val="22"/>
          <w:lang w:eastAsia="lt-LT"/>
          <w14:ligatures w14:val="none"/>
        </w:rPr>
        <w:t>C temperatūroje.</w:t>
      </w:r>
    </w:p>
    <w:p w14:paraId="0644BBF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Negalima šaldyti ar užšaldyti.</w:t>
      </w:r>
    </w:p>
    <w:p w14:paraId="15EC5205"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26134862"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Vaistų negalima išmesti į kanalizaciją arba su buitinėmis atliekomis. Kaip išmesti nereikalingus vaistus, klauskite vaistininko. Šios priemonės padės apsaugoti aplinką</w:t>
      </w:r>
    </w:p>
    <w:p w14:paraId="4CCCA4C7"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1DA439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0D5F6414" w14:textId="77777777" w:rsidR="00185973" w:rsidRPr="0077622E" w:rsidRDefault="00185973" w:rsidP="00185973">
      <w:pPr>
        <w:widowControl w:val="0"/>
        <w:ind w:left="567" w:hanging="567"/>
        <w:outlineLvl w:val="1"/>
        <w:rPr>
          <w:rFonts w:ascii="Times New Roman" w:eastAsia="Times New Roman" w:hAnsi="Times New Roman" w:cs="Times New Roman"/>
          <w:b/>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6.</w:t>
      </w:r>
      <w:r w:rsidRPr="0077622E">
        <w:rPr>
          <w:rFonts w:ascii="Times New Roman" w:eastAsia="Times New Roman" w:hAnsi="Times New Roman" w:cs="Times New Roman"/>
          <w:b/>
          <w:kern w:val="0"/>
          <w:sz w:val="22"/>
          <w:szCs w:val="22"/>
          <w:lang w:eastAsia="lt-LT"/>
          <w14:ligatures w14:val="none"/>
        </w:rPr>
        <w:tab/>
        <w:t>Pakuotės turinys ir kita informacija</w:t>
      </w:r>
    </w:p>
    <w:p w14:paraId="1F8F088B"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D477597" w14:textId="77777777" w:rsidR="00185973" w:rsidRPr="0077622E" w:rsidRDefault="00185973" w:rsidP="00185973">
      <w:pPr>
        <w:widowControl w:val="0"/>
        <w:ind w:left="0" w:firstLine="0"/>
        <w:rPr>
          <w:rFonts w:ascii="Times New Roman" w:eastAsia="Times New Roman" w:hAnsi="Times New Roman" w:cs="Times New Roman"/>
          <w:b/>
          <w:bCs/>
          <w:kern w:val="0"/>
          <w:sz w:val="22"/>
          <w:szCs w:val="22"/>
          <w:lang w:eastAsia="sl-SI"/>
          <w14:ligatures w14:val="none"/>
        </w:rPr>
      </w:pPr>
      <w:r w:rsidRPr="0077622E">
        <w:rPr>
          <w:rFonts w:ascii="Times New Roman" w:eastAsia="Times New Roman" w:hAnsi="Times New Roman" w:cs="Times New Roman"/>
          <w:b/>
          <w:bCs/>
          <w:kern w:val="0"/>
          <w:sz w:val="22"/>
          <w:szCs w:val="22"/>
          <w:lang w:eastAsia="sl-SI"/>
          <w14:ligatures w14:val="none"/>
        </w:rPr>
        <w:t>Kenalog sudėtis</w:t>
      </w:r>
    </w:p>
    <w:p w14:paraId="49770B6E" w14:textId="77777777" w:rsidR="00185973" w:rsidRPr="0077622E" w:rsidRDefault="00185973" w:rsidP="0077622E">
      <w:pPr>
        <w:widowControl w:val="0"/>
        <w:numPr>
          <w:ilvl w:val="0"/>
          <w:numId w:val="6"/>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Veiklioji medžiaga yra triamcinolono acetonidas. Kiekviename injekcinės suspensijos mililitre (vienoje ampulėje) yra 40 mg triamcinolono acetonido.</w:t>
      </w:r>
    </w:p>
    <w:p w14:paraId="76FE522D" w14:textId="77777777" w:rsidR="00185973" w:rsidRPr="0077622E" w:rsidRDefault="00185973" w:rsidP="0077622E">
      <w:pPr>
        <w:widowControl w:val="0"/>
        <w:numPr>
          <w:ilvl w:val="0"/>
          <w:numId w:val="6"/>
        </w:numPr>
        <w:ind w:left="567" w:hanging="283"/>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Pagalbinės medžiagos yra karmeliozės natrio druska, natrio chloridas, benzilo alkoholis, polisorbatas 80, injekcinis vanduo. Žr. 2 skyrių</w:t>
      </w:r>
      <w:r w:rsidRPr="0077622E">
        <w:rPr>
          <w:rFonts w:ascii="Times New Roman" w:eastAsia="Times New Roman" w:hAnsi="Times New Roman" w:cs="Times New Roman"/>
          <w:kern w:val="0"/>
          <w:sz w:val="22"/>
          <w:szCs w:val="22"/>
          <w:lang w:eastAsia="sl-SI"/>
          <w14:ligatures w14:val="none"/>
        </w:rPr>
        <w:t xml:space="preserve"> „</w:t>
      </w:r>
      <w:r w:rsidRPr="0077622E">
        <w:rPr>
          <w:rFonts w:ascii="Times New Roman" w:eastAsia="Times New Roman" w:hAnsi="Times New Roman" w:cs="Times New Roman"/>
          <w:kern w:val="0"/>
          <w:sz w:val="22"/>
          <w:szCs w:val="22"/>
          <w:lang w:eastAsia="lt-LT"/>
          <w14:ligatures w14:val="none"/>
        </w:rPr>
        <w:t>Kenalog sudėtyje yra benzilo alkoholio ir natrio“.</w:t>
      </w:r>
    </w:p>
    <w:p w14:paraId="15A372AC"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3A7300BC" w14:textId="77777777" w:rsidR="00185973" w:rsidRPr="0077622E" w:rsidRDefault="00185973" w:rsidP="00185973">
      <w:pPr>
        <w:widowControl w:val="0"/>
        <w:ind w:left="0" w:firstLine="0"/>
        <w:rPr>
          <w:rFonts w:ascii="Times New Roman" w:eastAsia="Times New Roman" w:hAnsi="Times New Roman" w:cs="Times New Roman"/>
          <w:b/>
          <w:bCs/>
          <w:kern w:val="0"/>
          <w:sz w:val="22"/>
          <w:szCs w:val="22"/>
          <w:lang w:eastAsia="sl-SI"/>
          <w14:ligatures w14:val="none"/>
        </w:rPr>
      </w:pPr>
      <w:r w:rsidRPr="0077622E">
        <w:rPr>
          <w:rFonts w:ascii="Times New Roman" w:eastAsia="Times New Roman" w:hAnsi="Times New Roman" w:cs="Times New Roman"/>
          <w:b/>
          <w:bCs/>
          <w:kern w:val="0"/>
          <w:sz w:val="22"/>
          <w:szCs w:val="22"/>
          <w:lang w:eastAsia="sl-SI"/>
          <w14:ligatures w14:val="none"/>
        </w:rPr>
        <w:t>Kenalog išvaizda ir kiekis pakuotėje</w:t>
      </w:r>
    </w:p>
    <w:p w14:paraId="68EFF460" w14:textId="7FB01856"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 xml:space="preserve">Injekcinė suspensija yra </w:t>
      </w:r>
      <w:r w:rsidR="009C3EC8">
        <w:rPr>
          <w:rFonts w:ascii="Times New Roman" w:eastAsia="Times New Roman" w:hAnsi="Times New Roman" w:cs="Times New Roman"/>
          <w:kern w:val="0"/>
          <w:sz w:val="22"/>
          <w:szCs w:val="22"/>
          <w:lang w:eastAsia="lt-LT"/>
          <w14:ligatures w14:val="none"/>
        </w:rPr>
        <w:t>pieno baltumo</w:t>
      </w:r>
      <w:r w:rsidR="00563C19">
        <w:rPr>
          <w:rFonts w:ascii="Times New Roman" w:eastAsia="Times New Roman" w:hAnsi="Times New Roman" w:cs="Times New Roman"/>
          <w:kern w:val="0"/>
          <w:sz w:val="22"/>
          <w:szCs w:val="22"/>
          <w:lang w:eastAsia="lt-LT"/>
          <w14:ligatures w14:val="none"/>
        </w:rPr>
        <w:t xml:space="preserve">, </w:t>
      </w:r>
      <w:r w:rsidRPr="0077622E">
        <w:rPr>
          <w:rFonts w:ascii="Times New Roman" w:eastAsia="Times New Roman" w:hAnsi="Times New Roman" w:cs="Times New Roman"/>
          <w:kern w:val="0"/>
          <w:sz w:val="22"/>
          <w:szCs w:val="22"/>
          <w:lang w:eastAsia="lt-LT"/>
          <w14:ligatures w14:val="none"/>
        </w:rPr>
        <w:t>silpno benzilo alkoholio kvapo, joje nėra matomų mechaninių priemaišų ar aglomeratų.</w:t>
      </w:r>
    </w:p>
    <w:p w14:paraId="587EFD09"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1ABE2D45"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Dėžutėje yra 5 ampulės po 1 ml injekcinės suspensijos.</w:t>
      </w:r>
    </w:p>
    <w:p w14:paraId="0CDB723B" w14:textId="77777777" w:rsidR="00185973" w:rsidRPr="0077622E" w:rsidRDefault="00185973" w:rsidP="00185973">
      <w:pPr>
        <w:widowControl w:val="0"/>
        <w:ind w:left="0" w:firstLine="0"/>
        <w:rPr>
          <w:rFonts w:ascii="Times New Roman" w:eastAsia="Times New Roman" w:hAnsi="Times New Roman" w:cs="Times New Roman"/>
          <w:b/>
          <w:bCs/>
          <w:kern w:val="0"/>
          <w:sz w:val="22"/>
          <w:szCs w:val="22"/>
          <w:lang w:eastAsia="sl-SI"/>
          <w14:ligatures w14:val="none"/>
        </w:rPr>
      </w:pPr>
    </w:p>
    <w:p w14:paraId="667B915B" w14:textId="77777777" w:rsidR="0077622E" w:rsidRDefault="0077622E" w:rsidP="0077622E">
      <w:pPr>
        <w:keepNext/>
        <w:keepLines/>
        <w:numPr>
          <w:ilvl w:val="12"/>
          <w:numId w:val="0"/>
        </w:numPr>
        <w:snapToGrid w:val="0"/>
        <w:ind w:right="-2"/>
        <w:rPr>
          <w:rFonts w:ascii="Times New Roman" w:eastAsia="Times New Roman" w:hAnsi="Times New Roman" w:cs="Times New Roman"/>
          <w:b/>
          <w:noProof/>
          <w:kern w:val="0"/>
          <w:sz w:val="22"/>
          <w:szCs w:val="22"/>
          <w14:ligatures w14:val="none"/>
        </w:rPr>
      </w:pPr>
      <w:r w:rsidRPr="0077622E">
        <w:rPr>
          <w:rFonts w:ascii="Times New Roman" w:eastAsia="Times New Roman" w:hAnsi="Times New Roman" w:cs="Times New Roman"/>
          <w:b/>
          <w:noProof/>
          <w:kern w:val="0"/>
          <w:sz w:val="22"/>
          <w:szCs w:val="22"/>
          <w14:ligatures w14:val="none"/>
        </w:rPr>
        <w:t>Registruotojas eksportuojančioje valstybėje ir gamintojas</w:t>
      </w:r>
    </w:p>
    <w:p w14:paraId="2C00D743" w14:textId="77777777" w:rsidR="00FF4ED8" w:rsidRDefault="00FF4ED8" w:rsidP="0077622E">
      <w:pPr>
        <w:keepNext/>
        <w:keepLines/>
        <w:numPr>
          <w:ilvl w:val="12"/>
          <w:numId w:val="0"/>
        </w:numPr>
        <w:snapToGrid w:val="0"/>
        <w:ind w:right="-2"/>
        <w:rPr>
          <w:rFonts w:ascii="Times New Roman" w:eastAsia="Times New Roman" w:hAnsi="Times New Roman" w:cs="Times New Roman"/>
          <w:b/>
          <w:noProof/>
          <w:kern w:val="0"/>
          <w:sz w:val="22"/>
          <w:szCs w:val="22"/>
          <w14:ligatures w14:val="none"/>
        </w:rPr>
      </w:pPr>
    </w:p>
    <w:p w14:paraId="6B8F45AB" w14:textId="2EE61CCC" w:rsidR="00FF4ED8" w:rsidRPr="0077622E" w:rsidRDefault="00FF4ED8" w:rsidP="0077622E">
      <w:pPr>
        <w:keepNext/>
        <w:keepLines/>
        <w:numPr>
          <w:ilvl w:val="12"/>
          <w:numId w:val="0"/>
        </w:numPr>
        <w:snapToGrid w:val="0"/>
        <w:ind w:right="-2"/>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noProof/>
          <w:kern w:val="0"/>
          <w:sz w:val="22"/>
          <w:szCs w:val="22"/>
          <w14:ligatures w14:val="none"/>
        </w:rPr>
        <w:t>Registruotojas</w:t>
      </w:r>
    </w:p>
    <w:p w14:paraId="2A5A8B9A" w14:textId="11F99982" w:rsidR="00FF4ED8" w:rsidRPr="00FF4ED8"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4ED8">
        <w:rPr>
          <w:rFonts w:ascii="Times New Roman" w:eastAsia="Aptos" w:hAnsi="Times New Roman" w:cs="Times New Roman"/>
          <w:bCs/>
          <w:color w:val="000000"/>
          <w:kern w:val="0"/>
          <w:sz w:val="22"/>
          <w:szCs w:val="22"/>
          <w14:ligatures w14:val="none"/>
        </w:rPr>
        <w:t>KRKA - FARMA d.o.o.</w:t>
      </w:r>
    </w:p>
    <w:p w14:paraId="6EAA5A46" w14:textId="4749FA2C" w:rsidR="00FF4ED8" w:rsidRPr="00FF4ED8"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4ED8">
        <w:rPr>
          <w:rFonts w:ascii="Times New Roman" w:eastAsia="Aptos" w:hAnsi="Times New Roman" w:cs="Times New Roman"/>
          <w:bCs/>
          <w:color w:val="000000"/>
          <w:kern w:val="0"/>
          <w:sz w:val="22"/>
          <w:szCs w:val="22"/>
          <w14:ligatures w14:val="none"/>
        </w:rPr>
        <w:t>Radnička cesta 48</w:t>
      </w:r>
    </w:p>
    <w:p w14:paraId="18562CA3" w14:textId="77777777" w:rsidR="00FF4ED8" w:rsidRPr="00FF4ED8"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4ED8">
        <w:rPr>
          <w:rFonts w:ascii="Times New Roman" w:eastAsia="Aptos" w:hAnsi="Times New Roman" w:cs="Times New Roman"/>
          <w:bCs/>
          <w:color w:val="000000"/>
          <w:kern w:val="0"/>
          <w:sz w:val="22"/>
          <w:szCs w:val="22"/>
          <w14:ligatures w14:val="none"/>
        </w:rPr>
        <w:t>10 000 Zagreb</w:t>
      </w:r>
    </w:p>
    <w:p w14:paraId="2D8448FF" w14:textId="3CFB30C6" w:rsidR="0077622E"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FF4ED8">
        <w:rPr>
          <w:rFonts w:ascii="Times New Roman" w:eastAsia="Aptos" w:hAnsi="Times New Roman" w:cs="Times New Roman"/>
          <w:bCs/>
          <w:color w:val="000000"/>
          <w:kern w:val="0"/>
          <w:sz w:val="22"/>
          <w:szCs w:val="22"/>
          <w14:ligatures w14:val="none"/>
        </w:rPr>
        <w:t>Kroatija</w:t>
      </w:r>
    </w:p>
    <w:p w14:paraId="446E3F66" w14:textId="77777777" w:rsidR="00FF4ED8" w:rsidRDefault="00FF4ED8" w:rsidP="00FF4ED8">
      <w:pPr>
        <w:keepNext/>
        <w:keepLines/>
        <w:numPr>
          <w:ilvl w:val="12"/>
          <w:numId w:val="0"/>
        </w:numPr>
        <w:snapToGrid w:val="0"/>
        <w:ind w:right="-2"/>
        <w:rPr>
          <w:rFonts w:ascii="Times New Roman" w:eastAsia="Times New Roman" w:hAnsi="Times New Roman" w:cs="Times New Roman"/>
          <w:b/>
          <w:noProof/>
          <w:kern w:val="0"/>
          <w:sz w:val="22"/>
          <w:szCs w:val="22"/>
          <w14:ligatures w14:val="none"/>
        </w:rPr>
      </w:pPr>
    </w:p>
    <w:p w14:paraId="19DC7FFA" w14:textId="7650B82B" w:rsidR="00FF4ED8" w:rsidRPr="0077622E" w:rsidRDefault="00FF4ED8" w:rsidP="00FF4ED8">
      <w:pPr>
        <w:keepNext/>
        <w:keepLines/>
        <w:numPr>
          <w:ilvl w:val="12"/>
          <w:numId w:val="0"/>
        </w:numPr>
        <w:snapToGrid w:val="0"/>
        <w:ind w:right="-2"/>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noProof/>
          <w:kern w:val="0"/>
          <w:sz w:val="22"/>
          <w:szCs w:val="22"/>
          <w14:ligatures w14:val="none"/>
        </w:rPr>
        <w:t>Gamintojas</w:t>
      </w:r>
    </w:p>
    <w:p w14:paraId="3B264D97" w14:textId="77777777" w:rsidR="00FF4ED8" w:rsidRPr="0077622E"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7622E">
        <w:rPr>
          <w:rFonts w:ascii="Times New Roman" w:eastAsia="Aptos" w:hAnsi="Times New Roman" w:cs="Times New Roman"/>
          <w:bCs/>
          <w:color w:val="000000"/>
          <w:kern w:val="0"/>
          <w:sz w:val="22"/>
          <w:szCs w:val="22"/>
          <w14:ligatures w14:val="none"/>
        </w:rPr>
        <w:t>KRKA, d.d., Novo mesto</w:t>
      </w:r>
    </w:p>
    <w:p w14:paraId="477B7FC7" w14:textId="77777777" w:rsidR="00FF4ED8" w:rsidRPr="0077622E"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7622E">
        <w:rPr>
          <w:rFonts w:ascii="Times New Roman" w:eastAsia="Aptos" w:hAnsi="Times New Roman" w:cs="Times New Roman"/>
          <w:bCs/>
          <w:color w:val="000000"/>
          <w:kern w:val="0"/>
          <w:sz w:val="22"/>
          <w:szCs w:val="22"/>
          <w14:ligatures w14:val="none"/>
        </w:rPr>
        <w:t>Šmarješka cesta 6</w:t>
      </w:r>
    </w:p>
    <w:p w14:paraId="67E1C876" w14:textId="77777777" w:rsidR="00FF4ED8" w:rsidRPr="0077622E"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7622E">
        <w:rPr>
          <w:rFonts w:ascii="Times New Roman" w:eastAsia="Aptos" w:hAnsi="Times New Roman" w:cs="Times New Roman"/>
          <w:bCs/>
          <w:color w:val="000000"/>
          <w:kern w:val="0"/>
          <w:sz w:val="22"/>
          <w:szCs w:val="22"/>
          <w14:ligatures w14:val="none"/>
        </w:rPr>
        <w:t>8501 Novo mesto</w:t>
      </w:r>
    </w:p>
    <w:p w14:paraId="5BD44888" w14:textId="77777777" w:rsidR="00FF4ED8" w:rsidRPr="0077622E" w:rsidRDefault="00FF4ED8" w:rsidP="00FF4ED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77622E">
        <w:rPr>
          <w:rFonts w:ascii="Times New Roman" w:eastAsia="Aptos" w:hAnsi="Times New Roman" w:cs="Times New Roman"/>
          <w:bCs/>
          <w:color w:val="000000"/>
          <w:kern w:val="0"/>
          <w:sz w:val="22"/>
          <w:szCs w:val="22"/>
          <w14:ligatures w14:val="none"/>
        </w:rPr>
        <w:t>Slovėnija</w:t>
      </w:r>
    </w:p>
    <w:p w14:paraId="6E6192C7" w14:textId="77777777" w:rsidR="00FF4ED8" w:rsidRPr="0077622E" w:rsidRDefault="00FF4ED8" w:rsidP="0077622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2E77FE2" w14:textId="77777777" w:rsidR="0077622E" w:rsidRPr="0077622E" w:rsidRDefault="0077622E" w:rsidP="0077622E">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621CA3B" w14:textId="77777777" w:rsidR="0077622E" w:rsidRPr="0077622E" w:rsidRDefault="0077622E" w:rsidP="0077622E">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77622E">
        <w:rPr>
          <w:rFonts w:ascii="Times New Roman" w:eastAsia="Aptos" w:hAnsi="Times New Roman" w:cs="Times New Roman"/>
          <w:b/>
          <w:color w:val="000000"/>
          <w:kern w:val="0"/>
          <w:sz w:val="22"/>
          <w:szCs w:val="22"/>
          <w14:ligatures w14:val="none"/>
        </w:rPr>
        <w:t xml:space="preserve">Lygiagretus importuotojas </w:t>
      </w:r>
      <w:r w:rsidRPr="0077622E">
        <w:rPr>
          <w:rFonts w:ascii="Times New Roman" w:eastAsia="Aptos" w:hAnsi="Times New Roman" w:cs="Times New Roman"/>
          <w:b/>
          <w:color w:val="000000"/>
          <w:kern w:val="0"/>
          <w:sz w:val="22"/>
          <w:szCs w:val="22"/>
          <w14:ligatures w14:val="none"/>
        </w:rPr>
        <w:br/>
      </w:r>
      <w:r w:rsidRPr="0077622E">
        <w:rPr>
          <w:rFonts w:ascii="Times New Roman" w:eastAsia="TimesNewRoman" w:hAnsi="Times New Roman" w:cs="Times New Roman"/>
          <w:color w:val="000000"/>
          <w:kern w:val="0"/>
          <w:sz w:val="22"/>
          <w:szCs w:val="22"/>
          <w14:ligatures w14:val="none"/>
        </w:rPr>
        <w:t>UAB „Niromed“</w:t>
      </w:r>
      <w:r w:rsidRPr="0077622E">
        <w:rPr>
          <w:rFonts w:ascii="Times New Roman" w:eastAsia="Aptos" w:hAnsi="Times New Roman" w:cs="Times New Roman"/>
          <w:b/>
          <w:color w:val="000000"/>
          <w:kern w:val="0"/>
          <w:sz w:val="22"/>
          <w:szCs w:val="22"/>
          <w14:ligatures w14:val="none"/>
        </w:rPr>
        <w:br/>
      </w:r>
      <w:r w:rsidRPr="0077622E">
        <w:rPr>
          <w:rFonts w:ascii="Times New Roman" w:eastAsia="TimesNewRoman" w:hAnsi="Times New Roman" w:cs="Times New Roman"/>
          <w:color w:val="000000"/>
          <w:kern w:val="0"/>
          <w:sz w:val="22"/>
          <w:szCs w:val="22"/>
          <w14:ligatures w14:val="none"/>
        </w:rPr>
        <w:t>Žirmūnų g. 139A</w:t>
      </w:r>
      <w:r w:rsidRPr="0077622E">
        <w:rPr>
          <w:rFonts w:ascii="Times New Roman" w:eastAsia="Aptos" w:hAnsi="Times New Roman" w:cs="Times New Roman"/>
          <w:b/>
          <w:color w:val="000000"/>
          <w:kern w:val="0"/>
          <w:sz w:val="22"/>
          <w:szCs w:val="22"/>
          <w14:ligatures w14:val="none"/>
        </w:rPr>
        <w:br/>
      </w:r>
      <w:r w:rsidRPr="0077622E">
        <w:rPr>
          <w:rFonts w:ascii="Times New Roman" w:eastAsia="TimesNewRoman" w:hAnsi="Times New Roman" w:cs="Times New Roman"/>
          <w:color w:val="000000"/>
          <w:kern w:val="0"/>
          <w:sz w:val="22"/>
          <w:szCs w:val="22"/>
          <w14:ligatures w14:val="none"/>
        </w:rPr>
        <w:t>LT-09120 Vilnius</w:t>
      </w:r>
      <w:r w:rsidRPr="0077622E">
        <w:rPr>
          <w:rFonts w:ascii="Times New Roman" w:eastAsia="TimesNewRoman" w:hAnsi="Times New Roman" w:cs="Times New Roman"/>
          <w:color w:val="000000"/>
          <w:kern w:val="0"/>
          <w:sz w:val="22"/>
          <w:szCs w:val="22"/>
          <w14:ligatures w14:val="none"/>
        </w:rPr>
        <w:br/>
        <w:t>Lietuva</w:t>
      </w:r>
    </w:p>
    <w:p w14:paraId="69581E0F" w14:textId="77777777" w:rsidR="0077622E" w:rsidRPr="0077622E" w:rsidRDefault="0077622E" w:rsidP="0077622E">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486237A" w14:textId="77777777" w:rsidR="0077622E" w:rsidRPr="0077622E" w:rsidRDefault="0077622E" w:rsidP="0077622E">
      <w:pPr>
        <w:tabs>
          <w:tab w:val="left" w:pos="1296"/>
        </w:tabs>
        <w:snapToGrid w:val="0"/>
        <w:ind w:left="567" w:hanging="567"/>
        <w:rPr>
          <w:rFonts w:ascii="Times New Roman" w:eastAsia="Times New Roman" w:hAnsi="Times New Roman" w:cs="Times New Roman"/>
          <w:b/>
          <w:bCs/>
          <w:kern w:val="0"/>
          <w:sz w:val="22"/>
          <w:szCs w:val="22"/>
          <w14:ligatures w14:val="none"/>
        </w:rPr>
      </w:pPr>
      <w:r w:rsidRPr="0077622E">
        <w:rPr>
          <w:rFonts w:ascii="Times New Roman" w:eastAsia="Times New Roman" w:hAnsi="Times New Roman" w:cs="Times New Roman"/>
          <w:b/>
          <w:bCs/>
          <w:kern w:val="0"/>
          <w:sz w:val="22"/>
          <w:szCs w:val="22"/>
          <w14:ligatures w14:val="none"/>
        </w:rPr>
        <w:t>Perpakavo</w:t>
      </w:r>
    </w:p>
    <w:p w14:paraId="590BED17"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LABOR Przedsiębiorstwo Farmaceutyczno-Chemiczne sp. z o.o.</w:t>
      </w:r>
    </w:p>
    <w:p w14:paraId="3993693E"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Ul. Długosza 49,</w:t>
      </w:r>
    </w:p>
    <w:p w14:paraId="673939DA"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51-162 Wrocław,</w:t>
      </w:r>
    </w:p>
    <w:p w14:paraId="196D413B"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Lenkija</w:t>
      </w:r>
    </w:p>
    <w:p w14:paraId="0F6C3088"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48E7872"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arba</w:t>
      </w:r>
    </w:p>
    <w:p w14:paraId="28AF793E" w14:textId="77777777" w:rsidR="0077622E" w:rsidRPr="0077622E" w:rsidRDefault="0077622E" w:rsidP="0077622E">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ECB1277" w14:textId="77777777" w:rsidR="0077622E" w:rsidRPr="0077622E" w:rsidRDefault="0077622E" w:rsidP="0077622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UAB „Entafarma“</w:t>
      </w:r>
    </w:p>
    <w:p w14:paraId="7F90625A" w14:textId="77777777" w:rsidR="0077622E" w:rsidRPr="0077622E" w:rsidRDefault="0077622E" w:rsidP="0077622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Klonėnų vs. 1,</w:t>
      </w:r>
    </w:p>
    <w:p w14:paraId="611A121A" w14:textId="77777777" w:rsidR="0077622E" w:rsidRPr="0077622E" w:rsidRDefault="0077622E" w:rsidP="0077622E">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7622E">
        <w:rPr>
          <w:rFonts w:ascii="Times New Roman" w:eastAsia="TimesNewRoman" w:hAnsi="Times New Roman" w:cs="Times New Roman"/>
          <w:color w:val="000000"/>
          <w:kern w:val="0"/>
          <w:sz w:val="22"/>
          <w:szCs w:val="22"/>
          <w14:ligatures w14:val="none"/>
        </w:rPr>
        <w:t>LT-19156 Širvintų r. sav.</w:t>
      </w:r>
    </w:p>
    <w:p w14:paraId="40354F94" w14:textId="77777777" w:rsidR="0077622E" w:rsidRPr="0077622E" w:rsidRDefault="0077622E" w:rsidP="0077622E">
      <w:pPr>
        <w:tabs>
          <w:tab w:val="left" w:pos="1296"/>
        </w:tabs>
        <w:snapToGrid w:val="0"/>
        <w:ind w:left="0" w:firstLine="0"/>
        <w:rPr>
          <w:rFonts w:ascii="Times New Roman" w:eastAsia="Times New Roman" w:hAnsi="Times New Roman" w:cs="Times New Roman"/>
          <w:kern w:val="0"/>
          <w:sz w:val="22"/>
          <w:szCs w:val="20"/>
          <w14:ligatures w14:val="none"/>
        </w:rPr>
      </w:pPr>
      <w:r w:rsidRPr="0077622E">
        <w:rPr>
          <w:rFonts w:ascii="Times New Roman" w:eastAsia="TimesNewRoman" w:hAnsi="Times New Roman" w:cs="Times New Roman"/>
          <w:color w:val="000000"/>
          <w:kern w:val="0"/>
          <w:sz w:val="22"/>
          <w:szCs w:val="22"/>
          <w14:ligatures w14:val="none"/>
        </w:rPr>
        <w:t>Lietuva</w:t>
      </w:r>
    </w:p>
    <w:p w14:paraId="4EEF2B09"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852D495" w14:textId="27DE580C"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b/>
          <w:kern w:val="0"/>
          <w:sz w:val="22"/>
          <w:szCs w:val="22"/>
          <w:lang w:eastAsia="lt-LT"/>
          <w14:ligatures w14:val="none"/>
        </w:rPr>
        <w:t>Šis pakuotės lapelis paskutinį kartą peržiūrėtas</w:t>
      </w:r>
      <w:r w:rsidR="00D809C1">
        <w:rPr>
          <w:rFonts w:ascii="Times New Roman" w:eastAsia="Times New Roman" w:hAnsi="Times New Roman" w:cs="Times New Roman"/>
          <w:b/>
          <w:kern w:val="0"/>
          <w:sz w:val="22"/>
          <w:szCs w:val="22"/>
          <w:lang w:eastAsia="lt-LT"/>
          <w14:ligatures w14:val="none"/>
        </w:rPr>
        <w:t xml:space="preserve"> 2026-10-02.</w:t>
      </w:r>
    </w:p>
    <w:p w14:paraId="2CB22994"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49F1D740" w14:textId="0C017CA8"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Išsami informacija apie šį vaistą pateikiama Valstybinės vaistų kontrolės tarnybos prie Lietuvos Respublikos sveikatos apsaugos ministerijos tinklalapyje</w:t>
      </w:r>
      <w:r w:rsidRPr="0077622E">
        <w:rPr>
          <w:rFonts w:ascii="Times New Roman" w:eastAsia="Times New Roman" w:hAnsi="Times New Roman" w:cs="Times New Roman"/>
          <w:i/>
          <w:kern w:val="0"/>
          <w:sz w:val="22"/>
          <w:szCs w:val="22"/>
          <w:lang w:eastAsia="lt-LT"/>
          <w14:ligatures w14:val="none"/>
        </w:rPr>
        <w:t xml:space="preserve"> </w:t>
      </w:r>
      <w:bookmarkStart w:id="3" w:name="_Hlk173407610"/>
      <w:r w:rsidR="0077622E" w:rsidRPr="0077622E">
        <w:rPr>
          <w:rFonts w:ascii="Times New Roman" w:eastAsia="Times New Roman" w:hAnsi="Times New Roman" w:cs="Times New Roman"/>
          <w:color w:val="0000EE"/>
          <w:kern w:val="0"/>
          <w:sz w:val="22"/>
          <w:szCs w:val="22"/>
          <w:u w:val="single"/>
          <w:lang w:eastAsia="lt-LT"/>
          <w14:ligatures w14:val="none"/>
        </w:rPr>
        <w:fldChar w:fldCharType="begin"/>
      </w:r>
      <w:r w:rsidR="0077622E" w:rsidRPr="0077622E">
        <w:rPr>
          <w:rFonts w:ascii="Times New Roman" w:eastAsia="Times New Roman" w:hAnsi="Times New Roman" w:cs="Times New Roman"/>
          <w:color w:val="0000EE"/>
          <w:kern w:val="0"/>
          <w:sz w:val="22"/>
          <w:szCs w:val="22"/>
          <w:u w:val="single"/>
          <w:lang w:eastAsia="lt-LT"/>
          <w14:ligatures w14:val="none"/>
        </w:rPr>
        <w:instrText>HYPERLINK "https://vvkt.lrv.lt/lt/"</w:instrText>
      </w:r>
      <w:r w:rsidR="0077622E" w:rsidRPr="0077622E">
        <w:rPr>
          <w:rFonts w:ascii="Times New Roman" w:eastAsia="Times New Roman" w:hAnsi="Times New Roman" w:cs="Times New Roman"/>
          <w:color w:val="0000EE"/>
          <w:kern w:val="0"/>
          <w:sz w:val="22"/>
          <w:szCs w:val="22"/>
          <w:u w:val="single"/>
          <w:lang w:eastAsia="lt-LT"/>
          <w14:ligatures w14:val="none"/>
        </w:rPr>
      </w:r>
      <w:r w:rsidR="0077622E" w:rsidRPr="0077622E">
        <w:rPr>
          <w:rFonts w:ascii="Times New Roman" w:eastAsia="Times New Roman" w:hAnsi="Times New Roman" w:cs="Times New Roman"/>
          <w:color w:val="0000EE"/>
          <w:kern w:val="0"/>
          <w:sz w:val="22"/>
          <w:szCs w:val="22"/>
          <w:u w:val="single"/>
          <w:lang w:eastAsia="lt-LT"/>
          <w14:ligatures w14:val="none"/>
        </w:rPr>
        <w:fldChar w:fldCharType="separate"/>
      </w:r>
      <w:r w:rsidR="0077622E" w:rsidRPr="0077622E">
        <w:rPr>
          <w:rStyle w:val="Hipersaitas"/>
          <w:rFonts w:ascii="Times New Roman" w:eastAsia="Times New Roman" w:hAnsi="Times New Roman" w:cs="Times New Roman"/>
          <w:kern w:val="0"/>
          <w:sz w:val="22"/>
          <w:szCs w:val="22"/>
          <w:lang w:eastAsia="lt-LT"/>
          <w14:ligatures w14:val="none"/>
        </w:rPr>
        <w:t>https://vvkt.lrv.lt/lt/</w:t>
      </w:r>
      <w:bookmarkEnd w:id="3"/>
      <w:r w:rsidR="0077622E" w:rsidRPr="0077622E">
        <w:rPr>
          <w:rFonts w:ascii="Times New Roman" w:eastAsia="Times New Roman" w:hAnsi="Times New Roman" w:cs="Times New Roman"/>
          <w:color w:val="0000EE"/>
          <w:kern w:val="0"/>
          <w:sz w:val="22"/>
          <w:szCs w:val="22"/>
          <w:u w:val="single"/>
          <w:lang w:eastAsia="lt-LT"/>
          <w14:ligatures w14:val="none"/>
        </w:rPr>
        <w:fldChar w:fldCharType="end"/>
      </w:r>
      <w:r w:rsidRPr="0077622E">
        <w:rPr>
          <w:rFonts w:ascii="Times New Roman" w:eastAsia="Times New Roman" w:hAnsi="Times New Roman" w:cs="Times New Roman"/>
          <w:kern w:val="0"/>
          <w:sz w:val="22"/>
          <w:szCs w:val="22"/>
          <w:lang w:eastAsia="lt-LT"/>
          <w14:ligatures w14:val="none"/>
        </w:rPr>
        <w:t>.</w:t>
      </w:r>
    </w:p>
    <w:p w14:paraId="64109A1D" w14:textId="77777777" w:rsidR="0077622E" w:rsidRPr="0077622E" w:rsidRDefault="0077622E" w:rsidP="00185973">
      <w:pPr>
        <w:widowControl w:val="0"/>
        <w:ind w:left="0" w:firstLine="0"/>
        <w:rPr>
          <w:rFonts w:ascii="Times New Roman" w:eastAsia="Times New Roman" w:hAnsi="Times New Roman" w:cs="Times New Roman"/>
          <w:kern w:val="0"/>
          <w:sz w:val="22"/>
          <w:szCs w:val="22"/>
          <w:lang w:eastAsia="lt-LT"/>
          <w14:ligatures w14:val="none"/>
        </w:rPr>
      </w:pPr>
    </w:p>
    <w:p w14:paraId="5DDB8CD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w:t>
      </w:r>
    </w:p>
    <w:p w14:paraId="39719277" w14:textId="77777777" w:rsidR="0077622E" w:rsidRPr="0077622E" w:rsidRDefault="0077622E" w:rsidP="00185973">
      <w:pPr>
        <w:widowControl w:val="0"/>
        <w:ind w:left="0" w:firstLine="0"/>
        <w:rPr>
          <w:rFonts w:ascii="Times New Roman" w:eastAsia="Times New Roman" w:hAnsi="Times New Roman" w:cs="Times New Roman"/>
          <w:kern w:val="0"/>
          <w:sz w:val="22"/>
          <w:szCs w:val="22"/>
          <w:lang w:eastAsia="lt-LT"/>
          <w14:ligatures w14:val="none"/>
        </w:rPr>
      </w:pPr>
    </w:p>
    <w:p w14:paraId="4AB6DEBC" w14:textId="311CD058"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Toliau pateikta informacija skirta tik sveikatos priežiūros specialistams:</w:t>
      </w:r>
    </w:p>
    <w:p w14:paraId="648BA8D6" w14:textId="77777777" w:rsidR="00185973"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p>
    <w:p w14:paraId="66925803" w14:textId="4C634F24" w:rsidR="000E75BE" w:rsidRPr="0077622E" w:rsidRDefault="00185973" w:rsidP="00185973">
      <w:pPr>
        <w:widowControl w:val="0"/>
        <w:ind w:left="0" w:firstLine="0"/>
        <w:rPr>
          <w:rFonts w:ascii="Times New Roman" w:eastAsia="Times New Roman" w:hAnsi="Times New Roman" w:cs="Times New Roman"/>
          <w:kern w:val="0"/>
          <w:sz w:val="22"/>
          <w:szCs w:val="22"/>
          <w:lang w:eastAsia="lt-LT"/>
          <w14:ligatures w14:val="none"/>
        </w:rPr>
      </w:pPr>
      <w:r w:rsidRPr="0077622E">
        <w:rPr>
          <w:rFonts w:ascii="Times New Roman" w:eastAsia="Times New Roman" w:hAnsi="Times New Roman" w:cs="Times New Roman"/>
          <w:kern w:val="0"/>
          <w:sz w:val="22"/>
          <w:szCs w:val="22"/>
          <w:lang w:eastAsia="lt-LT"/>
          <w14:ligatures w14:val="none"/>
        </w:rPr>
        <w:t>Šio vaistinio preparato negalima maišyti su kitais.</w:t>
      </w:r>
    </w:p>
    <w:sectPr w:rsidR="000E75BE" w:rsidRPr="0077622E" w:rsidSect="00D75A10">
      <w:headerReference w:type="even" r:id="rId8"/>
      <w:headerReference w:type="default" r:id="rId9"/>
      <w:footerReference w:type="even" r:id="rId10"/>
      <w:footerReference w:type="default" r:id="rId11"/>
      <w:headerReference w:type="first" r:id="rId12"/>
      <w:footerReference w:type="first" r:id="rId13"/>
      <w:pgSz w:w="11907" w:h="16840" w:code="9"/>
      <w:pgMar w:top="1418" w:right="1418" w:bottom="1134" w:left="1418" w:header="1021"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C4E17" w14:textId="77777777" w:rsidR="00B93148" w:rsidRDefault="00B93148">
      <w:r>
        <w:separator/>
      </w:r>
    </w:p>
  </w:endnote>
  <w:endnote w:type="continuationSeparator" w:id="0">
    <w:p w14:paraId="15D63115" w14:textId="77777777" w:rsidR="00B93148" w:rsidRDefault="00B9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6EBD" w14:textId="77777777" w:rsidR="00185973" w:rsidRDefault="0018597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E932220" w14:textId="77777777" w:rsidR="00185973" w:rsidRDefault="00185973">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11EC" w14:textId="77777777" w:rsidR="00185973" w:rsidRDefault="0018597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A5F9" w14:textId="77777777" w:rsidR="00185973" w:rsidRDefault="0018597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3DC18" w14:textId="77777777" w:rsidR="00B93148" w:rsidRDefault="00B93148">
      <w:r>
        <w:separator/>
      </w:r>
    </w:p>
  </w:footnote>
  <w:footnote w:type="continuationSeparator" w:id="0">
    <w:p w14:paraId="607EBBB8" w14:textId="77777777" w:rsidR="00B93148" w:rsidRDefault="00B9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E80A" w14:textId="77777777" w:rsidR="00185973" w:rsidRDefault="0018597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140DF" w14:textId="77777777" w:rsidR="00185973" w:rsidRDefault="00185973">
    <w:pPr>
      <w:spacing w:line="20" w:lineRule="exact"/>
    </w:pPr>
  </w:p>
  <w:p w14:paraId="795260BB" w14:textId="77777777" w:rsidR="00185973" w:rsidRDefault="00185973">
    <w:pPr>
      <w:pStyle w:val="Antrats"/>
    </w:pPr>
    <w:bookmarkStart w:id="4" w:name="TableTag1"/>
    <w:bookmarkEnd w:id="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C45A" w14:textId="77777777" w:rsidR="00185973" w:rsidRDefault="001859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3F3184"/>
    <w:multiLevelType w:val="hybridMultilevel"/>
    <w:tmpl w:val="3746F0BA"/>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3736574"/>
    <w:multiLevelType w:val="hybridMultilevel"/>
    <w:tmpl w:val="DEF4DA5E"/>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450683F"/>
    <w:multiLevelType w:val="hybridMultilevel"/>
    <w:tmpl w:val="18723E20"/>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4E671E9"/>
    <w:multiLevelType w:val="hybridMultilevel"/>
    <w:tmpl w:val="8E42FB1A"/>
    <w:lvl w:ilvl="0" w:tplc="FC8AC0E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174E83"/>
    <w:multiLevelType w:val="hybridMultilevel"/>
    <w:tmpl w:val="759C4516"/>
    <w:lvl w:ilvl="0" w:tplc="8C9A9244">
      <w:numFmt w:val="bullet"/>
      <w:lvlText w:val="-"/>
      <w:lvlJc w:val="left"/>
      <w:pPr>
        <w:ind w:left="36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9D57C0E"/>
    <w:multiLevelType w:val="hybridMultilevel"/>
    <w:tmpl w:val="FA66A9B8"/>
    <w:lvl w:ilvl="0" w:tplc="32D0AA38">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49F6F6E"/>
    <w:multiLevelType w:val="hybridMultilevel"/>
    <w:tmpl w:val="324861EE"/>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4CCB4413"/>
    <w:multiLevelType w:val="hybridMultilevel"/>
    <w:tmpl w:val="8C9CA232"/>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4E75294B"/>
    <w:multiLevelType w:val="hybridMultilevel"/>
    <w:tmpl w:val="A264549C"/>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4FAD6E76"/>
    <w:multiLevelType w:val="hybridMultilevel"/>
    <w:tmpl w:val="046CEBE6"/>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53F40F48"/>
    <w:multiLevelType w:val="hybridMultilevel"/>
    <w:tmpl w:val="C7209E50"/>
    <w:lvl w:ilvl="0" w:tplc="04F80370">
      <w:start w:val="1"/>
      <w:numFmt w:val="bullet"/>
      <w:lvlText w:val="-"/>
      <w:lvlJc w:val="left"/>
      <w:pPr>
        <w:ind w:left="720" w:hanging="360"/>
      </w:pPr>
      <w:rPr>
        <w:rFonts w:ascii="Times New Roman" w:hAnsi="Times New Roman" w:cs="Times New Roman" w:hint="default"/>
        <w:b w:val="0"/>
        <w:i w:val="0"/>
        <w:sz w:val="16"/>
        <w:szCs w:val="16"/>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5C0D25D1"/>
    <w:multiLevelType w:val="hybridMultilevel"/>
    <w:tmpl w:val="EB2A464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597089"/>
    <w:multiLevelType w:val="hybridMultilevel"/>
    <w:tmpl w:val="0CDEF81E"/>
    <w:lvl w:ilvl="0" w:tplc="8C9A9244">
      <w:numFmt w:val="bullet"/>
      <w:lvlText w:val="-"/>
      <w:lvlJc w:val="left"/>
      <w:pPr>
        <w:ind w:left="36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69827151"/>
    <w:multiLevelType w:val="hybridMultilevel"/>
    <w:tmpl w:val="2744D0E0"/>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A5724B6"/>
    <w:multiLevelType w:val="hybridMultilevel"/>
    <w:tmpl w:val="469C5BA2"/>
    <w:lvl w:ilvl="0" w:tplc="8C9A9244">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191919838">
    <w:abstractNumId w:val="0"/>
    <w:lvlOverride w:ilvl="0">
      <w:lvl w:ilvl="0">
        <w:start w:val="1"/>
        <w:numFmt w:val="bullet"/>
        <w:lvlText w:val="-"/>
        <w:legacy w:legacy="1" w:legacySpace="0" w:legacyIndent="360"/>
        <w:lvlJc w:val="left"/>
        <w:pPr>
          <w:ind w:left="360" w:hanging="360"/>
        </w:pPr>
      </w:lvl>
    </w:lvlOverride>
  </w:num>
  <w:num w:numId="2" w16cid:durableId="886910975">
    <w:abstractNumId w:val="2"/>
  </w:num>
  <w:num w:numId="3" w16cid:durableId="923221010">
    <w:abstractNumId w:val="11"/>
  </w:num>
  <w:num w:numId="4" w16cid:durableId="1849101230">
    <w:abstractNumId w:val="10"/>
  </w:num>
  <w:num w:numId="5" w16cid:durableId="1183974843">
    <w:abstractNumId w:val="7"/>
  </w:num>
  <w:num w:numId="6" w16cid:durableId="420222776">
    <w:abstractNumId w:val="8"/>
  </w:num>
  <w:num w:numId="7" w16cid:durableId="393628632">
    <w:abstractNumId w:val="3"/>
  </w:num>
  <w:num w:numId="8" w16cid:durableId="33314638">
    <w:abstractNumId w:val="14"/>
  </w:num>
  <w:num w:numId="9" w16cid:durableId="243956499">
    <w:abstractNumId w:val="6"/>
  </w:num>
  <w:num w:numId="10" w16cid:durableId="1141848189">
    <w:abstractNumId w:val="13"/>
  </w:num>
  <w:num w:numId="11" w16cid:durableId="1300839852">
    <w:abstractNumId w:val="5"/>
  </w:num>
  <w:num w:numId="12" w16cid:durableId="1467236444">
    <w:abstractNumId w:val="9"/>
  </w:num>
  <w:num w:numId="13" w16cid:durableId="583952881">
    <w:abstractNumId w:val="15"/>
  </w:num>
  <w:num w:numId="14" w16cid:durableId="748964390">
    <w:abstractNumId w:val="12"/>
  </w:num>
  <w:num w:numId="15" w16cid:durableId="95954212">
    <w:abstractNumId w:val="4"/>
  </w:num>
  <w:num w:numId="16" w16cid:durableId="127363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BB7"/>
    <w:rsid w:val="00090DCA"/>
    <w:rsid w:val="000D4D8F"/>
    <w:rsid w:val="000E75BE"/>
    <w:rsid w:val="00185973"/>
    <w:rsid w:val="002A5706"/>
    <w:rsid w:val="00331753"/>
    <w:rsid w:val="003E4E5D"/>
    <w:rsid w:val="00563C19"/>
    <w:rsid w:val="00650B4B"/>
    <w:rsid w:val="0072769B"/>
    <w:rsid w:val="00762E92"/>
    <w:rsid w:val="0077622E"/>
    <w:rsid w:val="009006FA"/>
    <w:rsid w:val="00937BB7"/>
    <w:rsid w:val="009C3EC8"/>
    <w:rsid w:val="009D2F34"/>
    <w:rsid w:val="00B421B9"/>
    <w:rsid w:val="00B756E1"/>
    <w:rsid w:val="00B93148"/>
    <w:rsid w:val="00BF1B6D"/>
    <w:rsid w:val="00C0733A"/>
    <w:rsid w:val="00D75A10"/>
    <w:rsid w:val="00D809C1"/>
    <w:rsid w:val="00D93C28"/>
    <w:rsid w:val="00F20902"/>
    <w:rsid w:val="00FA3B29"/>
    <w:rsid w:val="00FF4ED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0FF75"/>
  <w15:chartTrackingRefBased/>
  <w15:docId w15:val="{DD8DB4C9-FC23-48C8-AAE6-8B3AEC2D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37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37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37BB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37BB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7BB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37BB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7BB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37BB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7BB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7BB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7BB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7BB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7BB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7BB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37BB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7BB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37BB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7BB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37BB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7BB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7BB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7BB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7BB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37BB7"/>
    <w:rPr>
      <w:i/>
      <w:iCs/>
      <w:color w:val="404040" w:themeColor="text1" w:themeTint="BF"/>
    </w:rPr>
  </w:style>
  <w:style w:type="paragraph" w:styleId="Sraopastraipa">
    <w:name w:val="List Paragraph"/>
    <w:basedOn w:val="prastasis"/>
    <w:uiPriority w:val="34"/>
    <w:qFormat/>
    <w:rsid w:val="00937BB7"/>
    <w:pPr>
      <w:ind w:left="720"/>
      <w:contextualSpacing/>
    </w:pPr>
  </w:style>
  <w:style w:type="character" w:styleId="Rykuspabraukimas">
    <w:name w:val="Intense Emphasis"/>
    <w:basedOn w:val="Numatytasispastraiposriftas"/>
    <w:uiPriority w:val="21"/>
    <w:qFormat/>
    <w:rsid w:val="00937BB7"/>
    <w:rPr>
      <w:i/>
      <w:iCs/>
      <w:color w:val="0F4761" w:themeColor="accent1" w:themeShade="BF"/>
    </w:rPr>
  </w:style>
  <w:style w:type="paragraph" w:styleId="Iskirtacitata">
    <w:name w:val="Intense Quote"/>
    <w:basedOn w:val="prastasis"/>
    <w:next w:val="prastasis"/>
    <w:link w:val="IskirtacitataDiagrama"/>
    <w:uiPriority w:val="30"/>
    <w:qFormat/>
    <w:rsid w:val="00937B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7BB7"/>
    <w:rPr>
      <w:i/>
      <w:iCs/>
      <w:color w:val="0F4761" w:themeColor="accent1" w:themeShade="BF"/>
    </w:rPr>
  </w:style>
  <w:style w:type="character" w:styleId="Rykinuoroda">
    <w:name w:val="Intense Reference"/>
    <w:basedOn w:val="Numatytasispastraiposriftas"/>
    <w:uiPriority w:val="32"/>
    <w:qFormat/>
    <w:rsid w:val="00937BB7"/>
    <w:rPr>
      <w:b/>
      <w:bCs/>
      <w:smallCaps/>
      <w:color w:val="0F4761" w:themeColor="accent1" w:themeShade="BF"/>
      <w:spacing w:val="5"/>
    </w:rPr>
  </w:style>
  <w:style w:type="paragraph" w:styleId="Antrats">
    <w:name w:val="header"/>
    <w:basedOn w:val="prastasis"/>
    <w:link w:val="AntratsDiagrama"/>
    <w:uiPriority w:val="99"/>
    <w:semiHidden/>
    <w:unhideWhenUsed/>
    <w:rsid w:val="00185973"/>
    <w:pPr>
      <w:tabs>
        <w:tab w:val="center" w:pos="4819"/>
        <w:tab w:val="right" w:pos="9638"/>
      </w:tabs>
    </w:pPr>
  </w:style>
  <w:style w:type="character" w:customStyle="1" w:styleId="AntratsDiagrama">
    <w:name w:val="Antraštės Diagrama"/>
    <w:basedOn w:val="Numatytasispastraiposriftas"/>
    <w:link w:val="Antrats"/>
    <w:uiPriority w:val="99"/>
    <w:semiHidden/>
    <w:rsid w:val="00185973"/>
  </w:style>
  <w:style w:type="paragraph" w:styleId="Porat">
    <w:name w:val="footer"/>
    <w:basedOn w:val="prastasis"/>
    <w:link w:val="PoratDiagrama"/>
    <w:uiPriority w:val="99"/>
    <w:semiHidden/>
    <w:unhideWhenUsed/>
    <w:rsid w:val="00185973"/>
    <w:pPr>
      <w:tabs>
        <w:tab w:val="center" w:pos="4819"/>
        <w:tab w:val="right" w:pos="9638"/>
      </w:tabs>
    </w:pPr>
  </w:style>
  <w:style w:type="character" w:customStyle="1" w:styleId="PoratDiagrama">
    <w:name w:val="Poraštė Diagrama"/>
    <w:basedOn w:val="Numatytasispastraiposriftas"/>
    <w:link w:val="Porat"/>
    <w:uiPriority w:val="99"/>
    <w:semiHidden/>
    <w:rsid w:val="00185973"/>
  </w:style>
  <w:style w:type="character" w:styleId="Puslapionumeris">
    <w:name w:val="page number"/>
    <w:basedOn w:val="Numatytasispastraiposriftas"/>
    <w:rsid w:val="00185973"/>
  </w:style>
  <w:style w:type="character" w:styleId="Hipersaitas">
    <w:name w:val="Hyperlink"/>
    <w:basedOn w:val="Numatytasispastraiposriftas"/>
    <w:uiPriority w:val="99"/>
    <w:unhideWhenUsed/>
    <w:rsid w:val="0077622E"/>
    <w:rPr>
      <w:color w:val="467886" w:themeColor="hyperlink"/>
      <w:u w:val="single"/>
    </w:rPr>
  </w:style>
  <w:style w:type="character" w:styleId="Neapdorotaspaminjimas">
    <w:name w:val="Unresolved Mention"/>
    <w:basedOn w:val="Numatytasispastraiposriftas"/>
    <w:uiPriority w:val="99"/>
    <w:semiHidden/>
    <w:unhideWhenUsed/>
    <w:rsid w:val="0077622E"/>
    <w:rPr>
      <w:color w:val="605E5C"/>
      <w:shd w:val="clear" w:color="auto" w:fill="E1DFDD"/>
    </w:rPr>
  </w:style>
  <w:style w:type="paragraph" w:styleId="Pataisymai">
    <w:name w:val="Revision"/>
    <w:hidden/>
    <w:uiPriority w:val="99"/>
    <w:semiHidden/>
    <w:rsid w:val="009C3EC8"/>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13251</Words>
  <Characters>7554</Characters>
  <Application>Microsoft Office Word</Application>
  <DocSecurity>0</DocSecurity>
  <Lines>62</Lines>
  <Paragraphs>41</Paragraphs>
  <ScaleCrop>false</ScaleCrop>
  <Company/>
  <LinksUpToDate>false</LinksUpToDate>
  <CharactersWithSpaces>20764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11</cp:revision>
  <dcterms:created xsi:type="dcterms:W3CDTF">2026-06-14T20:20:00Z</dcterms:created>
  <dcterms:modified xsi:type="dcterms:W3CDTF">2026-10-08T14:20:00Z</dcterms:modified>
</cp:coreProperties>
</file>