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F4B7" w14:textId="77777777" w:rsidR="00A36AA9" w:rsidRPr="00A36AA9" w:rsidRDefault="00A36AA9" w:rsidP="00A36AA9">
      <w:pPr>
        <w:pStyle w:val="Antrat2"/>
        <w:spacing w:before="0" w:after="0" w:line="240" w:lineRule="auto"/>
        <w:jc w:val="center"/>
        <w:rPr>
          <w:rFonts w:ascii="Times New Roman" w:hAnsi="Times New Roman" w:cs="Times New Roman"/>
          <w:b/>
          <w:bCs/>
          <w:iCs/>
          <w:color w:val="auto"/>
          <w:sz w:val="22"/>
          <w:szCs w:val="22"/>
          <w:lang w:val="lt-LT"/>
        </w:rPr>
      </w:pPr>
      <w:r w:rsidRPr="00A36AA9">
        <w:rPr>
          <w:rFonts w:ascii="Times New Roman" w:hAnsi="Times New Roman" w:cs="Times New Roman"/>
          <w:b/>
          <w:color w:val="auto"/>
          <w:sz w:val="22"/>
          <w:szCs w:val="22"/>
          <w:lang w:val="lt-LT"/>
        </w:rPr>
        <w:t>Pakuotės lapelis:</w:t>
      </w:r>
      <w:r w:rsidRPr="00A36AA9">
        <w:rPr>
          <w:rFonts w:ascii="Times New Roman" w:hAnsi="Times New Roman" w:cs="Times New Roman"/>
          <w:b/>
          <w:bCs/>
          <w:iCs/>
          <w:color w:val="auto"/>
          <w:sz w:val="22"/>
          <w:szCs w:val="22"/>
          <w:lang w:val="lt-LT"/>
        </w:rPr>
        <w:t xml:space="preserve"> </w:t>
      </w:r>
      <w:r w:rsidRPr="00A36AA9">
        <w:rPr>
          <w:rFonts w:ascii="Times New Roman" w:hAnsi="Times New Roman" w:cs="Times New Roman"/>
          <w:b/>
          <w:color w:val="auto"/>
          <w:sz w:val="22"/>
          <w:szCs w:val="22"/>
          <w:lang w:val="lt-LT"/>
        </w:rPr>
        <w:t>informacija pacientui</w:t>
      </w:r>
    </w:p>
    <w:p w14:paraId="01AACF33" w14:textId="77777777" w:rsidR="00A36AA9" w:rsidRPr="00A36AA9" w:rsidRDefault="00A36AA9" w:rsidP="00A36AA9">
      <w:pPr>
        <w:pStyle w:val="TTEMEASMCA"/>
      </w:pPr>
    </w:p>
    <w:p w14:paraId="10DB8C48" w14:textId="77777777" w:rsidR="00A36AA9" w:rsidRPr="00A36AA9" w:rsidRDefault="00A36AA9" w:rsidP="00A36AA9">
      <w:pPr>
        <w:spacing w:after="0" w:line="240" w:lineRule="auto"/>
        <w:jc w:val="center"/>
        <w:rPr>
          <w:rFonts w:ascii="Times New Roman" w:hAnsi="Times New Roman"/>
          <w:b/>
          <w:lang w:val="lt-LT"/>
        </w:rPr>
      </w:pPr>
      <w:proofErr w:type="spellStart"/>
      <w:r w:rsidRPr="00A36AA9">
        <w:rPr>
          <w:rFonts w:ascii="Times New Roman" w:hAnsi="Times New Roman"/>
          <w:b/>
          <w:lang w:val="lt-LT"/>
        </w:rPr>
        <w:t>Hedelix</w:t>
      </w:r>
      <w:proofErr w:type="spellEnd"/>
      <w:r w:rsidRPr="00A36AA9">
        <w:rPr>
          <w:rFonts w:ascii="Times New Roman" w:hAnsi="Times New Roman"/>
          <w:b/>
          <w:lang w:val="lt-LT"/>
        </w:rPr>
        <w:t xml:space="preserve"> 8 mg/ml sirupas</w:t>
      </w:r>
    </w:p>
    <w:p w14:paraId="51A154D7" w14:textId="77777777" w:rsidR="00A36AA9" w:rsidRPr="00A36AA9" w:rsidRDefault="00A36AA9" w:rsidP="00A36AA9">
      <w:pPr>
        <w:spacing w:after="0" w:line="240" w:lineRule="auto"/>
        <w:jc w:val="center"/>
        <w:rPr>
          <w:rFonts w:ascii="Times New Roman" w:hAnsi="Times New Roman"/>
          <w:lang w:val="lt-LT"/>
        </w:rPr>
      </w:pPr>
      <w:r w:rsidRPr="00A36AA9">
        <w:rPr>
          <w:rFonts w:ascii="Times New Roman" w:hAnsi="Times New Roman"/>
          <w:lang w:val="lt-LT"/>
        </w:rPr>
        <w:t>gebenių lapų tirštasis ekstraktas</w:t>
      </w:r>
    </w:p>
    <w:p w14:paraId="35408CCE" w14:textId="77777777" w:rsidR="00A36AA9" w:rsidRPr="00A36AA9" w:rsidRDefault="00A36AA9" w:rsidP="00A36AA9">
      <w:pPr>
        <w:pStyle w:val="BTEMEASMCA"/>
        <w:tabs>
          <w:tab w:val="left" w:pos="567"/>
        </w:tabs>
        <w:rPr>
          <w:color w:val="auto"/>
        </w:rPr>
      </w:pPr>
    </w:p>
    <w:p w14:paraId="0866865E" w14:textId="77777777" w:rsidR="00A36AA9" w:rsidRPr="00A36AA9" w:rsidRDefault="00A36AA9" w:rsidP="00A36AA9">
      <w:pPr>
        <w:numPr>
          <w:ilvl w:val="12"/>
          <w:numId w:val="0"/>
        </w:numPr>
        <w:spacing w:after="0" w:line="240" w:lineRule="auto"/>
        <w:ind w:right="-2"/>
        <w:rPr>
          <w:rFonts w:ascii="Times New Roman" w:hAnsi="Times New Roman"/>
          <w:b/>
          <w:noProof/>
          <w:lang w:val="lt-LT"/>
        </w:rPr>
      </w:pPr>
      <w:r w:rsidRPr="00A36AA9">
        <w:rPr>
          <w:rFonts w:ascii="Times New Roman" w:hAnsi="Times New Roman"/>
          <w:b/>
          <w:noProof/>
          <w:lang w:val="lt-LT"/>
        </w:rPr>
        <w:t>Atidžiai perskaitykite visą šį lapelį, prieš pradėdami vartoti šį vaistą, nes jame pateikiama Jums svarbi informacija.</w:t>
      </w:r>
    </w:p>
    <w:p w14:paraId="603D7B38" w14:textId="77777777" w:rsidR="00A36AA9" w:rsidRPr="00A36AA9" w:rsidRDefault="00A36AA9" w:rsidP="00A36AA9">
      <w:pPr>
        <w:numPr>
          <w:ilvl w:val="12"/>
          <w:numId w:val="0"/>
        </w:numPr>
        <w:spacing w:after="0" w:line="240" w:lineRule="auto"/>
        <w:rPr>
          <w:rFonts w:ascii="Times New Roman" w:hAnsi="Times New Roman"/>
          <w:lang w:val="lt-LT"/>
        </w:rPr>
      </w:pPr>
      <w:r w:rsidRPr="00A36AA9">
        <w:rPr>
          <w:rFonts w:ascii="Times New Roman" w:hAnsi="Times New Roman"/>
          <w:noProof/>
          <w:lang w:val="lt-LT"/>
        </w:rPr>
        <w:t>Visada vartokite šį vaistą tiksliai kaip aprašyta šiame lapelyje arba kaip nurodė gydytojas arba vaistininkas.</w:t>
      </w:r>
    </w:p>
    <w:p w14:paraId="31AD0097" w14:textId="77777777" w:rsidR="00A36AA9" w:rsidRPr="00A36AA9" w:rsidRDefault="00A36AA9" w:rsidP="00A36AA9">
      <w:pPr>
        <w:numPr>
          <w:ilvl w:val="0"/>
          <w:numId w:val="1"/>
        </w:numPr>
        <w:tabs>
          <w:tab w:val="left" w:pos="567"/>
        </w:tabs>
        <w:spacing w:after="0" w:line="240" w:lineRule="auto"/>
        <w:ind w:left="567" w:hanging="567"/>
        <w:rPr>
          <w:rFonts w:ascii="Times New Roman" w:hAnsi="Times New Roman"/>
          <w:lang w:val="lt-LT"/>
        </w:rPr>
      </w:pPr>
      <w:r w:rsidRPr="00A36AA9">
        <w:rPr>
          <w:rFonts w:ascii="Times New Roman" w:hAnsi="Times New Roman"/>
          <w:noProof/>
          <w:lang w:val="lt-LT"/>
        </w:rPr>
        <w:t>Neišmeskite šio lapelio, nes vėl gali prireikti jį perskaityti.</w:t>
      </w:r>
      <w:r w:rsidRPr="00A36AA9">
        <w:rPr>
          <w:rFonts w:ascii="Times New Roman" w:hAnsi="Times New Roman"/>
          <w:lang w:val="lt-LT"/>
        </w:rPr>
        <w:t xml:space="preserve"> </w:t>
      </w:r>
    </w:p>
    <w:p w14:paraId="54FC7440" w14:textId="77777777" w:rsidR="00A36AA9" w:rsidRPr="00A36AA9" w:rsidRDefault="00A36AA9" w:rsidP="00A36AA9">
      <w:pPr>
        <w:numPr>
          <w:ilvl w:val="0"/>
          <w:numId w:val="1"/>
        </w:numPr>
        <w:tabs>
          <w:tab w:val="left" w:pos="567"/>
        </w:tabs>
        <w:spacing w:after="0" w:line="240" w:lineRule="auto"/>
        <w:ind w:left="567" w:hanging="567"/>
        <w:rPr>
          <w:rFonts w:ascii="Times New Roman" w:hAnsi="Times New Roman"/>
          <w:lang w:val="lt-LT"/>
        </w:rPr>
      </w:pPr>
      <w:r w:rsidRPr="00A36AA9">
        <w:rPr>
          <w:rFonts w:ascii="Times New Roman" w:hAnsi="Times New Roman"/>
          <w:noProof/>
          <w:lang w:val="lt-LT"/>
        </w:rPr>
        <w:t>Jeigu norite sužinoti daugiau arba pasitarti, kreipkitės į vaistininką.</w:t>
      </w:r>
    </w:p>
    <w:p w14:paraId="74049B74" w14:textId="77777777" w:rsidR="00A36AA9" w:rsidRPr="00A36AA9" w:rsidRDefault="00A36AA9" w:rsidP="00A36AA9">
      <w:pPr>
        <w:numPr>
          <w:ilvl w:val="0"/>
          <w:numId w:val="1"/>
        </w:numPr>
        <w:tabs>
          <w:tab w:val="left" w:pos="567"/>
        </w:tabs>
        <w:spacing w:after="0" w:line="240" w:lineRule="auto"/>
        <w:ind w:left="567" w:hanging="567"/>
        <w:rPr>
          <w:rFonts w:ascii="Times New Roman" w:hAnsi="Times New Roman"/>
          <w:lang w:val="lt-LT"/>
        </w:rPr>
      </w:pPr>
      <w:r w:rsidRPr="00A36AA9">
        <w:rPr>
          <w:rFonts w:ascii="Times New Roman" w:hAnsi="Times New Roman"/>
          <w:noProof/>
          <w:lang w:val="lt-LT"/>
        </w:rPr>
        <w:t>Jeigu pasireiškė šalutinis poveikis (net jeigu jis šiame lapelyje nenurodytas), kreipkitės į gydytoją arba vaistininką. Žr. 4 skyrių.</w:t>
      </w:r>
    </w:p>
    <w:p w14:paraId="6FCCBA08" w14:textId="77777777" w:rsidR="00A36AA9" w:rsidRPr="00A36AA9" w:rsidRDefault="00A36AA9" w:rsidP="00A36AA9">
      <w:pPr>
        <w:numPr>
          <w:ilvl w:val="0"/>
          <w:numId w:val="1"/>
        </w:numPr>
        <w:tabs>
          <w:tab w:val="left" w:pos="567"/>
        </w:tabs>
        <w:spacing w:after="0" w:line="240" w:lineRule="auto"/>
        <w:ind w:left="567" w:hanging="567"/>
        <w:rPr>
          <w:rFonts w:ascii="Times New Roman" w:hAnsi="Times New Roman"/>
          <w:lang w:val="lt-LT"/>
        </w:rPr>
      </w:pPr>
      <w:r w:rsidRPr="00A36AA9">
        <w:rPr>
          <w:rFonts w:ascii="Times New Roman" w:hAnsi="Times New Roman"/>
          <w:noProof/>
          <w:lang w:val="lt-LT"/>
        </w:rPr>
        <w:t>Jeigu per 4-5 dienas Jūsų savijauta nepagerėjo arba net pablogėjo, kreipkitės į gydytoją.</w:t>
      </w:r>
    </w:p>
    <w:p w14:paraId="1C09BFB7" w14:textId="77777777" w:rsidR="00A36AA9" w:rsidRPr="00A36AA9" w:rsidRDefault="00A36AA9" w:rsidP="00A36AA9">
      <w:pPr>
        <w:spacing w:after="0" w:line="240" w:lineRule="auto"/>
        <w:ind w:right="-2"/>
        <w:rPr>
          <w:rFonts w:ascii="Times New Roman" w:hAnsi="Times New Roman"/>
          <w:lang w:val="lt-LT"/>
        </w:rPr>
      </w:pPr>
    </w:p>
    <w:p w14:paraId="3D0C9E3B" w14:textId="77777777" w:rsidR="00A36AA9" w:rsidRPr="00A36AA9" w:rsidRDefault="00A36AA9" w:rsidP="00A36AA9">
      <w:pPr>
        <w:pStyle w:val="Antrat4"/>
        <w:spacing w:before="0" w:after="0" w:line="240" w:lineRule="auto"/>
        <w:rPr>
          <w:rFonts w:ascii="Times New Roman" w:hAnsi="Times New Roman" w:cs="Times New Roman"/>
          <w:b/>
          <w:i w:val="0"/>
          <w:color w:val="auto"/>
          <w:lang w:val="lt-LT"/>
        </w:rPr>
      </w:pPr>
      <w:r w:rsidRPr="00A36AA9">
        <w:rPr>
          <w:rFonts w:ascii="Times New Roman" w:hAnsi="Times New Roman" w:cs="Times New Roman"/>
          <w:b/>
          <w:i w:val="0"/>
          <w:color w:val="auto"/>
          <w:lang w:val="lt-LT"/>
        </w:rPr>
        <w:t>Apie ką rašoma šiame lapelyje?</w:t>
      </w:r>
    </w:p>
    <w:p w14:paraId="281F139A" w14:textId="77777777" w:rsidR="00A36AA9" w:rsidRPr="00A36AA9" w:rsidRDefault="00A36AA9" w:rsidP="00A36AA9">
      <w:pPr>
        <w:numPr>
          <w:ilvl w:val="12"/>
          <w:numId w:val="0"/>
        </w:numPr>
        <w:spacing w:after="0" w:line="240" w:lineRule="auto"/>
        <w:ind w:left="284" w:right="-2"/>
        <w:rPr>
          <w:rFonts w:ascii="Times New Roman" w:hAnsi="Times New Roman"/>
          <w:lang w:val="lt-LT"/>
        </w:rPr>
      </w:pPr>
    </w:p>
    <w:p w14:paraId="4B3FD070" w14:textId="77777777" w:rsidR="00A36AA9" w:rsidRPr="00A36AA9" w:rsidRDefault="00A36AA9" w:rsidP="00A36AA9">
      <w:pPr>
        <w:numPr>
          <w:ilvl w:val="12"/>
          <w:numId w:val="0"/>
        </w:numPr>
        <w:spacing w:after="0" w:line="240" w:lineRule="auto"/>
        <w:ind w:left="284" w:right="-2" w:hanging="284"/>
        <w:rPr>
          <w:rFonts w:ascii="Times New Roman" w:hAnsi="Times New Roman"/>
          <w:lang w:val="lt-LT"/>
        </w:rPr>
      </w:pPr>
      <w:r w:rsidRPr="00A36AA9">
        <w:rPr>
          <w:rFonts w:ascii="Times New Roman" w:hAnsi="Times New Roman"/>
          <w:lang w:val="lt-LT"/>
        </w:rPr>
        <w:t>1.</w:t>
      </w:r>
      <w:r w:rsidRPr="00A36AA9">
        <w:rPr>
          <w:rFonts w:ascii="Times New Roman" w:hAnsi="Times New Roman"/>
          <w:lang w:val="lt-LT"/>
        </w:rPr>
        <w:tab/>
        <w:t xml:space="preserve">Kas yra </w:t>
      </w:r>
      <w:proofErr w:type="spellStart"/>
      <w:r w:rsidRPr="00A36AA9">
        <w:rPr>
          <w:rFonts w:ascii="Times New Roman" w:hAnsi="Times New Roman"/>
          <w:lang w:val="lt-LT"/>
        </w:rPr>
        <w:t>Hedelix</w:t>
      </w:r>
      <w:proofErr w:type="spellEnd"/>
      <w:r w:rsidRPr="00A36AA9">
        <w:rPr>
          <w:rFonts w:ascii="Times New Roman" w:hAnsi="Times New Roman"/>
          <w:lang w:val="lt-LT"/>
        </w:rPr>
        <w:t xml:space="preserve"> ir kam jis vartojamas </w:t>
      </w:r>
    </w:p>
    <w:p w14:paraId="6A2C3C31" w14:textId="77777777" w:rsidR="00A36AA9" w:rsidRPr="00A36AA9" w:rsidRDefault="00A36AA9" w:rsidP="00A36AA9">
      <w:pPr>
        <w:numPr>
          <w:ilvl w:val="12"/>
          <w:numId w:val="0"/>
        </w:numPr>
        <w:spacing w:after="0" w:line="240" w:lineRule="auto"/>
        <w:ind w:left="284" w:right="-2" w:hanging="284"/>
        <w:rPr>
          <w:rFonts w:ascii="Times New Roman" w:hAnsi="Times New Roman"/>
          <w:lang w:val="lt-LT"/>
        </w:rPr>
      </w:pPr>
      <w:r w:rsidRPr="00A36AA9">
        <w:rPr>
          <w:rFonts w:ascii="Times New Roman" w:hAnsi="Times New Roman"/>
          <w:lang w:val="lt-LT"/>
        </w:rPr>
        <w:t>2.</w:t>
      </w:r>
      <w:r w:rsidRPr="00A36AA9">
        <w:rPr>
          <w:rFonts w:ascii="Times New Roman" w:hAnsi="Times New Roman"/>
          <w:lang w:val="lt-LT"/>
        </w:rPr>
        <w:tab/>
      </w:r>
      <w:r w:rsidRPr="00A36AA9">
        <w:rPr>
          <w:rFonts w:ascii="Times New Roman" w:hAnsi="Times New Roman"/>
          <w:noProof/>
          <w:lang w:val="lt-LT"/>
        </w:rPr>
        <w:t xml:space="preserve">Kas žinotina prieš vartojant </w:t>
      </w:r>
      <w:proofErr w:type="spellStart"/>
      <w:r w:rsidRPr="00A36AA9">
        <w:rPr>
          <w:rFonts w:ascii="Times New Roman" w:hAnsi="Times New Roman"/>
          <w:lang w:val="lt-LT"/>
        </w:rPr>
        <w:t>Hedelix</w:t>
      </w:r>
      <w:proofErr w:type="spellEnd"/>
      <w:r w:rsidRPr="00A36AA9">
        <w:rPr>
          <w:rFonts w:ascii="Times New Roman" w:hAnsi="Times New Roman"/>
          <w:lang w:val="lt-LT"/>
        </w:rPr>
        <w:t xml:space="preserve">  </w:t>
      </w:r>
    </w:p>
    <w:p w14:paraId="3E0E0608" w14:textId="77777777" w:rsidR="00A36AA9" w:rsidRPr="00A36AA9" w:rsidRDefault="00A36AA9" w:rsidP="00A36AA9">
      <w:pPr>
        <w:numPr>
          <w:ilvl w:val="12"/>
          <w:numId w:val="0"/>
        </w:numPr>
        <w:spacing w:after="0" w:line="240" w:lineRule="auto"/>
        <w:ind w:left="284" w:right="-2" w:hanging="284"/>
        <w:rPr>
          <w:rFonts w:ascii="Times New Roman" w:hAnsi="Times New Roman"/>
          <w:lang w:val="lt-LT"/>
        </w:rPr>
      </w:pPr>
      <w:r w:rsidRPr="00A36AA9">
        <w:rPr>
          <w:rFonts w:ascii="Times New Roman" w:hAnsi="Times New Roman"/>
          <w:lang w:val="lt-LT"/>
        </w:rPr>
        <w:t>3.</w:t>
      </w:r>
      <w:r w:rsidRPr="00A36AA9">
        <w:rPr>
          <w:rFonts w:ascii="Times New Roman" w:hAnsi="Times New Roman"/>
          <w:lang w:val="lt-LT"/>
        </w:rPr>
        <w:tab/>
      </w:r>
      <w:r w:rsidRPr="00A36AA9">
        <w:rPr>
          <w:rFonts w:ascii="Times New Roman" w:hAnsi="Times New Roman"/>
          <w:noProof/>
          <w:lang w:val="lt-LT"/>
        </w:rPr>
        <w:t xml:space="preserve">Kaip vartoti </w:t>
      </w:r>
      <w:proofErr w:type="spellStart"/>
      <w:r w:rsidRPr="00A36AA9">
        <w:rPr>
          <w:rFonts w:ascii="Times New Roman" w:hAnsi="Times New Roman"/>
          <w:lang w:val="lt-LT"/>
        </w:rPr>
        <w:t>Hedelix</w:t>
      </w:r>
      <w:proofErr w:type="spellEnd"/>
      <w:r w:rsidRPr="00A36AA9">
        <w:rPr>
          <w:rFonts w:ascii="Times New Roman" w:hAnsi="Times New Roman"/>
          <w:lang w:val="lt-LT"/>
        </w:rPr>
        <w:t xml:space="preserve"> </w:t>
      </w:r>
    </w:p>
    <w:p w14:paraId="3B0A3FC4" w14:textId="77777777" w:rsidR="00A36AA9" w:rsidRPr="00A36AA9" w:rsidRDefault="00A36AA9" w:rsidP="00A36AA9">
      <w:pPr>
        <w:numPr>
          <w:ilvl w:val="12"/>
          <w:numId w:val="0"/>
        </w:numPr>
        <w:spacing w:after="0" w:line="240" w:lineRule="auto"/>
        <w:ind w:left="284" w:right="-2" w:hanging="284"/>
        <w:rPr>
          <w:rFonts w:ascii="Times New Roman" w:hAnsi="Times New Roman"/>
          <w:lang w:val="lt-LT"/>
        </w:rPr>
      </w:pPr>
      <w:r w:rsidRPr="00A36AA9">
        <w:rPr>
          <w:rFonts w:ascii="Times New Roman" w:hAnsi="Times New Roman"/>
          <w:lang w:val="lt-LT"/>
        </w:rPr>
        <w:t>4.</w:t>
      </w:r>
      <w:r w:rsidRPr="00A36AA9">
        <w:rPr>
          <w:rFonts w:ascii="Times New Roman" w:hAnsi="Times New Roman"/>
          <w:lang w:val="lt-LT"/>
        </w:rPr>
        <w:tab/>
        <w:t xml:space="preserve">Galimas šalutinis poveikis </w:t>
      </w:r>
    </w:p>
    <w:p w14:paraId="133D1A66" w14:textId="77777777" w:rsidR="00A36AA9" w:rsidRPr="00A36AA9" w:rsidRDefault="00A36AA9" w:rsidP="00A36AA9">
      <w:pPr>
        <w:numPr>
          <w:ilvl w:val="12"/>
          <w:numId w:val="0"/>
        </w:numPr>
        <w:tabs>
          <w:tab w:val="left" w:pos="709"/>
        </w:tabs>
        <w:spacing w:after="0" w:line="240" w:lineRule="auto"/>
        <w:ind w:left="284" w:right="-2" w:hanging="284"/>
        <w:rPr>
          <w:rFonts w:ascii="Times New Roman" w:hAnsi="Times New Roman"/>
          <w:lang w:val="lt-LT"/>
        </w:rPr>
      </w:pPr>
      <w:r w:rsidRPr="00A36AA9">
        <w:rPr>
          <w:rFonts w:ascii="Times New Roman" w:hAnsi="Times New Roman"/>
          <w:lang w:val="lt-LT"/>
        </w:rPr>
        <w:t>5.</w:t>
      </w:r>
      <w:r w:rsidRPr="00A36AA9">
        <w:rPr>
          <w:rFonts w:ascii="Times New Roman" w:hAnsi="Times New Roman"/>
          <w:lang w:val="lt-LT"/>
        </w:rPr>
        <w:tab/>
        <w:t xml:space="preserve">Kaip laikyti </w:t>
      </w:r>
      <w:proofErr w:type="spellStart"/>
      <w:r w:rsidRPr="00A36AA9">
        <w:rPr>
          <w:rFonts w:ascii="Times New Roman" w:hAnsi="Times New Roman"/>
          <w:lang w:val="lt-LT"/>
        </w:rPr>
        <w:t>Hedelix</w:t>
      </w:r>
      <w:proofErr w:type="spellEnd"/>
      <w:r w:rsidRPr="00A36AA9">
        <w:rPr>
          <w:rFonts w:ascii="Times New Roman" w:hAnsi="Times New Roman"/>
          <w:lang w:val="lt-LT"/>
        </w:rPr>
        <w:t xml:space="preserve"> </w:t>
      </w:r>
    </w:p>
    <w:p w14:paraId="2A2A6684" w14:textId="77777777" w:rsidR="00A36AA9" w:rsidRPr="00A36AA9" w:rsidRDefault="00A36AA9" w:rsidP="00A36AA9">
      <w:pPr>
        <w:numPr>
          <w:ilvl w:val="12"/>
          <w:numId w:val="0"/>
        </w:numPr>
        <w:spacing w:after="0" w:line="240" w:lineRule="auto"/>
        <w:ind w:left="284" w:right="-2" w:hanging="284"/>
        <w:rPr>
          <w:rFonts w:ascii="Times New Roman" w:hAnsi="Times New Roman"/>
          <w:lang w:val="lt-LT"/>
        </w:rPr>
      </w:pPr>
      <w:r w:rsidRPr="00A36AA9">
        <w:rPr>
          <w:rFonts w:ascii="Times New Roman" w:hAnsi="Times New Roman"/>
          <w:lang w:val="lt-LT"/>
        </w:rPr>
        <w:t>6.</w:t>
      </w:r>
      <w:r w:rsidRPr="00A36AA9">
        <w:rPr>
          <w:rFonts w:ascii="Times New Roman" w:hAnsi="Times New Roman"/>
          <w:lang w:val="lt-LT"/>
        </w:rPr>
        <w:tab/>
      </w:r>
      <w:r w:rsidRPr="00A36AA9">
        <w:rPr>
          <w:rFonts w:ascii="Times New Roman" w:hAnsi="Times New Roman"/>
          <w:noProof/>
          <w:lang w:val="lt-LT"/>
        </w:rPr>
        <w:t>Pakuotės turinys ir kita informacija</w:t>
      </w:r>
    </w:p>
    <w:p w14:paraId="37AB96EB" w14:textId="77777777" w:rsidR="00A36AA9" w:rsidRPr="00A36AA9" w:rsidRDefault="00A36AA9" w:rsidP="00A36AA9">
      <w:pPr>
        <w:numPr>
          <w:ilvl w:val="12"/>
          <w:numId w:val="0"/>
        </w:numPr>
        <w:spacing w:after="0" w:line="240" w:lineRule="auto"/>
        <w:ind w:right="-2"/>
        <w:rPr>
          <w:rFonts w:ascii="Times New Roman" w:hAnsi="Times New Roman"/>
          <w:lang w:val="lt-LT"/>
        </w:rPr>
      </w:pPr>
    </w:p>
    <w:p w14:paraId="4CC97B5B" w14:textId="77777777" w:rsidR="00A36AA9" w:rsidRPr="00A36AA9" w:rsidRDefault="00A36AA9" w:rsidP="00A36AA9">
      <w:pPr>
        <w:numPr>
          <w:ilvl w:val="12"/>
          <w:numId w:val="0"/>
        </w:numPr>
        <w:spacing w:after="0" w:line="240" w:lineRule="auto"/>
        <w:ind w:right="-2"/>
        <w:rPr>
          <w:rFonts w:ascii="Times New Roman" w:hAnsi="Times New Roman"/>
          <w:lang w:val="lt-LT"/>
        </w:rPr>
      </w:pPr>
    </w:p>
    <w:p w14:paraId="688E1E8F" w14:textId="77777777" w:rsidR="00A36AA9" w:rsidRPr="00A36AA9" w:rsidRDefault="00A36AA9" w:rsidP="00250B3F">
      <w:pPr>
        <w:pStyle w:val="Antrat4"/>
        <w:spacing w:before="0" w:after="0" w:line="240" w:lineRule="auto"/>
        <w:ind w:left="567" w:hanging="567"/>
        <w:rPr>
          <w:rFonts w:ascii="Times New Roman" w:hAnsi="Times New Roman" w:cs="Times New Roman"/>
          <w:b/>
          <w:i w:val="0"/>
          <w:color w:val="auto"/>
          <w:lang w:val="lt-LT"/>
        </w:rPr>
      </w:pPr>
      <w:r w:rsidRPr="00A36AA9">
        <w:rPr>
          <w:rFonts w:ascii="Times New Roman" w:hAnsi="Times New Roman" w:cs="Times New Roman"/>
          <w:b/>
          <w:i w:val="0"/>
          <w:color w:val="auto"/>
          <w:lang w:val="lt-LT"/>
        </w:rPr>
        <w:t>1.</w:t>
      </w:r>
      <w:r w:rsidRPr="00A36AA9">
        <w:rPr>
          <w:rFonts w:ascii="Times New Roman" w:hAnsi="Times New Roman" w:cs="Times New Roman"/>
          <w:b/>
          <w:i w:val="0"/>
          <w:color w:val="auto"/>
          <w:lang w:val="lt-LT"/>
        </w:rPr>
        <w:tab/>
        <w:t xml:space="preserve">Kas yra </w:t>
      </w:r>
      <w:proofErr w:type="spellStart"/>
      <w:r w:rsidRPr="00A36AA9">
        <w:rPr>
          <w:rFonts w:ascii="Times New Roman" w:hAnsi="Times New Roman" w:cs="Times New Roman"/>
          <w:b/>
          <w:i w:val="0"/>
          <w:color w:val="auto"/>
          <w:lang w:val="lt-LT"/>
        </w:rPr>
        <w:t>Hedelix</w:t>
      </w:r>
      <w:proofErr w:type="spellEnd"/>
      <w:r w:rsidRPr="00A36AA9">
        <w:rPr>
          <w:rFonts w:ascii="Times New Roman" w:hAnsi="Times New Roman" w:cs="Times New Roman"/>
          <w:b/>
          <w:i w:val="0"/>
          <w:color w:val="auto"/>
          <w:lang w:val="lt-LT"/>
        </w:rPr>
        <w:t xml:space="preserve"> ir kam jis vartojamas</w:t>
      </w:r>
    </w:p>
    <w:p w14:paraId="2F373F3F" w14:textId="77777777" w:rsidR="00A36AA9" w:rsidRPr="00A36AA9" w:rsidRDefault="00A36AA9" w:rsidP="00A36AA9">
      <w:pPr>
        <w:pStyle w:val="BTEMEASMCA"/>
        <w:tabs>
          <w:tab w:val="left" w:pos="567"/>
        </w:tabs>
        <w:rPr>
          <w:color w:val="auto"/>
        </w:rPr>
      </w:pPr>
    </w:p>
    <w:p w14:paraId="758231EB" w14:textId="77777777" w:rsidR="00A36AA9" w:rsidRPr="00A36AA9" w:rsidRDefault="00A36AA9" w:rsidP="00A36AA9">
      <w:pPr>
        <w:pStyle w:val="BTEMEASMCA"/>
        <w:tabs>
          <w:tab w:val="left" w:pos="567"/>
        </w:tabs>
        <w:rPr>
          <w:color w:val="auto"/>
        </w:rPr>
      </w:pPr>
      <w:r w:rsidRPr="00A36AA9">
        <w:rPr>
          <w:color w:val="auto"/>
        </w:rPr>
        <w:t>Jeigu per 4-5 dienas Jūsų savijauta nepagerėjo arba net pablogėjo, kreipkitės į gydytoją.</w:t>
      </w:r>
    </w:p>
    <w:p w14:paraId="1EC20301" w14:textId="77777777" w:rsidR="00A36AA9" w:rsidRPr="00A36AA9" w:rsidRDefault="00A36AA9" w:rsidP="00A36AA9">
      <w:pPr>
        <w:pStyle w:val="BTEMEASMCA"/>
        <w:tabs>
          <w:tab w:val="left" w:pos="567"/>
        </w:tabs>
        <w:rPr>
          <w:color w:val="auto"/>
        </w:rPr>
      </w:pPr>
    </w:p>
    <w:p w14:paraId="13F9EFF1" w14:textId="77777777" w:rsidR="00A36AA9" w:rsidRPr="00A36AA9" w:rsidRDefault="00A36AA9" w:rsidP="00A36AA9">
      <w:pPr>
        <w:pStyle w:val="BTEMEASMCA"/>
        <w:tabs>
          <w:tab w:val="left" w:pos="567"/>
        </w:tabs>
        <w:rPr>
          <w:color w:val="auto"/>
        </w:rPr>
      </w:pPr>
      <w:r w:rsidRPr="00A36AA9">
        <w:rPr>
          <w:color w:val="auto"/>
        </w:rPr>
        <w:t xml:space="preserve">Hedelix yra augalinis sirupas nuo kosulio, vartojamas sergant peršalimo ligomis, kurios paveikia kvėpavimo takus. </w:t>
      </w:r>
    </w:p>
    <w:p w14:paraId="7676BB54" w14:textId="77777777" w:rsidR="00A36AA9" w:rsidRPr="00A36AA9" w:rsidRDefault="00A36AA9" w:rsidP="00A36AA9">
      <w:pPr>
        <w:pStyle w:val="BTEMEASMCA"/>
        <w:tabs>
          <w:tab w:val="left" w:pos="567"/>
        </w:tabs>
        <w:rPr>
          <w:color w:val="auto"/>
        </w:rPr>
      </w:pPr>
    </w:p>
    <w:p w14:paraId="43FD69FF" w14:textId="77777777" w:rsidR="00A36AA9" w:rsidRPr="00A36AA9" w:rsidRDefault="00A36AA9" w:rsidP="00A36AA9">
      <w:pPr>
        <w:pStyle w:val="BTEMEASMCA"/>
        <w:tabs>
          <w:tab w:val="left" w:pos="567"/>
        </w:tabs>
        <w:rPr>
          <w:color w:val="auto"/>
        </w:rPr>
      </w:pPr>
      <w:r w:rsidRPr="00A36AA9">
        <w:rPr>
          <w:color w:val="auto"/>
        </w:rPr>
        <w:t>Hedelix lengvina atsikosėjimą sergant peršalimo ligomis arba lėtiniu bronchitu.</w:t>
      </w:r>
    </w:p>
    <w:p w14:paraId="6BD82570" w14:textId="77777777" w:rsidR="00A36AA9" w:rsidRPr="00A36AA9" w:rsidRDefault="00A36AA9" w:rsidP="00A36AA9">
      <w:pPr>
        <w:tabs>
          <w:tab w:val="left" w:pos="567"/>
        </w:tabs>
        <w:spacing w:after="0"/>
        <w:rPr>
          <w:rFonts w:ascii="Times New Roman" w:hAnsi="Times New Roman"/>
          <w:lang w:val="lt-LT"/>
        </w:rPr>
      </w:pPr>
      <w:r w:rsidRPr="00A36AA9">
        <w:rPr>
          <w:rFonts w:ascii="Times New Roman" w:hAnsi="Times New Roman"/>
          <w:lang w:val="lt-LT"/>
        </w:rPr>
        <w:t>Jei simptomai nepraeina ar esant dusuliui, karščiavimui, taip pat atkosint pūlingų ar kraujingų skreplių, nedelsiant reikia pasitarti su gydytoju.</w:t>
      </w:r>
    </w:p>
    <w:p w14:paraId="5E2136AB" w14:textId="77777777" w:rsidR="00A36AA9" w:rsidRPr="00A36AA9" w:rsidRDefault="00A36AA9" w:rsidP="00A36AA9">
      <w:pPr>
        <w:pStyle w:val="BTEMEASMCA"/>
        <w:tabs>
          <w:tab w:val="left" w:pos="567"/>
        </w:tabs>
        <w:rPr>
          <w:color w:val="auto"/>
        </w:rPr>
      </w:pPr>
    </w:p>
    <w:p w14:paraId="3B3B1710" w14:textId="77777777" w:rsidR="00A36AA9" w:rsidRPr="00A36AA9" w:rsidRDefault="00A36AA9" w:rsidP="00A36AA9">
      <w:pPr>
        <w:pStyle w:val="BTEMEASMCA"/>
        <w:tabs>
          <w:tab w:val="left" w:pos="567"/>
        </w:tabs>
        <w:rPr>
          <w:color w:val="auto"/>
        </w:rPr>
      </w:pPr>
    </w:p>
    <w:p w14:paraId="64F08B97" w14:textId="77777777" w:rsidR="00A36AA9" w:rsidRPr="00A36AA9" w:rsidRDefault="00A36AA9" w:rsidP="00A36AA9">
      <w:pPr>
        <w:pStyle w:val="PI-1EMEASMCA"/>
      </w:pPr>
      <w:bookmarkStart w:id="0" w:name="_Toc129243140"/>
      <w:bookmarkStart w:id="1" w:name="_Toc129243265"/>
      <w:r w:rsidRPr="00A36AA9">
        <w:t>2.</w:t>
      </w:r>
      <w:r w:rsidRPr="00A36AA9">
        <w:tab/>
      </w:r>
      <w:bookmarkEnd w:id="0"/>
      <w:bookmarkEnd w:id="1"/>
      <w:proofErr w:type="spellStart"/>
      <w:r w:rsidRPr="00A36AA9">
        <w:t>Kas</w:t>
      </w:r>
      <w:proofErr w:type="spellEnd"/>
      <w:r w:rsidRPr="00A36AA9">
        <w:t xml:space="preserve"> </w:t>
      </w:r>
      <w:proofErr w:type="spellStart"/>
      <w:r w:rsidRPr="00A36AA9">
        <w:t>žinotina</w:t>
      </w:r>
      <w:proofErr w:type="spellEnd"/>
      <w:r w:rsidRPr="00A36AA9">
        <w:t xml:space="preserve"> </w:t>
      </w:r>
      <w:proofErr w:type="spellStart"/>
      <w:r w:rsidRPr="00A36AA9">
        <w:t>prieš</w:t>
      </w:r>
      <w:proofErr w:type="spellEnd"/>
      <w:r w:rsidRPr="00A36AA9">
        <w:t xml:space="preserve"> </w:t>
      </w:r>
      <w:proofErr w:type="spellStart"/>
      <w:r w:rsidRPr="00A36AA9">
        <w:t>vartojant</w:t>
      </w:r>
      <w:proofErr w:type="spellEnd"/>
      <w:r w:rsidRPr="00A36AA9">
        <w:t xml:space="preserve"> </w:t>
      </w:r>
      <w:proofErr w:type="spellStart"/>
      <w:r w:rsidRPr="00A36AA9">
        <w:t>Hedelix</w:t>
      </w:r>
      <w:proofErr w:type="spellEnd"/>
    </w:p>
    <w:p w14:paraId="7B280455" w14:textId="77777777" w:rsidR="00A36AA9" w:rsidRPr="00A36AA9" w:rsidRDefault="00A36AA9" w:rsidP="00A36AA9">
      <w:pPr>
        <w:pStyle w:val="BTEMEASMCA"/>
        <w:tabs>
          <w:tab w:val="left" w:pos="567"/>
        </w:tabs>
        <w:rPr>
          <w:color w:val="auto"/>
        </w:rPr>
      </w:pPr>
    </w:p>
    <w:p w14:paraId="493B20F9" w14:textId="77777777" w:rsidR="00A36AA9" w:rsidRPr="00A36AA9" w:rsidRDefault="00A36AA9" w:rsidP="00A36AA9">
      <w:pPr>
        <w:pStyle w:val="PI-3EMEASMCA"/>
        <w:tabs>
          <w:tab w:val="left" w:pos="567"/>
        </w:tabs>
        <w:spacing w:line="240" w:lineRule="auto"/>
      </w:pPr>
      <w:proofErr w:type="spellStart"/>
      <w:r w:rsidRPr="00A36AA9">
        <w:t>Hedelix</w:t>
      </w:r>
      <w:proofErr w:type="spellEnd"/>
      <w:r w:rsidRPr="00A36AA9">
        <w:t xml:space="preserve"> vartoti draudžiama:</w:t>
      </w:r>
    </w:p>
    <w:p w14:paraId="7C6CC01A" w14:textId="77777777" w:rsidR="00A36AA9" w:rsidRPr="00A36AA9" w:rsidRDefault="00A36AA9" w:rsidP="00A36AA9">
      <w:pPr>
        <w:pStyle w:val="BT-EMEASMCA"/>
        <w:rPr>
          <w:color w:val="auto"/>
        </w:rPr>
      </w:pPr>
      <w:r w:rsidRPr="00A36AA9">
        <w:rPr>
          <w:color w:val="auto"/>
        </w:rPr>
        <w:t>-</w:t>
      </w:r>
      <w:r w:rsidRPr="00A36AA9">
        <w:rPr>
          <w:color w:val="auto"/>
        </w:rPr>
        <w:tab/>
        <w:t>jeigu yra alergija gebenės lapams arba bet kuriai pagalbinei šio vaisto medžiagai (jos išvardytos 6 skyriuje).</w:t>
      </w:r>
    </w:p>
    <w:p w14:paraId="7312A8DE" w14:textId="77777777" w:rsidR="00A36AA9" w:rsidRPr="00A36AA9" w:rsidRDefault="00A36AA9" w:rsidP="00A36AA9">
      <w:pPr>
        <w:pStyle w:val="BT-EMEASMCA"/>
        <w:rPr>
          <w:color w:val="auto"/>
        </w:rPr>
      </w:pPr>
      <w:r w:rsidRPr="00A36AA9">
        <w:rPr>
          <w:color w:val="auto"/>
        </w:rPr>
        <w:t>-</w:t>
      </w:r>
      <w:r w:rsidRPr="00A36AA9">
        <w:rPr>
          <w:color w:val="auto"/>
        </w:rPr>
        <w:tab/>
        <w:t>jeigu yra argininsukcinatsintetazės trūkumas (metabolinė šlapalo ciklo liga);</w:t>
      </w:r>
    </w:p>
    <w:p w14:paraId="2DE53D91" w14:textId="77777777" w:rsidR="00A36AA9" w:rsidRPr="00A36AA9" w:rsidRDefault="00A36AA9" w:rsidP="00A36AA9">
      <w:pPr>
        <w:pStyle w:val="BTEMEASMCA"/>
        <w:tabs>
          <w:tab w:val="left" w:pos="567"/>
        </w:tabs>
        <w:rPr>
          <w:color w:val="auto"/>
        </w:rPr>
      </w:pPr>
    </w:p>
    <w:p w14:paraId="4E77B353" w14:textId="77777777" w:rsidR="00A36AA9" w:rsidRPr="00A36AA9" w:rsidRDefault="00A36AA9" w:rsidP="00A36AA9">
      <w:pPr>
        <w:pStyle w:val="Antrat4"/>
        <w:spacing w:before="0" w:after="0" w:line="240" w:lineRule="auto"/>
        <w:rPr>
          <w:rFonts w:ascii="Times New Roman" w:hAnsi="Times New Roman" w:cs="Times New Roman"/>
          <w:b/>
          <w:i w:val="0"/>
          <w:color w:val="auto"/>
          <w:lang w:val="lt-LT"/>
        </w:rPr>
      </w:pPr>
      <w:r w:rsidRPr="00A36AA9">
        <w:rPr>
          <w:rFonts w:ascii="Times New Roman" w:hAnsi="Times New Roman" w:cs="Times New Roman"/>
          <w:b/>
          <w:i w:val="0"/>
          <w:color w:val="auto"/>
          <w:lang w:val="lt-LT"/>
        </w:rPr>
        <w:t xml:space="preserve">Įspėjimai ir atsargumo priemonės </w:t>
      </w:r>
    </w:p>
    <w:p w14:paraId="61275436" w14:textId="7B27B27C" w:rsidR="00A36AA9" w:rsidRPr="00A36AA9" w:rsidRDefault="00A36AA9" w:rsidP="00A36AA9">
      <w:pPr>
        <w:spacing w:after="0"/>
        <w:rPr>
          <w:rFonts w:ascii="Times New Roman" w:hAnsi="Times New Roman"/>
          <w:lang w:val="lt-LT"/>
        </w:rPr>
      </w:pPr>
      <w:r w:rsidRPr="00A36AA9">
        <w:rPr>
          <w:rFonts w:ascii="Times New Roman" w:hAnsi="Times New Roman"/>
          <w:noProof/>
          <w:lang w:val="lt-LT"/>
        </w:rPr>
        <w:t>Pasitarkite su gydytoju arba vaistininku, prieš pradėdami vartoti Hedelix.</w:t>
      </w:r>
    </w:p>
    <w:p w14:paraId="49C57D88" w14:textId="77777777" w:rsidR="00250B3F" w:rsidRDefault="00250B3F" w:rsidP="00A36AA9">
      <w:pPr>
        <w:pStyle w:val="PI-3EMEASMCA"/>
        <w:tabs>
          <w:tab w:val="left" w:pos="567"/>
        </w:tabs>
        <w:spacing w:line="240" w:lineRule="auto"/>
      </w:pPr>
    </w:p>
    <w:p w14:paraId="3CD68C63" w14:textId="7589FD40" w:rsidR="00A36AA9" w:rsidRPr="00A36AA9" w:rsidRDefault="00A36AA9" w:rsidP="00A36AA9">
      <w:pPr>
        <w:pStyle w:val="PI-3EMEASMCA"/>
        <w:tabs>
          <w:tab w:val="left" w:pos="567"/>
        </w:tabs>
        <w:spacing w:line="240" w:lineRule="auto"/>
      </w:pPr>
      <w:r w:rsidRPr="00A36AA9">
        <w:t xml:space="preserve">Kiti vaistai ir </w:t>
      </w:r>
      <w:proofErr w:type="spellStart"/>
      <w:r w:rsidRPr="00A36AA9">
        <w:t>Hedelix</w:t>
      </w:r>
      <w:proofErr w:type="spellEnd"/>
    </w:p>
    <w:p w14:paraId="0DD4739B" w14:textId="386D98DB" w:rsidR="00A36AA9" w:rsidRPr="00A36AA9" w:rsidRDefault="00A36AA9" w:rsidP="00A36AA9">
      <w:pPr>
        <w:pStyle w:val="BTEMEASMCA"/>
        <w:tabs>
          <w:tab w:val="left" w:pos="567"/>
        </w:tabs>
        <w:rPr>
          <w:color w:val="auto"/>
        </w:rPr>
      </w:pPr>
      <w:r w:rsidRPr="00A36AA9">
        <w:rPr>
          <w:color w:val="auto"/>
        </w:rPr>
        <w:t>Apie sąveikas nežinoma.</w:t>
      </w:r>
    </w:p>
    <w:p w14:paraId="2A63B948" w14:textId="77777777" w:rsidR="00A36AA9" w:rsidRPr="00A36AA9" w:rsidRDefault="00A36AA9" w:rsidP="00A36AA9">
      <w:pPr>
        <w:pStyle w:val="BTEMEASMCA"/>
        <w:tabs>
          <w:tab w:val="left" w:pos="567"/>
        </w:tabs>
        <w:rPr>
          <w:color w:val="auto"/>
        </w:rPr>
      </w:pPr>
      <w:r w:rsidRPr="00A36AA9">
        <w:rPr>
          <w:color w:val="auto"/>
        </w:rPr>
        <w:t>Jeigu vartojate ar neseniai vartojote kitų vaistų arba dėl to nesate tikri, apie tai pasakykite gydytojui arba vaistininkui.</w:t>
      </w:r>
    </w:p>
    <w:p w14:paraId="4EC7CCEE" w14:textId="77777777" w:rsidR="00A36AA9" w:rsidRPr="00A36AA9" w:rsidRDefault="00A36AA9" w:rsidP="00A36AA9">
      <w:pPr>
        <w:pStyle w:val="BTEMEASMCA"/>
        <w:tabs>
          <w:tab w:val="left" w:pos="567"/>
        </w:tabs>
        <w:rPr>
          <w:color w:val="auto"/>
        </w:rPr>
      </w:pPr>
    </w:p>
    <w:p w14:paraId="620DB521" w14:textId="77777777" w:rsidR="00A36AA9" w:rsidRPr="00A36AA9" w:rsidRDefault="00A36AA9" w:rsidP="00A36AA9">
      <w:pPr>
        <w:pStyle w:val="PI-3EMEASMCA"/>
        <w:tabs>
          <w:tab w:val="left" w:pos="567"/>
        </w:tabs>
        <w:spacing w:line="240" w:lineRule="auto"/>
      </w:pPr>
      <w:proofErr w:type="spellStart"/>
      <w:r w:rsidRPr="00A36AA9">
        <w:t>Hedelix</w:t>
      </w:r>
      <w:proofErr w:type="spellEnd"/>
      <w:r w:rsidRPr="00A36AA9">
        <w:t xml:space="preserve"> vartojimas su maistu ir gėrimais</w:t>
      </w:r>
    </w:p>
    <w:p w14:paraId="42EA97B1" w14:textId="77777777" w:rsidR="00A36AA9" w:rsidRPr="00A36AA9" w:rsidRDefault="00A36AA9" w:rsidP="00A36AA9">
      <w:pPr>
        <w:pStyle w:val="BTEMEASMCA"/>
        <w:tabs>
          <w:tab w:val="left" w:pos="567"/>
        </w:tabs>
        <w:rPr>
          <w:color w:val="auto"/>
        </w:rPr>
      </w:pPr>
      <w:r w:rsidRPr="00A36AA9">
        <w:rPr>
          <w:color w:val="auto"/>
        </w:rPr>
        <w:t>Specialios atsargumo priemonės nereikalingos.</w:t>
      </w:r>
    </w:p>
    <w:p w14:paraId="3CCA3FF0" w14:textId="77777777" w:rsidR="00A36AA9" w:rsidRDefault="00A36AA9" w:rsidP="00A36AA9">
      <w:pPr>
        <w:pStyle w:val="BTEMEASMCA"/>
        <w:tabs>
          <w:tab w:val="left" w:pos="567"/>
        </w:tabs>
        <w:rPr>
          <w:color w:val="auto"/>
        </w:rPr>
      </w:pPr>
    </w:p>
    <w:p w14:paraId="36039D79" w14:textId="77777777" w:rsidR="00A36AA9" w:rsidRPr="00A36AA9" w:rsidRDefault="00A36AA9" w:rsidP="00A36AA9">
      <w:pPr>
        <w:pStyle w:val="PI-3EMEASMCA"/>
        <w:tabs>
          <w:tab w:val="left" w:pos="567"/>
        </w:tabs>
        <w:spacing w:line="240" w:lineRule="auto"/>
      </w:pPr>
      <w:r w:rsidRPr="00A36AA9">
        <w:t>Nėštumas ir žindymo laikotarpis</w:t>
      </w:r>
    </w:p>
    <w:p w14:paraId="43BD0924" w14:textId="77777777" w:rsidR="00A36AA9" w:rsidRPr="00A36AA9" w:rsidRDefault="00A36AA9" w:rsidP="00A36AA9">
      <w:pPr>
        <w:pStyle w:val="PI-3EMEASMCA"/>
        <w:tabs>
          <w:tab w:val="left" w:pos="567"/>
        </w:tabs>
        <w:spacing w:line="240" w:lineRule="auto"/>
        <w:rPr>
          <w:b w:val="0"/>
        </w:rPr>
      </w:pPr>
      <w:r w:rsidRPr="00A36AA9">
        <w:rPr>
          <w:b w:val="0"/>
          <w:noProof/>
        </w:rPr>
        <w:lastRenderedPageBreak/>
        <w:t>Jeigu esate nėščia, žindote kūdikį, manote, kad galbūt esate nėščia, arba planuojate pastoti, tai prieš vartodama šį vaistą, pasitarkite su gydytoju arba vaistininku.</w:t>
      </w:r>
    </w:p>
    <w:p w14:paraId="46149048" w14:textId="77777777" w:rsidR="00A36AA9" w:rsidRPr="00A36AA9" w:rsidRDefault="00A36AA9" w:rsidP="00A36AA9">
      <w:pPr>
        <w:pStyle w:val="BTEMEASMCA"/>
        <w:tabs>
          <w:tab w:val="left" w:pos="567"/>
        </w:tabs>
        <w:rPr>
          <w:color w:val="auto"/>
        </w:rPr>
      </w:pPr>
      <w:r w:rsidRPr="00A36AA9">
        <w:rPr>
          <w:color w:val="auto"/>
        </w:rPr>
        <w:t>Duomenų apie vaisto saugumą nėštumo ir žindymo laikotarpiu nepakanka, todėl šio vaisto be gydytojo nurodymo vartoti nėštumo ir žindymo laikotarpiu nerekomenduojama.</w:t>
      </w:r>
    </w:p>
    <w:p w14:paraId="1DEFEAB5" w14:textId="77777777" w:rsidR="00A36AA9" w:rsidRPr="00A36AA9" w:rsidRDefault="00A36AA9" w:rsidP="00A36AA9">
      <w:pPr>
        <w:pStyle w:val="PI-3EMEASMCA"/>
        <w:tabs>
          <w:tab w:val="left" w:pos="567"/>
        </w:tabs>
        <w:spacing w:line="240" w:lineRule="auto"/>
      </w:pPr>
    </w:p>
    <w:p w14:paraId="180BDF59" w14:textId="77777777" w:rsidR="00A36AA9" w:rsidRPr="00A36AA9" w:rsidRDefault="00A36AA9" w:rsidP="00A36AA9">
      <w:pPr>
        <w:pStyle w:val="PI-3EMEASMCA"/>
        <w:tabs>
          <w:tab w:val="left" w:pos="567"/>
        </w:tabs>
        <w:spacing w:line="240" w:lineRule="auto"/>
      </w:pPr>
      <w:r w:rsidRPr="00A36AA9">
        <w:t>Vairavimas ir mechanizmų valdymas</w:t>
      </w:r>
    </w:p>
    <w:p w14:paraId="1A8418A6" w14:textId="77777777" w:rsidR="00A36AA9" w:rsidRPr="00A36AA9" w:rsidRDefault="00A36AA9" w:rsidP="00A36AA9">
      <w:pPr>
        <w:pStyle w:val="BTEMEASMCA"/>
        <w:tabs>
          <w:tab w:val="left" w:pos="567"/>
        </w:tabs>
        <w:rPr>
          <w:color w:val="auto"/>
        </w:rPr>
      </w:pPr>
      <w:r w:rsidRPr="00A36AA9">
        <w:rPr>
          <w:color w:val="auto"/>
        </w:rPr>
        <w:t>Specialios atsargumo priemonės nereikalingos.</w:t>
      </w:r>
    </w:p>
    <w:p w14:paraId="58B25E70" w14:textId="77777777" w:rsidR="00A36AA9" w:rsidRPr="00A36AA9" w:rsidRDefault="00A36AA9" w:rsidP="00A36AA9">
      <w:pPr>
        <w:pStyle w:val="BTEMEASMCA"/>
        <w:tabs>
          <w:tab w:val="left" w:pos="567"/>
        </w:tabs>
        <w:rPr>
          <w:color w:val="auto"/>
        </w:rPr>
      </w:pPr>
    </w:p>
    <w:p w14:paraId="4DDDC920" w14:textId="77777777" w:rsidR="00A36AA9" w:rsidRPr="00A36AA9" w:rsidRDefault="00A36AA9" w:rsidP="00A36AA9">
      <w:pPr>
        <w:pStyle w:val="BTEMEASMCA"/>
        <w:rPr>
          <w:b/>
          <w:color w:val="auto"/>
        </w:rPr>
      </w:pPr>
      <w:r w:rsidRPr="00A36AA9">
        <w:rPr>
          <w:b/>
          <w:color w:val="auto"/>
        </w:rPr>
        <w:t>Hedelix sudėtyje yra sorbitolio, propilenglikolio ir makrogolglicerolio hidroksistearato</w:t>
      </w:r>
    </w:p>
    <w:p w14:paraId="5079B3AE" w14:textId="77777777" w:rsidR="00A36AA9" w:rsidRPr="00A36AA9" w:rsidRDefault="00A36AA9" w:rsidP="00A36AA9">
      <w:pPr>
        <w:pStyle w:val="BTEMEASMCA"/>
        <w:rPr>
          <w:color w:val="auto"/>
        </w:rPr>
      </w:pPr>
      <w:bookmarkStart w:id="2" w:name="_Toc129243141"/>
      <w:bookmarkStart w:id="3" w:name="_Toc129243266"/>
      <w:r w:rsidRPr="00A36AA9">
        <w:rPr>
          <w:color w:val="auto"/>
        </w:rPr>
        <w:t>5 sirupo mililitruose yra 1,75 g sorbitolio (atitinka 0,44 g fruktozės), o tai apytiksliai atitinka 0,15 duonos vienetų (1 duonos vienetas, tai maisto, turinčio 12 g angliavandenių atitikmuo).</w:t>
      </w:r>
    </w:p>
    <w:p w14:paraId="67EEF8FE" w14:textId="77777777" w:rsidR="00A36AA9" w:rsidRPr="00A36AA9" w:rsidRDefault="00A36AA9" w:rsidP="00A36AA9">
      <w:pPr>
        <w:pStyle w:val="BTEMEASMCA"/>
        <w:rPr>
          <w:color w:val="auto"/>
        </w:rPr>
      </w:pPr>
      <w:r w:rsidRPr="00A36AA9">
        <w:rPr>
          <w:color w:val="auto"/>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55D31FDC" w14:textId="77777777" w:rsidR="00A36AA9" w:rsidRPr="00A36AA9" w:rsidRDefault="00A36AA9" w:rsidP="00A36AA9">
      <w:pPr>
        <w:pStyle w:val="BTEMEASMCA"/>
        <w:rPr>
          <w:color w:val="auto"/>
        </w:rPr>
      </w:pPr>
      <w:r w:rsidRPr="00A36AA9">
        <w:rPr>
          <w:color w:val="auto"/>
        </w:rPr>
        <w:t>Sorbitolis gali sukelti skrandžio ir žarnyno diskomfortą ir lengvą vidurius laisvinantį poveikį.</w:t>
      </w:r>
    </w:p>
    <w:p w14:paraId="1F7A10DE" w14:textId="77777777" w:rsidR="00A36AA9" w:rsidRPr="00A36AA9" w:rsidRDefault="00A36AA9" w:rsidP="00A36AA9">
      <w:pPr>
        <w:pStyle w:val="BTEMEASMCA"/>
        <w:rPr>
          <w:color w:val="auto"/>
        </w:rPr>
      </w:pPr>
    </w:p>
    <w:p w14:paraId="28E5D53D" w14:textId="77777777" w:rsidR="00A36AA9" w:rsidRPr="00A36AA9" w:rsidRDefault="00A36AA9" w:rsidP="00A36AA9">
      <w:pPr>
        <w:pStyle w:val="BTEMEASMCA"/>
        <w:rPr>
          <w:color w:val="auto"/>
        </w:rPr>
      </w:pPr>
      <w:r w:rsidRPr="00A36AA9">
        <w:rPr>
          <w:color w:val="auto"/>
        </w:rPr>
        <w:t xml:space="preserve">Šio vaisto 5 ml yra 694 mg propilenglikolio. </w:t>
      </w:r>
    </w:p>
    <w:p w14:paraId="14324EAB" w14:textId="77777777" w:rsidR="00A36AA9" w:rsidRPr="00A36AA9" w:rsidRDefault="00A36AA9" w:rsidP="00A36AA9">
      <w:pPr>
        <w:pStyle w:val="BTEMEASMCA"/>
        <w:rPr>
          <w:color w:val="auto"/>
        </w:rPr>
      </w:pPr>
      <w:r w:rsidRPr="00A36AA9">
        <w:rPr>
          <w:color w:val="auto"/>
        </w:rPr>
        <w:t>Jeigu Jūsų vaikas yra jaunesnis kaip 5 metų, prieš jam duodant šio vaisto pasitarkite su gydytoju ar vaistininku, ypač jeigu vaikas vartoja kito vaisto, kurio sudėtyje yra propilenglikolio ar alkoholio.</w:t>
      </w:r>
    </w:p>
    <w:p w14:paraId="6900B0DD" w14:textId="77777777" w:rsidR="00A36AA9" w:rsidRPr="00A36AA9" w:rsidRDefault="00A36AA9" w:rsidP="00A36AA9">
      <w:pPr>
        <w:pStyle w:val="BTEMEASMCA"/>
        <w:rPr>
          <w:color w:val="auto"/>
        </w:rPr>
      </w:pPr>
      <w:r w:rsidRPr="00A36AA9">
        <w:rPr>
          <w:color w:val="auto"/>
        </w:rPr>
        <w:t>Jeigu esate nėščia ar žindyvė, sergate kepenų arba inkstų ligomis, nevartokite šio vaisto, nebent jį rekomendavo gydytojas. Vartojant šio vaisto gydytojas gali papildomai patikrinti Jūsų sveikatą.</w:t>
      </w:r>
    </w:p>
    <w:p w14:paraId="5A8DF7B5" w14:textId="77777777" w:rsidR="00A36AA9" w:rsidRPr="00A36AA9" w:rsidRDefault="00A36AA9" w:rsidP="00A36AA9">
      <w:pPr>
        <w:autoSpaceDE w:val="0"/>
        <w:autoSpaceDN w:val="0"/>
        <w:adjustRightInd w:val="0"/>
        <w:spacing w:after="0" w:line="240" w:lineRule="auto"/>
        <w:rPr>
          <w:rFonts w:ascii="Times New Roman" w:hAnsi="Times New Roman"/>
          <w:lang w:val="lt-LT"/>
        </w:rPr>
      </w:pPr>
      <w:r w:rsidRPr="00A36AA9">
        <w:rPr>
          <w:rFonts w:ascii="Times New Roman" w:eastAsiaTheme="minorHAnsi" w:hAnsi="Times New Roman"/>
          <w:lang w:val="lt-LT"/>
        </w:rPr>
        <w:t>Jeigu Jus kamuoja kepenų ar inkstų liga, nevartokite šio vaisto, nebent jį rekomendavo gydytojas. Vartojant šio vaisto gydytojas gali papildomai patikrinti Jūsų sveikatą.</w:t>
      </w:r>
    </w:p>
    <w:p w14:paraId="1364CA66" w14:textId="77777777" w:rsidR="00A36AA9" w:rsidRPr="00A36AA9" w:rsidRDefault="00A36AA9" w:rsidP="00A36AA9">
      <w:pPr>
        <w:pStyle w:val="BTEMEASMCA"/>
        <w:rPr>
          <w:color w:val="auto"/>
        </w:rPr>
      </w:pPr>
    </w:p>
    <w:p w14:paraId="1CB57742" w14:textId="77777777" w:rsidR="00A36AA9" w:rsidRPr="00A36AA9" w:rsidRDefault="00A36AA9" w:rsidP="00A36AA9">
      <w:pPr>
        <w:pStyle w:val="BTEMEASMCA"/>
        <w:rPr>
          <w:color w:val="auto"/>
        </w:rPr>
      </w:pPr>
      <w:r w:rsidRPr="00A36AA9">
        <w:rPr>
          <w:color w:val="auto"/>
        </w:rPr>
        <w:t>Makrogolglicerolio hidroksistearatas gali sukelti skrandžio sutrikimų ir viduriavimą.</w:t>
      </w:r>
    </w:p>
    <w:p w14:paraId="78ACEE66" w14:textId="77777777" w:rsidR="00A36AA9" w:rsidRPr="00A36AA9" w:rsidRDefault="00A36AA9" w:rsidP="00A36AA9">
      <w:pPr>
        <w:pStyle w:val="BTEMEASMCA"/>
        <w:rPr>
          <w:color w:val="auto"/>
        </w:rPr>
      </w:pPr>
    </w:p>
    <w:p w14:paraId="1D42AD94" w14:textId="77777777" w:rsidR="00A36AA9" w:rsidRPr="00A36AA9" w:rsidRDefault="00A36AA9" w:rsidP="00A36AA9">
      <w:pPr>
        <w:pStyle w:val="BTEMEASMCA"/>
        <w:rPr>
          <w:color w:val="auto"/>
        </w:rPr>
      </w:pPr>
    </w:p>
    <w:p w14:paraId="2209B73F" w14:textId="77777777" w:rsidR="00A36AA9" w:rsidRPr="00A36AA9" w:rsidRDefault="00A36AA9" w:rsidP="00A36AA9">
      <w:pPr>
        <w:pStyle w:val="BT-EMEASMCA"/>
        <w:rPr>
          <w:b/>
          <w:color w:val="auto"/>
        </w:rPr>
      </w:pPr>
      <w:r w:rsidRPr="00A36AA9">
        <w:rPr>
          <w:b/>
          <w:color w:val="auto"/>
        </w:rPr>
        <w:t>3.</w:t>
      </w:r>
      <w:r w:rsidRPr="00A36AA9">
        <w:rPr>
          <w:b/>
          <w:color w:val="auto"/>
        </w:rPr>
        <w:tab/>
        <w:t xml:space="preserve">Kaip vartoti </w:t>
      </w:r>
      <w:bookmarkEnd w:id="2"/>
      <w:bookmarkEnd w:id="3"/>
      <w:r w:rsidRPr="00A36AA9">
        <w:rPr>
          <w:b/>
          <w:color w:val="auto"/>
        </w:rPr>
        <w:t>Hedelix</w:t>
      </w:r>
    </w:p>
    <w:p w14:paraId="69C7B35E" w14:textId="77777777" w:rsidR="00A36AA9" w:rsidRPr="00A36AA9" w:rsidRDefault="00A36AA9" w:rsidP="00A36AA9">
      <w:pPr>
        <w:pStyle w:val="BT-EMEASMCA"/>
        <w:rPr>
          <w:color w:val="auto"/>
        </w:rPr>
      </w:pPr>
    </w:p>
    <w:p w14:paraId="2D3901EE" w14:textId="77777777" w:rsidR="00A36AA9" w:rsidRPr="00A36AA9" w:rsidRDefault="00A36AA9" w:rsidP="00A36AA9">
      <w:pPr>
        <w:pStyle w:val="BT-EMEASMCA"/>
        <w:ind w:left="0" w:firstLine="0"/>
        <w:rPr>
          <w:color w:val="auto"/>
        </w:rPr>
      </w:pPr>
      <w:r w:rsidRPr="00A36AA9">
        <w:rPr>
          <w:color w:val="auto"/>
        </w:rPr>
        <w:t>Visada vartokite šį vaistą tiksliai kaip aprašyta šiame lapelyje arba kaip nurodė gydytojas arba vaistininkas. Jeigu abejojate, kreipkitės į  gydytoją arba vaistininką.</w:t>
      </w:r>
    </w:p>
    <w:p w14:paraId="7F0BC6B2" w14:textId="77777777" w:rsidR="00A36AA9" w:rsidRPr="00A36AA9" w:rsidRDefault="00A36AA9" w:rsidP="00A36AA9">
      <w:pPr>
        <w:pStyle w:val="BT-EMEASMCA"/>
        <w:rPr>
          <w:color w:val="auto"/>
        </w:rPr>
      </w:pPr>
    </w:p>
    <w:p w14:paraId="01D2A68F" w14:textId="77777777" w:rsidR="00A36AA9" w:rsidRPr="00A36AA9" w:rsidRDefault="00A36AA9" w:rsidP="00A36AA9">
      <w:pPr>
        <w:pStyle w:val="BT-EMEASMCA"/>
        <w:rPr>
          <w:color w:val="auto"/>
        </w:rPr>
      </w:pPr>
      <w:r w:rsidRPr="00A36AA9">
        <w:rPr>
          <w:color w:val="auto"/>
        </w:rPr>
        <w:t xml:space="preserve">Rekomenduojama dozė yra: </w:t>
      </w:r>
    </w:p>
    <w:p w14:paraId="094C7439" w14:textId="77777777" w:rsidR="00A36AA9" w:rsidRPr="00A36AA9" w:rsidRDefault="00A36AA9" w:rsidP="00A36AA9">
      <w:pPr>
        <w:pStyle w:val="BT-EMEASMCA"/>
        <w:rPr>
          <w:color w:val="auto"/>
        </w:rPr>
      </w:pPr>
    </w:p>
    <w:p w14:paraId="551371FE" w14:textId="77777777" w:rsidR="00A36AA9" w:rsidRPr="00A36AA9" w:rsidRDefault="00A36AA9" w:rsidP="00A36AA9">
      <w:pPr>
        <w:pStyle w:val="BT-EMEASMCA"/>
        <w:rPr>
          <w:i/>
          <w:color w:val="auto"/>
        </w:rPr>
      </w:pPr>
      <w:r w:rsidRPr="00A36AA9">
        <w:rPr>
          <w:i/>
          <w:color w:val="auto"/>
        </w:rPr>
        <w:t>Suaugusiems ir vyresniems nei 10 metų vaikams:</w:t>
      </w:r>
    </w:p>
    <w:p w14:paraId="66091273" w14:textId="77777777" w:rsidR="00A36AA9" w:rsidRPr="00A36AA9" w:rsidRDefault="00A36AA9" w:rsidP="00A36AA9">
      <w:pPr>
        <w:pStyle w:val="BT-EMEASMCA"/>
        <w:rPr>
          <w:color w:val="auto"/>
        </w:rPr>
      </w:pPr>
      <w:r w:rsidRPr="00A36AA9">
        <w:rPr>
          <w:color w:val="auto"/>
        </w:rPr>
        <w:t>5 ml sirupo tris kartus per parą (atitinka 300 mg vaisto paros dozę);</w:t>
      </w:r>
    </w:p>
    <w:p w14:paraId="0515B9FF" w14:textId="77777777" w:rsidR="00A36AA9" w:rsidRPr="00A36AA9" w:rsidRDefault="00A36AA9" w:rsidP="00A36AA9">
      <w:pPr>
        <w:pStyle w:val="BT-EMEASMCA"/>
        <w:rPr>
          <w:color w:val="auto"/>
        </w:rPr>
      </w:pPr>
    </w:p>
    <w:p w14:paraId="2D8D148D" w14:textId="77777777" w:rsidR="00A36AA9" w:rsidRPr="00A36AA9" w:rsidRDefault="00A36AA9" w:rsidP="00A36AA9">
      <w:pPr>
        <w:pStyle w:val="BT-EMEASMCA"/>
        <w:rPr>
          <w:i/>
          <w:color w:val="auto"/>
        </w:rPr>
      </w:pPr>
      <w:r w:rsidRPr="00A36AA9">
        <w:rPr>
          <w:i/>
          <w:color w:val="auto"/>
        </w:rPr>
        <w:t>4-10 metų amžiaus vaikams:</w:t>
      </w:r>
    </w:p>
    <w:p w14:paraId="185A1F72" w14:textId="77777777" w:rsidR="00A36AA9" w:rsidRPr="00A36AA9" w:rsidRDefault="00A36AA9" w:rsidP="00A36AA9">
      <w:pPr>
        <w:pStyle w:val="BT-EMEASMCA"/>
        <w:rPr>
          <w:color w:val="auto"/>
        </w:rPr>
      </w:pPr>
      <w:r w:rsidRPr="00A36AA9">
        <w:rPr>
          <w:color w:val="auto"/>
        </w:rPr>
        <w:t>2,5 ml sirupo keturis kartus per parą (atitinka 200 mg vaisto paros dozę);</w:t>
      </w:r>
    </w:p>
    <w:p w14:paraId="5475110F" w14:textId="77777777" w:rsidR="00A36AA9" w:rsidRPr="00A36AA9" w:rsidRDefault="00A36AA9" w:rsidP="00A36AA9">
      <w:pPr>
        <w:pStyle w:val="BT-EMEASMCA"/>
        <w:rPr>
          <w:color w:val="auto"/>
        </w:rPr>
      </w:pPr>
    </w:p>
    <w:p w14:paraId="2A1C5294" w14:textId="77777777" w:rsidR="00A36AA9" w:rsidRPr="00A36AA9" w:rsidRDefault="00A36AA9" w:rsidP="00A36AA9">
      <w:pPr>
        <w:pStyle w:val="BT-EMEASMCA"/>
        <w:rPr>
          <w:i/>
          <w:color w:val="auto"/>
        </w:rPr>
      </w:pPr>
      <w:r w:rsidRPr="00A36AA9">
        <w:rPr>
          <w:i/>
          <w:color w:val="auto"/>
        </w:rPr>
        <w:t>1-4 metų amžiaus vaikams:</w:t>
      </w:r>
    </w:p>
    <w:p w14:paraId="1B98C159" w14:textId="77777777" w:rsidR="00A36AA9" w:rsidRPr="00A36AA9" w:rsidRDefault="00A36AA9" w:rsidP="00A36AA9">
      <w:pPr>
        <w:pStyle w:val="BT-EMEASMCA"/>
        <w:rPr>
          <w:color w:val="auto"/>
        </w:rPr>
      </w:pPr>
      <w:r w:rsidRPr="00A36AA9">
        <w:rPr>
          <w:color w:val="auto"/>
        </w:rPr>
        <w:t>2,5 ml sirupo tris kartus per parą (atitinka 150 mg vaisto paros dozę);</w:t>
      </w:r>
    </w:p>
    <w:p w14:paraId="4E3E350B" w14:textId="77777777" w:rsidR="00A36AA9" w:rsidRPr="00A36AA9" w:rsidRDefault="00A36AA9" w:rsidP="00A36AA9">
      <w:pPr>
        <w:pStyle w:val="BT-EMEASMCA"/>
        <w:rPr>
          <w:color w:val="auto"/>
        </w:rPr>
      </w:pPr>
    </w:p>
    <w:p w14:paraId="4385CC4D" w14:textId="77777777" w:rsidR="00A36AA9" w:rsidRPr="00A36AA9" w:rsidRDefault="00A36AA9" w:rsidP="00A36AA9">
      <w:pPr>
        <w:pStyle w:val="BT-EMEASMCA"/>
        <w:rPr>
          <w:i/>
          <w:color w:val="auto"/>
        </w:rPr>
      </w:pPr>
      <w:r w:rsidRPr="00A36AA9">
        <w:rPr>
          <w:i/>
          <w:color w:val="auto"/>
        </w:rPr>
        <w:t>Vaikams iki 1 metų:</w:t>
      </w:r>
    </w:p>
    <w:p w14:paraId="7EFB6FA0" w14:textId="77777777" w:rsidR="00A36AA9" w:rsidRPr="00A36AA9" w:rsidRDefault="00A36AA9" w:rsidP="00A36AA9">
      <w:pPr>
        <w:pStyle w:val="BT-EMEASMCA"/>
        <w:rPr>
          <w:color w:val="auto"/>
        </w:rPr>
      </w:pPr>
      <w:r w:rsidRPr="00A36AA9">
        <w:rPr>
          <w:color w:val="auto"/>
        </w:rPr>
        <w:t>2,5 ml sirupo vieną kartą per parą (atitinka 50 mg vaisto paros dozę).</w:t>
      </w:r>
    </w:p>
    <w:p w14:paraId="0EF63C2C" w14:textId="77777777" w:rsidR="00A36AA9" w:rsidRPr="00A36AA9" w:rsidRDefault="00A36AA9" w:rsidP="00A36AA9">
      <w:pPr>
        <w:pStyle w:val="BT-EMEASMCA"/>
        <w:rPr>
          <w:color w:val="auto"/>
        </w:rPr>
      </w:pPr>
    </w:p>
    <w:p w14:paraId="176F1EF5" w14:textId="77777777" w:rsidR="00A36AA9" w:rsidRPr="00A36AA9" w:rsidRDefault="00A36AA9" w:rsidP="00A36AA9">
      <w:pPr>
        <w:pStyle w:val="BT-EMEASMCA"/>
        <w:ind w:left="0" w:firstLine="0"/>
        <w:rPr>
          <w:color w:val="auto"/>
        </w:rPr>
      </w:pPr>
      <w:r w:rsidRPr="00A36AA9">
        <w:rPr>
          <w:color w:val="auto"/>
        </w:rPr>
        <w:t xml:space="preserve">Tiksliam dozavimui prie šio vaistinio preparato yra pridėtas geriamasis švirkštas </w:t>
      </w:r>
      <w:r w:rsidRPr="00A36AA9">
        <w:rPr>
          <w:color w:val="auto"/>
          <w:highlight w:val="lightGray"/>
        </w:rPr>
        <w:t>/ matavimo šaukštas</w:t>
      </w:r>
      <w:r w:rsidRPr="00A36AA9">
        <w:rPr>
          <w:color w:val="auto"/>
        </w:rPr>
        <w:t>.</w:t>
      </w:r>
    </w:p>
    <w:p w14:paraId="1D034E9C" w14:textId="77777777" w:rsidR="00A36AA9" w:rsidRPr="00A36AA9" w:rsidRDefault="00A36AA9" w:rsidP="00A36AA9">
      <w:pPr>
        <w:pStyle w:val="BT-EMEASMCA"/>
        <w:rPr>
          <w:color w:val="auto"/>
        </w:rPr>
      </w:pPr>
    </w:p>
    <w:p w14:paraId="22EB7397" w14:textId="77777777" w:rsidR="00A36AA9" w:rsidRPr="00A36AA9" w:rsidRDefault="00A36AA9" w:rsidP="00A36AA9">
      <w:pPr>
        <w:pStyle w:val="BT-EMEASMCA"/>
        <w:rPr>
          <w:color w:val="auto"/>
        </w:rPr>
      </w:pPr>
      <w:r w:rsidRPr="00A36AA9">
        <w:rPr>
          <w:color w:val="auto"/>
        </w:rPr>
        <w:t>Kaip naudoti geriamąjį švirkštą:</w:t>
      </w:r>
    </w:p>
    <w:p w14:paraId="3DBE352F" w14:textId="77777777" w:rsidR="00A36AA9" w:rsidRPr="00A36AA9" w:rsidRDefault="00A36AA9" w:rsidP="00A36AA9">
      <w:pPr>
        <w:pStyle w:val="BT-EMEASMCA"/>
        <w:rPr>
          <w:color w:val="auto"/>
        </w:rPr>
      </w:pPr>
    </w:p>
    <w:p w14:paraId="450B10EF" w14:textId="77777777" w:rsidR="00A36AA9" w:rsidRPr="00A36AA9" w:rsidRDefault="00A36AA9" w:rsidP="00A36AA9">
      <w:pPr>
        <w:pStyle w:val="BT-EMEASMCA"/>
        <w:rPr>
          <w:color w:val="auto"/>
        </w:rPr>
      </w:pPr>
      <w:r w:rsidRPr="00A36AA9">
        <w:rPr>
          <w:color w:val="auto"/>
        </w:rPr>
        <w:t>Tiksliam dozavimui ant švirkšto yra atspausdinta matavimo skalė.</w:t>
      </w:r>
    </w:p>
    <w:p w14:paraId="549577E4" w14:textId="77777777" w:rsidR="00A36AA9" w:rsidRPr="00A36AA9" w:rsidRDefault="00A36AA9" w:rsidP="00A36AA9">
      <w:pPr>
        <w:pStyle w:val="BT-EMEASMCA"/>
        <w:rPr>
          <w:color w:val="auto"/>
        </w:rPr>
      </w:pPr>
    </w:p>
    <w:p w14:paraId="05254238" w14:textId="77777777" w:rsidR="00A36AA9" w:rsidRPr="00A36AA9" w:rsidRDefault="00A36AA9" w:rsidP="00A36AA9">
      <w:pPr>
        <w:pStyle w:val="BT-EMEASMCA"/>
        <w:rPr>
          <w:color w:val="auto"/>
        </w:rPr>
      </w:pPr>
    </w:p>
    <w:p w14:paraId="016A1066" w14:textId="77777777" w:rsidR="00A36AA9" w:rsidRPr="00A36AA9" w:rsidRDefault="00A36AA9" w:rsidP="00A36AA9">
      <w:pPr>
        <w:tabs>
          <w:tab w:val="left" w:pos="540"/>
        </w:tabs>
        <w:spacing w:after="0"/>
        <w:rPr>
          <w:rFonts w:ascii="Times New Roman" w:hAnsi="Times New Roman"/>
        </w:rPr>
      </w:pPr>
      <w:r w:rsidRPr="00A36AA9">
        <w:rPr>
          <w:rFonts w:ascii="Times New Roman" w:hAnsi="Times New Roman"/>
          <w:lang w:val="lt-LT"/>
        </w:rPr>
        <w:lastRenderedPageBreak/>
        <w:tab/>
      </w:r>
      <w:r w:rsidRPr="00A36AA9">
        <w:rPr>
          <w:rFonts w:ascii="Times New Roman" w:hAnsi="Times New Roman"/>
        </w:rPr>
        <w:t xml:space="preserve">1. </w:t>
      </w:r>
      <w:r w:rsidRPr="00A36AA9">
        <w:rPr>
          <w:rFonts w:ascii="Times New Roman" w:hAnsi="Times New Roman"/>
          <w:noProof/>
          <w:lang w:val="en-US"/>
        </w:rPr>
        <w:drawing>
          <wp:inline distT="0" distB="0" distL="0" distR="0" wp14:anchorId="254D5895" wp14:editId="234C0C45">
            <wp:extent cx="723900" cy="82867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r w:rsidRPr="00A36AA9">
        <w:rPr>
          <w:rFonts w:ascii="Times New Roman" w:hAnsi="Times New Roman"/>
        </w:rPr>
        <w:t xml:space="preserve">   2. </w:t>
      </w:r>
      <w:r w:rsidRPr="00A36AA9">
        <w:rPr>
          <w:rFonts w:ascii="Times New Roman" w:hAnsi="Times New Roman"/>
          <w:noProof/>
          <w:lang w:val="en-US"/>
        </w:rPr>
        <w:drawing>
          <wp:inline distT="0" distB="0" distL="0" distR="0" wp14:anchorId="377F7920" wp14:editId="30569419">
            <wp:extent cx="723900" cy="9239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923925"/>
                    </a:xfrm>
                    <a:prstGeom prst="rect">
                      <a:avLst/>
                    </a:prstGeom>
                    <a:noFill/>
                    <a:ln>
                      <a:noFill/>
                    </a:ln>
                  </pic:spPr>
                </pic:pic>
              </a:graphicData>
            </a:graphic>
          </wp:inline>
        </w:drawing>
      </w:r>
      <w:r w:rsidRPr="00A36AA9">
        <w:rPr>
          <w:rFonts w:ascii="Times New Roman" w:hAnsi="Times New Roman"/>
        </w:rPr>
        <w:t xml:space="preserve">   3. </w:t>
      </w:r>
      <w:r w:rsidRPr="00A36AA9">
        <w:rPr>
          <w:rFonts w:ascii="Times New Roman" w:hAnsi="Times New Roman"/>
          <w:noProof/>
          <w:lang w:val="en-US"/>
        </w:rPr>
        <w:drawing>
          <wp:inline distT="0" distB="0" distL="0" distR="0" wp14:anchorId="047C43E6" wp14:editId="2E45869A">
            <wp:extent cx="723900" cy="8667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r w:rsidRPr="00A36AA9">
        <w:rPr>
          <w:rFonts w:ascii="Times New Roman" w:hAnsi="Times New Roman"/>
        </w:rPr>
        <w:t xml:space="preserve">   4. </w:t>
      </w:r>
      <w:r w:rsidRPr="00A36AA9">
        <w:rPr>
          <w:rFonts w:ascii="Times New Roman" w:hAnsi="Times New Roman"/>
          <w:noProof/>
          <w:lang w:val="en-US"/>
        </w:rPr>
        <w:drawing>
          <wp:inline distT="0" distB="0" distL="0" distR="0" wp14:anchorId="3C4996B1" wp14:editId="6E26C87C">
            <wp:extent cx="723900" cy="6000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00075"/>
                    </a:xfrm>
                    <a:prstGeom prst="rect">
                      <a:avLst/>
                    </a:prstGeom>
                    <a:noFill/>
                    <a:ln>
                      <a:noFill/>
                    </a:ln>
                  </pic:spPr>
                </pic:pic>
              </a:graphicData>
            </a:graphic>
          </wp:inline>
        </w:drawing>
      </w:r>
      <w:r w:rsidRPr="00A36AA9">
        <w:rPr>
          <w:rFonts w:ascii="Times New Roman" w:hAnsi="Times New Roman"/>
        </w:rPr>
        <w:t xml:space="preserve">   5. </w:t>
      </w:r>
      <w:r w:rsidRPr="00A36AA9">
        <w:rPr>
          <w:rFonts w:ascii="Times New Roman" w:hAnsi="Times New Roman"/>
          <w:noProof/>
          <w:lang w:val="en-US"/>
        </w:rPr>
        <w:drawing>
          <wp:inline distT="0" distB="0" distL="0" distR="0" wp14:anchorId="60E62220" wp14:editId="77B800CF">
            <wp:extent cx="72390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52475"/>
                    </a:xfrm>
                    <a:prstGeom prst="rect">
                      <a:avLst/>
                    </a:prstGeom>
                    <a:noFill/>
                    <a:ln>
                      <a:noFill/>
                    </a:ln>
                  </pic:spPr>
                </pic:pic>
              </a:graphicData>
            </a:graphic>
          </wp:inline>
        </w:drawing>
      </w:r>
    </w:p>
    <w:p w14:paraId="5D03D96B" w14:textId="77777777" w:rsidR="00A36AA9" w:rsidRPr="00A36AA9" w:rsidRDefault="00A36AA9" w:rsidP="00A36AA9">
      <w:pPr>
        <w:numPr>
          <w:ilvl w:val="0"/>
          <w:numId w:val="2"/>
        </w:numPr>
        <w:tabs>
          <w:tab w:val="left" w:pos="540"/>
        </w:tabs>
        <w:spacing w:after="0" w:line="240" w:lineRule="auto"/>
        <w:rPr>
          <w:rFonts w:ascii="Times New Roman" w:hAnsi="Times New Roman"/>
          <w:noProof/>
          <w:lang w:val="en-US"/>
        </w:rPr>
      </w:pPr>
      <w:r w:rsidRPr="00A36AA9">
        <w:rPr>
          <w:rFonts w:ascii="Times New Roman" w:hAnsi="Times New Roman"/>
          <w:noProof/>
        </w:rPr>
        <w:t xml:space="preserve">Įstatykite geriamąjį švirkštą į atidarytą buteliuką. Švelniai stumkite švirkštą į buteliuką, kol jis užsifiksuos. </w:t>
      </w:r>
      <w:r w:rsidRPr="00A36AA9">
        <w:rPr>
          <w:rFonts w:ascii="Times New Roman" w:hAnsi="Times New Roman"/>
          <w:noProof/>
          <w:lang w:val="en-US"/>
        </w:rPr>
        <w:t>Stūmoklis tuo metu turi būti švirkšte.</w:t>
      </w:r>
    </w:p>
    <w:p w14:paraId="77B8B8D5" w14:textId="77777777" w:rsidR="00A36AA9" w:rsidRPr="00A36AA9" w:rsidRDefault="00A36AA9" w:rsidP="00A36AA9">
      <w:pPr>
        <w:numPr>
          <w:ilvl w:val="0"/>
          <w:numId w:val="2"/>
        </w:numPr>
        <w:tabs>
          <w:tab w:val="left" w:pos="540"/>
        </w:tabs>
        <w:spacing w:after="0" w:line="240" w:lineRule="auto"/>
        <w:rPr>
          <w:rFonts w:ascii="Times New Roman" w:hAnsi="Times New Roman"/>
          <w:noProof/>
          <w:lang w:val="en-US"/>
        </w:rPr>
      </w:pPr>
      <w:r w:rsidRPr="00A36AA9">
        <w:rPr>
          <w:rFonts w:ascii="Times New Roman" w:hAnsi="Times New Roman"/>
          <w:noProof/>
          <w:lang w:val="en-US"/>
        </w:rPr>
        <w:t>Atsargiai apverskite buteliuką dugnu į viršų ir pritraukite skysčio švelniai traukdami stūmoklį iki reikiamos doz</w:t>
      </w:r>
      <w:r w:rsidRPr="00A36AA9">
        <w:rPr>
          <w:rFonts w:ascii="Times New Roman" w:hAnsi="Times New Roman"/>
          <w:noProof/>
          <w:lang w:val="lt-LT"/>
        </w:rPr>
        <w:t>ė</w:t>
      </w:r>
      <w:r w:rsidRPr="00A36AA9">
        <w:rPr>
          <w:rFonts w:ascii="Times New Roman" w:hAnsi="Times New Roman"/>
          <w:noProof/>
          <w:lang w:val="en-US"/>
        </w:rPr>
        <w:t>s žymos.</w:t>
      </w:r>
    </w:p>
    <w:p w14:paraId="0497BC51" w14:textId="77777777" w:rsidR="00A36AA9" w:rsidRPr="00A36AA9" w:rsidRDefault="00A36AA9" w:rsidP="00A36AA9">
      <w:pPr>
        <w:numPr>
          <w:ilvl w:val="0"/>
          <w:numId w:val="2"/>
        </w:numPr>
        <w:tabs>
          <w:tab w:val="left" w:pos="540"/>
        </w:tabs>
        <w:spacing w:after="0" w:line="240" w:lineRule="auto"/>
        <w:rPr>
          <w:rFonts w:ascii="Times New Roman" w:hAnsi="Times New Roman"/>
          <w:noProof/>
          <w:lang w:val="en-US"/>
        </w:rPr>
      </w:pPr>
      <w:r w:rsidRPr="00A36AA9">
        <w:rPr>
          <w:rFonts w:ascii="Times New Roman" w:hAnsi="Times New Roman"/>
          <w:noProof/>
          <w:lang w:val="en-US"/>
        </w:rPr>
        <w:t>Apverksite buteliuką dugnu žemyn ir atsargiai sukdami ištraukite švirkštą iš buteliuko. Po dozės paėmimo uždarykite buteliuką.</w:t>
      </w:r>
    </w:p>
    <w:p w14:paraId="4C20297F" w14:textId="77777777" w:rsidR="00A36AA9" w:rsidRPr="00A36AA9" w:rsidRDefault="00A36AA9" w:rsidP="00A36AA9">
      <w:pPr>
        <w:numPr>
          <w:ilvl w:val="0"/>
          <w:numId w:val="2"/>
        </w:numPr>
        <w:tabs>
          <w:tab w:val="left" w:pos="540"/>
        </w:tabs>
        <w:spacing w:after="0" w:line="240" w:lineRule="auto"/>
        <w:rPr>
          <w:rFonts w:ascii="Times New Roman" w:hAnsi="Times New Roman"/>
          <w:noProof/>
          <w:lang w:val="en-US"/>
        </w:rPr>
      </w:pPr>
      <w:r w:rsidRPr="00A36AA9">
        <w:rPr>
          <w:rFonts w:ascii="Times New Roman" w:hAnsi="Times New Roman"/>
          <w:noProof/>
          <w:lang w:val="en-US"/>
        </w:rPr>
        <w:t>Sirupas gali būti vartojamas jį švirkščiant tiesiai į burną, link skruosto arba naudojant šaukštą.</w:t>
      </w:r>
    </w:p>
    <w:p w14:paraId="08E4BE36" w14:textId="77777777" w:rsidR="00A36AA9" w:rsidRPr="00A36AA9" w:rsidRDefault="00A36AA9" w:rsidP="00A36AA9">
      <w:pPr>
        <w:numPr>
          <w:ilvl w:val="0"/>
          <w:numId w:val="2"/>
        </w:numPr>
        <w:tabs>
          <w:tab w:val="left" w:pos="540"/>
        </w:tabs>
        <w:spacing w:after="0" w:line="240" w:lineRule="auto"/>
        <w:rPr>
          <w:rFonts w:ascii="Times New Roman" w:hAnsi="Times New Roman"/>
          <w:noProof/>
          <w:lang w:val="en-US"/>
        </w:rPr>
      </w:pPr>
      <w:r w:rsidRPr="00A36AA9">
        <w:rPr>
          <w:rFonts w:ascii="Times New Roman" w:hAnsi="Times New Roman"/>
          <w:noProof/>
          <w:lang w:val="en-US"/>
        </w:rPr>
        <w:t>Po dozės pavartojimo išvalykite pavienes švirkšto dalis ir jas išdžiovinkite.</w:t>
      </w:r>
    </w:p>
    <w:p w14:paraId="4A61E59F" w14:textId="77777777" w:rsidR="00A36AA9" w:rsidRPr="00A36AA9" w:rsidRDefault="00A36AA9" w:rsidP="00A36AA9">
      <w:pPr>
        <w:pStyle w:val="BT-EMEASMCA"/>
        <w:rPr>
          <w:color w:val="auto"/>
        </w:rPr>
      </w:pPr>
    </w:p>
    <w:p w14:paraId="28B2F3F5" w14:textId="77777777" w:rsidR="00A36AA9" w:rsidRPr="00A36AA9" w:rsidRDefault="00A36AA9" w:rsidP="00A36AA9">
      <w:pPr>
        <w:pStyle w:val="BT-EMEASMCA"/>
        <w:rPr>
          <w:color w:val="auto"/>
          <w:u w:val="single"/>
        </w:rPr>
      </w:pPr>
      <w:r w:rsidRPr="00A36AA9">
        <w:rPr>
          <w:color w:val="auto"/>
          <w:u w:val="single"/>
        </w:rPr>
        <w:t>Vartojimo būdas</w:t>
      </w:r>
    </w:p>
    <w:p w14:paraId="7445C6C2" w14:textId="77777777" w:rsidR="00A36AA9" w:rsidRPr="00A36AA9" w:rsidRDefault="00A36AA9" w:rsidP="00A36AA9">
      <w:pPr>
        <w:pStyle w:val="BT-EMEASMCA"/>
        <w:rPr>
          <w:color w:val="auto"/>
        </w:rPr>
      </w:pPr>
      <w:r w:rsidRPr="00A36AA9">
        <w:rPr>
          <w:color w:val="auto"/>
        </w:rPr>
        <w:t>Vaistas vartojamas per burną.</w:t>
      </w:r>
    </w:p>
    <w:p w14:paraId="33E6E8A1" w14:textId="77777777" w:rsidR="00A36AA9" w:rsidRPr="00A36AA9" w:rsidRDefault="00A36AA9" w:rsidP="00A36AA9">
      <w:pPr>
        <w:pStyle w:val="BT-EMEASMCA"/>
        <w:rPr>
          <w:color w:val="auto"/>
        </w:rPr>
      </w:pPr>
      <w:r w:rsidRPr="00A36AA9">
        <w:rPr>
          <w:color w:val="auto"/>
        </w:rPr>
        <w:t>Sirupo neskieskite, bet užgerkite dideliu kiekiu skysčio (rekomenduojama geriamuoju vandeniu).</w:t>
      </w:r>
    </w:p>
    <w:p w14:paraId="3C772E8C" w14:textId="77777777" w:rsidR="00A36AA9" w:rsidRPr="00A36AA9" w:rsidRDefault="00A36AA9" w:rsidP="00A36AA9">
      <w:pPr>
        <w:pStyle w:val="BT-EMEASMCA"/>
        <w:rPr>
          <w:color w:val="auto"/>
        </w:rPr>
      </w:pPr>
    </w:p>
    <w:p w14:paraId="43418454" w14:textId="77777777" w:rsidR="00A36AA9" w:rsidRPr="00A36AA9" w:rsidRDefault="00A36AA9" w:rsidP="00A36AA9">
      <w:pPr>
        <w:pStyle w:val="BT-EMEASMCA"/>
        <w:rPr>
          <w:color w:val="auto"/>
          <w:u w:val="single"/>
        </w:rPr>
      </w:pPr>
      <w:r w:rsidRPr="00A36AA9">
        <w:rPr>
          <w:color w:val="auto"/>
          <w:u w:val="single"/>
        </w:rPr>
        <w:t>Vartojimo trukmė</w:t>
      </w:r>
    </w:p>
    <w:p w14:paraId="437E71B1" w14:textId="77777777" w:rsidR="00A36AA9" w:rsidRPr="00A36AA9" w:rsidRDefault="00A36AA9" w:rsidP="00A36AA9">
      <w:pPr>
        <w:pStyle w:val="BT-EMEASMCA"/>
        <w:ind w:left="0" w:firstLine="0"/>
        <w:rPr>
          <w:color w:val="auto"/>
        </w:rPr>
      </w:pPr>
      <w:r w:rsidRPr="00A36AA9">
        <w:rPr>
          <w:color w:val="auto"/>
        </w:rPr>
        <w:t>Hedelix negalima vartoti ilgiau kaip keletą parų, nebent taip patartų gydytojas. Taip pat žiūrėkite pirmą skyrių „Kas yra Hedelix ir kam jis vartojamas“.</w:t>
      </w:r>
    </w:p>
    <w:p w14:paraId="64DC71B5" w14:textId="77777777" w:rsidR="00A36AA9" w:rsidRPr="00A36AA9" w:rsidRDefault="00A36AA9" w:rsidP="00A36AA9">
      <w:pPr>
        <w:pStyle w:val="BT-EMEASMCA"/>
        <w:rPr>
          <w:color w:val="auto"/>
        </w:rPr>
      </w:pPr>
    </w:p>
    <w:p w14:paraId="780327DC" w14:textId="77777777" w:rsidR="00A36AA9" w:rsidRPr="00A36AA9" w:rsidRDefault="00A36AA9" w:rsidP="00A36AA9">
      <w:pPr>
        <w:pStyle w:val="BT-EMEASMCA"/>
        <w:rPr>
          <w:color w:val="auto"/>
        </w:rPr>
      </w:pPr>
      <w:r w:rsidRPr="00A36AA9">
        <w:rPr>
          <w:color w:val="auto"/>
        </w:rPr>
        <w:t>Jeigu manote, kad Hedelix veikia per stipriai arba per silpnai, kreipkitės į gydytoją arba vaistininką.</w:t>
      </w:r>
    </w:p>
    <w:p w14:paraId="2C1D0D79" w14:textId="77777777" w:rsidR="00A36AA9" w:rsidRPr="00A36AA9" w:rsidRDefault="00A36AA9" w:rsidP="00A36AA9">
      <w:pPr>
        <w:pStyle w:val="BT-EMEASMCA"/>
        <w:rPr>
          <w:color w:val="auto"/>
        </w:rPr>
      </w:pPr>
    </w:p>
    <w:p w14:paraId="719A99D2" w14:textId="77777777" w:rsidR="00A36AA9" w:rsidRPr="00A36AA9" w:rsidRDefault="00A36AA9" w:rsidP="00A36AA9">
      <w:pPr>
        <w:pStyle w:val="BTbEMEASMCA"/>
        <w:rPr>
          <w:color w:val="auto"/>
        </w:rPr>
      </w:pPr>
      <w:r w:rsidRPr="00A36AA9">
        <w:rPr>
          <w:color w:val="auto"/>
        </w:rPr>
        <w:t>Ką daryti pavartojus per didelę Hedelix dozę</w:t>
      </w:r>
    </w:p>
    <w:p w14:paraId="530BF656" w14:textId="77777777" w:rsidR="00A36AA9" w:rsidRPr="00A36AA9" w:rsidRDefault="00A36AA9" w:rsidP="00A36AA9">
      <w:pPr>
        <w:pStyle w:val="BT-EMEASMCA"/>
        <w:ind w:left="0" w:firstLine="0"/>
        <w:rPr>
          <w:color w:val="auto"/>
        </w:rPr>
      </w:pPr>
      <w:r w:rsidRPr="00A36AA9">
        <w:rPr>
          <w:color w:val="auto"/>
        </w:rPr>
        <w:t>Jeigu per klaidą išgėrėte viena ar dviejomis dozėmis daugiau nei reikėtų, mažai tikėtina, kad tai sukels žalingą poveikį. Tačiau, išgertas žymiai didesnis kiekis gali sukelti pykinimą, vėmimą ir viduriavimą. Tokiu atveju kreipkitės pas gydytoją.</w:t>
      </w:r>
    </w:p>
    <w:p w14:paraId="0CF6348F" w14:textId="77777777" w:rsidR="00A36AA9" w:rsidRPr="00A36AA9" w:rsidRDefault="00A36AA9" w:rsidP="00A36AA9">
      <w:pPr>
        <w:pStyle w:val="BT-EMEASMCA"/>
        <w:rPr>
          <w:color w:val="auto"/>
        </w:rPr>
      </w:pPr>
    </w:p>
    <w:p w14:paraId="5C4B1A54" w14:textId="77777777" w:rsidR="00A36AA9" w:rsidRPr="00A36AA9" w:rsidRDefault="00A36AA9" w:rsidP="00A36AA9">
      <w:pPr>
        <w:pStyle w:val="BTbEMEASMCA"/>
        <w:rPr>
          <w:color w:val="auto"/>
        </w:rPr>
      </w:pPr>
      <w:r w:rsidRPr="00A36AA9">
        <w:rPr>
          <w:color w:val="auto"/>
        </w:rPr>
        <w:t>Pamiršus pavartoti Hedelix</w:t>
      </w:r>
    </w:p>
    <w:p w14:paraId="483DF430" w14:textId="77777777" w:rsidR="00A36AA9" w:rsidRPr="00A36AA9" w:rsidRDefault="00A36AA9" w:rsidP="00A36AA9">
      <w:pPr>
        <w:pStyle w:val="BT-EMEASMCA"/>
        <w:rPr>
          <w:color w:val="auto"/>
        </w:rPr>
      </w:pPr>
      <w:r w:rsidRPr="00A36AA9">
        <w:rPr>
          <w:color w:val="auto"/>
        </w:rPr>
        <w:t>Negalima vartoti dvigubos dozės norint kompensuoti praleistą dozę.</w:t>
      </w:r>
    </w:p>
    <w:p w14:paraId="0BCDAFF4" w14:textId="77777777" w:rsidR="00A36AA9" w:rsidRPr="00A36AA9" w:rsidRDefault="00A36AA9" w:rsidP="00A36AA9">
      <w:pPr>
        <w:pStyle w:val="BT-EMEASMCA"/>
        <w:rPr>
          <w:color w:val="auto"/>
        </w:rPr>
      </w:pPr>
      <w:r w:rsidRPr="00A36AA9">
        <w:rPr>
          <w:color w:val="auto"/>
        </w:rPr>
        <w:t>Tęskite gydymą kaip rekomendavo Jūsų gydytojas arba kaip rekomenduojama pakuotės lapelyje.</w:t>
      </w:r>
    </w:p>
    <w:p w14:paraId="6CE3E74C" w14:textId="77777777" w:rsidR="00A36AA9" w:rsidRPr="00A36AA9" w:rsidRDefault="00A36AA9" w:rsidP="00A36AA9">
      <w:pPr>
        <w:pStyle w:val="BT-EMEASMCA"/>
        <w:rPr>
          <w:color w:val="auto"/>
        </w:rPr>
      </w:pPr>
    </w:p>
    <w:p w14:paraId="7E2D4FA2" w14:textId="77777777" w:rsidR="00A36AA9" w:rsidRPr="00A36AA9" w:rsidRDefault="00A36AA9" w:rsidP="00A36AA9">
      <w:pPr>
        <w:pStyle w:val="BT-EMEASMCA"/>
        <w:rPr>
          <w:color w:val="auto"/>
        </w:rPr>
      </w:pPr>
      <w:r w:rsidRPr="00A36AA9">
        <w:rPr>
          <w:color w:val="auto"/>
        </w:rPr>
        <w:t>Jeigu kiltų daugiau klausimų dėl šio vaisto vartojimo, kreipkitės į gydytoją arba vaistininką.</w:t>
      </w:r>
    </w:p>
    <w:p w14:paraId="2B54F1F7" w14:textId="77777777" w:rsidR="00A36AA9" w:rsidRPr="00A36AA9" w:rsidRDefault="00A36AA9" w:rsidP="00A36AA9">
      <w:pPr>
        <w:pStyle w:val="BT-EMEASMCA"/>
        <w:rPr>
          <w:color w:val="auto"/>
        </w:rPr>
      </w:pPr>
      <w:bookmarkStart w:id="4" w:name="_Toc129243142"/>
      <w:bookmarkStart w:id="5" w:name="_Toc129243267"/>
    </w:p>
    <w:p w14:paraId="74D34ACC" w14:textId="77777777" w:rsidR="00A36AA9" w:rsidRPr="00A36AA9" w:rsidRDefault="00A36AA9" w:rsidP="00A36AA9">
      <w:pPr>
        <w:pStyle w:val="BT-EMEASMCA"/>
        <w:rPr>
          <w:color w:val="auto"/>
        </w:rPr>
      </w:pPr>
    </w:p>
    <w:p w14:paraId="68E96B8B" w14:textId="77777777" w:rsidR="00A36AA9" w:rsidRPr="00A36AA9" w:rsidRDefault="00A36AA9" w:rsidP="00A36AA9">
      <w:pPr>
        <w:pStyle w:val="BT-EMEASMCA"/>
        <w:rPr>
          <w:b/>
          <w:color w:val="auto"/>
        </w:rPr>
      </w:pPr>
      <w:r w:rsidRPr="00A36AA9">
        <w:rPr>
          <w:b/>
          <w:color w:val="auto"/>
        </w:rPr>
        <w:t>4.</w:t>
      </w:r>
      <w:r w:rsidRPr="00A36AA9">
        <w:rPr>
          <w:b/>
          <w:color w:val="auto"/>
        </w:rPr>
        <w:tab/>
      </w:r>
      <w:bookmarkEnd w:id="4"/>
      <w:bookmarkEnd w:id="5"/>
      <w:r w:rsidRPr="00A36AA9">
        <w:rPr>
          <w:b/>
          <w:color w:val="auto"/>
        </w:rPr>
        <w:t>Galimas šalutinis poveikis</w:t>
      </w:r>
    </w:p>
    <w:p w14:paraId="5DCFA204" w14:textId="77777777" w:rsidR="00A36AA9" w:rsidRPr="00A36AA9" w:rsidRDefault="00A36AA9" w:rsidP="00A36AA9">
      <w:pPr>
        <w:pStyle w:val="BT-EMEASMCA"/>
        <w:rPr>
          <w:color w:val="auto"/>
        </w:rPr>
      </w:pPr>
    </w:p>
    <w:p w14:paraId="01874A39" w14:textId="77777777" w:rsidR="00A36AA9" w:rsidRPr="00A36AA9" w:rsidRDefault="00A36AA9" w:rsidP="00A36AA9">
      <w:pPr>
        <w:numPr>
          <w:ilvl w:val="12"/>
          <w:numId w:val="0"/>
        </w:numPr>
        <w:spacing w:after="0" w:line="240" w:lineRule="auto"/>
        <w:ind w:right="-29"/>
        <w:rPr>
          <w:rFonts w:ascii="Times New Roman" w:hAnsi="Times New Roman"/>
          <w:lang w:val="lt-LT"/>
        </w:rPr>
      </w:pPr>
      <w:r w:rsidRPr="00A36AA9">
        <w:rPr>
          <w:rFonts w:ascii="Times New Roman" w:hAnsi="Times New Roman"/>
          <w:noProof/>
          <w:lang w:val="lt-LT"/>
        </w:rPr>
        <w:t>Šis vaistas, kaip ir visi kiti, gali sukelti šalutinį poveikį, nors jis pasireiškia ne visiems žmonėms.</w:t>
      </w:r>
    </w:p>
    <w:p w14:paraId="3E372D39" w14:textId="77777777" w:rsidR="00A36AA9" w:rsidRPr="00A36AA9" w:rsidRDefault="00A36AA9" w:rsidP="00A36AA9">
      <w:pPr>
        <w:pStyle w:val="BT-EMEASMCA"/>
        <w:rPr>
          <w:color w:val="auto"/>
        </w:rPr>
      </w:pPr>
    </w:p>
    <w:p w14:paraId="65CEA63E" w14:textId="77777777" w:rsidR="00A36AA9" w:rsidRPr="00A36AA9" w:rsidRDefault="00A36AA9" w:rsidP="00A36AA9">
      <w:pPr>
        <w:pStyle w:val="BT-EMEASMCA"/>
        <w:rPr>
          <w:color w:val="auto"/>
        </w:rPr>
      </w:pPr>
      <w:r w:rsidRPr="00A36AA9">
        <w:rPr>
          <w:rFonts w:eastAsia="Times New Roman"/>
          <w:b/>
          <w:bCs/>
          <w:snapToGrid w:val="0"/>
          <w:color w:val="auto"/>
        </w:rPr>
        <w:t>Nedažni šalutinio poveikio reiškiniai (gali pasireikšti rečiau kaip 1 iš 100 asmenų):</w:t>
      </w:r>
    </w:p>
    <w:p w14:paraId="43CC8937" w14:textId="77777777" w:rsidR="00A36AA9" w:rsidRPr="00A36AA9" w:rsidRDefault="00A36AA9" w:rsidP="00A36AA9">
      <w:pPr>
        <w:pStyle w:val="BT-EMEASMCA"/>
        <w:rPr>
          <w:color w:val="auto"/>
        </w:rPr>
      </w:pPr>
      <w:r w:rsidRPr="00A36AA9">
        <w:rPr>
          <w:color w:val="auto"/>
        </w:rPr>
        <w:t>Virškinimo trakto simptomai (pykinimas, vėmimas, viduriavimas).</w:t>
      </w:r>
    </w:p>
    <w:p w14:paraId="18B8E404" w14:textId="77777777" w:rsidR="00A36AA9" w:rsidRPr="00A36AA9" w:rsidRDefault="00A36AA9" w:rsidP="00A36AA9">
      <w:pPr>
        <w:pStyle w:val="BT-EMEASMCA"/>
        <w:rPr>
          <w:color w:val="auto"/>
        </w:rPr>
      </w:pPr>
    </w:p>
    <w:p w14:paraId="0810298D" w14:textId="77777777" w:rsidR="00A36AA9" w:rsidRPr="00A36AA9" w:rsidRDefault="00A36AA9" w:rsidP="00A36AA9">
      <w:pPr>
        <w:pStyle w:val="BT-EMEASMCA"/>
        <w:ind w:left="0" w:firstLine="0"/>
        <w:rPr>
          <w:b/>
          <w:color w:val="auto"/>
        </w:rPr>
      </w:pPr>
      <w:r w:rsidRPr="00A36AA9">
        <w:rPr>
          <w:rFonts w:eastAsia="Times New Roman"/>
          <w:b/>
          <w:bCs/>
          <w:snapToGrid w:val="0"/>
          <w:color w:val="auto"/>
        </w:rPr>
        <w:t>Labai reti šalutinio poveikio reiškiniai (gali pasireikšti rečiau kaip 1 iš 10 000 asmenų</w:t>
      </w:r>
      <w:r w:rsidRPr="00A36AA9">
        <w:rPr>
          <w:b/>
          <w:color w:val="auto"/>
        </w:rPr>
        <w:t xml:space="preserve">: </w:t>
      </w:r>
    </w:p>
    <w:p w14:paraId="6F16AD42" w14:textId="77777777" w:rsidR="00A36AA9" w:rsidRPr="00A36AA9" w:rsidRDefault="00A36AA9" w:rsidP="00A36AA9">
      <w:pPr>
        <w:pStyle w:val="BT-EMEASMCA"/>
        <w:ind w:left="0" w:firstLine="0"/>
        <w:rPr>
          <w:color w:val="auto"/>
        </w:rPr>
      </w:pPr>
      <w:r w:rsidRPr="00A36AA9">
        <w:rPr>
          <w:color w:val="auto"/>
        </w:rPr>
        <w:t>Alerginės reakcijos (pasunkėjęs kvėpavimas, patinimas, eritema, niežulys) gali atsirasti išgėrus gebenės turinčių vaistų.</w:t>
      </w:r>
    </w:p>
    <w:p w14:paraId="5401AF2B" w14:textId="77777777" w:rsidR="00A36AA9" w:rsidRPr="00A36AA9" w:rsidRDefault="00A36AA9" w:rsidP="00A36AA9">
      <w:pPr>
        <w:pStyle w:val="BT-EMEASMCA"/>
        <w:rPr>
          <w:color w:val="auto"/>
        </w:rPr>
      </w:pPr>
    </w:p>
    <w:p w14:paraId="5FA9D791" w14:textId="77777777" w:rsidR="00A36AA9" w:rsidRPr="00A36AA9" w:rsidRDefault="00A36AA9" w:rsidP="00A36AA9">
      <w:pPr>
        <w:spacing w:after="0" w:line="240" w:lineRule="auto"/>
        <w:rPr>
          <w:rFonts w:ascii="Times New Roman" w:hAnsi="Times New Roman"/>
          <w:b/>
          <w:lang w:val="lt-LT"/>
        </w:rPr>
      </w:pPr>
      <w:r w:rsidRPr="00A36AA9">
        <w:rPr>
          <w:rFonts w:ascii="Times New Roman" w:hAnsi="Times New Roman"/>
          <w:b/>
          <w:noProof/>
          <w:lang w:val="lt-LT"/>
        </w:rPr>
        <w:t>Pranešimas apie šalutinį poveikį</w:t>
      </w:r>
    </w:p>
    <w:p w14:paraId="11BFB271" w14:textId="77777777" w:rsidR="00A36AA9" w:rsidRPr="00A36AA9" w:rsidRDefault="00A36AA9" w:rsidP="00A36AA9">
      <w:pPr>
        <w:tabs>
          <w:tab w:val="left" w:pos="567"/>
        </w:tabs>
        <w:spacing w:after="0" w:line="260" w:lineRule="exact"/>
        <w:ind w:right="-1"/>
        <w:rPr>
          <w:rFonts w:ascii="Times New Roman" w:hAnsi="Times New Roman"/>
          <w:lang w:val="lt-LT"/>
        </w:rPr>
      </w:pPr>
      <w:r w:rsidRPr="00A36AA9">
        <w:rPr>
          <w:rFonts w:ascii="Times New Roman" w:hAnsi="Times New Roman"/>
          <w:lang w:val="lt-LT"/>
        </w:rPr>
        <w:t xml:space="preserve">Jeigu pasireiškė šalutinis poveikis, įskaitant šiame lapelyje nenurodytą, pasakykite gydytojui arba vaistininkui. </w:t>
      </w:r>
      <w:r w:rsidRPr="00A36AA9">
        <w:rPr>
          <w:rFonts w:ascii="Times New Roman" w:hAnsi="Times New Roman"/>
          <w:snapToGrid w:val="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22D4796" w14:textId="77777777" w:rsidR="00A36AA9" w:rsidRPr="00A36AA9" w:rsidRDefault="00A36AA9" w:rsidP="00A36AA9">
      <w:pPr>
        <w:pStyle w:val="BT-EMEASMCA"/>
        <w:rPr>
          <w:color w:val="auto"/>
        </w:rPr>
      </w:pPr>
    </w:p>
    <w:p w14:paraId="1E1FF141" w14:textId="77777777" w:rsidR="00A36AA9" w:rsidRPr="00A36AA9" w:rsidRDefault="00A36AA9" w:rsidP="00A36AA9">
      <w:pPr>
        <w:pStyle w:val="BTbEMEASMCA"/>
        <w:rPr>
          <w:color w:val="auto"/>
        </w:rPr>
      </w:pPr>
      <w:bookmarkStart w:id="6" w:name="_Toc129243143"/>
      <w:bookmarkStart w:id="7" w:name="_Toc129243268"/>
      <w:r w:rsidRPr="00A36AA9">
        <w:rPr>
          <w:color w:val="auto"/>
        </w:rPr>
        <w:t>5.</w:t>
      </w:r>
      <w:r w:rsidRPr="00A36AA9">
        <w:rPr>
          <w:color w:val="auto"/>
        </w:rPr>
        <w:tab/>
      </w:r>
      <w:bookmarkEnd w:id="6"/>
      <w:bookmarkEnd w:id="7"/>
      <w:r w:rsidRPr="00A36AA9">
        <w:rPr>
          <w:color w:val="auto"/>
        </w:rPr>
        <w:t>Kaip laikyti Hedelix</w:t>
      </w:r>
    </w:p>
    <w:p w14:paraId="4A770117" w14:textId="77777777" w:rsidR="00A36AA9" w:rsidRPr="00A36AA9" w:rsidRDefault="00A36AA9" w:rsidP="00A36AA9">
      <w:pPr>
        <w:pStyle w:val="BT-EMEASMCA"/>
        <w:rPr>
          <w:color w:val="auto"/>
        </w:rPr>
      </w:pPr>
    </w:p>
    <w:p w14:paraId="52719BDB" w14:textId="77777777" w:rsidR="00A36AA9" w:rsidRPr="00A36AA9" w:rsidRDefault="00A36AA9" w:rsidP="00A36AA9">
      <w:pPr>
        <w:numPr>
          <w:ilvl w:val="12"/>
          <w:numId w:val="0"/>
        </w:numPr>
        <w:spacing w:after="0" w:line="240" w:lineRule="auto"/>
        <w:ind w:right="-2"/>
        <w:rPr>
          <w:rFonts w:ascii="Times New Roman" w:hAnsi="Times New Roman"/>
          <w:lang w:val="lt-LT"/>
        </w:rPr>
      </w:pPr>
      <w:r w:rsidRPr="00A36AA9">
        <w:rPr>
          <w:rFonts w:ascii="Times New Roman" w:hAnsi="Times New Roman"/>
          <w:noProof/>
          <w:lang w:val="lt-LT"/>
        </w:rPr>
        <w:t>Šį vaistą laikykite vaikams nepastebimoje ir nepasiekiamoje vietoje.</w:t>
      </w:r>
    </w:p>
    <w:p w14:paraId="6B750BDB" w14:textId="77777777" w:rsidR="00A36AA9" w:rsidRPr="00A36AA9" w:rsidRDefault="00A36AA9" w:rsidP="00A36AA9">
      <w:pPr>
        <w:pStyle w:val="BT-EMEASMCA"/>
        <w:rPr>
          <w:color w:val="auto"/>
        </w:rPr>
      </w:pPr>
    </w:p>
    <w:p w14:paraId="0454AE99" w14:textId="77777777" w:rsidR="00A36AA9" w:rsidRPr="00A36AA9" w:rsidRDefault="00A36AA9" w:rsidP="00A36AA9">
      <w:pPr>
        <w:pStyle w:val="BT-EMEASMCA"/>
        <w:rPr>
          <w:color w:val="auto"/>
        </w:rPr>
      </w:pPr>
      <w:r w:rsidRPr="00A36AA9">
        <w:rPr>
          <w:color w:val="auto"/>
        </w:rPr>
        <w:t>Šiam vaistui specialių laikymo sąlygų nereikia.</w:t>
      </w:r>
    </w:p>
    <w:p w14:paraId="3FBAD58F" w14:textId="77777777" w:rsidR="00A36AA9" w:rsidRPr="00A36AA9" w:rsidRDefault="00A36AA9" w:rsidP="00A36AA9">
      <w:pPr>
        <w:pStyle w:val="BT-EMEASMCA"/>
        <w:rPr>
          <w:color w:val="auto"/>
        </w:rPr>
      </w:pPr>
    </w:p>
    <w:p w14:paraId="7D9FAEB4" w14:textId="77777777" w:rsidR="00A36AA9" w:rsidRPr="00A36AA9" w:rsidRDefault="00A36AA9" w:rsidP="00A36AA9">
      <w:pPr>
        <w:pStyle w:val="BT-EMEASMCA"/>
        <w:ind w:left="0" w:firstLine="0"/>
        <w:rPr>
          <w:color w:val="auto"/>
        </w:rPr>
      </w:pPr>
      <w:r w:rsidRPr="00A36AA9">
        <w:rPr>
          <w:color w:val="auto"/>
        </w:rPr>
        <w:t>Ant etiketės ir dėžutės po „Tinka iki“ nurodytam tinkamumo laikui pasibaigus, šio vaisto vartoti negalima. Vaistas tinka vartoti iki paskutinės nurodyto mėnesio dienos.</w:t>
      </w:r>
    </w:p>
    <w:p w14:paraId="71FE34D6" w14:textId="77777777" w:rsidR="00A36AA9" w:rsidRPr="00A36AA9" w:rsidRDefault="00A36AA9" w:rsidP="00A36AA9">
      <w:pPr>
        <w:pStyle w:val="BT-EMEASMCA"/>
        <w:rPr>
          <w:color w:val="auto"/>
        </w:rPr>
      </w:pPr>
    </w:p>
    <w:p w14:paraId="403DE2EA" w14:textId="77777777" w:rsidR="00A36AA9" w:rsidRPr="00A36AA9" w:rsidRDefault="00A36AA9" w:rsidP="00A36AA9">
      <w:pPr>
        <w:pStyle w:val="BT-EMEASMCA"/>
        <w:rPr>
          <w:color w:val="auto"/>
        </w:rPr>
      </w:pPr>
      <w:r w:rsidRPr="00A36AA9">
        <w:rPr>
          <w:color w:val="auto"/>
        </w:rPr>
        <w:t>Pirmą kartą atidarius buteliuką, sirupo tinkamumo laikas – 6 mėnesiai.</w:t>
      </w:r>
    </w:p>
    <w:p w14:paraId="2136F783" w14:textId="77777777" w:rsidR="00A36AA9" w:rsidRPr="00A36AA9" w:rsidRDefault="00A36AA9" w:rsidP="00A36AA9">
      <w:pPr>
        <w:pStyle w:val="BT-EMEASMCA"/>
        <w:rPr>
          <w:color w:val="auto"/>
        </w:rPr>
      </w:pPr>
    </w:p>
    <w:p w14:paraId="54C22186" w14:textId="77777777" w:rsidR="00A36AA9" w:rsidRPr="00A36AA9" w:rsidRDefault="00A36AA9" w:rsidP="00A36AA9">
      <w:pPr>
        <w:pStyle w:val="BT-EMEASMCA"/>
        <w:ind w:left="0" w:firstLine="0"/>
        <w:rPr>
          <w:color w:val="auto"/>
        </w:rPr>
      </w:pPr>
      <w:r w:rsidRPr="00A36AA9">
        <w:rPr>
          <w:color w:val="auto"/>
        </w:rPr>
        <w:t>Vaistų negalima išmesti į kanalizaciją arba su buitinėmis atliekomis. Kaip išmesti nereikalingus vaistus, klauskite vaistininko. Šios priemonės padės apsaugoti aplinką.</w:t>
      </w:r>
    </w:p>
    <w:p w14:paraId="368CEFB7" w14:textId="77777777" w:rsidR="00A36AA9" w:rsidRPr="00A36AA9" w:rsidRDefault="00A36AA9" w:rsidP="00A36AA9">
      <w:pPr>
        <w:pStyle w:val="BT-EMEASMCA"/>
        <w:rPr>
          <w:color w:val="auto"/>
        </w:rPr>
      </w:pPr>
    </w:p>
    <w:p w14:paraId="57D517BF" w14:textId="77777777" w:rsidR="00A36AA9" w:rsidRPr="00A36AA9" w:rsidRDefault="00A36AA9" w:rsidP="00A36AA9">
      <w:pPr>
        <w:pStyle w:val="BT-EMEASMCA"/>
        <w:rPr>
          <w:color w:val="auto"/>
        </w:rPr>
      </w:pPr>
    </w:p>
    <w:p w14:paraId="24FCD32E" w14:textId="77777777" w:rsidR="00A36AA9" w:rsidRPr="00A36AA9" w:rsidRDefault="00A36AA9" w:rsidP="00A36AA9">
      <w:pPr>
        <w:pStyle w:val="BTbEMEASMCA"/>
        <w:rPr>
          <w:color w:val="auto"/>
        </w:rPr>
      </w:pPr>
      <w:bookmarkStart w:id="8" w:name="_Toc129243144"/>
      <w:bookmarkStart w:id="9" w:name="_Toc129243269"/>
      <w:r w:rsidRPr="00A36AA9">
        <w:rPr>
          <w:color w:val="auto"/>
        </w:rPr>
        <w:t>6.</w:t>
      </w:r>
      <w:r w:rsidRPr="00A36AA9">
        <w:rPr>
          <w:color w:val="auto"/>
        </w:rPr>
        <w:tab/>
      </w:r>
      <w:bookmarkEnd w:id="8"/>
      <w:bookmarkEnd w:id="9"/>
      <w:r w:rsidRPr="00A36AA9">
        <w:rPr>
          <w:color w:val="auto"/>
        </w:rPr>
        <w:t>Pakuotės turinys ir kita informacija</w:t>
      </w:r>
    </w:p>
    <w:p w14:paraId="123E488E" w14:textId="77777777" w:rsidR="00A36AA9" w:rsidRPr="00A36AA9" w:rsidRDefault="00A36AA9" w:rsidP="00A36AA9">
      <w:pPr>
        <w:pStyle w:val="BT-EMEASMCA"/>
        <w:rPr>
          <w:color w:val="auto"/>
        </w:rPr>
      </w:pPr>
    </w:p>
    <w:p w14:paraId="7A7235F1" w14:textId="77777777" w:rsidR="00A36AA9" w:rsidRPr="00A36AA9" w:rsidRDefault="00A36AA9" w:rsidP="00A36AA9">
      <w:pPr>
        <w:pStyle w:val="BTbEMEASMCA"/>
        <w:rPr>
          <w:color w:val="auto"/>
        </w:rPr>
      </w:pPr>
      <w:r w:rsidRPr="00A36AA9">
        <w:rPr>
          <w:color w:val="auto"/>
        </w:rPr>
        <w:t>Hedelix sudėtis</w:t>
      </w:r>
    </w:p>
    <w:p w14:paraId="0A8C4DE6" w14:textId="77777777" w:rsidR="00A36AA9" w:rsidRPr="00A36AA9" w:rsidRDefault="00A36AA9" w:rsidP="00A36AA9">
      <w:pPr>
        <w:pStyle w:val="BT-EMEASMCA"/>
        <w:rPr>
          <w:color w:val="auto"/>
        </w:rPr>
      </w:pPr>
      <w:r w:rsidRPr="00A36AA9">
        <w:rPr>
          <w:color w:val="auto"/>
        </w:rPr>
        <w:t>-</w:t>
      </w:r>
      <w:r w:rsidRPr="00A36AA9">
        <w:rPr>
          <w:color w:val="auto"/>
        </w:rPr>
        <w:tab/>
        <w:t>Veiklioji (-sios) medžiaga (-os) yra</w:t>
      </w:r>
      <w:r w:rsidRPr="00A36AA9" w:rsidDel="00177031">
        <w:rPr>
          <w:color w:val="auto"/>
        </w:rPr>
        <w:t xml:space="preserve"> </w:t>
      </w:r>
      <w:r w:rsidRPr="00A36AA9">
        <w:rPr>
          <w:color w:val="auto"/>
        </w:rPr>
        <w:t xml:space="preserve">gebenių lapų tirštasis ekstraktas. 1 ml sirupo yra 8 mg </w:t>
      </w:r>
      <w:r w:rsidRPr="00A36AA9">
        <w:rPr>
          <w:i/>
          <w:color w:val="auto"/>
        </w:rPr>
        <w:t>Hederae helicis</w:t>
      </w:r>
      <w:r w:rsidRPr="00A36AA9">
        <w:rPr>
          <w:color w:val="auto"/>
        </w:rPr>
        <w:t xml:space="preserve"> L. folium (gebenių lapų) tirštojo ekstrakto (2,2-2,9:1).</w:t>
      </w:r>
    </w:p>
    <w:p w14:paraId="43952109" w14:textId="77777777" w:rsidR="00A36AA9" w:rsidRPr="00A36AA9" w:rsidRDefault="00A36AA9" w:rsidP="00A36AA9">
      <w:pPr>
        <w:pStyle w:val="BT-EMEASMCA"/>
        <w:ind w:firstLine="0"/>
        <w:rPr>
          <w:color w:val="auto"/>
        </w:rPr>
      </w:pPr>
      <w:r w:rsidRPr="00A36AA9">
        <w:rPr>
          <w:color w:val="auto"/>
        </w:rPr>
        <w:t>Ekstrahentas: 50 % (V/V) etanolis, propilenglikolis (98:2 m/m).</w:t>
      </w:r>
    </w:p>
    <w:p w14:paraId="4B211DC0" w14:textId="77777777" w:rsidR="00A36AA9" w:rsidRPr="00A36AA9" w:rsidRDefault="00A36AA9" w:rsidP="00A36AA9">
      <w:pPr>
        <w:pStyle w:val="BT-EMEASMCA"/>
        <w:rPr>
          <w:color w:val="auto"/>
        </w:rPr>
      </w:pPr>
      <w:r w:rsidRPr="00A36AA9">
        <w:rPr>
          <w:color w:val="auto"/>
        </w:rPr>
        <w:t>-</w:t>
      </w:r>
      <w:r w:rsidRPr="00A36AA9">
        <w:rPr>
          <w:color w:val="auto"/>
        </w:rPr>
        <w:tab/>
        <w:t>Pagalbinė (-ės) medžiaga (-os) yra</w:t>
      </w:r>
      <w:r w:rsidRPr="00A36AA9" w:rsidDel="00177031">
        <w:rPr>
          <w:color w:val="auto"/>
        </w:rPr>
        <w:t xml:space="preserve"> </w:t>
      </w:r>
      <w:r w:rsidRPr="00A36AA9">
        <w:rPr>
          <w:color w:val="auto"/>
        </w:rPr>
        <w:t>makrogolglicerolio hidroksistearatas, žvaigždanyžių eterinis aliejus, hidroksietilceliuliozė, skystasis sorbitolis (nesikristalizuojantis), propilenglikolis, glicerolis, išgrynintas vanduo.</w:t>
      </w:r>
    </w:p>
    <w:p w14:paraId="507F3387" w14:textId="77777777" w:rsidR="00A36AA9" w:rsidRPr="00A36AA9" w:rsidRDefault="00A36AA9" w:rsidP="00A36AA9">
      <w:pPr>
        <w:pStyle w:val="BT-EMEASMCA"/>
        <w:rPr>
          <w:color w:val="auto"/>
        </w:rPr>
      </w:pPr>
    </w:p>
    <w:p w14:paraId="3AE8A7A5" w14:textId="77777777" w:rsidR="00A36AA9" w:rsidRPr="00A36AA9" w:rsidRDefault="00A36AA9" w:rsidP="00A36AA9">
      <w:pPr>
        <w:pStyle w:val="BTbEMEASMCA"/>
        <w:rPr>
          <w:color w:val="auto"/>
        </w:rPr>
      </w:pPr>
      <w:r w:rsidRPr="00A36AA9">
        <w:rPr>
          <w:color w:val="auto"/>
        </w:rPr>
        <w:t>Hedelix išvaizda ir kiekis pakuotėje</w:t>
      </w:r>
    </w:p>
    <w:p w14:paraId="0A744A79" w14:textId="77777777" w:rsidR="00A36AA9" w:rsidRPr="00A36AA9" w:rsidRDefault="00A36AA9" w:rsidP="00A36AA9">
      <w:pPr>
        <w:pStyle w:val="BT-EMEASMCA"/>
        <w:rPr>
          <w:color w:val="auto"/>
        </w:rPr>
      </w:pPr>
      <w:r w:rsidRPr="00A36AA9">
        <w:rPr>
          <w:color w:val="auto"/>
        </w:rPr>
        <w:t xml:space="preserve">Hedelix sirupas yra skaidrus, gelsvai rudas tirpalas. </w:t>
      </w:r>
    </w:p>
    <w:p w14:paraId="2A59BC28" w14:textId="77777777" w:rsidR="00A36AA9" w:rsidRPr="00A36AA9" w:rsidRDefault="00A36AA9" w:rsidP="00A36AA9">
      <w:pPr>
        <w:pStyle w:val="BT-EMEASMCA"/>
        <w:ind w:left="0" w:firstLine="0"/>
        <w:rPr>
          <w:color w:val="auto"/>
          <w:lang w:eastAsia="lt-LT"/>
        </w:rPr>
      </w:pPr>
      <w:r w:rsidRPr="00A36AA9">
        <w:rPr>
          <w:color w:val="auto"/>
        </w:rPr>
        <w:t xml:space="preserve">Hedelix tiekiamas 100 ml buteliukuose. </w:t>
      </w:r>
      <w:r w:rsidRPr="00A36AA9">
        <w:rPr>
          <w:color w:val="auto"/>
          <w:lang w:eastAsia="lt-LT"/>
        </w:rPr>
        <w:t>Buteliukas yra kartoninėje dėžutėje, kurioje taip pat yra ir dozavimo priemonė:</w:t>
      </w:r>
    </w:p>
    <w:p w14:paraId="4F9406D9" w14:textId="77777777" w:rsidR="00A36AA9" w:rsidRPr="00A36AA9" w:rsidRDefault="00A36AA9" w:rsidP="00A36AA9">
      <w:pPr>
        <w:pStyle w:val="BT-EMEASMCA"/>
        <w:ind w:left="0" w:firstLine="0"/>
        <w:rPr>
          <w:color w:val="auto"/>
          <w:lang w:eastAsia="lt-LT"/>
        </w:rPr>
      </w:pPr>
      <w:r w:rsidRPr="00A36AA9">
        <w:rPr>
          <w:color w:val="auto"/>
          <w:highlight w:val="lightGray"/>
          <w:lang w:eastAsia="lt-LT"/>
        </w:rPr>
        <w:t>5 ml polipropileno matavimo šaukštas.</w:t>
      </w:r>
    </w:p>
    <w:p w14:paraId="7CD79522" w14:textId="77777777" w:rsidR="00A36AA9" w:rsidRPr="00A36AA9" w:rsidRDefault="00A36AA9" w:rsidP="00A36AA9">
      <w:pPr>
        <w:pStyle w:val="BT-EMEASMCA"/>
        <w:ind w:left="0" w:firstLine="0"/>
        <w:rPr>
          <w:color w:val="auto"/>
        </w:rPr>
      </w:pPr>
      <w:r w:rsidRPr="00A36AA9">
        <w:rPr>
          <w:color w:val="auto"/>
          <w:lang w:eastAsia="lt-LT"/>
        </w:rPr>
        <w:t>5 ml geriamasis švirkštas iš balto arba žalio stūmuoklio ir bespalvio cilindro su 1 ml, 2 ml, 2,5 ml, 3 ml, 4 ml ir 5 ml žymomis.</w:t>
      </w:r>
    </w:p>
    <w:p w14:paraId="7581458A" w14:textId="77777777" w:rsidR="00A36AA9" w:rsidRPr="00A36AA9" w:rsidRDefault="00A36AA9" w:rsidP="00A36AA9">
      <w:pPr>
        <w:pStyle w:val="BT-EMEASMCA"/>
        <w:rPr>
          <w:color w:val="auto"/>
        </w:rPr>
      </w:pPr>
    </w:p>
    <w:p w14:paraId="7B55B9A3" w14:textId="77777777" w:rsidR="00A36AA9" w:rsidRPr="00A36AA9" w:rsidRDefault="00A36AA9" w:rsidP="00A36AA9">
      <w:pPr>
        <w:pStyle w:val="BT-EMEASMCA"/>
        <w:rPr>
          <w:b/>
          <w:color w:val="auto"/>
        </w:rPr>
      </w:pPr>
      <w:r w:rsidRPr="00A36AA9">
        <w:rPr>
          <w:b/>
          <w:color w:val="auto"/>
        </w:rPr>
        <w:t>Registruotojas ir gamintojas</w:t>
      </w:r>
    </w:p>
    <w:p w14:paraId="22BFA1D2" w14:textId="77777777" w:rsidR="00A36AA9" w:rsidRPr="00A36AA9" w:rsidRDefault="00A36AA9" w:rsidP="00A36AA9">
      <w:pPr>
        <w:pStyle w:val="BT-EMEASMCA"/>
        <w:rPr>
          <w:color w:val="auto"/>
        </w:rPr>
      </w:pPr>
      <w:r w:rsidRPr="00A36AA9">
        <w:rPr>
          <w:color w:val="auto"/>
        </w:rPr>
        <w:t>Dr. Theiss Naturwaren GmbH</w:t>
      </w:r>
    </w:p>
    <w:p w14:paraId="2CAFB5A7" w14:textId="77777777" w:rsidR="00A36AA9" w:rsidRPr="00A36AA9" w:rsidRDefault="00A36AA9" w:rsidP="00A36AA9">
      <w:pPr>
        <w:pStyle w:val="BT-EMEASMCA"/>
        <w:rPr>
          <w:color w:val="auto"/>
        </w:rPr>
      </w:pPr>
      <w:r w:rsidRPr="00A36AA9">
        <w:rPr>
          <w:color w:val="auto"/>
        </w:rPr>
        <w:t>Michelinstraße 10,</w:t>
      </w:r>
    </w:p>
    <w:p w14:paraId="6BD8A2A1" w14:textId="77777777" w:rsidR="00A36AA9" w:rsidRPr="00A36AA9" w:rsidRDefault="00A36AA9" w:rsidP="00A36AA9">
      <w:pPr>
        <w:pStyle w:val="BT-EMEASMCA"/>
        <w:rPr>
          <w:color w:val="auto"/>
        </w:rPr>
      </w:pPr>
      <w:r w:rsidRPr="00A36AA9">
        <w:rPr>
          <w:color w:val="auto"/>
        </w:rPr>
        <w:t>66424 Homburg,</w:t>
      </w:r>
    </w:p>
    <w:p w14:paraId="70E3E7F5" w14:textId="77777777" w:rsidR="00A36AA9" w:rsidRPr="00A36AA9" w:rsidRDefault="00A36AA9" w:rsidP="00A36AA9">
      <w:pPr>
        <w:pStyle w:val="BT-EMEASMCA"/>
        <w:rPr>
          <w:color w:val="auto"/>
        </w:rPr>
      </w:pPr>
      <w:r w:rsidRPr="00A36AA9">
        <w:rPr>
          <w:color w:val="auto"/>
        </w:rPr>
        <w:t>Vokietija</w:t>
      </w:r>
    </w:p>
    <w:p w14:paraId="72468A60" w14:textId="77777777" w:rsidR="00A36AA9" w:rsidRPr="00A36AA9" w:rsidRDefault="00A36AA9" w:rsidP="00A36AA9">
      <w:pPr>
        <w:pStyle w:val="BTEMEASMCA"/>
        <w:tabs>
          <w:tab w:val="left" w:pos="567"/>
        </w:tabs>
        <w:rPr>
          <w:color w:val="auto"/>
        </w:rPr>
      </w:pPr>
    </w:p>
    <w:p w14:paraId="17378621" w14:textId="77777777" w:rsidR="00A36AA9" w:rsidRPr="00A36AA9" w:rsidRDefault="00A36AA9" w:rsidP="00A36AA9">
      <w:pPr>
        <w:pStyle w:val="BTbEMEASMCA"/>
        <w:rPr>
          <w:noProof w:val="0"/>
          <w:color w:val="auto"/>
        </w:rPr>
      </w:pPr>
      <w:r w:rsidRPr="00A36AA9">
        <w:rPr>
          <w:bCs/>
          <w:color w:val="auto"/>
        </w:rPr>
        <w:t>Šis pakuotės lapelis</w:t>
      </w:r>
      <w:r w:rsidRPr="00A36AA9">
        <w:rPr>
          <w:color w:val="auto"/>
        </w:rPr>
        <w:t xml:space="preserve"> paskutinį kartą patvirtintas 2026-05-01.</w:t>
      </w:r>
    </w:p>
    <w:p w14:paraId="48216034" w14:textId="77777777" w:rsidR="00A36AA9" w:rsidRPr="00A36AA9" w:rsidRDefault="00A36AA9" w:rsidP="00A36AA9">
      <w:pPr>
        <w:pStyle w:val="BTbEMEASMCA"/>
        <w:rPr>
          <w:noProof w:val="0"/>
          <w:color w:val="auto"/>
        </w:rPr>
      </w:pPr>
    </w:p>
    <w:p w14:paraId="437477EB" w14:textId="77777777" w:rsidR="00A36AA9" w:rsidRPr="00A36AA9" w:rsidRDefault="00A36AA9" w:rsidP="00A36AA9">
      <w:pPr>
        <w:pStyle w:val="Pagrindinistekstas"/>
        <w:tabs>
          <w:tab w:val="left" w:pos="567"/>
        </w:tabs>
        <w:spacing w:after="0"/>
        <w:rPr>
          <w:b/>
          <w:szCs w:val="22"/>
        </w:rPr>
      </w:pPr>
    </w:p>
    <w:p w14:paraId="662941B8" w14:textId="77777777" w:rsidR="00A36AA9" w:rsidRPr="00A36AA9" w:rsidRDefault="00A36AA9" w:rsidP="00A36AA9">
      <w:pPr>
        <w:pStyle w:val="Pavadinimas"/>
        <w:spacing w:after="0"/>
        <w:rPr>
          <w:rFonts w:ascii="Times New Roman" w:hAnsi="Times New Roman" w:cs="Times New Roman"/>
          <w:sz w:val="22"/>
          <w:szCs w:val="22"/>
        </w:rPr>
      </w:pPr>
      <w:proofErr w:type="spellStart"/>
      <w:r w:rsidRPr="00A36AA9">
        <w:rPr>
          <w:rFonts w:ascii="Times New Roman" w:hAnsi="Times New Roman" w:cs="Times New Roman"/>
          <w:sz w:val="22"/>
          <w:szCs w:val="22"/>
        </w:rPr>
        <w:t>Išsami</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informacija</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apie</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šį</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vaistą</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pateikiama</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Valstybinės</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vaistų</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kontrolės</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tarnybos</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prie</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Lietuvos</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Respublikos</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sveikatos</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apsaugos</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ministerijos</w:t>
      </w:r>
      <w:proofErr w:type="spellEnd"/>
      <w:r w:rsidRPr="00A36AA9">
        <w:rPr>
          <w:rFonts w:ascii="Times New Roman" w:hAnsi="Times New Roman" w:cs="Times New Roman"/>
          <w:sz w:val="22"/>
          <w:szCs w:val="22"/>
        </w:rPr>
        <w:t xml:space="preserve"> </w:t>
      </w:r>
      <w:proofErr w:type="spellStart"/>
      <w:r w:rsidRPr="00A36AA9">
        <w:rPr>
          <w:rFonts w:ascii="Times New Roman" w:hAnsi="Times New Roman" w:cs="Times New Roman"/>
          <w:sz w:val="22"/>
          <w:szCs w:val="22"/>
        </w:rPr>
        <w:t>tinklalapyje</w:t>
      </w:r>
      <w:proofErr w:type="spellEnd"/>
      <w:r w:rsidRPr="00A36AA9">
        <w:rPr>
          <w:rFonts w:ascii="Times New Roman" w:hAnsi="Times New Roman" w:cs="Times New Roman"/>
          <w:i/>
          <w:sz w:val="22"/>
          <w:szCs w:val="22"/>
        </w:rPr>
        <w:t xml:space="preserve"> </w:t>
      </w:r>
      <w:hyperlink r:id="rId10" w:history="1">
        <w:r w:rsidRPr="00A36AA9">
          <w:rPr>
            <w:rStyle w:val="Hipersaitas"/>
            <w:rFonts w:ascii="Times New Roman" w:hAnsi="Times New Roman"/>
            <w:color w:val="auto"/>
            <w:sz w:val="22"/>
            <w:szCs w:val="22"/>
          </w:rPr>
          <w:t>https://vvkt.lrv.lt/lt/</w:t>
        </w:r>
      </w:hyperlink>
      <w:r w:rsidRPr="00A36AA9">
        <w:rPr>
          <w:rFonts w:ascii="Times New Roman" w:hAnsi="Times New Roman" w:cs="Times New Roman"/>
          <w:sz w:val="22"/>
          <w:szCs w:val="22"/>
        </w:rPr>
        <w:t>.</w:t>
      </w:r>
    </w:p>
    <w:p w14:paraId="57CB1765" w14:textId="77777777" w:rsidR="00A36AA9" w:rsidRPr="00A36AA9" w:rsidRDefault="00A36AA9" w:rsidP="00A36AA9">
      <w:pPr>
        <w:pStyle w:val="Pavadinimas"/>
        <w:spacing w:after="0"/>
        <w:rPr>
          <w:rFonts w:ascii="Times New Roman" w:hAnsi="Times New Roman" w:cs="Times New Roman"/>
          <w:sz w:val="22"/>
          <w:szCs w:val="22"/>
        </w:rPr>
      </w:pPr>
    </w:p>
    <w:p w14:paraId="0BD50456" w14:textId="77777777" w:rsidR="00222FED" w:rsidRPr="00A36AA9" w:rsidRDefault="00222FED" w:rsidP="00A36AA9">
      <w:pPr>
        <w:spacing w:after="0"/>
        <w:rPr>
          <w:rFonts w:ascii="Times New Roman" w:hAnsi="Times New Roman"/>
        </w:rPr>
      </w:pPr>
    </w:p>
    <w:sectPr w:rsidR="00222FED" w:rsidRPr="00A36AA9" w:rsidSect="00A36AA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A3199E"/>
    <w:multiLevelType w:val="hybridMultilevel"/>
    <w:tmpl w:val="400C8192"/>
    <w:lvl w:ilvl="0" w:tplc="E42039D6">
      <w:start w:val="1"/>
      <w:numFmt w:val="decimal"/>
      <w:lvlText w:val="%1."/>
      <w:lvlJc w:val="left"/>
      <w:pPr>
        <w:tabs>
          <w:tab w:val="num" w:pos="900"/>
        </w:tabs>
        <w:ind w:left="900" w:hanging="360"/>
      </w:pPr>
    </w:lvl>
    <w:lvl w:ilvl="1" w:tplc="04070019">
      <w:start w:val="1"/>
      <w:numFmt w:val="lowerLetter"/>
      <w:lvlText w:val="%2."/>
      <w:lvlJc w:val="left"/>
      <w:pPr>
        <w:tabs>
          <w:tab w:val="num" w:pos="1620"/>
        </w:tabs>
        <w:ind w:left="1620" w:hanging="360"/>
      </w:pPr>
    </w:lvl>
    <w:lvl w:ilvl="2" w:tplc="0407001B">
      <w:start w:val="1"/>
      <w:numFmt w:val="lowerRoman"/>
      <w:lvlText w:val="%3."/>
      <w:lvlJc w:val="right"/>
      <w:pPr>
        <w:tabs>
          <w:tab w:val="num" w:pos="2340"/>
        </w:tabs>
        <w:ind w:left="2340" w:hanging="180"/>
      </w:pPr>
    </w:lvl>
    <w:lvl w:ilvl="3" w:tplc="0407000F">
      <w:start w:val="1"/>
      <w:numFmt w:val="decimal"/>
      <w:lvlText w:val="%4."/>
      <w:lvlJc w:val="left"/>
      <w:pPr>
        <w:tabs>
          <w:tab w:val="num" w:pos="3060"/>
        </w:tabs>
        <w:ind w:left="3060" w:hanging="360"/>
      </w:pPr>
    </w:lvl>
    <w:lvl w:ilvl="4" w:tplc="04070019">
      <w:start w:val="1"/>
      <w:numFmt w:val="lowerLetter"/>
      <w:lvlText w:val="%5."/>
      <w:lvlJc w:val="left"/>
      <w:pPr>
        <w:tabs>
          <w:tab w:val="num" w:pos="3780"/>
        </w:tabs>
        <w:ind w:left="3780" w:hanging="360"/>
      </w:pPr>
    </w:lvl>
    <w:lvl w:ilvl="5" w:tplc="0407001B">
      <w:start w:val="1"/>
      <w:numFmt w:val="lowerRoman"/>
      <w:lvlText w:val="%6."/>
      <w:lvlJc w:val="right"/>
      <w:pPr>
        <w:tabs>
          <w:tab w:val="num" w:pos="4500"/>
        </w:tabs>
        <w:ind w:left="4500" w:hanging="180"/>
      </w:pPr>
    </w:lvl>
    <w:lvl w:ilvl="6" w:tplc="0407000F">
      <w:start w:val="1"/>
      <w:numFmt w:val="decimal"/>
      <w:lvlText w:val="%7."/>
      <w:lvlJc w:val="left"/>
      <w:pPr>
        <w:tabs>
          <w:tab w:val="num" w:pos="5220"/>
        </w:tabs>
        <w:ind w:left="5220" w:hanging="360"/>
      </w:pPr>
    </w:lvl>
    <w:lvl w:ilvl="7" w:tplc="04070019">
      <w:start w:val="1"/>
      <w:numFmt w:val="lowerLetter"/>
      <w:lvlText w:val="%8."/>
      <w:lvlJc w:val="left"/>
      <w:pPr>
        <w:tabs>
          <w:tab w:val="num" w:pos="5940"/>
        </w:tabs>
        <w:ind w:left="5940" w:hanging="360"/>
      </w:pPr>
    </w:lvl>
    <w:lvl w:ilvl="8" w:tplc="0407001B">
      <w:start w:val="1"/>
      <w:numFmt w:val="lowerRoman"/>
      <w:lvlText w:val="%9."/>
      <w:lvlJc w:val="right"/>
      <w:pPr>
        <w:tabs>
          <w:tab w:val="num" w:pos="6660"/>
        </w:tabs>
        <w:ind w:left="6660" w:hanging="180"/>
      </w:pPr>
    </w:lvl>
  </w:abstractNum>
  <w:num w:numId="1" w16cid:durableId="1359700122">
    <w:abstractNumId w:val="0"/>
    <w:lvlOverride w:ilvl="0">
      <w:lvl w:ilvl="0">
        <w:start w:val="1"/>
        <w:numFmt w:val="bullet"/>
        <w:lvlText w:val="-"/>
        <w:lvlJc w:val="left"/>
        <w:pPr>
          <w:ind w:left="360" w:hanging="360"/>
        </w:pPr>
      </w:lvl>
    </w:lvlOverride>
  </w:num>
  <w:num w:numId="2" w16cid:durableId="1987737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A9"/>
    <w:rsid w:val="00222FED"/>
    <w:rsid w:val="00250B3F"/>
    <w:rsid w:val="005F173E"/>
    <w:rsid w:val="008B3AD4"/>
    <w:rsid w:val="00914836"/>
    <w:rsid w:val="00984A0A"/>
    <w:rsid w:val="00A36AA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F876"/>
  <w15:chartTrackingRefBased/>
  <w15:docId w15:val="{4064F81A-7DFB-4A3D-8B1F-0185D5C4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AA9"/>
    <w:pPr>
      <w:spacing w:after="200" w:line="276" w:lineRule="auto"/>
    </w:pPr>
    <w:rPr>
      <w:rFonts w:ascii="Calibri" w:eastAsia="Times New Roman" w:hAnsi="Calibri"/>
      <w:kern w:val="0"/>
      <w:lang w:val="de-DE"/>
      <w14:ligatures w14:val="none"/>
    </w:rPr>
  </w:style>
  <w:style w:type="paragraph" w:styleId="Antrat1">
    <w:name w:val="heading 1"/>
    <w:basedOn w:val="prastasis"/>
    <w:next w:val="prastasis"/>
    <w:link w:val="Antrat1Diagrama"/>
    <w:uiPriority w:val="9"/>
    <w:qFormat/>
    <w:rsid w:val="00A36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6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6A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6A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6AA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36A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6AA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36AA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6AA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6A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6A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6AA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6AA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6AA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36AA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6AA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36AA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6AA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A36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A36A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6A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6AA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6A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6AA9"/>
    <w:rPr>
      <w:i/>
      <w:iCs/>
      <w:color w:val="404040" w:themeColor="text1" w:themeTint="BF"/>
    </w:rPr>
  </w:style>
  <w:style w:type="paragraph" w:styleId="Sraopastraipa">
    <w:name w:val="List Paragraph"/>
    <w:basedOn w:val="prastasis"/>
    <w:uiPriority w:val="34"/>
    <w:qFormat/>
    <w:rsid w:val="00A36AA9"/>
    <w:pPr>
      <w:ind w:left="720"/>
      <w:contextualSpacing/>
    </w:pPr>
  </w:style>
  <w:style w:type="character" w:styleId="Rykuspabraukimas">
    <w:name w:val="Intense Emphasis"/>
    <w:basedOn w:val="Numatytasispastraiposriftas"/>
    <w:uiPriority w:val="21"/>
    <w:qFormat/>
    <w:rsid w:val="00A36AA9"/>
    <w:rPr>
      <w:i/>
      <w:iCs/>
      <w:color w:val="0F4761" w:themeColor="accent1" w:themeShade="BF"/>
    </w:rPr>
  </w:style>
  <w:style w:type="paragraph" w:styleId="Iskirtacitata">
    <w:name w:val="Intense Quote"/>
    <w:basedOn w:val="prastasis"/>
    <w:next w:val="prastasis"/>
    <w:link w:val="IskirtacitataDiagrama"/>
    <w:uiPriority w:val="30"/>
    <w:qFormat/>
    <w:rsid w:val="00A36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6AA9"/>
    <w:rPr>
      <w:i/>
      <w:iCs/>
      <w:color w:val="0F4761" w:themeColor="accent1" w:themeShade="BF"/>
    </w:rPr>
  </w:style>
  <w:style w:type="character" w:styleId="Rykinuoroda">
    <w:name w:val="Intense Reference"/>
    <w:basedOn w:val="Numatytasispastraiposriftas"/>
    <w:uiPriority w:val="32"/>
    <w:qFormat/>
    <w:rsid w:val="00A36AA9"/>
    <w:rPr>
      <w:b/>
      <w:bCs/>
      <w:smallCaps/>
      <w:color w:val="0F4761" w:themeColor="accent1" w:themeShade="BF"/>
      <w:spacing w:val="5"/>
    </w:rPr>
  </w:style>
  <w:style w:type="paragraph" w:customStyle="1" w:styleId="BTEMEASMCA">
    <w:name w:val="BT EMEA_SMCA"/>
    <w:basedOn w:val="prastasis"/>
    <w:rsid w:val="00A36AA9"/>
    <w:pPr>
      <w:tabs>
        <w:tab w:val="left" w:pos="5760"/>
      </w:tabs>
      <w:spacing w:after="0" w:line="240" w:lineRule="auto"/>
    </w:pPr>
    <w:rPr>
      <w:rFonts w:ascii="Times New Roman" w:hAnsi="Times New Roman"/>
      <w:noProof/>
      <w:color w:val="000000"/>
      <w:lang w:val="lt-LT"/>
    </w:rPr>
  </w:style>
  <w:style w:type="paragraph" w:customStyle="1" w:styleId="TTEMEASMCA">
    <w:name w:val="TT EMEA_SMCA"/>
    <w:basedOn w:val="Antrat1"/>
    <w:autoRedefine/>
    <w:rsid w:val="00A36AA9"/>
    <w:pPr>
      <w:keepNext w:val="0"/>
      <w:keepLines w:val="0"/>
      <w:tabs>
        <w:tab w:val="left" w:pos="567"/>
      </w:tabs>
      <w:spacing w:before="0" w:after="0" w:line="240" w:lineRule="auto"/>
      <w:ind w:left="567" w:hanging="567"/>
      <w:jc w:val="center"/>
    </w:pPr>
    <w:rPr>
      <w:rFonts w:ascii="Times New Roman" w:eastAsia="Arial Unicode MS" w:hAnsi="Times New Roman" w:cs="Times New Roman"/>
      <w:b/>
      <w:caps/>
      <w:noProof/>
      <w:color w:val="auto"/>
      <w:sz w:val="22"/>
      <w:szCs w:val="22"/>
    </w:rPr>
  </w:style>
  <w:style w:type="paragraph" w:styleId="Pagrindinistekstas">
    <w:name w:val="Body Text"/>
    <w:basedOn w:val="prastasis"/>
    <w:link w:val="PagrindinistekstasDiagrama"/>
    <w:rsid w:val="00A36AA9"/>
    <w:pPr>
      <w:spacing w:after="120" w:line="240" w:lineRule="auto"/>
    </w:pPr>
    <w:rPr>
      <w:rFonts w:ascii="Times New Roman" w:hAnsi="Times New Roman"/>
      <w:szCs w:val="20"/>
      <w:lang w:val="lt-LT" w:eastAsia="lt-LT"/>
    </w:rPr>
  </w:style>
  <w:style w:type="character" w:customStyle="1" w:styleId="PagrindinistekstasDiagrama">
    <w:name w:val="Pagrindinis tekstas Diagrama"/>
    <w:basedOn w:val="Numatytasispastraiposriftas"/>
    <w:link w:val="Pagrindinistekstas"/>
    <w:rsid w:val="00A36AA9"/>
    <w:rPr>
      <w:rFonts w:eastAsia="Times New Roman"/>
      <w:kern w:val="0"/>
      <w:szCs w:val="20"/>
      <w:lang w:eastAsia="lt-LT"/>
      <w14:ligatures w14:val="none"/>
    </w:rPr>
  </w:style>
  <w:style w:type="character" w:styleId="Hipersaitas">
    <w:name w:val="Hyperlink"/>
    <w:basedOn w:val="Numatytasispastraiposriftas"/>
    <w:rsid w:val="00A36AA9"/>
    <w:rPr>
      <w:rFonts w:cs="Times New Roman"/>
      <w:color w:val="0000FF"/>
      <w:u w:val="single"/>
    </w:rPr>
  </w:style>
  <w:style w:type="paragraph" w:customStyle="1" w:styleId="PI-1EMEASMCA">
    <w:name w:val="PI-1 EMEA_SMCA"/>
    <w:basedOn w:val="Antrat2"/>
    <w:autoRedefine/>
    <w:rsid w:val="00A36AA9"/>
    <w:pPr>
      <w:keepLines w:val="0"/>
      <w:tabs>
        <w:tab w:val="left" w:pos="567"/>
      </w:tabs>
      <w:spacing w:before="0" w:after="0" w:line="240" w:lineRule="auto"/>
      <w:ind w:left="567" w:hanging="567"/>
    </w:pPr>
    <w:rPr>
      <w:rFonts w:ascii="Times New Roman" w:eastAsia="Calibri" w:hAnsi="Times New Roman" w:cs="Times New Roman"/>
      <w:b/>
      <w:color w:val="auto"/>
      <w:sz w:val="22"/>
      <w:szCs w:val="22"/>
    </w:rPr>
  </w:style>
  <w:style w:type="paragraph" w:customStyle="1" w:styleId="BT-EMEASMCA">
    <w:name w:val="BT- EMEA_SMCA"/>
    <w:basedOn w:val="BTEMEASMCA"/>
    <w:rsid w:val="00A36AA9"/>
    <w:pPr>
      <w:tabs>
        <w:tab w:val="left" w:pos="0"/>
      </w:tabs>
      <w:ind w:left="567" w:hanging="567"/>
    </w:pPr>
    <w:rPr>
      <w:rFonts w:eastAsia="Calibri"/>
    </w:rPr>
  </w:style>
  <w:style w:type="paragraph" w:customStyle="1" w:styleId="PI-3EMEASMCA">
    <w:name w:val="PI-3 EMEA_SMCA"/>
    <w:basedOn w:val="prastasis"/>
    <w:autoRedefine/>
    <w:rsid w:val="00A36AA9"/>
    <w:pPr>
      <w:spacing w:after="0" w:line="220" w:lineRule="exact"/>
    </w:pPr>
    <w:rPr>
      <w:rFonts w:ascii="Times New Roman" w:eastAsia="Calibri" w:hAnsi="Times New Roman"/>
      <w:b/>
      <w:bCs/>
      <w:lang w:val="lt-LT"/>
    </w:rPr>
  </w:style>
  <w:style w:type="paragraph" w:customStyle="1" w:styleId="BTbEMEASMCA">
    <w:name w:val="BT(b) EMEA_SMCA"/>
    <w:basedOn w:val="BTEMEASMCA"/>
    <w:autoRedefine/>
    <w:rsid w:val="00A36AA9"/>
    <w:pPr>
      <w:tabs>
        <w:tab w:val="clear" w:pos="5760"/>
      </w:tabs>
      <w:ind w:left="540" w:hanging="540"/>
    </w:pPr>
    <w:rPr>
      <w:rFonts w:eastAsia="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5877</Words>
  <Characters>3351</Characters>
  <Application>Microsoft Office Word</Application>
  <DocSecurity>0</DocSecurity>
  <Lines>27</Lines>
  <Paragraphs>18</Paragraphs>
  <ScaleCrop>false</ScaleCrop>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2026-05-04T05:16:00Z</dcterms:created>
  <dcterms:modified xsi:type="dcterms:W3CDTF">2026-05-04T05:19:00Z</dcterms:modified>
</cp:coreProperties>
</file>