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020" w:rsidRPr="00971AEB" w:rsidRDefault="00D64020" w:rsidP="00D64020">
      <w:pPr>
        <w:jc w:val="center"/>
        <w:rPr>
          <w:b/>
          <w:sz w:val="22"/>
          <w:szCs w:val="22"/>
        </w:rPr>
      </w:pPr>
      <w:r w:rsidRPr="00971AEB">
        <w:rPr>
          <w:b/>
          <w:sz w:val="22"/>
          <w:szCs w:val="22"/>
        </w:rPr>
        <w:t xml:space="preserve">Pakuotės lapelis: informacija </w:t>
      </w:r>
      <w:r>
        <w:rPr>
          <w:b/>
          <w:sz w:val="22"/>
          <w:szCs w:val="22"/>
        </w:rPr>
        <w:t>pacientui</w:t>
      </w:r>
    </w:p>
    <w:p w:rsidR="00D64020" w:rsidRPr="00971AEB" w:rsidRDefault="00D64020" w:rsidP="00D64020">
      <w:pPr>
        <w:jc w:val="center"/>
        <w:rPr>
          <w:b/>
          <w:sz w:val="22"/>
          <w:szCs w:val="22"/>
        </w:rPr>
      </w:pPr>
      <w:bookmarkStart w:id="0" w:name="_Toc129243138"/>
      <w:bookmarkStart w:id="1" w:name="_Toc129243263"/>
    </w:p>
    <w:p w:rsidR="00D64020" w:rsidRPr="00971AEB" w:rsidRDefault="00D64020" w:rsidP="00D64020">
      <w:pPr>
        <w:jc w:val="center"/>
        <w:rPr>
          <w:b/>
          <w:sz w:val="22"/>
          <w:szCs w:val="22"/>
          <w:lang w:eastAsia="lt-LT"/>
        </w:rPr>
      </w:pPr>
      <w:proofErr w:type="spellStart"/>
      <w:r w:rsidRPr="00971AEB">
        <w:rPr>
          <w:b/>
          <w:sz w:val="22"/>
          <w:szCs w:val="22"/>
        </w:rPr>
        <w:t>Regulax</w:t>
      </w:r>
      <w:proofErr w:type="spellEnd"/>
      <w:r w:rsidRPr="00971AEB">
        <w:rPr>
          <w:b/>
          <w:sz w:val="22"/>
          <w:szCs w:val="22"/>
        </w:rPr>
        <w:t xml:space="preserve"> 0,71/0,3</w:t>
      </w:r>
      <w:r>
        <w:rPr>
          <w:b/>
          <w:sz w:val="22"/>
          <w:szCs w:val="22"/>
        </w:rPr>
        <w:t> </w:t>
      </w:r>
      <w:r w:rsidRPr="00971AEB">
        <w:rPr>
          <w:b/>
          <w:sz w:val="22"/>
          <w:szCs w:val="22"/>
        </w:rPr>
        <w:t>g</w:t>
      </w:r>
      <w:r w:rsidRPr="00971AEB">
        <w:rPr>
          <w:sz w:val="22"/>
          <w:szCs w:val="22"/>
        </w:rPr>
        <w:t xml:space="preserve"> </w:t>
      </w:r>
      <w:r w:rsidRPr="00971AEB">
        <w:rPr>
          <w:b/>
          <w:sz w:val="22"/>
          <w:szCs w:val="22"/>
        </w:rPr>
        <w:t>kramtomosios tabletės</w:t>
      </w:r>
    </w:p>
    <w:p w:rsidR="00D64020" w:rsidRPr="00971AEB" w:rsidRDefault="00D64020" w:rsidP="00D64020">
      <w:pPr>
        <w:jc w:val="center"/>
        <w:rPr>
          <w:sz w:val="22"/>
          <w:szCs w:val="22"/>
        </w:rPr>
      </w:pPr>
      <w:r>
        <w:rPr>
          <w:sz w:val="22"/>
          <w:szCs w:val="22"/>
        </w:rPr>
        <w:t>s</w:t>
      </w:r>
      <w:r w:rsidRPr="00971AEB">
        <w:rPr>
          <w:sz w:val="22"/>
          <w:szCs w:val="22"/>
        </w:rPr>
        <w:t>enų lapai/senų vaisiai</w:t>
      </w:r>
    </w:p>
    <w:bookmarkEnd w:id="0"/>
    <w:bookmarkEnd w:id="1"/>
    <w:p w:rsidR="00D64020" w:rsidRPr="00971AEB" w:rsidRDefault="00D64020" w:rsidP="00D64020">
      <w:pPr>
        <w:jc w:val="center"/>
        <w:rPr>
          <w:sz w:val="22"/>
          <w:szCs w:val="22"/>
        </w:rPr>
      </w:pPr>
    </w:p>
    <w:p w:rsidR="00D64020" w:rsidRPr="00971AEB" w:rsidRDefault="00D64020" w:rsidP="00D64020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971AEB">
        <w:rPr>
          <w:b/>
          <w:sz w:val="22"/>
          <w:szCs w:val="22"/>
        </w:rPr>
        <w:t>Atidžiai perskaitykite visą šį lapelį, prieš pradėdami vartoti šį vaistą, nes jame pateikiama Jums svarbi informacija.</w:t>
      </w:r>
    </w:p>
    <w:p w:rsidR="00D64020" w:rsidRPr="00971AEB" w:rsidRDefault="00D64020" w:rsidP="00D64020">
      <w:pPr>
        <w:numPr>
          <w:ilvl w:val="12"/>
          <w:numId w:val="0"/>
        </w:numPr>
        <w:rPr>
          <w:sz w:val="22"/>
          <w:szCs w:val="22"/>
        </w:rPr>
      </w:pPr>
      <w:r w:rsidRPr="00971AEB">
        <w:rPr>
          <w:sz w:val="22"/>
          <w:szCs w:val="22"/>
        </w:rPr>
        <w:t>Visada vartokite šį vaistą tiksliai kaip aprašyta šiame lapelyje arba kaip nurodė gydytojas arba vaistininkas.</w:t>
      </w:r>
    </w:p>
    <w:p w:rsidR="00D64020" w:rsidRPr="00971AEB" w:rsidRDefault="00D64020" w:rsidP="00D64020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71AEB">
        <w:rPr>
          <w:sz w:val="22"/>
          <w:szCs w:val="22"/>
        </w:rPr>
        <w:t xml:space="preserve">Neišmeskite šio lapelio, nes vėl gali prireikti jį perskaityti. </w:t>
      </w:r>
    </w:p>
    <w:p w:rsidR="00D64020" w:rsidRPr="00971AEB" w:rsidRDefault="00D64020" w:rsidP="00D64020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71AEB">
        <w:rPr>
          <w:sz w:val="22"/>
          <w:szCs w:val="22"/>
        </w:rPr>
        <w:t>Jeigu norite sužinoti daugiau arba pasitarti, kreipkitės į vaistininką.</w:t>
      </w:r>
    </w:p>
    <w:p w:rsidR="00D64020" w:rsidRPr="00971AEB" w:rsidRDefault="00D64020" w:rsidP="00D64020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71AEB">
        <w:rPr>
          <w:sz w:val="22"/>
          <w:szCs w:val="22"/>
        </w:rPr>
        <w:t xml:space="preserve">Jeigu pasireiškė šalutinis poveikis (net jeigu jis šiame lapelyje nenurodytas), kreipkitės į gydytoją arba vaistininką. </w:t>
      </w:r>
      <w:r w:rsidRPr="00971AEB">
        <w:rPr>
          <w:sz w:val="22"/>
          <w:szCs w:val="22"/>
          <w:lang w:eastAsia="lt-LT"/>
        </w:rPr>
        <w:t>Žr. 4 skyrių.</w:t>
      </w:r>
    </w:p>
    <w:p w:rsidR="00D64020" w:rsidRPr="00971AEB" w:rsidRDefault="00D64020" w:rsidP="00D64020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71AEB">
        <w:rPr>
          <w:sz w:val="22"/>
          <w:szCs w:val="22"/>
        </w:rPr>
        <w:t>Jeigu per 7 dienas Jūsų savijauta nepagerėjo arba net pablogėjo, kreipkitės į gydytoją.</w:t>
      </w:r>
    </w:p>
    <w:p w:rsidR="00D64020" w:rsidRPr="00971AEB" w:rsidRDefault="00D64020" w:rsidP="00D64020">
      <w:pPr>
        <w:rPr>
          <w:sz w:val="22"/>
          <w:szCs w:val="22"/>
        </w:rPr>
      </w:pPr>
    </w:p>
    <w:p w:rsidR="00D64020" w:rsidRDefault="00D64020" w:rsidP="00D64020">
      <w:pPr>
        <w:rPr>
          <w:b/>
          <w:sz w:val="22"/>
          <w:szCs w:val="22"/>
        </w:rPr>
      </w:pPr>
      <w:r w:rsidRPr="00971AEB">
        <w:rPr>
          <w:b/>
          <w:sz w:val="22"/>
          <w:szCs w:val="22"/>
        </w:rPr>
        <w:t>Apie ką rašoma šiame lapelyje?</w:t>
      </w:r>
    </w:p>
    <w:p w:rsidR="00D64020" w:rsidRPr="00971AEB" w:rsidRDefault="00D64020" w:rsidP="00D64020">
      <w:pPr>
        <w:rPr>
          <w:b/>
          <w:sz w:val="22"/>
          <w:szCs w:val="22"/>
        </w:rPr>
      </w:pPr>
    </w:p>
    <w:p w:rsidR="00D64020" w:rsidRPr="00971AEB" w:rsidRDefault="00D64020" w:rsidP="00D64020">
      <w:pPr>
        <w:tabs>
          <w:tab w:val="left" w:pos="567"/>
        </w:tabs>
        <w:rPr>
          <w:sz w:val="22"/>
          <w:szCs w:val="22"/>
        </w:rPr>
      </w:pPr>
      <w:r w:rsidRPr="00971AEB">
        <w:rPr>
          <w:sz w:val="22"/>
          <w:szCs w:val="22"/>
        </w:rPr>
        <w:t>1.</w:t>
      </w:r>
      <w:r w:rsidRPr="00971AEB">
        <w:rPr>
          <w:sz w:val="22"/>
          <w:szCs w:val="22"/>
        </w:rPr>
        <w:tab/>
        <w:t xml:space="preserve">Kas yra </w:t>
      </w:r>
      <w:proofErr w:type="spellStart"/>
      <w:r w:rsidRPr="00971AEB">
        <w:rPr>
          <w:sz w:val="22"/>
          <w:szCs w:val="22"/>
        </w:rPr>
        <w:t>Regulax</w:t>
      </w:r>
      <w:proofErr w:type="spellEnd"/>
      <w:r w:rsidRPr="00971AEB">
        <w:rPr>
          <w:sz w:val="22"/>
          <w:szCs w:val="22"/>
        </w:rPr>
        <w:t xml:space="preserve"> ir kam jis vartojamas</w:t>
      </w:r>
    </w:p>
    <w:p w:rsidR="00D64020" w:rsidRPr="00971AEB" w:rsidRDefault="00D64020" w:rsidP="00D64020">
      <w:pPr>
        <w:pStyle w:val="Pagrindinistekstas"/>
        <w:tabs>
          <w:tab w:val="left" w:pos="567"/>
        </w:tabs>
        <w:spacing w:line="240" w:lineRule="auto"/>
        <w:rPr>
          <w:sz w:val="22"/>
          <w:szCs w:val="22"/>
          <w:lang w:val="lt-LT"/>
        </w:rPr>
      </w:pPr>
      <w:r w:rsidRPr="00971AEB">
        <w:rPr>
          <w:sz w:val="22"/>
          <w:szCs w:val="22"/>
          <w:lang w:val="lt-LT"/>
        </w:rPr>
        <w:t>2.</w:t>
      </w:r>
      <w:r w:rsidRPr="00971AEB">
        <w:rPr>
          <w:sz w:val="22"/>
          <w:szCs w:val="22"/>
          <w:lang w:val="lt-LT"/>
        </w:rPr>
        <w:tab/>
        <w:t xml:space="preserve">Kas žinotina prieš vartojant </w:t>
      </w:r>
      <w:proofErr w:type="spellStart"/>
      <w:r w:rsidRPr="00971AEB">
        <w:rPr>
          <w:sz w:val="22"/>
          <w:szCs w:val="22"/>
          <w:lang w:val="lt-LT"/>
        </w:rPr>
        <w:t>Regulax</w:t>
      </w:r>
      <w:proofErr w:type="spellEnd"/>
    </w:p>
    <w:p w:rsidR="00D64020" w:rsidRPr="00971AEB" w:rsidRDefault="00D64020" w:rsidP="00D64020">
      <w:pPr>
        <w:pStyle w:val="Pagrindinistekstas"/>
        <w:tabs>
          <w:tab w:val="left" w:pos="567"/>
        </w:tabs>
        <w:spacing w:line="240" w:lineRule="auto"/>
        <w:rPr>
          <w:sz w:val="22"/>
          <w:szCs w:val="22"/>
          <w:lang w:val="lt-LT"/>
        </w:rPr>
      </w:pPr>
      <w:r w:rsidRPr="00971AEB">
        <w:rPr>
          <w:sz w:val="22"/>
          <w:szCs w:val="22"/>
          <w:lang w:val="lt-LT"/>
        </w:rPr>
        <w:t>3.</w:t>
      </w:r>
      <w:r w:rsidRPr="00971AEB">
        <w:rPr>
          <w:sz w:val="22"/>
          <w:szCs w:val="22"/>
          <w:lang w:val="lt-LT"/>
        </w:rPr>
        <w:tab/>
        <w:t xml:space="preserve">Kaip vartoti </w:t>
      </w:r>
      <w:proofErr w:type="spellStart"/>
      <w:r w:rsidRPr="00971AEB">
        <w:rPr>
          <w:sz w:val="22"/>
          <w:szCs w:val="22"/>
          <w:lang w:val="lt-LT"/>
        </w:rPr>
        <w:t>Regulax</w:t>
      </w:r>
      <w:proofErr w:type="spellEnd"/>
    </w:p>
    <w:p w:rsidR="00D64020" w:rsidRPr="00971AEB" w:rsidRDefault="00D64020" w:rsidP="00D64020">
      <w:pPr>
        <w:pStyle w:val="Pagrindinistekstas"/>
        <w:tabs>
          <w:tab w:val="left" w:pos="567"/>
        </w:tabs>
        <w:spacing w:line="240" w:lineRule="auto"/>
        <w:rPr>
          <w:sz w:val="22"/>
          <w:szCs w:val="22"/>
          <w:lang w:val="lt-LT"/>
        </w:rPr>
      </w:pPr>
      <w:r w:rsidRPr="00971AEB">
        <w:rPr>
          <w:sz w:val="22"/>
          <w:szCs w:val="22"/>
          <w:lang w:val="lt-LT"/>
        </w:rPr>
        <w:t>4.</w:t>
      </w:r>
      <w:r w:rsidRPr="00971AEB">
        <w:rPr>
          <w:sz w:val="22"/>
          <w:szCs w:val="22"/>
          <w:lang w:val="lt-LT"/>
        </w:rPr>
        <w:tab/>
        <w:t>Galimas šalutinis poveikis</w:t>
      </w:r>
    </w:p>
    <w:p w:rsidR="00D64020" w:rsidRPr="00971AEB" w:rsidRDefault="00D64020" w:rsidP="00D64020">
      <w:pPr>
        <w:pStyle w:val="Pagrindinistekstas"/>
        <w:tabs>
          <w:tab w:val="left" w:pos="567"/>
        </w:tabs>
        <w:spacing w:line="240" w:lineRule="auto"/>
        <w:rPr>
          <w:sz w:val="22"/>
          <w:szCs w:val="22"/>
          <w:lang w:val="lt-LT"/>
        </w:rPr>
      </w:pPr>
      <w:r w:rsidRPr="00971AEB">
        <w:rPr>
          <w:sz w:val="22"/>
          <w:szCs w:val="22"/>
          <w:lang w:val="lt-LT"/>
        </w:rPr>
        <w:t>5.</w:t>
      </w:r>
      <w:r w:rsidRPr="00971AEB">
        <w:rPr>
          <w:sz w:val="22"/>
          <w:szCs w:val="22"/>
          <w:lang w:val="lt-LT"/>
        </w:rPr>
        <w:tab/>
        <w:t xml:space="preserve">Kaip laikyti </w:t>
      </w:r>
      <w:proofErr w:type="spellStart"/>
      <w:r w:rsidRPr="00971AEB">
        <w:rPr>
          <w:sz w:val="22"/>
          <w:szCs w:val="22"/>
          <w:lang w:val="lt-LT"/>
        </w:rPr>
        <w:t>Regulax</w:t>
      </w:r>
      <w:proofErr w:type="spellEnd"/>
    </w:p>
    <w:p w:rsidR="00D64020" w:rsidRPr="00971AEB" w:rsidRDefault="00D64020" w:rsidP="00D64020">
      <w:pPr>
        <w:pStyle w:val="Pagrindinistekstas"/>
        <w:tabs>
          <w:tab w:val="left" w:pos="567"/>
        </w:tabs>
        <w:spacing w:line="240" w:lineRule="auto"/>
        <w:rPr>
          <w:sz w:val="22"/>
          <w:szCs w:val="22"/>
          <w:lang w:val="lt-LT"/>
        </w:rPr>
      </w:pPr>
      <w:r w:rsidRPr="00971AEB">
        <w:rPr>
          <w:sz w:val="22"/>
          <w:szCs w:val="22"/>
          <w:lang w:val="lt-LT"/>
        </w:rPr>
        <w:t>6.</w:t>
      </w:r>
      <w:r w:rsidRPr="00971AEB">
        <w:rPr>
          <w:sz w:val="22"/>
          <w:szCs w:val="22"/>
          <w:lang w:val="lt-LT"/>
        </w:rPr>
        <w:tab/>
        <w:t>Pakuotės turinys ir kita informacija</w:t>
      </w:r>
    </w:p>
    <w:p w:rsidR="00D64020" w:rsidRPr="00971AEB" w:rsidRDefault="00D64020" w:rsidP="00D64020">
      <w:pPr>
        <w:pStyle w:val="Pagrindinistekstas"/>
        <w:tabs>
          <w:tab w:val="left" w:pos="567"/>
        </w:tabs>
        <w:spacing w:line="240" w:lineRule="auto"/>
        <w:rPr>
          <w:sz w:val="22"/>
          <w:szCs w:val="22"/>
          <w:lang w:val="lt-LT"/>
        </w:rPr>
      </w:pPr>
    </w:p>
    <w:p w:rsidR="00D64020" w:rsidRPr="00DB7A2B" w:rsidRDefault="00D64020" w:rsidP="00D64020">
      <w:pPr>
        <w:numPr>
          <w:ilvl w:val="12"/>
          <w:numId w:val="0"/>
        </w:numPr>
        <w:rPr>
          <w:sz w:val="22"/>
        </w:rPr>
      </w:pPr>
    </w:p>
    <w:p w:rsidR="00D64020" w:rsidRPr="009C7525" w:rsidRDefault="00D64020" w:rsidP="00D64020">
      <w:pPr>
        <w:keepNext/>
        <w:numPr>
          <w:ilvl w:val="0"/>
          <w:numId w:val="4"/>
        </w:numPr>
        <w:tabs>
          <w:tab w:val="left" w:pos="567"/>
        </w:tabs>
        <w:ind w:left="567" w:right="-2"/>
        <w:rPr>
          <w:b/>
          <w:sz w:val="22"/>
          <w:szCs w:val="22"/>
        </w:rPr>
      </w:pPr>
      <w:r w:rsidRPr="009C7525">
        <w:rPr>
          <w:b/>
          <w:sz w:val="22"/>
          <w:szCs w:val="22"/>
        </w:rPr>
        <w:t xml:space="preserve">Kas yra </w:t>
      </w:r>
      <w:proofErr w:type="spellStart"/>
      <w:r>
        <w:rPr>
          <w:b/>
          <w:sz w:val="22"/>
          <w:szCs w:val="22"/>
        </w:rPr>
        <w:t>Regulax</w:t>
      </w:r>
      <w:proofErr w:type="spellEnd"/>
      <w:r w:rsidRPr="009C7525">
        <w:rPr>
          <w:b/>
          <w:sz w:val="22"/>
          <w:szCs w:val="22"/>
        </w:rPr>
        <w:t xml:space="preserve"> ir kam jis vartojamas</w:t>
      </w:r>
    </w:p>
    <w:p w:rsidR="00D64020" w:rsidRPr="009C7525" w:rsidRDefault="00D64020" w:rsidP="00D64020">
      <w:pPr>
        <w:numPr>
          <w:ilvl w:val="12"/>
          <w:numId w:val="0"/>
        </w:numPr>
        <w:rPr>
          <w:sz w:val="22"/>
          <w:szCs w:val="22"/>
        </w:rPr>
      </w:pPr>
    </w:p>
    <w:p w:rsidR="00D64020" w:rsidRPr="00971AEB" w:rsidRDefault="00D64020" w:rsidP="00D64020">
      <w:pPr>
        <w:rPr>
          <w:sz w:val="22"/>
          <w:szCs w:val="22"/>
        </w:rPr>
      </w:pPr>
      <w:proofErr w:type="spellStart"/>
      <w:r w:rsidRPr="00971AEB">
        <w:rPr>
          <w:sz w:val="22"/>
          <w:szCs w:val="22"/>
        </w:rPr>
        <w:t>Regulax</w:t>
      </w:r>
      <w:proofErr w:type="spellEnd"/>
      <w:r w:rsidRPr="00971AEB">
        <w:rPr>
          <w:sz w:val="22"/>
          <w:szCs w:val="22"/>
        </w:rPr>
        <w:t xml:space="preserve"> yra augalinis stimuliuojančio poveikio vidurių laisvinamasis vaistas, kuris veikia žarnų vangumą didindamas išmatų tūrį ir tokiu būdu stimuliuoja žarnų peristaltiką (į bangavimą panašius judesius), sukeldamas normalaus dažnio žarnų judesius.</w:t>
      </w:r>
    </w:p>
    <w:p w:rsidR="00D64020" w:rsidRPr="00971AEB" w:rsidRDefault="00D64020" w:rsidP="00D64020">
      <w:pPr>
        <w:rPr>
          <w:sz w:val="22"/>
          <w:szCs w:val="22"/>
        </w:rPr>
      </w:pPr>
    </w:p>
    <w:p w:rsidR="00D64020" w:rsidRPr="00971AEB" w:rsidRDefault="00D64020" w:rsidP="00D64020">
      <w:pPr>
        <w:jc w:val="both"/>
        <w:rPr>
          <w:color w:val="000000"/>
          <w:sz w:val="22"/>
          <w:szCs w:val="22"/>
        </w:rPr>
      </w:pPr>
      <w:proofErr w:type="spellStart"/>
      <w:r w:rsidRPr="00971AEB">
        <w:rPr>
          <w:sz w:val="22"/>
          <w:szCs w:val="22"/>
        </w:rPr>
        <w:t>Regulax</w:t>
      </w:r>
      <w:proofErr w:type="spellEnd"/>
      <w:r w:rsidRPr="00971AEB">
        <w:rPr>
          <w:sz w:val="22"/>
          <w:szCs w:val="22"/>
        </w:rPr>
        <w:t xml:space="preserve"> vartojamas trumpą laiką retkarčiais pasitaikančiam vidurių užkietėjimui mažinti.</w:t>
      </w:r>
    </w:p>
    <w:p w:rsidR="00D64020" w:rsidRDefault="00D64020" w:rsidP="00D64020">
      <w:pPr>
        <w:tabs>
          <w:tab w:val="left" w:pos="567"/>
        </w:tabs>
        <w:rPr>
          <w:sz w:val="22"/>
          <w:szCs w:val="22"/>
        </w:rPr>
      </w:pPr>
    </w:p>
    <w:p w:rsidR="00D64020" w:rsidRDefault="00D64020" w:rsidP="00D64020">
      <w:pPr>
        <w:tabs>
          <w:tab w:val="left" w:pos="567"/>
        </w:tabs>
        <w:rPr>
          <w:sz w:val="22"/>
          <w:szCs w:val="22"/>
        </w:rPr>
      </w:pPr>
      <w:r w:rsidRPr="00971AEB">
        <w:rPr>
          <w:sz w:val="22"/>
          <w:szCs w:val="22"/>
        </w:rPr>
        <w:t>Jeigu per 7 dienas Jūsų savijauta nepagerėjo arba net pablogėjo, kreipkitės į gydytoją.</w:t>
      </w:r>
    </w:p>
    <w:p w:rsidR="00D64020" w:rsidRPr="00971AEB" w:rsidRDefault="00D64020" w:rsidP="00D64020">
      <w:pPr>
        <w:tabs>
          <w:tab w:val="left" w:pos="567"/>
        </w:tabs>
        <w:rPr>
          <w:sz w:val="22"/>
          <w:szCs w:val="22"/>
        </w:rPr>
      </w:pPr>
    </w:p>
    <w:p w:rsidR="00D64020" w:rsidRPr="009C7525" w:rsidRDefault="00D64020" w:rsidP="00D64020">
      <w:pPr>
        <w:ind w:right="-2"/>
        <w:rPr>
          <w:sz w:val="22"/>
          <w:szCs w:val="22"/>
        </w:rPr>
      </w:pPr>
    </w:p>
    <w:p w:rsidR="00D64020" w:rsidRPr="00182736" w:rsidRDefault="00D64020" w:rsidP="00D64020">
      <w:pPr>
        <w:keepNext/>
        <w:numPr>
          <w:ilvl w:val="0"/>
          <w:numId w:val="4"/>
        </w:numPr>
        <w:tabs>
          <w:tab w:val="left" w:pos="567"/>
        </w:tabs>
        <w:ind w:left="567" w:right="-2"/>
        <w:rPr>
          <w:b/>
          <w:sz w:val="22"/>
        </w:rPr>
      </w:pPr>
      <w:r w:rsidRPr="00182736">
        <w:rPr>
          <w:b/>
          <w:sz w:val="22"/>
        </w:rPr>
        <w:t xml:space="preserve">Kas žinotina prieš vartojant </w:t>
      </w:r>
      <w:proofErr w:type="spellStart"/>
      <w:r w:rsidRPr="00182736">
        <w:rPr>
          <w:b/>
          <w:sz w:val="22"/>
        </w:rPr>
        <w:t>Regulax</w:t>
      </w:r>
      <w:proofErr w:type="spellEnd"/>
      <w:r w:rsidRPr="009C7525">
        <w:rPr>
          <w:sz w:val="22"/>
          <w:szCs w:val="22"/>
        </w:rPr>
        <w:t xml:space="preserve"> </w:t>
      </w:r>
    </w:p>
    <w:p w:rsidR="00D64020" w:rsidRPr="00DB7A2B" w:rsidRDefault="00D64020" w:rsidP="00D64020">
      <w:pPr>
        <w:keepNext/>
        <w:numPr>
          <w:ilvl w:val="12"/>
          <w:numId w:val="0"/>
        </w:numPr>
        <w:outlineLvl w:val="0"/>
        <w:rPr>
          <w:i/>
          <w:sz w:val="22"/>
        </w:rPr>
      </w:pPr>
    </w:p>
    <w:p w:rsidR="00D64020" w:rsidRPr="009C7525" w:rsidRDefault="00D64020" w:rsidP="00D64020">
      <w:pPr>
        <w:keepNext/>
        <w:numPr>
          <w:ilvl w:val="12"/>
          <w:numId w:val="0"/>
        </w:numPr>
        <w:outlineLvl w:val="0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Regulax</w:t>
      </w:r>
      <w:proofErr w:type="spellEnd"/>
      <w:r w:rsidRPr="009C7525">
        <w:rPr>
          <w:b/>
          <w:sz w:val="22"/>
          <w:szCs w:val="22"/>
        </w:rPr>
        <w:t xml:space="preserve"> vartoti </w:t>
      </w:r>
      <w:r>
        <w:rPr>
          <w:b/>
          <w:sz w:val="22"/>
          <w:szCs w:val="22"/>
        </w:rPr>
        <w:t>draudžiama</w:t>
      </w:r>
    </w:p>
    <w:p w:rsidR="00D64020" w:rsidRPr="00971AEB" w:rsidRDefault="00D64020" w:rsidP="00D64020">
      <w:pPr>
        <w:numPr>
          <w:ilvl w:val="0"/>
          <w:numId w:val="3"/>
        </w:numPr>
        <w:rPr>
          <w:sz w:val="22"/>
          <w:szCs w:val="22"/>
        </w:rPr>
      </w:pPr>
      <w:r w:rsidRPr="00971AEB">
        <w:rPr>
          <w:sz w:val="22"/>
          <w:szCs w:val="22"/>
        </w:rPr>
        <w:t>jeigu yra alergija</w:t>
      </w:r>
      <w:r w:rsidRPr="00971AE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senos lapams, senos vaisiams,</w:t>
      </w:r>
      <w:r w:rsidRPr="00971AEB">
        <w:rPr>
          <w:color w:val="000000"/>
          <w:sz w:val="22"/>
          <w:szCs w:val="22"/>
        </w:rPr>
        <w:t xml:space="preserve"> arba bet kuriai pagalbinei šio vaisto medžiagai (jos išvardytos 6 skyriuje);</w:t>
      </w:r>
    </w:p>
    <w:p w:rsidR="00D64020" w:rsidRPr="00971AEB" w:rsidRDefault="00D64020" w:rsidP="00D64020">
      <w:pPr>
        <w:numPr>
          <w:ilvl w:val="0"/>
          <w:numId w:val="3"/>
        </w:numPr>
        <w:rPr>
          <w:sz w:val="22"/>
          <w:szCs w:val="22"/>
        </w:rPr>
      </w:pPr>
      <w:r w:rsidRPr="00971AEB">
        <w:rPr>
          <w:color w:val="000000"/>
          <w:sz w:val="22"/>
          <w:szCs w:val="22"/>
        </w:rPr>
        <w:t xml:space="preserve">jeigu Jus vargina </w:t>
      </w:r>
      <w:r w:rsidRPr="00971AEB">
        <w:rPr>
          <w:sz w:val="22"/>
          <w:szCs w:val="22"/>
        </w:rPr>
        <w:t>žarnų nepraeinamumas (žarnų obstrukcija);</w:t>
      </w:r>
    </w:p>
    <w:p w:rsidR="00D64020" w:rsidRPr="00971AEB" w:rsidRDefault="00D64020" w:rsidP="00D64020">
      <w:pPr>
        <w:numPr>
          <w:ilvl w:val="0"/>
          <w:numId w:val="3"/>
        </w:numPr>
        <w:rPr>
          <w:sz w:val="22"/>
          <w:szCs w:val="22"/>
        </w:rPr>
      </w:pPr>
      <w:r w:rsidRPr="00971AEB">
        <w:rPr>
          <w:color w:val="000000"/>
          <w:sz w:val="22"/>
          <w:szCs w:val="22"/>
        </w:rPr>
        <w:t xml:space="preserve">jeigu Jus vargina </w:t>
      </w:r>
      <w:r w:rsidRPr="00971AEB">
        <w:rPr>
          <w:sz w:val="22"/>
          <w:szCs w:val="22"/>
        </w:rPr>
        <w:t xml:space="preserve">žarnų stenozė (žarnų susiaurėjimas) ir </w:t>
      </w:r>
      <w:proofErr w:type="spellStart"/>
      <w:r w:rsidRPr="00971AEB">
        <w:rPr>
          <w:sz w:val="22"/>
          <w:szCs w:val="22"/>
        </w:rPr>
        <w:t>atonija</w:t>
      </w:r>
      <w:proofErr w:type="spellEnd"/>
      <w:r w:rsidRPr="00971AEB">
        <w:rPr>
          <w:sz w:val="22"/>
          <w:szCs w:val="22"/>
        </w:rPr>
        <w:t xml:space="preserve"> (žarnų raumenų suglebimas);</w:t>
      </w:r>
    </w:p>
    <w:p w:rsidR="00D64020" w:rsidRPr="00971AEB" w:rsidRDefault="00D64020" w:rsidP="00D64020">
      <w:pPr>
        <w:numPr>
          <w:ilvl w:val="0"/>
          <w:numId w:val="3"/>
        </w:numPr>
        <w:rPr>
          <w:sz w:val="22"/>
          <w:szCs w:val="22"/>
        </w:rPr>
      </w:pPr>
      <w:r w:rsidRPr="00971AEB">
        <w:rPr>
          <w:sz w:val="22"/>
          <w:szCs w:val="22"/>
        </w:rPr>
        <w:t>jeigu sergate ūminį žarnų uždegimą sukeliančia liga (pvz., Krono liga, opiniu kolitu, apendicitu);</w:t>
      </w:r>
    </w:p>
    <w:p w:rsidR="00D64020" w:rsidRPr="00971AEB" w:rsidRDefault="00D64020" w:rsidP="00D64020">
      <w:pPr>
        <w:numPr>
          <w:ilvl w:val="0"/>
          <w:numId w:val="3"/>
        </w:numPr>
        <w:rPr>
          <w:sz w:val="22"/>
          <w:szCs w:val="22"/>
        </w:rPr>
      </w:pPr>
      <w:r w:rsidRPr="00971AEB">
        <w:rPr>
          <w:sz w:val="22"/>
          <w:szCs w:val="22"/>
        </w:rPr>
        <w:t>jeigu yra neaiškios priežasties pilvo skausmas;</w:t>
      </w:r>
    </w:p>
    <w:p w:rsidR="00D64020" w:rsidRPr="00971AEB" w:rsidRDefault="00D64020" w:rsidP="00D64020">
      <w:pPr>
        <w:numPr>
          <w:ilvl w:val="0"/>
          <w:numId w:val="3"/>
        </w:numPr>
        <w:rPr>
          <w:sz w:val="22"/>
          <w:szCs w:val="22"/>
        </w:rPr>
      </w:pPr>
      <w:r w:rsidRPr="00971AEB">
        <w:rPr>
          <w:sz w:val="22"/>
          <w:szCs w:val="22"/>
        </w:rPr>
        <w:t xml:space="preserve">jeigu esate </w:t>
      </w:r>
      <w:proofErr w:type="spellStart"/>
      <w:r w:rsidRPr="00971AEB">
        <w:rPr>
          <w:sz w:val="22"/>
          <w:szCs w:val="22"/>
        </w:rPr>
        <w:t>dehidruotas</w:t>
      </w:r>
      <w:proofErr w:type="spellEnd"/>
      <w:r w:rsidRPr="00971AEB">
        <w:rPr>
          <w:sz w:val="22"/>
          <w:szCs w:val="22"/>
        </w:rPr>
        <w:t xml:space="preserve"> (netekęs daug vandens);</w:t>
      </w:r>
    </w:p>
    <w:p w:rsidR="00D64020" w:rsidRPr="00971AEB" w:rsidRDefault="00D64020" w:rsidP="00D64020">
      <w:pPr>
        <w:numPr>
          <w:ilvl w:val="0"/>
          <w:numId w:val="3"/>
        </w:numPr>
        <w:rPr>
          <w:sz w:val="22"/>
          <w:szCs w:val="22"/>
        </w:rPr>
      </w:pPr>
      <w:r w:rsidRPr="00971AEB">
        <w:rPr>
          <w:sz w:val="22"/>
          <w:szCs w:val="22"/>
        </w:rPr>
        <w:t>jaunesniems kaip 12 metų vaikams;</w:t>
      </w:r>
    </w:p>
    <w:p w:rsidR="00D64020" w:rsidRPr="00971AEB" w:rsidRDefault="00D64020" w:rsidP="00D64020">
      <w:pPr>
        <w:numPr>
          <w:ilvl w:val="0"/>
          <w:numId w:val="3"/>
        </w:numPr>
        <w:rPr>
          <w:sz w:val="22"/>
          <w:szCs w:val="22"/>
        </w:rPr>
      </w:pPr>
      <w:r w:rsidRPr="00971AEB">
        <w:rPr>
          <w:sz w:val="22"/>
          <w:szCs w:val="22"/>
        </w:rPr>
        <w:t>nėščiosioms arba žindyvėms.</w:t>
      </w:r>
    </w:p>
    <w:p w:rsidR="00D64020" w:rsidRPr="00971AEB" w:rsidRDefault="00D64020" w:rsidP="00D64020">
      <w:pPr>
        <w:pStyle w:val="Antrat9"/>
        <w:tabs>
          <w:tab w:val="left" w:pos="567"/>
        </w:tabs>
        <w:jc w:val="left"/>
        <w:rPr>
          <w:szCs w:val="22"/>
        </w:rPr>
      </w:pPr>
    </w:p>
    <w:p w:rsidR="00D64020" w:rsidRPr="00971AEB" w:rsidRDefault="00D64020" w:rsidP="00D64020">
      <w:pPr>
        <w:pStyle w:val="Antrat9"/>
        <w:tabs>
          <w:tab w:val="left" w:pos="567"/>
        </w:tabs>
        <w:jc w:val="left"/>
        <w:rPr>
          <w:szCs w:val="22"/>
        </w:rPr>
      </w:pPr>
      <w:r w:rsidRPr="00971AEB">
        <w:rPr>
          <w:szCs w:val="22"/>
        </w:rPr>
        <w:t>Įspėjimai ir atsargumo priemonės</w:t>
      </w:r>
    </w:p>
    <w:p w:rsidR="00D64020" w:rsidRPr="00971AEB" w:rsidRDefault="00D64020" w:rsidP="00D64020">
      <w:pPr>
        <w:rPr>
          <w:sz w:val="22"/>
          <w:szCs w:val="22"/>
        </w:rPr>
      </w:pPr>
      <w:r w:rsidRPr="00971AEB">
        <w:rPr>
          <w:sz w:val="22"/>
          <w:szCs w:val="22"/>
        </w:rPr>
        <w:t xml:space="preserve">Pasitarkite su gydytoju arba vaistininku, prieš pradėdami vartoti </w:t>
      </w:r>
      <w:proofErr w:type="spellStart"/>
      <w:r w:rsidRPr="00971AEB">
        <w:rPr>
          <w:sz w:val="22"/>
          <w:szCs w:val="22"/>
        </w:rPr>
        <w:t>Regulax</w:t>
      </w:r>
      <w:proofErr w:type="spellEnd"/>
      <w:r w:rsidRPr="00971AEB">
        <w:rPr>
          <w:sz w:val="22"/>
          <w:szCs w:val="22"/>
        </w:rPr>
        <w:t xml:space="preserve">: </w:t>
      </w:r>
    </w:p>
    <w:p w:rsidR="00D64020" w:rsidRPr="00971AEB" w:rsidRDefault="00D64020" w:rsidP="00D64020">
      <w:pPr>
        <w:numPr>
          <w:ilvl w:val="0"/>
          <w:numId w:val="2"/>
        </w:numPr>
        <w:rPr>
          <w:sz w:val="22"/>
          <w:szCs w:val="22"/>
        </w:rPr>
      </w:pPr>
      <w:r w:rsidRPr="00971AEB">
        <w:rPr>
          <w:sz w:val="22"/>
          <w:szCs w:val="22"/>
        </w:rPr>
        <w:t xml:space="preserve">jeigu vartojate širdies glikozidų (vaistai, kuriais gydomos širdies ligos), vaistų nuo širdies ritmo sutrikimų, vaistų, kurie gali ilginti QT intervalą, diuretikų (šlapimo kiekį didinančių vaistų), </w:t>
      </w:r>
      <w:proofErr w:type="spellStart"/>
      <w:r w:rsidRPr="00971AEB">
        <w:rPr>
          <w:sz w:val="22"/>
          <w:szCs w:val="22"/>
        </w:rPr>
        <w:t>gliukokortikoidų</w:t>
      </w:r>
      <w:proofErr w:type="spellEnd"/>
      <w:r w:rsidRPr="00971AEB">
        <w:rPr>
          <w:sz w:val="22"/>
          <w:szCs w:val="22"/>
        </w:rPr>
        <w:t xml:space="preserve"> (vaistai nuo uždegimo) ar vaistų, kurių sudėtyje yra saldymedžio šaknies, prieš pradedant kartu vartoti senų lapų ar vaisių turite pasikonsultuoti su gydytoju.</w:t>
      </w:r>
    </w:p>
    <w:p w:rsidR="00D64020" w:rsidRPr="00971AEB" w:rsidRDefault="00D64020" w:rsidP="00D64020">
      <w:pPr>
        <w:pStyle w:val="Pagrindinistekstas"/>
        <w:spacing w:line="240" w:lineRule="auto"/>
        <w:rPr>
          <w:sz w:val="22"/>
          <w:szCs w:val="22"/>
          <w:lang w:val="lt-LT"/>
        </w:rPr>
      </w:pPr>
    </w:p>
    <w:p w:rsidR="00D64020" w:rsidRPr="00971AEB" w:rsidRDefault="00D64020" w:rsidP="00D64020">
      <w:pPr>
        <w:pStyle w:val="Pagrindinistekstas"/>
        <w:numPr>
          <w:ilvl w:val="0"/>
          <w:numId w:val="2"/>
        </w:numPr>
        <w:spacing w:line="240" w:lineRule="auto"/>
        <w:rPr>
          <w:sz w:val="22"/>
          <w:szCs w:val="22"/>
          <w:lang w:val="lt-LT"/>
        </w:rPr>
      </w:pPr>
      <w:r w:rsidRPr="00971AEB">
        <w:rPr>
          <w:sz w:val="22"/>
          <w:szCs w:val="22"/>
          <w:lang w:val="lt-LT"/>
        </w:rPr>
        <w:lastRenderedPageBreak/>
        <w:t xml:space="preserve">Kaip ir kitų vidurių laisvinamųjų vaistų, be gydytojo konsultacijos </w:t>
      </w:r>
      <w:proofErr w:type="spellStart"/>
      <w:r w:rsidRPr="00971AEB">
        <w:rPr>
          <w:sz w:val="22"/>
          <w:szCs w:val="22"/>
          <w:lang w:val="lt-LT"/>
        </w:rPr>
        <w:t>Regulax</w:t>
      </w:r>
      <w:proofErr w:type="spellEnd"/>
      <w:r w:rsidRPr="00971AEB">
        <w:rPr>
          <w:sz w:val="22"/>
          <w:szCs w:val="22"/>
          <w:lang w:val="lt-LT"/>
        </w:rPr>
        <w:t xml:space="preserve"> turi būti nevartojama, jeigu yra pernelyg didelis vidurių užkietėjimas, ar neištirtų nuolatinių simptomų, tokių, kaip pilvo skausmas, pykinimas ar vėmimas, kadangi šie simptomai gali būti žarnų užsikimšimo (žarnų nepraeinamumo) požymiai.</w:t>
      </w:r>
    </w:p>
    <w:p w:rsidR="00D64020" w:rsidRPr="00971AEB" w:rsidRDefault="00D64020" w:rsidP="00D64020">
      <w:pPr>
        <w:pStyle w:val="Pagrindinistekstas"/>
        <w:numPr>
          <w:ilvl w:val="0"/>
          <w:numId w:val="2"/>
        </w:numPr>
        <w:spacing w:line="240" w:lineRule="auto"/>
        <w:rPr>
          <w:sz w:val="22"/>
          <w:szCs w:val="22"/>
          <w:lang w:val="lt-LT"/>
        </w:rPr>
      </w:pPr>
      <w:r w:rsidRPr="00971AEB">
        <w:rPr>
          <w:sz w:val="22"/>
          <w:szCs w:val="22"/>
          <w:lang w:val="lt-LT"/>
        </w:rPr>
        <w:t>Jeigu kasdien reikia vidurių laisvinamųjų vaistų, turi būti nustatyta vidurių užkietėjimo priežastis. Būtina vengti ilgai trunkančio vidurių laisvinamųjų vaistų vartojimo.</w:t>
      </w:r>
    </w:p>
    <w:p w:rsidR="00D64020" w:rsidRPr="00971AEB" w:rsidRDefault="00D64020" w:rsidP="00D64020">
      <w:pPr>
        <w:pStyle w:val="Pagrindinistekstas"/>
        <w:numPr>
          <w:ilvl w:val="0"/>
          <w:numId w:val="2"/>
        </w:numPr>
        <w:spacing w:line="240" w:lineRule="auto"/>
        <w:rPr>
          <w:sz w:val="22"/>
          <w:szCs w:val="22"/>
          <w:lang w:val="lt-LT"/>
        </w:rPr>
      </w:pPr>
      <w:proofErr w:type="spellStart"/>
      <w:r w:rsidRPr="00971AEB">
        <w:rPr>
          <w:sz w:val="22"/>
          <w:szCs w:val="22"/>
          <w:lang w:val="lt-LT"/>
        </w:rPr>
        <w:t>Regulax</w:t>
      </w:r>
      <w:proofErr w:type="spellEnd"/>
      <w:r w:rsidRPr="00971AEB">
        <w:rPr>
          <w:sz w:val="22"/>
          <w:szCs w:val="22"/>
          <w:lang w:val="lt-LT"/>
        </w:rPr>
        <w:t xml:space="preserve"> turi būti vartojama tik nepavykus sukelti gydomojo poveikio dietos pokyčiais ar išmatų tūrį didinančiais vaist</w:t>
      </w:r>
      <w:r>
        <w:rPr>
          <w:sz w:val="22"/>
          <w:szCs w:val="22"/>
          <w:lang w:val="lt-LT"/>
        </w:rPr>
        <w:t>ais</w:t>
      </w:r>
      <w:r w:rsidRPr="00971AEB">
        <w:rPr>
          <w:sz w:val="22"/>
          <w:szCs w:val="22"/>
          <w:lang w:val="lt-LT"/>
        </w:rPr>
        <w:t>.</w:t>
      </w:r>
    </w:p>
    <w:p w:rsidR="00D64020" w:rsidRPr="00971AEB" w:rsidRDefault="00D64020" w:rsidP="00D64020">
      <w:pPr>
        <w:tabs>
          <w:tab w:val="left" w:pos="567"/>
        </w:tabs>
        <w:rPr>
          <w:sz w:val="22"/>
          <w:szCs w:val="22"/>
        </w:rPr>
      </w:pPr>
    </w:p>
    <w:p w:rsidR="00D64020" w:rsidRPr="00971AEB" w:rsidRDefault="00D64020" w:rsidP="00D64020">
      <w:pPr>
        <w:tabs>
          <w:tab w:val="left" w:pos="567"/>
        </w:tabs>
        <w:rPr>
          <w:i/>
          <w:iCs/>
          <w:sz w:val="22"/>
          <w:szCs w:val="22"/>
        </w:rPr>
      </w:pPr>
      <w:r w:rsidRPr="00971AEB">
        <w:rPr>
          <w:i/>
          <w:iCs/>
          <w:sz w:val="22"/>
          <w:szCs w:val="22"/>
        </w:rPr>
        <w:t>Pastaba</w:t>
      </w:r>
    </w:p>
    <w:p w:rsidR="00D64020" w:rsidRPr="00971AEB" w:rsidRDefault="00D64020" w:rsidP="00D64020">
      <w:pPr>
        <w:tabs>
          <w:tab w:val="left" w:pos="567"/>
        </w:tabs>
        <w:rPr>
          <w:sz w:val="22"/>
          <w:szCs w:val="22"/>
        </w:rPr>
      </w:pPr>
      <w:proofErr w:type="spellStart"/>
      <w:r w:rsidRPr="00971AEB">
        <w:rPr>
          <w:sz w:val="22"/>
          <w:szCs w:val="22"/>
        </w:rPr>
        <w:t>Regulax</w:t>
      </w:r>
      <w:proofErr w:type="spellEnd"/>
      <w:r w:rsidRPr="00971AEB">
        <w:rPr>
          <w:sz w:val="22"/>
          <w:szCs w:val="22"/>
        </w:rPr>
        <w:t xml:space="preserve"> vartojantys suaugę žmonės, kurie nelaiko išmatų, turi vengti užsitęsusio odos kontakto su išmatomis ir dažniau keisti įklotą.</w:t>
      </w:r>
    </w:p>
    <w:p w:rsidR="00D64020" w:rsidRPr="00971AEB" w:rsidRDefault="00D64020" w:rsidP="00D64020">
      <w:pPr>
        <w:pStyle w:val="Pagrindinistekstas"/>
        <w:tabs>
          <w:tab w:val="left" w:pos="567"/>
        </w:tabs>
        <w:spacing w:line="240" w:lineRule="auto"/>
        <w:rPr>
          <w:sz w:val="22"/>
          <w:szCs w:val="22"/>
          <w:highlight w:val="yellow"/>
          <w:lang w:val="lt-LT"/>
        </w:rPr>
      </w:pPr>
    </w:p>
    <w:p w:rsidR="00D64020" w:rsidRPr="00971AEB" w:rsidRDefault="00D64020" w:rsidP="00D64020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971AEB">
        <w:rPr>
          <w:b/>
          <w:sz w:val="22"/>
          <w:szCs w:val="22"/>
        </w:rPr>
        <w:t xml:space="preserve">Kiti vaistai ir </w:t>
      </w:r>
      <w:proofErr w:type="spellStart"/>
      <w:r w:rsidRPr="00971AEB">
        <w:rPr>
          <w:b/>
          <w:sz w:val="22"/>
          <w:szCs w:val="22"/>
        </w:rPr>
        <w:t>Regulax</w:t>
      </w:r>
      <w:proofErr w:type="spellEnd"/>
    </w:p>
    <w:p w:rsidR="00D64020" w:rsidRPr="00971AEB" w:rsidRDefault="00D64020" w:rsidP="00D64020">
      <w:pPr>
        <w:rPr>
          <w:sz w:val="22"/>
          <w:szCs w:val="22"/>
        </w:rPr>
      </w:pPr>
      <w:r w:rsidRPr="00971AEB">
        <w:rPr>
          <w:sz w:val="22"/>
          <w:szCs w:val="22"/>
        </w:rPr>
        <w:t>Jeigu vartojate ar neseniai vartojote kitų vaistų arba dėl to nesate tikri, apie tai pasakykite gydytojui arba vaistininkui.</w:t>
      </w:r>
    </w:p>
    <w:p w:rsidR="00D64020" w:rsidRPr="00971AEB" w:rsidRDefault="00D64020" w:rsidP="00D64020">
      <w:pPr>
        <w:tabs>
          <w:tab w:val="left" w:pos="567"/>
        </w:tabs>
        <w:rPr>
          <w:b/>
          <w:sz w:val="22"/>
          <w:szCs w:val="22"/>
          <w:lang w:eastAsia="lt-LT"/>
        </w:rPr>
      </w:pPr>
    </w:p>
    <w:p w:rsidR="00D64020" w:rsidRPr="00971AEB" w:rsidRDefault="00D64020" w:rsidP="00D64020">
      <w:pPr>
        <w:pStyle w:val="Pagrindinistekstas3"/>
        <w:tabs>
          <w:tab w:val="left" w:pos="567"/>
        </w:tabs>
        <w:spacing w:line="240" w:lineRule="auto"/>
        <w:jc w:val="left"/>
        <w:rPr>
          <w:bCs/>
          <w:iCs/>
          <w:sz w:val="22"/>
          <w:szCs w:val="22"/>
        </w:rPr>
      </w:pPr>
      <w:r w:rsidRPr="00971AEB">
        <w:rPr>
          <w:bCs/>
          <w:iCs/>
          <w:sz w:val="22"/>
          <w:szCs w:val="22"/>
        </w:rPr>
        <w:t xml:space="preserve">Nuolatinis vartojimas ar piktnaudžiavimas vaistu gali sukelti kalio trūkumą, kuris gali stiprinti širdies glikozidų poveikį ir daryti įtaką vaistų nuo širdies ritmo sutrikimų, elektrinės </w:t>
      </w:r>
      <w:proofErr w:type="spellStart"/>
      <w:r w:rsidRPr="00971AEB">
        <w:rPr>
          <w:bCs/>
          <w:iCs/>
          <w:sz w:val="22"/>
          <w:szCs w:val="22"/>
        </w:rPr>
        <w:t>kardioversijos</w:t>
      </w:r>
      <w:proofErr w:type="spellEnd"/>
      <w:r w:rsidRPr="00971AEB">
        <w:rPr>
          <w:bCs/>
          <w:iCs/>
          <w:sz w:val="22"/>
          <w:szCs w:val="22"/>
        </w:rPr>
        <w:t xml:space="preserve"> (taip vadinamasis elektrošokas, taikomas širdies ritmo sutrikimų gydymui) metu vartojamų vaistų (pvz., </w:t>
      </w:r>
      <w:proofErr w:type="spellStart"/>
      <w:r w:rsidRPr="00971AEB">
        <w:rPr>
          <w:bCs/>
          <w:iCs/>
          <w:sz w:val="22"/>
          <w:szCs w:val="22"/>
        </w:rPr>
        <w:t>chinidino</w:t>
      </w:r>
      <w:proofErr w:type="spellEnd"/>
      <w:r w:rsidRPr="00971AEB">
        <w:rPr>
          <w:bCs/>
          <w:iCs/>
          <w:sz w:val="22"/>
          <w:szCs w:val="22"/>
        </w:rPr>
        <w:t xml:space="preserve">) ir vaistų, kurie gali sukelti QT intervalo pailgėjimą (matomas elektrokardiogramoje), poveikiui. </w:t>
      </w:r>
    </w:p>
    <w:p w:rsidR="00D64020" w:rsidRPr="00971AEB" w:rsidRDefault="00D64020" w:rsidP="00D64020">
      <w:pPr>
        <w:pStyle w:val="Pagrindinistekstas3"/>
        <w:tabs>
          <w:tab w:val="left" w:pos="567"/>
        </w:tabs>
        <w:spacing w:line="240" w:lineRule="auto"/>
        <w:jc w:val="left"/>
        <w:rPr>
          <w:bCs/>
          <w:iCs/>
          <w:sz w:val="22"/>
          <w:szCs w:val="22"/>
        </w:rPr>
      </w:pPr>
    </w:p>
    <w:p w:rsidR="00D64020" w:rsidRPr="00971AEB" w:rsidRDefault="00D64020" w:rsidP="00D64020">
      <w:pPr>
        <w:pStyle w:val="Pagrindinistekstas3"/>
        <w:tabs>
          <w:tab w:val="left" w:pos="567"/>
        </w:tabs>
        <w:spacing w:line="240" w:lineRule="auto"/>
        <w:jc w:val="left"/>
        <w:rPr>
          <w:bCs/>
          <w:iCs/>
          <w:sz w:val="22"/>
          <w:szCs w:val="22"/>
        </w:rPr>
      </w:pPr>
      <w:r w:rsidRPr="00971AEB">
        <w:rPr>
          <w:bCs/>
          <w:iCs/>
          <w:sz w:val="22"/>
          <w:szCs w:val="22"/>
        </w:rPr>
        <w:t xml:space="preserve">Kalio netekimą gali didinti kartu vartojami diuretikai (šlapimo išskyrimą didinantys vaistai), </w:t>
      </w:r>
      <w:proofErr w:type="spellStart"/>
      <w:r w:rsidRPr="00971AEB">
        <w:rPr>
          <w:bCs/>
          <w:iCs/>
          <w:sz w:val="22"/>
          <w:szCs w:val="22"/>
        </w:rPr>
        <w:t>gliukokortikoidai</w:t>
      </w:r>
      <w:proofErr w:type="spellEnd"/>
      <w:r w:rsidRPr="00971AEB">
        <w:rPr>
          <w:bCs/>
          <w:iCs/>
          <w:sz w:val="22"/>
          <w:szCs w:val="22"/>
        </w:rPr>
        <w:t xml:space="preserve"> (vaistai nuo uždegimo) ir vaistai, kurių sudėtyje yra saldymedžio šaknų. </w:t>
      </w:r>
    </w:p>
    <w:p w:rsidR="00D64020" w:rsidRPr="00971AEB" w:rsidRDefault="00D64020" w:rsidP="00D64020">
      <w:pPr>
        <w:pStyle w:val="Style1"/>
        <w:jc w:val="left"/>
        <w:rPr>
          <w:strike w:val="0"/>
          <w:szCs w:val="22"/>
        </w:rPr>
      </w:pPr>
    </w:p>
    <w:p w:rsidR="00D64020" w:rsidRPr="00971AEB" w:rsidRDefault="00D64020" w:rsidP="00D64020">
      <w:pPr>
        <w:pStyle w:val="Style1"/>
        <w:jc w:val="left"/>
        <w:rPr>
          <w:strike w:val="0"/>
          <w:szCs w:val="22"/>
        </w:rPr>
      </w:pPr>
      <w:r w:rsidRPr="00971AEB">
        <w:rPr>
          <w:strike w:val="0"/>
          <w:szCs w:val="22"/>
        </w:rPr>
        <w:t xml:space="preserve">Prašom atkreipti dėmesį, kad ši informacija gali taip pat tikti neseniai vartotiems vaistams. </w:t>
      </w:r>
    </w:p>
    <w:p w:rsidR="00D64020" w:rsidRPr="00971AEB" w:rsidRDefault="00D64020" w:rsidP="00D64020">
      <w:pPr>
        <w:rPr>
          <w:sz w:val="22"/>
          <w:szCs w:val="22"/>
        </w:rPr>
      </w:pPr>
    </w:p>
    <w:p w:rsidR="00D64020" w:rsidRPr="00971AEB" w:rsidRDefault="00D64020" w:rsidP="00D64020">
      <w:pPr>
        <w:rPr>
          <w:b/>
          <w:bCs/>
          <w:sz w:val="22"/>
          <w:szCs w:val="22"/>
        </w:rPr>
      </w:pPr>
      <w:r w:rsidRPr="00971AEB">
        <w:rPr>
          <w:b/>
          <w:bCs/>
          <w:sz w:val="22"/>
          <w:szCs w:val="22"/>
        </w:rPr>
        <w:t>Nėštumas ir žindymo laikotarpis</w:t>
      </w:r>
    </w:p>
    <w:p w:rsidR="00D64020" w:rsidRPr="00971AEB" w:rsidRDefault="00D64020" w:rsidP="00D64020">
      <w:pPr>
        <w:rPr>
          <w:sz w:val="22"/>
          <w:szCs w:val="22"/>
        </w:rPr>
      </w:pPr>
      <w:r w:rsidRPr="00971AEB">
        <w:rPr>
          <w:sz w:val="22"/>
          <w:szCs w:val="22"/>
        </w:rPr>
        <w:t>Jeigu esate nėščia, žindote kūdikį, manote, kad galbūt esate nėščia arba planuojate pastoti, tai prieš vartodama šį vaistą pasitarkite su gydytoju arba vaistininku.</w:t>
      </w:r>
    </w:p>
    <w:p w:rsidR="00D64020" w:rsidRPr="00971AEB" w:rsidRDefault="00D64020" w:rsidP="00D64020">
      <w:pPr>
        <w:rPr>
          <w:sz w:val="22"/>
          <w:szCs w:val="22"/>
        </w:rPr>
      </w:pPr>
    </w:p>
    <w:p w:rsidR="00D64020" w:rsidRPr="00971AEB" w:rsidRDefault="00D64020" w:rsidP="00D64020">
      <w:pPr>
        <w:rPr>
          <w:sz w:val="22"/>
          <w:szCs w:val="22"/>
        </w:rPr>
      </w:pPr>
      <w:r w:rsidRPr="00971AEB">
        <w:rPr>
          <w:sz w:val="22"/>
          <w:szCs w:val="22"/>
        </w:rPr>
        <w:t xml:space="preserve">Nėštumo metu ir žindymo laikotarpiu </w:t>
      </w:r>
      <w:proofErr w:type="spellStart"/>
      <w:r w:rsidRPr="00971AEB">
        <w:rPr>
          <w:sz w:val="22"/>
          <w:szCs w:val="22"/>
        </w:rPr>
        <w:t>Regulax</w:t>
      </w:r>
      <w:proofErr w:type="spellEnd"/>
      <w:r w:rsidRPr="00971AEB">
        <w:rPr>
          <w:sz w:val="22"/>
          <w:szCs w:val="22"/>
        </w:rPr>
        <w:t xml:space="preserve"> nevartokite (žr. 2 skyrių „Regulas vartoti negalima“).</w:t>
      </w:r>
    </w:p>
    <w:p w:rsidR="00D64020" w:rsidRPr="00971AEB" w:rsidRDefault="00D64020" w:rsidP="00D64020">
      <w:pPr>
        <w:rPr>
          <w:sz w:val="22"/>
          <w:szCs w:val="22"/>
        </w:rPr>
      </w:pPr>
    </w:p>
    <w:p w:rsidR="00D64020" w:rsidRPr="00971AEB" w:rsidRDefault="00D64020" w:rsidP="00D64020">
      <w:pPr>
        <w:rPr>
          <w:b/>
          <w:bCs/>
          <w:sz w:val="22"/>
          <w:szCs w:val="22"/>
        </w:rPr>
      </w:pPr>
      <w:r w:rsidRPr="00971AEB">
        <w:rPr>
          <w:b/>
          <w:bCs/>
          <w:sz w:val="22"/>
          <w:szCs w:val="22"/>
        </w:rPr>
        <w:t>Vairavimas ir mechanizmų valdymas</w:t>
      </w:r>
    </w:p>
    <w:p w:rsidR="00D64020" w:rsidRPr="00971AEB" w:rsidRDefault="00D64020" w:rsidP="00D64020">
      <w:pPr>
        <w:rPr>
          <w:sz w:val="22"/>
          <w:szCs w:val="22"/>
        </w:rPr>
      </w:pPr>
      <w:r w:rsidRPr="00971AEB">
        <w:rPr>
          <w:sz w:val="22"/>
          <w:szCs w:val="22"/>
        </w:rPr>
        <w:t>Šis vaisas Jūsų gebėjimo vairuoti ir valdyti mechanizmus neveikia.</w:t>
      </w:r>
    </w:p>
    <w:p w:rsidR="00D64020" w:rsidRPr="00971AEB" w:rsidRDefault="00D64020" w:rsidP="00D64020">
      <w:pPr>
        <w:rPr>
          <w:sz w:val="22"/>
          <w:szCs w:val="22"/>
          <w:highlight w:val="yellow"/>
        </w:rPr>
      </w:pPr>
    </w:p>
    <w:p w:rsidR="00D64020" w:rsidRDefault="00D64020" w:rsidP="00D64020">
      <w:pPr>
        <w:rPr>
          <w:b/>
          <w:sz w:val="22"/>
          <w:szCs w:val="22"/>
        </w:rPr>
      </w:pPr>
      <w:bookmarkStart w:id="2" w:name="_Hlk88207450"/>
      <w:proofErr w:type="spellStart"/>
      <w:r w:rsidRPr="00DB7A2B">
        <w:rPr>
          <w:b/>
          <w:sz w:val="22"/>
        </w:rPr>
        <w:t>Regulax</w:t>
      </w:r>
      <w:proofErr w:type="spellEnd"/>
      <w:r w:rsidRPr="00DB7A2B">
        <w:rPr>
          <w:b/>
          <w:sz w:val="22"/>
        </w:rPr>
        <w:t xml:space="preserve"> sudėtyje yra invertuotojo cukraus</w:t>
      </w:r>
      <w:r>
        <w:rPr>
          <w:b/>
          <w:sz w:val="22"/>
        </w:rPr>
        <w:t xml:space="preserve">, </w:t>
      </w:r>
      <w:proofErr w:type="spellStart"/>
      <w:r>
        <w:rPr>
          <w:b/>
          <w:sz w:val="22"/>
        </w:rPr>
        <w:t>sorbitolio</w:t>
      </w:r>
      <w:proofErr w:type="spellEnd"/>
      <w:r>
        <w:rPr>
          <w:b/>
          <w:sz w:val="22"/>
        </w:rPr>
        <w:t xml:space="preserve"> ir </w:t>
      </w:r>
      <w:proofErr w:type="spellStart"/>
      <w:r>
        <w:rPr>
          <w:b/>
          <w:sz w:val="22"/>
        </w:rPr>
        <w:t>propilenglikolio</w:t>
      </w:r>
      <w:proofErr w:type="spellEnd"/>
      <w:r w:rsidRPr="0079336B">
        <w:rPr>
          <w:b/>
          <w:sz w:val="22"/>
          <w:szCs w:val="22"/>
        </w:rPr>
        <w:t>.</w:t>
      </w:r>
    </w:p>
    <w:p w:rsidR="00D64020" w:rsidRDefault="00D64020" w:rsidP="00D64020">
      <w:pPr>
        <w:rPr>
          <w:bCs/>
          <w:sz w:val="22"/>
          <w:szCs w:val="22"/>
        </w:rPr>
      </w:pPr>
      <w:r w:rsidRPr="0079336B">
        <w:rPr>
          <w:bCs/>
          <w:sz w:val="22"/>
          <w:szCs w:val="22"/>
        </w:rPr>
        <w:t>Jeigu gydytojas Jums yra sakęs, kad netoleruojate kokių nors angliavandenių, kreipkitės į jį prieš pradėdami vartoti šį vaistą.</w:t>
      </w:r>
    </w:p>
    <w:p w:rsidR="00D64020" w:rsidRDefault="00D64020" w:rsidP="00D64020">
      <w:pPr>
        <w:rPr>
          <w:bCs/>
          <w:sz w:val="22"/>
          <w:szCs w:val="22"/>
        </w:rPr>
      </w:pPr>
    </w:p>
    <w:p w:rsidR="00D64020" w:rsidRDefault="00D64020" w:rsidP="00D6402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Šio vaisto vienoje kramtomojoje tabletėje yra 117,9 mg </w:t>
      </w:r>
      <w:proofErr w:type="spellStart"/>
      <w:r>
        <w:rPr>
          <w:bCs/>
          <w:sz w:val="22"/>
          <w:szCs w:val="22"/>
        </w:rPr>
        <w:t>sorbitolio</w:t>
      </w:r>
      <w:proofErr w:type="spellEnd"/>
      <w:r>
        <w:rPr>
          <w:bCs/>
          <w:sz w:val="22"/>
          <w:szCs w:val="22"/>
        </w:rPr>
        <w:t xml:space="preserve">. </w:t>
      </w:r>
    </w:p>
    <w:p w:rsidR="00D64020" w:rsidRDefault="00D64020" w:rsidP="00D6402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Šio vaisto vienoje kramtomojoje tabletėje yra 724 mg </w:t>
      </w:r>
      <w:proofErr w:type="spellStart"/>
      <w:r>
        <w:rPr>
          <w:bCs/>
          <w:sz w:val="22"/>
          <w:szCs w:val="22"/>
        </w:rPr>
        <w:t>propilenglikolio</w:t>
      </w:r>
      <w:proofErr w:type="spellEnd"/>
      <w:r>
        <w:rPr>
          <w:bCs/>
          <w:sz w:val="22"/>
          <w:szCs w:val="22"/>
        </w:rPr>
        <w:t>.</w:t>
      </w:r>
    </w:p>
    <w:bookmarkEnd w:id="2"/>
    <w:p w:rsidR="00D64020" w:rsidRPr="009C7525" w:rsidRDefault="00D64020" w:rsidP="00D64020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64020" w:rsidRPr="009C7525" w:rsidRDefault="00D64020" w:rsidP="00D64020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64020" w:rsidRPr="00A64397" w:rsidRDefault="00D64020" w:rsidP="00D64020">
      <w:pPr>
        <w:keepNext/>
        <w:numPr>
          <w:ilvl w:val="0"/>
          <w:numId w:val="4"/>
        </w:numPr>
        <w:tabs>
          <w:tab w:val="left" w:pos="567"/>
        </w:tabs>
        <w:ind w:left="567" w:right="-2"/>
        <w:rPr>
          <w:b/>
          <w:sz w:val="22"/>
        </w:rPr>
      </w:pPr>
      <w:r w:rsidRPr="00182736">
        <w:rPr>
          <w:b/>
          <w:sz w:val="22"/>
        </w:rPr>
        <w:t xml:space="preserve">Kaip vartoti </w:t>
      </w:r>
      <w:proofErr w:type="spellStart"/>
      <w:r w:rsidRPr="00182736">
        <w:rPr>
          <w:b/>
          <w:sz w:val="22"/>
        </w:rPr>
        <w:t>Regulax</w:t>
      </w:r>
      <w:proofErr w:type="spellEnd"/>
    </w:p>
    <w:p w:rsidR="00D64020" w:rsidRPr="00DB7A2B" w:rsidRDefault="00D64020" w:rsidP="00D64020">
      <w:pPr>
        <w:keepNext/>
        <w:numPr>
          <w:ilvl w:val="12"/>
          <w:numId w:val="0"/>
        </w:numPr>
        <w:ind w:right="-2"/>
        <w:rPr>
          <w:sz w:val="22"/>
        </w:rPr>
      </w:pPr>
    </w:p>
    <w:p w:rsidR="00D64020" w:rsidRPr="00971AEB" w:rsidRDefault="00D64020" w:rsidP="00D64020">
      <w:pPr>
        <w:numPr>
          <w:ilvl w:val="12"/>
          <w:numId w:val="0"/>
        </w:numPr>
        <w:ind w:right="-2"/>
        <w:rPr>
          <w:sz w:val="22"/>
          <w:szCs w:val="22"/>
        </w:rPr>
      </w:pPr>
      <w:r w:rsidRPr="00971AEB">
        <w:rPr>
          <w:sz w:val="22"/>
          <w:szCs w:val="22"/>
        </w:rPr>
        <w:t>Visada vartokite šį vaistą tiksliai kaip aprašyta šiame lapelyje arba kaip nurodė gydytojas arba vaistininkas. Jeigu abejojate, kreipkitės į gydytoją arba vaistininką.</w:t>
      </w:r>
    </w:p>
    <w:p w:rsidR="00D64020" w:rsidRPr="00971AEB" w:rsidRDefault="00D64020" w:rsidP="00D64020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64020" w:rsidRPr="00971AEB" w:rsidRDefault="00D64020" w:rsidP="00D64020">
      <w:pPr>
        <w:numPr>
          <w:ilvl w:val="12"/>
          <w:numId w:val="0"/>
        </w:numPr>
        <w:ind w:right="-2"/>
        <w:rPr>
          <w:i/>
          <w:sz w:val="22"/>
          <w:szCs w:val="22"/>
        </w:rPr>
      </w:pPr>
      <w:r w:rsidRPr="00971AEB">
        <w:rPr>
          <w:i/>
          <w:iCs/>
          <w:sz w:val="22"/>
          <w:szCs w:val="22"/>
        </w:rPr>
        <w:t>Suaugusieji</w:t>
      </w:r>
    </w:p>
    <w:p w:rsidR="00D64020" w:rsidRPr="00971AEB" w:rsidRDefault="00D64020" w:rsidP="00D64020">
      <w:pPr>
        <w:rPr>
          <w:sz w:val="22"/>
          <w:szCs w:val="22"/>
        </w:rPr>
      </w:pPr>
      <w:r w:rsidRPr="00971AEB">
        <w:rPr>
          <w:sz w:val="22"/>
          <w:szCs w:val="22"/>
        </w:rPr>
        <w:t xml:space="preserve">Jeigu Jūsų gydytojo nepaskirta kitaip, rekomenduojama suaugusiųjų paros dozė yra viena kramtomoji tabletė. </w:t>
      </w:r>
    </w:p>
    <w:p w:rsidR="00D64020" w:rsidRPr="00971AEB" w:rsidRDefault="00D64020" w:rsidP="00D64020">
      <w:pPr>
        <w:rPr>
          <w:sz w:val="22"/>
          <w:szCs w:val="22"/>
        </w:rPr>
      </w:pPr>
    </w:p>
    <w:p w:rsidR="00D64020" w:rsidRPr="00971AEB" w:rsidRDefault="00D64020" w:rsidP="00D64020">
      <w:pPr>
        <w:rPr>
          <w:sz w:val="22"/>
          <w:szCs w:val="22"/>
          <w:u w:val="single"/>
        </w:rPr>
      </w:pPr>
      <w:r w:rsidRPr="00971AEB">
        <w:rPr>
          <w:sz w:val="22"/>
          <w:szCs w:val="22"/>
          <w:u w:val="single"/>
        </w:rPr>
        <w:t xml:space="preserve">Vartojimo metodas </w:t>
      </w:r>
    </w:p>
    <w:p w:rsidR="00D64020" w:rsidRPr="00971AEB" w:rsidRDefault="00D64020" w:rsidP="00D64020">
      <w:pPr>
        <w:rPr>
          <w:sz w:val="22"/>
          <w:szCs w:val="22"/>
        </w:rPr>
      </w:pPr>
      <w:r w:rsidRPr="00971AEB">
        <w:rPr>
          <w:sz w:val="22"/>
          <w:szCs w:val="22"/>
        </w:rPr>
        <w:t xml:space="preserve">Kramtomoji tabletė turi būti gerai sukramtoma ir nuryjama užsigeriant pakankamu kiekiu skysčio, geriau stikline vandens. </w:t>
      </w:r>
    </w:p>
    <w:p w:rsidR="00D64020" w:rsidRPr="00971AEB" w:rsidRDefault="00D64020" w:rsidP="00D64020">
      <w:pPr>
        <w:rPr>
          <w:sz w:val="22"/>
          <w:szCs w:val="22"/>
        </w:rPr>
      </w:pPr>
    </w:p>
    <w:p w:rsidR="00D64020" w:rsidRPr="00971AEB" w:rsidRDefault="00D64020" w:rsidP="00D64020">
      <w:pPr>
        <w:rPr>
          <w:sz w:val="22"/>
          <w:szCs w:val="22"/>
        </w:rPr>
      </w:pPr>
      <w:r w:rsidRPr="00971AEB">
        <w:rPr>
          <w:sz w:val="22"/>
          <w:szCs w:val="22"/>
        </w:rPr>
        <w:t xml:space="preserve">Kadangi vaisto poveikis pasireiškia po 8 valandų, jį rekomenduojama išgerti vakare. </w:t>
      </w:r>
    </w:p>
    <w:p w:rsidR="00D64020" w:rsidRPr="00971AEB" w:rsidRDefault="00D64020" w:rsidP="00D64020">
      <w:pPr>
        <w:rPr>
          <w:sz w:val="22"/>
          <w:szCs w:val="22"/>
        </w:rPr>
      </w:pPr>
    </w:p>
    <w:p w:rsidR="00D64020" w:rsidRPr="00971AEB" w:rsidRDefault="00D64020" w:rsidP="00D64020">
      <w:pPr>
        <w:rPr>
          <w:sz w:val="22"/>
          <w:szCs w:val="22"/>
        </w:rPr>
      </w:pPr>
      <w:r w:rsidRPr="00971AEB">
        <w:rPr>
          <w:sz w:val="22"/>
          <w:szCs w:val="22"/>
        </w:rPr>
        <w:t xml:space="preserve">Tinkama individuali dozė yra ta, nuo kurios išmatos būna minkštos formos. </w:t>
      </w:r>
    </w:p>
    <w:p w:rsidR="00D64020" w:rsidRPr="00971AEB" w:rsidRDefault="00D64020" w:rsidP="00D64020">
      <w:pPr>
        <w:rPr>
          <w:sz w:val="22"/>
          <w:szCs w:val="22"/>
        </w:rPr>
      </w:pPr>
    </w:p>
    <w:p w:rsidR="00D64020" w:rsidRPr="00971AEB" w:rsidRDefault="00D64020" w:rsidP="00D64020">
      <w:pPr>
        <w:rPr>
          <w:b/>
          <w:sz w:val="22"/>
          <w:szCs w:val="22"/>
        </w:rPr>
      </w:pPr>
      <w:r w:rsidRPr="00971AEB">
        <w:rPr>
          <w:b/>
          <w:sz w:val="22"/>
          <w:szCs w:val="22"/>
        </w:rPr>
        <w:t>Vartojimas vaikams ir paaugliams</w:t>
      </w:r>
    </w:p>
    <w:p w:rsidR="00D64020" w:rsidRPr="00971AEB" w:rsidRDefault="00D64020" w:rsidP="00D64020">
      <w:pPr>
        <w:rPr>
          <w:sz w:val="22"/>
          <w:szCs w:val="22"/>
        </w:rPr>
      </w:pPr>
      <w:r w:rsidRPr="00971AEB">
        <w:rPr>
          <w:sz w:val="22"/>
          <w:szCs w:val="22"/>
        </w:rPr>
        <w:t>Vyresniems kaip 12 metų paaugliams reikia vartoti ketvirtį arba pusę kramtomosios tabletės.</w:t>
      </w:r>
    </w:p>
    <w:p w:rsidR="00D64020" w:rsidRPr="00971AEB" w:rsidRDefault="00D64020" w:rsidP="00D64020">
      <w:pPr>
        <w:rPr>
          <w:sz w:val="22"/>
          <w:szCs w:val="22"/>
        </w:rPr>
      </w:pPr>
    </w:p>
    <w:p w:rsidR="00D64020" w:rsidRPr="00971AEB" w:rsidRDefault="00D64020" w:rsidP="00D64020">
      <w:pPr>
        <w:rPr>
          <w:sz w:val="22"/>
          <w:szCs w:val="22"/>
          <w:u w:val="single"/>
        </w:rPr>
      </w:pPr>
      <w:r w:rsidRPr="00971AEB">
        <w:rPr>
          <w:sz w:val="22"/>
          <w:szCs w:val="22"/>
          <w:u w:val="single"/>
        </w:rPr>
        <w:t>Gydymo trukmė</w:t>
      </w:r>
    </w:p>
    <w:p w:rsidR="00D64020" w:rsidRPr="00971AEB" w:rsidRDefault="00D64020" w:rsidP="00D64020">
      <w:pPr>
        <w:tabs>
          <w:tab w:val="left" w:pos="567"/>
        </w:tabs>
        <w:rPr>
          <w:sz w:val="22"/>
          <w:szCs w:val="22"/>
        </w:rPr>
      </w:pPr>
      <w:proofErr w:type="spellStart"/>
      <w:r w:rsidRPr="00971AEB">
        <w:rPr>
          <w:sz w:val="22"/>
          <w:szCs w:val="22"/>
        </w:rPr>
        <w:t>Regulax</w:t>
      </w:r>
      <w:proofErr w:type="spellEnd"/>
      <w:r w:rsidRPr="00971AEB">
        <w:rPr>
          <w:sz w:val="22"/>
          <w:szCs w:val="22"/>
        </w:rPr>
        <w:t xml:space="preserve"> yra skirtas trumpalaikiam vartojimui. Be gydytojo konsultacijos žarnyno veiklą stimuliuojančių vidurių laisvinamųjų vaistų turi būti nevartojama ilgai trunkančiais (ilgesniais kaip 1 – 2 savaičių) periodais.</w:t>
      </w:r>
    </w:p>
    <w:p w:rsidR="00D64020" w:rsidRPr="00971AEB" w:rsidRDefault="00D64020" w:rsidP="00D64020">
      <w:pPr>
        <w:tabs>
          <w:tab w:val="left" w:pos="567"/>
          <w:tab w:val="left" w:pos="709"/>
        </w:tabs>
        <w:rPr>
          <w:sz w:val="22"/>
          <w:szCs w:val="22"/>
        </w:rPr>
      </w:pPr>
      <w:r w:rsidRPr="00971AEB">
        <w:rPr>
          <w:sz w:val="22"/>
          <w:szCs w:val="22"/>
        </w:rPr>
        <w:t>Žarnyno veiklą stimuliuojantys vidurių laisvinamieji vaistai, jeigu jų vartojama ilgai, gali sukelti žarnų neveiklumą.</w:t>
      </w:r>
    </w:p>
    <w:p w:rsidR="00D64020" w:rsidRPr="00971AEB" w:rsidRDefault="00D64020" w:rsidP="00D64020">
      <w:pPr>
        <w:tabs>
          <w:tab w:val="left" w:pos="567"/>
          <w:tab w:val="left" w:pos="709"/>
        </w:tabs>
        <w:rPr>
          <w:sz w:val="22"/>
          <w:szCs w:val="22"/>
        </w:rPr>
      </w:pPr>
    </w:p>
    <w:p w:rsidR="00D64020" w:rsidRPr="00971AEB" w:rsidRDefault="00D64020" w:rsidP="00D64020">
      <w:pPr>
        <w:tabs>
          <w:tab w:val="left" w:pos="567"/>
          <w:tab w:val="left" w:pos="709"/>
        </w:tabs>
        <w:rPr>
          <w:sz w:val="22"/>
          <w:szCs w:val="22"/>
        </w:rPr>
      </w:pPr>
      <w:r w:rsidRPr="00971AEB">
        <w:rPr>
          <w:sz w:val="22"/>
          <w:szCs w:val="22"/>
        </w:rPr>
        <w:t xml:space="preserve">Prašom pasikonsultuoti su savo gydytoju, jeigu manote, kad </w:t>
      </w:r>
      <w:proofErr w:type="spellStart"/>
      <w:r w:rsidRPr="00971AEB">
        <w:rPr>
          <w:sz w:val="22"/>
          <w:szCs w:val="22"/>
        </w:rPr>
        <w:t>Regulax</w:t>
      </w:r>
      <w:proofErr w:type="spellEnd"/>
      <w:r w:rsidRPr="00971AEB">
        <w:rPr>
          <w:sz w:val="22"/>
          <w:szCs w:val="22"/>
        </w:rPr>
        <w:t xml:space="preserve"> sukeliamas poveikis yra per silpnas arba per stiprus.</w:t>
      </w:r>
    </w:p>
    <w:p w:rsidR="00D64020" w:rsidRPr="00971AEB" w:rsidRDefault="00D64020" w:rsidP="00D64020">
      <w:pPr>
        <w:tabs>
          <w:tab w:val="left" w:pos="567"/>
        </w:tabs>
        <w:rPr>
          <w:b/>
          <w:bCs/>
          <w:sz w:val="22"/>
          <w:szCs w:val="22"/>
          <w:highlight w:val="yellow"/>
        </w:rPr>
      </w:pPr>
    </w:p>
    <w:p w:rsidR="00D64020" w:rsidRPr="00971AEB" w:rsidRDefault="00D64020" w:rsidP="00D64020">
      <w:pPr>
        <w:pStyle w:val="Antrat3"/>
        <w:tabs>
          <w:tab w:val="left" w:pos="567"/>
        </w:tabs>
        <w:ind w:left="0"/>
        <w:jc w:val="left"/>
        <w:rPr>
          <w:b/>
          <w:bCs/>
          <w:sz w:val="22"/>
          <w:szCs w:val="22"/>
        </w:rPr>
      </w:pPr>
      <w:r w:rsidRPr="00971AEB">
        <w:rPr>
          <w:b/>
          <w:bCs/>
          <w:sz w:val="22"/>
          <w:szCs w:val="22"/>
        </w:rPr>
        <w:t xml:space="preserve">Ką daryti pavartojus per didelę </w:t>
      </w:r>
      <w:proofErr w:type="spellStart"/>
      <w:r w:rsidRPr="00971AEB">
        <w:rPr>
          <w:b/>
          <w:bCs/>
          <w:sz w:val="22"/>
          <w:szCs w:val="22"/>
        </w:rPr>
        <w:t>Regulax</w:t>
      </w:r>
      <w:proofErr w:type="spellEnd"/>
      <w:r w:rsidRPr="00971AEB">
        <w:rPr>
          <w:b/>
          <w:bCs/>
          <w:sz w:val="22"/>
          <w:szCs w:val="22"/>
        </w:rPr>
        <w:t xml:space="preserve"> dozę</w:t>
      </w:r>
    </w:p>
    <w:p w:rsidR="00D64020" w:rsidRPr="00971AEB" w:rsidRDefault="00D64020" w:rsidP="00D64020">
      <w:pPr>
        <w:jc w:val="both"/>
        <w:rPr>
          <w:sz w:val="22"/>
          <w:szCs w:val="22"/>
        </w:rPr>
      </w:pPr>
      <w:r w:rsidRPr="00971AEB">
        <w:rPr>
          <w:sz w:val="22"/>
          <w:szCs w:val="22"/>
        </w:rPr>
        <w:t>Vidurių laisvinamųjų vaisų perdozavimas tikriausiai sukels sunkų viduriavimą, galbūt kartu su stipriu žarnų stimuliavimu ir pernelyg dideliu vandens bei elektrolitų netekimu. Įtarus perdozavimą prašom informuoti savo gydytoją.</w:t>
      </w:r>
    </w:p>
    <w:p w:rsidR="00D64020" w:rsidRPr="00971AEB" w:rsidRDefault="00D64020" w:rsidP="00D64020">
      <w:pPr>
        <w:pStyle w:val="Pagrindinistekstas"/>
        <w:tabs>
          <w:tab w:val="left" w:pos="567"/>
        </w:tabs>
        <w:spacing w:line="240" w:lineRule="auto"/>
        <w:rPr>
          <w:b/>
          <w:bCs/>
          <w:sz w:val="22"/>
          <w:szCs w:val="22"/>
          <w:lang w:val="lt-LT"/>
        </w:rPr>
      </w:pPr>
    </w:p>
    <w:p w:rsidR="00D64020" w:rsidRPr="00971AEB" w:rsidRDefault="00D64020" w:rsidP="00D64020">
      <w:pPr>
        <w:pStyle w:val="Pagrindinistekstas"/>
        <w:tabs>
          <w:tab w:val="left" w:pos="567"/>
        </w:tabs>
        <w:spacing w:line="240" w:lineRule="auto"/>
        <w:rPr>
          <w:b/>
          <w:bCs/>
          <w:sz w:val="22"/>
          <w:szCs w:val="22"/>
          <w:lang w:val="lt-LT"/>
        </w:rPr>
      </w:pPr>
      <w:r w:rsidRPr="00971AEB">
        <w:rPr>
          <w:b/>
          <w:bCs/>
          <w:sz w:val="22"/>
          <w:szCs w:val="22"/>
          <w:lang w:val="lt-LT"/>
        </w:rPr>
        <w:t xml:space="preserve">Pamiršus pavartoti </w:t>
      </w:r>
      <w:proofErr w:type="spellStart"/>
      <w:r w:rsidRPr="00971AEB">
        <w:rPr>
          <w:b/>
          <w:bCs/>
          <w:sz w:val="22"/>
          <w:szCs w:val="22"/>
          <w:lang w:val="lt-LT"/>
        </w:rPr>
        <w:t>Regulax</w:t>
      </w:r>
      <w:proofErr w:type="spellEnd"/>
    </w:p>
    <w:p w:rsidR="00D64020" w:rsidRPr="00971AEB" w:rsidRDefault="00D64020" w:rsidP="00D64020">
      <w:pPr>
        <w:pStyle w:val="BTEMEASMCA"/>
      </w:pPr>
      <w:r w:rsidRPr="00971AEB">
        <w:t>Jeigu pamiršote išgerti dozę, toliau vartokite kitą dozę taip, kaip įprasta. Negalima vartoti dvigubos dozės norint kompensuoti praleistą dozę.</w:t>
      </w:r>
    </w:p>
    <w:p w:rsidR="00D64020" w:rsidRPr="00971AEB" w:rsidRDefault="00D64020" w:rsidP="00D64020">
      <w:pPr>
        <w:pStyle w:val="BTEMEASMCA"/>
      </w:pPr>
    </w:p>
    <w:p w:rsidR="00D64020" w:rsidRPr="00971AEB" w:rsidRDefault="00D64020" w:rsidP="00D64020">
      <w:pPr>
        <w:rPr>
          <w:b/>
          <w:sz w:val="22"/>
          <w:szCs w:val="22"/>
        </w:rPr>
      </w:pPr>
      <w:r w:rsidRPr="00971AEB">
        <w:rPr>
          <w:b/>
          <w:sz w:val="22"/>
          <w:szCs w:val="22"/>
        </w:rPr>
        <w:t xml:space="preserve">Nustojus vartoti </w:t>
      </w:r>
      <w:proofErr w:type="spellStart"/>
      <w:r w:rsidRPr="00971AEB">
        <w:rPr>
          <w:b/>
          <w:sz w:val="22"/>
          <w:szCs w:val="22"/>
        </w:rPr>
        <w:t>Regulax</w:t>
      </w:r>
      <w:proofErr w:type="spellEnd"/>
    </w:p>
    <w:p w:rsidR="00D64020" w:rsidRPr="00971AEB" w:rsidRDefault="00D64020" w:rsidP="00D64020">
      <w:pPr>
        <w:rPr>
          <w:sz w:val="22"/>
          <w:szCs w:val="22"/>
        </w:rPr>
      </w:pPr>
      <w:r w:rsidRPr="00971AEB">
        <w:rPr>
          <w:sz w:val="22"/>
          <w:szCs w:val="22"/>
        </w:rPr>
        <w:t>Gydymo nutraukimas ar pirmalaikis užbaigimas paprastai yra nepavojingi. Jeigu kyla abejonių, pasiklauskite savo gydytojo.</w:t>
      </w:r>
    </w:p>
    <w:p w:rsidR="00D64020" w:rsidRPr="00971AEB" w:rsidRDefault="00D64020" w:rsidP="00D64020">
      <w:pPr>
        <w:rPr>
          <w:sz w:val="22"/>
          <w:szCs w:val="22"/>
        </w:rPr>
      </w:pPr>
    </w:p>
    <w:p w:rsidR="00D64020" w:rsidRPr="00971AEB" w:rsidRDefault="00D64020" w:rsidP="00D64020">
      <w:pPr>
        <w:rPr>
          <w:sz w:val="22"/>
          <w:szCs w:val="22"/>
        </w:rPr>
      </w:pPr>
      <w:r w:rsidRPr="00971AEB">
        <w:rPr>
          <w:sz w:val="22"/>
          <w:szCs w:val="22"/>
        </w:rPr>
        <w:t>Jeigu kiltų daugiau klausimų dėl šio vaisto vartojimo, kreipkitės į gydytoją arba vaistininką.</w:t>
      </w:r>
    </w:p>
    <w:p w:rsidR="00D64020" w:rsidRPr="00182736" w:rsidRDefault="00D64020" w:rsidP="00D64020">
      <w:pPr>
        <w:numPr>
          <w:ilvl w:val="12"/>
          <w:numId w:val="0"/>
        </w:numPr>
        <w:rPr>
          <w:sz w:val="22"/>
        </w:rPr>
      </w:pPr>
    </w:p>
    <w:p w:rsidR="00D64020" w:rsidRPr="00DB7A2B" w:rsidRDefault="00D64020" w:rsidP="00D64020">
      <w:pPr>
        <w:numPr>
          <w:ilvl w:val="12"/>
          <w:numId w:val="0"/>
        </w:numPr>
        <w:rPr>
          <w:sz w:val="22"/>
        </w:rPr>
      </w:pPr>
    </w:p>
    <w:p w:rsidR="00D64020" w:rsidRPr="00DB7A2B" w:rsidRDefault="00D64020" w:rsidP="00D64020">
      <w:pPr>
        <w:keepNext/>
        <w:numPr>
          <w:ilvl w:val="0"/>
          <w:numId w:val="4"/>
        </w:numPr>
        <w:tabs>
          <w:tab w:val="left" w:pos="567"/>
        </w:tabs>
        <w:ind w:left="567" w:right="-2"/>
        <w:rPr>
          <w:i/>
          <w:sz w:val="22"/>
        </w:rPr>
      </w:pPr>
      <w:r w:rsidRPr="00182736">
        <w:rPr>
          <w:b/>
          <w:sz w:val="22"/>
        </w:rPr>
        <w:t>Galimas šalutinis poveikis</w:t>
      </w:r>
    </w:p>
    <w:p w:rsidR="00D64020" w:rsidRPr="000A6F60" w:rsidRDefault="00D64020" w:rsidP="00D64020">
      <w:pPr>
        <w:keepNext/>
        <w:numPr>
          <w:ilvl w:val="12"/>
          <w:numId w:val="0"/>
        </w:numPr>
        <w:rPr>
          <w:sz w:val="22"/>
          <w:szCs w:val="22"/>
        </w:rPr>
      </w:pPr>
    </w:p>
    <w:p w:rsidR="00D64020" w:rsidRPr="000A6F60" w:rsidRDefault="00D64020" w:rsidP="00D64020">
      <w:pPr>
        <w:numPr>
          <w:ilvl w:val="12"/>
          <w:numId w:val="0"/>
        </w:numPr>
        <w:ind w:right="-29"/>
        <w:rPr>
          <w:sz w:val="22"/>
          <w:szCs w:val="22"/>
        </w:rPr>
      </w:pPr>
      <w:r w:rsidRPr="000A6F60">
        <w:rPr>
          <w:sz w:val="22"/>
          <w:szCs w:val="22"/>
        </w:rPr>
        <w:t>Šis vaistas, kaip ir visi kiti, gali sukelti šalutinį poveikį, nors jis pasireiškia ne visiems žmonėms.</w:t>
      </w:r>
    </w:p>
    <w:p w:rsidR="00D64020" w:rsidRPr="000A6F60" w:rsidRDefault="00D64020" w:rsidP="00D64020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D64020" w:rsidRPr="00971AEB" w:rsidRDefault="00D64020" w:rsidP="00D64020">
      <w:pPr>
        <w:tabs>
          <w:tab w:val="left" w:pos="567"/>
        </w:tabs>
        <w:rPr>
          <w:i/>
          <w:iCs/>
          <w:sz w:val="22"/>
          <w:szCs w:val="22"/>
          <w:u w:val="single"/>
        </w:rPr>
      </w:pPr>
      <w:r w:rsidRPr="00971AEB">
        <w:rPr>
          <w:i/>
          <w:iCs/>
          <w:sz w:val="22"/>
          <w:szCs w:val="22"/>
          <w:u w:val="single"/>
        </w:rPr>
        <w:t>Imuninės sistemos sutrikimai</w:t>
      </w:r>
    </w:p>
    <w:p w:rsidR="00D64020" w:rsidRPr="00971AEB" w:rsidRDefault="00D64020" w:rsidP="00D64020">
      <w:pPr>
        <w:tabs>
          <w:tab w:val="left" w:pos="567"/>
        </w:tabs>
        <w:rPr>
          <w:b/>
          <w:sz w:val="22"/>
          <w:szCs w:val="22"/>
        </w:rPr>
      </w:pPr>
      <w:r w:rsidRPr="00971AEB">
        <w:rPr>
          <w:bCs/>
          <w:sz w:val="22"/>
          <w:szCs w:val="22"/>
        </w:rPr>
        <w:t>Gali pasireikšti padidėjusio jautrumo</w:t>
      </w:r>
      <w:r w:rsidRPr="00971AEB">
        <w:rPr>
          <w:sz w:val="22"/>
          <w:szCs w:val="22"/>
        </w:rPr>
        <w:t xml:space="preserve"> reakcijos (</w:t>
      </w:r>
      <w:r w:rsidRPr="00971AEB">
        <w:rPr>
          <w:bCs/>
          <w:sz w:val="22"/>
          <w:szCs w:val="22"/>
        </w:rPr>
        <w:t>niežulys</w:t>
      </w:r>
      <w:r w:rsidRPr="00971AEB">
        <w:rPr>
          <w:sz w:val="22"/>
          <w:szCs w:val="22"/>
        </w:rPr>
        <w:t xml:space="preserve">, dilgėlinė, </w:t>
      </w:r>
      <w:r w:rsidRPr="00971AEB">
        <w:rPr>
          <w:bCs/>
          <w:sz w:val="22"/>
          <w:szCs w:val="22"/>
        </w:rPr>
        <w:t>lokalus ar išplitęs išbėrimas</w:t>
      </w:r>
      <w:r w:rsidRPr="00971AEB">
        <w:rPr>
          <w:sz w:val="22"/>
          <w:szCs w:val="22"/>
        </w:rPr>
        <w:t>).</w:t>
      </w:r>
    </w:p>
    <w:p w:rsidR="00D64020" w:rsidRPr="00971AEB" w:rsidRDefault="00D64020" w:rsidP="00D64020">
      <w:pPr>
        <w:tabs>
          <w:tab w:val="left" w:pos="567"/>
        </w:tabs>
        <w:rPr>
          <w:sz w:val="22"/>
          <w:szCs w:val="22"/>
        </w:rPr>
      </w:pPr>
    </w:p>
    <w:p w:rsidR="00D64020" w:rsidRPr="00971AEB" w:rsidRDefault="00D64020" w:rsidP="00D64020">
      <w:pPr>
        <w:tabs>
          <w:tab w:val="left" w:pos="567"/>
        </w:tabs>
        <w:rPr>
          <w:sz w:val="22"/>
          <w:szCs w:val="22"/>
          <w:u w:val="single"/>
        </w:rPr>
      </w:pPr>
      <w:r w:rsidRPr="00971AEB">
        <w:rPr>
          <w:sz w:val="22"/>
          <w:szCs w:val="22"/>
          <w:u w:val="single"/>
        </w:rPr>
        <w:t>Metabolizmo ir mitybos sutrikimai</w:t>
      </w:r>
    </w:p>
    <w:p w:rsidR="00D64020" w:rsidRPr="00971AEB" w:rsidRDefault="00D64020" w:rsidP="00D64020">
      <w:pPr>
        <w:tabs>
          <w:tab w:val="left" w:pos="567"/>
        </w:tabs>
        <w:rPr>
          <w:sz w:val="22"/>
          <w:szCs w:val="22"/>
        </w:rPr>
      </w:pPr>
      <w:r w:rsidRPr="00971AEB">
        <w:rPr>
          <w:sz w:val="22"/>
          <w:szCs w:val="22"/>
        </w:rPr>
        <w:t>Nuolatinis vidurių laisvinamųjų vaistų vartojimas ar piktnaudžiavimas jais, gali sukelti skysčio ir elektrolitų pusiausvyras sutrikimą (ypač kalio netekimą).</w:t>
      </w:r>
    </w:p>
    <w:p w:rsidR="00D64020" w:rsidRPr="00971AEB" w:rsidRDefault="00D64020" w:rsidP="00D64020">
      <w:pPr>
        <w:tabs>
          <w:tab w:val="left" w:pos="567"/>
        </w:tabs>
        <w:rPr>
          <w:sz w:val="22"/>
          <w:szCs w:val="22"/>
        </w:rPr>
      </w:pPr>
    </w:p>
    <w:p w:rsidR="00D64020" w:rsidRPr="00971AEB" w:rsidRDefault="00D64020" w:rsidP="00D64020">
      <w:pPr>
        <w:tabs>
          <w:tab w:val="left" w:pos="567"/>
        </w:tabs>
        <w:rPr>
          <w:i/>
          <w:iCs/>
          <w:sz w:val="22"/>
          <w:szCs w:val="22"/>
        </w:rPr>
      </w:pPr>
      <w:r w:rsidRPr="00971AEB">
        <w:rPr>
          <w:i/>
          <w:iCs/>
          <w:sz w:val="22"/>
          <w:szCs w:val="22"/>
        </w:rPr>
        <w:t>Širdies sutrikimai</w:t>
      </w:r>
    </w:p>
    <w:p w:rsidR="00D64020" w:rsidRPr="00971AEB" w:rsidRDefault="00D64020" w:rsidP="00D64020">
      <w:pPr>
        <w:tabs>
          <w:tab w:val="left" w:pos="567"/>
        </w:tabs>
        <w:rPr>
          <w:sz w:val="22"/>
          <w:szCs w:val="22"/>
        </w:rPr>
      </w:pPr>
      <w:r w:rsidRPr="00971AEB">
        <w:rPr>
          <w:sz w:val="22"/>
          <w:szCs w:val="22"/>
        </w:rPr>
        <w:t xml:space="preserve">Kalio netekimas gali sukelti širdies veiklos sutrikimus, ypač pacientams, kurie kartu vartoja širdies glikozidų (vaistų, kurie didina širdies išdirbį), diuretikų (vaistai, didinantys šlapimo išskyrimą) ar </w:t>
      </w:r>
      <w:proofErr w:type="spellStart"/>
      <w:r w:rsidRPr="00971AEB">
        <w:rPr>
          <w:sz w:val="22"/>
          <w:szCs w:val="22"/>
        </w:rPr>
        <w:t>gliukokortikoidų</w:t>
      </w:r>
      <w:proofErr w:type="spellEnd"/>
      <w:r w:rsidRPr="00971AEB">
        <w:rPr>
          <w:sz w:val="22"/>
          <w:szCs w:val="22"/>
        </w:rPr>
        <w:t xml:space="preserve"> (vaistų nuo uždegimo).</w:t>
      </w:r>
    </w:p>
    <w:p w:rsidR="00D64020" w:rsidRPr="00971AEB" w:rsidRDefault="00D64020" w:rsidP="00D64020">
      <w:pPr>
        <w:tabs>
          <w:tab w:val="left" w:pos="567"/>
        </w:tabs>
        <w:rPr>
          <w:sz w:val="22"/>
          <w:szCs w:val="22"/>
        </w:rPr>
      </w:pPr>
    </w:p>
    <w:p w:rsidR="00D64020" w:rsidRPr="00971AEB" w:rsidRDefault="00D64020" w:rsidP="00D64020">
      <w:pPr>
        <w:tabs>
          <w:tab w:val="left" w:pos="567"/>
        </w:tabs>
        <w:rPr>
          <w:i/>
          <w:iCs/>
          <w:sz w:val="22"/>
          <w:szCs w:val="22"/>
        </w:rPr>
      </w:pPr>
      <w:r w:rsidRPr="00971AEB">
        <w:rPr>
          <w:i/>
          <w:iCs/>
          <w:sz w:val="22"/>
          <w:szCs w:val="22"/>
        </w:rPr>
        <w:t>Virškinimo trakto sutrikimai</w:t>
      </w:r>
    </w:p>
    <w:p w:rsidR="00D64020" w:rsidRPr="00971AEB" w:rsidRDefault="00D64020" w:rsidP="00D64020">
      <w:pPr>
        <w:tabs>
          <w:tab w:val="left" w:pos="567"/>
        </w:tabs>
        <w:rPr>
          <w:sz w:val="22"/>
          <w:szCs w:val="22"/>
        </w:rPr>
      </w:pPr>
      <w:r w:rsidRPr="00971AEB">
        <w:rPr>
          <w:sz w:val="22"/>
          <w:szCs w:val="22"/>
        </w:rPr>
        <w:t>Pavieniai virškinimo trakto spazminiai negalavimai ir viduriavimas. Tokiais atvejais reikalinga sumažinti dozę.</w:t>
      </w:r>
    </w:p>
    <w:p w:rsidR="00D64020" w:rsidRPr="00971AEB" w:rsidRDefault="00D64020" w:rsidP="00D64020">
      <w:pPr>
        <w:tabs>
          <w:tab w:val="left" w:pos="567"/>
        </w:tabs>
        <w:rPr>
          <w:sz w:val="22"/>
          <w:szCs w:val="22"/>
        </w:rPr>
      </w:pPr>
      <w:r w:rsidRPr="00971AEB">
        <w:rPr>
          <w:sz w:val="22"/>
          <w:szCs w:val="22"/>
        </w:rPr>
        <w:t>Nuolatinis vidurių laisvinamųjų vaistų vartojimas arba piktnaudžiavimas jais gali sukelti pigmento sankaupų atsiradimą žarnų gleivinėje (</w:t>
      </w:r>
      <w:proofErr w:type="spellStart"/>
      <w:r w:rsidRPr="00971AEB">
        <w:rPr>
          <w:i/>
          <w:iCs/>
          <w:sz w:val="22"/>
          <w:szCs w:val="22"/>
        </w:rPr>
        <w:t>Pseudomelanosis</w:t>
      </w:r>
      <w:proofErr w:type="spellEnd"/>
      <w:r w:rsidRPr="00971AEB">
        <w:rPr>
          <w:i/>
          <w:sz w:val="22"/>
          <w:szCs w:val="22"/>
        </w:rPr>
        <w:t xml:space="preserve"> coli</w:t>
      </w:r>
      <w:r w:rsidRPr="006801F1">
        <w:rPr>
          <w:iCs/>
          <w:sz w:val="22"/>
          <w:szCs w:val="22"/>
        </w:rPr>
        <w:t>)</w:t>
      </w:r>
      <w:r w:rsidRPr="00971AEB">
        <w:rPr>
          <w:i/>
          <w:sz w:val="22"/>
          <w:szCs w:val="22"/>
        </w:rPr>
        <w:t xml:space="preserve">, </w:t>
      </w:r>
      <w:r w:rsidRPr="00971AEB">
        <w:rPr>
          <w:iCs/>
          <w:sz w:val="22"/>
          <w:szCs w:val="22"/>
        </w:rPr>
        <w:t>tačiau jos yra</w:t>
      </w:r>
      <w:r w:rsidRPr="00971AEB">
        <w:rPr>
          <w:i/>
          <w:iCs/>
          <w:sz w:val="22"/>
          <w:szCs w:val="22"/>
        </w:rPr>
        <w:t xml:space="preserve"> </w:t>
      </w:r>
      <w:r w:rsidRPr="00971AEB">
        <w:rPr>
          <w:sz w:val="22"/>
          <w:szCs w:val="22"/>
        </w:rPr>
        <w:t xml:space="preserve">nekenksmingos ir paprastai išnyksta nustojus vartoti </w:t>
      </w:r>
      <w:r>
        <w:rPr>
          <w:sz w:val="22"/>
          <w:szCs w:val="22"/>
        </w:rPr>
        <w:t>vaistą</w:t>
      </w:r>
      <w:r w:rsidRPr="00971AEB">
        <w:rPr>
          <w:sz w:val="22"/>
          <w:szCs w:val="22"/>
        </w:rPr>
        <w:t>.</w:t>
      </w:r>
    </w:p>
    <w:p w:rsidR="00D64020" w:rsidRPr="00971AEB" w:rsidRDefault="00D64020" w:rsidP="00D64020">
      <w:pPr>
        <w:tabs>
          <w:tab w:val="left" w:pos="567"/>
        </w:tabs>
        <w:rPr>
          <w:sz w:val="22"/>
          <w:szCs w:val="22"/>
        </w:rPr>
      </w:pPr>
    </w:p>
    <w:p w:rsidR="00D64020" w:rsidRPr="00971AEB" w:rsidRDefault="00D64020" w:rsidP="00D64020">
      <w:pPr>
        <w:tabs>
          <w:tab w:val="left" w:pos="567"/>
        </w:tabs>
        <w:rPr>
          <w:i/>
          <w:iCs/>
          <w:sz w:val="22"/>
          <w:szCs w:val="22"/>
        </w:rPr>
      </w:pPr>
      <w:r w:rsidRPr="00971AEB">
        <w:rPr>
          <w:i/>
          <w:iCs/>
          <w:sz w:val="22"/>
          <w:szCs w:val="22"/>
        </w:rPr>
        <w:lastRenderedPageBreak/>
        <w:t>Skeleto, raumenų ir jungiamojo audinio sutrikimai</w:t>
      </w:r>
    </w:p>
    <w:p w:rsidR="00D64020" w:rsidRPr="00971AEB" w:rsidRDefault="00D64020" w:rsidP="00D64020">
      <w:pPr>
        <w:tabs>
          <w:tab w:val="left" w:pos="567"/>
        </w:tabs>
        <w:rPr>
          <w:sz w:val="22"/>
          <w:szCs w:val="22"/>
        </w:rPr>
      </w:pPr>
      <w:r w:rsidRPr="00971AEB">
        <w:rPr>
          <w:sz w:val="22"/>
          <w:szCs w:val="22"/>
        </w:rPr>
        <w:t xml:space="preserve">Kalio netekimas gali sukelti raumenų silpnumą, ypač pacientams, kurie kartu vartoja </w:t>
      </w:r>
      <w:r w:rsidRPr="00971AEB">
        <w:rPr>
          <w:bCs/>
          <w:iCs/>
          <w:sz w:val="22"/>
          <w:szCs w:val="22"/>
        </w:rPr>
        <w:t xml:space="preserve">širdies glikozidų, diuretikų ar </w:t>
      </w:r>
      <w:proofErr w:type="spellStart"/>
      <w:r w:rsidRPr="00971AEB">
        <w:rPr>
          <w:bCs/>
          <w:iCs/>
          <w:sz w:val="22"/>
          <w:szCs w:val="22"/>
        </w:rPr>
        <w:t>gliukokortikoidų</w:t>
      </w:r>
      <w:proofErr w:type="spellEnd"/>
      <w:r w:rsidRPr="00971AEB">
        <w:rPr>
          <w:bCs/>
          <w:iCs/>
          <w:sz w:val="22"/>
          <w:szCs w:val="22"/>
        </w:rPr>
        <w:t>.</w:t>
      </w:r>
    </w:p>
    <w:p w:rsidR="00D64020" w:rsidRPr="00971AEB" w:rsidRDefault="00D64020" w:rsidP="00D64020">
      <w:pPr>
        <w:tabs>
          <w:tab w:val="left" w:pos="567"/>
        </w:tabs>
        <w:rPr>
          <w:sz w:val="22"/>
          <w:szCs w:val="22"/>
        </w:rPr>
      </w:pPr>
    </w:p>
    <w:p w:rsidR="00D64020" w:rsidRPr="00971AEB" w:rsidRDefault="00D64020" w:rsidP="00D64020">
      <w:pPr>
        <w:tabs>
          <w:tab w:val="left" w:pos="567"/>
        </w:tabs>
        <w:rPr>
          <w:i/>
          <w:iCs/>
          <w:sz w:val="22"/>
          <w:szCs w:val="22"/>
        </w:rPr>
      </w:pPr>
      <w:r w:rsidRPr="00971AEB">
        <w:rPr>
          <w:i/>
          <w:iCs/>
          <w:sz w:val="22"/>
          <w:szCs w:val="22"/>
        </w:rPr>
        <w:t xml:space="preserve">Inkstų ir šlapimo takų sutrikimai </w:t>
      </w:r>
    </w:p>
    <w:p w:rsidR="00D64020" w:rsidRPr="00971AEB" w:rsidRDefault="00D64020" w:rsidP="00D64020">
      <w:pPr>
        <w:tabs>
          <w:tab w:val="left" w:pos="567"/>
        </w:tabs>
        <w:rPr>
          <w:sz w:val="22"/>
          <w:szCs w:val="22"/>
        </w:rPr>
      </w:pPr>
      <w:r w:rsidRPr="00971AEB">
        <w:rPr>
          <w:sz w:val="22"/>
          <w:szCs w:val="22"/>
        </w:rPr>
        <w:t xml:space="preserve">Nuolatinis vidurių laisvinamųjų vaistų vartojimas arba piktnaudžiavimas jais gali sukelti </w:t>
      </w:r>
      <w:proofErr w:type="spellStart"/>
      <w:r w:rsidRPr="00971AEB">
        <w:rPr>
          <w:sz w:val="22"/>
          <w:szCs w:val="22"/>
        </w:rPr>
        <w:t>albuminuriją</w:t>
      </w:r>
      <w:proofErr w:type="spellEnd"/>
      <w:r w:rsidRPr="00971AEB">
        <w:rPr>
          <w:sz w:val="22"/>
          <w:szCs w:val="22"/>
        </w:rPr>
        <w:t xml:space="preserve"> (</w:t>
      </w:r>
      <w:proofErr w:type="spellStart"/>
      <w:r w:rsidRPr="00971AEB">
        <w:rPr>
          <w:sz w:val="22"/>
          <w:szCs w:val="22"/>
        </w:rPr>
        <w:t>albumino</w:t>
      </w:r>
      <w:proofErr w:type="spellEnd"/>
      <w:r w:rsidRPr="00971AEB">
        <w:rPr>
          <w:sz w:val="22"/>
          <w:szCs w:val="22"/>
        </w:rPr>
        <w:t xml:space="preserve"> atsiradimą šlapime) ir </w:t>
      </w:r>
      <w:proofErr w:type="spellStart"/>
      <w:r w:rsidRPr="00971AEB">
        <w:rPr>
          <w:sz w:val="22"/>
          <w:szCs w:val="22"/>
        </w:rPr>
        <w:t>hematuriją</w:t>
      </w:r>
      <w:proofErr w:type="spellEnd"/>
      <w:r w:rsidRPr="00971AEB">
        <w:rPr>
          <w:sz w:val="22"/>
          <w:szCs w:val="22"/>
        </w:rPr>
        <w:t xml:space="preserve"> (kraujo atsiradimą šlapime).</w:t>
      </w:r>
    </w:p>
    <w:p w:rsidR="00D64020" w:rsidRPr="00971AEB" w:rsidRDefault="00D64020" w:rsidP="00D64020">
      <w:pPr>
        <w:tabs>
          <w:tab w:val="left" w:pos="567"/>
        </w:tabs>
        <w:rPr>
          <w:sz w:val="22"/>
          <w:szCs w:val="22"/>
        </w:rPr>
      </w:pPr>
      <w:r w:rsidRPr="00971AEB">
        <w:rPr>
          <w:sz w:val="22"/>
          <w:szCs w:val="22"/>
        </w:rPr>
        <w:t>Gydymo metu šlapimas dėl metabolitų gali tapti geltonas ar rausvai rudas (priklausomai nuo pH), tačiau tai kliniškai nereikšminga.</w:t>
      </w:r>
    </w:p>
    <w:p w:rsidR="00D64020" w:rsidRPr="00971AEB" w:rsidRDefault="00D64020" w:rsidP="00D64020">
      <w:pPr>
        <w:pStyle w:val="BTEMEASMCA"/>
      </w:pPr>
    </w:p>
    <w:p w:rsidR="00D64020" w:rsidRPr="00971AEB" w:rsidRDefault="00D64020" w:rsidP="00D64020">
      <w:pPr>
        <w:tabs>
          <w:tab w:val="left" w:pos="567"/>
        </w:tabs>
        <w:rPr>
          <w:sz w:val="22"/>
          <w:szCs w:val="22"/>
        </w:rPr>
      </w:pPr>
    </w:p>
    <w:p w:rsidR="00D64020" w:rsidRPr="00971AEB" w:rsidRDefault="00D64020" w:rsidP="00D64020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el-GR"/>
        </w:rPr>
      </w:pPr>
      <w:r w:rsidRPr="00971AEB">
        <w:rPr>
          <w:b/>
          <w:noProof/>
          <w:sz w:val="22"/>
          <w:szCs w:val="22"/>
        </w:rPr>
        <w:t>Pranešimas apie šalutinį poveikį</w:t>
      </w:r>
    </w:p>
    <w:p w:rsidR="00D64020" w:rsidRPr="005D554B" w:rsidRDefault="00D64020" w:rsidP="00D64020">
      <w:pPr>
        <w:tabs>
          <w:tab w:val="left" w:pos="567"/>
        </w:tabs>
        <w:spacing w:line="260" w:lineRule="exact"/>
        <w:ind w:right="-1"/>
        <w:rPr>
          <w:snapToGrid w:val="0"/>
          <w:sz w:val="22"/>
        </w:rPr>
      </w:pPr>
      <w:r w:rsidRPr="005D554B">
        <w:rPr>
          <w:snapToGrid w:val="0"/>
          <w:sz w:val="22"/>
        </w:rPr>
        <w:t>Jeigu pasireiškė šalutinis poveikis, įskaitant šiame lapelyje nenurodytą, pasakykite gydytojui</w:t>
      </w:r>
      <w:r>
        <w:rPr>
          <w:snapToGrid w:val="0"/>
          <w:sz w:val="22"/>
        </w:rPr>
        <w:t xml:space="preserve"> </w:t>
      </w:r>
      <w:r w:rsidRPr="005D554B">
        <w:rPr>
          <w:snapToGrid w:val="0"/>
          <w:sz w:val="22"/>
        </w:rPr>
        <w:t>arba</w:t>
      </w:r>
      <w:r>
        <w:rPr>
          <w:snapToGrid w:val="0"/>
          <w:sz w:val="22"/>
        </w:rPr>
        <w:t xml:space="preserve"> </w:t>
      </w:r>
      <w:r w:rsidRPr="005D554B">
        <w:rPr>
          <w:snapToGrid w:val="0"/>
          <w:sz w:val="22"/>
        </w:rPr>
        <w:t xml:space="preserve">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5D554B">
          <w:rPr>
            <w:snapToGrid w:val="0"/>
            <w:color w:val="0000FF"/>
            <w:sz w:val="22"/>
            <w:u w:val="single"/>
          </w:rPr>
          <w:t>https://vapris.vvkt.lt/vvkt-web/public/nrv</w:t>
        </w:r>
      </w:hyperlink>
      <w:r w:rsidRPr="005D554B">
        <w:rPr>
          <w:snapToGrid w:val="0"/>
          <w:sz w:val="22"/>
        </w:rPr>
        <w:t xml:space="preserve"> arba užpildant Paciento pranešimo apie įtariamą nepageidaujamą reakciją (ĮNR) formą, kuri skelbiama </w:t>
      </w:r>
      <w:hyperlink r:id="rId6" w:history="1">
        <w:r w:rsidRPr="005D554B">
          <w:rPr>
            <w:snapToGrid w:val="0"/>
            <w:color w:val="0000FF"/>
            <w:sz w:val="22"/>
            <w:u w:val="single"/>
          </w:rPr>
          <w:t>https://www.vvkt.lt/index.php?4004286486</w:t>
        </w:r>
      </w:hyperlink>
      <w:r w:rsidRPr="005D554B">
        <w:rPr>
          <w:snapToGrid w:val="0"/>
          <w:sz w:val="22"/>
        </w:rPr>
        <w:t xml:space="preserve">, ir atsiunčiant elektroniniu paštu (adresu </w:t>
      </w:r>
      <w:hyperlink r:id="rId7" w:history="1">
        <w:r w:rsidRPr="005D554B">
          <w:rPr>
            <w:snapToGrid w:val="0"/>
            <w:color w:val="0000FF"/>
            <w:sz w:val="22"/>
            <w:u w:val="single"/>
          </w:rPr>
          <w:t>NepageidaujamaR@vvkt.lt</w:t>
        </w:r>
      </w:hyperlink>
      <w:r w:rsidRPr="005D554B">
        <w:rPr>
          <w:snapToGrid w:val="0"/>
          <w:sz w:val="22"/>
        </w:rPr>
        <w:t>) arba nemokamu telefonu 8 800 73 568. Pranešdami apie šalutinį poveikį galite mums padėti gauti daugiau informacijos apie šio vaisto saugumą.</w:t>
      </w:r>
    </w:p>
    <w:p w:rsidR="00D64020" w:rsidRPr="00DB7A2B" w:rsidRDefault="00D64020" w:rsidP="00D64020">
      <w:pPr>
        <w:ind w:right="-449"/>
        <w:rPr>
          <w:color w:val="000000" w:themeColor="text1"/>
          <w:sz w:val="22"/>
        </w:rPr>
      </w:pPr>
    </w:p>
    <w:p w:rsidR="00D64020" w:rsidRPr="00AF3443" w:rsidRDefault="00D64020" w:rsidP="00D64020">
      <w:pPr>
        <w:autoSpaceDE w:val="0"/>
        <w:autoSpaceDN w:val="0"/>
        <w:adjustRightInd w:val="0"/>
        <w:rPr>
          <w:sz w:val="22"/>
          <w:szCs w:val="22"/>
        </w:rPr>
      </w:pPr>
    </w:p>
    <w:p w:rsidR="00D64020" w:rsidRPr="005F0223" w:rsidRDefault="00D64020" w:rsidP="00D64020">
      <w:pPr>
        <w:keepNext/>
        <w:numPr>
          <w:ilvl w:val="0"/>
          <w:numId w:val="4"/>
        </w:numPr>
        <w:tabs>
          <w:tab w:val="left" w:pos="567"/>
        </w:tabs>
        <w:ind w:left="567" w:right="-2"/>
      </w:pPr>
      <w:bookmarkStart w:id="3" w:name="_Toc129243143"/>
      <w:bookmarkStart w:id="4" w:name="_Toc129243268"/>
      <w:r w:rsidRPr="00DB7A2B">
        <w:rPr>
          <w:b/>
          <w:sz w:val="22"/>
        </w:rPr>
        <w:t xml:space="preserve">Kaip laikyti </w:t>
      </w:r>
      <w:proofErr w:type="spellStart"/>
      <w:r w:rsidRPr="00DB7A2B">
        <w:rPr>
          <w:b/>
          <w:sz w:val="22"/>
        </w:rPr>
        <w:t>Regulax</w:t>
      </w:r>
      <w:bookmarkEnd w:id="3"/>
      <w:bookmarkEnd w:id="4"/>
      <w:proofErr w:type="spellEnd"/>
    </w:p>
    <w:p w:rsidR="00D64020" w:rsidRPr="00DB7A2B" w:rsidRDefault="00D64020" w:rsidP="00D64020">
      <w:pPr>
        <w:keepNext/>
        <w:numPr>
          <w:ilvl w:val="12"/>
          <w:numId w:val="0"/>
        </w:numPr>
        <w:ind w:right="-2"/>
      </w:pPr>
    </w:p>
    <w:p w:rsidR="00D64020" w:rsidRPr="00971AEB" w:rsidRDefault="00D64020" w:rsidP="00D64020">
      <w:pPr>
        <w:pStyle w:val="BTEMEASMCA"/>
        <w:rPr>
          <w:noProof w:val="0"/>
        </w:rPr>
      </w:pPr>
      <w:r w:rsidRPr="00971AEB">
        <w:t>Šį vaistą laikykite</w:t>
      </w:r>
      <w:r w:rsidRPr="00971AEB">
        <w:rPr>
          <w:noProof w:val="0"/>
        </w:rPr>
        <w:t xml:space="preserve"> vaikams </w:t>
      </w:r>
      <w:r w:rsidRPr="00971AEB">
        <w:t xml:space="preserve">nepastebimoje ir </w:t>
      </w:r>
      <w:r w:rsidRPr="00971AEB">
        <w:rPr>
          <w:noProof w:val="0"/>
        </w:rPr>
        <w:t>nepasiekiamoje vietoje.</w:t>
      </w:r>
    </w:p>
    <w:p w:rsidR="00D64020" w:rsidRPr="00971AEB" w:rsidRDefault="00D64020" w:rsidP="00D64020">
      <w:pPr>
        <w:pStyle w:val="Pagrindinistekstas3"/>
        <w:spacing w:line="240" w:lineRule="auto"/>
        <w:jc w:val="left"/>
        <w:rPr>
          <w:sz w:val="22"/>
          <w:szCs w:val="22"/>
        </w:rPr>
      </w:pPr>
      <w:r w:rsidRPr="00971AEB">
        <w:rPr>
          <w:sz w:val="22"/>
          <w:szCs w:val="22"/>
        </w:rPr>
        <w:t>Ant dėžutės po „Tinka iki“ ir paketėlio nurodytam tinkamumo laikui pasibaigus, šio vaisto vartoti negalima. Vaistas tinkamas vartoti iki paskutinės nurodyto mėnesio dienos.</w:t>
      </w:r>
    </w:p>
    <w:p w:rsidR="00D64020" w:rsidRPr="00971AEB" w:rsidRDefault="00D64020" w:rsidP="00D64020">
      <w:pPr>
        <w:tabs>
          <w:tab w:val="left" w:pos="567"/>
        </w:tabs>
        <w:rPr>
          <w:sz w:val="22"/>
          <w:szCs w:val="22"/>
        </w:rPr>
      </w:pPr>
    </w:p>
    <w:p w:rsidR="00D64020" w:rsidRPr="00971AEB" w:rsidRDefault="00D64020" w:rsidP="00D64020">
      <w:pPr>
        <w:rPr>
          <w:sz w:val="22"/>
          <w:szCs w:val="22"/>
        </w:rPr>
      </w:pPr>
      <w:r w:rsidRPr="00971AEB">
        <w:rPr>
          <w:sz w:val="22"/>
          <w:szCs w:val="22"/>
        </w:rPr>
        <w:t>Laikymo sąlygos:</w:t>
      </w:r>
    </w:p>
    <w:p w:rsidR="00D64020" w:rsidRPr="00971AEB" w:rsidRDefault="00D64020" w:rsidP="00D64020">
      <w:pPr>
        <w:rPr>
          <w:sz w:val="22"/>
          <w:szCs w:val="22"/>
        </w:rPr>
      </w:pPr>
      <w:r w:rsidRPr="00971AEB">
        <w:rPr>
          <w:sz w:val="22"/>
          <w:szCs w:val="22"/>
        </w:rPr>
        <w:t>Laikyti ne aukštesnėje kaip 25</w:t>
      </w:r>
      <w:r>
        <w:rPr>
          <w:sz w:val="22"/>
          <w:szCs w:val="22"/>
        </w:rPr>
        <w:t> </w:t>
      </w:r>
      <w:r w:rsidRPr="00971AEB">
        <w:rPr>
          <w:sz w:val="22"/>
          <w:szCs w:val="22"/>
        </w:rPr>
        <w:t>°C temperatūroje.</w:t>
      </w:r>
    </w:p>
    <w:p w:rsidR="00D64020" w:rsidRPr="00971AEB" w:rsidRDefault="00D64020" w:rsidP="00D64020">
      <w:pPr>
        <w:rPr>
          <w:sz w:val="22"/>
          <w:szCs w:val="22"/>
        </w:rPr>
      </w:pPr>
      <w:r w:rsidRPr="00971AEB">
        <w:rPr>
          <w:sz w:val="22"/>
          <w:szCs w:val="22"/>
        </w:rPr>
        <w:t>Paketėlius</w:t>
      </w:r>
      <w:r w:rsidRPr="00971AEB">
        <w:rPr>
          <w:bCs/>
          <w:iCs/>
          <w:sz w:val="22"/>
          <w:szCs w:val="22"/>
        </w:rPr>
        <w:t xml:space="preserve"> </w:t>
      </w:r>
      <w:r w:rsidRPr="00971AEB">
        <w:rPr>
          <w:sz w:val="22"/>
          <w:szCs w:val="22"/>
        </w:rPr>
        <w:t>laikyti išorinėje dėžutėje.</w:t>
      </w:r>
    </w:p>
    <w:p w:rsidR="00D64020" w:rsidRPr="00971AEB" w:rsidRDefault="00D64020" w:rsidP="00D64020">
      <w:pPr>
        <w:rPr>
          <w:sz w:val="22"/>
          <w:szCs w:val="22"/>
        </w:rPr>
      </w:pPr>
    </w:p>
    <w:p w:rsidR="00D64020" w:rsidRPr="00971AEB" w:rsidRDefault="00D64020" w:rsidP="00D64020">
      <w:pPr>
        <w:rPr>
          <w:iCs/>
          <w:sz w:val="22"/>
          <w:szCs w:val="22"/>
        </w:rPr>
      </w:pPr>
      <w:r w:rsidRPr="00971AEB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D64020" w:rsidRPr="00971AEB" w:rsidRDefault="00D64020" w:rsidP="00D64020">
      <w:pPr>
        <w:rPr>
          <w:iCs/>
          <w:sz w:val="22"/>
          <w:szCs w:val="22"/>
        </w:rPr>
      </w:pPr>
    </w:p>
    <w:p w:rsidR="00D64020" w:rsidRPr="00AF3443" w:rsidRDefault="00D64020" w:rsidP="00D64020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64020" w:rsidRPr="005F0223" w:rsidRDefault="00D64020" w:rsidP="00D64020">
      <w:pPr>
        <w:keepNext/>
        <w:numPr>
          <w:ilvl w:val="0"/>
          <w:numId w:val="4"/>
        </w:numPr>
        <w:tabs>
          <w:tab w:val="left" w:pos="567"/>
        </w:tabs>
        <w:ind w:left="567" w:right="-2"/>
      </w:pPr>
      <w:r w:rsidRPr="00DB7A2B">
        <w:rPr>
          <w:b/>
          <w:sz w:val="22"/>
        </w:rPr>
        <w:t>Pakuotės turinys ir kita informacija</w:t>
      </w:r>
    </w:p>
    <w:p w:rsidR="00D64020" w:rsidRPr="00AF3443" w:rsidRDefault="00D64020" w:rsidP="00D64020">
      <w:pPr>
        <w:keepNext/>
        <w:numPr>
          <w:ilvl w:val="12"/>
          <w:numId w:val="0"/>
        </w:numPr>
        <w:rPr>
          <w:sz w:val="22"/>
          <w:szCs w:val="22"/>
        </w:rPr>
      </w:pPr>
    </w:p>
    <w:p w:rsidR="00D64020" w:rsidRPr="00182736" w:rsidRDefault="00D64020" w:rsidP="00D64020">
      <w:pPr>
        <w:numPr>
          <w:ilvl w:val="12"/>
          <w:numId w:val="0"/>
        </w:numPr>
        <w:ind w:right="-2"/>
        <w:rPr>
          <w:b/>
          <w:sz w:val="22"/>
        </w:rPr>
      </w:pPr>
      <w:proofErr w:type="spellStart"/>
      <w:r w:rsidRPr="00182736">
        <w:rPr>
          <w:b/>
          <w:sz w:val="22"/>
        </w:rPr>
        <w:t>Regulax</w:t>
      </w:r>
      <w:proofErr w:type="spellEnd"/>
      <w:r w:rsidRPr="00182736">
        <w:rPr>
          <w:b/>
          <w:sz w:val="22"/>
        </w:rPr>
        <w:t xml:space="preserve"> sudėtis</w:t>
      </w:r>
      <w:r w:rsidRPr="00AF3443">
        <w:rPr>
          <w:b/>
          <w:sz w:val="22"/>
          <w:szCs w:val="22"/>
        </w:rPr>
        <w:t xml:space="preserve"> </w:t>
      </w:r>
    </w:p>
    <w:p w:rsidR="00D64020" w:rsidRPr="00DB7A2B" w:rsidRDefault="00D64020" w:rsidP="00D64020">
      <w:pPr>
        <w:pStyle w:val="Sraopastraipa"/>
        <w:numPr>
          <w:ilvl w:val="0"/>
          <w:numId w:val="5"/>
        </w:numPr>
        <w:tabs>
          <w:tab w:val="left" w:pos="0"/>
        </w:tabs>
        <w:ind w:left="567" w:hanging="567"/>
      </w:pPr>
      <w:r w:rsidRPr="00971AEB">
        <w:rPr>
          <w:sz w:val="22"/>
          <w:szCs w:val="22"/>
        </w:rPr>
        <w:t xml:space="preserve">Kiekvienoje kramtomojoje tabletėje yra 0,71 g </w:t>
      </w:r>
      <w:proofErr w:type="spellStart"/>
      <w:r w:rsidRPr="00971AEB">
        <w:rPr>
          <w:i/>
          <w:sz w:val="22"/>
          <w:szCs w:val="22"/>
        </w:rPr>
        <w:t>Cassia</w:t>
      </w:r>
      <w:proofErr w:type="spellEnd"/>
      <w:r w:rsidRPr="00971AEB">
        <w:rPr>
          <w:i/>
          <w:sz w:val="22"/>
          <w:szCs w:val="22"/>
        </w:rPr>
        <w:t xml:space="preserve"> </w:t>
      </w:r>
      <w:proofErr w:type="spellStart"/>
      <w:r w:rsidRPr="00971AEB">
        <w:rPr>
          <w:i/>
          <w:sz w:val="22"/>
          <w:szCs w:val="22"/>
        </w:rPr>
        <w:t>senna</w:t>
      </w:r>
      <w:proofErr w:type="spellEnd"/>
      <w:r w:rsidRPr="00971AEB">
        <w:rPr>
          <w:sz w:val="22"/>
          <w:szCs w:val="22"/>
        </w:rPr>
        <w:t xml:space="preserve"> L. (</w:t>
      </w:r>
      <w:r w:rsidRPr="00971AEB">
        <w:rPr>
          <w:i/>
          <w:sz w:val="22"/>
          <w:szCs w:val="22"/>
        </w:rPr>
        <w:t xml:space="preserve">C. </w:t>
      </w:r>
      <w:proofErr w:type="spellStart"/>
      <w:r w:rsidRPr="00971AEB">
        <w:rPr>
          <w:i/>
          <w:sz w:val="22"/>
          <w:szCs w:val="22"/>
        </w:rPr>
        <w:t>acutifolia</w:t>
      </w:r>
      <w:proofErr w:type="spellEnd"/>
      <w:r w:rsidRPr="00971AEB">
        <w:rPr>
          <w:sz w:val="22"/>
          <w:szCs w:val="22"/>
        </w:rPr>
        <w:t xml:space="preserve"> </w:t>
      </w:r>
      <w:proofErr w:type="spellStart"/>
      <w:r w:rsidRPr="00971AEB">
        <w:rPr>
          <w:sz w:val="22"/>
          <w:szCs w:val="22"/>
        </w:rPr>
        <w:t>Delile</w:t>
      </w:r>
      <w:proofErr w:type="spellEnd"/>
      <w:r w:rsidRPr="00971AEB">
        <w:rPr>
          <w:sz w:val="22"/>
          <w:szCs w:val="22"/>
        </w:rPr>
        <w:t xml:space="preserve">), </w:t>
      </w:r>
      <w:proofErr w:type="spellStart"/>
      <w:r w:rsidRPr="00971AEB">
        <w:rPr>
          <w:sz w:val="22"/>
          <w:szCs w:val="22"/>
        </w:rPr>
        <w:t>folium</w:t>
      </w:r>
      <w:proofErr w:type="spellEnd"/>
      <w:r w:rsidRPr="00971AEB">
        <w:rPr>
          <w:sz w:val="22"/>
          <w:szCs w:val="22"/>
        </w:rPr>
        <w:t xml:space="preserve"> (senų lapų) ir 0,3 g </w:t>
      </w:r>
      <w:proofErr w:type="spellStart"/>
      <w:r w:rsidRPr="00971AEB">
        <w:rPr>
          <w:i/>
          <w:sz w:val="22"/>
          <w:szCs w:val="22"/>
        </w:rPr>
        <w:t>Cassia</w:t>
      </w:r>
      <w:proofErr w:type="spellEnd"/>
      <w:r w:rsidRPr="00971AEB">
        <w:rPr>
          <w:i/>
          <w:sz w:val="22"/>
          <w:szCs w:val="22"/>
        </w:rPr>
        <w:t xml:space="preserve"> </w:t>
      </w:r>
      <w:proofErr w:type="spellStart"/>
      <w:r w:rsidRPr="00971AEB">
        <w:rPr>
          <w:i/>
          <w:sz w:val="22"/>
          <w:szCs w:val="22"/>
        </w:rPr>
        <w:t>senna</w:t>
      </w:r>
      <w:proofErr w:type="spellEnd"/>
      <w:r w:rsidRPr="00971AEB">
        <w:rPr>
          <w:sz w:val="22"/>
          <w:szCs w:val="22"/>
        </w:rPr>
        <w:t xml:space="preserve"> L. (</w:t>
      </w:r>
      <w:r w:rsidRPr="00971AEB">
        <w:rPr>
          <w:i/>
          <w:sz w:val="22"/>
          <w:szCs w:val="22"/>
        </w:rPr>
        <w:t xml:space="preserve">C. </w:t>
      </w:r>
      <w:proofErr w:type="spellStart"/>
      <w:r w:rsidRPr="00971AEB">
        <w:rPr>
          <w:i/>
          <w:sz w:val="22"/>
          <w:szCs w:val="22"/>
        </w:rPr>
        <w:t>acutifolia</w:t>
      </w:r>
      <w:proofErr w:type="spellEnd"/>
      <w:r w:rsidRPr="00971AEB">
        <w:rPr>
          <w:sz w:val="22"/>
          <w:szCs w:val="22"/>
        </w:rPr>
        <w:t xml:space="preserve"> </w:t>
      </w:r>
      <w:proofErr w:type="spellStart"/>
      <w:r w:rsidRPr="00971AEB">
        <w:rPr>
          <w:sz w:val="22"/>
          <w:szCs w:val="22"/>
        </w:rPr>
        <w:t>Delile</w:t>
      </w:r>
      <w:proofErr w:type="spellEnd"/>
      <w:r w:rsidRPr="00971AEB">
        <w:rPr>
          <w:sz w:val="22"/>
          <w:szCs w:val="22"/>
        </w:rPr>
        <w:t xml:space="preserve">), </w:t>
      </w:r>
      <w:proofErr w:type="spellStart"/>
      <w:r w:rsidRPr="00971AEB">
        <w:rPr>
          <w:sz w:val="22"/>
          <w:szCs w:val="22"/>
        </w:rPr>
        <w:t>fructus</w:t>
      </w:r>
      <w:proofErr w:type="spellEnd"/>
      <w:r w:rsidRPr="00971AEB">
        <w:rPr>
          <w:sz w:val="22"/>
          <w:szCs w:val="22"/>
        </w:rPr>
        <w:t xml:space="preserve"> (senų vaisių), atitinkančių 17,64 - 30 mg </w:t>
      </w:r>
      <w:proofErr w:type="spellStart"/>
      <w:r w:rsidRPr="00971AEB">
        <w:rPr>
          <w:sz w:val="22"/>
          <w:szCs w:val="22"/>
        </w:rPr>
        <w:t>hidroksiantracenų</w:t>
      </w:r>
      <w:proofErr w:type="spellEnd"/>
      <w:r w:rsidRPr="00971AEB">
        <w:rPr>
          <w:sz w:val="22"/>
          <w:szCs w:val="22"/>
        </w:rPr>
        <w:t xml:space="preserve"> glikozidų, perskaičiuotų į </w:t>
      </w:r>
      <w:proofErr w:type="spellStart"/>
      <w:r w:rsidRPr="00971AEB">
        <w:rPr>
          <w:sz w:val="22"/>
          <w:szCs w:val="22"/>
        </w:rPr>
        <w:t>senozidą</w:t>
      </w:r>
      <w:proofErr w:type="spellEnd"/>
      <w:r w:rsidRPr="00971AEB">
        <w:rPr>
          <w:sz w:val="22"/>
          <w:szCs w:val="22"/>
        </w:rPr>
        <w:t xml:space="preserve"> B</w:t>
      </w:r>
      <w:r>
        <w:rPr>
          <w:sz w:val="22"/>
          <w:szCs w:val="22"/>
        </w:rPr>
        <w:t>.</w:t>
      </w:r>
    </w:p>
    <w:p w:rsidR="00D64020" w:rsidRPr="00A71CE9" w:rsidRDefault="00D64020" w:rsidP="00D64020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 w:rsidRPr="00A71CE9">
        <w:rPr>
          <w:iCs/>
          <w:sz w:val="22"/>
          <w:szCs w:val="22"/>
        </w:rPr>
        <w:t>Pagalbinės medžiagos yra</w:t>
      </w:r>
      <w:r w:rsidRPr="00A71CE9">
        <w:rPr>
          <w:sz w:val="22"/>
          <w:szCs w:val="22"/>
        </w:rPr>
        <w:t xml:space="preserve"> </w:t>
      </w:r>
      <w:proofErr w:type="spellStart"/>
      <w:r w:rsidRPr="00A71CE9">
        <w:rPr>
          <w:sz w:val="22"/>
          <w:szCs w:val="22"/>
        </w:rPr>
        <w:t>propilenglikolis</w:t>
      </w:r>
      <w:proofErr w:type="spellEnd"/>
      <w:r w:rsidRPr="00A71CE9">
        <w:rPr>
          <w:sz w:val="22"/>
          <w:szCs w:val="22"/>
        </w:rPr>
        <w:t>, skystasis</w:t>
      </w:r>
      <w:r w:rsidRPr="00A71CE9">
        <w:rPr>
          <w:bCs/>
          <w:iCs/>
          <w:sz w:val="22"/>
          <w:szCs w:val="22"/>
        </w:rPr>
        <w:t xml:space="preserve"> </w:t>
      </w:r>
      <w:r w:rsidRPr="00A71CE9">
        <w:rPr>
          <w:sz w:val="22"/>
          <w:szCs w:val="22"/>
        </w:rPr>
        <w:t xml:space="preserve">parafinas, </w:t>
      </w:r>
      <w:proofErr w:type="spellStart"/>
      <w:r w:rsidRPr="00A71CE9">
        <w:rPr>
          <w:sz w:val="22"/>
          <w:szCs w:val="22"/>
        </w:rPr>
        <w:t>glicerolio</w:t>
      </w:r>
      <w:proofErr w:type="spellEnd"/>
      <w:r w:rsidRPr="00A71CE9">
        <w:rPr>
          <w:sz w:val="22"/>
          <w:szCs w:val="22"/>
        </w:rPr>
        <w:t xml:space="preserve"> </w:t>
      </w:r>
      <w:proofErr w:type="spellStart"/>
      <w:r w:rsidRPr="00A71CE9">
        <w:rPr>
          <w:sz w:val="22"/>
          <w:szCs w:val="22"/>
        </w:rPr>
        <w:t>monostearatas</w:t>
      </w:r>
      <w:proofErr w:type="spellEnd"/>
      <w:r w:rsidRPr="00A71CE9">
        <w:rPr>
          <w:sz w:val="22"/>
          <w:szCs w:val="22"/>
        </w:rPr>
        <w:t xml:space="preserve"> 40-55 </w:t>
      </w:r>
      <w:r w:rsidRPr="00914777">
        <w:rPr>
          <w:sz w:val="22"/>
          <w:szCs w:val="22"/>
        </w:rPr>
        <w:t>%</w:t>
      </w:r>
      <w:r w:rsidRPr="00A71CE9">
        <w:rPr>
          <w:sz w:val="22"/>
          <w:szCs w:val="22"/>
        </w:rPr>
        <w:t xml:space="preserve">, kietieji riebalai, sorbo rūgštis, invertuotojo cukraus sirupas, </w:t>
      </w:r>
      <w:proofErr w:type="spellStart"/>
      <w:r w:rsidRPr="00A71CE9">
        <w:rPr>
          <w:sz w:val="22"/>
          <w:szCs w:val="22"/>
        </w:rPr>
        <w:t>sorbitolis</w:t>
      </w:r>
      <w:proofErr w:type="spellEnd"/>
      <w:r w:rsidRPr="00A71CE9">
        <w:rPr>
          <w:sz w:val="22"/>
          <w:szCs w:val="22"/>
        </w:rPr>
        <w:t>, slyvų džemas, figų pasta, bevandenė citrinų rūgštis, koncentruota citrinų skonio aromatinė medžiaga.</w:t>
      </w:r>
    </w:p>
    <w:p w:rsidR="00D64020" w:rsidRPr="00971AEB" w:rsidRDefault="00D64020" w:rsidP="00D64020">
      <w:pPr>
        <w:rPr>
          <w:sz w:val="22"/>
          <w:szCs w:val="22"/>
        </w:rPr>
      </w:pPr>
    </w:p>
    <w:p w:rsidR="00D64020" w:rsidRPr="00971AEB" w:rsidRDefault="00D64020" w:rsidP="00D64020">
      <w:pPr>
        <w:rPr>
          <w:b/>
          <w:sz w:val="22"/>
          <w:szCs w:val="22"/>
        </w:rPr>
      </w:pPr>
      <w:proofErr w:type="spellStart"/>
      <w:r w:rsidRPr="00971AEB">
        <w:rPr>
          <w:b/>
          <w:sz w:val="22"/>
          <w:szCs w:val="22"/>
        </w:rPr>
        <w:t>Regulax</w:t>
      </w:r>
      <w:proofErr w:type="spellEnd"/>
      <w:r w:rsidRPr="00971AEB">
        <w:rPr>
          <w:b/>
          <w:sz w:val="22"/>
          <w:szCs w:val="22"/>
        </w:rPr>
        <w:t xml:space="preserve"> išvaizda ir kiekis pakuotėje</w:t>
      </w:r>
    </w:p>
    <w:p w:rsidR="00D64020" w:rsidRPr="00971AEB" w:rsidRDefault="00D64020" w:rsidP="00D64020">
      <w:pPr>
        <w:tabs>
          <w:tab w:val="left" w:pos="567"/>
        </w:tabs>
        <w:rPr>
          <w:b/>
          <w:sz w:val="22"/>
          <w:szCs w:val="22"/>
          <w:lang w:eastAsia="lt-LT"/>
        </w:rPr>
      </w:pPr>
      <w:proofErr w:type="spellStart"/>
      <w:r w:rsidRPr="00971AEB">
        <w:rPr>
          <w:bCs/>
          <w:iCs/>
          <w:sz w:val="22"/>
          <w:szCs w:val="22"/>
        </w:rPr>
        <w:t>Regulax</w:t>
      </w:r>
      <w:proofErr w:type="spellEnd"/>
      <w:r w:rsidRPr="00971AEB">
        <w:rPr>
          <w:bCs/>
          <w:iCs/>
          <w:sz w:val="22"/>
          <w:szCs w:val="22"/>
        </w:rPr>
        <w:t xml:space="preserve"> kramtomosios tabletės yra kvadrato formos (25 x 25</w:t>
      </w:r>
      <w:r>
        <w:rPr>
          <w:bCs/>
          <w:iCs/>
          <w:sz w:val="22"/>
          <w:szCs w:val="22"/>
        </w:rPr>
        <w:t> </w:t>
      </w:r>
      <w:r w:rsidRPr="00971AEB">
        <w:rPr>
          <w:bCs/>
          <w:iCs/>
          <w:sz w:val="22"/>
          <w:szCs w:val="22"/>
        </w:rPr>
        <w:t>mm), 13 mm aukščio, plokščios su lygiais kraštais, rudos.</w:t>
      </w:r>
    </w:p>
    <w:p w:rsidR="00D64020" w:rsidRPr="00971AEB" w:rsidRDefault="00D64020" w:rsidP="00D64020">
      <w:pPr>
        <w:rPr>
          <w:sz w:val="22"/>
          <w:szCs w:val="22"/>
        </w:rPr>
      </w:pPr>
    </w:p>
    <w:p w:rsidR="00D64020" w:rsidRPr="00971AEB" w:rsidRDefault="00D64020" w:rsidP="00D64020">
      <w:pPr>
        <w:tabs>
          <w:tab w:val="left" w:pos="567"/>
        </w:tabs>
        <w:rPr>
          <w:bCs/>
          <w:iCs/>
          <w:sz w:val="22"/>
          <w:szCs w:val="22"/>
        </w:rPr>
      </w:pPr>
      <w:r w:rsidRPr="00971AEB">
        <w:rPr>
          <w:bCs/>
          <w:iCs/>
          <w:sz w:val="22"/>
          <w:szCs w:val="22"/>
        </w:rPr>
        <w:t xml:space="preserve">Aliuminio folijos paketėliai. </w:t>
      </w:r>
    </w:p>
    <w:p w:rsidR="00D64020" w:rsidRPr="00971AEB" w:rsidRDefault="00D64020" w:rsidP="00D64020">
      <w:pPr>
        <w:tabs>
          <w:tab w:val="left" w:pos="567"/>
        </w:tabs>
        <w:rPr>
          <w:bCs/>
          <w:iCs/>
          <w:sz w:val="22"/>
          <w:szCs w:val="22"/>
        </w:rPr>
      </w:pPr>
      <w:r w:rsidRPr="00971AEB">
        <w:rPr>
          <w:bCs/>
          <w:iCs/>
          <w:sz w:val="22"/>
          <w:szCs w:val="22"/>
        </w:rPr>
        <w:t>Kartoninėje dėžutėje yra 6 arba 12 kramtomųjų tablečių.</w:t>
      </w:r>
    </w:p>
    <w:p w:rsidR="00D64020" w:rsidRPr="00971AEB" w:rsidRDefault="00D64020" w:rsidP="00D64020">
      <w:pPr>
        <w:tabs>
          <w:tab w:val="left" w:pos="567"/>
        </w:tabs>
        <w:rPr>
          <w:sz w:val="22"/>
          <w:szCs w:val="22"/>
          <w:lang w:eastAsia="lt-LT"/>
        </w:rPr>
      </w:pPr>
    </w:p>
    <w:p w:rsidR="00D64020" w:rsidRPr="00971AEB" w:rsidRDefault="00D64020" w:rsidP="00D64020">
      <w:pPr>
        <w:tabs>
          <w:tab w:val="left" w:pos="567"/>
        </w:tabs>
        <w:rPr>
          <w:sz w:val="22"/>
          <w:szCs w:val="22"/>
        </w:rPr>
      </w:pPr>
      <w:r w:rsidRPr="00971AEB">
        <w:rPr>
          <w:bCs/>
          <w:iCs/>
          <w:sz w:val="22"/>
          <w:szCs w:val="22"/>
        </w:rPr>
        <w:t>Gali būti tiekiamos ne visų dydžių pakuotės.</w:t>
      </w:r>
    </w:p>
    <w:p w:rsidR="00D64020" w:rsidRPr="00971AEB" w:rsidRDefault="00D64020" w:rsidP="00D64020">
      <w:pPr>
        <w:tabs>
          <w:tab w:val="left" w:pos="567"/>
        </w:tabs>
        <w:rPr>
          <w:sz w:val="22"/>
          <w:szCs w:val="22"/>
        </w:rPr>
      </w:pPr>
    </w:p>
    <w:p w:rsidR="00D64020" w:rsidRPr="00DB7A2B" w:rsidRDefault="00D64020" w:rsidP="00D64020">
      <w:pPr>
        <w:pStyle w:val="BT-EMEASMCA"/>
        <w:rPr>
          <w:b/>
        </w:rPr>
      </w:pPr>
      <w:r w:rsidRPr="00914777">
        <w:rPr>
          <w:b/>
        </w:rPr>
        <w:t>Registruotojas</w:t>
      </w:r>
      <w:r w:rsidRPr="00DB7A2B">
        <w:rPr>
          <w:b/>
        </w:rPr>
        <w:t xml:space="preserve"> ir gamintojas</w:t>
      </w:r>
    </w:p>
    <w:p w:rsidR="00D64020" w:rsidRPr="00182736" w:rsidRDefault="00D64020" w:rsidP="00D64020">
      <w:pPr>
        <w:pStyle w:val="PI-3EMEASMCA"/>
      </w:pPr>
      <w:r>
        <w:t>Registruotojas</w:t>
      </w:r>
      <w:r w:rsidRPr="00182736">
        <w:t xml:space="preserve"> </w:t>
      </w:r>
    </w:p>
    <w:p w:rsidR="00D64020" w:rsidRPr="00971AEB" w:rsidRDefault="00D64020" w:rsidP="00D64020">
      <w:pPr>
        <w:rPr>
          <w:sz w:val="22"/>
          <w:szCs w:val="22"/>
          <w:lang w:eastAsia="lt-LT"/>
        </w:rPr>
      </w:pPr>
      <w:proofErr w:type="spellStart"/>
      <w:r w:rsidRPr="00971AEB">
        <w:rPr>
          <w:sz w:val="22"/>
          <w:szCs w:val="22"/>
        </w:rPr>
        <w:lastRenderedPageBreak/>
        <w:t>Krewel</w:t>
      </w:r>
      <w:proofErr w:type="spellEnd"/>
      <w:r w:rsidRPr="00971AEB">
        <w:rPr>
          <w:sz w:val="22"/>
          <w:szCs w:val="22"/>
        </w:rPr>
        <w:t xml:space="preserve"> </w:t>
      </w:r>
      <w:proofErr w:type="spellStart"/>
      <w:r w:rsidRPr="00971AEB">
        <w:rPr>
          <w:sz w:val="22"/>
          <w:szCs w:val="22"/>
        </w:rPr>
        <w:t>Meuselbach</w:t>
      </w:r>
      <w:proofErr w:type="spellEnd"/>
      <w:r w:rsidRPr="00971AEB">
        <w:rPr>
          <w:sz w:val="22"/>
          <w:szCs w:val="22"/>
        </w:rPr>
        <w:t xml:space="preserve"> </w:t>
      </w:r>
      <w:proofErr w:type="spellStart"/>
      <w:r w:rsidRPr="00971AEB">
        <w:rPr>
          <w:sz w:val="22"/>
          <w:szCs w:val="22"/>
        </w:rPr>
        <w:t>GmbH</w:t>
      </w:r>
      <w:proofErr w:type="spellEnd"/>
    </w:p>
    <w:p w:rsidR="00D64020" w:rsidRPr="00971AEB" w:rsidRDefault="00D64020" w:rsidP="00D64020">
      <w:pPr>
        <w:rPr>
          <w:sz w:val="22"/>
          <w:szCs w:val="22"/>
        </w:rPr>
      </w:pPr>
      <w:proofErr w:type="spellStart"/>
      <w:r w:rsidRPr="00971AEB">
        <w:rPr>
          <w:sz w:val="22"/>
          <w:szCs w:val="22"/>
        </w:rPr>
        <w:t>Krewelstrasse</w:t>
      </w:r>
      <w:proofErr w:type="spellEnd"/>
      <w:r w:rsidRPr="00971AEB">
        <w:rPr>
          <w:sz w:val="22"/>
          <w:szCs w:val="22"/>
        </w:rPr>
        <w:t xml:space="preserve"> 2</w:t>
      </w:r>
    </w:p>
    <w:p w:rsidR="00D64020" w:rsidRPr="00971AEB" w:rsidRDefault="00D64020" w:rsidP="00D64020">
      <w:pPr>
        <w:rPr>
          <w:sz w:val="22"/>
          <w:szCs w:val="22"/>
          <w:lang w:eastAsia="lt-LT"/>
        </w:rPr>
      </w:pPr>
      <w:r w:rsidRPr="00971AEB">
        <w:rPr>
          <w:sz w:val="22"/>
          <w:szCs w:val="22"/>
        </w:rPr>
        <w:t xml:space="preserve">53783 </w:t>
      </w:r>
      <w:proofErr w:type="spellStart"/>
      <w:r w:rsidRPr="00971AEB">
        <w:rPr>
          <w:sz w:val="22"/>
          <w:szCs w:val="22"/>
        </w:rPr>
        <w:t>Eitorf</w:t>
      </w:r>
      <w:proofErr w:type="spellEnd"/>
    </w:p>
    <w:p w:rsidR="00D64020" w:rsidRDefault="00D64020" w:rsidP="00D64020">
      <w:pPr>
        <w:pStyle w:val="Pagrindinistekstas"/>
        <w:spacing w:line="240" w:lineRule="auto"/>
        <w:rPr>
          <w:sz w:val="22"/>
          <w:szCs w:val="22"/>
          <w:lang w:val="lt-LT"/>
        </w:rPr>
      </w:pPr>
      <w:r w:rsidRPr="00971AEB">
        <w:rPr>
          <w:sz w:val="22"/>
          <w:szCs w:val="22"/>
          <w:lang w:val="lt-LT"/>
        </w:rPr>
        <w:t>Vokietija</w:t>
      </w:r>
    </w:p>
    <w:p w:rsidR="00D64020" w:rsidRPr="00971AEB" w:rsidRDefault="00D64020" w:rsidP="00D64020">
      <w:pPr>
        <w:pStyle w:val="Pagrindinistekstas"/>
        <w:spacing w:line="240" w:lineRule="auto"/>
        <w:rPr>
          <w:sz w:val="22"/>
          <w:szCs w:val="22"/>
          <w:lang w:val="lt-LT"/>
        </w:rPr>
      </w:pPr>
    </w:p>
    <w:p w:rsidR="00D64020" w:rsidRPr="00DB7A2B" w:rsidRDefault="00D64020" w:rsidP="00D64020">
      <w:pPr>
        <w:pStyle w:val="Pagrindinistekstas"/>
        <w:spacing w:line="240" w:lineRule="auto"/>
        <w:rPr>
          <w:i/>
          <w:sz w:val="22"/>
          <w:lang w:val="lt-LT"/>
        </w:rPr>
      </w:pPr>
      <w:r w:rsidRPr="00DB7A2B">
        <w:rPr>
          <w:i/>
          <w:sz w:val="22"/>
          <w:lang w:val="lt-LT"/>
        </w:rPr>
        <w:t>Gamintojas</w:t>
      </w:r>
    </w:p>
    <w:p w:rsidR="00D64020" w:rsidRPr="00971AEB" w:rsidRDefault="00D64020" w:rsidP="00D64020">
      <w:pPr>
        <w:rPr>
          <w:sz w:val="22"/>
          <w:szCs w:val="22"/>
          <w:lang w:eastAsia="lt-LT"/>
        </w:rPr>
      </w:pPr>
      <w:proofErr w:type="spellStart"/>
      <w:r w:rsidRPr="00971AEB">
        <w:rPr>
          <w:sz w:val="22"/>
          <w:szCs w:val="22"/>
        </w:rPr>
        <w:t>Krewel</w:t>
      </w:r>
      <w:proofErr w:type="spellEnd"/>
      <w:r w:rsidRPr="00971AEB">
        <w:rPr>
          <w:sz w:val="22"/>
          <w:szCs w:val="22"/>
        </w:rPr>
        <w:t xml:space="preserve"> </w:t>
      </w:r>
      <w:proofErr w:type="spellStart"/>
      <w:r w:rsidRPr="00971AEB">
        <w:rPr>
          <w:sz w:val="22"/>
          <w:szCs w:val="22"/>
        </w:rPr>
        <w:t>Meuselbach</w:t>
      </w:r>
      <w:proofErr w:type="spellEnd"/>
      <w:r w:rsidRPr="00971AEB">
        <w:rPr>
          <w:sz w:val="22"/>
          <w:szCs w:val="22"/>
        </w:rPr>
        <w:t xml:space="preserve"> </w:t>
      </w:r>
      <w:proofErr w:type="spellStart"/>
      <w:r w:rsidRPr="00971AEB">
        <w:rPr>
          <w:sz w:val="22"/>
          <w:szCs w:val="22"/>
        </w:rPr>
        <w:t>GmbH</w:t>
      </w:r>
      <w:proofErr w:type="spellEnd"/>
    </w:p>
    <w:p w:rsidR="00D64020" w:rsidRPr="00971AEB" w:rsidRDefault="00D64020" w:rsidP="00D64020">
      <w:pPr>
        <w:rPr>
          <w:sz w:val="22"/>
          <w:szCs w:val="22"/>
        </w:rPr>
      </w:pPr>
      <w:proofErr w:type="spellStart"/>
      <w:r w:rsidRPr="00971AEB">
        <w:rPr>
          <w:sz w:val="22"/>
          <w:szCs w:val="22"/>
        </w:rPr>
        <w:t>Xavier-Vorbrüggen-Straße</w:t>
      </w:r>
      <w:proofErr w:type="spellEnd"/>
      <w:r w:rsidRPr="00971AEB">
        <w:rPr>
          <w:sz w:val="22"/>
          <w:szCs w:val="22"/>
        </w:rPr>
        <w:t xml:space="preserve"> 6</w:t>
      </w:r>
    </w:p>
    <w:p w:rsidR="00D64020" w:rsidRPr="00971AEB" w:rsidRDefault="00D64020" w:rsidP="00D64020">
      <w:pPr>
        <w:rPr>
          <w:sz w:val="22"/>
          <w:szCs w:val="22"/>
          <w:lang w:eastAsia="lt-LT"/>
        </w:rPr>
      </w:pPr>
      <w:r w:rsidRPr="00971AEB">
        <w:rPr>
          <w:sz w:val="22"/>
          <w:szCs w:val="22"/>
        </w:rPr>
        <w:t xml:space="preserve">98708 </w:t>
      </w:r>
      <w:proofErr w:type="spellStart"/>
      <w:r w:rsidRPr="00971AEB">
        <w:rPr>
          <w:sz w:val="22"/>
          <w:szCs w:val="22"/>
        </w:rPr>
        <w:t>Gehren</w:t>
      </w:r>
      <w:proofErr w:type="spellEnd"/>
      <w:r w:rsidRPr="00971AEB">
        <w:rPr>
          <w:sz w:val="22"/>
          <w:szCs w:val="22"/>
        </w:rPr>
        <w:t xml:space="preserve"> </w:t>
      </w:r>
    </w:p>
    <w:p w:rsidR="00D64020" w:rsidRPr="00971AEB" w:rsidRDefault="00D64020" w:rsidP="00D64020">
      <w:pPr>
        <w:rPr>
          <w:sz w:val="22"/>
          <w:szCs w:val="22"/>
          <w:lang w:eastAsia="lt-LT"/>
        </w:rPr>
      </w:pPr>
      <w:r w:rsidRPr="00971AEB">
        <w:rPr>
          <w:sz w:val="22"/>
          <w:szCs w:val="22"/>
        </w:rPr>
        <w:t>Vokietija</w:t>
      </w:r>
    </w:p>
    <w:p w:rsidR="00D64020" w:rsidRPr="00971AEB" w:rsidRDefault="00D64020" w:rsidP="00D64020">
      <w:pPr>
        <w:rPr>
          <w:b/>
          <w:i/>
          <w:sz w:val="22"/>
          <w:szCs w:val="22"/>
        </w:rPr>
      </w:pPr>
    </w:p>
    <w:p w:rsidR="00D64020" w:rsidRPr="00182736" w:rsidRDefault="00D64020" w:rsidP="00D64020">
      <w:pPr>
        <w:pStyle w:val="BT-EMEASMCA"/>
      </w:pPr>
      <w:r w:rsidRPr="00182736">
        <w:t xml:space="preserve">Jeigu apie šį vaistą norite sužinoti daugiau, kreipkitės į vietinį </w:t>
      </w:r>
      <w:r w:rsidRPr="002F0602">
        <w:t>registruotojo</w:t>
      </w:r>
      <w:r w:rsidRPr="00182736">
        <w:t xml:space="preserve"> atstovą.</w:t>
      </w:r>
    </w:p>
    <w:p w:rsidR="00D64020" w:rsidRPr="00AF3443" w:rsidRDefault="00D64020" w:rsidP="00D64020">
      <w:pPr>
        <w:pStyle w:val="Pagrindinistekstas"/>
        <w:spacing w:line="240" w:lineRule="auto"/>
        <w:rPr>
          <w:sz w:val="22"/>
          <w:szCs w:val="22"/>
          <w:lang w:val="lt-LT"/>
        </w:rPr>
      </w:pPr>
    </w:p>
    <w:p w:rsidR="00D64020" w:rsidRPr="00AF3443" w:rsidRDefault="00D64020" w:rsidP="00D64020">
      <w:pPr>
        <w:rPr>
          <w:sz w:val="22"/>
          <w:szCs w:val="22"/>
        </w:rPr>
      </w:pPr>
      <w:r w:rsidRPr="00AF3443">
        <w:rPr>
          <w:sz w:val="22"/>
          <w:szCs w:val="22"/>
        </w:rPr>
        <w:t>UAB „NVT“</w:t>
      </w:r>
    </w:p>
    <w:p w:rsidR="00D64020" w:rsidRPr="00AF3443" w:rsidRDefault="00D64020" w:rsidP="00D64020">
      <w:pPr>
        <w:rPr>
          <w:sz w:val="22"/>
          <w:szCs w:val="22"/>
        </w:rPr>
      </w:pPr>
      <w:r w:rsidRPr="00AF3443">
        <w:rPr>
          <w:sz w:val="22"/>
          <w:szCs w:val="22"/>
        </w:rPr>
        <w:t>Sodų g. 1, Linksmakalnio k.</w:t>
      </w:r>
    </w:p>
    <w:p w:rsidR="00D64020" w:rsidRPr="00AF3443" w:rsidRDefault="00D64020" w:rsidP="00D64020">
      <w:pPr>
        <w:rPr>
          <w:sz w:val="22"/>
          <w:szCs w:val="22"/>
        </w:rPr>
      </w:pPr>
      <w:r w:rsidRPr="00AF3443">
        <w:rPr>
          <w:sz w:val="22"/>
          <w:szCs w:val="22"/>
        </w:rPr>
        <w:t xml:space="preserve">LT-53290 Kauno raj., </w:t>
      </w:r>
    </w:p>
    <w:p w:rsidR="00D64020" w:rsidRPr="00DB7A2B" w:rsidRDefault="00D64020" w:rsidP="00D64020">
      <w:pPr>
        <w:jc w:val="both"/>
        <w:rPr>
          <w:sz w:val="22"/>
        </w:rPr>
      </w:pPr>
      <w:r w:rsidRPr="00AF3443">
        <w:rPr>
          <w:sz w:val="22"/>
          <w:szCs w:val="22"/>
        </w:rPr>
        <w:t>El</w:t>
      </w:r>
      <w:r w:rsidRPr="00DB7A2B">
        <w:rPr>
          <w:sz w:val="22"/>
        </w:rPr>
        <w:t>. pa</w:t>
      </w:r>
      <w:r w:rsidRPr="00AF3443">
        <w:rPr>
          <w:sz w:val="22"/>
          <w:szCs w:val="22"/>
        </w:rPr>
        <w:t>štas</w:t>
      </w:r>
      <w:r>
        <w:rPr>
          <w:sz w:val="22"/>
          <w:szCs w:val="22"/>
        </w:rPr>
        <w:t>:</w:t>
      </w:r>
      <w:r w:rsidRPr="00AF3443">
        <w:rPr>
          <w:sz w:val="22"/>
          <w:szCs w:val="22"/>
        </w:rPr>
        <w:t xml:space="preserve"> info</w:t>
      </w:r>
      <w:r w:rsidRPr="00DB7A2B">
        <w:rPr>
          <w:sz w:val="22"/>
        </w:rPr>
        <w:t>@nvt.lt</w:t>
      </w:r>
      <w:r w:rsidRPr="00AF3443">
        <w:rPr>
          <w:sz w:val="22"/>
          <w:szCs w:val="22"/>
        </w:rPr>
        <w:t xml:space="preserve"> </w:t>
      </w:r>
    </w:p>
    <w:p w:rsidR="00D64020" w:rsidRPr="00AF3443" w:rsidRDefault="00D64020" w:rsidP="00D64020">
      <w:pPr>
        <w:pStyle w:val="Pagrindinistekstas"/>
        <w:spacing w:line="240" w:lineRule="auto"/>
        <w:rPr>
          <w:sz w:val="22"/>
          <w:szCs w:val="22"/>
          <w:lang w:val="es-ES"/>
        </w:rPr>
      </w:pPr>
    </w:p>
    <w:p w:rsidR="00D64020" w:rsidRPr="00971AEB" w:rsidRDefault="00D64020" w:rsidP="00D64020">
      <w:pPr>
        <w:pStyle w:val="BTbEMEASMCA"/>
      </w:pPr>
      <w:r w:rsidRPr="00971AEB">
        <w:rPr>
          <w:bCs/>
          <w:noProof w:val="0"/>
        </w:rPr>
        <w:t>Šis pakuotės lapelis</w:t>
      </w:r>
      <w:r w:rsidRPr="00971AEB">
        <w:rPr>
          <w:noProof w:val="0"/>
        </w:rPr>
        <w:t xml:space="preserve"> paskutinį kartą peržiūrėtas</w:t>
      </w:r>
      <w:r w:rsidRPr="00971AEB">
        <w:t xml:space="preserve"> </w:t>
      </w:r>
      <w:r>
        <w:t>2021-12-06.</w:t>
      </w:r>
    </w:p>
    <w:p w:rsidR="00D64020" w:rsidRPr="00971AEB" w:rsidRDefault="00D64020" w:rsidP="00D64020">
      <w:pPr>
        <w:rPr>
          <w:sz w:val="22"/>
          <w:szCs w:val="22"/>
        </w:rPr>
      </w:pPr>
    </w:p>
    <w:p w:rsidR="00D64020" w:rsidRPr="00971AEB" w:rsidRDefault="00D64020" w:rsidP="00D64020">
      <w:pPr>
        <w:pStyle w:val="BTEMEASMCA"/>
        <w:rPr>
          <w:color w:val="0000FF"/>
        </w:rPr>
      </w:pPr>
      <w:r w:rsidRPr="00971AEB">
        <w:t>Išsami informacija apie šį vaistą pateikiama Valstybinės vaistų kontrolės tarnybos prie Lietuvos Respublikos sveikatos apsaugos ministerijos tinklalapyje</w:t>
      </w:r>
      <w:r w:rsidRPr="00971AEB">
        <w:rPr>
          <w:i/>
        </w:rPr>
        <w:t xml:space="preserve"> </w:t>
      </w:r>
      <w:hyperlink r:id="rId8" w:history="1">
        <w:r w:rsidRPr="00971AEB">
          <w:rPr>
            <w:rStyle w:val="Hipersaitas"/>
            <w:rFonts w:eastAsia="SimSun"/>
          </w:rPr>
          <w:t>http://www.vvkt.lt/</w:t>
        </w:r>
      </w:hyperlink>
      <w:r w:rsidRPr="00971AEB">
        <w:t>.</w:t>
      </w:r>
    </w:p>
    <w:p w:rsidR="00D64020" w:rsidRPr="00971AEB" w:rsidRDefault="00D64020" w:rsidP="00D64020">
      <w:pPr>
        <w:rPr>
          <w:sz w:val="22"/>
          <w:szCs w:val="22"/>
        </w:rPr>
      </w:pPr>
    </w:p>
    <w:p w:rsidR="009041DB" w:rsidRDefault="009041DB">
      <w:bookmarkStart w:id="5" w:name="_GoBack"/>
      <w:bookmarkEnd w:id="5"/>
    </w:p>
    <w:sectPr w:rsidR="009041DB" w:rsidSect="00D64020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09C0446"/>
    <w:multiLevelType w:val="hybridMultilevel"/>
    <w:tmpl w:val="5E9263EA"/>
    <w:lvl w:ilvl="0" w:tplc="9E0A78F2">
      <w:start w:val="1"/>
      <w:numFmt w:val="decimal"/>
      <w:lvlText w:val="%1."/>
      <w:lvlJc w:val="left"/>
      <w:pPr>
        <w:ind w:left="930" w:hanging="570"/>
      </w:pPr>
      <w:rPr>
        <w:rFonts w:hint="default"/>
        <w:b/>
        <w:i w:val="0"/>
        <w:iCs/>
      </w:rPr>
    </w:lvl>
    <w:lvl w:ilvl="1" w:tplc="13505FE6" w:tentative="1">
      <w:start w:val="1"/>
      <w:numFmt w:val="lowerLetter"/>
      <w:lvlText w:val="%2."/>
      <w:lvlJc w:val="left"/>
      <w:pPr>
        <w:ind w:left="1440" w:hanging="360"/>
      </w:pPr>
    </w:lvl>
    <w:lvl w:ilvl="2" w:tplc="85AC8486" w:tentative="1">
      <w:start w:val="1"/>
      <w:numFmt w:val="lowerRoman"/>
      <w:lvlText w:val="%3."/>
      <w:lvlJc w:val="right"/>
      <w:pPr>
        <w:ind w:left="2160" w:hanging="180"/>
      </w:pPr>
    </w:lvl>
    <w:lvl w:ilvl="3" w:tplc="8944646E" w:tentative="1">
      <w:start w:val="1"/>
      <w:numFmt w:val="decimal"/>
      <w:lvlText w:val="%4."/>
      <w:lvlJc w:val="left"/>
      <w:pPr>
        <w:ind w:left="2880" w:hanging="360"/>
      </w:pPr>
    </w:lvl>
    <w:lvl w:ilvl="4" w:tplc="6BAE79D8" w:tentative="1">
      <w:start w:val="1"/>
      <w:numFmt w:val="lowerLetter"/>
      <w:lvlText w:val="%5."/>
      <w:lvlJc w:val="left"/>
      <w:pPr>
        <w:ind w:left="3600" w:hanging="360"/>
      </w:pPr>
    </w:lvl>
    <w:lvl w:ilvl="5" w:tplc="E0747872" w:tentative="1">
      <w:start w:val="1"/>
      <w:numFmt w:val="lowerRoman"/>
      <w:lvlText w:val="%6."/>
      <w:lvlJc w:val="right"/>
      <w:pPr>
        <w:ind w:left="4320" w:hanging="180"/>
      </w:pPr>
    </w:lvl>
    <w:lvl w:ilvl="6" w:tplc="34D401B4" w:tentative="1">
      <w:start w:val="1"/>
      <w:numFmt w:val="decimal"/>
      <w:lvlText w:val="%7."/>
      <w:lvlJc w:val="left"/>
      <w:pPr>
        <w:ind w:left="5040" w:hanging="360"/>
      </w:pPr>
    </w:lvl>
    <w:lvl w:ilvl="7" w:tplc="AD22890E" w:tentative="1">
      <w:start w:val="1"/>
      <w:numFmt w:val="lowerLetter"/>
      <w:lvlText w:val="%8."/>
      <w:lvlJc w:val="left"/>
      <w:pPr>
        <w:ind w:left="5760" w:hanging="360"/>
      </w:pPr>
    </w:lvl>
    <w:lvl w:ilvl="8" w:tplc="4A90E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E01E8"/>
    <w:multiLevelType w:val="hybridMultilevel"/>
    <w:tmpl w:val="4B74069C"/>
    <w:lvl w:ilvl="0" w:tplc="554A4E9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70048"/>
    <w:multiLevelType w:val="hybridMultilevel"/>
    <w:tmpl w:val="164A6C54"/>
    <w:lvl w:ilvl="0" w:tplc="554A4E9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2110B"/>
    <w:multiLevelType w:val="hybridMultilevel"/>
    <w:tmpl w:val="9EB86F86"/>
    <w:lvl w:ilvl="0" w:tplc="554A4E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20"/>
    <w:rsid w:val="009041DB"/>
    <w:rsid w:val="00D64020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8326D-900E-4018-A623-037D6569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402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D64020"/>
    <w:pPr>
      <w:keepNext/>
      <w:ind w:left="3969"/>
      <w:jc w:val="both"/>
      <w:outlineLvl w:val="2"/>
    </w:pPr>
    <w:rPr>
      <w:sz w:val="24"/>
    </w:rPr>
  </w:style>
  <w:style w:type="paragraph" w:styleId="Antrat9">
    <w:name w:val="heading 9"/>
    <w:basedOn w:val="prastasis"/>
    <w:next w:val="prastasis"/>
    <w:link w:val="Antrat9Diagrama"/>
    <w:qFormat/>
    <w:rsid w:val="00D64020"/>
    <w:pPr>
      <w:keepNext/>
      <w:jc w:val="both"/>
      <w:outlineLvl w:val="8"/>
    </w:pPr>
    <w:rPr>
      <w:b/>
      <w:bCs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D64020"/>
    <w:rPr>
      <w:rFonts w:ascii="Times New Roman" w:eastAsia="Calibri" w:hAnsi="Times New Roman" w:cs="Times New Roman"/>
      <w:sz w:val="24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D64020"/>
    <w:rPr>
      <w:rFonts w:ascii="Times New Roman" w:eastAsia="Calibri" w:hAnsi="Times New Roman" w:cs="Times New Roman"/>
      <w:b/>
      <w:bCs/>
      <w:szCs w:val="20"/>
    </w:rPr>
  </w:style>
  <w:style w:type="paragraph" w:styleId="Pagrindinistekstas">
    <w:name w:val="Body Text"/>
    <w:basedOn w:val="prastasis"/>
    <w:link w:val="PagrindinistekstasDiagrama"/>
    <w:rsid w:val="00D64020"/>
    <w:pPr>
      <w:spacing w:line="360" w:lineRule="auto"/>
    </w:pPr>
    <w:rPr>
      <w:sz w:val="28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64020"/>
    <w:rPr>
      <w:rFonts w:ascii="Times New Roman" w:eastAsia="Calibri" w:hAnsi="Times New Roman" w:cs="Times New Roman"/>
      <w:sz w:val="28"/>
      <w:szCs w:val="20"/>
      <w:lang w:val="en-US"/>
    </w:rPr>
  </w:style>
  <w:style w:type="paragraph" w:styleId="Pagrindinistekstas3">
    <w:name w:val="Body Text 3"/>
    <w:basedOn w:val="prastasis"/>
    <w:link w:val="Pagrindinistekstas3Diagrama"/>
    <w:rsid w:val="00D64020"/>
    <w:pPr>
      <w:spacing w:line="360" w:lineRule="auto"/>
      <w:jc w:val="both"/>
    </w:pPr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64020"/>
    <w:rPr>
      <w:rFonts w:ascii="Times New Roman" w:eastAsia="Calibri" w:hAnsi="Times New Roman" w:cs="Times New Roman"/>
      <w:sz w:val="24"/>
      <w:szCs w:val="20"/>
    </w:rPr>
  </w:style>
  <w:style w:type="character" w:styleId="Hipersaitas">
    <w:name w:val="Hyperlink"/>
    <w:basedOn w:val="Numatytasispastraiposriftas"/>
    <w:rsid w:val="00D64020"/>
    <w:rPr>
      <w:rFonts w:cs="Times New Roman"/>
      <w:color w:val="0000FF"/>
      <w:u w:val="single"/>
    </w:rPr>
  </w:style>
  <w:style w:type="paragraph" w:customStyle="1" w:styleId="PI-3EMEASMCA">
    <w:name w:val="PI-3 EMEA_SMCA"/>
    <w:basedOn w:val="prastasis"/>
    <w:autoRedefine/>
    <w:rsid w:val="00D64020"/>
    <w:pPr>
      <w:spacing w:line="220" w:lineRule="exact"/>
    </w:pPr>
    <w:rPr>
      <w:bCs/>
      <w:i/>
      <w:iCs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D64020"/>
    <w:rPr>
      <w:noProof/>
      <w:sz w:val="22"/>
      <w:szCs w:val="22"/>
    </w:rPr>
  </w:style>
  <w:style w:type="paragraph" w:customStyle="1" w:styleId="BTbEMEASMCA">
    <w:name w:val="BT(b) EMEA_SMCA"/>
    <w:basedOn w:val="BTEMEASMCA"/>
    <w:autoRedefine/>
    <w:rsid w:val="00D64020"/>
    <w:rPr>
      <w:b/>
    </w:rPr>
  </w:style>
  <w:style w:type="character" w:customStyle="1" w:styleId="BTEMEASMCAChar">
    <w:name w:val="BT EMEA_SMCA Char"/>
    <w:basedOn w:val="Numatytasispastraiposriftas"/>
    <w:link w:val="BTEMEASMCA"/>
    <w:locked/>
    <w:rsid w:val="00D64020"/>
    <w:rPr>
      <w:rFonts w:ascii="Times New Roman" w:eastAsia="Calibri" w:hAnsi="Times New Roman" w:cs="Times New Roman"/>
      <w:noProof/>
    </w:rPr>
  </w:style>
  <w:style w:type="paragraph" w:customStyle="1" w:styleId="Style1">
    <w:name w:val="Style1"/>
    <w:basedOn w:val="Pagrindinistekstas"/>
    <w:autoRedefine/>
    <w:rsid w:val="00D64020"/>
    <w:pPr>
      <w:spacing w:line="240" w:lineRule="auto"/>
      <w:jc w:val="both"/>
    </w:pPr>
    <w:rPr>
      <w:strike/>
      <w:sz w:val="22"/>
      <w:lang w:val="lt-LT" w:eastAsia="lt-LT"/>
    </w:rPr>
  </w:style>
  <w:style w:type="paragraph" w:styleId="Sraopastraipa">
    <w:name w:val="List Paragraph"/>
    <w:basedOn w:val="prastasis"/>
    <w:uiPriority w:val="34"/>
    <w:qFormat/>
    <w:rsid w:val="00D64020"/>
    <w:pPr>
      <w:ind w:left="720"/>
      <w:contextualSpacing/>
    </w:pPr>
  </w:style>
  <w:style w:type="paragraph" w:customStyle="1" w:styleId="BT-EMEASMCA">
    <w:name w:val="BT- EMEA_SMCA"/>
    <w:basedOn w:val="BTEMEASMCA"/>
    <w:autoRedefine/>
    <w:rsid w:val="00D64020"/>
    <w:pPr>
      <w:tabs>
        <w:tab w:val="left" w:pos="0"/>
        <w:tab w:val="left" w:pos="5760"/>
      </w:tabs>
      <w:ind w:left="567" w:hanging="567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7252</Words>
  <Characters>4135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2021-12-07T12:48:00Z</dcterms:created>
  <dcterms:modified xsi:type="dcterms:W3CDTF">2021-12-07T12:49:00Z</dcterms:modified>
</cp:coreProperties>
</file>