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6F0" w:rsidRDefault="002156F0" w:rsidP="002156F0">
      <w:pPr>
        <w:pStyle w:val="TTEMEASMCA"/>
        <w:rPr>
          <w:lang w:val="lt-LT"/>
        </w:rPr>
      </w:pPr>
      <w:r>
        <w:rPr>
          <w:caps w:val="0"/>
          <w:lang w:val="lt-LT"/>
        </w:rPr>
        <w:t>Pakuotės lapelis: informacija vartotojui</w:t>
      </w:r>
    </w:p>
    <w:p w:rsidR="002156F0" w:rsidRDefault="002156F0" w:rsidP="002156F0">
      <w:pPr>
        <w:pStyle w:val="BTEMEASMCA"/>
      </w:pPr>
    </w:p>
    <w:p w:rsidR="002156F0" w:rsidRDefault="002156F0" w:rsidP="002156F0">
      <w:pPr>
        <w:pStyle w:val="BTbeEMEASMCA"/>
      </w:pPr>
      <w:r>
        <w:t>Raniberl 150 mg plėvele dengtos tabletės</w:t>
      </w:r>
    </w:p>
    <w:p w:rsidR="002156F0" w:rsidRDefault="002156F0" w:rsidP="002156F0">
      <w:pPr>
        <w:pStyle w:val="BTeEMEASMCA"/>
      </w:pPr>
      <w:r>
        <w:t>Ranitidinas</w:t>
      </w:r>
    </w:p>
    <w:p w:rsidR="002156F0" w:rsidRDefault="002156F0" w:rsidP="002156F0">
      <w:pPr>
        <w:pStyle w:val="Pagrindinistekstas"/>
        <w:tabs>
          <w:tab w:val="left" w:pos="567"/>
        </w:tabs>
        <w:spacing w:after="0"/>
        <w:rPr>
          <w:szCs w:val="22"/>
        </w:rPr>
      </w:pPr>
    </w:p>
    <w:p w:rsidR="002156F0" w:rsidRDefault="002156F0" w:rsidP="002156F0">
      <w:pPr>
        <w:pStyle w:val="BTbEMEASMCA"/>
      </w:pPr>
      <w:r>
        <w:t>Atidžiai perskaitykite visą šį lapelį prieš pradėdami vartoti šį vaistą, nes jame pateikiama Jums svarbi informacija.</w:t>
      </w:r>
    </w:p>
    <w:p w:rsidR="002156F0" w:rsidRDefault="002156F0" w:rsidP="002156F0">
      <w:pPr>
        <w:pStyle w:val="BTEMEASMCA"/>
      </w:pPr>
      <w:r>
        <w:t>Visada vartokite šį vaistą tiksliai kaip aprašyta šiame lapelyje arba kaip nurodė gydytojas arba vaistininkas.</w:t>
      </w:r>
    </w:p>
    <w:p w:rsidR="002156F0" w:rsidRDefault="002156F0" w:rsidP="002156F0">
      <w:pPr>
        <w:pStyle w:val="BT-EMEASMCA"/>
      </w:pPr>
      <w:r>
        <w:t>Neišmeskite šio lapelio, nes vėl gali prireikti jį perskaityti.</w:t>
      </w:r>
    </w:p>
    <w:p w:rsidR="002156F0" w:rsidRDefault="002156F0" w:rsidP="002156F0">
      <w:pPr>
        <w:pStyle w:val="BT-EMEASMCA"/>
      </w:pPr>
      <w:r>
        <w:t>Jeigu norite sužinoti daugiau arba pasitarti, kreipkitės į vaistininką.</w:t>
      </w:r>
    </w:p>
    <w:p w:rsidR="002156F0" w:rsidRDefault="002156F0" w:rsidP="002156F0">
      <w:pPr>
        <w:pStyle w:val="BT-EMEASMCA"/>
      </w:pPr>
      <w:r>
        <w:t>Jeigu pasireiškė šalutinis poveikis (net jeigu jis šiame lapelyje nenurodytas), kreipkitės į gydytoją arba vaistininką. Žr. 4 skyrių.</w:t>
      </w:r>
    </w:p>
    <w:p w:rsidR="002156F0" w:rsidRDefault="002156F0" w:rsidP="002156F0">
      <w:pPr>
        <w:pStyle w:val="BT-EMEASMCA"/>
      </w:pPr>
      <w:r>
        <w:rPr>
          <w:szCs w:val="24"/>
          <w:lang w:val="lt-LT"/>
        </w:rPr>
        <w:t>Jeigu per 14 dienų Jūsų savijauta nepagerėjo arba net pablogėjo, kreipkitės į gydytoją</w:t>
      </w:r>
      <w:r>
        <w:t>.</w:t>
      </w:r>
    </w:p>
    <w:p w:rsidR="002156F0" w:rsidRDefault="002156F0" w:rsidP="002156F0">
      <w:pPr>
        <w:pStyle w:val="BT-EMEASMCA"/>
        <w:numPr>
          <w:ilvl w:val="0"/>
          <w:numId w:val="0"/>
        </w:numPr>
        <w:tabs>
          <w:tab w:val="left" w:pos="1296"/>
        </w:tabs>
        <w:ind w:left="420"/>
      </w:pPr>
    </w:p>
    <w:p w:rsidR="002156F0" w:rsidRDefault="002156F0" w:rsidP="002156F0">
      <w:pPr>
        <w:autoSpaceDE w:val="0"/>
        <w:autoSpaceDN w:val="0"/>
        <w:adjustRightInd w:val="0"/>
        <w:rPr>
          <w:rFonts w:eastAsia="Calibri"/>
          <w:b/>
          <w:bCs/>
          <w:color w:val="000000"/>
          <w:szCs w:val="22"/>
          <w:lang w:eastAsia="en-US"/>
        </w:rPr>
      </w:pPr>
      <w:r>
        <w:rPr>
          <w:rFonts w:eastAsia="Calibri"/>
          <w:b/>
          <w:bCs/>
          <w:color w:val="000000"/>
          <w:szCs w:val="22"/>
          <w:lang w:eastAsia="en-US"/>
        </w:rPr>
        <w:t>Apie ką rašoma šiame lapelyje?</w:t>
      </w:r>
    </w:p>
    <w:p w:rsidR="002156F0" w:rsidRDefault="002156F0" w:rsidP="002156F0">
      <w:pPr>
        <w:autoSpaceDE w:val="0"/>
        <w:autoSpaceDN w:val="0"/>
        <w:adjustRightInd w:val="0"/>
        <w:rPr>
          <w:rFonts w:eastAsia="Calibri"/>
          <w:b/>
          <w:bCs/>
          <w:color w:val="000000"/>
          <w:szCs w:val="22"/>
          <w:lang w:eastAsia="en-US"/>
        </w:rPr>
      </w:pPr>
    </w:p>
    <w:p w:rsidR="002156F0" w:rsidRDefault="002156F0" w:rsidP="002156F0">
      <w:pPr>
        <w:pStyle w:val="Pagrindinistekstas"/>
        <w:tabs>
          <w:tab w:val="left" w:pos="567"/>
        </w:tabs>
        <w:spacing w:after="0"/>
        <w:ind w:left="567" w:hanging="567"/>
        <w:rPr>
          <w:szCs w:val="22"/>
        </w:rPr>
      </w:pPr>
      <w:r>
        <w:rPr>
          <w:szCs w:val="22"/>
        </w:rPr>
        <w:t>1.</w:t>
      </w:r>
      <w:r>
        <w:rPr>
          <w:szCs w:val="22"/>
        </w:rPr>
        <w:tab/>
        <w:t xml:space="preserve">Kas yra </w:t>
      </w:r>
      <w:proofErr w:type="spellStart"/>
      <w:r>
        <w:rPr>
          <w:szCs w:val="22"/>
        </w:rPr>
        <w:t>Raniberl</w:t>
      </w:r>
      <w:proofErr w:type="spellEnd"/>
      <w:r>
        <w:rPr>
          <w:szCs w:val="22"/>
        </w:rPr>
        <w:t xml:space="preserve"> ir kam jis vartojamas</w:t>
      </w:r>
    </w:p>
    <w:p w:rsidR="002156F0" w:rsidRDefault="002156F0" w:rsidP="002156F0">
      <w:pPr>
        <w:pStyle w:val="Pagrindinistekstas"/>
        <w:tabs>
          <w:tab w:val="left" w:pos="567"/>
        </w:tabs>
        <w:spacing w:after="0"/>
        <w:ind w:left="567" w:hanging="567"/>
        <w:rPr>
          <w:b/>
          <w:i/>
          <w:szCs w:val="22"/>
        </w:rPr>
      </w:pPr>
      <w:r>
        <w:rPr>
          <w:szCs w:val="22"/>
        </w:rPr>
        <w:t>2.</w:t>
      </w:r>
      <w:r>
        <w:rPr>
          <w:szCs w:val="22"/>
        </w:rPr>
        <w:tab/>
        <w:t xml:space="preserve">Kas žinotina prieš vartojant </w:t>
      </w:r>
      <w:proofErr w:type="spellStart"/>
      <w:r>
        <w:rPr>
          <w:szCs w:val="22"/>
        </w:rPr>
        <w:t>Raniberl</w:t>
      </w:r>
      <w:proofErr w:type="spellEnd"/>
      <w:r>
        <w:rPr>
          <w:szCs w:val="22"/>
        </w:rPr>
        <w:t xml:space="preserve"> </w:t>
      </w:r>
    </w:p>
    <w:p w:rsidR="002156F0" w:rsidRDefault="002156F0" w:rsidP="002156F0">
      <w:pPr>
        <w:pStyle w:val="Pagrindinistekstas"/>
        <w:tabs>
          <w:tab w:val="left" w:pos="567"/>
        </w:tabs>
        <w:spacing w:after="0"/>
        <w:ind w:left="567" w:hanging="567"/>
        <w:rPr>
          <w:b/>
          <w:i/>
          <w:szCs w:val="22"/>
        </w:rPr>
      </w:pPr>
      <w:r>
        <w:rPr>
          <w:szCs w:val="22"/>
        </w:rPr>
        <w:t>3.</w:t>
      </w:r>
      <w:r>
        <w:rPr>
          <w:szCs w:val="22"/>
        </w:rPr>
        <w:tab/>
        <w:t xml:space="preserve">Kaip vartoti </w:t>
      </w:r>
      <w:proofErr w:type="spellStart"/>
      <w:r>
        <w:rPr>
          <w:szCs w:val="22"/>
        </w:rPr>
        <w:t>Raniberl</w:t>
      </w:r>
      <w:proofErr w:type="spellEnd"/>
      <w:r>
        <w:rPr>
          <w:szCs w:val="22"/>
        </w:rPr>
        <w:t xml:space="preserve"> </w:t>
      </w:r>
    </w:p>
    <w:p w:rsidR="002156F0" w:rsidRDefault="002156F0" w:rsidP="002156F0">
      <w:pPr>
        <w:pStyle w:val="Pagrindinistekstas"/>
        <w:tabs>
          <w:tab w:val="left" w:pos="567"/>
        </w:tabs>
        <w:spacing w:after="0"/>
        <w:ind w:left="567" w:hanging="567"/>
        <w:rPr>
          <w:szCs w:val="22"/>
        </w:rPr>
      </w:pPr>
      <w:r>
        <w:rPr>
          <w:szCs w:val="22"/>
        </w:rPr>
        <w:t>4.</w:t>
      </w:r>
      <w:r>
        <w:rPr>
          <w:szCs w:val="22"/>
        </w:rPr>
        <w:tab/>
        <w:t>Galimas šalutinis poveikis</w:t>
      </w:r>
    </w:p>
    <w:p w:rsidR="002156F0" w:rsidRDefault="002156F0" w:rsidP="002156F0">
      <w:pPr>
        <w:pStyle w:val="Pagrindinistekstas"/>
        <w:tabs>
          <w:tab w:val="left" w:pos="567"/>
        </w:tabs>
        <w:spacing w:after="0"/>
        <w:ind w:left="567" w:hanging="567"/>
        <w:rPr>
          <w:szCs w:val="22"/>
        </w:rPr>
      </w:pPr>
      <w:r>
        <w:rPr>
          <w:szCs w:val="22"/>
        </w:rPr>
        <w:t>5.</w:t>
      </w:r>
      <w:r>
        <w:rPr>
          <w:szCs w:val="22"/>
        </w:rPr>
        <w:tab/>
        <w:t xml:space="preserve">Kaip laikyti </w:t>
      </w:r>
      <w:proofErr w:type="spellStart"/>
      <w:r>
        <w:rPr>
          <w:szCs w:val="22"/>
        </w:rPr>
        <w:t>Raniberl</w:t>
      </w:r>
      <w:proofErr w:type="spellEnd"/>
      <w:r>
        <w:rPr>
          <w:szCs w:val="22"/>
        </w:rPr>
        <w:t xml:space="preserve"> </w:t>
      </w:r>
    </w:p>
    <w:p w:rsidR="002156F0" w:rsidRDefault="002156F0" w:rsidP="002156F0">
      <w:pPr>
        <w:pStyle w:val="Pagrindinistekstas"/>
        <w:tabs>
          <w:tab w:val="left" w:pos="567"/>
        </w:tabs>
        <w:spacing w:after="0"/>
        <w:ind w:left="567" w:hanging="567"/>
        <w:rPr>
          <w:szCs w:val="22"/>
        </w:rPr>
      </w:pPr>
      <w:r>
        <w:rPr>
          <w:szCs w:val="22"/>
        </w:rPr>
        <w:t>6.</w:t>
      </w:r>
      <w:r>
        <w:rPr>
          <w:szCs w:val="22"/>
        </w:rPr>
        <w:tab/>
        <w:t>Pakuotės turinys ir kita informacija</w:t>
      </w:r>
    </w:p>
    <w:p w:rsidR="002156F0" w:rsidRDefault="002156F0" w:rsidP="002156F0">
      <w:pPr>
        <w:pStyle w:val="Pagrindinistekstas"/>
        <w:tabs>
          <w:tab w:val="left" w:pos="567"/>
        </w:tabs>
        <w:spacing w:after="0"/>
        <w:rPr>
          <w:szCs w:val="22"/>
          <w:lang w:val="en-US"/>
        </w:rPr>
      </w:pPr>
    </w:p>
    <w:p w:rsidR="002156F0" w:rsidRDefault="002156F0" w:rsidP="002156F0">
      <w:pPr>
        <w:pStyle w:val="Pagrindinistekstas"/>
        <w:tabs>
          <w:tab w:val="left" w:pos="567"/>
        </w:tabs>
        <w:spacing w:after="0"/>
        <w:rPr>
          <w:szCs w:val="22"/>
          <w:lang w:val="en-US"/>
        </w:rPr>
      </w:pPr>
    </w:p>
    <w:p w:rsidR="002156F0" w:rsidRDefault="002156F0" w:rsidP="002156F0">
      <w:pPr>
        <w:pStyle w:val="PI-1EMEASMCA"/>
      </w:pPr>
      <w:r>
        <w:t>1.</w:t>
      </w:r>
      <w:r>
        <w:tab/>
        <w:t xml:space="preserve">Kas yra </w:t>
      </w:r>
      <w:proofErr w:type="spellStart"/>
      <w:r>
        <w:t>Raniberl</w:t>
      </w:r>
      <w:proofErr w:type="spellEnd"/>
      <w:r>
        <w:t xml:space="preserve"> ir kam jis vartojamas</w:t>
      </w:r>
    </w:p>
    <w:p w:rsidR="002156F0" w:rsidRDefault="002156F0" w:rsidP="002156F0">
      <w:pPr>
        <w:rPr>
          <w:b/>
          <w:szCs w:val="22"/>
        </w:rPr>
      </w:pPr>
    </w:p>
    <w:p w:rsidR="002156F0" w:rsidRDefault="002156F0" w:rsidP="002156F0">
      <w:pPr>
        <w:rPr>
          <w:szCs w:val="22"/>
          <w:lang w:eastAsia="en-US"/>
        </w:rPr>
      </w:pPr>
      <w:proofErr w:type="spellStart"/>
      <w:r>
        <w:rPr>
          <w:szCs w:val="22"/>
          <w:lang w:eastAsia="en-US"/>
        </w:rPr>
        <w:t>Raniberl</w:t>
      </w:r>
      <w:proofErr w:type="spellEnd"/>
      <w:r>
        <w:rPr>
          <w:szCs w:val="22"/>
          <w:lang w:eastAsia="en-US"/>
        </w:rPr>
        <w:t xml:space="preserve"> sudėtyje yra veikliosios medžiagos </w:t>
      </w:r>
      <w:proofErr w:type="spellStart"/>
      <w:r>
        <w:rPr>
          <w:szCs w:val="22"/>
          <w:lang w:eastAsia="en-US"/>
        </w:rPr>
        <w:t>ranitidino</w:t>
      </w:r>
      <w:proofErr w:type="spellEnd"/>
      <w:r>
        <w:rPr>
          <w:szCs w:val="22"/>
          <w:lang w:eastAsia="en-US"/>
        </w:rPr>
        <w:t xml:space="preserve">, kuri priklauso vaistų, vadinamų </w:t>
      </w:r>
      <w:proofErr w:type="spellStart"/>
      <w:r>
        <w:rPr>
          <w:szCs w:val="22"/>
          <w:lang w:eastAsia="en-US"/>
        </w:rPr>
        <w:t>histamino</w:t>
      </w:r>
      <w:proofErr w:type="spellEnd"/>
      <w:r>
        <w:rPr>
          <w:szCs w:val="22"/>
          <w:lang w:eastAsia="en-US"/>
        </w:rPr>
        <w:t xml:space="preserve"> H</w:t>
      </w:r>
      <w:r>
        <w:rPr>
          <w:szCs w:val="22"/>
          <w:vertAlign w:val="subscript"/>
          <w:lang w:eastAsia="en-US"/>
        </w:rPr>
        <w:t xml:space="preserve">2 </w:t>
      </w:r>
      <w:r>
        <w:rPr>
          <w:szCs w:val="22"/>
          <w:lang w:eastAsia="en-US"/>
        </w:rPr>
        <w:t>receptorių antagonistais (vartojamų sumažinti skrandžio rūgšties gamybą), grupei.</w:t>
      </w:r>
    </w:p>
    <w:p w:rsidR="002156F0" w:rsidRDefault="002156F0" w:rsidP="002156F0">
      <w:pPr>
        <w:rPr>
          <w:szCs w:val="22"/>
        </w:rPr>
      </w:pPr>
      <w:proofErr w:type="spellStart"/>
      <w:r>
        <w:rPr>
          <w:szCs w:val="22"/>
        </w:rPr>
        <w:t>Raniberl</w:t>
      </w:r>
      <w:proofErr w:type="spellEnd"/>
      <w:r>
        <w:rPr>
          <w:szCs w:val="22"/>
        </w:rPr>
        <w:t xml:space="preserve"> vartojamas rėmens sukeltam skausmui ir (arba) atsirūgimui rūgščiu turiniu gydyti.</w:t>
      </w:r>
    </w:p>
    <w:p w:rsidR="002156F0" w:rsidRDefault="002156F0" w:rsidP="002156F0">
      <w:pPr>
        <w:rPr>
          <w:szCs w:val="22"/>
        </w:rPr>
      </w:pPr>
    </w:p>
    <w:p w:rsidR="002156F0" w:rsidRDefault="002156F0" w:rsidP="002156F0">
      <w:pPr>
        <w:rPr>
          <w:szCs w:val="22"/>
        </w:rPr>
      </w:pPr>
      <w:proofErr w:type="spellStart"/>
      <w:r>
        <w:rPr>
          <w:szCs w:val="22"/>
        </w:rPr>
        <w:t>Raniberl</w:t>
      </w:r>
      <w:proofErr w:type="spellEnd"/>
      <w:r>
        <w:rPr>
          <w:szCs w:val="22"/>
        </w:rPr>
        <w:t xml:space="preserve">  skirtas suaugusiems ir paaugliams nuo 16 metų.</w:t>
      </w:r>
    </w:p>
    <w:p w:rsidR="002156F0" w:rsidRDefault="002156F0" w:rsidP="002156F0">
      <w:pPr>
        <w:rPr>
          <w:szCs w:val="22"/>
        </w:rPr>
      </w:pPr>
    </w:p>
    <w:p w:rsidR="002156F0" w:rsidRDefault="002156F0" w:rsidP="002156F0">
      <w:pPr>
        <w:rPr>
          <w:szCs w:val="22"/>
        </w:rPr>
      </w:pPr>
      <w:r>
        <w:rPr>
          <w:szCs w:val="22"/>
        </w:rPr>
        <w:t>Jeigu per 14 dienų Jūsų savijauta nepagerėjo ar net pablogėjo, kreipkitės į gydytoją.</w:t>
      </w:r>
    </w:p>
    <w:p w:rsidR="002156F0" w:rsidRDefault="002156F0" w:rsidP="002156F0">
      <w:pPr>
        <w:rPr>
          <w:szCs w:val="22"/>
        </w:rPr>
      </w:pPr>
    </w:p>
    <w:p w:rsidR="002156F0" w:rsidRDefault="002156F0" w:rsidP="002156F0">
      <w:pPr>
        <w:rPr>
          <w:szCs w:val="22"/>
        </w:rPr>
      </w:pPr>
    </w:p>
    <w:p w:rsidR="002156F0" w:rsidRDefault="002156F0" w:rsidP="002156F0">
      <w:pPr>
        <w:rPr>
          <w:b/>
          <w:i/>
          <w:szCs w:val="22"/>
        </w:rPr>
      </w:pPr>
      <w:r>
        <w:rPr>
          <w:b/>
          <w:szCs w:val="22"/>
        </w:rPr>
        <w:t>2.</w:t>
      </w:r>
      <w:r>
        <w:rPr>
          <w:b/>
          <w:szCs w:val="22"/>
        </w:rPr>
        <w:tab/>
        <w:t xml:space="preserve">Kas žinotina prieš vartojant </w:t>
      </w:r>
      <w:proofErr w:type="spellStart"/>
      <w:r>
        <w:rPr>
          <w:b/>
          <w:szCs w:val="22"/>
        </w:rPr>
        <w:t>Raniberl</w:t>
      </w:r>
      <w:proofErr w:type="spellEnd"/>
      <w:r>
        <w:rPr>
          <w:b/>
          <w:szCs w:val="22"/>
        </w:rPr>
        <w:t xml:space="preserve"> </w:t>
      </w:r>
    </w:p>
    <w:p w:rsidR="002156F0" w:rsidRDefault="002156F0" w:rsidP="002156F0">
      <w:pPr>
        <w:rPr>
          <w:szCs w:val="22"/>
        </w:rPr>
      </w:pPr>
    </w:p>
    <w:p w:rsidR="002156F0" w:rsidRDefault="002156F0" w:rsidP="002156F0">
      <w:pPr>
        <w:rPr>
          <w:szCs w:val="22"/>
        </w:rPr>
      </w:pPr>
      <w:proofErr w:type="spellStart"/>
      <w:r>
        <w:rPr>
          <w:szCs w:val="22"/>
        </w:rPr>
        <w:t>Raniberl</w:t>
      </w:r>
      <w:proofErr w:type="spellEnd"/>
      <w:r>
        <w:rPr>
          <w:szCs w:val="22"/>
        </w:rPr>
        <w:t xml:space="preserve"> vartoti negalima:</w:t>
      </w:r>
    </w:p>
    <w:p w:rsidR="002156F0" w:rsidRDefault="002156F0" w:rsidP="002156F0">
      <w:pPr>
        <w:ind w:left="567" w:hanging="567"/>
        <w:rPr>
          <w:szCs w:val="22"/>
        </w:rPr>
      </w:pPr>
      <w:r>
        <w:rPr>
          <w:szCs w:val="22"/>
        </w:rPr>
        <w:t>-</w:t>
      </w:r>
      <w:r>
        <w:rPr>
          <w:szCs w:val="22"/>
        </w:rPr>
        <w:tab/>
        <w:t xml:space="preserve">jeigu yra alergija </w:t>
      </w:r>
      <w:proofErr w:type="spellStart"/>
      <w:r>
        <w:rPr>
          <w:szCs w:val="22"/>
        </w:rPr>
        <w:t>ranitidinui</w:t>
      </w:r>
      <w:proofErr w:type="spellEnd"/>
      <w:r>
        <w:rPr>
          <w:szCs w:val="22"/>
        </w:rPr>
        <w:t xml:space="preserve"> arba bet kuriai pagalbinei šio vaisto medžiagai (jos išvardytos 6 skyriuje).</w:t>
      </w:r>
    </w:p>
    <w:p w:rsidR="002156F0" w:rsidRDefault="002156F0" w:rsidP="002156F0">
      <w:pPr>
        <w:rPr>
          <w:szCs w:val="22"/>
        </w:rPr>
      </w:pPr>
    </w:p>
    <w:p w:rsidR="002156F0" w:rsidRDefault="002156F0" w:rsidP="002156F0">
      <w:pPr>
        <w:autoSpaceDE w:val="0"/>
        <w:autoSpaceDN w:val="0"/>
        <w:adjustRightInd w:val="0"/>
        <w:rPr>
          <w:b/>
          <w:bCs/>
          <w:color w:val="000000"/>
          <w:szCs w:val="22"/>
        </w:rPr>
      </w:pPr>
      <w:r>
        <w:rPr>
          <w:b/>
          <w:bCs/>
          <w:color w:val="000000"/>
          <w:szCs w:val="22"/>
        </w:rPr>
        <w:t>Įspėjimai ir atsargumo priemonės</w:t>
      </w:r>
    </w:p>
    <w:p w:rsidR="002156F0" w:rsidRDefault="002156F0" w:rsidP="002156F0">
      <w:pPr>
        <w:pStyle w:val="BT-EMEASMCA"/>
        <w:numPr>
          <w:ilvl w:val="0"/>
          <w:numId w:val="0"/>
        </w:numPr>
        <w:tabs>
          <w:tab w:val="left" w:pos="1296"/>
        </w:tabs>
      </w:pPr>
    </w:p>
    <w:p w:rsidR="002156F0" w:rsidRDefault="002156F0" w:rsidP="002156F0">
      <w:pPr>
        <w:pStyle w:val="BT-EMEASMCA"/>
        <w:numPr>
          <w:ilvl w:val="0"/>
          <w:numId w:val="0"/>
        </w:numPr>
        <w:tabs>
          <w:tab w:val="left" w:pos="1296"/>
        </w:tabs>
      </w:pPr>
      <w:r>
        <w:t>Pasitarkite su gydytoju, prieš vartodami Raniberl:</w:t>
      </w:r>
    </w:p>
    <w:p w:rsidR="002156F0" w:rsidRDefault="002156F0" w:rsidP="002156F0">
      <w:pPr>
        <w:pStyle w:val="Pagrindinistekstas"/>
        <w:numPr>
          <w:ilvl w:val="0"/>
          <w:numId w:val="2"/>
        </w:numPr>
        <w:tabs>
          <w:tab w:val="left" w:pos="567"/>
        </w:tabs>
        <w:spacing w:after="0"/>
        <w:rPr>
          <w:szCs w:val="22"/>
        </w:rPr>
      </w:pPr>
      <w:r>
        <w:rPr>
          <w:szCs w:val="22"/>
        </w:rPr>
        <w:t>jeigu Jums yra inkstų ir (arba) kepenų funkcijos sutrikimų;</w:t>
      </w:r>
    </w:p>
    <w:p w:rsidR="002156F0" w:rsidRDefault="002156F0" w:rsidP="002156F0">
      <w:pPr>
        <w:pStyle w:val="Pagrindinistekstas"/>
        <w:numPr>
          <w:ilvl w:val="0"/>
          <w:numId w:val="2"/>
        </w:numPr>
        <w:tabs>
          <w:tab w:val="left" w:pos="567"/>
        </w:tabs>
        <w:spacing w:after="0"/>
        <w:rPr>
          <w:szCs w:val="22"/>
        </w:rPr>
      </w:pPr>
      <w:r>
        <w:rPr>
          <w:szCs w:val="22"/>
        </w:rPr>
        <w:t xml:space="preserve">jeigu esate nuolat prižiūrimas gydytojo ir (arba) sergate liga, kuriai būtinas nuolatinis gydymas; </w:t>
      </w:r>
    </w:p>
    <w:p w:rsidR="002156F0" w:rsidRDefault="002156F0" w:rsidP="002156F0">
      <w:pPr>
        <w:pStyle w:val="Pagrindinistekstas"/>
        <w:numPr>
          <w:ilvl w:val="0"/>
          <w:numId w:val="2"/>
        </w:numPr>
        <w:tabs>
          <w:tab w:val="left" w:pos="567"/>
        </w:tabs>
        <w:spacing w:after="0"/>
        <w:rPr>
          <w:szCs w:val="22"/>
        </w:rPr>
      </w:pPr>
      <w:r>
        <w:rPr>
          <w:szCs w:val="22"/>
        </w:rPr>
        <w:t>jeigu vartojate kitokių vaistų (receptinių arba nereceptinių);</w:t>
      </w:r>
    </w:p>
    <w:p w:rsidR="002156F0" w:rsidRDefault="002156F0" w:rsidP="002156F0">
      <w:pPr>
        <w:pStyle w:val="Pagrindinistekstas"/>
        <w:numPr>
          <w:ilvl w:val="0"/>
          <w:numId w:val="2"/>
        </w:numPr>
        <w:tabs>
          <w:tab w:val="left" w:pos="567"/>
        </w:tabs>
        <w:spacing w:after="0"/>
        <w:rPr>
          <w:szCs w:val="22"/>
        </w:rPr>
      </w:pPr>
      <w:r>
        <w:rPr>
          <w:szCs w:val="22"/>
        </w:rPr>
        <w:t>jeigu esate vidutinio ar senyvo amžiaus, ir dispepsijos požymiai (nemalonūs pojūčiai viršutinėje pilvo dalyje) atsirado naujai arba neseniai pasikeitė jų pobūdis;</w:t>
      </w:r>
    </w:p>
    <w:p w:rsidR="002156F0" w:rsidRDefault="002156F0" w:rsidP="002156F0">
      <w:pPr>
        <w:pStyle w:val="Pagrindinistekstas"/>
        <w:numPr>
          <w:ilvl w:val="0"/>
          <w:numId w:val="2"/>
        </w:numPr>
        <w:tabs>
          <w:tab w:val="left" w:pos="567"/>
        </w:tabs>
        <w:spacing w:after="0"/>
        <w:rPr>
          <w:szCs w:val="22"/>
        </w:rPr>
      </w:pPr>
      <w:r>
        <w:rPr>
          <w:szCs w:val="22"/>
        </w:rPr>
        <w:t>jeigu nenumatytai sumažėjo Jūsų kūno masė, esant dispepsijos požymiams;</w:t>
      </w:r>
    </w:p>
    <w:p w:rsidR="002156F0" w:rsidRDefault="002156F0" w:rsidP="002156F0">
      <w:pPr>
        <w:pStyle w:val="Pagrindinistekstas"/>
        <w:numPr>
          <w:ilvl w:val="0"/>
          <w:numId w:val="2"/>
        </w:numPr>
        <w:tabs>
          <w:tab w:val="left" w:pos="567"/>
        </w:tabs>
        <w:spacing w:after="0"/>
        <w:rPr>
          <w:szCs w:val="22"/>
        </w:rPr>
      </w:pPr>
      <w:r>
        <w:rPr>
          <w:szCs w:val="22"/>
        </w:rPr>
        <w:t>jeigu vartojate nesteroidinių vaistų nuo uždegimo (tam tikrų vaistų nuo skausmo ir reumato), ypač, jei Jums anksčiau yra nustatyta skrandžio ar dvylikapirštės žarnos opa;</w:t>
      </w:r>
    </w:p>
    <w:p w:rsidR="002156F0" w:rsidRDefault="002156F0" w:rsidP="002156F0">
      <w:pPr>
        <w:numPr>
          <w:ilvl w:val="0"/>
          <w:numId w:val="2"/>
        </w:numPr>
        <w:rPr>
          <w:szCs w:val="22"/>
        </w:rPr>
      </w:pPr>
      <w:r>
        <w:rPr>
          <w:szCs w:val="22"/>
        </w:rPr>
        <w:t xml:space="preserve">jeigu sergate medžiagų apykaitos liga vaidinamąja ūmine </w:t>
      </w:r>
      <w:proofErr w:type="spellStart"/>
      <w:r>
        <w:rPr>
          <w:szCs w:val="22"/>
        </w:rPr>
        <w:t>porfirija</w:t>
      </w:r>
      <w:proofErr w:type="spellEnd"/>
      <w:r>
        <w:rPr>
          <w:szCs w:val="22"/>
        </w:rPr>
        <w:t xml:space="preserve"> (</w:t>
      </w:r>
      <w:proofErr w:type="spellStart"/>
      <w:r>
        <w:rPr>
          <w:szCs w:val="22"/>
        </w:rPr>
        <w:t>ranitidinas</w:t>
      </w:r>
      <w:proofErr w:type="spellEnd"/>
      <w:r>
        <w:rPr>
          <w:szCs w:val="22"/>
        </w:rPr>
        <w:t xml:space="preserve"> gali sukelti ūminės </w:t>
      </w:r>
      <w:proofErr w:type="spellStart"/>
      <w:r>
        <w:rPr>
          <w:szCs w:val="22"/>
        </w:rPr>
        <w:t>porfirijos</w:t>
      </w:r>
      <w:proofErr w:type="spellEnd"/>
      <w:r>
        <w:rPr>
          <w:szCs w:val="22"/>
        </w:rPr>
        <w:t xml:space="preserve"> priepuolį, todėl reikia vengti jį vartoti);</w:t>
      </w:r>
    </w:p>
    <w:p w:rsidR="002156F0" w:rsidRDefault="002156F0" w:rsidP="002156F0">
      <w:pPr>
        <w:numPr>
          <w:ilvl w:val="0"/>
          <w:numId w:val="2"/>
        </w:numPr>
        <w:rPr>
          <w:szCs w:val="22"/>
        </w:rPr>
      </w:pPr>
      <w:r>
        <w:rPr>
          <w:szCs w:val="22"/>
        </w:rPr>
        <w:t>jeigu esate senyvo amžiaus, sergate lėtine plaučių liga, cukriniu diabetu arba yra imuninės sistemos sutrikimų. Jums gali būti didesnis pavojus susirgti bendruomenėje įgyta pneumonija.</w:t>
      </w:r>
    </w:p>
    <w:p w:rsidR="002156F0" w:rsidRDefault="002156F0" w:rsidP="002156F0">
      <w:pPr>
        <w:pStyle w:val="BTEMEASMCA"/>
      </w:pPr>
    </w:p>
    <w:p w:rsidR="002156F0" w:rsidRDefault="002156F0" w:rsidP="002156F0">
      <w:pPr>
        <w:pStyle w:val="BTEMEASMCA"/>
      </w:pPr>
      <w:r>
        <w:t>Raniberl vartojimas gali paslėpti skrandžio vėžio simptomus, ir diagnozė gali būti nustatyta pavėluotai.</w:t>
      </w:r>
    </w:p>
    <w:p w:rsidR="002156F0" w:rsidRDefault="002156F0" w:rsidP="002156F0">
      <w:pPr>
        <w:pStyle w:val="BTEMEASMCA"/>
      </w:pPr>
    </w:p>
    <w:p w:rsidR="002156F0" w:rsidRDefault="002156F0" w:rsidP="002156F0">
      <w:pPr>
        <w:pStyle w:val="BTEMEASMCA"/>
        <w:rPr>
          <w:b/>
        </w:rPr>
      </w:pPr>
      <w:r>
        <w:rPr>
          <w:b/>
        </w:rPr>
        <w:t>Vaikams ir paaugliams</w:t>
      </w:r>
    </w:p>
    <w:p w:rsidR="002156F0" w:rsidRDefault="002156F0" w:rsidP="002156F0">
      <w:pPr>
        <w:pStyle w:val="BTEMEASMCA"/>
      </w:pPr>
      <w:r>
        <w:t>Jaunesniems kaip 16 metų vaikams šio vaisto vartoti nerekomenduojama.</w:t>
      </w:r>
    </w:p>
    <w:p w:rsidR="002156F0" w:rsidRDefault="002156F0" w:rsidP="002156F0">
      <w:pPr>
        <w:pStyle w:val="BTEMEASMCA"/>
      </w:pPr>
    </w:p>
    <w:p w:rsidR="002156F0" w:rsidRDefault="002156F0" w:rsidP="002156F0">
      <w:pPr>
        <w:pStyle w:val="BTEMEASMCA"/>
        <w:rPr>
          <w:b/>
        </w:rPr>
      </w:pPr>
      <w:r>
        <w:rPr>
          <w:b/>
        </w:rPr>
        <w:t xml:space="preserve">Kiti vaistai ir Raniberl </w:t>
      </w:r>
    </w:p>
    <w:p w:rsidR="002156F0" w:rsidRDefault="002156F0" w:rsidP="002156F0">
      <w:pPr>
        <w:pStyle w:val="BT-EMEASMCA"/>
        <w:numPr>
          <w:ilvl w:val="0"/>
          <w:numId w:val="0"/>
        </w:numPr>
        <w:tabs>
          <w:tab w:val="left" w:pos="1296"/>
        </w:tabs>
      </w:pPr>
      <w:r>
        <w:t>Jeigu vartojate arba neseniai vartojote kitų vaistų arba dėl to nesate tikri, apie tai pasakykite gydytojui arba vaistininkui.</w:t>
      </w:r>
    </w:p>
    <w:p w:rsidR="002156F0" w:rsidRDefault="002156F0" w:rsidP="002156F0">
      <w:pPr>
        <w:pStyle w:val="BT-EMEASMCA"/>
        <w:numPr>
          <w:ilvl w:val="0"/>
          <w:numId w:val="0"/>
        </w:numPr>
        <w:tabs>
          <w:tab w:val="left" w:pos="1296"/>
        </w:tabs>
      </w:pPr>
      <w:r>
        <w:t>Jei Raniberl vartojamas kartu su žemiau išvardytais vaistais, jis gali turėti įtakos jų veikimui arba jie gali turėti įtakos Raniberl poveikiui.</w:t>
      </w:r>
    </w:p>
    <w:p w:rsidR="002156F0" w:rsidRDefault="002156F0" w:rsidP="002156F0">
      <w:pPr>
        <w:pStyle w:val="BTEMEASMCA"/>
      </w:pPr>
    </w:p>
    <w:p w:rsidR="002156F0" w:rsidRDefault="002156F0" w:rsidP="002156F0">
      <w:pPr>
        <w:pStyle w:val="BTEMEASMCA"/>
      </w:pPr>
      <w:r>
        <w:t>Vaistai, mažinantys skrandžio sulčių rūgštingumą (vartojami rėmens gydymui), arba sukralfatas (vaistas skrandžio ir dvylikapirštės žarnos opos gydymui), vartojami didelėmis dozėmis (2 g): šie vaistai gali mažinti ranitidino sunaudojimą organizme. Todėl Raniberl reikia išgerti apytikriai 2 valandas prieš šių vaistų vartojimą.</w:t>
      </w:r>
    </w:p>
    <w:p w:rsidR="002156F0" w:rsidRDefault="002156F0" w:rsidP="002156F0">
      <w:pPr>
        <w:pStyle w:val="BTEMEASMCA"/>
      </w:pPr>
    </w:p>
    <w:p w:rsidR="002156F0" w:rsidRDefault="002156F0" w:rsidP="002156F0">
      <w:pPr>
        <w:pStyle w:val="BTEMEASMCA"/>
      </w:pPr>
      <w:r>
        <w:t xml:space="preserve">Vaistai grybelių sukeltoms infekcinėms ligoms gydyti, pavyzdžiui, ketokonazolas. Šių vaistų įsisavinimas priklauso nuo rūgšties kiekio skrandyje. Jei jų vartojama kartu su Raniberl, gydytojas turi atkreipti dėmesį į pasikeitusią šių medžiagų absorbciją. </w:t>
      </w:r>
    </w:p>
    <w:p w:rsidR="002156F0" w:rsidRDefault="002156F0" w:rsidP="002156F0">
      <w:pPr>
        <w:pStyle w:val="BTEMEASMCA"/>
      </w:pPr>
    </w:p>
    <w:p w:rsidR="002156F0" w:rsidRDefault="002156F0" w:rsidP="002156F0">
      <w:pPr>
        <w:pStyle w:val="BTEMEASMCA"/>
      </w:pPr>
      <w:r>
        <w:t>Vaistai cukriniam diabetui gydyti, kurių veiklioji medžiaga cukraus kiekiui mažinti yra glipizidas arba glibenklamidas: jei glipizidas arba glibenklamidas vartojamas kartu su Raniberl, Raniberl gali sustiprinti glipizido ar glibenklamido cukraus kiekį mažinantį poveikį.</w:t>
      </w:r>
    </w:p>
    <w:p w:rsidR="002156F0" w:rsidRDefault="002156F0" w:rsidP="002156F0">
      <w:pPr>
        <w:pStyle w:val="BTEMEASMCA"/>
      </w:pPr>
    </w:p>
    <w:p w:rsidR="002156F0" w:rsidRDefault="002156F0" w:rsidP="002156F0">
      <w:pPr>
        <w:pStyle w:val="BTEMEASMCA"/>
      </w:pPr>
      <w:r>
        <w:t>Raminamieji arba miegą gerinantieji vaistai, kurių sudėtyje yra veikliųjų medžiagų midazolamo arba triazolamo: kartu su šiais vaistais vartojamas Raniberl gali sustiprinti jų poveikį.</w:t>
      </w:r>
    </w:p>
    <w:p w:rsidR="002156F0" w:rsidRDefault="002156F0" w:rsidP="002156F0">
      <w:pPr>
        <w:pStyle w:val="BTEMEASMCA"/>
      </w:pPr>
    </w:p>
    <w:p w:rsidR="002156F0" w:rsidRDefault="002156F0" w:rsidP="002156F0">
      <w:pPr>
        <w:rPr>
          <w:szCs w:val="22"/>
        </w:rPr>
      </w:pPr>
      <w:r>
        <w:rPr>
          <w:szCs w:val="22"/>
        </w:rPr>
        <w:t xml:space="preserve">Vaistai ŽIV arba vėžiui gydyti, kurių sudėtyje yra </w:t>
      </w:r>
      <w:proofErr w:type="spellStart"/>
      <w:r>
        <w:rPr>
          <w:szCs w:val="22"/>
        </w:rPr>
        <w:t>atazanaviro</w:t>
      </w:r>
      <w:proofErr w:type="spellEnd"/>
      <w:r>
        <w:rPr>
          <w:szCs w:val="22"/>
        </w:rPr>
        <w:t xml:space="preserve">, </w:t>
      </w:r>
      <w:proofErr w:type="spellStart"/>
      <w:r>
        <w:rPr>
          <w:szCs w:val="22"/>
        </w:rPr>
        <w:t>delaviridino</w:t>
      </w:r>
      <w:proofErr w:type="spellEnd"/>
      <w:r>
        <w:rPr>
          <w:szCs w:val="22"/>
        </w:rPr>
        <w:t xml:space="preserve"> arba </w:t>
      </w:r>
      <w:proofErr w:type="spellStart"/>
      <w:r>
        <w:rPr>
          <w:szCs w:val="22"/>
        </w:rPr>
        <w:t>gefitinibo</w:t>
      </w:r>
      <w:proofErr w:type="spellEnd"/>
      <w:r>
        <w:rPr>
          <w:szCs w:val="22"/>
        </w:rPr>
        <w:t xml:space="preserve">. Gydant </w:t>
      </w:r>
      <w:proofErr w:type="spellStart"/>
      <w:r>
        <w:rPr>
          <w:szCs w:val="22"/>
        </w:rPr>
        <w:t>Raniberl</w:t>
      </w:r>
      <w:proofErr w:type="spellEnd"/>
      <w:r>
        <w:rPr>
          <w:szCs w:val="22"/>
        </w:rPr>
        <w:t xml:space="preserve"> ir vartojant kartu minėtus vaistus gali sumažėti jų poveikis.</w:t>
      </w:r>
    </w:p>
    <w:p w:rsidR="002156F0" w:rsidRDefault="002156F0" w:rsidP="002156F0">
      <w:pPr>
        <w:pStyle w:val="BTAnIIEMEASMCA"/>
        <w:rPr>
          <w:rFonts w:cs="Times New Roman"/>
          <w:lang w:val="lt-LT"/>
        </w:rPr>
      </w:pPr>
    </w:p>
    <w:p w:rsidR="002156F0" w:rsidRDefault="002156F0" w:rsidP="002156F0">
      <w:pPr>
        <w:pStyle w:val="BTEMEASMCA"/>
      </w:pPr>
      <w:r>
        <w:t>Vaistai nuo astmos, kurių sudėtyje yra veikliosios medžiagos teofilino: gauta pranešimų apie astma sergančius pacientus, kuriems pasireiškė teofilino perdozavimo požymių, kai Raniberl 150  ir teofilinas buvo vartojami kartu. Todėl Jūsų gydytojas nustatys teofilino kiekį kraujyje ir gali pakoreguoti teofilino dozę.</w:t>
      </w:r>
    </w:p>
    <w:p w:rsidR="002156F0" w:rsidRDefault="002156F0" w:rsidP="002156F0">
      <w:pPr>
        <w:pStyle w:val="BTAnIIEMEASMCA"/>
        <w:rPr>
          <w:rFonts w:cs="Times New Roman"/>
          <w:b w:val="0"/>
          <w:lang w:val="lt-LT"/>
        </w:rPr>
      </w:pPr>
    </w:p>
    <w:p w:rsidR="002156F0" w:rsidRDefault="002156F0" w:rsidP="002156F0">
      <w:pPr>
        <w:rPr>
          <w:szCs w:val="22"/>
        </w:rPr>
      </w:pPr>
      <w:r>
        <w:rPr>
          <w:szCs w:val="22"/>
        </w:rPr>
        <w:t>Antikoaguliantai (kraują skystinantieji vaistai)</w:t>
      </w:r>
      <w:r>
        <w:rPr>
          <w:b/>
          <w:szCs w:val="22"/>
        </w:rPr>
        <w:t xml:space="preserve"> – </w:t>
      </w:r>
      <w:r>
        <w:rPr>
          <w:szCs w:val="22"/>
        </w:rPr>
        <w:t xml:space="preserve">kumarino grupės vaistai pvz. </w:t>
      </w:r>
      <w:proofErr w:type="spellStart"/>
      <w:r>
        <w:rPr>
          <w:szCs w:val="22"/>
        </w:rPr>
        <w:t>varfarinas</w:t>
      </w:r>
      <w:proofErr w:type="spellEnd"/>
      <w:r>
        <w:rPr>
          <w:szCs w:val="22"/>
        </w:rPr>
        <w:t xml:space="preserve">: gauta pranešimų apie </w:t>
      </w:r>
      <w:proofErr w:type="spellStart"/>
      <w:r>
        <w:rPr>
          <w:szCs w:val="22"/>
        </w:rPr>
        <w:t>protrombino</w:t>
      </w:r>
      <w:proofErr w:type="spellEnd"/>
      <w:r>
        <w:rPr>
          <w:szCs w:val="22"/>
        </w:rPr>
        <w:t xml:space="preserve"> laiko (tyrimo, kuriuo nustatoma kaip veikia kraują skystinantieji preparatai galintys apsaugoti nuo krešulių susidarymo) pakitimus. Jūsų gydytojas atidžiai kontroliuos </w:t>
      </w:r>
      <w:proofErr w:type="spellStart"/>
      <w:r>
        <w:rPr>
          <w:szCs w:val="22"/>
        </w:rPr>
        <w:t>protrombino</w:t>
      </w:r>
      <w:proofErr w:type="spellEnd"/>
      <w:r>
        <w:rPr>
          <w:szCs w:val="22"/>
        </w:rPr>
        <w:t xml:space="preserve"> laiką, jeigu kartu vartojate </w:t>
      </w:r>
      <w:proofErr w:type="spellStart"/>
      <w:r>
        <w:rPr>
          <w:szCs w:val="22"/>
        </w:rPr>
        <w:t>ranitidino</w:t>
      </w:r>
      <w:proofErr w:type="spellEnd"/>
      <w:r>
        <w:rPr>
          <w:szCs w:val="22"/>
        </w:rPr>
        <w:t>.</w:t>
      </w:r>
    </w:p>
    <w:p w:rsidR="002156F0" w:rsidRDefault="002156F0" w:rsidP="002156F0">
      <w:pPr>
        <w:rPr>
          <w:szCs w:val="22"/>
        </w:rPr>
      </w:pPr>
    </w:p>
    <w:p w:rsidR="002156F0" w:rsidRDefault="002156F0" w:rsidP="002156F0">
      <w:pPr>
        <w:rPr>
          <w:szCs w:val="22"/>
        </w:rPr>
      </w:pPr>
      <w:proofErr w:type="spellStart"/>
      <w:r>
        <w:rPr>
          <w:szCs w:val="22"/>
        </w:rPr>
        <w:t>Antiaritminiai</w:t>
      </w:r>
      <w:proofErr w:type="spellEnd"/>
      <w:r>
        <w:rPr>
          <w:szCs w:val="22"/>
        </w:rPr>
        <w:t xml:space="preserve"> vaistai (vaistai, vartojami esant nereguliariam širdies plakimui), pvz.: </w:t>
      </w:r>
      <w:proofErr w:type="spellStart"/>
      <w:r>
        <w:rPr>
          <w:szCs w:val="22"/>
        </w:rPr>
        <w:t>prokainamidas</w:t>
      </w:r>
      <w:proofErr w:type="spellEnd"/>
      <w:r>
        <w:rPr>
          <w:szCs w:val="22"/>
        </w:rPr>
        <w:t xml:space="preserve"> ir N-</w:t>
      </w:r>
      <w:proofErr w:type="spellStart"/>
      <w:r>
        <w:rPr>
          <w:szCs w:val="22"/>
        </w:rPr>
        <w:t>acetilprokainamidas</w:t>
      </w:r>
      <w:proofErr w:type="spellEnd"/>
      <w:r>
        <w:rPr>
          <w:szCs w:val="22"/>
        </w:rPr>
        <w:t xml:space="preserve">: didelės </w:t>
      </w:r>
      <w:proofErr w:type="spellStart"/>
      <w:r>
        <w:rPr>
          <w:szCs w:val="22"/>
        </w:rPr>
        <w:t>ranitidino</w:t>
      </w:r>
      <w:proofErr w:type="spellEnd"/>
      <w:r>
        <w:rPr>
          <w:szCs w:val="22"/>
        </w:rPr>
        <w:t xml:space="preserve"> dozės (pavyzdžiui tokios, kokios vartojamos </w:t>
      </w:r>
      <w:proofErr w:type="spellStart"/>
      <w:r>
        <w:rPr>
          <w:szCs w:val="22"/>
        </w:rPr>
        <w:t>Zollinger-Ellison‘o</w:t>
      </w:r>
      <w:proofErr w:type="spellEnd"/>
      <w:r>
        <w:rPr>
          <w:szCs w:val="22"/>
        </w:rPr>
        <w:t xml:space="preserve"> sindromui gydyti) gali sukelti šių medžiagų sankaupą kraujyje.</w:t>
      </w:r>
    </w:p>
    <w:p w:rsidR="002156F0" w:rsidRDefault="002156F0" w:rsidP="002156F0">
      <w:pPr>
        <w:pStyle w:val="BTEMEASMCA"/>
        <w:rPr>
          <w:lang w:val="lt-LT"/>
        </w:rPr>
      </w:pPr>
    </w:p>
    <w:p w:rsidR="002156F0" w:rsidRDefault="002156F0" w:rsidP="002156F0">
      <w:pPr>
        <w:pStyle w:val="BTEMEASMCA"/>
        <w:rPr>
          <w:lang w:val="lt-LT"/>
        </w:rPr>
      </w:pPr>
      <w:r>
        <w:rPr>
          <w:lang w:val="lt-LT"/>
        </w:rPr>
        <w:t>Vaistai nuo vėžio, kurių sudėtyje yra veikliosios medžiagos erlotinibo:</w:t>
      </w:r>
    </w:p>
    <w:p w:rsidR="002156F0" w:rsidRDefault="002156F0" w:rsidP="002156F0">
      <w:pPr>
        <w:pStyle w:val="BTEMEASMCA"/>
      </w:pPr>
      <w:r>
        <w:rPr>
          <w:lang w:val="lt-LT"/>
        </w:rPr>
        <w:t>Jei jūs vartojate vaistą erlotinibą, kuriuo gydomos tam tikros vėžio formos, pasitarkite su gydytoju prieš pradėdami vartoti Raniberl. Raniberl sudėtyje esantis ranitidinas gali sumažinti erlotinibo koncentraciją Jūsų kraujyje ir, jei juo gydotės, dėl erlotinibo vartojimo Jūsų gydytojas gali koreguoti gydymą.</w:t>
      </w:r>
    </w:p>
    <w:p w:rsidR="002156F0" w:rsidRDefault="002156F0" w:rsidP="002156F0">
      <w:pPr>
        <w:pStyle w:val="PI-3EMEASMCA"/>
      </w:pPr>
    </w:p>
    <w:p w:rsidR="002156F0" w:rsidRDefault="002156F0" w:rsidP="002156F0">
      <w:pPr>
        <w:pStyle w:val="PI-3EMEASMCA"/>
      </w:pPr>
      <w:proofErr w:type="spellStart"/>
      <w:r>
        <w:t>Raniberl</w:t>
      </w:r>
      <w:proofErr w:type="spellEnd"/>
      <w:r>
        <w:t xml:space="preserve"> vartojimas su alkoholiu</w:t>
      </w:r>
    </w:p>
    <w:p w:rsidR="002156F0" w:rsidRDefault="002156F0" w:rsidP="002156F0">
      <w:pPr>
        <w:pStyle w:val="BTEMEASMCA"/>
      </w:pPr>
      <w:r>
        <w:t>Vartojant Raniberl, gali sustiprėti alkoholio poveikis.</w:t>
      </w:r>
    </w:p>
    <w:p w:rsidR="002156F0" w:rsidRDefault="002156F0" w:rsidP="002156F0">
      <w:pPr>
        <w:pStyle w:val="BTEMEASMCA"/>
      </w:pPr>
    </w:p>
    <w:p w:rsidR="002156F0" w:rsidRDefault="002156F0" w:rsidP="002156F0">
      <w:pPr>
        <w:autoSpaceDE w:val="0"/>
        <w:autoSpaceDN w:val="0"/>
        <w:adjustRightInd w:val="0"/>
        <w:rPr>
          <w:b/>
          <w:szCs w:val="22"/>
        </w:rPr>
      </w:pPr>
      <w:r>
        <w:rPr>
          <w:b/>
          <w:szCs w:val="22"/>
        </w:rPr>
        <w:t xml:space="preserve">Nėštumas, žindymo laikotarpis ir vaisingumas </w:t>
      </w:r>
    </w:p>
    <w:p w:rsidR="002156F0" w:rsidRDefault="002156F0" w:rsidP="002156F0">
      <w:pPr>
        <w:autoSpaceDE w:val="0"/>
        <w:autoSpaceDN w:val="0"/>
        <w:adjustRightInd w:val="0"/>
        <w:rPr>
          <w:rFonts w:eastAsia="Calibri"/>
          <w:color w:val="000000"/>
          <w:szCs w:val="22"/>
          <w:lang w:eastAsia="en-US"/>
        </w:rPr>
      </w:pPr>
      <w:r>
        <w:rPr>
          <w:rFonts w:eastAsia="Calibri"/>
          <w:color w:val="000000"/>
          <w:szCs w:val="22"/>
          <w:lang w:eastAsia="en-US"/>
        </w:rPr>
        <w:t>Jeigu esate nėščia, žindote kūdikį, manote, kad galbūt esate nėščia arba planuojate pastoti, tai prieš</w:t>
      </w:r>
    </w:p>
    <w:p w:rsidR="002156F0" w:rsidRDefault="002156F0" w:rsidP="002156F0">
      <w:pPr>
        <w:autoSpaceDE w:val="0"/>
        <w:autoSpaceDN w:val="0"/>
        <w:adjustRightInd w:val="0"/>
        <w:rPr>
          <w:szCs w:val="22"/>
        </w:rPr>
      </w:pPr>
      <w:r>
        <w:rPr>
          <w:rFonts w:eastAsia="Calibri"/>
          <w:color w:val="000000"/>
          <w:szCs w:val="22"/>
          <w:lang w:eastAsia="en-US"/>
        </w:rPr>
        <w:t xml:space="preserve">vartodama šį vaistą pasitarkite </w:t>
      </w:r>
      <w:r>
        <w:rPr>
          <w:szCs w:val="22"/>
        </w:rPr>
        <w:t xml:space="preserve"> su gydytoju arba vaistininku.</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i/>
          <w:iCs/>
          <w:szCs w:val="22"/>
        </w:rPr>
      </w:pPr>
      <w:r>
        <w:rPr>
          <w:i/>
          <w:iCs/>
          <w:szCs w:val="22"/>
        </w:rPr>
        <w:t>Nėštumas</w:t>
      </w:r>
    </w:p>
    <w:p w:rsidR="002156F0" w:rsidRDefault="002156F0" w:rsidP="002156F0">
      <w:pPr>
        <w:pStyle w:val="Pagrindinistekstas"/>
        <w:tabs>
          <w:tab w:val="left" w:pos="567"/>
        </w:tabs>
        <w:spacing w:after="0"/>
        <w:rPr>
          <w:szCs w:val="22"/>
        </w:rPr>
      </w:pPr>
      <w:proofErr w:type="spellStart"/>
      <w:r>
        <w:rPr>
          <w:szCs w:val="22"/>
        </w:rPr>
        <w:t>Ranitidinas</w:t>
      </w:r>
      <w:proofErr w:type="spellEnd"/>
      <w:r>
        <w:rPr>
          <w:szCs w:val="22"/>
        </w:rPr>
        <w:t xml:space="preserve"> prasiskverbia pro placentą. Kaip ir kitų vaistų vartojimo nėštumo metu atveju, gydytojas nuspręs ar vartojimo nauda didesnė už galimą riziką. </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i/>
          <w:iCs/>
          <w:szCs w:val="22"/>
        </w:rPr>
      </w:pPr>
      <w:r>
        <w:rPr>
          <w:i/>
          <w:iCs/>
          <w:szCs w:val="22"/>
        </w:rPr>
        <w:t>Žindymo laikotarpis</w:t>
      </w:r>
    </w:p>
    <w:p w:rsidR="002156F0" w:rsidRDefault="002156F0" w:rsidP="002156F0">
      <w:pPr>
        <w:pStyle w:val="Pagrindinistekstas"/>
        <w:tabs>
          <w:tab w:val="left" w:pos="567"/>
        </w:tabs>
        <w:spacing w:after="0"/>
        <w:rPr>
          <w:szCs w:val="22"/>
        </w:rPr>
      </w:pPr>
      <w:proofErr w:type="spellStart"/>
      <w:r>
        <w:rPr>
          <w:szCs w:val="22"/>
        </w:rPr>
        <w:t>Ranitidinas</w:t>
      </w:r>
      <w:proofErr w:type="spellEnd"/>
      <w:r>
        <w:rPr>
          <w:szCs w:val="22"/>
        </w:rPr>
        <w:t xml:space="preserve"> patenka į žindyvės pieną. Kaip ir kitų vaistų vartojimo nėštumo metu atveju, gydytojas nuspręs ar vartojimo nauda didesnė už galimą riziką.</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i/>
          <w:szCs w:val="22"/>
        </w:rPr>
      </w:pPr>
      <w:r>
        <w:rPr>
          <w:i/>
          <w:szCs w:val="22"/>
        </w:rPr>
        <w:t>Vaisingumas</w:t>
      </w:r>
    </w:p>
    <w:p w:rsidR="002156F0" w:rsidRDefault="002156F0" w:rsidP="002156F0">
      <w:pPr>
        <w:pStyle w:val="Pagrindinistekstas"/>
        <w:tabs>
          <w:tab w:val="left" w:pos="567"/>
        </w:tabs>
        <w:spacing w:after="0"/>
        <w:rPr>
          <w:szCs w:val="22"/>
        </w:rPr>
      </w:pPr>
      <w:r>
        <w:rPr>
          <w:szCs w:val="22"/>
        </w:rPr>
        <w:t xml:space="preserve">Nėra duomenų apie </w:t>
      </w:r>
      <w:proofErr w:type="spellStart"/>
      <w:r>
        <w:rPr>
          <w:szCs w:val="22"/>
        </w:rPr>
        <w:t>ranitidino</w:t>
      </w:r>
      <w:proofErr w:type="spellEnd"/>
      <w:r>
        <w:rPr>
          <w:szCs w:val="22"/>
        </w:rPr>
        <w:t xml:space="preserve"> poveikį žmonių vaisingumui. Atliktų tyrimų su gyvūnais metu nenustatytas poveikis patinų ir patelių vaisingumui.</w:t>
      </w:r>
    </w:p>
    <w:p w:rsidR="002156F0" w:rsidRDefault="002156F0" w:rsidP="002156F0">
      <w:pPr>
        <w:rPr>
          <w:szCs w:val="22"/>
        </w:rPr>
      </w:pPr>
    </w:p>
    <w:p w:rsidR="002156F0" w:rsidRDefault="002156F0" w:rsidP="002156F0">
      <w:pPr>
        <w:pStyle w:val="PI-3EMEASMCA"/>
      </w:pPr>
      <w:r>
        <w:t>Vairavimas ir mechanizmų valdymas</w:t>
      </w:r>
    </w:p>
    <w:p w:rsidR="002156F0" w:rsidRDefault="002156F0" w:rsidP="002156F0">
      <w:pPr>
        <w:pStyle w:val="Pagrindinistekstas"/>
        <w:tabs>
          <w:tab w:val="left" w:pos="567"/>
        </w:tabs>
        <w:spacing w:after="0"/>
        <w:rPr>
          <w:szCs w:val="22"/>
        </w:rPr>
      </w:pPr>
      <w:proofErr w:type="spellStart"/>
      <w:r>
        <w:rPr>
          <w:szCs w:val="22"/>
        </w:rPr>
        <w:t>Raniberl</w:t>
      </w:r>
      <w:proofErr w:type="spellEnd"/>
      <w:r>
        <w:rPr>
          <w:szCs w:val="22"/>
        </w:rPr>
        <w:t xml:space="preserve"> gali sukelti šalutinį poveikį, kuris gali turėti įtakos vairavimui ir mechanizmų valdymui. Toks poveikis, pavyzdžiui, yra galvos skausmas, svaigulys, nuovargis, minčių susipainiojimas ir sujaudinimas, taip pat haliucinacijos. Jei pastebėjote šių požymių, nevairuokite ir nevaldykite mechanizmų. </w:t>
      </w:r>
    </w:p>
    <w:p w:rsidR="002156F0" w:rsidRDefault="002156F0" w:rsidP="002156F0">
      <w:pPr>
        <w:pStyle w:val="Pagrindinistekstas"/>
        <w:tabs>
          <w:tab w:val="left" w:pos="567"/>
        </w:tabs>
        <w:spacing w:after="0"/>
        <w:rPr>
          <w:strike/>
          <w:szCs w:val="22"/>
        </w:rPr>
      </w:pPr>
    </w:p>
    <w:p w:rsidR="002156F0" w:rsidRDefault="002156F0" w:rsidP="002156F0">
      <w:pPr>
        <w:pStyle w:val="Pagrindinistekstas"/>
        <w:tabs>
          <w:tab w:val="left" w:pos="567"/>
        </w:tabs>
        <w:spacing w:after="0"/>
        <w:rPr>
          <w:szCs w:val="22"/>
        </w:rPr>
      </w:pPr>
    </w:p>
    <w:p w:rsidR="002156F0" w:rsidRDefault="002156F0" w:rsidP="002156F0">
      <w:pPr>
        <w:pStyle w:val="PI-1EMEASMCA"/>
      </w:pPr>
      <w:bookmarkStart w:id="0" w:name="_Toc129243266"/>
      <w:bookmarkStart w:id="1" w:name="_Toc129243141"/>
      <w:r>
        <w:t>3.</w:t>
      </w:r>
      <w:r>
        <w:tab/>
        <w:t xml:space="preserve">Kaip vartoti </w:t>
      </w:r>
      <w:proofErr w:type="spellStart"/>
      <w:r>
        <w:t>Raniberl</w:t>
      </w:r>
      <w:bookmarkEnd w:id="0"/>
      <w:bookmarkEnd w:id="1"/>
      <w:proofErr w:type="spellEnd"/>
    </w:p>
    <w:p w:rsidR="002156F0" w:rsidRDefault="002156F0" w:rsidP="002156F0">
      <w:pPr>
        <w:pStyle w:val="Pagrindinistekstas"/>
        <w:tabs>
          <w:tab w:val="left" w:pos="567"/>
        </w:tabs>
        <w:spacing w:after="0"/>
        <w:rPr>
          <w:szCs w:val="22"/>
        </w:rPr>
      </w:pPr>
    </w:p>
    <w:p w:rsidR="002156F0" w:rsidRDefault="002156F0" w:rsidP="002156F0">
      <w:pPr>
        <w:pStyle w:val="BTEMEASMCA"/>
      </w:pPr>
      <w:r>
        <w:t>Visada vartokite šį vaistą tiksliai kaip nurodė gydytojas. Jeigu abejojate, kreipkitės į gydytoją arba vaistininką.</w:t>
      </w:r>
    </w:p>
    <w:p w:rsidR="002156F0" w:rsidRDefault="002156F0" w:rsidP="002156F0">
      <w:pPr>
        <w:autoSpaceDE w:val="0"/>
        <w:autoSpaceDN w:val="0"/>
        <w:adjustRightInd w:val="0"/>
        <w:rPr>
          <w:rFonts w:eastAsia="Calibri"/>
          <w:color w:val="000000"/>
          <w:szCs w:val="22"/>
          <w:lang w:eastAsia="en-US"/>
        </w:rPr>
      </w:pPr>
    </w:p>
    <w:p w:rsidR="002156F0" w:rsidRDefault="002156F0" w:rsidP="002156F0">
      <w:pPr>
        <w:pStyle w:val="BTEMEASMCA"/>
      </w:pPr>
      <w:r>
        <w:t>Rekomenduojama dozė yra:</w:t>
      </w:r>
    </w:p>
    <w:p w:rsidR="002156F0" w:rsidRDefault="002156F0" w:rsidP="002156F0">
      <w:pPr>
        <w:pStyle w:val="BTEMEASMCA"/>
      </w:pPr>
    </w:p>
    <w:p w:rsidR="002156F0" w:rsidRDefault="002156F0" w:rsidP="002156F0">
      <w:pPr>
        <w:pStyle w:val="BTEMEASMCA"/>
        <w:tabs>
          <w:tab w:val="left" w:pos="1545"/>
        </w:tabs>
        <w:rPr>
          <w:bCs/>
          <w:i/>
          <w:iCs/>
        </w:rPr>
      </w:pPr>
      <w:r>
        <w:rPr>
          <w:bCs/>
          <w:i/>
          <w:iCs/>
        </w:rPr>
        <w:t>Suaugusieji ir paaugliai nuo 16 metų, kurių inkstų funkcija normali</w:t>
      </w:r>
    </w:p>
    <w:p w:rsidR="002156F0" w:rsidRDefault="002156F0" w:rsidP="002156F0">
      <w:pPr>
        <w:pStyle w:val="Pagrindinistekstas"/>
        <w:tabs>
          <w:tab w:val="left" w:pos="567"/>
        </w:tabs>
        <w:spacing w:after="0"/>
        <w:rPr>
          <w:szCs w:val="22"/>
        </w:rPr>
      </w:pPr>
      <w:r>
        <w:rPr>
          <w:szCs w:val="22"/>
        </w:rPr>
        <w:t xml:space="preserve">Rekomenduojama dozė yra pasireiškus simptomams yra viena </w:t>
      </w:r>
      <w:proofErr w:type="spellStart"/>
      <w:r>
        <w:rPr>
          <w:szCs w:val="22"/>
        </w:rPr>
        <w:t>Raniberl</w:t>
      </w:r>
      <w:proofErr w:type="spellEnd"/>
      <w:r>
        <w:rPr>
          <w:szCs w:val="22"/>
        </w:rPr>
        <w:t xml:space="preserve"> 150 mg</w:t>
      </w:r>
      <w:r>
        <w:rPr>
          <w:b/>
          <w:i/>
          <w:szCs w:val="22"/>
        </w:rPr>
        <w:t xml:space="preserve"> </w:t>
      </w:r>
      <w:r>
        <w:rPr>
          <w:szCs w:val="22"/>
        </w:rPr>
        <w:t xml:space="preserve">plėvele dengta tabletė. Daugumai pacientų pakanka vienos plėvele dengtos tabletės per parą. Tačiau, didžiausia paros dozė yra dvi </w:t>
      </w:r>
      <w:proofErr w:type="spellStart"/>
      <w:r>
        <w:rPr>
          <w:szCs w:val="22"/>
        </w:rPr>
        <w:t>Raniberl</w:t>
      </w:r>
      <w:proofErr w:type="spellEnd"/>
      <w:r>
        <w:rPr>
          <w:szCs w:val="22"/>
        </w:rPr>
        <w:t xml:space="preserve"> 150 mg</w:t>
      </w:r>
      <w:r>
        <w:rPr>
          <w:b/>
          <w:i/>
          <w:szCs w:val="22"/>
        </w:rPr>
        <w:t xml:space="preserve"> </w:t>
      </w:r>
      <w:r>
        <w:rPr>
          <w:szCs w:val="22"/>
        </w:rPr>
        <w:t>plėvele dengtos tabletės</w:t>
      </w:r>
      <w:r>
        <w:rPr>
          <w:b/>
          <w:i/>
          <w:szCs w:val="22"/>
        </w:rPr>
        <w:t xml:space="preserve"> </w:t>
      </w:r>
      <w:r>
        <w:rPr>
          <w:szCs w:val="22"/>
        </w:rPr>
        <w:t xml:space="preserve">per 24 valandas (gerti po 1 tabletę iš ryto ir vakare). </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bCs/>
          <w:i/>
          <w:iCs/>
          <w:szCs w:val="22"/>
        </w:rPr>
      </w:pPr>
      <w:r>
        <w:rPr>
          <w:bCs/>
          <w:i/>
          <w:iCs/>
          <w:szCs w:val="22"/>
        </w:rPr>
        <w:t>Suaugusieji, kurių inkstų funkcija yra sutrikusi</w:t>
      </w:r>
    </w:p>
    <w:p w:rsidR="002156F0" w:rsidRDefault="002156F0" w:rsidP="002156F0">
      <w:pPr>
        <w:pStyle w:val="Pagrindinistekstas"/>
        <w:tabs>
          <w:tab w:val="left" w:pos="567"/>
        </w:tabs>
        <w:spacing w:after="0"/>
        <w:rPr>
          <w:szCs w:val="22"/>
        </w:rPr>
      </w:pPr>
      <w:r>
        <w:rPr>
          <w:szCs w:val="22"/>
        </w:rPr>
        <w:t>Pacientams, kuriems yra inkstų funkcijos sutrikimų (</w:t>
      </w:r>
      <w:proofErr w:type="spellStart"/>
      <w:r>
        <w:rPr>
          <w:szCs w:val="22"/>
        </w:rPr>
        <w:t>kreatinino</w:t>
      </w:r>
      <w:proofErr w:type="spellEnd"/>
      <w:r>
        <w:rPr>
          <w:szCs w:val="22"/>
        </w:rPr>
        <w:t xml:space="preserve"> klirensas &lt;50 ml/min.), veiklioji medžiaga (</w:t>
      </w:r>
      <w:proofErr w:type="spellStart"/>
      <w:r>
        <w:rPr>
          <w:szCs w:val="22"/>
        </w:rPr>
        <w:t>ranitidinas</w:t>
      </w:r>
      <w:proofErr w:type="spellEnd"/>
      <w:r>
        <w:rPr>
          <w:szCs w:val="22"/>
        </w:rPr>
        <w:t xml:space="preserve">) gali kauptis kraujyje. Todėl, jei Jūsų inkstų funkcija sutrikusi, nevartokite daugiau kaip vienos </w:t>
      </w:r>
      <w:proofErr w:type="spellStart"/>
      <w:r>
        <w:rPr>
          <w:szCs w:val="22"/>
        </w:rPr>
        <w:t>Raniberl</w:t>
      </w:r>
      <w:proofErr w:type="spellEnd"/>
      <w:r>
        <w:rPr>
          <w:szCs w:val="22"/>
        </w:rPr>
        <w:t xml:space="preserve"> 150 mg plėvele dengtos tabletės per 24 valandų laikotarpį. Dėl vartojimo pasitarkite su savo gydytoju.</w:t>
      </w:r>
    </w:p>
    <w:p w:rsidR="002156F0" w:rsidRDefault="002156F0" w:rsidP="002156F0">
      <w:pPr>
        <w:pStyle w:val="Pagrindinistekstas"/>
        <w:tabs>
          <w:tab w:val="left" w:pos="567"/>
        </w:tabs>
        <w:spacing w:after="0"/>
        <w:rPr>
          <w:szCs w:val="22"/>
        </w:rPr>
      </w:pPr>
    </w:p>
    <w:p w:rsidR="002156F0" w:rsidRDefault="002156F0" w:rsidP="002156F0">
      <w:pPr>
        <w:pStyle w:val="PI-3EMEASMCA"/>
      </w:pPr>
      <w:r>
        <w:t>Vartojimas vaikams ir paaugliams</w:t>
      </w:r>
    </w:p>
    <w:p w:rsidR="002156F0" w:rsidRDefault="002156F0" w:rsidP="002156F0">
      <w:pPr>
        <w:pStyle w:val="Pagrindinistekstas"/>
        <w:tabs>
          <w:tab w:val="left" w:pos="567"/>
        </w:tabs>
        <w:spacing w:after="0"/>
        <w:rPr>
          <w:szCs w:val="22"/>
        </w:rPr>
      </w:pPr>
      <w:proofErr w:type="spellStart"/>
      <w:r>
        <w:rPr>
          <w:szCs w:val="22"/>
        </w:rPr>
        <w:t>Raniberl</w:t>
      </w:r>
      <w:proofErr w:type="spellEnd"/>
      <w:r>
        <w:rPr>
          <w:szCs w:val="22"/>
        </w:rPr>
        <w:t xml:space="preserve"> 150 nerekomenduojama vartoti jaunesniems negu 16 metų vaikams.</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r>
        <w:rPr>
          <w:szCs w:val="22"/>
        </w:rPr>
        <w:t>Vartojimo metodas</w:t>
      </w:r>
    </w:p>
    <w:p w:rsidR="002156F0" w:rsidRDefault="002156F0" w:rsidP="002156F0">
      <w:pPr>
        <w:pStyle w:val="Pagrindinistekstas"/>
        <w:tabs>
          <w:tab w:val="left" w:pos="567"/>
        </w:tabs>
        <w:spacing w:after="0"/>
        <w:rPr>
          <w:szCs w:val="22"/>
        </w:rPr>
      </w:pPr>
      <w:r>
        <w:rPr>
          <w:szCs w:val="22"/>
        </w:rPr>
        <w:t>Tabletę nurykite nekramtydami, užsigerdami pakankamu kiekiu skysčio (pvz., stikline vandens). Vaistą galima gerti valgymo metu arba nevalgius. Vagelė skirta tik tabletei perlaužti, jeigu ją visą būtų sunku nuryti.</w:t>
      </w:r>
    </w:p>
    <w:p w:rsidR="002156F0" w:rsidRDefault="002156F0" w:rsidP="002156F0">
      <w:pPr>
        <w:pStyle w:val="Pagrindinistekstas"/>
        <w:tabs>
          <w:tab w:val="left" w:pos="567"/>
        </w:tabs>
        <w:spacing w:after="0"/>
        <w:rPr>
          <w:szCs w:val="22"/>
        </w:rPr>
      </w:pPr>
    </w:p>
    <w:p w:rsidR="002156F0" w:rsidRDefault="002156F0" w:rsidP="002156F0">
      <w:pPr>
        <w:pStyle w:val="PI-3EMEASMCA"/>
      </w:pPr>
      <w:r>
        <w:t xml:space="preserve">Ką daryti pavartojus per didelę </w:t>
      </w:r>
      <w:proofErr w:type="spellStart"/>
      <w:r>
        <w:t>Raniberl</w:t>
      </w:r>
      <w:proofErr w:type="spellEnd"/>
      <w:r>
        <w:t xml:space="preserve"> dozę?</w:t>
      </w:r>
    </w:p>
    <w:p w:rsidR="002156F0" w:rsidRDefault="002156F0" w:rsidP="002156F0">
      <w:pPr>
        <w:pStyle w:val="BTEMEASMCA"/>
      </w:pPr>
      <w:r>
        <w:t>Raniberl 150  mg veikia labai specifiškai ir perdozavus vaisto ypatingo poveikio neturėtų būti.</w:t>
      </w:r>
    </w:p>
    <w:p w:rsidR="002156F0" w:rsidRDefault="002156F0" w:rsidP="002156F0">
      <w:pPr>
        <w:pStyle w:val="BTEMEASMCA"/>
      </w:pPr>
      <w:r>
        <w:t>Tačiau vis tik perdozavus vaisto nedelsiant pasakykite apie tai gydytojui, kuris nuspręs, ar reikia imtis kokių nors priemonių.</w:t>
      </w:r>
    </w:p>
    <w:p w:rsidR="002156F0" w:rsidRDefault="002156F0" w:rsidP="002156F0">
      <w:pPr>
        <w:pStyle w:val="BTEMEASMCA"/>
      </w:pPr>
    </w:p>
    <w:p w:rsidR="002156F0" w:rsidRDefault="002156F0" w:rsidP="002156F0">
      <w:pPr>
        <w:pStyle w:val="PI-3EMEASMCA"/>
      </w:pPr>
      <w:r>
        <w:t xml:space="preserve">Pamiršus pavartoti </w:t>
      </w:r>
      <w:proofErr w:type="spellStart"/>
      <w:r>
        <w:t>Raniberl</w:t>
      </w:r>
      <w:proofErr w:type="spellEnd"/>
      <w:r>
        <w:t xml:space="preserve"> </w:t>
      </w:r>
    </w:p>
    <w:p w:rsidR="002156F0" w:rsidRDefault="002156F0" w:rsidP="002156F0">
      <w:pPr>
        <w:pStyle w:val="BTEMEASMCA"/>
      </w:pPr>
      <w:r>
        <w:t>Negalima vartoti dvigubos dozės norint kompensuoti praleistą dozę.</w:t>
      </w:r>
    </w:p>
    <w:p w:rsidR="002156F0" w:rsidRDefault="002156F0" w:rsidP="002156F0">
      <w:pPr>
        <w:pStyle w:val="Pagrindinistekstas"/>
        <w:tabs>
          <w:tab w:val="left" w:pos="567"/>
        </w:tabs>
        <w:spacing w:after="0"/>
        <w:rPr>
          <w:szCs w:val="22"/>
        </w:rPr>
      </w:pPr>
    </w:p>
    <w:p w:rsidR="002156F0" w:rsidRDefault="002156F0" w:rsidP="002156F0">
      <w:pPr>
        <w:pStyle w:val="BTEMEASMCA"/>
      </w:pPr>
      <w:r>
        <w:t>Jeigu kiltų daugiau klausimų dėl šio vaisto vartojimo, kreipkitės į gydytoją arba vaistininką.</w:t>
      </w:r>
    </w:p>
    <w:p w:rsidR="002156F0" w:rsidRDefault="002156F0" w:rsidP="002156F0">
      <w:pPr>
        <w:pStyle w:val="Pagrindinistekstas"/>
        <w:tabs>
          <w:tab w:val="left" w:pos="567"/>
        </w:tabs>
        <w:spacing w:after="0"/>
        <w:rPr>
          <w:szCs w:val="22"/>
          <w:lang w:val="lt-LT"/>
        </w:rPr>
      </w:pPr>
    </w:p>
    <w:p w:rsidR="002156F0" w:rsidRDefault="002156F0" w:rsidP="002156F0">
      <w:pPr>
        <w:pStyle w:val="PI-1EMEASMCA"/>
      </w:pPr>
      <w:r>
        <w:lastRenderedPageBreak/>
        <w:t>4.</w:t>
      </w:r>
      <w:r>
        <w:tab/>
        <w:t>Galimas šalutinis poveikis</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r>
        <w:rPr>
          <w:szCs w:val="22"/>
        </w:rPr>
        <w:t xml:space="preserve">Šis vaistas, kaip ir visi kiti, gali sukelti šalutinį poveikį, nors jis pasireiškia ne visiems žmonėms. </w:t>
      </w:r>
    </w:p>
    <w:p w:rsidR="002156F0" w:rsidRDefault="002156F0" w:rsidP="002156F0">
      <w:pPr>
        <w:pStyle w:val="Pagrindinistekstas"/>
        <w:tabs>
          <w:tab w:val="left" w:pos="567"/>
        </w:tabs>
        <w:spacing w:after="0"/>
        <w:rPr>
          <w:strike/>
          <w:szCs w:val="22"/>
        </w:rPr>
      </w:pPr>
      <w:r>
        <w:rPr>
          <w:szCs w:val="22"/>
        </w:rPr>
        <w:t xml:space="preserve">Žemiau išvardinti šalutinio poveikio požymiai pastebėti klinikinių tyrimų metu arba </w:t>
      </w:r>
      <w:proofErr w:type="spellStart"/>
      <w:r>
        <w:rPr>
          <w:szCs w:val="22"/>
        </w:rPr>
        <w:t>Raniberl</w:t>
      </w:r>
      <w:proofErr w:type="spellEnd"/>
      <w:r>
        <w:rPr>
          <w:szCs w:val="22"/>
        </w:rPr>
        <w:t xml:space="preserve"> 150 vartojant gydymui.</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bCs/>
          <w:i/>
          <w:iCs/>
          <w:szCs w:val="22"/>
        </w:rPr>
      </w:pPr>
      <w:r>
        <w:rPr>
          <w:bCs/>
          <w:i/>
          <w:iCs/>
          <w:szCs w:val="22"/>
        </w:rPr>
        <w:t>Nedažni (gali pasitaikyti ne mažiau  kaip 1 iš 100 vartojusiųjų)</w:t>
      </w:r>
    </w:p>
    <w:p w:rsidR="002156F0" w:rsidRDefault="002156F0" w:rsidP="002156F0">
      <w:pPr>
        <w:pStyle w:val="Pagrindinistekstas"/>
        <w:tabs>
          <w:tab w:val="left" w:pos="567"/>
        </w:tabs>
        <w:spacing w:after="0"/>
        <w:rPr>
          <w:szCs w:val="22"/>
        </w:rPr>
      </w:pPr>
      <w:r>
        <w:rPr>
          <w:szCs w:val="22"/>
          <w:lang w:val="en-US"/>
        </w:rPr>
        <w:t>P</w:t>
      </w:r>
      <w:proofErr w:type="spellStart"/>
      <w:r>
        <w:rPr>
          <w:szCs w:val="22"/>
        </w:rPr>
        <w:t>ilvo</w:t>
      </w:r>
      <w:proofErr w:type="spellEnd"/>
      <w:r>
        <w:rPr>
          <w:szCs w:val="22"/>
        </w:rPr>
        <w:t xml:space="preserve"> skausmas, vidurių užkietėjimas, pykinimas (šie simptomai palengvėja tęsiant gydymą).</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bCs/>
          <w:i/>
          <w:iCs/>
          <w:szCs w:val="22"/>
        </w:rPr>
      </w:pPr>
      <w:r>
        <w:rPr>
          <w:bCs/>
          <w:i/>
          <w:iCs/>
          <w:szCs w:val="22"/>
        </w:rPr>
        <w:t>Reti (gali pasitaikyti ne mažiau kaip 1 iš 1000 vartojusiųjų)</w:t>
      </w:r>
    </w:p>
    <w:p w:rsidR="002156F0" w:rsidRDefault="002156F0" w:rsidP="002156F0">
      <w:pPr>
        <w:pStyle w:val="Pagrindinistekstas"/>
        <w:tabs>
          <w:tab w:val="left" w:pos="567"/>
        </w:tabs>
        <w:spacing w:after="0"/>
        <w:rPr>
          <w:szCs w:val="22"/>
        </w:rPr>
      </w:pPr>
      <w:r>
        <w:rPr>
          <w:szCs w:val="22"/>
          <w:lang w:val="en-US"/>
        </w:rPr>
        <w:t>A</w:t>
      </w:r>
      <w:proofErr w:type="spellStart"/>
      <w:r>
        <w:rPr>
          <w:szCs w:val="22"/>
        </w:rPr>
        <w:t>lerginės</w:t>
      </w:r>
      <w:proofErr w:type="spellEnd"/>
      <w:r>
        <w:rPr>
          <w:szCs w:val="22"/>
        </w:rPr>
        <w:t xml:space="preserve"> reakcijos, pavyzdžiui, odos bėrimas, karščiavimas, kraujospūdžio sumažėjimas, veido patinimas, </w:t>
      </w:r>
      <w:proofErr w:type="spellStart"/>
      <w:r>
        <w:rPr>
          <w:szCs w:val="22"/>
          <w:lang w:val="en-US"/>
        </w:rPr>
        <w:t>sunkumas</w:t>
      </w:r>
      <w:proofErr w:type="spellEnd"/>
      <w:r>
        <w:rPr>
          <w:szCs w:val="22"/>
          <w:lang w:val="en-US"/>
        </w:rPr>
        <w:t xml:space="preserve"> </w:t>
      </w:r>
      <w:r>
        <w:rPr>
          <w:szCs w:val="22"/>
        </w:rPr>
        <w:t>kvėp</w:t>
      </w:r>
      <w:r>
        <w:rPr>
          <w:szCs w:val="22"/>
          <w:lang w:val="en-US"/>
        </w:rPr>
        <w:t>uojant</w:t>
      </w:r>
      <w:r>
        <w:rPr>
          <w:szCs w:val="22"/>
        </w:rPr>
        <w:t>, krūtinės skausmas.</w:t>
      </w:r>
    </w:p>
    <w:p w:rsidR="002156F0" w:rsidRDefault="002156F0" w:rsidP="002156F0">
      <w:pPr>
        <w:pStyle w:val="BTEMEASMCA"/>
        <w:rPr>
          <w:u w:val="single"/>
        </w:rPr>
      </w:pPr>
      <w:r>
        <w:rPr>
          <w:lang w:val="en-US"/>
        </w:rPr>
        <w:t>L</w:t>
      </w:r>
      <w:r>
        <w:t>aikini kepenų fermentų aktyvumo pokyčiai</w:t>
      </w:r>
      <w:r>
        <w:rPr>
          <w:lang w:val="en-US"/>
        </w:rPr>
        <w:t>.</w:t>
      </w:r>
      <w:r>
        <w:rPr>
          <w:u w:val="single"/>
          <w:lang w:val="en-US"/>
        </w:rPr>
        <w:t xml:space="preserve"> </w:t>
      </w:r>
    </w:p>
    <w:p w:rsidR="002156F0" w:rsidRDefault="002156F0" w:rsidP="002156F0">
      <w:pPr>
        <w:pStyle w:val="BTEMEASMCA"/>
        <w:rPr>
          <w:lang w:val="en-US"/>
        </w:rPr>
      </w:pPr>
      <w:r>
        <w:rPr>
          <w:lang w:val="lt-LT"/>
        </w:rPr>
        <w:t>Iš</w:t>
      </w:r>
      <w:r>
        <w:t>bėrimas.</w:t>
      </w:r>
    </w:p>
    <w:p w:rsidR="002156F0" w:rsidRDefault="002156F0" w:rsidP="002156F0">
      <w:pPr>
        <w:pStyle w:val="Pagrindinistekstas"/>
        <w:tabs>
          <w:tab w:val="left" w:pos="567"/>
        </w:tabs>
        <w:spacing w:after="0"/>
        <w:rPr>
          <w:szCs w:val="22"/>
        </w:rPr>
      </w:pPr>
      <w:r>
        <w:rPr>
          <w:szCs w:val="22"/>
          <w:lang w:val="en-US"/>
        </w:rPr>
        <w:t>P</w:t>
      </w:r>
      <w:proofErr w:type="spellStart"/>
      <w:r>
        <w:rPr>
          <w:szCs w:val="22"/>
        </w:rPr>
        <w:t>adidėjęs</w:t>
      </w:r>
      <w:proofErr w:type="spellEnd"/>
      <w:r>
        <w:rPr>
          <w:szCs w:val="22"/>
        </w:rPr>
        <w:t xml:space="preserve"> </w:t>
      </w:r>
      <w:proofErr w:type="spellStart"/>
      <w:r>
        <w:rPr>
          <w:szCs w:val="22"/>
        </w:rPr>
        <w:t>kreatinino</w:t>
      </w:r>
      <w:proofErr w:type="spellEnd"/>
      <w:r>
        <w:rPr>
          <w:szCs w:val="22"/>
        </w:rPr>
        <w:t xml:space="preserve"> kiekis kraujo plazmoje (inkstų funkcijos rodiklis).</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bCs/>
          <w:i/>
          <w:iCs/>
          <w:szCs w:val="22"/>
        </w:rPr>
      </w:pPr>
      <w:r>
        <w:rPr>
          <w:bCs/>
          <w:i/>
          <w:iCs/>
          <w:szCs w:val="22"/>
        </w:rPr>
        <w:t>Labai reti (gali pasitaikyti ne mažiau  kaip 1 iš 10 000 vartojusiųjų):</w:t>
      </w:r>
    </w:p>
    <w:p w:rsidR="002156F0" w:rsidRDefault="002156F0" w:rsidP="002156F0">
      <w:pPr>
        <w:pStyle w:val="BTEMEASMCA"/>
      </w:pPr>
      <w:r>
        <w:rPr>
          <w:lang w:val="en-US"/>
        </w:rPr>
        <w:t>K</w:t>
      </w:r>
      <w:r>
        <w:t>raujo ląstelių sudėties pakitimai, pavyzdžiui, leukopenija</w:t>
      </w:r>
      <w:r>
        <w:rPr>
          <w:lang w:val="lt-LT"/>
        </w:rPr>
        <w:t xml:space="preserve"> (baltųjų kraujo kūnelių kiekio sumažėjimas kraujyje)</w:t>
      </w:r>
      <w:r>
        <w:rPr>
          <w:lang w:val="en-US"/>
        </w:rPr>
        <w:t>,</w:t>
      </w:r>
      <w:r>
        <w:t xml:space="preserve"> trombocitopenija (paprastai laikina</w:t>
      </w:r>
      <w:r>
        <w:rPr>
          <w:lang w:val="lt-LT"/>
        </w:rPr>
        <w:t>s kraujo plokštelių kiekio sumažėjimas kraujyje</w:t>
      </w:r>
      <w:r>
        <w:t>), agranulocitozė arba pancitopenija (vienos, kelių arba visų kraujo ląstelių tipų kiekio sumažėjimas), kartais kartu su kaulų čiulpų hipoplazija arba aplazija (kaulų čiulpų netekimas).</w:t>
      </w:r>
    </w:p>
    <w:p w:rsidR="002156F0" w:rsidRDefault="002156F0" w:rsidP="002156F0">
      <w:pPr>
        <w:pStyle w:val="Pagrindinistekstas"/>
        <w:tabs>
          <w:tab w:val="left" w:pos="567"/>
        </w:tabs>
        <w:spacing w:after="0"/>
        <w:rPr>
          <w:szCs w:val="22"/>
        </w:rPr>
      </w:pPr>
      <w:r>
        <w:rPr>
          <w:szCs w:val="22"/>
          <w:lang w:val="en-US"/>
        </w:rPr>
        <w:t>A</w:t>
      </w:r>
      <w:proofErr w:type="spellStart"/>
      <w:r>
        <w:rPr>
          <w:szCs w:val="22"/>
        </w:rPr>
        <w:t>lerginis</w:t>
      </w:r>
      <w:proofErr w:type="spellEnd"/>
      <w:r>
        <w:rPr>
          <w:szCs w:val="22"/>
        </w:rPr>
        <w:t xml:space="preserve"> kraujotakos šokas (pranešama apie </w:t>
      </w:r>
      <w:r>
        <w:rPr>
          <w:szCs w:val="22"/>
          <w:lang w:val="lt-LT"/>
        </w:rPr>
        <w:t>a</w:t>
      </w:r>
      <w:proofErr w:type="spellStart"/>
      <w:r>
        <w:rPr>
          <w:szCs w:val="22"/>
        </w:rPr>
        <w:t>tvejus</w:t>
      </w:r>
      <w:proofErr w:type="spellEnd"/>
      <w:r>
        <w:rPr>
          <w:szCs w:val="22"/>
        </w:rPr>
        <w:t xml:space="preserve"> po vienos dozės išgėrimo).</w:t>
      </w:r>
    </w:p>
    <w:p w:rsidR="002156F0" w:rsidRDefault="002156F0" w:rsidP="002156F0">
      <w:pPr>
        <w:rPr>
          <w:szCs w:val="22"/>
        </w:rPr>
      </w:pPr>
      <w:r>
        <w:rPr>
          <w:szCs w:val="22"/>
        </w:rPr>
        <w:t>Minčių susipainiojimas, haliucinacijos, depresija (šie reiškiniai dažniausiai pasireiškė sunkiai sergantiems senyviems pacientams ir inkstų ligomis sergantiems pacientams).</w:t>
      </w:r>
    </w:p>
    <w:p w:rsidR="002156F0" w:rsidRDefault="002156F0" w:rsidP="002156F0">
      <w:pPr>
        <w:pStyle w:val="BTEMEASMCA"/>
      </w:pPr>
      <w:r>
        <w:rPr>
          <w:lang w:val="lt-LT"/>
        </w:rPr>
        <w:t>G</w:t>
      </w:r>
      <w:r>
        <w:t>alvos skausmas (kartais stiprus), svaigulys, nevalingi judesiai.</w:t>
      </w:r>
    </w:p>
    <w:p w:rsidR="002156F0" w:rsidRDefault="002156F0" w:rsidP="002156F0">
      <w:pPr>
        <w:rPr>
          <w:szCs w:val="22"/>
        </w:rPr>
      </w:pPr>
      <w:r>
        <w:rPr>
          <w:szCs w:val="22"/>
        </w:rPr>
        <w:t>Laikinai pablogėjęs regėjimas.</w:t>
      </w:r>
    </w:p>
    <w:p w:rsidR="002156F0" w:rsidRDefault="002156F0" w:rsidP="002156F0">
      <w:pPr>
        <w:pStyle w:val="BTEMEASMCA"/>
      </w:pPr>
      <w:r>
        <w:rPr>
          <w:lang w:val="lt-LT"/>
        </w:rPr>
        <w:t>Š</w:t>
      </w:r>
      <w:r>
        <w:t>irdies ritmo pakitimai (dažnas pulsas, retas pulsas ir atrioventrikulinė blokada), kraujagyslių uždegimas (vaskulitas).</w:t>
      </w:r>
    </w:p>
    <w:p w:rsidR="002156F0" w:rsidRDefault="002156F0" w:rsidP="002156F0">
      <w:pPr>
        <w:rPr>
          <w:szCs w:val="22"/>
        </w:rPr>
      </w:pPr>
      <w:r>
        <w:rPr>
          <w:szCs w:val="22"/>
        </w:rPr>
        <w:t>Ūminis kasos uždegimas (pankreatitas), viduriavimas.</w:t>
      </w:r>
    </w:p>
    <w:p w:rsidR="002156F0" w:rsidRDefault="002156F0" w:rsidP="002156F0">
      <w:pPr>
        <w:rPr>
          <w:szCs w:val="22"/>
        </w:rPr>
      </w:pPr>
      <w:r>
        <w:rPr>
          <w:szCs w:val="22"/>
        </w:rPr>
        <w:t>Kepenų uždegimas (hepatitas) su gelta arba be jos.</w:t>
      </w:r>
    </w:p>
    <w:p w:rsidR="002156F0" w:rsidRDefault="002156F0" w:rsidP="002156F0">
      <w:pPr>
        <w:rPr>
          <w:szCs w:val="22"/>
        </w:rPr>
      </w:pPr>
      <w:r>
        <w:rPr>
          <w:szCs w:val="22"/>
        </w:rPr>
        <w:t xml:space="preserve">Ypatingas odos bėrimas (daugiaformė </w:t>
      </w:r>
      <w:proofErr w:type="spellStart"/>
      <w:r>
        <w:rPr>
          <w:szCs w:val="22"/>
        </w:rPr>
        <w:t>eritema</w:t>
      </w:r>
      <w:proofErr w:type="spellEnd"/>
      <w:r>
        <w:rPr>
          <w:szCs w:val="22"/>
        </w:rPr>
        <w:t>), padidėjęs plaukų slinkimas.</w:t>
      </w:r>
    </w:p>
    <w:p w:rsidR="002156F0" w:rsidRDefault="002156F0" w:rsidP="002156F0">
      <w:pPr>
        <w:rPr>
          <w:szCs w:val="22"/>
        </w:rPr>
      </w:pPr>
      <w:r>
        <w:rPr>
          <w:szCs w:val="22"/>
        </w:rPr>
        <w:t>Sąnarių skausmas (</w:t>
      </w:r>
      <w:proofErr w:type="spellStart"/>
      <w:r>
        <w:rPr>
          <w:szCs w:val="22"/>
        </w:rPr>
        <w:t>artralgija</w:t>
      </w:r>
      <w:proofErr w:type="spellEnd"/>
      <w:r>
        <w:rPr>
          <w:szCs w:val="22"/>
        </w:rPr>
        <w:t>), raumenų skausmas (</w:t>
      </w:r>
      <w:proofErr w:type="spellStart"/>
      <w:r>
        <w:rPr>
          <w:szCs w:val="22"/>
        </w:rPr>
        <w:t>mialgija</w:t>
      </w:r>
      <w:proofErr w:type="spellEnd"/>
      <w:r>
        <w:rPr>
          <w:szCs w:val="22"/>
        </w:rPr>
        <w:t>).</w:t>
      </w:r>
    </w:p>
    <w:p w:rsidR="002156F0" w:rsidRDefault="002156F0" w:rsidP="002156F0">
      <w:pPr>
        <w:pStyle w:val="Pagrindinistekstas"/>
        <w:tabs>
          <w:tab w:val="left" w:pos="567"/>
        </w:tabs>
        <w:spacing w:after="0"/>
        <w:rPr>
          <w:szCs w:val="22"/>
        </w:rPr>
      </w:pPr>
      <w:r>
        <w:rPr>
          <w:szCs w:val="22"/>
          <w:lang w:val="lt-LT"/>
        </w:rPr>
        <w:t>I</w:t>
      </w:r>
      <w:proofErr w:type="spellStart"/>
      <w:r>
        <w:rPr>
          <w:szCs w:val="22"/>
        </w:rPr>
        <w:t>nkstų</w:t>
      </w:r>
      <w:proofErr w:type="spellEnd"/>
      <w:r>
        <w:rPr>
          <w:szCs w:val="22"/>
        </w:rPr>
        <w:t xml:space="preserve"> uždegimas (</w:t>
      </w:r>
      <w:proofErr w:type="spellStart"/>
      <w:r>
        <w:rPr>
          <w:szCs w:val="22"/>
        </w:rPr>
        <w:t>intersticinis</w:t>
      </w:r>
      <w:proofErr w:type="spellEnd"/>
      <w:r>
        <w:rPr>
          <w:szCs w:val="22"/>
        </w:rPr>
        <w:t xml:space="preserve"> nefritas).</w:t>
      </w:r>
    </w:p>
    <w:p w:rsidR="002156F0" w:rsidRDefault="002156F0" w:rsidP="002156F0">
      <w:pPr>
        <w:pStyle w:val="Pagrindinistekstas"/>
        <w:tabs>
          <w:tab w:val="left" w:pos="567"/>
        </w:tabs>
        <w:spacing w:after="0"/>
        <w:rPr>
          <w:szCs w:val="22"/>
        </w:rPr>
      </w:pPr>
      <w:r>
        <w:rPr>
          <w:szCs w:val="22"/>
          <w:lang w:val="lt-LT"/>
        </w:rPr>
        <w:t>K</w:t>
      </w:r>
      <w:r>
        <w:rPr>
          <w:szCs w:val="22"/>
        </w:rPr>
        <w:t>rūtų simptomai ir būklės (vyrams – krūtų patinimas ir išskyros),  erekcijos sutrikimas.</w:t>
      </w:r>
    </w:p>
    <w:p w:rsidR="002156F0" w:rsidRDefault="002156F0" w:rsidP="002156F0">
      <w:pPr>
        <w:pStyle w:val="Pagrindinistekstas"/>
        <w:tabs>
          <w:tab w:val="left" w:pos="567"/>
        </w:tabs>
        <w:spacing w:after="0"/>
        <w:rPr>
          <w:szCs w:val="22"/>
        </w:rPr>
      </w:pPr>
    </w:p>
    <w:p w:rsidR="002156F0" w:rsidRDefault="002156F0" w:rsidP="002156F0">
      <w:pPr>
        <w:rPr>
          <w:bCs/>
          <w:i/>
          <w:iCs/>
          <w:szCs w:val="22"/>
        </w:rPr>
      </w:pPr>
      <w:r>
        <w:rPr>
          <w:bCs/>
          <w:i/>
          <w:iCs/>
          <w:szCs w:val="22"/>
        </w:rPr>
        <w:t>Dažnis nežinomas (negali būti įvertintas pagal turimus duomenis).</w:t>
      </w:r>
    </w:p>
    <w:p w:rsidR="002156F0" w:rsidRDefault="002156F0" w:rsidP="002156F0">
      <w:pPr>
        <w:rPr>
          <w:noProof/>
          <w:szCs w:val="22"/>
          <w:u w:val="single"/>
          <w:lang w:eastAsia="en-US"/>
        </w:rPr>
      </w:pPr>
      <w:r>
        <w:rPr>
          <w:noProof/>
          <w:szCs w:val="22"/>
          <w:lang w:eastAsia="en-US"/>
        </w:rPr>
        <w:t>Plaučių uždegimas (žr. skyrių Įspėjimai ir atsargumo priemonės), pasunkėjęs kvėpavimas.</w:t>
      </w:r>
    </w:p>
    <w:p w:rsidR="002156F0" w:rsidRDefault="002156F0" w:rsidP="002156F0">
      <w:pPr>
        <w:rPr>
          <w:szCs w:val="22"/>
          <w:lang w:eastAsia="en-US"/>
        </w:rPr>
      </w:pPr>
    </w:p>
    <w:p w:rsidR="002156F0" w:rsidRDefault="002156F0" w:rsidP="002156F0">
      <w:pPr>
        <w:pStyle w:val="BTEMEASMCA"/>
        <w:rPr>
          <w:b/>
        </w:rPr>
      </w:pPr>
      <w:r>
        <w:rPr>
          <w:b/>
        </w:rPr>
        <w:t>Pranešimas apie šalutinį poveikį</w:t>
      </w:r>
    </w:p>
    <w:p w:rsidR="002156F0" w:rsidRDefault="002156F0" w:rsidP="002156F0">
      <w:pPr>
        <w:rPr>
          <w:szCs w:val="22"/>
        </w:rPr>
      </w:pPr>
      <w:r>
        <w:rPr>
          <w:szCs w:val="22"/>
        </w:rPr>
        <w:t xml:space="preserve">Jeigu pasireiškė šalutinis poveikis, įskaitant šiame lapelyje nenurodytą, pasakykite gydytojui, vaistininkui arba slaugytojui. </w:t>
      </w:r>
      <w:r>
        <w:t>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t>). Pranešdami apie šalutinį poveikį galite mums padėti gauti daugiau informacijos apie šio vaisto saugumą.</w:t>
      </w:r>
    </w:p>
    <w:p w:rsidR="002156F0" w:rsidRDefault="002156F0" w:rsidP="002156F0">
      <w:pPr>
        <w:pStyle w:val="Pagrindinistekstas"/>
        <w:tabs>
          <w:tab w:val="left" w:pos="567"/>
        </w:tabs>
        <w:spacing w:after="0"/>
        <w:rPr>
          <w:szCs w:val="22"/>
        </w:rPr>
      </w:pPr>
    </w:p>
    <w:p w:rsidR="002156F0" w:rsidRDefault="002156F0" w:rsidP="002156F0">
      <w:pPr>
        <w:pStyle w:val="PI-1EMEASMCA"/>
      </w:pPr>
      <w:r>
        <w:t>5.</w:t>
      </w:r>
      <w:r>
        <w:tab/>
        <w:t xml:space="preserve">Kaip laikyti </w:t>
      </w:r>
      <w:proofErr w:type="spellStart"/>
      <w:r>
        <w:t>Raniberl</w:t>
      </w:r>
      <w:proofErr w:type="spellEnd"/>
      <w:r>
        <w:t xml:space="preserve"> </w:t>
      </w:r>
    </w:p>
    <w:p w:rsidR="002156F0" w:rsidRDefault="002156F0" w:rsidP="002156F0">
      <w:pPr>
        <w:rPr>
          <w:szCs w:val="22"/>
        </w:rPr>
      </w:pPr>
    </w:p>
    <w:p w:rsidR="002156F0" w:rsidRDefault="002156F0" w:rsidP="002156F0">
      <w:pPr>
        <w:numPr>
          <w:ilvl w:val="12"/>
          <w:numId w:val="0"/>
        </w:numPr>
        <w:tabs>
          <w:tab w:val="left" w:pos="1296"/>
        </w:tabs>
        <w:ind w:right="-2"/>
        <w:rPr>
          <w:szCs w:val="22"/>
        </w:rPr>
      </w:pPr>
      <w:r>
        <w:rPr>
          <w:noProof/>
          <w:szCs w:val="22"/>
        </w:rPr>
        <w:t>Šį vaistą laikykite vaikams nepastebimoje ir nepasiekiamoje vietoje.</w:t>
      </w:r>
    </w:p>
    <w:p w:rsidR="002156F0" w:rsidRDefault="002156F0" w:rsidP="002156F0">
      <w:pPr>
        <w:rPr>
          <w:szCs w:val="22"/>
        </w:rPr>
      </w:pPr>
      <w:r>
        <w:rPr>
          <w:szCs w:val="22"/>
        </w:rPr>
        <w:t xml:space="preserve">Ant lizdinės plokštelės ir dėžutės po „EXP/Tinka iki“ nurodytam tinkamumo laikui pasibaigus, </w:t>
      </w:r>
      <w:proofErr w:type="spellStart"/>
      <w:r>
        <w:rPr>
          <w:szCs w:val="22"/>
        </w:rPr>
        <w:t>Raniberl</w:t>
      </w:r>
      <w:proofErr w:type="spellEnd"/>
      <w:r>
        <w:rPr>
          <w:szCs w:val="22"/>
        </w:rPr>
        <w:t xml:space="preserve"> vartoti negalima. Vaistas tinkamas vartoti iki paskutinės nurodyto mėnesio dienos.</w:t>
      </w:r>
    </w:p>
    <w:p w:rsidR="002156F0" w:rsidRDefault="002156F0" w:rsidP="002156F0">
      <w:pPr>
        <w:rPr>
          <w:szCs w:val="22"/>
        </w:rPr>
      </w:pPr>
    </w:p>
    <w:p w:rsidR="002156F0" w:rsidRDefault="002156F0" w:rsidP="002156F0">
      <w:pPr>
        <w:rPr>
          <w:szCs w:val="22"/>
          <w:lang w:eastAsia="en-US"/>
        </w:rPr>
      </w:pPr>
      <w:r>
        <w:rPr>
          <w:szCs w:val="22"/>
          <w:lang w:eastAsia="en-US"/>
        </w:rPr>
        <w:lastRenderedPageBreak/>
        <w:t>Šiam vaistui specialių laikymo sąlygų nereikia.</w:t>
      </w:r>
    </w:p>
    <w:p w:rsidR="002156F0" w:rsidRDefault="002156F0" w:rsidP="002156F0">
      <w:pPr>
        <w:rPr>
          <w:szCs w:val="22"/>
        </w:rPr>
      </w:pPr>
      <w:r>
        <w:rPr>
          <w:szCs w:val="22"/>
        </w:rPr>
        <w:t>Vaistų negalima išmesti į kanalizaciją arba su buitinėmis atliekomis. Kaip išmesti nereikalingus vaistus, klauskite vaistininko. Šios priemonės padės apsaugoti aplinką.</w:t>
      </w:r>
    </w:p>
    <w:p w:rsidR="002156F0" w:rsidRDefault="002156F0" w:rsidP="002156F0">
      <w:pPr>
        <w:rPr>
          <w:szCs w:val="22"/>
        </w:rPr>
      </w:pPr>
    </w:p>
    <w:p w:rsidR="002156F0" w:rsidRDefault="002156F0" w:rsidP="002156F0">
      <w:pPr>
        <w:rPr>
          <w:b/>
          <w:szCs w:val="22"/>
        </w:rPr>
      </w:pPr>
      <w:r>
        <w:rPr>
          <w:b/>
          <w:szCs w:val="22"/>
        </w:rPr>
        <w:t>6.</w:t>
      </w:r>
      <w:r>
        <w:rPr>
          <w:b/>
          <w:szCs w:val="22"/>
        </w:rPr>
        <w:tab/>
        <w:t>Pakuotės turinys ir kita informacija</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proofErr w:type="spellStart"/>
      <w:r>
        <w:rPr>
          <w:b/>
          <w:szCs w:val="22"/>
        </w:rPr>
        <w:t>Raniberl</w:t>
      </w:r>
      <w:proofErr w:type="spellEnd"/>
      <w:r>
        <w:rPr>
          <w:b/>
          <w:szCs w:val="22"/>
        </w:rPr>
        <w:t xml:space="preserve"> sudėtis</w:t>
      </w:r>
      <w:r>
        <w:rPr>
          <w:szCs w:val="22"/>
        </w:rPr>
        <w:t xml:space="preserve"> </w:t>
      </w:r>
    </w:p>
    <w:p w:rsidR="002156F0" w:rsidRDefault="002156F0" w:rsidP="002156F0">
      <w:pPr>
        <w:pStyle w:val="Pagrindinistekstas"/>
        <w:tabs>
          <w:tab w:val="left" w:pos="567"/>
        </w:tabs>
        <w:spacing w:after="0"/>
        <w:rPr>
          <w:szCs w:val="22"/>
        </w:rPr>
      </w:pPr>
    </w:p>
    <w:p w:rsidR="002156F0" w:rsidRDefault="002156F0" w:rsidP="002156F0">
      <w:pPr>
        <w:ind w:left="567" w:hanging="567"/>
        <w:rPr>
          <w:szCs w:val="22"/>
        </w:rPr>
      </w:pPr>
      <w:r>
        <w:rPr>
          <w:szCs w:val="22"/>
        </w:rPr>
        <w:t>-</w:t>
      </w:r>
      <w:r>
        <w:rPr>
          <w:szCs w:val="22"/>
        </w:rPr>
        <w:tab/>
        <w:t xml:space="preserve">Veiklioji medžiaga yra </w:t>
      </w:r>
      <w:proofErr w:type="spellStart"/>
      <w:r>
        <w:rPr>
          <w:szCs w:val="22"/>
        </w:rPr>
        <w:t>ranitidino</w:t>
      </w:r>
      <w:proofErr w:type="spellEnd"/>
      <w:r>
        <w:rPr>
          <w:szCs w:val="22"/>
        </w:rPr>
        <w:t xml:space="preserve"> hidrochloridas. Vienoje plėvele dengtoje tabletėje yra 167 mg </w:t>
      </w:r>
      <w:proofErr w:type="spellStart"/>
      <w:r>
        <w:rPr>
          <w:szCs w:val="22"/>
        </w:rPr>
        <w:t>ranitidino</w:t>
      </w:r>
      <w:proofErr w:type="spellEnd"/>
      <w:r>
        <w:rPr>
          <w:szCs w:val="22"/>
        </w:rPr>
        <w:t xml:space="preserve"> hidrochlorido (atitinkančio 150 mg </w:t>
      </w:r>
      <w:proofErr w:type="spellStart"/>
      <w:r>
        <w:rPr>
          <w:szCs w:val="22"/>
        </w:rPr>
        <w:t>ranitidino</w:t>
      </w:r>
      <w:proofErr w:type="spellEnd"/>
      <w:r>
        <w:rPr>
          <w:szCs w:val="22"/>
        </w:rPr>
        <w:t>).</w:t>
      </w:r>
    </w:p>
    <w:p w:rsidR="002156F0" w:rsidRDefault="002156F0" w:rsidP="002156F0">
      <w:pPr>
        <w:ind w:left="567" w:hanging="567"/>
        <w:rPr>
          <w:szCs w:val="22"/>
        </w:rPr>
      </w:pPr>
      <w:r>
        <w:rPr>
          <w:szCs w:val="22"/>
        </w:rPr>
        <w:t>-</w:t>
      </w:r>
      <w:r>
        <w:rPr>
          <w:szCs w:val="22"/>
        </w:rPr>
        <w:tab/>
        <w:t xml:space="preserve">Pagalbinės medžiagos yra: </w:t>
      </w:r>
      <w:proofErr w:type="spellStart"/>
      <w:r>
        <w:rPr>
          <w:szCs w:val="22"/>
        </w:rPr>
        <w:t>mikrokristalinė</w:t>
      </w:r>
      <w:proofErr w:type="spellEnd"/>
      <w:r>
        <w:rPr>
          <w:szCs w:val="22"/>
        </w:rPr>
        <w:t xml:space="preserve"> celiuliozė, </w:t>
      </w:r>
      <w:proofErr w:type="spellStart"/>
      <w:r>
        <w:rPr>
          <w:szCs w:val="22"/>
        </w:rPr>
        <w:t>kopovidonas</w:t>
      </w:r>
      <w:proofErr w:type="spellEnd"/>
      <w:r>
        <w:rPr>
          <w:szCs w:val="22"/>
        </w:rPr>
        <w:t xml:space="preserve">, koloidinis bevandenis silicio dioksidas, magnio </w:t>
      </w:r>
      <w:proofErr w:type="spellStart"/>
      <w:r>
        <w:rPr>
          <w:szCs w:val="22"/>
        </w:rPr>
        <w:t>stearatas</w:t>
      </w:r>
      <w:proofErr w:type="spellEnd"/>
      <w:r>
        <w:rPr>
          <w:szCs w:val="22"/>
        </w:rPr>
        <w:t xml:space="preserve">, </w:t>
      </w:r>
      <w:proofErr w:type="spellStart"/>
      <w:r>
        <w:rPr>
          <w:szCs w:val="22"/>
        </w:rPr>
        <w:t>hipromeliozė</w:t>
      </w:r>
      <w:proofErr w:type="spellEnd"/>
      <w:r>
        <w:rPr>
          <w:szCs w:val="22"/>
        </w:rPr>
        <w:t>, poli[</w:t>
      </w:r>
      <w:proofErr w:type="spellStart"/>
      <w:r>
        <w:rPr>
          <w:szCs w:val="22"/>
        </w:rPr>
        <w:t>butilmetakrilat</w:t>
      </w:r>
      <w:proofErr w:type="spellEnd"/>
      <w:r>
        <w:rPr>
          <w:szCs w:val="22"/>
        </w:rPr>
        <w:t xml:space="preserve"> (2-dimetilamino)</w:t>
      </w:r>
      <w:proofErr w:type="spellStart"/>
      <w:r>
        <w:rPr>
          <w:szCs w:val="22"/>
        </w:rPr>
        <w:t>etilmetakrilat-metilmetakrilatas</w:t>
      </w:r>
      <w:proofErr w:type="spellEnd"/>
      <w:r>
        <w:rPr>
          <w:szCs w:val="22"/>
        </w:rPr>
        <w:t xml:space="preserve">] (1:2:1) 150 000, titano dioksidas (E171), geltonasis geležies oksidas (E172), talkas, </w:t>
      </w:r>
      <w:proofErr w:type="spellStart"/>
      <w:r>
        <w:rPr>
          <w:szCs w:val="22"/>
        </w:rPr>
        <w:t>makrogolis</w:t>
      </w:r>
      <w:proofErr w:type="spellEnd"/>
      <w:r>
        <w:rPr>
          <w:szCs w:val="22"/>
        </w:rPr>
        <w:t xml:space="preserve"> 6000.</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b/>
          <w:szCs w:val="22"/>
        </w:rPr>
      </w:pPr>
      <w:proofErr w:type="spellStart"/>
      <w:r>
        <w:rPr>
          <w:b/>
          <w:szCs w:val="22"/>
        </w:rPr>
        <w:t>Raniberl</w:t>
      </w:r>
      <w:proofErr w:type="spellEnd"/>
      <w:r>
        <w:rPr>
          <w:b/>
          <w:szCs w:val="22"/>
        </w:rPr>
        <w:t xml:space="preserve"> išvaizda ir kiekis pakuotėje </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r>
        <w:rPr>
          <w:szCs w:val="22"/>
        </w:rPr>
        <w:t xml:space="preserve">Tabletės yra blyškiai geltonos, šiek tiek abipusiai išgaubtos, dengtos plėvele, nuožulniais kraštais, su vagele abejose pusėse. </w:t>
      </w:r>
    </w:p>
    <w:p w:rsidR="002156F0" w:rsidRDefault="002156F0" w:rsidP="002156F0">
      <w:pPr>
        <w:pStyle w:val="Pagrindinistekstas"/>
        <w:tabs>
          <w:tab w:val="left" w:pos="567"/>
        </w:tabs>
        <w:spacing w:after="0"/>
        <w:rPr>
          <w:szCs w:val="22"/>
        </w:rPr>
      </w:pPr>
      <w:r>
        <w:rPr>
          <w:szCs w:val="22"/>
        </w:rPr>
        <w:t xml:space="preserve">Vagelė skirta tik tabletei perlaužti, kad būtų lengviau nuryti, bet ne jai padalyti į lygias dozes. </w:t>
      </w:r>
    </w:p>
    <w:p w:rsidR="002156F0" w:rsidRDefault="002156F0" w:rsidP="002156F0">
      <w:pPr>
        <w:pStyle w:val="Pagrindinistekstas"/>
        <w:tabs>
          <w:tab w:val="left" w:pos="567"/>
        </w:tabs>
        <w:spacing w:after="0"/>
        <w:rPr>
          <w:szCs w:val="22"/>
          <w:lang w:val="lt-LT"/>
        </w:rPr>
      </w:pPr>
    </w:p>
    <w:p w:rsidR="002156F0" w:rsidRDefault="002156F0" w:rsidP="002156F0">
      <w:pPr>
        <w:pStyle w:val="Pagrindinistekstas"/>
        <w:tabs>
          <w:tab w:val="left" w:pos="567"/>
        </w:tabs>
        <w:spacing w:after="0"/>
        <w:rPr>
          <w:szCs w:val="22"/>
        </w:rPr>
      </w:pPr>
      <w:r>
        <w:rPr>
          <w:szCs w:val="22"/>
          <w:lang w:val="lt-LT"/>
        </w:rPr>
        <w:t>Kartono dėžutėje yra lizdinė plokštelė, kurioje</w:t>
      </w:r>
      <w:r>
        <w:rPr>
          <w:szCs w:val="22"/>
        </w:rPr>
        <w:t xml:space="preserve"> yra 10 plėvele dengtų tablečių.</w:t>
      </w:r>
    </w:p>
    <w:p w:rsidR="002156F0" w:rsidRDefault="002156F0" w:rsidP="002156F0">
      <w:pPr>
        <w:pStyle w:val="Pagrindinistekstas"/>
        <w:tabs>
          <w:tab w:val="left" w:pos="567"/>
        </w:tabs>
        <w:spacing w:after="0"/>
        <w:rPr>
          <w:szCs w:val="22"/>
        </w:rPr>
      </w:pPr>
    </w:p>
    <w:p w:rsidR="002156F0" w:rsidRDefault="002156F0" w:rsidP="002156F0">
      <w:pPr>
        <w:tabs>
          <w:tab w:val="left" w:pos="567"/>
        </w:tabs>
        <w:rPr>
          <w:b/>
          <w:szCs w:val="22"/>
        </w:rPr>
      </w:pPr>
      <w:r>
        <w:rPr>
          <w:b/>
          <w:szCs w:val="22"/>
        </w:rPr>
        <w:t>Registruotojas</w:t>
      </w:r>
    </w:p>
    <w:p w:rsidR="002156F0" w:rsidRDefault="002156F0" w:rsidP="002156F0">
      <w:pPr>
        <w:tabs>
          <w:tab w:val="left" w:pos="567"/>
        </w:tabs>
        <w:rPr>
          <w:szCs w:val="22"/>
          <w:lang w:val="de-DE"/>
        </w:rPr>
      </w:pPr>
      <w:r>
        <w:rPr>
          <w:szCs w:val="22"/>
          <w:lang w:val="de-DE"/>
        </w:rPr>
        <w:t>BERLIN-CHEMIE AG (MENARINI GROUP)</w:t>
      </w:r>
    </w:p>
    <w:p w:rsidR="002156F0" w:rsidRDefault="002156F0" w:rsidP="002156F0">
      <w:pPr>
        <w:tabs>
          <w:tab w:val="left" w:pos="567"/>
        </w:tabs>
        <w:rPr>
          <w:szCs w:val="22"/>
          <w:lang w:val="de-DE"/>
        </w:rPr>
      </w:pPr>
      <w:proofErr w:type="spellStart"/>
      <w:r>
        <w:rPr>
          <w:szCs w:val="22"/>
          <w:lang w:val="de-DE"/>
        </w:rPr>
        <w:t>Glienicker</w:t>
      </w:r>
      <w:proofErr w:type="spellEnd"/>
      <w:r>
        <w:rPr>
          <w:szCs w:val="22"/>
          <w:lang w:val="de-DE"/>
        </w:rPr>
        <w:t xml:space="preserve"> Weg 125</w:t>
      </w:r>
    </w:p>
    <w:p w:rsidR="002156F0" w:rsidRDefault="002156F0" w:rsidP="002156F0">
      <w:pPr>
        <w:tabs>
          <w:tab w:val="left" w:pos="567"/>
        </w:tabs>
        <w:rPr>
          <w:szCs w:val="22"/>
          <w:lang w:val="de-DE"/>
        </w:rPr>
      </w:pPr>
      <w:r>
        <w:rPr>
          <w:szCs w:val="22"/>
          <w:lang w:val="de-DE"/>
        </w:rPr>
        <w:t xml:space="preserve">D-12489 Berlin, </w:t>
      </w:r>
      <w:proofErr w:type="spellStart"/>
      <w:r>
        <w:rPr>
          <w:szCs w:val="22"/>
          <w:lang w:val="de-DE"/>
        </w:rPr>
        <w:t>Vokietija</w:t>
      </w:r>
      <w:proofErr w:type="spellEnd"/>
    </w:p>
    <w:p w:rsidR="002156F0" w:rsidRDefault="002156F0" w:rsidP="002156F0">
      <w:pPr>
        <w:tabs>
          <w:tab w:val="left" w:pos="567"/>
        </w:tabs>
        <w:rPr>
          <w:szCs w:val="22"/>
          <w:lang w:val="de-DE"/>
        </w:rPr>
      </w:pPr>
    </w:p>
    <w:p w:rsidR="002156F0" w:rsidRDefault="002156F0" w:rsidP="002156F0">
      <w:pPr>
        <w:pStyle w:val="Antrat1"/>
        <w:tabs>
          <w:tab w:val="left" w:pos="567"/>
        </w:tabs>
        <w:rPr>
          <w:szCs w:val="22"/>
        </w:rPr>
      </w:pPr>
      <w:r>
        <w:rPr>
          <w:szCs w:val="22"/>
        </w:rPr>
        <w:t>Gamintojas</w:t>
      </w:r>
    </w:p>
    <w:p w:rsidR="002156F0" w:rsidRDefault="002156F0" w:rsidP="002156F0">
      <w:pPr>
        <w:tabs>
          <w:tab w:val="left" w:pos="567"/>
        </w:tabs>
        <w:rPr>
          <w:szCs w:val="22"/>
          <w:lang w:val="de-DE"/>
        </w:rPr>
      </w:pPr>
      <w:r>
        <w:rPr>
          <w:szCs w:val="22"/>
          <w:lang w:val="de-DE"/>
        </w:rPr>
        <w:t>BERLIN-CHEMIE AG</w:t>
      </w:r>
    </w:p>
    <w:p w:rsidR="002156F0" w:rsidRDefault="002156F0" w:rsidP="002156F0">
      <w:pPr>
        <w:tabs>
          <w:tab w:val="left" w:pos="567"/>
        </w:tabs>
        <w:rPr>
          <w:szCs w:val="22"/>
          <w:lang w:val="de-DE"/>
        </w:rPr>
      </w:pPr>
      <w:proofErr w:type="spellStart"/>
      <w:r>
        <w:rPr>
          <w:szCs w:val="22"/>
          <w:lang w:val="de-DE"/>
        </w:rPr>
        <w:t>Glienicker</w:t>
      </w:r>
      <w:proofErr w:type="spellEnd"/>
      <w:r>
        <w:rPr>
          <w:szCs w:val="22"/>
          <w:lang w:val="de-DE"/>
        </w:rPr>
        <w:t xml:space="preserve"> Weg 125</w:t>
      </w:r>
    </w:p>
    <w:p w:rsidR="002156F0" w:rsidRDefault="002156F0" w:rsidP="002156F0">
      <w:pPr>
        <w:pStyle w:val="Pagrindinistekstas"/>
        <w:tabs>
          <w:tab w:val="left" w:pos="567"/>
        </w:tabs>
        <w:spacing w:after="0"/>
        <w:rPr>
          <w:szCs w:val="22"/>
        </w:rPr>
      </w:pPr>
      <w:r>
        <w:rPr>
          <w:szCs w:val="22"/>
        </w:rPr>
        <w:t xml:space="preserve">D-12489 </w:t>
      </w:r>
      <w:proofErr w:type="spellStart"/>
      <w:r>
        <w:rPr>
          <w:szCs w:val="22"/>
        </w:rPr>
        <w:t>Berlin</w:t>
      </w:r>
      <w:proofErr w:type="spellEnd"/>
      <w:r>
        <w:rPr>
          <w:szCs w:val="22"/>
        </w:rPr>
        <w:t>, Vokietija</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r>
        <w:rPr>
          <w:szCs w:val="22"/>
        </w:rPr>
        <w:t xml:space="preserve">Jeigu apie šį vaistą norite sužinoti daugiau, kreipkitės į vietinį </w:t>
      </w:r>
      <w:proofErr w:type="spellStart"/>
      <w:r>
        <w:rPr>
          <w:szCs w:val="22"/>
          <w:lang w:val="de-DE"/>
        </w:rPr>
        <w:t>registruotojo</w:t>
      </w:r>
      <w:proofErr w:type="spellEnd"/>
      <w:r>
        <w:rPr>
          <w:szCs w:val="22"/>
        </w:rPr>
        <w:t xml:space="preserve"> atstovą:</w:t>
      </w:r>
    </w:p>
    <w:p w:rsidR="002156F0" w:rsidRDefault="002156F0" w:rsidP="002156F0">
      <w:pPr>
        <w:pStyle w:val="Pagrindinistekstas"/>
        <w:tabs>
          <w:tab w:val="left" w:pos="567"/>
        </w:tabs>
        <w:spacing w:after="0"/>
        <w:rPr>
          <w:b/>
          <w:szCs w:val="22"/>
        </w:rPr>
      </w:pPr>
    </w:p>
    <w:tbl>
      <w:tblPr>
        <w:tblW w:w="0" w:type="auto"/>
        <w:tblLayout w:type="fixed"/>
        <w:tblLook w:val="04A0" w:firstRow="1" w:lastRow="0" w:firstColumn="1" w:lastColumn="0" w:noHBand="0" w:noVBand="1"/>
      </w:tblPr>
      <w:tblGrid>
        <w:gridCol w:w="4678"/>
      </w:tblGrid>
      <w:tr w:rsidR="002156F0" w:rsidTr="002156F0">
        <w:tc>
          <w:tcPr>
            <w:tcW w:w="4678" w:type="dxa"/>
            <w:hideMark/>
          </w:tcPr>
          <w:p w:rsidR="002156F0" w:rsidRDefault="002156F0">
            <w:pPr>
              <w:pStyle w:val="Pagrindinistekstas"/>
              <w:tabs>
                <w:tab w:val="left" w:pos="567"/>
              </w:tabs>
              <w:spacing w:after="0" w:line="276" w:lineRule="auto"/>
              <w:rPr>
                <w:szCs w:val="22"/>
                <w:lang w:val="lt-LT" w:eastAsia="lt-LT"/>
              </w:rPr>
            </w:pPr>
            <w:r>
              <w:rPr>
                <w:szCs w:val="22"/>
                <w:lang w:val="lt-LT" w:eastAsia="lt-LT"/>
              </w:rPr>
              <w:t>UAB „BERLIN CHEMIE MENARINI BALTIC“</w:t>
            </w:r>
          </w:p>
          <w:p w:rsidR="002156F0" w:rsidRDefault="002156F0">
            <w:pPr>
              <w:pStyle w:val="Pagrindinistekstas"/>
              <w:tabs>
                <w:tab w:val="left" w:pos="567"/>
              </w:tabs>
              <w:spacing w:after="0" w:line="276" w:lineRule="auto"/>
              <w:rPr>
                <w:szCs w:val="22"/>
                <w:lang w:val="lt-LT" w:eastAsia="lt-LT"/>
              </w:rPr>
            </w:pPr>
            <w:r>
              <w:rPr>
                <w:szCs w:val="22"/>
                <w:lang w:val="lt-LT" w:eastAsia="lt-LT"/>
              </w:rPr>
              <w:t>Jasinskio g. 16A, Vilnius LT-03163</w:t>
            </w:r>
          </w:p>
          <w:p w:rsidR="002156F0" w:rsidRDefault="002156F0">
            <w:pPr>
              <w:pStyle w:val="Pagrindinistekstas"/>
              <w:tabs>
                <w:tab w:val="left" w:pos="567"/>
              </w:tabs>
              <w:spacing w:after="0" w:line="276" w:lineRule="auto"/>
              <w:rPr>
                <w:szCs w:val="22"/>
                <w:lang w:val="lt-LT" w:eastAsia="lt-LT"/>
              </w:rPr>
            </w:pPr>
            <w:r>
              <w:rPr>
                <w:szCs w:val="22"/>
                <w:lang w:val="lt-LT" w:eastAsia="lt-LT"/>
              </w:rPr>
              <w:t>Tel. +370 5 269 19 47</w:t>
            </w:r>
          </w:p>
        </w:tc>
      </w:tr>
    </w:tbl>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b/>
          <w:szCs w:val="22"/>
          <w:lang w:val="lt-LT"/>
        </w:rPr>
      </w:pPr>
      <w:r>
        <w:rPr>
          <w:b/>
          <w:szCs w:val="22"/>
        </w:rPr>
        <w:t>Šis pakuotės lapelis paskutinį kartą peržiūrėtas</w:t>
      </w:r>
      <w:r>
        <w:rPr>
          <w:b/>
          <w:szCs w:val="22"/>
          <w:lang w:val="lt-LT"/>
        </w:rPr>
        <w:t xml:space="preserve"> 2019-11-07.</w:t>
      </w:r>
    </w:p>
    <w:p w:rsidR="002156F0" w:rsidRDefault="002156F0" w:rsidP="002156F0">
      <w:pPr>
        <w:pStyle w:val="Pagrindinistekstas"/>
        <w:tabs>
          <w:tab w:val="left" w:pos="567"/>
        </w:tabs>
        <w:spacing w:after="0"/>
        <w:rPr>
          <w:szCs w:val="22"/>
        </w:rPr>
      </w:pPr>
    </w:p>
    <w:p w:rsidR="002156F0" w:rsidRDefault="002156F0" w:rsidP="002156F0">
      <w:pPr>
        <w:pStyle w:val="Pagrindinistekstas"/>
        <w:tabs>
          <w:tab w:val="left" w:pos="567"/>
        </w:tabs>
        <w:spacing w:after="0"/>
        <w:rPr>
          <w:szCs w:val="22"/>
        </w:rPr>
      </w:pPr>
    </w:p>
    <w:p w:rsidR="002156F0" w:rsidRDefault="002156F0" w:rsidP="002156F0">
      <w:r>
        <w:rPr>
          <w:szCs w:val="22"/>
        </w:rPr>
        <w:t xml:space="preserve">Išsami informacija apie šį vaistinį preparatą pateikiama Valstybinės vaistų kontrolės tarnybos prie Lietuvos Respublikos sveikatos apsaugos ministerijos tinklalapyje </w:t>
      </w:r>
      <w:hyperlink r:id="rId8" w:history="1">
        <w:r>
          <w:rPr>
            <w:rStyle w:val="Hipersaitas"/>
            <w:szCs w:val="22"/>
          </w:rPr>
          <w:t>http://www.vvkt.lt/</w:t>
        </w:r>
      </w:hyperlink>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1C8EBB96"/>
    <w:lvl w:ilvl="0" w:tplc="1FF670EC">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0173E6"/>
    <w:multiLevelType w:val="singleLevel"/>
    <w:tmpl w:val="11CAB442"/>
    <w:lvl w:ilvl="0">
      <w:start w:val="4"/>
      <w:numFmt w:val="bullet"/>
      <w:lvlText w:val="-"/>
      <w:lvlJc w:val="left"/>
      <w:pPr>
        <w:tabs>
          <w:tab w:val="num" w:pos="420"/>
        </w:tabs>
        <w:ind w:left="420" w:hanging="360"/>
      </w:pPr>
      <w:rPr>
        <w:rFonts w:ascii="Times New Roman" w:hAnsi="Times New Roman" w:cs="Times New Roman"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F0"/>
    <w:rsid w:val="002156F0"/>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3CA9C-4C4E-4E4A-8F36-BDD197B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56F0"/>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2156F0"/>
    <w:pPr>
      <w:keepNext/>
      <w:outlineLvl w:val="0"/>
    </w:pPr>
    <w:rPr>
      <w:b/>
    </w:rPr>
  </w:style>
  <w:style w:type="paragraph" w:styleId="Antrat2">
    <w:name w:val="heading 2"/>
    <w:basedOn w:val="prastasis"/>
    <w:next w:val="prastasis"/>
    <w:link w:val="Antrat2Diagrama"/>
    <w:uiPriority w:val="9"/>
    <w:semiHidden/>
    <w:unhideWhenUsed/>
    <w:qFormat/>
    <w:rsid w:val="002156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56F0"/>
    <w:rPr>
      <w:rFonts w:ascii="Times New Roman" w:eastAsia="Times New Roman" w:hAnsi="Times New Roman" w:cs="Times New Roman"/>
      <w:b/>
      <w:szCs w:val="20"/>
      <w:lang w:eastAsia="lt-LT"/>
    </w:rPr>
  </w:style>
  <w:style w:type="character" w:styleId="Hipersaitas">
    <w:name w:val="Hyperlink"/>
    <w:uiPriority w:val="99"/>
    <w:semiHidden/>
    <w:unhideWhenUsed/>
    <w:rsid w:val="002156F0"/>
    <w:rPr>
      <w:color w:val="0000FF"/>
      <w:u w:val="single"/>
    </w:rPr>
  </w:style>
  <w:style w:type="paragraph" w:styleId="Pagrindinistekstas">
    <w:name w:val="Body Text"/>
    <w:basedOn w:val="prastasis"/>
    <w:link w:val="PagrindinistekstasDiagrama"/>
    <w:semiHidden/>
    <w:unhideWhenUsed/>
    <w:rsid w:val="002156F0"/>
    <w:pPr>
      <w:spacing w:after="120"/>
    </w:pPr>
    <w:rPr>
      <w:lang w:val="x-none" w:eastAsia="x-none"/>
    </w:rPr>
  </w:style>
  <w:style w:type="character" w:customStyle="1" w:styleId="PagrindinistekstasDiagrama">
    <w:name w:val="Pagrindinis tekstas Diagrama"/>
    <w:basedOn w:val="Numatytasispastraiposriftas"/>
    <w:link w:val="Pagrindinistekstas"/>
    <w:semiHidden/>
    <w:rsid w:val="002156F0"/>
    <w:rPr>
      <w:rFonts w:ascii="Times New Roman" w:eastAsia="Times New Roman" w:hAnsi="Times New Roman" w:cs="Times New Roman"/>
      <w:szCs w:val="20"/>
      <w:lang w:val="x-none" w:eastAsia="x-none"/>
    </w:rPr>
  </w:style>
  <w:style w:type="character" w:customStyle="1" w:styleId="BTEMEASMCAChar">
    <w:name w:val="BT EMEA_SMCA Char"/>
    <w:link w:val="BTEMEASMCA"/>
    <w:locked/>
    <w:rsid w:val="002156F0"/>
    <w:rPr>
      <w:rFonts w:ascii="Times New Roman" w:eastAsia="Times New Roman" w:hAnsi="Times New Roman" w:cs="Times New Roman"/>
      <w:noProof/>
      <w:lang w:val="x-none"/>
    </w:rPr>
  </w:style>
  <w:style w:type="paragraph" w:customStyle="1" w:styleId="BTEMEASMCA">
    <w:name w:val="BT EMEA_SMCA"/>
    <w:basedOn w:val="prastasis"/>
    <w:link w:val="BTEMEASMCAChar"/>
    <w:autoRedefine/>
    <w:rsid w:val="002156F0"/>
    <w:rPr>
      <w:noProof/>
      <w:szCs w:val="22"/>
      <w:lang w:val="x-none" w:eastAsia="en-US"/>
    </w:rPr>
  </w:style>
  <w:style w:type="paragraph" w:customStyle="1" w:styleId="TTEMEASMCA">
    <w:name w:val="TT EMEA_SMCA"/>
    <w:basedOn w:val="Antrat1"/>
    <w:autoRedefine/>
    <w:rsid w:val="002156F0"/>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rsid w:val="002156F0"/>
    <w:pPr>
      <w:tabs>
        <w:tab w:val="left" w:pos="1701"/>
      </w:tabs>
      <w:ind w:left="1701" w:hanging="567"/>
    </w:pPr>
    <w:rPr>
      <w:rFonts w:ascii="Times New Roman" w:hAnsi="Times New Roman" w:cs="Tahoma"/>
      <w:b/>
      <w:sz w:val="22"/>
      <w:szCs w:val="22"/>
      <w:lang w:val="en-GB" w:eastAsia="en-US"/>
    </w:rPr>
  </w:style>
  <w:style w:type="paragraph" w:customStyle="1" w:styleId="PI-1EMEASMCA">
    <w:name w:val="PI-1 EMEA_SMCA"/>
    <w:basedOn w:val="Antrat2"/>
    <w:autoRedefine/>
    <w:rsid w:val="002156F0"/>
    <w:pPr>
      <w:keepLines w:val="0"/>
      <w:tabs>
        <w:tab w:val="left" w:pos="567"/>
      </w:tabs>
      <w:spacing w:before="0"/>
      <w:ind w:left="567" w:hanging="567"/>
    </w:pPr>
    <w:rPr>
      <w:rFonts w:ascii="Times New Roman" w:eastAsia="Times New Roman" w:hAnsi="Times New Roman" w:cs="Times New Roman"/>
      <w:b/>
      <w:bCs/>
      <w:color w:val="auto"/>
      <w:sz w:val="22"/>
      <w:szCs w:val="22"/>
      <w:lang w:eastAsia="en-US"/>
    </w:rPr>
  </w:style>
  <w:style w:type="paragraph" w:customStyle="1" w:styleId="BT-EMEASMCA">
    <w:name w:val="BT- EMEA_SMCA"/>
    <w:basedOn w:val="BTEMEASMCA"/>
    <w:autoRedefine/>
    <w:rsid w:val="002156F0"/>
    <w:pPr>
      <w:numPr>
        <w:numId w:val="1"/>
      </w:numPr>
      <w:tabs>
        <w:tab w:val="clear" w:pos="363"/>
        <w:tab w:val="num" w:pos="360"/>
      </w:tabs>
      <w:ind w:left="0" w:firstLine="0"/>
    </w:pPr>
  </w:style>
  <w:style w:type="paragraph" w:customStyle="1" w:styleId="BTbEMEASMCA">
    <w:name w:val="BT(b) EMEA_SMCA"/>
    <w:basedOn w:val="BTEMEASMCA"/>
    <w:autoRedefine/>
    <w:rsid w:val="002156F0"/>
    <w:rPr>
      <w:b/>
    </w:rPr>
  </w:style>
  <w:style w:type="paragraph" w:customStyle="1" w:styleId="BTbeEMEASMCA">
    <w:name w:val="BT(be) EMEA_SMCA"/>
    <w:basedOn w:val="BTEMEASMCA"/>
    <w:autoRedefine/>
    <w:rsid w:val="002156F0"/>
    <w:pPr>
      <w:jc w:val="center"/>
    </w:pPr>
    <w:rPr>
      <w:b/>
      <w:lang w:eastAsia="lt-LT"/>
    </w:rPr>
  </w:style>
  <w:style w:type="paragraph" w:customStyle="1" w:styleId="BTeEMEASMCA">
    <w:name w:val="BT(e) EMEA_SMCA"/>
    <w:basedOn w:val="BTEMEASMCA"/>
    <w:autoRedefine/>
    <w:rsid w:val="002156F0"/>
    <w:pPr>
      <w:jc w:val="center"/>
    </w:pPr>
    <w:rPr>
      <w:lang w:eastAsia="lt-LT"/>
    </w:rPr>
  </w:style>
  <w:style w:type="paragraph" w:customStyle="1" w:styleId="PI-3EMEASMCA">
    <w:name w:val="PI-3 EMEA_SMCA"/>
    <w:basedOn w:val="prastasis"/>
    <w:autoRedefine/>
    <w:rsid w:val="002156F0"/>
    <w:pPr>
      <w:spacing w:line="220" w:lineRule="exact"/>
    </w:pPr>
    <w:rPr>
      <w:b/>
      <w:bCs/>
      <w:szCs w:val="22"/>
      <w:lang w:eastAsia="en-US"/>
    </w:rPr>
  </w:style>
  <w:style w:type="paragraph" w:styleId="Debesliotekstas">
    <w:name w:val="Balloon Text"/>
    <w:basedOn w:val="prastasis"/>
    <w:link w:val="DebesliotekstasDiagrama"/>
    <w:uiPriority w:val="99"/>
    <w:semiHidden/>
    <w:unhideWhenUsed/>
    <w:rsid w:val="002156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56F0"/>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
    <w:semiHidden/>
    <w:rsid w:val="002156F0"/>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8769</Words>
  <Characters>4999</Characters>
  <Application>Microsoft Office Word</Application>
  <DocSecurity>0</DocSecurity>
  <Lines>41</Lines>
  <Paragraphs>27</Paragraphs>
  <ScaleCrop>false</ScaleCrop>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2019-11-08T11:59:00Z</dcterms:created>
  <dcterms:modified xsi:type="dcterms:W3CDTF">2019-11-08T12:00:00Z</dcterms:modified>
</cp:coreProperties>
</file>