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6BD" w:rsidRDefault="007E46BD">
      <w:pPr>
        <w:rPr>
          <w:sz w:val="22"/>
          <w:szCs w:val="22"/>
        </w:rPr>
      </w:pPr>
    </w:p>
    <w:p w:rsidR="007E46BD" w:rsidRDefault="007E46BD">
      <w:pPr>
        <w:rPr>
          <w:sz w:val="22"/>
          <w:szCs w:val="22"/>
        </w:rPr>
      </w:pPr>
    </w:p>
    <w:p w:rsidR="007E46BD" w:rsidRDefault="007E46BD">
      <w:pPr>
        <w:rPr>
          <w:sz w:val="22"/>
          <w:szCs w:val="22"/>
        </w:rPr>
      </w:pPr>
    </w:p>
    <w:p w:rsidR="007E46BD" w:rsidRDefault="007E46BD">
      <w:pPr>
        <w:rPr>
          <w:sz w:val="22"/>
          <w:szCs w:val="22"/>
        </w:rPr>
      </w:pPr>
    </w:p>
    <w:p w:rsidR="007E46BD" w:rsidRDefault="007E46BD">
      <w:pPr>
        <w:rPr>
          <w:sz w:val="22"/>
          <w:szCs w:val="22"/>
        </w:rPr>
      </w:pPr>
    </w:p>
    <w:p w:rsidR="007E46BD" w:rsidRDefault="007E46BD">
      <w:pPr>
        <w:rPr>
          <w:sz w:val="22"/>
          <w:szCs w:val="22"/>
        </w:rPr>
      </w:pPr>
    </w:p>
    <w:p w:rsidR="007E46BD" w:rsidRDefault="007E46BD">
      <w:pPr>
        <w:rPr>
          <w:sz w:val="22"/>
          <w:szCs w:val="22"/>
        </w:rPr>
      </w:pPr>
    </w:p>
    <w:p w:rsidR="007E46BD" w:rsidRDefault="007E46BD">
      <w:pPr>
        <w:rPr>
          <w:sz w:val="22"/>
          <w:szCs w:val="22"/>
        </w:rPr>
      </w:pPr>
    </w:p>
    <w:p w:rsidR="007E46BD" w:rsidRDefault="007E46BD">
      <w:pPr>
        <w:rPr>
          <w:sz w:val="22"/>
          <w:szCs w:val="22"/>
        </w:rPr>
      </w:pPr>
    </w:p>
    <w:p w:rsidR="007E46BD" w:rsidRDefault="007E46BD">
      <w:pPr>
        <w:rPr>
          <w:sz w:val="22"/>
          <w:szCs w:val="22"/>
        </w:rPr>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TTEMEASMCA"/>
        <w:rPr>
          <w:lang w:val="lt-LT"/>
        </w:rPr>
      </w:pPr>
      <w:bookmarkStart w:id="0" w:name="_Toc129243096"/>
      <w:bookmarkStart w:id="1" w:name="_Toc129243221"/>
      <w:r>
        <w:rPr>
          <w:lang w:val="lt-LT"/>
        </w:rPr>
        <w:t>I PRIEDAS</w:t>
      </w:r>
      <w:bookmarkEnd w:id="0"/>
      <w:bookmarkEnd w:id="1"/>
    </w:p>
    <w:p w:rsidR="007E46BD" w:rsidRDefault="007E46BD">
      <w:pPr>
        <w:pStyle w:val="BTEMEASMCA"/>
      </w:pPr>
    </w:p>
    <w:p w:rsidR="007E46BD" w:rsidRDefault="007E46BD">
      <w:pPr>
        <w:pStyle w:val="TTEMEASMCA"/>
        <w:rPr>
          <w:lang w:val="lt-LT"/>
        </w:rPr>
      </w:pPr>
      <w:bookmarkStart w:id="2" w:name="_Toc129243097"/>
      <w:bookmarkStart w:id="3" w:name="_Toc129243222"/>
      <w:r>
        <w:rPr>
          <w:lang w:val="lt-LT"/>
        </w:rPr>
        <w:t>PREPARATO CHARAKTERISTIKŲ SANTRAUKA</w:t>
      </w:r>
      <w:bookmarkEnd w:id="2"/>
      <w:bookmarkEnd w:id="3"/>
    </w:p>
    <w:p w:rsidR="007E46BD" w:rsidRDefault="007E46BD">
      <w:pPr>
        <w:pStyle w:val="PI-1EMEASMCA"/>
      </w:pPr>
      <w:r>
        <w:rPr>
          <w:bCs/>
          <w:iCs/>
        </w:rPr>
        <w:br w:type="page"/>
      </w:r>
      <w:bookmarkStart w:id="4" w:name="_Toc129243098"/>
      <w:bookmarkStart w:id="5" w:name="_Toc129243223"/>
      <w:r>
        <w:lastRenderedPageBreak/>
        <w:t>1.</w:t>
      </w:r>
      <w:r>
        <w:tab/>
        <w:t>VAISTINIO PREPARATO PAVADINIMAS</w:t>
      </w:r>
      <w:bookmarkEnd w:id="4"/>
      <w:bookmarkEnd w:id="5"/>
    </w:p>
    <w:p w:rsidR="007E46BD" w:rsidRDefault="007E46BD">
      <w:pPr>
        <w:pStyle w:val="BTEMEASMCA"/>
      </w:pPr>
    </w:p>
    <w:p w:rsidR="007E46BD" w:rsidRDefault="007E46BD">
      <w:pPr>
        <w:pStyle w:val="BTEMEASMCA"/>
      </w:pPr>
      <w:r>
        <w:t>Gynalgin 100 mg/250 mg makšties tabletės</w:t>
      </w:r>
    </w:p>
    <w:p w:rsidR="007E46BD" w:rsidRDefault="007E46BD">
      <w:pPr>
        <w:pStyle w:val="BTEMEASMCA"/>
      </w:pPr>
    </w:p>
    <w:p w:rsidR="007E46BD" w:rsidRDefault="007E46BD">
      <w:pPr>
        <w:pStyle w:val="BTEMEASMCA"/>
      </w:pPr>
    </w:p>
    <w:p w:rsidR="007E46BD" w:rsidRDefault="007E46BD">
      <w:pPr>
        <w:pStyle w:val="PI-1EMEASMCA"/>
      </w:pPr>
      <w:bookmarkStart w:id="6" w:name="_Toc129243099"/>
      <w:bookmarkStart w:id="7" w:name="_Toc129243224"/>
      <w:r>
        <w:t>2.</w:t>
      </w:r>
      <w:r>
        <w:tab/>
        <w:t>KOKYBINĖ IR KIEKYBINĖ SUDĖTIS</w:t>
      </w:r>
      <w:bookmarkEnd w:id="6"/>
      <w:bookmarkEnd w:id="7"/>
    </w:p>
    <w:p w:rsidR="007E46BD" w:rsidRDefault="007E46BD">
      <w:pPr>
        <w:pStyle w:val="BTEMEASMCA"/>
      </w:pPr>
    </w:p>
    <w:p w:rsidR="007E46BD" w:rsidRDefault="007E46BD">
      <w:pPr>
        <w:pStyle w:val="BTEMEASMCA"/>
      </w:pPr>
      <w:r>
        <w:t>Kiekvienoje makšties tabletėje yra 100 mg chlorkvinaldolio ir 250 mg metronidazolo.</w:t>
      </w:r>
    </w:p>
    <w:p w:rsidR="007E46BD" w:rsidRDefault="007E46BD">
      <w:pPr>
        <w:pStyle w:val="BTEMEASMCA"/>
      </w:pPr>
    </w:p>
    <w:p w:rsidR="007E46BD" w:rsidRDefault="007E46BD">
      <w:pPr>
        <w:pStyle w:val="BTEMEASMCA"/>
      </w:pPr>
      <w:r>
        <w:t>Visos pagalbinės medžiagos išvardytos 6.1 skyriuje.</w:t>
      </w:r>
    </w:p>
    <w:p w:rsidR="007E46BD" w:rsidRDefault="007E46BD">
      <w:pPr>
        <w:pStyle w:val="BTEMEASMCA"/>
      </w:pPr>
    </w:p>
    <w:p w:rsidR="007E46BD" w:rsidRDefault="007E46BD">
      <w:pPr>
        <w:pStyle w:val="BTEMEASMCA"/>
      </w:pPr>
    </w:p>
    <w:p w:rsidR="007E46BD" w:rsidRDefault="007E46BD">
      <w:pPr>
        <w:pStyle w:val="PI-1EMEASMCA"/>
      </w:pPr>
      <w:bookmarkStart w:id="8" w:name="_Toc129243100"/>
      <w:bookmarkStart w:id="9" w:name="_Toc129243225"/>
      <w:r>
        <w:t>3.</w:t>
      </w:r>
      <w:r>
        <w:tab/>
        <w:t>FARMACINĖ FORMA</w:t>
      </w:r>
      <w:bookmarkEnd w:id="8"/>
      <w:bookmarkEnd w:id="9"/>
    </w:p>
    <w:p w:rsidR="007E46BD" w:rsidRDefault="007E46BD">
      <w:pPr>
        <w:pStyle w:val="BTEMEASMCA"/>
      </w:pPr>
    </w:p>
    <w:p w:rsidR="007E46BD" w:rsidRDefault="007E46BD">
      <w:pPr>
        <w:pStyle w:val="BTEMEASMCA"/>
      </w:pPr>
      <w:r>
        <w:t>Makšties tabletė</w:t>
      </w:r>
    </w:p>
    <w:p w:rsidR="007E46BD" w:rsidRDefault="007E46BD">
      <w:pPr>
        <w:pStyle w:val="BTEMEASMCA"/>
      </w:pPr>
    </w:p>
    <w:p w:rsidR="007E46BD" w:rsidRDefault="008578E5">
      <w:pPr>
        <w:pStyle w:val="BTEMEASMCA"/>
        <w:rPr>
          <w:noProof w:val="0"/>
        </w:rPr>
      </w:pPr>
      <w:r>
        <w:t>Tabletė yra p</w:t>
      </w:r>
      <w:r w:rsidR="007E46BD">
        <w:t>ailga, šviesiai rusva, marmuriniu lygiu paviršiumi, silpno specifinio kvapo</w:t>
      </w:r>
      <w:r>
        <w:t>, vienoje jos</w:t>
      </w:r>
      <w:r w:rsidR="007E46BD">
        <w:t xml:space="preserve"> pusėje įspausta G raidė.</w:t>
      </w:r>
    </w:p>
    <w:p w:rsidR="007E46BD" w:rsidRDefault="007E46BD">
      <w:pPr>
        <w:pStyle w:val="BTEMEASMCA"/>
      </w:pPr>
    </w:p>
    <w:p w:rsidR="007E46BD" w:rsidRDefault="007E46BD">
      <w:pPr>
        <w:pStyle w:val="BTEMEASMCA"/>
      </w:pPr>
    </w:p>
    <w:p w:rsidR="007E46BD" w:rsidRDefault="007E46BD">
      <w:pPr>
        <w:pStyle w:val="PI-1EMEASMCA"/>
      </w:pPr>
      <w:bookmarkStart w:id="10" w:name="_Toc129243101"/>
      <w:bookmarkStart w:id="11" w:name="_Toc129243226"/>
      <w:r>
        <w:t>4.</w:t>
      </w:r>
      <w:r>
        <w:tab/>
        <w:t>KLINIKINĖ INFORMACIJA</w:t>
      </w:r>
      <w:bookmarkEnd w:id="10"/>
      <w:bookmarkEnd w:id="11"/>
    </w:p>
    <w:p w:rsidR="007E46BD" w:rsidRDefault="007E46BD">
      <w:pPr>
        <w:pStyle w:val="BTEMEASMCA"/>
      </w:pPr>
    </w:p>
    <w:p w:rsidR="007E46BD" w:rsidRDefault="007E46BD">
      <w:pPr>
        <w:pStyle w:val="PI-2EMEASMCA"/>
      </w:pPr>
      <w:bookmarkStart w:id="12" w:name="_Toc129243102"/>
      <w:bookmarkStart w:id="13" w:name="_Toc129243227"/>
      <w:r>
        <w:t>4.1</w:t>
      </w:r>
      <w:r>
        <w:tab/>
        <w:t>Terapinės indikacijos</w:t>
      </w:r>
      <w:bookmarkEnd w:id="12"/>
      <w:bookmarkEnd w:id="13"/>
    </w:p>
    <w:p w:rsidR="007E46BD" w:rsidRDefault="007E46BD">
      <w:pPr>
        <w:pStyle w:val="BTEMEASMCA"/>
      </w:pPr>
    </w:p>
    <w:p w:rsidR="007E46BD" w:rsidRDefault="007E46BD">
      <w:pPr>
        <w:pStyle w:val="BTEMEASMCA"/>
      </w:pPr>
      <w:bookmarkStart w:id="14" w:name="OLE_LINK1"/>
      <w:bookmarkStart w:id="15" w:name="OLE_LINK2"/>
      <w:r>
        <w:t>Vietinis makšties infekcijos gydymas, kai sukėlėjas jautrus veikliosioms medžiagoms.</w:t>
      </w:r>
    </w:p>
    <w:bookmarkEnd w:id="14"/>
    <w:bookmarkEnd w:id="15"/>
    <w:p w:rsidR="007E46BD" w:rsidRDefault="007E46BD">
      <w:pPr>
        <w:pStyle w:val="BTEMEASMCA"/>
      </w:pPr>
    </w:p>
    <w:p w:rsidR="007E46BD" w:rsidRDefault="007E46BD">
      <w:pPr>
        <w:rPr>
          <w:bCs/>
          <w:sz w:val="22"/>
          <w:szCs w:val="22"/>
        </w:rPr>
      </w:pPr>
      <w:r w:rsidRPr="007E46BD">
        <w:rPr>
          <w:sz w:val="22"/>
          <w:szCs w:val="22"/>
        </w:rPr>
        <w:t>Reikia atsižvelgti į oficialias vietines tinkamo antimikrobinių preparatų vartojimo rekomendacijas</w:t>
      </w:r>
      <w:r w:rsidRPr="007E46BD">
        <w:rPr>
          <w:bCs/>
          <w:sz w:val="22"/>
          <w:szCs w:val="22"/>
        </w:rPr>
        <w:t>.</w:t>
      </w:r>
    </w:p>
    <w:p w:rsidR="007E46BD" w:rsidRDefault="007E46BD">
      <w:pPr>
        <w:pStyle w:val="BTEMEASMCA"/>
      </w:pPr>
    </w:p>
    <w:p w:rsidR="007E46BD" w:rsidRDefault="007E46BD">
      <w:pPr>
        <w:pStyle w:val="PI-2EMEASMCA"/>
      </w:pPr>
      <w:bookmarkStart w:id="16" w:name="_Toc129243103"/>
      <w:bookmarkStart w:id="17" w:name="_Toc129243228"/>
      <w:r>
        <w:t>4.2</w:t>
      </w:r>
      <w:r>
        <w:tab/>
        <w:t>Dozavimas ir vartojimo metodas</w:t>
      </w:r>
      <w:bookmarkEnd w:id="16"/>
      <w:bookmarkEnd w:id="17"/>
    </w:p>
    <w:p w:rsidR="007E46BD" w:rsidRDefault="007E46BD">
      <w:pPr>
        <w:pStyle w:val="BTEMEASMCA"/>
      </w:pPr>
    </w:p>
    <w:p w:rsidR="007E46BD" w:rsidRDefault="007E46BD">
      <w:pPr>
        <w:pStyle w:val="BTEMEASMCA"/>
      </w:pPr>
      <w:r>
        <w:t xml:space="preserve">Vieną Gynalgin tabletę reikia vartoti į makštį kartą per parą. </w:t>
      </w:r>
    </w:p>
    <w:p w:rsidR="007E46BD" w:rsidRDefault="007E46BD">
      <w:pPr>
        <w:pStyle w:val="BTEMEASMCA"/>
      </w:pPr>
      <w:r>
        <w:t>Gydymą reikėtų pradėti praėjus 2-4 dienoms po mėnesinių ir tęsti 7-10 parų. Preparatą geriausia vartoti nakčiai. Prireikus gydymo kursą galima kartoti.</w:t>
      </w:r>
    </w:p>
    <w:p w:rsidR="007E46BD" w:rsidRDefault="007E46BD">
      <w:pPr>
        <w:pStyle w:val="BTEMEASMCA"/>
      </w:pPr>
    </w:p>
    <w:p w:rsidR="007E46BD" w:rsidRDefault="007E46BD">
      <w:pPr>
        <w:pStyle w:val="BTEMEASMCA"/>
        <w:rPr>
          <w:noProof w:val="0"/>
        </w:rPr>
      </w:pPr>
      <w:r>
        <w:t xml:space="preserve">Gynalgin </w:t>
      </w:r>
      <w:r>
        <w:rPr>
          <w:noProof w:val="0"/>
        </w:rPr>
        <w:t>nerekomenduojama vartoti jaunesniems kaip 18 metų vaikams, nes duomenų apie saugumą ir veiksmingumą nėra.</w:t>
      </w:r>
    </w:p>
    <w:p w:rsidR="007E46BD" w:rsidRDefault="007E46BD">
      <w:pPr>
        <w:pStyle w:val="BTEMEASMCA"/>
        <w:rPr>
          <w:noProof w:val="0"/>
        </w:rPr>
      </w:pPr>
    </w:p>
    <w:p w:rsidR="007E46BD" w:rsidRDefault="007E46BD">
      <w:pPr>
        <w:pStyle w:val="BTEMEASMCA"/>
        <w:rPr>
          <w:noProof w:val="0"/>
        </w:rPr>
      </w:pPr>
      <w:r>
        <w:rPr>
          <w:noProof w:val="0"/>
        </w:rPr>
        <w:t>Senyvoms pacientėms dozės koreguoti nereikia.</w:t>
      </w:r>
    </w:p>
    <w:p w:rsidR="007E46BD" w:rsidRDefault="007E46BD">
      <w:pPr>
        <w:pStyle w:val="BTEMEASMCA"/>
        <w:rPr>
          <w:noProof w:val="0"/>
        </w:rPr>
      </w:pPr>
    </w:p>
    <w:p w:rsidR="007E46BD" w:rsidRDefault="007E46BD">
      <w:pPr>
        <w:pStyle w:val="BTEMEASMCA"/>
        <w:rPr>
          <w:noProof w:val="0"/>
        </w:rPr>
      </w:pPr>
      <w:r>
        <w:rPr>
          <w:noProof w:val="0"/>
        </w:rPr>
        <w:t>Pacientėms, kurioms yra inkstų ar kepenų veiklos sutrikimas, dozės koreguoti nereikia.</w:t>
      </w:r>
    </w:p>
    <w:p w:rsidR="007E46BD" w:rsidRDefault="007E46BD">
      <w:pPr>
        <w:pStyle w:val="BTEMEASMCA"/>
      </w:pPr>
    </w:p>
    <w:p w:rsidR="007E46BD" w:rsidRDefault="007E46BD">
      <w:pPr>
        <w:pStyle w:val="PI-2EMEASMCA"/>
      </w:pPr>
      <w:bookmarkStart w:id="18" w:name="_Toc129243104"/>
      <w:bookmarkStart w:id="19" w:name="_Toc129243229"/>
      <w:r>
        <w:t>4.3</w:t>
      </w:r>
      <w:r>
        <w:tab/>
        <w:t>Kontraindikacijos</w:t>
      </w:r>
      <w:bookmarkEnd w:id="18"/>
      <w:bookmarkEnd w:id="19"/>
    </w:p>
    <w:p w:rsidR="007E46BD" w:rsidRDefault="007E46BD">
      <w:pPr>
        <w:pStyle w:val="BTEMEASMCA"/>
      </w:pPr>
    </w:p>
    <w:p w:rsidR="007E46BD" w:rsidRDefault="007E46BD">
      <w:pPr>
        <w:pStyle w:val="BTEMEASMCA"/>
      </w:pPr>
      <w:r>
        <w:t xml:space="preserve">Padidėjęs jautrumas veikliajai arba bet kuriai pagalbinei medžiagai. </w:t>
      </w:r>
    </w:p>
    <w:p w:rsidR="007E46BD" w:rsidRDefault="007E46BD">
      <w:pPr>
        <w:pStyle w:val="BTEMEASMCA"/>
      </w:pPr>
      <w:r>
        <w:t>Nėštumo ir žindymo laikotarpis.</w:t>
      </w:r>
    </w:p>
    <w:p w:rsidR="007E46BD" w:rsidRDefault="007E46BD">
      <w:pPr>
        <w:pStyle w:val="BTEMEASMCA"/>
      </w:pPr>
    </w:p>
    <w:p w:rsidR="007E46BD" w:rsidRDefault="007E46BD">
      <w:pPr>
        <w:pStyle w:val="PI-2EMEASMCA"/>
      </w:pPr>
      <w:bookmarkStart w:id="20" w:name="_Toc129243105"/>
      <w:bookmarkStart w:id="21" w:name="_Toc129243230"/>
      <w:r>
        <w:t>4.4</w:t>
      </w:r>
      <w:r>
        <w:tab/>
        <w:t>Specialūs įspėjimai ir atsargumo priemonės</w:t>
      </w:r>
      <w:bookmarkEnd w:id="20"/>
      <w:bookmarkEnd w:id="21"/>
    </w:p>
    <w:p w:rsidR="007E46BD" w:rsidRDefault="007E46BD">
      <w:pPr>
        <w:pStyle w:val="BTEMEASMCA"/>
      </w:pPr>
    </w:p>
    <w:p w:rsidR="007E46BD" w:rsidRDefault="007E46BD">
      <w:pPr>
        <w:pStyle w:val="BTEMEASMCA"/>
      </w:pPr>
      <w:r>
        <w:t>Geriamuoju metronidazolu gydomiems pacientams pasireiškė traukuliai ir periferinė neuropatija (kuriai būdingas galūnių tirpimas ar parestezijos). Tokio vaisto poveikio tikimybė didesnė ligoniams, sergantiems centrinės nervų sistemos ligomis (pvz., epilepsija), todėl jie preparatą turi vartoti ypač atsargiai. Vartojant metronidazolo į makštį, kraujo serume gali susidaryti panaši jo koncentracija, kaip ir vaisto geriant (žr. 5.2 skyrių), todėl negalima atmesti su Gynalgin vartojimu susijusio nepageidaujamo poveikio pasireiškimo galimybės. Metronidazolas gali sukelti apatinės pilvo dalies dieglius ir skausmą, pykinimą, vidurių užkietėjimą, sumažėjusį apetitą, metalo skonio pojūtį burnoje, viduriavimą, galvos svaigimą ir skausmą.</w:t>
      </w:r>
    </w:p>
    <w:p w:rsidR="007E46BD" w:rsidRDefault="007E46BD">
      <w:pPr>
        <w:pStyle w:val="BTEMEASMCA"/>
      </w:pPr>
    </w:p>
    <w:p w:rsidR="007E46BD" w:rsidRDefault="007E46BD">
      <w:pPr>
        <w:pStyle w:val="BTEMEASMCA"/>
      </w:pPr>
      <w:r>
        <w:lastRenderedPageBreak/>
        <w:t>Nesant pakankamų duomenų apie chlorkvinaldolio absorbciją iš Gynalgin, negalima atmesti su šios veikliosios medžiagos poveikiu susijusio nepageidaujamo poveikio pasireiškimo galimybės, ypač jei vaistinis preparatas vartojamas ilgai. Chlorkvinaldolis gali sukelti toksinio poveikio nervų sistemai reiškinių, iš kurių svarbiausi yra mielopatija, periferinė neuropatija ir regimojo nervo pažeidimas. Dėl tokio poveikio galimybės tais atvejais, kai atsiranda bet kokių neurologinių simptomų, Gynalgin vartojimą būtina nutraukti.</w:t>
      </w:r>
    </w:p>
    <w:p w:rsidR="007E46BD" w:rsidRDefault="007E46BD">
      <w:pPr>
        <w:pStyle w:val="BTEMEASMCA"/>
      </w:pPr>
    </w:p>
    <w:p w:rsidR="007E46BD" w:rsidRDefault="007E46BD">
      <w:pPr>
        <w:pStyle w:val="BTEMEASMCA"/>
      </w:pPr>
      <w:r>
        <w:t>Gynalgin reikėtų atsargiai vartoti ligonėms, sergančioms sunkiomis kepenų ligomis, kadangi šių būklių metu sutrinka metronidazolo metabolizmas. Metronidazolas yra nitroimidazolo junginys, todėl jo reikėtų atsargiai vartoti pacientėms, kurioms anksčiau buvo nustatyta kraujo diskrazijų. Preparatas gali sukelti laikiną leukopeniją.</w:t>
      </w:r>
    </w:p>
    <w:p w:rsidR="007E46BD" w:rsidRDefault="007E46BD">
      <w:pPr>
        <w:pStyle w:val="BTEMEASMCA"/>
      </w:pPr>
    </w:p>
    <w:p w:rsidR="007E46BD" w:rsidRDefault="007E46BD">
      <w:pPr>
        <w:pStyle w:val="BTEMEASMCA"/>
      </w:pPr>
      <w:r>
        <w:t>Išgertas metronidazolas stiprina alkoholio veikimą. Panašų poveikį gali sukelti ir Gynalgin, todėl vaistinio preparato vartojimo laikotarpiu ir keletą dienų po jo alkoholinių gėrimų reikėtų negerti.</w:t>
      </w:r>
    </w:p>
    <w:p w:rsidR="007E46BD" w:rsidRDefault="007E46BD">
      <w:pPr>
        <w:pStyle w:val="BTEMEASMCA"/>
      </w:pPr>
    </w:p>
    <w:p w:rsidR="007E46BD" w:rsidRDefault="007E46BD">
      <w:pPr>
        <w:pStyle w:val="BTEMEASMCA"/>
      </w:pPr>
      <w:r>
        <w:t>Vaisto vartojant kartu su preparatais, kurių sudėtyje yra disulfiramo, gali atsirasti psichozės simptomų.</w:t>
      </w:r>
    </w:p>
    <w:p w:rsidR="007E46BD" w:rsidRDefault="007E46BD">
      <w:pPr>
        <w:pStyle w:val="BTEMEASMCA"/>
      </w:pPr>
    </w:p>
    <w:p w:rsidR="007E46BD" w:rsidRDefault="007E46BD">
      <w:pPr>
        <w:pStyle w:val="BTEMEASMCA"/>
      </w:pPr>
      <w:r>
        <w:t>Metronidazolas gali stiprinti antikoaguliantų poveikį, todėl pastaraisiais vaistais gydomos ligonės Gynalgin turėtų vartoti atsargiai.</w:t>
      </w:r>
    </w:p>
    <w:p w:rsidR="007E46BD" w:rsidRDefault="007E46BD">
      <w:pPr>
        <w:pStyle w:val="BTEMEASMCA"/>
      </w:pPr>
    </w:p>
    <w:p w:rsidR="007E46BD" w:rsidRDefault="007E46BD">
      <w:pPr>
        <w:pStyle w:val="BTEMEASMCA"/>
      </w:pPr>
      <w:r>
        <w:t>Metronidazolas gali įtakoti daugelio laboratorinių tyrimų, pagrįstų fermentinėmis NAD-NADH sistemos redukcijos ir oksidacijos reakcijomis, rodiklius. Todėl jį vartojant gali būti netiksliai nustatoma aminotransferazių, laktatdehidrogenazės, trigliceridų, heksokinazės metabolizuojamos gliukozės koncentracija. Kai kada gaunami nuliniai šių tyrimų rodikliai.</w:t>
      </w:r>
    </w:p>
    <w:p w:rsidR="007E46BD" w:rsidRDefault="007E46BD">
      <w:pPr>
        <w:pStyle w:val="BTEMEASMCA"/>
      </w:pPr>
    </w:p>
    <w:p w:rsidR="007E46BD" w:rsidRDefault="007E46BD">
      <w:pPr>
        <w:pStyle w:val="BTEMEASMCA"/>
      </w:pPr>
      <w:r>
        <w:t>Gynalgin vartojimo laikotarpiu būtina apsvarstyti lytinio partnerio gydymo reikalingumą.</w:t>
      </w:r>
    </w:p>
    <w:p w:rsidR="007E46BD" w:rsidRDefault="007E46BD">
      <w:pPr>
        <w:pStyle w:val="BTEMEASMCA"/>
      </w:pPr>
    </w:p>
    <w:p w:rsidR="007E46BD" w:rsidRDefault="007E46BD">
      <w:pPr>
        <w:pStyle w:val="PI-2EMEASMCA"/>
      </w:pPr>
      <w:bookmarkStart w:id="22" w:name="_Toc129243106"/>
      <w:bookmarkStart w:id="23" w:name="_Toc129243231"/>
      <w:r>
        <w:t>4.5</w:t>
      </w:r>
      <w:r>
        <w:tab/>
        <w:t>Sąveika su kitais vaistiniais preparatais ir kitokia sąveika</w:t>
      </w:r>
      <w:bookmarkEnd w:id="22"/>
      <w:bookmarkEnd w:id="23"/>
    </w:p>
    <w:p w:rsidR="007E46BD" w:rsidRDefault="007E46BD">
      <w:pPr>
        <w:pStyle w:val="BTEMEASMCA"/>
      </w:pPr>
    </w:p>
    <w:p w:rsidR="007E46BD" w:rsidRDefault="007E46BD">
      <w:pPr>
        <w:pStyle w:val="BTEMEASMCA"/>
      </w:pPr>
      <w:r>
        <w:rPr>
          <w:noProof w:val="0"/>
        </w:rPr>
        <w:t xml:space="preserve">Dėl galimos alerginės reakcijos preparato reikėtų nevartoti kartu su ketvirtiniais amonio junginiais (bazėmis), pvz., </w:t>
      </w:r>
      <w:r>
        <w:t xml:space="preserve">benzalkonio chloridu. Metronidazolas gali sustiprinti antikoaguliantų, pvz., varfarino, poveikį ir dėl to pailginti protrombino laiką. Preparato negalima vartoti kartu su kitais vietinio gydymo vaistais, kurių sudėtyje yra jodo ar metalų. Dėl galimo toksinio poveikio nervų sistemai pavojaus, preparato negalima vartoti kartu su vaistais, kurių sudėtyje yra disulfiramo, o taip pat dar dvi savaites po pastarųjų vaistų vartojimo pabaigos. </w:t>
      </w:r>
    </w:p>
    <w:p w:rsidR="007E46BD" w:rsidRDefault="007E46BD">
      <w:pPr>
        <w:pStyle w:val="BTEMEASMCA"/>
      </w:pPr>
      <w:r>
        <w:t>Metronidazolas gali stiprinti etilo alkoholio poveikį.</w:t>
      </w:r>
    </w:p>
    <w:p w:rsidR="007E46BD" w:rsidRDefault="007E46BD">
      <w:pPr>
        <w:pStyle w:val="BTEMEASMCA"/>
      </w:pPr>
    </w:p>
    <w:p w:rsidR="007E46BD" w:rsidRDefault="007E46BD">
      <w:pPr>
        <w:pStyle w:val="PI-2EMEASMCA"/>
      </w:pPr>
      <w:bookmarkStart w:id="24" w:name="_Toc129243107"/>
      <w:bookmarkStart w:id="25" w:name="_Toc129243232"/>
      <w:r>
        <w:t>4.6</w:t>
      </w:r>
      <w:r>
        <w:tab/>
        <w:t>Nėštumo ir žindymo laikotarpis</w:t>
      </w:r>
      <w:bookmarkEnd w:id="24"/>
      <w:bookmarkEnd w:id="25"/>
    </w:p>
    <w:p w:rsidR="007E46BD" w:rsidRDefault="007E46BD">
      <w:pPr>
        <w:pStyle w:val="BTEMEASMCA"/>
      </w:pPr>
    </w:p>
    <w:p w:rsidR="007E46BD" w:rsidRDefault="007E46BD">
      <w:pPr>
        <w:pStyle w:val="BTEMEASMCA"/>
      </w:pPr>
      <w:r>
        <w:rPr>
          <w:lang w:val="lv-LV"/>
        </w:rPr>
        <w:t xml:space="preserve">Reikiamų duomenų apie </w:t>
      </w:r>
      <w:r>
        <w:t>chlorkvinaldolio ir metronidazolo</w:t>
      </w:r>
      <w:r>
        <w:rPr>
          <w:lang w:val="lv-LV"/>
        </w:rPr>
        <w:t xml:space="preserve"> vartojimą nėštumo ir žindymo laikotarpiu nėra. </w:t>
      </w:r>
      <w:r>
        <w:t xml:space="preserve">Tyrimų, įvertinančių į makštį vartojamo metronidazolo poveikį, duomenų nepakanka. Metronidazolas prasiskverbia per placentą ir lengvai patenka į vaisiaus kraujotaką. </w:t>
      </w:r>
    </w:p>
    <w:p w:rsidR="007E46BD" w:rsidRDefault="007E46BD">
      <w:pPr>
        <w:pStyle w:val="BTEMEASMCA"/>
      </w:pPr>
      <w:r>
        <w:rPr>
          <w:lang w:val="lv-LV"/>
        </w:rPr>
        <w:t xml:space="preserve">Su gyvūnais atlikti tyrimai parodė toksinį poveikį reprodukcijai (žr. 5.3 skyrių). </w:t>
      </w:r>
      <w:r>
        <w:t xml:space="preserve">Tyrimai su žiurkėmis, kurioms buvo skiriama šešis kartus didesnė dozė nei geriamojo preparato dozė žmogui, neigiamo metronidazolo poveikio gyvūnų vaisingumui ir jų vaisių vystymuisi neparodė. Toks poveikis taip pat nebuvo stebėtas geriamojo metronidazolo skiriant pelėms. Remiantis šiais duomenimis, taip pat tyrimų su graužikais metu nustatytu kancerogeniniu preparato poveikiu, metronidazolo </w:t>
      </w:r>
      <w:r>
        <w:rPr>
          <w:lang w:val="lv-LV"/>
        </w:rPr>
        <w:t>nėštumo metu vartoti negalima, išskyrus neabejotinai būtinus atvejus.</w:t>
      </w:r>
    </w:p>
    <w:p w:rsidR="007E46BD" w:rsidRDefault="007E46BD">
      <w:pPr>
        <w:pStyle w:val="BTEMEASMCA"/>
      </w:pPr>
    </w:p>
    <w:p w:rsidR="007E46BD" w:rsidRDefault="007E46BD">
      <w:pPr>
        <w:pStyle w:val="BTEMEASMCA"/>
      </w:pPr>
      <w:r>
        <w:rPr>
          <w:lang w:val="pt-PT"/>
        </w:rPr>
        <w:t xml:space="preserve">Galimas pavojus žmogui nežinomas. </w:t>
      </w:r>
      <w:r>
        <w:t xml:space="preserve">Gynalgin nėštumo </w:t>
      </w:r>
      <w:r w:rsidR="00267335">
        <w:t xml:space="preserve">ir žindymo laikotarpiu vartoti negalima. </w:t>
      </w:r>
    </w:p>
    <w:p w:rsidR="00267335" w:rsidRDefault="00267335">
      <w:pPr>
        <w:pStyle w:val="BTEMEASMCA"/>
      </w:pPr>
    </w:p>
    <w:p w:rsidR="007E46BD" w:rsidRDefault="007E46BD">
      <w:pPr>
        <w:pStyle w:val="PI-2EMEASMCA"/>
      </w:pPr>
      <w:bookmarkStart w:id="26" w:name="_Toc129243108"/>
      <w:bookmarkStart w:id="27" w:name="_Toc129243233"/>
      <w:r>
        <w:t>4.7</w:t>
      </w:r>
      <w:r>
        <w:tab/>
        <w:t>Poveikis gebėjimui vairuoti ir valdyti mechanizmus</w:t>
      </w:r>
      <w:bookmarkEnd w:id="26"/>
      <w:bookmarkEnd w:id="27"/>
    </w:p>
    <w:p w:rsidR="007E46BD" w:rsidRDefault="007E46BD">
      <w:pPr>
        <w:pStyle w:val="BTEMEASMCA"/>
      </w:pPr>
    </w:p>
    <w:p w:rsidR="007E46BD" w:rsidRDefault="007E46BD">
      <w:pPr>
        <w:pStyle w:val="BTEMEASMCA"/>
      </w:pPr>
      <w:r>
        <w:t xml:space="preserve">Gynalgin gali veikti </w:t>
      </w:r>
      <w:r>
        <w:rPr>
          <w:noProof w:val="0"/>
        </w:rPr>
        <w:t xml:space="preserve">gebėjimą vairuoti ir valdyti mechanizmus. </w:t>
      </w:r>
      <w:r>
        <w:t>Kadangi negalima atmesti sisteminio vaisto poveikio (pvz., galvos svaigimo) galimybės, vairuoti automobilį ir valdyti mechanizmus reikia labai atsargiai.</w:t>
      </w:r>
    </w:p>
    <w:p w:rsidR="007E46BD" w:rsidRDefault="007E46BD">
      <w:pPr>
        <w:pStyle w:val="BTEMEASMCA"/>
      </w:pPr>
    </w:p>
    <w:p w:rsidR="007E46BD" w:rsidRDefault="007E46BD">
      <w:pPr>
        <w:pStyle w:val="PI-2EMEASMCA"/>
      </w:pPr>
      <w:bookmarkStart w:id="28" w:name="_Toc129243109"/>
      <w:bookmarkStart w:id="29" w:name="_Toc129243234"/>
      <w:r>
        <w:lastRenderedPageBreak/>
        <w:t>4.8</w:t>
      </w:r>
      <w:r>
        <w:tab/>
        <w:t>Nepageidaujamas poveikis</w:t>
      </w:r>
      <w:bookmarkEnd w:id="28"/>
      <w:bookmarkEnd w:id="29"/>
    </w:p>
    <w:p w:rsidR="007E46BD" w:rsidRDefault="007E46BD">
      <w:pPr>
        <w:pStyle w:val="BTEMEASMCA"/>
      </w:pPr>
    </w:p>
    <w:tbl>
      <w:tblPr>
        <w:tblW w:w="100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350"/>
        <w:gridCol w:w="3092"/>
        <w:gridCol w:w="4607"/>
      </w:tblGrid>
      <w:tr w:rsidR="007E46BD">
        <w:trPr>
          <w:cantSplit/>
          <w:trHeight w:val="544"/>
          <w:tblCellSpacing w:w="15" w:type="dxa"/>
        </w:trPr>
        <w:tc>
          <w:tcPr>
            <w:tcW w:w="2305" w:type="dxa"/>
            <w:shd w:val="clear" w:color="auto" w:fill="auto"/>
          </w:tcPr>
          <w:p w:rsidR="007E46BD" w:rsidRDefault="007E46BD">
            <w:pPr>
              <w:pStyle w:val="prastasistinklapis"/>
              <w:rPr>
                <w:sz w:val="22"/>
                <w:szCs w:val="22"/>
                <w:lang w:val="en-GB"/>
              </w:rPr>
            </w:pPr>
            <w:r>
              <w:rPr>
                <w:sz w:val="22"/>
                <w:szCs w:val="22"/>
                <w:lang w:val="en-GB"/>
              </w:rPr>
              <w:t>Dažnis</w:t>
            </w:r>
          </w:p>
        </w:tc>
        <w:tc>
          <w:tcPr>
            <w:tcW w:w="3062" w:type="dxa"/>
          </w:tcPr>
          <w:p w:rsidR="007E46BD" w:rsidRDefault="007E46BD">
            <w:pPr>
              <w:rPr>
                <w:i/>
                <w:sz w:val="22"/>
                <w:szCs w:val="22"/>
                <w:lang w:val="en-US"/>
              </w:rPr>
            </w:pPr>
            <w:r>
              <w:rPr>
                <w:i/>
                <w:sz w:val="22"/>
                <w:szCs w:val="22"/>
                <w:lang w:val="en-US"/>
              </w:rPr>
              <w:t>Organų sistemų klasė</w:t>
            </w:r>
          </w:p>
        </w:tc>
        <w:tc>
          <w:tcPr>
            <w:tcW w:w="0" w:type="auto"/>
          </w:tcPr>
          <w:p w:rsidR="007E46BD" w:rsidRDefault="007E46BD">
            <w:pPr>
              <w:rPr>
                <w:sz w:val="22"/>
                <w:szCs w:val="22"/>
                <w:lang w:val="en-US"/>
              </w:rPr>
            </w:pPr>
            <w:r>
              <w:rPr>
                <w:sz w:val="22"/>
                <w:szCs w:val="22"/>
                <w:lang w:val="en-US"/>
              </w:rPr>
              <w:t>Nepageidaujamas poveikis</w:t>
            </w:r>
          </w:p>
        </w:tc>
      </w:tr>
      <w:tr w:rsidR="007E46BD">
        <w:trPr>
          <w:cantSplit/>
          <w:trHeight w:val="395"/>
          <w:tblCellSpacing w:w="15" w:type="dxa"/>
        </w:trPr>
        <w:tc>
          <w:tcPr>
            <w:tcW w:w="2305" w:type="dxa"/>
            <w:vMerge w:val="restart"/>
            <w:shd w:val="clear" w:color="auto" w:fill="auto"/>
          </w:tcPr>
          <w:p w:rsidR="007E46BD" w:rsidRDefault="007E46BD">
            <w:pPr>
              <w:pStyle w:val="prastasistinklapis"/>
              <w:rPr>
                <w:sz w:val="22"/>
                <w:szCs w:val="22"/>
                <w:lang w:val="en-GB"/>
              </w:rPr>
            </w:pPr>
            <w:r>
              <w:rPr>
                <w:sz w:val="22"/>
                <w:szCs w:val="22"/>
                <w:lang w:val="en-GB"/>
              </w:rPr>
              <w:t>Dažnis nežinomas (</w:t>
            </w:r>
            <w:r>
              <w:rPr>
                <w:lang w:val="lt-LT"/>
              </w:rPr>
              <w:t>negali būti įvertintas pagal turimus duomenis</w:t>
            </w:r>
            <w:r>
              <w:rPr>
                <w:sz w:val="22"/>
                <w:szCs w:val="22"/>
                <w:lang w:val="en-GB"/>
              </w:rPr>
              <w:t>)</w:t>
            </w:r>
          </w:p>
        </w:tc>
        <w:tc>
          <w:tcPr>
            <w:tcW w:w="3062" w:type="dxa"/>
          </w:tcPr>
          <w:p w:rsidR="007E46BD" w:rsidRDefault="007E46BD">
            <w:pPr>
              <w:rPr>
                <w:i/>
                <w:sz w:val="22"/>
                <w:szCs w:val="22"/>
              </w:rPr>
            </w:pPr>
            <w:r>
              <w:rPr>
                <w:i/>
                <w:noProof/>
                <w:sz w:val="22"/>
                <w:szCs w:val="22"/>
                <w:lang w:val="fi-FI"/>
              </w:rPr>
              <w:t>Ausų ir labirintų sutrikimai</w:t>
            </w:r>
          </w:p>
        </w:tc>
        <w:tc>
          <w:tcPr>
            <w:tcW w:w="0" w:type="auto"/>
          </w:tcPr>
          <w:p w:rsidR="007E46BD" w:rsidRDefault="007E46BD">
            <w:pPr>
              <w:rPr>
                <w:sz w:val="22"/>
                <w:szCs w:val="22"/>
              </w:rPr>
            </w:pPr>
            <w:r>
              <w:rPr>
                <w:sz w:val="22"/>
                <w:szCs w:val="22"/>
              </w:rPr>
              <w:t>Galvos svaigimas</w:t>
            </w:r>
          </w:p>
        </w:tc>
      </w:tr>
      <w:tr w:rsidR="007E46BD">
        <w:trPr>
          <w:cantSplit/>
          <w:trHeight w:val="633"/>
          <w:tblCellSpacing w:w="15" w:type="dxa"/>
        </w:trPr>
        <w:tc>
          <w:tcPr>
            <w:tcW w:w="2305" w:type="dxa"/>
            <w:vMerge/>
            <w:shd w:val="clear" w:color="auto" w:fill="auto"/>
          </w:tcPr>
          <w:p w:rsidR="007E46BD" w:rsidRDefault="007E46BD">
            <w:pPr>
              <w:pStyle w:val="prastasistinklapis"/>
              <w:rPr>
                <w:sz w:val="22"/>
                <w:szCs w:val="22"/>
                <w:lang w:val="en-GB"/>
              </w:rPr>
            </w:pPr>
          </w:p>
        </w:tc>
        <w:tc>
          <w:tcPr>
            <w:tcW w:w="3062" w:type="dxa"/>
          </w:tcPr>
          <w:p w:rsidR="007E46BD" w:rsidRDefault="007E46BD">
            <w:pPr>
              <w:pStyle w:val="prastasistinklapis"/>
              <w:rPr>
                <w:i/>
                <w:sz w:val="22"/>
                <w:szCs w:val="22"/>
                <w:lang w:val="en-GB"/>
              </w:rPr>
            </w:pPr>
            <w:r>
              <w:rPr>
                <w:i/>
                <w:noProof/>
                <w:sz w:val="22"/>
                <w:szCs w:val="22"/>
                <w:lang w:val="fi-FI"/>
              </w:rPr>
              <w:t>Virškinimo trakto sutrikimai</w:t>
            </w:r>
          </w:p>
        </w:tc>
        <w:tc>
          <w:tcPr>
            <w:tcW w:w="0" w:type="auto"/>
          </w:tcPr>
          <w:p w:rsidR="007E46BD" w:rsidRDefault="007E46BD">
            <w:pPr>
              <w:pStyle w:val="prastasistinklapis"/>
              <w:rPr>
                <w:sz w:val="22"/>
                <w:szCs w:val="22"/>
                <w:lang w:val="en-GB"/>
              </w:rPr>
            </w:pPr>
            <w:r>
              <w:t>Apatinės pilvo dalies skausmas ir diegliai, pykinimas, vidurių užkietėjimas, metalo skonio pojūtis burnoje, viduriavimas</w:t>
            </w:r>
          </w:p>
        </w:tc>
      </w:tr>
      <w:tr w:rsidR="007E46BD">
        <w:trPr>
          <w:cantSplit/>
          <w:trHeight w:val="464"/>
          <w:tblCellSpacing w:w="15" w:type="dxa"/>
        </w:trPr>
        <w:tc>
          <w:tcPr>
            <w:tcW w:w="2305" w:type="dxa"/>
            <w:vMerge/>
            <w:shd w:val="clear" w:color="auto" w:fill="auto"/>
          </w:tcPr>
          <w:p w:rsidR="007E46BD" w:rsidRDefault="007E46BD">
            <w:pPr>
              <w:pStyle w:val="prastasistinklapis"/>
              <w:rPr>
                <w:sz w:val="22"/>
                <w:szCs w:val="22"/>
                <w:lang w:val="en-GB"/>
              </w:rPr>
            </w:pPr>
          </w:p>
        </w:tc>
        <w:tc>
          <w:tcPr>
            <w:tcW w:w="3062" w:type="dxa"/>
          </w:tcPr>
          <w:p w:rsidR="007E46BD" w:rsidRDefault="007E46BD">
            <w:pPr>
              <w:pStyle w:val="prastasistinklapis"/>
              <w:rPr>
                <w:i/>
                <w:sz w:val="22"/>
                <w:szCs w:val="22"/>
                <w:lang w:val="en-GB"/>
              </w:rPr>
            </w:pPr>
            <w:r>
              <w:rPr>
                <w:i/>
                <w:noProof/>
                <w:sz w:val="22"/>
                <w:szCs w:val="22"/>
                <w:lang w:val="fi-FI"/>
              </w:rPr>
              <w:t>Imuninės sistemos sutrikimai</w:t>
            </w:r>
          </w:p>
        </w:tc>
        <w:tc>
          <w:tcPr>
            <w:tcW w:w="0" w:type="auto"/>
          </w:tcPr>
          <w:p w:rsidR="007E46BD" w:rsidRDefault="007E46BD">
            <w:pPr>
              <w:pStyle w:val="prastasistinklapis"/>
              <w:rPr>
                <w:sz w:val="22"/>
                <w:szCs w:val="22"/>
                <w:lang w:val="en-GB"/>
              </w:rPr>
            </w:pPr>
            <w:r>
              <w:rPr>
                <w:sz w:val="22"/>
                <w:szCs w:val="22"/>
                <w:lang w:val="en-GB"/>
              </w:rPr>
              <w:t>Alerginė reakcija</w:t>
            </w:r>
          </w:p>
        </w:tc>
      </w:tr>
      <w:tr w:rsidR="007E46BD">
        <w:trPr>
          <w:cantSplit/>
          <w:trHeight w:val="615"/>
          <w:tblCellSpacing w:w="15" w:type="dxa"/>
        </w:trPr>
        <w:tc>
          <w:tcPr>
            <w:tcW w:w="2305" w:type="dxa"/>
            <w:vMerge/>
          </w:tcPr>
          <w:p w:rsidR="007E46BD" w:rsidRDefault="007E46BD">
            <w:pPr>
              <w:pStyle w:val="prastasistinklapis"/>
              <w:rPr>
                <w:sz w:val="22"/>
                <w:szCs w:val="22"/>
                <w:lang w:val="en-GB"/>
              </w:rPr>
            </w:pPr>
          </w:p>
        </w:tc>
        <w:tc>
          <w:tcPr>
            <w:tcW w:w="3062" w:type="dxa"/>
          </w:tcPr>
          <w:p w:rsidR="007E46BD" w:rsidRDefault="007E46BD">
            <w:pPr>
              <w:pStyle w:val="prastasistinklapis"/>
              <w:rPr>
                <w:i/>
                <w:sz w:val="22"/>
                <w:szCs w:val="22"/>
                <w:lang w:val="en-GB"/>
              </w:rPr>
            </w:pPr>
            <w:r>
              <w:rPr>
                <w:i/>
                <w:noProof/>
                <w:sz w:val="22"/>
                <w:szCs w:val="22"/>
                <w:lang w:val="pt-PT"/>
              </w:rPr>
              <w:t>Metabolizmo ir mitybos sutrikimai</w:t>
            </w:r>
          </w:p>
        </w:tc>
        <w:tc>
          <w:tcPr>
            <w:tcW w:w="0" w:type="auto"/>
          </w:tcPr>
          <w:p w:rsidR="007E46BD" w:rsidRDefault="007E46BD">
            <w:pPr>
              <w:pStyle w:val="prastasistinklapis"/>
              <w:rPr>
                <w:sz w:val="22"/>
                <w:szCs w:val="22"/>
                <w:lang w:val="en-GB"/>
              </w:rPr>
            </w:pPr>
            <w:r>
              <w:rPr>
                <w:sz w:val="22"/>
                <w:szCs w:val="22"/>
                <w:lang w:val="en-GB"/>
              </w:rPr>
              <w:t>Sumažėjęs apetitas</w:t>
            </w:r>
          </w:p>
        </w:tc>
      </w:tr>
      <w:tr w:rsidR="007E46BD">
        <w:trPr>
          <w:cantSplit/>
          <w:trHeight w:val="477"/>
          <w:tblCellSpacing w:w="15" w:type="dxa"/>
        </w:trPr>
        <w:tc>
          <w:tcPr>
            <w:tcW w:w="2305" w:type="dxa"/>
            <w:vMerge/>
          </w:tcPr>
          <w:p w:rsidR="007E46BD" w:rsidRDefault="007E46BD">
            <w:pPr>
              <w:pStyle w:val="prastasistinklapis"/>
              <w:rPr>
                <w:sz w:val="22"/>
                <w:szCs w:val="22"/>
                <w:lang w:val="en-GB"/>
              </w:rPr>
            </w:pPr>
          </w:p>
        </w:tc>
        <w:tc>
          <w:tcPr>
            <w:tcW w:w="3062" w:type="dxa"/>
          </w:tcPr>
          <w:p w:rsidR="007E46BD" w:rsidRDefault="007E46BD">
            <w:pPr>
              <w:pStyle w:val="prastasistinklapis"/>
              <w:rPr>
                <w:i/>
                <w:sz w:val="22"/>
                <w:szCs w:val="22"/>
                <w:lang w:val="en-GB"/>
              </w:rPr>
            </w:pPr>
            <w:r>
              <w:rPr>
                <w:i/>
                <w:noProof/>
                <w:sz w:val="22"/>
                <w:szCs w:val="22"/>
                <w:lang w:val="sv-SE"/>
              </w:rPr>
              <w:t>Nervų sistemos sutrikimai</w:t>
            </w:r>
          </w:p>
        </w:tc>
        <w:tc>
          <w:tcPr>
            <w:tcW w:w="0" w:type="auto"/>
          </w:tcPr>
          <w:p w:rsidR="007E46BD" w:rsidRDefault="007E46BD">
            <w:pPr>
              <w:pStyle w:val="prastasistinklapis"/>
              <w:rPr>
                <w:sz w:val="22"/>
                <w:szCs w:val="22"/>
                <w:lang w:val="en-GB"/>
              </w:rPr>
            </w:pPr>
            <w:r>
              <w:rPr>
                <w:sz w:val="22"/>
                <w:szCs w:val="22"/>
                <w:lang w:val="en-GB"/>
              </w:rPr>
              <w:t>Galvos skausmas</w:t>
            </w:r>
          </w:p>
        </w:tc>
      </w:tr>
      <w:tr w:rsidR="007E46BD">
        <w:trPr>
          <w:cantSplit/>
          <w:trHeight w:val="637"/>
          <w:tblCellSpacing w:w="15" w:type="dxa"/>
        </w:trPr>
        <w:tc>
          <w:tcPr>
            <w:tcW w:w="2305" w:type="dxa"/>
            <w:vMerge/>
          </w:tcPr>
          <w:p w:rsidR="007E46BD" w:rsidRDefault="007E46BD">
            <w:pPr>
              <w:pStyle w:val="prastasistinklapis"/>
              <w:rPr>
                <w:sz w:val="22"/>
                <w:szCs w:val="22"/>
                <w:lang w:val="en-GB"/>
              </w:rPr>
            </w:pPr>
          </w:p>
        </w:tc>
        <w:tc>
          <w:tcPr>
            <w:tcW w:w="3062" w:type="dxa"/>
          </w:tcPr>
          <w:p w:rsidR="007E46BD" w:rsidRDefault="007E46BD">
            <w:pPr>
              <w:pStyle w:val="prastasistinklapis"/>
              <w:rPr>
                <w:i/>
                <w:sz w:val="22"/>
                <w:szCs w:val="22"/>
                <w:lang w:val="en-GB"/>
              </w:rPr>
            </w:pPr>
            <w:r>
              <w:rPr>
                <w:i/>
                <w:noProof/>
                <w:sz w:val="22"/>
                <w:szCs w:val="22"/>
                <w:lang w:val="es-ES"/>
              </w:rPr>
              <w:t>Lytinės sistemos ir krūties sutrikimai</w:t>
            </w:r>
          </w:p>
        </w:tc>
        <w:tc>
          <w:tcPr>
            <w:tcW w:w="0" w:type="auto"/>
          </w:tcPr>
          <w:p w:rsidR="007E46BD" w:rsidRDefault="007E46BD">
            <w:pPr>
              <w:pStyle w:val="prastasistinklapis"/>
              <w:rPr>
                <w:sz w:val="22"/>
                <w:szCs w:val="22"/>
                <w:lang w:val="en-GB"/>
              </w:rPr>
            </w:pPr>
            <w:r>
              <w:rPr>
                <w:sz w:val="22"/>
                <w:szCs w:val="22"/>
                <w:lang w:val="en-GB"/>
              </w:rPr>
              <w:t>Išorinių lyties organų ir makšties niežulys, makšties sausumas</w:t>
            </w:r>
          </w:p>
        </w:tc>
      </w:tr>
    </w:tbl>
    <w:p w:rsidR="007E46BD" w:rsidRDefault="007E46BD">
      <w:pPr>
        <w:pStyle w:val="BTEMEASMCA"/>
      </w:pPr>
    </w:p>
    <w:p w:rsidR="007E46BD" w:rsidRDefault="007E46BD">
      <w:pPr>
        <w:pStyle w:val="PI-2EMEASMCA"/>
      </w:pPr>
      <w:bookmarkStart w:id="30" w:name="_Toc129243110"/>
      <w:bookmarkStart w:id="31" w:name="_Toc129243235"/>
      <w:r>
        <w:t>4.9</w:t>
      </w:r>
      <w:r>
        <w:tab/>
        <w:t>Perdozavimas</w:t>
      </w:r>
      <w:bookmarkEnd w:id="30"/>
      <w:bookmarkEnd w:id="31"/>
    </w:p>
    <w:p w:rsidR="007E46BD" w:rsidRDefault="007E46BD">
      <w:pPr>
        <w:pStyle w:val="BTEMEASMCA"/>
      </w:pPr>
    </w:p>
    <w:p w:rsidR="007E46BD" w:rsidRDefault="007E46BD">
      <w:pPr>
        <w:tabs>
          <w:tab w:val="num" w:pos="360"/>
        </w:tabs>
        <w:rPr>
          <w:sz w:val="22"/>
          <w:szCs w:val="22"/>
        </w:rPr>
      </w:pPr>
      <w:r>
        <w:rPr>
          <w:sz w:val="22"/>
          <w:szCs w:val="22"/>
        </w:rPr>
        <w:t>Pranešimų apie perdozavimą negauta. Duomenų apie Gynalgin perdozavimą nėra. Tačiau svarbu žinoti, kad abi veikliosios preparato dalys gali patekti į kraujo apytakos sistemą ir kraujyje gali susidaryti metronidazolo koncentracija, pakankama sisteminiam poveikiui sukelti.</w:t>
      </w:r>
    </w:p>
    <w:p w:rsidR="007E46BD" w:rsidRDefault="007E46BD">
      <w:pPr>
        <w:pStyle w:val="BTEMEASMCA"/>
      </w:pPr>
    </w:p>
    <w:p w:rsidR="007E46BD" w:rsidRDefault="007E46BD">
      <w:pPr>
        <w:pStyle w:val="BTEMEASMCA"/>
      </w:pPr>
    </w:p>
    <w:p w:rsidR="007E46BD" w:rsidRDefault="007E46BD">
      <w:pPr>
        <w:pStyle w:val="PI-1EMEASMCA"/>
      </w:pPr>
      <w:bookmarkStart w:id="32" w:name="_Toc129243111"/>
      <w:bookmarkStart w:id="33" w:name="_Toc129243236"/>
      <w:r>
        <w:t>5.</w:t>
      </w:r>
      <w:r>
        <w:tab/>
        <w:t>FARMAKOLOGINĖS SAVYBĖS</w:t>
      </w:r>
      <w:bookmarkEnd w:id="32"/>
      <w:bookmarkEnd w:id="33"/>
    </w:p>
    <w:p w:rsidR="007E46BD" w:rsidRDefault="007E46BD">
      <w:pPr>
        <w:pStyle w:val="BTEMEASMCA"/>
      </w:pPr>
    </w:p>
    <w:p w:rsidR="007E46BD" w:rsidRDefault="007E46BD">
      <w:pPr>
        <w:pStyle w:val="PI-2EMEASMCA"/>
      </w:pPr>
      <w:bookmarkStart w:id="34" w:name="_Toc129243112"/>
      <w:bookmarkStart w:id="35" w:name="_Toc129243237"/>
      <w:r>
        <w:t>5.1</w:t>
      </w:r>
      <w:r>
        <w:tab/>
        <w:t>Farmakodinaminės savybės</w:t>
      </w:r>
      <w:bookmarkEnd w:id="34"/>
      <w:bookmarkEnd w:id="35"/>
    </w:p>
    <w:p w:rsidR="007E46BD" w:rsidRDefault="007E46BD">
      <w:pPr>
        <w:pStyle w:val="BTEMEASMCA"/>
      </w:pPr>
    </w:p>
    <w:p w:rsidR="007E46BD" w:rsidRDefault="007E46BD">
      <w:pPr>
        <w:tabs>
          <w:tab w:val="num" w:pos="360"/>
        </w:tabs>
        <w:rPr>
          <w:sz w:val="22"/>
          <w:szCs w:val="22"/>
        </w:rPr>
      </w:pPr>
      <w:r>
        <w:rPr>
          <w:sz w:val="22"/>
          <w:szCs w:val="22"/>
        </w:rPr>
        <w:t>Farmakoterapinė grupė – antiinfekciniai ir antiseptiniai ginekologiniai vaistai, chinolino dariniai, ATC kodas – G01AC.</w:t>
      </w:r>
    </w:p>
    <w:p w:rsidR="007E46BD" w:rsidRDefault="007E46BD">
      <w:pPr>
        <w:pStyle w:val="BTEMEASMCA"/>
      </w:pPr>
    </w:p>
    <w:p w:rsidR="007E46BD" w:rsidRDefault="007E46BD">
      <w:pPr>
        <w:tabs>
          <w:tab w:val="num" w:pos="360"/>
        </w:tabs>
        <w:rPr>
          <w:sz w:val="22"/>
          <w:szCs w:val="22"/>
        </w:rPr>
      </w:pPr>
      <w:r>
        <w:rPr>
          <w:sz w:val="22"/>
          <w:szCs w:val="22"/>
        </w:rPr>
        <w:t>Chlorkvinaldolis yra 8-hidroksichinolonų junginys. Šios grupės junginiai dažnai sukelia toksinį poveikį, todėl chlorkvinaldolis vartojamas tik vietiškai.</w:t>
      </w:r>
    </w:p>
    <w:p w:rsidR="007E46BD" w:rsidRDefault="007E46BD">
      <w:pPr>
        <w:tabs>
          <w:tab w:val="num" w:pos="360"/>
        </w:tabs>
        <w:rPr>
          <w:sz w:val="22"/>
          <w:szCs w:val="22"/>
        </w:rPr>
      </w:pPr>
      <w:r>
        <w:rPr>
          <w:sz w:val="22"/>
          <w:szCs w:val="22"/>
        </w:rPr>
        <w:t>Metronidazolas yra 5-nitroimidazolo junginys. Jo veikimo mechanizmas ištirtas nepakankamai. Manoma, kad jis selektyviai citotoksiškai veikia anaerobines bakterijas ir pirmuonis dėl vykstančios redukcijos reakcijos, kurios metu iš mikroorganizmų atimami redukcijos ekvivalentai. Nors metronidazolas gerai prasiskverbia tiek į aerobų, tiek į anaerobų ląsteles, ši reakcija vyksta tik anaerobų organizmuose, o aerobų ląstelėse metronidazolo molekulė lieka nepakitusi. Taip yra dėl metronidazolo ir baltymų, pernešančių elektronus anaerobų ir aerobų organizmuose, redukcijos potencialų skirtumo. Anaerobų organizme metronidazolo redukcijos potencialas yra tik šiek tiek didesnis už elektronus pernešančios sistemos, todėl metronidazolas gali dalyvauti redukcijos reakcijoje, kurioje naudojamos bakterijų redukcijos ekvivalentų atsargos. Aerobų ląstelėse šis skirtumas yra labai didelis, todėl metronidazolo molekulės redukcija nevyksta. Dėl minėto skirtumo anaerobų organizmuose vyksta intensyvi metronidazolo redukcijos reakcija, o aerobų ląstelėse metronidazolo molekulė lieka nepakitusi. Gydomąjį efektą sukeliančios molekulės struktūra kol kas nėra nustatyta. Anaerobų ir pirmuonių ląstelėse metronidazolas sukelia redukcijos potencialų nepakankamumą, todėl pakinta spiralinė DNR struktūra, sutrūkinėja grandinė, o tai sutrikdo DNR sintezę ir sukelia ląstelės mirtį.</w:t>
      </w:r>
    </w:p>
    <w:p w:rsidR="007E46BD" w:rsidRDefault="007E46BD">
      <w:pPr>
        <w:pStyle w:val="BTEMEASMCA"/>
      </w:pPr>
    </w:p>
    <w:p w:rsidR="007E46BD" w:rsidRDefault="007E46BD">
      <w:pPr>
        <w:tabs>
          <w:tab w:val="num" w:pos="360"/>
        </w:tabs>
        <w:rPr>
          <w:sz w:val="22"/>
          <w:szCs w:val="22"/>
          <w:u w:val="single"/>
        </w:rPr>
      </w:pPr>
      <w:r>
        <w:rPr>
          <w:sz w:val="22"/>
          <w:szCs w:val="22"/>
          <w:u w:val="single"/>
        </w:rPr>
        <w:t>Antimikrobinis aktyvumas</w:t>
      </w:r>
    </w:p>
    <w:p w:rsidR="007E46BD" w:rsidRDefault="007E46BD">
      <w:pPr>
        <w:tabs>
          <w:tab w:val="num" w:pos="360"/>
        </w:tabs>
        <w:rPr>
          <w:sz w:val="22"/>
          <w:szCs w:val="22"/>
        </w:rPr>
      </w:pPr>
      <w:r>
        <w:rPr>
          <w:sz w:val="22"/>
          <w:szCs w:val="22"/>
        </w:rPr>
        <w:t>Gynalgin turi platų baktericidinį, protozoacidinį ir fungistatinį poveikį. Veikliosios jo medžiagos – chlorkvinaldolis ir metronidazolas – veikia sinergistiškai.</w:t>
      </w:r>
      <w:r>
        <w:rPr>
          <w:i/>
          <w:sz w:val="22"/>
          <w:szCs w:val="22"/>
        </w:rPr>
        <w:t xml:space="preserve"> </w:t>
      </w:r>
      <w:r>
        <w:rPr>
          <w:sz w:val="22"/>
          <w:szCs w:val="22"/>
        </w:rPr>
        <w:t xml:space="preserve">Chlorkvinaldolis baktericidiškai veikia daugelį gramteigiamų ir gramneigiamų bakterijų. Fungistatinis poveikis ryškiausias </w:t>
      </w:r>
      <w:r>
        <w:rPr>
          <w:i/>
          <w:sz w:val="22"/>
          <w:szCs w:val="22"/>
        </w:rPr>
        <w:t>Candida albicans</w:t>
      </w:r>
      <w:r>
        <w:rPr>
          <w:sz w:val="22"/>
          <w:szCs w:val="22"/>
        </w:rPr>
        <w:t xml:space="preserve"> </w:t>
      </w:r>
      <w:r>
        <w:rPr>
          <w:sz w:val="22"/>
          <w:szCs w:val="22"/>
        </w:rPr>
        <w:lastRenderedPageBreak/>
        <w:t xml:space="preserve">organizmams. Chlorkvinaldolis taip pat pasižymi keratoplastiniu poveikiu. Abi veikliosios vaisto medžiagos pasižymi panašiu poveikio spektru prieš pirmuonis, naikina </w:t>
      </w:r>
      <w:r>
        <w:rPr>
          <w:i/>
          <w:sz w:val="22"/>
          <w:szCs w:val="22"/>
        </w:rPr>
        <w:t xml:space="preserve">Trichomonas vaginalis, Entameba histolytica </w:t>
      </w:r>
      <w:r>
        <w:rPr>
          <w:iCs/>
          <w:sz w:val="22"/>
          <w:szCs w:val="22"/>
        </w:rPr>
        <w:t>ir</w:t>
      </w:r>
      <w:r>
        <w:rPr>
          <w:i/>
          <w:sz w:val="22"/>
          <w:szCs w:val="22"/>
        </w:rPr>
        <w:t xml:space="preserve"> Gardia liamblia</w:t>
      </w:r>
      <w:r>
        <w:rPr>
          <w:sz w:val="22"/>
          <w:szCs w:val="22"/>
        </w:rPr>
        <w:t xml:space="preserve"> pirmuonis. </w:t>
      </w:r>
    </w:p>
    <w:p w:rsidR="007E46BD" w:rsidRDefault="007E46BD">
      <w:pPr>
        <w:tabs>
          <w:tab w:val="num" w:pos="360"/>
        </w:tabs>
        <w:rPr>
          <w:sz w:val="22"/>
          <w:szCs w:val="22"/>
        </w:rPr>
      </w:pPr>
      <w:r>
        <w:rPr>
          <w:sz w:val="22"/>
          <w:szCs w:val="22"/>
        </w:rPr>
        <w:t xml:space="preserve">Metronidazolas </w:t>
      </w:r>
      <w:r>
        <w:rPr>
          <w:i/>
          <w:sz w:val="22"/>
          <w:szCs w:val="22"/>
        </w:rPr>
        <w:t>in vitro</w:t>
      </w:r>
      <w:r>
        <w:rPr>
          <w:sz w:val="22"/>
          <w:szCs w:val="22"/>
        </w:rPr>
        <w:t xml:space="preserve"> veikia daugelį obligatinių anaerobų rūšių. Jo poveikis fakultatyviniams anaerobams ir aerobams nėra kliniškai reikšmingas. Metronidazolo baktericidinis poveikis pasireiškia, kai jo koncentracija yra lygi arba šiek tiek didesnė už MSK (minimalią slopinančią koncentraciją). </w:t>
      </w:r>
      <w:r>
        <w:rPr>
          <w:i/>
          <w:sz w:val="22"/>
          <w:szCs w:val="22"/>
        </w:rPr>
        <w:t>In vivo</w:t>
      </w:r>
      <w:r>
        <w:rPr>
          <w:sz w:val="22"/>
          <w:szCs w:val="22"/>
        </w:rPr>
        <w:t xml:space="preserve"> metronidazolas veikia tik anaerobus. Jis neveikia normalios makšties mikrofloros. Gynalgin vartojamas gydant infekcines ligas, kurias sukelia toliau nurodytos bakterijos: </w:t>
      </w:r>
      <w:r>
        <w:rPr>
          <w:i/>
          <w:sz w:val="22"/>
          <w:szCs w:val="22"/>
        </w:rPr>
        <w:t xml:space="preserve">Escherichia coli, Staphylococcus albus, Staphylococcus aureus, Streptococcus beta haemolyticus, Enterococcus, Enterobacter </w:t>
      </w:r>
      <w:r>
        <w:rPr>
          <w:sz w:val="22"/>
          <w:szCs w:val="22"/>
        </w:rPr>
        <w:t>ir</w:t>
      </w:r>
      <w:r>
        <w:rPr>
          <w:i/>
          <w:sz w:val="22"/>
          <w:szCs w:val="22"/>
        </w:rPr>
        <w:t xml:space="preserve"> Trichomonas vaginalis</w:t>
      </w:r>
      <w:r>
        <w:rPr>
          <w:sz w:val="22"/>
          <w:szCs w:val="22"/>
        </w:rPr>
        <w:t xml:space="preserve"> invazija.</w:t>
      </w:r>
    </w:p>
    <w:p w:rsidR="007E46BD" w:rsidRDefault="007E46BD">
      <w:pPr>
        <w:tabs>
          <w:tab w:val="num" w:pos="360"/>
        </w:tabs>
        <w:rPr>
          <w:sz w:val="22"/>
          <w:szCs w:val="22"/>
        </w:rPr>
      </w:pPr>
      <w:r>
        <w:rPr>
          <w:sz w:val="22"/>
          <w:szCs w:val="22"/>
        </w:rPr>
        <w:t xml:space="preserve">Mažiausia </w:t>
      </w:r>
      <w:r>
        <w:rPr>
          <w:i/>
          <w:sz w:val="22"/>
          <w:szCs w:val="22"/>
        </w:rPr>
        <w:t>Trichomonas vaginalis</w:t>
      </w:r>
      <w:r>
        <w:rPr>
          <w:sz w:val="22"/>
          <w:szCs w:val="22"/>
        </w:rPr>
        <w:t xml:space="preserve"> naikinanti vaisto koncentracija yra 1,0-2,5 mikrogramų/ml, mažiausia </w:t>
      </w:r>
      <w:r>
        <w:rPr>
          <w:i/>
          <w:sz w:val="22"/>
          <w:szCs w:val="22"/>
        </w:rPr>
        <w:t>E.histolytica</w:t>
      </w:r>
      <w:r>
        <w:rPr>
          <w:sz w:val="22"/>
          <w:szCs w:val="22"/>
        </w:rPr>
        <w:t xml:space="preserve"> per 24 val. naikinanti vaistinio preparato koncentracija yra 1-2 mikrogramų/ml, per 72 val. – 0,2 mikrogramų/ml. Metronidazolo poveikiui atsparių bakterijų ir pirmuonių būna retai. Yra nustatyta jam atsparių </w:t>
      </w:r>
      <w:r>
        <w:rPr>
          <w:i/>
          <w:sz w:val="22"/>
          <w:szCs w:val="22"/>
        </w:rPr>
        <w:t>B.fragilis</w:t>
      </w:r>
      <w:r>
        <w:rPr>
          <w:sz w:val="22"/>
          <w:szCs w:val="22"/>
        </w:rPr>
        <w:t xml:space="preserve"> ir </w:t>
      </w:r>
      <w:r>
        <w:rPr>
          <w:i/>
          <w:sz w:val="22"/>
          <w:szCs w:val="22"/>
        </w:rPr>
        <w:t>Trichomonas vaginalis</w:t>
      </w:r>
      <w:r>
        <w:rPr>
          <w:sz w:val="22"/>
          <w:szCs w:val="22"/>
        </w:rPr>
        <w:t xml:space="preserve"> štamų.</w:t>
      </w:r>
    </w:p>
    <w:p w:rsidR="007E46BD" w:rsidRDefault="007E46BD">
      <w:pPr>
        <w:pStyle w:val="BTEMEASMCA"/>
      </w:pPr>
    </w:p>
    <w:p w:rsidR="007E46BD" w:rsidRDefault="007E46BD">
      <w:pPr>
        <w:rPr>
          <w:sz w:val="22"/>
          <w:szCs w:val="22"/>
          <w:u w:val="single"/>
        </w:rPr>
      </w:pPr>
      <w:r>
        <w:rPr>
          <w:sz w:val="22"/>
          <w:szCs w:val="22"/>
          <w:u w:val="single"/>
        </w:rPr>
        <w:t>Jautrumo ribos</w:t>
      </w:r>
    </w:p>
    <w:p w:rsidR="007E46BD" w:rsidRDefault="007E46BD">
      <w:pPr>
        <w:rPr>
          <w:sz w:val="22"/>
          <w:szCs w:val="22"/>
        </w:rPr>
      </w:pPr>
      <w:r>
        <w:rPr>
          <w:sz w:val="22"/>
          <w:szCs w:val="22"/>
        </w:rPr>
        <w:t>Tipiškų bakterijų patogenų jautrumo metronidazolui ribos yra tokios:</w:t>
      </w:r>
    </w:p>
    <w:p w:rsidR="007E46BD" w:rsidRDefault="007E46BD">
      <w:pPr>
        <w:rPr>
          <w:sz w:val="22"/>
          <w:szCs w:val="22"/>
        </w:rPr>
      </w:pPr>
      <w:r>
        <w:rPr>
          <w:i/>
          <w:sz w:val="22"/>
          <w:szCs w:val="22"/>
        </w:rPr>
        <w:t>jautrios</w:t>
      </w:r>
      <w:r>
        <w:rPr>
          <w:sz w:val="22"/>
          <w:szCs w:val="22"/>
        </w:rPr>
        <w:t xml:space="preserve">, kai metronidazolo koncentracija yra </w:t>
      </w:r>
      <w:r>
        <w:rPr>
          <w:sz w:val="22"/>
          <w:szCs w:val="22"/>
          <w:u w:val="single"/>
        </w:rPr>
        <w:t>&lt;</w:t>
      </w:r>
      <w:r>
        <w:rPr>
          <w:sz w:val="22"/>
          <w:szCs w:val="22"/>
        </w:rPr>
        <w:t>16 mg/l;</w:t>
      </w:r>
    </w:p>
    <w:p w:rsidR="007E46BD" w:rsidRDefault="007E46BD">
      <w:pPr>
        <w:rPr>
          <w:sz w:val="22"/>
          <w:szCs w:val="22"/>
        </w:rPr>
      </w:pPr>
      <w:r>
        <w:rPr>
          <w:i/>
          <w:sz w:val="22"/>
          <w:szCs w:val="22"/>
        </w:rPr>
        <w:t>atsparios</w:t>
      </w:r>
      <w:r>
        <w:rPr>
          <w:sz w:val="22"/>
          <w:szCs w:val="22"/>
        </w:rPr>
        <w:t>, kai metronidazolo koncentracija yra &gt;16 mg/l.</w:t>
      </w:r>
    </w:p>
    <w:p w:rsidR="007E46BD" w:rsidRDefault="007E46BD">
      <w:pPr>
        <w:rPr>
          <w:sz w:val="22"/>
          <w:szCs w:val="22"/>
        </w:rPr>
      </w:pPr>
    </w:p>
    <w:p w:rsidR="007E46BD" w:rsidRDefault="007E46BD">
      <w:pPr>
        <w:rPr>
          <w:sz w:val="22"/>
          <w:szCs w:val="22"/>
          <w:u w:val="single"/>
        </w:rPr>
      </w:pPr>
      <w:r>
        <w:rPr>
          <w:sz w:val="22"/>
          <w:szCs w:val="22"/>
          <w:u w:val="single"/>
        </w:rPr>
        <w:t>Sukėlėjų jautrumas</w:t>
      </w:r>
    </w:p>
    <w:p w:rsidR="007E46BD" w:rsidRDefault="007E46BD">
      <w:pPr>
        <w:rPr>
          <w:sz w:val="22"/>
          <w:szCs w:val="22"/>
        </w:rPr>
      </w:pPr>
      <w:r>
        <w:rPr>
          <w:sz w:val="22"/>
          <w:szCs w:val="22"/>
        </w:rPr>
        <w:t>Tam tikrų sukėlėjų rūšių įgyto atsparumo vaistui dažnis gali skirtis priklausomai nuo geografinės vietos ir laiko. Todėl visada reikia atsižvelgti į vietinę informaciją apie sukėlėjų atsparumą, ypač gydant sunkias infekcines ligas. Prireikus reikia kreiptis į ekspertą patarimo, kai vietinis sukėlėjų atsparumas yra toks, kad preparato vartojimas kai kurioms infekcinėms ligoms gydyti yra abejotinas.</w:t>
      </w:r>
    </w:p>
    <w:p w:rsidR="007E46BD" w:rsidRDefault="007E46BD">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tblGrid>
      <w:tr w:rsidR="007E46BD" w:rsidRPr="00AE70F9" w:rsidTr="00AE70F9">
        <w:tc>
          <w:tcPr>
            <w:tcW w:w="6840" w:type="dxa"/>
          </w:tcPr>
          <w:p w:rsidR="007E46BD" w:rsidRPr="00AE70F9" w:rsidRDefault="007E46BD" w:rsidP="00AE70F9">
            <w:pPr>
              <w:tabs>
                <w:tab w:val="left" w:pos="567"/>
              </w:tabs>
              <w:spacing w:line="260" w:lineRule="exact"/>
              <w:rPr>
                <w:b/>
                <w:sz w:val="22"/>
                <w:szCs w:val="22"/>
              </w:rPr>
            </w:pPr>
            <w:r w:rsidRPr="00AE70F9">
              <w:rPr>
                <w:b/>
                <w:sz w:val="22"/>
                <w:szCs w:val="22"/>
              </w:rPr>
              <w:t>Paprastai jautrūs mikroorganizmai</w:t>
            </w:r>
          </w:p>
        </w:tc>
      </w:tr>
      <w:tr w:rsidR="007E46BD" w:rsidRPr="00AE70F9" w:rsidTr="00AE70F9">
        <w:tc>
          <w:tcPr>
            <w:tcW w:w="6840" w:type="dxa"/>
          </w:tcPr>
          <w:p w:rsidR="007E46BD" w:rsidRPr="00AE70F9" w:rsidRDefault="007E46BD" w:rsidP="00AE70F9">
            <w:pPr>
              <w:tabs>
                <w:tab w:val="left" w:pos="567"/>
              </w:tabs>
              <w:spacing w:line="260" w:lineRule="exact"/>
              <w:rPr>
                <w:b/>
                <w:sz w:val="22"/>
                <w:szCs w:val="22"/>
              </w:rPr>
            </w:pPr>
            <w:r w:rsidRPr="00AE70F9">
              <w:rPr>
                <w:b/>
                <w:sz w:val="22"/>
                <w:szCs w:val="22"/>
              </w:rPr>
              <w:t>Anaerobinės gramneigiamos lazdelės, įskaitant</w:t>
            </w:r>
          </w:p>
        </w:tc>
      </w:tr>
      <w:tr w:rsidR="007E46BD" w:rsidRPr="00AE70F9" w:rsidTr="00AE70F9">
        <w:tc>
          <w:tcPr>
            <w:tcW w:w="6840" w:type="dxa"/>
          </w:tcPr>
          <w:p w:rsidR="007E46BD" w:rsidRPr="00AE70F9" w:rsidRDefault="007E46BD" w:rsidP="00AE70F9">
            <w:pPr>
              <w:tabs>
                <w:tab w:val="left" w:pos="567"/>
              </w:tabs>
              <w:spacing w:line="260" w:lineRule="exact"/>
              <w:rPr>
                <w:i/>
                <w:sz w:val="22"/>
                <w:szCs w:val="22"/>
              </w:rPr>
            </w:pPr>
            <w:r w:rsidRPr="00AE70F9">
              <w:rPr>
                <w:i/>
                <w:sz w:val="22"/>
                <w:szCs w:val="22"/>
              </w:rPr>
              <w:t>Bacteroides fragilis</w:t>
            </w:r>
          </w:p>
        </w:tc>
      </w:tr>
      <w:tr w:rsidR="007E46BD" w:rsidRPr="00AE70F9" w:rsidTr="00AE70F9">
        <w:tc>
          <w:tcPr>
            <w:tcW w:w="6840" w:type="dxa"/>
          </w:tcPr>
          <w:p w:rsidR="007E46BD" w:rsidRPr="00AE70F9" w:rsidRDefault="007E46BD" w:rsidP="00AE70F9">
            <w:pPr>
              <w:tabs>
                <w:tab w:val="left" w:pos="567"/>
              </w:tabs>
              <w:spacing w:line="260" w:lineRule="exact"/>
              <w:rPr>
                <w:sz w:val="22"/>
                <w:szCs w:val="22"/>
              </w:rPr>
            </w:pPr>
            <w:r w:rsidRPr="00AE70F9">
              <w:rPr>
                <w:i/>
                <w:sz w:val="22"/>
                <w:szCs w:val="22"/>
              </w:rPr>
              <w:t>Bacteroides fragilis</w:t>
            </w:r>
            <w:r w:rsidRPr="00AE70F9">
              <w:rPr>
                <w:sz w:val="22"/>
                <w:szCs w:val="22"/>
              </w:rPr>
              <w:t xml:space="preserve"> pogrupis</w:t>
            </w:r>
          </w:p>
        </w:tc>
      </w:tr>
      <w:tr w:rsidR="007E46BD" w:rsidRPr="00AE70F9" w:rsidTr="00AE70F9">
        <w:tc>
          <w:tcPr>
            <w:tcW w:w="6840" w:type="dxa"/>
          </w:tcPr>
          <w:p w:rsidR="007E46BD" w:rsidRPr="00AE70F9" w:rsidRDefault="007E46BD" w:rsidP="00AE70F9">
            <w:pPr>
              <w:tabs>
                <w:tab w:val="left" w:pos="567"/>
              </w:tabs>
              <w:spacing w:line="260" w:lineRule="exact"/>
              <w:rPr>
                <w:sz w:val="22"/>
                <w:szCs w:val="22"/>
              </w:rPr>
            </w:pPr>
            <w:r w:rsidRPr="00AE70F9">
              <w:rPr>
                <w:i/>
                <w:sz w:val="22"/>
                <w:szCs w:val="22"/>
              </w:rPr>
              <w:t>Fusobacterium</w:t>
            </w:r>
            <w:r w:rsidRPr="00AE70F9">
              <w:rPr>
                <w:sz w:val="22"/>
                <w:szCs w:val="22"/>
              </w:rPr>
              <w:t xml:space="preserve"> padermė</w:t>
            </w:r>
          </w:p>
        </w:tc>
      </w:tr>
      <w:tr w:rsidR="007E46BD" w:rsidRPr="00AE70F9" w:rsidTr="00AE70F9">
        <w:tc>
          <w:tcPr>
            <w:tcW w:w="6840" w:type="dxa"/>
          </w:tcPr>
          <w:p w:rsidR="007E46BD" w:rsidRPr="00AE70F9" w:rsidRDefault="007E46BD" w:rsidP="00AE70F9">
            <w:pPr>
              <w:tabs>
                <w:tab w:val="left" w:pos="567"/>
              </w:tabs>
              <w:spacing w:line="260" w:lineRule="exact"/>
              <w:rPr>
                <w:b/>
                <w:sz w:val="22"/>
                <w:szCs w:val="22"/>
              </w:rPr>
            </w:pPr>
            <w:r w:rsidRPr="00AE70F9">
              <w:rPr>
                <w:b/>
                <w:sz w:val="22"/>
                <w:szCs w:val="22"/>
              </w:rPr>
              <w:t>Anaerobinės gramteigiamos lazdelės, įskaitant</w:t>
            </w:r>
          </w:p>
        </w:tc>
      </w:tr>
      <w:tr w:rsidR="007E46BD" w:rsidRPr="00AE70F9" w:rsidTr="00AE70F9">
        <w:tc>
          <w:tcPr>
            <w:tcW w:w="6840" w:type="dxa"/>
          </w:tcPr>
          <w:p w:rsidR="007E46BD" w:rsidRPr="00AE70F9" w:rsidRDefault="007E46BD" w:rsidP="00AE70F9">
            <w:pPr>
              <w:tabs>
                <w:tab w:val="left" w:pos="567"/>
              </w:tabs>
              <w:spacing w:line="260" w:lineRule="exact"/>
              <w:rPr>
                <w:i/>
                <w:sz w:val="22"/>
                <w:szCs w:val="22"/>
              </w:rPr>
            </w:pPr>
            <w:r w:rsidRPr="00AE70F9">
              <w:rPr>
                <w:i/>
                <w:sz w:val="22"/>
                <w:szCs w:val="22"/>
              </w:rPr>
              <w:t>Clostridium difficile</w:t>
            </w:r>
          </w:p>
        </w:tc>
      </w:tr>
      <w:tr w:rsidR="007E46BD" w:rsidRPr="00AE70F9" w:rsidTr="00AE70F9">
        <w:tc>
          <w:tcPr>
            <w:tcW w:w="6840" w:type="dxa"/>
          </w:tcPr>
          <w:p w:rsidR="007E46BD" w:rsidRPr="00AE70F9" w:rsidRDefault="007E46BD" w:rsidP="00AE70F9">
            <w:pPr>
              <w:tabs>
                <w:tab w:val="left" w:pos="567"/>
              </w:tabs>
              <w:spacing w:line="260" w:lineRule="exact"/>
              <w:rPr>
                <w:sz w:val="22"/>
                <w:szCs w:val="22"/>
              </w:rPr>
            </w:pPr>
            <w:r w:rsidRPr="00AE70F9">
              <w:rPr>
                <w:i/>
                <w:sz w:val="22"/>
                <w:szCs w:val="22"/>
              </w:rPr>
              <w:t>Clostridium</w:t>
            </w:r>
            <w:r w:rsidRPr="00AE70F9">
              <w:rPr>
                <w:sz w:val="22"/>
                <w:szCs w:val="22"/>
              </w:rPr>
              <w:t xml:space="preserve"> padermė</w:t>
            </w:r>
          </w:p>
        </w:tc>
      </w:tr>
      <w:tr w:rsidR="007E46BD" w:rsidRPr="00AE70F9" w:rsidTr="00AE70F9">
        <w:tc>
          <w:tcPr>
            <w:tcW w:w="6840" w:type="dxa"/>
          </w:tcPr>
          <w:p w:rsidR="007E46BD" w:rsidRPr="00AE70F9" w:rsidRDefault="007E46BD" w:rsidP="00AE70F9">
            <w:pPr>
              <w:tabs>
                <w:tab w:val="left" w:pos="567"/>
              </w:tabs>
              <w:spacing w:line="260" w:lineRule="exact"/>
              <w:rPr>
                <w:i/>
                <w:sz w:val="22"/>
                <w:szCs w:val="22"/>
              </w:rPr>
            </w:pPr>
            <w:r w:rsidRPr="00AE70F9">
              <w:rPr>
                <w:i/>
                <w:sz w:val="22"/>
                <w:szCs w:val="22"/>
              </w:rPr>
              <w:t>Eubacterium</w:t>
            </w:r>
          </w:p>
        </w:tc>
      </w:tr>
      <w:tr w:rsidR="007E46BD" w:rsidRPr="00AE70F9" w:rsidTr="00AE70F9">
        <w:tc>
          <w:tcPr>
            <w:tcW w:w="6840" w:type="dxa"/>
          </w:tcPr>
          <w:p w:rsidR="007E46BD" w:rsidRPr="00AE70F9" w:rsidRDefault="007E46BD" w:rsidP="00AE70F9">
            <w:pPr>
              <w:tabs>
                <w:tab w:val="left" w:pos="567"/>
              </w:tabs>
              <w:spacing w:line="260" w:lineRule="exact"/>
              <w:rPr>
                <w:b/>
                <w:sz w:val="22"/>
                <w:szCs w:val="22"/>
              </w:rPr>
            </w:pPr>
            <w:r w:rsidRPr="00AE70F9">
              <w:rPr>
                <w:b/>
                <w:sz w:val="22"/>
                <w:szCs w:val="22"/>
              </w:rPr>
              <w:t>Mikroorganizmai, kurių įgytas atsparumas gali būti svarbus</w:t>
            </w:r>
          </w:p>
        </w:tc>
      </w:tr>
      <w:tr w:rsidR="007E46BD" w:rsidRPr="00AE70F9" w:rsidTr="00AE70F9">
        <w:tc>
          <w:tcPr>
            <w:tcW w:w="6840" w:type="dxa"/>
          </w:tcPr>
          <w:p w:rsidR="007E46BD" w:rsidRPr="00AE70F9" w:rsidRDefault="007E46BD" w:rsidP="00AE70F9">
            <w:pPr>
              <w:tabs>
                <w:tab w:val="left" w:pos="567"/>
              </w:tabs>
              <w:spacing w:line="260" w:lineRule="exact"/>
              <w:rPr>
                <w:sz w:val="22"/>
                <w:szCs w:val="22"/>
              </w:rPr>
            </w:pPr>
            <w:r w:rsidRPr="00AE70F9">
              <w:rPr>
                <w:sz w:val="22"/>
                <w:szCs w:val="22"/>
              </w:rPr>
              <w:t>Duomenų nėra</w:t>
            </w:r>
          </w:p>
        </w:tc>
      </w:tr>
      <w:tr w:rsidR="007E46BD" w:rsidRPr="00AE70F9" w:rsidTr="00AE70F9">
        <w:tc>
          <w:tcPr>
            <w:tcW w:w="6840" w:type="dxa"/>
          </w:tcPr>
          <w:p w:rsidR="007E46BD" w:rsidRPr="00AE70F9" w:rsidRDefault="007E46BD" w:rsidP="00AE70F9">
            <w:pPr>
              <w:tabs>
                <w:tab w:val="left" w:pos="567"/>
              </w:tabs>
              <w:spacing w:line="260" w:lineRule="exact"/>
              <w:rPr>
                <w:b/>
                <w:sz w:val="22"/>
                <w:szCs w:val="22"/>
              </w:rPr>
            </w:pPr>
            <w:r w:rsidRPr="00AE70F9">
              <w:rPr>
                <w:b/>
                <w:sz w:val="22"/>
                <w:szCs w:val="22"/>
              </w:rPr>
              <w:t>Paprastai atsparūs mikroorganizmai</w:t>
            </w:r>
          </w:p>
        </w:tc>
      </w:tr>
      <w:tr w:rsidR="007E46BD" w:rsidRPr="00AE70F9" w:rsidTr="00AE70F9">
        <w:tc>
          <w:tcPr>
            <w:tcW w:w="6840" w:type="dxa"/>
          </w:tcPr>
          <w:p w:rsidR="007E46BD" w:rsidRPr="00AE70F9" w:rsidRDefault="007E46BD" w:rsidP="00AE70F9">
            <w:pPr>
              <w:tabs>
                <w:tab w:val="left" w:pos="567"/>
              </w:tabs>
              <w:spacing w:line="260" w:lineRule="exact"/>
              <w:rPr>
                <w:sz w:val="22"/>
                <w:szCs w:val="22"/>
              </w:rPr>
            </w:pPr>
            <w:r w:rsidRPr="00AE70F9">
              <w:rPr>
                <w:sz w:val="22"/>
                <w:szCs w:val="22"/>
              </w:rPr>
              <w:t>Duomenų nėra</w:t>
            </w:r>
          </w:p>
        </w:tc>
      </w:tr>
    </w:tbl>
    <w:p w:rsidR="007E46BD" w:rsidRDefault="007E46BD">
      <w:pPr>
        <w:rPr>
          <w:sz w:val="22"/>
          <w:szCs w:val="22"/>
        </w:rPr>
      </w:pPr>
    </w:p>
    <w:p w:rsidR="007E46BD" w:rsidRDefault="007E46BD">
      <w:pPr>
        <w:rPr>
          <w:sz w:val="22"/>
          <w:szCs w:val="22"/>
        </w:rPr>
      </w:pPr>
      <w:r>
        <w:rPr>
          <w:sz w:val="22"/>
          <w:szCs w:val="22"/>
        </w:rPr>
        <w:t>Šios mikroorganizmų jautrumo ribos gali būti netaikytinos vietiškai vartojamam vaistui, kadangi vartojimo vietoje pasiekiama vaisto koncentracija ir vietinės fizinės bei cheminės sąlygos gali įtakoti bendrąjį preparato aktyvumą vartojimo vietoje.</w:t>
      </w:r>
    </w:p>
    <w:p w:rsidR="007E46BD" w:rsidRDefault="007E46BD">
      <w:pPr>
        <w:pStyle w:val="BTEMEASMCA"/>
      </w:pPr>
    </w:p>
    <w:p w:rsidR="007E46BD" w:rsidRDefault="007E46BD">
      <w:pPr>
        <w:pStyle w:val="PI-2EMEASMCA"/>
      </w:pPr>
      <w:bookmarkStart w:id="36" w:name="_Toc129243113"/>
      <w:bookmarkStart w:id="37" w:name="_Toc129243238"/>
      <w:r>
        <w:t>5.2</w:t>
      </w:r>
      <w:r>
        <w:tab/>
        <w:t>Farmakokinetinės savybės</w:t>
      </w:r>
      <w:bookmarkEnd w:id="36"/>
      <w:bookmarkEnd w:id="37"/>
    </w:p>
    <w:p w:rsidR="007E46BD" w:rsidRDefault="007E46BD">
      <w:pPr>
        <w:pStyle w:val="BTEMEASMCA"/>
      </w:pPr>
    </w:p>
    <w:p w:rsidR="007E46BD" w:rsidRDefault="007E46BD">
      <w:pPr>
        <w:tabs>
          <w:tab w:val="num" w:pos="360"/>
        </w:tabs>
        <w:rPr>
          <w:sz w:val="22"/>
          <w:szCs w:val="22"/>
        </w:rPr>
      </w:pPr>
      <w:r>
        <w:rPr>
          <w:sz w:val="22"/>
          <w:szCs w:val="22"/>
        </w:rPr>
        <w:t xml:space="preserve">Veikliųjų į makštį vartojamo preparato medžiagų farmakokinetikos tyrimų neatlikta. Ar tokiu būdu vartojamo chlorkvinaldolio patenka į kraujotaką, nežinoma, tačiau pastebėta, kad ant odos užtepto preparato į kraujotaką šiek tiek patenka, todėl manoma, kad per gleivinę į kraują jo gali prasiskverbti daugiau. </w:t>
      </w:r>
    </w:p>
    <w:p w:rsidR="007E46BD" w:rsidRDefault="007E46BD">
      <w:pPr>
        <w:tabs>
          <w:tab w:val="num" w:pos="360"/>
        </w:tabs>
        <w:rPr>
          <w:sz w:val="22"/>
          <w:szCs w:val="22"/>
        </w:rPr>
      </w:pPr>
      <w:r>
        <w:rPr>
          <w:sz w:val="22"/>
          <w:szCs w:val="22"/>
        </w:rPr>
        <w:t>Į makštį vartojamo metronidazolo farmakokinetikos tyrimų duomenys neišsamūs. Medicininės literatūros duomenimis, metronidazolo iš makšties gali būti rezorbuojama dvigubai mažiau nei iš virškinamojo trakto, išgėrus tą pačią dozę. Didžiausia jo koncentracija kraujo serume būna po 6-12 valandų. Taigi preparato vartojant įprastai, serume gali susidaryti nedidelė jo koncentracija, kuri yra kliniškai nereikšminga.</w:t>
      </w:r>
    </w:p>
    <w:p w:rsidR="007E46BD" w:rsidRDefault="007E46BD">
      <w:pPr>
        <w:pStyle w:val="BTEMEASMCA"/>
      </w:pPr>
    </w:p>
    <w:p w:rsidR="007E46BD" w:rsidRDefault="007E46BD">
      <w:pPr>
        <w:pStyle w:val="PI-2EMEASMCA"/>
      </w:pPr>
      <w:bookmarkStart w:id="38" w:name="_Toc129243114"/>
      <w:bookmarkStart w:id="39" w:name="_Toc129243239"/>
      <w:r>
        <w:lastRenderedPageBreak/>
        <w:t>5.3</w:t>
      </w:r>
      <w:r>
        <w:tab/>
        <w:t>Ikiklinikinių saugumo tyrimų duomenys</w:t>
      </w:r>
      <w:bookmarkEnd w:id="38"/>
      <w:bookmarkEnd w:id="39"/>
    </w:p>
    <w:p w:rsidR="007E46BD" w:rsidRDefault="007E46BD">
      <w:pPr>
        <w:pStyle w:val="BTEMEASMCA"/>
      </w:pPr>
    </w:p>
    <w:p w:rsidR="007E46BD" w:rsidRDefault="007E46BD">
      <w:pPr>
        <w:pStyle w:val="BTEMEASMCA"/>
      </w:pPr>
      <w:r>
        <w:t xml:space="preserve">Ilgalaikių tyrimų su žiurkėmis ir pelėmis, kurioms metronidazolo buvo sugirdoma, duomenimis, vaistas sukelia kancerogeninį poveikį. Tiriamiems gyvūnams dažniau atsirasdavo kepenų, plaučių, pieno liaukų navikų, taip pat piktybinių limfomų. Tačiau tyrimų su žiurkėnais metu tokio poveikio nepastebėta. Taip pat neįrodytas ir kancerogeninis metronidazolo poveikis žmogui. Tyrimų, kurių metu būtų tirtas kancerogeninis į makštį vartojamo metrodinazolio poveikis gyvūnams, neatlikta. </w:t>
      </w:r>
      <w:r>
        <w:rPr>
          <w:noProof w:val="0"/>
        </w:rPr>
        <w:t>Ikiklinikinių tyrimų metu poveikis pastebėtas tik kai ekspozicija buvo tokia, kuri laikoma pakankamai viršijančia maksimalią žmogui, todėl jo klinikinė reikšmė yra maža</w:t>
      </w:r>
      <w:r>
        <w:t>.</w:t>
      </w:r>
    </w:p>
    <w:p w:rsidR="007E46BD" w:rsidRDefault="007E46BD">
      <w:pPr>
        <w:pStyle w:val="BTEMEASMCA"/>
      </w:pPr>
    </w:p>
    <w:p w:rsidR="007E46BD" w:rsidRDefault="007E46BD">
      <w:pPr>
        <w:pStyle w:val="BTEMEASMCA"/>
      </w:pPr>
    </w:p>
    <w:p w:rsidR="007E46BD" w:rsidRDefault="007E46BD">
      <w:pPr>
        <w:pStyle w:val="PI-1EMEASMCA"/>
      </w:pPr>
      <w:bookmarkStart w:id="40" w:name="_Toc129243115"/>
      <w:bookmarkStart w:id="41" w:name="_Toc129243240"/>
      <w:r>
        <w:t>6.</w:t>
      </w:r>
      <w:r>
        <w:tab/>
        <w:t>FARMACINĖ INFORMACIJA</w:t>
      </w:r>
      <w:bookmarkEnd w:id="40"/>
      <w:bookmarkEnd w:id="41"/>
    </w:p>
    <w:p w:rsidR="007E46BD" w:rsidRDefault="007E46BD">
      <w:pPr>
        <w:pStyle w:val="BTEMEASMCA"/>
      </w:pPr>
    </w:p>
    <w:p w:rsidR="007E46BD" w:rsidRDefault="007E46BD">
      <w:pPr>
        <w:pStyle w:val="PI-2EMEASMCA"/>
      </w:pPr>
      <w:bookmarkStart w:id="42" w:name="_Toc129243116"/>
      <w:bookmarkStart w:id="43" w:name="_Toc129243241"/>
      <w:r>
        <w:t>6.1</w:t>
      </w:r>
      <w:r>
        <w:tab/>
        <w:t>Pagalbinių medžiagų sąrašas</w:t>
      </w:r>
      <w:bookmarkEnd w:id="42"/>
      <w:bookmarkEnd w:id="43"/>
    </w:p>
    <w:p w:rsidR="007E46BD" w:rsidRDefault="007E46BD">
      <w:pPr>
        <w:pStyle w:val="BTEMEASMCA"/>
      </w:pPr>
    </w:p>
    <w:p w:rsidR="007E46BD" w:rsidRDefault="007E46BD">
      <w:pPr>
        <w:pStyle w:val="BTEMEASMCA"/>
      </w:pPr>
      <w:r>
        <w:t>Citrinų rūgštis, bevandenė</w:t>
      </w:r>
    </w:p>
    <w:p w:rsidR="007E46BD" w:rsidRDefault="007E46BD">
      <w:pPr>
        <w:pStyle w:val="BTEMEASMCA"/>
      </w:pPr>
      <w:r>
        <w:t>Laktozės monohidratas</w:t>
      </w:r>
    </w:p>
    <w:p w:rsidR="007E46BD" w:rsidRDefault="007E46BD">
      <w:pPr>
        <w:pStyle w:val="BTEMEASMCA"/>
      </w:pPr>
      <w:r>
        <w:t>Ryžių krakmolas</w:t>
      </w:r>
    </w:p>
    <w:p w:rsidR="007E46BD" w:rsidRDefault="007E46BD">
      <w:pPr>
        <w:pStyle w:val="BTEMEASMCA"/>
      </w:pPr>
      <w:r>
        <w:t>Karboksimetilkrakmolo</w:t>
      </w:r>
      <w:r w:rsidR="00680F5B">
        <w:t xml:space="preserve"> C </w:t>
      </w:r>
      <w:r>
        <w:t>natrio druska</w:t>
      </w:r>
    </w:p>
    <w:p w:rsidR="007E46BD" w:rsidRDefault="007E46BD">
      <w:pPr>
        <w:pStyle w:val="BTEMEASMCA"/>
      </w:pPr>
      <w:r>
        <w:t>Makrogolis 6000</w:t>
      </w:r>
    </w:p>
    <w:p w:rsidR="007E46BD" w:rsidRDefault="007E46BD">
      <w:pPr>
        <w:pStyle w:val="BTEMEASMCA"/>
      </w:pPr>
      <w:r>
        <w:t>Magnio stearatas</w:t>
      </w:r>
    </w:p>
    <w:p w:rsidR="007E46BD" w:rsidRDefault="007E46BD">
      <w:pPr>
        <w:pStyle w:val="BTEMEASMCA"/>
      </w:pPr>
    </w:p>
    <w:p w:rsidR="007E46BD" w:rsidRDefault="007E46BD">
      <w:pPr>
        <w:pStyle w:val="PI-2EMEASMCA"/>
      </w:pPr>
      <w:bookmarkStart w:id="44" w:name="_Toc129243117"/>
      <w:bookmarkStart w:id="45" w:name="_Toc129243242"/>
      <w:r>
        <w:t>6.2</w:t>
      </w:r>
      <w:r>
        <w:tab/>
        <w:t>Nesuderinamumas</w:t>
      </w:r>
      <w:bookmarkEnd w:id="44"/>
      <w:bookmarkEnd w:id="45"/>
    </w:p>
    <w:p w:rsidR="007E46BD" w:rsidRDefault="007E46BD">
      <w:pPr>
        <w:pStyle w:val="BTEMEASMCA"/>
      </w:pPr>
    </w:p>
    <w:p w:rsidR="007E46BD" w:rsidRDefault="007E46BD">
      <w:pPr>
        <w:pStyle w:val="BTEMEASMCA"/>
      </w:pPr>
      <w:r>
        <w:t>Duomenys nebūtini.</w:t>
      </w:r>
    </w:p>
    <w:p w:rsidR="007E46BD" w:rsidRDefault="007E46BD">
      <w:pPr>
        <w:pStyle w:val="BTEMEASMCA"/>
      </w:pPr>
    </w:p>
    <w:p w:rsidR="007E46BD" w:rsidRDefault="007E46BD">
      <w:pPr>
        <w:pStyle w:val="PI-2EMEASMCA"/>
      </w:pPr>
      <w:bookmarkStart w:id="46" w:name="_Toc129243118"/>
      <w:bookmarkStart w:id="47" w:name="_Toc129243243"/>
      <w:r>
        <w:t>6.3</w:t>
      </w:r>
      <w:r>
        <w:tab/>
        <w:t>Tinkamumo laikas</w:t>
      </w:r>
      <w:bookmarkEnd w:id="46"/>
      <w:bookmarkEnd w:id="47"/>
    </w:p>
    <w:p w:rsidR="007E46BD" w:rsidRDefault="007E46BD">
      <w:pPr>
        <w:pStyle w:val="BTEMEASMCA"/>
      </w:pPr>
    </w:p>
    <w:p w:rsidR="007E46BD" w:rsidRDefault="007E46BD">
      <w:pPr>
        <w:pStyle w:val="BTEMEASMCA"/>
      </w:pPr>
      <w:r>
        <w:t>3 metai</w:t>
      </w:r>
    </w:p>
    <w:p w:rsidR="007E46BD" w:rsidRDefault="007E46BD">
      <w:pPr>
        <w:pStyle w:val="BTEMEASMCA"/>
      </w:pPr>
    </w:p>
    <w:p w:rsidR="007E46BD" w:rsidRDefault="007E46BD">
      <w:pPr>
        <w:pStyle w:val="PI-2EMEASMCA"/>
      </w:pPr>
      <w:bookmarkStart w:id="48" w:name="_Toc129243119"/>
      <w:bookmarkStart w:id="49" w:name="_Toc129243244"/>
      <w:r>
        <w:t>6.4</w:t>
      </w:r>
      <w:r>
        <w:tab/>
        <w:t>Specialios laikymo sąlygos</w:t>
      </w:r>
      <w:bookmarkEnd w:id="48"/>
      <w:bookmarkEnd w:id="49"/>
    </w:p>
    <w:p w:rsidR="007E46BD" w:rsidRDefault="007E46BD">
      <w:pPr>
        <w:pStyle w:val="BTEMEASMCA"/>
      </w:pPr>
    </w:p>
    <w:p w:rsidR="007E46BD" w:rsidRDefault="007E46BD">
      <w:pPr>
        <w:tabs>
          <w:tab w:val="num" w:pos="360"/>
        </w:tabs>
        <w:rPr>
          <w:noProof/>
          <w:sz w:val="22"/>
          <w:szCs w:val="22"/>
        </w:rPr>
      </w:pPr>
      <w:r>
        <w:rPr>
          <w:noProof/>
          <w:sz w:val="22"/>
          <w:szCs w:val="22"/>
        </w:rPr>
        <w:t xml:space="preserve">Laikyti ne aukštesnėje kaip 25 </w:t>
      </w:r>
      <w:r>
        <w:rPr>
          <w:noProof/>
          <w:sz w:val="22"/>
          <w:szCs w:val="22"/>
        </w:rPr>
        <w:sym w:font="Symbol" w:char="F0B0"/>
      </w:r>
      <w:r>
        <w:rPr>
          <w:noProof/>
          <w:sz w:val="22"/>
          <w:szCs w:val="22"/>
        </w:rPr>
        <w:t>C temperatūroje.</w:t>
      </w:r>
    </w:p>
    <w:p w:rsidR="00680F5B" w:rsidRPr="005C7680" w:rsidRDefault="00680F5B" w:rsidP="00680F5B">
      <w:pPr>
        <w:tabs>
          <w:tab w:val="num" w:pos="360"/>
        </w:tabs>
        <w:rPr>
          <w:sz w:val="22"/>
          <w:szCs w:val="22"/>
        </w:rPr>
      </w:pPr>
      <w:r w:rsidRPr="005C7680">
        <w:rPr>
          <w:sz w:val="22"/>
          <w:szCs w:val="22"/>
        </w:rPr>
        <w:t>L</w:t>
      </w:r>
      <w:r w:rsidRPr="005C7680">
        <w:rPr>
          <w:noProof/>
          <w:sz w:val="22"/>
          <w:szCs w:val="22"/>
        </w:rPr>
        <w:t xml:space="preserve">aikyti </w:t>
      </w:r>
      <w:r>
        <w:rPr>
          <w:noProof/>
          <w:sz w:val="22"/>
          <w:szCs w:val="22"/>
        </w:rPr>
        <w:t>gamintojo pakuotėje</w:t>
      </w:r>
      <w:r w:rsidRPr="005C7680">
        <w:rPr>
          <w:sz w:val="22"/>
          <w:szCs w:val="22"/>
        </w:rPr>
        <w:t xml:space="preserve">, </w:t>
      </w:r>
      <w:r w:rsidRPr="005C7680">
        <w:rPr>
          <w:noProof/>
          <w:sz w:val="22"/>
          <w:szCs w:val="22"/>
        </w:rPr>
        <w:t>kad preparatas būtų apsaugotas nuo drėgmės.</w:t>
      </w:r>
    </w:p>
    <w:p w:rsidR="007E46BD" w:rsidRDefault="007E46BD">
      <w:pPr>
        <w:pStyle w:val="BTEMEASMCA"/>
        <w:rPr>
          <w:noProof w:val="0"/>
        </w:rPr>
      </w:pPr>
    </w:p>
    <w:p w:rsidR="007E46BD" w:rsidRDefault="007E46BD">
      <w:pPr>
        <w:pStyle w:val="PI-2EMEASMCA"/>
      </w:pPr>
      <w:bookmarkStart w:id="50" w:name="_Toc129243120"/>
      <w:bookmarkStart w:id="51" w:name="_Toc129243245"/>
      <w:r>
        <w:t>6.5</w:t>
      </w:r>
      <w:r>
        <w:tab/>
        <w:t>Pakuotė ir jos turinys</w:t>
      </w:r>
      <w:bookmarkEnd w:id="50"/>
      <w:bookmarkEnd w:id="51"/>
    </w:p>
    <w:p w:rsidR="007E46BD" w:rsidRDefault="007E46BD">
      <w:pPr>
        <w:pStyle w:val="BTEMEASMCA"/>
      </w:pPr>
    </w:p>
    <w:p w:rsidR="007E46BD" w:rsidRDefault="007E46BD">
      <w:pPr>
        <w:pStyle w:val="BTEMEASMCA"/>
      </w:pPr>
      <w:r>
        <w:t>Lizdinė plokštelė, pagaminta iš Al//PVC/Al/OPA folijos. Kartono dėžutėje yra 2 lizdinės plokštelės po 5 makšties tabletes ir pakuotės lapelis.</w:t>
      </w:r>
    </w:p>
    <w:p w:rsidR="007E46BD" w:rsidRDefault="007E46BD">
      <w:pPr>
        <w:pStyle w:val="BTEMEASMCA"/>
      </w:pPr>
    </w:p>
    <w:p w:rsidR="007E46BD" w:rsidRDefault="007E46BD">
      <w:pPr>
        <w:pStyle w:val="PI-2EMEASMCA"/>
      </w:pPr>
      <w:bookmarkStart w:id="52" w:name="_Toc129243121"/>
      <w:bookmarkStart w:id="53" w:name="_Toc129243246"/>
      <w:r>
        <w:t>6.6</w:t>
      </w:r>
      <w:r>
        <w:tab/>
        <w:t xml:space="preserve">Specialūs reikalavimai atliekoms tvarkyti </w:t>
      </w:r>
      <w:bookmarkEnd w:id="52"/>
      <w:bookmarkEnd w:id="53"/>
    </w:p>
    <w:p w:rsidR="007E46BD" w:rsidRDefault="007E46BD">
      <w:pPr>
        <w:pStyle w:val="BTEMEASMCA"/>
      </w:pPr>
    </w:p>
    <w:p w:rsidR="007E46BD" w:rsidRDefault="007E46BD">
      <w:pPr>
        <w:pStyle w:val="BTEMEASMCA"/>
      </w:pPr>
      <w:r>
        <w:t>Specialių reikalavimų nėra.</w:t>
      </w:r>
    </w:p>
    <w:p w:rsidR="007E46BD" w:rsidRDefault="007E46BD">
      <w:pPr>
        <w:pStyle w:val="BTEMEASMCA"/>
      </w:pPr>
    </w:p>
    <w:p w:rsidR="007E46BD" w:rsidRDefault="007E46BD">
      <w:pPr>
        <w:pStyle w:val="BTEMEASMCA"/>
      </w:pPr>
    </w:p>
    <w:p w:rsidR="007E46BD" w:rsidRDefault="007E46BD">
      <w:pPr>
        <w:pStyle w:val="PI-1EMEASMCA"/>
      </w:pPr>
      <w:bookmarkStart w:id="54" w:name="_Toc129243122"/>
      <w:bookmarkStart w:id="55" w:name="_Toc129243247"/>
      <w:r>
        <w:t>7.</w:t>
      </w:r>
      <w:r>
        <w:tab/>
        <w:t>RINKODAROS TEISĖS TURĖTOJAS</w:t>
      </w:r>
      <w:bookmarkEnd w:id="54"/>
      <w:bookmarkEnd w:id="55"/>
    </w:p>
    <w:p w:rsidR="007E46BD" w:rsidRDefault="007E46BD">
      <w:pPr>
        <w:pStyle w:val="BTEMEASMCA"/>
      </w:pPr>
    </w:p>
    <w:p w:rsidR="00D4576F" w:rsidRDefault="00D4576F" w:rsidP="00D4576F">
      <w:pPr>
        <w:rPr>
          <w:sz w:val="22"/>
          <w:szCs w:val="22"/>
        </w:rPr>
      </w:pPr>
      <w:r>
        <w:rPr>
          <w:sz w:val="22"/>
          <w:szCs w:val="22"/>
        </w:rPr>
        <w:t>SIA Meda Pharma</w:t>
      </w:r>
    </w:p>
    <w:p w:rsidR="00D4576F" w:rsidRDefault="00D4576F" w:rsidP="00D4576F">
      <w:pPr>
        <w:rPr>
          <w:sz w:val="22"/>
          <w:szCs w:val="22"/>
        </w:rPr>
      </w:pPr>
      <w:r>
        <w:rPr>
          <w:sz w:val="22"/>
          <w:szCs w:val="22"/>
        </w:rPr>
        <w:t>Vienibas gatve 109, Rīga LV-1058</w:t>
      </w:r>
    </w:p>
    <w:p w:rsidR="00D4576F" w:rsidRDefault="00D4576F" w:rsidP="00D4576F">
      <w:pPr>
        <w:rPr>
          <w:sz w:val="22"/>
          <w:szCs w:val="22"/>
        </w:rPr>
      </w:pPr>
      <w:r>
        <w:rPr>
          <w:sz w:val="22"/>
          <w:szCs w:val="22"/>
        </w:rPr>
        <w:t xml:space="preserve">Latvija </w:t>
      </w:r>
    </w:p>
    <w:p w:rsidR="007E46BD" w:rsidRDefault="007E46BD">
      <w:pPr>
        <w:pStyle w:val="BTEMEASMCA"/>
      </w:pPr>
    </w:p>
    <w:p w:rsidR="007E46BD" w:rsidRDefault="007E46BD">
      <w:pPr>
        <w:pStyle w:val="BTEMEASMCA"/>
      </w:pPr>
    </w:p>
    <w:p w:rsidR="007E46BD" w:rsidRDefault="007E46BD">
      <w:pPr>
        <w:pStyle w:val="PI-1EMEASMCA"/>
      </w:pPr>
      <w:bookmarkStart w:id="56" w:name="_Toc129243123"/>
      <w:bookmarkStart w:id="57" w:name="_Toc129243248"/>
      <w:r>
        <w:t>8.</w:t>
      </w:r>
      <w:r>
        <w:tab/>
        <w:t>RINKODAROS TEISĖS NUMERIS</w:t>
      </w:r>
      <w:bookmarkEnd w:id="56"/>
      <w:bookmarkEnd w:id="57"/>
      <w:r>
        <w:t xml:space="preserve"> (-IAI)</w:t>
      </w:r>
    </w:p>
    <w:p w:rsidR="007E46BD" w:rsidRDefault="007E46BD">
      <w:pPr>
        <w:pStyle w:val="BTEMEASMCA"/>
      </w:pPr>
    </w:p>
    <w:p w:rsidR="00A054C6" w:rsidRDefault="009F401B">
      <w:pPr>
        <w:pStyle w:val="BTEMEASMCA"/>
      </w:pPr>
      <w:r>
        <w:t>LT/1/94/1925/001</w:t>
      </w:r>
    </w:p>
    <w:p w:rsidR="00A054C6" w:rsidRDefault="00A054C6">
      <w:pPr>
        <w:pStyle w:val="BTEMEASMCA"/>
      </w:pPr>
    </w:p>
    <w:p w:rsidR="007E46BD" w:rsidRDefault="007E46BD">
      <w:pPr>
        <w:pStyle w:val="PI-1EMEASMCA"/>
      </w:pPr>
      <w:bookmarkStart w:id="58" w:name="_Toc129243124"/>
      <w:bookmarkStart w:id="59" w:name="_Toc129243249"/>
      <w:r>
        <w:lastRenderedPageBreak/>
        <w:t>9.</w:t>
      </w:r>
      <w:r>
        <w:tab/>
        <w:t>RINKODAROS TEISĖS SUTEIKIMO / ATNAUJINIMO DATA</w:t>
      </w:r>
      <w:bookmarkEnd w:id="58"/>
      <w:bookmarkEnd w:id="59"/>
    </w:p>
    <w:p w:rsidR="007E46BD" w:rsidRDefault="007E46BD">
      <w:pPr>
        <w:pStyle w:val="BTEMEASMCA"/>
      </w:pPr>
    </w:p>
    <w:p w:rsidR="007E46BD" w:rsidRDefault="009F401B">
      <w:pPr>
        <w:pStyle w:val="BTEMEASMCA"/>
      </w:pPr>
      <w:r>
        <w:t>2010-03-19</w:t>
      </w:r>
    </w:p>
    <w:p w:rsidR="007E46BD" w:rsidRDefault="007E46BD">
      <w:pPr>
        <w:pStyle w:val="BTEMEASMCA"/>
      </w:pPr>
    </w:p>
    <w:p w:rsidR="007E46BD" w:rsidRDefault="007E46BD">
      <w:pPr>
        <w:pStyle w:val="BTEMEASMCA"/>
      </w:pPr>
    </w:p>
    <w:p w:rsidR="007E46BD" w:rsidRDefault="007E46BD">
      <w:pPr>
        <w:pStyle w:val="PI-1EMEASMCA"/>
      </w:pPr>
      <w:bookmarkStart w:id="60" w:name="_Toc129243125"/>
      <w:bookmarkStart w:id="61" w:name="_Toc129243250"/>
      <w:r>
        <w:t>10.</w:t>
      </w:r>
      <w:r>
        <w:tab/>
        <w:t>TEKSTO PERŽIŪROS DATA</w:t>
      </w:r>
      <w:bookmarkEnd w:id="60"/>
      <w:bookmarkEnd w:id="61"/>
    </w:p>
    <w:p w:rsidR="007E46BD" w:rsidRDefault="007E46BD">
      <w:pPr>
        <w:pStyle w:val="BTEMEASMCA"/>
      </w:pPr>
    </w:p>
    <w:p w:rsidR="007E46BD" w:rsidRDefault="00D4576F">
      <w:pPr>
        <w:pStyle w:val="BTEMEASMCA"/>
      </w:pPr>
      <w:r>
        <w:t>2012-05-23</w:t>
      </w:r>
    </w:p>
    <w:p w:rsidR="009F401B" w:rsidRDefault="009F401B">
      <w:pPr>
        <w:pStyle w:val="BTEMEASMCA"/>
      </w:pPr>
    </w:p>
    <w:p w:rsidR="007E46BD" w:rsidRDefault="007E46BD">
      <w:pPr>
        <w:pStyle w:val="BTEMEASMCA"/>
      </w:pPr>
    </w:p>
    <w:p w:rsidR="007E46BD" w:rsidRDefault="007E46BD">
      <w:pPr>
        <w:pStyle w:val="BTEMEASMCA"/>
      </w:pPr>
    </w:p>
    <w:p w:rsidR="007E46BD" w:rsidRDefault="007E46BD">
      <w:pPr>
        <w:pStyle w:val="BTEMEASMCA"/>
      </w:pPr>
      <w:r>
        <w:t xml:space="preserve">Naujausia vaistinio preparato charakteristikų santraukos redakcija pateikiama Valstybinės vaistų kontrolės tarnybos prie Lietuvos Respublikos sveikatos apsaugos ministerijos (VVKT) interneto svetainėje </w:t>
      </w:r>
      <w:hyperlink r:id="rId8" w:history="1">
        <w:r>
          <w:rPr>
            <w:rStyle w:val="Hipersaitas"/>
          </w:rPr>
          <w:t>http://www.vvkt.lt/</w:t>
        </w:r>
      </w:hyperlink>
      <w:r>
        <w:br w:type="page"/>
      </w: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TTEMEASMCA"/>
        <w:rPr>
          <w:lang w:val="lt-LT"/>
        </w:rPr>
      </w:pPr>
      <w:bookmarkStart w:id="62" w:name="_Toc129243128"/>
      <w:bookmarkStart w:id="63" w:name="_Toc129243253"/>
      <w:r>
        <w:rPr>
          <w:lang w:val="lt-LT"/>
        </w:rPr>
        <w:t>II PRIEDAS</w:t>
      </w:r>
      <w:bookmarkEnd w:id="62"/>
      <w:bookmarkEnd w:id="63"/>
    </w:p>
    <w:p w:rsidR="007E46BD" w:rsidRDefault="007E46BD">
      <w:pPr>
        <w:pStyle w:val="TTEMEASMCA"/>
        <w:rPr>
          <w:lang w:val="lt-LT"/>
        </w:rPr>
      </w:pPr>
    </w:p>
    <w:p w:rsidR="007E46BD" w:rsidRDefault="007E46BD">
      <w:pPr>
        <w:pStyle w:val="TTEMEASMCA"/>
        <w:rPr>
          <w:lang w:val="lt-LT"/>
        </w:rPr>
      </w:pPr>
      <w:r>
        <w:rPr>
          <w:lang w:val="lt-LT"/>
        </w:rPr>
        <w:t>RINKODAROS SĄLYGOS</w:t>
      </w:r>
    </w:p>
    <w:p w:rsidR="007E46BD" w:rsidRDefault="007E46BD">
      <w:pPr>
        <w:pStyle w:val="BTEMEASMCA"/>
      </w:pPr>
    </w:p>
    <w:p w:rsidR="007E46BD" w:rsidRDefault="007E46BD">
      <w:pPr>
        <w:pStyle w:val="BTAnIIEMEASMCA"/>
        <w:rPr>
          <w:rFonts w:cs="Times New Roman"/>
          <w:highlight w:val="yellow"/>
          <w:lang w:val="lt-LT"/>
        </w:rPr>
      </w:pPr>
      <w:r>
        <w:rPr>
          <w:rFonts w:cs="Times New Roman"/>
          <w:lang w:val="lt-LT"/>
        </w:rPr>
        <w:t>A.</w:t>
      </w:r>
      <w:r>
        <w:rPr>
          <w:rFonts w:cs="Times New Roman"/>
          <w:lang w:val="lt-LT"/>
        </w:rPr>
        <w:tab/>
        <w:t>GAMYBOS LICENCIJOS TURĖTOJAS, ATSAKINGAS UŽ SERIJŲ IŠLEIDIMĄ</w:t>
      </w:r>
    </w:p>
    <w:p w:rsidR="007E46BD" w:rsidRDefault="007E46BD">
      <w:pPr>
        <w:pStyle w:val="BTEMEASMCA"/>
        <w:rPr>
          <w:highlight w:val="yellow"/>
        </w:rPr>
      </w:pPr>
    </w:p>
    <w:p w:rsidR="007E46BD" w:rsidRDefault="007E46BD">
      <w:pPr>
        <w:pStyle w:val="BTAnIIEMEASMCA"/>
        <w:rPr>
          <w:rFonts w:cs="Times New Roman"/>
          <w:lang w:val="lt-LT"/>
        </w:rPr>
      </w:pPr>
      <w:r>
        <w:rPr>
          <w:rFonts w:cs="Times New Roman"/>
          <w:lang w:val="lt-LT"/>
        </w:rPr>
        <w:t>B.</w:t>
      </w:r>
      <w:r>
        <w:rPr>
          <w:rFonts w:cs="Times New Roman"/>
          <w:lang w:val="lt-LT"/>
        </w:rPr>
        <w:tab/>
        <w:t>RINKODAROS TEISĖS SĄLYGOS</w:t>
      </w:r>
    </w:p>
    <w:p w:rsidR="007E46BD" w:rsidRDefault="007E46BD">
      <w:pPr>
        <w:pStyle w:val="BTEMEASMCA"/>
        <w:rPr>
          <w:highlight w:val="yellow"/>
        </w:rPr>
      </w:pPr>
    </w:p>
    <w:p w:rsidR="007E46BD" w:rsidRDefault="007E46BD">
      <w:pPr>
        <w:pStyle w:val="PI-1EMEASMCA"/>
      </w:pPr>
      <w:r>
        <w:br w:type="page"/>
      </w:r>
      <w:r>
        <w:lastRenderedPageBreak/>
        <w:t>A.</w:t>
      </w:r>
      <w:r>
        <w:tab/>
        <w:t>GAMYBOS LICENCIJOS TURĖTOJAS, ATSAKINGAS UŽ SERIJŲ IŠLEIDIMĄ</w:t>
      </w:r>
    </w:p>
    <w:p w:rsidR="007E46BD" w:rsidRDefault="007E46BD">
      <w:pPr>
        <w:pStyle w:val="BTEMEASMCA"/>
        <w:rPr>
          <w:highlight w:val="yellow"/>
        </w:rPr>
      </w:pPr>
    </w:p>
    <w:p w:rsidR="007E46BD" w:rsidRDefault="007E46BD">
      <w:pPr>
        <w:pStyle w:val="BTuEMEASMCA"/>
      </w:pPr>
      <w:r>
        <w:t>Gamintojo, atsakingo už serijų išleidimą, pavadinimas ir adresas</w:t>
      </w:r>
    </w:p>
    <w:p w:rsidR="007E46BD" w:rsidRDefault="007E46BD">
      <w:pPr>
        <w:pStyle w:val="BTEMEASMCA"/>
      </w:pPr>
    </w:p>
    <w:p w:rsidR="007E46BD" w:rsidRDefault="007E46BD">
      <w:pPr>
        <w:pStyle w:val="BTEMEASMCA"/>
      </w:pPr>
      <w:r>
        <w:t>ICN Polfa Rzeszów S.A.</w:t>
      </w:r>
    </w:p>
    <w:p w:rsidR="007E46BD" w:rsidRDefault="007E46BD">
      <w:pPr>
        <w:pStyle w:val="BTEMEASMCA"/>
      </w:pPr>
      <w:r>
        <w:t xml:space="preserve">ul. Przemysłowa 2 </w:t>
      </w:r>
    </w:p>
    <w:p w:rsidR="007E46BD" w:rsidRDefault="007E46BD">
      <w:pPr>
        <w:pStyle w:val="BTEMEASMCA"/>
      </w:pPr>
      <w:r>
        <w:t>35-959 Rzeszów</w:t>
      </w:r>
    </w:p>
    <w:p w:rsidR="007E46BD" w:rsidRDefault="007E46BD">
      <w:pPr>
        <w:pStyle w:val="BTEMEASMCA"/>
      </w:pPr>
      <w:r>
        <w:t>Lenkija</w:t>
      </w:r>
    </w:p>
    <w:p w:rsidR="007E46BD" w:rsidRDefault="007E46BD">
      <w:pPr>
        <w:pStyle w:val="BTEMEASMCA"/>
      </w:pPr>
    </w:p>
    <w:p w:rsidR="007E46BD" w:rsidRDefault="007E46BD">
      <w:pPr>
        <w:pStyle w:val="BTEMEASMCA"/>
        <w:rPr>
          <w:highlight w:val="yellow"/>
        </w:rPr>
      </w:pPr>
    </w:p>
    <w:p w:rsidR="007E46BD" w:rsidRDefault="007E46BD">
      <w:pPr>
        <w:pStyle w:val="PI-1EMEASMCA"/>
      </w:pPr>
      <w:bookmarkStart w:id="64" w:name="_Toc129243129"/>
      <w:bookmarkStart w:id="65" w:name="_Toc129243254"/>
      <w:r>
        <w:t>B.</w:t>
      </w:r>
      <w:r>
        <w:tab/>
        <w:t>RINKODAROS TEISĖS SĄLYGOS</w:t>
      </w:r>
      <w:bookmarkEnd w:id="64"/>
      <w:bookmarkEnd w:id="65"/>
    </w:p>
    <w:p w:rsidR="007E46BD" w:rsidRDefault="007E46BD">
      <w:pPr>
        <w:pStyle w:val="BTEMEASMCA"/>
      </w:pPr>
    </w:p>
    <w:p w:rsidR="007E46BD" w:rsidRDefault="007E46BD">
      <w:pPr>
        <w:pStyle w:val="PI-2EMEASMCA"/>
      </w:pPr>
      <w:bookmarkStart w:id="66" w:name="_Toc129243130"/>
      <w:bookmarkStart w:id="67" w:name="_Toc129243255"/>
      <w:r>
        <w:t>•</w:t>
      </w:r>
      <w:r>
        <w:tab/>
        <w:t>TIEKIMO IR VARTOJIMO SĄLYGOS AR APRIBOJIMAI, TAIKOMI RINKODAROS TEISĖS TURĖTOJUI</w:t>
      </w:r>
      <w:bookmarkEnd w:id="66"/>
      <w:bookmarkEnd w:id="67"/>
    </w:p>
    <w:p w:rsidR="007E46BD" w:rsidRDefault="007E46BD">
      <w:pPr>
        <w:pStyle w:val="BTEMEASMCA"/>
      </w:pPr>
    </w:p>
    <w:p w:rsidR="007E46BD" w:rsidRDefault="007E46BD">
      <w:pPr>
        <w:pStyle w:val="BTEMEASMCA"/>
      </w:pPr>
      <w:r>
        <w:t>Receptinis vaistinis preparatas.</w:t>
      </w:r>
    </w:p>
    <w:p w:rsidR="007E46BD" w:rsidRDefault="007E46BD">
      <w:pPr>
        <w:pStyle w:val="BTEMEASMCA"/>
        <w:rPr>
          <w:noProof w:val="0"/>
        </w:rPr>
      </w:pPr>
    </w:p>
    <w:p w:rsidR="007B7AF5" w:rsidRPr="00DF4173" w:rsidRDefault="007B7AF5" w:rsidP="007B7AF5">
      <w:pPr>
        <w:pStyle w:val="PI-2EMEASMCA"/>
      </w:pPr>
      <w:r w:rsidRPr="00DF4173">
        <w:t>•</w:t>
      </w:r>
      <w:r w:rsidRPr="00DF4173">
        <w:tab/>
        <w:t xml:space="preserve">SĄLYGOS </w:t>
      </w:r>
      <w:r>
        <w:t>A</w:t>
      </w:r>
      <w:r w:rsidRPr="00DF4173">
        <w:t>R APRIBOJIMAI, SKIRTI SAUGIAM IR VEIKSMINGAM VAISTINIO PREPARATO VARTOJIMUI UŽTIKRINTI</w:t>
      </w:r>
    </w:p>
    <w:p w:rsidR="007B7AF5" w:rsidRPr="00DF4173" w:rsidRDefault="007B7AF5" w:rsidP="007B7AF5">
      <w:pPr>
        <w:pStyle w:val="BTEMEASMCA"/>
        <w:rPr>
          <w:noProof w:val="0"/>
        </w:rPr>
      </w:pPr>
    </w:p>
    <w:p w:rsidR="007E46BD" w:rsidRDefault="007E46BD">
      <w:pPr>
        <w:pStyle w:val="BTEMEASMCA"/>
      </w:pPr>
    </w:p>
    <w:p w:rsidR="007E46BD" w:rsidRDefault="007E46BD">
      <w:pPr>
        <w:pStyle w:val="BTEMEASMCA"/>
      </w:pPr>
      <w:r>
        <w:br w:type="page"/>
      </w: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TTEMEASMCA"/>
        <w:rPr>
          <w:lang w:val="lt-LT"/>
        </w:rPr>
      </w:pPr>
      <w:bookmarkStart w:id="68" w:name="_Toc129243134"/>
      <w:bookmarkStart w:id="69" w:name="_Toc129243259"/>
      <w:r>
        <w:rPr>
          <w:lang w:val="lt-LT"/>
        </w:rPr>
        <w:t>III PRIEDAS</w:t>
      </w:r>
      <w:bookmarkEnd w:id="68"/>
      <w:bookmarkEnd w:id="69"/>
    </w:p>
    <w:p w:rsidR="007E46BD" w:rsidRDefault="007E46BD">
      <w:pPr>
        <w:pStyle w:val="BTEMEASMCA"/>
      </w:pPr>
    </w:p>
    <w:p w:rsidR="007E46BD" w:rsidRDefault="007E46BD">
      <w:pPr>
        <w:pStyle w:val="TTEMEASMCA"/>
        <w:rPr>
          <w:lang w:val="lt-LT"/>
        </w:rPr>
      </w:pPr>
      <w:bookmarkStart w:id="70" w:name="_Toc129243135"/>
      <w:bookmarkStart w:id="71" w:name="_Toc129243260"/>
      <w:r>
        <w:rPr>
          <w:lang w:val="lt-LT"/>
        </w:rPr>
        <w:t>ŽENKLINIMAS IR PAKUOTĖS LAPELIS</w:t>
      </w:r>
      <w:bookmarkEnd w:id="70"/>
      <w:bookmarkEnd w:id="71"/>
    </w:p>
    <w:p w:rsidR="007E46BD" w:rsidRDefault="007E46BD">
      <w:pPr>
        <w:pStyle w:val="BTEMEASMCA"/>
      </w:pPr>
      <w:r>
        <w:br w:type="page"/>
      </w: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TTEMEASMCA"/>
        <w:rPr>
          <w:lang w:val="lt-LT"/>
        </w:rPr>
      </w:pPr>
      <w:bookmarkStart w:id="72" w:name="_Toc129243136"/>
      <w:bookmarkStart w:id="73" w:name="_Toc129243261"/>
      <w:r>
        <w:rPr>
          <w:lang w:val="lt-LT"/>
        </w:rPr>
        <w:t>A. ŽENKLINIMAS</w:t>
      </w:r>
      <w:bookmarkEnd w:id="72"/>
      <w:bookmarkEnd w:id="73"/>
    </w:p>
    <w:p w:rsidR="007E46BD" w:rsidRDefault="007E46BD">
      <w:pPr>
        <w:pStyle w:val="BTEMEASMCA"/>
      </w:pPr>
      <w:r>
        <w:br w:type="page"/>
      </w:r>
    </w:p>
    <w:p w:rsidR="007E46BD" w:rsidRDefault="007E46BD">
      <w:pPr>
        <w:pStyle w:val="PI-1labEMEASMCA"/>
      </w:pPr>
      <w:r>
        <w:lastRenderedPageBreak/>
        <w:t>INFORMACIJA ANT IŠORINĖS PAKUOTĖS</w:t>
      </w:r>
    </w:p>
    <w:p w:rsidR="007E46BD" w:rsidRDefault="007E46BD">
      <w:pPr>
        <w:pStyle w:val="PI-1labEMEASMCA"/>
      </w:pPr>
    </w:p>
    <w:p w:rsidR="007E46BD" w:rsidRDefault="007E46BD">
      <w:pPr>
        <w:pStyle w:val="PI-1labEMEASMCA"/>
        <w:rPr>
          <w:bCs/>
        </w:rPr>
      </w:pPr>
      <w:r>
        <w:t>KARTONO DĖŽUTĖ</w:t>
      </w:r>
    </w:p>
    <w:p w:rsidR="007E46BD" w:rsidRDefault="007E46BD">
      <w:pPr>
        <w:pStyle w:val="BTEMEASMCA"/>
      </w:pPr>
    </w:p>
    <w:p w:rsidR="009F401B" w:rsidRDefault="009F401B">
      <w:pPr>
        <w:pStyle w:val="BTEMEASMCA"/>
      </w:pPr>
    </w:p>
    <w:p w:rsidR="007E46BD" w:rsidRDefault="007E46BD">
      <w:pPr>
        <w:pStyle w:val="PI-1labEMEASMCA"/>
      </w:pPr>
      <w:r>
        <w:t>1.</w:t>
      </w:r>
      <w:r>
        <w:tab/>
        <w:t>VAISTINIO PREPARATO PAVADINIMAS</w:t>
      </w:r>
    </w:p>
    <w:p w:rsidR="007E46BD" w:rsidRDefault="007E46BD">
      <w:pPr>
        <w:pStyle w:val="BTEMEASMCA"/>
      </w:pPr>
    </w:p>
    <w:p w:rsidR="007E46BD" w:rsidRDefault="007E46BD">
      <w:pPr>
        <w:pStyle w:val="BTEMEASMCA"/>
      </w:pPr>
      <w:r>
        <w:t>Gynalgin 100 mg/250 mg makšties tabletės</w:t>
      </w:r>
    </w:p>
    <w:p w:rsidR="007E46BD" w:rsidRDefault="007E46BD">
      <w:pPr>
        <w:pStyle w:val="BTEMEASMCA"/>
      </w:pPr>
      <w:r>
        <w:t>Chlorquinaldolum/ Metronidazolum</w:t>
      </w:r>
    </w:p>
    <w:p w:rsidR="007E46BD" w:rsidRDefault="007E46BD">
      <w:pPr>
        <w:pStyle w:val="BTEMEASMCA"/>
      </w:pPr>
    </w:p>
    <w:p w:rsidR="007E46BD" w:rsidRDefault="007E46BD">
      <w:pPr>
        <w:pStyle w:val="BTEMEASMCA"/>
      </w:pPr>
    </w:p>
    <w:p w:rsidR="007E46BD" w:rsidRDefault="007E46BD">
      <w:pPr>
        <w:pStyle w:val="PI-1labEMEASMCA"/>
      </w:pPr>
      <w:r>
        <w:t>2.</w:t>
      </w:r>
      <w:r>
        <w:tab/>
        <w:t>VEIKLIOJI MEDŽIAGA IR JOS KIEKIS</w:t>
      </w:r>
    </w:p>
    <w:p w:rsidR="007E46BD" w:rsidRDefault="007E46BD">
      <w:pPr>
        <w:pStyle w:val="BTEMEASMCA"/>
      </w:pPr>
    </w:p>
    <w:p w:rsidR="007E46BD" w:rsidRDefault="00680F5B">
      <w:pPr>
        <w:pStyle w:val="BTEMEASMCA"/>
      </w:pPr>
      <w:r>
        <w:rPr>
          <w:noProof w:val="0"/>
        </w:rPr>
        <w:t xml:space="preserve">Kiekvienoje </w:t>
      </w:r>
      <w:r w:rsidR="007E46BD">
        <w:rPr>
          <w:noProof w:val="0"/>
        </w:rPr>
        <w:t xml:space="preserve">tabletėje yra </w:t>
      </w:r>
      <w:r w:rsidR="007E46BD">
        <w:t>100 mg chlorkvinaldolio ir 250 mg metronidazolo.</w:t>
      </w:r>
    </w:p>
    <w:p w:rsidR="007E46BD" w:rsidRDefault="007E46BD">
      <w:pPr>
        <w:pStyle w:val="BTEMEASMCA"/>
      </w:pPr>
    </w:p>
    <w:p w:rsidR="007E46BD" w:rsidRDefault="007E46BD">
      <w:pPr>
        <w:pStyle w:val="BTEMEASMCA"/>
      </w:pPr>
    </w:p>
    <w:p w:rsidR="007E46BD" w:rsidRDefault="007E46BD">
      <w:pPr>
        <w:pStyle w:val="PI-1labEMEASMCA"/>
        <w:rPr>
          <w:highlight w:val="lightGray"/>
        </w:rPr>
      </w:pPr>
      <w:r>
        <w:t>3.</w:t>
      </w:r>
      <w:r>
        <w:tab/>
        <w:t>PAGALBINIŲ MEDŽIAGŲ SĄRAŠAS</w:t>
      </w:r>
    </w:p>
    <w:p w:rsidR="00680F5B" w:rsidRDefault="00680F5B" w:rsidP="00680F5B">
      <w:pPr>
        <w:pStyle w:val="BTEMEASMCA"/>
      </w:pPr>
    </w:p>
    <w:p w:rsidR="00A054C6" w:rsidRPr="005C7680" w:rsidRDefault="00A054C6" w:rsidP="00A054C6">
      <w:pPr>
        <w:pStyle w:val="BTEMEASMCA"/>
      </w:pPr>
      <w:r>
        <w:t>B</w:t>
      </w:r>
      <w:r w:rsidRPr="005C7680">
        <w:t xml:space="preserve">evandenė </w:t>
      </w:r>
      <w:r>
        <w:t>c</w:t>
      </w:r>
      <w:r w:rsidRPr="005C7680">
        <w:t xml:space="preserve">itrinų rūgštis, </w:t>
      </w:r>
      <w:r>
        <w:t>l</w:t>
      </w:r>
      <w:r w:rsidRPr="005C7680">
        <w:t>aktozė monohidratas</w:t>
      </w:r>
      <w:r>
        <w:t>, r</w:t>
      </w:r>
      <w:r w:rsidRPr="005C7680">
        <w:t>yžių krakmolas</w:t>
      </w:r>
      <w:r>
        <w:t>, k</w:t>
      </w:r>
      <w:r w:rsidRPr="005C7680">
        <w:t>arboksimetilkrakmolo C natrio druska</w:t>
      </w:r>
      <w:r>
        <w:t>, m</w:t>
      </w:r>
      <w:r w:rsidRPr="005C7680">
        <w:t>akrogolis 6000</w:t>
      </w:r>
      <w:r>
        <w:t>, m</w:t>
      </w:r>
      <w:r w:rsidRPr="005C7680">
        <w:t>agnio stearatas</w:t>
      </w:r>
    </w:p>
    <w:p w:rsidR="007E46BD" w:rsidRDefault="007E46BD">
      <w:pPr>
        <w:pStyle w:val="BTEMEASMCA"/>
      </w:pPr>
    </w:p>
    <w:p w:rsidR="007E46BD" w:rsidRDefault="007E46BD">
      <w:pPr>
        <w:pStyle w:val="BTEMEASMCA"/>
      </w:pPr>
    </w:p>
    <w:p w:rsidR="007E46BD" w:rsidRDefault="007E46BD">
      <w:pPr>
        <w:pStyle w:val="PI-1labEMEASMCA"/>
      </w:pPr>
      <w:r>
        <w:t>4.</w:t>
      </w:r>
      <w:r>
        <w:tab/>
        <w:t>FARMACINĖ FORMA IR KIEKIS PAKUOTĖJE</w:t>
      </w:r>
    </w:p>
    <w:p w:rsidR="007E46BD" w:rsidRDefault="007E46BD">
      <w:pPr>
        <w:pStyle w:val="BTEMEASMCA"/>
      </w:pPr>
    </w:p>
    <w:p w:rsidR="007E46BD" w:rsidRDefault="007E46BD">
      <w:pPr>
        <w:pStyle w:val="BTEMEASMCA"/>
      </w:pPr>
      <w:r>
        <w:t>10 makšties tablečių</w:t>
      </w:r>
    </w:p>
    <w:p w:rsidR="007E46BD" w:rsidRDefault="007E46BD">
      <w:pPr>
        <w:pStyle w:val="BTEMEASMCA"/>
      </w:pPr>
    </w:p>
    <w:p w:rsidR="007E46BD" w:rsidRDefault="007E46BD">
      <w:pPr>
        <w:pStyle w:val="BTEMEASMCA"/>
      </w:pPr>
    </w:p>
    <w:p w:rsidR="007E46BD" w:rsidRDefault="007E46BD">
      <w:pPr>
        <w:pStyle w:val="PI-1labEMEASMCA"/>
        <w:rPr>
          <w:highlight w:val="lightGray"/>
        </w:rPr>
      </w:pPr>
      <w:r>
        <w:t>5.</w:t>
      </w:r>
      <w:r>
        <w:tab/>
        <w:t>VARTOJIMO METODAS IR BŪDAS (-AI)</w:t>
      </w:r>
    </w:p>
    <w:p w:rsidR="007E46BD" w:rsidRDefault="007E46BD">
      <w:pPr>
        <w:pStyle w:val="BTEMEASMCA"/>
      </w:pPr>
    </w:p>
    <w:p w:rsidR="007E46BD" w:rsidRDefault="007E46BD">
      <w:pPr>
        <w:pStyle w:val="BTEMEASMCA"/>
      </w:pPr>
      <w:r>
        <w:t>Vartoti į makštį.</w:t>
      </w:r>
    </w:p>
    <w:p w:rsidR="007E46BD" w:rsidRDefault="007E46BD">
      <w:pPr>
        <w:pStyle w:val="BTEMEASMCA"/>
      </w:pPr>
      <w:r>
        <w:t>Prieš vartojimą perskaitykite pakuotės lapelį.</w:t>
      </w:r>
    </w:p>
    <w:p w:rsidR="007E46BD" w:rsidRDefault="007E46BD">
      <w:pPr>
        <w:pStyle w:val="BTEMEASMCA"/>
      </w:pPr>
    </w:p>
    <w:p w:rsidR="007E46BD" w:rsidRDefault="007E46BD">
      <w:pPr>
        <w:pStyle w:val="BTEMEASMCA"/>
      </w:pPr>
    </w:p>
    <w:p w:rsidR="007E46BD" w:rsidRDefault="007E46BD">
      <w:pPr>
        <w:pStyle w:val="PI-1labEMEASMCA"/>
      </w:pPr>
      <w:r>
        <w:t>6.</w:t>
      </w:r>
      <w:r>
        <w:tab/>
        <w:t>SPECIALUS ĮSPĖJIMAS, KAD VAISTINĮ PREPARATĄ BŪTINA LAIKYTI VAIKAMS NEPASIEKIAMOJE IR NEPASTEBIMOJE VIETOJE</w:t>
      </w:r>
    </w:p>
    <w:p w:rsidR="007E46BD" w:rsidRDefault="007E46BD">
      <w:pPr>
        <w:pStyle w:val="BTEMEASMCA"/>
      </w:pPr>
    </w:p>
    <w:p w:rsidR="007E46BD" w:rsidRDefault="007E46BD">
      <w:pPr>
        <w:pStyle w:val="BTEMEASMCA"/>
      </w:pPr>
      <w:r>
        <w:t>Laikyti vaikams nepasiekiamoje ir nepastebimoje vietoje.</w:t>
      </w:r>
    </w:p>
    <w:p w:rsidR="007E46BD" w:rsidRDefault="007E46BD">
      <w:pPr>
        <w:pStyle w:val="BTEMEASMCA"/>
      </w:pPr>
    </w:p>
    <w:p w:rsidR="007E46BD" w:rsidRDefault="007E46BD">
      <w:pPr>
        <w:pStyle w:val="BTEMEASMCA"/>
      </w:pPr>
    </w:p>
    <w:p w:rsidR="007E46BD" w:rsidRDefault="007E46BD">
      <w:pPr>
        <w:pStyle w:val="PI-1labEMEASMCA"/>
        <w:rPr>
          <w:highlight w:val="lightGray"/>
        </w:rPr>
      </w:pPr>
      <w:r>
        <w:t>7.</w:t>
      </w:r>
      <w:r>
        <w:tab/>
        <w:t>KITAS (-I) SPECIALUS (-ŪS) ĮSPĖJIMAS (-AI) (JEI REIKIA)</w:t>
      </w:r>
    </w:p>
    <w:p w:rsidR="007E46BD" w:rsidRDefault="007E46BD">
      <w:pPr>
        <w:pStyle w:val="BTEMEASMCA"/>
      </w:pPr>
    </w:p>
    <w:p w:rsidR="007E46BD" w:rsidRDefault="007E46BD">
      <w:pPr>
        <w:pStyle w:val="BTEMEASMCA"/>
      </w:pPr>
    </w:p>
    <w:p w:rsidR="007E46BD" w:rsidRDefault="007E46BD">
      <w:pPr>
        <w:pStyle w:val="PI-1labEMEASMCA"/>
        <w:rPr>
          <w:highlight w:val="lightGray"/>
        </w:rPr>
      </w:pPr>
      <w:r>
        <w:t>8.</w:t>
      </w:r>
      <w:r>
        <w:tab/>
        <w:t>TINKAMUMO LAIKAS</w:t>
      </w:r>
    </w:p>
    <w:p w:rsidR="007E46BD" w:rsidRDefault="007E46BD">
      <w:pPr>
        <w:pStyle w:val="BTEMEASMCA"/>
      </w:pPr>
    </w:p>
    <w:p w:rsidR="007E46BD" w:rsidRDefault="007E46BD">
      <w:pPr>
        <w:pStyle w:val="BTEMEASMCA"/>
      </w:pPr>
      <w:r>
        <w:t>Tinka iki {MMMM/mm} [metai, mėnuo]</w:t>
      </w:r>
    </w:p>
    <w:p w:rsidR="007E46BD" w:rsidRDefault="007E46BD">
      <w:pPr>
        <w:pStyle w:val="BTEMEASMCA"/>
      </w:pPr>
    </w:p>
    <w:p w:rsidR="007E46BD" w:rsidRDefault="007E46BD">
      <w:pPr>
        <w:pStyle w:val="BTEMEASMCA"/>
      </w:pPr>
    </w:p>
    <w:p w:rsidR="007E46BD" w:rsidRDefault="007E46BD">
      <w:pPr>
        <w:pStyle w:val="PI-1labEMEASMCA"/>
      </w:pPr>
      <w:r>
        <w:t>9.</w:t>
      </w:r>
      <w:r>
        <w:tab/>
        <w:t>SPECIALIOS LAIKYMO SĄLYGOS</w:t>
      </w:r>
    </w:p>
    <w:p w:rsidR="007E46BD" w:rsidRDefault="007E46BD">
      <w:pPr>
        <w:pStyle w:val="BTEMEASMCA"/>
      </w:pPr>
    </w:p>
    <w:p w:rsidR="007E46BD" w:rsidRDefault="007E46BD">
      <w:pPr>
        <w:rPr>
          <w:sz w:val="22"/>
          <w:szCs w:val="22"/>
        </w:rPr>
      </w:pPr>
      <w:r>
        <w:rPr>
          <w:sz w:val="22"/>
          <w:szCs w:val="22"/>
        </w:rPr>
        <w:t>Laikyti ne aukštesnėje kaip 25</w:t>
      </w:r>
      <w:r>
        <w:rPr>
          <w:sz w:val="22"/>
          <w:szCs w:val="22"/>
          <w:vertAlign w:val="superscript"/>
        </w:rPr>
        <w:t>o</w:t>
      </w:r>
      <w:r>
        <w:rPr>
          <w:sz w:val="22"/>
          <w:szCs w:val="22"/>
        </w:rPr>
        <w:t>C temperatūroje.</w:t>
      </w:r>
    </w:p>
    <w:p w:rsidR="007E46BD" w:rsidRDefault="007E46BD">
      <w:pPr>
        <w:pStyle w:val="BTEMEASMCA"/>
        <w:rPr>
          <w:noProof w:val="0"/>
        </w:rPr>
      </w:pPr>
      <w:r>
        <w:t>Laikyti gamintojo pakuotėje, kad preparatas būtų apsaugotas nuo drėgmės.</w:t>
      </w:r>
    </w:p>
    <w:p w:rsidR="007E46BD" w:rsidRDefault="007E46BD">
      <w:pPr>
        <w:pStyle w:val="BTEMEASMCA"/>
      </w:pPr>
    </w:p>
    <w:p w:rsidR="007E46BD" w:rsidRDefault="007E46BD">
      <w:pPr>
        <w:pStyle w:val="BTEMEASMCA"/>
      </w:pPr>
    </w:p>
    <w:p w:rsidR="007E46BD" w:rsidRDefault="007E46BD">
      <w:pPr>
        <w:pStyle w:val="PI-1labEMEASMCA"/>
      </w:pPr>
      <w:r>
        <w:lastRenderedPageBreak/>
        <w:t>10.</w:t>
      </w:r>
      <w:r>
        <w:tab/>
        <w:t xml:space="preserve">SPECIALIOS ATSARGUMO PRIEMONĖS DĖL NESUVARTOTO </w:t>
      </w:r>
      <w:r>
        <w:rPr>
          <w:bCs/>
        </w:rPr>
        <w:t xml:space="preserve">VAISTINIO PREPARATO AR JO ATLIEKŲ </w:t>
      </w:r>
      <w:r>
        <w:t>TVARKYMO (JEI REIKIA)</w:t>
      </w:r>
    </w:p>
    <w:p w:rsidR="007E46BD" w:rsidRDefault="007E46BD">
      <w:pPr>
        <w:pStyle w:val="BTEMEASMCA"/>
      </w:pPr>
    </w:p>
    <w:p w:rsidR="007E46BD" w:rsidRDefault="007E46BD">
      <w:pPr>
        <w:pStyle w:val="BTEMEASMCA"/>
      </w:pPr>
    </w:p>
    <w:p w:rsidR="007E46BD" w:rsidRDefault="007E46BD">
      <w:pPr>
        <w:pStyle w:val="PI-1labEMEASMCA"/>
      </w:pPr>
      <w:r>
        <w:t>11.</w:t>
      </w:r>
      <w:r>
        <w:tab/>
        <w:t>RINKODAROS TEISĖS TURĖTOJO PAVADINIMAS IR ADRESAS</w:t>
      </w:r>
    </w:p>
    <w:p w:rsidR="007E46BD" w:rsidRDefault="007E46BD">
      <w:pPr>
        <w:pStyle w:val="BTEMEASMCA"/>
      </w:pPr>
    </w:p>
    <w:p w:rsidR="00D4576F" w:rsidRDefault="00750F27" w:rsidP="00D4576F">
      <w:pPr>
        <w:rPr>
          <w:sz w:val="22"/>
          <w:szCs w:val="22"/>
        </w:rPr>
      </w:pPr>
      <w:r w:rsidRPr="00483FB7">
        <w:rPr>
          <w:sz w:val="22"/>
          <w:szCs w:val="22"/>
          <w:lang w:eastAsia="lt-LT"/>
        </w:rPr>
        <w:t xml:space="preserve"> </w:t>
      </w:r>
      <w:r w:rsidR="00D4576F">
        <w:rPr>
          <w:sz w:val="22"/>
          <w:szCs w:val="22"/>
        </w:rPr>
        <w:t>SIA Meda Pharma</w:t>
      </w:r>
    </w:p>
    <w:p w:rsidR="00D4576F" w:rsidRDefault="00D4576F" w:rsidP="00D4576F">
      <w:pPr>
        <w:rPr>
          <w:sz w:val="22"/>
          <w:szCs w:val="22"/>
        </w:rPr>
      </w:pPr>
      <w:r>
        <w:rPr>
          <w:sz w:val="22"/>
          <w:szCs w:val="22"/>
        </w:rPr>
        <w:t>Vienibas gatve 109, Rīga LV-1058</w:t>
      </w:r>
    </w:p>
    <w:p w:rsidR="00750F27" w:rsidRPr="00483FB7" w:rsidRDefault="00D4576F" w:rsidP="00750F27">
      <w:pPr>
        <w:rPr>
          <w:sz w:val="22"/>
          <w:szCs w:val="22"/>
        </w:rPr>
      </w:pPr>
      <w:r>
        <w:rPr>
          <w:sz w:val="22"/>
          <w:szCs w:val="22"/>
        </w:rPr>
        <w:t xml:space="preserve">Latvija </w:t>
      </w:r>
    </w:p>
    <w:p w:rsidR="007E46BD" w:rsidRDefault="007E46BD" w:rsidP="00B03101">
      <w:pPr>
        <w:pStyle w:val="BTEMEASMCA"/>
        <w:tabs>
          <w:tab w:val="left" w:pos="1500"/>
        </w:tabs>
      </w:pPr>
    </w:p>
    <w:p w:rsidR="007E46BD" w:rsidRDefault="007E46BD">
      <w:pPr>
        <w:pStyle w:val="BTEMEASMCA"/>
      </w:pPr>
    </w:p>
    <w:p w:rsidR="007E46BD" w:rsidRDefault="007E46BD">
      <w:pPr>
        <w:pStyle w:val="PI-1labEMEASMCA"/>
      </w:pPr>
      <w:r>
        <w:t>12.</w:t>
      </w:r>
      <w:r>
        <w:tab/>
        <w:t xml:space="preserve">RINKODAROS PAŽYMĖJIMO NUMERIS </w:t>
      </w:r>
    </w:p>
    <w:p w:rsidR="007E46BD" w:rsidRDefault="007E46BD">
      <w:pPr>
        <w:pStyle w:val="BTEMEASMCA"/>
      </w:pPr>
    </w:p>
    <w:p w:rsidR="009F401B" w:rsidRDefault="009F401B" w:rsidP="009F401B">
      <w:pPr>
        <w:pStyle w:val="BTEMEASMCA"/>
      </w:pPr>
      <w:r>
        <w:t>LT/1/94/1925/001</w:t>
      </w:r>
    </w:p>
    <w:p w:rsidR="009F401B" w:rsidRDefault="009F401B">
      <w:pPr>
        <w:pStyle w:val="BTEMEASMCA"/>
      </w:pPr>
    </w:p>
    <w:p w:rsidR="007E46BD" w:rsidRDefault="007E46BD">
      <w:pPr>
        <w:pStyle w:val="BTEMEASMCA"/>
      </w:pPr>
    </w:p>
    <w:p w:rsidR="007E46BD" w:rsidRDefault="007E46BD">
      <w:pPr>
        <w:pStyle w:val="PI-1labEMEASMCA"/>
      </w:pPr>
      <w:r>
        <w:t>13.</w:t>
      </w:r>
      <w:r>
        <w:tab/>
        <w:t>SERIJOS NUMERIS</w:t>
      </w:r>
    </w:p>
    <w:p w:rsidR="007E46BD" w:rsidRDefault="007E46BD">
      <w:pPr>
        <w:pStyle w:val="BTEMEASMCA"/>
      </w:pPr>
    </w:p>
    <w:p w:rsidR="007E46BD" w:rsidRDefault="007E46BD">
      <w:pPr>
        <w:pStyle w:val="BTEMEASMCA"/>
      </w:pPr>
      <w:r>
        <w:t>Serija {numeris}</w:t>
      </w:r>
    </w:p>
    <w:p w:rsidR="007E46BD" w:rsidRDefault="007E46BD">
      <w:pPr>
        <w:pStyle w:val="BTEMEASMCA"/>
      </w:pPr>
    </w:p>
    <w:p w:rsidR="007E46BD" w:rsidRDefault="007E46BD">
      <w:pPr>
        <w:pStyle w:val="BTEMEASMCA"/>
      </w:pPr>
    </w:p>
    <w:p w:rsidR="007E46BD" w:rsidRDefault="007E46BD">
      <w:pPr>
        <w:pStyle w:val="PI-1labEMEASMCA"/>
      </w:pPr>
      <w:r>
        <w:t>14.</w:t>
      </w:r>
      <w:r>
        <w:tab/>
        <w:t>PARDAVIMO (IŠDAVIMO) TVARKA</w:t>
      </w:r>
    </w:p>
    <w:p w:rsidR="007E46BD" w:rsidRDefault="007E46BD">
      <w:pPr>
        <w:pStyle w:val="BTEMEASMCA"/>
      </w:pPr>
    </w:p>
    <w:p w:rsidR="007E46BD" w:rsidRDefault="007E46BD">
      <w:pPr>
        <w:pStyle w:val="BTEMEASMCA"/>
      </w:pPr>
      <w:r>
        <w:t>Receptinis vaistinis preparatas</w:t>
      </w:r>
    </w:p>
    <w:p w:rsidR="007E46BD" w:rsidRDefault="007E46BD">
      <w:pPr>
        <w:pStyle w:val="BTEMEASMCA"/>
      </w:pPr>
    </w:p>
    <w:p w:rsidR="007E46BD" w:rsidRDefault="007E46BD">
      <w:pPr>
        <w:pStyle w:val="BTEMEASMCA"/>
      </w:pPr>
    </w:p>
    <w:p w:rsidR="007E46BD" w:rsidRDefault="007E46BD">
      <w:pPr>
        <w:pStyle w:val="PI-1labEMEASMCA"/>
      </w:pPr>
      <w:r>
        <w:t>15.</w:t>
      </w:r>
      <w:r>
        <w:tab/>
        <w:t>VARTOJIMO INSTRUKCIJA</w:t>
      </w:r>
    </w:p>
    <w:p w:rsidR="007E46BD" w:rsidRDefault="007E46BD">
      <w:pPr>
        <w:pStyle w:val="BTEMEASMCA"/>
      </w:pPr>
    </w:p>
    <w:p w:rsidR="007E46BD" w:rsidRDefault="007E46BD">
      <w:pPr>
        <w:pStyle w:val="BTEMEASMCA"/>
        <w:rPr>
          <w:noProof w:val="0"/>
        </w:rPr>
      </w:pPr>
    </w:p>
    <w:p w:rsidR="007E46BD" w:rsidRDefault="007E46BD">
      <w:pPr>
        <w:pStyle w:val="PI-1labEMEASMCA"/>
      </w:pPr>
      <w:r>
        <w:t>16.</w:t>
      </w:r>
      <w:r>
        <w:tab/>
        <w:t>INFORMACIJA BRAILIO RAŠTU</w:t>
      </w:r>
    </w:p>
    <w:p w:rsidR="007E46BD" w:rsidRDefault="007E46BD">
      <w:pPr>
        <w:pStyle w:val="BTEMEASMCA"/>
        <w:rPr>
          <w:noProof w:val="0"/>
        </w:rPr>
      </w:pPr>
    </w:p>
    <w:p w:rsidR="007E46BD" w:rsidRDefault="007E46BD">
      <w:pPr>
        <w:pStyle w:val="BTEMEASMCA"/>
      </w:pPr>
      <w:r>
        <w:t xml:space="preserve">Gynalgin </w:t>
      </w:r>
    </w:p>
    <w:p w:rsidR="00750F27" w:rsidRDefault="00750F27">
      <w:pPr>
        <w:pStyle w:val="BTEMEASMCA"/>
      </w:pPr>
    </w:p>
    <w:p w:rsidR="00750F27" w:rsidRDefault="00750F27">
      <w:pPr>
        <w:pStyle w:val="BTEMEASMCA"/>
      </w:pPr>
    </w:p>
    <w:p w:rsidR="00750F27" w:rsidRDefault="00750F27">
      <w:pPr>
        <w:pStyle w:val="BTEMEASMCA"/>
      </w:pPr>
    </w:p>
    <w:p w:rsidR="00750F27" w:rsidRDefault="00750F27">
      <w:pPr>
        <w:pStyle w:val="BTEMEASMCA"/>
      </w:pPr>
    </w:p>
    <w:p w:rsidR="00750F27" w:rsidRDefault="00750F27">
      <w:pPr>
        <w:pStyle w:val="BTEMEASMCA"/>
      </w:pPr>
    </w:p>
    <w:p w:rsidR="00750F27" w:rsidRDefault="00750F27">
      <w:pPr>
        <w:pStyle w:val="BTEMEASMCA"/>
      </w:pPr>
    </w:p>
    <w:p w:rsidR="00750F27" w:rsidRDefault="00750F27">
      <w:pPr>
        <w:pStyle w:val="BTEMEASMCA"/>
      </w:pPr>
    </w:p>
    <w:p w:rsidR="00750F27" w:rsidRDefault="00750F27">
      <w:pPr>
        <w:pStyle w:val="BTEMEASMCA"/>
      </w:pPr>
      <w:r>
        <w:t>2011-05-25</w:t>
      </w:r>
    </w:p>
    <w:p w:rsidR="007E46BD" w:rsidRDefault="007E46BD">
      <w:pPr>
        <w:pStyle w:val="BTEMEASMCA"/>
      </w:pPr>
    </w:p>
    <w:p w:rsidR="007E46BD" w:rsidRDefault="007E46BD">
      <w:pPr>
        <w:pStyle w:val="BTEMEASMCA"/>
      </w:pPr>
      <w:r>
        <w:br w:type="page"/>
      </w:r>
    </w:p>
    <w:p w:rsidR="007E46BD" w:rsidRDefault="007E46BD">
      <w:pPr>
        <w:pStyle w:val="PI-1labEMEASMCA"/>
      </w:pPr>
      <w:r>
        <w:lastRenderedPageBreak/>
        <w:t xml:space="preserve">MINIMALI </w:t>
      </w:r>
      <w:r>
        <w:rPr>
          <w:caps/>
        </w:rPr>
        <w:t xml:space="preserve">informacija ant </w:t>
      </w:r>
      <w:r>
        <w:t>LIZDINIŲ PLOKŠTELIŲ ARBA DVISLUOKSNIŲ JUOSTELIŲ</w:t>
      </w:r>
    </w:p>
    <w:p w:rsidR="007E46BD" w:rsidRDefault="007E46BD">
      <w:pPr>
        <w:pStyle w:val="PI-1labEMEASMCA"/>
      </w:pPr>
    </w:p>
    <w:p w:rsidR="007E46BD" w:rsidRDefault="007E46BD">
      <w:pPr>
        <w:pStyle w:val="PI-1labEMEASMCA"/>
      </w:pPr>
      <w:r>
        <w:t>LIZDINĖ PLOKŠTELĖ</w:t>
      </w:r>
    </w:p>
    <w:p w:rsidR="007E46BD" w:rsidRDefault="007E46BD">
      <w:pPr>
        <w:pStyle w:val="BTEMEASMCA"/>
      </w:pPr>
    </w:p>
    <w:p w:rsidR="007E46BD" w:rsidRDefault="007E46BD">
      <w:pPr>
        <w:pStyle w:val="BTEMEASMCA"/>
      </w:pPr>
    </w:p>
    <w:p w:rsidR="007E46BD" w:rsidRDefault="007E46BD">
      <w:pPr>
        <w:pStyle w:val="PI-1labEMEASMCA"/>
      </w:pPr>
      <w:r>
        <w:t>1.</w:t>
      </w:r>
      <w:r>
        <w:tab/>
        <w:t>VAISTINIO PREPARATO PAVADINIMAS</w:t>
      </w:r>
    </w:p>
    <w:p w:rsidR="007E46BD" w:rsidRDefault="007E46BD">
      <w:pPr>
        <w:pStyle w:val="BTEMEASMCA"/>
      </w:pPr>
    </w:p>
    <w:p w:rsidR="007E46BD" w:rsidRDefault="007E46BD">
      <w:pPr>
        <w:pStyle w:val="BTEMEASMCA"/>
      </w:pPr>
      <w:r>
        <w:t>Gynalgin 100 mg/250 mg makšties tabletės</w:t>
      </w:r>
    </w:p>
    <w:p w:rsidR="007E46BD" w:rsidRDefault="007E46BD">
      <w:pPr>
        <w:pStyle w:val="BTEMEASMCA"/>
      </w:pPr>
      <w:r>
        <w:t>Chlorquinaldolum/ Metronidazolum</w:t>
      </w:r>
    </w:p>
    <w:p w:rsidR="007E46BD" w:rsidRDefault="007E46BD">
      <w:pPr>
        <w:pStyle w:val="BTEMEASMCA"/>
      </w:pPr>
    </w:p>
    <w:p w:rsidR="007E46BD" w:rsidRDefault="007E46BD">
      <w:pPr>
        <w:pStyle w:val="BTEMEASMCA"/>
      </w:pPr>
    </w:p>
    <w:p w:rsidR="007E46BD" w:rsidRDefault="007E46BD">
      <w:pPr>
        <w:pStyle w:val="PI-1labEMEASMCA"/>
      </w:pPr>
      <w:r>
        <w:t>2.</w:t>
      </w:r>
      <w:r>
        <w:tab/>
        <w:t>RINKODAROS TEISĖS TURĖTOJO PAVADINIMAS</w:t>
      </w:r>
    </w:p>
    <w:p w:rsidR="007E46BD" w:rsidRDefault="007E46BD">
      <w:pPr>
        <w:pStyle w:val="BTEMEASMCA"/>
      </w:pPr>
    </w:p>
    <w:p w:rsidR="00750F27" w:rsidRDefault="00D4576F" w:rsidP="00750F27">
      <w:pPr>
        <w:rPr>
          <w:sz w:val="22"/>
          <w:szCs w:val="22"/>
          <w:lang w:eastAsia="lt-LT"/>
        </w:rPr>
      </w:pPr>
      <w:r>
        <w:rPr>
          <w:sz w:val="22"/>
          <w:szCs w:val="22"/>
          <w:lang w:eastAsia="lt-LT"/>
        </w:rPr>
        <w:t>SIA Meda Pharma</w:t>
      </w:r>
      <w:r w:rsidR="00750F27" w:rsidRPr="00483FB7">
        <w:rPr>
          <w:sz w:val="22"/>
          <w:szCs w:val="22"/>
          <w:lang w:eastAsia="lt-LT"/>
        </w:rPr>
        <w:t xml:space="preserve"> </w:t>
      </w:r>
    </w:p>
    <w:p w:rsidR="007E46BD" w:rsidRDefault="007E46BD">
      <w:pPr>
        <w:pStyle w:val="BTEMEASMCA"/>
      </w:pPr>
    </w:p>
    <w:p w:rsidR="007E46BD" w:rsidRDefault="007E46BD">
      <w:pPr>
        <w:pStyle w:val="BTEMEASMCA"/>
      </w:pPr>
    </w:p>
    <w:p w:rsidR="007E46BD" w:rsidRDefault="007E46BD">
      <w:pPr>
        <w:pStyle w:val="PI-1labEMEASMCA"/>
      </w:pPr>
      <w:r>
        <w:t>3.</w:t>
      </w:r>
      <w:r>
        <w:tab/>
        <w:t>TINKAMUMO LAIKAS</w:t>
      </w:r>
    </w:p>
    <w:p w:rsidR="007E46BD" w:rsidRDefault="007E46BD">
      <w:pPr>
        <w:pStyle w:val="BTEMEASMCA"/>
      </w:pPr>
    </w:p>
    <w:p w:rsidR="007E46BD" w:rsidRDefault="007E46BD">
      <w:pPr>
        <w:pStyle w:val="Pagrindinistekstas"/>
        <w:spacing w:after="0"/>
        <w:rPr>
          <w:szCs w:val="22"/>
        </w:rPr>
      </w:pPr>
      <w:r>
        <w:rPr>
          <w:szCs w:val="22"/>
        </w:rPr>
        <w:t>{MMMM/mm} [metai, mėnuo]</w:t>
      </w:r>
    </w:p>
    <w:p w:rsidR="007E46BD" w:rsidRDefault="007E46BD">
      <w:pPr>
        <w:pStyle w:val="BTEMEASMCA"/>
      </w:pPr>
    </w:p>
    <w:p w:rsidR="007E46BD" w:rsidRDefault="007E46BD">
      <w:pPr>
        <w:pStyle w:val="BTEMEASMCA"/>
      </w:pPr>
    </w:p>
    <w:p w:rsidR="007E46BD" w:rsidRDefault="007E46BD">
      <w:pPr>
        <w:pStyle w:val="PI-1labEMEASMCA"/>
      </w:pPr>
      <w:r>
        <w:t>4.</w:t>
      </w:r>
      <w:r>
        <w:tab/>
        <w:t>SERIJOS NUMERIS</w:t>
      </w:r>
    </w:p>
    <w:p w:rsidR="007E46BD" w:rsidRDefault="007E46BD">
      <w:pPr>
        <w:pStyle w:val="BTEMEASMCA"/>
      </w:pPr>
    </w:p>
    <w:p w:rsidR="007E46BD" w:rsidRDefault="007E46BD">
      <w:pPr>
        <w:pStyle w:val="Pagrindinistekstas"/>
        <w:spacing w:after="0"/>
        <w:rPr>
          <w:szCs w:val="22"/>
        </w:rPr>
      </w:pPr>
      <w:r>
        <w:rPr>
          <w:szCs w:val="22"/>
        </w:rPr>
        <w:t>{numeris}</w:t>
      </w:r>
    </w:p>
    <w:p w:rsidR="007E46BD" w:rsidRDefault="007E46BD">
      <w:pPr>
        <w:pStyle w:val="BTEMEASMCA"/>
      </w:pPr>
    </w:p>
    <w:p w:rsidR="007E46BD" w:rsidRDefault="007E46BD">
      <w:pPr>
        <w:pStyle w:val="BTEMEASMCA"/>
      </w:pPr>
    </w:p>
    <w:p w:rsidR="007E46BD" w:rsidRDefault="007E46BD">
      <w:pPr>
        <w:pStyle w:val="PI-1labEMEASMCA"/>
      </w:pPr>
      <w:r>
        <w:t>5.</w:t>
      </w:r>
      <w:r>
        <w:tab/>
        <w:t>KITA</w:t>
      </w:r>
    </w:p>
    <w:p w:rsidR="007E46BD" w:rsidRDefault="007E46BD">
      <w:pPr>
        <w:pStyle w:val="BTEMEASMCA"/>
      </w:pPr>
    </w:p>
    <w:p w:rsidR="00750F27" w:rsidRDefault="00750F27">
      <w:pPr>
        <w:pStyle w:val="BTEMEASMCA"/>
      </w:pPr>
    </w:p>
    <w:p w:rsidR="00750F27" w:rsidRDefault="00750F27">
      <w:pPr>
        <w:pStyle w:val="BTEMEASMCA"/>
      </w:pPr>
    </w:p>
    <w:p w:rsidR="00750F27" w:rsidRDefault="00750F27">
      <w:pPr>
        <w:pStyle w:val="BTEMEASMCA"/>
      </w:pPr>
    </w:p>
    <w:p w:rsidR="00750F27" w:rsidRDefault="00750F27">
      <w:pPr>
        <w:pStyle w:val="BTEMEASMCA"/>
      </w:pPr>
    </w:p>
    <w:p w:rsidR="00750F27" w:rsidRDefault="00750F27">
      <w:pPr>
        <w:pStyle w:val="BTEMEASMCA"/>
      </w:pPr>
    </w:p>
    <w:p w:rsidR="00750F27" w:rsidRDefault="00750F27">
      <w:pPr>
        <w:pStyle w:val="BTEMEASMCA"/>
      </w:pPr>
    </w:p>
    <w:p w:rsidR="00750F27" w:rsidRDefault="00D4576F">
      <w:pPr>
        <w:pStyle w:val="BTEMEASMCA"/>
      </w:pPr>
      <w:r>
        <w:t>2012-05-23</w:t>
      </w:r>
    </w:p>
    <w:p w:rsidR="007E46BD" w:rsidRDefault="007E46BD">
      <w:pPr>
        <w:pStyle w:val="BTEMEASMCA"/>
        <w:rPr>
          <w:noProof w:val="0"/>
        </w:rPr>
      </w:pPr>
      <w:r>
        <w:br w:type="page"/>
      </w: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BTEMEASMCA"/>
      </w:pPr>
    </w:p>
    <w:p w:rsidR="007E46BD" w:rsidRDefault="007E46BD">
      <w:pPr>
        <w:pStyle w:val="TTEMEASMCA"/>
        <w:rPr>
          <w:lang w:val="lt-LT"/>
        </w:rPr>
      </w:pPr>
      <w:bookmarkStart w:id="74" w:name="_Toc129243137"/>
      <w:bookmarkStart w:id="75" w:name="_Toc129243262"/>
      <w:r>
        <w:rPr>
          <w:lang w:val="lt-LT"/>
        </w:rPr>
        <w:t>B. PAKUOTĖS LAPELIS</w:t>
      </w:r>
      <w:bookmarkEnd w:id="74"/>
      <w:bookmarkEnd w:id="75"/>
    </w:p>
    <w:p w:rsidR="007E46BD" w:rsidRDefault="007E46BD">
      <w:pPr>
        <w:pStyle w:val="TTEMEASMCA"/>
        <w:rPr>
          <w:lang w:val="lt-LT"/>
        </w:rPr>
      </w:pPr>
      <w:r>
        <w:rPr>
          <w:lang w:val="lt-LT"/>
        </w:rPr>
        <w:br w:type="page"/>
      </w:r>
      <w:bookmarkStart w:id="76" w:name="_Toc129243138"/>
      <w:bookmarkStart w:id="77" w:name="_Toc129243263"/>
      <w:r>
        <w:rPr>
          <w:lang w:val="lt-LT"/>
        </w:rPr>
        <w:lastRenderedPageBreak/>
        <w:t>PAKUOTĖS LAPELIS: INFORMACIJA VARTOTOJUI</w:t>
      </w:r>
      <w:bookmarkEnd w:id="76"/>
      <w:bookmarkEnd w:id="77"/>
    </w:p>
    <w:p w:rsidR="007E46BD" w:rsidRDefault="007E46BD">
      <w:pPr>
        <w:pStyle w:val="BTEMEASMCA"/>
      </w:pPr>
    </w:p>
    <w:p w:rsidR="007E46BD" w:rsidRDefault="007E46BD">
      <w:pPr>
        <w:tabs>
          <w:tab w:val="num" w:pos="360"/>
        </w:tabs>
        <w:jc w:val="center"/>
        <w:rPr>
          <w:b/>
          <w:sz w:val="22"/>
          <w:szCs w:val="22"/>
        </w:rPr>
      </w:pPr>
      <w:r>
        <w:rPr>
          <w:b/>
          <w:sz w:val="22"/>
          <w:szCs w:val="22"/>
        </w:rPr>
        <w:t>Gynalgin 100 mg/250 mg makšties tabletės</w:t>
      </w:r>
    </w:p>
    <w:p w:rsidR="007E46BD" w:rsidRDefault="007E46BD">
      <w:pPr>
        <w:tabs>
          <w:tab w:val="num" w:pos="360"/>
        </w:tabs>
        <w:jc w:val="center"/>
        <w:rPr>
          <w:sz w:val="22"/>
          <w:szCs w:val="22"/>
        </w:rPr>
      </w:pPr>
      <w:r>
        <w:rPr>
          <w:sz w:val="22"/>
          <w:szCs w:val="22"/>
        </w:rPr>
        <w:t>Chlorkvinaldolis/Metronidazolas</w:t>
      </w:r>
    </w:p>
    <w:p w:rsidR="007E46BD" w:rsidRDefault="007E46BD">
      <w:pPr>
        <w:pStyle w:val="BTEMEASMCA"/>
      </w:pPr>
    </w:p>
    <w:p w:rsidR="007E46BD" w:rsidRDefault="007E46BD">
      <w:pPr>
        <w:pStyle w:val="BTbEMEASMCA"/>
      </w:pPr>
      <w:r>
        <w:t>Atidžiai perskaitykite visą šį lapelį, prieš pradėdami vartoti vaistą.</w:t>
      </w:r>
    </w:p>
    <w:p w:rsidR="007E46BD" w:rsidRDefault="007E46BD">
      <w:pPr>
        <w:pStyle w:val="BT-EMEASMCA"/>
      </w:pPr>
      <w:r>
        <w:t>Neišmeskite šio lapelio, nes vėl gali prireikti jį perskaityti.</w:t>
      </w:r>
    </w:p>
    <w:p w:rsidR="007E46BD" w:rsidRDefault="007E46BD">
      <w:pPr>
        <w:pStyle w:val="BT-EMEASMCA"/>
      </w:pPr>
      <w:r>
        <w:t>Jeigu kiltų daugiau klausimų, kreipkitės į gydytoją arba vaistininką.</w:t>
      </w:r>
    </w:p>
    <w:p w:rsidR="007E46BD" w:rsidRDefault="007E46BD">
      <w:pPr>
        <w:pStyle w:val="BT-EMEASMCA"/>
      </w:pPr>
      <w:r>
        <w:t>Šis vaistas skirtas Jums, todėl kitiems žmonėms jo duoti negalima. Vaistas gali jiems pakenkti (net tiems, kurių ligos simptomai yra tokie patys kaip Jūsų).</w:t>
      </w:r>
    </w:p>
    <w:p w:rsidR="007E46BD" w:rsidRDefault="007E46BD">
      <w:pPr>
        <w:pStyle w:val="BT-EMEASMCA"/>
      </w:pPr>
      <w:r>
        <w:t>Jeigu pasireiškė sunkus šalutinis poveikis arba pastebėjote šiame lapelyje nenurodytą šalutinį poveikį, pasakykite gydytojui arba vaistininkui.</w:t>
      </w:r>
    </w:p>
    <w:p w:rsidR="007E46BD" w:rsidRDefault="007E46BD">
      <w:pPr>
        <w:pStyle w:val="BTEMEASMCA"/>
      </w:pPr>
    </w:p>
    <w:p w:rsidR="007E46BD" w:rsidRDefault="007E46BD">
      <w:pPr>
        <w:pStyle w:val="BTbEMEASMCA"/>
      </w:pPr>
      <w:r>
        <w:t>Lapelio turinys</w:t>
      </w:r>
    </w:p>
    <w:p w:rsidR="007E46BD" w:rsidRDefault="007E46BD" w:rsidP="00C66CE9">
      <w:pPr>
        <w:pStyle w:val="BTEMEASMCA"/>
        <w:ind w:left="540" w:hanging="540"/>
      </w:pPr>
      <w:r>
        <w:t>1.</w:t>
      </w:r>
      <w:r>
        <w:tab/>
        <w:t>Kas yra Gynalgin ir kam jis vartojamas</w:t>
      </w:r>
    </w:p>
    <w:p w:rsidR="007E46BD" w:rsidRDefault="007E46BD" w:rsidP="00C66CE9">
      <w:pPr>
        <w:pStyle w:val="BTEMEASMCA"/>
        <w:ind w:left="540" w:hanging="540"/>
      </w:pPr>
      <w:r>
        <w:t>2.</w:t>
      </w:r>
      <w:r>
        <w:tab/>
        <w:t>Kas žinotina prieš vartojant Gynalgin</w:t>
      </w:r>
    </w:p>
    <w:p w:rsidR="007E46BD" w:rsidRDefault="007E46BD" w:rsidP="00C66CE9">
      <w:pPr>
        <w:pStyle w:val="BTEMEASMCA"/>
        <w:ind w:left="540" w:hanging="540"/>
      </w:pPr>
      <w:r>
        <w:t>3.</w:t>
      </w:r>
      <w:r>
        <w:tab/>
        <w:t>Kaip vartoti Gynalgin</w:t>
      </w:r>
    </w:p>
    <w:p w:rsidR="007E46BD" w:rsidRDefault="007E46BD" w:rsidP="00C66CE9">
      <w:pPr>
        <w:pStyle w:val="BTEMEASMCA"/>
        <w:ind w:left="540" w:hanging="540"/>
      </w:pPr>
      <w:r>
        <w:t>4.</w:t>
      </w:r>
      <w:r>
        <w:tab/>
        <w:t>Galimas šalutinis poveikis</w:t>
      </w:r>
    </w:p>
    <w:p w:rsidR="007E46BD" w:rsidRDefault="007E46BD" w:rsidP="00C66CE9">
      <w:pPr>
        <w:pStyle w:val="BTEMEASMCA"/>
        <w:ind w:left="540" w:hanging="540"/>
      </w:pPr>
      <w:r>
        <w:t>5.</w:t>
      </w:r>
      <w:r>
        <w:tab/>
        <w:t>Kaip laikyti Gynalgin</w:t>
      </w:r>
    </w:p>
    <w:p w:rsidR="007E46BD" w:rsidRDefault="007E46BD" w:rsidP="00C66CE9">
      <w:pPr>
        <w:pStyle w:val="BTEMEASMCA"/>
        <w:ind w:left="540" w:hanging="540"/>
      </w:pPr>
      <w:r>
        <w:t>6.</w:t>
      </w:r>
      <w:r>
        <w:tab/>
        <w:t>Kita informacija</w:t>
      </w:r>
    </w:p>
    <w:p w:rsidR="007E46BD" w:rsidRDefault="007E46BD">
      <w:pPr>
        <w:pStyle w:val="BTEMEASMCA"/>
      </w:pPr>
    </w:p>
    <w:p w:rsidR="007E46BD" w:rsidRDefault="007E46BD">
      <w:pPr>
        <w:pStyle w:val="BTEMEASMCA"/>
      </w:pPr>
    </w:p>
    <w:p w:rsidR="007E46BD" w:rsidRDefault="007E46BD">
      <w:pPr>
        <w:pStyle w:val="PI-1EMEASMCA"/>
      </w:pPr>
      <w:bookmarkStart w:id="78" w:name="_Toc129243139"/>
      <w:bookmarkStart w:id="79" w:name="_Toc129243264"/>
      <w:r>
        <w:t>1.</w:t>
      </w:r>
      <w:r>
        <w:tab/>
        <w:t>KAS YRA GYNALGIN IR KAM JIS VARTOJAMAS</w:t>
      </w:r>
      <w:bookmarkEnd w:id="78"/>
      <w:bookmarkEnd w:id="79"/>
    </w:p>
    <w:p w:rsidR="007E46BD" w:rsidRDefault="007E46BD">
      <w:pPr>
        <w:pStyle w:val="BTEMEASMCA"/>
      </w:pPr>
    </w:p>
    <w:p w:rsidR="007D3224" w:rsidRPr="005C7680" w:rsidRDefault="007D3224" w:rsidP="007D3224">
      <w:pPr>
        <w:pStyle w:val="BTEMEASMCA"/>
      </w:pPr>
      <w:r w:rsidRPr="005C7680">
        <w:t>Gynalgin yra vietinio poveikio antiinfekcinis vaistas, kuriuo gydomos infekcinės makšties ligos.</w:t>
      </w:r>
    </w:p>
    <w:p w:rsidR="007E46BD" w:rsidRDefault="007E46BD">
      <w:pPr>
        <w:pStyle w:val="BTEMEASMCA"/>
      </w:pPr>
      <w:r>
        <w:t xml:space="preserve">Abi veikliosios preparato medžiagos slopina </w:t>
      </w:r>
      <w:r w:rsidR="00D16EC0">
        <w:t xml:space="preserve">joms jautrių </w:t>
      </w:r>
      <w:r>
        <w:t>bakterijų, pirmuonių ir grybelių veiklą.</w:t>
      </w:r>
    </w:p>
    <w:p w:rsidR="007E46BD" w:rsidRDefault="007E46BD">
      <w:pPr>
        <w:pStyle w:val="BTEMEASMCA"/>
      </w:pPr>
    </w:p>
    <w:p w:rsidR="007E46BD" w:rsidRDefault="007E46BD">
      <w:pPr>
        <w:pStyle w:val="BTEMEASMCA"/>
      </w:pPr>
    </w:p>
    <w:p w:rsidR="007E46BD" w:rsidRDefault="007E46BD">
      <w:pPr>
        <w:pStyle w:val="PI-1EMEASMCA"/>
      </w:pPr>
      <w:bookmarkStart w:id="80" w:name="_Toc129243140"/>
      <w:bookmarkStart w:id="81" w:name="_Toc129243265"/>
      <w:r>
        <w:t>2.</w:t>
      </w:r>
      <w:r>
        <w:tab/>
        <w:t xml:space="preserve">KAS ŽINOTINA PRIEŠ VARTOJANT </w:t>
      </w:r>
      <w:bookmarkEnd w:id="80"/>
      <w:bookmarkEnd w:id="81"/>
      <w:r>
        <w:t>GYNALGIN</w:t>
      </w:r>
    </w:p>
    <w:p w:rsidR="007E46BD" w:rsidRDefault="007E46BD">
      <w:pPr>
        <w:pStyle w:val="BTEMEASMCA"/>
      </w:pPr>
    </w:p>
    <w:p w:rsidR="007E46BD" w:rsidRDefault="007E46BD">
      <w:pPr>
        <w:pStyle w:val="PI-3EMEASMCA"/>
      </w:pPr>
      <w:r>
        <w:t>Gynalgin vartoti negalima:</w:t>
      </w:r>
    </w:p>
    <w:p w:rsidR="007E46BD" w:rsidRDefault="007E46BD">
      <w:pPr>
        <w:pStyle w:val="BT-EMEASMCA"/>
      </w:pPr>
      <w:r>
        <w:t>jeigu yra alergija (padidėjęs jautrumas) veikliajai arba bet kuriai pagalbinei Gynalgin  medžiagai;</w:t>
      </w:r>
    </w:p>
    <w:p w:rsidR="007E46BD" w:rsidRDefault="007E46BD">
      <w:pPr>
        <w:pStyle w:val="BT-EMEASMCA"/>
      </w:pPr>
      <w:r>
        <w:t>jeigu esate nėščia ar žindote kūdikį.</w:t>
      </w:r>
    </w:p>
    <w:p w:rsidR="007E46BD" w:rsidRDefault="007E46BD">
      <w:pPr>
        <w:pStyle w:val="BTEMEASMCA"/>
      </w:pPr>
    </w:p>
    <w:p w:rsidR="007E46BD" w:rsidRDefault="007E46BD">
      <w:pPr>
        <w:pStyle w:val="BTEMEASMCA"/>
      </w:pPr>
      <w:r>
        <w:t>Jeigu bet kuri iš šių sąlygų Jums tinka arba Jums anksčiau pasireiškė alerginių reakcijų kitiems vaistams, ypač vartojamiems į makštį, prieš pradėdama vartoti Gynalgin, apie tai pasakykite gydytojui.</w:t>
      </w:r>
    </w:p>
    <w:p w:rsidR="007E46BD" w:rsidRDefault="007E46BD">
      <w:pPr>
        <w:pStyle w:val="BTEMEASMCA"/>
      </w:pPr>
    </w:p>
    <w:p w:rsidR="007E46BD" w:rsidRDefault="007E46BD">
      <w:pPr>
        <w:pStyle w:val="PI-3EMEASMCA"/>
      </w:pPr>
      <w:r>
        <w:t>Specialių atsargumo priemonių reikia:</w:t>
      </w:r>
    </w:p>
    <w:p w:rsidR="007E46BD" w:rsidRDefault="007E46BD">
      <w:pPr>
        <w:pStyle w:val="BT-EMEASMCA"/>
      </w:pPr>
      <w:r>
        <w:t>jeigu patiriate galūnių tirpimo, dūrimo, dilgčiojimo ar deginimo jausmą ar kitus nervų sistemos pažeidimo simptomus; tokiu atveju nedelsiant nutraukite vaisto vartojimą ir kreipkitės į savo gydytoją; minėtų simptomų dažniau pasireiškia tuomet, kai anksčiau sirgote nervų sistemos ligomis;</w:t>
      </w:r>
    </w:p>
    <w:p w:rsidR="007E46BD" w:rsidRDefault="007E46BD">
      <w:pPr>
        <w:pStyle w:val="BT-EMEASMCA"/>
      </w:pPr>
      <w:r>
        <w:t>jeigu Jūs sergate sunkiomis kepenų ligomis;</w:t>
      </w:r>
    </w:p>
    <w:p w:rsidR="007E46BD" w:rsidRDefault="007E46BD">
      <w:pPr>
        <w:pStyle w:val="BT-EMEASMCA"/>
      </w:pPr>
      <w:r>
        <w:t>jeigu anksčiau Jūsų kraujyje buvo nustatyta bet kokių kraujo ląstelių skaičiaus pokyčių;</w:t>
      </w:r>
    </w:p>
    <w:p w:rsidR="007E46BD" w:rsidRDefault="007E46BD">
      <w:pPr>
        <w:pStyle w:val="BT-EMEASMCA"/>
      </w:pPr>
      <w:r>
        <w:t>vaisto vartojimo laikotarpiu ir keletą dienų po jo reikėtų negerti alkoholinių gėrimų, nes gali sustiprėti alkoholio poveikis;</w:t>
      </w:r>
    </w:p>
    <w:p w:rsidR="007E46BD" w:rsidRDefault="007E46BD">
      <w:pPr>
        <w:pStyle w:val="BT-EMEASMCA"/>
      </w:pPr>
      <w:r>
        <w:t>jeigu vartojate kraujo krešėjimą slopinančių vaistų, kadangi gali sustiprėti jų poveikis;</w:t>
      </w:r>
    </w:p>
    <w:p w:rsidR="007E46BD" w:rsidRDefault="007E46BD">
      <w:pPr>
        <w:pStyle w:val="BT-EMEASMCA"/>
      </w:pPr>
      <w:r>
        <w:t>šio vaisto reikia vartoti visą gydytojo nurodytą laiką, net ir išnykus ligos simptomams;</w:t>
      </w:r>
    </w:p>
    <w:p w:rsidR="007E46BD" w:rsidRDefault="007E46BD">
      <w:pPr>
        <w:pStyle w:val="BT-EMEASMCA"/>
      </w:pPr>
      <w:r>
        <w:t>preparato reikia vartoti reguliariai;</w:t>
      </w:r>
    </w:p>
    <w:p w:rsidR="007E46BD" w:rsidRDefault="007E46BD">
      <w:pPr>
        <w:pStyle w:val="BT-EMEASMCA"/>
      </w:pPr>
      <w:r>
        <w:t>jeigu vartojant vaisto ligos simptomai neišnyksta arba Jūsų būklė sunkėja, reikia kreiptis į gydytoją;</w:t>
      </w:r>
    </w:p>
    <w:p w:rsidR="007E46BD" w:rsidRDefault="007E46BD">
      <w:pPr>
        <w:pStyle w:val="BT-EMEASMCA"/>
      </w:pPr>
      <w:r>
        <w:t>vaisto vartojimo laikotarpiu reikia susilaikyti nuo lytinių santykių; tuo pat metu lytinis partneris taip pat turėtų gydytis;</w:t>
      </w:r>
    </w:p>
    <w:p w:rsidR="007E46BD" w:rsidRDefault="007E46BD">
      <w:pPr>
        <w:pStyle w:val="BT-EMEASMCA"/>
      </w:pPr>
      <w:r>
        <w:t>prieš makšties tabletės vartojimą ir po jo reikia kruopščiai nusiplauti rankas;</w:t>
      </w:r>
    </w:p>
    <w:p w:rsidR="007E46BD" w:rsidRDefault="007E46BD">
      <w:pPr>
        <w:pStyle w:val="BT-EMEASMCA"/>
      </w:pPr>
      <w:r>
        <w:t>gydymo laikotarpiu dėvėkite medvilninius apatinius drabužius (nedėvekite pagamintų iš sitentinių audinių);</w:t>
      </w:r>
    </w:p>
    <w:p w:rsidR="007E46BD" w:rsidRDefault="007E46BD">
      <w:pPr>
        <w:pStyle w:val="BT-EMEASMCA"/>
      </w:pPr>
      <w:r>
        <w:t>kad vartojant preparato apatiniai drabužiai nesusiteptų, juos reikia apsaugoti tam skirtomis priemonėmis.</w:t>
      </w:r>
    </w:p>
    <w:p w:rsidR="007E46BD" w:rsidRDefault="007E46BD">
      <w:pPr>
        <w:pStyle w:val="BTEMEASMCA"/>
      </w:pPr>
    </w:p>
    <w:p w:rsidR="007E46BD" w:rsidRDefault="007E46BD">
      <w:pPr>
        <w:pStyle w:val="BTEMEASMCA"/>
        <w:rPr>
          <w:u w:val="single"/>
        </w:rPr>
      </w:pPr>
      <w:r>
        <w:rPr>
          <w:u w:val="single"/>
        </w:rPr>
        <w:t>Vartojimas vaikams ir senyviems pacientams</w:t>
      </w:r>
    </w:p>
    <w:p w:rsidR="007E46BD" w:rsidRDefault="007E46BD">
      <w:pPr>
        <w:pStyle w:val="BTEMEASMCA"/>
        <w:rPr>
          <w:noProof w:val="0"/>
        </w:rPr>
      </w:pPr>
      <w:r>
        <w:t>Gynalgin</w:t>
      </w:r>
      <w:r>
        <w:rPr>
          <w:noProof w:val="0"/>
        </w:rPr>
        <w:t xml:space="preserve"> nerekomenduojama vartoti vaikams, nes duomenų apie saugumą ir veiksmingumą nėra.</w:t>
      </w:r>
    </w:p>
    <w:p w:rsidR="007E46BD" w:rsidRDefault="007E46BD">
      <w:pPr>
        <w:pStyle w:val="BTEMEASMCA"/>
      </w:pPr>
      <w:r>
        <w:rPr>
          <w:noProof w:val="0"/>
        </w:rPr>
        <w:t>Turimi duomenys rodo, kad senyvoms pacientėms dozės koreguoti nereikia.</w:t>
      </w:r>
    </w:p>
    <w:p w:rsidR="007E46BD" w:rsidRDefault="007E46BD">
      <w:pPr>
        <w:pStyle w:val="BTEMEASMCA"/>
      </w:pPr>
    </w:p>
    <w:p w:rsidR="007E46BD" w:rsidRDefault="007E46BD">
      <w:pPr>
        <w:pStyle w:val="PI-3EMEASMCA"/>
      </w:pPr>
      <w:r>
        <w:t>Kitų vaistų vartojimas</w:t>
      </w:r>
    </w:p>
    <w:p w:rsidR="007E46BD" w:rsidRDefault="007E46BD">
      <w:pPr>
        <w:pStyle w:val="BTEMEASMCA"/>
      </w:pPr>
      <w:r>
        <w:t>Jeigu vartojate arba neseniai vartojote kitų vaistų, įskaitant įsigytus be recepto, pasakykite gydytojui arba vaistininkui.</w:t>
      </w:r>
    </w:p>
    <w:p w:rsidR="007E46BD" w:rsidRDefault="007E46BD">
      <w:pPr>
        <w:pStyle w:val="BTEMEASMCA"/>
      </w:pPr>
    </w:p>
    <w:p w:rsidR="007E46BD" w:rsidRDefault="007E46BD">
      <w:pPr>
        <w:pStyle w:val="BTEMEASMCA"/>
      </w:pPr>
      <w:r>
        <w:t>Gynalgin nevartokite kartu su vaistais, kurių sudėtyje yra jodo, metalų ir kai kurių antiseptikų, pvz., benzalkonio chlorido.</w:t>
      </w:r>
    </w:p>
    <w:p w:rsidR="007E46BD" w:rsidRDefault="007E46BD">
      <w:pPr>
        <w:pStyle w:val="BTEMEASMCA"/>
      </w:pPr>
    </w:p>
    <w:p w:rsidR="007E46BD" w:rsidRDefault="007E46BD">
      <w:pPr>
        <w:pStyle w:val="BTEMEASMCA"/>
      </w:pPr>
      <w:r>
        <w:t>Dėl galimo toksinio poveikio nervų sistemai Gynalgin negalima vartoti kartu su vaistais, kurių sudėtyje yra disulfiramo (priklausomybę alkoholiui mažinančios medžiagos), o taip pat dar dvi savaites po pastarųjų vaistų vartojimo pabaigos.</w:t>
      </w:r>
    </w:p>
    <w:p w:rsidR="007E46BD" w:rsidRDefault="007E46BD">
      <w:pPr>
        <w:pStyle w:val="BTEMEASMCA"/>
      </w:pPr>
    </w:p>
    <w:p w:rsidR="007E46BD" w:rsidRDefault="007E46BD">
      <w:pPr>
        <w:pStyle w:val="BTEMEASMCA"/>
      </w:pPr>
      <w:r>
        <w:t>Metronidazolas gali stiprinti antikoaguliantų (kraujo krešėjimą slopinančių vaistų) poveikį ir ilginti kraujo krešėjimo laiką.</w:t>
      </w:r>
    </w:p>
    <w:p w:rsidR="003209F1" w:rsidRDefault="003209F1" w:rsidP="003209F1">
      <w:pPr>
        <w:pStyle w:val="BTEMEASMCA"/>
      </w:pPr>
      <w:r>
        <w:t>Metronidazolas gali stiprinti etilo alkoholio poveikį.</w:t>
      </w:r>
    </w:p>
    <w:p w:rsidR="007E46BD" w:rsidRDefault="007E46BD">
      <w:pPr>
        <w:pStyle w:val="BTEMEASMCA"/>
      </w:pPr>
    </w:p>
    <w:p w:rsidR="007E46BD" w:rsidRDefault="007E46BD">
      <w:pPr>
        <w:pStyle w:val="PI-3EMEASMCA"/>
      </w:pPr>
      <w:r>
        <w:t>Gynalgin vartojimas su maistu ir gėrimais</w:t>
      </w:r>
    </w:p>
    <w:p w:rsidR="007E46BD" w:rsidRDefault="007E46BD">
      <w:pPr>
        <w:pStyle w:val="BTEMEASMCA"/>
      </w:pPr>
      <w:r>
        <w:t>Gynalgin galima vartoti nepriklausomai nuo valgymo.</w:t>
      </w:r>
    </w:p>
    <w:p w:rsidR="007E46BD" w:rsidRDefault="007E46BD">
      <w:pPr>
        <w:pStyle w:val="BTEMEASMCA"/>
      </w:pPr>
    </w:p>
    <w:p w:rsidR="007E46BD" w:rsidRDefault="007E46BD">
      <w:pPr>
        <w:pStyle w:val="PI-3EMEASMCA"/>
      </w:pPr>
      <w:r>
        <w:t>Nėštumas ir žindymo laikotarpis</w:t>
      </w:r>
    </w:p>
    <w:p w:rsidR="007E46BD" w:rsidRDefault="007E46BD">
      <w:pPr>
        <w:pStyle w:val="BTEMEASMCA"/>
      </w:pPr>
      <w:r>
        <w:t>Prieš vartojant bet kokį vaistą, būtina pasitarti su gydytoju arba vaistininku.</w:t>
      </w:r>
    </w:p>
    <w:p w:rsidR="007E46BD" w:rsidRDefault="007E46BD">
      <w:pPr>
        <w:pStyle w:val="BTEMEASMCA"/>
      </w:pPr>
    </w:p>
    <w:p w:rsidR="007E46BD" w:rsidRDefault="007E46BD">
      <w:pPr>
        <w:pStyle w:val="BTEMEASMCA"/>
      </w:pPr>
      <w:r>
        <w:t>Nėštumo ir žindymo laikotarpiu preparatą vartoti draudžiama.</w:t>
      </w:r>
    </w:p>
    <w:p w:rsidR="007E46BD" w:rsidRDefault="007E46BD">
      <w:pPr>
        <w:pStyle w:val="BTEMEASMCA"/>
      </w:pPr>
    </w:p>
    <w:p w:rsidR="007E46BD" w:rsidRDefault="007E46BD">
      <w:pPr>
        <w:pStyle w:val="PI-3EMEASMCA"/>
      </w:pPr>
      <w:r>
        <w:t>Vairavimas ir mechanizmų valdymas</w:t>
      </w:r>
    </w:p>
    <w:p w:rsidR="007E46BD" w:rsidRDefault="007E46BD">
      <w:pPr>
        <w:pStyle w:val="BTEMEASMCA"/>
      </w:pPr>
      <w:r>
        <w:t>Kadangi negalima atmesti sisteminio vaisto poveikio (pvz., galvos svaigimo) galimybės, vairuoti automobilį ir valdyti mechanizmus reikia labai atsargiai.</w:t>
      </w:r>
    </w:p>
    <w:p w:rsidR="007E46BD" w:rsidRDefault="007E46BD">
      <w:pPr>
        <w:pStyle w:val="BTEMEASMCA"/>
      </w:pPr>
    </w:p>
    <w:p w:rsidR="007E46BD" w:rsidRDefault="007E46BD">
      <w:pPr>
        <w:pStyle w:val="BTEMEASMCA"/>
      </w:pPr>
    </w:p>
    <w:p w:rsidR="007E46BD" w:rsidRDefault="007E46BD">
      <w:pPr>
        <w:pStyle w:val="PI-1EMEASMCA"/>
      </w:pPr>
      <w:bookmarkStart w:id="82" w:name="_Toc129243141"/>
      <w:bookmarkStart w:id="83" w:name="_Toc129243266"/>
      <w:r>
        <w:t>3.</w:t>
      </w:r>
      <w:r>
        <w:tab/>
        <w:t xml:space="preserve">KAIP VARTOTI </w:t>
      </w:r>
      <w:bookmarkEnd w:id="82"/>
      <w:bookmarkEnd w:id="83"/>
      <w:r>
        <w:t>GYNALGIN</w:t>
      </w:r>
    </w:p>
    <w:p w:rsidR="007E46BD" w:rsidRDefault="007E46BD">
      <w:pPr>
        <w:pStyle w:val="BTEMEASMCA"/>
      </w:pPr>
    </w:p>
    <w:p w:rsidR="007E46BD" w:rsidRDefault="007E46BD">
      <w:pPr>
        <w:pStyle w:val="BTEMEASMCA"/>
      </w:pPr>
      <w:r>
        <w:t>Gynalgin visada vartokite tiksliai, kaip nurodė gydytojas. Jeigu abejojate, kreipkitės į gydytoją arba vaistininką.</w:t>
      </w:r>
    </w:p>
    <w:p w:rsidR="007E46BD" w:rsidRDefault="007E46BD">
      <w:pPr>
        <w:pStyle w:val="BTEMEASMCA"/>
      </w:pPr>
      <w:r>
        <w:t xml:space="preserve"> </w:t>
      </w:r>
    </w:p>
    <w:p w:rsidR="007E46BD" w:rsidRDefault="007E46BD">
      <w:pPr>
        <w:tabs>
          <w:tab w:val="num" w:pos="360"/>
        </w:tabs>
        <w:rPr>
          <w:sz w:val="22"/>
          <w:szCs w:val="22"/>
        </w:rPr>
      </w:pPr>
      <w:r>
        <w:rPr>
          <w:sz w:val="22"/>
          <w:szCs w:val="22"/>
        </w:rPr>
        <w:t>Įprasta dozė – reikia vartoti po vieną Gynalgin tabletę kartą per parą (geriausia nakčiai). Tabletę reikia vartoti giliai į makštį.</w:t>
      </w:r>
    </w:p>
    <w:p w:rsidR="007E46BD" w:rsidRDefault="007E46BD">
      <w:pPr>
        <w:tabs>
          <w:tab w:val="num" w:pos="360"/>
        </w:tabs>
        <w:rPr>
          <w:sz w:val="22"/>
          <w:szCs w:val="22"/>
        </w:rPr>
      </w:pPr>
      <w:r>
        <w:rPr>
          <w:sz w:val="22"/>
          <w:szCs w:val="22"/>
        </w:rPr>
        <w:t>Gydymą reikėtų pradėti praėjus 2-4 dienoms po mėnesinių ir tęsti 7-10 parų. Prireikus gydymo kursą galima kartoti.</w:t>
      </w:r>
    </w:p>
    <w:p w:rsidR="007E46BD" w:rsidRDefault="007E46BD">
      <w:pPr>
        <w:pStyle w:val="BTEMEASMCA"/>
      </w:pPr>
    </w:p>
    <w:p w:rsidR="007E46BD" w:rsidRDefault="007E46BD">
      <w:pPr>
        <w:pStyle w:val="BTEMEASMCA"/>
        <w:rPr>
          <w:u w:val="single"/>
        </w:rPr>
      </w:pPr>
      <w:r>
        <w:rPr>
          <w:u w:val="single"/>
        </w:rPr>
        <w:t>Jaunesniems kaip 18 metų vaikams</w:t>
      </w:r>
    </w:p>
    <w:p w:rsidR="007E46BD" w:rsidRDefault="007E46BD">
      <w:pPr>
        <w:pStyle w:val="BTEMEASMCA"/>
        <w:rPr>
          <w:noProof w:val="0"/>
        </w:rPr>
      </w:pPr>
      <w:r>
        <w:t xml:space="preserve">Gynalgin </w:t>
      </w:r>
      <w:r>
        <w:rPr>
          <w:noProof w:val="0"/>
        </w:rPr>
        <w:t>nerekomenduojama vartoti jaunesniems kaip 18 metų vaikams.</w:t>
      </w:r>
    </w:p>
    <w:p w:rsidR="007E46BD" w:rsidRDefault="007E46BD">
      <w:pPr>
        <w:pStyle w:val="BTEMEASMCA"/>
        <w:rPr>
          <w:noProof w:val="0"/>
        </w:rPr>
      </w:pPr>
    </w:p>
    <w:p w:rsidR="007E46BD" w:rsidRDefault="007E46BD">
      <w:pPr>
        <w:pStyle w:val="BTEMEASMCA"/>
        <w:rPr>
          <w:u w:val="single"/>
        </w:rPr>
      </w:pPr>
      <w:r>
        <w:rPr>
          <w:u w:val="single"/>
        </w:rPr>
        <w:t>Senyvoms pacientėms</w:t>
      </w:r>
    </w:p>
    <w:p w:rsidR="007E46BD" w:rsidRDefault="007E46BD">
      <w:pPr>
        <w:pStyle w:val="BTEMEASMCA"/>
        <w:rPr>
          <w:noProof w:val="0"/>
        </w:rPr>
      </w:pPr>
      <w:r>
        <w:rPr>
          <w:noProof w:val="0"/>
        </w:rPr>
        <w:t>Senyvoms pacientėms dozės koreguoti nereikia.</w:t>
      </w:r>
    </w:p>
    <w:p w:rsidR="007E46BD" w:rsidRDefault="007E46BD">
      <w:pPr>
        <w:pStyle w:val="BTEMEASMCA"/>
      </w:pPr>
    </w:p>
    <w:p w:rsidR="007E46BD" w:rsidRDefault="007E46BD">
      <w:pPr>
        <w:pStyle w:val="PI-3EMEASMCA"/>
      </w:pPr>
      <w:r>
        <w:t>Pavartojus per didelę Gynalgin dozę</w:t>
      </w:r>
    </w:p>
    <w:p w:rsidR="007E46BD" w:rsidRDefault="007E46BD">
      <w:pPr>
        <w:pStyle w:val="BTEMEASMCA"/>
      </w:pPr>
      <w:r>
        <w:t>Pranešimų apie perdozavimą negauta.</w:t>
      </w:r>
    </w:p>
    <w:p w:rsidR="007E46BD" w:rsidRDefault="007E46BD">
      <w:pPr>
        <w:pStyle w:val="PI-3EMEASMCA"/>
      </w:pPr>
    </w:p>
    <w:p w:rsidR="007E46BD" w:rsidRDefault="007E46BD">
      <w:pPr>
        <w:pStyle w:val="PI-3EMEASMCA"/>
      </w:pPr>
      <w:r>
        <w:t>Pamiršus pavartoti Gynalgin</w:t>
      </w:r>
    </w:p>
    <w:p w:rsidR="007E46BD" w:rsidRDefault="007E46BD">
      <w:pPr>
        <w:pStyle w:val="BTEMEASMCA"/>
        <w:rPr>
          <w:noProof w:val="0"/>
        </w:rPr>
      </w:pPr>
      <w:r>
        <w:rPr>
          <w:noProof w:val="0"/>
        </w:rPr>
        <w:t xml:space="preserve">Negalima vartoti dvigubos dozės norint kompensuoti praleistą tabletę. </w:t>
      </w:r>
      <w:r>
        <w:t>Pamiršus suvartoti vienkartinę Gynalgin dozę, tai reikia padaryti nedelsiant, išskyrus atvejus, kai liko nedaug laiko iki kitos dozės vartojimo. Pastaruoju atveju vaisto toliau reikia vartoti įprastai.</w:t>
      </w:r>
    </w:p>
    <w:p w:rsidR="007E46BD" w:rsidRDefault="007E46BD">
      <w:pPr>
        <w:pStyle w:val="BTEMEASMCA"/>
      </w:pPr>
    </w:p>
    <w:p w:rsidR="007E46BD" w:rsidRDefault="007E46BD">
      <w:pPr>
        <w:pStyle w:val="PI-3EMEASMCA"/>
      </w:pPr>
      <w:r>
        <w:t>Nustojus vartoti Gynalgin</w:t>
      </w:r>
    </w:p>
    <w:p w:rsidR="007E46BD" w:rsidRDefault="007E46BD">
      <w:pPr>
        <w:pStyle w:val="BTEMEASMCA"/>
      </w:pPr>
      <w:r>
        <w:lastRenderedPageBreak/>
        <w:t>Nustojus vartoti Gynalgin, šiuo vaistu gydomos ligos požymiai gali pasunkėti.</w:t>
      </w:r>
    </w:p>
    <w:p w:rsidR="007E46BD" w:rsidRDefault="007E46BD">
      <w:pPr>
        <w:pStyle w:val="BTEMEASMCA"/>
      </w:pPr>
      <w:r>
        <w:t>Jeigu kiltų daugiau klausimų dėl šio vaisto vartojimo, kreipkitės į gydytoją arba vaistininką.</w:t>
      </w:r>
    </w:p>
    <w:p w:rsidR="007E46BD" w:rsidRDefault="007E46BD">
      <w:pPr>
        <w:pStyle w:val="BTEMEASMCA"/>
      </w:pPr>
    </w:p>
    <w:p w:rsidR="007E46BD" w:rsidRDefault="007E46BD">
      <w:pPr>
        <w:pStyle w:val="BTEMEASMCA"/>
      </w:pPr>
    </w:p>
    <w:p w:rsidR="007E46BD" w:rsidRDefault="007E46BD">
      <w:pPr>
        <w:pStyle w:val="PI-1EMEASMCA"/>
      </w:pPr>
      <w:bookmarkStart w:id="84" w:name="_Toc129243142"/>
      <w:bookmarkStart w:id="85" w:name="_Toc129243267"/>
      <w:r>
        <w:t>4.</w:t>
      </w:r>
      <w:r>
        <w:tab/>
        <w:t>GALIMAS ŠALUTINIS POVEIKIS</w:t>
      </w:r>
      <w:bookmarkEnd w:id="84"/>
      <w:bookmarkEnd w:id="85"/>
    </w:p>
    <w:p w:rsidR="007E46BD" w:rsidRDefault="007E46BD">
      <w:pPr>
        <w:pStyle w:val="BTEMEASMCA"/>
      </w:pPr>
    </w:p>
    <w:p w:rsidR="007E46BD" w:rsidRDefault="007E46BD">
      <w:pPr>
        <w:pStyle w:val="BTEMEASMCA"/>
      </w:pPr>
      <w:r>
        <w:t>Gynalgin, kaip ir visi kiti vaistai, gali sukelti šalutinį poveikį, nors jis pasireiškia ne visiems žmonėms.</w:t>
      </w:r>
    </w:p>
    <w:p w:rsidR="007E46BD" w:rsidRDefault="007E46BD">
      <w:pPr>
        <w:pStyle w:val="BTEMEASMCA"/>
      </w:pPr>
    </w:p>
    <w:p w:rsidR="007E46BD" w:rsidRDefault="007E46BD">
      <w:pPr>
        <w:tabs>
          <w:tab w:val="num" w:pos="360"/>
        </w:tabs>
        <w:rPr>
          <w:sz w:val="22"/>
          <w:szCs w:val="22"/>
        </w:rPr>
      </w:pPr>
      <w:r>
        <w:rPr>
          <w:sz w:val="22"/>
          <w:szCs w:val="22"/>
        </w:rPr>
        <w:t xml:space="preserve">Gynalgin – </w:t>
      </w:r>
      <w:r w:rsidR="00D16EC0">
        <w:rPr>
          <w:sz w:val="22"/>
          <w:szCs w:val="22"/>
        </w:rPr>
        <w:t xml:space="preserve">dažniausiai </w:t>
      </w:r>
      <w:r>
        <w:rPr>
          <w:sz w:val="22"/>
          <w:szCs w:val="22"/>
        </w:rPr>
        <w:t>gerai toleruojamas preparatas. Toliau pateikiami visi šalutiniai reiškiniai, apie kuriuos iki šiol gauta pranešimų</w:t>
      </w:r>
      <w:r w:rsidR="00D16EC0">
        <w:rPr>
          <w:sz w:val="22"/>
          <w:szCs w:val="22"/>
        </w:rPr>
        <w:t>:</w:t>
      </w:r>
    </w:p>
    <w:p w:rsidR="007E46BD" w:rsidRDefault="007E46BD">
      <w:pPr>
        <w:tabs>
          <w:tab w:val="num" w:pos="360"/>
        </w:tabs>
        <w:rPr>
          <w:sz w:val="22"/>
          <w:szCs w:val="22"/>
        </w:rPr>
      </w:pPr>
    </w:p>
    <w:p w:rsidR="007E46BD" w:rsidRDefault="007E46BD">
      <w:pPr>
        <w:tabs>
          <w:tab w:val="num" w:pos="360"/>
        </w:tabs>
        <w:rPr>
          <w:i/>
          <w:sz w:val="22"/>
          <w:szCs w:val="22"/>
        </w:rPr>
      </w:pPr>
    </w:p>
    <w:p w:rsidR="007E46BD" w:rsidRDefault="007E46BD">
      <w:pPr>
        <w:tabs>
          <w:tab w:val="num" w:pos="360"/>
        </w:tabs>
        <w:rPr>
          <w:sz w:val="22"/>
          <w:szCs w:val="22"/>
        </w:rPr>
      </w:pPr>
      <w:r>
        <w:rPr>
          <w:sz w:val="22"/>
          <w:szCs w:val="22"/>
        </w:rPr>
        <w:t>makšties ir išorinių lyties organų niežulys, padidėjęs makšties sausumas, alerginė reakcija, sisteminis poveikis – spazminiai apatinės pilvo dalies skausmai, pykinimas, vidurių užkietėjimas, apetito stoka, metalo skonio pojūtis burnoje, viduriavimas, galvos svaigimas ir skausmas.</w:t>
      </w:r>
    </w:p>
    <w:p w:rsidR="007E46BD" w:rsidRDefault="007E46BD">
      <w:pPr>
        <w:pStyle w:val="BTEMEASMCA"/>
      </w:pPr>
    </w:p>
    <w:p w:rsidR="007E46BD" w:rsidRDefault="007E46BD">
      <w:pPr>
        <w:pStyle w:val="BTEMEASMCA"/>
      </w:pPr>
      <w:r>
        <w:t>Jeigu pasireiškė sunkus šalutinis poveikis arba pastebėjote šiame lapelyje nenurodytą šalutinį poveikį, pasakykite gydytojui arba vaistininkui.</w:t>
      </w:r>
    </w:p>
    <w:p w:rsidR="007E46BD" w:rsidRDefault="007E46BD">
      <w:pPr>
        <w:pStyle w:val="BTEMEASMCA"/>
      </w:pPr>
    </w:p>
    <w:p w:rsidR="007E46BD" w:rsidRDefault="007E46BD">
      <w:pPr>
        <w:pStyle w:val="BTEMEASMCA"/>
      </w:pPr>
    </w:p>
    <w:p w:rsidR="007E46BD" w:rsidRDefault="007E46BD">
      <w:pPr>
        <w:pStyle w:val="PI-1EMEASMCA"/>
      </w:pPr>
      <w:bookmarkStart w:id="86" w:name="_Toc129243143"/>
      <w:bookmarkStart w:id="87" w:name="_Toc129243268"/>
      <w:r>
        <w:t>5.</w:t>
      </w:r>
      <w:r>
        <w:tab/>
        <w:t xml:space="preserve">KAIP LAIKYTI </w:t>
      </w:r>
      <w:bookmarkEnd w:id="86"/>
      <w:bookmarkEnd w:id="87"/>
      <w:r>
        <w:t>GYNALGIN</w:t>
      </w:r>
    </w:p>
    <w:p w:rsidR="007E46BD" w:rsidRDefault="007E46BD">
      <w:pPr>
        <w:pStyle w:val="BTEMEASMCA"/>
      </w:pPr>
    </w:p>
    <w:p w:rsidR="007E46BD" w:rsidRDefault="007E46BD">
      <w:pPr>
        <w:pStyle w:val="BTEMEASMCA"/>
      </w:pPr>
      <w:r>
        <w:t>Laikyti vaikams nepasiekiamoje ir nepastebimoje vietoje.</w:t>
      </w:r>
    </w:p>
    <w:p w:rsidR="007E46BD" w:rsidRDefault="007E46BD">
      <w:pPr>
        <w:pStyle w:val="BTEMEASMCA"/>
      </w:pPr>
    </w:p>
    <w:p w:rsidR="007E46BD" w:rsidRDefault="007E46BD">
      <w:pPr>
        <w:tabs>
          <w:tab w:val="num" w:pos="360"/>
        </w:tabs>
        <w:rPr>
          <w:noProof/>
          <w:sz w:val="22"/>
          <w:szCs w:val="22"/>
        </w:rPr>
      </w:pPr>
      <w:r>
        <w:rPr>
          <w:noProof/>
          <w:sz w:val="22"/>
          <w:szCs w:val="22"/>
        </w:rPr>
        <w:t xml:space="preserve">Laikyti ne aukštesnėje kaip 25 </w:t>
      </w:r>
      <w:r>
        <w:rPr>
          <w:noProof/>
          <w:sz w:val="22"/>
          <w:szCs w:val="22"/>
        </w:rPr>
        <w:sym w:font="Symbol" w:char="F0B0"/>
      </w:r>
      <w:r>
        <w:rPr>
          <w:noProof/>
          <w:sz w:val="22"/>
          <w:szCs w:val="22"/>
        </w:rPr>
        <w:t>C temperatūroje.</w:t>
      </w:r>
    </w:p>
    <w:p w:rsidR="008715A5" w:rsidRPr="005C7680" w:rsidRDefault="008715A5" w:rsidP="008715A5">
      <w:pPr>
        <w:pStyle w:val="BTEMEASMCA"/>
        <w:rPr>
          <w:noProof w:val="0"/>
        </w:rPr>
      </w:pPr>
      <w:r w:rsidRPr="005C7680">
        <w:t xml:space="preserve">Laikyti </w:t>
      </w:r>
      <w:r>
        <w:t>gamintojo pakuotėje</w:t>
      </w:r>
      <w:r w:rsidRPr="005C7680">
        <w:t>, kad preparatas būtų apsaugotas nuo drėgmės.</w:t>
      </w:r>
    </w:p>
    <w:p w:rsidR="007E46BD" w:rsidRDefault="007E46BD">
      <w:pPr>
        <w:pStyle w:val="BTEMEASMCA"/>
      </w:pPr>
    </w:p>
    <w:p w:rsidR="007E46BD" w:rsidRDefault="007E46BD">
      <w:pPr>
        <w:pStyle w:val="BTEMEASMCA"/>
      </w:pPr>
      <w:r>
        <w:t xml:space="preserve">Ant dėžutės po „Tinka iki“ </w:t>
      </w:r>
      <w:r w:rsidR="008715A5">
        <w:t xml:space="preserve">ir lizdinės plokštelės </w:t>
      </w:r>
      <w:r>
        <w:t>nurodytam tinkamumo laikui pasibaigus, Gynalgin vartoti negalima. Vaistas tinka vartoti iki paskutinės nurodyto mėnesio dienos.</w:t>
      </w:r>
    </w:p>
    <w:p w:rsidR="007E46BD" w:rsidRDefault="007E46BD">
      <w:pPr>
        <w:pStyle w:val="BTEMEASMCA"/>
      </w:pPr>
    </w:p>
    <w:p w:rsidR="007E46BD" w:rsidRDefault="007E46BD">
      <w:pPr>
        <w:pStyle w:val="BTEMEASMCA"/>
      </w:pPr>
      <w:r>
        <w:t>Vaistų negalima išpilti į kanalizaciją arba išmesti su buitinėmis atliekomis. Kaip tvarkyti nereikalingus vaistus, klauskite vaistininko. Šios priemonės padės apsaugoti aplinką.</w:t>
      </w:r>
    </w:p>
    <w:p w:rsidR="007E46BD" w:rsidRDefault="007E46BD">
      <w:pPr>
        <w:pStyle w:val="BTEMEASMCA"/>
      </w:pPr>
    </w:p>
    <w:p w:rsidR="007E46BD" w:rsidRDefault="007E46BD">
      <w:pPr>
        <w:pStyle w:val="BTEMEASMCA"/>
      </w:pPr>
    </w:p>
    <w:p w:rsidR="007E46BD" w:rsidRDefault="007E46BD">
      <w:pPr>
        <w:pStyle w:val="PI-1EMEASMCA"/>
      </w:pPr>
      <w:bookmarkStart w:id="88" w:name="_Toc129243144"/>
      <w:bookmarkStart w:id="89" w:name="_Toc129243269"/>
      <w:r>
        <w:t>6.</w:t>
      </w:r>
      <w:r>
        <w:tab/>
        <w:t>KITA INFORMACIJA</w:t>
      </w:r>
      <w:bookmarkEnd w:id="88"/>
      <w:bookmarkEnd w:id="89"/>
    </w:p>
    <w:p w:rsidR="007E46BD" w:rsidRDefault="007E46BD">
      <w:pPr>
        <w:pStyle w:val="BTEMEASMCA"/>
      </w:pPr>
    </w:p>
    <w:p w:rsidR="007E46BD" w:rsidRDefault="007E46BD">
      <w:pPr>
        <w:pStyle w:val="PI-3EMEASMCA"/>
      </w:pPr>
      <w:r>
        <w:t>Gynalgin sudėtis</w:t>
      </w:r>
    </w:p>
    <w:p w:rsidR="007E46BD" w:rsidRDefault="007E46BD">
      <w:pPr>
        <w:pStyle w:val="BTEMEASMCA"/>
      </w:pPr>
    </w:p>
    <w:p w:rsidR="007E46BD" w:rsidRDefault="007E46BD">
      <w:pPr>
        <w:pStyle w:val="BT-EMEASMCA"/>
        <w:numPr>
          <w:ilvl w:val="0"/>
          <w:numId w:val="0"/>
        </w:numPr>
        <w:ind w:left="720" w:hanging="360"/>
      </w:pPr>
      <w:r>
        <w:t>-</w:t>
      </w:r>
      <w:r>
        <w:tab/>
        <w:t xml:space="preserve">Veikliosios medžiagos yra chlorkvinaldolis ir metronidazolas. </w:t>
      </w:r>
      <w:r w:rsidR="008715A5">
        <w:t>Kiekv</w:t>
      </w:r>
      <w:r>
        <w:t>ienoje makšties tabletėje yra 100 mg chlorkvinaldolio ir 250 mg metronidazolo.</w:t>
      </w:r>
    </w:p>
    <w:p w:rsidR="007E46BD" w:rsidRDefault="007E46BD">
      <w:pPr>
        <w:pStyle w:val="BT-EMEASMCA"/>
        <w:numPr>
          <w:ilvl w:val="0"/>
          <w:numId w:val="0"/>
        </w:numPr>
        <w:ind w:left="720" w:hanging="360"/>
        <w:rPr>
          <w:noProof w:val="0"/>
        </w:rPr>
      </w:pPr>
      <w:r>
        <w:t>-</w:t>
      </w:r>
      <w:r>
        <w:tab/>
        <w:t>Pagalbinės medžiagos yra bevandenė citrinų rūgštis, laktozės monohidratas, ryžių krakmolas, karboksimetilkrakmolo</w:t>
      </w:r>
      <w:r w:rsidR="008715A5">
        <w:t xml:space="preserve"> C</w:t>
      </w:r>
      <w:r>
        <w:t xml:space="preserve"> natrio druska, makrogolis 6000, magnio stearatas.</w:t>
      </w:r>
    </w:p>
    <w:p w:rsidR="007E46BD" w:rsidRDefault="007E46BD">
      <w:pPr>
        <w:pStyle w:val="BTEMEASMCA"/>
      </w:pPr>
    </w:p>
    <w:p w:rsidR="007E46BD" w:rsidRDefault="007E46BD">
      <w:pPr>
        <w:pStyle w:val="PI-3EMEASMCA"/>
      </w:pPr>
      <w:r>
        <w:t>Gynalgin išvaizda ir kiekis pakuotėje</w:t>
      </w:r>
    </w:p>
    <w:p w:rsidR="007E46BD" w:rsidRDefault="007E46BD">
      <w:pPr>
        <w:pStyle w:val="BTEMEASMCA"/>
      </w:pPr>
    </w:p>
    <w:p w:rsidR="007E46BD" w:rsidRDefault="007E46BD">
      <w:pPr>
        <w:pStyle w:val="BTEMEASMCA"/>
      </w:pPr>
      <w:r>
        <w:t xml:space="preserve">Gynalgin yra pailga, šviesiai rusva tabletė, kurios vienoje pusėje įspausta G raidė. </w:t>
      </w:r>
    </w:p>
    <w:p w:rsidR="007E46BD" w:rsidRDefault="007E46BD">
      <w:pPr>
        <w:pStyle w:val="BTEMEASMCA"/>
      </w:pPr>
      <w:r>
        <w:t>Tabletės po 5 supakuotos į Al//PVC/Al/OPA folijos lizdines plokšteles. Kartono dėžutėje yra dvi lizdinės plokštelės (10 tablečių).</w:t>
      </w:r>
    </w:p>
    <w:p w:rsidR="007E46BD" w:rsidRDefault="007E46BD">
      <w:pPr>
        <w:pStyle w:val="BTEMEASMCA"/>
      </w:pPr>
    </w:p>
    <w:p w:rsidR="00750F27" w:rsidRDefault="00750F27">
      <w:pPr>
        <w:pStyle w:val="BTEMEASMCA"/>
      </w:pPr>
    </w:p>
    <w:p w:rsidR="00750F27" w:rsidRDefault="007E46BD">
      <w:pPr>
        <w:pStyle w:val="PI-3EMEASMCA"/>
      </w:pPr>
      <w:r>
        <w:t xml:space="preserve">Rinkodaros teisės turėtojas </w:t>
      </w:r>
    </w:p>
    <w:p w:rsidR="00750F27" w:rsidRDefault="00750F27">
      <w:pPr>
        <w:pStyle w:val="PI-3EMEASMCA"/>
      </w:pPr>
    </w:p>
    <w:p w:rsidR="00D4576F" w:rsidRDefault="00D4576F" w:rsidP="00D4576F">
      <w:pPr>
        <w:rPr>
          <w:sz w:val="22"/>
          <w:szCs w:val="22"/>
        </w:rPr>
      </w:pPr>
      <w:r>
        <w:rPr>
          <w:sz w:val="22"/>
          <w:szCs w:val="22"/>
        </w:rPr>
        <w:t>SIA Meda Pharma</w:t>
      </w:r>
    </w:p>
    <w:p w:rsidR="00D4576F" w:rsidRDefault="00D4576F" w:rsidP="00D4576F">
      <w:pPr>
        <w:rPr>
          <w:sz w:val="22"/>
          <w:szCs w:val="22"/>
        </w:rPr>
      </w:pPr>
      <w:r>
        <w:rPr>
          <w:sz w:val="22"/>
          <w:szCs w:val="22"/>
        </w:rPr>
        <w:t>Vienibas gatve 109, Rīga LV-1058</w:t>
      </w:r>
    </w:p>
    <w:p w:rsidR="00D4576F" w:rsidRDefault="00D4576F" w:rsidP="00D4576F">
      <w:pPr>
        <w:rPr>
          <w:sz w:val="22"/>
          <w:szCs w:val="22"/>
        </w:rPr>
      </w:pPr>
      <w:r>
        <w:rPr>
          <w:sz w:val="22"/>
          <w:szCs w:val="22"/>
        </w:rPr>
        <w:t xml:space="preserve">Latvija </w:t>
      </w:r>
    </w:p>
    <w:p w:rsidR="00750F27" w:rsidRDefault="00750F27">
      <w:pPr>
        <w:pStyle w:val="PI-3EMEASMCA"/>
      </w:pPr>
    </w:p>
    <w:p w:rsidR="00750F27" w:rsidRDefault="00750F27">
      <w:pPr>
        <w:pStyle w:val="PI-3EMEASMCA"/>
      </w:pPr>
    </w:p>
    <w:p w:rsidR="007E46BD" w:rsidRDefault="00750F27">
      <w:pPr>
        <w:pStyle w:val="PI-3EMEASMCA"/>
      </w:pPr>
      <w:r>
        <w:t>Ga</w:t>
      </w:r>
      <w:r w:rsidR="007E46BD">
        <w:t>mintojas</w:t>
      </w:r>
    </w:p>
    <w:p w:rsidR="007E46BD" w:rsidRDefault="007E46BD">
      <w:pPr>
        <w:pStyle w:val="BTEMEASMCA"/>
      </w:pPr>
    </w:p>
    <w:p w:rsidR="007E46BD" w:rsidRDefault="007E46BD">
      <w:pPr>
        <w:pStyle w:val="BTEMEASMCA"/>
      </w:pPr>
      <w:r>
        <w:t>ICN Polfa Rzeszów S.A.</w:t>
      </w:r>
    </w:p>
    <w:p w:rsidR="007E46BD" w:rsidRDefault="007E46BD">
      <w:pPr>
        <w:pStyle w:val="BTEMEASMCA"/>
      </w:pPr>
      <w:r>
        <w:t xml:space="preserve">ul. Przemysłowa 2 </w:t>
      </w:r>
    </w:p>
    <w:p w:rsidR="007E46BD" w:rsidRDefault="007E46BD">
      <w:pPr>
        <w:pStyle w:val="BTEMEASMCA"/>
      </w:pPr>
      <w:r>
        <w:t>35-959 Rzeszów</w:t>
      </w:r>
    </w:p>
    <w:p w:rsidR="007E46BD" w:rsidRDefault="007E46BD">
      <w:pPr>
        <w:pStyle w:val="BTEMEASMCA"/>
      </w:pPr>
      <w:r>
        <w:t>Lenkija</w:t>
      </w:r>
    </w:p>
    <w:p w:rsidR="007E46BD" w:rsidRDefault="007E46BD">
      <w:pPr>
        <w:pStyle w:val="BTEMEASMCA"/>
      </w:pPr>
    </w:p>
    <w:p w:rsidR="007E46BD" w:rsidRDefault="007E46BD">
      <w:pPr>
        <w:pStyle w:val="BTEMEASMCA"/>
      </w:pPr>
      <w:r>
        <w:t>Jeigu apie šį vaistą norite sužinoti daugiau, kreipkitės į vietinį rinkodaros teisės turėtojo atstovą.</w:t>
      </w:r>
    </w:p>
    <w:p w:rsidR="007E46BD" w:rsidRDefault="007E46BD">
      <w:pPr>
        <w:rPr>
          <w:sz w:val="22"/>
          <w:szCs w:val="22"/>
        </w:rPr>
      </w:pPr>
    </w:p>
    <w:tbl>
      <w:tblPr>
        <w:tblW w:w="4678" w:type="dxa"/>
        <w:tblInd w:w="-34" w:type="dxa"/>
        <w:tblLayout w:type="fixed"/>
        <w:tblLook w:val="0000" w:firstRow="0" w:lastRow="0" w:firstColumn="0" w:lastColumn="0" w:noHBand="0" w:noVBand="0"/>
      </w:tblPr>
      <w:tblGrid>
        <w:gridCol w:w="4678"/>
      </w:tblGrid>
      <w:tr w:rsidR="007E46BD">
        <w:tc>
          <w:tcPr>
            <w:tcW w:w="4678" w:type="dxa"/>
          </w:tcPr>
          <w:p w:rsidR="00BE7737" w:rsidRPr="00BE7737" w:rsidRDefault="00BE7737" w:rsidP="00BE7737">
            <w:pPr>
              <w:rPr>
                <w:sz w:val="22"/>
                <w:szCs w:val="22"/>
              </w:rPr>
            </w:pPr>
            <w:r w:rsidRPr="00BE7737">
              <w:rPr>
                <w:sz w:val="22"/>
                <w:szCs w:val="22"/>
              </w:rPr>
              <w:t xml:space="preserve">SIA Meda </w:t>
            </w:r>
            <w:proofErr w:type="spellStart"/>
            <w:r w:rsidRPr="00BE7737">
              <w:rPr>
                <w:sz w:val="22"/>
                <w:szCs w:val="22"/>
              </w:rPr>
              <w:t>Pharma</w:t>
            </w:r>
            <w:proofErr w:type="spellEnd"/>
          </w:p>
          <w:p w:rsidR="00BE7737" w:rsidRPr="00BE7737" w:rsidRDefault="00BE7737" w:rsidP="00BE7737">
            <w:pPr>
              <w:rPr>
                <w:sz w:val="22"/>
                <w:szCs w:val="22"/>
              </w:rPr>
            </w:pPr>
            <w:r w:rsidRPr="00BE7737">
              <w:rPr>
                <w:sz w:val="22"/>
                <w:szCs w:val="22"/>
              </w:rPr>
              <w:t>Ukmergės g. 369A</w:t>
            </w:r>
          </w:p>
          <w:p w:rsidR="00BE7737" w:rsidRPr="00BE7737" w:rsidRDefault="00BE7737" w:rsidP="00BE7737">
            <w:pPr>
              <w:rPr>
                <w:sz w:val="22"/>
                <w:szCs w:val="22"/>
              </w:rPr>
            </w:pPr>
            <w:r w:rsidRPr="00BE7737">
              <w:rPr>
                <w:sz w:val="22"/>
                <w:szCs w:val="22"/>
              </w:rPr>
              <w:t>LT-12142 Vilnius</w:t>
            </w:r>
          </w:p>
          <w:p w:rsidR="00BE7737" w:rsidRPr="00BE7737" w:rsidRDefault="00BE7737" w:rsidP="00BE7737">
            <w:pPr>
              <w:rPr>
                <w:sz w:val="22"/>
                <w:szCs w:val="22"/>
              </w:rPr>
            </w:pPr>
            <w:r w:rsidRPr="00BE7737">
              <w:rPr>
                <w:sz w:val="22"/>
                <w:szCs w:val="22"/>
              </w:rPr>
              <w:t>Tel.: +370 52059367</w:t>
            </w:r>
          </w:p>
          <w:p w:rsidR="00BE7737" w:rsidRPr="00BE7737" w:rsidRDefault="00BE7737" w:rsidP="00BE7737">
            <w:pPr>
              <w:rPr>
                <w:sz w:val="22"/>
                <w:szCs w:val="22"/>
              </w:rPr>
            </w:pPr>
            <w:r w:rsidRPr="00BE7737">
              <w:rPr>
                <w:sz w:val="22"/>
                <w:szCs w:val="22"/>
              </w:rPr>
              <w:t>Faksas: +370 52059367</w:t>
            </w:r>
          </w:p>
          <w:p w:rsidR="00BE7737" w:rsidRPr="00BE7737" w:rsidRDefault="00BE7737" w:rsidP="00BE7737">
            <w:pPr>
              <w:rPr>
                <w:sz w:val="22"/>
                <w:szCs w:val="22"/>
              </w:rPr>
            </w:pPr>
            <w:r w:rsidRPr="00BE7737">
              <w:rPr>
                <w:sz w:val="22"/>
                <w:szCs w:val="22"/>
              </w:rPr>
              <w:t xml:space="preserve">El. paštas: </w:t>
            </w:r>
            <w:hyperlink r:id="rId9" w:history="1">
              <w:r w:rsidRPr="00BE7737">
                <w:rPr>
                  <w:rStyle w:val="Hipersaitas"/>
                  <w:sz w:val="22"/>
                  <w:szCs w:val="22"/>
                </w:rPr>
                <w:t>info.bb@medapharma.eu</w:t>
              </w:r>
            </w:hyperlink>
          </w:p>
          <w:p w:rsidR="00C76490" w:rsidRDefault="00C76490">
            <w:pPr>
              <w:tabs>
                <w:tab w:val="left" w:pos="-720"/>
              </w:tabs>
              <w:suppressAutoHyphens/>
              <w:rPr>
                <w:sz w:val="22"/>
                <w:szCs w:val="22"/>
              </w:rPr>
            </w:pPr>
          </w:p>
        </w:tc>
      </w:tr>
    </w:tbl>
    <w:p w:rsidR="007E46BD" w:rsidRDefault="007E46BD">
      <w:pPr>
        <w:pStyle w:val="BTEMEASMCA"/>
      </w:pPr>
    </w:p>
    <w:p w:rsidR="007E46BD" w:rsidRDefault="007E46BD">
      <w:pPr>
        <w:pStyle w:val="BTbEMEASMCA"/>
        <w:rPr>
          <w:bCs/>
        </w:rPr>
      </w:pPr>
    </w:p>
    <w:p w:rsidR="007E46BD" w:rsidRDefault="007E46BD">
      <w:pPr>
        <w:pStyle w:val="BTbEMEASMCA"/>
      </w:pPr>
      <w:r>
        <w:rPr>
          <w:bCs/>
        </w:rPr>
        <w:t>Šis pakuotės lapelis</w:t>
      </w:r>
      <w:r>
        <w:t xml:space="preserve"> paskutinį kartą patvirtintas </w:t>
      </w:r>
      <w:r w:rsidR="00BE7737">
        <w:t>2014-11-21</w:t>
      </w:r>
    </w:p>
    <w:p w:rsidR="007E46BD" w:rsidRDefault="007E46BD">
      <w:pPr>
        <w:rPr>
          <w:sz w:val="22"/>
          <w:szCs w:val="22"/>
        </w:rPr>
      </w:pPr>
    </w:p>
    <w:p w:rsidR="009F401B" w:rsidRDefault="009F401B">
      <w:pPr>
        <w:rPr>
          <w:sz w:val="22"/>
          <w:szCs w:val="22"/>
        </w:rPr>
      </w:pPr>
    </w:p>
    <w:p w:rsidR="007E46BD" w:rsidRDefault="007E46BD">
      <w:pPr>
        <w:pStyle w:val="BTEMEASMCA"/>
      </w:pPr>
      <w:r>
        <w:t xml:space="preserve">Naujausia pakuotės lapelio redakcija pateikiama Valstybinės vaistų kontrolės tarnybos prie Lietuvos Respublikos sveikatos apsaugos ministerijos (VVKT) interneto svetainėje </w:t>
      </w:r>
      <w:hyperlink r:id="rId10" w:history="1">
        <w:r w:rsidR="005660CF" w:rsidRPr="004D6E7E">
          <w:rPr>
            <w:rStyle w:val="Hipersaitas"/>
          </w:rPr>
          <w:t>http://www.vvkt.lt/</w:t>
        </w:r>
      </w:hyperlink>
    </w:p>
    <w:p w:rsidR="007E46BD" w:rsidRDefault="007E46BD">
      <w:pPr>
        <w:rPr>
          <w:sz w:val="22"/>
          <w:szCs w:val="22"/>
          <w:highlight w:val="yellow"/>
        </w:rPr>
      </w:pPr>
      <w:bookmarkStart w:id="90" w:name="_GoBack"/>
      <w:bookmarkEnd w:id="90"/>
      <w:permStart w:id="182588557" w:edGrp="everyone"/>
      <w:permEnd w:id="182588557"/>
    </w:p>
    <w:sectPr w:rsidR="007E46BD">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F06" w:rsidRDefault="00D40F06" w:rsidP="00B03101">
      <w:r>
        <w:separator/>
      </w:r>
    </w:p>
  </w:endnote>
  <w:endnote w:type="continuationSeparator" w:id="0">
    <w:p w:rsidR="00D40F06" w:rsidRDefault="00D40F06" w:rsidP="00B0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hicago">
    <w:altName w:val="Arial"/>
    <w:charset w:val="4D"/>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935" w:rsidRDefault="00E06935" w:rsidP="001E186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06935" w:rsidRDefault="00E06935" w:rsidP="009F401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935" w:rsidRPr="009F401B" w:rsidRDefault="00E06935" w:rsidP="001E186E">
    <w:pPr>
      <w:pStyle w:val="Porat"/>
      <w:framePr w:wrap="around" w:vAnchor="text" w:hAnchor="margin" w:xAlign="right" w:y="1"/>
      <w:rPr>
        <w:rStyle w:val="Puslapionumeris"/>
        <w:sz w:val="22"/>
        <w:szCs w:val="22"/>
      </w:rPr>
    </w:pPr>
    <w:r w:rsidRPr="009F401B">
      <w:rPr>
        <w:rStyle w:val="Puslapionumeris"/>
        <w:sz w:val="22"/>
        <w:szCs w:val="22"/>
      </w:rPr>
      <w:fldChar w:fldCharType="begin"/>
    </w:r>
    <w:r w:rsidRPr="009F401B">
      <w:rPr>
        <w:rStyle w:val="Puslapionumeris"/>
        <w:sz w:val="22"/>
        <w:szCs w:val="22"/>
      </w:rPr>
      <w:instrText xml:space="preserve">PAGE  </w:instrText>
    </w:r>
    <w:r w:rsidRPr="009F401B">
      <w:rPr>
        <w:rStyle w:val="Puslapionumeris"/>
        <w:sz w:val="22"/>
        <w:szCs w:val="22"/>
      </w:rPr>
      <w:fldChar w:fldCharType="separate"/>
    </w:r>
    <w:r w:rsidR="00BE7737">
      <w:rPr>
        <w:rStyle w:val="Puslapionumeris"/>
        <w:noProof/>
        <w:sz w:val="22"/>
        <w:szCs w:val="22"/>
      </w:rPr>
      <w:t>19</w:t>
    </w:r>
    <w:r w:rsidRPr="009F401B">
      <w:rPr>
        <w:rStyle w:val="Puslapionumeris"/>
        <w:sz w:val="22"/>
        <w:szCs w:val="22"/>
      </w:rPr>
      <w:fldChar w:fldCharType="end"/>
    </w:r>
  </w:p>
  <w:p w:rsidR="00E06935" w:rsidRDefault="00E06935" w:rsidP="009F401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F06" w:rsidRDefault="00D40F06" w:rsidP="00B03101">
      <w:r>
        <w:separator/>
      </w:r>
    </w:p>
  </w:footnote>
  <w:footnote w:type="continuationSeparator" w:id="0">
    <w:p w:rsidR="00D40F06" w:rsidRDefault="00D40F06" w:rsidP="00B03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48256EE"/>
    <w:multiLevelType w:val="hybridMultilevel"/>
    <w:tmpl w:val="49721E78"/>
    <w:lvl w:ilvl="0" w:tplc="FFFFFFFF">
      <w:start w:val="1"/>
      <w:numFmt w:val="bullet"/>
      <w:lvlText w:val="-"/>
      <w:legacy w:legacy="1" w:legacySpace="0" w:legacyIndent="360"/>
      <w:lvlJc w:val="left"/>
      <w:pPr>
        <w:ind w:left="360" w:hanging="360"/>
      </w:p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NJBcY99VpSH/jaSjY+2R/nz/iAw=" w:salt="61E6waB1ndxkcaa0OHR7J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99E"/>
    <w:rsid w:val="000455E5"/>
    <w:rsid w:val="000A0C18"/>
    <w:rsid w:val="001B6D5E"/>
    <w:rsid w:val="001D0372"/>
    <w:rsid w:val="001D58C0"/>
    <w:rsid w:val="001E186E"/>
    <w:rsid w:val="00267335"/>
    <w:rsid w:val="002F71E4"/>
    <w:rsid w:val="00303384"/>
    <w:rsid w:val="00317D43"/>
    <w:rsid w:val="003209F1"/>
    <w:rsid w:val="00434F7C"/>
    <w:rsid w:val="004B6954"/>
    <w:rsid w:val="00504AA0"/>
    <w:rsid w:val="005461A8"/>
    <w:rsid w:val="005660CF"/>
    <w:rsid w:val="005C3803"/>
    <w:rsid w:val="0061696C"/>
    <w:rsid w:val="006347BB"/>
    <w:rsid w:val="00680F5B"/>
    <w:rsid w:val="00684B96"/>
    <w:rsid w:val="006A399E"/>
    <w:rsid w:val="00705BDA"/>
    <w:rsid w:val="00750F27"/>
    <w:rsid w:val="007B7AF5"/>
    <w:rsid w:val="007D3224"/>
    <w:rsid w:val="007E46BD"/>
    <w:rsid w:val="008578E5"/>
    <w:rsid w:val="008715A5"/>
    <w:rsid w:val="00935CED"/>
    <w:rsid w:val="00944D8A"/>
    <w:rsid w:val="009824BD"/>
    <w:rsid w:val="009A0793"/>
    <w:rsid w:val="009C1F1F"/>
    <w:rsid w:val="009F401B"/>
    <w:rsid w:val="00A054C6"/>
    <w:rsid w:val="00A1082F"/>
    <w:rsid w:val="00A80CF0"/>
    <w:rsid w:val="00AE70F9"/>
    <w:rsid w:val="00AF41A2"/>
    <w:rsid w:val="00B03101"/>
    <w:rsid w:val="00BE7737"/>
    <w:rsid w:val="00C66CE9"/>
    <w:rsid w:val="00C76490"/>
    <w:rsid w:val="00CD777A"/>
    <w:rsid w:val="00D152BE"/>
    <w:rsid w:val="00D16EC0"/>
    <w:rsid w:val="00D40F06"/>
    <w:rsid w:val="00D43504"/>
    <w:rsid w:val="00D4576F"/>
    <w:rsid w:val="00D5223A"/>
    <w:rsid w:val="00DB1DA3"/>
    <w:rsid w:val="00E06935"/>
    <w:rsid w:val="00E22785"/>
    <w:rsid w:val="00E2530A"/>
    <w:rsid w:val="00E82F28"/>
    <w:rsid w:val="00F91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5">
    <w:name w:val="heading 5"/>
    <w:basedOn w:val="prastasis"/>
    <w:next w:val="prastasis"/>
    <w:qFormat/>
    <w:pPr>
      <w:keepNext/>
      <w:spacing w:line="360" w:lineRule="auto"/>
      <w:outlineLvl w:val="4"/>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FF"/>
      <w:u w:val="single"/>
    </w:rPr>
  </w:style>
  <w:style w:type="paragraph" w:customStyle="1" w:styleId="PI-1EMEASMCA">
    <w:name w:val="PI-1 EMEA_SMCA"/>
    <w:basedOn w:val="Antrat2"/>
    <w:autoRedefin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Pr>
      <w:b/>
      <w:noProof/>
      <w:sz w:val="22"/>
      <w:szCs w:val="22"/>
      <w:lang w:val="lt-LT" w:eastAsia="en-US" w:bidi="ar-SA"/>
    </w:rPr>
  </w:style>
  <w:style w:type="paragraph" w:customStyle="1" w:styleId="PI-2EMEASMCA">
    <w:name w:val="PI-2 EMEA_SMCA"/>
    <w:basedOn w:val="Antrat3"/>
    <w:autoRedefin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Pr>
      <w:noProof/>
      <w:sz w:val="22"/>
      <w:szCs w:val="22"/>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Pr>
      <w:b/>
      <w:caps/>
      <w:sz w:val="22"/>
      <w:szCs w:val="22"/>
      <w:lang w:val="en-US" w:eastAsia="en-US" w:bidi="ar-SA"/>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pPr>
      <w:numPr>
        <w:numId w:val="1"/>
      </w:numPr>
      <w:tabs>
        <w:tab w:val="clear" w:pos="720"/>
        <w:tab w:val="num" w:pos="360"/>
      </w:tabs>
      <w:ind w:left="0" w:firstLine="0"/>
    </w:pPr>
  </w:style>
  <w:style w:type="paragraph" w:customStyle="1" w:styleId="PI-3EMEASMCA">
    <w:name w:val="PI-3 EMEA_SMCA"/>
    <w:basedOn w:val="prastasis"/>
    <w:autoRedefine/>
    <w:pPr>
      <w:spacing w:line="220" w:lineRule="exact"/>
    </w:pPr>
    <w:rPr>
      <w:b/>
      <w:bCs/>
      <w:sz w:val="22"/>
      <w:szCs w:val="22"/>
    </w:rPr>
  </w:style>
  <w:style w:type="paragraph" w:customStyle="1" w:styleId="BTbEMEASMCA">
    <w:name w:val="BT(b) EMEA_SMCA"/>
    <w:basedOn w:val="BTEMEASMCA"/>
    <w:autoRedefine/>
    <w:rPr>
      <w: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customStyle="1" w:styleId="BTgEMEASMCA">
    <w:name w:val="BT(g) EMEA_SMCA"/>
    <w:basedOn w:val="BTEMEASMCA"/>
    <w:link w:val="BTgEMEASMCAChar"/>
    <w:autoRedefine/>
    <w:rPr>
      <w:i/>
      <w:color w:val="008000"/>
    </w:rPr>
  </w:style>
  <w:style w:type="character" w:customStyle="1" w:styleId="BTEMEASMCAChar">
    <w:name w:val="BT EMEA_SMCA Char"/>
    <w:basedOn w:val="Numatytasispastraiposriftas"/>
    <w:link w:val="BTEMEASMCA"/>
    <w:rPr>
      <w:noProof/>
      <w:sz w:val="22"/>
      <w:szCs w:val="22"/>
      <w:lang w:val="lt-LT" w:eastAsia="en-US" w:bidi="ar-SA"/>
    </w:rPr>
  </w:style>
  <w:style w:type="character" w:customStyle="1" w:styleId="BTgEMEASMCAChar">
    <w:name w:val="BT(g) EMEA_SMCA Char"/>
    <w:basedOn w:val="BTEMEASMCAChar"/>
    <w:link w:val="BTgEMEASMCA"/>
    <w:rPr>
      <w:i/>
      <w:noProof/>
      <w:color w:val="008000"/>
      <w:sz w:val="22"/>
      <w:szCs w:val="22"/>
      <w:lang w:val="lt-LT" w:eastAsia="en-US" w:bidi="ar-SA"/>
    </w:rPr>
  </w:style>
  <w:style w:type="paragraph" w:customStyle="1" w:styleId="BTuEMEASMCA">
    <w:name w:val="BT(u) EMEA_SMCA"/>
    <w:basedOn w:val="BTEMEASMCA"/>
    <w:autoRedefine/>
    <w:rPr>
      <w:u w:val="single"/>
    </w:rPr>
  </w:style>
  <w:style w:type="paragraph" w:styleId="Debesliotekstas">
    <w:name w:val="Balloon Text"/>
    <w:basedOn w:val="prastasis"/>
    <w:semiHidden/>
    <w:rPr>
      <w:rFonts w:ascii="Tahoma" w:hAnsi="Tahoma" w:cs="Tahoma"/>
      <w:sz w:val="16"/>
      <w:szCs w:val="16"/>
    </w:rPr>
  </w:style>
  <w:style w:type="paragraph" w:styleId="Dokumentostruktra">
    <w:name w:val="Document Map"/>
    <w:basedOn w:val="prastasis"/>
    <w:semiHidden/>
    <w:pPr>
      <w:shd w:val="clear" w:color="auto" w:fill="000080"/>
    </w:pPr>
    <w:rPr>
      <w:rFonts w:ascii="Tahoma" w:hAnsi="Tahoma" w:cs="Tahoma"/>
      <w:sz w:val="20"/>
      <w:szCs w:val="20"/>
    </w:rPr>
  </w:style>
  <w:style w:type="paragraph" w:styleId="Pagrindiniotekstotrauka">
    <w:name w:val="Body Text Indent"/>
    <w:basedOn w:val="prastasis"/>
    <w:pPr>
      <w:spacing w:line="360" w:lineRule="auto"/>
      <w:ind w:left="397"/>
      <w:jc w:val="both"/>
    </w:pPr>
  </w:style>
  <w:style w:type="paragraph" w:styleId="Pagrindiniotekstotrauka3">
    <w:name w:val="Body Text Indent 3"/>
    <w:basedOn w:val="prastasis"/>
    <w:pPr>
      <w:spacing w:after="120"/>
      <w:ind w:left="283"/>
    </w:pPr>
    <w:rPr>
      <w:sz w:val="16"/>
      <w:szCs w:val="16"/>
    </w:rPr>
  </w:style>
  <w:style w:type="paragraph" w:styleId="Pagrindiniotekstotrauka2">
    <w:name w:val="Body Text Indent 2"/>
    <w:basedOn w:val="prastasis"/>
    <w:pPr>
      <w:spacing w:after="120" w:line="480" w:lineRule="auto"/>
      <w:ind w:left="283"/>
    </w:pPr>
  </w:style>
  <w:style w:type="character" w:styleId="Komentaronuoroda">
    <w:name w:val="annotation reference"/>
    <w:basedOn w:val="Numatytasispastraiposriftas"/>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stekstas">
    <w:name w:val="Body Text"/>
    <w:basedOn w:val="prastasis"/>
    <w:pPr>
      <w:spacing w:after="120"/>
    </w:pPr>
    <w:rPr>
      <w:sz w:val="22"/>
      <w:szCs w:val="20"/>
      <w:lang w:eastAsia="lt-LT"/>
    </w:rPr>
  </w:style>
  <w:style w:type="paragraph" w:styleId="Pagrindinistekstas3">
    <w:name w:val="Body Text 3"/>
    <w:basedOn w:val="prastasis"/>
    <w:pPr>
      <w:spacing w:after="120"/>
    </w:pPr>
    <w:rPr>
      <w:sz w:val="16"/>
      <w:szCs w:val="16"/>
      <w:lang w:eastAsia="lt-LT"/>
    </w:rPr>
  </w:style>
  <w:style w:type="paragraph" w:styleId="prastasistinklapis">
    <w:name w:val="Normal (Web)"/>
    <w:basedOn w:val="prastasis"/>
    <w:pPr>
      <w:spacing w:before="100" w:beforeAutospacing="1" w:after="100" w:afterAutospacing="1"/>
    </w:pPr>
    <w:rPr>
      <w:lang w:val="pl-PL" w:eastAsia="pl-PL"/>
    </w:rPr>
  </w:style>
  <w:style w:type="table" w:styleId="Lentelstinklelis">
    <w:name w:val="Table Grid"/>
    <w:basedOn w:val="prastojilentel"/>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13">
    <w:name w:val="OmniPage #13"/>
    <w:pPr>
      <w:tabs>
        <w:tab w:val="right" w:pos="4758"/>
      </w:tabs>
      <w:overflowPunct w:val="0"/>
      <w:autoSpaceDE w:val="0"/>
      <w:autoSpaceDN w:val="0"/>
      <w:adjustRightInd w:val="0"/>
      <w:ind w:right="85"/>
      <w:textAlignment w:val="baseline"/>
    </w:pPr>
    <w:rPr>
      <w:rFonts w:ascii="Chicago" w:hAnsi="Chicago"/>
      <w:sz w:val="2"/>
      <w:lang w:val="bg" w:eastAsia="pl-PL"/>
    </w:rPr>
  </w:style>
  <w:style w:type="paragraph" w:styleId="Antrats">
    <w:name w:val="header"/>
    <w:basedOn w:val="prastasis"/>
    <w:link w:val="AntratsDiagrama"/>
    <w:rsid w:val="00B03101"/>
    <w:pPr>
      <w:tabs>
        <w:tab w:val="center" w:pos="4819"/>
        <w:tab w:val="right" w:pos="9638"/>
      </w:tabs>
    </w:pPr>
  </w:style>
  <w:style w:type="character" w:customStyle="1" w:styleId="AntratsDiagrama">
    <w:name w:val="Antraštės Diagrama"/>
    <w:basedOn w:val="Numatytasispastraiposriftas"/>
    <w:link w:val="Antrats"/>
    <w:rsid w:val="00B03101"/>
    <w:rPr>
      <w:sz w:val="24"/>
      <w:szCs w:val="24"/>
      <w:lang w:eastAsia="en-US"/>
    </w:rPr>
  </w:style>
  <w:style w:type="paragraph" w:styleId="Porat">
    <w:name w:val="footer"/>
    <w:basedOn w:val="prastasis"/>
    <w:link w:val="PoratDiagrama"/>
    <w:rsid w:val="00B03101"/>
    <w:pPr>
      <w:tabs>
        <w:tab w:val="center" w:pos="4819"/>
        <w:tab w:val="right" w:pos="9638"/>
      </w:tabs>
    </w:pPr>
  </w:style>
  <w:style w:type="character" w:customStyle="1" w:styleId="PoratDiagrama">
    <w:name w:val="Poraštė Diagrama"/>
    <w:basedOn w:val="Numatytasispastraiposriftas"/>
    <w:link w:val="Porat"/>
    <w:rsid w:val="00B03101"/>
    <w:rPr>
      <w:sz w:val="24"/>
      <w:szCs w:val="24"/>
      <w:lang w:eastAsia="en-US"/>
    </w:rPr>
  </w:style>
  <w:style w:type="character" w:styleId="Puslapionumeris">
    <w:name w:val="page number"/>
    <w:basedOn w:val="Numatytasispastraiposriftas"/>
    <w:rsid w:val="009F40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5">
    <w:name w:val="heading 5"/>
    <w:basedOn w:val="prastasis"/>
    <w:next w:val="prastasis"/>
    <w:qFormat/>
    <w:pPr>
      <w:keepNext/>
      <w:spacing w:line="360" w:lineRule="auto"/>
      <w:outlineLvl w:val="4"/>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FF"/>
      <w:u w:val="single"/>
    </w:rPr>
  </w:style>
  <w:style w:type="paragraph" w:customStyle="1" w:styleId="PI-1EMEASMCA">
    <w:name w:val="PI-1 EMEA_SMCA"/>
    <w:basedOn w:val="Antrat2"/>
    <w:autoRedefin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Pr>
      <w:b/>
      <w:noProof/>
      <w:sz w:val="22"/>
      <w:szCs w:val="22"/>
      <w:lang w:val="lt-LT" w:eastAsia="en-US" w:bidi="ar-SA"/>
    </w:rPr>
  </w:style>
  <w:style w:type="paragraph" w:customStyle="1" w:styleId="PI-2EMEASMCA">
    <w:name w:val="PI-2 EMEA_SMCA"/>
    <w:basedOn w:val="Antrat3"/>
    <w:autoRedefin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Pr>
      <w:noProof/>
      <w:sz w:val="22"/>
      <w:szCs w:val="22"/>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Pr>
      <w:b/>
      <w:caps/>
      <w:sz w:val="22"/>
      <w:szCs w:val="22"/>
      <w:lang w:val="en-US" w:eastAsia="en-US" w:bidi="ar-SA"/>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pPr>
      <w:numPr>
        <w:numId w:val="1"/>
      </w:numPr>
      <w:tabs>
        <w:tab w:val="clear" w:pos="720"/>
        <w:tab w:val="num" w:pos="360"/>
      </w:tabs>
      <w:ind w:left="0" w:firstLine="0"/>
    </w:pPr>
  </w:style>
  <w:style w:type="paragraph" w:customStyle="1" w:styleId="PI-3EMEASMCA">
    <w:name w:val="PI-3 EMEA_SMCA"/>
    <w:basedOn w:val="prastasis"/>
    <w:autoRedefine/>
    <w:pPr>
      <w:spacing w:line="220" w:lineRule="exact"/>
    </w:pPr>
    <w:rPr>
      <w:b/>
      <w:bCs/>
      <w:sz w:val="22"/>
      <w:szCs w:val="22"/>
    </w:rPr>
  </w:style>
  <w:style w:type="paragraph" w:customStyle="1" w:styleId="BTbEMEASMCA">
    <w:name w:val="BT(b) EMEA_SMCA"/>
    <w:basedOn w:val="BTEMEASMCA"/>
    <w:autoRedefine/>
    <w:rPr>
      <w: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customStyle="1" w:styleId="BTgEMEASMCA">
    <w:name w:val="BT(g) EMEA_SMCA"/>
    <w:basedOn w:val="BTEMEASMCA"/>
    <w:link w:val="BTgEMEASMCAChar"/>
    <w:autoRedefine/>
    <w:rPr>
      <w:i/>
      <w:color w:val="008000"/>
    </w:rPr>
  </w:style>
  <w:style w:type="character" w:customStyle="1" w:styleId="BTEMEASMCAChar">
    <w:name w:val="BT EMEA_SMCA Char"/>
    <w:basedOn w:val="Numatytasispastraiposriftas"/>
    <w:link w:val="BTEMEASMCA"/>
    <w:rPr>
      <w:noProof/>
      <w:sz w:val="22"/>
      <w:szCs w:val="22"/>
      <w:lang w:val="lt-LT" w:eastAsia="en-US" w:bidi="ar-SA"/>
    </w:rPr>
  </w:style>
  <w:style w:type="character" w:customStyle="1" w:styleId="BTgEMEASMCAChar">
    <w:name w:val="BT(g) EMEA_SMCA Char"/>
    <w:basedOn w:val="BTEMEASMCAChar"/>
    <w:link w:val="BTgEMEASMCA"/>
    <w:rPr>
      <w:i/>
      <w:noProof/>
      <w:color w:val="008000"/>
      <w:sz w:val="22"/>
      <w:szCs w:val="22"/>
      <w:lang w:val="lt-LT" w:eastAsia="en-US" w:bidi="ar-SA"/>
    </w:rPr>
  </w:style>
  <w:style w:type="paragraph" w:customStyle="1" w:styleId="BTuEMEASMCA">
    <w:name w:val="BT(u) EMEA_SMCA"/>
    <w:basedOn w:val="BTEMEASMCA"/>
    <w:autoRedefine/>
    <w:rPr>
      <w:u w:val="single"/>
    </w:rPr>
  </w:style>
  <w:style w:type="paragraph" w:styleId="Debesliotekstas">
    <w:name w:val="Balloon Text"/>
    <w:basedOn w:val="prastasis"/>
    <w:semiHidden/>
    <w:rPr>
      <w:rFonts w:ascii="Tahoma" w:hAnsi="Tahoma" w:cs="Tahoma"/>
      <w:sz w:val="16"/>
      <w:szCs w:val="16"/>
    </w:rPr>
  </w:style>
  <w:style w:type="paragraph" w:styleId="Dokumentostruktra">
    <w:name w:val="Document Map"/>
    <w:basedOn w:val="prastasis"/>
    <w:semiHidden/>
    <w:pPr>
      <w:shd w:val="clear" w:color="auto" w:fill="000080"/>
    </w:pPr>
    <w:rPr>
      <w:rFonts w:ascii="Tahoma" w:hAnsi="Tahoma" w:cs="Tahoma"/>
      <w:sz w:val="20"/>
      <w:szCs w:val="20"/>
    </w:rPr>
  </w:style>
  <w:style w:type="paragraph" w:styleId="Pagrindiniotekstotrauka">
    <w:name w:val="Body Text Indent"/>
    <w:basedOn w:val="prastasis"/>
    <w:pPr>
      <w:spacing w:line="360" w:lineRule="auto"/>
      <w:ind w:left="397"/>
      <w:jc w:val="both"/>
    </w:pPr>
  </w:style>
  <w:style w:type="paragraph" w:styleId="Pagrindiniotekstotrauka3">
    <w:name w:val="Body Text Indent 3"/>
    <w:basedOn w:val="prastasis"/>
    <w:pPr>
      <w:spacing w:after="120"/>
      <w:ind w:left="283"/>
    </w:pPr>
    <w:rPr>
      <w:sz w:val="16"/>
      <w:szCs w:val="16"/>
    </w:rPr>
  </w:style>
  <w:style w:type="paragraph" w:styleId="Pagrindiniotekstotrauka2">
    <w:name w:val="Body Text Indent 2"/>
    <w:basedOn w:val="prastasis"/>
    <w:pPr>
      <w:spacing w:after="120" w:line="480" w:lineRule="auto"/>
      <w:ind w:left="283"/>
    </w:pPr>
  </w:style>
  <w:style w:type="character" w:styleId="Komentaronuoroda">
    <w:name w:val="annotation reference"/>
    <w:basedOn w:val="Numatytasispastraiposriftas"/>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stekstas">
    <w:name w:val="Body Text"/>
    <w:basedOn w:val="prastasis"/>
    <w:pPr>
      <w:spacing w:after="120"/>
    </w:pPr>
    <w:rPr>
      <w:sz w:val="22"/>
      <w:szCs w:val="20"/>
      <w:lang w:eastAsia="lt-LT"/>
    </w:rPr>
  </w:style>
  <w:style w:type="paragraph" w:styleId="Pagrindinistekstas3">
    <w:name w:val="Body Text 3"/>
    <w:basedOn w:val="prastasis"/>
    <w:pPr>
      <w:spacing w:after="120"/>
    </w:pPr>
    <w:rPr>
      <w:sz w:val="16"/>
      <w:szCs w:val="16"/>
      <w:lang w:eastAsia="lt-LT"/>
    </w:rPr>
  </w:style>
  <w:style w:type="paragraph" w:styleId="prastasistinklapis">
    <w:name w:val="Normal (Web)"/>
    <w:basedOn w:val="prastasis"/>
    <w:pPr>
      <w:spacing w:before="100" w:beforeAutospacing="1" w:after="100" w:afterAutospacing="1"/>
    </w:pPr>
    <w:rPr>
      <w:lang w:val="pl-PL" w:eastAsia="pl-PL"/>
    </w:rPr>
  </w:style>
  <w:style w:type="table" w:styleId="Lentelstinklelis">
    <w:name w:val="Table Grid"/>
    <w:basedOn w:val="prastojilentel"/>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13">
    <w:name w:val="OmniPage #13"/>
    <w:pPr>
      <w:tabs>
        <w:tab w:val="right" w:pos="4758"/>
      </w:tabs>
      <w:overflowPunct w:val="0"/>
      <w:autoSpaceDE w:val="0"/>
      <w:autoSpaceDN w:val="0"/>
      <w:adjustRightInd w:val="0"/>
      <w:ind w:right="85"/>
      <w:textAlignment w:val="baseline"/>
    </w:pPr>
    <w:rPr>
      <w:rFonts w:ascii="Chicago" w:hAnsi="Chicago"/>
      <w:sz w:val="2"/>
      <w:lang w:val="bg" w:eastAsia="pl-PL"/>
    </w:rPr>
  </w:style>
  <w:style w:type="paragraph" w:styleId="Antrats">
    <w:name w:val="header"/>
    <w:basedOn w:val="prastasis"/>
    <w:link w:val="AntratsDiagrama"/>
    <w:rsid w:val="00B03101"/>
    <w:pPr>
      <w:tabs>
        <w:tab w:val="center" w:pos="4819"/>
        <w:tab w:val="right" w:pos="9638"/>
      </w:tabs>
    </w:pPr>
  </w:style>
  <w:style w:type="character" w:customStyle="1" w:styleId="AntratsDiagrama">
    <w:name w:val="Antraštės Diagrama"/>
    <w:basedOn w:val="Numatytasispastraiposriftas"/>
    <w:link w:val="Antrats"/>
    <w:rsid w:val="00B03101"/>
    <w:rPr>
      <w:sz w:val="24"/>
      <w:szCs w:val="24"/>
      <w:lang w:eastAsia="en-US"/>
    </w:rPr>
  </w:style>
  <w:style w:type="paragraph" w:styleId="Porat">
    <w:name w:val="footer"/>
    <w:basedOn w:val="prastasis"/>
    <w:link w:val="PoratDiagrama"/>
    <w:rsid w:val="00B03101"/>
    <w:pPr>
      <w:tabs>
        <w:tab w:val="center" w:pos="4819"/>
        <w:tab w:val="right" w:pos="9638"/>
      </w:tabs>
    </w:pPr>
  </w:style>
  <w:style w:type="character" w:customStyle="1" w:styleId="PoratDiagrama">
    <w:name w:val="Poraštė Diagrama"/>
    <w:basedOn w:val="Numatytasispastraiposriftas"/>
    <w:link w:val="Porat"/>
    <w:rsid w:val="00B03101"/>
    <w:rPr>
      <w:sz w:val="24"/>
      <w:szCs w:val="24"/>
      <w:lang w:eastAsia="en-US"/>
    </w:rPr>
  </w:style>
  <w:style w:type="character" w:styleId="Puslapionumeris">
    <w:name w:val="page number"/>
    <w:basedOn w:val="Numatytasispastraiposriftas"/>
    <w:rsid w:val="009F4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info.bb@medapharm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2930</Words>
  <Characters>21503</Characters>
  <Application>Microsoft Office Word</Application>
  <DocSecurity>8</DocSecurity>
  <Lines>179</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24385</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2</cp:revision>
  <cp:lastPrinted>2009-03-18T16:14:00Z</cp:lastPrinted>
  <dcterms:created xsi:type="dcterms:W3CDTF">2014-11-26T14:05:00Z</dcterms:created>
  <dcterms:modified xsi:type="dcterms:W3CDTF">2014-11-26T14:27:00Z</dcterms:modified>
</cp:coreProperties>
</file>