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7" w:rsidRPr="00484146" w:rsidRDefault="00C22167" w:rsidP="00C22167">
      <w:pPr>
        <w:pStyle w:val="TTEMEASMCA"/>
        <w:rPr>
          <w:lang w:val="lt-LT"/>
        </w:rPr>
      </w:pPr>
      <w:bookmarkStart w:id="0" w:name="_Toc129243138"/>
      <w:bookmarkStart w:id="1" w:name="_Toc129243263"/>
      <w:r>
        <w:rPr>
          <w:caps w:val="0"/>
          <w:lang w:val="lt-LT"/>
        </w:rPr>
        <w:t>P</w:t>
      </w:r>
      <w:r w:rsidRPr="00484146">
        <w:rPr>
          <w:caps w:val="0"/>
          <w:lang w:val="lt-LT"/>
        </w:rPr>
        <w:t>akuotės lapelis: informacija vartotojui</w:t>
      </w:r>
      <w:bookmarkEnd w:id="0"/>
      <w:bookmarkEnd w:id="1"/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jc w:val="center"/>
        <w:rPr>
          <w:b/>
          <w:sz w:val="22"/>
          <w:szCs w:val="22"/>
        </w:rPr>
      </w:pPr>
      <w:proofErr w:type="spellStart"/>
      <w:r w:rsidRPr="00484146">
        <w:rPr>
          <w:b/>
          <w:iCs/>
          <w:sz w:val="22"/>
          <w:szCs w:val="22"/>
        </w:rPr>
        <w:t>Chlorchinaldin</w:t>
      </w:r>
      <w:proofErr w:type="spellEnd"/>
      <w:r w:rsidRPr="00484146">
        <w:rPr>
          <w:b/>
          <w:iCs/>
          <w:sz w:val="22"/>
          <w:szCs w:val="22"/>
        </w:rPr>
        <w:t xml:space="preserve"> </w:t>
      </w:r>
      <w:r w:rsidRPr="00484146">
        <w:rPr>
          <w:b/>
          <w:sz w:val="22"/>
          <w:szCs w:val="22"/>
        </w:rPr>
        <w:t>2 mg kietosios pastilės</w:t>
      </w:r>
    </w:p>
    <w:p w:rsidR="00C22167" w:rsidRPr="00484146" w:rsidRDefault="00C22167" w:rsidP="00C22167">
      <w:pPr>
        <w:pStyle w:val="Pagrindinistekstas"/>
        <w:spacing w:after="0"/>
        <w:jc w:val="center"/>
        <w:rPr>
          <w:szCs w:val="22"/>
        </w:rPr>
      </w:pPr>
      <w:proofErr w:type="spellStart"/>
      <w:r w:rsidRPr="00484146">
        <w:rPr>
          <w:szCs w:val="22"/>
        </w:rPr>
        <w:t>Chlorkvinaldolis</w:t>
      </w:r>
      <w:proofErr w:type="spellEnd"/>
    </w:p>
    <w:p w:rsidR="00C22167" w:rsidRPr="00484146" w:rsidRDefault="00C22167" w:rsidP="00C22167">
      <w:pPr>
        <w:pStyle w:val="BTbeEMEASMCA"/>
        <w:rPr>
          <w:b w:val="0"/>
          <w:noProof w:val="0"/>
        </w:rPr>
      </w:pPr>
    </w:p>
    <w:p w:rsidR="00C22167" w:rsidRPr="007B0531" w:rsidRDefault="00C22167" w:rsidP="00C22167">
      <w:pPr>
        <w:numPr>
          <w:ilvl w:val="12"/>
          <w:numId w:val="0"/>
        </w:numPr>
        <w:ind w:right="-2"/>
      </w:pPr>
      <w:r w:rsidRPr="008D5831">
        <w:rPr>
          <w:b/>
          <w:sz w:val="22"/>
        </w:rPr>
        <w:t xml:space="preserve">Atidžiai perskaitykite visą šį lapelį, </w:t>
      </w:r>
      <w:r w:rsidRPr="000B251C">
        <w:rPr>
          <w:b/>
          <w:noProof/>
          <w:sz w:val="22"/>
          <w:szCs w:val="22"/>
        </w:rPr>
        <w:t xml:space="preserve">prieš pradėdami vartoti šį vaistą, </w:t>
      </w:r>
      <w:r w:rsidRPr="008D5831">
        <w:rPr>
          <w:b/>
          <w:sz w:val="22"/>
        </w:rPr>
        <w:t>nes jame pateikiama Jums svarbi informacija.</w:t>
      </w:r>
    </w:p>
    <w:p w:rsidR="00C22167" w:rsidRPr="000B251C" w:rsidRDefault="00C22167" w:rsidP="00C22167">
      <w:pPr>
        <w:numPr>
          <w:ilvl w:val="12"/>
          <w:numId w:val="0"/>
        </w:numPr>
        <w:rPr>
          <w:sz w:val="22"/>
          <w:szCs w:val="22"/>
        </w:rPr>
      </w:pPr>
      <w:r w:rsidRPr="000B251C">
        <w:rPr>
          <w:noProof/>
          <w:sz w:val="22"/>
          <w:szCs w:val="22"/>
        </w:rPr>
        <w:t>Visada vartokite šį vaistą tiksliai kaip aprašyta šiame lapelyje arba kaip nurodė gydytojas arba vaistininkas</w:t>
      </w:r>
    </w:p>
    <w:p w:rsidR="00C22167" w:rsidRPr="007B0531" w:rsidRDefault="00C22167" w:rsidP="00C22167">
      <w:pPr>
        <w:numPr>
          <w:ilvl w:val="0"/>
          <w:numId w:val="3"/>
        </w:numPr>
        <w:tabs>
          <w:tab w:val="left" w:pos="567"/>
        </w:tabs>
        <w:ind w:left="567" w:hanging="567"/>
      </w:pPr>
      <w:r w:rsidRPr="008D5831">
        <w:rPr>
          <w:sz w:val="22"/>
        </w:rPr>
        <w:t>Neišmeskite šio lapelio, nes vėl gali prireikti jį perskaityti.</w:t>
      </w:r>
      <w:r w:rsidRPr="000B251C">
        <w:rPr>
          <w:sz w:val="22"/>
          <w:szCs w:val="22"/>
        </w:rPr>
        <w:t xml:space="preserve"> </w:t>
      </w:r>
    </w:p>
    <w:p w:rsidR="00C22167" w:rsidRPr="007B0531" w:rsidRDefault="00C22167" w:rsidP="00C22167">
      <w:pPr>
        <w:numPr>
          <w:ilvl w:val="0"/>
          <w:numId w:val="3"/>
        </w:numPr>
        <w:tabs>
          <w:tab w:val="left" w:pos="567"/>
        </w:tabs>
        <w:ind w:left="567" w:hanging="567"/>
      </w:pPr>
      <w:r w:rsidRPr="008D5831">
        <w:rPr>
          <w:sz w:val="22"/>
        </w:rPr>
        <w:t>Jeigu norite sužinoti daugiau arba pasitarti, kreipkitės į vaistininką.</w:t>
      </w:r>
    </w:p>
    <w:p w:rsidR="00C22167" w:rsidRPr="007B0531" w:rsidRDefault="00C22167" w:rsidP="00C22167">
      <w:pPr>
        <w:numPr>
          <w:ilvl w:val="0"/>
          <w:numId w:val="3"/>
        </w:numPr>
        <w:tabs>
          <w:tab w:val="left" w:pos="567"/>
        </w:tabs>
        <w:ind w:left="567" w:hanging="567"/>
      </w:pPr>
      <w:r w:rsidRPr="008D5831">
        <w:rPr>
          <w:sz w:val="22"/>
        </w:rPr>
        <w:t xml:space="preserve">Jeigu pasireiškė šalutinis poveikis </w:t>
      </w:r>
      <w:r w:rsidRPr="000B251C">
        <w:rPr>
          <w:noProof/>
          <w:sz w:val="22"/>
          <w:szCs w:val="22"/>
        </w:rPr>
        <w:t>(net jeigu jis</w:t>
      </w:r>
      <w:r w:rsidRPr="008D5831">
        <w:rPr>
          <w:sz w:val="22"/>
        </w:rPr>
        <w:t xml:space="preserve"> šiame lapelyje </w:t>
      </w:r>
      <w:r w:rsidRPr="000B251C">
        <w:rPr>
          <w:noProof/>
          <w:sz w:val="22"/>
          <w:szCs w:val="22"/>
        </w:rPr>
        <w:t>nenurodytas), kreipkitės į gydytoją arba vaistininką. Žr. 4 skyrių</w:t>
      </w:r>
      <w:r w:rsidRPr="008D5831">
        <w:rPr>
          <w:sz w:val="22"/>
        </w:rPr>
        <w:t>.</w:t>
      </w:r>
    </w:p>
    <w:p w:rsidR="00C22167" w:rsidRPr="000B251C" w:rsidRDefault="00C22167" w:rsidP="00C22167">
      <w:pPr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0B251C">
        <w:rPr>
          <w:noProof/>
          <w:sz w:val="22"/>
          <w:szCs w:val="22"/>
        </w:rPr>
        <w:t>Jeigu 14 dienų Jūsų savijauta nepagerėjo arba net pablogėjo, kreipkitės į gydytoją.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bEMEASMCA"/>
        <w:rPr>
          <w:noProof w:val="0"/>
        </w:rPr>
      </w:pPr>
      <w:r w:rsidRPr="00B34FA1">
        <w:t>Apie ką rašoma šiame lapelyje?</w:t>
      </w:r>
    </w:p>
    <w:p w:rsidR="00C22167" w:rsidRPr="00484146" w:rsidRDefault="00C22167" w:rsidP="00C22167">
      <w:pPr>
        <w:pStyle w:val="BTEMEASMCA"/>
        <w:tabs>
          <w:tab w:val="left" w:pos="720"/>
        </w:tabs>
        <w:ind w:left="540" w:hanging="540"/>
        <w:rPr>
          <w:noProof w:val="0"/>
        </w:rPr>
      </w:pPr>
      <w:r w:rsidRPr="00484146">
        <w:t>1.</w:t>
      </w:r>
      <w:r>
        <w:tab/>
      </w:r>
      <w:r w:rsidRPr="00484146">
        <w:rPr>
          <w:noProof w:val="0"/>
        </w:rPr>
        <w:t xml:space="preserve">Kas yra </w:t>
      </w:r>
      <w:r w:rsidRPr="00484146">
        <w:rPr>
          <w:iCs/>
        </w:rPr>
        <w:t xml:space="preserve">Chlorchinaldin </w:t>
      </w:r>
      <w:r w:rsidRPr="00484146">
        <w:rPr>
          <w:noProof w:val="0"/>
        </w:rPr>
        <w:t>ir kam jis vartojamas</w:t>
      </w:r>
    </w:p>
    <w:p w:rsidR="00C22167" w:rsidRPr="00484146" w:rsidRDefault="00C22167" w:rsidP="00C22167">
      <w:pPr>
        <w:pStyle w:val="BTEMEASMCA"/>
        <w:tabs>
          <w:tab w:val="left" w:pos="720"/>
        </w:tabs>
        <w:ind w:left="540" w:hanging="540"/>
        <w:rPr>
          <w:noProof w:val="0"/>
        </w:rPr>
      </w:pPr>
      <w:r w:rsidRPr="00484146">
        <w:rPr>
          <w:noProof w:val="0"/>
        </w:rPr>
        <w:t>2.</w:t>
      </w:r>
      <w:r w:rsidRPr="00484146">
        <w:rPr>
          <w:noProof w:val="0"/>
        </w:rPr>
        <w:tab/>
        <w:t xml:space="preserve">Kas žinotina prieš vartojant </w:t>
      </w:r>
      <w:r w:rsidRPr="00484146">
        <w:rPr>
          <w:iCs/>
        </w:rPr>
        <w:t>Chlorchinaldin</w:t>
      </w:r>
    </w:p>
    <w:p w:rsidR="00C22167" w:rsidRPr="00484146" w:rsidRDefault="00C22167" w:rsidP="00C22167">
      <w:pPr>
        <w:pStyle w:val="BTEMEASMCA"/>
        <w:tabs>
          <w:tab w:val="left" w:pos="720"/>
        </w:tabs>
        <w:ind w:left="540" w:hanging="540"/>
        <w:rPr>
          <w:noProof w:val="0"/>
        </w:rPr>
      </w:pPr>
      <w:r w:rsidRPr="00484146">
        <w:rPr>
          <w:noProof w:val="0"/>
        </w:rPr>
        <w:t>3.</w:t>
      </w:r>
      <w:r w:rsidRPr="00484146">
        <w:rPr>
          <w:noProof w:val="0"/>
        </w:rPr>
        <w:tab/>
        <w:t xml:space="preserve">Kaip vartoti </w:t>
      </w:r>
      <w:r w:rsidRPr="00484146">
        <w:rPr>
          <w:iCs/>
        </w:rPr>
        <w:t>Chlorchinaldin</w:t>
      </w:r>
    </w:p>
    <w:p w:rsidR="00C22167" w:rsidRPr="00484146" w:rsidRDefault="00C22167" w:rsidP="00C22167">
      <w:pPr>
        <w:pStyle w:val="BTEMEASMCA"/>
        <w:tabs>
          <w:tab w:val="left" w:pos="720"/>
        </w:tabs>
        <w:ind w:left="540" w:hanging="540"/>
        <w:rPr>
          <w:noProof w:val="0"/>
        </w:rPr>
      </w:pPr>
      <w:r w:rsidRPr="00484146">
        <w:rPr>
          <w:noProof w:val="0"/>
        </w:rPr>
        <w:t>4.</w:t>
      </w:r>
      <w:r w:rsidRPr="00484146">
        <w:rPr>
          <w:noProof w:val="0"/>
        </w:rPr>
        <w:tab/>
        <w:t>Galimas šalutinis poveikis</w:t>
      </w:r>
    </w:p>
    <w:p w:rsidR="00C22167" w:rsidRPr="00484146" w:rsidRDefault="00C22167" w:rsidP="00C22167">
      <w:pPr>
        <w:pStyle w:val="BTEMEASMCA"/>
        <w:tabs>
          <w:tab w:val="left" w:pos="720"/>
        </w:tabs>
        <w:ind w:left="540" w:hanging="540"/>
        <w:rPr>
          <w:noProof w:val="0"/>
        </w:rPr>
      </w:pPr>
      <w:r w:rsidRPr="00484146">
        <w:rPr>
          <w:noProof w:val="0"/>
        </w:rPr>
        <w:t>5.</w:t>
      </w:r>
      <w:r w:rsidRPr="00484146">
        <w:rPr>
          <w:noProof w:val="0"/>
        </w:rPr>
        <w:tab/>
        <w:t xml:space="preserve">Kaip laikyti </w:t>
      </w:r>
      <w:r w:rsidRPr="00484146">
        <w:rPr>
          <w:iCs/>
        </w:rPr>
        <w:t>Chlorchinaldin</w:t>
      </w:r>
    </w:p>
    <w:p w:rsidR="00C22167" w:rsidRPr="00484146" w:rsidRDefault="00C22167" w:rsidP="00C22167">
      <w:pPr>
        <w:pStyle w:val="BTEMEASMCA"/>
        <w:tabs>
          <w:tab w:val="left" w:pos="720"/>
        </w:tabs>
        <w:ind w:left="540" w:hanging="540"/>
        <w:rPr>
          <w:noProof w:val="0"/>
        </w:rPr>
      </w:pPr>
      <w:r w:rsidRPr="00484146">
        <w:rPr>
          <w:noProof w:val="0"/>
        </w:rPr>
        <w:t>6.</w:t>
      </w:r>
      <w:r w:rsidRPr="00484146">
        <w:rPr>
          <w:noProof w:val="0"/>
        </w:rPr>
        <w:tab/>
      </w:r>
      <w:r>
        <w:rPr>
          <w:noProof w:val="0"/>
        </w:rPr>
        <w:t>Pakuotės turinys ir k</w:t>
      </w:r>
      <w:r w:rsidRPr="00484146">
        <w:rPr>
          <w:noProof w:val="0"/>
        </w:rPr>
        <w:t>ita informacija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1EMEASMCA"/>
      </w:pPr>
      <w:bookmarkStart w:id="2" w:name="_Toc129243139"/>
      <w:bookmarkStart w:id="3" w:name="_Toc129243264"/>
      <w:r w:rsidRPr="00484146">
        <w:t>1.</w:t>
      </w:r>
      <w:r w:rsidRPr="00484146">
        <w:tab/>
      </w:r>
      <w:r w:rsidRPr="007C4CBF">
        <w:t xml:space="preserve">Kas yra </w:t>
      </w:r>
      <w:proofErr w:type="spellStart"/>
      <w:r w:rsidRPr="007C4CBF">
        <w:t>Chlorchinaldin</w:t>
      </w:r>
      <w:proofErr w:type="spellEnd"/>
      <w:r w:rsidRPr="007C4CBF">
        <w:t xml:space="preserve"> ir kam jis vartojamas</w:t>
      </w:r>
      <w:bookmarkEnd w:id="2"/>
      <w:bookmarkEnd w:id="3"/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jc w:val="both"/>
        <w:rPr>
          <w:sz w:val="22"/>
          <w:szCs w:val="22"/>
        </w:rPr>
      </w:pPr>
      <w:proofErr w:type="spellStart"/>
      <w:r w:rsidRPr="00484146">
        <w:rPr>
          <w:iCs/>
          <w:sz w:val="22"/>
          <w:szCs w:val="22"/>
        </w:rPr>
        <w:t>Chlorchinaldin</w:t>
      </w:r>
      <w:proofErr w:type="spellEnd"/>
      <w:r w:rsidRPr="00484146">
        <w:rPr>
          <w:iCs/>
          <w:sz w:val="22"/>
          <w:szCs w:val="22"/>
        </w:rPr>
        <w:t xml:space="preserve"> </w:t>
      </w:r>
      <w:r w:rsidRPr="00484146">
        <w:rPr>
          <w:sz w:val="22"/>
          <w:szCs w:val="22"/>
        </w:rPr>
        <w:t>kietosios pastilės vartojamos burnos ertmės gleivinės uždegimui gydyti.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1EMEASMCA"/>
      </w:pPr>
      <w:bookmarkStart w:id="4" w:name="_Toc129243140"/>
      <w:bookmarkStart w:id="5" w:name="_Toc129243265"/>
      <w:r w:rsidRPr="00484146">
        <w:t>2.</w:t>
      </w:r>
      <w:r w:rsidRPr="00484146">
        <w:tab/>
      </w:r>
      <w:r w:rsidRPr="007C4CBF">
        <w:t xml:space="preserve">Kas žinotina prieš vartojant </w:t>
      </w:r>
      <w:proofErr w:type="spellStart"/>
      <w:r w:rsidRPr="007C4CBF">
        <w:t>Chlorchinaldin</w:t>
      </w:r>
      <w:bookmarkEnd w:id="4"/>
      <w:bookmarkEnd w:id="5"/>
      <w:proofErr w:type="spellEnd"/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3EMEASMCA"/>
      </w:pPr>
      <w:proofErr w:type="spellStart"/>
      <w:r w:rsidRPr="00484146">
        <w:t>Chlorchinaldin</w:t>
      </w:r>
      <w:proofErr w:type="spellEnd"/>
      <w:r w:rsidRPr="00484146">
        <w:t xml:space="preserve"> vartoti negalima:</w:t>
      </w:r>
    </w:p>
    <w:p w:rsidR="00C22167" w:rsidRPr="002E6C5F" w:rsidRDefault="00C22167" w:rsidP="00C22167">
      <w:pPr>
        <w:pStyle w:val="Sraopastraipa"/>
        <w:numPr>
          <w:ilvl w:val="0"/>
          <w:numId w:val="4"/>
        </w:numPr>
        <w:ind w:left="540" w:hanging="540"/>
      </w:pPr>
      <w:r w:rsidRPr="008D5831">
        <w:rPr>
          <w:sz w:val="22"/>
        </w:rPr>
        <w:t xml:space="preserve">jeigu yra alergija </w:t>
      </w:r>
      <w:proofErr w:type="spellStart"/>
      <w:r w:rsidRPr="008D5831">
        <w:rPr>
          <w:sz w:val="22"/>
        </w:rPr>
        <w:t>chlorkvinaldoliui</w:t>
      </w:r>
      <w:proofErr w:type="spellEnd"/>
      <w:r w:rsidRPr="008D5831">
        <w:rPr>
          <w:sz w:val="22"/>
        </w:rPr>
        <w:t xml:space="preserve"> arba bet kuriai pagalbinei </w:t>
      </w:r>
      <w:r w:rsidRPr="008D5831">
        <w:rPr>
          <w:sz w:val="22"/>
          <w:szCs w:val="22"/>
        </w:rPr>
        <w:t>šio vaisto</w:t>
      </w:r>
      <w:r w:rsidRPr="008D5831">
        <w:rPr>
          <w:sz w:val="22"/>
        </w:rPr>
        <w:t xml:space="preserve"> medžiagai</w:t>
      </w:r>
      <w:r w:rsidRPr="008D5831">
        <w:rPr>
          <w:sz w:val="22"/>
          <w:szCs w:val="22"/>
        </w:rPr>
        <w:t xml:space="preserve"> (jos išvardytos 6 skyriuje).</w:t>
      </w:r>
    </w:p>
    <w:p w:rsidR="00C22167" w:rsidRPr="00484146" w:rsidRDefault="00C22167" w:rsidP="00C22167">
      <w:pPr>
        <w:pStyle w:val="BT-EMEASMCA"/>
        <w:numPr>
          <w:ilvl w:val="0"/>
          <w:numId w:val="0"/>
        </w:numPr>
        <w:ind w:left="357"/>
        <w:rPr>
          <w:noProof w:val="0"/>
        </w:rPr>
      </w:pPr>
    </w:p>
    <w:p w:rsidR="00C22167" w:rsidRPr="00484146" w:rsidRDefault="00C22167" w:rsidP="00C22167">
      <w:pPr>
        <w:pStyle w:val="PI-3EMEASMCA"/>
      </w:pPr>
      <w:r w:rsidRPr="00484146">
        <w:t>Specialių atsargumo priemonių reikia:</w:t>
      </w:r>
    </w:p>
    <w:p w:rsidR="00C22167" w:rsidRPr="008D5831" w:rsidRDefault="00C22167" w:rsidP="00C22167">
      <w:pPr>
        <w:pStyle w:val="Sraopastraipa"/>
        <w:numPr>
          <w:ilvl w:val="0"/>
          <w:numId w:val="2"/>
        </w:numPr>
        <w:ind w:left="540" w:hanging="540"/>
      </w:pPr>
      <w:r w:rsidRPr="008D5831">
        <w:rPr>
          <w:sz w:val="22"/>
          <w:szCs w:val="22"/>
        </w:rPr>
        <w:t xml:space="preserve">jei per keletą dienų vartojant </w:t>
      </w:r>
      <w:proofErr w:type="spellStart"/>
      <w:r w:rsidRPr="008D5831">
        <w:rPr>
          <w:sz w:val="22"/>
          <w:szCs w:val="22"/>
        </w:rPr>
        <w:t>chlorkvinaldolį</w:t>
      </w:r>
      <w:proofErr w:type="spellEnd"/>
      <w:r w:rsidRPr="008D5831">
        <w:rPr>
          <w:sz w:val="22"/>
          <w:szCs w:val="22"/>
        </w:rPr>
        <w:t xml:space="preserve"> simptomai išlieka ar stiprėja. Tuomet būtina kreiptis į gydytoją, nes tai rodo, kad reikia skirti antibiotiką.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3EMEASMCA"/>
      </w:pPr>
      <w:r w:rsidRPr="00484146">
        <w:t>Kit</w:t>
      </w:r>
      <w:r>
        <w:t>i</w:t>
      </w:r>
      <w:r w:rsidRPr="00484146">
        <w:t xml:space="preserve"> vaist</w:t>
      </w:r>
      <w:r>
        <w:t xml:space="preserve">ai ir </w:t>
      </w:r>
      <w:proofErr w:type="spellStart"/>
      <w:r w:rsidRPr="00484146">
        <w:t>Chlorchinaldin</w:t>
      </w:r>
      <w:proofErr w:type="spellEnd"/>
      <w:r w:rsidRPr="00484146">
        <w:t xml:space="preserve"> </w:t>
      </w:r>
    </w:p>
    <w:p w:rsidR="00C22167" w:rsidRDefault="00C22167" w:rsidP="00C22167">
      <w:pPr>
        <w:pStyle w:val="BTEMEASMCA"/>
        <w:rPr>
          <w:noProof w:val="0"/>
        </w:rPr>
      </w:pPr>
      <w:r w:rsidRPr="00484146">
        <w:rPr>
          <w:noProof w:val="0"/>
        </w:rPr>
        <w:t>Jeigu vartojate arba neseniai vartojote kitų vaistų, įskaitant įsigytus be recepto, pasakykite gydytojui arba vaistininkui.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rPr>
          <w:sz w:val="22"/>
          <w:szCs w:val="22"/>
        </w:rPr>
      </w:pPr>
      <w:r w:rsidRPr="00484146">
        <w:rPr>
          <w:sz w:val="22"/>
          <w:szCs w:val="22"/>
        </w:rPr>
        <w:t xml:space="preserve">Metalų ir jodo junginiai silpnina </w:t>
      </w:r>
      <w:proofErr w:type="spellStart"/>
      <w:r w:rsidRPr="00484146">
        <w:rPr>
          <w:sz w:val="22"/>
          <w:szCs w:val="22"/>
        </w:rPr>
        <w:t>chlorkvinaldolio</w:t>
      </w:r>
      <w:proofErr w:type="spellEnd"/>
      <w:r w:rsidRPr="00484146">
        <w:rPr>
          <w:sz w:val="22"/>
          <w:szCs w:val="22"/>
        </w:rPr>
        <w:t xml:space="preserve"> poveikį, todėl reikia vengti vienu metu vartoti šiuos preparatus.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3EMEASMCA"/>
      </w:pPr>
      <w:proofErr w:type="spellStart"/>
      <w:r w:rsidRPr="00484146">
        <w:t>Chlorchinaldin</w:t>
      </w:r>
      <w:proofErr w:type="spellEnd"/>
      <w:r w:rsidRPr="00484146">
        <w:t xml:space="preserve"> vartojimas su maistu ir gėrimais</w:t>
      </w:r>
    </w:p>
    <w:p w:rsidR="00C22167" w:rsidRPr="00484146" w:rsidRDefault="00C22167" w:rsidP="00C22167">
      <w:pPr>
        <w:pStyle w:val="Pagrindinistekstas"/>
        <w:spacing w:after="0"/>
        <w:rPr>
          <w:szCs w:val="22"/>
        </w:rPr>
      </w:pPr>
      <w:r w:rsidRPr="00484146">
        <w:rPr>
          <w:szCs w:val="22"/>
        </w:rPr>
        <w:t>Vaistą galima vartoti nepriklausomai nuo valgio.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3EMEASMCA"/>
      </w:pPr>
      <w:r w:rsidRPr="00484146">
        <w:t>Nėštumas ir žindymo laikotarpis</w:t>
      </w:r>
    </w:p>
    <w:p w:rsidR="00C22167" w:rsidRPr="00484146" w:rsidRDefault="00C22167" w:rsidP="00C22167">
      <w:pPr>
        <w:pStyle w:val="Pagrindinistekstas"/>
        <w:spacing w:after="0"/>
        <w:rPr>
          <w:szCs w:val="22"/>
        </w:rPr>
      </w:pPr>
      <w:r w:rsidRPr="007C4CBF">
        <w:rPr>
          <w:szCs w:val="22"/>
        </w:rPr>
        <w:t>Jeigu esate nėščia, žindote kūdikį, manote, kad galbūt esate nėščia, arba planuojate pastoti, tai prieš vartodama šį vaistą, pasitarkite su</w:t>
      </w:r>
      <w:r>
        <w:rPr>
          <w:szCs w:val="22"/>
        </w:rPr>
        <w:t xml:space="preserve"> </w:t>
      </w:r>
      <w:r w:rsidRPr="00484146">
        <w:t>gydytoju arba vaistininku</w:t>
      </w:r>
      <w:r w:rsidRPr="00484146">
        <w:rPr>
          <w:szCs w:val="22"/>
        </w:rPr>
        <w:t>.</w:t>
      </w:r>
    </w:p>
    <w:p w:rsidR="00C22167" w:rsidRPr="00484146" w:rsidRDefault="00C22167" w:rsidP="00C22167">
      <w:pPr>
        <w:pStyle w:val="BTEMEASMCA"/>
        <w:rPr>
          <w:noProof w:val="0"/>
        </w:rPr>
      </w:pPr>
      <w:r w:rsidRPr="00484146">
        <w:rPr>
          <w:noProof w:val="0"/>
        </w:rPr>
        <w:t>Prieš vartojant bet kokį vaistą, būtina pasitarti su gydytoju arba vaistininku.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3EMEASMCA"/>
      </w:pPr>
      <w:r w:rsidRPr="00484146">
        <w:t>Vairavimas ir mechanizmų valdymas</w:t>
      </w:r>
    </w:p>
    <w:p w:rsidR="00C22167" w:rsidRPr="00484146" w:rsidRDefault="00C22167" w:rsidP="00C22167">
      <w:pPr>
        <w:pStyle w:val="Pagrindinistekstas"/>
        <w:spacing w:after="0"/>
        <w:rPr>
          <w:szCs w:val="22"/>
        </w:rPr>
      </w:pPr>
      <w:r w:rsidRPr="00484146">
        <w:rPr>
          <w:szCs w:val="22"/>
        </w:rPr>
        <w:lastRenderedPageBreak/>
        <w:t xml:space="preserve">Jei </w:t>
      </w:r>
      <w:proofErr w:type="spellStart"/>
      <w:r w:rsidRPr="00484146">
        <w:rPr>
          <w:iCs/>
          <w:szCs w:val="22"/>
        </w:rPr>
        <w:t>Chlorchinaldin</w:t>
      </w:r>
      <w:proofErr w:type="spellEnd"/>
      <w:r w:rsidRPr="00484146">
        <w:rPr>
          <w:iCs/>
          <w:szCs w:val="22"/>
        </w:rPr>
        <w:t xml:space="preserve"> </w:t>
      </w:r>
      <w:r w:rsidRPr="00484146">
        <w:rPr>
          <w:szCs w:val="22"/>
        </w:rPr>
        <w:t>vartojamas teisingai, vaistas neturi poveikio gebėjimui vairuoti ir valdyti mechanizmus.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7C4CBF" w:rsidRDefault="00C22167" w:rsidP="00C22167">
      <w:pPr>
        <w:pStyle w:val="BTEMEASMCA"/>
        <w:rPr>
          <w:b/>
          <w:iCs/>
        </w:rPr>
      </w:pPr>
      <w:r w:rsidRPr="008D5831">
        <w:rPr>
          <w:b/>
        </w:rPr>
        <w:t xml:space="preserve">Chlorchinaldin </w:t>
      </w:r>
      <w:r w:rsidRPr="007C4CBF">
        <w:rPr>
          <w:b/>
          <w:iCs/>
        </w:rPr>
        <w:t>sudėtyje yra sacharozės ir natrio</w:t>
      </w:r>
    </w:p>
    <w:p w:rsidR="00C22167" w:rsidRDefault="00C22167" w:rsidP="00C22167">
      <w:pPr>
        <w:pStyle w:val="BTEMEASMCA"/>
        <w:rPr>
          <w:noProof w:val="0"/>
        </w:rPr>
      </w:pPr>
      <w:r>
        <w:rPr>
          <w:noProof w:val="0"/>
        </w:rPr>
        <w:t>Jeigu gydytojas Jums yra sakęs, kad netoleruojate kokių nors angliavandenių, kreipkitės į jį prieš pradėdami vartoti šį vaistą.</w:t>
      </w:r>
    </w:p>
    <w:p w:rsidR="00C22167" w:rsidRDefault="00C22167" w:rsidP="00C22167">
      <w:pPr>
        <w:pStyle w:val="BTEMEASMCA"/>
        <w:rPr>
          <w:noProof w:val="0"/>
        </w:rPr>
      </w:pPr>
      <w:r>
        <w:rPr>
          <w:noProof w:val="0"/>
        </w:rPr>
        <w:t xml:space="preserve">Šio vaisto dozėje yra mažiau kaip 1 </w:t>
      </w:r>
      <w:proofErr w:type="spellStart"/>
      <w:r>
        <w:rPr>
          <w:noProof w:val="0"/>
        </w:rPr>
        <w:t>mmol</w:t>
      </w:r>
      <w:proofErr w:type="spellEnd"/>
      <w:r>
        <w:rPr>
          <w:noProof w:val="0"/>
        </w:rPr>
        <w:t xml:space="preserve"> (23 mg) natrio, </w:t>
      </w:r>
      <w:proofErr w:type="spellStart"/>
      <w:r>
        <w:rPr>
          <w:noProof w:val="0"/>
        </w:rPr>
        <w:t>t.y</w:t>
      </w:r>
      <w:proofErr w:type="spellEnd"/>
      <w:r>
        <w:rPr>
          <w:noProof w:val="0"/>
        </w:rPr>
        <w:t>. jis beveik neturi reikšmės.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1EMEASMCA"/>
      </w:pPr>
      <w:bookmarkStart w:id="6" w:name="_Toc129243141"/>
      <w:bookmarkStart w:id="7" w:name="_Toc129243266"/>
      <w:r w:rsidRPr="00484146">
        <w:t>3.</w:t>
      </w:r>
      <w:r w:rsidRPr="00484146">
        <w:tab/>
      </w:r>
      <w:r w:rsidRPr="007C4CBF">
        <w:t xml:space="preserve">Kaip vartoti </w:t>
      </w:r>
      <w:proofErr w:type="spellStart"/>
      <w:r w:rsidRPr="007C4CBF">
        <w:t>Chlorchinaldin</w:t>
      </w:r>
      <w:bookmarkEnd w:id="6"/>
      <w:bookmarkEnd w:id="7"/>
      <w:proofErr w:type="spellEnd"/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  <w:r>
        <w:rPr>
          <w:noProof w:val="0"/>
        </w:rPr>
        <w:t>V</w:t>
      </w:r>
      <w:r w:rsidRPr="00484146">
        <w:rPr>
          <w:noProof w:val="0"/>
        </w:rPr>
        <w:t>isada vartokite</w:t>
      </w:r>
      <w:r>
        <w:rPr>
          <w:noProof w:val="0"/>
        </w:rPr>
        <w:t xml:space="preserve"> šį vaistą</w:t>
      </w:r>
      <w:r w:rsidRPr="00484146">
        <w:rPr>
          <w:noProof w:val="0"/>
        </w:rPr>
        <w:t xml:space="preserve"> tiksliai, kaip nurodė gydytojas. Jeigu abejojate, kreipkitės į gydytoją arba vaistininką. 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agrindiniotekstotrauka2"/>
        <w:spacing w:after="0" w:line="240" w:lineRule="auto"/>
        <w:ind w:left="0"/>
        <w:rPr>
          <w:szCs w:val="22"/>
        </w:rPr>
      </w:pPr>
      <w:r w:rsidRPr="00484146">
        <w:rPr>
          <w:szCs w:val="22"/>
        </w:rPr>
        <w:t>Suaugusiems</w:t>
      </w:r>
      <w:r>
        <w:rPr>
          <w:szCs w:val="22"/>
        </w:rPr>
        <w:t xml:space="preserve"> žmonėms </w:t>
      </w:r>
      <w:r w:rsidRPr="00484146">
        <w:rPr>
          <w:szCs w:val="22"/>
        </w:rPr>
        <w:t>ir paaugliams kas 1 – 2</w:t>
      </w:r>
      <w:r>
        <w:rPr>
          <w:szCs w:val="22"/>
        </w:rPr>
        <w:t> </w:t>
      </w:r>
      <w:r w:rsidRPr="00484146">
        <w:rPr>
          <w:szCs w:val="22"/>
        </w:rPr>
        <w:t>valandas reikia sučiulpti po vieną kietąją pastilę. Per parą negalima viršyti 20</w:t>
      </w:r>
      <w:r>
        <w:rPr>
          <w:szCs w:val="22"/>
        </w:rPr>
        <w:t> </w:t>
      </w:r>
      <w:r w:rsidRPr="00484146">
        <w:rPr>
          <w:szCs w:val="22"/>
        </w:rPr>
        <w:t>mg (10</w:t>
      </w:r>
      <w:r>
        <w:rPr>
          <w:szCs w:val="22"/>
        </w:rPr>
        <w:t> </w:t>
      </w:r>
      <w:r w:rsidRPr="00484146">
        <w:rPr>
          <w:szCs w:val="22"/>
        </w:rPr>
        <w:t>kietųjų pastilių) dozės.</w:t>
      </w:r>
    </w:p>
    <w:p w:rsidR="00C22167" w:rsidRPr="00484146" w:rsidRDefault="00C22167" w:rsidP="00C22167">
      <w:pPr>
        <w:pStyle w:val="Pagrindiniotekstotrauka2"/>
        <w:spacing w:after="0" w:line="240" w:lineRule="auto"/>
        <w:ind w:left="0"/>
        <w:rPr>
          <w:szCs w:val="22"/>
        </w:rPr>
      </w:pPr>
      <w:r w:rsidRPr="00484146">
        <w:rPr>
          <w:szCs w:val="22"/>
        </w:rPr>
        <w:t>Nekramtykite kietųjų pastilių.</w:t>
      </w:r>
    </w:p>
    <w:p w:rsidR="00C22167" w:rsidRDefault="00C22167" w:rsidP="00C22167">
      <w:pPr>
        <w:pStyle w:val="BTEMEASMCA"/>
        <w:rPr>
          <w:noProof w:val="0"/>
        </w:rPr>
      </w:pPr>
    </w:p>
    <w:p w:rsidR="00C22167" w:rsidRPr="00DE186E" w:rsidRDefault="00C22167" w:rsidP="00C22167">
      <w:pPr>
        <w:pStyle w:val="BTEMEASMCA"/>
        <w:rPr>
          <w:b/>
          <w:noProof w:val="0"/>
        </w:rPr>
      </w:pPr>
      <w:r w:rsidRPr="00DE186E">
        <w:rPr>
          <w:b/>
        </w:rPr>
        <w:t>Vartojimas vaikams</w:t>
      </w:r>
    </w:p>
    <w:p w:rsidR="00C22167" w:rsidRPr="00484146" w:rsidRDefault="00C22167" w:rsidP="00C22167">
      <w:pPr>
        <w:pStyle w:val="Pagrindinistekstas"/>
        <w:spacing w:after="0"/>
        <w:rPr>
          <w:szCs w:val="22"/>
        </w:rPr>
      </w:pPr>
      <w:proofErr w:type="spellStart"/>
      <w:r w:rsidRPr="00484146">
        <w:rPr>
          <w:iCs/>
          <w:szCs w:val="22"/>
        </w:rPr>
        <w:t>Chlorchinaldin</w:t>
      </w:r>
      <w:proofErr w:type="spellEnd"/>
      <w:r w:rsidRPr="00484146">
        <w:rPr>
          <w:szCs w:val="22"/>
        </w:rPr>
        <w:t xml:space="preserve"> negalima vartoti jaunesniems kaip 12</w:t>
      </w:r>
      <w:r>
        <w:rPr>
          <w:szCs w:val="22"/>
        </w:rPr>
        <w:t> </w:t>
      </w:r>
      <w:r w:rsidRPr="00484146">
        <w:rPr>
          <w:szCs w:val="22"/>
        </w:rPr>
        <w:t xml:space="preserve">metų vaikams, nes duomenų apie saugumą nėra. </w:t>
      </w:r>
    </w:p>
    <w:p w:rsidR="00C22167" w:rsidRPr="00484146" w:rsidRDefault="00C22167" w:rsidP="00C22167">
      <w:pPr>
        <w:rPr>
          <w:sz w:val="22"/>
          <w:szCs w:val="22"/>
        </w:rPr>
      </w:pPr>
    </w:p>
    <w:p w:rsidR="00C22167" w:rsidRPr="00484146" w:rsidRDefault="00C22167" w:rsidP="00C22167">
      <w:pPr>
        <w:rPr>
          <w:sz w:val="22"/>
          <w:szCs w:val="22"/>
        </w:rPr>
      </w:pPr>
      <w:r w:rsidRPr="00484146">
        <w:rPr>
          <w:sz w:val="22"/>
          <w:szCs w:val="22"/>
        </w:rPr>
        <w:t>Jeigu manote, kad</w:t>
      </w:r>
      <w:r w:rsidRPr="00484146">
        <w:rPr>
          <w:iCs/>
          <w:sz w:val="22"/>
          <w:szCs w:val="22"/>
        </w:rPr>
        <w:t xml:space="preserve"> </w:t>
      </w:r>
      <w:proofErr w:type="spellStart"/>
      <w:r w:rsidRPr="00484146">
        <w:rPr>
          <w:iCs/>
          <w:sz w:val="22"/>
          <w:szCs w:val="22"/>
        </w:rPr>
        <w:t>Chlorchinaldin</w:t>
      </w:r>
      <w:proofErr w:type="spellEnd"/>
      <w:r w:rsidRPr="00484146">
        <w:rPr>
          <w:iCs/>
          <w:sz w:val="22"/>
          <w:szCs w:val="22"/>
        </w:rPr>
        <w:t xml:space="preserve"> </w:t>
      </w:r>
      <w:r w:rsidRPr="00484146">
        <w:rPr>
          <w:sz w:val="22"/>
          <w:szCs w:val="22"/>
        </w:rPr>
        <w:t>veikia per stipriai arba per silpnai, kreipkitės į gydytoją arba vaistininką.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3EMEASMCA"/>
      </w:pPr>
      <w:r w:rsidRPr="00484146">
        <w:t xml:space="preserve">Pavartojus per didelę </w:t>
      </w:r>
      <w:proofErr w:type="spellStart"/>
      <w:r w:rsidRPr="00484146">
        <w:rPr>
          <w:iCs/>
        </w:rPr>
        <w:t>Chlorchinaldin</w:t>
      </w:r>
      <w:proofErr w:type="spellEnd"/>
      <w:r w:rsidRPr="00484146">
        <w:t xml:space="preserve"> dozę</w:t>
      </w:r>
    </w:p>
    <w:p w:rsidR="00C22167" w:rsidRPr="00484146" w:rsidRDefault="00C22167" w:rsidP="00C22167">
      <w:pPr>
        <w:pStyle w:val="Pagrindiniotekstotrauka"/>
        <w:spacing w:after="0"/>
        <w:ind w:left="0"/>
        <w:rPr>
          <w:szCs w:val="22"/>
        </w:rPr>
      </w:pPr>
      <w:r w:rsidRPr="00484146">
        <w:rPr>
          <w:szCs w:val="22"/>
        </w:rPr>
        <w:t xml:space="preserve">Iki šiol nėra buvę pranešimų apie </w:t>
      </w:r>
      <w:proofErr w:type="spellStart"/>
      <w:r w:rsidRPr="00484146">
        <w:rPr>
          <w:szCs w:val="22"/>
        </w:rPr>
        <w:t>chlorkvinaldolio</w:t>
      </w:r>
      <w:proofErr w:type="spellEnd"/>
      <w:r w:rsidRPr="00484146">
        <w:rPr>
          <w:szCs w:val="22"/>
        </w:rPr>
        <w:t xml:space="preserve"> perdozavimą.</w:t>
      </w:r>
    </w:p>
    <w:p w:rsidR="00C22167" w:rsidRPr="00484146" w:rsidRDefault="00C22167" w:rsidP="00C22167">
      <w:pPr>
        <w:pStyle w:val="Pagrindiniotekstotrauka"/>
        <w:spacing w:after="0"/>
        <w:ind w:left="0"/>
        <w:rPr>
          <w:szCs w:val="22"/>
        </w:rPr>
      </w:pPr>
      <w:r w:rsidRPr="00484146">
        <w:rPr>
          <w:szCs w:val="22"/>
        </w:rPr>
        <w:t xml:space="preserve">Dėl mažos vaisto dozės ir nedidelės jo </w:t>
      </w:r>
      <w:proofErr w:type="spellStart"/>
      <w:r w:rsidRPr="00484146">
        <w:rPr>
          <w:szCs w:val="22"/>
        </w:rPr>
        <w:t>rezorbcijos</w:t>
      </w:r>
      <w:proofErr w:type="spellEnd"/>
      <w:r w:rsidRPr="00484146">
        <w:rPr>
          <w:szCs w:val="22"/>
        </w:rPr>
        <w:t xml:space="preserve"> simptominio perdozavimo tikimybė yra minimali. Tačiau tyrimų rezultatai rodo, kad halogeninti </w:t>
      </w:r>
      <w:proofErr w:type="spellStart"/>
      <w:r w:rsidRPr="00484146">
        <w:rPr>
          <w:szCs w:val="22"/>
        </w:rPr>
        <w:t>chinolino</w:t>
      </w:r>
      <w:proofErr w:type="spellEnd"/>
      <w:r w:rsidRPr="00484146">
        <w:rPr>
          <w:szCs w:val="22"/>
        </w:rPr>
        <w:t xml:space="preserve"> dariniai (</w:t>
      </w:r>
      <w:proofErr w:type="spellStart"/>
      <w:r w:rsidRPr="00484146">
        <w:rPr>
          <w:szCs w:val="22"/>
        </w:rPr>
        <w:t>chlorkvinaldolis</w:t>
      </w:r>
      <w:proofErr w:type="spellEnd"/>
      <w:r w:rsidRPr="00484146">
        <w:rPr>
          <w:szCs w:val="22"/>
        </w:rPr>
        <w:t xml:space="preserve"> priklauso šiai grupei), ypač jei jų vartojama ilgai arba didelė dozė, gali sukelti </w:t>
      </w:r>
      <w:proofErr w:type="spellStart"/>
      <w:r w:rsidRPr="00484146">
        <w:rPr>
          <w:szCs w:val="22"/>
        </w:rPr>
        <w:t>poūmę</w:t>
      </w:r>
      <w:proofErr w:type="spellEnd"/>
      <w:r w:rsidRPr="00484146">
        <w:rPr>
          <w:szCs w:val="22"/>
        </w:rPr>
        <w:t xml:space="preserve"> </w:t>
      </w:r>
      <w:proofErr w:type="spellStart"/>
      <w:r w:rsidRPr="00484146">
        <w:rPr>
          <w:szCs w:val="22"/>
        </w:rPr>
        <w:t>mielooptinę</w:t>
      </w:r>
      <w:proofErr w:type="spellEnd"/>
      <w:r w:rsidRPr="00484146">
        <w:rPr>
          <w:szCs w:val="22"/>
        </w:rPr>
        <w:t xml:space="preserve"> neuropatiją, kuri pasireiškia </w:t>
      </w:r>
      <w:proofErr w:type="spellStart"/>
      <w:r w:rsidRPr="00484146">
        <w:rPr>
          <w:szCs w:val="22"/>
        </w:rPr>
        <w:t>dizestezija</w:t>
      </w:r>
      <w:proofErr w:type="spellEnd"/>
      <w:r w:rsidRPr="00484146">
        <w:rPr>
          <w:szCs w:val="22"/>
        </w:rPr>
        <w:t>, raumenų silpnumu ir regėjimo sutrikimais. Prieš šių simptomų atsiradimą dažnai pasireiškia sunkus viduriavimas, pažaliuoja šlapimas ir liežuvis.</w:t>
      </w:r>
    </w:p>
    <w:p w:rsidR="00C22167" w:rsidRPr="00484146" w:rsidRDefault="00C22167" w:rsidP="00C22167">
      <w:pPr>
        <w:pStyle w:val="Pagrindiniotekstotrauka"/>
        <w:spacing w:after="0"/>
        <w:ind w:left="0"/>
        <w:rPr>
          <w:szCs w:val="22"/>
        </w:rPr>
      </w:pPr>
      <w:r w:rsidRPr="00484146">
        <w:rPr>
          <w:szCs w:val="22"/>
        </w:rPr>
        <w:t>Perdozavus būtina kreiptis į gydytoją.</w:t>
      </w:r>
    </w:p>
    <w:p w:rsidR="00C22167" w:rsidRPr="00484146" w:rsidRDefault="00C22167" w:rsidP="00C22167">
      <w:pPr>
        <w:pStyle w:val="Pagrindiniotekstotrauka"/>
        <w:spacing w:after="0"/>
        <w:ind w:left="0"/>
        <w:rPr>
          <w:szCs w:val="22"/>
        </w:rPr>
      </w:pPr>
      <w:r w:rsidRPr="00484146">
        <w:rPr>
          <w:szCs w:val="22"/>
        </w:rPr>
        <w:t>Perdozavimas gydomas sukeliant vėmimą ir plaunant skrandį, taip pat skiriamas simptominis gydymas.</w:t>
      </w:r>
    </w:p>
    <w:p w:rsidR="00C22167" w:rsidRPr="00484146" w:rsidRDefault="00C22167" w:rsidP="00C22167">
      <w:pPr>
        <w:pStyle w:val="BTEMEASMCA"/>
        <w:rPr>
          <w:b/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1EMEASMCA"/>
      </w:pPr>
      <w:bookmarkStart w:id="8" w:name="_Toc129243142"/>
      <w:bookmarkStart w:id="9" w:name="_Toc129243267"/>
      <w:r w:rsidRPr="00484146">
        <w:t>4.</w:t>
      </w:r>
      <w:r w:rsidRPr="00484146">
        <w:tab/>
      </w:r>
      <w:r w:rsidRPr="00DE186E">
        <w:t>Galimas šalutinis poveikis</w:t>
      </w:r>
      <w:bookmarkEnd w:id="8"/>
      <w:bookmarkEnd w:id="9"/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  <w:r w:rsidRPr="00B34FA1">
        <w:rPr>
          <w:szCs w:val="24"/>
        </w:rPr>
        <w:t>Šis vaistas</w:t>
      </w:r>
      <w:r w:rsidRPr="00484146">
        <w:rPr>
          <w:noProof w:val="0"/>
        </w:rPr>
        <w:t>, kaip ir visi kiti vaistai, gali sukelti šalutinį poveikį, nors jis pasireiškia ne visiems žmonėms.</w:t>
      </w:r>
    </w:p>
    <w:p w:rsidR="00C22167" w:rsidRDefault="00C22167" w:rsidP="00C22167">
      <w:pPr>
        <w:rPr>
          <w:sz w:val="22"/>
          <w:szCs w:val="22"/>
        </w:rPr>
      </w:pPr>
    </w:p>
    <w:p w:rsidR="00C22167" w:rsidRPr="00484146" w:rsidRDefault="00C22167" w:rsidP="00C22167">
      <w:pPr>
        <w:rPr>
          <w:sz w:val="22"/>
          <w:szCs w:val="22"/>
        </w:rPr>
      </w:pPr>
      <w:proofErr w:type="spellStart"/>
      <w:r w:rsidRPr="00484146">
        <w:rPr>
          <w:sz w:val="22"/>
          <w:szCs w:val="22"/>
        </w:rPr>
        <w:t>Chlorkvinaldolis</w:t>
      </w:r>
      <w:proofErr w:type="spellEnd"/>
      <w:r w:rsidRPr="00484146">
        <w:rPr>
          <w:sz w:val="22"/>
          <w:szCs w:val="22"/>
        </w:rPr>
        <w:t xml:space="preserve"> kartais gali sukelti tos vietos, kurioje vartojamas, suerzinimą, niežulį ir alerginius simptomus. Labai jautriems žmonėms vaistas gali sukelti alerginę reakciją (dilgėlinė ar bėrimas).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DE186E" w:rsidRDefault="00C22167" w:rsidP="00C22167">
      <w:pPr>
        <w:rPr>
          <w:b/>
          <w:sz w:val="22"/>
          <w:szCs w:val="22"/>
        </w:rPr>
      </w:pPr>
      <w:r w:rsidRPr="00DE186E">
        <w:rPr>
          <w:b/>
          <w:noProof/>
          <w:sz w:val="22"/>
          <w:szCs w:val="22"/>
        </w:rPr>
        <w:t>Pranešimas apie šalutinį poveikį</w:t>
      </w:r>
    </w:p>
    <w:p w:rsidR="00C22167" w:rsidRPr="00DE186E" w:rsidRDefault="00C22167" w:rsidP="00C22167">
      <w:pPr>
        <w:ind w:right="-449"/>
        <w:rPr>
          <w:noProof/>
          <w:sz w:val="22"/>
          <w:szCs w:val="22"/>
        </w:rPr>
      </w:pPr>
      <w:r w:rsidRPr="00DE186E">
        <w:rPr>
          <w:sz w:val="22"/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DE186E">
        <w:rPr>
          <w:sz w:val="22"/>
          <w:szCs w:val="22"/>
          <w:lang w:eastAsia="zh-CN"/>
        </w:rPr>
        <w:t>elefonu 8 800 73568</w:t>
      </w:r>
      <w:r w:rsidRPr="00DE186E">
        <w:rPr>
          <w:sz w:val="22"/>
          <w:szCs w:val="22"/>
        </w:rPr>
        <w:t xml:space="preserve"> arba užpildyti interneto svetainėje </w:t>
      </w:r>
      <w:hyperlink r:id="rId5" w:history="1">
        <w:r w:rsidRPr="00DE186E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DE186E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DE186E">
        <w:rPr>
          <w:sz w:val="22"/>
          <w:szCs w:val="22"/>
          <w:lang w:eastAsia="zh-CN"/>
        </w:rPr>
        <w:t xml:space="preserve">nemokamu </w:t>
      </w:r>
      <w:r w:rsidRPr="00DE186E">
        <w:rPr>
          <w:sz w:val="22"/>
          <w:szCs w:val="22"/>
        </w:rPr>
        <w:t>fakso numeriu 8 800 20131</w:t>
      </w:r>
      <w:r w:rsidRPr="00DE186E">
        <w:rPr>
          <w:sz w:val="22"/>
          <w:szCs w:val="22"/>
          <w:lang w:eastAsia="zh-CN"/>
        </w:rPr>
        <w:t xml:space="preserve">, </w:t>
      </w:r>
      <w:r w:rsidRPr="00DE186E">
        <w:rPr>
          <w:sz w:val="22"/>
          <w:szCs w:val="22"/>
        </w:rPr>
        <w:t xml:space="preserve">el. paštu </w:t>
      </w:r>
      <w:hyperlink r:id="rId6" w:history="1">
        <w:r w:rsidRPr="00DE186E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DE186E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DE186E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DE186E">
        <w:rPr>
          <w:sz w:val="22"/>
          <w:szCs w:val="22"/>
        </w:rPr>
        <w:t>). Pranešdami apie šalutinį poveikį galite mums padėti gauti daugiau informacijos apie šio vaisto saugumą.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1EMEASMCA"/>
      </w:pPr>
      <w:bookmarkStart w:id="10" w:name="_Toc129243143"/>
      <w:bookmarkStart w:id="11" w:name="_Toc129243268"/>
      <w:r w:rsidRPr="00484146">
        <w:t>5.</w:t>
      </w:r>
      <w:r w:rsidRPr="00484146">
        <w:tab/>
      </w:r>
      <w:r w:rsidRPr="00DE186E">
        <w:t xml:space="preserve">Kaip laikyti </w:t>
      </w:r>
      <w:proofErr w:type="spellStart"/>
      <w:r w:rsidRPr="00DE186E">
        <w:t>Chlorchinaldin</w:t>
      </w:r>
      <w:bookmarkEnd w:id="10"/>
      <w:bookmarkEnd w:id="11"/>
      <w:proofErr w:type="spellEnd"/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  <w:r w:rsidRPr="00484146">
        <w:rPr>
          <w:noProof w:val="0"/>
        </w:rPr>
        <w:t>Laikyti vaikams nepasiekiamoje ir nepastebimoje vietoje.</w:t>
      </w:r>
    </w:p>
    <w:p w:rsidR="00C22167" w:rsidRPr="00484146" w:rsidRDefault="00C22167" w:rsidP="00C22167">
      <w:pPr>
        <w:rPr>
          <w:sz w:val="22"/>
          <w:szCs w:val="22"/>
        </w:rPr>
      </w:pPr>
      <w:r>
        <w:rPr>
          <w:sz w:val="22"/>
          <w:szCs w:val="18"/>
        </w:rPr>
        <w:lastRenderedPageBreak/>
        <w:t xml:space="preserve">Laikyti ne aukštesnėje kaip 25 °C temperatūroje. </w:t>
      </w:r>
      <w:r w:rsidRPr="00484146">
        <w:rPr>
          <w:sz w:val="22"/>
          <w:szCs w:val="22"/>
        </w:rPr>
        <w:t>Lizdinę plokštelę laikyti išorinėje dėžutėje, kad preparatas būtų apsaugotas nuo šviesos ir drėgmės.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DF4173" w:rsidRDefault="00C22167" w:rsidP="00C22167">
      <w:pPr>
        <w:pStyle w:val="BTEMEASMCA"/>
        <w:rPr>
          <w:noProof w:val="0"/>
        </w:rPr>
      </w:pPr>
      <w:r w:rsidRPr="00DF4173">
        <w:rPr>
          <w:noProof w:val="0"/>
        </w:rPr>
        <w:t>Ant dėžutės</w:t>
      </w:r>
      <w:r>
        <w:rPr>
          <w:noProof w:val="0"/>
        </w:rPr>
        <w:t xml:space="preserve"> </w:t>
      </w:r>
      <w:r w:rsidRPr="00DF4173">
        <w:rPr>
          <w:noProof w:val="0"/>
        </w:rPr>
        <w:t xml:space="preserve">po </w:t>
      </w:r>
      <w:r>
        <w:rPr>
          <w:noProof w:val="0"/>
        </w:rPr>
        <w:t xml:space="preserve">„Tinka iki“ ir ant lizdinės plokštelės po „EXP“ </w:t>
      </w:r>
      <w:r w:rsidRPr="00DF4173">
        <w:rPr>
          <w:noProof w:val="0"/>
        </w:rPr>
        <w:t xml:space="preserve">nurodytam tinkamumo laikui pasibaigus, </w:t>
      </w:r>
      <w:r>
        <w:rPr>
          <w:noProof w:val="0"/>
        </w:rPr>
        <w:t>šio vaisto</w:t>
      </w:r>
      <w:r w:rsidRPr="00DF4173">
        <w:rPr>
          <w:noProof w:val="0"/>
        </w:rPr>
        <w:t xml:space="preserve"> vartoti negalima. </w:t>
      </w:r>
    </w:p>
    <w:p w:rsidR="00C22167" w:rsidRPr="00DF4173" w:rsidRDefault="00C22167" w:rsidP="00C22167">
      <w:pPr>
        <w:pStyle w:val="BTEMEASMCA"/>
        <w:rPr>
          <w:noProof w:val="0"/>
        </w:rPr>
      </w:pPr>
    </w:p>
    <w:p w:rsidR="00C22167" w:rsidRPr="00DF4173" w:rsidRDefault="00C22167" w:rsidP="00C22167">
      <w:pPr>
        <w:pStyle w:val="BTEMEASMCA"/>
        <w:rPr>
          <w:noProof w:val="0"/>
        </w:rPr>
      </w:pPr>
      <w:r w:rsidRPr="00DF4173">
        <w:rPr>
          <w:noProof w:val="0"/>
        </w:rPr>
        <w:t>Vaistų negalima išpilti į kanalizaciją arba išmesti su buitinėmis atliekomis. Kaip tvarkyti nereikalingus vaistus, klauskite vaistininko. Šios priemonės padės apsaugoti aplinką.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1EMEASMCA"/>
      </w:pPr>
      <w:bookmarkStart w:id="12" w:name="_Toc129243144"/>
      <w:bookmarkStart w:id="13" w:name="_Toc129243269"/>
      <w:r w:rsidRPr="00484146">
        <w:t>6.</w:t>
      </w:r>
      <w:r w:rsidRPr="00484146">
        <w:tab/>
      </w:r>
      <w:r w:rsidRPr="00B34FA1">
        <w:t>Pakuotės turinys ir kita informacija</w:t>
      </w:r>
      <w:bookmarkEnd w:id="12"/>
      <w:bookmarkEnd w:id="13"/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3EMEASMCA"/>
      </w:pPr>
      <w:proofErr w:type="spellStart"/>
      <w:r w:rsidRPr="00484146">
        <w:rPr>
          <w:iCs/>
        </w:rPr>
        <w:t>Chlorchinaldin</w:t>
      </w:r>
      <w:proofErr w:type="spellEnd"/>
      <w:r w:rsidRPr="00484146">
        <w:t xml:space="preserve"> sudėtis</w:t>
      </w:r>
    </w:p>
    <w:p w:rsidR="00C22167" w:rsidRPr="00484146" w:rsidRDefault="00C22167" w:rsidP="00C22167">
      <w:pPr>
        <w:pStyle w:val="BTEMEASMCA"/>
        <w:rPr>
          <w:noProof w:val="0"/>
          <w:u w:val="single"/>
        </w:rPr>
      </w:pPr>
    </w:p>
    <w:p w:rsidR="00C22167" w:rsidRPr="00484146" w:rsidRDefault="00C22167" w:rsidP="00C22167">
      <w:pPr>
        <w:pStyle w:val="BT-EMEASMCA"/>
        <w:tabs>
          <w:tab w:val="clear" w:pos="360"/>
        </w:tabs>
        <w:ind w:left="540" w:hanging="540"/>
      </w:pPr>
      <w:r w:rsidRPr="00484146">
        <w:t>Veiklioji medžiaga yra chlorkvinaldolis.</w:t>
      </w:r>
      <w:r>
        <w:t xml:space="preserve"> Vienoje pastilėje jo yra 2 mg.</w:t>
      </w:r>
    </w:p>
    <w:p w:rsidR="00C22167" w:rsidRPr="00484146" w:rsidRDefault="00C22167" w:rsidP="00C22167">
      <w:pPr>
        <w:pStyle w:val="BT-EMEASMCA"/>
        <w:tabs>
          <w:tab w:val="clear" w:pos="360"/>
        </w:tabs>
        <w:ind w:left="540" w:hanging="540"/>
      </w:pPr>
      <w:r w:rsidRPr="00484146">
        <w:t>Pagalbinės medžiagos yra citrinų rūgšties monohidratas, sacharozė, karmeliozės natrio druska, talkas, magnio stearatas.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PI-3EMEASMCA"/>
      </w:pPr>
      <w:proofErr w:type="spellStart"/>
      <w:r w:rsidRPr="00484146">
        <w:rPr>
          <w:iCs/>
        </w:rPr>
        <w:t>Chlorchinaldin</w:t>
      </w:r>
      <w:proofErr w:type="spellEnd"/>
      <w:r w:rsidRPr="00484146">
        <w:t xml:space="preserve"> išvaizda ir kiekis pakuotėje</w:t>
      </w:r>
    </w:p>
    <w:p w:rsidR="00C22167" w:rsidRPr="00484146" w:rsidRDefault="00C22167" w:rsidP="00C22167">
      <w:pPr>
        <w:pStyle w:val="BTEMEASMCA"/>
        <w:rPr>
          <w:noProof w:val="0"/>
          <w:u w:val="single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  <w:r w:rsidRPr="00484146">
        <w:rPr>
          <w:noProof w:val="0"/>
        </w:rPr>
        <w:t>Kreminės spalvos, apvali, plokščiu paviršiumi abiejose pusėse</w:t>
      </w:r>
      <w:r>
        <w:rPr>
          <w:noProof w:val="0"/>
        </w:rPr>
        <w:t xml:space="preserve"> bei</w:t>
      </w:r>
      <w:r w:rsidRPr="00484146">
        <w:rPr>
          <w:noProof w:val="0"/>
        </w:rPr>
        <w:t xml:space="preserve"> vagele</w:t>
      </w:r>
      <w:r>
        <w:rPr>
          <w:noProof w:val="0"/>
        </w:rPr>
        <w:t xml:space="preserve"> vienoje pusėje kietoji pastilė</w:t>
      </w:r>
      <w:r w:rsidRPr="00484146">
        <w:rPr>
          <w:noProof w:val="0"/>
        </w:rPr>
        <w:t>.</w:t>
      </w:r>
    </w:p>
    <w:p w:rsidR="00C22167" w:rsidRPr="00484146" w:rsidRDefault="00C22167" w:rsidP="00C22167">
      <w:pPr>
        <w:rPr>
          <w:sz w:val="22"/>
          <w:szCs w:val="22"/>
        </w:rPr>
      </w:pPr>
      <w:r w:rsidRPr="00484146">
        <w:rPr>
          <w:sz w:val="22"/>
          <w:szCs w:val="22"/>
        </w:rPr>
        <w:t>Pastilės tiekiamos supakuotos į lizdines plokšteles. Vienoje plokštelėje yra 20 kietųjų pastilių. Kartono dėžutėje yra 1 lizdinė plokštelė bei pakuotės lapelis.</w:t>
      </w:r>
    </w:p>
    <w:p w:rsidR="00C22167" w:rsidRPr="00484146" w:rsidRDefault="00C22167" w:rsidP="00C22167">
      <w:pPr>
        <w:pStyle w:val="PI-3EMEASMCA"/>
      </w:pPr>
    </w:p>
    <w:p w:rsidR="00C22167" w:rsidRPr="00484146" w:rsidRDefault="00C22167" w:rsidP="00C22167">
      <w:pPr>
        <w:pStyle w:val="PI-3EMEASMCA"/>
      </w:pPr>
    </w:p>
    <w:p w:rsidR="00C22167" w:rsidRDefault="00C22167" w:rsidP="00C22167">
      <w:pPr>
        <w:pStyle w:val="PI-3EMEASMCA"/>
      </w:pPr>
      <w:r w:rsidRPr="00484146">
        <w:t>R</w:t>
      </w:r>
      <w:r>
        <w:t>egistruotojas</w:t>
      </w:r>
      <w:r w:rsidRPr="00484146">
        <w:t xml:space="preserve"> </w:t>
      </w:r>
    </w:p>
    <w:p w:rsidR="00C22167" w:rsidRDefault="00C22167" w:rsidP="00C22167">
      <w:pPr>
        <w:pStyle w:val="PI-3EMEASMCA"/>
      </w:pPr>
    </w:p>
    <w:p w:rsidR="00C22167" w:rsidRDefault="00C22167" w:rsidP="00C22167">
      <w:pPr>
        <w:rPr>
          <w:sz w:val="22"/>
          <w:szCs w:val="22"/>
        </w:rPr>
      </w:pPr>
      <w:r>
        <w:rPr>
          <w:sz w:val="22"/>
          <w:szCs w:val="22"/>
        </w:rPr>
        <w:t xml:space="preserve">SIA Meda </w:t>
      </w:r>
      <w:proofErr w:type="spellStart"/>
      <w:r>
        <w:rPr>
          <w:sz w:val="22"/>
          <w:szCs w:val="22"/>
        </w:rPr>
        <w:t>Pharma</w:t>
      </w:r>
      <w:proofErr w:type="spellEnd"/>
    </w:p>
    <w:p w:rsidR="00C22167" w:rsidRPr="00DC413E" w:rsidRDefault="00C22167" w:rsidP="00C22167">
      <w:pPr>
        <w:rPr>
          <w:sz w:val="22"/>
          <w:szCs w:val="22"/>
        </w:rPr>
      </w:pPr>
      <w:proofErr w:type="spellStart"/>
      <w:r w:rsidRPr="00DC413E">
        <w:rPr>
          <w:sz w:val="22"/>
          <w:szCs w:val="22"/>
        </w:rPr>
        <w:t>Mūkusalas</w:t>
      </w:r>
      <w:proofErr w:type="spellEnd"/>
      <w:r w:rsidRPr="00DC413E">
        <w:rPr>
          <w:sz w:val="22"/>
          <w:szCs w:val="22"/>
        </w:rPr>
        <w:t xml:space="preserve"> 101</w:t>
      </w:r>
    </w:p>
    <w:p w:rsidR="00C22167" w:rsidRDefault="00C22167" w:rsidP="00C22167">
      <w:pPr>
        <w:rPr>
          <w:sz w:val="22"/>
          <w:szCs w:val="22"/>
        </w:rPr>
      </w:pPr>
      <w:proofErr w:type="spellStart"/>
      <w:r w:rsidRPr="00DC413E">
        <w:rPr>
          <w:sz w:val="22"/>
          <w:szCs w:val="22"/>
        </w:rPr>
        <w:t>Rīga</w:t>
      </w:r>
      <w:proofErr w:type="spellEnd"/>
      <w:r w:rsidRPr="00DC413E">
        <w:rPr>
          <w:sz w:val="22"/>
          <w:szCs w:val="22"/>
        </w:rPr>
        <w:t xml:space="preserve"> LV-1004</w:t>
      </w:r>
    </w:p>
    <w:p w:rsidR="00C22167" w:rsidRPr="00483FB7" w:rsidRDefault="00C22167" w:rsidP="00C22167">
      <w:pPr>
        <w:rPr>
          <w:sz w:val="22"/>
          <w:szCs w:val="22"/>
        </w:rPr>
      </w:pPr>
      <w:r>
        <w:rPr>
          <w:sz w:val="22"/>
          <w:szCs w:val="22"/>
        </w:rPr>
        <w:t xml:space="preserve">Latvija </w:t>
      </w:r>
    </w:p>
    <w:p w:rsidR="00C22167" w:rsidRDefault="00C22167" w:rsidP="00C22167">
      <w:pPr>
        <w:pStyle w:val="PI-3EMEASMCA"/>
      </w:pPr>
    </w:p>
    <w:p w:rsidR="00C22167" w:rsidRDefault="00C22167" w:rsidP="00C22167">
      <w:pPr>
        <w:pStyle w:val="PI-3EMEASMCA"/>
      </w:pPr>
    </w:p>
    <w:p w:rsidR="00C22167" w:rsidRPr="00484146" w:rsidRDefault="00C22167" w:rsidP="00C22167">
      <w:pPr>
        <w:pStyle w:val="PI-3EMEASMCA"/>
      </w:pPr>
      <w:r>
        <w:t>G</w:t>
      </w:r>
      <w:r w:rsidRPr="00484146">
        <w:t>amintojas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tabs>
          <w:tab w:val="num" w:pos="360"/>
        </w:tabs>
        <w:jc w:val="both"/>
        <w:rPr>
          <w:sz w:val="22"/>
          <w:szCs w:val="22"/>
        </w:rPr>
      </w:pPr>
      <w:smartTag w:uri="urn:schemas-microsoft-com:office:smarttags" w:element="stockticker">
        <w:r w:rsidRPr="00484146">
          <w:rPr>
            <w:sz w:val="22"/>
            <w:szCs w:val="22"/>
          </w:rPr>
          <w:t>ICN</w:t>
        </w:r>
      </w:smartTag>
      <w:r w:rsidRPr="00484146">
        <w:rPr>
          <w:sz w:val="22"/>
          <w:szCs w:val="22"/>
        </w:rPr>
        <w:t xml:space="preserve"> </w:t>
      </w:r>
      <w:proofErr w:type="spellStart"/>
      <w:r w:rsidRPr="00484146">
        <w:rPr>
          <w:sz w:val="22"/>
          <w:szCs w:val="22"/>
        </w:rPr>
        <w:t>Polfa</w:t>
      </w:r>
      <w:proofErr w:type="spellEnd"/>
      <w:r w:rsidRPr="00484146">
        <w:rPr>
          <w:sz w:val="22"/>
          <w:szCs w:val="22"/>
        </w:rPr>
        <w:t xml:space="preserve"> </w:t>
      </w:r>
      <w:proofErr w:type="spellStart"/>
      <w:r w:rsidRPr="00484146">
        <w:rPr>
          <w:sz w:val="22"/>
          <w:szCs w:val="22"/>
        </w:rPr>
        <w:t>Rzeszów</w:t>
      </w:r>
      <w:proofErr w:type="spellEnd"/>
      <w:r w:rsidRPr="00484146">
        <w:rPr>
          <w:sz w:val="22"/>
          <w:szCs w:val="22"/>
        </w:rPr>
        <w:t xml:space="preserve"> S.A.</w:t>
      </w:r>
    </w:p>
    <w:p w:rsidR="00C22167" w:rsidRDefault="00C22167" w:rsidP="00C22167">
      <w:pPr>
        <w:tabs>
          <w:tab w:val="num" w:pos="360"/>
        </w:tabs>
        <w:jc w:val="both"/>
        <w:rPr>
          <w:sz w:val="22"/>
          <w:szCs w:val="22"/>
        </w:rPr>
      </w:pPr>
      <w:r w:rsidRPr="00484146">
        <w:rPr>
          <w:sz w:val="22"/>
          <w:szCs w:val="22"/>
        </w:rPr>
        <w:t xml:space="preserve">35-959 </w:t>
      </w:r>
      <w:proofErr w:type="spellStart"/>
      <w:r w:rsidRPr="00484146">
        <w:rPr>
          <w:sz w:val="22"/>
          <w:szCs w:val="22"/>
        </w:rPr>
        <w:t>Rzeszów</w:t>
      </w:r>
      <w:proofErr w:type="spellEnd"/>
    </w:p>
    <w:p w:rsidR="00C22167" w:rsidRPr="00484146" w:rsidRDefault="00C22167" w:rsidP="00C22167">
      <w:pPr>
        <w:tabs>
          <w:tab w:val="num" w:pos="360"/>
        </w:tabs>
        <w:jc w:val="both"/>
        <w:rPr>
          <w:sz w:val="22"/>
          <w:szCs w:val="22"/>
        </w:rPr>
      </w:pPr>
      <w:proofErr w:type="spellStart"/>
      <w:r w:rsidRPr="00484146">
        <w:rPr>
          <w:sz w:val="22"/>
          <w:szCs w:val="22"/>
        </w:rPr>
        <w:t>ul</w:t>
      </w:r>
      <w:proofErr w:type="spellEnd"/>
      <w:r w:rsidRPr="00484146">
        <w:rPr>
          <w:sz w:val="22"/>
          <w:szCs w:val="22"/>
        </w:rPr>
        <w:t xml:space="preserve">. </w:t>
      </w:r>
      <w:proofErr w:type="spellStart"/>
      <w:r w:rsidRPr="00484146">
        <w:rPr>
          <w:sz w:val="22"/>
          <w:szCs w:val="22"/>
        </w:rPr>
        <w:t>Przemysłowa</w:t>
      </w:r>
      <w:proofErr w:type="spellEnd"/>
      <w:r w:rsidRPr="00484146">
        <w:rPr>
          <w:sz w:val="22"/>
          <w:szCs w:val="22"/>
        </w:rPr>
        <w:t xml:space="preserve"> 2</w:t>
      </w:r>
    </w:p>
    <w:p w:rsidR="00C22167" w:rsidRPr="00484146" w:rsidRDefault="00C22167" w:rsidP="00C22167">
      <w:pPr>
        <w:tabs>
          <w:tab w:val="num" w:pos="360"/>
        </w:tabs>
        <w:jc w:val="both"/>
        <w:rPr>
          <w:sz w:val="22"/>
          <w:szCs w:val="22"/>
        </w:rPr>
      </w:pPr>
      <w:r w:rsidRPr="00484146">
        <w:rPr>
          <w:sz w:val="22"/>
          <w:szCs w:val="22"/>
        </w:rPr>
        <w:t>Lenkija</w:t>
      </w: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  <w:r w:rsidRPr="00484146">
        <w:rPr>
          <w:noProof w:val="0"/>
        </w:rPr>
        <w:t>Jeigu apie šį vaistą norite sužinoti daugiau, kreipkitės į vietinį r</w:t>
      </w:r>
      <w:r>
        <w:rPr>
          <w:noProof w:val="0"/>
        </w:rPr>
        <w:t>egistruotojo</w:t>
      </w:r>
      <w:r w:rsidRPr="00484146">
        <w:rPr>
          <w:noProof w:val="0"/>
        </w:rPr>
        <w:t xml:space="preserve"> atstovą</w:t>
      </w:r>
      <w:r>
        <w:rPr>
          <w:noProof w:val="0"/>
        </w:rPr>
        <w:t>:</w:t>
      </w: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22167" w:rsidRPr="00484146" w:rsidTr="00A74C2D">
        <w:tc>
          <w:tcPr>
            <w:tcW w:w="4678" w:type="dxa"/>
          </w:tcPr>
          <w:p w:rsidR="00C22167" w:rsidRPr="00481B70" w:rsidRDefault="00C22167" w:rsidP="00A74C2D">
            <w:pPr>
              <w:rPr>
                <w:sz w:val="22"/>
                <w:szCs w:val="22"/>
              </w:rPr>
            </w:pPr>
            <w:r w:rsidRPr="00481B70">
              <w:rPr>
                <w:sz w:val="22"/>
                <w:szCs w:val="22"/>
              </w:rPr>
              <w:t xml:space="preserve">SIA Meda </w:t>
            </w:r>
            <w:proofErr w:type="spellStart"/>
            <w:r w:rsidRPr="00481B70">
              <w:rPr>
                <w:sz w:val="22"/>
                <w:szCs w:val="22"/>
              </w:rPr>
              <w:t>Pharma</w:t>
            </w:r>
            <w:proofErr w:type="spellEnd"/>
          </w:p>
          <w:p w:rsidR="00C22167" w:rsidRDefault="00C22167" w:rsidP="00A74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Žalgirio g. 90-100</w:t>
            </w:r>
          </w:p>
          <w:p w:rsidR="00C22167" w:rsidRPr="00481B70" w:rsidRDefault="00C22167" w:rsidP="00A74C2D">
            <w:pPr>
              <w:rPr>
                <w:sz w:val="22"/>
                <w:szCs w:val="22"/>
              </w:rPr>
            </w:pPr>
            <w:r w:rsidRPr="00481B70">
              <w:rPr>
                <w:sz w:val="22"/>
                <w:szCs w:val="22"/>
              </w:rPr>
              <w:t>LT-</w:t>
            </w:r>
            <w:r>
              <w:rPr>
                <w:sz w:val="22"/>
                <w:szCs w:val="22"/>
              </w:rPr>
              <w:t>09303</w:t>
            </w:r>
            <w:r w:rsidRPr="00481B70">
              <w:rPr>
                <w:sz w:val="22"/>
                <w:szCs w:val="22"/>
              </w:rPr>
              <w:t xml:space="preserve"> Vilnius</w:t>
            </w:r>
          </w:p>
          <w:p w:rsidR="00C22167" w:rsidRPr="00481B70" w:rsidRDefault="00C22167" w:rsidP="00A74C2D">
            <w:pPr>
              <w:rPr>
                <w:sz w:val="22"/>
                <w:szCs w:val="22"/>
              </w:rPr>
            </w:pPr>
            <w:r w:rsidRPr="00481B70">
              <w:rPr>
                <w:sz w:val="22"/>
                <w:szCs w:val="22"/>
              </w:rPr>
              <w:t>Tel.: +370 52059367</w:t>
            </w:r>
          </w:p>
          <w:p w:rsidR="00C22167" w:rsidRPr="00484146" w:rsidRDefault="00C22167" w:rsidP="00A74C2D">
            <w:pPr>
              <w:tabs>
                <w:tab w:val="left" w:pos="3360"/>
              </w:tabs>
            </w:pPr>
            <w:r w:rsidRPr="00481B70">
              <w:rPr>
                <w:sz w:val="22"/>
                <w:szCs w:val="22"/>
              </w:rPr>
              <w:t xml:space="preserve">El. paštas: </w:t>
            </w:r>
            <w:hyperlink r:id="rId8" w:history="1">
              <w:r w:rsidRPr="007B0531">
                <w:rPr>
                  <w:rStyle w:val="Hipersaitas"/>
                  <w:sz w:val="22"/>
                  <w:szCs w:val="22"/>
                </w:rPr>
                <w:t>info.bb@mylan.eu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</w:p>
        </w:tc>
      </w:tr>
    </w:tbl>
    <w:p w:rsidR="00C22167" w:rsidRDefault="00C22167" w:rsidP="00C22167">
      <w:pPr>
        <w:pStyle w:val="BTEMEASMCA"/>
        <w:rPr>
          <w:noProof w:val="0"/>
        </w:rPr>
      </w:pPr>
    </w:p>
    <w:p w:rsidR="00C22167" w:rsidRPr="00484146" w:rsidRDefault="00C22167" w:rsidP="00C22167">
      <w:pPr>
        <w:pStyle w:val="BTEMEASMCA"/>
        <w:rPr>
          <w:noProof w:val="0"/>
        </w:rPr>
      </w:pPr>
    </w:p>
    <w:p w:rsidR="00C22167" w:rsidRPr="00354015" w:rsidRDefault="00C22167" w:rsidP="00C22167">
      <w:pPr>
        <w:pStyle w:val="BTbEMEASMCA"/>
        <w:rPr>
          <w:noProof w:val="0"/>
        </w:rPr>
      </w:pPr>
      <w:r w:rsidRPr="00484146">
        <w:rPr>
          <w:bCs/>
          <w:noProof w:val="0"/>
        </w:rPr>
        <w:t>Šis pakuotės lapelis</w:t>
      </w:r>
      <w:r w:rsidRPr="00484146">
        <w:rPr>
          <w:noProof w:val="0"/>
        </w:rPr>
        <w:t xml:space="preserve"> paskutinį kartą patvirtintas</w:t>
      </w:r>
      <w:r>
        <w:rPr>
          <w:noProof w:val="0"/>
        </w:rPr>
        <w:t xml:space="preserve"> 2021-01-28</w:t>
      </w:r>
      <w:r w:rsidRPr="00354015">
        <w:rPr>
          <w:noProof w:val="0"/>
        </w:rPr>
        <w:t>.</w:t>
      </w:r>
    </w:p>
    <w:p w:rsidR="00C22167" w:rsidRPr="00484146" w:rsidRDefault="00C22167" w:rsidP="00C22167">
      <w:pPr>
        <w:rPr>
          <w:sz w:val="22"/>
          <w:szCs w:val="22"/>
        </w:rPr>
      </w:pPr>
    </w:p>
    <w:p w:rsidR="00C22167" w:rsidRDefault="00C22167" w:rsidP="00C22167">
      <w:pPr>
        <w:pStyle w:val="BTEMEASMCA"/>
        <w:rPr>
          <w:noProof w:val="0"/>
        </w:rPr>
      </w:pPr>
      <w:r w:rsidRPr="00DE186E">
        <w:rPr>
          <w:noProof w:val="0"/>
        </w:rPr>
        <w:t xml:space="preserve">Išsami informacija apie šį vaistą pateikiama Valstybinės vaistų kontrolės tarnybos prie Lietuvos Respublikos sveikatos apsaugos ministerijos tinklalapyje </w:t>
      </w:r>
      <w:hyperlink r:id="rId9" w:history="1">
        <w:r w:rsidRPr="003B745B">
          <w:rPr>
            <w:rStyle w:val="Hipersaitas"/>
            <w:noProof w:val="0"/>
          </w:rPr>
          <w:t>http://www.vvkt.lt/</w:t>
        </w:r>
      </w:hyperlink>
      <w:r w:rsidRPr="00DE186E">
        <w:rPr>
          <w:noProof w:val="0"/>
        </w:rPr>
        <w:t>.</w:t>
      </w:r>
    </w:p>
    <w:p w:rsidR="00C22167" w:rsidRDefault="00C22167" w:rsidP="00C22167">
      <w:pPr>
        <w:pStyle w:val="BTEMEASMCA"/>
        <w:rPr>
          <w:noProof w:val="0"/>
        </w:rPr>
      </w:pPr>
    </w:p>
    <w:p w:rsidR="009041DB" w:rsidRDefault="009041DB">
      <w:bookmarkStart w:id="14" w:name="_GoBack"/>
      <w:bookmarkEnd w:id="14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A17"/>
    <w:multiLevelType w:val="hybridMultilevel"/>
    <w:tmpl w:val="DE62D4B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687B"/>
    <w:multiLevelType w:val="hybridMultilevel"/>
    <w:tmpl w:val="0EB482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67"/>
    <w:rsid w:val="009041DB"/>
    <w:rsid w:val="00C22167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E50F4-B6F7-4994-9B41-1941CB6F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16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21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2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C22167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C22167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C22167"/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C22167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C22167"/>
    <w:rPr>
      <w:rFonts w:ascii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C22167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C22167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C22167"/>
    <w:rPr>
      <w:b/>
    </w:rPr>
  </w:style>
  <w:style w:type="paragraph" w:customStyle="1" w:styleId="BTbeEMEASMCA">
    <w:name w:val="BT(be) EMEA_SMCA"/>
    <w:basedOn w:val="BTEMEASMCA"/>
    <w:autoRedefine/>
    <w:rsid w:val="00C22167"/>
    <w:pPr>
      <w:jc w:val="center"/>
    </w:pPr>
    <w:rPr>
      <w:b/>
    </w:rPr>
  </w:style>
  <w:style w:type="character" w:customStyle="1" w:styleId="BTEMEASMCAChar">
    <w:name w:val="BT EMEA_SMCA Char"/>
    <w:basedOn w:val="Numatytasispastraiposriftas"/>
    <w:link w:val="BTEMEASMCA"/>
    <w:rsid w:val="00C22167"/>
    <w:rPr>
      <w:rFonts w:ascii="Times New Roman" w:hAnsi="Times New Roman" w:cs="Times New Roman"/>
      <w:noProof/>
    </w:rPr>
  </w:style>
  <w:style w:type="paragraph" w:styleId="Pagrindinistekstas">
    <w:name w:val="Body Text"/>
    <w:basedOn w:val="prastasis"/>
    <w:link w:val="PagrindinistekstasDiagrama"/>
    <w:rsid w:val="00C22167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22167"/>
    <w:rPr>
      <w:rFonts w:ascii="Times New Roman" w:hAnsi="Times New Roman" w:cs="Times New Roman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rsid w:val="00C22167"/>
    <w:pPr>
      <w:spacing w:after="120" w:line="480" w:lineRule="auto"/>
      <w:ind w:left="283"/>
    </w:pPr>
    <w:rPr>
      <w:sz w:val="22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167"/>
    <w:rPr>
      <w:rFonts w:ascii="Times New Roman" w:hAnsi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22167"/>
    <w:pPr>
      <w:spacing w:after="120"/>
      <w:ind w:left="283"/>
    </w:pPr>
    <w:rPr>
      <w:sz w:val="22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22167"/>
    <w:rPr>
      <w:rFonts w:ascii="Times New Roman" w:hAnsi="Times New Roman" w:cs="Times New Roman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C22167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21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21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b@myla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4441</Words>
  <Characters>2532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2021-02-01T14:12:00Z</dcterms:created>
  <dcterms:modified xsi:type="dcterms:W3CDTF">2021-02-01T14:12:00Z</dcterms:modified>
</cp:coreProperties>
</file>