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35E4" w14:textId="77777777" w:rsidR="00025AA4" w:rsidRPr="0082402D" w:rsidRDefault="00025AA4" w:rsidP="00025AA4">
      <w:pPr>
        <w:pStyle w:val="TTEMEASMCA"/>
        <w:rPr>
          <w:rFonts w:ascii="Times New Roman" w:hAnsi="Times New Roman"/>
          <w:sz w:val="22"/>
          <w:lang w:val="lt-LT"/>
        </w:rPr>
      </w:pPr>
      <w:r w:rsidRPr="0082402D">
        <w:rPr>
          <w:rFonts w:ascii="Times New Roman" w:hAnsi="Times New Roman"/>
          <w:sz w:val="22"/>
          <w:lang w:val="lt-LT"/>
        </w:rPr>
        <w:t>Pakuotės lapelis: informacija vartotojui</w:t>
      </w:r>
    </w:p>
    <w:p w14:paraId="0A174333" w14:textId="77777777" w:rsidR="00025AA4" w:rsidRPr="0082402D" w:rsidRDefault="00025AA4" w:rsidP="00025AA4">
      <w:pPr>
        <w:pStyle w:val="BTEMEASMCA"/>
        <w:rPr>
          <w:color w:val="auto"/>
        </w:rPr>
      </w:pPr>
    </w:p>
    <w:p w14:paraId="3979A710" w14:textId="77777777" w:rsidR="00025AA4" w:rsidRPr="0082402D" w:rsidRDefault="00025AA4" w:rsidP="00025AA4">
      <w:pPr>
        <w:jc w:val="center"/>
      </w:pPr>
      <w:proofErr w:type="spellStart"/>
      <w:r w:rsidRPr="0082402D">
        <w:rPr>
          <w:b/>
        </w:rPr>
        <w:t>Dicloberl</w:t>
      </w:r>
      <w:proofErr w:type="spellEnd"/>
      <w:r w:rsidRPr="0082402D">
        <w:rPr>
          <w:b/>
        </w:rPr>
        <w:t xml:space="preserve"> 100 mg žvakutės</w:t>
      </w:r>
      <w:r w:rsidRPr="0082402D">
        <w:t xml:space="preserve"> </w:t>
      </w:r>
    </w:p>
    <w:p w14:paraId="0B0AD8BF" w14:textId="77777777" w:rsidR="00025AA4" w:rsidRPr="0082402D" w:rsidRDefault="00025AA4" w:rsidP="00025AA4">
      <w:pPr>
        <w:jc w:val="center"/>
      </w:pPr>
      <w:proofErr w:type="spellStart"/>
      <w:r w:rsidRPr="0082402D">
        <w:t>diklofenako</w:t>
      </w:r>
      <w:proofErr w:type="spellEnd"/>
      <w:r w:rsidRPr="0082402D">
        <w:t xml:space="preserve"> natrio druska</w:t>
      </w:r>
    </w:p>
    <w:p w14:paraId="3A29D940" w14:textId="77777777" w:rsidR="00025AA4" w:rsidRPr="0082402D" w:rsidRDefault="00025AA4" w:rsidP="00025AA4">
      <w:pPr>
        <w:jc w:val="center"/>
      </w:pPr>
    </w:p>
    <w:p w14:paraId="72803920" w14:textId="77777777" w:rsidR="00025AA4" w:rsidRPr="0082402D" w:rsidRDefault="00025AA4" w:rsidP="00025AA4">
      <w:pPr>
        <w:rPr>
          <w:b/>
        </w:rPr>
      </w:pPr>
      <w:r w:rsidRPr="0082402D">
        <w:rPr>
          <w:b/>
        </w:rPr>
        <w:t>Atidžiai perskaitykite visą šį lapelį, prieš pradėdami vartoti šį vaistą, nes jame pateikiama Jums svarbi informacija.</w:t>
      </w:r>
    </w:p>
    <w:p w14:paraId="3C1C6867" w14:textId="77777777" w:rsidR="00025AA4" w:rsidRPr="0082402D" w:rsidRDefault="00025AA4" w:rsidP="00025AA4">
      <w:pPr>
        <w:tabs>
          <w:tab w:val="left" w:pos="540"/>
        </w:tabs>
      </w:pPr>
      <w:r w:rsidRPr="0082402D">
        <w:t>-</w:t>
      </w:r>
      <w:r w:rsidRPr="0082402D">
        <w:tab/>
        <w:t xml:space="preserve">Neišmeskite šio lapelio, nes vėl gali prireikti jį perskaityti. </w:t>
      </w:r>
    </w:p>
    <w:p w14:paraId="28DE00ED" w14:textId="77777777" w:rsidR="00025AA4" w:rsidRPr="0082402D" w:rsidRDefault="00025AA4" w:rsidP="00025AA4">
      <w:pPr>
        <w:tabs>
          <w:tab w:val="left" w:pos="540"/>
        </w:tabs>
      </w:pPr>
      <w:r w:rsidRPr="0082402D">
        <w:t>-</w:t>
      </w:r>
      <w:r w:rsidRPr="0082402D">
        <w:tab/>
        <w:t xml:space="preserve">Jeigu kiltų daugiau klausimų, kreipkitės į gydytoją arba vaistininką. </w:t>
      </w:r>
    </w:p>
    <w:p w14:paraId="67D63ED7" w14:textId="77777777" w:rsidR="00025AA4" w:rsidRPr="0082402D" w:rsidRDefault="00025AA4" w:rsidP="00025AA4">
      <w:pPr>
        <w:tabs>
          <w:tab w:val="left" w:pos="540"/>
        </w:tabs>
        <w:ind w:left="540" w:hanging="540"/>
      </w:pPr>
      <w:r w:rsidRPr="0082402D">
        <w:t>-</w:t>
      </w:r>
      <w:r w:rsidRPr="0082402D">
        <w:tab/>
        <w:t>Šis vaistas skirtas tik Jums, todėl kitiems žmonėms jo duoti negalima. Vaistas gali jiems pakenkti (net tiems, kurių ligos požymiai yra tokie patys kaip Jūsų).</w:t>
      </w:r>
    </w:p>
    <w:p w14:paraId="2135A788" w14:textId="77777777" w:rsidR="00025AA4" w:rsidRPr="0082402D" w:rsidRDefault="00025AA4" w:rsidP="00025AA4">
      <w:pPr>
        <w:pStyle w:val="BT-EMEASMCA"/>
        <w:numPr>
          <w:ilvl w:val="0"/>
          <w:numId w:val="1"/>
        </w:numPr>
        <w:tabs>
          <w:tab w:val="clear" w:pos="720"/>
          <w:tab w:val="num" w:pos="567"/>
        </w:tabs>
        <w:ind w:left="567" w:hanging="567"/>
      </w:pPr>
      <w:r w:rsidRPr="0082402D">
        <w:t xml:space="preserve">Jeigu pasireiškė šalutinis poveikis (net jeigu jis šiame lapelyje nenurodytas), kreipkitės į gydytoją, arba vaistininką. </w:t>
      </w:r>
      <w:r w:rsidRPr="0082402D">
        <w:rPr>
          <w:noProof/>
        </w:rPr>
        <w:t>Žr. 4 skyrių.</w:t>
      </w:r>
    </w:p>
    <w:p w14:paraId="2268D5B0" w14:textId="77777777" w:rsidR="00025AA4" w:rsidRPr="0082402D" w:rsidRDefault="00025AA4" w:rsidP="00025AA4">
      <w:pPr>
        <w:jc w:val="center"/>
      </w:pPr>
    </w:p>
    <w:p w14:paraId="2ADA8D24" w14:textId="77777777" w:rsidR="00025AA4" w:rsidRPr="000B008A" w:rsidRDefault="00025AA4" w:rsidP="00025AA4">
      <w:pPr>
        <w:pStyle w:val="BTEMEASMCA"/>
        <w:rPr>
          <w:b/>
          <w:bCs/>
          <w:strike/>
          <w:color w:val="auto"/>
        </w:rPr>
      </w:pPr>
      <w:r w:rsidRPr="000B008A">
        <w:rPr>
          <w:b/>
          <w:bCs/>
          <w:color w:val="auto"/>
        </w:rPr>
        <w:t>Apie ką rašoma šiame lapelyje?</w:t>
      </w:r>
    </w:p>
    <w:p w14:paraId="1D656D81" w14:textId="77777777" w:rsidR="00025AA4" w:rsidRPr="0082402D" w:rsidRDefault="00025AA4" w:rsidP="00025AA4">
      <w:pPr>
        <w:numPr>
          <w:ilvl w:val="12"/>
          <w:numId w:val="0"/>
        </w:numPr>
        <w:tabs>
          <w:tab w:val="left" w:pos="709"/>
        </w:tabs>
        <w:ind w:right="-2"/>
      </w:pPr>
    </w:p>
    <w:p w14:paraId="5726B605" w14:textId="77777777" w:rsidR="00025AA4" w:rsidRPr="0082402D" w:rsidRDefault="00025AA4" w:rsidP="00025AA4">
      <w:pPr>
        <w:numPr>
          <w:ilvl w:val="12"/>
          <w:numId w:val="0"/>
        </w:numPr>
        <w:tabs>
          <w:tab w:val="left" w:pos="709"/>
        </w:tabs>
        <w:ind w:right="-2"/>
        <w:rPr>
          <w:rFonts w:eastAsia="Times New Roman"/>
          <w:lang w:eastAsia="en-US"/>
        </w:rPr>
      </w:pPr>
      <w:r w:rsidRPr="0082402D">
        <w:t>1.</w:t>
      </w:r>
      <w:r w:rsidRPr="0082402D">
        <w:tab/>
        <w:t xml:space="preserve">Kas yra </w:t>
      </w:r>
      <w:proofErr w:type="spellStart"/>
      <w:r w:rsidRPr="0082402D">
        <w:t>Dicloberl</w:t>
      </w:r>
      <w:proofErr w:type="spellEnd"/>
      <w:r w:rsidRPr="0082402D">
        <w:t xml:space="preserve"> ir kam jis vartojamas </w:t>
      </w:r>
    </w:p>
    <w:p w14:paraId="0321B496" w14:textId="77777777" w:rsidR="00025AA4" w:rsidRPr="0082402D" w:rsidRDefault="00025AA4" w:rsidP="00025AA4">
      <w:pPr>
        <w:numPr>
          <w:ilvl w:val="12"/>
          <w:numId w:val="0"/>
        </w:numPr>
        <w:tabs>
          <w:tab w:val="left" w:pos="709"/>
        </w:tabs>
        <w:ind w:right="-2"/>
      </w:pPr>
      <w:r w:rsidRPr="0082402D">
        <w:t>2.</w:t>
      </w:r>
      <w:r w:rsidRPr="0082402D">
        <w:tab/>
      </w:r>
      <w:r w:rsidRPr="0082402D">
        <w:rPr>
          <w:noProof/>
        </w:rPr>
        <w:t xml:space="preserve">Kas žinotina prieš vartojant </w:t>
      </w:r>
      <w:proofErr w:type="spellStart"/>
      <w:r w:rsidRPr="0082402D">
        <w:t>Dicloberl</w:t>
      </w:r>
      <w:proofErr w:type="spellEnd"/>
      <w:r w:rsidRPr="0082402D">
        <w:rPr>
          <w:noProof/>
        </w:rPr>
        <w:t xml:space="preserve"> </w:t>
      </w:r>
    </w:p>
    <w:p w14:paraId="3F199F01" w14:textId="77777777" w:rsidR="00025AA4" w:rsidRPr="0082402D" w:rsidRDefault="00025AA4" w:rsidP="00025AA4">
      <w:pPr>
        <w:numPr>
          <w:ilvl w:val="12"/>
          <w:numId w:val="0"/>
        </w:numPr>
        <w:tabs>
          <w:tab w:val="left" w:pos="709"/>
        </w:tabs>
        <w:ind w:right="-2"/>
      </w:pPr>
      <w:r w:rsidRPr="0082402D">
        <w:t>3.</w:t>
      </w:r>
      <w:r w:rsidRPr="0082402D">
        <w:tab/>
      </w:r>
      <w:r w:rsidRPr="0082402D">
        <w:rPr>
          <w:noProof/>
        </w:rPr>
        <w:t xml:space="preserve">Kaip vartoti </w:t>
      </w:r>
      <w:proofErr w:type="spellStart"/>
      <w:r w:rsidRPr="0082402D">
        <w:t>Dicloberl</w:t>
      </w:r>
      <w:proofErr w:type="spellEnd"/>
      <w:r w:rsidRPr="0082402D">
        <w:t xml:space="preserve"> </w:t>
      </w:r>
    </w:p>
    <w:p w14:paraId="54F5D244" w14:textId="77777777" w:rsidR="00025AA4" w:rsidRPr="0082402D" w:rsidRDefault="00025AA4" w:rsidP="00025AA4">
      <w:pPr>
        <w:numPr>
          <w:ilvl w:val="12"/>
          <w:numId w:val="0"/>
        </w:numPr>
        <w:tabs>
          <w:tab w:val="left" w:pos="709"/>
        </w:tabs>
        <w:ind w:right="-2"/>
      </w:pPr>
      <w:r w:rsidRPr="0082402D">
        <w:t>4.</w:t>
      </w:r>
      <w:r w:rsidRPr="0082402D">
        <w:tab/>
        <w:t xml:space="preserve">Galimas šalutinis poveikis </w:t>
      </w:r>
    </w:p>
    <w:p w14:paraId="75905091" w14:textId="77777777" w:rsidR="00025AA4" w:rsidRPr="0082402D" w:rsidRDefault="00025AA4" w:rsidP="00025AA4">
      <w:pPr>
        <w:numPr>
          <w:ilvl w:val="12"/>
          <w:numId w:val="0"/>
        </w:numPr>
        <w:tabs>
          <w:tab w:val="left" w:pos="709"/>
        </w:tabs>
        <w:ind w:right="-2"/>
      </w:pPr>
      <w:r w:rsidRPr="0082402D">
        <w:t>5.</w:t>
      </w:r>
      <w:r w:rsidRPr="0082402D">
        <w:tab/>
        <w:t xml:space="preserve">Kaip laikyti </w:t>
      </w:r>
      <w:proofErr w:type="spellStart"/>
      <w:r w:rsidRPr="0082402D">
        <w:t>Dicloberl</w:t>
      </w:r>
      <w:proofErr w:type="spellEnd"/>
      <w:r w:rsidRPr="0082402D">
        <w:t xml:space="preserve"> </w:t>
      </w:r>
    </w:p>
    <w:p w14:paraId="3C6FD106" w14:textId="77777777" w:rsidR="00025AA4" w:rsidRPr="0082402D" w:rsidRDefault="00025AA4" w:rsidP="00025AA4">
      <w:pPr>
        <w:numPr>
          <w:ilvl w:val="12"/>
          <w:numId w:val="0"/>
        </w:numPr>
        <w:tabs>
          <w:tab w:val="left" w:pos="709"/>
        </w:tabs>
        <w:ind w:right="-2"/>
      </w:pPr>
      <w:r w:rsidRPr="0082402D">
        <w:t>6.</w:t>
      </w:r>
      <w:r w:rsidRPr="0082402D">
        <w:tab/>
      </w:r>
      <w:r w:rsidRPr="0082402D">
        <w:rPr>
          <w:noProof/>
        </w:rPr>
        <w:t>Pakuotės turinys ir kita informacija</w:t>
      </w:r>
    </w:p>
    <w:p w14:paraId="28B2A0E2" w14:textId="77777777" w:rsidR="00025AA4" w:rsidRPr="0082402D" w:rsidRDefault="00025AA4" w:rsidP="00025AA4"/>
    <w:p w14:paraId="67D2BF70" w14:textId="77777777" w:rsidR="00025AA4" w:rsidRPr="0082402D" w:rsidRDefault="00025AA4" w:rsidP="00025AA4"/>
    <w:p w14:paraId="1B071484" w14:textId="77777777" w:rsidR="00025AA4" w:rsidRPr="0082402D" w:rsidRDefault="00025AA4" w:rsidP="00025AA4">
      <w:pPr>
        <w:pStyle w:val="PI-1EMEASMCA"/>
      </w:pPr>
      <w:r w:rsidRPr="0082402D">
        <w:t xml:space="preserve">1. </w:t>
      </w:r>
      <w:r w:rsidRPr="0082402D">
        <w:tab/>
        <w:t xml:space="preserve">Kas yra </w:t>
      </w:r>
      <w:proofErr w:type="spellStart"/>
      <w:r w:rsidRPr="0082402D">
        <w:t>Dicloberl</w:t>
      </w:r>
      <w:proofErr w:type="spellEnd"/>
      <w:r w:rsidRPr="0082402D">
        <w:t xml:space="preserve"> ir kam jis vartojamas</w:t>
      </w:r>
    </w:p>
    <w:p w14:paraId="79AAC3D9" w14:textId="77777777" w:rsidR="00025AA4" w:rsidRPr="0082402D" w:rsidRDefault="00025AA4" w:rsidP="00025AA4">
      <w:pPr>
        <w:pStyle w:val="BTEMEASMCA"/>
        <w:rPr>
          <w:color w:val="auto"/>
        </w:rPr>
      </w:pPr>
    </w:p>
    <w:p w14:paraId="27284901" w14:textId="77777777" w:rsidR="00025AA4" w:rsidRPr="0082402D" w:rsidRDefault="00025AA4" w:rsidP="00025AA4">
      <w:pPr>
        <w:pStyle w:val="BTEMEASMCA"/>
        <w:rPr>
          <w:strike/>
          <w:color w:val="auto"/>
        </w:rPr>
      </w:pPr>
      <w:r w:rsidRPr="0082402D">
        <w:rPr>
          <w:color w:val="auto"/>
        </w:rPr>
        <w:t>Dicloberl sudėtyje yra veikliosios medžiagos diklofenako natrio druskos. Jis yra uždegimą slopinantis ir skausmą malšinantis vaistas ir priklauso nesteroidinių vaistų nuo uždegimo (NVNU) grupei.</w:t>
      </w:r>
    </w:p>
    <w:p w14:paraId="4F8577DD" w14:textId="77777777" w:rsidR="00025AA4" w:rsidRPr="0082402D" w:rsidRDefault="00025AA4" w:rsidP="00025AA4">
      <w:pPr>
        <w:pStyle w:val="PI-1EMEASMCA"/>
      </w:pPr>
    </w:p>
    <w:p w14:paraId="4E544495" w14:textId="77777777" w:rsidR="00025AA4" w:rsidRPr="0082402D" w:rsidRDefault="00025AA4" w:rsidP="00025AA4">
      <w:pPr>
        <w:pStyle w:val="BTEMEASMCA"/>
        <w:rPr>
          <w:strike/>
          <w:color w:val="auto"/>
        </w:rPr>
      </w:pPr>
      <w:r w:rsidRPr="0082402D">
        <w:rPr>
          <w:color w:val="auto"/>
        </w:rPr>
        <w:t>Dicloberl vartojamas simptominiam skausmo malšinimui ir uždegimo slopinimui:</w:t>
      </w:r>
    </w:p>
    <w:p w14:paraId="11D7E62B" w14:textId="77777777" w:rsidR="00025AA4" w:rsidRPr="0082402D" w:rsidRDefault="00025AA4" w:rsidP="00025AA4">
      <w:pPr>
        <w:pStyle w:val="BT-EMEASMCA"/>
        <w:numPr>
          <w:ilvl w:val="0"/>
          <w:numId w:val="0"/>
        </w:numPr>
        <w:tabs>
          <w:tab w:val="left" w:pos="1296"/>
        </w:tabs>
        <w:ind w:left="567" w:hanging="567"/>
      </w:pPr>
      <w:r w:rsidRPr="0082402D">
        <w:t>-</w:t>
      </w:r>
      <w:r w:rsidRPr="0082402D">
        <w:tab/>
        <w:t>sergant ūminiu sąnarių uždegimu (ūminiu artritu), įskaitant podagros priepuolius;</w:t>
      </w:r>
    </w:p>
    <w:p w14:paraId="22A5B187" w14:textId="77777777" w:rsidR="00025AA4" w:rsidRPr="0082402D" w:rsidRDefault="00025AA4" w:rsidP="00025AA4">
      <w:pPr>
        <w:pStyle w:val="BT-EMEASMCA"/>
        <w:numPr>
          <w:ilvl w:val="0"/>
          <w:numId w:val="0"/>
        </w:numPr>
        <w:tabs>
          <w:tab w:val="left" w:pos="1296"/>
        </w:tabs>
        <w:ind w:left="567" w:hanging="567"/>
      </w:pPr>
      <w:r w:rsidRPr="0082402D">
        <w:t>-</w:t>
      </w:r>
      <w:r w:rsidRPr="0082402D">
        <w:tab/>
        <w:t xml:space="preserve">sergant lėtiniu sąnarių uždegimu (lėtiniu artritu), ypač reumatoidiniu artritu (lėtiniu poliartritu); </w:t>
      </w:r>
    </w:p>
    <w:p w14:paraId="49983A78" w14:textId="77777777" w:rsidR="00025AA4" w:rsidRPr="0082402D" w:rsidRDefault="00025AA4" w:rsidP="00025AA4">
      <w:pPr>
        <w:pStyle w:val="BT-EMEASMCA"/>
        <w:numPr>
          <w:ilvl w:val="0"/>
          <w:numId w:val="0"/>
        </w:numPr>
        <w:tabs>
          <w:tab w:val="left" w:pos="1296"/>
        </w:tabs>
        <w:ind w:left="567" w:hanging="567"/>
      </w:pPr>
      <w:r w:rsidRPr="0082402D">
        <w:t>-</w:t>
      </w:r>
      <w:r w:rsidRPr="0082402D">
        <w:tab/>
        <w:t>sergant Bechterevo liga (</w:t>
      </w:r>
      <w:proofErr w:type="spellStart"/>
      <w:r w:rsidRPr="0082402D">
        <w:t>ankiloziniu</w:t>
      </w:r>
      <w:proofErr w:type="spellEnd"/>
      <w:r w:rsidRPr="0082402D">
        <w:t xml:space="preserve"> </w:t>
      </w:r>
      <w:proofErr w:type="spellStart"/>
      <w:r w:rsidRPr="0082402D">
        <w:t>spondilitu</w:t>
      </w:r>
      <w:proofErr w:type="spellEnd"/>
      <w:r w:rsidRPr="0082402D">
        <w:t>);</w:t>
      </w:r>
    </w:p>
    <w:p w14:paraId="7007F0CC" w14:textId="77777777" w:rsidR="00025AA4" w:rsidRPr="0082402D" w:rsidRDefault="00025AA4" w:rsidP="00025AA4">
      <w:pPr>
        <w:pStyle w:val="BT-EMEASMCA"/>
        <w:numPr>
          <w:ilvl w:val="0"/>
          <w:numId w:val="0"/>
        </w:numPr>
        <w:tabs>
          <w:tab w:val="left" w:pos="1296"/>
        </w:tabs>
        <w:ind w:left="567" w:hanging="567"/>
      </w:pPr>
      <w:r w:rsidRPr="0082402D">
        <w:t>-</w:t>
      </w:r>
      <w:r w:rsidRPr="0082402D">
        <w:tab/>
        <w:t xml:space="preserve">sąnarių ir stuburo degeneracinių ligų (artrozių ir </w:t>
      </w:r>
      <w:proofErr w:type="spellStart"/>
      <w:r w:rsidRPr="0082402D">
        <w:t>spondiloartritų</w:t>
      </w:r>
      <w:proofErr w:type="spellEnd"/>
      <w:r w:rsidRPr="0082402D">
        <w:t>) metu;</w:t>
      </w:r>
    </w:p>
    <w:p w14:paraId="7BADAED4" w14:textId="77777777" w:rsidR="00025AA4" w:rsidRPr="0082402D" w:rsidRDefault="00025AA4" w:rsidP="00025AA4">
      <w:pPr>
        <w:pStyle w:val="BT-EMEASMCA"/>
        <w:numPr>
          <w:ilvl w:val="0"/>
          <w:numId w:val="0"/>
        </w:numPr>
        <w:tabs>
          <w:tab w:val="left" w:pos="1296"/>
        </w:tabs>
        <w:ind w:left="567" w:hanging="567"/>
      </w:pPr>
      <w:r w:rsidRPr="0082402D">
        <w:t>-</w:t>
      </w:r>
      <w:r w:rsidRPr="0082402D">
        <w:tab/>
        <w:t xml:space="preserve">sergant uždegiminėmis minkštųjų audinių ligomis (tokiomis kaip </w:t>
      </w:r>
      <w:proofErr w:type="spellStart"/>
      <w:r w:rsidRPr="0082402D">
        <w:t>fibrozitas</w:t>
      </w:r>
      <w:proofErr w:type="spellEnd"/>
      <w:r w:rsidRPr="0082402D">
        <w:t xml:space="preserve">, </w:t>
      </w:r>
      <w:proofErr w:type="spellStart"/>
      <w:r w:rsidRPr="0082402D">
        <w:t>mialgija</w:t>
      </w:r>
      <w:proofErr w:type="spellEnd"/>
      <w:r w:rsidRPr="0082402D">
        <w:t>);</w:t>
      </w:r>
    </w:p>
    <w:p w14:paraId="5118EA6F" w14:textId="77777777" w:rsidR="00025AA4" w:rsidRPr="0082402D" w:rsidRDefault="00025AA4" w:rsidP="00025AA4">
      <w:pPr>
        <w:pStyle w:val="Pagrindinistekstas"/>
        <w:tabs>
          <w:tab w:val="left" w:pos="567"/>
        </w:tabs>
        <w:spacing w:after="0"/>
        <w:rPr>
          <w:sz w:val="22"/>
          <w:lang w:val="lt-LT"/>
        </w:rPr>
      </w:pPr>
      <w:r w:rsidRPr="0082402D">
        <w:rPr>
          <w:sz w:val="22"/>
          <w:lang w:val="lt-LT"/>
        </w:rPr>
        <w:t>-</w:t>
      </w:r>
      <w:r w:rsidRPr="0082402D">
        <w:rPr>
          <w:sz w:val="22"/>
          <w:lang w:val="lt-LT"/>
        </w:rPr>
        <w:tab/>
        <w:t>esant skausmingam patinimui arba uždegimui po sužalojimų.</w:t>
      </w:r>
    </w:p>
    <w:p w14:paraId="43E6820F" w14:textId="77777777" w:rsidR="00025AA4" w:rsidRPr="0082402D" w:rsidRDefault="00025AA4" w:rsidP="00025AA4">
      <w:pPr>
        <w:ind w:right="-58"/>
      </w:pPr>
    </w:p>
    <w:p w14:paraId="7D185C34" w14:textId="77777777" w:rsidR="00025AA4" w:rsidRPr="0082402D" w:rsidRDefault="00025AA4" w:rsidP="00025AA4">
      <w:pPr>
        <w:pStyle w:val="PI-1EMEASMCA"/>
      </w:pPr>
      <w:r w:rsidRPr="0082402D">
        <w:t xml:space="preserve">2. </w:t>
      </w:r>
      <w:r w:rsidRPr="0082402D">
        <w:tab/>
        <w:t xml:space="preserve">Kas žinotina prieš vartojant </w:t>
      </w:r>
      <w:proofErr w:type="spellStart"/>
      <w:r w:rsidRPr="0082402D">
        <w:t>Dicloberl</w:t>
      </w:r>
      <w:proofErr w:type="spellEnd"/>
      <w:r w:rsidRPr="0082402D">
        <w:t xml:space="preserve"> </w:t>
      </w:r>
    </w:p>
    <w:p w14:paraId="2A96202B" w14:textId="77777777" w:rsidR="00025AA4" w:rsidRPr="0082402D" w:rsidRDefault="00025AA4" w:rsidP="00025AA4">
      <w:pPr>
        <w:ind w:right="-57"/>
      </w:pPr>
    </w:p>
    <w:p w14:paraId="5C5CCD0A" w14:textId="77777777" w:rsidR="00025AA4" w:rsidRPr="0082402D" w:rsidRDefault="00025AA4" w:rsidP="00025AA4">
      <w:pPr>
        <w:pStyle w:val="PI-3EMEASMCA"/>
      </w:pPr>
      <w:proofErr w:type="spellStart"/>
      <w:r w:rsidRPr="0082402D">
        <w:t>Dicloberl</w:t>
      </w:r>
      <w:proofErr w:type="spellEnd"/>
      <w:r w:rsidRPr="0082402D">
        <w:t xml:space="preserve"> vartoti draudžiama:</w:t>
      </w:r>
    </w:p>
    <w:p w14:paraId="6F32D40B" w14:textId="77777777" w:rsidR="00025AA4" w:rsidRPr="0082402D" w:rsidRDefault="00025AA4" w:rsidP="00025AA4">
      <w:pPr>
        <w:pStyle w:val="BT-EMEASMCA"/>
        <w:tabs>
          <w:tab w:val="num" w:pos="567"/>
        </w:tabs>
        <w:ind w:left="567" w:hanging="567"/>
      </w:pPr>
      <w:r w:rsidRPr="0082402D">
        <w:t>jei</w:t>
      </w:r>
      <w:r>
        <w:t>gu</w:t>
      </w:r>
      <w:r w:rsidRPr="0082402D">
        <w:t xml:space="preserve"> yra alergija </w:t>
      </w:r>
      <w:proofErr w:type="spellStart"/>
      <w:r w:rsidRPr="0082402D">
        <w:t>diklofenakui</w:t>
      </w:r>
      <w:proofErr w:type="spellEnd"/>
      <w:r w:rsidRPr="0082402D">
        <w:t xml:space="preserve"> ar bet kuriai pagalbinei šio vaisto medžiagai (jos išvardytos 6 skyriuje);</w:t>
      </w:r>
    </w:p>
    <w:p w14:paraId="0BFD9AEB" w14:textId="77777777" w:rsidR="00025AA4" w:rsidRPr="0082402D" w:rsidRDefault="00025AA4" w:rsidP="00025AA4">
      <w:pPr>
        <w:pStyle w:val="BT-EMEASMCA"/>
        <w:tabs>
          <w:tab w:val="num" w:pos="567"/>
        </w:tabs>
        <w:ind w:left="567" w:hanging="567"/>
      </w:pPr>
      <w:r w:rsidRPr="0082402D">
        <w:t xml:space="preserve">esant nurodymams apie praeityje buvusius su kvėpavimu susijusius sutrikimus (bronchų spazmą), astmos priepuolius, krūtinės skausmą, nosies gleivinės paburkimą ar odos reakcijas po </w:t>
      </w:r>
      <w:proofErr w:type="spellStart"/>
      <w:r w:rsidRPr="0082402D">
        <w:t>acetilsalicilo</w:t>
      </w:r>
      <w:proofErr w:type="spellEnd"/>
      <w:r w:rsidRPr="0082402D">
        <w:t xml:space="preserve"> rūgšties arba NVNU vartojimo; </w:t>
      </w:r>
    </w:p>
    <w:p w14:paraId="1B2CD2A9" w14:textId="77777777" w:rsidR="00025AA4" w:rsidRPr="0082402D" w:rsidRDefault="00025AA4" w:rsidP="00025AA4">
      <w:pPr>
        <w:pStyle w:val="BT-EMEASMCA"/>
        <w:tabs>
          <w:tab w:val="num" w:pos="567"/>
        </w:tabs>
        <w:ind w:left="567" w:hanging="567"/>
      </w:pPr>
      <w:r w:rsidRPr="0082402D">
        <w:t xml:space="preserve">esant </w:t>
      </w:r>
      <w:proofErr w:type="spellStart"/>
      <w:r w:rsidRPr="0082402D">
        <w:t>kraujodaros</w:t>
      </w:r>
      <w:proofErr w:type="spellEnd"/>
      <w:r w:rsidRPr="0082402D">
        <w:t xml:space="preserve"> sutrikimams, kurių kilmė nevisiškai nustatyta;</w:t>
      </w:r>
    </w:p>
    <w:p w14:paraId="219A5418" w14:textId="77777777" w:rsidR="00025AA4" w:rsidRPr="0082402D" w:rsidRDefault="00025AA4" w:rsidP="00025AA4">
      <w:pPr>
        <w:pStyle w:val="BT-EMEASMCA"/>
        <w:tabs>
          <w:tab w:val="num" w:pos="567"/>
        </w:tabs>
        <w:ind w:left="567" w:hanging="567"/>
      </w:pPr>
      <w:r w:rsidRPr="0082402D">
        <w:t>jeigu sergate skrandžio arba žarnų opalige, pasireiškia kraujavimas arba virškinimo trakto prakiurimas (tai gali pasireikšti krauju vėmimo masėse, kraujavimu tuštinimosi metu, šviežio kraujo buvimu išmatose arba juoda išmatų spalva);</w:t>
      </w:r>
    </w:p>
    <w:p w14:paraId="3898E720" w14:textId="77777777" w:rsidR="00025AA4" w:rsidRPr="0082402D" w:rsidRDefault="00025AA4" w:rsidP="00025AA4">
      <w:pPr>
        <w:pStyle w:val="Sraopastraipa"/>
        <w:numPr>
          <w:ilvl w:val="0"/>
          <w:numId w:val="3"/>
        </w:numPr>
        <w:ind w:left="567" w:hanging="567"/>
      </w:pPr>
      <w:r w:rsidRPr="0082402D">
        <w:t>jei Jums nustatyta aktyvi arba pasikartojanti skrandžio arba dvylikapirštės žarnos opa (</w:t>
      </w:r>
      <w:proofErr w:type="spellStart"/>
      <w:r w:rsidRPr="0082402D">
        <w:t>pepsinės</w:t>
      </w:r>
      <w:proofErr w:type="spellEnd"/>
      <w:r w:rsidRPr="0082402D">
        <w:t xml:space="preserve"> opos) arba kraujavimas (du ar daugiau įrodyti kraujavimo arba perforacijos epizodai);</w:t>
      </w:r>
    </w:p>
    <w:p w14:paraId="5CE77843" w14:textId="77777777" w:rsidR="00025AA4" w:rsidRPr="0082402D" w:rsidRDefault="00025AA4" w:rsidP="00025AA4">
      <w:pPr>
        <w:pStyle w:val="Sraopastraipa"/>
        <w:numPr>
          <w:ilvl w:val="0"/>
          <w:numId w:val="3"/>
        </w:numPr>
        <w:ind w:left="567" w:hanging="567"/>
      </w:pPr>
      <w:r w:rsidRPr="0082402D">
        <w:t>jei Jums praeityje buvo kraujavimas iš virškinimo trakto arba perforacija (prakiurimas), susijusi su NVNU vartojimu;</w:t>
      </w:r>
    </w:p>
    <w:p w14:paraId="36FD80AD" w14:textId="77777777" w:rsidR="00025AA4" w:rsidRPr="0082402D" w:rsidRDefault="00025AA4" w:rsidP="00025AA4">
      <w:pPr>
        <w:pStyle w:val="BT-EMEASMCA"/>
        <w:tabs>
          <w:tab w:val="num" w:pos="567"/>
        </w:tabs>
        <w:ind w:left="567" w:hanging="567"/>
      </w:pPr>
      <w:r w:rsidRPr="0082402D">
        <w:t>jei Jums buvo kraujo išsiliejimas galvos smegenyse ar kitoks aktyvus kraujavimas;</w:t>
      </w:r>
    </w:p>
    <w:p w14:paraId="363E3AA0" w14:textId="77777777" w:rsidR="00025AA4" w:rsidRPr="0082402D" w:rsidRDefault="00025AA4" w:rsidP="00025AA4">
      <w:pPr>
        <w:pStyle w:val="BT-EMEASMCA"/>
        <w:tabs>
          <w:tab w:val="num" w:pos="567"/>
        </w:tabs>
        <w:ind w:left="567" w:hanging="567"/>
      </w:pPr>
      <w:r w:rsidRPr="0082402D">
        <w:t>jei sergate sunkiomis inkstų ar kepenų ligomis;</w:t>
      </w:r>
    </w:p>
    <w:p w14:paraId="0C5BD46F" w14:textId="77777777" w:rsidR="00025AA4" w:rsidRPr="0082402D" w:rsidRDefault="00025AA4" w:rsidP="00025AA4">
      <w:pPr>
        <w:pStyle w:val="BT-EMEASMCA"/>
        <w:numPr>
          <w:ilvl w:val="0"/>
          <w:numId w:val="0"/>
        </w:numPr>
        <w:tabs>
          <w:tab w:val="left" w:pos="567"/>
        </w:tabs>
        <w:ind w:left="567" w:hanging="567"/>
      </w:pPr>
      <w:r w:rsidRPr="0082402D">
        <w:t>-</w:t>
      </w:r>
      <w:r w:rsidRPr="0082402D">
        <w:tab/>
        <w:t>jeigu Jums nustatyta širdies liga ir (arba) galvos smegenų kraujagyslių liga, pavyzdžiui, jeigu Jūs patyrėte širdies smūgį, insultą, „</w:t>
      </w:r>
      <w:proofErr w:type="spellStart"/>
      <w:r w:rsidRPr="0082402D">
        <w:t>mikroinsultą</w:t>
      </w:r>
      <w:proofErr w:type="spellEnd"/>
      <w:r w:rsidRPr="0082402D">
        <w:t xml:space="preserve">“ (praeinantį smegenų išemijos priepuolį) arba </w:t>
      </w:r>
      <w:r w:rsidRPr="0082402D">
        <w:lastRenderedPageBreak/>
        <w:t>Jums buvo užsikimšusios širdies ar galvos smegenų kraujagyslės, arba Jums buvo atlikta operacija siekiant išvalyti arba šuntuoti užsikimšusias kraujagysles;</w:t>
      </w:r>
    </w:p>
    <w:p w14:paraId="39F164AA" w14:textId="77777777" w:rsidR="00025AA4" w:rsidRPr="0082402D" w:rsidRDefault="00025AA4" w:rsidP="00025AA4">
      <w:pPr>
        <w:pStyle w:val="BT-EMEASMCA"/>
        <w:numPr>
          <w:ilvl w:val="0"/>
          <w:numId w:val="0"/>
        </w:numPr>
        <w:tabs>
          <w:tab w:val="left" w:pos="567"/>
        </w:tabs>
      </w:pPr>
      <w:r w:rsidRPr="0082402D">
        <w:t>-</w:t>
      </w:r>
      <w:r w:rsidRPr="0082402D">
        <w:tab/>
        <w:t>jeigu Jums yra arba anksčiau buvo sutrikusi kraujotaka (periferinių arterijų liga);</w:t>
      </w:r>
    </w:p>
    <w:p w14:paraId="7CAFAC64" w14:textId="77777777" w:rsidR="00025AA4" w:rsidRPr="0082402D" w:rsidRDefault="00025AA4" w:rsidP="00025AA4">
      <w:pPr>
        <w:pStyle w:val="BT-EMEASMCA"/>
        <w:numPr>
          <w:ilvl w:val="0"/>
          <w:numId w:val="0"/>
        </w:numPr>
        <w:tabs>
          <w:tab w:val="left" w:pos="567"/>
        </w:tabs>
      </w:pPr>
      <w:r w:rsidRPr="0082402D">
        <w:t>-</w:t>
      </w:r>
      <w:r w:rsidRPr="0082402D">
        <w:tab/>
        <w:t>paskutiniuosius tris nėštumo mėnesius;</w:t>
      </w:r>
    </w:p>
    <w:p w14:paraId="7A7561F9" w14:textId="77777777" w:rsidR="00025AA4" w:rsidRPr="0082402D" w:rsidRDefault="00025AA4" w:rsidP="00025AA4">
      <w:pPr>
        <w:pStyle w:val="BT-EMEASMCA"/>
        <w:numPr>
          <w:ilvl w:val="0"/>
          <w:numId w:val="0"/>
        </w:numPr>
        <w:tabs>
          <w:tab w:val="left" w:pos="567"/>
        </w:tabs>
      </w:pPr>
      <w:r w:rsidRPr="0082402D">
        <w:t>-</w:t>
      </w:r>
      <w:r w:rsidRPr="0082402D">
        <w:tab/>
        <w:t>jei sergate tiesiosios žarnos gleivinės arba išangės uždegimu (</w:t>
      </w:r>
      <w:proofErr w:type="spellStart"/>
      <w:r w:rsidRPr="0082402D">
        <w:t>proktitu</w:t>
      </w:r>
      <w:proofErr w:type="spellEnd"/>
      <w:r w:rsidRPr="0082402D">
        <w:t>);</w:t>
      </w:r>
    </w:p>
    <w:p w14:paraId="043C9229" w14:textId="77777777" w:rsidR="00025AA4" w:rsidRPr="0082402D" w:rsidRDefault="00025AA4" w:rsidP="00025AA4">
      <w:pPr>
        <w:pStyle w:val="BT-EMEASMCA"/>
        <w:numPr>
          <w:ilvl w:val="0"/>
          <w:numId w:val="14"/>
        </w:numPr>
        <w:tabs>
          <w:tab w:val="left" w:pos="567"/>
        </w:tabs>
        <w:ind w:left="567" w:hanging="567"/>
      </w:pPr>
      <w:r w:rsidRPr="0082402D">
        <w:t>jaunesniems kaip 18 metų amžiaus vaikams ir paaugliams.</w:t>
      </w:r>
    </w:p>
    <w:p w14:paraId="22BFD662" w14:textId="77777777" w:rsidR="00025AA4" w:rsidRPr="0082402D" w:rsidRDefault="00025AA4" w:rsidP="00025AA4">
      <w:pPr>
        <w:pStyle w:val="Pagrindinistekstas2"/>
        <w:widowControl/>
        <w:tabs>
          <w:tab w:val="left" w:pos="540"/>
        </w:tabs>
        <w:rPr>
          <w:sz w:val="22"/>
          <w:lang w:val="lt-LT"/>
        </w:rPr>
      </w:pPr>
      <w:r w:rsidRPr="0082402D" w:rsidDel="0043322C">
        <w:rPr>
          <w:lang w:val="lt-LT"/>
        </w:rPr>
        <w:t xml:space="preserve"> </w:t>
      </w:r>
    </w:p>
    <w:p w14:paraId="34903CE0" w14:textId="77777777" w:rsidR="00025AA4" w:rsidRPr="0082402D" w:rsidRDefault="00025AA4" w:rsidP="00025AA4">
      <w:pPr>
        <w:pStyle w:val="Antrat4"/>
      </w:pPr>
      <w:r w:rsidRPr="0082402D">
        <w:t xml:space="preserve">Įspėjimai ir atsargumo priemonės </w:t>
      </w:r>
    </w:p>
    <w:p w14:paraId="1C7C3DF6" w14:textId="77777777" w:rsidR="00025AA4" w:rsidRPr="0082402D" w:rsidRDefault="00025AA4" w:rsidP="00025AA4">
      <w:pPr>
        <w:pStyle w:val="Pagrindinistekstas2"/>
        <w:widowControl/>
        <w:tabs>
          <w:tab w:val="left" w:pos="540"/>
        </w:tabs>
        <w:rPr>
          <w:sz w:val="22"/>
          <w:lang w:val="lt-LT"/>
        </w:rPr>
      </w:pPr>
      <w:r w:rsidRPr="0082402D">
        <w:rPr>
          <w:sz w:val="22"/>
          <w:lang w:val="lt-LT"/>
        </w:rPr>
        <w:t xml:space="preserve">Pasitarkite su gydytoju arba vaistininku, prieš pradėdami vartoti </w:t>
      </w:r>
      <w:proofErr w:type="spellStart"/>
      <w:r w:rsidRPr="0082402D">
        <w:rPr>
          <w:sz w:val="22"/>
          <w:lang w:val="lt-LT"/>
        </w:rPr>
        <w:t>Dicloberl</w:t>
      </w:r>
      <w:proofErr w:type="spellEnd"/>
      <w:r w:rsidRPr="0082402D">
        <w:rPr>
          <w:sz w:val="22"/>
          <w:lang w:val="lt-LT"/>
        </w:rPr>
        <w:t>.</w:t>
      </w:r>
    </w:p>
    <w:p w14:paraId="6561BF03" w14:textId="77777777" w:rsidR="00025AA4" w:rsidRPr="0082402D" w:rsidRDefault="00025AA4" w:rsidP="00025AA4">
      <w:pPr>
        <w:pStyle w:val="BTEMEASMCA"/>
        <w:rPr>
          <w:color w:val="auto"/>
        </w:rPr>
      </w:pPr>
    </w:p>
    <w:p w14:paraId="71E9BC37" w14:textId="77777777" w:rsidR="00025AA4" w:rsidRPr="0082402D" w:rsidRDefault="00025AA4" w:rsidP="00025AA4">
      <w:pPr>
        <w:tabs>
          <w:tab w:val="left" w:pos="0"/>
          <w:tab w:val="left" w:pos="5278"/>
        </w:tabs>
        <w:rPr>
          <w:rFonts w:eastAsia="Times New Roman"/>
          <w:bCs/>
          <w:i/>
          <w:noProof/>
          <w:lang w:eastAsia="en-US"/>
        </w:rPr>
      </w:pPr>
      <w:r w:rsidRPr="0082402D">
        <w:rPr>
          <w:rFonts w:eastAsia="Times New Roman"/>
          <w:bCs/>
          <w:i/>
          <w:noProof/>
          <w:lang w:eastAsia="en-US"/>
        </w:rPr>
        <w:t>Bendros nuorodos</w:t>
      </w:r>
    </w:p>
    <w:p w14:paraId="2EE679ED" w14:textId="77777777" w:rsidR="00025AA4" w:rsidRPr="0082402D" w:rsidRDefault="00025AA4" w:rsidP="00025AA4">
      <w:pPr>
        <w:pStyle w:val="BTEMEASMCA"/>
        <w:rPr>
          <w:color w:val="auto"/>
        </w:rPr>
      </w:pPr>
      <w:r w:rsidRPr="0082402D">
        <w:rPr>
          <w:rFonts w:eastAsia="Times New Roman"/>
          <w:noProof w:val="0"/>
          <w:color w:val="auto"/>
        </w:rPr>
        <w:t xml:space="preserve">Reikia vengti vartoti </w:t>
      </w:r>
      <w:proofErr w:type="spellStart"/>
      <w:r w:rsidRPr="0082402D">
        <w:rPr>
          <w:rFonts w:eastAsia="Times New Roman"/>
          <w:noProof w:val="0"/>
          <w:color w:val="auto"/>
        </w:rPr>
        <w:t>Dicloberl</w:t>
      </w:r>
      <w:proofErr w:type="spellEnd"/>
      <w:r w:rsidRPr="0082402D">
        <w:rPr>
          <w:rFonts w:eastAsia="Times New Roman"/>
          <w:noProof w:val="0"/>
          <w:color w:val="auto"/>
        </w:rPr>
        <w:t xml:space="preserve"> vartoti kartu su </w:t>
      </w:r>
      <w:r w:rsidRPr="0082402D">
        <w:rPr>
          <w:color w:val="auto"/>
        </w:rPr>
        <w:t>kitais NVNU, įskaitant vadinamuosius COX-2 inhibitorius (ciklooksigenazės-2 selektyviuosius inhibitorius), nes nėra jokių geresnio poveikio įrodymų ir gali būti žymiai daugiau arba sunkesnių šalutinio poveikio reiškinių.</w:t>
      </w:r>
    </w:p>
    <w:p w14:paraId="5AE03AF5" w14:textId="77777777" w:rsidR="00025AA4" w:rsidRPr="0082402D" w:rsidRDefault="00025AA4" w:rsidP="00025AA4">
      <w:pPr>
        <w:pStyle w:val="BTEMEASMCA"/>
        <w:rPr>
          <w:color w:val="auto"/>
        </w:rPr>
      </w:pPr>
    </w:p>
    <w:p w14:paraId="6742BC3E"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Šalutinį poveikį galima sumažinti vartojant mažiausią veiksmingą dozę trumpiausią laiką, kuris reikalingas simptomų kontrolei (žr. 3 skyriuje).</w:t>
      </w:r>
    </w:p>
    <w:p w14:paraId="063C7E4E" w14:textId="77777777" w:rsidR="00025AA4" w:rsidRPr="0082402D" w:rsidRDefault="00025AA4" w:rsidP="00025AA4">
      <w:pPr>
        <w:pStyle w:val="BTEMEASMCA"/>
        <w:rPr>
          <w:color w:val="auto"/>
        </w:rPr>
      </w:pPr>
    </w:p>
    <w:p w14:paraId="59C61967" w14:textId="77777777" w:rsidR="00025AA4" w:rsidRPr="0082402D" w:rsidRDefault="00025AA4" w:rsidP="00025AA4">
      <w:pPr>
        <w:pStyle w:val="BTEMEASMCA"/>
        <w:rPr>
          <w:i/>
          <w:color w:val="auto"/>
        </w:rPr>
      </w:pPr>
      <w:r w:rsidRPr="0082402D">
        <w:rPr>
          <w:i/>
          <w:color w:val="auto"/>
        </w:rPr>
        <w:t>Kraujavimas iš skrandžio arba žarnyno, išopėjimas ir perforacija</w:t>
      </w:r>
    </w:p>
    <w:p w14:paraId="1FC95E8F" w14:textId="77777777" w:rsidR="00025AA4" w:rsidRPr="0082402D" w:rsidRDefault="00025AA4" w:rsidP="00025AA4">
      <w:pPr>
        <w:pStyle w:val="BTEMEASMCA"/>
        <w:rPr>
          <w:color w:val="auto"/>
        </w:rPr>
      </w:pPr>
      <w:r w:rsidRPr="0082402D">
        <w:rPr>
          <w:color w:val="auto"/>
        </w:rPr>
        <w:t>Galintis sukelti mirtį kraujavimas iš skrandžio arba žarnyno, išopėjimas ir perforacija aprašyti vartojant visus NVNU bet kuriuo gydymo momentu, su įspėjamaisiais simptomais arba be jų, esant nurodymams apie buvusias sunkias virškinimo trakto komplikacijas arba be tokių nurodymų.</w:t>
      </w:r>
    </w:p>
    <w:p w14:paraId="0B3D5B22" w14:textId="77777777" w:rsidR="00025AA4" w:rsidRPr="0082402D" w:rsidRDefault="00025AA4" w:rsidP="00025AA4">
      <w:pPr>
        <w:pStyle w:val="BTEMEASMCA"/>
        <w:rPr>
          <w:color w:val="auto"/>
        </w:rPr>
      </w:pPr>
    </w:p>
    <w:p w14:paraId="4BDDF042" w14:textId="77777777" w:rsidR="00025AA4" w:rsidRPr="0082402D" w:rsidRDefault="00025AA4" w:rsidP="00025AA4">
      <w:pPr>
        <w:pStyle w:val="BTEMEASMCA"/>
        <w:rPr>
          <w:color w:val="auto"/>
        </w:rPr>
      </w:pPr>
      <w:r w:rsidRPr="0082402D">
        <w:rPr>
          <w:color w:val="auto"/>
        </w:rPr>
        <w:t>Kraujavimo iš skrandžio arba žarnyno, išopėjimo ir perforacijos rizika didesnė, jei vartojamos didesnės NVNU dozės, jei praeityje buvo opa, ypač jei anksčiau buvo opos komplikacijų – kraujavimas arba perforacija, bei senyviems pacientams.</w:t>
      </w:r>
    </w:p>
    <w:p w14:paraId="1C56E3B4" w14:textId="77777777" w:rsidR="00025AA4" w:rsidRPr="0082402D" w:rsidRDefault="00025AA4" w:rsidP="00025AA4">
      <w:pPr>
        <w:pStyle w:val="BTEMEASMCA"/>
        <w:rPr>
          <w:color w:val="auto"/>
        </w:rPr>
      </w:pPr>
    </w:p>
    <w:p w14:paraId="4C6A2E0E" w14:textId="77777777" w:rsidR="00025AA4" w:rsidRPr="0082402D" w:rsidRDefault="00025AA4" w:rsidP="00025AA4">
      <w:pPr>
        <w:pStyle w:val="BTEMEASMCA"/>
        <w:rPr>
          <w:color w:val="auto"/>
        </w:rPr>
      </w:pPr>
      <w:r w:rsidRPr="0082402D">
        <w:rPr>
          <w:color w:val="auto"/>
        </w:rPr>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2075BBBC" w14:textId="77777777" w:rsidR="00025AA4" w:rsidRPr="0082402D" w:rsidRDefault="00025AA4" w:rsidP="00025AA4">
      <w:pPr>
        <w:pStyle w:val="BTEMEASMCA"/>
        <w:rPr>
          <w:color w:val="auto"/>
        </w:rPr>
      </w:pPr>
    </w:p>
    <w:p w14:paraId="5FAFDD4F"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Jeigu praeityje pasitaikė šalutinis poveikis virškinimo traktui, ypač senyviems pacientams, pradėjus vartoti vaistą, praneškite apie neįprastus simptomus (ypač kraujavimą iš skrandžio arba žarnyno).</w:t>
      </w:r>
    </w:p>
    <w:p w14:paraId="78C9FA82" w14:textId="77777777" w:rsidR="00025AA4" w:rsidRPr="0082402D" w:rsidRDefault="00025AA4" w:rsidP="00025AA4">
      <w:pPr>
        <w:pStyle w:val="BTEMEASMCA"/>
        <w:rPr>
          <w:color w:val="auto"/>
        </w:rPr>
      </w:pPr>
    </w:p>
    <w:p w14:paraId="779C531F"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poskyrį „Kiti vaistai ir Dicloberl“). </w:t>
      </w:r>
    </w:p>
    <w:p w14:paraId="432DBCE1" w14:textId="77777777" w:rsidR="00025AA4" w:rsidRPr="0082402D" w:rsidRDefault="00025AA4" w:rsidP="00025AA4">
      <w:pPr>
        <w:tabs>
          <w:tab w:val="left" w:pos="0"/>
          <w:tab w:val="left" w:pos="5278"/>
        </w:tabs>
        <w:rPr>
          <w:rFonts w:eastAsia="Times New Roman"/>
          <w:bCs/>
          <w:noProof/>
          <w:lang w:eastAsia="en-US"/>
        </w:rPr>
      </w:pPr>
    </w:p>
    <w:p w14:paraId="4CB3DDE0"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Jei vartojant Dicloberl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2B53C7EC" w14:textId="77777777" w:rsidR="00025AA4" w:rsidRPr="0082402D" w:rsidRDefault="00025AA4" w:rsidP="00025AA4">
      <w:pPr>
        <w:pStyle w:val="BTEMEASMCA"/>
        <w:rPr>
          <w:color w:val="auto"/>
        </w:rPr>
      </w:pPr>
    </w:p>
    <w:p w14:paraId="482971A4"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Pacientams, kuriems pasireiškia virškinimo trakto ligų simptomai, anksčiau buvo skrandžio arba žarnyno išopėjimas, kraujavimas arba perforacija bei virškinimo trakto ligos (opinis kolitas, Krono liga) NVNU reikia vartoti atsargiai, nes gali pablogėti šių ligų eiga (žr. 4 skyrių).</w:t>
      </w:r>
    </w:p>
    <w:p w14:paraId="78F9704C" w14:textId="77777777" w:rsidR="00025AA4" w:rsidRPr="0082402D" w:rsidRDefault="00025AA4" w:rsidP="00025AA4">
      <w:pPr>
        <w:pStyle w:val="BTEMEASMCA"/>
        <w:rPr>
          <w:color w:val="auto"/>
        </w:rPr>
      </w:pPr>
    </w:p>
    <w:p w14:paraId="14561E01" w14:textId="77777777" w:rsidR="00025AA4" w:rsidRPr="0082402D" w:rsidRDefault="00025AA4" w:rsidP="00025AA4">
      <w:pPr>
        <w:pStyle w:val="BTEMEASMCA"/>
        <w:rPr>
          <w:color w:val="auto"/>
        </w:rPr>
      </w:pPr>
      <w:r w:rsidRPr="0082402D">
        <w:rPr>
          <w:color w:val="auto"/>
        </w:rPr>
        <w:t>Prieš vartodami Dicloberl, pasakykite savo gydytojui, jeigu jums neseniai atlikta arba jums bus atliekama skrandžio arba žarnyno operacija, nes Dicloberl kartais gali pabloginti žaizdos gijimą Jūsų virškinimo trakte po operacijos</w:t>
      </w:r>
      <w:r w:rsidRPr="0082402D">
        <w:rPr>
          <w:snapToGrid w:val="0"/>
          <w:color w:val="auto"/>
          <w:lang w:eastAsia="de-DE"/>
        </w:rPr>
        <w:t>.</w:t>
      </w:r>
    </w:p>
    <w:p w14:paraId="46C9D2B9" w14:textId="77777777" w:rsidR="00025AA4" w:rsidRPr="0082402D" w:rsidRDefault="00025AA4" w:rsidP="00025AA4">
      <w:pPr>
        <w:pStyle w:val="BTEMEASMCA"/>
        <w:rPr>
          <w:color w:val="auto"/>
        </w:rPr>
      </w:pPr>
    </w:p>
    <w:p w14:paraId="47A5CC30" w14:textId="77777777" w:rsidR="00025AA4" w:rsidRPr="0082402D" w:rsidRDefault="00025AA4" w:rsidP="00025AA4">
      <w:pPr>
        <w:pStyle w:val="BTEMEASMCA"/>
        <w:rPr>
          <w:i/>
          <w:color w:val="auto"/>
        </w:rPr>
      </w:pPr>
      <w:r w:rsidRPr="0082402D">
        <w:rPr>
          <w:i/>
          <w:color w:val="auto"/>
        </w:rPr>
        <w:t xml:space="preserve">Poveikis širdies ir kraujagyslių sistemai </w:t>
      </w:r>
    </w:p>
    <w:p w14:paraId="3E972421" w14:textId="77777777" w:rsidR="00025AA4" w:rsidRPr="0082402D" w:rsidRDefault="00025AA4" w:rsidP="00025AA4">
      <w:pPr>
        <w:pStyle w:val="BTEMEASMCA"/>
        <w:rPr>
          <w:color w:val="auto"/>
        </w:rPr>
      </w:pPr>
      <w:r w:rsidRPr="0082402D">
        <w:rPr>
          <w:color w:val="auto"/>
        </w:rPr>
        <w:t xml:space="preserve">Tokie vaistai, kaip Dicloberl, gali būti susiję su nedideliu širdies priepuolio („miokardo infarkto“) ar insulto rizikos padidėjimu. </w:t>
      </w:r>
    </w:p>
    <w:p w14:paraId="4751E5E5" w14:textId="77777777" w:rsidR="00025AA4" w:rsidRPr="0082402D" w:rsidRDefault="00025AA4" w:rsidP="00025AA4">
      <w:pPr>
        <w:tabs>
          <w:tab w:val="left" w:pos="0"/>
          <w:tab w:val="left" w:pos="5278"/>
        </w:tabs>
        <w:rPr>
          <w:rFonts w:eastAsia="Times New Roman"/>
          <w:bCs/>
          <w:noProof/>
          <w:lang w:eastAsia="en-US"/>
        </w:rPr>
      </w:pPr>
    </w:p>
    <w:p w14:paraId="2BED6F37"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Įsitikinkite, kad prieš Jums paskirdamas Dicloberl gydytojas žino, jog Jūs:</w:t>
      </w:r>
    </w:p>
    <w:p w14:paraId="4ED04F78" w14:textId="77777777" w:rsidR="00025AA4" w:rsidRPr="0082402D" w:rsidRDefault="00025AA4" w:rsidP="00025AA4">
      <w:pPr>
        <w:numPr>
          <w:ilvl w:val="1"/>
          <w:numId w:val="4"/>
        </w:numPr>
        <w:tabs>
          <w:tab w:val="left" w:pos="0"/>
          <w:tab w:val="left" w:pos="567"/>
        </w:tabs>
        <w:ind w:left="567" w:hanging="567"/>
        <w:rPr>
          <w:rFonts w:eastAsia="Times New Roman"/>
          <w:bCs/>
          <w:noProof/>
          <w:lang w:eastAsia="en-US"/>
        </w:rPr>
      </w:pPr>
      <w:r w:rsidRPr="0082402D">
        <w:rPr>
          <w:rFonts w:eastAsia="Times New Roman"/>
          <w:bCs/>
          <w:noProof/>
          <w:lang w:eastAsia="en-US"/>
        </w:rPr>
        <w:lastRenderedPageBreak/>
        <w:t>rūkote;</w:t>
      </w:r>
    </w:p>
    <w:p w14:paraId="28859B2B" w14:textId="77777777" w:rsidR="00025AA4" w:rsidRPr="0082402D" w:rsidRDefault="00025AA4" w:rsidP="00025AA4">
      <w:pPr>
        <w:numPr>
          <w:ilvl w:val="1"/>
          <w:numId w:val="4"/>
        </w:numPr>
        <w:tabs>
          <w:tab w:val="left" w:pos="0"/>
          <w:tab w:val="left" w:pos="567"/>
        </w:tabs>
        <w:ind w:left="567" w:hanging="567"/>
        <w:rPr>
          <w:rFonts w:eastAsia="Times New Roman"/>
          <w:bCs/>
          <w:noProof/>
          <w:lang w:eastAsia="en-US"/>
        </w:rPr>
      </w:pPr>
      <w:r w:rsidRPr="0082402D">
        <w:rPr>
          <w:rFonts w:eastAsia="Times New Roman"/>
          <w:bCs/>
          <w:noProof/>
          <w:lang w:eastAsia="en-US"/>
        </w:rPr>
        <w:t>sergate cukriniu diabetu;</w:t>
      </w:r>
    </w:p>
    <w:p w14:paraId="289E7BAB" w14:textId="77777777" w:rsidR="00025AA4" w:rsidRPr="0082402D" w:rsidRDefault="00025AA4" w:rsidP="00025AA4">
      <w:pPr>
        <w:numPr>
          <w:ilvl w:val="1"/>
          <w:numId w:val="4"/>
        </w:numPr>
        <w:tabs>
          <w:tab w:val="left" w:pos="0"/>
          <w:tab w:val="left" w:pos="567"/>
        </w:tabs>
        <w:ind w:left="567" w:hanging="567"/>
        <w:rPr>
          <w:rFonts w:eastAsia="Times New Roman"/>
          <w:bCs/>
          <w:noProof/>
          <w:lang w:eastAsia="en-US"/>
        </w:rPr>
      </w:pPr>
      <w:r w:rsidRPr="0082402D">
        <w:rPr>
          <w:rFonts w:eastAsia="Times New Roman"/>
          <w:bCs/>
          <w:noProof/>
          <w:lang w:eastAsia="en-US"/>
        </w:rPr>
        <w:t>sergate krūtinės angina arba Jums yra susidarę kraujo krešulių, padidėjęs kraujospūdis, padidėjęs cholesterolio kiekis arba padidėjęs trigliceridų kiekis.</w:t>
      </w:r>
    </w:p>
    <w:p w14:paraId="62FB07B1" w14:textId="77777777" w:rsidR="00025AA4" w:rsidRPr="0082402D" w:rsidRDefault="00025AA4" w:rsidP="00025AA4">
      <w:pPr>
        <w:pStyle w:val="BTEMEASMCA"/>
        <w:rPr>
          <w:color w:val="auto"/>
        </w:rPr>
      </w:pPr>
    </w:p>
    <w:p w14:paraId="5362F075" w14:textId="77777777" w:rsidR="00025AA4" w:rsidRPr="0082402D" w:rsidRDefault="00025AA4" w:rsidP="00025AA4">
      <w:pPr>
        <w:tabs>
          <w:tab w:val="left" w:pos="0"/>
          <w:tab w:val="left" w:pos="5278"/>
        </w:tabs>
        <w:rPr>
          <w:rFonts w:eastAsia="Times New Roman"/>
          <w:bCs/>
          <w:noProof/>
          <w:lang w:eastAsia="en-US"/>
        </w:rPr>
      </w:pPr>
      <w:r w:rsidRPr="0082402D">
        <w:t>Šalutinis poveikis gali pasireikšti rečiau, jeigu vartosite mažiausią veiksmingą dozę kiek įmanoma trumpiausią laikotarpį.</w:t>
      </w:r>
    </w:p>
    <w:p w14:paraId="15AFAC92" w14:textId="77777777" w:rsidR="00025AA4" w:rsidRPr="0082402D" w:rsidRDefault="00025AA4" w:rsidP="00025AA4">
      <w:pPr>
        <w:pStyle w:val="BTEMEASMCA"/>
        <w:rPr>
          <w:color w:val="auto"/>
        </w:rPr>
      </w:pPr>
    </w:p>
    <w:p w14:paraId="0F7C1E61" w14:textId="77777777" w:rsidR="00025AA4" w:rsidRPr="0082402D" w:rsidRDefault="00025AA4" w:rsidP="00025AA4">
      <w:pPr>
        <w:pStyle w:val="BTEMEASMCA"/>
        <w:rPr>
          <w:color w:val="auto"/>
        </w:rPr>
      </w:pPr>
      <w:r w:rsidRPr="0082402D">
        <w:rPr>
          <w:color w:val="auto"/>
        </w:rPr>
        <w:t>Jei jūsų širdies veikla yra sutrikusi arba patyrėte anksčiau insultą, turite aptarti gydymą su savo gydytoju arba vaistininku.</w:t>
      </w:r>
    </w:p>
    <w:p w14:paraId="27A631B4" w14:textId="77777777" w:rsidR="00025AA4" w:rsidRPr="0082402D" w:rsidRDefault="00025AA4" w:rsidP="00025AA4">
      <w:pPr>
        <w:pStyle w:val="BTEMEASMCA"/>
        <w:rPr>
          <w:color w:val="auto"/>
        </w:rPr>
      </w:pPr>
    </w:p>
    <w:p w14:paraId="2DCD7E4A" w14:textId="77777777" w:rsidR="00025AA4" w:rsidRPr="0082402D" w:rsidRDefault="00025AA4" w:rsidP="00025AA4">
      <w:pPr>
        <w:pStyle w:val="BTEMEASMCA"/>
        <w:rPr>
          <w:i/>
          <w:color w:val="auto"/>
        </w:rPr>
      </w:pPr>
      <w:r w:rsidRPr="0082402D">
        <w:rPr>
          <w:i/>
          <w:color w:val="auto"/>
        </w:rPr>
        <w:t>Odos reakcijos</w:t>
      </w:r>
    </w:p>
    <w:p w14:paraId="3F72A3B1" w14:textId="77777777" w:rsidR="00025AA4" w:rsidRDefault="00025AA4" w:rsidP="00025AA4">
      <w:pPr>
        <w:pStyle w:val="BTEMEASMCA"/>
        <w:rPr>
          <w:color w:val="auto"/>
        </w:rPr>
      </w:pPr>
      <w:r w:rsidRPr="0082402D">
        <w:rPr>
          <w:color w:val="auto"/>
        </w:rPr>
        <w:t>Labai retai pranešta apie vartojant NVNU pasitaikančias sunkias odos reakcijos, pasireiškiančias paraudimu ir pūslių susidarymu. Kai kurios reakcijos mirtinos (eksfoliacinis dermatitas, Stivenso-Džonsono [</w:t>
      </w:r>
      <w:r w:rsidRPr="0082402D">
        <w:rPr>
          <w:i/>
          <w:color w:val="auto"/>
        </w:rPr>
        <w:t>Stevens-Johnson</w:t>
      </w:r>
      <w:r w:rsidRPr="0082402D">
        <w:rPr>
          <w:color w:val="auto"/>
        </w:rPr>
        <w:t>] sindromas ir toksinė epidermio nekrolizė arba Lajelio [</w:t>
      </w:r>
      <w:r w:rsidRPr="0082402D">
        <w:rPr>
          <w:i/>
          <w:color w:val="auto"/>
        </w:rPr>
        <w:t>Lyell</w:t>
      </w:r>
      <w:r w:rsidRPr="0082402D">
        <w:rPr>
          <w:color w:val="auto"/>
        </w:rPr>
        <w:t xml:space="preserve">] sindromas) (žr. 4 skyrių). Atrodo, kad pacientams didžiausia rizika gresia gydymo pradžioje, nes dažniausiai reakcijos prasideda per pirmuosius gydymo mėnesius. </w:t>
      </w:r>
    </w:p>
    <w:p w14:paraId="2BFE89BB" w14:textId="77777777" w:rsidR="00025AA4" w:rsidRDefault="00025AA4" w:rsidP="00025AA4">
      <w:pPr>
        <w:pStyle w:val="BTEMEASMCA"/>
        <w:rPr>
          <w:color w:val="auto"/>
        </w:rPr>
      </w:pPr>
    </w:p>
    <w:p w14:paraId="5EF688E6" w14:textId="77777777" w:rsidR="00025AA4" w:rsidRDefault="00025AA4" w:rsidP="00025AA4">
      <w:pPr>
        <w:pStyle w:val="BTEMEASMCA"/>
        <w:rPr>
          <w:color w:val="auto"/>
        </w:rPr>
      </w:pPr>
      <w:r w:rsidRPr="006969FF">
        <w:t>Būtinai pasakykite gydytojui, jei po Dicloberl ar kitų skausmą malšinančių vaistų vartojimo Jums kada nors pasireiškė stiprus odos bėrimas, odos lupimasis,</w:t>
      </w:r>
      <w:r>
        <w:t xml:space="preserve"> ant odos atsirado</w:t>
      </w:r>
      <w:r w:rsidRPr="006969FF">
        <w:t xml:space="preserve"> pūslių ir (arba) opų</w:t>
      </w:r>
      <w:r>
        <w:t xml:space="preserve"> burnos ertmėje</w:t>
      </w:r>
      <w:r w:rsidRPr="006969FF">
        <w:t>.</w:t>
      </w:r>
    </w:p>
    <w:p w14:paraId="32EEC1B6" w14:textId="77777777" w:rsidR="00025AA4" w:rsidRPr="0082402D" w:rsidRDefault="00025AA4" w:rsidP="00025AA4">
      <w:pPr>
        <w:pStyle w:val="BTEMEASMCA"/>
        <w:rPr>
          <w:color w:val="auto"/>
        </w:rPr>
      </w:pPr>
    </w:p>
    <w:p w14:paraId="0C8A3B03" w14:textId="77777777" w:rsidR="00025AA4" w:rsidRPr="0082402D" w:rsidRDefault="00025AA4" w:rsidP="00025AA4">
      <w:pPr>
        <w:pStyle w:val="BTEMEASMCA"/>
        <w:rPr>
          <w:color w:val="auto"/>
        </w:rPr>
      </w:pPr>
      <w:r w:rsidRPr="0082402D">
        <w:rPr>
          <w:color w:val="auto"/>
        </w:rPr>
        <w:t xml:space="preserve">Atsiradus pirmiems odos išbėrimo, gleivinių (pvz., burnos ar nosies gleivinės) pažeidimo simptomams ar kitiems padidėjusio jautrumo reakcijų požymiams, nedelsiant reikia nutraukti Dicloberl vartojimą ir pasitarti su gydytoju. </w:t>
      </w:r>
    </w:p>
    <w:p w14:paraId="2E06980A" w14:textId="77777777" w:rsidR="00025AA4" w:rsidRPr="0082402D" w:rsidRDefault="00025AA4" w:rsidP="00025AA4">
      <w:pPr>
        <w:pStyle w:val="BTEMEASMCA"/>
        <w:rPr>
          <w:color w:val="auto"/>
        </w:rPr>
      </w:pPr>
    </w:p>
    <w:p w14:paraId="4E038914" w14:textId="77777777" w:rsidR="00025AA4" w:rsidRPr="0082402D" w:rsidRDefault="00025AA4" w:rsidP="00025AA4">
      <w:pPr>
        <w:pStyle w:val="BTEMEASMCA"/>
        <w:rPr>
          <w:i/>
          <w:color w:val="auto"/>
        </w:rPr>
      </w:pPr>
      <w:r w:rsidRPr="0082402D">
        <w:rPr>
          <w:i/>
          <w:color w:val="auto"/>
        </w:rPr>
        <w:t>Poveikis kepenų funkcijai</w:t>
      </w:r>
    </w:p>
    <w:p w14:paraId="78AEAF1C" w14:textId="77777777" w:rsidR="00025AA4" w:rsidRPr="0082402D" w:rsidRDefault="00025AA4" w:rsidP="00025AA4">
      <w:r w:rsidRPr="0082402D">
        <w:t xml:space="preserve">Pacientai, kuriems nustatyti kepenų funkcijos sutrikimai, prieš pradedant vartoti vaisto turi laikytis atsargumo (pasitarti su gydytoju arba vaistininku), nes </w:t>
      </w:r>
      <w:proofErr w:type="spellStart"/>
      <w:r w:rsidRPr="0082402D">
        <w:t>diklofenako</w:t>
      </w:r>
      <w:proofErr w:type="spellEnd"/>
      <w:r w:rsidRPr="0082402D">
        <w:t xml:space="preserve"> vartojimas gali pabloginti sveikatos būklę. </w:t>
      </w:r>
      <w:proofErr w:type="spellStart"/>
      <w:r w:rsidRPr="0082402D">
        <w:t>Diklofenako</w:t>
      </w:r>
      <w:proofErr w:type="spellEnd"/>
      <w:r w:rsidRPr="0082402D">
        <w:t xml:space="preserve">, kaip ir kitų NVNU, vartojimo atvejais gali padidėti kepenų fermentų aktyvumo rodmenys. Jeigu </w:t>
      </w:r>
      <w:proofErr w:type="spellStart"/>
      <w:r w:rsidRPr="0082402D">
        <w:t>diklofenakas</w:t>
      </w:r>
      <w:proofErr w:type="spellEnd"/>
      <w:r w:rsidRPr="0082402D">
        <w:t xml:space="preserve"> vartojamas ilgai arba kartotinai, dėl atsargumo tinka reguliariai tirti kepenų funkciją. Jeigu atsiranda kepenų veiklos sutrikimo simptomų, </w:t>
      </w:r>
      <w:proofErr w:type="spellStart"/>
      <w:r w:rsidRPr="0082402D">
        <w:t>Dicloberl</w:t>
      </w:r>
      <w:proofErr w:type="spellEnd"/>
      <w:r w:rsidRPr="0082402D">
        <w:t xml:space="preserve"> vartojimą reikia nedelsiant nutraukti.</w:t>
      </w:r>
    </w:p>
    <w:p w14:paraId="6080C61F" w14:textId="77777777" w:rsidR="00025AA4" w:rsidRPr="0082402D" w:rsidRDefault="00025AA4" w:rsidP="00025AA4">
      <w:pPr>
        <w:pStyle w:val="BTEMEASMCA"/>
        <w:rPr>
          <w:color w:val="auto"/>
        </w:rPr>
      </w:pPr>
      <w:r w:rsidRPr="0082402D">
        <w:rPr>
          <w:color w:val="auto"/>
        </w:rPr>
        <w:t>Vartojant diklofenako be jokių išankstinių simptomų gali pasireikšti hepatito požymiai. Kepenų porfirija (liga, kurios metu sutrinka kraujodara) sergantys pacientai vartojant Dicloberl turi laikytis atsargumo, nes galimas ligos paūmėjimas.</w:t>
      </w:r>
    </w:p>
    <w:p w14:paraId="473D8454" w14:textId="77777777" w:rsidR="00025AA4" w:rsidRPr="0082402D" w:rsidRDefault="00025AA4" w:rsidP="00025AA4">
      <w:pPr>
        <w:pStyle w:val="BTEMEASMCA"/>
        <w:rPr>
          <w:color w:val="auto"/>
        </w:rPr>
      </w:pPr>
    </w:p>
    <w:p w14:paraId="1E0A6807" w14:textId="77777777" w:rsidR="00025AA4" w:rsidRPr="0082402D" w:rsidRDefault="00025AA4" w:rsidP="00025AA4">
      <w:pPr>
        <w:pStyle w:val="BTEMEASMCA"/>
        <w:rPr>
          <w:i/>
          <w:color w:val="auto"/>
        </w:rPr>
      </w:pPr>
      <w:r w:rsidRPr="0082402D">
        <w:rPr>
          <w:i/>
          <w:color w:val="auto"/>
        </w:rPr>
        <w:t>Poveikis inkstų funkcijai</w:t>
      </w:r>
    </w:p>
    <w:p w14:paraId="1045A266" w14:textId="77777777" w:rsidR="00025AA4" w:rsidRPr="0082402D" w:rsidRDefault="00025AA4" w:rsidP="00025AA4">
      <w:pPr>
        <w:pStyle w:val="BTEMEASMCA"/>
        <w:rPr>
          <w:color w:val="auto"/>
        </w:rPr>
      </w:pPr>
      <w:r w:rsidRPr="0082402D">
        <w:rPr>
          <w:color w:val="auto"/>
        </w:rPr>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operacijas arba po jų, organizme gali susikaupti didelis skysčių kiekis. Tokiais atvejais vartojant diklofenako reikia laikytis atsargumo. Sugrįžus iki gydymo pradžios buvusiai būklei, vaisto vartojimą dažniausiai reikia užbaigti.</w:t>
      </w:r>
    </w:p>
    <w:p w14:paraId="5A73CBF7" w14:textId="77777777" w:rsidR="00025AA4" w:rsidRPr="0082402D" w:rsidRDefault="00025AA4" w:rsidP="00025AA4">
      <w:pPr>
        <w:pStyle w:val="BTEMEASMCA"/>
        <w:rPr>
          <w:color w:val="auto"/>
        </w:rPr>
      </w:pPr>
    </w:p>
    <w:p w14:paraId="2764A351" w14:textId="77777777" w:rsidR="00025AA4" w:rsidRPr="0082402D" w:rsidRDefault="00025AA4" w:rsidP="00025AA4">
      <w:pPr>
        <w:pStyle w:val="BTEMEASMCA"/>
        <w:rPr>
          <w:i/>
          <w:color w:val="auto"/>
        </w:rPr>
      </w:pPr>
      <w:r w:rsidRPr="0082402D">
        <w:rPr>
          <w:i/>
          <w:color w:val="auto"/>
        </w:rPr>
        <w:t>Kitos pastabos</w:t>
      </w:r>
    </w:p>
    <w:p w14:paraId="5ADA1312" w14:textId="77777777" w:rsidR="00025AA4" w:rsidRPr="0082402D" w:rsidRDefault="00025AA4" w:rsidP="00025AA4">
      <w:pPr>
        <w:pStyle w:val="BTEMEASMCA"/>
        <w:rPr>
          <w:color w:val="auto"/>
        </w:rPr>
      </w:pPr>
      <w:r w:rsidRPr="0082402D">
        <w:rPr>
          <w:color w:val="auto"/>
        </w:rPr>
        <w:t>Vartojant Dicloberl jūsų gydytojas nuspręs ar jo vartojimo nauda viršija galimą riziką, jei:</w:t>
      </w:r>
    </w:p>
    <w:p w14:paraId="7B1A7FAA" w14:textId="77777777" w:rsidR="00025AA4" w:rsidRPr="0082402D" w:rsidRDefault="00025AA4" w:rsidP="00025AA4">
      <w:pPr>
        <w:pStyle w:val="BT-EMEASMCA"/>
        <w:numPr>
          <w:ilvl w:val="0"/>
          <w:numId w:val="1"/>
        </w:numPr>
        <w:tabs>
          <w:tab w:val="num" w:pos="567"/>
        </w:tabs>
        <w:ind w:left="567" w:hanging="567"/>
      </w:pPr>
      <w:r w:rsidRPr="0082402D">
        <w:t xml:space="preserve">jums nustatyti kai kurie įgimti </w:t>
      </w:r>
      <w:proofErr w:type="spellStart"/>
      <w:r w:rsidRPr="0082402D">
        <w:t>kraujodaros</w:t>
      </w:r>
      <w:proofErr w:type="spellEnd"/>
      <w:r w:rsidRPr="0082402D">
        <w:t xml:space="preserve"> sutrikimai (pvz., sergate ūmine </w:t>
      </w:r>
      <w:proofErr w:type="spellStart"/>
      <w:r w:rsidRPr="0082402D">
        <w:t>intermituojančia</w:t>
      </w:r>
      <w:proofErr w:type="spellEnd"/>
      <w:r w:rsidRPr="0082402D">
        <w:t xml:space="preserve"> </w:t>
      </w:r>
      <w:proofErr w:type="spellStart"/>
      <w:r w:rsidRPr="0082402D">
        <w:t>porfirija</w:t>
      </w:r>
      <w:proofErr w:type="spellEnd"/>
      <w:r w:rsidRPr="0082402D">
        <w:t>);</w:t>
      </w:r>
    </w:p>
    <w:p w14:paraId="42A08CB3" w14:textId="77777777" w:rsidR="00025AA4" w:rsidRPr="0082402D" w:rsidRDefault="00025AA4" w:rsidP="00025AA4">
      <w:pPr>
        <w:pStyle w:val="BT-EMEASMCA"/>
        <w:numPr>
          <w:ilvl w:val="0"/>
          <w:numId w:val="1"/>
        </w:numPr>
        <w:tabs>
          <w:tab w:val="num" w:pos="567"/>
        </w:tabs>
        <w:ind w:left="567" w:hanging="567"/>
      </w:pPr>
      <w:r w:rsidRPr="0082402D">
        <w:t>sergate kai kuriomis autoimuninėmis ligomis (sistemine raudonąja vilklige ir mišria jungiamojo audinio liga).</w:t>
      </w:r>
    </w:p>
    <w:p w14:paraId="24429741" w14:textId="77777777" w:rsidR="00025AA4" w:rsidRPr="0082402D" w:rsidRDefault="00025AA4" w:rsidP="00025AA4">
      <w:pPr>
        <w:pStyle w:val="BTEMEASMCA"/>
        <w:rPr>
          <w:color w:val="auto"/>
        </w:rPr>
      </w:pPr>
    </w:p>
    <w:p w14:paraId="29B1657E" w14:textId="77777777" w:rsidR="00025AA4" w:rsidRPr="0082402D" w:rsidRDefault="00025AA4" w:rsidP="00025AA4">
      <w:pPr>
        <w:pStyle w:val="BTEMEASMCA"/>
        <w:rPr>
          <w:color w:val="auto"/>
        </w:rPr>
      </w:pPr>
      <w:r w:rsidRPr="0082402D">
        <w:rPr>
          <w:color w:val="auto"/>
        </w:rPr>
        <w:t>Ypač atidi gydytojo priežiūra bus taikoma:</w:t>
      </w:r>
    </w:p>
    <w:p w14:paraId="158F5430" w14:textId="77777777" w:rsidR="00025AA4" w:rsidRPr="0082402D" w:rsidRDefault="00025AA4" w:rsidP="00025AA4">
      <w:pPr>
        <w:pStyle w:val="BT-EMEASMCA"/>
        <w:numPr>
          <w:ilvl w:val="0"/>
          <w:numId w:val="1"/>
        </w:numPr>
        <w:tabs>
          <w:tab w:val="num" w:pos="567"/>
        </w:tabs>
        <w:ind w:left="567" w:hanging="567"/>
      </w:pPr>
      <w:r w:rsidRPr="0082402D">
        <w:t xml:space="preserve">esant alergijai (pvz., jei </w:t>
      </w:r>
      <w:proofErr w:type="spellStart"/>
      <w:r w:rsidRPr="0082402D">
        <w:t>esti</w:t>
      </w:r>
      <w:proofErr w:type="spellEnd"/>
      <w:r w:rsidRPr="0082402D">
        <w:t xml:space="preserve"> odos reakcijų kitų vaistų vartojimo metu, sergate astma, šienlige), esant lėtiniam nosies gleivinės paburkimui ar sergant lėtinėmis kvėpavimo takų ligomis, </w:t>
      </w:r>
      <w:r w:rsidRPr="0082402D">
        <w:lastRenderedPageBreak/>
        <w:t>siaurinančiomis kvėpavimo takus arba lėtinėmis kvėpavimo takų infekcinėmis ligomis, nes didesnė alerginių reakcijų rizika.</w:t>
      </w:r>
    </w:p>
    <w:p w14:paraId="369D7EDE" w14:textId="77777777" w:rsidR="00025AA4" w:rsidRPr="0082402D" w:rsidRDefault="00025AA4" w:rsidP="00025AA4">
      <w:pPr>
        <w:pStyle w:val="BT-EMEASMCA"/>
        <w:numPr>
          <w:ilvl w:val="0"/>
          <w:numId w:val="0"/>
        </w:numPr>
        <w:tabs>
          <w:tab w:val="num" w:pos="1470"/>
        </w:tabs>
      </w:pPr>
      <w:r w:rsidRPr="0082402D">
        <w:t xml:space="preserve">Sunkios ūminės padidėjusio jautrumo reakcijos (pvz., anafilaksinis šokas) pasitaikė labai retai. Atsiradus pirmiems padidėjusio jautrumo reakcijos požymiams pavartojus </w:t>
      </w:r>
      <w:proofErr w:type="spellStart"/>
      <w:r w:rsidRPr="0082402D">
        <w:t>Dicloberl</w:t>
      </w:r>
      <w:proofErr w:type="spellEnd"/>
      <w:r w:rsidRPr="0082402D">
        <w:t>, gydymą juo reikia nutraukti. Medicinos specialistai turi pradėti taikyti simptomus atitinkančias reikalingas priemones.</w:t>
      </w:r>
      <w:r w:rsidRPr="0082402D" w:rsidDel="00E24096">
        <w:t xml:space="preserve"> </w:t>
      </w:r>
    </w:p>
    <w:p w14:paraId="5318E4C9" w14:textId="77777777" w:rsidR="00025AA4" w:rsidRPr="0082402D" w:rsidRDefault="00025AA4" w:rsidP="00025AA4">
      <w:pPr>
        <w:rPr>
          <w:rFonts w:eastAsia="Times New Roman"/>
        </w:rPr>
      </w:pPr>
      <w:proofErr w:type="spellStart"/>
      <w:r w:rsidRPr="0082402D">
        <w:rPr>
          <w:rFonts w:eastAsia="Times New Roman"/>
        </w:rPr>
        <w:t>Diklofenakas</w:t>
      </w:r>
      <w:proofErr w:type="spellEnd"/>
      <w:r w:rsidRPr="0082402D">
        <w:rPr>
          <w:rFonts w:eastAsia="Times New Roman"/>
        </w:rPr>
        <w:t xml:space="preserve"> gali laikinai slopinti trombocitų </w:t>
      </w:r>
      <w:proofErr w:type="spellStart"/>
      <w:r w:rsidRPr="0082402D">
        <w:rPr>
          <w:rFonts w:eastAsia="Times New Roman"/>
        </w:rPr>
        <w:t>agregaciją</w:t>
      </w:r>
      <w:proofErr w:type="spellEnd"/>
      <w:r w:rsidRPr="0082402D">
        <w:rPr>
          <w:rFonts w:eastAsia="Times New Roman"/>
        </w:rPr>
        <w:t>. Pacientus, sergančius kraujo krešėjimo sutrikimo liga, dėl to reikia atidžiai stebėti.</w:t>
      </w:r>
    </w:p>
    <w:p w14:paraId="7D0DE090" w14:textId="77777777" w:rsidR="00025AA4" w:rsidRPr="0082402D" w:rsidRDefault="00025AA4" w:rsidP="00025AA4">
      <w:pPr>
        <w:pStyle w:val="BT-EMEASMCA"/>
        <w:numPr>
          <w:ilvl w:val="0"/>
          <w:numId w:val="0"/>
        </w:numPr>
        <w:tabs>
          <w:tab w:val="num" w:pos="1470"/>
        </w:tabs>
      </w:pPr>
    </w:p>
    <w:p w14:paraId="186CE395" w14:textId="77777777" w:rsidR="00025AA4" w:rsidRPr="0082402D" w:rsidRDefault="00025AA4" w:rsidP="00025AA4">
      <w:pPr>
        <w:pStyle w:val="BT-EMEASMCA"/>
        <w:numPr>
          <w:ilvl w:val="0"/>
          <w:numId w:val="0"/>
        </w:numPr>
        <w:tabs>
          <w:tab w:val="num" w:pos="1470"/>
        </w:tabs>
      </w:pPr>
      <w:r w:rsidRPr="0082402D">
        <w:t xml:space="preserve">Kaip ir kiti NVNU, </w:t>
      </w:r>
      <w:proofErr w:type="spellStart"/>
      <w:r w:rsidRPr="0082402D">
        <w:t>diklofenakas</w:t>
      </w:r>
      <w:proofErr w:type="spellEnd"/>
      <w:r w:rsidRPr="0082402D">
        <w:t xml:space="preserve"> gali paslėpti infekcijos požymius ir simptomus. Atsiradus infekcijos požymiams (pvz., paraudimui, patinimui, perkaitimui, skausmui arba karščiavimui) arba jiems blogėjant </w:t>
      </w:r>
      <w:proofErr w:type="spellStart"/>
      <w:r w:rsidRPr="0082402D">
        <w:t>Dicloberl</w:t>
      </w:r>
      <w:proofErr w:type="spellEnd"/>
      <w:r w:rsidRPr="0082402D">
        <w:t xml:space="preserve"> vartojimo metu, nedelsiant kreipkitės į gydytoją.</w:t>
      </w:r>
    </w:p>
    <w:p w14:paraId="24639AEE" w14:textId="77777777" w:rsidR="00025AA4" w:rsidRPr="0082402D" w:rsidRDefault="00025AA4" w:rsidP="00025AA4">
      <w:pPr>
        <w:rPr>
          <w:rFonts w:eastAsia="Times New Roman"/>
        </w:rPr>
      </w:pPr>
    </w:p>
    <w:p w14:paraId="1C3B6119" w14:textId="77777777" w:rsidR="00025AA4" w:rsidRPr="0082402D" w:rsidRDefault="00025AA4" w:rsidP="00025AA4">
      <w:pPr>
        <w:rPr>
          <w:rFonts w:eastAsia="Times New Roman"/>
        </w:rPr>
      </w:pPr>
      <w:r w:rsidRPr="0082402D">
        <w:rPr>
          <w:rFonts w:eastAsia="Times New Roman"/>
        </w:rPr>
        <w:t>Jeigu tuo pačiu metu vartojate vaistus, slopinančius kraujo krešėjimą ar mažinančius cukraus kiekį, atsargumo dėlei reikia tikrinti kraujo krešėjimą ir cukraus kiekį kraujyje.</w:t>
      </w:r>
    </w:p>
    <w:p w14:paraId="2D08BE3F" w14:textId="77777777" w:rsidR="00025AA4" w:rsidRPr="0082402D" w:rsidRDefault="00025AA4" w:rsidP="00025AA4">
      <w:pPr>
        <w:rPr>
          <w:rFonts w:eastAsia="Times New Roman"/>
        </w:rPr>
      </w:pPr>
    </w:p>
    <w:p w14:paraId="43773946" w14:textId="77777777" w:rsidR="00025AA4" w:rsidRPr="0082402D" w:rsidRDefault="00025AA4" w:rsidP="00025AA4">
      <w:pPr>
        <w:rPr>
          <w:rFonts w:eastAsia="Times New Roman"/>
        </w:rPr>
      </w:pPr>
      <w:r w:rsidRPr="0082402D">
        <w:rPr>
          <w:rFonts w:eastAsia="Times New Roman"/>
        </w:rPr>
        <w:t xml:space="preserve">Ilgiau vartojant </w:t>
      </w:r>
      <w:proofErr w:type="spellStart"/>
      <w:r w:rsidRPr="0082402D">
        <w:rPr>
          <w:rFonts w:eastAsia="Times New Roman"/>
        </w:rPr>
        <w:t>Dicloberl</w:t>
      </w:r>
      <w:proofErr w:type="spellEnd"/>
      <w:r w:rsidRPr="0082402D">
        <w:rPr>
          <w:rFonts w:eastAsia="Times New Roman"/>
        </w:rPr>
        <w:t xml:space="preserve"> reikia reguliariai tikrinti kepenų ir inkstų funkciją bei atlikti bendro kraujo tyrimą.</w:t>
      </w:r>
    </w:p>
    <w:p w14:paraId="4FDD09B8" w14:textId="77777777" w:rsidR="00025AA4" w:rsidRPr="0082402D" w:rsidRDefault="00025AA4" w:rsidP="00025AA4">
      <w:pPr>
        <w:rPr>
          <w:rFonts w:eastAsia="Times New Roman"/>
        </w:rPr>
      </w:pPr>
    </w:p>
    <w:p w14:paraId="6DCAC922" w14:textId="77777777" w:rsidR="00025AA4" w:rsidRPr="0082402D" w:rsidRDefault="00025AA4" w:rsidP="00025AA4">
      <w:pPr>
        <w:rPr>
          <w:rFonts w:eastAsia="Times New Roman"/>
        </w:rPr>
      </w:pPr>
      <w:r w:rsidRPr="0082402D">
        <w:rPr>
          <w:rFonts w:eastAsia="Times New Roman"/>
        </w:rPr>
        <w:t xml:space="preserve">Pasakykite gydytojui arba odontologui prieš chirurgines procedūras, kad vartojate </w:t>
      </w:r>
      <w:proofErr w:type="spellStart"/>
      <w:r w:rsidRPr="0082402D">
        <w:rPr>
          <w:rFonts w:eastAsia="Times New Roman"/>
        </w:rPr>
        <w:t>Dicloberl</w:t>
      </w:r>
      <w:proofErr w:type="spellEnd"/>
      <w:r w:rsidRPr="0082402D">
        <w:rPr>
          <w:rFonts w:eastAsia="Times New Roman"/>
        </w:rPr>
        <w:t>.</w:t>
      </w:r>
    </w:p>
    <w:p w14:paraId="17930FC5" w14:textId="77777777" w:rsidR="00025AA4" w:rsidRPr="0082402D" w:rsidRDefault="00025AA4" w:rsidP="00025AA4">
      <w:pPr>
        <w:pStyle w:val="BT-EMEASMCA"/>
        <w:numPr>
          <w:ilvl w:val="0"/>
          <w:numId w:val="0"/>
        </w:numPr>
        <w:tabs>
          <w:tab w:val="num" w:pos="1470"/>
        </w:tabs>
      </w:pPr>
    </w:p>
    <w:p w14:paraId="7FD0BA20" w14:textId="77777777" w:rsidR="00025AA4" w:rsidRPr="0082402D" w:rsidRDefault="00025AA4" w:rsidP="00025AA4">
      <w:pPr>
        <w:pStyle w:val="BT-EMEASMCA"/>
        <w:numPr>
          <w:ilvl w:val="0"/>
          <w:numId w:val="0"/>
        </w:numPr>
        <w:tabs>
          <w:tab w:val="num" w:pos="1470"/>
        </w:tabs>
      </w:pPr>
      <w:r w:rsidRPr="0082402D">
        <w:t xml:space="preserve">Jei ilgą laiką vartojote tokių analgetikų, gali atsirasti galvos skausmas, kurio negalima malšinti didinant vaisto dozę. Pasitarkite su gydytoju, jei, nepaisant </w:t>
      </w:r>
      <w:proofErr w:type="spellStart"/>
      <w:r w:rsidRPr="0082402D">
        <w:t>Dicloberl</w:t>
      </w:r>
      <w:proofErr w:type="spellEnd"/>
      <w:r w:rsidRPr="0082402D">
        <w:t xml:space="preserve"> vartojimo, jums dažnai skauda galvą.</w:t>
      </w:r>
    </w:p>
    <w:p w14:paraId="05815B5C" w14:textId="77777777" w:rsidR="00025AA4" w:rsidRPr="0082402D" w:rsidRDefault="00025AA4" w:rsidP="00025AA4">
      <w:pPr>
        <w:pStyle w:val="BT-EMEASMCA"/>
        <w:numPr>
          <w:ilvl w:val="0"/>
          <w:numId w:val="0"/>
        </w:numPr>
        <w:tabs>
          <w:tab w:val="num" w:pos="1470"/>
        </w:tabs>
      </w:pPr>
    </w:p>
    <w:p w14:paraId="4E9A841B" w14:textId="77777777" w:rsidR="00025AA4" w:rsidRPr="0082402D" w:rsidRDefault="00025AA4" w:rsidP="00025AA4">
      <w:pPr>
        <w:pStyle w:val="BT-EMEASMCA"/>
        <w:numPr>
          <w:ilvl w:val="0"/>
          <w:numId w:val="0"/>
        </w:numPr>
        <w:tabs>
          <w:tab w:val="num" w:pos="1470"/>
        </w:tabs>
      </w:pPr>
      <w:r w:rsidRPr="0082402D">
        <w:t xml:space="preserve">Paprastai kalbant, jei jūs įpratote vartoti skausmą malšinančius vaistus, ypač kelių veikliųjų skausmą malšinančių medžiagų derinius, galimas negrįžtamas inkstų pažeidimas ir yra inkstų nepakankamumo išsivystymo rizika (analgetikų sukelta </w:t>
      </w:r>
      <w:proofErr w:type="spellStart"/>
      <w:r w:rsidRPr="0082402D">
        <w:t>nefropatija</w:t>
      </w:r>
      <w:proofErr w:type="spellEnd"/>
      <w:r w:rsidRPr="0082402D">
        <w:t>).</w:t>
      </w:r>
    </w:p>
    <w:p w14:paraId="18CAD5AE" w14:textId="77777777" w:rsidR="00025AA4" w:rsidRPr="0082402D" w:rsidRDefault="00025AA4" w:rsidP="00025AA4">
      <w:pPr>
        <w:pStyle w:val="BT-EMEASMCA"/>
        <w:numPr>
          <w:ilvl w:val="0"/>
          <w:numId w:val="0"/>
        </w:numPr>
        <w:tabs>
          <w:tab w:val="num" w:pos="1470"/>
        </w:tabs>
      </w:pPr>
    </w:p>
    <w:p w14:paraId="38742DD5" w14:textId="77777777" w:rsidR="00025AA4" w:rsidRPr="0082402D" w:rsidRDefault="00025AA4" w:rsidP="00025AA4">
      <w:pPr>
        <w:pStyle w:val="PI-3EMEASMCA"/>
        <w:ind w:left="0" w:firstLine="0"/>
        <w:rPr>
          <w:b w:val="0"/>
        </w:rPr>
      </w:pPr>
      <w:r w:rsidRPr="0082402D">
        <w:rPr>
          <w:b w:val="0"/>
        </w:rPr>
        <w:t>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Šie virškinimo trakto sutrikimai senyviems pacientams dažniausiai sukelia sunkesnes pasekmes ir dažniau gali sukelti mirtį.</w:t>
      </w:r>
    </w:p>
    <w:p w14:paraId="5C0F1201" w14:textId="77777777" w:rsidR="00025AA4" w:rsidRPr="0082402D" w:rsidRDefault="00025AA4" w:rsidP="00025AA4">
      <w:pPr>
        <w:pStyle w:val="BTEMEASMCA"/>
        <w:rPr>
          <w:color w:val="auto"/>
        </w:rPr>
      </w:pPr>
    </w:p>
    <w:p w14:paraId="49329118" w14:textId="77777777" w:rsidR="00025AA4" w:rsidRPr="000B008A" w:rsidRDefault="00025AA4" w:rsidP="00025AA4">
      <w:pPr>
        <w:pStyle w:val="BTEMEASMCA"/>
        <w:rPr>
          <w:b/>
          <w:bCs/>
          <w:iCs/>
          <w:color w:val="auto"/>
        </w:rPr>
      </w:pPr>
      <w:r w:rsidRPr="000B008A">
        <w:rPr>
          <w:b/>
          <w:bCs/>
          <w:iCs/>
          <w:color w:val="auto"/>
        </w:rPr>
        <w:t>Vaikams ir paaugliams</w:t>
      </w:r>
    </w:p>
    <w:p w14:paraId="33F532AA" w14:textId="77777777" w:rsidR="00025AA4" w:rsidRPr="0082402D" w:rsidRDefault="00025AA4" w:rsidP="00025AA4">
      <w:pPr>
        <w:pStyle w:val="Pagrindinistekstas2"/>
        <w:rPr>
          <w:i/>
          <w:sz w:val="22"/>
          <w:lang w:val="lt-LT"/>
        </w:rPr>
      </w:pPr>
      <w:r w:rsidRPr="0082402D">
        <w:rPr>
          <w:sz w:val="22"/>
          <w:lang w:val="lt-LT"/>
        </w:rPr>
        <w:t xml:space="preserve">Jaunesniems kaip 18 metų vaikams ir paaugliams </w:t>
      </w:r>
      <w:proofErr w:type="spellStart"/>
      <w:r w:rsidRPr="0082402D">
        <w:rPr>
          <w:sz w:val="22"/>
          <w:lang w:val="lt-LT"/>
        </w:rPr>
        <w:t>Dicloberl</w:t>
      </w:r>
      <w:proofErr w:type="spellEnd"/>
      <w:r w:rsidRPr="0082402D">
        <w:rPr>
          <w:sz w:val="22"/>
          <w:lang w:val="lt-LT"/>
        </w:rPr>
        <w:t xml:space="preserve"> vartoti ne</w:t>
      </w:r>
      <w:r w:rsidRPr="0082402D">
        <w:rPr>
          <w:sz w:val="22"/>
          <w:szCs w:val="22"/>
          <w:lang w:val="lt-LT"/>
        </w:rPr>
        <w:t>galima</w:t>
      </w:r>
      <w:r w:rsidRPr="0082402D">
        <w:rPr>
          <w:rFonts w:eastAsia="Times New Roman"/>
          <w:sz w:val="22"/>
          <w:szCs w:val="22"/>
          <w:lang w:val="lt-LT"/>
        </w:rPr>
        <w:t xml:space="preserve"> </w:t>
      </w:r>
      <w:r w:rsidRPr="0082402D">
        <w:rPr>
          <w:sz w:val="22"/>
          <w:lang w:val="lt-LT"/>
        </w:rPr>
        <w:t>(žr. 2 skyri</w:t>
      </w:r>
      <w:r w:rsidRPr="0082402D">
        <w:rPr>
          <w:rFonts w:eastAsia="Times New Roman"/>
          <w:sz w:val="22"/>
          <w:szCs w:val="22"/>
          <w:lang w:val="lt-LT"/>
        </w:rPr>
        <w:t>uje poskyrį</w:t>
      </w:r>
      <w:r w:rsidRPr="0082402D">
        <w:rPr>
          <w:sz w:val="22"/>
          <w:lang w:val="lt-LT"/>
        </w:rPr>
        <w:t xml:space="preserve"> „</w:t>
      </w:r>
      <w:proofErr w:type="spellStart"/>
      <w:r w:rsidRPr="0082402D">
        <w:rPr>
          <w:sz w:val="22"/>
          <w:lang w:val="lt-LT"/>
        </w:rPr>
        <w:t>Dicloberl</w:t>
      </w:r>
      <w:proofErr w:type="spellEnd"/>
      <w:r w:rsidRPr="0082402D">
        <w:rPr>
          <w:sz w:val="22"/>
          <w:lang w:val="lt-LT"/>
        </w:rPr>
        <w:t xml:space="preserve"> vartoti negalima“).</w:t>
      </w:r>
    </w:p>
    <w:p w14:paraId="60A581A4" w14:textId="77777777" w:rsidR="00025AA4" w:rsidRPr="0082402D" w:rsidRDefault="00025AA4" w:rsidP="00025AA4">
      <w:pPr>
        <w:pStyle w:val="PI-3EMEASMCA"/>
      </w:pPr>
    </w:p>
    <w:p w14:paraId="486B6145" w14:textId="77777777" w:rsidR="00025AA4" w:rsidRPr="0082402D" w:rsidRDefault="00025AA4" w:rsidP="00025AA4">
      <w:pPr>
        <w:pStyle w:val="PI-3EMEASMCA"/>
      </w:pPr>
      <w:r w:rsidRPr="0082402D">
        <w:t xml:space="preserve">Kiti vaistai ir </w:t>
      </w:r>
      <w:proofErr w:type="spellStart"/>
      <w:r w:rsidRPr="0082402D">
        <w:t>Dicloberl</w:t>
      </w:r>
      <w:proofErr w:type="spellEnd"/>
    </w:p>
    <w:p w14:paraId="5A7F7519" w14:textId="77777777" w:rsidR="00025AA4" w:rsidRPr="0082402D" w:rsidRDefault="00025AA4" w:rsidP="00025AA4">
      <w:pPr>
        <w:tabs>
          <w:tab w:val="left" w:pos="567"/>
        </w:tabs>
        <w:rPr>
          <w:rFonts w:eastAsia="Times New Roman"/>
        </w:rPr>
      </w:pPr>
      <w:r w:rsidRPr="0082402D">
        <w:t xml:space="preserve">Jeigu vartojate arba neseniai vartojote kitų vaistų </w:t>
      </w:r>
      <w:r w:rsidRPr="0082402D">
        <w:rPr>
          <w:noProof/>
          <w:szCs w:val="24"/>
        </w:rPr>
        <w:t>arba dėl to nesate tikri</w:t>
      </w:r>
      <w:r w:rsidRPr="0082402D">
        <w:t xml:space="preserve"> pasakykite gydytojui arba vaistininkui. </w:t>
      </w:r>
      <w:r w:rsidRPr="0082402D">
        <w:rPr>
          <w:rFonts w:eastAsia="Times New Roman"/>
        </w:rPr>
        <w:t>Labai svarbu pasakyti gydytojui, jeigu Jūs vartojate bet kurio iš šių vaistų:</w:t>
      </w:r>
    </w:p>
    <w:p w14:paraId="66BC2289"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 xml:space="preserve">kiti vaistai nuo skausmo ar uždegimo, pvz., aspirinas ar </w:t>
      </w:r>
      <w:proofErr w:type="spellStart"/>
      <w:r w:rsidRPr="0082402D">
        <w:rPr>
          <w:rFonts w:eastAsia="Times New Roman"/>
        </w:rPr>
        <w:t>ibuprofenas</w:t>
      </w:r>
      <w:proofErr w:type="spellEnd"/>
      <w:r>
        <w:rPr>
          <w:rFonts w:eastAsia="Times New Roman"/>
        </w:rPr>
        <w:t>;</w:t>
      </w:r>
    </w:p>
    <w:p w14:paraId="5A85D588"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vaistai nuo depresijos, pvz. tokie kaip litis</w:t>
      </w:r>
      <w:r>
        <w:rPr>
          <w:rFonts w:eastAsia="Times New Roman"/>
        </w:rPr>
        <w:t>;</w:t>
      </w:r>
    </w:p>
    <w:p w14:paraId="5B5DB498" w14:textId="77777777" w:rsidR="00025AA4" w:rsidRPr="0082402D" w:rsidRDefault="00025AA4" w:rsidP="00025AA4">
      <w:pPr>
        <w:numPr>
          <w:ilvl w:val="0"/>
          <w:numId w:val="15"/>
        </w:numPr>
        <w:tabs>
          <w:tab w:val="left" w:pos="567"/>
        </w:tabs>
        <w:rPr>
          <w:rFonts w:eastAsia="Times New Roman"/>
        </w:rPr>
      </w:pPr>
      <w:proofErr w:type="spellStart"/>
      <w:r w:rsidRPr="0082402D">
        <w:rPr>
          <w:rFonts w:eastAsia="Times New Roman"/>
        </w:rPr>
        <w:t>digoksinas</w:t>
      </w:r>
      <w:proofErr w:type="spellEnd"/>
      <w:r w:rsidRPr="0082402D">
        <w:rPr>
          <w:rFonts w:eastAsia="Times New Roman"/>
        </w:rPr>
        <w:t xml:space="preserve"> (nuo širdies veiklos sutrikimo)</w:t>
      </w:r>
      <w:r>
        <w:rPr>
          <w:rFonts w:eastAsia="Times New Roman"/>
        </w:rPr>
        <w:t>;</w:t>
      </w:r>
    </w:p>
    <w:p w14:paraId="34E62487" w14:textId="77777777" w:rsidR="00025AA4" w:rsidRPr="0082402D" w:rsidRDefault="00025AA4" w:rsidP="00025AA4">
      <w:pPr>
        <w:numPr>
          <w:ilvl w:val="0"/>
          <w:numId w:val="15"/>
        </w:numPr>
        <w:rPr>
          <w:rFonts w:eastAsia="Times New Roman"/>
        </w:rPr>
      </w:pPr>
      <w:proofErr w:type="spellStart"/>
      <w:r w:rsidRPr="0082402D">
        <w:rPr>
          <w:rFonts w:eastAsia="Times New Roman"/>
        </w:rPr>
        <w:t>fenitoinas</w:t>
      </w:r>
      <w:proofErr w:type="spellEnd"/>
      <w:r w:rsidRPr="0082402D">
        <w:rPr>
          <w:rFonts w:eastAsia="Times New Roman"/>
        </w:rPr>
        <w:t xml:space="preserve"> (nuo epilepsijos)</w:t>
      </w:r>
      <w:r>
        <w:rPr>
          <w:rFonts w:eastAsia="Times New Roman"/>
        </w:rPr>
        <w:t>;</w:t>
      </w:r>
    </w:p>
    <w:p w14:paraId="7C142BCD" w14:textId="77777777" w:rsidR="00025AA4" w:rsidRPr="0082402D" w:rsidRDefault="00025AA4" w:rsidP="00025AA4">
      <w:pPr>
        <w:numPr>
          <w:ilvl w:val="0"/>
          <w:numId w:val="15"/>
        </w:numPr>
        <w:rPr>
          <w:rFonts w:eastAsia="Times New Roman"/>
        </w:rPr>
      </w:pPr>
      <w:proofErr w:type="spellStart"/>
      <w:r w:rsidRPr="0082402D">
        <w:rPr>
          <w:rFonts w:eastAsia="Times New Roman"/>
        </w:rPr>
        <w:t>probenecidas</w:t>
      </w:r>
      <w:proofErr w:type="spellEnd"/>
      <w:r w:rsidRPr="0082402D">
        <w:rPr>
          <w:rFonts w:eastAsia="Times New Roman"/>
        </w:rPr>
        <w:t xml:space="preserve">, </w:t>
      </w:r>
      <w:proofErr w:type="spellStart"/>
      <w:r w:rsidRPr="0082402D">
        <w:rPr>
          <w:rFonts w:eastAsia="Times New Roman"/>
        </w:rPr>
        <w:t>sulfinpirazonas</w:t>
      </w:r>
      <w:proofErr w:type="spellEnd"/>
      <w:r w:rsidRPr="0082402D">
        <w:rPr>
          <w:rFonts w:eastAsia="Times New Roman"/>
        </w:rPr>
        <w:t xml:space="preserve"> (nuo podagros)</w:t>
      </w:r>
      <w:r>
        <w:rPr>
          <w:rFonts w:eastAsia="Times New Roman"/>
        </w:rPr>
        <w:t>;</w:t>
      </w:r>
    </w:p>
    <w:p w14:paraId="2CE152BB" w14:textId="77777777" w:rsidR="00025AA4" w:rsidRPr="0082402D" w:rsidRDefault="00025AA4" w:rsidP="00025AA4">
      <w:pPr>
        <w:numPr>
          <w:ilvl w:val="0"/>
          <w:numId w:val="15"/>
        </w:numPr>
        <w:rPr>
          <w:rFonts w:eastAsia="Times New Roman"/>
        </w:rPr>
      </w:pPr>
      <w:proofErr w:type="spellStart"/>
      <w:r w:rsidRPr="0082402D">
        <w:rPr>
          <w:rFonts w:eastAsia="Times New Roman"/>
        </w:rPr>
        <w:t>vorikonazolas</w:t>
      </w:r>
      <w:proofErr w:type="spellEnd"/>
      <w:r w:rsidRPr="0082402D">
        <w:rPr>
          <w:rFonts w:eastAsia="Times New Roman"/>
        </w:rPr>
        <w:t xml:space="preserve"> (grybelių sukeltoms ligoms gydyti)</w:t>
      </w:r>
      <w:r>
        <w:rPr>
          <w:rFonts w:eastAsia="Times New Roman"/>
        </w:rPr>
        <w:t>;</w:t>
      </w:r>
    </w:p>
    <w:p w14:paraId="5B2FA221"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 xml:space="preserve">diuretikai (vaistai, skatinantys šlapimo išskyrimą, taip pat vartojami aukštam kraujospūdžiui reguliuoti), pvz., </w:t>
      </w:r>
      <w:proofErr w:type="spellStart"/>
      <w:r w:rsidRPr="0082402D">
        <w:rPr>
          <w:rFonts w:eastAsia="Times New Roman"/>
        </w:rPr>
        <w:t>hidrochlorotiazidas</w:t>
      </w:r>
      <w:proofErr w:type="spellEnd"/>
      <w:r w:rsidRPr="0082402D">
        <w:rPr>
          <w:rFonts w:eastAsia="Times New Roman"/>
        </w:rPr>
        <w:t xml:space="preserve">, </w:t>
      </w:r>
      <w:proofErr w:type="spellStart"/>
      <w:r w:rsidRPr="0082402D">
        <w:rPr>
          <w:rFonts w:eastAsia="Times New Roman"/>
        </w:rPr>
        <w:t>indapamidas</w:t>
      </w:r>
      <w:proofErr w:type="spellEnd"/>
      <w:r>
        <w:rPr>
          <w:rFonts w:eastAsia="Times New Roman"/>
        </w:rPr>
        <w:t>;</w:t>
      </w:r>
    </w:p>
    <w:p w14:paraId="4D6BAFCB"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vaistai nuo aukšto kraujospūdžio ar širdies nepakankamumo: AKF inhibitoriai (</w:t>
      </w:r>
      <w:proofErr w:type="spellStart"/>
      <w:r w:rsidRPr="0082402D">
        <w:rPr>
          <w:rFonts w:eastAsia="Times New Roman"/>
        </w:rPr>
        <w:t>kaptoprilis</w:t>
      </w:r>
      <w:proofErr w:type="spellEnd"/>
      <w:r w:rsidRPr="0082402D">
        <w:rPr>
          <w:rFonts w:eastAsia="Times New Roman"/>
        </w:rPr>
        <w:t xml:space="preserve">, </w:t>
      </w:r>
      <w:proofErr w:type="spellStart"/>
      <w:r w:rsidRPr="0082402D">
        <w:rPr>
          <w:rFonts w:eastAsia="Times New Roman"/>
        </w:rPr>
        <w:t>enalaprilis</w:t>
      </w:r>
      <w:proofErr w:type="spellEnd"/>
      <w:r w:rsidRPr="0082402D">
        <w:rPr>
          <w:rFonts w:eastAsia="Times New Roman"/>
        </w:rPr>
        <w:t xml:space="preserve">, </w:t>
      </w:r>
      <w:proofErr w:type="spellStart"/>
      <w:r w:rsidRPr="0082402D">
        <w:rPr>
          <w:rFonts w:eastAsia="Times New Roman"/>
        </w:rPr>
        <w:t>perindoprilis</w:t>
      </w:r>
      <w:proofErr w:type="spellEnd"/>
      <w:r w:rsidRPr="0082402D">
        <w:rPr>
          <w:rFonts w:eastAsia="Times New Roman"/>
        </w:rPr>
        <w:t xml:space="preserve">) ar beta </w:t>
      </w:r>
      <w:proofErr w:type="spellStart"/>
      <w:r w:rsidRPr="0082402D">
        <w:rPr>
          <w:rFonts w:eastAsia="Times New Roman"/>
        </w:rPr>
        <w:t>adrenoblokatoriai</w:t>
      </w:r>
      <w:proofErr w:type="spellEnd"/>
      <w:r w:rsidRPr="0082402D">
        <w:rPr>
          <w:rFonts w:eastAsia="Times New Roman"/>
        </w:rPr>
        <w:t xml:space="preserve"> (</w:t>
      </w:r>
      <w:proofErr w:type="spellStart"/>
      <w:r w:rsidRPr="0082402D">
        <w:rPr>
          <w:rFonts w:eastAsia="Times New Roman"/>
        </w:rPr>
        <w:t>karvedilolis</w:t>
      </w:r>
      <w:proofErr w:type="spellEnd"/>
      <w:r w:rsidRPr="0082402D">
        <w:rPr>
          <w:rFonts w:eastAsia="Times New Roman"/>
        </w:rPr>
        <w:t xml:space="preserve">, </w:t>
      </w:r>
      <w:proofErr w:type="spellStart"/>
      <w:r w:rsidRPr="0082402D">
        <w:rPr>
          <w:rFonts w:eastAsia="Times New Roman"/>
        </w:rPr>
        <w:t>nebivololis</w:t>
      </w:r>
      <w:proofErr w:type="spellEnd"/>
      <w:r w:rsidRPr="0082402D">
        <w:rPr>
          <w:rFonts w:eastAsia="Times New Roman"/>
        </w:rPr>
        <w:t xml:space="preserve">, </w:t>
      </w:r>
      <w:proofErr w:type="spellStart"/>
      <w:r w:rsidRPr="0082402D">
        <w:rPr>
          <w:rFonts w:eastAsia="Times New Roman"/>
        </w:rPr>
        <w:t>propanololis</w:t>
      </w:r>
      <w:proofErr w:type="spellEnd"/>
      <w:r w:rsidRPr="0082402D">
        <w:rPr>
          <w:rFonts w:eastAsia="Times New Roman"/>
        </w:rPr>
        <w:t xml:space="preserve">) ir </w:t>
      </w:r>
      <w:r w:rsidRPr="0082402D">
        <w:rPr>
          <w:rFonts w:eastAsia="Times New Roman"/>
          <w:bCs/>
          <w:noProof/>
          <w:lang w:eastAsia="en-US"/>
        </w:rPr>
        <w:t>angiotenzino II antagonistai</w:t>
      </w:r>
      <w:r>
        <w:rPr>
          <w:rFonts w:eastAsia="Times New Roman"/>
        </w:rPr>
        <w:t>;</w:t>
      </w:r>
    </w:p>
    <w:p w14:paraId="3743D67D"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 xml:space="preserve">hormoniniai vaistai nuo uždegimo ir alergijų, vadinami kortikosteroidais (pvz., prednizolonas, </w:t>
      </w:r>
      <w:proofErr w:type="spellStart"/>
      <w:r w:rsidRPr="0082402D">
        <w:rPr>
          <w:rFonts w:eastAsia="Times New Roman"/>
        </w:rPr>
        <w:t>deksametazonas</w:t>
      </w:r>
      <w:proofErr w:type="spellEnd"/>
      <w:r w:rsidRPr="0082402D">
        <w:rPr>
          <w:rFonts w:eastAsia="Times New Roman"/>
        </w:rPr>
        <w:t>)</w:t>
      </w:r>
      <w:r>
        <w:rPr>
          <w:rFonts w:eastAsia="Times New Roman"/>
        </w:rPr>
        <w:t>;</w:t>
      </w:r>
    </w:p>
    <w:p w14:paraId="408847C9"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kraujo krešėjimą mažinantys vaistai (pvz. varfarinas)</w:t>
      </w:r>
      <w:r>
        <w:rPr>
          <w:rFonts w:eastAsia="Times New Roman"/>
        </w:rPr>
        <w:t>;</w:t>
      </w:r>
    </w:p>
    <w:p w14:paraId="4736C3B5"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 xml:space="preserve">geriamieji vaistai nuo cukrinio diabeto (pvz., </w:t>
      </w:r>
      <w:proofErr w:type="spellStart"/>
      <w:r w:rsidRPr="0082402D">
        <w:rPr>
          <w:rFonts w:eastAsia="Times New Roman"/>
        </w:rPr>
        <w:t>metforminas</w:t>
      </w:r>
      <w:proofErr w:type="spellEnd"/>
      <w:r w:rsidRPr="0082402D">
        <w:rPr>
          <w:rFonts w:eastAsia="Times New Roman"/>
        </w:rPr>
        <w:t>)</w:t>
      </w:r>
      <w:r>
        <w:rPr>
          <w:rFonts w:eastAsia="Times New Roman"/>
        </w:rPr>
        <w:t>;</w:t>
      </w:r>
    </w:p>
    <w:p w14:paraId="1AFEE0DB" w14:textId="77777777" w:rsidR="00025AA4" w:rsidRPr="0082402D" w:rsidRDefault="00025AA4" w:rsidP="00025AA4">
      <w:pPr>
        <w:numPr>
          <w:ilvl w:val="0"/>
          <w:numId w:val="15"/>
        </w:numPr>
        <w:tabs>
          <w:tab w:val="left" w:pos="567"/>
        </w:tabs>
        <w:rPr>
          <w:rFonts w:eastAsia="Times New Roman"/>
        </w:rPr>
      </w:pPr>
      <w:proofErr w:type="spellStart"/>
      <w:r w:rsidRPr="0082402D">
        <w:rPr>
          <w:rFonts w:eastAsia="Times New Roman"/>
        </w:rPr>
        <w:t>metotreksatas</w:t>
      </w:r>
      <w:proofErr w:type="spellEnd"/>
      <w:r w:rsidRPr="0082402D">
        <w:rPr>
          <w:rFonts w:eastAsia="Times New Roman"/>
        </w:rPr>
        <w:t xml:space="preserve"> (vartojamas nuo kai kurių rūšių vėžio ar artrito)</w:t>
      </w:r>
      <w:r>
        <w:rPr>
          <w:rFonts w:eastAsia="Times New Roman"/>
        </w:rPr>
        <w:t>;</w:t>
      </w:r>
    </w:p>
    <w:p w14:paraId="3F04ECD4" w14:textId="77777777" w:rsidR="00025AA4" w:rsidRPr="0082402D" w:rsidRDefault="00025AA4" w:rsidP="00025AA4">
      <w:pPr>
        <w:numPr>
          <w:ilvl w:val="0"/>
          <w:numId w:val="15"/>
        </w:numPr>
        <w:tabs>
          <w:tab w:val="left" w:pos="567"/>
        </w:tabs>
        <w:rPr>
          <w:rFonts w:eastAsia="Times New Roman"/>
        </w:rPr>
      </w:pPr>
      <w:proofErr w:type="spellStart"/>
      <w:r w:rsidRPr="0082402D">
        <w:rPr>
          <w:rFonts w:eastAsia="Times New Roman"/>
        </w:rPr>
        <w:lastRenderedPageBreak/>
        <w:t>ciklosporinas</w:t>
      </w:r>
      <w:proofErr w:type="spellEnd"/>
      <w:r w:rsidRPr="0082402D">
        <w:rPr>
          <w:rFonts w:eastAsia="Times New Roman"/>
        </w:rPr>
        <w:t xml:space="preserve"> (imunitetą slopinantis vaistas, dažniausiai vartojamas po organų persodinimo)</w:t>
      </w:r>
      <w:r>
        <w:rPr>
          <w:rFonts w:eastAsia="Times New Roman"/>
        </w:rPr>
        <w:t>;</w:t>
      </w:r>
    </w:p>
    <w:p w14:paraId="3AFE4E7E"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 xml:space="preserve">antibiotikai, vadinami </w:t>
      </w:r>
      <w:proofErr w:type="spellStart"/>
      <w:r w:rsidRPr="0082402D">
        <w:rPr>
          <w:rFonts w:eastAsia="Times New Roman"/>
        </w:rPr>
        <w:t>chinolonais</w:t>
      </w:r>
      <w:proofErr w:type="spellEnd"/>
      <w:r w:rsidRPr="0082402D">
        <w:rPr>
          <w:rFonts w:eastAsia="Times New Roman"/>
        </w:rPr>
        <w:t xml:space="preserve"> (pvz., </w:t>
      </w:r>
      <w:proofErr w:type="spellStart"/>
      <w:r w:rsidRPr="0082402D">
        <w:rPr>
          <w:rFonts w:eastAsia="Times New Roman"/>
        </w:rPr>
        <w:t>ciprofloksacinas</w:t>
      </w:r>
      <w:proofErr w:type="spellEnd"/>
      <w:r w:rsidRPr="0082402D">
        <w:rPr>
          <w:rFonts w:eastAsia="Times New Roman"/>
        </w:rPr>
        <w:t xml:space="preserve">, </w:t>
      </w:r>
      <w:proofErr w:type="spellStart"/>
      <w:r w:rsidRPr="0082402D">
        <w:rPr>
          <w:rFonts w:eastAsia="Times New Roman"/>
        </w:rPr>
        <w:t>ofloksacinas</w:t>
      </w:r>
      <w:proofErr w:type="spellEnd"/>
      <w:r w:rsidRPr="0082402D">
        <w:rPr>
          <w:rFonts w:eastAsia="Times New Roman"/>
        </w:rPr>
        <w:t>)</w:t>
      </w:r>
      <w:r>
        <w:rPr>
          <w:rFonts w:eastAsia="Times New Roman"/>
        </w:rPr>
        <w:t>;</w:t>
      </w:r>
    </w:p>
    <w:p w14:paraId="49160A92" w14:textId="77777777" w:rsidR="00025AA4" w:rsidRPr="0082402D" w:rsidRDefault="00025AA4" w:rsidP="00025AA4">
      <w:pPr>
        <w:numPr>
          <w:ilvl w:val="0"/>
          <w:numId w:val="15"/>
        </w:numPr>
        <w:tabs>
          <w:tab w:val="left" w:pos="567"/>
        </w:tabs>
        <w:rPr>
          <w:rFonts w:eastAsia="Times New Roman"/>
        </w:rPr>
      </w:pPr>
      <w:proofErr w:type="spellStart"/>
      <w:r w:rsidRPr="0082402D">
        <w:rPr>
          <w:rFonts w:eastAsia="Times New Roman"/>
        </w:rPr>
        <w:t>mifepristonas</w:t>
      </w:r>
      <w:proofErr w:type="spellEnd"/>
      <w:r w:rsidRPr="0082402D">
        <w:rPr>
          <w:rFonts w:eastAsia="Times New Roman"/>
        </w:rPr>
        <w:t xml:space="preserve"> (vaistas ankstyvam nėštumui nutraukti)</w:t>
      </w:r>
      <w:r>
        <w:rPr>
          <w:rFonts w:eastAsia="Times New Roman"/>
        </w:rPr>
        <w:t>;</w:t>
      </w:r>
    </w:p>
    <w:p w14:paraId="6DA051DC" w14:textId="77777777" w:rsidR="00025AA4" w:rsidRPr="0082402D" w:rsidRDefault="00025AA4" w:rsidP="00025AA4">
      <w:pPr>
        <w:numPr>
          <w:ilvl w:val="0"/>
          <w:numId w:val="15"/>
        </w:numPr>
        <w:tabs>
          <w:tab w:val="left" w:pos="567"/>
        </w:tabs>
        <w:rPr>
          <w:rFonts w:eastAsia="Times New Roman"/>
        </w:rPr>
      </w:pPr>
      <w:r w:rsidRPr="0082402D">
        <w:rPr>
          <w:rFonts w:eastAsia="Times New Roman"/>
        </w:rPr>
        <w:t>vaistai, mažinantys cholesterolio kiekį (</w:t>
      </w:r>
      <w:proofErr w:type="spellStart"/>
      <w:r w:rsidRPr="0082402D">
        <w:rPr>
          <w:rFonts w:eastAsia="Times New Roman"/>
        </w:rPr>
        <w:t>kolestipolis</w:t>
      </w:r>
      <w:proofErr w:type="spellEnd"/>
      <w:r w:rsidRPr="0082402D">
        <w:rPr>
          <w:rFonts w:eastAsia="Times New Roman"/>
        </w:rPr>
        <w:t xml:space="preserve">, </w:t>
      </w:r>
      <w:proofErr w:type="spellStart"/>
      <w:r w:rsidRPr="0082402D">
        <w:rPr>
          <w:rFonts w:eastAsia="Times New Roman"/>
        </w:rPr>
        <w:t>kolestiraminas</w:t>
      </w:r>
      <w:proofErr w:type="spellEnd"/>
      <w:r w:rsidRPr="0082402D">
        <w:rPr>
          <w:rFonts w:eastAsia="Times New Roman"/>
        </w:rPr>
        <w:t>)</w:t>
      </w:r>
      <w:r>
        <w:rPr>
          <w:rFonts w:eastAsia="Times New Roman"/>
        </w:rPr>
        <w:t>;</w:t>
      </w:r>
    </w:p>
    <w:p w14:paraId="3A71686C" w14:textId="77777777" w:rsidR="00025AA4" w:rsidRPr="0082402D" w:rsidRDefault="00025AA4" w:rsidP="00025AA4">
      <w:pPr>
        <w:numPr>
          <w:ilvl w:val="0"/>
          <w:numId w:val="15"/>
        </w:numPr>
        <w:tabs>
          <w:tab w:val="left" w:pos="567"/>
        </w:tabs>
        <w:rPr>
          <w:rFonts w:eastAsia="Times New Roman"/>
        </w:rPr>
      </w:pPr>
      <w:proofErr w:type="spellStart"/>
      <w:r w:rsidRPr="0082402D">
        <w:t>tenofoviras</w:t>
      </w:r>
      <w:proofErr w:type="spellEnd"/>
      <w:r w:rsidRPr="0082402D">
        <w:t xml:space="preserve"> (vaistas hepatito B gydymui ir ŽIV/AIDS gydymui ar prevencijai)</w:t>
      </w:r>
      <w:r>
        <w:t>;</w:t>
      </w:r>
    </w:p>
    <w:p w14:paraId="2BBFC8AF" w14:textId="77777777" w:rsidR="00025AA4" w:rsidRPr="0082402D" w:rsidRDefault="00025AA4" w:rsidP="00025AA4">
      <w:pPr>
        <w:numPr>
          <w:ilvl w:val="0"/>
          <w:numId w:val="15"/>
        </w:numPr>
        <w:tabs>
          <w:tab w:val="left" w:pos="567"/>
        </w:tabs>
        <w:rPr>
          <w:rFonts w:eastAsia="Times New Roman"/>
        </w:rPr>
      </w:pPr>
      <w:proofErr w:type="spellStart"/>
      <w:r w:rsidRPr="0082402D">
        <w:t>deferaziroksas</w:t>
      </w:r>
      <w:proofErr w:type="spellEnd"/>
      <w:r w:rsidRPr="0082402D">
        <w:t xml:space="preserve"> (</w:t>
      </w:r>
      <w:r w:rsidRPr="0082402D">
        <w:rPr>
          <w:rFonts w:eastAsia="Times New Roman"/>
          <w:bCs/>
          <w:noProof/>
          <w:lang w:eastAsia="en-US"/>
        </w:rPr>
        <w:t>vaistas, kuris vartojamas sergant kai kuriomis mažakraujystės formomis ir atliekant ilgalaikius kraujo perpylimus</w:t>
      </w:r>
      <w:r w:rsidRPr="0082402D">
        <w:t>)</w:t>
      </w:r>
      <w:r>
        <w:t>;</w:t>
      </w:r>
    </w:p>
    <w:p w14:paraId="7782A60E" w14:textId="77777777" w:rsidR="00025AA4" w:rsidRPr="0082402D" w:rsidRDefault="00025AA4" w:rsidP="00025AA4">
      <w:pPr>
        <w:numPr>
          <w:ilvl w:val="0"/>
          <w:numId w:val="15"/>
        </w:numPr>
        <w:tabs>
          <w:tab w:val="left" w:pos="567"/>
        </w:tabs>
        <w:rPr>
          <w:rFonts w:eastAsia="Times New Roman"/>
        </w:rPr>
      </w:pPr>
      <w:proofErr w:type="spellStart"/>
      <w:r w:rsidRPr="0082402D">
        <w:t>pemetreksedas</w:t>
      </w:r>
      <w:proofErr w:type="spellEnd"/>
      <w:r w:rsidRPr="0082402D">
        <w:t xml:space="preserve"> (priešvėžinis chemoterapinis vaistas).</w:t>
      </w:r>
    </w:p>
    <w:p w14:paraId="6A296809" w14:textId="77777777" w:rsidR="00025AA4" w:rsidRPr="0082402D" w:rsidRDefault="00025AA4" w:rsidP="00025AA4">
      <w:pPr>
        <w:pStyle w:val="BTEMEASMCA"/>
        <w:rPr>
          <w:color w:val="auto"/>
        </w:rPr>
      </w:pPr>
    </w:p>
    <w:p w14:paraId="51891256" w14:textId="77777777" w:rsidR="00025AA4" w:rsidRPr="0082402D" w:rsidRDefault="00025AA4" w:rsidP="00025AA4">
      <w:pPr>
        <w:pStyle w:val="PI-3EMEASMCA"/>
      </w:pPr>
      <w:proofErr w:type="spellStart"/>
      <w:r w:rsidRPr="0082402D">
        <w:t>Dicloberl</w:t>
      </w:r>
      <w:proofErr w:type="spellEnd"/>
      <w:r w:rsidRPr="0082402D">
        <w:t xml:space="preserve"> vartojimas su maistu ir gėrimais</w:t>
      </w:r>
    </w:p>
    <w:p w14:paraId="12914AC1" w14:textId="77777777" w:rsidR="00025AA4" w:rsidRPr="0082402D" w:rsidRDefault="00025AA4" w:rsidP="00025AA4">
      <w:pPr>
        <w:ind w:right="-57"/>
      </w:pPr>
      <w:r w:rsidRPr="0082402D">
        <w:t xml:space="preserve">Vartojant </w:t>
      </w:r>
      <w:proofErr w:type="spellStart"/>
      <w:r w:rsidRPr="0082402D">
        <w:t>Dicloberl</w:t>
      </w:r>
      <w:proofErr w:type="spellEnd"/>
      <w:r w:rsidRPr="0082402D">
        <w:t xml:space="preserve"> reikia vengti kartu vartoti alkoholį.</w:t>
      </w:r>
    </w:p>
    <w:p w14:paraId="6AED9BF6" w14:textId="77777777" w:rsidR="00025AA4" w:rsidRPr="0082402D" w:rsidRDefault="00025AA4" w:rsidP="00025AA4">
      <w:pPr>
        <w:ind w:right="-57"/>
      </w:pPr>
    </w:p>
    <w:p w14:paraId="38852201" w14:textId="77777777" w:rsidR="00025AA4" w:rsidRPr="0082402D" w:rsidRDefault="00025AA4" w:rsidP="00025AA4">
      <w:pPr>
        <w:pStyle w:val="PI-3EMEASMCA"/>
      </w:pPr>
      <w:r w:rsidRPr="0082402D">
        <w:t>Nėštumas, žindymo laikotarpis ir vaisingumas</w:t>
      </w:r>
    </w:p>
    <w:p w14:paraId="66766118" w14:textId="77777777" w:rsidR="00025AA4" w:rsidRPr="0082402D" w:rsidRDefault="00025AA4" w:rsidP="00025AA4">
      <w:pPr>
        <w:pStyle w:val="BTEMEASMCA"/>
        <w:rPr>
          <w:color w:val="auto"/>
        </w:rPr>
      </w:pPr>
      <w:r w:rsidRPr="0082402D">
        <w:rPr>
          <w:color w:val="auto"/>
        </w:rPr>
        <w:t>Jeigu esate nėščia, žindote kūdikį, manote, kad galbūt esate nėščia, arba planuojate pastoti, tai prieš vartodama šį vaistą, pasitarkite su gydytoju arba vaistininku.</w:t>
      </w:r>
    </w:p>
    <w:p w14:paraId="6677C2AA" w14:textId="77777777" w:rsidR="00025AA4" w:rsidRPr="0082402D" w:rsidRDefault="00025AA4" w:rsidP="00025AA4">
      <w:pPr>
        <w:pStyle w:val="BTEMEASMCA"/>
        <w:rPr>
          <w:color w:val="auto"/>
        </w:rPr>
      </w:pPr>
    </w:p>
    <w:p w14:paraId="1B73D1A5" w14:textId="77777777" w:rsidR="00025AA4" w:rsidRPr="0082402D" w:rsidRDefault="00025AA4" w:rsidP="00025AA4">
      <w:pPr>
        <w:pStyle w:val="BTEMEASMCA"/>
        <w:rPr>
          <w:i/>
          <w:color w:val="auto"/>
        </w:rPr>
      </w:pPr>
      <w:r w:rsidRPr="0082402D">
        <w:rPr>
          <w:i/>
          <w:color w:val="auto"/>
        </w:rPr>
        <w:t>Nėštumas</w:t>
      </w:r>
    </w:p>
    <w:p w14:paraId="453E7145" w14:textId="77777777" w:rsidR="00025AA4" w:rsidRPr="0057077D" w:rsidRDefault="00025AA4" w:rsidP="00025AA4">
      <w:pPr>
        <w:autoSpaceDE w:val="0"/>
        <w:autoSpaceDN w:val="0"/>
        <w:adjustRightInd w:val="0"/>
        <w:rPr>
          <w:rFonts w:eastAsiaTheme="minorHAnsi"/>
          <w:lang w:eastAsia="en-US"/>
        </w:rPr>
      </w:pPr>
      <w:r w:rsidRPr="0082402D">
        <w:t xml:space="preserve">Pasakykite gydytojui, jeigu jūs pastojote </w:t>
      </w:r>
      <w:proofErr w:type="spellStart"/>
      <w:r w:rsidRPr="0082402D">
        <w:t>Dicloberl</w:t>
      </w:r>
      <w:proofErr w:type="spellEnd"/>
      <w:r w:rsidRPr="0082402D">
        <w:t xml:space="preserve"> vartojimo laikotarpiu. Pirmuosius 6 nėštumo mėnesius </w:t>
      </w:r>
      <w:proofErr w:type="spellStart"/>
      <w:r w:rsidRPr="0082402D">
        <w:t>Dicloberl</w:t>
      </w:r>
      <w:proofErr w:type="spellEnd"/>
      <w:r w:rsidRPr="0082402D">
        <w:t xml:space="preserve"> galima vartoti tik prižiūrint gydytojui. </w:t>
      </w:r>
      <w:r w:rsidRPr="0057077D">
        <w:rPr>
          <w:lang w:eastAsia="en-US"/>
        </w:rPr>
        <w:t xml:space="preserve">Nevartokite </w:t>
      </w:r>
      <w:proofErr w:type="spellStart"/>
      <w:r w:rsidRPr="0057077D">
        <w:rPr>
          <w:lang w:eastAsia="en-US"/>
        </w:rPr>
        <w:t>Dicloberl</w:t>
      </w:r>
      <w:proofErr w:type="spellEnd"/>
      <w:r w:rsidRPr="0057077D">
        <w:rPr>
          <w:lang w:eastAsia="en-US"/>
        </w:rPr>
        <w:t>, paskutinių 3 nėštumo mėnesių metu, nes tai gali pakenkti vaisiui (būsimam kūdikiui) arba sukelti problemų gimdymo metu</w:t>
      </w:r>
      <w:r w:rsidRPr="0057077D">
        <w:rPr>
          <w:rFonts w:eastAsiaTheme="minorHAnsi"/>
          <w:lang w:eastAsia="en-US"/>
        </w:rPr>
        <w:t xml:space="preserve">. </w:t>
      </w:r>
      <w:r w:rsidRPr="0057077D">
        <w:rPr>
          <w:bCs/>
          <w:lang w:eastAsia="en-US"/>
        </w:rPr>
        <w:t>Šis vaistas vaisiui gali sukelti inkstų ir širdies sutrikimų</w:t>
      </w:r>
      <w:r w:rsidRPr="0057077D">
        <w:rPr>
          <w:rFonts w:eastAsiaTheme="minorHAnsi"/>
          <w:lang w:eastAsia="en-US"/>
        </w:rPr>
        <w:t xml:space="preserve">. </w:t>
      </w:r>
      <w:r w:rsidRPr="0057077D">
        <w:rPr>
          <w:bCs/>
          <w:lang w:eastAsia="en-US"/>
        </w:rPr>
        <w:t>Jis gali turėti įtakos Jūsų ir Jūsų kūdikio polinkiui kraujuoti ir pavėlinti gimdymą arba pailginti jo trukmę</w:t>
      </w:r>
      <w:r w:rsidRPr="0057077D">
        <w:rPr>
          <w:rFonts w:eastAsiaTheme="minorHAnsi"/>
          <w:lang w:eastAsia="en-US"/>
        </w:rPr>
        <w:t xml:space="preserve">. </w:t>
      </w:r>
      <w:r w:rsidRPr="0057077D">
        <w:rPr>
          <w:lang w:eastAsia="en-US"/>
        </w:rPr>
        <w:t xml:space="preserve">Pirmus 6 nėštumo mėnesius </w:t>
      </w:r>
      <w:proofErr w:type="spellStart"/>
      <w:r w:rsidRPr="0057077D">
        <w:rPr>
          <w:lang w:eastAsia="en-US"/>
        </w:rPr>
        <w:t>Dicloberl</w:t>
      </w:r>
      <w:proofErr w:type="spellEnd"/>
      <w:r w:rsidRPr="0057077D">
        <w:rPr>
          <w:lang w:eastAsia="en-US"/>
        </w:rPr>
        <w:t xml:space="preserve"> </w:t>
      </w:r>
      <w:r w:rsidRPr="0057077D">
        <w:rPr>
          <w:rFonts w:eastAsiaTheme="minorHAnsi"/>
          <w:lang w:eastAsia="en-US"/>
        </w:rPr>
        <w:t xml:space="preserve">neturi būti vartojamas, nebent moters klinikinė būklė yra tokia, kad ją būtina gydyti </w:t>
      </w:r>
      <w:proofErr w:type="spellStart"/>
      <w:r w:rsidRPr="0057077D">
        <w:rPr>
          <w:rFonts w:eastAsiaTheme="minorHAnsi"/>
          <w:lang w:eastAsia="en-US"/>
        </w:rPr>
        <w:t>Dicloberl</w:t>
      </w:r>
      <w:proofErr w:type="spellEnd"/>
      <w:r w:rsidRPr="0057077D">
        <w:rPr>
          <w:lang w:eastAsia="en-US"/>
        </w:rPr>
        <w:t xml:space="preserve"> </w:t>
      </w:r>
      <w:r w:rsidRPr="0057077D">
        <w:rPr>
          <w:bCs/>
          <w:lang w:eastAsia="en-US"/>
        </w:rPr>
        <w:t>ir taip pataria gydytojas</w:t>
      </w:r>
      <w:r w:rsidRPr="0057077D">
        <w:rPr>
          <w:rFonts w:eastAsiaTheme="minorHAnsi"/>
          <w:lang w:eastAsia="en-US"/>
        </w:rPr>
        <w:t xml:space="preserve">. </w:t>
      </w:r>
      <w:r w:rsidRPr="0057077D">
        <w:rPr>
          <w:lang w:eastAsia="en-US"/>
        </w:rPr>
        <w:t>Jeigu šiuo laikotarpiu arba tuo metu, kai bandote pastoti, Jums reikia gydymo šiuo vaistu,  vartokite mažiausią jo dozę ir kaip įmanoma trumpiau</w:t>
      </w:r>
      <w:r w:rsidRPr="0057077D">
        <w:rPr>
          <w:rFonts w:eastAsiaTheme="minorHAnsi"/>
          <w:lang w:eastAsia="en-US"/>
        </w:rPr>
        <w:t xml:space="preserve">. </w:t>
      </w:r>
    </w:p>
    <w:p w14:paraId="078C451A" w14:textId="77777777" w:rsidR="00025AA4" w:rsidRPr="0034309D" w:rsidRDefault="00025AA4" w:rsidP="00025AA4">
      <w:pPr>
        <w:autoSpaceDE w:val="0"/>
        <w:autoSpaceDN w:val="0"/>
        <w:adjustRightInd w:val="0"/>
        <w:rPr>
          <w:bCs/>
          <w:lang w:eastAsia="en-US"/>
        </w:rPr>
      </w:pPr>
      <w:r w:rsidRPr="0034309D">
        <w:rPr>
          <w:bCs/>
          <w:lang w:eastAsia="en-US"/>
        </w:rPr>
        <w:t xml:space="preserve">Nuo 20-osios nėštumo savaitės </w:t>
      </w:r>
      <w:proofErr w:type="spellStart"/>
      <w:r w:rsidRPr="0034309D">
        <w:rPr>
          <w:bCs/>
          <w:lang w:eastAsia="en-US"/>
        </w:rPr>
        <w:t>Dicloberl</w:t>
      </w:r>
      <w:proofErr w:type="spellEnd"/>
      <w:r w:rsidRPr="0034309D">
        <w:rPr>
          <w:bCs/>
          <w:lang w:eastAsia="en-US"/>
        </w:rPr>
        <w:t xml:space="preserve"> gali sukelti vaisiui inkstų sutrikimų, jeigu vaisto vartojama daugiau kaip kelias dienas. Dėl to gali sumažėti vaisiaus vandenų (</w:t>
      </w:r>
      <w:proofErr w:type="spellStart"/>
      <w:r w:rsidRPr="0034309D">
        <w:rPr>
          <w:bCs/>
          <w:lang w:eastAsia="en-US"/>
        </w:rPr>
        <w:t>oligohidramnionas</w:t>
      </w:r>
      <w:proofErr w:type="spellEnd"/>
      <w:r w:rsidRPr="0034309D">
        <w:rPr>
          <w:bCs/>
          <w:lang w:eastAsia="en-US"/>
        </w:rPr>
        <w:t xml:space="preserve">) </w:t>
      </w:r>
      <w:r w:rsidRPr="0034309D">
        <w:rPr>
          <w:rFonts w:eastAsiaTheme="minorHAnsi"/>
          <w:lang w:eastAsia="en-US"/>
        </w:rPr>
        <w:t>ar susiaurėti kraujagyslė (arterinis latakas) kūdikio širdyje</w:t>
      </w:r>
      <w:r w:rsidRPr="0034309D">
        <w:rPr>
          <w:bCs/>
          <w:lang w:eastAsia="en-US"/>
        </w:rPr>
        <w:t xml:space="preserve">. Jeigu gydymą reikia tęsti </w:t>
      </w:r>
      <w:proofErr w:type="spellStart"/>
      <w:r w:rsidRPr="0034309D">
        <w:rPr>
          <w:bCs/>
          <w:lang w:eastAsia="en-US"/>
        </w:rPr>
        <w:t>ilgiaui</w:t>
      </w:r>
      <w:proofErr w:type="spellEnd"/>
      <w:r w:rsidRPr="0034309D">
        <w:rPr>
          <w:bCs/>
          <w:lang w:eastAsia="en-US"/>
        </w:rPr>
        <w:t xml:space="preserve"> nei kelias dienas , gydytojas gali rekomenduoti papildomą stebėseną</w:t>
      </w:r>
      <w:r w:rsidRPr="0034309D">
        <w:rPr>
          <w:rFonts w:eastAsiaTheme="minorHAnsi"/>
          <w:lang w:eastAsia="en-US"/>
        </w:rPr>
        <w:t>.</w:t>
      </w:r>
    </w:p>
    <w:p w14:paraId="2B43B28A" w14:textId="77777777" w:rsidR="00025AA4" w:rsidRPr="0082402D" w:rsidRDefault="00025AA4" w:rsidP="00025AA4">
      <w:pPr>
        <w:autoSpaceDE w:val="0"/>
        <w:autoSpaceDN w:val="0"/>
        <w:adjustRightInd w:val="0"/>
      </w:pPr>
    </w:p>
    <w:p w14:paraId="5F252588" w14:textId="77777777" w:rsidR="00025AA4" w:rsidRPr="0082402D" w:rsidRDefault="00025AA4" w:rsidP="00025AA4">
      <w:pPr>
        <w:pStyle w:val="BTEMEASMCA"/>
        <w:rPr>
          <w:i/>
          <w:color w:val="auto"/>
        </w:rPr>
      </w:pPr>
      <w:r w:rsidRPr="0082402D">
        <w:rPr>
          <w:i/>
          <w:color w:val="auto"/>
        </w:rPr>
        <w:t>Žindymo laikotarpis</w:t>
      </w:r>
    </w:p>
    <w:p w14:paraId="2F1DC499" w14:textId="77777777" w:rsidR="00025AA4" w:rsidRPr="0082402D" w:rsidRDefault="00025AA4" w:rsidP="00025AA4">
      <w:pPr>
        <w:ind w:right="-57"/>
      </w:pPr>
      <w:r w:rsidRPr="0082402D">
        <w:t xml:space="preserve">Nedidelis </w:t>
      </w:r>
      <w:proofErr w:type="spellStart"/>
      <w:r w:rsidRPr="0082402D">
        <w:t>diklofenako</w:t>
      </w:r>
      <w:proofErr w:type="spellEnd"/>
      <w:r w:rsidRPr="0082402D">
        <w:t xml:space="preserve">, kaip ir kitų NVNU, kiekis patenka į motinos pieną. Todėl, siekiant išvengti nepageidaujamo poveikio kūdikiui, žindymo laikotarpiu </w:t>
      </w:r>
      <w:proofErr w:type="spellStart"/>
      <w:r w:rsidRPr="0082402D">
        <w:t>diklofenako</w:t>
      </w:r>
      <w:proofErr w:type="spellEnd"/>
      <w:r w:rsidRPr="0082402D">
        <w:t xml:space="preserve"> vartoti negalima.</w:t>
      </w:r>
    </w:p>
    <w:p w14:paraId="240BF488" w14:textId="77777777" w:rsidR="00025AA4" w:rsidRPr="0082402D" w:rsidRDefault="00025AA4" w:rsidP="00025AA4">
      <w:pPr>
        <w:ind w:right="-57"/>
      </w:pPr>
    </w:p>
    <w:p w14:paraId="79B0BBCD" w14:textId="77777777" w:rsidR="00025AA4" w:rsidRPr="0082402D" w:rsidRDefault="00025AA4" w:rsidP="00025AA4">
      <w:pPr>
        <w:ind w:right="-57"/>
        <w:rPr>
          <w:i/>
        </w:rPr>
      </w:pPr>
      <w:r w:rsidRPr="0082402D">
        <w:rPr>
          <w:i/>
        </w:rPr>
        <w:t>Vaisingumas</w:t>
      </w:r>
    </w:p>
    <w:p w14:paraId="0C21A2BC" w14:textId="77777777" w:rsidR="00025AA4" w:rsidRPr="0082402D" w:rsidRDefault="00025AA4" w:rsidP="00025AA4">
      <w:pPr>
        <w:ind w:right="-57"/>
      </w:pPr>
      <w:r w:rsidRPr="0082402D">
        <w:t xml:space="preserve">Panašiai kaip visi vaistai slopinantys prostaglandinų sintezę, </w:t>
      </w:r>
      <w:proofErr w:type="spellStart"/>
      <w:r w:rsidRPr="0082402D">
        <w:t>Dicloberl</w:t>
      </w:r>
      <w:proofErr w:type="spellEnd"/>
      <w:r w:rsidRPr="0082402D">
        <w:t xml:space="preserve"> vartojimas gali trukdyti pastoti. Pasakykite gydytojui, jei planuojate pastoti arba jei jums sunku pastoti.</w:t>
      </w:r>
    </w:p>
    <w:p w14:paraId="016CB222" w14:textId="77777777" w:rsidR="00025AA4" w:rsidRPr="0082402D" w:rsidRDefault="00025AA4" w:rsidP="00025AA4">
      <w:pPr>
        <w:ind w:right="-57"/>
      </w:pPr>
    </w:p>
    <w:p w14:paraId="41FA7FCB" w14:textId="77777777" w:rsidR="00025AA4" w:rsidRPr="0082402D" w:rsidRDefault="00025AA4" w:rsidP="00025AA4">
      <w:pPr>
        <w:pStyle w:val="PI-3EMEASMCA"/>
      </w:pPr>
      <w:r w:rsidRPr="0082402D">
        <w:t>Vairavimas ir mechanizmų valdymas</w:t>
      </w:r>
    </w:p>
    <w:p w14:paraId="4205667D"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Kadangi vartojant Dicloberl didelėmis 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82402D">
        <w:t xml:space="preserve">! Nevaldykite </w:t>
      </w:r>
      <w:r w:rsidRPr="0082402D">
        <w:rPr>
          <w:rFonts w:eastAsia="Times New Roman"/>
          <w:bCs/>
          <w:noProof/>
          <w:lang w:eastAsia="en-US"/>
        </w:rPr>
        <w:t>mechanizmų</w:t>
      </w:r>
      <w:r w:rsidRPr="0082402D">
        <w:t xml:space="preserve">! Nedirbkite nesant saugios stovėsenos! </w:t>
      </w:r>
    </w:p>
    <w:p w14:paraId="6439A33F" w14:textId="77777777" w:rsidR="00025AA4" w:rsidRPr="0082402D" w:rsidRDefault="00025AA4" w:rsidP="00025AA4">
      <w:pPr>
        <w:pStyle w:val="Pagrindinistekstas"/>
        <w:spacing w:after="0"/>
        <w:rPr>
          <w:sz w:val="22"/>
          <w:lang w:val="lt-LT"/>
        </w:rPr>
      </w:pPr>
    </w:p>
    <w:p w14:paraId="12389FED" w14:textId="77777777" w:rsidR="00025AA4" w:rsidRPr="0082402D" w:rsidRDefault="00025AA4" w:rsidP="00025AA4">
      <w:pPr>
        <w:pStyle w:val="Pagrindinistekstas"/>
        <w:spacing w:after="0"/>
        <w:rPr>
          <w:sz w:val="22"/>
          <w:lang w:val="lt-LT"/>
        </w:rPr>
      </w:pPr>
    </w:p>
    <w:p w14:paraId="215BFA20" w14:textId="77777777" w:rsidR="00025AA4" w:rsidRPr="0082402D" w:rsidRDefault="00025AA4" w:rsidP="00025AA4">
      <w:pPr>
        <w:pStyle w:val="PI-1EMEASMCA"/>
      </w:pPr>
      <w:r w:rsidRPr="0082402D">
        <w:t xml:space="preserve">3. </w:t>
      </w:r>
      <w:r w:rsidRPr="0082402D">
        <w:tab/>
        <w:t xml:space="preserve">Kaip vartoti </w:t>
      </w:r>
      <w:proofErr w:type="spellStart"/>
      <w:r w:rsidRPr="0082402D">
        <w:t>Dicloberl</w:t>
      </w:r>
      <w:proofErr w:type="spellEnd"/>
      <w:r w:rsidRPr="0082402D">
        <w:t xml:space="preserve"> </w:t>
      </w:r>
    </w:p>
    <w:p w14:paraId="60976BD9" w14:textId="77777777" w:rsidR="00025AA4" w:rsidRPr="0082402D" w:rsidRDefault="00025AA4" w:rsidP="00025AA4">
      <w:pPr>
        <w:pStyle w:val="BTEMEASMCA"/>
        <w:rPr>
          <w:color w:val="auto"/>
        </w:rPr>
      </w:pPr>
    </w:p>
    <w:p w14:paraId="2C1155F3" w14:textId="77777777" w:rsidR="00025AA4" w:rsidRPr="0082402D" w:rsidRDefault="00025AA4" w:rsidP="00025AA4">
      <w:pPr>
        <w:pStyle w:val="BTEMEASMCA"/>
        <w:rPr>
          <w:color w:val="auto"/>
        </w:rPr>
      </w:pPr>
      <w:r w:rsidRPr="0082402D">
        <w:rPr>
          <w:color w:val="auto"/>
          <w:szCs w:val="24"/>
        </w:rPr>
        <w:t>Visada vartokite šį vaistą tiksliai</w:t>
      </w:r>
      <w:r>
        <w:rPr>
          <w:color w:val="auto"/>
          <w:szCs w:val="24"/>
        </w:rPr>
        <w:t>,</w:t>
      </w:r>
      <w:r w:rsidRPr="0082402D">
        <w:rPr>
          <w:color w:val="auto"/>
          <w:szCs w:val="24"/>
        </w:rPr>
        <w:t xml:space="preserve"> kaip </w:t>
      </w:r>
      <w:r w:rsidRPr="0082402D">
        <w:rPr>
          <w:color w:val="auto"/>
        </w:rPr>
        <w:t>nurodė gydytojas. Jeigu abejojate, kreipkitės į gydytoją arba vaistininką.</w:t>
      </w:r>
    </w:p>
    <w:p w14:paraId="301B1742" w14:textId="77777777" w:rsidR="00025AA4" w:rsidRPr="0082402D" w:rsidRDefault="00025AA4" w:rsidP="00025AA4">
      <w:pPr>
        <w:pStyle w:val="BTEMEASMCA"/>
        <w:rPr>
          <w:color w:val="auto"/>
        </w:rPr>
      </w:pPr>
    </w:p>
    <w:p w14:paraId="1A57F980" w14:textId="77777777" w:rsidR="00025AA4" w:rsidRPr="0082402D" w:rsidRDefault="00025AA4" w:rsidP="00025AA4">
      <w:pPr>
        <w:tabs>
          <w:tab w:val="left" w:pos="0"/>
          <w:tab w:val="left" w:pos="5278"/>
        </w:tabs>
        <w:rPr>
          <w:rFonts w:eastAsia="Times New Roman"/>
          <w:b/>
          <w:bCs/>
          <w:noProof/>
          <w:lang w:eastAsia="en-US"/>
        </w:rPr>
      </w:pPr>
      <w:r w:rsidRPr="0082402D">
        <w:rPr>
          <w:rFonts w:eastAsia="Times New Roman"/>
          <w:b/>
          <w:bCs/>
          <w:noProof/>
          <w:lang w:eastAsia="en-US"/>
        </w:rPr>
        <w:t xml:space="preserve">Jei gydytojas nenurodė vartoti kitaip, taikomos šios dozavimo rekomendacijos </w:t>
      </w:r>
    </w:p>
    <w:p w14:paraId="3C0B51A8" w14:textId="77777777" w:rsidR="00025AA4" w:rsidRPr="0082402D" w:rsidRDefault="00025AA4" w:rsidP="00025AA4">
      <w:pPr>
        <w:pStyle w:val="BTEMEASMCA"/>
        <w:rPr>
          <w:color w:val="auto"/>
        </w:rPr>
      </w:pPr>
      <w:r w:rsidRPr="0082402D">
        <w:rPr>
          <w:color w:val="auto"/>
        </w:rPr>
        <w:t>Diklofenako dozė priklauso nuo ligos sunkumo. Paros dozė suaugusiesiems yra viena žvakutė per parą (atitinka 100 mg veikliosios medžiagos diklofenako natrio).</w:t>
      </w:r>
    </w:p>
    <w:p w14:paraId="19486FAD" w14:textId="77777777" w:rsidR="00025AA4" w:rsidRPr="0082402D" w:rsidRDefault="00025AA4" w:rsidP="00025AA4">
      <w:pPr>
        <w:ind w:right="-57"/>
      </w:pPr>
    </w:p>
    <w:p w14:paraId="0AF10AEE" w14:textId="77777777" w:rsidR="00025AA4" w:rsidRPr="0082402D" w:rsidRDefault="00025AA4" w:rsidP="00025AA4">
      <w:pPr>
        <w:pStyle w:val="BTEMEASMCA"/>
        <w:rPr>
          <w:i/>
          <w:color w:val="auto"/>
        </w:rPr>
      </w:pPr>
      <w:r w:rsidRPr="0082402D">
        <w:rPr>
          <w:i/>
          <w:color w:val="auto"/>
        </w:rPr>
        <w:t>Vartojimo metodas</w:t>
      </w:r>
    </w:p>
    <w:p w14:paraId="5C3D0016" w14:textId="77777777" w:rsidR="00025AA4" w:rsidRPr="0082402D" w:rsidRDefault="00025AA4" w:rsidP="00025AA4">
      <w:pPr>
        <w:framePr w:hSpace="141" w:wrap="auto" w:vAnchor="text" w:hAnchor="page" w:x="6895" w:y="-2"/>
        <w:ind w:right="-284" w:firstLine="426"/>
      </w:pPr>
    </w:p>
    <w:p w14:paraId="2B392B9A" w14:textId="77777777" w:rsidR="00025AA4" w:rsidRPr="0082402D" w:rsidRDefault="00025AA4" w:rsidP="00025AA4">
      <w:pPr>
        <w:ind w:right="3400"/>
      </w:pPr>
      <w:r w:rsidRPr="0082402D">
        <w:lastRenderedPageBreak/>
        <w:t xml:space="preserve">Norėdami išimti žvakutę iš pakuotės, atskirkite ją nuo juostelės daug kartų lankstydami per perforuotą liniją arba nukirpkite žirklėmis. Suimkite nykščiais ir rodomaisiais pirštais laisvus folijos lapelius ties smailiuoju žvakutės </w:t>
      </w:r>
    </w:p>
    <w:p w14:paraId="4B4A8418" w14:textId="77777777" w:rsidR="00025AA4" w:rsidRPr="0082402D" w:rsidRDefault="00025AA4" w:rsidP="00025AA4">
      <w:pPr>
        <w:ind w:right="3400"/>
      </w:pPr>
      <w:r w:rsidRPr="0082402D">
        <w:t xml:space="preserve">galu ir atsargiai plėškite juos vieną nuo kito, kol žvakutę galėsite išimti iš folijos (žr. pav.). </w:t>
      </w:r>
      <w:proofErr w:type="spellStart"/>
      <w:r w:rsidRPr="0082402D">
        <w:t>Dicloberl</w:t>
      </w:r>
      <w:proofErr w:type="spellEnd"/>
      <w:r w:rsidRPr="0082402D">
        <w:t xml:space="preserve"> žvakutę įstumkite giliai į tiesiąją žarną, geriausiai po pasituštinimo.</w:t>
      </w:r>
    </w:p>
    <w:p w14:paraId="04BA5BB2" w14:textId="77777777" w:rsidR="00025AA4" w:rsidRPr="0082402D" w:rsidRDefault="00025AA4" w:rsidP="00025AA4">
      <w:pPr>
        <w:pStyle w:val="BTEMEASMCA"/>
        <w:rPr>
          <w:color w:val="auto"/>
        </w:rPr>
      </w:pPr>
      <w:r w:rsidRPr="0082402D">
        <w:rPr>
          <w:color w:val="auto"/>
        </w:rPr>
        <w:t>Įstumti galima lengviau, jei žvakutę sušildysite palaikę rankoje arba trumpai įmerksite į karštą vandenį.</w:t>
      </w:r>
    </w:p>
    <w:p w14:paraId="7C5C805F" w14:textId="77777777" w:rsidR="00025AA4" w:rsidRPr="0082402D" w:rsidRDefault="00025AA4" w:rsidP="00025AA4">
      <w:pPr>
        <w:pStyle w:val="BTEMEASMCA"/>
        <w:rPr>
          <w:color w:val="auto"/>
        </w:rPr>
      </w:pPr>
      <w:r>
        <w:rPr>
          <w:snapToGrid w:val="0"/>
          <w:color w:val="0000FF"/>
        </w:rPr>
        <w:drawing>
          <wp:inline distT="0" distB="0" distL="0" distR="0" wp14:anchorId="6E3D469A" wp14:editId="1748B6E1">
            <wp:extent cx="2122170" cy="1590040"/>
            <wp:effectExtent l="0" t="0" r="0" b="0"/>
            <wp:docPr id="12" name="Picture 12" descr="Paveikslėlis, kuriame yra eskizas, piešimas, men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eskizas, piešimas, menas, dizain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170" cy="1590040"/>
                    </a:xfrm>
                    <a:prstGeom prst="rect">
                      <a:avLst/>
                    </a:prstGeom>
                    <a:noFill/>
                    <a:ln>
                      <a:noFill/>
                    </a:ln>
                  </pic:spPr>
                </pic:pic>
              </a:graphicData>
            </a:graphic>
          </wp:inline>
        </w:drawing>
      </w:r>
    </w:p>
    <w:p w14:paraId="03B5AC02" w14:textId="77777777" w:rsidR="00025AA4" w:rsidRPr="0082402D" w:rsidRDefault="00025AA4" w:rsidP="00025AA4">
      <w:pPr>
        <w:pStyle w:val="BTEMEASMCA"/>
        <w:rPr>
          <w:i/>
          <w:color w:val="auto"/>
        </w:rPr>
      </w:pPr>
      <w:r w:rsidRPr="0082402D">
        <w:rPr>
          <w:i/>
          <w:color w:val="auto"/>
        </w:rPr>
        <w:t>Vartojimo trukmė</w:t>
      </w:r>
    </w:p>
    <w:p w14:paraId="6B9486FD" w14:textId="77777777" w:rsidR="00025AA4" w:rsidRPr="0082402D" w:rsidRDefault="00025AA4" w:rsidP="00025AA4">
      <w:pPr>
        <w:pStyle w:val="BTEMEASMCA"/>
        <w:rPr>
          <w:color w:val="auto"/>
        </w:rPr>
      </w:pPr>
      <w:r w:rsidRPr="0082402D">
        <w:rPr>
          <w:color w:val="auto"/>
        </w:rPr>
        <w:t>Gydymo trukmę nustato gydytojas.</w:t>
      </w:r>
    </w:p>
    <w:p w14:paraId="3C0B95F1" w14:textId="77777777" w:rsidR="00025AA4" w:rsidRPr="0082402D" w:rsidRDefault="00025AA4" w:rsidP="00025AA4">
      <w:pPr>
        <w:pStyle w:val="BTEMEASMCA"/>
        <w:rPr>
          <w:color w:val="auto"/>
        </w:rPr>
      </w:pPr>
      <w:r w:rsidRPr="0082402D">
        <w:rPr>
          <w:color w:val="auto"/>
        </w:rPr>
        <w:t>Ilgesnį laiką Dicloberl gali reikėti vartoti sergant reumatinėmis ligomis.</w:t>
      </w:r>
    </w:p>
    <w:p w14:paraId="2384061C" w14:textId="77777777" w:rsidR="00025AA4" w:rsidRPr="0082402D" w:rsidRDefault="00025AA4" w:rsidP="00025AA4">
      <w:pPr>
        <w:pStyle w:val="BTEMEASMCA"/>
        <w:rPr>
          <w:color w:val="auto"/>
        </w:rPr>
      </w:pPr>
    </w:p>
    <w:p w14:paraId="1AEB258F" w14:textId="77777777" w:rsidR="00025AA4" w:rsidRPr="0082402D" w:rsidRDefault="00025AA4" w:rsidP="00025AA4">
      <w:pPr>
        <w:pStyle w:val="BTEMEASMCA"/>
        <w:rPr>
          <w:color w:val="auto"/>
        </w:rPr>
      </w:pPr>
      <w:r w:rsidRPr="0082402D">
        <w:rPr>
          <w:color w:val="auto"/>
        </w:rPr>
        <w:t>Nepageidaujamą poveikį galima sumažinti iki minimumo vartojant mažiausią veiksmingą vaisto dozę trumpiausią laiką, būtiną simptomams kontroliuoti (žr. skyrių „Įspėjimai ir atsargumo priemonės“).</w:t>
      </w:r>
    </w:p>
    <w:p w14:paraId="4A0C9A11" w14:textId="77777777" w:rsidR="00025AA4" w:rsidRPr="0082402D" w:rsidRDefault="00025AA4" w:rsidP="00025AA4">
      <w:pPr>
        <w:pStyle w:val="BTEMEASMCA"/>
        <w:rPr>
          <w:color w:val="auto"/>
        </w:rPr>
      </w:pPr>
    </w:p>
    <w:p w14:paraId="607F6414" w14:textId="77777777" w:rsidR="00025AA4" w:rsidRPr="0082402D" w:rsidRDefault="00025AA4" w:rsidP="00025AA4">
      <w:pPr>
        <w:pStyle w:val="BTEMEASMCA"/>
        <w:rPr>
          <w:color w:val="auto"/>
        </w:rPr>
      </w:pPr>
      <w:r w:rsidRPr="0082402D">
        <w:rPr>
          <w:color w:val="auto"/>
        </w:rPr>
        <w:t>Jeigu jums atrodo, kad Dicloberl veikia pernelyg stipriai arba pernelyg silpnai, pasitarkite su gydytoju.</w:t>
      </w:r>
    </w:p>
    <w:p w14:paraId="122F2E4E" w14:textId="77777777" w:rsidR="00025AA4" w:rsidRPr="0082402D" w:rsidRDefault="00025AA4" w:rsidP="00025AA4">
      <w:pPr>
        <w:pStyle w:val="BTEMEASMCA"/>
        <w:rPr>
          <w:color w:val="auto"/>
        </w:rPr>
      </w:pPr>
    </w:p>
    <w:p w14:paraId="37103469" w14:textId="77777777" w:rsidR="00025AA4" w:rsidRPr="0082402D" w:rsidRDefault="00025AA4" w:rsidP="00025AA4">
      <w:pPr>
        <w:pStyle w:val="PI-3EMEASMCA"/>
      </w:pPr>
      <w:r w:rsidRPr="0082402D">
        <w:t xml:space="preserve">Ką daryti pavartojus per didelę </w:t>
      </w:r>
      <w:proofErr w:type="spellStart"/>
      <w:r w:rsidRPr="0082402D">
        <w:t>Dicloberl</w:t>
      </w:r>
      <w:proofErr w:type="spellEnd"/>
      <w:r w:rsidRPr="0082402D">
        <w:t xml:space="preserve"> dozę</w:t>
      </w:r>
    </w:p>
    <w:p w14:paraId="03B78454"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Vartokite Dicloberl laikantis gydytojo nurodymų arba pakuotės lapelyje nurodytų dozės rekomendacijų. Jeigu jums atrodo, kad skausmas malšinamas nepakankamai, nedidinkite dozės savo nuožiūra, bet pasitarkite su gydytoju.</w:t>
      </w:r>
    </w:p>
    <w:p w14:paraId="325C385F" w14:textId="77777777" w:rsidR="00025AA4" w:rsidRPr="0082402D" w:rsidRDefault="00025AA4" w:rsidP="00025AA4">
      <w:pPr>
        <w:pStyle w:val="BTEMEASMCA"/>
        <w:rPr>
          <w:color w:val="auto"/>
        </w:rPr>
      </w:pPr>
    </w:p>
    <w:p w14:paraId="16EB74A6" w14:textId="77777777" w:rsidR="00025AA4" w:rsidRPr="0082402D" w:rsidRDefault="00025AA4" w:rsidP="00025AA4">
      <w:pPr>
        <w:pStyle w:val="BTEMEASMCA"/>
        <w:rPr>
          <w:color w:val="auto"/>
        </w:rPr>
      </w:pPr>
      <w:r w:rsidRPr="0082402D">
        <w:rPr>
          <w:color w:val="auto"/>
        </w:rPr>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14:paraId="61E6B981" w14:textId="77777777" w:rsidR="00025AA4" w:rsidRPr="0082402D" w:rsidRDefault="00025AA4" w:rsidP="00025AA4">
      <w:pPr>
        <w:pStyle w:val="BTEMEASMCA"/>
        <w:rPr>
          <w:color w:val="auto"/>
        </w:rPr>
      </w:pPr>
    </w:p>
    <w:p w14:paraId="6B67625A" w14:textId="77777777" w:rsidR="00025AA4" w:rsidRPr="0082402D" w:rsidRDefault="00025AA4" w:rsidP="00025AA4">
      <w:pPr>
        <w:pStyle w:val="BTEMEASMCA"/>
        <w:rPr>
          <w:color w:val="auto"/>
        </w:rPr>
      </w:pPr>
      <w:r w:rsidRPr="0082402D">
        <w:rPr>
          <w:color w:val="auto"/>
        </w:rPr>
        <w:t>Specifinio priešnuodžio nėra.</w:t>
      </w:r>
    </w:p>
    <w:p w14:paraId="78350463" w14:textId="77777777" w:rsidR="00025AA4" w:rsidRPr="0082402D" w:rsidRDefault="00025AA4" w:rsidP="00025AA4">
      <w:pPr>
        <w:pStyle w:val="BTEMEASMCA"/>
        <w:rPr>
          <w:color w:val="auto"/>
        </w:rPr>
      </w:pPr>
      <w:r w:rsidRPr="0082402D">
        <w:rPr>
          <w:color w:val="auto"/>
        </w:rPr>
        <w:t>Jeigu jūs įtariate, kad pavartojote per didelę Dicloberl dozę, praneškite savo gydytojui. Priklausomai nuo apsinuodijimo sunkumo, jis nuspręs, kokių gydymo priemonių gali reikėti imtis.</w:t>
      </w:r>
    </w:p>
    <w:p w14:paraId="24F6472C" w14:textId="77777777" w:rsidR="00025AA4" w:rsidRPr="0082402D" w:rsidRDefault="00025AA4" w:rsidP="00025AA4">
      <w:pPr>
        <w:pStyle w:val="BTEMEASMCA"/>
        <w:rPr>
          <w:color w:val="auto"/>
        </w:rPr>
      </w:pPr>
    </w:p>
    <w:p w14:paraId="17152A8B" w14:textId="77777777" w:rsidR="00025AA4" w:rsidRPr="0082402D" w:rsidRDefault="00025AA4" w:rsidP="00025AA4">
      <w:pPr>
        <w:pStyle w:val="PI-3EMEASMCA"/>
      </w:pPr>
      <w:r w:rsidRPr="0082402D">
        <w:t xml:space="preserve">Pamiršus pavartoti </w:t>
      </w:r>
      <w:proofErr w:type="spellStart"/>
      <w:r w:rsidRPr="0082402D">
        <w:t>Dicloberl</w:t>
      </w:r>
      <w:proofErr w:type="spellEnd"/>
      <w:r w:rsidRPr="0082402D">
        <w:t xml:space="preserve"> </w:t>
      </w:r>
    </w:p>
    <w:p w14:paraId="220DDBE2" w14:textId="77777777" w:rsidR="00025AA4" w:rsidRPr="0082402D" w:rsidRDefault="00025AA4" w:rsidP="00025AA4">
      <w:pPr>
        <w:pStyle w:val="BTEMEASMCA"/>
        <w:rPr>
          <w:color w:val="auto"/>
        </w:rPr>
      </w:pPr>
      <w:r w:rsidRPr="0082402D">
        <w:rPr>
          <w:color w:val="auto"/>
        </w:rPr>
        <w:t>Negalima vartoti dvigubos dozės norint kompensuoti praleistą dozę.</w:t>
      </w:r>
    </w:p>
    <w:p w14:paraId="08B92839" w14:textId="77777777" w:rsidR="00025AA4" w:rsidRPr="0082402D" w:rsidRDefault="00025AA4" w:rsidP="00025AA4">
      <w:pPr>
        <w:pStyle w:val="BTEMEASMCA"/>
        <w:rPr>
          <w:color w:val="auto"/>
        </w:rPr>
      </w:pPr>
      <w:r w:rsidRPr="0082402D">
        <w:rPr>
          <w:color w:val="auto"/>
        </w:rPr>
        <w:t>Jei kiltų daugiau klausimų dėl šio vaisto vartojimo, kreipkitės į gydytoją arba vaistininką.</w:t>
      </w:r>
    </w:p>
    <w:p w14:paraId="4248D23F" w14:textId="77777777" w:rsidR="00025AA4" w:rsidRPr="0082402D" w:rsidRDefault="00025AA4" w:rsidP="00025AA4">
      <w:pPr>
        <w:pStyle w:val="BTEMEASMCA"/>
        <w:rPr>
          <w:color w:val="auto"/>
        </w:rPr>
      </w:pPr>
    </w:p>
    <w:p w14:paraId="7EB695EC" w14:textId="77777777" w:rsidR="00025AA4" w:rsidRPr="0082402D" w:rsidRDefault="00025AA4" w:rsidP="00025AA4">
      <w:pPr>
        <w:pStyle w:val="BTEMEASMCA"/>
        <w:rPr>
          <w:color w:val="auto"/>
        </w:rPr>
      </w:pPr>
    </w:p>
    <w:p w14:paraId="3DA2732C" w14:textId="77777777" w:rsidR="00025AA4" w:rsidRPr="0082402D" w:rsidRDefault="00025AA4" w:rsidP="00025AA4">
      <w:pPr>
        <w:pStyle w:val="PI-1EMEASMCA"/>
      </w:pPr>
      <w:r w:rsidRPr="0082402D">
        <w:t xml:space="preserve">4. </w:t>
      </w:r>
      <w:r w:rsidRPr="0082402D">
        <w:tab/>
        <w:t>Galimas šalutinis poveikis</w:t>
      </w:r>
    </w:p>
    <w:p w14:paraId="1C294351" w14:textId="77777777" w:rsidR="00025AA4" w:rsidRPr="0082402D" w:rsidRDefault="00025AA4" w:rsidP="00025AA4">
      <w:pPr>
        <w:pStyle w:val="BTEMEASMCA"/>
        <w:rPr>
          <w:color w:val="auto"/>
        </w:rPr>
      </w:pPr>
    </w:p>
    <w:p w14:paraId="76083637" w14:textId="77777777" w:rsidR="00025AA4" w:rsidRPr="0082402D" w:rsidRDefault="00025AA4" w:rsidP="00025AA4">
      <w:pPr>
        <w:pStyle w:val="BTEMEASMCA"/>
        <w:rPr>
          <w:rFonts w:eastAsia="Times New Roman"/>
          <w:color w:val="auto"/>
          <w:lang w:eastAsia="en-US"/>
        </w:rPr>
      </w:pPr>
      <w:r w:rsidRPr="0082402D">
        <w:rPr>
          <w:color w:val="auto"/>
        </w:rPr>
        <w:t xml:space="preserve">Šis vaistas, kaip ir visi kiti, gali sukelti šalutinį poveikį, nors jis pasireiškia ne visiems žmonėms. Kai kuris šalutinis poveikis gali būti sunkus. </w:t>
      </w:r>
      <w:r w:rsidRPr="0082402D">
        <w:rPr>
          <w:rFonts w:eastAsia="Times New Roman"/>
          <w:color w:val="auto"/>
          <w:lang w:eastAsia="en-US"/>
        </w:rPr>
        <w:t xml:space="preserve">Jei pastebėjote toliau išvardytų šalutinio poveikio simptomų, pasitarkite su gydytoju, kuris nuspręs, kaip elgtis toliau. </w:t>
      </w:r>
    </w:p>
    <w:p w14:paraId="3414DA3C" w14:textId="77777777" w:rsidR="00025AA4" w:rsidRPr="0082402D" w:rsidRDefault="00025AA4" w:rsidP="00025AA4">
      <w:pPr>
        <w:tabs>
          <w:tab w:val="left" w:pos="0"/>
          <w:tab w:val="left" w:pos="5278"/>
        </w:tabs>
        <w:rPr>
          <w:rFonts w:eastAsia="Times New Roman"/>
          <w:bCs/>
          <w:noProof/>
          <w:lang w:eastAsia="en-US"/>
        </w:rPr>
      </w:pPr>
    </w:p>
    <w:p w14:paraId="1F050C30" w14:textId="77777777" w:rsidR="00025AA4" w:rsidRPr="0082402D" w:rsidRDefault="00025AA4" w:rsidP="00025AA4">
      <w:pPr>
        <w:pStyle w:val="BTEMEASMCA"/>
        <w:rPr>
          <w:color w:val="auto"/>
          <w:lang w:eastAsia="en-US"/>
        </w:rPr>
      </w:pPr>
      <w:r w:rsidRPr="0082402D">
        <w:rPr>
          <w:noProof w:val="0"/>
          <w:color w:val="auto"/>
        </w:rPr>
        <w:t>Turint omenyje žemiau išvardytas šalutines reakcijas į vaistą, r</w:t>
      </w:r>
      <w:r w:rsidRPr="0082402D">
        <w:rPr>
          <w:color w:val="auto"/>
        </w:rPr>
        <w:t>eikia įvertinti, kad jos priklauso nuo dozės</w:t>
      </w:r>
      <w:r w:rsidRPr="0082402D">
        <w:rPr>
          <w:color w:val="auto"/>
          <w:lang w:eastAsia="en-US"/>
        </w:rPr>
        <w:t xml:space="preserve"> ir kinta priklausomai nuo atskiro individo ypatumų</w:t>
      </w:r>
      <w:r w:rsidRPr="0082402D">
        <w:rPr>
          <w:color w:val="auto"/>
        </w:rPr>
        <w:t>.</w:t>
      </w:r>
    </w:p>
    <w:p w14:paraId="1FB13F7E" w14:textId="77777777" w:rsidR="00025AA4" w:rsidRPr="0082402D" w:rsidRDefault="00025AA4" w:rsidP="00025AA4">
      <w:pPr>
        <w:tabs>
          <w:tab w:val="left" w:pos="567"/>
        </w:tabs>
        <w:rPr>
          <w:rFonts w:eastAsia="Times New Roman"/>
          <w:bCs/>
          <w:iCs/>
          <w:noProof/>
          <w:lang w:eastAsia="en-US"/>
        </w:rPr>
      </w:pPr>
    </w:p>
    <w:p w14:paraId="6DDD8522" w14:textId="77777777" w:rsidR="00025AA4" w:rsidRPr="0082402D" w:rsidRDefault="00025AA4" w:rsidP="00025AA4">
      <w:pPr>
        <w:tabs>
          <w:tab w:val="left" w:pos="0"/>
          <w:tab w:val="left" w:pos="5278"/>
        </w:tabs>
        <w:rPr>
          <w:rFonts w:eastAsia="Times New Roman"/>
          <w:bCs/>
          <w:noProof/>
          <w:lang w:eastAsia="en-US"/>
        </w:rPr>
      </w:pPr>
      <w:r w:rsidRPr="0082402D">
        <w:rPr>
          <w:rFonts w:eastAsia="Times New Roman"/>
          <w:bCs/>
          <w:noProof/>
          <w:lang w:eastAsia="en-US"/>
        </w:rPr>
        <w:t>Dažniausiai stebėta šalutinio poveikio požymių, susijusių su virškinimo traktu. Gali pasireikšti skrandžio arba dvylikapirštės žarnos opos (pepsinės opos), perforacija arba kraujavimas iš virškinimo trakto, kartais pavojingas gyvybei, ypač senyviems žmonėms (žr. 2 skyriuje „Įspėjimai ir atsargumo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skyriuje „Įspėjimai ir atsargumo priemonės“). Kraujavimo skrandyje ir žarnyne rizika priklauso nuo dozės dydžio ir vartojimo trukmės.</w:t>
      </w:r>
    </w:p>
    <w:p w14:paraId="66496AAD" w14:textId="77777777" w:rsidR="00025AA4" w:rsidRPr="0082402D" w:rsidRDefault="00025AA4" w:rsidP="00025AA4">
      <w:pPr>
        <w:tabs>
          <w:tab w:val="left" w:pos="567"/>
        </w:tabs>
        <w:rPr>
          <w:rFonts w:eastAsia="Times New Roman"/>
          <w:bCs/>
          <w:iCs/>
          <w:noProof/>
          <w:lang w:eastAsia="en-US"/>
        </w:rPr>
      </w:pPr>
    </w:p>
    <w:p w14:paraId="298E5C78" w14:textId="77777777" w:rsidR="00025AA4" w:rsidRDefault="00025AA4" w:rsidP="00025AA4">
      <w:pPr>
        <w:tabs>
          <w:tab w:val="left" w:pos="567"/>
        </w:tabs>
        <w:rPr>
          <w:rFonts w:eastAsia="Times New Roman"/>
          <w:bCs/>
          <w:iCs/>
          <w:noProof/>
          <w:lang w:eastAsia="en-US"/>
        </w:rPr>
      </w:pPr>
      <w:r w:rsidRPr="0051563F">
        <w:rPr>
          <w:rFonts w:eastAsia="Times New Roman"/>
          <w:b/>
          <w:bCs/>
          <w:iCs/>
          <w:noProof/>
          <w:lang w:eastAsia="en-US"/>
        </w:rPr>
        <w:t>Nebevartokite Dicloberl ir nedelsdami pasakykite savo gydytojui, jeigu pastebėjote</w:t>
      </w:r>
      <w:r>
        <w:rPr>
          <w:rFonts w:eastAsia="Times New Roman"/>
          <w:b/>
          <w:bCs/>
          <w:iCs/>
          <w:noProof/>
          <w:lang w:eastAsia="en-US"/>
        </w:rPr>
        <w:t>:</w:t>
      </w:r>
      <w:r w:rsidRPr="0082402D">
        <w:rPr>
          <w:rFonts w:eastAsia="Times New Roman"/>
          <w:bCs/>
          <w:iCs/>
          <w:noProof/>
          <w:lang w:eastAsia="en-US"/>
        </w:rPr>
        <w:t xml:space="preserve"> </w:t>
      </w:r>
    </w:p>
    <w:p w14:paraId="557E3777" w14:textId="77777777" w:rsidR="00025AA4" w:rsidRDefault="00025AA4" w:rsidP="00025AA4">
      <w:pPr>
        <w:pStyle w:val="Sraopastraipa"/>
        <w:numPr>
          <w:ilvl w:val="0"/>
          <w:numId w:val="15"/>
        </w:numPr>
      </w:pPr>
      <w:r w:rsidRPr="0082402D">
        <w:rPr>
          <w:lang w:eastAsia="en-US"/>
        </w:rPr>
        <w:t>pilvo diegli</w:t>
      </w:r>
      <w:r>
        <w:rPr>
          <w:lang w:eastAsia="en-US"/>
        </w:rPr>
        <w:t>ai</w:t>
      </w:r>
      <w:r w:rsidRPr="0082402D">
        <w:rPr>
          <w:lang w:eastAsia="en-US"/>
        </w:rPr>
        <w:t xml:space="preserve"> ir skausmingum</w:t>
      </w:r>
      <w:r>
        <w:rPr>
          <w:lang w:eastAsia="en-US"/>
        </w:rPr>
        <w:t>as</w:t>
      </w:r>
      <w:r w:rsidRPr="0082402D">
        <w:rPr>
          <w:lang w:eastAsia="en-US"/>
        </w:rPr>
        <w:t xml:space="preserve"> pilvo srityje, atsirandan</w:t>
      </w:r>
      <w:r>
        <w:rPr>
          <w:lang w:eastAsia="en-US"/>
        </w:rPr>
        <w:t>tys</w:t>
      </w:r>
      <w:r w:rsidRPr="0082402D">
        <w:rPr>
          <w:lang w:eastAsia="en-US"/>
        </w:rPr>
        <w:t xml:space="preserve"> netrukus po to, kai pradedamas </w:t>
      </w:r>
      <w:proofErr w:type="spellStart"/>
      <w:r w:rsidRPr="0082402D">
        <w:rPr>
          <w:lang w:eastAsia="en-US"/>
        </w:rPr>
        <w:t>Dicloberl</w:t>
      </w:r>
      <w:proofErr w:type="spellEnd"/>
      <w:r w:rsidRPr="0082402D">
        <w:rPr>
          <w:lang w:eastAsia="en-US"/>
        </w:rPr>
        <w:t xml:space="preserve"> vartojimas, po kurių, paprastai per 24 valandas nuo pilvo skausmo atsiradimo, prasideda kraujavimas iš tiesiosios žarnos arba viduriavimas su krauju (dažnis nežinomas, negali būti apskaičiuotas pagal turimus duomenis)</w:t>
      </w:r>
      <w:r>
        <w:rPr>
          <w:lang w:eastAsia="en-US"/>
        </w:rPr>
        <w:t>;</w:t>
      </w:r>
    </w:p>
    <w:p w14:paraId="6622C232" w14:textId="77777777" w:rsidR="00025AA4" w:rsidRPr="0082402D" w:rsidRDefault="00025AA4" w:rsidP="00025AA4">
      <w:pPr>
        <w:pStyle w:val="Sraopastraipa"/>
        <w:numPr>
          <w:ilvl w:val="0"/>
          <w:numId w:val="15"/>
        </w:numPr>
      </w:pPr>
      <w:r>
        <w:t>sunki</w:t>
      </w:r>
      <w:r w:rsidRPr="00857115">
        <w:t xml:space="preserve"> alerginė odos reakcija, kuri gali pasireikšti didelėmis, išplitusiomis raudonomis ir (arba) tamsiomis dėmėmis, odos patinimu, pūslėmis ir niež</w:t>
      </w:r>
      <w:r>
        <w:t>ėjimu</w:t>
      </w:r>
      <w:r w:rsidRPr="00857115">
        <w:t xml:space="preserve"> (vaistų sukeltas</w:t>
      </w:r>
      <w:r>
        <w:t xml:space="preserve"> išplitęs fiksuotas </w:t>
      </w:r>
      <w:proofErr w:type="spellStart"/>
      <w:r>
        <w:t>pūslinis</w:t>
      </w:r>
      <w:proofErr w:type="spellEnd"/>
      <w:r w:rsidRPr="00857115">
        <w:t xml:space="preserve"> </w:t>
      </w:r>
      <w:r>
        <w:t xml:space="preserve">odos </w:t>
      </w:r>
      <w:r w:rsidRPr="00857115">
        <w:t>bėrimas)</w:t>
      </w:r>
      <w:r>
        <w:t>.</w:t>
      </w:r>
    </w:p>
    <w:p w14:paraId="5E80DC91" w14:textId="77777777" w:rsidR="00025AA4" w:rsidRPr="0082402D" w:rsidRDefault="00025AA4" w:rsidP="00025AA4">
      <w:pPr>
        <w:pStyle w:val="BTEMEASMCA"/>
        <w:rPr>
          <w:color w:val="auto"/>
        </w:rPr>
      </w:pPr>
    </w:p>
    <w:p w14:paraId="109A8FCE" w14:textId="77777777" w:rsidR="00025AA4" w:rsidRPr="0082402D" w:rsidRDefault="00025AA4" w:rsidP="00025AA4">
      <w:pPr>
        <w:pStyle w:val="BTEMEASMCA"/>
        <w:rPr>
          <w:color w:val="auto"/>
        </w:rPr>
      </w:pPr>
      <w:r w:rsidRPr="0082402D">
        <w:rPr>
          <w:color w:val="auto"/>
        </w:rPr>
        <w:t>Nedelsdami kreipkitės į gydytoją, jeigu jums pasireikštų bent vienas iš šių reiškinių</w:t>
      </w:r>
      <w:r w:rsidRPr="0082402D">
        <w:rPr>
          <w:snapToGrid w:val="0"/>
          <w:color w:val="auto"/>
          <w:lang w:eastAsia="de-DE"/>
        </w:rPr>
        <w:t>:</w:t>
      </w:r>
    </w:p>
    <w:p w14:paraId="148B7F3F" w14:textId="77777777" w:rsidR="00025AA4" w:rsidRPr="0082402D" w:rsidRDefault="00025AA4" w:rsidP="00025AA4">
      <w:pPr>
        <w:pStyle w:val="Sraopastraipa"/>
        <w:numPr>
          <w:ilvl w:val="0"/>
          <w:numId w:val="2"/>
        </w:numPr>
        <w:tabs>
          <w:tab w:val="left" w:pos="567"/>
        </w:tabs>
        <w:ind w:left="567" w:hanging="567"/>
        <w:rPr>
          <w:rFonts w:eastAsia="Times New Roman"/>
          <w:bCs/>
          <w:iCs/>
          <w:noProof/>
          <w:lang w:eastAsia="en-US"/>
        </w:rPr>
      </w:pPr>
      <w:r w:rsidRPr="0082402D">
        <w:rPr>
          <w:rFonts w:eastAsia="Calibri"/>
          <w:bCs/>
          <w:lang w:eastAsia="en-US"/>
        </w:rPr>
        <w:t xml:space="preserve">krūtinės skausmas, kuris gali būti galimai sunkios alerginės reakcijos, vadinamos </w:t>
      </w:r>
      <w:proofErr w:type="spellStart"/>
      <w:r w:rsidRPr="0082402D">
        <w:rPr>
          <w:rFonts w:eastAsia="Calibri"/>
          <w:bCs/>
          <w:lang w:eastAsia="en-US"/>
        </w:rPr>
        <w:t>Kounis</w:t>
      </w:r>
      <w:proofErr w:type="spellEnd"/>
      <w:r w:rsidRPr="0082402D">
        <w:rPr>
          <w:rFonts w:eastAsia="Calibri"/>
          <w:bCs/>
          <w:lang w:eastAsia="en-US"/>
        </w:rPr>
        <w:t xml:space="preserve"> sindromu, požymis.</w:t>
      </w:r>
    </w:p>
    <w:p w14:paraId="469D4A36" w14:textId="77777777" w:rsidR="00025AA4" w:rsidRPr="0082402D" w:rsidRDefault="00025AA4" w:rsidP="00025AA4">
      <w:pPr>
        <w:pStyle w:val="BTEMEASMCA"/>
        <w:rPr>
          <w:color w:val="auto"/>
        </w:rPr>
      </w:pPr>
    </w:p>
    <w:p w14:paraId="1B34C78C" w14:textId="77777777" w:rsidR="00025AA4" w:rsidRPr="0082402D" w:rsidRDefault="00025AA4" w:rsidP="00025AA4">
      <w:pPr>
        <w:pStyle w:val="BTEMEASMCA"/>
        <w:rPr>
          <w:color w:val="auto"/>
        </w:rPr>
      </w:pPr>
      <w:r w:rsidRPr="0082402D">
        <w:rPr>
          <w:color w:val="auto"/>
        </w:rPr>
        <w:t>Pranešama apie su NVNU vartojimu susijusią vandens sankaupą organizme (edemą), aukštą kraujospūdį ir širdies nepakankamumą.</w:t>
      </w:r>
    </w:p>
    <w:p w14:paraId="52D7F5BD" w14:textId="77777777" w:rsidR="00025AA4" w:rsidRPr="0082402D" w:rsidRDefault="00025AA4" w:rsidP="00025AA4">
      <w:pPr>
        <w:pStyle w:val="BTEMEASMCA"/>
        <w:rPr>
          <w:color w:val="auto"/>
        </w:rPr>
      </w:pPr>
    </w:p>
    <w:p w14:paraId="41FB301F" w14:textId="77777777" w:rsidR="00025AA4" w:rsidRPr="0082402D" w:rsidRDefault="00025AA4" w:rsidP="00025AA4">
      <w:pPr>
        <w:pStyle w:val="BTEMEASMCA"/>
        <w:rPr>
          <w:color w:val="auto"/>
        </w:rPr>
      </w:pPr>
      <w:r w:rsidRPr="0082402D">
        <w:rPr>
          <w:color w:val="auto"/>
        </w:rPr>
        <w:t>Tokie vaistai, kaip Dicloberl, gali būti susiję su padidėjusia arterijų trombozės rizika, pavyzdžiui, širdies priepuoliu (miokardo infarktu) arba insultu (žr. 2 skyriuje „Dicloberl negalima vartoti“ ir „Įspėjimai ir atargumo priemonės“).</w:t>
      </w:r>
    </w:p>
    <w:p w14:paraId="5C71F4A5" w14:textId="77777777" w:rsidR="00025AA4" w:rsidRPr="0082402D" w:rsidRDefault="00025AA4" w:rsidP="00025AA4">
      <w:pPr>
        <w:pStyle w:val="BTEMEASMCA"/>
        <w:rPr>
          <w:color w:val="auto"/>
        </w:rPr>
      </w:pPr>
    </w:p>
    <w:p w14:paraId="1AC3408D" w14:textId="77777777" w:rsidR="00025AA4" w:rsidRDefault="00025AA4" w:rsidP="00025AA4">
      <w:pPr>
        <w:pStyle w:val="BTEMEASMCA"/>
        <w:rPr>
          <w:b/>
          <w:snapToGrid w:val="0"/>
          <w:color w:val="auto"/>
        </w:rPr>
      </w:pPr>
      <w:r w:rsidRPr="0082402D">
        <w:rPr>
          <w:b/>
          <w:snapToGrid w:val="0"/>
          <w:color w:val="auto"/>
        </w:rPr>
        <w:t>Dažni šalutinio poveikio reiškiniai (gali pasireikšti rečiau kaip 1 iš 10 asmenų):</w:t>
      </w:r>
    </w:p>
    <w:p w14:paraId="4F901632" w14:textId="77777777" w:rsidR="00025AA4" w:rsidRPr="008B5857" w:rsidRDefault="00025AA4" w:rsidP="00025AA4">
      <w:pPr>
        <w:pStyle w:val="BT-EMEASMCA"/>
        <w:numPr>
          <w:ilvl w:val="1"/>
          <w:numId w:val="9"/>
        </w:numPr>
        <w:tabs>
          <w:tab w:val="left" w:pos="720"/>
        </w:tabs>
        <w:ind w:left="567" w:hanging="567"/>
        <w:rPr>
          <w:rFonts w:eastAsia="Times New Roman"/>
        </w:rPr>
      </w:pPr>
      <w:r w:rsidRPr="0082402D">
        <w:t>skrandžio ir žarnyno sutrikimai</w:t>
      </w:r>
      <w:r w:rsidRPr="0082402D" w:rsidDel="003672F8">
        <w:t xml:space="preserve"> </w:t>
      </w:r>
      <w:r w:rsidRPr="0082402D">
        <w:t>– pykinimas, vėmimas ir viduriavimas;</w:t>
      </w:r>
    </w:p>
    <w:p w14:paraId="65B0661C" w14:textId="77777777" w:rsidR="00025AA4" w:rsidRPr="0082402D" w:rsidRDefault="00025AA4" w:rsidP="00025AA4">
      <w:pPr>
        <w:pStyle w:val="BT-EMEASMCA"/>
        <w:numPr>
          <w:ilvl w:val="1"/>
          <w:numId w:val="9"/>
        </w:numPr>
        <w:tabs>
          <w:tab w:val="left" w:pos="720"/>
        </w:tabs>
        <w:ind w:left="567" w:hanging="567"/>
      </w:pPr>
      <w:r w:rsidRPr="0082402D">
        <w:t>padidėjusio jautrumo reakcijos – odos bėrimas ir niežulys;</w:t>
      </w:r>
    </w:p>
    <w:p w14:paraId="3B4A3A3B" w14:textId="77777777" w:rsidR="00025AA4" w:rsidRPr="0082402D" w:rsidRDefault="00025AA4" w:rsidP="00025AA4">
      <w:pPr>
        <w:pStyle w:val="BT-EMEASMCA"/>
        <w:numPr>
          <w:ilvl w:val="1"/>
          <w:numId w:val="9"/>
        </w:numPr>
        <w:tabs>
          <w:tab w:val="left" w:pos="720"/>
        </w:tabs>
        <w:ind w:left="567" w:hanging="567"/>
      </w:pPr>
      <w:r w:rsidRPr="0082402D">
        <w:t>centrinės nervų sistemos sutrikimai – galvos skausmas, svaigulys;</w:t>
      </w:r>
    </w:p>
    <w:p w14:paraId="29A8BF27" w14:textId="77777777" w:rsidR="00025AA4" w:rsidRPr="0082402D" w:rsidRDefault="00025AA4" w:rsidP="00025AA4">
      <w:pPr>
        <w:pStyle w:val="BT-EMEASMCA"/>
        <w:numPr>
          <w:ilvl w:val="1"/>
          <w:numId w:val="9"/>
        </w:numPr>
        <w:tabs>
          <w:tab w:val="left" w:pos="720"/>
        </w:tabs>
        <w:ind w:left="567" w:hanging="567"/>
        <w:rPr>
          <w:rFonts w:eastAsia="Times New Roman"/>
        </w:rPr>
      </w:pPr>
      <w:r w:rsidRPr="0082402D">
        <w:t>sutrikęs virškinimas (dispepsija), dujų susikaupimas žarnyne, skrandžio spazmas (pilvo skausmas), apetito stoka (anoreksija);</w:t>
      </w:r>
    </w:p>
    <w:p w14:paraId="49BA0D37" w14:textId="77777777" w:rsidR="00025AA4" w:rsidRPr="0082402D" w:rsidRDefault="00025AA4" w:rsidP="00025AA4">
      <w:pPr>
        <w:pStyle w:val="BT-EMEASMCA"/>
        <w:numPr>
          <w:ilvl w:val="0"/>
          <w:numId w:val="6"/>
        </w:numPr>
        <w:ind w:left="567" w:hanging="567"/>
      </w:pPr>
      <w:r w:rsidRPr="0082402D">
        <w:t>kepenų fermentų aktyvumo padidėjimas kraujyje;</w:t>
      </w:r>
    </w:p>
    <w:p w14:paraId="0199CCDA" w14:textId="77777777" w:rsidR="00025AA4" w:rsidRPr="0082402D" w:rsidRDefault="00025AA4" w:rsidP="00025AA4">
      <w:pPr>
        <w:pStyle w:val="Sraopastraipa"/>
        <w:numPr>
          <w:ilvl w:val="0"/>
          <w:numId w:val="6"/>
        </w:numPr>
        <w:ind w:left="567" w:hanging="567"/>
      </w:pPr>
      <w:r w:rsidRPr="0082402D">
        <w:t>galvos sukimasis (</w:t>
      </w:r>
      <w:proofErr w:type="spellStart"/>
      <w:r w:rsidRPr="0082402D">
        <w:rPr>
          <w:i/>
        </w:rPr>
        <w:t>vertigo</w:t>
      </w:r>
      <w:proofErr w:type="spellEnd"/>
      <w:r w:rsidRPr="0082402D">
        <w:t>);</w:t>
      </w:r>
    </w:p>
    <w:p w14:paraId="045480D2" w14:textId="77777777" w:rsidR="00025AA4" w:rsidRPr="0082402D" w:rsidRDefault="00025AA4" w:rsidP="00025AA4">
      <w:pPr>
        <w:pStyle w:val="Sraopastraipa"/>
        <w:numPr>
          <w:ilvl w:val="0"/>
          <w:numId w:val="6"/>
        </w:numPr>
        <w:ind w:left="567" w:hanging="567"/>
      </w:pPr>
      <w:r w:rsidRPr="0082402D">
        <w:t xml:space="preserve">naudojant žvakutes dažnai gali būti vietiniai dirginimo simptomai, kraujingos gleivės arba skausmingas tuštinimasis. </w:t>
      </w:r>
    </w:p>
    <w:p w14:paraId="38DE9F8E" w14:textId="77777777" w:rsidR="00025AA4" w:rsidRPr="0082402D" w:rsidRDefault="00025AA4" w:rsidP="00025AA4">
      <w:r w:rsidRPr="0082402D">
        <w:t xml:space="preserve"> </w:t>
      </w:r>
    </w:p>
    <w:p w14:paraId="4F9BD074" w14:textId="77777777" w:rsidR="00025AA4" w:rsidRPr="0082402D" w:rsidRDefault="00025AA4" w:rsidP="00025AA4">
      <w:pPr>
        <w:rPr>
          <w:rFonts w:eastAsia="Times New Roman"/>
          <w:lang w:eastAsia="x-none"/>
        </w:rPr>
      </w:pPr>
      <w:r w:rsidRPr="0082402D">
        <w:rPr>
          <w:b/>
          <w:bCs/>
          <w:noProof/>
          <w:snapToGrid w:val="0"/>
        </w:rPr>
        <w:t>Nedažni šalutinio poveikio reiškiniai (gali pasireikšti rečiau kaip 1 iš 100 asmenų):</w:t>
      </w:r>
    </w:p>
    <w:p w14:paraId="2798BFC5" w14:textId="77777777" w:rsidR="00025AA4" w:rsidRPr="0082402D" w:rsidRDefault="00025AA4" w:rsidP="00025AA4">
      <w:pPr>
        <w:pStyle w:val="Sraopastraipa"/>
        <w:numPr>
          <w:ilvl w:val="0"/>
          <w:numId w:val="10"/>
        </w:numPr>
        <w:ind w:left="567" w:hanging="567"/>
      </w:pPr>
      <w:r w:rsidRPr="0082402D">
        <w:t>bėrimas pūkšlėmis (dilgėlinė).</w:t>
      </w:r>
    </w:p>
    <w:p w14:paraId="2A01A2F0" w14:textId="77777777" w:rsidR="00025AA4" w:rsidRPr="0082402D" w:rsidRDefault="00025AA4" w:rsidP="00025AA4">
      <w:pPr>
        <w:pStyle w:val="Sraopastraipa"/>
        <w:ind w:left="0"/>
      </w:pPr>
      <w:r w:rsidRPr="0082402D">
        <w:t>Tokiais atvejais nedelsiant reikia nutraukti vaisto vartojimą ir kreiptis į gydytoją.</w:t>
      </w:r>
    </w:p>
    <w:p w14:paraId="1BD497C6" w14:textId="77777777" w:rsidR="00025AA4" w:rsidRPr="0082402D" w:rsidRDefault="00025AA4" w:rsidP="00025AA4"/>
    <w:p w14:paraId="45CF3E74" w14:textId="77777777" w:rsidR="00025AA4" w:rsidRPr="0082402D" w:rsidRDefault="00025AA4" w:rsidP="00025AA4">
      <w:pPr>
        <w:pStyle w:val="BTEMEASMCA"/>
        <w:rPr>
          <w:color w:val="auto"/>
        </w:rPr>
      </w:pPr>
      <w:r w:rsidRPr="0082402D">
        <w:rPr>
          <w:b/>
          <w:snapToGrid w:val="0"/>
          <w:color w:val="auto"/>
        </w:rPr>
        <w:t>Reti šalutinio poveikio reiškiniai (gali pasireikšti rečiau kaip 1 iš 1 000 asmenų):</w:t>
      </w:r>
    </w:p>
    <w:p w14:paraId="3A9BB278" w14:textId="77777777" w:rsidR="00025AA4" w:rsidRPr="0082402D" w:rsidRDefault="00025AA4" w:rsidP="00025AA4">
      <w:pPr>
        <w:pStyle w:val="BT-EMEASMCA"/>
        <w:numPr>
          <w:ilvl w:val="0"/>
          <w:numId w:val="7"/>
        </w:numPr>
        <w:ind w:left="567" w:hanging="567"/>
      </w:pPr>
      <w:r w:rsidRPr="0082402D">
        <w:t xml:space="preserve">padidėjęs jautrumas, anafilaksinės ir </w:t>
      </w:r>
      <w:proofErr w:type="spellStart"/>
      <w:r w:rsidRPr="0082402D">
        <w:t>anafilaktoidinės</w:t>
      </w:r>
      <w:proofErr w:type="spellEnd"/>
      <w:r w:rsidRPr="0082402D">
        <w:t xml:space="preserve"> reakcijos (tai gali pasireikšti kvėpavimo takų susiaurėjimu, dusuliu (kvėpavimo </w:t>
      </w:r>
      <w:proofErr w:type="spellStart"/>
      <w:r w:rsidRPr="0082402D">
        <w:t>distresas</w:t>
      </w:r>
      <w:proofErr w:type="spellEnd"/>
      <w:r w:rsidRPr="0082402D">
        <w:t>), dažnu pulsu, kraujospūdžio staigiu sumažėjimu (</w:t>
      </w:r>
      <w:proofErr w:type="spellStart"/>
      <w:r w:rsidRPr="0082402D">
        <w:t>hipotenzija</w:t>
      </w:r>
      <w:proofErr w:type="spellEnd"/>
      <w:r w:rsidRPr="0082402D">
        <w:t>) ir šoku;</w:t>
      </w:r>
    </w:p>
    <w:p w14:paraId="021A86A1" w14:textId="77777777" w:rsidR="00025AA4" w:rsidRPr="0082402D" w:rsidRDefault="00025AA4" w:rsidP="00025AA4">
      <w:pPr>
        <w:pStyle w:val="BT-EMEASMCA"/>
        <w:numPr>
          <w:ilvl w:val="0"/>
          <w:numId w:val="11"/>
        </w:numPr>
        <w:tabs>
          <w:tab w:val="left" w:pos="567"/>
        </w:tabs>
        <w:ind w:left="567" w:hanging="567"/>
        <w:rPr>
          <w:rFonts w:eastAsia="Times New Roman"/>
        </w:rPr>
      </w:pPr>
      <w:r w:rsidRPr="0082402D">
        <w:t>skrandžio gleivinės uždegimas (gastritas), kraujavimas virškinimo trakte (</w:t>
      </w:r>
      <w:proofErr w:type="spellStart"/>
      <w:r w:rsidRPr="0082402D">
        <w:t>hemoragija</w:t>
      </w:r>
      <w:proofErr w:type="spellEnd"/>
      <w:r w:rsidRPr="0082402D">
        <w:t>), vėmimas krauju, deguto spalvos išmatos (</w:t>
      </w:r>
      <w:proofErr w:type="spellStart"/>
      <w:r w:rsidRPr="0082402D">
        <w:t>melena</w:t>
      </w:r>
      <w:proofErr w:type="spellEnd"/>
      <w:r w:rsidRPr="0082402D">
        <w:t>)  arba viduriavimas kraujingomis išmatomis</w:t>
      </w:r>
      <w:r w:rsidRPr="0082402D">
        <w:rPr>
          <w:rFonts w:eastAsia="Times New Roman"/>
          <w:bCs/>
          <w:noProof/>
          <w:lang w:eastAsia="en-US"/>
        </w:rPr>
        <w:t>, kuris išskirtiniais atvejais gali sukelti anemiją (mažakraujystę), skrandžio ir žarnyno opos (galinčios sukelti kraujavimą ir perforaciją)</w:t>
      </w:r>
      <w:r w:rsidRPr="0082402D">
        <w:t>;</w:t>
      </w:r>
    </w:p>
    <w:p w14:paraId="4EAB8A95" w14:textId="77777777" w:rsidR="00025AA4" w:rsidRPr="0082402D" w:rsidRDefault="00025AA4" w:rsidP="00025AA4">
      <w:pPr>
        <w:pStyle w:val="BT-EMEASMCA"/>
        <w:numPr>
          <w:ilvl w:val="0"/>
          <w:numId w:val="11"/>
        </w:numPr>
        <w:tabs>
          <w:tab w:val="left" w:pos="567"/>
        </w:tabs>
        <w:ind w:left="567" w:hanging="567"/>
      </w:pPr>
      <w:r w:rsidRPr="0082402D">
        <w:t>kepenų ligos, kepenų uždegimas (hepatitas), gelta;</w:t>
      </w:r>
    </w:p>
    <w:p w14:paraId="25F04389" w14:textId="77777777" w:rsidR="00025AA4" w:rsidRPr="0082402D" w:rsidRDefault="00025AA4" w:rsidP="00025AA4">
      <w:pPr>
        <w:pStyle w:val="BT-EMEASMCA"/>
        <w:numPr>
          <w:ilvl w:val="0"/>
          <w:numId w:val="7"/>
        </w:numPr>
        <w:ind w:left="567" w:hanging="567"/>
      </w:pPr>
      <w:r w:rsidRPr="0082402D">
        <w:t>astma (įskaitant dusulį);</w:t>
      </w:r>
    </w:p>
    <w:p w14:paraId="0D5B9B3D" w14:textId="77777777" w:rsidR="00025AA4" w:rsidRPr="0082402D" w:rsidRDefault="00025AA4" w:rsidP="00025AA4">
      <w:pPr>
        <w:pStyle w:val="BT-EMEASMCA"/>
        <w:numPr>
          <w:ilvl w:val="0"/>
          <w:numId w:val="7"/>
        </w:numPr>
        <w:ind w:left="567" w:hanging="567"/>
      </w:pPr>
      <w:r w:rsidRPr="0082402D">
        <w:t>mieguistumas;</w:t>
      </w:r>
    </w:p>
    <w:p w14:paraId="0E5F3D0B" w14:textId="77777777" w:rsidR="00025AA4" w:rsidRPr="0082402D" w:rsidRDefault="00025AA4" w:rsidP="00025AA4">
      <w:pPr>
        <w:pStyle w:val="BT-EMEASMCA"/>
        <w:numPr>
          <w:ilvl w:val="0"/>
          <w:numId w:val="7"/>
        </w:numPr>
        <w:ind w:left="567" w:hanging="567"/>
      </w:pPr>
      <w:r w:rsidRPr="0082402D">
        <w:lastRenderedPageBreak/>
        <w:t>edemų susidarymas (vandens kaupimasis organizme), ypač pacientams, kuriems yra aukštas kraujospūdis arba sutrikusi inkstų funkcija.</w:t>
      </w:r>
    </w:p>
    <w:p w14:paraId="76B58637" w14:textId="77777777" w:rsidR="00025AA4" w:rsidRPr="0082402D" w:rsidRDefault="00025AA4" w:rsidP="00025AA4">
      <w:pPr>
        <w:pStyle w:val="BTEMEASMCA"/>
        <w:rPr>
          <w:color w:val="auto"/>
        </w:rPr>
      </w:pPr>
    </w:p>
    <w:p w14:paraId="2CEAE72A" w14:textId="77777777" w:rsidR="00025AA4" w:rsidRPr="0082402D" w:rsidRDefault="00025AA4" w:rsidP="00025AA4">
      <w:pPr>
        <w:pStyle w:val="BTEMEASMCA"/>
        <w:rPr>
          <w:color w:val="auto"/>
        </w:rPr>
      </w:pPr>
      <w:r w:rsidRPr="0082402D">
        <w:rPr>
          <w:b/>
          <w:snapToGrid w:val="0"/>
          <w:color w:val="auto"/>
        </w:rPr>
        <w:t>Labai reti šalutinio poveikio reiškiniai (gali pasireikšti rečiau kaip 1 iš 10 000 asmenų</w:t>
      </w:r>
      <w:r>
        <w:rPr>
          <w:b/>
          <w:snapToGrid w:val="0"/>
          <w:color w:val="auto"/>
        </w:rPr>
        <w:t>)</w:t>
      </w:r>
      <w:r w:rsidRPr="0082402D">
        <w:rPr>
          <w:b/>
          <w:snapToGrid w:val="0"/>
          <w:color w:val="auto"/>
        </w:rPr>
        <w:t>:</w:t>
      </w:r>
    </w:p>
    <w:p w14:paraId="4AB30169" w14:textId="77777777" w:rsidR="00025AA4" w:rsidRPr="0082402D" w:rsidRDefault="00025AA4" w:rsidP="00025AA4">
      <w:pPr>
        <w:pStyle w:val="BT-EMEASMCA"/>
        <w:numPr>
          <w:ilvl w:val="0"/>
          <w:numId w:val="12"/>
        </w:numPr>
        <w:tabs>
          <w:tab w:val="left" w:pos="720"/>
        </w:tabs>
        <w:ind w:left="567" w:hanging="567"/>
      </w:pPr>
      <w:r w:rsidRPr="0082402D">
        <w:t xml:space="preserve">vartojant </w:t>
      </w:r>
      <w:proofErr w:type="spellStart"/>
      <w:r w:rsidRPr="0082402D">
        <w:t>diklofenako</w:t>
      </w:r>
      <w:proofErr w:type="spellEnd"/>
      <w:r w:rsidRPr="0082402D">
        <w:t xml:space="preserve"> pasitaikė meningito simptomai (</w:t>
      </w:r>
      <w:proofErr w:type="spellStart"/>
      <w:r w:rsidRPr="0082402D">
        <w:t>aseptinis</w:t>
      </w:r>
      <w:proofErr w:type="spellEnd"/>
      <w:r w:rsidRPr="0082402D">
        <w:t xml:space="preserve"> meningitas), pasireiškiantis galvos skausmu, pykinimu, vėmimu, karščiavimu, sprando sąstingiu arba sąmonės pritemimu. Didesnė rizika atrodo galima pacientams, sergantiems autoimuninėmis ligomis (sistemine raudonąja vilklige, mišria jungiamojo audinio liga);</w:t>
      </w:r>
    </w:p>
    <w:p w14:paraId="5049FA1A" w14:textId="77777777" w:rsidR="00025AA4" w:rsidRPr="0082402D" w:rsidRDefault="00025AA4" w:rsidP="00025AA4">
      <w:pPr>
        <w:pStyle w:val="BT-EMEASMCA"/>
        <w:numPr>
          <w:ilvl w:val="0"/>
          <w:numId w:val="12"/>
        </w:numPr>
        <w:tabs>
          <w:tab w:val="left" w:pos="720"/>
        </w:tabs>
        <w:ind w:left="567" w:hanging="567"/>
      </w:pPr>
      <w:proofErr w:type="spellStart"/>
      <w:r w:rsidRPr="0082402D">
        <w:t>kraujodaros</w:t>
      </w:r>
      <w:proofErr w:type="spellEnd"/>
      <w:r w:rsidRPr="0082402D">
        <w:t xml:space="preserve"> sutrikimai, pvz., anemija, </w:t>
      </w:r>
      <w:proofErr w:type="spellStart"/>
      <w:r w:rsidRPr="0082402D">
        <w:t>leukopenija</w:t>
      </w:r>
      <w:proofErr w:type="spellEnd"/>
      <w:r w:rsidRPr="0082402D">
        <w:t xml:space="preserve"> (baltųjų kraujo ląstelių skaičiaus sumažėjimas), </w:t>
      </w:r>
      <w:proofErr w:type="spellStart"/>
      <w:r w:rsidRPr="0082402D">
        <w:t>trombocitopenija</w:t>
      </w:r>
      <w:proofErr w:type="spellEnd"/>
      <w:r w:rsidRPr="0082402D">
        <w:t xml:space="preserve"> (trombocitų skaičiaus sumažėjimas), </w:t>
      </w:r>
      <w:proofErr w:type="spellStart"/>
      <w:r w:rsidRPr="0082402D">
        <w:t>pancitopenija</w:t>
      </w:r>
      <w:proofErr w:type="spellEnd"/>
      <w:r w:rsidRPr="0082402D">
        <w:t xml:space="preserve"> (raudonųjų, baltųjų kraujo ląstelių ir trombocitų skaičiaus sumažėjimas), </w:t>
      </w:r>
      <w:proofErr w:type="spellStart"/>
      <w:r w:rsidRPr="0082402D">
        <w:t>agranulocitozė</w:t>
      </w:r>
      <w:proofErr w:type="spellEnd"/>
      <w:r w:rsidRPr="0082402D">
        <w:t xml:space="preserve"> (ūminė būklė, susijusi su gyvybei pavojingu </w:t>
      </w:r>
      <w:proofErr w:type="spellStart"/>
      <w:r w:rsidRPr="0082402D">
        <w:t>neutrofilų</w:t>
      </w:r>
      <w:proofErr w:type="spellEnd"/>
      <w:r w:rsidRPr="0082402D">
        <w:t xml:space="preserve"> skaičiaus sumažėjimu kraujyje), hemolizinė ir </w:t>
      </w:r>
      <w:proofErr w:type="spellStart"/>
      <w:r w:rsidRPr="0082402D">
        <w:t>aplastinė</w:t>
      </w:r>
      <w:proofErr w:type="spellEnd"/>
      <w:r w:rsidRPr="0082402D">
        <w:t xml:space="preserve"> anemija (raudonųjų kraujo ląstelių stoka dėl padidėjusio jų irimo); pirmaisiais šių sutrikimų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 Negalima savarankiškai gydytis kokiais nors skausmą malšinančiais ar karščiavimą mažinančiais vaistais. G</w:t>
      </w:r>
      <w:r w:rsidRPr="0082402D">
        <w:rPr>
          <w:lang w:eastAsia="en-US"/>
        </w:rPr>
        <w:t>ydymo laikotarpiu reikia reguliariai tikrinti kraujo ląstelių sudėtį;</w:t>
      </w:r>
    </w:p>
    <w:p w14:paraId="410C92EF" w14:textId="77777777" w:rsidR="00025AA4" w:rsidRPr="0082402D" w:rsidRDefault="00025AA4" w:rsidP="00025AA4">
      <w:pPr>
        <w:pStyle w:val="BT-EMEASMCA"/>
        <w:numPr>
          <w:ilvl w:val="0"/>
          <w:numId w:val="8"/>
        </w:numPr>
        <w:ind w:left="567" w:hanging="567"/>
        <w:rPr>
          <w:noProof/>
        </w:rPr>
      </w:pPr>
      <w:r w:rsidRPr="0082402D">
        <w:rPr>
          <w:noProof/>
        </w:rPr>
        <w:t xml:space="preserve">angioneurozinė edema (veido, liežuvio ir tikrojo balso plyšio edema). Jei atsiranda bent vienas iš šių simptomų, kurie gali atsirasti net pirmą kartą vartojant, diklofenako vartojimą reikia nedelsiant nutraukti ir </w:t>
      </w:r>
      <w:r w:rsidRPr="0082402D">
        <w:t>kreiptis pagalbos į gydytoją</w:t>
      </w:r>
      <w:r w:rsidRPr="0082402D">
        <w:rPr>
          <w:noProof/>
        </w:rPr>
        <w:t>;</w:t>
      </w:r>
    </w:p>
    <w:p w14:paraId="1A6DAC59" w14:textId="77777777" w:rsidR="00025AA4" w:rsidRPr="0082402D" w:rsidRDefault="00025AA4" w:rsidP="00025AA4">
      <w:pPr>
        <w:pStyle w:val="BT-EMEASMCA"/>
        <w:numPr>
          <w:ilvl w:val="0"/>
          <w:numId w:val="8"/>
        </w:numPr>
        <w:ind w:left="567" w:hanging="567"/>
        <w:rPr>
          <w:noProof/>
        </w:rPr>
      </w:pPr>
      <w:r w:rsidRPr="0082402D">
        <w:rPr>
          <w:noProof/>
        </w:rPr>
        <w:t>buvo pastebėtas alerginis kraujagyslių uždegimas (vaskulitas) ir plaučių uždegimas (pneumonitas);</w:t>
      </w:r>
    </w:p>
    <w:p w14:paraId="7C799DC8" w14:textId="77777777" w:rsidR="00025AA4" w:rsidRPr="0082402D" w:rsidRDefault="00025AA4" w:rsidP="00025AA4">
      <w:pPr>
        <w:pStyle w:val="BT-EMEASMCA"/>
        <w:numPr>
          <w:ilvl w:val="0"/>
          <w:numId w:val="8"/>
        </w:numPr>
        <w:ind w:left="567" w:hanging="567"/>
      </w:pPr>
      <w:r w:rsidRPr="0082402D">
        <w:t>psichozės tipo reakcijos, depresija, nerimo pojūtis, nemiga, dirglumas, naktiniai košmarai;</w:t>
      </w:r>
    </w:p>
    <w:p w14:paraId="60A6FE7C" w14:textId="77777777" w:rsidR="00025AA4" w:rsidRPr="0082402D" w:rsidRDefault="00025AA4" w:rsidP="00025AA4">
      <w:pPr>
        <w:pStyle w:val="BT-EMEASMCA"/>
        <w:numPr>
          <w:ilvl w:val="0"/>
          <w:numId w:val="8"/>
        </w:numPr>
        <w:ind w:left="567" w:hanging="567"/>
      </w:pPr>
      <w:r w:rsidRPr="0082402D">
        <w:t>sutrikęs jutimas, skonio jutimo, atminties, orientacijos sutrikimas, konvulsijos, drebulys, insultas (smegenų kraujotakos staigus sutrikimas);</w:t>
      </w:r>
    </w:p>
    <w:p w14:paraId="017DCC91" w14:textId="77777777" w:rsidR="00025AA4" w:rsidRPr="0082402D" w:rsidRDefault="00025AA4" w:rsidP="00025AA4">
      <w:pPr>
        <w:pStyle w:val="BT-EMEASMCA"/>
        <w:numPr>
          <w:ilvl w:val="0"/>
          <w:numId w:val="8"/>
        </w:numPr>
        <w:ind w:left="567" w:hanging="567"/>
      </w:pPr>
      <w:r w:rsidRPr="0082402D">
        <w:t xml:space="preserve">sutrikęs </w:t>
      </w:r>
      <w:proofErr w:type="spellStart"/>
      <w:r w:rsidRPr="0082402D">
        <w:t>regėjimas,vaizdo</w:t>
      </w:r>
      <w:proofErr w:type="spellEnd"/>
      <w:r w:rsidRPr="0082402D">
        <w:t xml:space="preserve"> ryškumo sumažėjimas, vaizdo dvejinimasis;</w:t>
      </w:r>
    </w:p>
    <w:p w14:paraId="521D9145" w14:textId="77777777" w:rsidR="00025AA4" w:rsidRPr="0082402D" w:rsidRDefault="00025AA4" w:rsidP="00025AA4">
      <w:pPr>
        <w:pStyle w:val="BT-EMEASMCA"/>
        <w:numPr>
          <w:ilvl w:val="0"/>
          <w:numId w:val="8"/>
        </w:numPr>
        <w:ind w:left="567" w:hanging="567"/>
      </w:pPr>
      <w:r w:rsidRPr="0082402D">
        <w:t>spengimas ausyse, klausos sutrikimai;</w:t>
      </w:r>
    </w:p>
    <w:p w14:paraId="535ADF8E" w14:textId="77777777" w:rsidR="00025AA4" w:rsidRPr="0082402D" w:rsidRDefault="00025AA4" w:rsidP="00025AA4">
      <w:pPr>
        <w:pStyle w:val="BT-EMEASMCA"/>
        <w:numPr>
          <w:ilvl w:val="0"/>
          <w:numId w:val="8"/>
        </w:numPr>
        <w:ind w:left="567" w:hanging="567"/>
      </w:pPr>
      <w:r w:rsidRPr="0082402D">
        <w:t>pernelyg greitas juntamas širdies plakimas (</w:t>
      </w:r>
      <w:proofErr w:type="spellStart"/>
      <w:r w:rsidRPr="0082402D">
        <w:t>palpitacija</w:t>
      </w:r>
      <w:proofErr w:type="spellEnd"/>
      <w:r w:rsidRPr="0082402D">
        <w:t>), krūtinės skausmas, širdies raumens silpnumas (širdies nepakankamumas), širdies priepuolis (miokardo infarktas);</w:t>
      </w:r>
    </w:p>
    <w:p w14:paraId="603F2792" w14:textId="77777777" w:rsidR="00025AA4" w:rsidRPr="0082402D" w:rsidRDefault="00025AA4" w:rsidP="00025AA4">
      <w:pPr>
        <w:pStyle w:val="BT-EMEASMCA"/>
        <w:numPr>
          <w:ilvl w:val="0"/>
          <w:numId w:val="8"/>
        </w:numPr>
        <w:ind w:left="567" w:hanging="567"/>
      </w:pPr>
      <w:r w:rsidRPr="0082402D">
        <w:t>aukštas kraujospūdis (hipertenzija);</w:t>
      </w:r>
    </w:p>
    <w:p w14:paraId="71DDF5D6" w14:textId="77777777" w:rsidR="00025AA4" w:rsidRPr="0082402D" w:rsidRDefault="00025AA4" w:rsidP="00025AA4">
      <w:pPr>
        <w:pStyle w:val="BT-EMEASMCA"/>
        <w:numPr>
          <w:ilvl w:val="0"/>
          <w:numId w:val="8"/>
        </w:numPr>
        <w:ind w:left="567" w:hanging="567"/>
      </w:pPr>
      <w:r w:rsidRPr="0082402D">
        <w:t>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uždegimą su kraujavimu  ar Krono ligos arba opinio kolito (tam tikri storosios žarnos uždegimai, lydimi opų) paūmėjimas, kasos uždegimas (pankreatitas), žarnų susiaurėjimas;</w:t>
      </w:r>
    </w:p>
    <w:p w14:paraId="6B2CFEDD" w14:textId="77777777" w:rsidR="00025AA4" w:rsidRPr="0082402D" w:rsidRDefault="00025AA4" w:rsidP="00025AA4">
      <w:pPr>
        <w:pStyle w:val="BT-EMEASMCA"/>
        <w:numPr>
          <w:ilvl w:val="0"/>
          <w:numId w:val="0"/>
        </w:numPr>
        <w:ind w:left="567"/>
        <w:rPr>
          <w:noProof/>
        </w:rPr>
      </w:pPr>
      <w:r w:rsidRPr="0082402D">
        <w:rPr>
          <w:noProof/>
        </w:rPr>
        <w:t xml:space="preserve">Atsiradus stipriam viršutinės pilvo dalies skausmui, vėmimui su krauju, juodos spalvos išmatoms arba kraujui išmatose, būtina nutraukti Dicloberl vartojimą ir nedelsiant kreiptis į gydytoją; </w:t>
      </w:r>
    </w:p>
    <w:p w14:paraId="383A4252" w14:textId="77777777" w:rsidR="00025AA4" w:rsidRPr="0082402D" w:rsidRDefault="00025AA4" w:rsidP="00025AA4">
      <w:pPr>
        <w:pStyle w:val="BT-EMEASMCA"/>
        <w:numPr>
          <w:ilvl w:val="0"/>
          <w:numId w:val="8"/>
        </w:numPr>
        <w:ind w:left="567" w:hanging="567"/>
        <w:rPr>
          <w:noProof/>
        </w:rPr>
      </w:pPr>
      <w:r w:rsidRPr="0082402D">
        <w:rPr>
          <w:noProof/>
        </w:rPr>
        <w:t>kepenų nekrozė, kepenų nepakankamumas, labai greitai progresuojantis (žaibinis) kepenų uždegimas (hepatitas).</w:t>
      </w:r>
      <w:r w:rsidRPr="0082402D">
        <w:t xml:space="preserve"> </w:t>
      </w:r>
      <w:r w:rsidRPr="0082402D">
        <w:rPr>
          <w:noProof/>
        </w:rPr>
        <w:t>Ilgai vartojant vaisto reikia reguliariai atlikti kepenų funkcijos tyrimus;</w:t>
      </w:r>
    </w:p>
    <w:p w14:paraId="2E0F1C22" w14:textId="77777777" w:rsidR="00025AA4" w:rsidRPr="0082402D" w:rsidRDefault="00025AA4" w:rsidP="00025AA4">
      <w:pPr>
        <w:pStyle w:val="BT-EMEASMCA"/>
        <w:numPr>
          <w:ilvl w:val="0"/>
          <w:numId w:val="8"/>
        </w:numPr>
        <w:ind w:left="567" w:hanging="567"/>
      </w:pPr>
      <w:r w:rsidRPr="0082402D">
        <w:t>stiprios odos reakcijos: bėrimas su odos paraudimu (</w:t>
      </w:r>
      <w:proofErr w:type="spellStart"/>
      <w:r w:rsidRPr="0082402D">
        <w:t>ekzantema</w:t>
      </w:r>
      <w:proofErr w:type="spellEnd"/>
      <w:r w:rsidRPr="0082402D">
        <w:t xml:space="preserve">, egzema, </w:t>
      </w:r>
      <w:proofErr w:type="spellStart"/>
      <w:r w:rsidRPr="0082402D">
        <w:t>eritema</w:t>
      </w:r>
      <w:proofErr w:type="spellEnd"/>
      <w:r w:rsidRPr="0082402D">
        <w:t xml:space="preserve">, daugiaformė raudonė), odos išbėrimas pūslėmis (pvz.: </w:t>
      </w:r>
      <w:proofErr w:type="spellStart"/>
      <w:r w:rsidRPr="0082402D">
        <w:t>Stivenso</w:t>
      </w:r>
      <w:proofErr w:type="spellEnd"/>
      <w:r w:rsidRPr="0082402D">
        <w:t xml:space="preserve">-Džonsono sindromas, toksinė epidermio </w:t>
      </w:r>
      <w:proofErr w:type="spellStart"/>
      <w:r w:rsidRPr="0082402D">
        <w:t>nekrolizė</w:t>
      </w:r>
      <w:proofErr w:type="spellEnd"/>
      <w:r w:rsidRPr="0082402D">
        <w:t xml:space="preserve"> arba </w:t>
      </w:r>
      <w:proofErr w:type="spellStart"/>
      <w:r w:rsidRPr="0082402D">
        <w:t>Lajelio</w:t>
      </w:r>
      <w:proofErr w:type="spellEnd"/>
      <w:r w:rsidRPr="0082402D">
        <w:t xml:space="preserve"> sindromas) arba odos lupimasis (</w:t>
      </w:r>
      <w:proofErr w:type="spellStart"/>
      <w:r w:rsidRPr="0082402D">
        <w:t>eksfoliacinis</w:t>
      </w:r>
      <w:proofErr w:type="spellEnd"/>
      <w:r w:rsidRPr="0082402D">
        <w:t xml:space="preserve"> dermatitas), padidėjusio jautrumo šviesai reakcija, vietinė kraujosruva (purpura), kuri taip pat gali būti alerginės kilmės, niežulys, plaukų slinkimas;</w:t>
      </w:r>
    </w:p>
    <w:p w14:paraId="14B6FDC0" w14:textId="77777777" w:rsidR="00025AA4" w:rsidRPr="0082402D" w:rsidRDefault="00025AA4" w:rsidP="00025AA4">
      <w:pPr>
        <w:pStyle w:val="BT-EMEASMCA"/>
        <w:numPr>
          <w:ilvl w:val="0"/>
          <w:numId w:val="13"/>
        </w:numPr>
        <w:ind w:left="567" w:hanging="567"/>
      </w:pPr>
      <w:r w:rsidRPr="0082402D">
        <w:t>inkstų audinio pažeidimai (</w:t>
      </w:r>
      <w:proofErr w:type="spellStart"/>
      <w:r w:rsidRPr="0082402D">
        <w:t>intersticinis</w:t>
      </w:r>
      <w:proofErr w:type="spellEnd"/>
      <w:r w:rsidRPr="0082402D">
        <w:t xml:space="preserve"> nefritas, inkstų spenelių nekrozė), kuriuos gali papildyti ūminis inkstų funkcijos sutrikimas (inkstų nepakankamumas), baltymas šlapime (</w:t>
      </w:r>
      <w:proofErr w:type="spellStart"/>
      <w:r w:rsidRPr="0082402D">
        <w:t>proteinurija</w:t>
      </w:r>
      <w:proofErr w:type="spellEnd"/>
      <w:r w:rsidRPr="0082402D">
        <w:t>) ir (arba) kraujas šlapime (</w:t>
      </w:r>
      <w:proofErr w:type="spellStart"/>
      <w:r w:rsidRPr="0082402D">
        <w:t>hematurija</w:t>
      </w:r>
      <w:proofErr w:type="spellEnd"/>
      <w:r w:rsidRPr="0082402D">
        <w:t xml:space="preserve">), </w:t>
      </w:r>
      <w:proofErr w:type="spellStart"/>
      <w:r w:rsidRPr="0082402D">
        <w:t>nefrozinis</w:t>
      </w:r>
      <w:proofErr w:type="spellEnd"/>
      <w:r w:rsidRPr="0082402D">
        <w:t xml:space="preserve"> sindromas (edema ir didelio baltymo kiekio išsiskyrimas su šlapimu). Užtikrinkite, kad  reguliariai būtų tikrinama jūsų inkstų funkcija;</w:t>
      </w:r>
    </w:p>
    <w:p w14:paraId="4B316778" w14:textId="77777777" w:rsidR="00025AA4" w:rsidRPr="0082402D" w:rsidRDefault="00025AA4" w:rsidP="00025AA4">
      <w:pPr>
        <w:pStyle w:val="Sraopastraipa"/>
        <w:keepNext/>
        <w:numPr>
          <w:ilvl w:val="0"/>
          <w:numId w:val="13"/>
        </w:numPr>
        <w:ind w:left="567" w:hanging="567"/>
        <w:outlineLvl w:val="3"/>
      </w:pPr>
      <w:r w:rsidRPr="0082402D">
        <w:t xml:space="preserve">sumažėjęs šlapimo kiekis, skysčio kaupimasis organizme (edema), taip pat bendra bloga savijauta gali būti inkstų ligos, netgi inkstų nepakankamumo, požymis. Jei atsiranda išvardyti </w:t>
      </w:r>
      <w:r w:rsidRPr="0082402D">
        <w:lastRenderedPageBreak/>
        <w:t xml:space="preserve">simptomai arba jie intensyvėja, reikia nutraukti </w:t>
      </w:r>
      <w:proofErr w:type="spellStart"/>
      <w:r w:rsidRPr="0082402D">
        <w:t>Dicloberl</w:t>
      </w:r>
      <w:proofErr w:type="spellEnd"/>
      <w:r w:rsidRPr="0082402D">
        <w:t xml:space="preserve"> vartojimą ir nedelsiant kreiptis į gydytoją.</w:t>
      </w:r>
    </w:p>
    <w:p w14:paraId="415B53B1" w14:textId="77777777" w:rsidR="00025AA4" w:rsidRPr="0082402D" w:rsidRDefault="00025AA4" w:rsidP="00025AA4">
      <w:pPr>
        <w:keepNext/>
        <w:ind w:left="567" w:hanging="567"/>
        <w:outlineLvl w:val="3"/>
        <w:rPr>
          <w:bCs/>
          <w:lang w:eastAsia="x-none"/>
        </w:rPr>
      </w:pPr>
    </w:p>
    <w:p w14:paraId="67A672C2" w14:textId="77777777" w:rsidR="00025AA4" w:rsidRPr="0082402D" w:rsidRDefault="00025AA4" w:rsidP="00025AA4">
      <w:pPr>
        <w:keepNext/>
        <w:ind w:left="567" w:hanging="567"/>
        <w:outlineLvl w:val="3"/>
        <w:rPr>
          <w:rFonts w:eastAsia="Times New Roman"/>
          <w:bCs/>
          <w:lang w:eastAsia="x-none"/>
        </w:rPr>
      </w:pPr>
      <w:r w:rsidRPr="0082402D">
        <w:rPr>
          <w:b/>
          <w:bCs/>
          <w:lang w:eastAsia="x-none"/>
        </w:rPr>
        <w:t>Dažnis nežinomas (negali būti apskaičiuotas pagal turimus duomenis):</w:t>
      </w:r>
    </w:p>
    <w:p w14:paraId="778D64EC" w14:textId="77777777" w:rsidR="00025AA4" w:rsidRDefault="00025AA4" w:rsidP="00025AA4">
      <w:pPr>
        <w:pStyle w:val="Sraopastraipa"/>
        <w:keepNext/>
        <w:numPr>
          <w:ilvl w:val="0"/>
          <w:numId w:val="5"/>
        </w:numPr>
        <w:ind w:left="567" w:hanging="567"/>
        <w:outlineLvl w:val="3"/>
        <w:rPr>
          <w:bCs/>
          <w:lang w:eastAsia="x-none"/>
        </w:rPr>
      </w:pPr>
      <w:r w:rsidRPr="00016016">
        <w:t>alerginė odos reakcija, kuri gali pasireikšti apvaliomis arba ovaliomis odos paraudimo ir patinimo dėmėmis, pūslėmis ir niež</w:t>
      </w:r>
      <w:r>
        <w:t>ėjimu</w:t>
      </w:r>
      <w:r w:rsidRPr="00016016">
        <w:t xml:space="preserve"> (vaistų sukeltas </w:t>
      </w:r>
      <w:r>
        <w:t xml:space="preserve">fiksuotas odos </w:t>
      </w:r>
      <w:r w:rsidRPr="00016016">
        <w:t xml:space="preserve">bėrimas). Pažeistose vietose taip pat gali </w:t>
      </w:r>
      <w:r>
        <w:t>atsirasti tamsių dėmių</w:t>
      </w:r>
      <w:r w:rsidRPr="00016016">
        <w:t>, kuri</w:t>
      </w:r>
      <w:r>
        <w:t>os</w:t>
      </w:r>
      <w:r w:rsidRPr="00016016">
        <w:t xml:space="preserve"> gali išlikti ir po gijimo. </w:t>
      </w:r>
      <w:r>
        <w:t>Vėl pradėjus vartoti vaisto, v</w:t>
      </w:r>
      <w:r w:rsidRPr="0024541B">
        <w:t xml:space="preserve">aistų sukeltas </w:t>
      </w:r>
      <w:r>
        <w:t xml:space="preserve">fiksuotas odos </w:t>
      </w:r>
      <w:r w:rsidRPr="0024541B">
        <w:t>bėrimas</w:t>
      </w:r>
      <w:r w:rsidRPr="00016016">
        <w:t xml:space="preserve"> paprastai pasikartoja toje pačioje (-</w:t>
      </w:r>
      <w:proofErr w:type="spellStart"/>
      <w:r w:rsidRPr="00016016">
        <w:t>ose</w:t>
      </w:r>
      <w:proofErr w:type="spellEnd"/>
      <w:r w:rsidRPr="00016016">
        <w:t>) vietoje (-</w:t>
      </w:r>
      <w:proofErr w:type="spellStart"/>
      <w:r w:rsidRPr="00016016">
        <w:t>ose</w:t>
      </w:r>
      <w:proofErr w:type="spellEnd"/>
      <w:r w:rsidRPr="00016016">
        <w:t>)</w:t>
      </w:r>
      <w:r>
        <w:t>;</w:t>
      </w:r>
    </w:p>
    <w:p w14:paraId="0665B9E2" w14:textId="77777777" w:rsidR="00025AA4" w:rsidRPr="0082402D" w:rsidRDefault="00025AA4" w:rsidP="00025AA4">
      <w:pPr>
        <w:pStyle w:val="Sraopastraipa"/>
        <w:keepNext/>
        <w:numPr>
          <w:ilvl w:val="0"/>
          <w:numId w:val="5"/>
        </w:numPr>
        <w:ind w:left="567" w:hanging="567"/>
        <w:outlineLvl w:val="3"/>
        <w:rPr>
          <w:bCs/>
          <w:lang w:eastAsia="x-none"/>
        </w:rPr>
      </w:pPr>
      <w:r w:rsidRPr="0082402D">
        <w:rPr>
          <w:bCs/>
          <w:lang w:eastAsia="x-none"/>
        </w:rPr>
        <w:t>išeminis kolitas.</w:t>
      </w:r>
    </w:p>
    <w:p w14:paraId="0798C83B" w14:textId="77777777" w:rsidR="00025AA4" w:rsidRPr="0082402D" w:rsidRDefault="00025AA4" w:rsidP="00025AA4">
      <w:pPr>
        <w:pStyle w:val="BTEMEASMCA"/>
        <w:rPr>
          <w:color w:val="auto"/>
          <w:lang w:eastAsia="en-US"/>
        </w:rPr>
      </w:pPr>
    </w:p>
    <w:p w14:paraId="0B462A99" w14:textId="77777777" w:rsidR="00025AA4" w:rsidRPr="0082402D" w:rsidRDefault="00025AA4" w:rsidP="00025AA4">
      <w:pPr>
        <w:pStyle w:val="BTEMEASMCA"/>
        <w:rPr>
          <w:color w:val="auto"/>
        </w:rPr>
      </w:pPr>
      <w:r w:rsidRPr="0082402D">
        <w:rPr>
          <w:color w:val="auto"/>
        </w:rPr>
        <w:t>Laikykitės aukščiau išdėstytų nurodymų dėl kai kurių šalutinių poveikių!</w:t>
      </w:r>
    </w:p>
    <w:p w14:paraId="1DDCD4AD" w14:textId="77777777" w:rsidR="00025AA4" w:rsidRPr="0082402D" w:rsidRDefault="00025AA4" w:rsidP="00025AA4">
      <w:pPr>
        <w:rPr>
          <w:b/>
        </w:rPr>
      </w:pPr>
    </w:p>
    <w:p w14:paraId="3BD7A0F4" w14:textId="77777777" w:rsidR="00025AA4" w:rsidRPr="0082402D" w:rsidRDefault="00025AA4" w:rsidP="00025AA4">
      <w:pPr>
        <w:rPr>
          <w:b/>
        </w:rPr>
      </w:pPr>
      <w:r w:rsidRPr="0082402D">
        <w:rPr>
          <w:b/>
          <w:noProof/>
        </w:rPr>
        <w:t>Pranešimas apie šalutinį poveikį</w:t>
      </w:r>
    </w:p>
    <w:p w14:paraId="5A467BA4" w14:textId="77777777" w:rsidR="00025AA4" w:rsidRPr="0082402D" w:rsidRDefault="00025AA4" w:rsidP="00025AA4">
      <w:r w:rsidRPr="0082402D">
        <w:t xml:space="preserve">Jeigu pasireiškė šalutinis poveikis, įskaitant šiame lapelyje nenurodytą, pasakykite gydytojui arba vaistininkui. </w:t>
      </w:r>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 Pranešdami apie šalutinį poveikį galite mums padėti gauti daugiau informacijos apie šio vaisto saugumą</w:t>
      </w:r>
      <w:r w:rsidRPr="0082402D">
        <w:t>.</w:t>
      </w:r>
    </w:p>
    <w:p w14:paraId="5D023BF6" w14:textId="77777777" w:rsidR="00025AA4" w:rsidRPr="0082402D" w:rsidRDefault="00025AA4" w:rsidP="00025AA4">
      <w:pPr>
        <w:pStyle w:val="BTEMEASMCA"/>
        <w:rPr>
          <w:color w:val="auto"/>
        </w:rPr>
      </w:pPr>
    </w:p>
    <w:p w14:paraId="39C33019" w14:textId="77777777" w:rsidR="00025AA4" w:rsidRPr="0082402D" w:rsidRDefault="00025AA4" w:rsidP="00025AA4">
      <w:pPr>
        <w:pStyle w:val="BTEMEASMCA"/>
        <w:rPr>
          <w:color w:val="auto"/>
        </w:rPr>
      </w:pPr>
    </w:p>
    <w:p w14:paraId="1018FFDC" w14:textId="77777777" w:rsidR="00025AA4" w:rsidRPr="0082402D" w:rsidRDefault="00025AA4" w:rsidP="00025AA4">
      <w:pPr>
        <w:pStyle w:val="PI-1EMEASMCA"/>
      </w:pPr>
      <w:r w:rsidRPr="0082402D">
        <w:t xml:space="preserve">5. </w:t>
      </w:r>
      <w:r w:rsidRPr="0082402D">
        <w:tab/>
        <w:t xml:space="preserve">Kaip laikyti </w:t>
      </w:r>
      <w:proofErr w:type="spellStart"/>
      <w:r w:rsidRPr="0082402D">
        <w:t>Dicloberl</w:t>
      </w:r>
      <w:proofErr w:type="spellEnd"/>
      <w:r w:rsidRPr="0082402D">
        <w:t xml:space="preserve"> </w:t>
      </w:r>
    </w:p>
    <w:p w14:paraId="2A1C470E" w14:textId="77777777" w:rsidR="00025AA4" w:rsidRPr="0082402D" w:rsidRDefault="00025AA4" w:rsidP="00025AA4">
      <w:pPr>
        <w:pStyle w:val="BTEMEASMCA"/>
        <w:rPr>
          <w:color w:val="auto"/>
        </w:rPr>
      </w:pPr>
    </w:p>
    <w:p w14:paraId="19DEBD67" w14:textId="77777777" w:rsidR="00025AA4" w:rsidRPr="0082402D" w:rsidRDefault="00025AA4" w:rsidP="00025AA4">
      <w:pPr>
        <w:pStyle w:val="BTEMEASMCA"/>
        <w:rPr>
          <w:color w:val="auto"/>
        </w:rPr>
      </w:pPr>
      <w:r w:rsidRPr="0082402D">
        <w:rPr>
          <w:color w:val="auto"/>
        </w:rPr>
        <w:t>Šį vaistą laikykite vaikams nepastebimoje ir nepasiekiamoje vietoje.</w:t>
      </w:r>
    </w:p>
    <w:p w14:paraId="1114DFAE" w14:textId="77777777" w:rsidR="00025AA4" w:rsidRPr="0082402D" w:rsidRDefault="00025AA4" w:rsidP="00025AA4">
      <w:pPr>
        <w:pStyle w:val="BTEMEASMCA"/>
        <w:rPr>
          <w:color w:val="auto"/>
        </w:rPr>
      </w:pPr>
      <w:r w:rsidRPr="0082402D">
        <w:rPr>
          <w:color w:val="auto"/>
        </w:rPr>
        <w:t>Ant kartono dėžutės ir dvisluoksnės juostelės po  „EXP“ nurodytam tinkamumo laikui pasibaigus, šio vaisto vartoti negalima. Vaistas tinkamas vartoti iki paskutinės nurodyto mėnesio dienos.</w:t>
      </w:r>
    </w:p>
    <w:p w14:paraId="68D5BFB8" w14:textId="77777777" w:rsidR="00025AA4" w:rsidRPr="0082402D" w:rsidRDefault="00025AA4" w:rsidP="00025AA4">
      <w:pPr>
        <w:pStyle w:val="BTEMEASMCA"/>
        <w:rPr>
          <w:color w:val="auto"/>
        </w:rPr>
      </w:pPr>
    </w:p>
    <w:p w14:paraId="6B28E7CF" w14:textId="77777777" w:rsidR="00025AA4" w:rsidRPr="0082402D" w:rsidRDefault="00025AA4" w:rsidP="00025AA4">
      <w:pPr>
        <w:pStyle w:val="BTEMEASMCA"/>
        <w:rPr>
          <w:color w:val="auto"/>
        </w:rPr>
      </w:pPr>
      <w:r w:rsidRPr="0082402D">
        <w:rPr>
          <w:color w:val="auto"/>
        </w:rPr>
        <w:t>Laikymo sąlygos</w:t>
      </w:r>
    </w:p>
    <w:p w14:paraId="1B51D49B" w14:textId="77777777" w:rsidR="00025AA4" w:rsidRPr="0082402D" w:rsidRDefault="00025AA4" w:rsidP="00025AA4">
      <w:pPr>
        <w:pStyle w:val="BTEMEASMCA"/>
        <w:rPr>
          <w:color w:val="auto"/>
        </w:rPr>
      </w:pPr>
      <w:r w:rsidRPr="0082402D">
        <w:rPr>
          <w:color w:val="auto"/>
        </w:rPr>
        <w:t>Laikyti ne aukštesnėje kaip 25 °C temperatūroje.</w:t>
      </w:r>
    </w:p>
    <w:p w14:paraId="2D560112" w14:textId="77777777" w:rsidR="00025AA4" w:rsidRPr="0082402D" w:rsidRDefault="00025AA4" w:rsidP="00025AA4">
      <w:pPr>
        <w:pStyle w:val="BTEMEASMCA"/>
        <w:rPr>
          <w:color w:val="auto"/>
        </w:rPr>
      </w:pPr>
      <w:r w:rsidRPr="0082402D">
        <w:rPr>
          <w:rStyle w:val="Emfaz"/>
          <w:bCs/>
          <w:color w:val="auto"/>
        </w:rPr>
        <w:t>Laikyti gamintojo pakuotėje</w:t>
      </w:r>
      <w:r w:rsidRPr="0082402D">
        <w:rPr>
          <w:color w:val="auto"/>
        </w:rPr>
        <w:t>, kad vaistas </w:t>
      </w:r>
      <w:r w:rsidRPr="0082402D">
        <w:rPr>
          <w:rStyle w:val="Emfaz"/>
          <w:bCs/>
          <w:color w:val="auto"/>
        </w:rPr>
        <w:t>būtų apsaugotas</w:t>
      </w:r>
      <w:r w:rsidRPr="0082402D">
        <w:rPr>
          <w:color w:val="auto"/>
        </w:rPr>
        <w:t> nuo </w:t>
      </w:r>
      <w:r w:rsidRPr="0082402D">
        <w:rPr>
          <w:rStyle w:val="Emfaz"/>
          <w:bCs/>
          <w:color w:val="auto"/>
        </w:rPr>
        <w:t>šviesos</w:t>
      </w:r>
      <w:r w:rsidRPr="0082402D">
        <w:rPr>
          <w:rFonts w:eastAsia="Times New Roman"/>
          <w:color w:val="auto"/>
        </w:rPr>
        <w:t>.</w:t>
      </w:r>
    </w:p>
    <w:p w14:paraId="5773E34F" w14:textId="77777777" w:rsidR="00025AA4" w:rsidRPr="0082402D" w:rsidRDefault="00025AA4" w:rsidP="00025AA4">
      <w:pPr>
        <w:widowControl w:val="0"/>
        <w:ind w:right="-57"/>
      </w:pPr>
    </w:p>
    <w:p w14:paraId="13E42A63" w14:textId="77777777" w:rsidR="00025AA4" w:rsidRPr="0082402D" w:rsidRDefault="00025AA4" w:rsidP="00025AA4">
      <w:pPr>
        <w:widowControl w:val="0"/>
        <w:ind w:right="-57"/>
      </w:pPr>
      <w:r w:rsidRPr="0082402D">
        <w:t>Vaistų negalima išmesti  į kanalizaciją arba su buitinėmis atliekomis. Kaip išmesti nereikalingus vaistus, klauskite vaistininko. Šios priemonės padės apsaugoti aplinką.</w:t>
      </w:r>
    </w:p>
    <w:p w14:paraId="333AE5E4" w14:textId="77777777" w:rsidR="00025AA4" w:rsidRPr="0082402D" w:rsidRDefault="00025AA4" w:rsidP="00025AA4">
      <w:pPr>
        <w:widowControl w:val="0"/>
        <w:ind w:right="-57"/>
      </w:pPr>
    </w:p>
    <w:p w14:paraId="75923211" w14:textId="77777777" w:rsidR="00025AA4" w:rsidRPr="0082402D" w:rsidRDefault="00025AA4" w:rsidP="00025AA4">
      <w:pPr>
        <w:widowControl w:val="0"/>
        <w:ind w:right="-57"/>
      </w:pPr>
    </w:p>
    <w:p w14:paraId="0497B901" w14:textId="77777777" w:rsidR="00025AA4" w:rsidRPr="0082402D" w:rsidRDefault="00025AA4" w:rsidP="00025AA4">
      <w:pPr>
        <w:pStyle w:val="Antrat3"/>
        <w:rPr>
          <w:sz w:val="22"/>
        </w:rPr>
      </w:pPr>
      <w:r w:rsidRPr="0082402D">
        <w:rPr>
          <w:sz w:val="22"/>
        </w:rPr>
        <w:t>6.</w:t>
      </w:r>
      <w:r w:rsidRPr="0082402D">
        <w:rPr>
          <w:sz w:val="22"/>
        </w:rPr>
        <w:tab/>
        <w:t>Pakuotės turinys ir kita informacija</w:t>
      </w:r>
    </w:p>
    <w:p w14:paraId="4BA11488" w14:textId="77777777" w:rsidR="00025AA4" w:rsidRPr="0082402D" w:rsidRDefault="00025AA4" w:rsidP="00025AA4">
      <w:pPr>
        <w:widowControl w:val="0"/>
        <w:ind w:right="-57"/>
      </w:pPr>
    </w:p>
    <w:p w14:paraId="7D9D95F2" w14:textId="77777777" w:rsidR="00025AA4" w:rsidRPr="0082402D" w:rsidRDefault="00025AA4" w:rsidP="00025AA4">
      <w:pPr>
        <w:pStyle w:val="PI-3EMEASMCA"/>
      </w:pPr>
      <w:proofErr w:type="spellStart"/>
      <w:r w:rsidRPr="0082402D">
        <w:t>Dicloberl</w:t>
      </w:r>
      <w:proofErr w:type="spellEnd"/>
      <w:r w:rsidRPr="0082402D">
        <w:t xml:space="preserve"> sudėtis</w:t>
      </w:r>
    </w:p>
    <w:p w14:paraId="218E5E60" w14:textId="77777777" w:rsidR="00025AA4" w:rsidRPr="0082402D" w:rsidRDefault="00025AA4" w:rsidP="00025AA4">
      <w:pPr>
        <w:pStyle w:val="BT-EMEASMCA"/>
        <w:numPr>
          <w:ilvl w:val="0"/>
          <w:numId w:val="5"/>
        </w:numPr>
        <w:tabs>
          <w:tab w:val="left" w:pos="1296"/>
        </w:tabs>
        <w:ind w:left="567" w:hanging="567"/>
      </w:pPr>
      <w:r w:rsidRPr="0082402D">
        <w:t xml:space="preserve">Veiklioji medžiaga yra </w:t>
      </w:r>
      <w:proofErr w:type="spellStart"/>
      <w:r w:rsidRPr="0082402D">
        <w:t>diklofenako</w:t>
      </w:r>
      <w:proofErr w:type="spellEnd"/>
      <w:r w:rsidRPr="0082402D">
        <w:t xml:space="preserve"> natrio druska. Vienoje žvakutėje yra 100 mg </w:t>
      </w:r>
      <w:proofErr w:type="spellStart"/>
      <w:r w:rsidRPr="0082402D">
        <w:t>diklofenako</w:t>
      </w:r>
      <w:proofErr w:type="spellEnd"/>
    </w:p>
    <w:p w14:paraId="6DC74D48" w14:textId="77777777" w:rsidR="00025AA4" w:rsidRPr="0082402D" w:rsidRDefault="00025AA4" w:rsidP="00025AA4">
      <w:pPr>
        <w:pStyle w:val="BT-EMEASMCA"/>
        <w:numPr>
          <w:ilvl w:val="0"/>
          <w:numId w:val="0"/>
        </w:numPr>
        <w:tabs>
          <w:tab w:val="num" w:pos="567"/>
        </w:tabs>
        <w:ind w:left="567"/>
      </w:pPr>
      <w:r w:rsidRPr="0082402D">
        <w:t>natrio druskos.</w:t>
      </w:r>
    </w:p>
    <w:p w14:paraId="11ECBD25" w14:textId="77777777" w:rsidR="00025AA4" w:rsidRPr="0082402D" w:rsidRDefault="00025AA4" w:rsidP="00025AA4">
      <w:pPr>
        <w:pStyle w:val="BT-EMEASMCA"/>
        <w:numPr>
          <w:ilvl w:val="0"/>
          <w:numId w:val="5"/>
        </w:numPr>
        <w:tabs>
          <w:tab w:val="left" w:pos="1296"/>
        </w:tabs>
        <w:ind w:left="567" w:hanging="567"/>
      </w:pPr>
      <w:r w:rsidRPr="0082402D">
        <w:t>Pagalbinės medžiagos: kietieji riebalai.</w:t>
      </w:r>
    </w:p>
    <w:p w14:paraId="4220DCD4" w14:textId="77777777" w:rsidR="00025AA4" w:rsidRPr="0082402D" w:rsidRDefault="00025AA4" w:rsidP="00025AA4">
      <w:pPr>
        <w:pStyle w:val="BT-EMEASMCA"/>
        <w:numPr>
          <w:ilvl w:val="0"/>
          <w:numId w:val="0"/>
        </w:numPr>
        <w:tabs>
          <w:tab w:val="left" w:pos="1296"/>
        </w:tabs>
        <w:ind w:left="1080"/>
      </w:pPr>
    </w:p>
    <w:p w14:paraId="01C48730" w14:textId="77777777" w:rsidR="00025AA4" w:rsidRPr="0082402D" w:rsidRDefault="00025AA4" w:rsidP="00025AA4">
      <w:pPr>
        <w:pStyle w:val="PI-3EMEASMCA"/>
      </w:pPr>
      <w:proofErr w:type="spellStart"/>
      <w:r w:rsidRPr="0082402D">
        <w:t>Dicloberl</w:t>
      </w:r>
      <w:proofErr w:type="spellEnd"/>
      <w:r w:rsidRPr="0082402D">
        <w:t xml:space="preserve"> išvaizda ir kiekis pakuotėje</w:t>
      </w:r>
    </w:p>
    <w:p w14:paraId="6B82EB91" w14:textId="77777777" w:rsidR="00025AA4" w:rsidRPr="0082402D" w:rsidRDefault="00025AA4" w:rsidP="00025AA4">
      <w:pPr>
        <w:pStyle w:val="BTEMEASMCA"/>
        <w:rPr>
          <w:color w:val="auto"/>
        </w:rPr>
      </w:pPr>
      <w:r w:rsidRPr="0082402D">
        <w:rPr>
          <w:color w:val="auto"/>
        </w:rPr>
        <w:t>Dramblio kaulo spalvos torpedos formos žvakutės neskaidrios PVC/PE folijos dvisluoksnėje juostelėje.</w:t>
      </w:r>
    </w:p>
    <w:p w14:paraId="1893FD30" w14:textId="77777777" w:rsidR="00025AA4" w:rsidRPr="0082402D" w:rsidRDefault="00025AA4" w:rsidP="00025AA4">
      <w:pPr>
        <w:pStyle w:val="BTEMEASMCA"/>
        <w:rPr>
          <w:color w:val="auto"/>
        </w:rPr>
      </w:pPr>
    </w:p>
    <w:p w14:paraId="0064C706" w14:textId="77777777" w:rsidR="00025AA4" w:rsidRPr="0082402D" w:rsidRDefault="00025AA4" w:rsidP="00025AA4">
      <w:pPr>
        <w:pStyle w:val="BTEMEASMCA"/>
        <w:rPr>
          <w:color w:val="auto"/>
        </w:rPr>
      </w:pPr>
      <w:r w:rsidRPr="0082402D">
        <w:rPr>
          <w:color w:val="auto"/>
        </w:rPr>
        <w:t>Pakuotėje  yra 5 arba 10 žvakučių.</w:t>
      </w:r>
    </w:p>
    <w:p w14:paraId="3533E794" w14:textId="77777777" w:rsidR="00025AA4" w:rsidRPr="0082402D" w:rsidRDefault="00025AA4" w:rsidP="00025AA4">
      <w:pPr>
        <w:pStyle w:val="BTEMEASMCA"/>
        <w:rPr>
          <w:color w:val="auto"/>
        </w:rPr>
      </w:pPr>
    </w:p>
    <w:p w14:paraId="2347EDAA" w14:textId="77777777" w:rsidR="00025AA4" w:rsidRPr="0082402D" w:rsidRDefault="00025AA4" w:rsidP="00025AA4">
      <w:pPr>
        <w:pStyle w:val="BTEMEASMCA"/>
        <w:rPr>
          <w:color w:val="auto"/>
        </w:rPr>
      </w:pPr>
      <w:r w:rsidRPr="0082402D">
        <w:rPr>
          <w:color w:val="auto"/>
        </w:rPr>
        <w:t>Gali būti tiekiamos ne visų dydžių pakuotės.</w:t>
      </w:r>
    </w:p>
    <w:p w14:paraId="19754CE8" w14:textId="77777777" w:rsidR="00025AA4" w:rsidRPr="0082402D" w:rsidRDefault="00025AA4" w:rsidP="00025AA4">
      <w:pPr>
        <w:pStyle w:val="BTEMEASMCA"/>
        <w:rPr>
          <w:color w:val="auto"/>
        </w:rPr>
      </w:pPr>
    </w:p>
    <w:p w14:paraId="441411F5" w14:textId="77777777" w:rsidR="00025AA4" w:rsidRPr="0082402D" w:rsidRDefault="00025AA4" w:rsidP="00025AA4">
      <w:pPr>
        <w:pStyle w:val="BTEMEASMCA"/>
        <w:rPr>
          <w:b/>
          <w:color w:val="auto"/>
        </w:rPr>
      </w:pPr>
      <w:r w:rsidRPr="0082402D">
        <w:rPr>
          <w:b/>
          <w:color w:val="auto"/>
        </w:rPr>
        <w:t>Registruotojas ir gamintojas</w:t>
      </w:r>
    </w:p>
    <w:p w14:paraId="5101CE40" w14:textId="77777777" w:rsidR="00025AA4" w:rsidRPr="0082402D" w:rsidRDefault="00025AA4" w:rsidP="00025AA4">
      <w:pPr>
        <w:pStyle w:val="BTEMEASMCA"/>
        <w:rPr>
          <w:color w:val="auto"/>
        </w:rPr>
      </w:pPr>
    </w:p>
    <w:p w14:paraId="4D525CD1" w14:textId="77777777" w:rsidR="00025AA4" w:rsidRPr="0082402D" w:rsidRDefault="00025AA4" w:rsidP="00025AA4">
      <w:pPr>
        <w:pStyle w:val="PI-3EMEASMCA"/>
        <w:rPr>
          <w:b w:val="0"/>
          <w:i/>
        </w:rPr>
      </w:pPr>
      <w:r w:rsidRPr="0082402D">
        <w:rPr>
          <w:b w:val="0"/>
          <w:i/>
        </w:rPr>
        <w:t xml:space="preserve">Registruotojas </w:t>
      </w:r>
    </w:p>
    <w:p w14:paraId="6BBFA985" w14:textId="77777777" w:rsidR="00025AA4" w:rsidRPr="0082402D" w:rsidRDefault="00025AA4" w:rsidP="00025AA4">
      <w:r w:rsidRPr="0082402D">
        <w:t>BERLIN-CHEMIE AG</w:t>
      </w:r>
    </w:p>
    <w:p w14:paraId="32D74D3A" w14:textId="77777777" w:rsidR="00025AA4" w:rsidRPr="0082402D" w:rsidRDefault="00025AA4" w:rsidP="00025AA4">
      <w:proofErr w:type="spellStart"/>
      <w:r w:rsidRPr="0082402D">
        <w:t>Glienicker</w:t>
      </w:r>
      <w:proofErr w:type="spellEnd"/>
      <w:r w:rsidRPr="0082402D">
        <w:t xml:space="preserve"> </w:t>
      </w:r>
      <w:proofErr w:type="spellStart"/>
      <w:r w:rsidRPr="0082402D">
        <w:t>Weg</w:t>
      </w:r>
      <w:proofErr w:type="spellEnd"/>
      <w:r w:rsidRPr="0082402D">
        <w:t xml:space="preserve"> 125</w:t>
      </w:r>
    </w:p>
    <w:p w14:paraId="08BA71EE" w14:textId="77777777" w:rsidR="00025AA4" w:rsidRPr="0082402D" w:rsidRDefault="00025AA4" w:rsidP="00025AA4">
      <w:pPr>
        <w:pStyle w:val="Porat"/>
        <w:tabs>
          <w:tab w:val="left" w:pos="1296"/>
        </w:tabs>
        <w:rPr>
          <w:b/>
          <w:caps/>
          <w:sz w:val="22"/>
          <w:lang w:val="lt-LT"/>
        </w:rPr>
      </w:pPr>
      <w:r w:rsidRPr="0082402D">
        <w:rPr>
          <w:sz w:val="22"/>
          <w:lang w:val="lt-LT"/>
        </w:rPr>
        <w:t xml:space="preserve">12489 </w:t>
      </w:r>
      <w:proofErr w:type="spellStart"/>
      <w:r w:rsidRPr="0082402D">
        <w:rPr>
          <w:sz w:val="22"/>
          <w:lang w:val="lt-LT"/>
        </w:rPr>
        <w:t>Berlin</w:t>
      </w:r>
      <w:proofErr w:type="spellEnd"/>
      <w:r w:rsidRPr="0082402D">
        <w:rPr>
          <w:sz w:val="22"/>
          <w:lang w:val="lt-LT"/>
        </w:rPr>
        <w:t>, Vokietija</w:t>
      </w:r>
    </w:p>
    <w:p w14:paraId="73B1725A" w14:textId="77777777" w:rsidR="00025AA4" w:rsidRPr="0082402D" w:rsidRDefault="00025AA4" w:rsidP="00025AA4"/>
    <w:p w14:paraId="797CDE0E" w14:textId="77777777" w:rsidR="00025AA4" w:rsidRPr="0082402D" w:rsidRDefault="00025AA4" w:rsidP="00025AA4">
      <w:pPr>
        <w:pStyle w:val="Antrat1"/>
        <w:rPr>
          <w:rFonts w:eastAsia="Batang"/>
          <w:b/>
          <w:i/>
          <w:sz w:val="22"/>
        </w:rPr>
      </w:pPr>
      <w:r w:rsidRPr="0082402D">
        <w:rPr>
          <w:rFonts w:eastAsia="Batang"/>
          <w:i/>
          <w:sz w:val="22"/>
        </w:rPr>
        <w:t>Gamintojas</w:t>
      </w:r>
    </w:p>
    <w:p w14:paraId="465FA690" w14:textId="77777777" w:rsidR="00025AA4" w:rsidRPr="0082402D" w:rsidRDefault="00025AA4" w:rsidP="00025AA4">
      <w:r w:rsidRPr="0082402D">
        <w:t>BERLIN-CHEMIE AG</w:t>
      </w:r>
    </w:p>
    <w:p w14:paraId="5E85B64E" w14:textId="77777777" w:rsidR="00025AA4" w:rsidRPr="0082402D" w:rsidRDefault="00025AA4" w:rsidP="00025AA4">
      <w:proofErr w:type="spellStart"/>
      <w:r w:rsidRPr="0082402D">
        <w:t>Glienicker</w:t>
      </w:r>
      <w:proofErr w:type="spellEnd"/>
      <w:r w:rsidRPr="0082402D">
        <w:t xml:space="preserve"> </w:t>
      </w:r>
      <w:proofErr w:type="spellStart"/>
      <w:r w:rsidRPr="0082402D">
        <w:t>Weg</w:t>
      </w:r>
      <w:proofErr w:type="spellEnd"/>
      <w:r w:rsidRPr="0082402D">
        <w:t xml:space="preserve"> 125</w:t>
      </w:r>
    </w:p>
    <w:p w14:paraId="4AAFBFED" w14:textId="77777777" w:rsidR="00025AA4" w:rsidRPr="0082402D" w:rsidRDefault="00025AA4" w:rsidP="00025AA4">
      <w:pPr>
        <w:pStyle w:val="Porat"/>
        <w:tabs>
          <w:tab w:val="left" w:pos="1296"/>
        </w:tabs>
        <w:rPr>
          <w:b/>
          <w:caps/>
          <w:sz w:val="22"/>
          <w:lang w:val="lt-LT"/>
        </w:rPr>
      </w:pPr>
      <w:r w:rsidRPr="0082402D">
        <w:rPr>
          <w:sz w:val="22"/>
          <w:lang w:val="lt-LT"/>
        </w:rPr>
        <w:t xml:space="preserve">12489 </w:t>
      </w:r>
      <w:proofErr w:type="spellStart"/>
      <w:r w:rsidRPr="0082402D">
        <w:rPr>
          <w:sz w:val="22"/>
          <w:lang w:val="lt-LT"/>
        </w:rPr>
        <w:t>Berlin</w:t>
      </w:r>
      <w:proofErr w:type="spellEnd"/>
      <w:r w:rsidRPr="0082402D">
        <w:rPr>
          <w:sz w:val="22"/>
          <w:lang w:val="lt-LT"/>
        </w:rPr>
        <w:t>, Vokietija</w:t>
      </w:r>
    </w:p>
    <w:p w14:paraId="5362CF06" w14:textId="77777777" w:rsidR="00025AA4" w:rsidRPr="0082402D" w:rsidRDefault="00025AA4" w:rsidP="00025AA4"/>
    <w:p w14:paraId="10ACF08D" w14:textId="77777777" w:rsidR="00025AA4" w:rsidRPr="0082402D" w:rsidRDefault="00025AA4" w:rsidP="00025AA4">
      <w:pPr>
        <w:pStyle w:val="BTEMEASMCA"/>
        <w:rPr>
          <w:color w:val="auto"/>
        </w:rPr>
      </w:pPr>
      <w:r w:rsidRPr="0082402D">
        <w:rPr>
          <w:color w:val="auto"/>
        </w:rPr>
        <w:t>Jeigu apie šį vaistą norite sužinoti daugiau, kreipkitės į vietinį registruotojo atstovą.</w:t>
      </w:r>
    </w:p>
    <w:p w14:paraId="5594FCC1" w14:textId="77777777" w:rsidR="00025AA4" w:rsidRPr="0082402D" w:rsidRDefault="00025AA4" w:rsidP="00025AA4">
      <w:pPr>
        <w:widowControl w:val="0"/>
        <w:ind w:right="-57"/>
      </w:pPr>
    </w:p>
    <w:p w14:paraId="4FB16668" w14:textId="77777777" w:rsidR="00025AA4" w:rsidRPr="0082402D" w:rsidRDefault="00025AA4" w:rsidP="00025AA4">
      <w:pPr>
        <w:widowControl w:val="0"/>
        <w:ind w:right="-57"/>
      </w:pPr>
      <w:r w:rsidRPr="0082402D">
        <w:t>UAB “</w:t>
      </w:r>
      <w:r w:rsidRPr="0082402D">
        <w:rPr>
          <w:caps/>
        </w:rPr>
        <w:t>Berlin Chemie Menarini Baltic”</w:t>
      </w:r>
    </w:p>
    <w:p w14:paraId="63B28C01" w14:textId="77777777" w:rsidR="00025AA4" w:rsidRPr="0082402D" w:rsidRDefault="00025AA4" w:rsidP="00025AA4">
      <w:pPr>
        <w:widowControl w:val="0"/>
        <w:ind w:right="-57"/>
      </w:pPr>
      <w:proofErr w:type="spellStart"/>
      <w:r w:rsidRPr="0082402D">
        <w:t>J.Jasinskio</w:t>
      </w:r>
      <w:proofErr w:type="spellEnd"/>
      <w:r w:rsidRPr="0082402D">
        <w:t xml:space="preserve"> 16a, LT-03163 Vilnius</w:t>
      </w:r>
    </w:p>
    <w:p w14:paraId="53B1F59A" w14:textId="77777777" w:rsidR="00025AA4" w:rsidRPr="0082402D" w:rsidRDefault="00025AA4" w:rsidP="00025AA4">
      <w:pPr>
        <w:widowControl w:val="0"/>
        <w:ind w:right="-57"/>
      </w:pPr>
      <w:r w:rsidRPr="0082402D">
        <w:t>Tel.: +370 5 269 19 47</w:t>
      </w:r>
    </w:p>
    <w:p w14:paraId="6D27FCB8" w14:textId="77777777" w:rsidR="00025AA4" w:rsidRPr="0082402D" w:rsidRDefault="00025AA4" w:rsidP="00025AA4">
      <w:pPr>
        <w:pStyle w:val="BTEMEASMCA"/>
        <w:rPr>
          <w:color w:val="auto"/>
        </w:rPr>
      </w:pPr>
    </w:p>
    <w:p w14:paraId="32170EA3" w14:textId="77777777" w:rsidR="00025AA4" w:rsidRPr="0082402D" w:rsidRDefault="00025AA4" w:rsidP="00025AA4">
      <w:pPr>
        <w:pStyle w:val="BTEMEASMCA"/>
        <w:rPr>
          <w:b/>
          <w:color w:val="auto"/>
        </w:rPr>
      </w:pPr>
      <w:r w:rsidRPr="0082402D">
        <w:rPr>
          <w:b/>
          <w:color w:val="auto"/>
        </w:rPr>
        <w:t>Šis pakuotės lapelis paskutinį kartą peržiūrėtas</w:t>
      </w:r>
      <w:r>
        <w:rPr>
          <w:b/>
          <w:color w:val="auto"/>
        </w:rPr>
        <w:t xml:space="preserve"> 2025-10-03</w:t>
      </w:r>
      <w:r w:rsidRPr="0082402D">
        <w:rPr>
          <w:b/>
          <w:color w:val="auto"/>
        </w:rPr>
        <w:t>.</w:t>
      </w:r>
      <w:r>
        <w:rPr>
          <w:b/>
          <w:color w:val="auto"/>
        </w:rPr>
        <w:t xml:space="preserve"> </w:t>
      </w:r>
    </w:p>
    <w:p w14:paraId="39995D5B" w14:textId="77777777" w:rsidR="00025AA4" w:rsidRPr="0082402D" w:rsidRDefault="00025AA4" w:rsidP="00025AA4">
      <w:pPr>
        <w:widowControl w:val="0"/>
      </w:pPr>
    </w:p>
    <w:p w14:paraId="4B9F333D" w14:textId="77777777" w:rsidR="00025AA4" w:rsidRPr="0082402D" w:rsidRDefault="00025AA4" w:rsidP="00025AA4">
      <w:r w:rsidRPr="0082402D">
        <w:t xml:space="preserve">Išsami informacija apie šį vaistą pateikiama Valstybinės vaistų kontrolės tarnybos prie Lietuvos Respublikos sveikatos apsaugos ministerijos tinklalapyje </w:t>
      </w:r>
      <w:r>
        <w:rPr>
          <w:color w:val="0000EE"/>
          <w:u w:val="single"/>
        </w:rPr>
        <w:t>https://vvkt.lrv.lt/lt/</w:t>
      </w:r>
      <w:r>
        <w:t>.</w:t>
      </w:r>
    </w:p>
    <w:p w14:paraId="357D9A6E" w14:textId="77777777" w:rsidR="00025AA4" w:rsidRPr="0082402D" w:rsidRDefault="00025AA4" w:rsidP="00025AA4"/>
    <w:p w14:paraId="2E9A3DB0" w14:textId="77777777" w:rsidR="00025AA4" w:rsidRPr="0082402D" w:rsidRDefault="00025AA4" w:rsidP="00025AA4"/>
    <w:p w14:paraId="0C9157A5" w14:textId="77777777" w:rsidR="00222FED" w:rsidRDefault="00222FED"/>
    <w:sectPr w:rsidR="00222FED" w:rsidSect="00025AA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0B0A"/>
    <w:multiLevelType w:val="hybridMultilevel"/>
    <w:tmpl w:val="67D26D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F14CF"/>
    <w:multiLevelType w:val="hybridMultilevel"/>
    <w:tmpl w:val="FCDAC1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01692"/>
    <w:multiLevelType w:val="hybridMultilevel"/>
    <w:tmpl w:val="4562449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C3BFB"/>
    <w:multiLevelType w:val="hybridMultilevel"/>
    <w:tmpl w:val="886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C727E"/>
    <w:multiLevelType w:val="hybridMultilevel"/>
    <w:tmpl w:val="0182528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155EF"/>
    <w:multiLevelType w:val="hybridMultilevel"/>
    <w:tmpl w:val="115406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27D59"/>
    <w:multiLevelType w:val="hybridMultilevel"/>
    <w:tmpl w:val="31EEEFB8"/>
    <w:lvl w:ilvl="0" w:tplc="67BE8460">
      <w:numFmt w:val="bullet"/>
      <w:lvlText w:val="˗"/>
      <w:lvlJc w:val="left"/>
      <w:pPr>
        <w:ind w:left="3763" w:hanging="360"/>
      </w:pPr>
      <w:rPr>
        <w:rFonts w:ascii="Times New Roman" w:hAnsi="Times New Roman" w:cs="Times New Roman" w:hint="default"/>
        <w:sz w:val="22"/>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9" w15:restartNumberingAfterBreak="0">
    <w:nsid w:val="5B0349B1"/>
    <w:multiLevelType w:val="hybridMultilevel"/>
    <w:tmpl w:val="F9502AB0"/>
    <w:lvl w:ilvl="0" w:tplc="FD0E8AC8">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3D2617"/>
    <w:multiLevelType w:val="hybridMultilevel"/>
    <w:tmpl w:val="DFF43D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A4922"/>
    <w:multiLevelType w:val="hybridMultilevel"/>
    <w:tmpl w:val="A4003F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5301C"/>
    <w:multiLevelType w:val="hybridMultilevel"/>
    <w:tmpl w:val="8A3EDE58"/>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76E466C"/>
    <w:multiLevelType w:val="hybridMultilevel"/>
    <w:tmpl w:val="D60057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A3AA3"/>
    <w:multiLevelType w:val="hybridMultilevel"/>
    <w:tmpl w:val="A6326678"/>
    <w:lvl w:ilvl="0" w:tplc="0F04481C">
      <w:start w:val="1"/>
      <w:numFmt w:val="bullet"/>
      <w:pStyle w:val="BT-EMEASMCA"/>
      <w:lvlText w:val="-"/>
      <w:lvlJc w:val="left"/>
      <w:pPr>
        <w:tabs>
          <w:tab w:val="num" w:pos="720"/>
        </w:tabs>
        <w:ind w:left="720" w:hanging="363"/>
      </w:pPr>
      <w:rPr>
        <w:rFonts w:ascii="Times New Roman" w:hAnsi="Times New Roman" w:hint="default"/>
      </w:rPr>
    </w:lvl>
    <w:lvl w:ilvl="1" w:tplc="BAE203EC">
      <w:start w:val="3"/>
      <w:numFmt w:val="bullet"/>
      <w:pStyle w:val="BT-EMEASMCA"/>
      <w:lvlText w:val="-"/>
      <w:lvlJc w:val="left"/>
      <w:pPr>
        <w:tabs>
          <w:tab w:val="num" w:pos="1470"/>
        </w:tabs>
        <w:ind w:left="1470" w:hanging="390"/>
      </w:pPr>
      <w:rPr>
        <w:rFonts w:ascii="Times New Roman" w:eastAsia="Times New Roman" w:hAnsi="Times New Roman" w:hint="default"/>
      </w:rPr>
    </w:lvl>
    <w:lvl w:ilvl="2" w:tplc="C1EE74BC">
      <w:start w:val="1"/>
      <w:numFmt w:val="bullet"/>
      <w:lvlText w:val=""/>
      <w:lvlJc w:val="left"/>
      <w:pPr>
        <w:tabs>
          <w:tab w:val="num" w:pos="2160"/>
        </w:tabs>
        <w:ind w:left="2160" w:hanging="360"/>
      </w:pPr>
      <w:rPr>
        <w:rFonts w:ascii="Symbol" w:hAnsi="Symbol" w:hint="default"/>
      </w:rPr>
    </w:lvl>
    <w:lvl w:ilvl="3" w:tplc="D4401400">
      <w:start w:val="1"/>
      <w:numFmt w:val="bullet"/>
      <w:lvlText w:val=""/>
      <w:lvlJc w:val="left"/>
      <w:pPr>
        <w:tabs>
          <w:tab w:val="num" w:pos="2880"/>
        </w:tabs>
        <w:ind w:left="2880" w:hanging="360"/>
      </w:pPr>
      <w:rPr>
        <w:rFonts w:ascii="Symbol" w:hAnsi="Symbol" w:hint="default"/>
      </w:rPr>
    </w:lvl>
    <w:lvl w:ilvl="4" w:tplc="CC323D96">
      <w:start w:val="1"/>
      <w:numFmt w:val="bullet"/>
      <w:lvlText w:val="o"/>
      <w:lvlJc w:val="left"/>
      <w:pPr>
        <w:tabs>
          <w:tab w:val="num" w:pos="3600"/>
        </w:tabs>
        <w:ind w:left="3600" w:hanging="360"/>
      </w:pPr>
      <w:rPr>
        <w:rFonts w:ascii="Courier New" w:hAnsi="Courier New" w:hint="default"/>
      </w:rPr>
    </w:lvl>
    <w:lvl w:ilvl="5" w:tplc="0B10C2FE">
      <w:start w:val="1"/>
      <w:numFmt w:val="bullet"/>
      <w:lvlText w:val=""/>
      <w:lvlJc w:val="left"/>
      <w:pPr>
        <w:tabs>
          <w:tab w:val="num" w:pos="4320"/>
        </w:tabs>
        <w:ind w:left="4320" w:hanging="360"/>
      </w:pPr>
      <w:rPr>
        <w:rFonts w:ascii="Wingdings" w:hAnsi="Wingdings" w:hint="default"/>
      </w:rPr>
    </w:lvl>
    <w:lvl w:ilvl="6" w:tplc="4378D040">
      <w:start w:val="1"/>
      <w:numFmt w:val="bullet"/>
      <w:lvlText w:val=""/>
      <w:lvlJc w:val="left"/>
      <w:pPr>
        <w:tabs>
          <w:tab w:val="num" w:pos="5040"/>
        </w:tabs>
        <w:ind w:left="5040" w:hanging="360"/>
      </w:pPr>
      <w:rPr>
        <w:rFonts w:ascii="Symbol" w:hAnsi="Symbol" w:hint="default"/>
      </w:rPr>
    </w:lvl>
    <w:lvl w:ilvl="7" w:tplc="D4647CEC">
      <w:start w:val="1"/>
      <w:numFmt w:val="bullet"/>
      <w:lvlText w:val="o"/>
      <w:lvlJc w:val="left"/>
      <w:pPr>
        <w:tabs>
          <w:tab w:val="num" w:pos="5760"/>
        </w:tabs>
        <w:ind w:left="5760" w:hanging="360"/>
      </w:pPr>
      <w:rPr>
        <w:rFonts w:ascii="Courier New" w:hAnsi="Courier New" w:hint="default"/>
      </w:rPr>
    </w:lvl>
    <w:lvl w:ilvl="8" w:tplc="C8FCFA5C">
      <w:start w:val="1"/>
      <w:numFmt w:val="bullet"/>
      <w:lvlText w:val=""/>
      <w:lvlJc w:val="left"/>
      <w:pPr>
        <w:tabs>
          <w:tab w:val="num" w:pos="6480"/>
        </w:tabs>
        <w:ind w:left="6480" w:hanging="360"/>
      </w:pPr>
      <w:rPr>
        <w:rFonts w:ascii="Wingdings" w:hAnsi="Wingdings" w:hint="default"/>
      </w:rPr>
    </w:lvl>
  </w:abstractNum>
  <w:num w:numId="1" w16cid:durableId="1796830719">
    <w:abstractNumId w:val="14"/>
  </w:num>
  <w:num w:numId="2" w16cid:durableId="1803957840">
    <w:abstractNumId w:val="4"/>
  </w:num>
  <w:num w:numId="3" w16cid:durableId="1631477579">
    <w:abstractNumId w:val="10"/>
  </w:num>
  <w:num w:numId="4" w16cid:durableId="1413044179">
    <w:abstractNumId w:val="3"/>
  </w:num>
  <w:num w:numId="5" w16cid:durableId="584220331">
    <w:abstractNumId w:val="13"/>
  </w:num>
  <w:num w:numId="6" w16cid:durableId="1280189185">
    <w:abstractNumId w:val="8"/>
  </w:num>
  <w:num w:numId="7" w16cid:durableId="2897909">
    <w:abstractNumId w:val="0"/>
  </w:num>
  <w:num w:numId="8" w16cid:durableId="1535774701">
    <w:abstractNumId w:val="2"/>
  </w:num>
  <w:num w:numId="9" w16cid:durableId="665206258">
    <w:abstractNumId w:val="11"/>
  </w:num>
  <w:num w:numId="10" w16cid:durableId="1196239317">
    <w:abstractNumId w:val="5"/>
  </w:num>
  <w:num w:numId="11" w16cid:durableId="1093472304">
    <w:abstractNumId w:val="7"/>
  </w:num>
  <w:num w:numId="12" w16cid:durableId="1701970466">
    <w:abstractNumId w:val="9"/>
  </w:num>
  <w:num w:numId="13" w16cid:durableId="42558738">
    <w:abstractNumId w:val="12"/>
  </w:num>
  <w:num w:numId="14" w16cid:durableId="1369334078">
    <w:abstractNumId w:val="1"/>
  </w:num>
  <w:num w:numId="15" w16cid:durableId="1409570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A4"/>
    <w:rsid w:val="00025AA4"/>
    <w:rsid w:val="00222FED"/>
    <w:rsid w:val="005F173E"/>
    <w:rsid w:val="008B3AD4"/>
    <w:rsid w:val="0091206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C020"/>
  <w15:chartTrackingRefBased/>
  <w15:docId w15:val="{8717F9A5-C3ED-438A-8B0B-CC5E780F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AA4"/>
    <w:pPr>
      <w:spacing w:after="0" w:line="240" w:lineRule="auto"/>
    </w:pPr>
    <w:rPr>
      <w:rFonts w:eastAsia="Batang"/>
      <w:kern w:val="0"/>
      <w:lang w:eastAsia="lt-LT"/>
      <w14:ligatures w14:val="none"/>
    </w:rPr>
  </w:style>
  <w:style w:type="paragraph" w:styleId="Antrat1">
    <w:name w:val="heading 1"/>
    <w:basedOn w:val="prastasis"/>
    <w:next w:val="prastasis"/>
    <w:link w:val="Antrat1Diagrama"/>
    <w:uiPriority w:val="99"/>
    <w:qFormat/>
    <w:rsid w:val="0002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025A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25A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5AA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25AA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5AA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25AA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5AA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5A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5A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025AA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025AA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5AA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25AA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5AA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25AA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5AA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25A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5A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5A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5AA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5A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5AA4"/>
    <w:rPr>
      <w:i/>
      <w:iCs/>
      <w:color w:val="404040" w:themeColor="text1" w:themeTint="BF"/>
    </w:rPr>
  </w:style>
  <w:style w:type="paragraph" w:styleId="Sraopastraipa">
    <w:name w:val="List Paragraph"/>
    <w:basedOn w:val="prastasis"/>
    <w:uiPriority w:val="34"/>
    <w:qFormat/>
    <w:rsid w:val="00025AA4"/>
    <w:pPr>
      <w:ind w:left="720"/>
      <w:contextualSpacing/>
    </w:pPr>
  </w:style>
  <w:style w:type="character" w:styleId="Rykuspabraukimas">
    <w:name w:val="Intense Emphasis"/>
    <w:basedOn w:val="Numatytasispastraiposriftas"/>
    <w:uiPriority w:val="21"/>
    <w:qFormat/>
    <w:rsid w:val="00025AA4"/>
    <w:rPr>
      <w:i/>
      <w:iCs/>
      <w:color w:val="0F4761" w:themeColor="accent1" w:themeShade="BF"/>
    </w:rPr>
  </w:style>
  <w:style w:type="paragraph" w:styleId="Iskirtacitata">
    <w:name w:val="Intense Quote"/>
    <w:basedOn w:val="prastasis"/>
    <w:next w:val="prastasis"/>
    <w:link w:val="IskirtacitataDiagrama"/>
    <w:uiPriority w:val="30"/>
    <w:qFormat/>
    <w:rsid w:val="0002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5AA4"/>
    <w:rPr>
      <w:i/>
      <w:iCs/>
      <w:color w:val="0F4761" w:themeColor="accent1" w:themeShade="BF"/>
    </w:rPr>
  </w:style>
  <w:style w:type="character" w:styleId="Rykinuoroda">
    <w:name w:val="Intense Reference"/>
    <w:basedOn w:val="Numatytasispastraiposriftas"/>
    <w:uiPriority w:val="32"/>
    <w:qFormat/>
    <w:rsid w:val="00025AA4"/>
    <w:rPr>
      <w:b/>
      <w:bCs/>
      <w:smallCaps/>
      <w:color w:val="0F4761" w:themeColor="accent1" w:themeShade="BF"/>
      <w:spacing w:val="5"/>
    </w:rPr>
  </w:style>
  <w:style w:type="paragraph" w:styleId="Porat">
    <w:name w:val="footer"/>
    <w:basedOn w:val="prastasis"/>
    <w:link w:val="PoratDiagrama"/>
    <w:uiPriority w:val="99"/>
    <w:semiHidden/>
    <w:rsid w:val="00025AA4"/>
    <w:pPr>
      <w:tabs>
        <w:tab w:val="center" w:pos="4153"/>
        <w:tab w:val="right" w:pos="8306"/>
      </w:tabs>
    </w:pPr>
    <w:rPr>
      <w:sz w:val="20"/>
      <w:szCs w:val="20"/>
      <w:lang w:val="x-none"/>
    </w:rPr>
  </w:style>
  <w:style w:type="character" w:customStyle="1" w:styleId="PoratDiagrama">
    <w:name w:val="Poraštė Diagrama"/>
    <w:basedOn w:val="Numatytasispastraiposriftas"/>
    <w:link w:val="Porat"/>
    <w:uiPriority w:val="99"/>
    <w:semiHidden/>
    <w:rsid w:val="00025AA4"/>
    <w:rPr>
      <w:rFonts w:eastAsia="Batang"/>
      <w:kern w:val="0"/>
      <w:sz w:val="20"/>
      <w:szCs w:val="20"/>
      <w:lang w:val="x-none" w:eastAsia="lt-LT"/>
      <w14:ligatures w14:val="none"/>
    </w:rPr>
  </w:style>
  <w:style w:type="paragraph" w:styleId="Pagrindinistekstas">
    <w:name w:val="Body Text"/>
    <w:basedOn w:val="prastasis"/>
    <w:link w:val="PagrindinistekstasDiagrama"/>
    <w:uiPriority w:val="99"/>
    <w:semiHidden/>
    <w:rsid w:val="00025AA4"/>
    <w:pPr>
      <w:spacing w:after="120"/>
    </w:pPr>
    <w:rPr>
      <w:sz w:val="20"/>
      <w:szCs w:val="20"/>
      <w:lang w:val="x-none"/>
    </w:rPr>
  </w:style>
  <w:style w:type="character" w:customStyle="1" w:styleId="PagrindinistekstasDiagrama">
    <w:name w:val="Pagrindinis tekstas Diagrama"/>
    <w:basedOn w:val="Numatytasispastraiposriftas"/>
    <w:link w:val="Pagrindinistekstas"/>
    <w:uiPriority w:val="99"/>
    <w:semiHidden/>
    <w:rsid w:val="00025AA4"/>
    <w:rPr>
      <w:rFonts w:eastAsia="Batang"/>
      <w:kern w:val="0"/>
      <w:sz w:val="20"/>
      <w:szCs w:val="20"/>
      <w:lang w:val="x-none" w:eastAsia="lt-LT"/>
      <w14:ligatures w14:val="none"/>
    </w:rPr>
  </w:style>
  <w:style w:type="paragraph" w:styleId="Pagrindinistekstas2">
    <w:name w:val="Body Text 2"/>
    <w:basedOn w:val="prastasis"/>
    <w:link w:val="Pagrindinistekstas2Diagrama"/>
    <w:uiPriority w:val="99"/>
    <w:semiHidden/>
    <w:rsid w:val="00025AA4"/>
    <w:pPr>
      <w:widowControl w:val="0"/>
      <w:ind w:right="-57"/>
    </w:pPr>
    <w:rPr>
      <w:sz w:val="20"/>
      <w:szCs w:val="20"/>
      <w:lang w:val="x-none"/>
    </w:rPr>
  </w:style>
  <w:style w:type="character" w:customStyle="1" w:styleId="Pagrindinistekstas2Diagrama">
    <w:name w:val="Pagrindinis tekstas 2 Diagrama"/>
    <w:basedOn w:val="Numatytasispastraiposriftas"/>
    <w:link w:val="Pagrindinistekstas2"/>
    <w:uiPriority w:val="99"/>
    <w:semiHidden/>
    <w:rsid w:val="00025AA4"/>
    <w:rPr>
      <w:rFonts w:eastAsia="Batang"/>
      <w:kern w:val="0"/>
      <w:sz w:val="20"/>
      <w:szCs w:val="20"/>
      <w:lang w:val="x-none" w:eastAsia="lt-LT"/>
      <w14:ligatures w14:val="none"/>
    </w:rPr>
  </w:style>
  <w:style w:type="paragraph" w:customStyle="1" w:styleId="BTEMEASMCA">
    <w:name w:val="BT EMEA_SMCA"/>
    <w:basedOn w:val="prastasis"/>
    <w:autoRedefine/>
    <w:uiPriority w:val="99"/>
    <w:rsid w:val="00025AA4"/>
    <w:pPr>
      <w:tabs>
        <w:tab w:val="left" w:pos="426"/>
      </w:tabs>
    </w:pPr>
    <w:rPr>
      <w:noProof/>
      <w:color w:val="000000" w:themeColor="text1"/>
      <w:shd w:val="clear" w:color="auto" w:fill="FFFFFF"/>
    </w:rPr>
  </w:style>
  <w:style w:type="paragraph" w:customStyle="1" w:styleId="BT-EMEASMCA">
    <w:name w:val="BT- EMEA_SMCA"/>
    <w:basedOn w:val="prastasis"/>
    <w:rsid w:val="00025AA4"/>
    <w:pPr>
      <w:numPr>
        <w:ilvl w:val="1"/>
        <w:numId w:val="1"/>
      </w:numPr>
    </w:pPr>
  </w:style>
  <w:style w:type="paragraph" w:customStyle="1" w:styleId="PI-1EMEASMCA">
    <w:name w:val="PI-1 EMEA_SMCA"/>
    <w:basedOn w:val="Antrat2"/>
    <w:autoRedefine/>
    <w:uiPriority w:val="99"/>
    <w:rsid w:val="00025AA4"/>
    <w:pPr>
      <w:keepLines w:val="0"/>
      <w:tabs>
        <w:tab w:val="left" w:pos="567"/>
      </w:tabs>
      <w:spacing w:before="0" w:after="0"/>
      <w:ind w:left="567" w:hanging="567"/>
    </w:pPr>
    <w:rPr>
      <w:rFonts w:ascii="Times New Roman" w:eastAsia="Batang" w:hAnsi="Times New Roman" w:cs="Times New Roman"/>
      <w:b/>
      <w:bCs/>
      <w:color w:val="auto"/>
      <w:sz w:val="22"/>
      <w:szCs w:val="22"/>
    </w:rPr>
  </w:style>
  <w:style w:type="paragraph" w:customStyle="1" w:styleId="TTEMEASMCA">
    <w:name w:val="TT EMEA_SMCA"/>
    <w:basedOn w:val="Antrat1"/>
    <w:autoRedefine/>
    <w:uiPriority w:val="99"/>
    <w:rsid w:val="00025AA4"/>
    <w:pPr>
      <w:keepNext w:val="0"/>
      <w:keepLines w:val="0"/>
      <w:tabs>
        <w:tab w:val="left" w:pos="567"/>
      </w:tabs>
      <w:spacing w:before="0" w:after="0"/>
      <w:ind w:left="567" w:hanging="567"/>
      <w:jc w:val="center"/>
    </w:pPr>
    <w:rPr>
      <w:rFonts w:ascii="Times New Roman Bold" w:eastAsia="Batang" w:hAnsi="Times New Roman Bold" w:cs="Times New Roman"/>
      <w:b/>
      <w:color w:val="auto"/>
      <w:sz w:val="20"/>
      <w:szCs w:val="20"/>
      <w:lang w:val="x-none"/>
    </w:rPr>
  </w:style>
  <w:style w:type="paragraph" w:customStyle="1" w:styleId="PI-3EMEASMCA">
    <w:name w:val="PI-3 EMEA_SMCA"/>
    <w:basedOn w:val="prastasis"/>
    <w:autoRedefine/>
    <w:uiPriority w:val="99"/>
    <w:rsid w:val="00025AA4"/>
    <w:pPr>
      <w:spacing w:line="220" w:lineRule="exact"/>
      <w:ind w:left="567" w:hanging="567"/>
    </w:pPr>
    <w:rPr>
      <w:b/>
      <w:bCs/>
      <w:lang w:eastAsia="en-US"/>
    </w:rPr>
  </w:style>
  <w:style w:type="character" w:styleId="Emfaz">
    <w:name w:val="Emphasis"/>
    <w:basedOn w:val="Numatytasispastraiposriftas"/>
    <w:uiPriority w:val="20"/>
    <w:qFormat/>
    <w:rsid w:val="00025A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18935</Words>
  <Characters>10794</Characters>
  <Application>Microsoft Office Word</Application>
  <DocSecurity>0</DocSecurity>
  <Lines>89</Lines>
  <Paragraphs>59</Paragraphs>
  <ScaleCrop>false</ScaleCrop>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2026-02-17T06:25:00Z</dcterms:created>
  <dcterms:modified xsi:type="dcterms:W3CDTF">2026-02-17T06:26:00Z</dcterms:modified>
</cp:coreProperties>
</file>