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2FEB" w14:textId="77777777" w:rsidR="000E262C" w:rsidRPr="006E47D1" w:rsidRDefault="000E262C" w:rsidP="000E262C">
      <w:pPr>
        <w:pStyle w:val="TTEMEASMCA"/>
      </w:pPr>
      <w:r w:rsidRPr="006E47D1">
        <w:rPr>
          <w:caps w:val="0"/>
        </w:rPr>
        <w:t>Pakuotės lapelis: informacija vartotojui</w:t>
      </w:r>
    </w:p>
    <w:p w14:paraId="07934568" w14:textId="77777777" w:rsidR="000E262C" w:rsidRPr="006E47D1" w:rsidRDefault="000E262C" w:rsidP="000E262C">
      <w:pPr>
        <w:pStyle w:val="Antrat3"/>
        <w:jc w:val="center"/>
        <w:rPr>
          <w:rFonts w:cs="Times New Roman"/>
          <w:sz w:val="22"/>
          <w:szCs w:val="22"/>
        </w:rPr>
      </w:pPr>
      <w:proofErr w:type="spellStart"/>
      <w:r w:rsidRPr="006E47D1">
        <w:rPr>
          <w:rFonts w:cs="Times New Roman"/>
          <w:spacing w:val="-3"/>
          <w:sz w:val="22"/>
          <w:szCs w:val="22"/>
        </w:rPr>
        <w:t>Ginkor</w:t>
      </w:r>
      <w:proofErr w:type="spellEnd"/>
      <w:r w:rsidRPr="006E47D1">
        <w:rPr>
          <w:rFonts w:cs="Times New Roman"/>
          <w:spacing w:val="-3"/>
          <w:sz w:val="22"/>
          <w:szCs w:val="22"/>
        </w:rPr>
        <w:t xml:space="preserve"> </w:t>
      </w:r>
      <w:proofErr w:type="spellStart"/>
      <w:r w:rsidRPr="006E47D1">
        <w:rPr>
          <w:rFonts w:cs="Times New Roman"/>
          <w:spacing w:val="-3"/>
          <w:sz w:val="22"/>
          <w:szCs w:val="22"/>
        </w:rPr>
        <w:t>fort</w:t>
      </w:r>
      <w:proofErr w:type="spellEnd"/>
      <w:r w:rsidRPr="006E47D1">
        <w:rPr>
          <w:rFonts w:cs="Times New Roman"/>
          <w:sz w:val="22"/>
          <w:szCs w:val="22"/>
        </w:rPr>
        <w:t xml:space="preserve"> kietosios kapsulės</w:t>
      </w:r>
    </w:p>
    <w:p w14:paraId="37DA6426" w14:textId="77777777" w:rsidR="000E262C" w:rsidRPr="006E47D1" w:rsidRDefault="000E262C" w:rsidP="000E262C">
      <w:pPr>
        <w:pStyle w:val="BTbeEMEASMCA"/>
      </w:pPr>
      <w:r w:rsidRPr="006E47D1">
        <w:t>rafinuotas ir kiekybiškai įvertintas ginkmedžių sausasis ekstraktas, trokserutinas ir heptaminolio hidrochloridas</w:t>
      </w:r>
    </w:p>
    <w:p w14:paraId="5040D694" w14:textId="77777777" w:rsidR="000E262C" w:rsidRPr="006E47D1" w:rsidRDefault="000E262C" w:rsidP="000E262C">
      <w:pPr>
        <w:pStyle w:val="BTEMEASMCADiagrama"/>
      </w:pPr>
    </w:p>
    <w:p w14:paraId="6274BE43" w14:textId="77777777" w:rsidR="000E262C" w:rsidRPr="006E47D1" w:rsidRDefault="000E262C" w:rsidP="000E262C">
      <w:pPr>
        <w:pStyle w:val="BTbEMEASMCA"/>
      </w:pPr>
      <w:r w:rsidRPr="006E47D1">
        <w:t>Atidžiai perskaitykite visą šį lapelį, prieš pradėdami vartoti vaistą, nes jame pateikiama Jums svarbi informacija.</w:t>
      </w:r>
    </w:p>
    <w:p w14:paraId="33B3E9A8" w14:textId="77777777" w:rsidR="000E262C" w:rsidRPr="006E47D1" w:rsidRDefault="000E262C" w:rsidP="000E262C">
      <w:pPr>
        <w:pStyle w:val="BTEMEASMCADiagrama"/>
      </w:pPr>
      <w:r w:rsidRPr="006E47D1">
        <w:t>Visada vartokite šį vaistą tiksliai kaip aprašyta šiame lapelyje arba kaip nurodė gydytojas arba vaistininkas.</w:t>
      </w:r>
    </w:p>
    <w:p w14:paraId="1817994A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Neišmeskite šio lapelio, nes vėl gali prireikti jį perskaityti.</w:t>
      </w:r>
    </w:p>
    <w:p w14:paraId="5C607BC1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norite sužinoti daugiau arba pasitarti, kreipkitės į vaistininką.</w:t>
      </w:r>
    </w:p>
    <w:p w14:paraId="7C788D13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pasireiškė šalutinis poveikis (net jeigu jis šiame lapelyje nenurodytas), kreipkitės į gydytoją arba vaistininką. Žr. 4 skyrių.</w:t>
      </w:r>
    </w:p>
    <w:p w14:paraId="37C91CAC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hemorojaus paūmėjimo atveju Jūsų savijauta per 7 dienas nepagerėjo arba net pablogėjo, kreipkitės į gydytoją.</w:t>
      </w:r>
    </w:p>
    <w:p w14:paraId="395DB53F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kojų venų nepakankamumo atveju Jūsų savijauta per 1 mėnesį nepagerėjo arba net pablogėjo, kreipkitės į gydytoją.</w:t>
      </w:r>
    </w:p>
    <w:p w14:paraId="5AFF05A8" w14:textId="77777777" w:rsidR="000E262C" w:rsidRPr="006E47D1" w:rsidRDefault="000E262C" w:rsidP="000E262C">
      <w:pPr>
        <w:pStyle w:val="BTEMEASMCADiagrama"/>
      </w:pPr>
    </w:p>
    <w:p w14:paraId="0488DAB9" w14:textId="77777777" w:rsidR="000E262C" w:rsidRPr="00736C34" w:rsidRDefault="000E262C" w:rsidP="000E262C">
      <w:pPr>
        <w:rPr>
          <w:b/>
          <w:bCs/>
        </w:rPr>
      </w:pPr>
      <w:r w:rsidRPr="00EF3386">
        <w:rPr>
          <w:b/>
          <w:sz w:val="22"/>
        </w:rPr>
        <w:t>Apie ką rašoma šiame lapelyje?</w:t>
      </w:r>
    </w:p>
    <w:p w14:paraId="113B92C6" w14:textId="77777777" w:rsidR="000E262C" w:rsidRPr="006E47D1" w:rsidRDefault="000E262C" w:rsidP="000E262C">
      <w:pPr>
        <w:pStyle w:val="BTEMEASMCADiagrama"/>
      </w:pPr>
      <w:r w:rsidRPr="006E47D1">
        <w:t>1.</w:t>
      </w:r>
      <w:r w:rsidRPr="006E47D1">
        <w:tab/>
        <w:t>Kas yra Ginkor fort ir kam jis vartojamas</w:t>
      </w:r>
    </w:p>
    <w:p w14:paraId="357A65CF" w14:textId="77777777" w:rsidR="000E262C" w:rsidRPr="006E47D1" w:rsidRDefault="000E262C" w:rsidP="000E262C">
      <w:pPr>
        <w:pStyle w:val="BTEMEASMCADiagrama"/>
      </w:pPr>
      <w:r w:rsidRPr="006E47D1">
        <w:t>2.</w:t>
      </w:r>
      <w:r w:rsidRPr="006E47D1">
        <w:tab/>
        <w:t>Kas žinotina prieš vartojant Ginkor fort</w:t>
      </w:r>
    </w:p>
    <w:p w14:paraId="33A092A9" w14:textId="77777777" w:rsidR="000E262C" w:rsidRPr="006E47D1" w:rsidRDefault="000E262C" w:rsidP="000E262C">
      <w:pPr>
        <w:pStyle w:val="BTEMEASMCADiagrama"/>
      </w:pPr>
      <w:r w:rsidRPr="006E47D1">
        <w:t>3.</w:t>
      </w:r>
      <w:r w:rsidRPr="006E47D1">
        <w:tab/>
        <w:t>Kaip vartoti Ginkor fort</w:t>
      </w:r>
    </w:p>
    <w:p w14:paraId="32273CC8" w14:textId="77777777" w:rsidR="000E262C" w:rsidRPr="006E47D1" w:rsidRDefault="000E262C" w:rsidP="000E262C">
      <w:pPr>
        <w:pStyle w:val="BTEMEASMCADiagrama"/>
      </w:pPr>
      <w:r w:rsidRPr="006E47D1">
        <w:t>4.</w:t>
      </w:r>
      <w:r w:rsidRPr="006E47D1">
        <w:tab/>
        <w:t>Galimas šalutinis poveikis</w:t>
      </w:r>
    </w:p>
    <w:p w14:paraId="265380E7" w14:textId="77777777" w:rsidR="000E262C" w:rsidRPr="006E47D1" w:rsidRDefault="000E262C" w:rsidP="000E262C">
      <w:pPr>
        <w:pStyle w:val="BTEMEASMCADiagrama"/>
      </w:pPr>
      <w:r w:rsidRPr="006E47D1">
        <w:t>5.</w:t>
      </w:r>
      <w:r w:rsidRPr="006E47D1">
        <w:tab/>
        <w:t>Kaip laikyti Ginkor fort</w:t>
      </w:r>
    </w:p>
    <w:p w14:paraId="6C84D2E4" w14:textId="77777777" w:rsidR="000E262C" w:rsidRPr="006E47D1" w:rsidRDefault="000E262C" w:rsidP="000E262C">
      <w:pPr>
        <w:pStyle w:val="BTEMEASMCADiagrama"/>
      </w:pPr>
      <w:r w:rsidRPr="006E47D1">
        <w:t>6.</w:t>
      </w:r>
      <w:r w:rsidRPr="006E47D1">
        <w:tab/>
        <w:t>Pakuotės turinys ir kita informacija</w:t>
      </w:r>
    </w:p>
    <w:p w14:paraId="3E9B5EC7" w14:textId="77777777" w:rsidR="000E262C" w:rsidRPr="006E47D1" w:rsidRDefault="000E262C" w:rsidP="000E262C">
      <w:pPr>
        <w:pStyle w:val="BTEMEASMCADiagrama"/>
      </w:pPr>
    </w:p>
    <w:p w14:paraId="698FCC23" w14:textId="77777777" w:rsidR="000E262C" w:rsidRPr="006E47D1" w:rsidRDefault="000E262C" w:rsidP="000E262C">
      <w:pPr>
        <w:pStyle w:val="BTEMEASMCADiagrama"/>
      </w:pPr>
    </w:p>
    <w:p w14:paraId="4C973E5E" w14:textId="77777777" w:rsidR="000E262C" w:rsidRPr="006E47D1" w:rsidRDefault="000E262C" w:rsidP="000E262C">
      <w:pPr>
        <w:pStyle w:val="PI-1EMEASMCA"/>
      </w:pPr>
      <w:bookmarkStart w:id="0" w:name="_Toc129243264"/>
      <w:bookmarkStart w:id="1" w:name="_Toc129243139"/>
      <w:r w:rsidRPr="006E47D1">
        <w:t>1.</w:t>
      </w:r>
      <w:r w:rsidRPr="006E47D1">
        <w:tab/>
        <w:t xml:space="preserve">Kas yra </w:t>
      </w:r>
      <w:proofErr w:type="spellStart"/>
      <w:r w:rsidRPr="006E47D1">
        <w:rPr>
          <w:spacing w:val="-3"/>
        </w:rPr>
        <w:t>Ginkor</w:t>
      </w:r>
      <w:proofErr w:type="spellEnd"/>
      <w:r w:rsidRPr="006E47D1">
        <w:rPr>
          <w:spacing w:val="-3"/>
        </w:rPr>
        <w:t xml:space="preserve"> </w:t>
      </w:r>
      <w:proofErr w:type="spellStart"/>
      <w:r w:rsidRPr="006E47D1">
        <w:rPr>
          <w:spacing w:val="-3"/>
        </w:rPr>
        <w:t>fort</w:t>
      </w:r>
      <w:proofErr w:type="spellEnd"/>
      <w:r w:rsidRPr="006E47D1">
        <w:t xml:space="preserve"> ir kam jis vartojamas</w:t>
      </w:r>
      <w:bookmarkEnd w:id="0"/>
      <w:bookmarkEnd w:id="1"/>
    </w:p>
    <w:p w14:paraId="61408C50" w14:textId="77777777" w:rsidR="000E262C" w:rsidRPr="006E47D1" w:rsidRDefault="000E262C" w:rsidP="000E262C">
      <w:pPr>
        <w:pStyle w:val="BTEMEASMCADiagrama"/>
      </w:pPr>
    </w:p>
    <w:p w14:paraId="0453D60C" w14:textId="77777777" w:rsidR="000E262C" w:rsidRPr="006E47D1" w:rsidRDefault="000E262C" w:rsidP="000E262C">
      <w:pPr>
        <w:pStyle w:val="Betarp"/>
        <w:rPr>
          <w:lang w:val="lt-LT"/>
        </w:rPr>
      </w:pPr>
      <w:proofErr w:type="spellStart"/>
      <w:r w:rsidRPr="006E47D1">
        <w:rPr>
          <w:spacing w:val="-3"/>
          <w:lang w:val="lt-LT"/>
        </w:rPr>
        <w:t>Ginkor</w:t>
      </w:r>
      <w:proofErr w:type="spellEnd"/>
      <w:r w:rsidRPr="006E47D1">
        <w:rPr>
          <w:spacing w:val="-3"/>
          <w:lang w:val="lt-LT"/>
        </w:rPr>
        <w:t xml:space="preserve"> </w:t>
      </w:r>
      <w:proofErr w:type="spellStart"/>
      <w:r w:rsidRPr="006E47D1">
        <w:rPr>
          <w:spacing w:val="-3"/>
          <w:lang w:val="lt-LT"/>
        </w:rPr>
        <w:t>fort</w:t>
      </w:r>
      <w:proofErr w:type="spellEnd"/>
      <w:r w:rsidRPr="006E47D1">
        <w:rPr>
          <w:lang w:val="lt-LT"/>
        </w:rPr>
        <w:t xml:space="preserve"> yra trijų veikliųjų medžiagų derinys, stiprinantis kraujagyslių sieneles ir mažinanti jų padidėjusį pralaidumą ir slopinantis uždegimą. </w:t>
      </w:r>
    </w:p>
    <w:p w14:paraId="1F473CF0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z w:val="22"/>
          <w:szCs w:val="22"/>
        </w:rPr>
      </w:pPr>
    </w:p>
    <w:p w14:paraId="0AF98DF8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>Vaistas skirtas:</w:t>
      </w:r>
    </w:p>
    <w:p w14:paraId="22C82136" w14:textId="77777777" w:rsidR="000E262C" w:rsidRPr="00CA73D4" w:rsidRDefault="000E262C" w:rsidP="000E262C">
      <w:pPr>
        <w:pStyle w:val="Sraopastraipa"/>
        <w:numPr>
          <w:ilvl w:val="0"/>
          <w:numId w:val="2"/>
        </w:numPr>
        <w:ind w:left="709" w:hanging="283"/>
      </w:pPr>
      <w:r w:rsidRPr="00EF3386">
        <w:rPr>
          <w:sz w:val="22"/>
        </w:rPr>
        <w:t xml:space="preserve">apatinių galūnių venų ir </w:t>
      </w:r>
      <w:proofErr w:type="spellStart"/>
      <w:r w:rsidRPr="00EF3386">
        <w:rPr>
          <w:sz w:val="22"/>
        </w:rPr>
        <w:t>limfagyslių</w:t>
      </w:r>
      <w:proofErr w:type="spellEnd"/>
      <w:r w:rsidRPr="00EF3386">
        <w:rPr>
          <w:sz w:val="22"/>
        </w:rPr>
        <w:t xml:space="preserve"> nepakankamumo, pasireiškiančio kojų sunkumo pojūčiu, skausmu, kojų neramumu gulint, gydymui; </w:t>
      </w:r>
    </w:p>
    <w:p w14:paraId="72AEDE58" w14:textId="77777777" w:rsidR="000E262C" w:rsidRPr="00CA73D4" w:rsidRDefault="000E262C" w:rsidP="000E262C">
      <w:pPr>
        <w:pStyle w:val="Sraopastraipa"/>
        <w:numPr>
          <w:ilvl w:val="0"/>
          <w:numId w:val="2"/>
        </w:numPr>
        <w:ind w:left="709" w:hanging="283"/>
      </w:pPr>
      <w:r w:rsidRPr="00EF3386">
        <w:rPr>
          <w:sz w:val="22"/>
        </w:rPr>
        <w:t>ūminio hemorojaus priepuolio sukeltų sutrikimų gydymui.</w:t>
      </w:r>
    </w:p>
    <w:p w14:paraId="3994CBFB" w14:textId="77777777" w:rsidR="000E262C" w:rsidRPr="00CA73D4" w:rsidRDefault="000E262C" w:rsidP="000E262C">
      <w:pPr>
        <w:pStyle w:val="Sraopastraipa"/>
        <w:numPr>
          <w:ilvl w:val="0"/>
          <w:numId w:val="2"/>
        </w:numPr>
        <w:ind w:left="709" w:hanging="283"/>
      </w:pPr>
      <w:r w:rsidRPr="00EF3386">
        <w:rPr>
          <w:sz w:val="22"/>
        </w:rPr>
        <w:t>Jeigu hemorojaus paūmėjimo atveju Jūsų savijauta per 7 dienas nepagerėjo arba net pablogėjo, kreipkitės į gydytoją.</w:t>
      </w:r>
    </w:p>
    <w:p w14:paraId="1C623952" w14:textId="77777777" w:rsidR="000E262C" w:rsidRPr="00CA73D4" w:rsidRDefault="000E262C" w:rsidP="000E262C">
      <w:pPr>
        <w:pStyle w:val="Sraopastraipa"/>
        <w:numPr>
          <w:ilvl w:val="0"/>
          <w:numId w:val="2"/>
        </w:numPr>
        <w:ind w:left="709" w:hanging="283"/>
      </w:pPr>
      <w:r w:rsidRPr="00EF3386">
        <w:rPr>
          <w:sz w:val="22"/>
        </w:rPr>
        <w:t>Jeigu kojų venų nepakankamumo atveju Jūsų savijauta per 1 mėnesį nepagerėjo arba net pablogėjo, kreipkitės į gydytoją.</w:t>
      </w:r>
    </w:p>
    <w:p w14:paraId="7F3DD028" w14:textId="77777777" w:rsidR="000E262C" w:rsidRPr="006E47D1" w:rsidRDefault="000E262C" w:rsidP="000E262C">
      <w:pPr>
        <w:pStyle w:val="BTEMEASMCADiagrama"/>
      </w:pPr>
    </w:p>
    <w:p w14:paraId="016798C7" w14:textId="77777777" w:rsidR="000E262C" w:rsidRPr="006E47D1" w:rsidRDefault="000E262C" w:rsidP="000E262C">
      <w:pPr>
        <w:pStyle w:val="BTEMEASMCADiagrama"/>
      </w:pPr>
    </w:p>
    <w:p w14:paraId="7E5CC2B6" w14:textId="77777777" w:rsidR="000E262C" w:rsidRPr="006E47D1" w:rsidRDefault="000E262C" w:rsidP="000E262C">
      <w:pPr>
        <w:pStyle w:val="PI-1EMEASMCA"/>
        <w:rPr>
          <w:caps/>
        </w:rPr>
      </w:pPr>
      <w:bookmarkStart w:id="2" w:name="_Toc129243265"/>
      <w:bookmarkStart w:id="3" w:name="_Toc129243140"/>
      <w:r w:rsidRPr="006E47D1">
        <w:t>2.</w:t>
      </w:r>
      <w:r w:rsidRPr="006E47D1">
        <w:tab/>
        <w:t xml:space="preserve">Kas žinotina prieš vartojant </w:t>
      </w:r>
      <w:bookmarkEnd w:id="2"/>
      <w:bookmarkEnd w:id="3"/>
      <w:proofErr w:type="spellStart"/>
      <w:r w:rsidRPr="006E47D1">
        <w:rPr>
          <w:spacing w:val="-3"/>
        </w:rPr>
        <w:t>Ginkor</w:t>
      </w:r>
      <w:proofErr w:type="spellEnd"/>
      <w:r w:rsidRPr="006E47D1">
        <w:rPr>
          <w:spacing w:val="-3"/>
        </w:rPr>
        <w:t xml:space="preserve"> </w:t>
      </w:r>
      <w:proofErr w:type="spellStart"/>
      <w:r w:rsidRPr="006E47D1">
        <w:rPr>
          <w:spacing w:val="-3"/>
        </w:rPr>
        <w:t>fort</w:t>
      </w:r>
      <w:proofErr w:type="spellEnd"/>
    </w:p>
    <w:p w14:paraId="47A6B7B4" w14:textId="77777777" w:rsidR="000E262C" w:rsidRPr="006E47D1" w:rsidRDefault="000E262C" w:rsidP="000E262C">
      <w:pPr>
        <w:pStyle w:val="BTEMEASMCADiagrama"/>
      </w:pPr>
    </w:p>
    <w:p w14:paraId="61E255DF" w14:textId="77777777" w:rsidR="000E262C" w:rsidRPr="006E47D1" w:rsidRDefault="000E262C" w:rsidP="000E262C">
      <w:pPr>
        <w:pStyle w:val="PI-3EMEASMCA"/>
      </w:pP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  <w:r w:rsidRPr="006E47D1">
        <w:t xml:space="preserve"> vartoti draudžiama:</w:t>
      </w:r>
    </w:p>
    <w:p w14:paraId="430531EA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yra alergija veikliosioms medžiagoms arba bet kuriai pagalbinei šio vaisto medžiagai (jos išvardytos 6 skyriuje);</w:t>
      </w:r>
    </w:p>
    <w:p w14:paraId="3958B90C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sergant hipertiroze (pernelyg aktyvi skydliaukė; dėl sudėtyje esančio heptaminolio);</w:t>
      </w:r>
    </w:p>
    <w:p w14:paraId="1BBFCF70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 xml:space="preserve">vartoti kartu su monoaminooksidazės inhibitoriais (dėl kraujospūdžio padidėjimo rizikos); </w:t>
      </w:r>
    </w:p>
    <w:p w14:paraId="2885B981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lastRenderedPageBreak/>
        <w:t>nėštumo laikotarpiu.</w:t>
      </w:r>
    </w:p>
    <w:p w14:paraId="2D2A5E16" w14:textId="77777777" w:rsidR="000E262C" w:rsidRPr="006E47D1" w:rsidRDefault="000E262C" w:rsidP="000E262C">
      <w:pPr>
        <w:pStyle w:val="BTEMEASMCADiagrama"/>
      </w:pPr>
    </w:p>
    <w:p w14:paraId="4D682BC3" w14:textId="77777777" w:rsidR="000E262C" w:rsidRPr="006E47D1" w:rsidRDefault="000E262C" w:rsidP="000E262C">
      <w:pPr>
        <w:pStyle w:val="PI-3EMEASMCA"/>
      </w:pPr>
      <w:r w:rsidRPr="006E47D1">
        <w:t>Įspėjimai ir atsargumo priemonės</w:t>
      </w:r>
    </w:p>
    <w:p w14:paraId="3063B367" w14:textId="77777777" w:rsidR="000E262C" w:rsidRPr="006E47D1" w:rsidRDefault="000E262C" w:rsidP="000E262C">
      <w:pPr>
        <w:pStyle w:val="PI-3EMEASMCA"/>
        <w:rPr>
          <w:b w:val="0"/>
        </w:rPr>
      </w:pPr>
      <w:r w:rsidRPr="006E47D1">
        <w:rPr>
          <w:b w:val="0"/>
        </w:rPr>
        <w:t xml:space="preserve">Pasitarkite su gydytoju arba vaistininku, prieš pradėdami vartoti </w:t>
      </w:r>
      <w:proofErr w:type="spellStart"/>
      <w:r w:rsidRPr="006E47D1">
        <w:rPr>
          <w:b w:val="0"/>
        </w:rPr>
        <w:t>Ginkor</w:t>
      </w:r>
      <w:proofErr w:type="spellEnd"/>
      <w:r w:rsidRPr="006E47D1">
        <w:rPr>
          <w:b w:val="0"/>
        </w:rPr>
        <w:t xml:space="preserve"> </w:t>
      </w:r>
      <w:proofErr w:type="spellStart"/>
      <w:r w:rsidRPr="006E47D1">
        <w:rPr>
          <w:b w:val="0"/>
        </w:rPr>
        <w:t>fort</w:t>
      </w:r>
      <w:proofErr w:type="spellEnd"/>
      <w:r w:rsidRPr="006E47D1">
        <w:rPr>
          <w:b w:val="0"/>
        </w:rPr>
        <w:t>.</w:t>
      </w:r>
    </w:p>
    <w:p w14:paraId="7BE64EE8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Kadangi vaisto sudėtyje yra heptaminolio, ypač sergantiesiems sunkia arterine hipertenzija, gydymo pradžioje reikia stebėti arterinį kraujo</w:t>
      </w:r>
      <w:r>
        <w:t>spūdį</w:t>
      </w:r>
      <w:r w:rsidRPr="006E47D1">
        <w:t>.</w:t>
      </w:r>
    </w:p>
    <w:p w14:paraId="4D6E07FA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Ūminis hemorojaus priepuolis: gydymas turi būti trumpas. Jeigu simptomai per 7 dienas nepraeina, reikia kreiptis į gydytoją, kad būtų įvertinta hemorojinių mazgų būklė ir paskirtas gydymas.</w:t>
      </w:r>
    </w:p>
    <w:p w14:paraId="1134D8AA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Jūs esate sportininkas: šio vaisto sudėtyje esantis heptaminolis gali sąlygoti teigiamą dopingo kontrolės testo atsakymą.</w:t>
      </w:r>
    </w:p>
    <w:p w14:paraId="3368B93E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Dėl padidėjusio kraujavimo pavojaus, dėl sudėtyje esančio ginkmedžio, nutraukite šio vaisto vartojimą 3</w:t>
      </w:r>
      <w:r w:rsidRPr="006E47D1">
        <w:noBreakHyphen/>
        <w:t>4 dienos prieš bet kokią chirurginę operaciją.</w:t>
      </w:r>
    </w:p>
    <w:p w14:paraId="53973DF0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  <w:proofErr w:type="spellStart"/>
      <w:r w:rsidRPr="006E47D1">
        <w:rPr>
          <w:sz w:val="22"/>
          <w:szCs w:val="22"/>
        </w:rPr>
        <w:t>Ginkor</w:t>
      </w:r>
      <w:proofErr w:type="spellEnd"/>
      <w:r w:rsidRPr="006E47D1">
        <w:rPr>
          <w:sz w:val="22"/>
          <w:szCs w:val="22"/>
        </w:rPr>
        <w:t xml:space="preserve"> </w:t>
      </w:r>
      <w:proofErr w:type="spellStart"/>
      <w:r w:rsidRPr="006E47D1">
        <w:rPr>
          <w:sz w:val="22"/>
          <w:szCs w:val="22"/>
        </w:rPr>
        <w:t>fort</w:t>
      </w:r>
      <w:proofErr w:type="spellEnd"/>
      <w:r w:rsidRPr="006E47D1">
        <w:rPr>
          <w:sz w:val="22"/>
          <w:szCs w:val="22"/>
        </w:rPr>
        <w:t xml:space="preserve"> vartoti kartu su </w:t>
      </w:r>
      <w:proofErr w:type="spellStart"/>
      <w:r w:rsidRPr="006E47D1">
        <w:rPr>
          <w:sz w:val="22"/>
          <w:szCs w:val="22"/>
        </w:rPr>
        <w:t>efavirenzu</w:t>
      </w:r>
      <w:proofErr w:type="spellEnd"/>
      <w:r w:rsidRPr="006E47D1">
        <w:rPr>
          <w:sz w:val="22"/>
          <w:szCs w:val="22"/>
        </w:rPr>
        <w:t xml:space="preserve"> nerekomenduojama.</w:t>
      </w:r>
    </w:p>
    <w:p w14:paraId="6C3005CA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 xml:space="preserve">Pacientai turintys polinkį kraujuoti (t. y. hemoraginę būklę) ir gydomi antikoaguliantais kartu su </w:t>
      </w:r>
      <w:proofErr w:type="spellStart"/>
      <w:r w:rsidRPr="006E47D1">
        <w:rPr>
          <w:spacing w:val="-3"/>
          <w:sz w:val="22"/>
          <w:szCs w:val="22"/>
        </w:rPr>
        <w:t>antitrombocitiniais</w:t>
      </w:r>
      <w:proofErr w:type="spellEnd"/>
      <w:r w:rsidRPr="006E47D1">
        <w:rPr>
          <w:spacing w:val="-3"/>
          <w:sz w:val="22"/>
          <w:szCs w:val="22"/>
        </w:rPr>
        <w:t xml:space="preserve"> vaistais, turėtų pasitarti su gydytoju arba vaistininku prieš vartodami </w:t>
      </w:r>
      <w:proofErr w:type="spellStart"/>
      <w:r w:rsidRPr="006E47D1">
        <w:rPr>
          <w:spacing w:val="-3"/>
          <w:sz w:val="22"/>
          <w:szCs w:val="22"/>
        </w:rPr>
        <w:t>Ginkor</w:t>
      </w:r>
      <w:proofErr w:type="spellEnd"/>
      <w:r w:rsidRPr="006E47D1">
        <w:rPr>
          <w:spacing w:val="-3"/>
          <w:sz w:val="22"/>
          <w:szCs w:val="22"/>
        </w:rPr>
        <w:t xml:space="preserve"> </w:t>
      </w:r>
      <w:proofErr w:type="spellStart"/>
      <w:r w:rsidRPr="006E47D1">
        <w:rPr>
          <w:spacing w:val="-3"/>
          <w:sz w:val="22"/>
          <w:szCs w:val="22"/>
        </w:rPr>
        <w:t>fort</w:t>
      </w:r>
      <w:proofErr w:type="spellEnd"/>
      <w:r w:rsidRPr="006E47D1">
        <w:rPr>
          <w:spacing w:val="-3"/>
          <w:sz w:val="22"/>
          <w:szCs w:val="22"/>
        </w:rPr>
        <w:t>.</w:t>
      </w:r>
    </w:p>
    <w:p w14:paraId="095AFBEA" w14:textId="77777777" w:rsidR="000E262C" w:rsidRPr="006E47D1" w:rsidRDefault="000E262C" w:rsidP="000E262C">
      <w:pPr>
        <w:pStyle w:val="BTEMEASMCADiagrama"/>
      </w:pPr>
    </w:p>
    <w:p w14:paraId="027EF848" w14:textId="77777777" w:rsidR="000E262C" w:rsidRPr="00736C34" w:rsidRDefault="000E262C" w:rsidP="000E262C">
      <w:pPr>
        <w:rPr>
          <w:b/>
          <w:bCs/>
        </w:rPr>
      </w:pPr>
      <w:r w:rsidRPr="00EF3386">
        <w:rPr>
          <w:b/>
          <w:sz w:val="22"/>
        </w:rPr>
        <w:t>Vaikams ir paaugliams</w:t>
      </w:r>
    </w:p>
    <w:p w14:paraId="5C07A571" w14:textId="77777777" w:rsidR="000E262C" w:rsidRPr="006E47D1" w:rsidRDefault="000E262C" w:rsidP="000E262C">
      <w:pPr>
        <w:rPr>
          <w:sz w:val="22"/>
          <w:szCs w:val="22"/>
        </w:rPr>
      </w:pPr>
      <w:proofErr w:type="spellStart"/>
      <w:r w:rsidRPr="006E47D1">
        <w:rPr>
          <w:sz w:val="22"/>
          <w:szCs w:val="22"/>
        </w:rPr>
        <w:t>Ginkor</w:t>
      </w:r>
      <w:proofErr w:type="spellEnd"/>
      <w:r w:rsidRPr="006E47D1">
        <w:rPr>
          <w:sz w:val="22"/>
          <w:szCs w:val="22"/>
        </w:rPr>
        <w:t xml:space="preserve"> </w:t>
      </w:r>
      <w:proofErr w:type="spellStart"/>
      <w:r w:rsidRPr="006E47D1">
        <w:rPr>
          <w:sz w:val="22"/>
          <w:szCs w:val="22"/>
        </w:rPr>
        <w:t>fort</w:t>
      </w:r>
      <w:proofErr w:type="spellEnd"/>
      <w:r w:rsidRPr="006E47D1">
        <w:rPr>
          <w:sz w:val="22"/>
          <w:szCs w:val="22"/>
        </w:rPr>
        <w:t xml:space="preserve"> veiksmingumas ir saugumas vaikams ir paaugliams dar neištirti.</w:t>
      </w:r>
    </w:p>
    <w:p w14:paraId="2C62BE3D" w14:textId="77777777" w:rsidR="000E262C" w:rsidRPr="006E47D1" w:rsidRDefault="000E262C" w:rsidP="000E262C">
      <w:pPr>
        <w:pStyle w:val="BTEMEASMCADiagrama"/>
      </w:pPr>
    </w:p>
    <w:p w14:paraId="63290100" w14:textId="77777777" w:rsidR="000E262C" w:rsidRPr="006E47D1" w:rsidRDefault="000E262C" w:rsidP="000E262C">
      <w:pPr>
        <w:pStyle w:val="PI-3EMEASMCA"/>
      </w:pPr>
      <w:r w:rsidRPr="006E47D1">
        <w:t xml:space="preserve">Kiti vaistai ir </w:t>
      </w: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  <w:r w:rsidRPr="006E47D1">
        <w:t xml:space="preserve"> </w:t>
      </w:r>
    </w:p>
    <w:p w14:paraId="37184AD9" w14:textId="77777777" w:rsidR="000E262C" w:rsidRPr="006E47D1" w:rsidRDefault="000E262C" w:rsidP="000E262C">
      <w:pPr>
        <w:pStyle w:val="BTEMEASMCADiagrama"/>
      </w:pPr>
      <w:r w:rsidRPr="006E47D1">
        <w:t>Jeigu vartojate ar neseniai vartojote kitų vaistų arba dėl to nesate tikri, apie tai pasakykite gydytojui arba vaistininkui.</w:t>
      </w:r>
    </w:p>
    <w:p w14:paraId="39FC253F" w14:textId="77777777" w:rsidR="000E262C" w:rsidRPr="006E47D1" w:rsidRDefault="000E262C" w:rsidP="000E262C">
      <w:pPr>
        <w:pStyle w:val="BTEMEASMCADiagrama"/>
      </w:pPr>
    </w:p>
    <w:p w14:paraId="192DC77E" w14:textId="77777777" w:rsidR="000E262C" w:rsidRPr="006E47D1" w:rsidRDefault="000E262C" w:rsidP="000E262C">
      <w:pPr>
        <w:pStyle w:val="BTEMEASMCADiagrama"/>
      </w:pPr>
      <w:r w:rsidRPr="006E47D1">
        <w:t>Siekdami išvengti sąveikų su kitais vaistais, visada pasakykite gydytojui arba vaistininkui, kokiais vaistais gydotės:</w:t>
      </w:r>
    </w:p>
    <w:p w14:paraId="0C4AEBF1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vartojate antidepresantų, tokių kaip monoaminooksidazės (MAO) inhibitorių, antikoaguliantų (fenprokumono, varfarino), antitrombocitinių vaistų (klopidogrelio, acetilsalicilo rūgšties arba kitų nesteroidinių vaistų nuo uždegimo);</w:t>
      </w:r>
    </w:p>
    <w:p w14:paraId="314A34C0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vartojate varfarino, pasitarkite su savo gydytoju;</w:t>
      </w:r>
    </w:p>
    <w:p w14:paraId="06D66612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jeigu vartojate dabigatrano eteksilato, pastarojo poveikiai gali būti sustiprinami..</w:t>
      </w:r>
    </w:p>
    <w:p w14:paraId="6A167C7B" w14:textId="77777777" w:rsidR="000E262C" w:rsidRPr="006E47D1" w:rsidRDefault="000E262C" w:rsidP="000E262C">
      <w:pPr>
        <w:pStyle w:val="BTEMEASMCADiagrama"/>
      </w:pPr>
      <w:r w:rsidRPr="006E47D1">
        <w:t>Nerekomenduojama šio vaisto vartoti kartu su efavirenzu dėl pavojaus sumažinti pastarojo poveikį.</w:t>
      </w:r>
    </w:p>
    <w:p w14:paraId="7BB26082" w14:textId="77777777" w:rsidR="000E262C" w:rsidRPr="006E47D1" w:rsidRDefault="000E262C" w:rsidP="000E262C">
      <w:pPr>
        <w:pStyle w:val="BTEMEASMCADiagrama"/>
      </w:pPr>
      <w:r w:rsidRPr="006E47D1">
        <w:t>Ginkmedis gali padidinti nifedipino koncentraciją. Kai kuriems asmenims šis padidėjimas gali būti reikšmingas ir gali sukelti galvos svaigimą ir padidėjusį karščio pylimo intensyvumą.</w:t>
      </w:r>
    </w:p>
    <w:p w14:paraId="052D55AA" w14:textId="77777777" w:rsidR="000E262C" w:rsidRPr="006E47D1" w:rsidRDefault="000E262C" w:rsidP="000E262C">
      <w:pPr>
        <w:pStyle w:val="BTEMEASMCADiagrama"/>
      </w:pPr>
    </w:p>
    <w:p w14:paraId="373C06BE" w14:textId="77777777" w:rsidR="000E262C" w:rsidRPr="006E47D1" w:rsidRDefault="000E262C" w:rsidP="000E262C">
      <w:pPr>
        <w:pStyle w:val="PI-3EMEASMCA"/>
      </w:pPr>
      <w:r w:rsidRPr="006E47D1">
        <w:t>Nėštumas žindymo laikotarpis ir vaisingumas</w:t>
      </w:r>
    </w:p>
    <w:p w14:paraId="14DB7267" w14:textId="77777777" w:rsidR="000E262C" w:rsidRPr="006E47D1" w:rsidRDefault="000E262C" w:rsidP="000E262C">
      <w:pPr>
        <w:pStyle w:val="Pagrindinistekstas2"/>
        <w:rPr>
          <w:sz w:val="22"/>
          <w:szCs w:val="22"/>
        </w:rPr>
      </w:pPr>
      <w:r w:rsidRPr="006E47D1"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41C0A8EB" w14:textId="77777777" w:rsidR="000E262C" w:rsidRPr="006E47D1" w:rsidRDefault="000E262C" w:rsidP="000E262C">
      <w:pPr>
        <w:pStyle w:val="Pagrindinistekstas2"/>
        <w:rPr>
          <w:sz w:val="22"/>
          <w:szCs w:val="22"/>
        </w:rPr>
      </w:pPr>
    </w:p>
    <w:p w14:paraId="171D0E80" w14:textId="77777777" w:rsidR="000E262C" w:rsidRPr="006E47D1" w:rsidRDefault="000E262C" w:rsidP="000E262C">
      <w:pPr>
        <w:pStyle w:val="BTEMEASMCADiagrama"/>
      </w:pPr>
      <w:r w:rsidRPr="006E47D1">
        <w:t>Ginkor fort negalima vartoti nėštumo metu dėl jo vazoaktyvaus poveikio ir antitrombocitinio aktyvumo.</w:t>
      </w:r>
    </w:p>
    <w:p w14:paraId="50C1F0C8" w14:textId="77777777" w:rsidR="000E262C" w:rsidRPr="006E47D1" w:rsidRDefault="000E262C" w:rsidP="000E262C">
      <w:pPr>
        <w:pStyle w:val="Pagrindinistekstas2"/>
        <w:rPr>
          <w:sz w:val="22"/>
          <w:szCs w:val="22"/>
        </w:rPr>
      </w:pPr>
      <w:r w:rsidRPr="006E47D1">
        <w:rPr>
          <w:sz w:val="22"/>
          <w:szCs w:val="22"/>
        </w:rPr>
        <w:t>Nerekomenduojama šio vaisto vartoti žindymo laikotarpiu.</w:t>
      </w:r>
    </w:p>
    <w:p w14:paraId="3B3F0FE8" w14:textId="77777777" w:rsidR="000E262C" w:rsidRPr="006E47D1" w:rsidRDefault="000E262C" w:rsidP="000E262C">
      <w:pPr>
        <w:pStyle w:val="Pagrindinistekstas2"/>
        <w:rPr>
          <w:sz w:val="22"/>
          <w:szCs w:val="22"/>
        </w:rPr>
      </w:pPr>
    </w:p>
    <w:p w14:paraId="7D521CA8" w14:textId="77777777" w:rsidR="000E262C" w:rsidRPr="006E47D1" w:rsidRDefault="000E262C" w:rsidP="000E262C">
      <w:pPr>
        <w:pStyle w:val="PI-3EMEASMCA"/>
      </w:pPr>
      <w:r w:rsidRPr="006E47D1">
        <w:t>Vairavimas ir mechanizmų valdymas</w:t>
      </w:r>
    </w:p>
    <w:p w14:paraId="52225004" w14:textId="77777777" w:rsidR="000E262C" w:rsidRPr="006E47D1" w:rsidRDefault="000E262C" w:rsidP="000E262C">
      <w:pPr>
        <w:rPr>
          <w:sz w:val="22"/>
          <w:szCs w:val="22"/>
        </w:rPr>
      </w:pPr>
      <w:proofErr w:type="spellStart"/>
      <w:r w:rsidRPr="006E47D1">
        <w:rPr>
          <w:sz w:val="22"/>
          <w:szCs w:val="22"/>
        </w:rPr>
        <w:t>Ginkor</w:t>
      </w:r>
      <w:proofErr w:type="spellEnd"/>
      <w:r w:rsidRPr="006E47D1">
        <w:rPr>
          <w:sz w:val="22"/>
          <w:szCs w:val="22"/>
        </w:rPr>
        <w:t xml:space="preserve"> </w:t>
      </w:r>
      <w:proofErr w:type="spellStart"/>
      <w:r w:rsidRPr="006E47D1">
        <w:rPr>
          <w:sz w:val="22"/>
          <w:szCs w:val="22"/>
        </w:rPr>
        <w:t>fort</w:t>
      </w:r>
      <w:proofErr w:type="spellEnd"/>
      <w:r w:rsidRPr="006E47D1">
        <w:rPr>
          <w:sz w:val="22"/>
          <w:szCs w:val="22"/>
        </w:rPr>
        <w:t xml:space="preserve"> gebėjimo vairuoti ir valdyti mechanizmus neveikia arba veikia nereikšmingai. </w:t>
      </w:r>
    </w:p>
    <w:p w14:paraId="09649461" w14:textId="77777777" w:rsidR="000E262C" w:rsidRPr="006E47D1" w:rsidRDefault="000E262C" w:rsidP="000E262C">
      <w:pPr>
        <w:pStyle w:val="BTEMEASMCADiagrama"/>
      </w:pPr>
    </w:p>
    <w:p w14:paraId="729D086E" w14:textId="77777777" w:rsidR="000E262C" w:rsidRPr="006E47D1" w:rsidRDefault="000E262C" w:rsidP="000E262C">
      <w:pPr>
        <w:pStyle w:val="BTEMEASMCADiagrama"/>
      </w:pPr>
    </w:p>
    <w:p w14:paraId="0D5950D6" w14:textId="77777777" w:rsidR="000E262C" w:rsidRPr="006E47D1" w:rsidRDefault="000E262C" w:rsidP="000E262C">
      <w:pPr>
        <w:pStyle w:val="PI-1EMEASMCA"/>
      </w:pPr>
      <w:bookmarkStart w:id="4" w:name="_Toc129243266"/>
      <w:bookmarkStart w:id="5" w:name="_Toc129243141"/>
      <w:r w:rsidRPr="006E47D1">
        <w:t>3.</w:t>
      </w:r>
      <w:r w:rsidRPr="006E47D1">
        <w:tab/>
        <w:t xml:space="preserve">Kaip vartoti </w:t>
      </w:r>
      <w:bookmarkEnd w:id="4"/>
      <w:bookmarkEnd w:id="5"/>
      <w:proofErr w:type="spellStart"/>
      <w:r w:rsidRPr="006E47D1">
        <w:rPr>
          <w:spacing w:val="-3"/>
        </w:rPr>
        <w:t>Ginkor</w:t>
      </w:r>
      <w:proofErr w:type="spellEnd"/>
      <w:r w:rsidRPr="006E47D1">
        <w:rPr>
          <w:spacing w:val="-3"/>
        </w:rPr>
        <w:t xml:space="preserve"> </w:t>
      </w:r>
      <w:proofErr w:type="spellStart"/>
      <w:r w:rsidRPr="006E47D1">
        <w:rPr>
          <w:spacing w:val="-3"/>
        </w:rPr>
        <w:t>fort</w:t>
      </w:r>
      <w:proofErr w:type="spellEnd"/>
    </w:p>
    <w:p w14:paraId="367ED25F" w14:textId="77777777" w:rsidR="000E262C" w:rsidRPr="006E47D1" w:rsidRDefault="000E262C" w:rsidP="000E262C">
      <w:pPr>
        <w:pStyle w:val="BTEMEASMCADiagrama"/>
      </w:pPr>
    </w:p>
    <w:p w14:paraId="3A595BEE" w14:textId="77777777" w:rsidR="000E262C" w:rsidRPr="006E47D1" w:rsidRDefault="000E262C" w:rsidP="000E262C">
      <w:pPr>
        <w:pStyle w:val="BTEMEASMCADiagrama"/>
      </w:pPr>
      <w:r w:rsidRPr="006E47D1">
        <w:t xml:space="preserve">Visada vartokite šį vaistą tiksliai kaip aprašyta šiame lapelyje arba kaip nurodė gydytojas. Jeigu abejojate, kreipkitės į gydytoją arba vaistininką. </w:t>
      </w:r>
    </w:p>
    <w:p w14:paraId="11289600" w14:textId="77777777" w:rsidR="000E262C" w:rsidRPr="006E47D1" w:rsidRDefault="000E262C" w:rsidP="000E262C">
      <w:pPr>
        <w:pStyle w:val="BTEMEASMCADiagrama"/>
      </w:pPr>
    </w:p>
    <w:p w14:paraId="5D0F3DFD" w14:textId="77777777" w:rsidR="000E262C" w:rsidRPr="006E47D1" w:rsidRDefault="000E262C" w:rsidP="000E262C">
      <w:pPr>
        <w:pStyle w:val="BTEMEASMCADiagrama"/>
      </w:pPr>
      <w:r w:rsidRPr="006E47D1">
        <w:t>Rekomenduojama dozė yra:</w:t>
      </w:r>
    </w:p>
    <w:p w14:paraId="2CC9F165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esant venų ir limfagyslių nepakankamumui po vieną kapsulę 2 kartus per dieną (1 kapsulę ryte ir 1 kapsulę vakare), neatsižvelgiant į valgymo laiką, užsigeriant pakankamu skysčio kiekiu.</w:t>
      </w:r>
    </w:p>
    <w:p w14:paraId="5A3E8B67" w14:textId="77777777" w:rsidR="000E262C" w:rsidRPr="006E47D1" w:rsidRDefault="000E262C" w:rsidP="000E262C">
      <w:pPr>
        <w:pStyle w:val="BT-EMEASMCA"/>
        <w:tabs>
          <w:tab w:val="clear" w:pos="360"/>
        </w:tabs>
        <w:ind w:left="720" w:hanging="360"/>
      </w:pPr>
      <w:r w:rsidRPr="006E47D1">
        <w:t>esant ūminiam hemorojaus priepuoliui po 3</w:t>
      </w:r>
      <w:r w:rsidRPr="006E47D1">
        <w:noBreakHyphen/>
        <w:t>4 kapsules per dieną valgymo metu, užsigeriant pakankamu skysčio kiekiu.</w:t>
      </w:r>
    </w:p>
    <w:p w14:paraId="2C76D4D9" w14:textId="77777777" w:rsidR="000E262C" w:rsidRPr="006E47D1" w:rsidRDefault="000E262C" w:rsidP="000E262C">
      <w:pPr>
        <w:pStyle w:val="BTEMEASMCADiagrama"/>
      </w:pPr>
    </w:p>
    <w:p w14:paraId="65D047EB" w14:textId="77777777" w:rsidR="000E262C" w:rsidRPr="006E47D1" w:rsidRDefault="000E262C" w:rsidP="000E262C">
      <w:pPr>
        <w:pStyle w:val="PI-3EMEASMCA"/>
      </w:pPr>
      <w:r w:rsidRPr="006E47D1">
        <w:t xml:space="preserve">Ką daryti pavartojus per didelę </w:t>
      </w: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  <w:r w:rsidRPr="006E47D1">
        <w:t xml:space="preserve"> dozę</w:t>
      </w:r>
    </w:p>
    <w:p w14:paraId="02640054" w14:textId="77777777" w:rsidR="000E262C" w:rsidRPr="006E47D1" w:rsidRDefault="000E262C" w:rsidP="000E262C">
      <w:pPr>
        <w:pStyle w:val="Pagrindinistekstas3"/>
        <w:rPr>
          <w:sz w:val="22"/>
          <w:szCs w:val="22"/>
        </w:rPr>
      </w:pPr>
      <w:r>
        <w:rPr>
          <w:sz w:val="22"/>
          <w:szCs w:val="22"/>
        </w:rPr>
        <w:t>Jeigu suvartojote</w:t>
      </w:r>
      <w:r w:rsidRPr="00213880">
        <w:rPr>
          <w:sz w:val="22"/>
          <w:szCs w:val="22"/>
        </w:rPr>
        <w:t xml:space="preserve"> per didelę </w:t>
      </w:r>
      <w:proofErr w:type="spellStart"/>
      <w:r w:rsidRPr="00213880">
        <w:rPr>
          <w:sz w:val="22"/>
          <w:szCs w:val="22"/>
        </w:rPr>
        <w:t>Ginkor</w:t>
      </w:r>
      <w:proofErr w:type="spellEnd"/>
      <w:r w:rsidRPr="00213880">
        <w:rPr>
          <w:sz w:val="22"/>
          <w:szCs w:val="22"/>
        </w:rPr>
        <w:t xml:space="preserve"> </w:t>
      </w:r>
      <w:proofErr w:type="spellStart"/>
      <w:r w:rsidRPr="00213880">
        <w:rPr>
          <w:sz w:val="22"/>
          <w:szCs w:val="22"/>
        </w:rPr>
        <w:t>fort</w:t>
      </w:r>
      <w:proofErr w:type="spellEnd"/>
      <w:r w:rsidRPr="00213880">
        <w:rPr>
          <w:sz w:val="22"/>
          <w:szCs w:val="22"/>
        </w:rPr>
        <w:t xml:space="preserve"> dozę</w:t>
      </w:r>
      <w:r>
        <w:rPr>
          <w:sz w:val="22"/>
          <w:szCs w:val="22"/>
        </w:rPr>
        <w:t>, nedelsdami kreipkitės į gydytoją.</w:t>
      </w:r>
      <w:r w:rsidRPr="00DA2390">
        <w:t xml:space="preserve"> </w:t>
      </w:r>
      <w:r w:rsidRPr="00DA2390">
        <w:rPr>
          <w:sz w:val="22"/>
          <w:szCs w:val="22"/>
        </w:rPr>
        <w:t>Atsitiktinai ar tikslingai stipriai perdozavus vaist</w:t>
      </w:r>
      <w:r>
        <w:rPr>
          <w:sz w:val="22"/>
          <w:szCs w:val="22"/>
        </w:rPr>
        <w:t>o</w:t>
      </w:r>
      <w:r w:rsidRPr="00DA2390">
        <w:rPr>
          <w:sz w:val="22"/>
          <w:szCs w:val="22"/>
        </w:rPr>
        <w:t xml:space="preserve"> reikia stebėti kraujo</w:t>
      </w:r>
      <w:r>
        <w:rPr>
          <w:sz w:val="22"/>
          <w:szCs w:val="22"/>
        </w:rPr>
        <w:t>spūdį</w:t>
      </w:r>
      <w:r w:rsidRPr="00DA2390">
        <w:rPr>
          <w:sz w:val="22"/>
          <w:szCs w:val="22"/>
        </w:rPr>
        <w:t xml:space="preserve"> ir širdies susitraukimų dažnį tam skirtomis sąlygomis</w:t>
      </w:r>
      <w:r>
        <w:rPr>
          <w:sz w:val="22"/>
          <w:szCs w:val="22"/>
        </w:rPr>
        <w:t>.</w:t>
      </w:r>
      <w:r w:rsidRPr="006E47D1">
        <w:rPr>
          <w:sz w:val="22"/>
          <w:szCs w:val="22"/>
        </w:rPr>
        <w:t xml:space="preserve"> </w:t>
      </w:r>
    </w:p>
    <w:p w14:paraId="516D56F4" w14:textId="77777777" w:rsidR="000E262C" w:rsidRPr="006E47D1" w:rsidRDefault="000E262C" w:rsidP="000E262C">
      <w:pPr>
        <w:pStyle w:val="BTEMEASMCADiagrama"/>
      </w:pPr>
    </w:p>
    <w:p w14:paraId="6AADB092" w14:textId="77777777" w:rsidR="000E262C" w:rsidRPr="006E47D1" w:rsidRDefault="000E262C" w:rsidP="000E262C">
      <w:pPr>
        <w:pStyle w:val="PI-3EMEASMCA"/>
      </w:pPr>
      <w:r w:rsidRPr="006E47D1">
        <w:t xml:space="preserve">Pamiršus pavartoti </w:t>
      </w: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</w:p>
    <w:p w14:paraId="245BD165" w14:textId="77777777" w:rsidR="000E262C" w:rsidRPr="006E47D1" w:rsidRDefault="000E262C" w:rsidP="000E262C">
      <w:pPr>
        <w:pStyle w:val="BTEMEASMCADiagrama"/>
      </w:pPr>
      <w:r w:rsidRPr="006E47D1">
        <w:t>Negalima vartoti dvigubos dozės norint kompensuoti praleistą dozę.</w:t>
      </w:r>
    </w:p>
    <w:p w14:paraId="717CC8EF" w14:textId="77777777" w:rsidR="000E262C" w:rsidRPr="006E47D1" w:rsidRDefault="000E262C" w:rsidP="000E262C">
      <w:pPr>
        <w:pStyle w:val="BTEMEASMCADiagrama"/>
      </w:pPr>
    </w:p>
    <w:p w14:paraId="5B357055" w14:textId="77777777" w:rsidR="000E262C" w:rsidRPr="006E47D1" w:rsidRDefault="000E262C" w:rsidP="000E262C">
      <w:pPr>
        <w:pStyle w:val="PI-3EMEASMCA"/>
      </w:pPr>
      <w:r w:rsidRPr="006E47D1">
        <w:t xml:space="preserve">Nustojus vartoti </w:t>
      </w: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</w:p>
    <w:p w14:paraId="2C23624B" w14:textId="77777777" w:rsidR="000E262C" w:rsidRPr="006E47D1" w:rsidRDefault="000E262C" w:rsidP="000E262C">
      <w:pPr>
        <w:pStyle w:val="BTEMEASMCADiagrama"/>
      </w:pPr>
      <w:r w:rsidRPr="006E47D1">
        <w:t>Jeigu kiltų daugiau klausimų dėl šio vaisto vartojimo, kreipkitės į gydytoją arba vaistininką.</w:t>
      </w:r>
    </w:p>
    <w:p w14:paraId="647EA2EC" w14:textId="77777777" w:rsidR="000E262C" w:rsidRPr="006E47D1" w:rsidRDefault="000E262C" w:rsidP="000E262C">
      <w:pPr>
        <w:pStyle w:val="BTEMEASMCADiagrama"/>
      </w:pPr>
    </w:p>
    <w:p w14:paraId="693D231B" w14:textId="77777777" w:rsidR="000E262C" w:rsidRPr="006E47D1" w:rsidRDefault="000E262C" w:rsidP="000E262C">
      <w:pPr>
        <w:pStyle w:val="BTEMEASMCADiagrama"/>
      </w:pPr>
    </w:p>
    <w:p w14:paraId="6978A7CF" w14:textId="77777777" w:rsidR="000E262C" w:rsidRPr="006E47D1" w:rsidRDefault="000E262C" w:rsidP="000E262C">
      <w:pPr>
        <w:pStyle w:val="PI-1EMEASMCA"/>
      </w:pPr>
      <w:bookmarkStart w:id="6" w:name="_Toc129243267"/>
      <w:bookmarkStart w:id="7" w:name="_Toc129243142"/>
      <w:r w:rsidRPr="006E47D1">
        <w:t>4.</w:t>
      </w:r>
      <w:r w:rsidRPr="006E47D1">
        <w:tab/>
        <w:t>Galimas šalutinis poveikis</w:t>
      </w:r>
      <w:bookmarkEnd w:id="6"/>
      <w:bookmarkEnd w:id="7"/>
    </w:p>
    <w:p w14:paraId="54CAAAB5" w14:textId="77777777" w:rsidR="000E262C" w:rsidRPr="006E47D1" w:rsidRDefault="000E262C" w:rsidP="000E262C">
      <w:pPr>
        <w:pStyle w:val="BTEMEASMCADiagrama"/>
      </w:pPr>
    </w:p>
    <w:p w14:paraId="7E03BAEA" w14:textId="77777777" w:rsidR="000E262C" w:rsidRPr="006E47D1" w:rsidRDefault="000E262C" w:rsidP="000E262C">
      <w:pPr>
        <w:pStyle w:val="BTEMEASMCADiagrama"/>
      </w:pPr>
      <w:r w:rsidRPr="006E47D1">
        <w:t>Šis vaistas, kaip ir visi kiti, gali sukelti šalutinį poveikį, nors jis pasireiškia ne visiems žmonėms.</w:t>
      </w:r>
    </w:p>
    <w:p w14:paraId="7026A90D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z w:val="22"/>
          <w:szCs w:val="22"/>
        </w:rPr>
      </w:pPr>
    </w:p>
    <w:p w14:paraId="16305648" w14:textId="77777777" w:rsidR="000E262C" w:rsidRPr="006E47D1" w:rsidRDefault="000E262C" w:rsidP="000E262C">
      <w:pPr>
        <w:pStyle w:val="Betarp"/>
        <w:rPr>
          <w:lang w:val="lt-LT"/>
        </w:rPr>
      </w:pPr>
      <w:r w:rsidRPr="006E47D1">
        <w:rPr>
          <w:lang w:val="lt-LT"/>
        </w:rPr>
        <w:t xml:space="preserve">Vaistui esant rinkoje, buvo gauta duomenų apie šias nepageidaujamas reakcijas. </w:t>
      </w:r>
    </w:p>
    <w:p w14:paraId="576AB3B0" w14:textId="77777777" w:rsidR="000E262C" w:rsidRPr="006E47D1" w:rsidRDefault="000E262C" w:rsidP="000E262C">
      <w:pPr>
        <w:pStyle w:val="Betarp"/>
        <w:rPr>
          <w:lang w:val="lt-LT"/>
        </w:rPr>
      </w:pPr>
    </w:p>
    <w:p w14:paraId="337C553C" w14:textId="77777777" w:rsidR="000E262C" w:rsidRPr="006E47D1" w:rsidRDefault="000E262C" w:rsidP="000E262C">
      <w:pPr>
        <w:pStyle w:val="Betarp"/>
        <w:rPr>
          <w:b/>
          <w:bCs/>
          <w:i/>
          <w:lang w:val="lt-LT"/>
        </w:rPr>
      </w:pPr>
      <w:r w:rsidRPr="006E47D1">
        <w:rPr>
          <w:b/>
          <w:bCs/>
          <w:lang w:val="lt-LT"/>
        </w:rPr>
        <w:t>Šalutinio poveikio reiškiniai, kurių dažnis nežinomas (negali būti apskaičiuotas pagal turimus duomenis):</w:t>
      </w:r>
    </w:p>
    <w:p w14:paraId="43DEA0A9" w14:textId="77777777" w:rsidR="000E262C" w:rsidRPr="006E47D1" w:rsidRDefault="000E262C" w:rsidP="000E262C">
      <w:pPr>
        <w:pStyle w:val="Betarp"/>
        <w:rPr>
          <w:u w:val="single"/>
          <w:lang w:val="lt-LT"/>
        </w:rPr>
      </w:pPr>
      <w:r w:rsidRPr="006E47D1">
        <w:rPr>
          <w:lang w:val="lt-LT"/>
        </w:rPr>
        <w:t xml:space="preserve">Sunkios alerginės reakcijos (anafilaksinė reakcija), </w:t>
      </w:r>
      <w:proofErr w:type="spellStart"/>
      <w:r w:rsidRPr="006E47D1">
        <w:rPr>
          <w:lang w:val="lt-LT"/>
        </w:rPr>
        <w:t>angio</w:t>
      </w:r>
      <w:r>
        <w:rPr>
          <w:lang w:val="lt-LT"/>
        </w:rPr>
        <w:t>neurozinė</w:t>
      </w:r>
      <w:proofErr w:type="spellEnd"/>
      <w:r>
        <w:rPr>
          <w:lang w:val="lt-LT"/>
        </w:rPr>
        <w:t xml:space="preserve"> </w:t>
      </w:r>
      <w:r w:rsidRPr="006E47D1">
        <w:rPr>
          <w:lang w:val="lt-LT"/>
        </w:rPr>
        <w:t xml:space="preserve">edema (alerginis pabrinkimas), skrandžio skausmas, virškinimo sutrikimai (pykinimas ir viduriavimas), galvos skausmas, odos sutrikimai (niežėjimas, dilgėlinė, </w:t>
      </w:r>
      <w:proofErr w:type="spellStart"/>
      <w:r w:rsidRPr="006E47D1">
        <w:rPr>
          <w:lang w:val="lt-LT"/>
        </w:rPr>
        <w:t>egzeminis</w:t>
      </w:r>
      <w:proofErr w:type="spellEnd"/>
      <w:r w:rsidRPr="006E47D1">
        <w:rPr>
          <w:lang w:val="lt-LT"/>
        </w:rPr>
        <w:t xml:space="preserve"> odos išbėrimas) padidėjęs kraujo</w:t>
      </w:r>
      <w:r>
        <w:rPr>
          <w:lang w:val="lt-LT"/>
        </w:rPr>
        <w:t>spūdis</w:t>
      </w:r>
      <w:r w:rsidRPr="006E47D1">
        <w:rPr>
          <w:lang w:val="lt-LT"/>
        </w:rPr>
        <w:t>.</w:t>
      </w:r>
    </w:p>
    <w:p w14:paraId="4EC64045" w14:textId="77777777" w:rsidR="000E262C" w:rsidRPr="006E47D1" w:rsidRDefault="000E262C" w:rsidP="000E262C">
      <w:pPr>
        <w:pStyle w:val="BTEMEASMCADiagrama"/>
      </w:pPr>
    </w:p>
    <w:p w14:paraId="269C7ED8" w14:textId="77777777" w:rsidR="000E262C" w:rsidRPr="00736C34" w:rsidRDefault="000E262C" w:rsidP="000E262C">
      <w:pPr>
        <w:rPr>
          <w:b/>
          <w:bCs/>
        </w:rPr>
      </w:pPr>
      <w:r w:rsidRPr="00EF3386">
        <w:rPr>
          <w:b/>
          <w:sz w:val="22"/>
        </w:rPr>
        <w:t>Pranešimas apie šalutinį poveikį</w:t>
      </w:r>
    </w:p>
    <w:p w14:paraId="5CBAEDE6" w14:textId="77777777" w:rsidR="000E262C" w:rsidRPr="006E47D1" w:rsidRDefault="000E262C" w:rsidP="000E262C">
      <w:pPr>
        <w:pStyle w:val="BTEMEASMCADiagrama"/>
      </w:pPr>
      <w:r w:rsidRPr="006E47D1">
        <w:t xml:space="preserve">Jeigu pasireiškė šalutinis poveikis, įskaitant šiame lapelyje nenurodytą, pasakykite gydytojui arba vaistininkui. </w:t>
      </w:r>
      <w:r w:rsidRPr="0009233E">
        <w:rPr>
          <w:noProof w:val="0"/>
          <w:spacing w:val="0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09233E">
        <w:rPr>
          <w:noProof w:val="0"/>
          <w:color w:val="0000EE"/>
          <w:spacing w:val="0"/>
          <w:u w:val="single"/>
          <w:lang w:eastAsia="lt-LT"/>
        </w:rPr>
        <w:t>https://vvkt.lrv.lt/lt/</w:t>
      </w:r>
      <w:r w:rsidRPr="0009233E">
        <w:rPr>
          <w:noProof w:val="0"/>
          <w:spacing w:val="0"/>
          <w:lang w:eastAsia="lt-LT"/>
        </w:rPr>
        <w:t xml:space="preserve"> nurodytais būdais arba paskambinti nemokamu telefonu </w:t>
      </w:r>
      <w:r>
        <w:rPr>
          <w:noProof w:val="0"/>
          <w:spacing w:val="0"/>
          <w:lang w:eastAsia="lt-LT"/>
        </w:rPr>
        <w:t>+370 </w:t>
      </w:r>
      <w:r w:rsidRPr="0009233E">
        <w:rPr>
          <w:noProof w:val="0"/>
          <w:spacing w:val="0"/>
          <w:lang w:eastAsia="lt-LT"/>
        </w:rPr>
        <w:t>8</w:t>
      </w:r>
      <w:r>
        <w:rPr>
          <w:noProof w:val="0"/>
          <w:spacing w:val="0"/>
          <w:lang w:eastAsia="lt-LT"/>
        </w:rPr>
        <w:t> </w:t>
      </w:r>
      <w:r w:rsidRPr="0009233E">
        <w:rPr>
          <w:noProof w:val="0"/>
          <w:spacing w:val="0"/>
          <w:lang w:eastAsia="lt-LT"/>
        </w:rPr>
        <w:t>007</w:t>
      </w:r>
      <w:r>
        <w:rPr>
          <w:noProof w:val="0"/>
          <w:spacing w:val="0"/>
          <w:lang w:eastAsia="lt-LT"/>
        </w:rPr>
        <w:t> </w:t>
      </w:r>
      <w:r w:rsidRPr="0009233E">
        <w:rPr>
          <w:noProof w:val="0"/>
          <w:spacing w:val="0"/>
          <w:lang w:eastAsia="lt-LT"/>
        </w:rPr>
        <w:t>3568. Pranešdami apie šalutinį poveikį galite mums padėti gauti daugiau informacijos apie šio vaisto saugumą</w:t>
      </w:r>
      <w:r w:rsidRPr="0009233E">
        <w:rPr>
          <w:noProof w:val="0"/>
          <w:spacing w:val="0"/>
          <w:szCs w:val="20"/>
        </w:rPr>
        <w:t>.</w:t>
      </w:r>
    </w:p>
    <w:p w14:paraId="0A456AB2" w14:textId="77777777" w:rsidR="000E262C" w:rsidRPr="006E47D1" w:rsidRDefault="000E262C" w:rsidP="000E262C">
      <w:pPr>
        <w:pStyle w:val="BTEMEASMCADiagrama"/>
      </w:pPr>
    </w:p>
    <w:p w14:paraId="241AF5D9" w14:textId="77777777" w:rsidR="000E262C" w:rsidRPr="006E47D1" w:rsidRDefault="000E262C" w:rsidP="000E262C">
      <w:pPr>
        <w:pStyle w:val="BTEMEASMCADiagrama"/>
      </w:pPr>
    </w:p>
    <w:p w14:paraId="39564EBD" w14:textId="77777777" w:rsidR="000E262C" w:rsidRPr="006E47D1" w:rsidRDefault="000E262C" w:rsidP="000E262C">
      <w:pPr>
        <w:pStyle w:val="PI-1EMEASMCA"/>
      </w:pPr>
      <w:bookmarkStart w:id="8" w:name="_Toc129243268"/>
      <w:bookmarkStart w:id="9" w:name="_Toc129243143"/>
      <w:r w:rsidRPr="006E47D1">
        <w:t>5.</w:t>
      </w:r>
      <w:r w:rsidRPr="006E47D1">
        <w:tab/>
        <w:t xml:space="preserve">Kaip laikyti </w:t>
      </w:r>
      <w:bookmarkEnd w:id="8"/>
      <w:bookmarkEnd w:id="9"/>
      <w:proofErr w:type="spellStart"/>
      <w:r w:rsidRPr="006E47D1">
        <w:rPr>
          <w:spacing w:val="-3"/>
        </w:rPr>
        <w:t>Ginkor</w:t>
      </w:r>
      <w:proofErr w:type="spellEnd"/>
      <w:r w:rsidRPr="006E47D1">
        <w:rPr>
          <w:spacing w:val="-3"/>
        </w:rPr>
        <w:t xml:space="preserve"> </w:t>
      </w:r>
      <w:proofErr w:type="spellStart"/>
      <w:r w:rsidRPr="006E47D1">
        <w:rPr>
          <w:spacing w:val="-3"/>
        </w:rPr>
        <w:t>fort</w:t>
      </w:r>
      <w:proofErr w:type="spellEnd"/>
    </w:p>
    <w:p w14:paraId="3F177862" w14:textId="77777777" w:rsidR="000E262C" w:rsidRPr="006E47D1" w:rsidRDefault="000E262C" w:rsidP="000E262C">
      <w:pPr>
        <w:pStyle w:val="BTEMEASMCADiagrama"/>
      </w:pPr>
    </w:p>
    <w:p w14:paraId="02722BA3" w14:textId="77777777" w:rsidR="000E262C" w:rsidRPr="006E47D1" w:rsidRDefault="000E262C" w:rsidP="000E262C">
      <w:pPr>
        <w:pStyle w:val="BTEMEASMCADiagrama"/>
      </w:pPr>
      <w:r w:rsidRPr="006E47D1">
        <w:t>Šį vaistą laikykite vaikams nepastebimoje ir nepasiekiamoje vietoje.</w:t>
      </w:r>
    </w:p>
    <w:p w14:paraId="7100AC22" w14:textId="77777777" w:rsidR="000E262C" w:rsidRPr="006E47D1" w:rsidRDefault="000E262C" w:rsidP="000E262C">
      <w:pPr>
        <w:pStyle w:val="BTEMEASMCADiagrama"/>
      </w:pPr>
    </w:p>
    <w:p w14:paraId="41D87CBB" w14:textId="77777777" w:rsidR="000E262C" w:rsidRPr="006E47D1" w:rsidRDefault="000E262C" w:rsidP="000E262C">
      <w:pPr>
        <w:pStyle w:val="BTEMEASMCADiagrama"/>
      </w:pPr>
      <w:r w:rsidRPr="006E47D1">
        <w:t>Ant dėžutės ir ant lizdinės plokštelės po „EXP“ nurodytam tinkamumo laikui pasibaigus, šio vaisto vartoti negalima. Vaistas tinkamas vartoti iki paskutinės nurodyto mėnesio dienos.</w:t>
      </w:r>
    </w:p>
    <w:p w14:paraId="2935DD63" w14:textId="77777777" w:rsidR="000E262C" w:rsidRPr="006E47D1" w:rsidRDefault="000E262C" w:rsidP="000E262C">
      <w:pPr>
        <w:pStyle w:val="BTEMEASMCADiagrama"/>
      </w:pPr>
    </w:p>
    <w:p w14:paraId="127AF56F" w14:textId="77777777" w:rsidR="000E262C" w:rsidRPr="006E47D1" w:rsidRDefault="000E262C" w:rsidP="000E262C">
      <w:pPr>
        <w:pStyle w:val="Pagrindinistekstas3"/>
        <w:rPr>
          <w:sz w:val="22"/>
          <w:szCs w:val="22"/>
        </w:rPr>
      </w:pPr>
      <w:r w:rsidRPr="006E47D1">
        <w:rPr>
          <w:sz w:val="22"/>
          <w:szCs w:val="22"/>
        </w:rPr>
        <w:t>Laikyti ne aukštesnėje kaip 30 °C temperatūroje. Laikyti gamintojo pakuotėje, kad vaistas būtų apsaugotas nuo drėgmės.</w:t>
      </w:r>
    </w:p>
    <w:p w14:paraId="12266E55" w14:textId="77777777" w:rsidR="000E262C" w:rsidRPr="006E47D1" w:rsidRDefault="000E262C" w:rsidP="000E262C">
      <w:pPr>
        <w:pStyle w:val="BTEMEASMCADiagrama"/>
      </w:pPr>
    </w:p>
    <w:p w14:paraId="67635F89" w14:textId="77777777" w:rsidR="000E262C" w:rsidRPr="006E47D1" w:rsidRDefault="000E262C" w:rsidP="000E262C">
      <w:pPr>
        <w:pStyle w:val="BTEMEASMCADiagrama"/>
      </w:pPr>
      <w:r w:rsidRPr="006E47D1">
        <w:t>Vaistų negalima išmesti į kanalizaciją arba su buitinėmis atliekomis. Kaip išmesti nereikalingus vaistus, klauskite vaistininko. Šios priemonės padės apsaugoti aplinką.</w:t>
      </w:r>
    </w:p>
    <w:p w14:paraId="6A54EE7F" w14:textId="77777777" w:rsidR="000E262C" w:rsidRPr="006E47D1" w:rsidRDefault="000E262C" w:rsidP="000E262C">
      <w:pPr>
        <w:pStyle w:val="BTEMEASMCADiagrama"/>
      </w:pPr>
    </w:p>
    <w:p w14:paraId="574E7546" w14:textId="77777777" w:rsidR="000E262C" w:rsidRPr="006E47D1" w:rsidRDefault="000E262C" w:rsidP="000E262C">
      <w:pPr>
        <w:pStyle w:val="BTEMEASMCADiagrama"/>
      </w:pPr>
    </w:p>
    <w:p w14:paraId="77F5D0EC" w14:textId="77777777" w:rsidR="000E262C" w:rsidRPr="006E47D1" w:rsidRDefault="000E262C" w:rsidP="000E262C">
      <w:pPr>
        <w:pStyle w:val="PI-1EMEASMCA"/>
      </w:pPr>
      <w:bookmarkStart w:id="10" w:name="_Toc129243269"/>
      <w:bookmarkStart w:id="11" w:name="_Toc129243144"/>
      <w:r w:rsidRPr="006E47D1">
        <w:t>6.</w:t>
      </w:r>
      <w:r w:rsidRPr="006E47D1">
        <w:tab/>
        <w:t>Pakuotės turinys ir kita informacija</w:t>
      </w:r>
      <w:bookmarkEnd w:id="10"/>
      <w:bookmarkEnd w:id="11"/>
    </w:p>
    <w:p w14:paraId="2C5CED6A" w14:textId="77777777" w:rsidR="000E262C" w:rsidRPr="006E47D1" w:rsidRDefault="000E262C" w:rsidP="000E262C">
      <w:pPr>
        <w:pStyle w:val="BTEMEASMCADiagrama"/>
      </w:pPr>
    </w:p>
    <w:p w14:paraId="040CC2C5" w14:textId="77777777" w:rsidR="000E262C" w:rsidRPr="006E47D1" w:rsidRDefault="000E262C" w:rsidP="000E262C">
      <w:pPr>
        <w:pStyle w:val="PI-3EMEASMCA"/>
      </w:pP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  <w:r w:rsidRPr="006E47D1">
        <w:t xml:space="preserve"> sudėtis</w:t>
      </w:r>
    </w:p>
    <w:p w14:paraId="7898A913" w14:textId="77777777" w:rsidR="000E262C" w:rsidRPr="006E47D1" w:rsidRDefault="000E262C" w:rsidP="000E262C">
      <w:pPr>
        <w:pStyle w:val="BTEMEASMCADiagrama"/>
      </w:pPr>
    </w:p>
    <w:p w14:paraId="139B2FDF" w14:textId="77777777" w:rsidR="000E262C" w:rsidRPr="006E47D1" w:rsidRDefault="000E262C" w:rsidP="000E262C">
      <w:pPr>
        <w:tabs>
          <w:tab w:val="left" w:pos="567"/>
        </w:tabs>
        <w:suppressAutoHyphens/>
        <w:rPr>
          <w:spacing w:val="-3"/>
          <w:sz w:val="22"/>
          <w:szCs w:val="22"/>
        </w:rPr>
      </w:pPr>
      <w:r w:rsidRPr="006E47D1">
        <w:rPr>
          <w:i/>
          <w:spacing w:val="-3"/>
          <w:sz w:val="22"/>
          <w:szCs w:val="22"/>
        </w:rPr>
        <w:t>-</w:t>
      </w:r>
      <w:r w:rsidRPr="006E47D1">
        <w:rPr>
          <w:i/>
          <w:spacing w:val="-3"/>
          <w:sz w:val="22"/>
          <w:szCs w:val="22"/>
        </w:rPr>
        <w:tab/>
      </w:r>
      <w:r w:rsidRPr="006E47D1">
        <w:rPr>
          <w:spacing w:val="-3"/>
          <w:sz w:val="22"/>
          <w:szCs w:val="22"/>
        </w:rPr>
        <w:t xml:space="preserve">Veikliosios medžiagos yra rafinuotas ir kiekybiškai įvertintas </w:t>
      </w:r>
      <w:proofErr w:type="spellStart"/>
      <w:r w:rsidRPr="006E47D1">
        <w:rPr>
          <w:spacing w:val="-3"/>
          <w:sz w:val="22"/>
          <w:szCs w:val="22"/>
        </w:rPr>
        <w:t>ginkmedžių</w:t>
      </w:r>
      <w:proofErr w:type="spellEnd"/>
      <w:r w:rsidRPr="006E47D1">
        <w:rPr>
          <w:spacing w:val="-3"/>
          <w:sz w:val="22"/>
          <w:szCs w:val="22"/>
        </w:rPr>
        <w:t xml:space="preserve"> sausasis ekstraktas, </w:t>
      </w:r>
      <w:proofErr w:type="spellStart"/>
      <w:r w:rsidRPr="006E47D1">
        <w:rPr>
          <w:spacing w:val="-3"/>
          <w:sz w:val="22"/>
          <w:szCs w:val="22"/>
        </w:rPr>
        <w:t>trokserutinas</w:t>
      </w:r>
      <w:proofErr w:type="spellEnd"/>
      <w:r w:rsidRPr="006E47D1">
        <w:rPr>
          <w:spacing w:val="-3"/>
          <w:sz w:val="22"/>
          <w:szCs w:val="22"/>
        </w:rPr>
        <w:t xml:space="preserve"> ir </w:t>
      </w:r>
      <w:proofErr w:type="spellStart"/>
      <w:r w:rsidRPr="006E47D1">
        <w:rPr>
          <w:spacing w:val="-3"/>
          <w:sz w:val="22"/>
          <w:szCs w:val="22"/>
        </w:rPr>
        <w:t>heptaminolio</w:t>
      </w:r>
      <w:proofErr w:type="spellEnd"/>
      <w:r w:rsidRPr="006E47D1">
        <w:rPr>
          <w:spacing w:val="-3"/>
          <w:sz w:val="22"/>
          <w:szCs w:val="22"/>
        </w:rPr>
        <w:t xml:space="preserve"> hidrochloridas. Kiekvienoje kietojoje kapsulėje yra 14 mg rafinuoto ir kiekybiškai įvertinto </w:t>
      </w:r>
      <w:proofErr w:type="spellStart"/>
      <w:r w:rsidRPr="006E47D1">
        <w:rPr>
          <w:spacing w:val="-3"/>
          <w:sz w:val="22"/>
          <w:szCs w:val="22"/>
        </w:rPr>
        <w:t>ginkmedžių</w:t>
      </w:r>
      <w:proofErr w:type="spellEnd"/>
      <w:r w:rsidRPr="006E47D1">
        <w:rPr>
          <w:spacing w:val="-3"/>
          <w:sz w:val="22"/>
          <w:szCs w:val="22"/>
        </w:rPr>
        <w:t xml:space="preserve"> sausojo ekstrakto</w:t>
      </w:r>
      <w:r w:rsidRPr="00833716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(</w:t>
      </w:r>
      <w:proofErr w:type="spellStart"/>
      <w:r w:rsidRPr="006E47D1">
        <w:rPr>
          <w:spacing w:val="-3"/>
          <w:sz w:val="22"/>
          <w:szCs w:val="22"/>
        </w:rPr>
        <w:t>ginkmedžių</w:t>
      </w:r>
      <w:proofErr w:type="spellEnd"/>
      <w:r w:rsidRPr="006E47D1">
        <w:rPr>
          <w:spacing w:val="-3"/>
          <w:sz w:val="22"/>
          <w:szCs w:val="22"/>
        </w:rPr>
        <w:t xml:space="preserve"> lapų) (35</w:t>
      </w:r>
      <w:r w:rsidRPr="006E47D1">
        <w:rPr>
          <w:spacing w:val="-3"/>
          <w:sz w:val="22"/>
          <w:szCs w:val="22"/>
        </w:rPr>
        <w:noBreakHyphen/>
        <w:t>67:1), atitinkančio 3,08</w:t>
      </w:r>
      <w:r w:rsidRPr="006E47D1">
        <w:rPr>
          <w:spacing w:val="-3"/>
          <w:sz w:val="22"/>
          <w:szCs w:val="22"/>
        </w:rPr>
        <w:noBreakHyphen/>
        <w:t xml:space="preserve">3,78 mg </w:t>
      </w:r>
      <w:proofErr w:type="spellStart"/>
      <w:r w:rsidRPr="006E47D1">
        <w:rPr>
          <w:spacing w:val="-3"/>
          <w:sz w:val="22"/>
          <w:szCs w:val="22"/>
        </w:rPr>
        <w:t>flavonoidų</w:t>
      </w:r>
      <w:proofErr w:type="spellEnd"/>
      <w:r w:rsidRPr="006E47D1">
        <w:rPr>
          <w:spacing w:val="-3"/>
          <w:sz w:val="22"/>
          <w:szCs w:val="22"/>
        </w:rPr>
        <w:t>, išreikštų pagal flavonų glikozidus, 0,39</w:t>
      </w:r>
      <w:r w:rsidRPr="006E47D1">
        <w:rPr>
          <w:spacing w:val="-3"/>
          <w:sz w:val="22"/>
          <w:szCs w:val="22"/>
        </w:rPr>
        <w:noBreakHyphen/>
        <w:t xml:space="preserve">0,41 mg </w:t>
      </w:r>
      <w:proofErr w:type="spellStart"/>
      <w:r w:rsidRPr="006E47D1">
        <w:rPr>
          <w:spacing w:val="-3"/>
          <w:sz w:val="22"/>
          <w:szCs w:val="22"/>
        </w:rPr>
        <w:t>ginkgolidų</w:t>
      </w:r>
      <w:proofErr w:type="spellEnd"/>
      <w:r w:rsidRPr="006E47D1">
        <w:rPr>
          <w:spacing w:val="-3"/>
          <w:sz w:val="22"/>
          <w:szCs w:val="22"/>
        </w:rPr>
        <w:t xml:space="preserve"> A, B ir C ir 0,36</w:t>
      </w:r>
      <w:r w:rsidRPr="006E47D1">
        <w:rPr>
          <w:spacing w:val="-3"/>
          <w:sz w:val="22"/>
          <w:szCs w:val="22"/>
        </w:rPr>
        <w:noBreakHyphen/>
        <w:t xml:space="preserve">0,45 mg </w:t>
      </w:r>
      <w:proofErr w:type="spellStart"/>
      <w:r w:rsidRPr="006E47D1">
        <w:rPr>
          <w:spacing w:val="-3"/>
          <w:sz w:val="22"/>
          <w:szCs w:val="22"/>
        </w:rPr>
        <w:t>bilobalido</w:t>
      </w:r>
      <w:proofErr w:type="spellEnd"/>
      <w:r w:rsidRPr="006E47D1">
        <w:rPr>
          <w:spacing w:val="-3"/>
          <w:sz w:val="22"/>
          <w:szCs w:val="22"/>
        </w:rPr>
        <w:t xml:space="preserve"> (pirminis ekstrakcijos tirpiklis: 60 % m/m acetonas), 300 mg </w:t>
      </w:r>
      <w:proofErr w:type="spellStart"/>
      <w:r w:rsidRPr="006E47D1">
        <w:rPr>
          <w:spacing w:val="-3"/>
          <w:sz w:val="22"/>
          <w:szCs w:val="22"/>
        </w:rPr>
        <w:t>trokserutino</w:t>
      </w:r>
      <w:proofErr w:type="spellEnd"/>
      <w:r w:rsidRPr="006E47D1">
        <w:rPr>
          <w:spacing w:val="-3"/>
          <w:sz w:val="22"/>
          <w:szCs w:val="22"/>
        </w:rPr>
        <w:t xml:space="preserve">, 300 mg </w:t>
      </w:r>
      <w:proofErr w:type="spellStart"/>
      <w:r w:rsidRPr="006E47D1">
        <w:rPr>
          <w:spacing w:val="-3"/>
          <w:sz w:val="22"/>
          <w:szCs w:val="22"/>
        </w:rPr>
        <w:t>heptaminolio</w:t>
      </w:r>
      <w:proofErr w:type="spellEnd"/>
      <w:r w:rsidRPr="006E47D1">
        <w:rPr>
          <w:spacing w:val="-3"/>
          <w:sz w:val="22"/>
          <w:szCs w:val="22"/>
        </w:rPr>
        <w:t xml:space="preserve"> hidrochlorido.</w:t>
      </w:r>
    </w:p>
    <w:p w14:paraId="43883C21" w14:textId="77777777" w:rsidR="000E262C" w:rsidRPr="006E47D1" w:rsidRDefault="000E262C" w:rsidP="000E262C">
      <w:pPr>
        <w:tabs>
          <w:tab w:val="left" w:pos="0"/>
        </w:tabs>
        <w:suppressAutoHyphens/>
        <w:rPr>
          <w:spacing w:val="-3"/>
          <w:sz w:val="22"/>
          <w:szCs w:val="22"/>
        </w:rPr>
      </w:pPr>
      <w:r w:rsidRPr="006E47D1">
        <w:rPr>
          <w:i/>
          <w:spacing w:val="-3"/>
          <w:sz w:val="22"/>
          <w:szCs w:val="22"/>
        </w:rPr>
        <w:t>-</w:t>
      </w:r>
      <w:r w:rsidRPr="006E47D1">
        <w:rPr>
          <w:i/>
          <w:spacing w:val="-3"/>
          <w:sz w:val="22"/>
          <w:szCs w:val="22"/>
        </w:rPr>
        <w:tab/>
      </w:r>
      <w:r w:rsidRPr="006E47D1">
        <w:rPr>
          <w:spacing w:val="-3"/>
          <w:sz w:val="22"/>
          <w:szCs w:val="22"/>
        </w:rPr>
        <w:t xml:space="preserve">Pagalbinės medžiagos. Kapsulės turinyje yra magnio </w:t>
      </w:r>
      <w:proofErr w:type="spellStart"/>
      <w:r w:rsidRPr="006E47D1">
        <w:rPr>
          <w:spacing w:val="-3"/>
          <w:sz w:val="22"/>
          <w:szCs w:val="22"/>
        </w:rPr>
        <w:t>stearato</w:t>
      </w:r>
      <w:proofErr w:type="spellEnd"/>
      <w:r w:rsidRPr="006E47D1">
        <w:rPr>
          <w:spacing w:val="-3"/>
          <w:sz w:val="22"/>
          <w:szCs w:val="22"/>
        </w:rPr>
        <w:t xml:space="preserve">, bevandenio koloidinio silicio dioksido. Kapsulės dangtelyje yra geltonojo geležies oksido (E172), </w:t>
      </w:r>
      <w:proofErr w:type="spellStart"/>
      <w:r w:rsidRPr="006E47D1">
        <w:rPr>
          <w:spacing w:val="-3"/>
          <w:sz w:val="22"/>
          <w:szCs w:val="22"/>
        </w:rPr>
        <w:t>indigotino</w:t>
      </w:r>
      <w:proofErr w:type="spellEnd"/>
      <w:r w:rsidRPr="006E47D1">
        <w:rPr>
          <w:spacing w:val="-3"/>
          <w:sz w:val="22"/>
          <w:szCs w:val="22"/>
        </w:rPr>
        <w:t xml:space="preserve"> (E132), titano dioksido (E171), želatinos. Kapsulės korpuse yra geltonojo geležies oksido (E172), titano dioksido (E171), želatinos.</w:t>
      </w:r>
    </w:p>
    <w:p w14:paraId="5C7787B7" w14:textId="77777777" w:rsidR="000E262C" w:rsidRPr="006E47D1" w:rsidRDefault="000E262C" w:rsidP="000E262C">
      <w:pPr>
        <w:pStyle w:val="BTEMEASMCADiagrama"/>
      </w:pPr>
    </w:p>
    <w:p w14:paraId="709E6D7D" w14:textId="77777777" w:rsidR="000E262C" w:rsidRPr="006E47D1" w:rsidRDefault="000E262C" w:rsidP="000E262C">
      <w:pPr>
        <w:pStyle w:val="PI-3EMEASMCA"/>
      </w:pPr>
      <w:proofErr w:type="spellStart"/>
      <w:r w:rsidRPr="006E47D1">
        <w:t>Ginkor</w:t>
      </w:r>
      <w:proofErr w:type="spellEnd"/>
      <w:r w:rsidRPr="006E47D1">
        <w:t xml:space="preserve"> </w:t>
      </w:r>
      <w:proofErr w:type="spellStart"/>
      <w:r w:rsidRPr="006E47D1">
        <w:t>fort</w:t>
      </w:r>
      <w:proofErr w:type="spellEnd"/>
      <w:r w:rsidRPr="006E47D1">
        <w:t xml:space="preserve"> išvaizda ir kiekis pakuotėje</w:t>
      </w:r>
    </w:p>
    <w:p w14:paraId="08DB57D7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 xml:space="preserve">Kapsulės yra 0 dydžio, korpusas – nepermatomas, geltonas, </w:t>
      </w:r>
      <w:proofErr w:type="spellStart"/>
      <w:r w:rsidRPr="006E47D1">
        <w:rPr>
          <w:spacing w:val="-3"/>
          <w:sz w:val="22"/>
          <w:szCs w:val="22"/>
        </w:rPr>
        <w:t>gaubtelis</w:t>
      </w:r>
      <w:proofErr w:type="spellEnd"/>
      <w:r w:rsidRPr="006E47D1">
        <w:rPr>
          <w:spacing w:val="-3"/>
          <w:sz w:val="22"/>
          <w:szCs w:val="22"/>
        </w:rPr>
        <w:t xml:space="preserve"> – nepermatomas, žalias.</w:t>
      </w:r>
    </w:p>
    <w:p w14:paraId="61C5774B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 xml:space="preserve">Kapsulių viduje yra </w:t>
      </w:r>
      <w:r>
        <w:rPr>
          <w:spacing w:val="-3"/>
          <w:sz w:val="22"/>
          <w:szCs w:val="22"/>
        </w:rPr>
        <w:t>šviesiai</w:t>
      </w:r>
      <w:r w:rsidRPr="006E47D1">
        <w:rPr>
          <w:spacing w:val="-3"/>
          <w:sz w:val="22"/>
          <w:szCs w:val="22"/>
        </w:rPr>
        <w:t xml:space="preserve"> geltoni milteliai.</w:t>
      </w:r>
    </w:p>
    <w:p w14:paraId="6F7E6E2E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>Kartono dėžutėje yra 30 kapsulių (PVC/Aliuminio ir PVC/</w:t>
      </w:r>
      <w:proofErr w:type="spellStart"/>
      <w:r w:rsidRPr="006E47D1">
        <w:rPr>
          <w:spacing w:val="-3"/>
          <w:sz w:val="22"/>
          <w:szCs w:val="22"/>
        </w:rPr>
        <w:t>PVdC</w:t>
      </w:r>
      <w:proofErr w:type="spellEnd"/>
      <w:r w:rsidRPr="006E47D1">
        <w:rPr>
          <w:spacing w:val="-3"/>
          <w:sz w:val="22"/>
          <w:szCs w:val="22"/>
        </w:rPr>
        <w:t>/Aliuminio lizdinės plokštelės).</w:t>
      </w:r>
    </w:p>
    <w:p w14:paraId="6055D72A" w14:textId="77777777" w:rsidR="000E262C" w:rsidRPr="006E47D1" w:rsidRDefault="000E262C" w:rsidP="000E262C">
      <w:pPr>
        <w:pStyle w:val="BTEMEASMCADiagrama"/>
      </w:pPr>
    </w:p>
    <w:p w14:paraId="582C5B38" w14:textId="77777777" w:rsidR="000E262C" w:rsidRPr="006E47D1" w:rsidRDefault="000E262C" w:rsidP="000E262C">
      <w:pPr>
        <w:pStyle w:val="PI-3EMEASMCA"/>
      </w:pPr>
      <w:r w:rsidRPr="006E47D1">
        <w:t>Registruotojas ir gamintojas</w:t>
      </w:r>
    </w:p>
    <w:p w14:paraId="38B461F0" w14:textId="77777777" w:rsidR="000E262C" w:rsidRPr="006E47D1" w:rsidRDefault="000E262C" w:rsidP="000E262C">
      <w:pPr>
        <w:pStyle w:val="BTEMEASMCADiagrama"/>
      </w:pPr>
      <w:r w:rsidRPr="006E47D1">
        <w:t>Registruotojas</w:t>
      </w:r>
    </w:p>
    <w:p w14:paraId="7B1E11EB" w14:textId="77777777" w:rsidR="000E262C" w:rsidRPr="00022641" w:rsidRDefault="000E262C" w:rsidP="000E262C">
      <w:pPr>
        <w:rPr>
          <w:sz w:val="22"/>
          <w:szCs w:val="22"/>
        </w:rPr>
      </w:pPr>
      <w:proofErr w:type="spellStart"/>
      <w:r w:rsidRPr="00022641">
        <w:rPr>
          <w:sz w:val="22"/>
          <w:szCs w:val="22"/>
        </w:rPr>
        <w:t>Laboratoires</w:t>
      </w:r>
      <w:proofErr w:type="spellEnd"/>
      <w:r w:rsidRPr="00022641">
        <w:rPr>
          <w:sz w:val="22"/>
          <w:szCs w:val="22"/>
        </w:rPr>
        <w:t xml:space="preserve"> BOUCHARA-RECORDATI</w:t>
      </w:r>
    </w:p>
    <w:p w14:paraId="4BA26D7D" w14:textId="77777777" w:rsidR="000E262C" w:rsidRPr="00022641" w:rsidRDefault="000E262C" w:rsidP="000E262C">
      <w:pPr>
        <w:rPr>
          <w:sz w:val="22"/>
          <w:szCs w:val="22"/>
        </w:rPr>
      </w:pPr>
      <w:r w:rsidRPr="00022641">
        <w:rPr>
          <w:sz w:val="22"/>
          <w:szCs w:val="22"/>
        </w:rPr>
        <w:t xml:space="preserve">52 </w:t>
      </w:r>
      <w:proofErr w:type="spellStart"/>
      <w:r w:rsidRPr="00022641">
        <w:rPr>
          <w:sz w:val="22"/>
          <w:szCs w:val="22"/>
        </w:rPr>
        <w:t>avenue</w:t>
      </w:r>
      <w:proofErr w:type="spellEnd"/>
      <w:r w:rsidRPr="00022641">
        <w:rPr>
          <w:sz w:val="22"/>
          <w:szCs w:val="22"/>
        </w:rPr>
        <w:t xml:space="preserve"> du </w:t>
      </w:r>
      <w:proofErr w:type="spellStart"/>
      <w:r w:rsidRPr="00022641">
        <w:rPr>
          <w:sz w:val="22"/>
          <w:szCs w:val="22"/>
        </w:rPr>
        <w:t>general</w:t>
      </w:r>
      <w:proofErr w:type="spellEnd"/>
      <w:r w:rsidRPr="00022641">
        <w:rPr>
          <w:sz w:val="22"/>
          <w:szCs w:val="22"/>
        </w:rPr>
        <w:t xml:space="preserve"> de </w:t>
      </w:r>
      <w:proofErr w:type="spellStart"/>
      <w:r w:rsidRPr="00022641">
        <w:rPr>
          <w:sz w:val="22"/>
          <w:szCs w:val="22"/>
        </w:rPr>
        <w:t>Gaulle</w:t>
      </w:r>
      <w:proofErr w:type="spellEnd"/>
    </w:p>
    <w:p w14:paraId="314F3DD6" w14:textId="77777777" w:rsidR="000E262C" w:rsidRPr="00022641" w:rsidRDefault="000E262C" w:rsidP="000E262C">
      <w:pPr>
        <w:rPr>
          <w:sz w:val="22"/>
          <w:szCs w:val="22"/>
        </w:rPr>
      </w:pPr>
      <w:r w:rsidRPr="00022641">
        <w:rPr>
          <w:sz w:val="22"/>
          <w:szCs w:val="22"/>
        </w:rPr>
        <w:t xml:space="preserve">92800 </w:t>
      </w:r>
      <w:proofErr w:type="spellStart"/>
      <w:r w:rsidRPr="00022641">
        <w:rPr>
          <w:sz w:val="22"/>
          <w:szCs w:val="22"/>
        </w:rPr>
        <w:t>Puteaux</w:t>
      </w:r>
      <w:proofErr w:type="spellEnd"/>
    </w:p>
    <w:p w14:paraId="48040406" w14:textId="77777777" w:rsidR="000E262C" w:rsidRPr="006E47D1" w:rsidRDefault="000E262C" w:rsidP="000E262C">
      <w:pPr>
        <w:rPr>
          <w:sz w:val="22"/>
          <w:szCs w:val="22"/>
        </w:rPr>
      </w:pPr>
      <w:r w:rsidRPr="006E47D1">
        <w:rPr>
          <w:sz w:val="22"/>
          <w:szCs w:val="22"/>
        </w:rPr>
        <w:t>Prancūzija</w:t>
      </w:r>
    </w:p>
    <w:p w14:paraId="5D1B2661" w14:textId="77777777" w:rsidR="000E262C" w:rsidRPr="006E47D1" w:rsidRDefault="000E262C" w:rsidP="000E262C">
      <w:pPr>
        <w:rPr>
          <w:sz w:val="22"/>
          <w:szCs w:val="22"/>
        </w:rPr>
      </w:pPr>
    </w:p>
    <w:p w14:paraId="759C4D06" w14:textId="77777777" w:rsidR="000E262C" w:rsidRPr="009E7378" w:rsidRDefault="000E262C" w:rsidP="000E262C">
      <w:pPr>
        <w:rPr>
          <w:b/>
          <w:bCs/>
          <w:sz w:val="22"/>
          <w:szCs w:val="22"/>
        </w:rPr>
      </w:pPr>
      <w:r w:rsidRPr="009E7378">
        <w:rPr>
          <w:b/>
          <w:bCs/>
          <w:sz w:val="22"/>
          <w:szCs w:val="22"/>
        </w:rPr>
        <w:t>Gamintojas</w:t>
      </w:r>
    </w:p>
    <w:p w14:paraId="0843CDB4" w14:textId="77777777" w:rsidR="000E262C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224651">
        <w:rPr>
          <w:spacing w:val="-3"/>
          <w:sz w:val="22"/>
          <w:szCs w:val="22"/>
        </w:rPr>
        <w:t>MAYOLY INDUSTRIE</w:t>
      </w:r>
      <w:r w:rsidRPr="006E47D1">
        <w:rPr>
          <w:spacing w:val="-3"/>
          <w:sz w:val="22"/>
          <w:szCs w:val="22"/>
        </w:rPr>
        <w:t xml:space="preserve">, </w:t>
      </w:r>
    </w:p>
    <w:p w14:paraId="2C3722DF" w14:textId="77777777" w:rsidR="000E262C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proofErr w:type="spellStart"/>
      <w:r w:rsidRPr="006E47D1">
        <w:rPr>
          <w:spacing w:val="-3"/>
          <w:sz w:val="22"/>
          <w:szCs w:val="22"/>
        </w:rPr>
        <w:t>Rue</w:t>
      </w:r>
      <w:proofErr w:type="spellEnd"/>
      <w:r w:rsidRPr="006E47D1">
        <w:rPr>
          <w:spacing w:val="-3"/>
          <w:sz w:val="22"/>
          <w:szCs w:val="22"/>
        </w:rPr>
        <w:t xml:space="preserve"> </w:t>
      </w:r>
      <w:proofErr w:type="spellStart"/>
      <w:r w:rsidRPr="006E47D1">
        <w:rPr>
          <w:spacing w:val="-3"/>
          <w:sz w:val="22"/>
          <w:szCs w:val="22"/>
        </w:rPr>
        <w:t>Ethe</w:t>
      </w:r>
      <w:proofErr w:type="spellEnd"/>
      <w:r w:rsidRPr="006E47D1">
        <w:rPr>
          <w:spacing w:val="-3"/>
          <w:sz w:val="22"/>
          <w:szCs w:val="22"/>
        </w:rPr>
        <w:t xml:space="preserve"> </w:t>
      </w:r>
      <w:proofErr w:type="spellStart"/>
      <w:r w:rsidRPr="006E47D1">
        <w:rPr>
          <w:spacing w:val="-3"/>
          <w:sz w:val="22"/>
          <w:szCs w:val="22"/>
        </w:rPr>
        <w:t>Virton</w:t>
      </w:r>
      <w:proofErr w:type="spellEnd"/>
      <w:r w:rsidRPr="006E47D1">
        <w:rPr>
          <w:spacing w:val="-3"/>
          <w:sz w:val="22"/>
          <w:szCs w:val="22"/>
        </w:rPr>
        <w:t xml:space="preserve">, 28100 </w:t>
      </w:r>
      <w:proofErr w:type="spellStart"/>
      <w:r w:rsidRPr="006E47D1">
        <w:rPr>
          <w:spacing w:val="-3"/>
          <w:sz w:val="22"/>
          <w:szCs w:val="22"/>
        </w:rPr>
        <w:t>Dreux</w:t>
      </w:r>
      <w:proofErr w:type="spellEnd"/>
      <w:r w:rsidRPr="006E47D1">
        <w:rPr>
          <w:spacing w:val="-3"/>
          <w:sz w:val="22"/>
          <w:szCs w:val="22"/>
        </w:rPr>
        <w:t xml:space="preserve">, </w:t>
      </w:r>
    </w:p>
    <w:p w14:paraId="5A418C7E" w14:textId="77777777" w:rsidR="000E262C" w:rsidRPr="006E47D1" w:rsidRDefault="000E262C" w:rsidP="000E262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spacing w:val="-3"/>
          <w:sz w:val="22"/>
          <w:szCs w:val="22"/>
        </w:rPr>
      </w:pPr>
      <w:r w:rsidRPr="006E47D1">
        <w:rPr>
          <w:spacing w:val="-3"/>
          <w:sz w:val="22"/>
          <w:szCs w:val="22"/>
        </w:rPr>
        <w:t>Prancūzija</w:t>
      </w:r>
    </w:p>
    <w:p w14:paraId="1FB7A28E" w14:textId="77777777" w:rsidR="000E262C" w:rsidRPr="006E47D1" w:rsidRDefault="000E262C" w:rsidP="000E262C">
      <w:pPr>
        <w:pStyle w:val="BTEMEASMCADiagrama"/>
      </w:pPr>
    </w:p>
    <w:p w14:paraId="62E3E0D3" w14:textId="77777777" w:rsidR="000E262C" w:rsidRPr="00EF3386" w:rsidRDefault="000E262C" w:rsidP="000E262C">
      <w:pPr>
        <w:pStyle w:val="BTbEMEASMCA"/>
      </w:pPr>
      <w:r w:rsidRPr="006E47D1">
        <w:rPr>
          <w:bCs/>
        </w:rPr>
        <w:t>Šis pakuotės lapelis</w:t>
      </w:r>
      <w:r w:rsidRPr="006E47D1">
        <w:t xml:space="preserve"> paskutinį kartą peržiūrėtas</w:t>
      </w:r>
      <w:r>
        <w:t xml:space="preserve"> 2025-04-03.</w:t>
      </w:r>
    </w:p>
    <w:p w14:paraId="5B34E42E" w14:textId="77777777" w:rsidR="000E262C" w:rsidRPr="006E47D1" w:rsidRDefault="000E262C" w:rsidP="000E262C">
      <w:pPr>
        <w:pStyle w:val="BTEMEASMCADiagrama"/>
      </w:pPr>
    </w:p>
    <w:p w14:paraId="17229746" w14:textId="77777777" w:rsidR="000E262C" w:rsidRPr="006E47D1" w:rsidRDefault="000E262C" w:rsidP="000E262C">
      <w:pPr>
        <w:pStyle w:val="BTEMEASMCADiagrama"/>
        <w:rPr>
          <w:rStyle w:val="Hipersaitas"/>
          <w:rFonts w:eastAsiaTheme="majorEastAsia"/>
          <w:i/>
          <w:noProof w:val="0"/>
        </w:rPr>
      </w:pPr>
      <w:r w:rsidRPr="0009233E">
        <w:rPr>
          <w:noProof w:val="0"/>
          <w:spacing w:val="0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09233E">
        <w:rPr>
          <w:noProof w:val="0"/>
          <w:color w:val="0000EE"/>
          <w:spacing w:val="0"/>
          <w:u w:val="single"/>
          <w:lang w:eastAsia="lt-LT"/>
        </w:rPr>
        <w:t>https://vvkt.lrv.lt/lt/</w:t>
      </w:r>
      <w:r w:rsidRPr="0009233E">
        <w:rPr>
          <w:noProof w:val="0"/>
          <w:spacing w:val="0"/>
          <w:lang w:eastAsia="lt-LT"/>
        </w:rPr>
        <w:t>.</w:t>
      </w:r>
    </w:p>
    <w:p w14:paraId="251214C0" w14:textId="77777777" w:rsidR="000E262C" w:rsidRPr="006E47D1" w:rsidRDefault="000E262C" w:rsidP="000E262C">
      <w:pPr>
        <w:pStyle w:val="BTEMEASMCADiagrama"/>
        <w:rPr>
          <w:rStyle w:val="Hipersaitas"/>
          <w:rFonts w:eastAsiaTheme="majorEastAsia"/>
          <w:noProof w:val="0"/>
        </w:rPr>
      </w:pPr>
    </w:p>
    <w:p w14:paraId="41B2C5B1" w14:textId="77777777" w:rsidR="000E262C" w:rsidRPr="006E47D1" w:rsidRDefault="000E262C" w:rsidP="000E262C">
      <w:pPr>
        <w:pStyle w:val="BTEMEASMCADiagrama"/>
      </w:pPr>
    </w:p>
    <w:p w14:paraId="5EC646C9" w14:textId="77777777" w:rsidR="00222FED" w:rsidRDefault="00222FED"/>
    <w:sectPr w:rsidR="00222FED" w:rsidSect="000E26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1917"/>
    <w:multiLevelType w:val="hybridMultilevel"/>
    <w:tmpl w:val="DD1CFAD0"/>
    <w:lvl w:ilvl="0" w:tplc="A0124C30">
      <w:start w:val="30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9012B"/>
    <w:multiLevelType w:val="hybridMultilevel"/>
    <w:tmpl w:val="E9A28534"/>
    <w:lvl w:ilvl="0" w:tplc="15AE1BFA">
      <w:start w:val="4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7536">
    <w:abstractNumId w:val="0"/>
  </w:num>
  <w:num w:numId="2" w16cid:durableId="153095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2C"/>
    <w:rsid w:val="000E262C"/>
    <w:rsid w:val="00222FED"/>
    <w:rsid w:val="005F173E"/>
    <w:rsid w:val="008B3AD4"/>
    <w:rsid w:val="00D047C4"/>
    <w:rsid w:val="00EC0D97"/>
    <w:rsid w:val="00F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88FE"/>
  <w15:chartTrackingRefBased/>
  <w15:docId w15:val="{E492F961-1AB9-4E8E-A65C-D31DFCAC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262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2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E2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2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2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2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2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2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2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2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2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semiHidden/>
    <w:rsid w:val="000E2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262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262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262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262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262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262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2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2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2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262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262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262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2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262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262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unhideWhenUsed/>
    <w:rsid w:val="000E262C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nhideWhenUsed/>
    <w:rsid w:val="000E262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 w:val="28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E262C"/>
    <w:rPr>
      <w:rFonts w:ascii="Times New Roman" w:eastAsia="Times New Roman" w:hAnsi="Times New Roman" w:cs="Times New Roman"/>
      <w:spacing w:val="-3"/>
      <w:kern w:val="0"/>
      <w:sz w:val="28"/>
      <w:szCs w:val="20"/>
      <w:lang w:eastAsia="lt-LT"/>
      <w14:ligatures w14:val="none"/>
    </w:rPr>
  </w:style>
  <w:style w:type="paragraph" w:styleId="Pagrindinistekstas3">
    <w:name w:val="Body Text 3"/>
    <w:basedOn w:val="prastasis"/>
    <w:link w:val="Pagrindinistekstas3Diagrama"/>
    <w:semiHidden/>
    <w:unhideWhenUsed/>
    <w:rsid w:val="000E262C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3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0E262C"/>
    <w:rPr>
      <w:rFonts w:ascii="Times New Roman" w:eastAsia="Times New Roman" w:hAnsi="Times New Roman" w:cs="Times New Roman"/>
      <w:spacing w:val="-3"/>
      <w:kern w:val="0"/>
      <w:szCs w:val="20"/>
      <w:lang w:eastAsia="lt-LT"/>
      <w14:ligatures w14:val="none"/>
    </w:rPr>
  </w:style>
  <w:style w:type="paragraph" w:styleId="Betarp">
    <w:name w:val="No Spacing"/>
    <w:uiPriority w:val="99"/>
    <w:qFormat/>
    <w:rsid w:val="000E262C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kern w:val="0"/>
      <w:sz w:val="22"/>
      <w:szCs w:val="22"/>
      <w:lang w:val="en-GB" w:eastAsia="zh-CN"/>
      <w14:ligatures w14:val="none"/>
    </w:rPr>
  </w:style>
  <w:style w:type="paragraph" w:customStyle="1" w:styleId="PI-1EMEASMCA">
    <w:name w:val="PI-1 EMEA_SMCA"/>
    <w:basedOn w:val="Antrat2"/>
    <w:autoRedefine/>
    <w:rsid w:val="000E262C"/>
    <w:pPr>
      <w:keepLines w:val="0"/>
      <w:tabs>
        <w:tab w:val="left" w:pos="567"/>
      </w:tabs>
      <w:spacing w:before="0" w:after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BTEMEASMCADiagramaDiagrama">
    <w:name w:val="BT EMEA_SMCA Diagrama Diagrama"/>
    <w:link w:val="BTEMEASMCADiagrama"/>
    <w:locked/>
    <w:rsid w:val="000E262C"/>
    <w:rPr>
      <w:rFonts w:ascii="Times New Roman" w:eastAsia="Times New Roman" w:hAnsi="Times New Roman" w:cs="Times New Roman"/>
      <w:noProof/>
      <w:spacing w:val="-3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0E262C"/>
    <w:rPr>
      <w:noProof/>
      <w:spacing w:val="-3"/>
      <w:kern w:val="2"/>
      <w14:ligatures w14:val="standardContextual"/>
    </w:rPr>
  </w:style>
  <w:style w:type="character" w:customStyle="1" w:styleId="TTEMEASMCAChar">
    <w:name w:val="TT EMEA_SMCA Char"/>
    <w:link w:val="TTEMEASMCA"/>
    <w:locked/>
    <w:rsid w:val="000E262C"/>
    <w:rPr>
      <w:rFonts w:ascii="Times New Roman" w:eastAsia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0E262C"/>
    <w:pPr>
      <w:keepNext w:val="0"/>
      <w:keepLines w:val="0"/>
      <w:tabs>
        <w:tab w:val="left" w:pos="567"/>
      </w:tabs>
      <w:spacing w:before="0" w:after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paragraph" w:customStyle="1" w:styleId="BT-EMEASMCA">
    <w:name w:val="BT- EMEA_SMCA"/>
    <w:basedOn w:val="BTEMEASMCADiagrama"/>
    <w:autoRedefine/>
    <w:rsid w:val="000E262C"/>
    <w:pPr>
      <w:numPr>
        <w:numId w:val="1"/>
      </w:numPr>
      <w:tabs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0E262C"/>
    <w:pPr>
      <w:spacing w:line="220" w:lineRule="exact"/>
    </w:pPr>
    <w:rPr>
      <w:b/>
      <w:bCs/>
      <w:spacing w:val="-3"/>
      <w:sz w:val="22"/>
      <w:szCs w:val="22"/>
    </w:rPr>
  </w:style>
  <w:style w:type="paragraph" w:customStyle="1" w:styleId="BTbEMEASMCA">
    <w:name w:val="BT(b) EMEA_SMCA"/>
    <w:basedOn w:val="BTEMEASMCADiagrama"/>
    <w:autoRedefine/>
    <w:rsid w:val="000E262C"/>
    <w:rPr>
      <w:b/>
    </w:rPr>
  </w:style>
  <w:style w:type="paragraph" w:customStyle="1" w:styleId="BTbeEMEASMCA">
    <w:name w:val="BT(be) EMEA_SMCA"/>
    <w:basedOn w:val="BTEMEASMCADiagrama"/>
    <w:autoRedefine/>
    <w:rsid w:val="000E262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5749</Words>
  <Characters>3277</Characters>
  <Application>Microsoft Office Word</Application>
  <DocSecurity>0</DocSecurity>
  <Lines>27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2025-08-29T11:41:00Z</dcterms:created>
  <dcterms:modified xsi:type="dcterms:W3CDTF">2025-08-29T11:42:00Z</dcterms:modified>
</cp:coreProperties>
</file>