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751CE" w14:textId="77777777" w:rsidR="00231152" w:rsidRPr="00C23E05" w:rsidRDefault="00231152" w:rsidP="00231152">
      <w:pPr>
        <w:pStyle w:val="TTEMEASMCA"/>
        <w:rPr>
          <w:lang w:val="lt-LT"/>
        </w:rPr>
      </w:pPr>
      <w:r w:rsidRPr="00C23E05">
        <w:rPr>
          <w:caps w:val="0"/>
          <w:kern w:val="22"/>
          <w:lang w:val="lt-LT"/>
        </w:rPr>
        <w:t>Pakuotės lapelis: informacija pacientui</w:t>
      </w:r>
    </w:p>
    <w:p w14:paraId="2E3A3D5B" w14:textId="77777777" w:rsidR="00231152" w:rsidRPr="00C23E05" w:rsidRDefault="00231152" w:rsidP="00231152">
      <w:pPr>
        <w:pStyle w:val="BTEMEASMCA"/>
      </w:pPr>
    </w:p>
    <w:p w14:paraId="0B5086BB" w14:textId="77777777" w:rsidR="00231152" w:rsidRPr="00C23E05" w:rsidRDefault="00231152" w:rsidP="00231152">
      <w:pPr>
        <w:pStyle w:val="BTEMEASMCA"/>
        <w:jc w:val="center"/>
        <w:rPr>
          <w:b/>
          <w:bCs/>
        </w:rPr>
      </w:pPr>
      <w:proofErr w:type="spellStart"/>
      <w:r w:rsidRPr="00C23E05">
        <w:rPr>
          <w:b/>
          <w:bCs/>
        </w:rPr>
        <w:t>Jox</w:t>
      </w:r>
      <w:proofErr w:type="spellEnd"/>
      <w:r w:rsidRPr="00C23E05">
        <w:rPr>
          <w:b/>
          <w:bCs/>
        </w:rPr>
        <w:t xml:space="preserve"> 85/1 mg/ml burnos gleivinės, gerklų ir ryklės purškalas</w:t>
      </w:r>
      <w:r>
        <w:rPr>
          <w:b/>
          <w:bCs/>
        </w:rPr>
        <w:t xml:space="preserve"> (tirpalas)</w:t>
      </w:r>
    </w:p>
    <w:p w14:paraId="2B4D7007" w14:textId="77777777" w:rsidR="00231152" w:rsidRPr="00C23E05" w:rsidRDefault="00231152" w:rsidP="00231152">
      <w:pPr>
        <w:pStyle w:val="BTEMEASMCA"/>
        <w:jc w:val="center"/>
      </w:pPr>
      <w:bookmarkStart w:id="0" w:name="OLE_LINK11"/>
      <w:r w:rsidRPr="00C23E05">
        <w:t xml:space="preserve"> </w:t>
      </w:r>
      <w:proofErr w:type="spellStart"/>
      <w:r>
        <w:t>j</w:t>
      </w:r>
      <w:r w:rsidRPr="00C23E05">
        <w:t>oduotas</w:t>
      </w:r>
      <w:proofErr w:type="spellEnd"/>
      <w:r w:rsidRPr="00C23E05">
        <w:t xml:space="preserve"> </w:t>
      </w:r>
      <w:proofErr w:type="spellStart"/>
      <w:r w:rsidRPr="00C23E05">
        <w:t>povidonas</w:t>
      </w:r>
      <w:proofErr w:type="spellEnd"/>
      <w:r w:rsidRPr="00C23E05">
        <w:t xml:space="preserve"> / </w:t>
      </w:r>
      <w:bookmarkEnd w:id="0"/>
      <w:proofErr w:type="spellStart"/>
      <w:r>
        <w:t>a</w:t>
      </w:r>
      <w:r w:rsidRPr="00C23E05">
        <w:t>lantoinas</w:t>
      </w:r>
      <w:proofErr w:type="spellEnd"/>
    </w:p>
    <w:p w14:paraId="54CF89F1" w14:textId="77777777" w:rsidR="00231152" w:rsidRPr="00C23E05" w:rsidRDefault="00231152" w:rsidP="00231152">
      <w:pPr>
        <w:pStyle w:val="BTEMEASMCA"/>
      </w:pPr>
    </w:p>
    <w:p w14:paraId="38EBD4BE" w14:textId="77777777" w:rsidR="00231152" w:rsidRPr="00C23E05" w:rsidRDefault="00231152" w:rsidP="00231152">
      <w:pPr>
        <w:numPr>
          <w:ilvl w:val="12"/>
          <w:numId w:val="0"/>
        </w:numPr>
        <w:spacing w:after="0" w:line="240" w:lineRule="auto"/>
        <w:ind w:right="-2"/>
        <w:rPr>
          <w:rFonts w:ascii="Times New Roman" w:hAnsi="Times New Roman"/>
          <w:b/>
        </w:rPr>
      </w:pPr>
      <w:r w:rsidRPr="00C23E05">
        <w:rPr>
          <w:rFonts w:ascii="Times New Roman" w:hAnsi="Times New Roman"/>
          <w:b/>
          <w:noProof/>
        </w:rPr>
        <w:t>Atidžiai perskaitykite visą šį lapelį, prieš pradėdami vartoti šį vaistą, nes jame pateikiama Jums svarbi informacija.</w:t>
      </w:r>
    </w:p>
    <w:p w14:paraId="4A4D4FF8" w14:textId="77777777" w:rsidR="00231152" w:rsidRPr="00C23E05" w:rsidRDefault="00231152" w:rsidP="00231152">
      <w:pPr>
        <w:numPr>
          <w:ilvl w:val="12"/>
          <w:numId w:val="0"/>
        </w:numPr>
        <w:spacing w:after="0" w:line="240" w:lineRule="auto"/>
        <w:rPr>
          <w:rFonts w:ascii="Times New Roman" w:hAnsi="Times New Roman"/>
        </w:rPr>
      </w:pPr>
      <w:r w:rsidRPr="00C23E05">
        <w:rPr>
          <w:rFonts w:ascii="Times New Roman" w:hAnsi="Times New Roman"/>
          <w:noProof/>
        </w:rPr>
        <w:t>Visada vartokite šį vaistą tiksliai kaip aprašyta šiame lapelyje arba kaip nurodė gydytojas, arba vaistininkas.</w:t>
      </w:r>
    </w:p>
    <w:p w14:paraId="1301B9DC" w14:textId="77777777" w:rsidR="00231152" w:rsidRPr="00C23E05" w:rsidRDefault="00231152" w:rsidP="00231152">
      <w:pPr>
        <w:numPr>
          <w:ilvl w:val="0"/>
          <w:numId w:val="4"/>
        </w:numPr>
        <w:spacing w:after="0" w:line="240" w:lineRule="auto"/>
        <w:ind w:left="567" w:hanging="567"/>
        <w:rPr>
          <w:rFonts w:ascii="Times New Roman" w:hAnsi="Times New Roman"/>
        </w:rPr>
      </w:pPr>
      <w:r w:rsidRPr="00C23E05">
        <w:rPr>
          <w:rFonts w:ascii="Times New Roman" w:hAnsi="Times New Roman"/>
          <w:noProof/>
        </w:rPr>
        <w:t>Neišmeskite šio lapelio, nes vėl gali prireikti jį perskaityti.</w:t>
      </w:r>
      <w:r w:rsidRPr="00C23E05">
        <w:rPr>
          <w:rFonts w:ascii="Times New Roman" w:hAnsi="Times New Roman"/>
        </w:rPr>
        <w:t xml:space="preserve"> </w:t>
      </w:r>
    </w:p>
    <w:p w14:paraId="4443DB74" w14:textId="77777777" w:rsidR="00231152" w:rsidRPr="00C23E05" w:rsidRDefault="00231152" w:rsidP="00231152">
      <w:pPr>
        <w:numPr>
          <w:ilvl w:val="0"/>
          <w:numId w:val="4"/>
        </w:numPr>
        <w:tabs>
          <w:tab w:val="left" w:pos="567"/>
        </w:tabs>
        <w:spacing w:after="0" w:line="240" w:lineRule="auto"/>
        <w:ind w:left="567" w:hanging="567"/>
        <w:rPr>
          <w:rFonts w:ascii="Times New Roman" w:hAnsi="Times New Roman"/>
        </w:rPr>
      </w:pPr>
      <w:r w:rsidRPr="00C23E05">
        <w:rPr>
          <w:rFonts w:ascii="Times New Roman" w:hAnsi="Times New Roman"/>
          <w:noProof/>
        </w:rPr>
        <w:t>Jeigu norite sužinoti daugiau arba pasitarti, kreipkitės į vaistininką.</w:t>
      </w:r>
    </w:p>
    <w:p w14:paraId="7A46C342" w14:textId="77777777" w:rsidR="00231152" w:rsidRPr="00C23E05" w:rsidRDefault="00231152" w:rsidP="00231152">
      <w:pPr>
        <w:numPr>
          <w:ilvl w:val="0"/>
          <w:numId w:val="4"/>
        </w:numPr>
        <w:tabs>
          <w:tab w:val="left" w:pos="567"/>
        </w:tabs>
        <w:spacing w:after="0" w:line="240" w:lineRule="auto"/>
        <w:ind w:left="567" w:hanging="567"/>
        <w:rPr>
          <w:rFonts w:ascii="Times New Roman" w:hAnsi="Times New Roman"/>
        </w:rPr>
      </w:pPr>
      <w:r w:rsidRPr="00C23E05">
        <w:rPr>
          <w:rFonts w:ascii="Times New Roman" w:hAnsi="Times New Roman"/>
          <w:noProof/>
        </w:rPr>
        <w:t>Jeigu pasireiškė šalutinis poveikis (net jeigu jis šiame lapelyje nenurodytas), kreipkitės į gydytoją arba vaistininką. Žr. 4 skyrių.</w:t>
      </w:r>
    </w:p>
    <w:p w14:paraId="07BDBE2E" w14:textId="77777777" w:rsidR="00231152" w:rsidRPr="00C23E05" w:rsidRDefault="00231152" w:rsidP="00231152">
      <w:pPr>
        <w:pStyle w:val="BT-EMEASMCA"/>
        <w:tabs>
          <w:tab w:val="clear" w:pos="360"/>
        </w:tabs>
        <w:ind w:left="567" w:hanging="573"/>
      </w:pPr>
      <w:r w:rsidRPr="00C23E05">
        <w:rPr>
          <w:noProof/>
        </w:rPr>
        <w:t xml:space="preserve">Jeigu </w:t>
      </w:r>
      <w:r>
        <w:rPr>
          <w:noProof/>
        </w:rPr>
        <w:t xml:space="preserve">per 7 dienas </w:t>
      </w:r>
      <w:r w:rsidRPr="00C23E05">
        <w:rPr>
          <w:noProof/>
        </w:rPr>
        <w:t>Jūsų savijauta nepagerėjo arba net pablogėjo, kreipkitės į gydytoją.</w:t>
      </w:r>
    </w:p>
    <w:p w14:paraId="1535A04A" w14:textId="77777777" w:rsidR="00231152" w:rsidRPr="00C23E05" w:rsidRDefault="00231152" w:rsidP="00231152">
      <w:pPr>
        <w:pStyle w:val="BTEMEASMCA"/>
      </w:pPr>
    </w:p>
    <w:p w14:paraId="4552E57D" w14:textId="77777777" w:rsidR="00231152" w:rsidRPr="00C23E05" w:rsidRDefault="00231152" w:rsidP="00231152">
      <w:pPr>
        <w:pStyle w:val="BTbEMEASMCA"/>
        <w:jc w:val="both"/>
      </w:pPr>
      <w:r w:rsidRPr="00C23E05">
        <w:t>Apie ką rašoma šiame lapelyje?</w:t>
      </w:r>
    </w:p>
    <w:p w14:paraId="183AC581" w14:textId="77777777" w:rsidR="00231152" w:rsidRPr="00C23E05" w:rsidRDefault="00231152" w:rsidP="00231152">
      <w:pPr>
        <w:pStyle w:val="BTEMEASMCA"/>
        <w:tabs>
          <w:tab w:val="left" w:pos="720"/>
        </w:tabs>
      </w:pPr>
      <w:r w:rsidRPr="00C23E05">
        <w:t>1.</w:t>
      </w:r>
      <w:r w:rsidRPr="00C23E05">
        <w:tab/>
        <w:t xml:space="preserve">Kas yra </w:t>
      </w:r>
      <w:proofErr w:type="spellStart"/>
      <w:r w:rsidRPr="00C23E05">
        <w:t>Jox</w:t>
      </w:r>
      <w:proofErr w:type="spellEnd"/>
      <w:r w:rsidRPr="00C23E05">
        <w:t xml:space="preserve"> ir kam jis vartojamas</w:t>
      </w:r>
    </w:p>
    <w:p w14:paraId="21B79838" w14:textId="77777777" w:rsidR="00231152" w:rsidRPr="00C23E05" w:rsidRDefault="00231152" w:rsidP="00231152">
      <w:pPr>
        <w:pStyle w:val="BTEMEASMCA"/>
        <w:tabs>
          <w:tab w:val="left" w:pos="720"/>
        </w:tabs>
      </w:pPr>
      <w:r w:rsidRPr="00C23E05">
        <w:t>2.</w:t>
      </w:r>
      <w:r w:rsidRPr="00C23E05">
        <w:tab/>
        <w:t xml:space="preserve">Kas žinotina prieš vartojant </w:t>
      </w:r>
      <w:proofErr w:type="spellStart"/>
      <w:r w:rsidRPr="00C23E05">
        <w:t>Jox</w:t>
      </w:r>
      <w:proofErr w:type="spellEnd"/>
    </w:p>
    <w:p w14:paraId="1B575238" w14:textId="77777777" w:rsidR="00231152" w:rsidRPr="00C23E05" w:rsidRDefault="00231152" w:rsidP="00231152">
      <w:pPr>
        <w:pStyle w:val="BTEMEASMCA"/>
        <w:tabs>
          <w:tab w:val="left" w:pos="720"/>
        </w:tabs>
      </w:pPr>
      <w:r w:rsidRPr="00C23E05">
        <w:t>3.</w:t>
      </w:r>
      <w:r w:rsidRPr="00C23E05">
        <w:tab/>
        <w:t xml:space="preserve">Kaip vartoti </w:t>
      </w:r>
      <w:proofErr w:type="spellStart"/>
      <w:r w:rsidRPr="00C23E05">
        <w:t>Jox</w:t>
      </w:r>
      <w:proofErr w:type="spellEnd"/>
    </w:p>
    <w:p w14:paraId="7FF9F8D2" w14:textId="77777777" w:rsidR="00231152" w:rsidRPr="00C23E05" w:rsidRDefault="00231152" w:rsidP="00231152">
      <w:pPr>
        <w:pStyle w:val="BTEMEASMCA"/>
        <w:tabs>
          <w:tab w:val="left" w:pos="720"/>
        </w:tabs>
      </w:pPr>
      <w:r w:rsidRPr="00C23E05">
        <w:t>4.</w:t>
      </w:r>
      <w:r w:rsidRPr="00C23E05">
        <w:tab/>
        <w:t>Galimas šalutinis poveikis</w:t>
      </w:r>
    </w:p>
    <w:p w14:paraId="33CB7F42" w14:textId="77777777" w:rsidR="00231152" w:rsidRPr="00C23E05" w:rsidRDefault="00231152" w:rsidP="00231152">
      <w:pPr>
        <w:pStyle w:val="BTEMEASMCA"/>
        <w:tabs>
          <w:tab w:val="left" w:pos="720"/>
        </w:tabs>
      </w:pPr>
      <w:r w:rsidRPr="00C23E05">
        <w:t>5.</w:t>
      </w:r>
      <w:r w:rsidRPr="00C23E05">
        <w:tab/>
        <w:t xml:space="preserve">Kaip laikyti </w:t>
      </w:r>
      <w:proofErr w:type="spellStart"/>
      <w:r w:rsidRPr="00C23E05">
        <w:t>Jox</w:t>
      </w:r>
      <w:proofErr w:type="spellEnd"/>
    </w:p>
    <w:p w14:paraId="20DDE144" w14:textId="77777777" w:rsidR="00231152" w:rsidRPr="00C23E05" w:rsidRDefault="00231152" w:rsidP="00231152">
      <w:pPr>
        <w:pStyle w:val="BTEMEASMCA"/>
        <w:tabs>
          <w:tab w:val="left" w:pos="720"/>
        </w:tabs>
      </w:pPr>
      <w:r w:rsidRPr="00C23E05">
        <w:t>6.</w:t>
      </w:r>
      <w:r w:rsidRPr="00C23E05">
        <w:tab/>
        <w:t>Pakuotės turinys ir kita informacija</w:t>
      </w:r>
    </w:p>
    <w:p w14:paraId="7B17C2D2" w14:textId="77777777" w:rsidR="00231152" w:rsidRPr="00C23E05" w:rsidRDefault="00231152" w:rsidP="00231152">
      <w:pPr>
        <w:pStyle w:val="BTEMEASMCA"/>
      </w:pPr>
    </w:p>
    <w:p w14:paraId="5999D950" w14:textId="77777777" w:rsidR="00231152" w:rsidRPr="00C23E05" w:rsidRDefault="00231152" w:rsidP="00231152">
      <w:pPr>
        <w:pStyle w:val="PI-1EMEASMCA"/>
      </w:pPr>
      <w:r w:rsidRPr="00C23E05">
        <w:t>1.</w:t>
      </w:r>
      <w:r w:rsidRPr="00C23E05">
        <w:tab/>
        <w:t xml:space="preserve">Kas yra </w:t>
      </w:r>
      <w:proofErr w:type="spellStart"/>
      <w:r w:rsidRPr="00C23E05">
        <w:t>Jox</w:t>
      </w:r>
      <w:proofErr w:type="spellEnd"/>
      <w:r w:rsidRPr="00C23E05">
        <w:t xml:space="preserve"> ir kam jis vartojamas</w:t>
      </w:r>
    </w:p>
    <w:p w14:paraId="7E32C8F8" w14:textId="77777777" w:rsidR="00231152" w:rsidRPr="00C23E05" w:rsidRDefault="00231152" w:rsidP="00231152">
      <w:pPr>
        <w:pStyle w:val="BTEMEASMCA"/>
      </w:pPr>
    </w:p>
    <w:p w14:paraId="7D54DC68" w14:textId="77777777" w:rsidR="00231152" w:rsidRPr="00C23E05" w:rsidRDefault="00231152" w:rsidP="00231152">
      <w:pPr>
        <w:pStyle w:val="BTEMEASMCA"/>
      </w:pPr>
      <w:r w:rsidRPr="00C23E05">
        <w:t xml:space="preserve">Svarbiausia veiklioji medžiaga </w:t>
      </w:r>
      <w:r w:rsidRPr="00C23E05">
        <w:noBreakHyphen/>
        <w:t xml:space="preserve"> </w:t>
      </w:r>
      <w:proofErr w:type="spellStart"/>
      <w:r w:rsidRPr="00C23E05">
        <w:t>joduotas</w:t>
      </w:r>
      <w:proofErr w:type="spellEnd"/>
      <w:r w:rsidRPr="00C23E05">
        <w:t xml:space="preserve"> </w:t>
      </w:r>
      <w:proofErr w:type="spellStart"/>
      <w:r w:rsidRPr="00C23E05">
        <w:t>povidonas</w:t>
      </w:r>
      <w:proofErr w:type="spellEnd"/>
      <w:r w:rsidRPr="00C23E05">
        <w:t xml:space="preserve">. Sąveikaudama su oda arba gleivine, ši medžiaga išskiria jodą, kuris sunaikina daugelį ligas sukeliančių mikroorganizmų (bakterijas, grybelius, kai kuriuos virusus). Šiek tiek vietiškai vartojamo jodo absorbuojama pro sveiką odą. Per pažeistą odą ir gleivinę jodo absorbuojama daugiau. Išgėrus jodo </w:t>
      </w:r>
      <w:r>
        <w:t>vaistų</w:t>
      </w:r>
      <w:r w:rsidRPr="00C23E05">
        <w:t xml:space="preserve"> (kurių jodas virsta jodidu) ir jodidų, jodidai kaupiasi skydliaukėje. Nepatekę į skydliaukę jodidai išsiskiria daugiausia pro inkstus, mažas kiekis </w:t>
      </w:r>
      <w:r w:rsidRPr="00C23E05">
        <w:noBreakHyphen/>
        <w:t xml:space="preserve"> su išmatomis, seilėmis ir prakaitu.</w:t>
      </w:r>
    </w:p>
    <w:p w14:paraId="3B988DF9" w14:textId="77777777" w:rsidR="00231152" w:rsidRPr="00C23E05" w:rsidRDefault="00231152" w:rsidP="00231152">
      <w:pPr>
        <w:pStyle w:val="BTEMEASMCA"/>
      </w:pPr>
      <w:proofErr w:type="spellStart"/>
      <w:r w:rsidRPr="00C23E05">
        <w:t>Jox</w:t>
      </w:r>
      <w:proofErr w:type="spellEnd"/>
      <w:r w:rsidRPr="00C23E05">
        <w:t xml:space="preserve">  galima dezinfekuoti burnos ertmę bei ryklę. Vaisto sudėtyje taip pat yra </w:t>
      </w:r>
      <w:proofErr w:type="spellStart"/>
      <w:r w:rsidRPr="00C23E05">
        <w:t>alantoino</w:t>
      </w:r>
      <w:proofErr w:type="spellEnd"/>
      <w:r w:rsidRPr="00C23E05">
        <w:t>, kuris skatina uždegimo paveiktų audinių gijimą.</w:t>
      </w:r>
    </w:p>
    <w:p w14:paraId="668B5D99" w14:textId="77777777" w:rsidR="00231152" w:rsidRPr="00C23E05" w:rsidRDefault="00231152" w:rsidP="00231152">
      <w:pPr>
        <w:pStyle w:val="BTEMEASMCA"/>
        <w:rPr>
          <w:bCs/>
        </w:rPr>
      </w:pPr>
      <w:proofErr w:type="spellStart"/>
      <w:r w:rsidRPr="00C23E05">
        <w:rPr>
          <w:bCs/>
        </w:rPr>
        <w:t>Jox</w:t>
      </w:r>
      <w:proofErr w:type="spellEnd"/>
      <w:r w:rsidRPr="00C23E05">
        <w:rPr>
          <w:bCs/>
        </w:rPr>
        <w:t xml:space="preserve">  skirtas lengvoms burnos ir ryklės ligoms gydyti.</w:t>
      </w:r>
    </w:p>
    <w:p w14:paraId="0B92B61D" w14:textId="77777777" w:rsidR="00231152" w:rsidRPr="00C23E05" w:rsidRDefault="00231152" w:rsidP="00231152">
      <w:pPr>
        <w:pStyle w:val="BTEMEASMCA"/>
      </w:pPr>
      <w:proofErr w:type="spellStart"/>
      <w:r w:rsidRPr="00C23E05">
        <w:rPr>
          <w:bCs/>
        </w:rPr>
        <w:t>Jox</w:t>
      </w:r>
      <w:proofErr w:type="spellEnd"/>
      <w:r w:rsidRPr="00C23E05">
        <w:rPr>
          <w:bCs/>
        </w:rPr>
        <w:t xml:space="preserve">  vartojamas p</w:t>
      </w:r>
      <w:r w:rsidRPr="00C23E05">
        <w:t>apildomam vietiniam lengvų burnos ir ryklės infekcinių ligų ryklės uždegimo</w:t>
      </w:r>
      <w:r w:rsidRPr="00C23E05">
        <w:rPr>
          <w:b/>
        </w:rPr>
        <w:t xml:space="preserve">, </w:t>
      </w:r>
      <w:r w:rsidRPr="00C23E05">
        <w:t>burnos gleivinės uždegimo, dantenų uždegimo gydymui; papildomam bakterijų sukelto migdolų uždegimo gydymui kartu su antibiotikais; burnos ertmės infekcijos profilaktikai ligoniams, kuriems atliekamos burnos ar ryklės operacijos.</w:t>
      </w:r>
    </w:p>
    <w:p w14:paraId="16612FDC" w14:textId="77777777" w:rsidR="00231152" w:rsidRPr="00C23E05" w:rsidRDefault="00231152" w:rsidP="00231152">
      <w:pPr>
        <w:pStyle w:val="BTEMEASMCA"/>
        <w:rPr>
          <w:bCs/>
        </w:rPr>
      </w:pPr>
      <w:r w:rsidRPr="00C23E05">
        <w:rPr>
          <w:bCs/>
        </w:rPr>
        <w:t>Kaip tinkamai vartoti vaistą šių būklių atveju, nurodys gydytojas.</w:t>
      </w:r>
    </w:p>
    <w:p w14:paraId="2975BCAD" w14:textId="77777777" w:rsidR="00231152" w:rsidRPr="00C23E05" w:rsidRDefault="00231152" w:rsidP="00231152">
      <w:pPr>
        <w:pStyle w:val="BTEMEASMCA"/>
        <w:rPr>
          <w:bCs/>
        </w:rPr>
      </w:pPr>
      <w:proofErr w:type="spellStart"/>
      <w:r w:rsidRPr="00C23E05">
        <w:rPr>
          <w:bCs/>
        </w:rPr>
        <w:t>Jox</w:t>
      </w:r>
      <w:proofErr w:type="spellEnd"/>
      <w:r w:rsidRPr="00C23E05">
        <w:rPr>
          <w:bCs/>
        </w:rPr>
        <w:t xml:space="preserve">  gali vartoti vyresni kaip 8 metų vaikai ir suaugusieji.</w:t>
      </w:r>
    </w:p>
    <w:p w14:paraId="24D403B4" w14:textId="77777777" w:rsidR="00231152" w:rsidRPr="00C23E05" w:rsidRDefault="00231152" w:rsidP="00231152">
      <w:pPr>
        <w:pStyle w:val="BTEMEASMCA"/>
        <w:rPr>
          <w:bCs/>
        </w:rPr>
      </w:pPr>
      <w:r w:rsidRPr="00C23E05">
        <w:rPr>
          <w:bCs/>
        </w:rPr>
        <w:t>8</w:t>
      </w:r>
      <w:r w:rsidRPr="00C23E05">
        <w:rPr>
          <w:bCs/>
        </w:rPr>
        <w:noBreakHyphen/>
        <w:t xml:space="preserve">12 metų vaikus gydyti </w:t>
      </w:r>
      <w:proofErr w:type="spellStart"/>
      <w:r w:rsidRPr="00C23E05">
        <w:rPr>
          <w:bCs/>
        </w:rPr>
        <w:t>Jox</w:t>
      </w:r>
      <w:proofErr w:type="spellEnd"/>
      <w:r w:rsidRPr="00C23E05">
        <w:rPr>
          <w:bCs/>
        </w:rPr>
        <w:t xml:space="preserve"> purškalu galima tik paskyrus gydytojui.</w:t>
      </w:r>
    </w:p>
    <w:p w14:paraId="749ED579" w14:textId="77777777" w:rsidR="00231152" w:rsidRPr="00C23E05" w:rsidRDefault="00231152" w:rsidP="00231152">
      <w:pPr>
        <w:pStyle w:val="BTEMEASMCA"/>
        <w:rPr>
          <w:bCs/>
        </w:rPr>
      </w:pPr>
    </w:p>
    <w:p w14:paraId="0C706EEF" w14:textId="77777777" w:rsidR="00231152" w:rsidRPr="00C23E05" w:rsidRDefault="00231152" w:rsidP="00231152">
      <w:pPr>
        <w:pStyle w:val="BTEMEASMCA"/>
        <w:rPr>
          <w:bCs/>
        </w:rPr>
      </w:pPr>
    </w:p>
    <w:p w14:paraId="505C708F" w14:textId="77777777" w:rsidR="00231152" w:rsidRPr="00C23E05" w:rsidRDefault="00231152" w:rsidP="00231152">
      <w:pPr>
        <w:pStyle w:val="PI-1EMEASMCA"/>
      </w:pPr>
      <w:r w:rsidRPr="00C23E05">
        <w:t>2.</w:t>
      </w:r>
      <w:r w:rsidRPr="00C23E05">
        <w:tab/>
        <w:t xml:space="preserve">Kas žinotina prieš vartojant </w:t>
      </w:r>
      <w:proofErr w:type="spellStart"/>
      <w:r w:rsidRPr="00C23E05">
        <w:t>Jox</w:t>
      </w:r>
      <w:proofErr w:type="spellEnd"/>
    </w:p>
    <w:p w14:paraId="0556FE76" w14:textId="77777777" w:rsidR="00231152" w:rsidRPr="00C23E05" w:rsidRDefault="00231152" w:rsidP="00231152">
      <w:pPr>
        <w:pStyle w:val="BTEMEASMCA"/>
      </w:pPr>
    </w:p>
    <w:p w14:paraId="756CA68B" w14:textId="77777777" w:rsidR="00231152" w:rsidRPr="00C23E05" w:rsidRDefault="00231152" w:rsidP="00231152">
      <w:pPr>
        <w:pStyle w:val="PI-3EMEASMCA"/>
        <w:spacing w:line="240" w:lineRule="auto"/>
      </w:pPr>
      <w:proofErr w:type="spellStart"/>
      <w:r w:rsidRPr="00C23E05">
        <w:t>Jox</w:t>
      </w:r>
      <w:proofErr w:type="spellEnd"/>
      <w:r w:rsidRPr="00C23E05">
        <w:t xml:space="preserve"> vartoti </w:t>
      </w:r>
      <w:r>
        <w:t>draudžiama</w:t>
      </w:r>
      <w:r w:rsidRPr="00C23E05">
        <w:t>:</w:t>
      </w:r>
    </w:p>
    <w:p w14:paraId="643E0CBE" w14:textId="77777777" w:rsidR="00231152" w:rsidRPr="00C23E05" w:rsidRDefault="00231152" w:rsidP="00231152">
      <w:pPr>
        <w:pStyle w:val="BT-EMEASMCA"/>
        <w:tabs>
          <w:tab w:val="clear" w:pos="360"/>
        </w:tabs>
        <w:ind w:left="567" w:hanging="567"/>
      </w:pPr>
      <w:r w:rsidRPr="00C23E05">
        <w:t xml:space="preserve">jeigu yra alergija jodui arba bet kuriai pagalbinei šio vaisto medžiagai </w:t>
      </w:r>
      <w:r w:rsidRPr="00C23E05">
        <w:rPr>
          <w:noProof/>
        </w:rPr>
        <w:t>(jos išvardytos 6 skyriuje)</w:t>
      </w:r>
      <w:r w:rsidRPr="00C23E05">
        <w:t>;</w:t>
      </w:r>
    </w:p>
    <w:p w14:paraId="3B7BC4BE" w14:textId="77777777" w:rsidR="00231152" w:rsidRPr="00C23E05" w:rsidRDefault="00231152" w:rsidP="00231152">
      <w:pPr>
        <w:pStyle w:val="BTEMEASMCA"/>
        <w:numPr>
          <w:ilvl w:val="0"/>
          <w:numId w:val="1"/>
        </w:numPr>
        <w:tabs>
          <w:tab w:val="clear" w:pos="360"/>
        </w:tabs>
        <w:ind w:left="567" w:hanging="567"/>
      </w:pPr>
      <w:r w:rsidRPr="00C23E05">
        <w:t>jei</w:t>
      </w:r>
      <w:r>
        <w:t>gu</w:t>
      </w:r>
      <w:r w:rsidRPr="00C23E05">
        <w:t xml:space="preserve"> inkstų funkcija sutrikusi;</w:t>
      </w:r>
    </w:p>
    <w:p w14:paraId="16378032" w14:textId="77777777" w:rsidR="00231152" w:rsidRPr="00C23E05" w:rsidRDefault="00231152" w:rsidP="00231152">
      <w:pPr>
        <w:pStyle w:val="BTEMEASMCA"/>
        <w:numPr>
          <w:ilvl w:val="0"/>
          <w:numId w:val="1"/>
        </w:numPr>
        <w:tabs>
          <w:tab w:val="clear" w:pos="360"/>
        </w:tabs>
        <w:ind w:left="567" w:hanging="567"/>
      </w:pPr>
      <w:r w:rsidRPr="00C23E05">
        <w:t>jei</w:t>
      </w:r>
      <w:r>
        <w:t>gu</w:t>
      </w:r>
      <w:r w:rsidRPr="00C23E05">
        <w:t xml:space="preserve"> sergate </w:t>
      </w:r>
      <w:proofErr w:type="spellStart"/>
      <w:r w:rsidRPr="00C23E05">
        <w:t>dekompensuotu</w:t>
      </w:r>
      <w:proofErr w:type="spellEnd"/>
      <w:r w:rsidRPr="00C23E05">
        <w:t xml:space="preserve"> širdies nepakankamumu;</w:t>
      </w:r>
    </w:p>
    <w:p w14:paraId="6A3DC977" w14:textId="77777777" w:rsidR="00231152" w:rsidRPr="00C23E05" w:rsidRDefault="00231152" w:rsidP="00231152">
      <w:pPr>
        <w:pStyle w:val="BTEMEASMCA"/>
        <w:numPr>
          <w:ilvl w:val="0"/>
          <w:numId w:val="1"/>
        </w:numPr>
        <w:tabs>
          <w:tab w:val="clear" w:pos="360"/>
        </w:tabs>
        <w:ind w:left="567" w:hanging="567"/>
      </w:pPr>
      <w:r w:rsidRPr="00C23E05">
        <w:t>nėštumo metu ir žindymo laikotarpiu;</w:t>
      </w:r>
    </w:p>
    <w:p w14:paraId="5F66C91F" w14:textId="77777777" w:rsidR="00231152" w:rsidRPr="00C23E05" w:rsidRDefault="00231152" w:rsidP="00231152">
      <w:pPr>
        <w:pStyle w:val="BTEMEASMCA"/>
        <w:numPr>
          <w:ilvl w:val="0"/>
          <w:numId w:val="1"/>
        </w:numPr>
        <w:tabs>
          <w:tab w:val="clear" w:pos="360"/>
        </w:tabs>
        <w:ind w:left="567" w:hanging="567"/>
      </w:pPr>
      <w:r w:rsidRPr="00C23E05">
        <w:t>2 savaites prieš planuojamą tyrimą arba gydymą radioaktyviuoju jodu ir 2 savaites po tyrimo;</w:t>
      </w:r>
    </w:p>
    <w:p w14:paraId="053EA3E0" w14:textId="77777777" w:rsidR="00231152" w:rsidRPr="00C23E05" w:rsidRDefault="00231152" w:rsidP="00231152">
      <w:pPr>
        <w:pStyle w:val="BTEMEASMCA"/>
        <w:numPr>
          <w:ilvl w:val="0"/>
          <w:numId w:val="1"/>
        </w:numPr>
        <w:tabs>
          <w:tab w:val="clear" w:pos="360"/>
        </w:tabs>
        <w:ind w:left="567" w:hanging="567"/>
      </w:pPr>
      <w:r w:rsidRPr="00C23E05">
        <w:t xml:space="preserve">nuolat gydytis </w:t>
      </w:r>
      <w:proofErr w:type="spellStart"/>
      <w:r w:rsidRPr="00C23E05">
        <w:t>Jox</w:t>
      </w:r>
      <w:proofErr w:type="spellEnd"/>
      <w:r w:rsidRPr="00C23E05">
        <w:t>, jeigu sutrikusi skydliaukės veikla;</w:t>
      </w:r>
    </w:p>
    <w:p w14:paraId="4F217448" w14:textId="77777777" w:rsidR="00231152" w:rsidRPr="00C23E05" w:rsidRDefault="00231152" w:rsidP="00231152">
      <w:pPr>
        <w:pStyle w:val="BTEMEASMCA"/>
        <w:numPr>
          <w:ilvl w:val="0"/>
          <w:numId w:val="1"/>
        </w:numPr>
        <w:tabs>
          <w:tab w:val="clear" w:pos="360"/>
        </w:tabs>
        <w:ind w:left="567" w:hanging="567"/>
      </w:pPr>
      <w:r w:rsidRPr="00C23E05">
        <w:t xml:space="preserve">nuolat gydytis </w:t>
      </w:r>
      <w:proofErr w:type="spellStart"/>
      <w:r w:rsidRPr="00C23E05">
        <w:t>Jox</w:t>
      </w:r>
      <w:proofErr w:type="spellEnd"/>
      <w:r w:rsidRPr="00C23E05">
        <w:t>, jeigu kartu vartojate ličio preparatų;</w:t>
      </w:r>
    </w:p>
    <w:p w14:paraId="5176D8EE" w14:textId="77777777" w:rsidR="00231152" w:rsidRPr="00C23E05" w:rsidRDefault="00231152" w:rsidP="00231152">
      <w:pPr>
        <w:pStyle w:val="BTEMEASMCA"/>
        <w:numPr>
          <w:ilvl w:val="0"/>
          <w:numId w:val="1"/>
        </w:numPr>
        <w:tabs>
          <w:tab w:val="clear" w:pos="360"/>
        </w:tabs>
        <w:ind w:left="567" w:hanging="567"/>
      </w:pPr>
      <w:r w:rsidRPr="00C23E05">
        <w:t xml:space="preserve">jaunesniems kaip 8 metų vaikams </w:t>
      </w:r>
      <w:r>
        <w:t>(</w:t>
      </w:r>
      <w:r w:rsidRPr="00C23E05">
        <w:t xml:space="preserve">dėl vaisto </w:t>
      </w:r>
      <w:r>
        <w:t xml:space="preserve">farmacinės </w:t>
      </w:r>
      <w:r w:rsidRPr="00C23E05">
        <w:t>formos</w:t>
      </w:r>
      <w:r>
        <w:t>)</w:t>
      </w:r>
      <w:r w:rsidRPr="00C23E05">
        <w:t>.</w:t>
      </w:r>
    </w:p>
    <w:p w14:paraId="576CF614" w14:textId="77777777" w:rsidR="00231152" w:rsidRPr="00C23E05" w:rsidRDefault="00231152" w:rsidP="00231152">
      <w:pPr>
        <w:spacing w:after="0" w:line="240" w:lineRule="auto"/>
        <w:ind w:left="360"/>
        <w:rPr>
          <w:rFonts w:ascii="Times New Roman" w:hAnsi="Times New Roman"/>
        </w:rPr>
      </w:pPr>
    </w:p>
    <w:p w14:paraId="0A295262" w14:textId="77777777" w:rsidR="00231152" w:rsidRPr="00C23E05" w:rsidRDefault="00231152" w:rsidP="00231152">
      <w:pPr>
        <w:pStyle w:val="Antrat4"/>
        <w:spacing w:before="0" w:after="0"/>
        <w:rPr>
          <w:rFonts w:ascii="Times New Roman" w:hAnsi="Times New Roman"/>
        </w:rPr>
      </w:pPr>
      <w:r w:rsidRPr="00C23E05">
        <w:rPr>
          <w:rFonts w:ascii="Times New Roman" w:hAnsi="Times New Roman"/>
        </w:rPr>
        <w:lastRenderedPageBreak/>
        <w:t xml:space="preserve">Įspėjimai ir atsargumo priemonės </w:t>
      </w:r>
    </w:p>
    <w:p w14:paraId="6E4A2967" w14:textId="77777777" w:rsidR="00231152" w:rsidRDefault="00231152" w:rsidP="00231152">
      <w:pPr>
        <w:pStyle w:val="BT-EMEASMCA"/>
        <w:numPr>
          <w:ilvl w:val="0"/>
          <w:numId w:val="0"/>
        </w:numPr>
        <w:tabs>
          <w:tab w:val="left" w:pos="0"/>
        </w:tabs>
        <w:rPr>
          <w:b/>
          <w:noProof/>
        </w:rPr>
      </w:pPr>
      <w:r w:rsidRPr="00C23E05">
        <w:rPr>
          <w:noProof/>
        </w:rPr>
        <w:t xml:space="preserve">Pasitarkite </w:t>
      </w:r>
      <w:r w:rsidRPr="000C60C4">
        <w:rPr>
          <w:noProof/>
        </w:rPr>
        <w:t>su gydytoju</w:t>
      </w:r>
      <w:r w:rsidRPr="00C23E05">
        <w:rPr>
          <w:b/>
          <w:noProof/>
        </w:rPr>
        <w:t xml:space="preserve"> </w:t>
      </w:r>
      <w:r w:rsidRPr="00C23E05">
        <w:rPr>
          <w:noProof/>
        </w:rPr>
        <w:t>arba</w:t>
      </w:r>
      <w:r w:rsidRPr="00C23E05">
        <w:rPr>
          <w:b/>
          <w:noProof/>
        </w:rPr>
        <w:t xml:space="preserve"> </w:t>
      </w:r>
      <w:r w:rsidRPr="00C23E05">
        <w:rPr>
          <w:noProof/>
        </w:rPr>
        <w:t xml:space="preserve">vaistininku, prieš pradėdami vartoti </w:t>
      </w:r>
      <w:r w:rsidRPr="000C60C4">
        <w:rPr>
          <w:noProof/>
        </w:rPr>
        <w:t>Jox:</w:t>
      </w:r>
    </w:p>
    <w:p w14:paraId="2E235047" w14:textId="77777777" w:rsidR="00231152" w:rsidRDefault="00231152" w:rsidP="00231152">
      <w:pPr>
        <w:pStyle w:val="BT-EMEASMCA"/>
        <w:numPr>
          <w:ilvl w:val="0"/>
          <w:numId w:val="1"/>
        </w:numPr>
        <w:tabs>
          <w:tab w:val="clear" w:pos="360"/>
          <w:tab w:val="left" w:pos="0"/>
        </w:tabs>
        <w:ind w:left="567" w:hanging="570"/>
      </w:pPr>
      <w:r w:rsidRPr="00C23E05">
        <w:t>jeigu sergate gerklų uždegimu (laringitu), kuris pasireiškia užkimimu, švokštimu ar priepuolinio pobūdžio kosuliu;</w:t>
      </w:r>
    </w:p>
    <w:p w14:paraId="1BCB7103" w14:textId="77777777" w:rsidR="00231152" w:rsidRPr="00C23E05" w:rsidRDefault="00231152" w:rsidP="00231152">
      <w:pPr>
        <w:pStyle w:val="BTEMEASMCA"/>
        <w:numPr>
          <w:ilvl w:val="0"/>
          <w:numId w:val="1"/>
        </w:numPr>
        <w:tabs>
          <w:tab w:val="clear" w:pos="360"/>
        </w:tabs>
        <w:ind w:left="567" w:hanging="570"/>
      </w:pPr>
      <w:r w:rsidRPr="00C23E05">
        <w:t xml:space="preserve">kai yra kepenų funkcijos nepakankamumas. </w:t>
      </w:r>
    </w:p>
    <w:p w14:paraId="66BB42ED" w14:textId="77777777" w:rsidR="00231152" w:rsidRDefault="00231152" w:rsidP="00231152">
      <w:pPr>
        <w:pStyle w:val="BTEMEASMCA"/>
      </w:pPr>
    </w:p>
    <w:p w14:paraId="390358D6" w14:textId="77777777" w:rsidR="00231152" w:rsidRPr="00C23E05" w:rsidRDefault="00231152" w:rsidP="00231152">
      <w:pPr>
        <w:pStyle w:val="BTEMEASMCA"/>
      </w:pPr>
      <w:r w:rsidRPr="00C23E05">
        <w:t>Saugotis, kad vaisto nepatektų į akis. Jeigu purškalo atsitiktinai pateko į akis, jas reikia nuplauti vandeniu.</w:t>
      </w:r>
    </w:p>
    <w:p w14:paraId="5073E24F" w14:textId="77777777" w:rsidR="00231152" w:rsidRPr="00C23E05" w:rsidRDefault="00231152" w:rsidP="00231152">
      <w:pPr>
        <w:pStyle w:val="BTEMEASMCA"/>
      </w:pPr>
      <w:r w:rsidRPr="00C23E05">
        <w:t>Vaistas gali nudažyti burnos gleivinę, dantis, odą ir drabužius. Burnos gleivinės, dantų ir odos dėmes galima išvalyti alkoholiu. Dėmes iš rūbų galima išplauti ar išvalyti praskiestu amoniaku arba muilu ir vandeniu.</w:t>
      </w:r>
    </w:p>
    <w:p w14:paraId="08BDBF01" w14:textId="77777777" w:rsidR="00231152" w:rsidRPr="00C23E05" w:rsidRDefault="00231152" w:rsidP="00231152">
      <w:pPr>
        <w:pStyle w:val="BTEMEASMCA"/>
      </w:pPr>
    </w:p>
    <w:p w14:paraId="725535B8" w14:textId="77777777" w:rsidR="00231152" w:rsidRPr="00C23E05" w:rsidRDefault="00231152" w:rsidP="00231152">
      <w:pPr>
        <w:pStyle w:val="BTEMEASMCA"/>
        <w:rPr>
          <w:b/>
        </w:rPr>
      </w:pPr>
      <w:r w:rsidRPr="00C23E05">
        <w:rPr>
          <w:b/>
        </w:rPr>
        <w:t xml:space="preserve">Kiti vaistai ir </w:t>
      </w:r>
      <w:proofErr w:type="spellStart"/>
      <w:r w:rsidRPr="00C23E05">
        <w:rPr>
          <w:b/>
        </w:rPr>
        <w:t>Jox</w:t>
      </w:r>
      <w:proofErr w:type="spellEnd"/>
    </w:p>
    <w:p w14:paraId="49FAC210" w14:textId="77777777" w:rsidR="00231152" w:rsidRPr="00C23E05" w:rsidRDefault="00231152" w:rsidP="00231152">
      <w:pPr>
        <w:pStyle w:val="BTEMEASMCA"/>
      </w:pPr>
      <w:r w:rsidRPr="00C23E05">
        <w:t>Jeigu vartojate ar neseniai vartojote kitų vaistų</w:t>
      </w:r>
      <w:r>
        <w:t xml:space="preserve"> arba dėl to nesate tikri, apie tai </w:t>
      </w:r>
      <w:r w:rsidRPr="00C23E05">
        <w:t xml:space="preserve"> pasakykite gydytojui arba vaistininkui.</w:t>
      </w:r>
    </w:p>
    <w:p w14:paraId="33F3C125" w14:textId="77777777" w:rsidR="00231152" w:rsidRDefault="00231152" w:rsidP="00231152">
      <w:pPr>
        <w:pStyle w:val="BTEMEASMCA"/>
      </w:pPr>
    </w:p>
    <w:p w14:paraId="29458069" w14:textId="77777777" w:rsidR="00231152" w:rsidRPr="00C23E05" w:rsidRDefault="00231152" w:rsidP="00231152">
      <w:pPr>
        <w:pStyle w:val="BTEMEASMCA"/>
      </w:pPr>
      <w:proofErr w:type="spellStart"/>
      <w:r w:rsidRPr="00C23E05">
        <w:t>Jox</w:t>
      </w:r>
      <w:proofErr w:type="spellEnd"/>
      <w:r w:rsidRPr="00C23E05">
        <w:t xml:space="preserve"> gali sąveikauti su kitais kartu vartojamais vaistais, daugiausia vartojamais burnoje ir ryklėje. </w:t>
      </w:r>
      <w:proofErr w:type="spellStart"/>
      <w:r w:rsidRPr="00C23E05">
        <w:t>Jox</w:t>
      </w:r>
      <w:proofErr w:type="spellEnd"/>
      <w:r w:rsidRPr="00C23E05">
        <w:t xml:space="preserve"> vartoti kartu su burnos ir ryklės dezinfekuojamaisiais vaistais, ypač vandenilio peroksidu, draudžiama. Gydantis ličio </w:t>
      </w:r>
      <w:r>
        <w:t>vaistais</w:t>
      </w:r>
      <w:r w:rsidRPr="00C23E05">
        <w:t xml:space="preserve">, </w:t>
      </w:r>
      <w:proofErr w:type="spellStart"/>
      <w:r w:rsidRPr="00C23E05">
        <w:t>Jox</w:t>
      </w:r>
      <w:proofErr w:type="spellEnd"/>
      <w:r w:rsidRPr="00C23E05">
        <w:t xml:space="preserve"> vartoti negalima. </w:t>
      </w:r>
      <w:proofErr w:type="spellStart"/>
      <w:r w:rsidRPr="00C23E05">
        <w:t>Jo</w:t>
      </w:r>
      <w:r>
        <w:t>x</w:t>
      </w:r>
      <w:proofErr w:type="spellEnd"/>
      <w:r w:rsidRPr="00C23E05">
        <w:t xml:space="preserve"> nerekomenduojama vartoti kartu su vaist</w:t>
      </w:r>
      <w:r>
        <w:t>ais</w:t>
      </w:r>
      <w:r w:rsidRPr="00C23E05">
        <w:t xml:space="preserve">, kurių sudėtyje yra </w:t>
      </w:r>
      <w:proofErr w:type="spellStart"/>
      <w:r w:rsidRPr="00C23E05">
        <w:t>chlorheksidino</w:t>
      </w:r>
      <w:proofErr w:type="spellEnd"/>
      <w:r w:rsidRPr="00C23E05">
        <w:t xml:space="preserve">, sidabro </w:t>
      </w:r>
      <w:proofErr w:type="spellStart"/>
      <w:r w:rsidRPr="00C23E05">
        <w:t>sulfadiazino</w:t>
      </w:r>
      <w:proofErr w:type="spellEnd"/>
      <w:r w:rsidRPr="00C23E05">
        <w:t>, šarmų ir gyvsidabrio, nes gali sumažėti veiksmingumas.</w:t>
      </w:r>
    </w:p>
    <w:p w14:paraId="6A5BF90F" w14:textId="77777777" w:rsidR="00231152" w:rsidRPr="00C23E05" w:rsidRDefault="00231152" w:rsidP="00231152">
      <w:pPr>
        <w:pStyle w:val="BTEMEASMCA"/>
      </w:pPr>
    </w:p>
    <w:p w14:paraId="656EA823" w14:textId="77777777" w:rsidR="00231152" w:rsidRPr="00C23E05" w:rsidRDefault="00231152" w:rsidP="00231152">
      <w:pPr>
        <w:pStyle w:val="PI-3EMEASMCA"/>
        <w:spacing w:line="240" w:lineRule="auto"/>
      </w:pPr>
      <w:r w:rsidRPr="00C23E05">
        <w:t>Nėštumas ir žindymo laikotarpis</w:t>
      </w:r>
    </w:p>
    <w:p w14:paraId="613531EF" w14:textId="77777777" w:rsidR="00231152" w:rsidRPr="00C23E05" w:rsidRDefault="00231152" w:rsidP="00231152">
      <w:pPr>
        <w:pStyle w:val="BTEMEASMCA"/>
      </w:pPr>
      <w:r w:rsidRPr="00C23E05">
        <w:t>Prieš vartojant bet kokį vaistą, būtina pasitarti su gydytoju arba vaistininku.</w:t>
      </w:r>
    </w:p>
    <w:p w14:paraId="50C99B41" w14:textId="77777777" w:rsidR="00231152" w:rsidRPr="00C23E05" w:rsidRDefault="00231152" w:rsidP="00231152">
      <w:pPr>
        <w:pStyle w:val="BTEMEASMCA"/>
      </w:pPr>
      <w:r w:rsidRPr="00C23E05">
        <w:t xml:space="preserve">Nėščiosioms ir žindyvėms vartoti šio vaisto </w:t>
      </w:r>
      <w:r>
        <w:t>negalima</w:t>
      </w:r>
      <w:r w:rsidRPr="00C23E05">
        <w:t>.</w:t>
      </w:r>
    </w:p>
    <w:p w14:paraId="6155E900" w14:textId="77777777" w:rsidR="00231152" w:rsidRPr="00C23E05" w:rsidRDefault="00231152" w:rsidP="00231152">
      <w:pPr>
        <w:spacing w:after="0" w:line="240" w:lineRule="auto"/>
        <w:ind w:left="567" w:hanging="567"/>
        <w:rPr>
          <w:rFonts w:ascii="Times New Roman" w:hAnsi="Times New Roman"/>
        </w:rPr>
      </w:pPr>
    </w:p>
    <w:p w14:paraId="37D87D6B" w14:textId="77777777" w:rsidR="00231152" w:rsidRPr="00C23E05" w:rsidRDefault="00231152" w:rsidP="00231152">
      <w:pPr>
        <w:pStyle w:val="PI-3EMEASMCA"/>
        <w:spacing w:line="240" w:lineRule="auto"/>
      </w:pPr>
      <w:r w:rsidRPr="00C23E05">
        <w:t>Vairavimas ir mechanizmų valdymas</w:t>
      </w:r>
    </w:p>
    <w:p w14:paraId="0750323D" w14:textId="77777777" w:rsidR="00231152" w:rsidRPr="00C23E05" w:rsidRDefault="00231152" w:rsidP="00231152">
      <w:pPr>
        <w:pStyle w:val="BTEMEASMCA"/>
      </w:pPr>
      <w:proofErr w:type="spellStart"/>
      <w:r w:rsidRPr="00C23E05">
        <w:t>Jox</w:t>
      </w:r>
      <w:proofErr w:type="spellEnd"/>
      <w:r w:rsidRPr="00C23E05">
        <w:t xml:space="preserve"> purškalas gebėjimo vairuoti ir valdyti mechanizmus neveikia.</w:t>
      </w:r>
    </w:p>
    <w:p w14:paraId="2AA402C3" w14:textId="77777777" w:rsidR="00231152" w:rsidRPr="00C23E05" w:rsidRDefault="00231152" w:rsidP="00231152">
      <w:pPr>
        <w:pStyle w:val="BTEMEASMCA"/>
      </w:pPr>
    </w:p>
    <w:p w14:paraId="710AB9F2" w14:textId="77777777" w:rsidR="00231152" w:rsidRPr="00CE1CB7" w:rsidRDefault="00231152" w:rsidP="00231152">
      <w:pPr>
        <w:pStyle w:val="BTEMEASMCA"/>
        <w:rPr>
          <w:b/>
          <w:bCs/>
        </w:rPr>
      </w:pPr>
      <w:proofErr w:type="spellStart"/>
      <w:r w:rsidRPr="00CE1CB7">
        <w:rPr>
          <w:b/>
          <w:bCs/>
        </w:rPr>
        <w:t>Jox</w:t>
      </w:r>
      <w:proofErr w:type="spellEnd"/>
      <w:r w:rsidRPr="00CE1CB7">
        <w:rPr>
          <w:b/>
          <w:bCs/>
        </w:rPr>
        <w:t xml:space="preserve"> sudėtyje yra </w:t>
      </w:r>
      <w:proofErr w:type="spellStart"/>
      <w:r w:rsidRPr="00CE1CB7">
        <w:rPr>
          <w:b/>
          <w:bCs/>
        </w:rPr>
        <w:t>propilenglikolio</w:t>
      </w:r>
      <w:proofErr w:type="spellEnd"/>
      <w:r>
        <w:rPr>
          <w:b/>
          <w:bCs/>
        </w:rPr>
        <w:t xml:space="preserve"> (E1520)</w:t>
      </w:r>
      <w:r w:rsidRPr="00CE1CB7">
        <w:rPr>
          <w:b/>
          <w:bCs/>
        </w:rPr>
        <w:t xml:space="preserve"> </w:t>
      </w:r>
    </w:p>
    <w:p w14:paraId="438C6137" w14:textId="77777777" w:rsidR="00231152" w:rsidRDefault="00231152" w:rsidP="00231152">
      <w:pPr>
        <w:pStyle w:val="BTEMEASMCA"/>
      </w:pPr>
      <w:r>
        <w:t xml:space="preserve">Kiekviename šio vaisto ml yra 300 mg </w:t>
      </w:r>
      <w:proofErr w:type="spellStart"/>
      <w:r>
        <w:t>propilenglikolio</w:t>
      </w:r>
      <w:proofErr w:type="spellEnd"/>
      <w:r>
        <w:t>.</w:t>
      </w:r>
    </w:p>
    <w:p w14:paraId="7B7A4ED2" w14:textId="77777777" w:rsidR="00231152" w:rsidRDefault="00231152" w:rsidP="00231152">
      <w:pPr>
        <w:pStyle w:val="BTEMEASMCA"/>
        <w:rPr>
          <w:b/>
          <w:bCs/>
        </w:rPr>
      </w:pPr>
    </w:p>
    <w:p w14:paraId="1E2ED84F" w14:textId="77777777" w:rsidR="00231152" w:rsidRPr="00C310DF" w:rsidRDefault="00231152" w:rsidP="00231152">
      <w:pPr>
        <w:pStyle w:val="BTEMEASMCA"/>
        <w:rPr>
          <w:b/>
        </w:rPr>
      </w:pPr>
      <w:proofErr w:type="spellStart"/>
      <w:r w:rsidRPr="00D32239">
        <w:rPr>
          <w:b/>
          <w:bCs/>
        </w:rPr>
        <w:t>Jox</w:t>
      </w:r>
      <w:proofErr w:type="spellEnd"/>
      <w:r w:rsidRPr="00C310DF">
        <w:rPr>
          <w:b/>
        </w:rPr>
        <w:t xml:space="preserve"> sudėtyje yra etanolio (alkoholio)</w:t>
      </w:r>
    </w:p>
    <w:p w14:paraId="062D18A8" w14:textId="77777777" w:rsidR="00231152" w:rsidRDefault="00231152" w:rsidP="00231152">
      <w:pPr>
        <w:pStyle w:val="BTEMEASMCA"/>
      </w:pPr>
      <w:r>
        <w:t xml:space="preserve">Kiekviename šio vaisto ml yra </w:t>
      </w:r>
      <w:r w:rsidRPr="00F901BA">
        <w:t>200 mg alkoholio (etanolio), tai atitinka</w:t>
      </w:r>
      <w:r w:rsidRPr="00C23E05">
        <w:t xml:space="preserve"> 18,6 % </w:t>
      </w:r>
      <w:r>
        <w:t xml:space="preserve">v/v. </w:t>
      </w:r>
    </w:p>
    <w:p w14:paraId="0B17A33A" w14:textId="77777777" w:rsidR="00231152" w:rsidRPr="00C23E05" w:rsidRDefault="00231152" w:rsidP="00231152">
      <w:pPr>
        <w:pStyle w:val="BTEMEASMCA"/>
      </w:pPr>
    </w:p>
    <w:p w14:paraId="24DD9268" w14:textId="77777777" w:rsidR="00231152" w:rsidRDefault="00231152" w:rsidP="00231152">
      <w:pPr>
        <w:pStyle w:val="BTEMEASMCA"/>
      </w:pPr>
      <w:r>
        <w:t>Ant pažeistos odos plotų etanolis gali sukelti deginimo pojūtį.</w:t>
      </w:r>
    </w:p>
    <w:p w14:paraId="63466B4F" w14:textId="77777777" w:rsidR="00231152" w:rsidRPr="00C23E05" w:rsidRDefault="00231152" w:rsidP="00231152">
      <w:pPr>
        <w:pStyle w:val="BTEMEASMCA"/>
      </w:pPr>
    </w:p>
    <w:p w14:paraId="1F8F9323" w14:textId="77777777" w:rsidR="00231152" w:rsidRPr="00C23E05" w:rsidRDefault="00231152" w:rsidP="00231152">
      <w:pPr>
        <w:pStyle w:val="PI-1EMEASMCA"/>
      </w:pPr>
      <w:r w:rsidRPr="00C23E05">
        <w:t>3.</w:t>
      </w:r>
      <w:r w:rsidRPr="00C23E05">
        <w:tab/>
        <w:t xml:space="preserve">Kaip vartoti </w:t>
      </w:r>
      <w:proofErr w:type="spellStart"/>
      <w:r w:rsidRPr="00C23E05">
        <w:t>Jox</w:t>
      </w:r>
      <w:proofErr w:type="spellEnd"/>
    </w:p>
    <w:p w14:paraId="620C6C98" w14:textId="77777777" w:rsidR="00231152" w:rsidRPr="00C23E05" w:rsidRDefault="00231152" w:rsidP="00231152">
      <w:pPr>
        <w:pStyle w:val="BTEMEASMCA"/>
      </w:pPr>
    </w:p>
    <w:p w14:paraId="11AEFCFB" w14:textId="77777777" w:rsidR="00231152" w:rsidRPr="00C23E05" w:rsidRDefault="00231152" w:rsidP="00231152">
      <w:pPr>
        <w:pStyle w:val="BTEMEASMCA"/>
      </w:pPr>
      <w:r w:rsidRPr="00C23E05">
        <w:t xml:space="preserve">Visada vartokite šį vaistą tiksliai kaip  aprašyta šiame </w:t>
      </w:r>
      <w:r>
        <w:t xml:space="preserve">pakuotės </w:t>
      </w:r>
      <w:r w:rsidRPr="00C23E05">
        <w:t>lapelyje arba  kaip nurodė gydytojas arba vaistininkas. Jeigu abejojate, kreipkitės į gydytoją arba vaistininką.</w:t>
      </w:r>
    </w:p>
    <w:p w14:paraId="012BE308" w14:textId="77777777" w:rsidR="00231152" w:rsidRPr="00C23E05" w:rsidRDefault="00231152" w:rsidP="00231152">
      <w:pPr>
        <w:pStyle w:val="BTEMEASMCA"/>
      </w:pPr>
    </w:p>
    <w:p w14:paraId="0BB16614" w14:textId="77777777" w:rsidR="00231152" w:rsidRPr="00C23E05" w:rsidRDefault="00231152" w:rsidP="00231152">
      <w:pPr>
        <w:pStyle w:val="BTEMEASMCA"/>
        <w:rPr>
          <w:i/>
        </w:rPr>
      </w:pPr>
      <w:r w:rsidRPr="00C23E05">
        <w:rPr>
          <w:i/>
        </w:rPr>
        <w:t>Suaugusie</w:t>
      </w:r>
      <w:r>
        <w:rPr>
          <w:i/>
        </w:rPr>
        <w:t>ms</w:t>
      </w:r>
      <w:r w:rsidRPr="00C23E05">
        <w:rPr>
          <w:i/>
        </w:rPr>
        <w:t xml:space="preserve"> ir vyresni</w:t>
      </w:r>
      <w:r>
        <w:rPr>
          <w:i/>
        </w:rPr>
        <w:t>ems</w:t>
      </w:r>
      <w:r w:rsidRPr="00C23E05">
        <w:rPr>
          <w:i/>
        </w:rPr>
        <w:t xml:space="preserve"> kaip 8 metų vaika</w:t>
      </w:r>
      <w:r>
        <w:rPr>
          <w:i/>
        </w:rPr>
        <w:t>ms</w:t>
      </w:r>
    </w:p>
    <w:p w14:paraId="2FA5BB46" w14:textId="77777777" w:rsidR="00231152" w:rsidRPr="00C23E05" w:rsidRDefault="00231152" w:rsidP="00231152">
      <w:pPr>
        <w:pStyle w:val="BTEMEASMCA"/>
      </w:pPr>
      <w:r w:rsidRPr="00C23E05">
        <w:t>Dozę nustato gydytojas. Įprastinė dozė -</w:t>
      </w:r>
      <w:r>
        <w:t xml:space="preserve"> </w:t>
      </w:r>
      <w:r w:rsidRPr="00C23E05">
        <w:t>purkšti 2</w:t>
      </w:r>
      <w:r w:rsidRPr="00C23E05">
        <w:noBreakHyphen/>
        <w:t>4 kartus per parą, bet jei</w:t>
      </w:r>
      <w:r>
        <w:t>gu</w:t>
      </w:r>
      <w:r w:rsidRPr="00C23E05">
        <w:t xml:space="preserve"> būtina, kai yra gera organizmo reakcija į vaistą, galima vartoti ir dažniau (kas 4 valandas), purkšti ne daugiau kaip 3 kartus į dešinę ir kairę burnos ertmės puses, bet ne daugiau kaip 6 kartus per parą. Pertrauka tarp atskirų įpurškimų turi būti ne mažesnė kaip 4 valandos.</w:t>
      </w:r>
    </w:p>
    <w:p w14:paraId="040E3FA4" w14:textId="77777777" w:rsidR="00231152" w:rsidRPr="00C23E05" w:rsidRDefault="00231152" w:rsidP="00231152">
      <w:pPr>
        <w:pStyle w:val="BTEMEASMCA"/>
      </w:pPr>
    </w:p>
    <w:p w14:paraId="31AC322F" w14:textId="77777777" w:rsidR="00231152" w:rsidRPr="00C23E05" w:rsidRDefault="00231152" w:rsidP="00231152">
      <w:pPr>
        <w:pStyle w:val="BTEMEASMCA"/>
        <w:rPr>
          <w:b/>
        </w:rPr>
      </w:pPr>
      <w:r>
        <w:rPr>
          <w:b/>
        </w:rPr>
        <w:t>Vartojimo</w:t>
      </w:r>
      <w:r w:rsidRPr="00C23E05">
        <w:rPr>
          <w:b/>
        </w:rPr>
        <w:t xml:space="preserve"> instrukcija</w:t>
      </w:r>
    </w:p>
    <w:p w14:paraId="360E0EBA" w14:textId="77777777" w:rsidR="00231152" w:rsidRPr="00C23E05" w:rsidRDefault="00231152" w:rsidP="00231152">
      <w:pPr>
        <w:pStyle w:val="BTEMEASMCA"/>
      </w:pPr>
      <w:r>
        <w:t>Vaistas</w:t>
      </w:r>
      <w:r w:rsidRPr="00C23E05">
        <w:t xml:space="preserve"> yra dozuojamas iš buteli</w:t>
      </w:r>
      <w:r>
        <w:t>uk</w:t>
      </w:r>
      <w:r w:rsidRPr="00C23E05">
        <w:t>o mechaniniu purkštu</w:t>
      </w:r>
      <w:r>
        <w:t>k</w:t>
      </w:r>
      <w:r w:rsidRPr="00C23E05">
        <w:t xml:space="preserve">u ir </w:t>
      </w:r>
      <w:proofErr w:type="spellStart"/>
      <w:r w:rsidRPr="00C23E05">
        <w:t>aplikatoriumi</w:t>
      </w:r>
      <w:proofErr w:type="spellEnd"/>
      <w:r w:rsidRPr="00C23E05">
        <w:t xml:space="preserve"> (žr. pav. A1 arba A2).</w:t>
      </w:r>
    </w:p>
    <w:p w14:paraId="5457C901" w14:textId="77777777" w:rsidR="00231152" w:rsidRPr="00C23E05" w:rsidRDefault="00231152" w:rsidP="00231152">
      <w:pPr>
        <w:pStyle w:val="BTEMEASMCA"/>
      </w:pPr>
      <w:r>
        <w:rPr>
          <w:noProof/>
        </w:rPr>
        <w:lastRenderedPageBreak/>
        <w:drawing>
          <wp:anchor distT="0" distB="0" distL="114300" distR="114300" simplePos="0" relativeHeight="251659264" behindDoc="0" locked="0" layoutInCell="1" allowOverlap="0" wp14:anchorId="050010D6" wp14:editId="6E92A45A">
            <wp:simplePos x="0" y="0"/>
            <wp:positionH relativeFrom="column">
              <wp:posOffset>784225</wp:posOffset>
            </wp:positionH>
            <wp:positionV relativeFrom="paragraph">
              <wp:posOffset>63500</wp:posOffset>
            </wp:positionV>
            <wp:extent cx="2848610" cy="1398270"/>
            <wp:effectExtent l="0" t="0" r="0" b="0"/>
            <wp:wrapTopAndBottom/>
            <wp:docPr id="4" name="Paveikslėlis 3" descr="Description: Nav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Description: Navod"/>
                    <pic:cNvPicPr>
                      <a:picLocks noChangeAspect="1" noChangeArrowheads="1"/>
                    </pic:cNvPicPr>
                  </pic:nvPicPr>
                  <pic:blipFill>
                    <a:blip r:embed="rId5">
                      <a:extLst>
                        <a:ext uri="{28A0092B-C50C-407E-A947-70E740481C1C}">
                          <a14:useLocalDpi xmlns:a14="http://schemas.microsoft.com/office/drawing/2010/main" val="0"/>
                        </a:ext>
                      </a:extLst>
                    </a:blip>
                    <a:srcRect b="68484"/>
                    <a:stretch>
                      <a:fillRect/>
                    </a:stretch>
                  </pic:blipFill>
                  <pic:spPr bwMode="auto">
                    <a:xfrm>
                      <a:off x="0" y="0"/>
                      <a:ext cx="2848610" cy="13982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C6FBD6" w14:textId="77777777" w:rsidR="00231152" w:rsidRPr="00C23E05" w:rsidRDefault="00231152" w:rsidP="00231152">
      <w:pPr>
        <w:pStyle w:val="BTEMEASMCA"/>
      </w:pPr>
    </w:p>
    <w:p w14:paraId="5AB81DBA" w14:textId="77777777" w:rsidR="00231152" w:rsidRPr="00C23E05" w:rsidRDefault="00231152" w:rsidP="00231152">
      <w:pPr>
        <w:pStyle w:val="BTEMEASMCA"/>
        <w:numPr>
          <w:ilvl w:val="1"/>
          <w:numId w:val="1"/>
        </w:numPr>
      </w:pPr>
      <w:r w:rsidRPr="00C23E05">
        <w:t xml:space="preserve">Jeigu </w:t>
      </w:r>
      <w:proofErr w:type="spellStart"/>
      <w:r w:rsidRPr="00C23E05">
        <w:t>aplikatorius</w:t>
      </w:r>
      <w:proofErr w:type="spellEnd"/>
      <w:r w:rsidRPr="00C23E05">
        <w:t xml:space="preserve"> patalpintas plastikiniame maišelyje, žirklių ar kito įrankio pagalba, išimkite jį iš maišelio (žr. pav. B2).</w:t>
      </w:r>
    </w:p>
    <w:p w14:paraId="6459525E" w14:textId="77777777" w:rsidR="00231152" w:rsidRPr="00C23E05" w:rsidRDefault="00231152" w:rsidP="00231152">
      <w:pPr>
        <w:pStyle w:val="BTEMEASMCA"/>
      </w:pPr>
      <w:r>
        <w:rPr>
          <w:noProof/>
        </w:rPr>
        <w:drawing>
          <wp:anchor distT="0" distB="0" distL="114300" distR="114300" simplePos="0" relativeHeight="251660288" behindDoc="0" locked="0" layoutInCell="1" allowOverlap="0" wp14:anchorId="0AB7FCE5" wp14:editId="4F6D9BC2">
            <wp:simplePos x="0" y="0"/>
            <wp:positionH relativeFrom="column">
              <wp:posOffset>725805</wp:posOffset>
            </wp:positionH>
            <wp:positionV relativeFrom="paragraph">
              <wp:posOffset>112395</wp:posOffset>
            </wp:positionV>
            <wp:extent cx="3256280" cy="1355725"/>
            <wp:effectExtent l="0" t="0" r="0" b="0"/>
            <wp:wrapTopAndBottom/>
            <wp:docPr id="3" name="Paveikslėlis 2" descr="Description: Nav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Description: Navod"/>
                    <pic:cNvPicPr>
                      <a:picLocks noChangeAspect="1" noChangeArrowheads="1"/>
                    </pic:cNvPicPr>
                  </pic:nvPicPr>
                  <pic:blipFill>
                    <a:blip r:embed="rId5">
                      <a:extLst>
                        <a:ext uri="{28A0092B-C50C-407E-A947-70E740481C1C}">
                          <a14:useLocalDpi xmlns:a14="http://schemas.microsoft.com/office/drawing/2010/main" val="0"/>
                        </a:ext>
                      </a:extLst>
                    </a:blip>
                    <a:srcRect t="34187" b="39087"/>
                    <a:stretch>
                      <a:fillRect/>
                    </a:stretch>
                  </pic:blipFill>
                  <pic:spPr bwMode="auto">
                    <a:xfrm>
                      <a:off x="0" y="0"/>
                      <a:ext cx="3256280" cy="1355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B9CC45" w14:textId="77777777" w:rsidR="00231152" w:rsidRPr="00C23E05" w:rsidRDefault="00231152" w:rsidP="00231152">
      <w:pPr>
        <w:pStyle w:val="BTEMEASMCA"/>
        <w:ind w:left="1080"/>
      </w:pPr>
    </w:p>
    <w:p w14:paraId="5FDE5106" w14:textId="77777777" w:rsidR="00231152" w:rsidRPr="00C23E05" w:rsidRDefault="00231152" w:rsidP="00231152">
      <w:pPr>
        <w:pStyle w:val="BTEMEASMCA"/>
        <w:numPr>
          <w:ilvl w:val="1"/>
          <w:numId w:val="1"/>
        </w:numPr>
      </w:pPr>
      <w:r w:rsidRPr="00C23E05">
        <w:t xml:space="preserve">Patikrinkite </w:t>
      </w:r>
      <w:proofErr w:type="spellStart"/>
      <w:r w:rsidRPr="00C23E05">
        <w:t>aplikatoriaus</w:t>
      </w:r>
      <w:proofErr w:type="spellEnd"/>
      <w:r w:rsidRPr="00C23E05">
        <w:t xml:space="preserve"> vientisumą. Jeigu jis sugadintas – </w:t>
      </w:r>
      <w:proofErr w:type="spellStart"/>
      <w:r w:rsidRPr="00C23E05">
        <w:t>aplikatoriaus</w:t>
      </w:r>
      <w:proofErr w:type="spellEnd"/>
      <w:r w:rsidRPr="00C23E05">
        <w:t xml:space="preserve"> naudoti negalima.</w:t>
      </w:r>
    </w:p>
    <w:p w14:paraId="6ED74AD6" w14:textId="77777777" w:rsidR="00231152" w:rsidRPr="00C23E05" w:rsidRDefault="00231152" w:rsidP="00231152">
      <w:pPr>
        <w:pStyle w:val="BTEMEASMCA"/>
        <w:numPr>
          <w:ilvl w:val="1"/>
          <w:numId w:val="1"/>
        </w:numPr>
      </w:pPr>
      <w:r w:rsidRPr="00C23E05">
        <w:t>Nuimkite apsauginį dangtelį nuo mechaninio purkštu</w:t>
      </w:r>
      <w:r>
        <w:t>k</w:t>
      </w:r>
      <w:r w:rsidRPr="00C23E05">
        <w:t>o.</w:t>
      </w:r>
    </w:p>
    <w:p w14:paraId="545EF704" w14:textId="77777777" w:rsidR="00231152" w:rsidRPr="00C23E05" w:rsidRDefault="00231152" w:rsidP="00231152">
      <w:pPr>
        <w:pStyle w:val="BTEMEASMCA"/>
        <w:numPr>
          <w:ilvl w:val="1"/>
          <w:numId w:val="1"/>
        </w:numPr>
      </w:pPr>
      <w:r w:rsidRPr="00C23E05">
        <w:t xml:space="preserve">Uždėkite </w:t>
      </w:r>
      <w:proofErr w:type="spellStart"/>
      <w:r w:rsidRPr="00C23E05">
        <w:t>aplikatorių</w:t>
      </w:r>
      <w:proofErr w:type="spellEnd"/>
      <w:r w:rsidRPr="00C23E05">
        <w:t xml:space="preserve"> ant buteli</w:t>
      </w:r>
      <w:r>
        <w:t>uk</w:t>
      </w:r>
      <w:r w:rsidRPr="00C23E05">
        <w:t>o (žr. pav. B3).</w:t>
      </w:r>
    </w:p>
    <w:p w14:paraId="5A373748" w14:textId="77777777" w:rsidR="00231152" w:rsidRPr="00C23E05" w:rsidRDefault="00231152" w:rsidP="00231152">
      <w:pPr>
        <w:pStyle w:val="BTEMEASMCA"/>
      </w:pPr>
      <w:r>
        <w:rPr>
          <w:noProof/>
        </w:rPr>
        <w:drawing>
          <wp:anchor distT="0" distB="0" distL="114300" distR="114300" simplePos="0" relativeHeight="251661312" behindDoc="0" locked="0" layoutInCell="1" allowOverlap="1" wp14:anchorId="3AFD2EA7" wp14:editId="1DF399F5">
            <wp:simplePos x="0" y="0"/>
            <wp:positionH relativeFrom="column">
              <wp:posOffset>725805</wp:posOffset>
            </wp:positionH>
            <wp:positionV relativeFrom="paragraph">
              <wp:posOffset>81280</wp:posOffset>
            </wp:positionV>
            <wp:extent cx="2595880" cy="1464945"/>
            <wp:effectExtent l="0" t="0" r="0" b="0"/>
            <wp:wrapTopAndBottom/>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5880" cy="1464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350B567" w14:textId="77777777" w:rsidR="00231152" w:rsidRPr="00C23E05" w:rsidRDefault="00231152" w:rsidP="00231152">
      <w:pPr>
        <w:pStyle w:val="BTEMEASMCA"/>
      </w:pPr>
    </w:p>
    <w:p w14:paraId="1A4BE7A5" w14:textId="77777777" w:rsidR="00231152" w:rsidRPr="00C23E05" w:rsidRDefault="00231152" w:rsidP="00231152">
      <w:pPr>
        <w:pStyle w:val="BTEMEASMCA"/>
      </w:pPr>
    </w:p>
    <w:p w14:paraId="6D025365" w14:textId="77777777" w:rsidR="00231152" w:rsidRPr="00C23E05" w:rsidRDefault="00231152" w:rsidP="00231152">
      <w:pPr>
        <w:pStyle w:val="BTEMEASMCA"/>
        <w:numPr>
          <w:ilvl w:val="1"/>
          <w:numId w:val="1"/>
        </w:numPr>
      </w:pPr>
      <w:r w:rsidRPr="00C23E05">
        <w:t xml:space="preserve">2-3 kartus paspauskite </w:t>
      </w:r>
      <w:proofErr w:type="spellStart"/>
      <w:r w:rsidRPr="00C23E05">
        <w:t>aplikatorių</w:t>
      </w:r>
      <w:proofErr w:type="spellEnd"/>
      <w:r w:rsidRPr="00C23E05">
        <w:t>, kad tirpalo patektų į purkštu</w:t>
      </w:r>
      <w:r>
        <w:t>k</w:t>
      </w:r>
      <w:r w:rsidRPr="00C23E05">
        <w:t>ą ir paspaudus jis pradėtų purkšti.</w:t>
      </w:r>
    </w:p>
    <w:p w14:paraId="0D463B36" w14:textId="77777777" w:rsidR="00231152" w:rsidRPr="00C23E05" w:rsidRDefault="00231152" w:rsidP="00231152">
      <w:pPr>
        <w:pStyle w:val="BTEMEASMCA"/>
        <w:numPr>
          <w:ilvl w:val="1"/>
          <w:numId w:val="1"/>
        </w:numPr>
      </w:pPr>
      <w:r w:rsidRPr="00C23E05">
        <w:t xml:space="preserve">Įkiškite </w:t>
      </w:r>
      <w:proofErr w:type="spellStart"/>
      <w:r w:rsidRPr="00C23E05">
        <w:t>aplikatorių</w:t>
      </w:r>
      <w:proofErr w:type="spellEnd"/>
      <w:r w:rsidRPr="00C23E05">
        <w:t xml:space="preserve"> į burną, užčiaupkite lūpas, sulaikykite kvėpavimą ir paspauskite purkštu</w:t>
      </w:r>
      <w:r>
        <w:t>k</w:t>
      </w:r>
      <w:r w:rsidRPr="00C23E05">
        <w:t>ą 2 kartus: vieną kartą purkškite į kairę, o kitą – į dešinę pusę. Kol naudojate purkštu</w:t>
      </w:r>
      <w:r>
        <w:t>k</w:t>
      </w:r>
      <w:r w:rsidRPr="00C23E05">
        <w:t>ą, laikykite jį vertikaliai.</w:t>
      </w:r>
    </w:p>
    <w:p w14:paraId="5A5A4149" w14:textId="77777777" w:rsidR="00231152" w:rsidRPr="00C23E05" w:rsidRDefault="00231152" w:rsidP="00231152">
      <w:pPr>
        <w:pStyle w:val="BTEMEASMCA"/>
      </w:pPr>
      <w:r w:rsidRPr="00C23E05">
        <w:t xml:space="preserve">Įpurkšto tirpalo negalima įkvėpti ar nuryti! Prieš vartojimą burnos </w:t>
      </w:r>
      <w:proofErr w:type="spellStart"/>
      <w:r w:rsidRPr="00C23E05">
        <w:t>aplikatorių</w:t>
      </w:r>
      <w:proofErr w:type="spellEnd"/>
      <w:r w:rsidRPr="00C23E05">
        <w:t xml:space="preserve"> nuplaukite karštu vandeniu ir visada patikrinkite </w:t>
      </w:r>
      <w:proofErr w:type="spellStart"/>
      <w:r w:rsidRPr="00C23E05">
        <w:t>aplikatoriaus</w:t>
      </w:r>
      <w:proofErr w:type="spellEnd"/>
      <w:r w:rsidRPr="00C23E05">
        <w:t xml:space="preserve"> vientisumą. Sugadintas </w:t>
      </w:r>
      <w:proofErr w:type="spellStart"/>
      <w:r w:rsidRPr="00C23E05">
        <w:t>aplikatorius</w:t>
      </w:r>
      <w:proofErr w:type="spellEnd"/>
      <w:r w:rsidRPr="00C23E05">
        <w:t xml:space="preserve"> negali būti naudojamas.</w:t>
      </w:r>
    </w:p>
    <w:p w14:paraId="53876FF9" w14:textId="77777777" w:rsidR="00231152" w:rsidRPr="00C23E05" w:rsidRDefault="00231152" w:rsidP="00231152">
      <w:pPr>
        <w:pStyle w:val="BTEMEASMCA"/>
      </w:pPr>
    </w:p>
    <w:p w14:paraId="0DDF973A" w14:textId="77777777" w:rsidR="00231152" w:rsidRPr="00C23E05" w:rsidRDefault="00231152" w:rsidP="00231152">
      <w:pPr>
        <w:pStyle w:val="BTEMEASMCA"/>
      </w:pPr>
      <w:r w:rsidRPr="00C23E05">
        <w:t xml:space="preserve">Jeigu manote, kad </w:t>
      </w:r>
      <w:proofErr w:type="spellStart"/>
      <w:r w:rsidRPr="00C23E05">
        <w:t>Jox</w:t>
      </w:r>
      <w:proofErr w:type="spellEnd"/>
      <w:r w:rsidRPr="00C23E05">
        <w:t xml:space="preserve">  veikia per stipriai arba per silpnai, kreipkitės į gydytoją arba vaistininką.</w:t>
      </w:r>
    </w:p>
    <w:p w14:paraId="55B93189" w14:textId="77777777" w:rsidR="00231152" w:rsidRPr="00C23E05" w:rsidRDefault="00231152" w:rsidP="00231152">
      <w:pPr>
        <w:pStyle w:val="BTEMEASMCA"/>
      </w:pPr>
    </w:p>
    <w:p w14:paraId="3CAE27B7" w14:textId="77777777" w:rsidR="00231152" w:rsidRPr="00C23E05" w:rsidRDefault="00231152" w:rsidP="00231152">
      <w:pPr>
        <w:pStyle w:val="PI-3EMEASMCA"/>
        <w:spacing w:line="240" w:lineRule="auto"/>
      </w:pPr>
      <w:r w:rsidRPr="00C23E05">
        <w:t xml:space="preserve">Ką daryti pavartojus per didelę </w:t>
      </w:r>
      <w:proofErr w:type="spellStart"/>
      <w:r w:rsidRPr="00C23E05">
        <w:t>Jox</w:t>
      </w:r>
      <w:proofErr w:type="spellEnd"/>
      <w:r w:rsidRPr="00C23E05">
        <w:t xml:space="preserve"> dozę?</w:t>
      </w:r>
    </w:p>
    <w:p w14:paraId="0036743F" w14:textId="77777777" w:rsidR="00231152" w:rsidRPr="00C23E05" w:rsidRDefault="00231152" w:rsidP="00231152">
      <w:pPr>
        <w:pStyle w:val="BTEMEASMCA"/>
      </w:pPr>
      <w:r w:rsidRPr="00C23E05">
        <w:t xml:space="preserve">Jeigu pavartojote per </w:t>
      </w:r>
      <w:r w:rsidRPr="000A575D">
        <w:t xml:space="preserve">daug </w:t>
      </w:r>
      <w:proofErr w:type="spellStart"/>
      <w:r w:rsidRPr="000A575D">
        <w:t>Jox</w:t>
      </w:r>
      <w:proofErr w:type="spellEnd"/>
      <w:r w:rsidRPr="000A575D">
        <w:t>, nedelsdami kreipkitės į gydytoją arba vaistininką.</w:t>
      </w:r>
    </w:p>
    <w:p w14:paraId="4416436B" w14:textId="77777777" w:rsidR="00231152" w:rsidRPr="00C23E05" w:rsidRDefault="00231152" w:rsidP="00231152">
      <w:pPr>
        <w:spacing w:after="0" w:line="240" w:lineRule="auto"/>
        <w:rPr>
          <w:rFonts w:ascii="Times New Roman" w:hAnsi="Times New Roman"/>
          <w:b/>
        </w:rPr>
      </w:pPr>
    </w:p>
    <w:p w14:paraId="252531FF" w14:textId="77777777" w:rsidR="00231152" w:rsidRPr="00C23E05" w:rsidRDefault="00231152" w:rsidP="00231152">
      <w:pPr>
        <w:pStyle w:val="PI-3EMEASMCA"/>
        <w:spacing w:line="240" w:lineRule="auto"/>
      </w:pPr>
      <w:r w:rsidRPr="00C23E05">
        <w:t xml:space="preserve">Pamiršus pavartoti </w:t>
      </w:r>
      <w:proofErr w:type="spellStart"/>
      <w:r w:rsidRPr="00C23E05">
        <w:t>Jox</w:t>
      </w:r>
      <w:proofErr w:type="spellEnd"/>
    </w:p>
    <w:p w14:paraId="1EFBC880" w14:textId="77777777" w:rsidR="00231152" w:rsidRPr="00C23E05" w:rsidRDefault="00231152" w:rsidP="00231152">
      <w:pPr>
        <w:pStyle w:val="BTEMEASMCA"/>
      </w:pPr>
      <w:r w:rsidRPr="00C23E05">
        <w:t>Negalima vartoti dvigubos dozės norint kompensuoti praleistą dozę.</w:t>
      </w:r>
    </w:p>
    <w:p w14:paraId="3C478734" w14:textId="77777777" w:rsidR="00231152" w:rsidRPr="00C23E05" w:rsidRDefault="00231152" w:rsidP="00231152">
      <w:pPr>
        <w:pStyle w:val="BTEMEASMCA"/>
      </w:pPr>
    </w:p>
    <w:p w14:paraId="1F1AB248" w14:textId="77777777" w:rsidR="00231152" w:rsidRPr="00C23E05" w:rsidRDefault="00231152" w:rsidP="00231152">
      <w:pPr>
        <w:pStyle w:val="PI-3EMEASMCA"/>
        <w:spacing w:line="240" w:lineRule="auto"/>
      </w:pPr>
      <w:r w:rsidRPr="00C23E05">
        <w:t xml:space="preserve">Nustojus vartoti </w:t>
      </w:r>
      <w:proofErr w:type="spellStart"/>
      <w:r w:rsidRPr="00C23E05">
        <w:t>Jox</w:t>
      </w:r>
      <w:proofErr w:type="spellEnd"/>
    </w:p>
    <w:p w14:paraId="5E362635" w14:textId="77777777" w:rsidR="00231152" w:rsidRPr="00C23E05" w:rsidRDefault="00231152" w:rsidP="00231152">
      <w:pPr>
        <w:pStyle w:val="BTEMEASMCA"/>
      </w:pPr>
      <w:r w:rsidRPr="00C23E05">
        <w:t>Jeigu kiltų daugiau klausimų dėl šio vaisto vartojimo, kreipkitės į gydytoją arba vaistininką.</w:t>
      </w:r>
    </w:p>
    <w:p w14:paraId="5E64A5FB" w14:textId="77777777" w:rsidR="00231152" w:rsidRPr="00C23E05" w:rsidRDefault="00231152" w:rsidP="00231152">
      <w:pPr>
        <w:pStyle w:val="BTEMEASMCA"/>
      </w:pPr>
    </w:p>
    <w:p w14:paraId="56406925" w14:textId="77777777" w:rsidR="00231152" w:rsidRPr="00C23E05" w:rsidRDefault="00231152" w:rsidP="00231152">
      <w:pPr>
        <w:pStyle w:val="BTEMEASMCA"/>
      </w:pPr>
    </w:p>
    <w:p w14:paraId="000E9DEA" w14:textId="77777777" w:rsidR="00231152" w:rsidRPr="00C23E05" w:rsidRDefault="00231152" w:rsidP="00231152">
      <w:pPr>
        <w:pStyle w:val="PI-1EMEASMCA"/>
      </w:pPr>
      <w:r w:rsidRPr="00C23E05">
        <w:t>4.</w:t>
      </w:r>
      <w:r w:rsidRPr="00C23E05">
        <w:tab/>
        <w:t>Galimas šalutinis poveikis</w:t>
      </w:r>
    </w:p>
    <w:p w14:paraId="4BCCDBF2" w14:textId="77777777" w:rsidR="00231152" w:rsidRPr="00C23E05" w:rsidRDefault="00231152" w:rsidP="00231152">
      <w:pPr>
        <w:pStyle w:val="BTEMEASMCA"/>
      </w:pPr>
    </w:p>
    <w:p w14:paraId="0D1EA6C3" w14:textId="77777777" w:rsidR="00231152" w:rsidRPr="00C23E05" w:rsidRDefault="00231152" w:rsidP="00231152">
      <w:pPr>
        <w:pStyle w:val="BTEMEASMCA"/>
        <w:rPr>
          <w:noProof/>
        </w:rPr>
      </w:pPr>
      <w:r w:rsidRPr="00C23E05">
        <w:rPr>
          <w:noProof/>
        </w:rPr>
        <w:t>Šis vaistas, kaip ir visi kiti, gali sukelti šalutinį poveikį, nors jis pasireiškia ne visiems žmonėms.</w:t>
      </w:r>
    </w:p>
    <w:p w14:paraId="6BF051C4" w14:textId="77777777" w:rsidR="00231152" w:rsidRPr="00C23E05" w:rsidRDefault="00231152" w:rsidP="00231152">
      <w:pPr>
        <w:pStyle w:val="BTEMEASMCA"/>
      </w:pPr>
      <w:r w:rsidRPr="00C23E05">
        <w:t xml:space="preserve">Pavartojus vaisto, nedažnai </w:t>
      </w:r>
      <w:r>
        <w:t xml:space="preserve"> (daugiau kaip 1 iš 1000</w:t>
      </w:r>
      <w:r w:rsidRPr="000A575D">
        <w:t>, bet mažiau kaip 1 iš 100 vartojusiųjų</w:t>
      </w:r>
      <w:r>
        <w:t xml:space="preserve">) </w:t>
      </w:r>
      <w:r w:rsidRPr="00C23E05">
        <w:t>gali pasireikšti gleivinės dirginimas, sukeliantis karščio pojūtį ar niežulį, pūslių atsiradimą, burnos džiūvimą. Tokios reakcijos paprastai būna trumpalaikės. Jeigu nuolat jaučiamas dirginimas arba burnos džiūvimas, kiek galima greičiau kreipkitės į gydytoją.</w:t>
      </w:r>
    </w:p>
    <w:p w14:paraId="7D7DBE9D" w14:textId="77777777" w:rsidR="00231152" w:rsidRPr="00C23E05" w:rsidRDefault="00231152" w:rsidP="00231152">
      <w:pPr>
        <w:pStyle w:val="BTEMEASMCA"/>
      </w:pPr>
      <w:proofErr w:type="spellStart"/>
      <w:r w:rsidRPr="00C23E05">
        <w:t>Jox</w:t>
      </w:r>
      <w:proofErr w:type="spellEnd"/>
      <w:r w:rsidRPr="00C23E05">
        <w:t>, kaip ir kiti vaistai, kai kuriems žmonėms gali sukelti alergiją (padidėjusio jautrumo reakciją). Jeigu esate alergiški, reakcija gali pasireikšti iš karto pavartojus vaisto. Retai</w:t>
      </w:r>
      <w:r>
        <w:t xml:space="preserve"> (daugiau kaip 1 iš 10000, </w:t>
      </w:r>
      <w:r w:rsidRPr="000A575D">
        <w:t>bet mažiau kaip 1 iš 1000 vartojusiųjų</w:t>
      </w:r>
      <w:r>
        <w:t xml:space="preserve">) </w:t>
      </w:r>
      <w:r w:rsidRPr="00C23E05">
        <w:t xml:space="preserve"> alergija pasireiškė išbėrimu, mažomis raudonomis dėmelėmis (dilgėlinė), labai retai </w:t>
      </w:r>
      <w:r>
        <w:t>( mažiau kaip</w:t>
      </w:r>
      <w:r w:rsidRPr="00C23E05">
        <w:t> 1</w:t>
      </w:r>
      <w:r>
        <w:t xml:space="preserve"> iš </w:t>
      </w:r>
      <w:r w:rsidRPr="00C23E05">
        <w:t>10000</w:t>
      </w:r>
      <w:r>
        <w:t xml:space="preserve"> vartojusiųjų</w:t>
      </w:r>
      <w:r w:rsidRPr="00C23E05">
        <w:t>)</w:t>
      </w:r>
      <w:r>
        <w:t xml:space="preserve"> </w:t>
      </w:r>
      <w:r w:rsidRPr="00C23E05">
        <w:t>-</w:t>
      </w:r>
      <w:r>
        <w:t xml:space="preserve"> alerginiu</w:t>
      </w:r>
      <w:r w:rsidRPr="00C23E05">
        <w:t xml:space="preserve"> ryklės patinimu ir kvėpavimo pasunkėjimu bei anafilaksiniu šoku. </w:t>
      </w:r>
    </w:p>
    <w:p w14:paraId="5C069B53" w14:textId="77777777" w:rsidR="00231152" w:rsidRPr="00C23E05" w:rsidRDefault="00231152" w:rsidP="00231152">
      <w:pPr>
        <w:pStyle w:val="BTEMEASMCA"/>
      </w:pPr>
      <w:r w:rsidRPr="00C23E05">
        <w:t xml:space="preserve">Jeigu atsiranda anksčiau minėtų sutrikimų, nutraukite </w:t>
      </w:r>
      <w:proofErr w:type="spellStart"/>
      <w:r w:rsidRPr="00C23E05">
        <w:t>Jox</w:t>
      </w:r>
      <w:proofErr w:type="spellEnd"/>
      <w:r w:rsidRPr="00C23E05">
        <w:t xml:space="preserve"> vartojimą ir nedelsdami kreipkitės į gydytoją arba artimiausios ligoninės priėmimo skyrių.</w:t>
      </w:r>
    </w:p>
    <w:p w14:paraId="04819699" w14:textId="77777777" w:rsidR="00231152" w:rsidRPr="00C23E05" w:rsidRDefault="00231152" w:rsidP="00231152">
      <w:pPr>
        <w:pStyle w:val="BTEMEASMCA"/>
      </w:pPr>
      <w:r w:rsidRPr="00C23E05">
        <w:t xml:space="preserve">Ilgą laiką vartojant </w:t>
      </w:r>
      <w:proofErr w:type="spellStart"/>
      <w:r w:rsidRPr="00C23E05">
        <w:t>Jox</w:t>
      </w:r>
      <w:proofErr w:type="spellEnd"/>
      <w:r w:rsidRPr="00C23E05">
        <w:t>, gali padidėti jodo absorbcija ir pasireikšti sisteminis poveikis, pavyzdžiui, šarmų ir rūgščių pusiausvyros sutrikimas, pasireiškiantis terpės parūgštėjimu organizme (</w:t>
      </w:r>
      <w:proofErr w:type="spellStart"/>
      <w:r w:rsidRPr="00C23E05">
        <w:t>metaboline</w:t>
      </w:r>
      <w:proofErr w:type="spellEnd"/>
      <w:r w:rsidRPr="00C23E05">
        <w:t xml:space="preserve"> </w:t>
      </w:r>
      <w:proofErr w:type="spellStart"/>
      <w:r w:rsidRPr="00C23E05">
        <w:t>acidoze</w:t>
      </w:r>
      <w:proofErr w:type="spellEnd"/>
      <w:r w:rsidRPr="00C23E05">
        <w:t>), žymus natrio koncentracijos kraujyje padidėjimas, inkstų funkcijos sutrikimas. Toks nepageidaujamas poveikis pasireiškė retai.</w:t>
      </w:r>
    </w:p>
    <w:p w14:paraId="7A7B1E15" w14:textId="77777777" w:rsidR="00231152" w:rsidRPr="00C23E05" w:rsidRDefault="00231152" w:rsidP="00231152">
      <w:pPr>
        <w:pStyle w:val="BTEMEASMCA"/>
      </w:pPr>
    </w:p>
    <w:p w14:paraId="603DF5CD" w14:textId="77777777" w:rsidR="00231152" w:rsidRPr="00C23E05" w:rsidRDefault="00231152" w:rsidP="00231152">
      <w:pPr>
        <w:spacing w:after="0" w:line="240" w:lineRule="auto"/>
        <w:rPr>
          <w:rFonts w:ascii="Times New Roman" w:hAnsi="Times New Roman"/>
          <w:b/>
        </w:rPr>
      </w:pPr>
      <w:r w:rsidRPr="00C23E05">
        <w:rPr>
          <w:rFonts w:ascii="Times New Roman" w:hAnsi="Times New Roman"/>
          <w:b/>
          <w:noProof/>
        </w:rPr>
        <w:t>Pranešimas apie šalutinį poveikį</w:t>
      </w:r>
    </w:p>
    <w:p w14:paraId="440BA226" w14:textId="77777777" w:rsidR="00231152" w:rsidRPr="002E41B9" w:rsidRDefault="00231152" w:rsidP="00231152">
      <w:pPr>
        <w:tabs>
          <w:tab w:val="left" w:pos="567"/>
        </w:tabs>
        <w:spacing w:after="0" w:line="260" w:lineRule="exact"/>
        <w:ind w:right="-1"/>
        <w:rPr>
          <w:rFonts w:ascii="Times New Roman" w:hAnsi="Times New Roman"/>
          <w:snapToGrid w:val="0"/>
        </w:rPr>
      </w:pPr>
      <w:r w:rsidRPr="002E41B9">
        <w:rPr>
          <w:rFonts w:ascii="Times New Roman" w:hAnsi="Times New Roman"/>
          <w:noProof/>
        </w:rPr>
        <w:t>Jeigu pasireiškė šalutinis poveikis, įskaitant šiame lapelyje nenurodytą, pasakykite gydytojui arba vaistininkui</w:t>
      </w:r>
      <w:r w:rsidRPr="002E41B9">
        <w:rPr>
          <w:rFonts w:ascii="Times New Roman" w:hAnsi="Times New Roman"/>
        </w:rPr>
        <w:t>.</w:t>
      </w:r>
      <w:r w:rsidRPr="00C23E05">
        <w:rPr>
          <w:noProof/>
        </w:rPr>
        <w:t xml:space="preserve"> </w:t>
      </w:r>
      <w:r w:rsidRPr="002E41B9">
        <w:rPr>
          <w:rFonts w:ascii="Times New Roman" w:hAnsi="Times New Roman"/>
          <w:snapToGrid w:val="0"/>
        </w:rPr>
        <w:t xml:space="preserve"> </w:t>
      </w:r>
      <w:r w:rsidRPr="00024047">
        <w:rPr>
          <w:rFonts w:ascii="Times New Roman" w:hAnsi="Times New Roman"/>
          <w:lang w:eastAsia="lt-LT"/>
        </w:rPr>
        <w:t xml:space="preserve">Pranešimą apie šalutinį poveikį galite užpildyti ir pateikti Valstybinės vaistų kontrolės tarnybos prie Lietuvos Respublikos sveikatos apsaugos ministerijos tinklalapyje </w:t>
      </w:r>
      <w:r w:rsidRPr="00024047">
        <w:rPr>
          <w:rFonts w:ascii="Times New Roman" w:hAnsi="Times New Roman"/>
          <w:color w:val="0000EE"/>
          <w:u w:val="single"/>
          <w:lang w:eastAsia="lt-LT"/>
        </w:rPr>
        <w:t>https://vvkt.lrv.lt/lt/</w:t>
      </w:r>
      <w:r w:rsidRPr="00024047">
        <w:rPr>
          <w:rFonts w:ascii="Times New Roman" w:hAnsi="Times New Roman"/>
          <w:lang w:eastAsia="lt-LT"/>
        </w:rPr>
        <w:t xml:space="preserve"> nurodytais būdais arba paskambinti nemokamu telefonu +370 800 73 568</w:t>
      </w:r>
      <w:r w:rsidRPr="002E41B9">
        <w:rPr>
          <w:rFonts w:ascii="Times New Roman" w:hAnsi="Times New Roman"/>
          <w:snapToGrid w:val="0"/>
        </w:rPr>
        <w:t>. Pranešdami apie šalutinį poveikį galite mums padėti gauti daugiau informacijos apie šio vaisto saugumą.</w:t>
      </w:r>
    </w:p>
    <w:p w14:paraId="0D585C22" w14:textId="77777777" w:rsidR="00231152" w:rsidRPr="00C23E05" w:rsidRDefault="00231152" w:rsidP="00231152">
      <w:pPr>
        <w:pStyle w:val="BTEMEASMCA"/>
      </w:pPr>
    </w:p>
    <w:p w14:paraId="11D32D0A" w14:textId="77777777" w:rsidR="00231152" w:rsidRPr="00C23E05" w:rsidRDefault="00231152" w:rsidP="00231152">
      <w:pPr>
        <w:spacing w:after="0" w:line="240" w:lineRule="auto"/>
        <w:ind w:left="567" w:hanging="567"/>
        <w:rPr>
          <w:rFonts w:ascii="Times New Roman" w:hAnsi="Times New Roman"/>
        </w:rPr>
      </w:pPr>
    </w:p>
    <w:p w14:paraId="6D73A44F" w14:textId="77777777" w:rsidR="00231152" w:rsidRPr="00C23E05" w:rsidRDefault="00231152" w:rsidP="00231152">
      <w:pPr>
        <w:pStyle w:val="PI-1EMEASMCA"/>
      </w:pPr>
      <w:r w:rsidRPr="00C23E05">
        <w:t>5.</w:t>
      </w:r>
      <w:r w:rsidRPr="00C23E05">
        <w:tab/>
        <w:t xml:space="preserve">Kaip laikyti </w:t>
      </w:r>
      <w:proofErr w:type="spellStart"/>
      <w:r w:rsidRPr="00C23E05">
        <w:t>Jox</w:t>
      </w:r>
      <w:proofErr w:type="spellEnd"/>
    </w:p>
    <w:p w14:paraId="08735613" w14:textId="77777777" w:rsidR="00231152" w:rsidRPr="00C23E05" w:rsidRDefault="00231152" w:rsidP="00231152">
      <w:pPr>
        <w:pStyle w:val="BTEMEASMCA"/>
      </w:pPr>
    </w:p>
    <w:p w14:paraId="4BB9D59E" w14:textId="77777777" w:rsidR="00231152" w:rsidRPr="00C23E05" w:rsidRDefault="00231152" w:rsidP="00231152">
      <w:pPr>
        <w:pStyle w:val="BTEMEASMCA"/>
      </w:pPr>
      <w:r w:rsidRPr="00C23E05">
        <w:t>Šį vaistą laikykite vaikams nepastebimoje ir nepasiekiamoje vietoje.</w:t>
      </w:r>
    </w:p>
    <w:p w14:paraId="3344E983" w14:textId="77777777" w:rsidR="00231152" w:rsidRPr="00C23E05" w:rsidRDefault="00231152" w:rsidP="00231152">
      <w:pPr>
        <w:pStyle w:val="BTEMEASMCA"/>
      </w:pPr>
    </w:p>
    <w:p w14:paraId="75BF1BA1" w14:textId="77777777" w:rsidR="00231152" w:rsidRPr="00C23E05" w:rsidRDefault="00231152" w:rsidP="00231152">
      <w:pPr>
        <w:pStyle w:val="BTEMEASMCA"/>
      </w:pPr>
      <w:r w:rsidRPr="00C23E05">
        <w:t xml:space="preserve">Laikyti ne aukštesnėje kaip 25 °C temperatūroje. </w:t>
      </w:r>
    </w:p>
    <w:p w14:paraId="3F93F5E9" w14:textId="77777777" w:rsidR="00231152" w:rsidRPr="00C23E05" w:rsidRDefault="00231152" w:rsidP="00231152">
      <w:pPr>
        <w:pStyle w:val="BTEMEASMCA"/>
      </w:pPr>
      <w:r w:rsidRPr="00C23E05">
        <w:t>Butel</w:t>
      </w:r>
      <w:r>
        <w:t>iuką</w:t>
      </w:r>
      <w:r w:rsidRPr="00C23E05">
        <w:t xml:space="preserve"> laikyti išorinėje dėžutėje, kad </w:t>
      </w:r>
      <w:r>
        <w:t>vaistas</w:t>
      </w:r>
      <w:r w:rsidRPr="00C23E05">
        <w:t xml:space="preserve"> būtų apsaugotas nuo šviesos.</w:t>
      </w:r>
    </w:p>
    <w:p w14:paraId="2A4DC064" w14:textId="77777777" w:rsidR="00231152" w:rsidRPr="00C23E05" w:rsidRDefault="00231152" w:rsidP="00231152">
      <w:pPr>
        <w:pStyle w:val="BTEMEASMCA"/>
      </w:pPr>
    </w:p>
    <w:p w14:paraId="03DA8084" w14:textId="77777777" w:rsidR="00231152" w:rsidRPr="00C23E05" w:rsidRDefault="00231152" w:rsidP="00231152">
      <w:pPr>
        <w:pStyle w:val="BTEMEASMCA"/>
        <w:rPr>
          <w:noProof/>
        </w:rPr>
      </w:pPr>
      <w:r w:rsidRPr="00C23E05">
        <w:t xml:space="preserve">Ant etiketės ir kartono dėžutės po ,,Tinka iki“ nurodytam tinkamumo laikui pasibaigus, šio vaisto vartoti negalima. </w:t>
      </w:r>
      <w:r w:rsidRPr="00C23E05">
        <w:rPr>
          <w:noProof/>
        </w:rPr>
        <w:t>Vaistas tinkamas vartoti iki paskutinės nurodyto mėnesio dienos.</w:t>
      </w:r>
    </w:p>
    <w:p w14:paraId="708106AA" w14:textId="77777777" w:rsidR="00231152" w:rsidRPr="00C23E05" w:rsidRDefault="00231152" w:rsidP="00231152">
      <w:pPr>
        <w:pStyle w:val="BTEMEASMCA"/>
        <w:rPr>
          <w:noProof/>
        </w:rPr>
      </w:pPr>
    </w:p>
    <w:p w14:paraId="20E9A93C" w14:textId="77777777" w:rsidR="00231152" w:rsidRPr="00C23E05" w:rsidRDefault="00231152" w:rsidP="00231152">
      <w:pPr>
        <w:pStyle w:val="BTEMEASMCA"/>
      </w:pPr>
      <w:r w:rsidRPr="00C23E05">
        <w:rPr>
          <w:noProof/>
        </w:rPr>
        <w:t>Vaistų negalima išmesti į kanalizaciją arba su buitinėmis atliekomis.</w:t>
      </w:r>
      <w:r w:rsidRPr="00C23E05">
        <w:t xml:space="preserve"> </w:t>
      </w:r>
      <w:r w:rsidRPr="00C23E05">
        <w:rPr>
          <w:noProof/>
        </w:rPr>
        <w:t>Kaip išmesti nereikalingus vaistus, klauskite vaistininko.</w:t>
      </w:r>
      <w:r w:rsidRPr="00C23E05">
        <w:t xml:space="preserve"> </w:t>
      </w:r>
      <w:r w:rsidRPr="00C23E05">
        <w:rPr>
          <w:noProof/>
        </w:rPr>
        <w:t>Šios priemonės padės apsaugoti aplinką.</w:t>
      </w:r>
    </w:p>
    <w:p w14:paraId="3F0E37D7" w14:textId="77777777" w:rsidR="00231152" w:rsidRPr="00C23E05" w:rsidRDefault="00231152" w:rsidP="00231152">
      <w:pPr>
        <w:pStyle w:val="BTEMEASMCA"/>
      </w:pPr>
    </w:p>
    <w:p w14:paraId="1F81132A" w14:textId="77777777" w:rsidR="00231152" w:rsidRPr="00C23E05" w:rsidRDefault="00231152" w:rsidP="00231152">
      <w:pPr>
        <w:pStyle w:val="BTEMEASMCA"/>
      </w:pPr>
    </w:p>
    <w:p w14:paraId="35C906DA" w14:textId="77777777" w:rsidR="00231152" w:rsidRPr="00C23E05" w:rsidRDefault="00231152" w:rsidP="00231152">
      <w:pPr>
        <w:pStyle w:val="PI-1EMEASMCA"/>
      </w:pPr>
      <w:r w:rsidRPr="00C23E05">
        <w:t>6.</w:t>
      </w:r>
      <w:r w:rsidRPr="00C23E05">
        <w:tab/>
        <w:t>Pakuotės turinys ir kita informacija</w:t>
      </w:r>
    </w:p>
    <w:p w14:paraId="7C18B5CE" w14:textId="77777777" w:rsidR="00231152" w:rsidRPr="00C23E05" w:rsidRDefault="00231152" w:rsidP="00231152">
      <w:pPr>
        <w:pStyle w:val="BTEMEASMCA"/>
      </w:pPr>
    </w:p>
    <w:p w14:paraId="5B038D28" w14:textId="77777777" w:rsidR="00231152" w:rsidRPr="00C23E05" w:rsidRDefault="00231152" w:rsidP="00231152">
      <w:pPr>
        <w:pStyle w:val="PI-3EMEASMCA"/>
        <w:spacing w:line="240" w:lineRule="auto"/>
      </w:pPr>
      <w:proofErr w:type="spellStart"/>
      <w:r w:rsidRPr="00C23E05">
        <w:t>Jox</w:t>
      </w:r>
      <w:proofErr w:type="spellEnd"/>
      <w:r w:rsidRPr="00C23E05">
        <w:t xml:space="preserve"> sudėtis</w:t>
      </w:r>
    </w:p>
    <w:p w14:paraId="324B11F9" w14:textId="77777777" w:rsidR="00231152" w:rsidRPr="00C23E05" w:rsidRDefault="00231152" w:rsidP="00231152">
      <w:pPr>
        <w:pStyle w:val="BT-EMEASMCA"/>
        <w:numPr>
          <w:ilvl w:val="0"/>
          <w:numId w:val="3"/>
        </w:numPr>
        <w:tabs>
          <w:tab w:val="clear" w:pos="360"/>
        </w:tabs>
        <w:ind w:left="567" w:hanging="573"/>
      </w:pPr>
      <w:r w:rsidRPr="00C23E05">
        <w:t xml:space="preserve">Veikliosios medžiagos yra </w:t>
      </w:r>
      <w:proofErr w:type="spellStart"/>
      <w:r w:rsidRPr="00C23E05">
        <w:t>joduotas</w:t>
      </w:r>
      <w:proofErr w:type="spellEnd"/>
      <w:r w:rsidRPr="00C23E05">
        <w:t xml:space="preserve"> </w:t>
      </w:r>
      <w:proofErr w:type="spellStart"/>
      <w:r w:rsidRPr="00C23E05">
        <w:t>povidonas</w:t>
      </w:r>
      <w:proofErr w:type="spellEnd"/>
      <w:r w:rsidRPr="00C23E05">
        <w:t xml:space="preserve"> ir </w:t>
      </w:r>
      <w:proofErr w:type="spellStart"/>
      <w:r w:rsidRPr="00C23E05">
        <w:t>alantoinas</w:t>
      </w:r>
      <w:proofErr w:type="spellEnd"/>
      <w:r w:rsidRPr="00C23E05">
        <w:t xml:space="preserve">. 1 ml  tirpalo yra 85 mg </w:t>
      </w:r>
      <w:proofErr w:type="spellStart"/>
      <w:r w:rsidRPr="00C23E05">
        <w:t>joduoto</w:t>
      </w:r>
      <w:proofErr w:type="spellEnd"/>
      <w:r w:rsidRPr="00C23E05">
        <w:t xml:space="preserve"> </w:t>
      </w:r>
      <w:proofErr w:type="spellStart"/>
      <w:r w:rsidRPr="00C23E05">
        <w:t>povidono</w:t>
      </w:r>
      <w:proofErr w:type="spellEnd"/>
      <w:r w:rsidRPr="00C23E05">
        <w:t xml:space="preserve"> ir 1 mg </w:t>
      </w:r>
      <w:proofErr w:type="spellStart"/>
      <w:r w:rsidRPr="00C23E05">
        <w:t>alantoino</w:t>
      </w:r>
      <w:proofErr w:type="spellEnd"/>
      <w:r w:rsidRPr="00C23E05">
        <w:t>.</w:t>
      </w:r>
    </w:p>
    <w:p w14:paraId="04FD3A27" w14:textId="77777777" w:rsidR="00231152" w:rsidRPr="00C23E05" w:rsidRDefault="00231152" w:rsidP="00231152">
      <w:pPr>
        <w:pStyle w:val="BT-EMEASMCA"/>
        <w:tabs>
          <w:tab w:val="clear" w:pos="360"/>
        </w:tabs>
        <w:ind w:left="567" w:hanging="573"/>
      </w:pPr>
      <w:r w:rsidRPr="00C23E05">
        <w:t xml:space="preserve">Pagalbinės medžiagos yra citrinų rūgštis </w:t>
      </w:r>
      <w:proofErr w:type="spellStart"/>
      <w:r w:rsidRPr="00C23E05">
        <w:t>monohidratas</w:t>
      </w:r>
      <w:proofErr w:type="spellEnd"/>
      <w:r w:rsidRPr="00C23E05">
        <w:t xml:space="preserve">, mentolis, </w:t>
      </w:r>
      <w:proofErr w:type="spellStart"/>
      <w:r w:rsidRPr="00C23E05">
        <w:t>propilenglikolis</w:t>
      </w:r>
      <w:proofErr w:type="spellEnd"/>
      <w:r w:rsidRPr="00C23E05">
        <w:t>, 96</w:t>
      </w:r>
      <w:r>
        <w:t xml:space="preserve"> </w:t>
      </w:r>
      <w:r w:rsidRPr="00C23E05">
        <w:t xml:space="preserve">% etanolis, natrio citrato </w:t>
      </w:r>
      <w:proofErr w:type="spellStart"/>
      <w:r w:rsidRPr="00C23E05">
        <w:t>dihidratas</w:t>
      </w:r>
      <w:proofErr w:type="spellEnd"/>
      <w:r w:rsidRPr="00C23E05">
        <w:t>, išgrynintas vanduo.</w:t>
      </w:r>
    </w:p>
    <w:p w14:paraId="01ACA298" w14:textId="77777777" w:rsidR="00231152" w:rsidRPr="00C23E05" w:rsidRDefault="00231152" w:rsidP="00231152">
      <w:pPr>
        <w:pStyle w:val="BTEMEASMCA"/>
      </w:pPr>
    </w:p>
    <w:p w14:paraId="56E64C14" w14:textId="77777777" w:rsidR="00231152" w:rsidRPr="00C23E05" w:rsidRDefault="00231152" w:rsidP="00231152">
      <w:pPr>
        <w:pStyle w:val="PI-3EMEASMCA"/>
        <w:spacing w:line="240" w:lineRule="auto"/>
      </w:pPr>
      <w:proofErr w:type="spellStart"/>
      <w:r w:rsidRPr="00C23E05">
        <w:t>Jox</w:t>
      </w:r>
      <w:proofErr w:type="spellEnd"/>
      <w:r w:rsidRPr="00C23E05">
        <w:t xml:space="preserve"> išvaizda ir kiekis pakuotėje</w:t>
      </w:r>
    </w:p>
    <w:p w14:paraId="5C017136" w14:textId="77777777" w:rsidR="00231152" w:rsidRPr="00C23E05" w:rsidRDefault="00231152" w:rsidP="00231152">
      <w:pPr>
        <w:pStyle w:val="BTEMEASMCA"/>
      </w:pPr>
      <w:r w:rsidRPr="00C23E05">
        <w:t>Plastiko buteli</w:t>
      </w:r>
      <w:r>
        <w:t>uka</w:t>
      </w:r>
      <w:r w:rsidRPr="00C23E05">
        <w:t>s, mechaninė pompa, užsukamas dangtelis, purkštu</w:t>
      </w:r>
      <w:r>
        <w:t>k</w:t>
      </w:r>
      <w:r w:rsidRPr="00C23E05">
        <w:t xml:space="preserve">as, pakuotės lapelis, sulankstoma kartono dėžutė, burnos </w:t>
      </w:r>
      <w:proofErr w:type="spellStart"/>
      <w:r w:rsidRPr="00C23E05">
        <w:t>aplikatorius</w:t>
      </w:r>
      <w:proofErr w:type="spellEnd"/>
      <w:r w:rsidRPr="00C23E05">
        <w:t>.</w:t>
      </w:r>
    </w:p>
    <w:p w14:paraId="3E60FC35" w14:textId="77777777" w:rsidR="00231152" w:rsidRPr="00C23E05" w:rsidRDefault="00231152" w:rsidP="00231152">
      <w:pPr>
        <w:pStyle w:val="BTEMEASMCA"/>
      </w:pPr>
      <w:r w:rsidRPr="00C23E05">
        <w:lastRenderedPageBreak/>
        <w:t>Butel</w:t>
      </w:r>
      <w:r>
        <w:t>iuk</w:t>
      </w:r>
      <w:r w:rsidRPr="00C23E05">
        <w:t>e yra 30 ml tirpalo</w:t>
      </w:r>
      <w:r>
        <w:t>.</w:t>
      </w:r>
    </w:p>
    <w:p w14:paraId="29B8640F" w14:textId="77777777" w:rsidR="00231152" w:rsidRPr="00C23E05" w:rsidRDefault="00231152" w:rsidP="00231152">
      <w:pPr>
        <w:pStyle w:val="BTEMEASMCA"/>
      </w:pPr>
    </w:p>
    <w:p w14:paraId="21E34F05" w14:textId="77777777" w:rsidR="00231152" w:rsidRPr="00C23E05" w:rsidRDefault="00231152" w:rsidP="00231152">
      <w:pPr>
        <w:pStyle w:val="PI-3EMEASMCA"/>
        <w:spacing w:line="240" w:lineRule="auto"/>
      </w:pPr>
      <w:r>
        <w:t>Registruotojas</w:t>
      </w:r>
    </w:p>
    <w:p w14:paraId="285B35CE" w14:textId="77777777" w:rsidR="00231152" w:rsidRPr="0087780E" w:rsidRDefault="00231152" w:rsidP="00231152">
      <w:pPr>
        <w:shd w:val="clear" w:color="auto" w:fill="FFFFFF"/>
        <w:spacing w:after="0" w:line="240" w:lineRule="auto"/>
        <w:rPr>
          <w:rFonts w:ascii="Times New Roman" w:hAnsi="Times New Roman"/>
          <w:color w:val="222222"/>
        </w:rPr>
      </w:pPr>
      <w:proofErr w:type="spellStart"/>
      <w:r w:rsidRPr="0087780E">
        <w:rPr>
          <w:rFonts w:ascii="Times New Roman" w:hAnsi="Times New Roman"/>
          <w:bCs/>
          <w:color w:val="000000"/>
        </w:rPr>
        <w:t>Teva</w:t>
      </w:r>
      <w:proofErr w:type="spellEnd"/>
      <w:r w:rsidRPr="0087780E">
        <w:rPr>
          <w:rFonts w:ascii="Times New Roman" w:hAnsi="Times New Roman"/>
          <w:bCs/>
          <w:color w:val="000000"/>
        </w:rPr>
        <w:t xml:space="preserve"> B.V.</w:t>
      </w:r>
    </w:p>
    <w:p w14:paraId="4E2BE226" w14:textId="77777777" w:rsidR="00231152" w:rsidRPr="0087780E" w:rsidRDefault="00231152" w:rsidP="00231152">
      <w:pPr>
        <w:shd w:val="clear" w:color="auto" w:fill="FFFFFF"/>
        <w:spacing w:after="0" w:line="240" w:lineRule="auto"/>
        <w:rPr>
          <w:rFonts w:ascii="Times New Roman" w:hAnsi="Times New Roman"/>
          <w:color w:val="222222"/>
        </w:rPr>
      </w:pPr>
      <w:proofErr w:type="spellStart"/>
      <w:r w:rsidRPr="0087780E">
        <w:rPr>
          <w:rFonts w:ascii="Times New Roman" w:hAnsi="Times New Roman"/>
          <w:bCs/>
          <w:color w:val="000000"/>
        </w:rPr>
        <w:t>Swensweg</w:t>
      </w:r>
      <w:proofErr w:type="spellEnd"/>
      <w:r w:rsidRPr="0087780E">
        <w:rPr>
          <w:rFonts w:ascii="Times New Roman" w:hAnsi="Times New Roman"/>
          <w:bCs/>
          <w:color w:val="000000"/>
        </w:rPr>
        <w:t xml:space="preserve"> 5,</w:t>
      </w:r>
    </w:p>
    <w:p w14:paraId="048F9C22" w14:textId="77777777" w:rsidR="00231152" w:rsidRPr="0087780E" w:rsidRDefault="00231152" w:rsidP="00231152">
      <w:pPr>
        <w:shd w:val="clear" w:color="auto" w:fill="FFFFFF"/>
        <w:spacing w:after="0" w:line="240" w:lineRule="auto"/>
        <w:rPr>
          <w:rFonts w:ascii="Times New Roman" w:hAnsi="Times New Roman"/>
          <w:color w:val="222222"/>
        </w:rPr>
      </w:pPr>
      <w:r w:rsidRPr="0087780E">
        <w:rPr>
          <w:rFonts w:ascii="Times New Roman" w:hAnsi="Times New Roman"/>
          <w:bCs/>
          <w:color w:val="000000"/>
        </w:rPr>
        <w:t xml:space="preserve">2031 GA </w:t>
      </w:r>
      <w:proofErr w:type="spellStart"/>
      <w:r w:rsidRPr="0087780E">
        <w:rPr>
          <w:rFonts w:ascii="Times New Roman" w:hAnsi="Times New Roman"/>
          <w:bCs/>
          <w:color w:val="000000"/>
        </w:rPr>
        <w:t>Haarlem</w:t>
      </w:r>
      <w:proofErr w:type="spellEnd"/>
      <w:r w:rsidRPr="0087780E">
        <w:rPr>
          <w:rFonts w:ascii="Times New Roman" w:hAnsi="Times New Roman"/>
          <w:bCs/>
          <w:color w:val="000000"/>
        </w:rPr>
        <w:t>,</w:t>
      </w:r>
    </w:p>
    <w:p w14:paraId="14656D0A" w14:textId="77777777" w:rsidR="00231152" w:rsidRPr="00024047" w:rsidRDefault="00231152" w:rsidP="00231152">
      <w:pPr>
        <w:spacing w:after="0" w:line="240" w:lineRule="auto"/>
        <w:rPr>
          <w:rFonts w:ascii="Times New Roman" w:hAnsi="Times New Roman"/>
        </w:rPr>
      </w:pPr>
      <w:r w:rsidRPr="0087780E">
        <w:rPr>
          <w:rFonts w:ascii="Times New Roman" w:hAnsi="Times New Roman"/>
          <w:bCs/>
          <w:color w:val="000000"/>
        </w:rPr>
        <w:t>Nyderlandai</w:t>
      </w:r>
    </w:p>
    <w:p w14:paraId="1214E450" w14:textId="77777777" w:rsidR="00231152" w:rsidRDefault="00231152" w:rsidP="00231152">
      <w:pPr>
        <w:spacing w:after="0" w:line="240" w:lineRule="auto"/>
        <w:rPr>
          <w:rFonts w:ascii="Times New Roman" w:hAnsi="Times New Roman"/>
        </w:rPr>
      </w:pPr>
    </w:p>
    <w:p w14:paraId="46879612" w14:textId="77777777" w:rsidR="00231152" w:rsidRPr="0087780E" w:rsidRDefault="00231152" w:rsidP="00231152">
      <w:pPr>
        <w:spacing w:after="0" w:line="240" w:lineRule="auto"/>
        <w:rPr>
          <w:rFonts w:ascii="Times New Roman" w:hAnsi="Times New Roman"/>
          <w:b/>
          <w:bCs/>
        </w:rPr>
      </w:pPr>
      <w:r w:rsidRPr="0087780E">
        <w:rPr>
          <w:rFonts w:ascii="Times New Roman" w:hAnsi="Times New Roman"/>
          <w:b/>
          <w:bCs/>
        </w:rPr>
        <w:t>Gamintojas</w:t>
      </w:r>
    </w:p>
    <w:p w14:paraId="5A95158B" w14:textId="77777777" w:rsidR="00231152" w:rsidRPr="00C23E05" w:rsidRDefault="00231152" w:rsidP="00231152">
      <w:pPr>
        <w:spacing w:after="0" w:line="240" w:lineRule="auto"/>
        <w:rPr>
          <w:rFonts w:ascii="Times New Roman" w:hAnsi="Times New Roman"/>
        </w:rPr>
      </w:pPr>
      <w:r w:rsidRPr="00C23E05">
        <w:rPr>
          <w:rFonts w:ascii="Times New Roman" w:hAnsi="Times New Roman"/>
        </w:rPr>
        <w:t xml:space="preserve">TEVA </w:t>
      </w:r>
      <w:proofErr w:type="spellStart"/>
      <w:r w:rsidRPr="00C23E05">
        <w:rPr>
          <w:rFonts w:ascii="Times New Roman" w:hAnsi="Times New Roman"/>
        </w:rPr>
        <w:t>Czech</w:t>
      </w:r>
      <w:proofErr w:type="spellEnd"/>
      <w:r w:rsidRPr="00C23E05">
        <w:rPr>
          <w:rFonts w:ascii="Times New Roman" w:hAnsi="Times New Roman"/>
        </w:rPr>
        <w:t xml:space="preserve"> </w:t>
      </w:r>
      <w:proofErr w:type="spellStart"/>
      <w:r w:rsidRPr="00C23E05">
        <w:rPr>
          <w:rFonts w:ascii="Times New Roman" w:hAnsi="Times New Roman"/>
        </w:rPr>
        <w:t>Industries</w:t>
      </w:r>
      <w:proofErr w:type="spellEnd"/>
      <w:r w:rsidRPr="00C23E05">
        <w:rPr>
          <w:rFonts w:ascii="Times New Roman" w:hAnsi="Times New Roman"/>
        </w:rPr>
        <w:t xml:space="preserve"> </w:t>
      </w:r>
      <w:proofErr w:type="spellStart"/>
      <w:r w:rsidRPr="00C23E05">
        <w:rPr>
          <w:rFonts w:ascii="Times New Roman" w:hAnsi="Times New Roman"/>
        </w:rPr>
        <w:t>s.r.o</w:t>
      </w:r>
      <w:proofErr w:type="spellEnd"/>
      <w:r w:rsidRPr="00C23E05">
        <w:rPr>
          <w:rFonts w:ascii="Times New Roman" w:hAnsi="Times New Roman"/>
        </w:rPr>
        <w:t>.</w:t>
      </w:r>
    </w:p>
    <w:p w14:paraId="246849A4" w14:textId="77777777" w:rsidR="00231152" w:rsidRPr="00C23E05" w:rsidRDefault="00231152" w:rsidP="00231152">
      <w:pPr>
        <w:pStyle w:val="BTEMEASMCA"/>
      </w:pPr>
      <w:proofErr w:type="spellStart"/>
      <w:r w:rsidRPr="00C23E05">
        <w:t>Ostravska</w:t>
      </w:r>
      <w:proofErr w:type="spellEnd"/>
      <w:r w:rsidRPr="00C23E05">
        <w:t xml:space="preserve"> 29 </w:t>
      </w:r>
    </w:p>
    <w:p w14:paraId="4FDDF1BE" w14:textId="77777777" w:rsidR="00231152" w:rsidRPr="00C23E05" w:rsidRDefault="00231152" w:rsidP="00231152">
      <w:pPr>
        <w:pStyle w:val="BTEMEASMCA"/>
      </w:pPr>
      <w:r w:rsidRPr="00C23E05">
        <w:t xml:space="preserve">747 70 </w:t>
      </w:r>
      <w:proofErr w:type="spellStart"/>
      <w:r w:rsidRPr="00C23E05">
        <w:t>Opava-Komarov</w:t>
      </w:r>
      <w:proofErr w:type="spellEnd"/>
    </w:p>
    <w:p w14:paraId="108FE5B6" w14:textId="77777777" w:rsidR="00231152" w:rsidRPr="00C23E05" w:rsidRDefault="00231152" w:rsidP="00231152">
      <w:pPr>
        <w:pStyle w:val="BTEMEASMCA"/>
      </w:pPr>
      <w:r w:rsidRPr="00C23E05">
        <w:t>Čekijos Respublika</w:t>
      </w:r>
    </w:p>
    <w:p w14:paraId="7B6C28DE" w14:textId="77777777" w:rsidR="00231152" w:rsidRPr="00C23E05" w:rsidRDefault="00231152" w:rsidP="00231152">
      <w:pPr>
        <w:pStyle w:val="BTEMEASMCA"/>
      </w:pPr>
    </w:p>
    <w:p w14:paraId="7F68BDDD" w14:textId="77777777" w:rsidR="00231152" w:rsidRPr="00C23E05" w:rsidRDefault="00231152" w:rsidP="00231152">
      <w:pPr>
        <w:pStyle w:val="BTEMEASMCA"/>
      </w:pPr>
      <w:r w:rsidRPr="00C23E05">
        <w:t xml:space="preserve">Jeigu apie šį vaistą norite sužinoti daugiau, kreipkitės į vietinį </w:t>
      </w:r>
      <w:r>
        <w:t>registruotojo</w:t>
      </w:r>
      <w:r w:rsidRPr="00C23E05">
        <w:t xml:space="preserve"> atstovą.</w:t>
      </w:r>
    </w:p>
    <w:tbl>
      <w:tblPr>
        <w:tblW w:w="0" w:type="auto"/>
        <w:tblInd w:w="-34" w:type="dxa"/>
        <w:tblLayout w:type="fixed"/>
        <w:tblLook w:val="0000" w:firstRow="0" w:lastRow="0" w:firstColumn="0" w:lastColumn="0" w:noHBand="0" w:noVBand="0"/>
      </w:tblPr>
      <w:tblGrid>
        <w:gridCol w:w="4678"/>
      </w:tblGrid>
      <w:tr w:rsidR="00231152" w:rsidRPr="00C23E05" w14:paraId="12DF7520" w14:textId="77777777" w:rsidTr="006953D5">
        <w:tc>
          <w:tcPr>
            <w:tcW w:w="4678" w:type="dxa"/>
          </w:tcPr>
          <w:p w14:paraId="7048B2CE" w14:textId="77777777" w:rsidR="00231152" w:rsidRPr="00C23E05" w:rsidRDefault="00231152" w:rsidP="006953D5">
            <w:pPr>
              <w:spacing w:after="0" w:line="240" w:lineRule="auto"/>
              <w:rPr>
                <w:rFonts w:ascii="Times New Roman" w:hAnsi="Times New Roman"/>
              </w:rPr>
            </w:pPr>
          </w:p>
          <w:p w14:paraId="30007BDA" w14:textId="77777777" w:rsidR="00231152" w:rsidRPr="00C23E05" w:rsidRDefault="00231152" w:rsidP="006953D5">
            <w:pPr>
              <w:spacing w:after="0" w:line="240" w:lineRule="auto"/>
              <w:rPr>
                <w:rFonts w:ascii="Times New Roman" w:hAnsi="Times New Roman"/>
              </w:rPr>
            </w:pPr>
            <w:r w:rsidRPr="00C23E05">
              <w:rPr>
                <w:rFonts w:ascii="Times New Roman" w:hAnsi="Times New Roman"/>
              </w:rPr>
              <w:t xml:space="preserve">UAB </w:t>
            </w:r>
            <w:proofErr w:type="spellStart"/>
            <w:r>
              <w:rPr>
                <w:rFonts w:ascii="Times New Roman" w:hAnsi="Times New Roman"/>
              </w:rPr>
              <w:t>Teva</w:t>
            </w:r>
            <w:proofErr w:type="spellEnd"/>
            <w:r>
              <w:rPr>
                <w:rFonts w:ascii="Times New Roman" w:hAnsi="Times New Roman"/>
              </w:rPr>
              <w:t xml:space="preserve"> </w:t>
            </w:r>
            <w:proofErr w:type="spellStart"/>
            <w:r>
              <w:rPr>
                <w:rFonts w:ascii="Times New Roman" w:hAnsi="Times New Roman"/>
              </w:rPr>
              <w:t>Baltics</w:t>
            </w:r>
            <w:proofErr w:type="spellEnd"/>
            <w:r w:rsidRPr="00C23E05">
              <w:rPr>
                <w:rFonts w:ascii="Times New Roman" w:hAnsi="Times New Roman"/>
              </w:rPr>
              <w:t xml:space="preserve"> </w:t>
            </w:r>
          </w:p>
          <w:p w14:paraId="1D9C2D25" w14:textId="77777777" w:rsidR="00231152" w:rsidRPr="00C23E05" w:rsidRDefault="00231152" w:rsidP="006953D5">
            <w:pPr>
              <w:spacing w:after="0" w:line="240" w:lineRule="auto"/>
              <w:rPr>
                <w:rFonts w:ascii="Times New Roman" w:hAnsi="Times New Roman"/>
              </w:rPr>
            </w:pPr>
            <w:r>
              <w:rPr>
                <w:rFonts w:ascii="Times New Roman" w:hAnsi="Times New Roman"/>
              </w:rPr>
              <w:t>Molėtų pl. 5</w:t>
            </w:r>
            <w:r w:rsidRPr="00C23E05">
              <w:rPr>
                <w:rFonts w:ascii="Times New Roman" w:hAnsi="Times New Roman"/>
              </w:rPr>
              <w:t xml:space="preserve">, </w:t>
            </w:r>
          </w:p>
          <w:p w14:paraId="0B7C9AD8" w14:textId="77777777" w:rsidR="00231152" w:rsidRPr="00C23E05" w:rsidRDefault="00231152" w:rsidP="006953D5">
            <w:pPr>
              <w:spacing w:after="0" w:line="240" w:lineRule="auto"/>
              <w:rPr>
                <w:rFonts w:ascii="Times New Roman" w:hAnsi="Times New Roman"/>
              </w:rPr>
            </w:pPr>
            <w:r w:rsidRPr="00C23E05">
              <w:rPr>
                <w:rFonts w:ascii="Times New Roman" w:hAnsi="Times New Roman"/>
              </w:rPr>
              <w:t>LT-</w:t>
            </w:r>
            <w:r>
              <w:rPr>
                <w:rFonts w:ascii="Times New Roman" w:hAnsi="Times New Roman"/>
              </w:rPr>
              <w:t>08409</w:t>
            </w:r>
            <w:r w:rsidRPr="00C23E05">
              <w:rPr>
                <w:rFonts w:ascii="Times New Roman" w:hAnsi="Times New Roman"/>
              </w:rPr>
              <w:t xml:space="preserve"> Vilnius</w:t>
            </w:r>
          </w:p>
          <w:p w14:paraId="464CFF00" w14:textId="77777777" w:rsidR="00231152" w:rsidRPr="00C23E05" w:rsidRDefault="00231152" w:rsidP="006953D5">
            <w:pPr>
              <w:pStyle w:val="BTEMEASMCA"/>
            </w:pPr>
            <w:r w:rsidRPr="00C23E05">
              <w:t>Tel.: +370 5 266 02 03</w:t>
            </w:r>
          </w:p>
        </w:tc>
      </w:tr>
    </w:tbl>
    <w:p w14:paraId="219D031A" w14:textId="77777777" w:rsidR="00231152" w:rsidRPr="00C23E05" w:rsidRDefault="00231152" w:rsidP="00231152">
      <w:pPr>
        <w:spacing w:after="0" w:line="240" w:lineRule="auto"/>
        <w:rPr>
          <w:rFonts w:ascii="Times New Roman" w:hAnsi="Times New Roman"/>
          <w:b/>
        </w:rPr>
      </w:pPr>
    </w:p>
    <w:p w14:paraId="1F8CB1F2" w14:textId="77777777" w:rsidR="00231152" w:rsidRPr="00C23E05" w:rsidRDefault="00231152" w:rsidP="00231152">
      <w:pPr>
        <w:spacing w:after="0" w:line="240" w:lineRule="auto"/>
        <w:rPr>
          <w:rFonts w:ascii="Times New Roman" w:hAnsi="Times New Roman"/>
          <w:b/>
        </w:rPr>
      </w:pPr>
      <w:r w:rsidRPr="00C23E05">
        <w:rPr>
          <w:rFonts w:ascii="Times New Roman" w:hAnsi="Times New Roman"/>
          <w:b/>
        </w:rPr>
        <w:t>Šis pakuotės lapelis paskutinį kartą p</w:t>
      </w:r>
      <w:r>
        <w:rPr>
          <w:rFonts w:ascii="Times New Roman" w:hAnsi="Times New Roman"/>
          <w:b/>
        </w:rPr>
        <w:t>eržiūrėtas</w:t>
      </w:r>
      <w:r w:rsidRPr="00C23E05">
        <w:rPr>
          <w:rFonts w:ascii="Times New Roman" w:hAnsi="Times New Roman"/>
          <w:b/>
        </w:rPr>
        <w:t xml:space="preserve"> </w:t>
      </w:r>
      <w:r>
        <w:rPr>
          <w:rFonts w:ascii="Times New Roman" w:hAnsi="Times New Roman"/>
          <w:b/>
        </w:rPr>
        <w:t>2026-04-01.</w:t>
      </w:r>
    </w:p>
    <w:p w14:paraId="73935EE9" w14:textId="77777777" w:rsidR="00231152" w:rsidRPr="00C23E05" w:rsidRDefault="00231152" w:rsidP="00231152">
      <w:pPr>
        <w:spacing w:after="0" w:line="240" w:lineRule="auto"/>
        <w:rPr>
          <w:rFonts w:ascii="Times New Roman" w:hAnsi="Times New Roman"/>
          <w:b/>
        </w:rPr>
      </w:pPr>
    </w:p>
    <w:p w14:paraId="77AD1437" w14:textId="77777777" w:rsidR="00231152" w:rsidRDefault="00231152" w:rsidP="00231152">
      <w:pPr>
        <w:spacing w:after="0" w:line="240" w:lineRule="auto"/>
        <w:rPr>
          <w:rFonts w:ascii="Times New Roman" w:hAnsi="Times New Roman"/>
        </w:rPr>
      </w:pPr>
      <w:r w:rsidRPr="00C23E05">
        <w:rPr>
          <w:rFonts w:ascii="Times New Roman" w:hAnsi="Times New Roman"/>
        </w:rPr>
        <w:t>Išsami informacija apie šį vaistą pateikiama Valstybinės vaistų kontrolės tarnybos prie Lietuvos Respublikos sveikatos apsaugos ministerijos tinklalapyje</w:t>
      </w:r>
      <w:r w:rsidRPr="00C23E05">
        <w:rPr>
          <w:rFonts w:ascii="Times New Roman" w:hAnsi="Times New Roman"/>
          <w:i/>
        </w:rPr>
        <w:t xml:space="preserve"> </w:t>
      </w:r>
      <w:r w:rsidRPr="00CA7202">
        <w:rPr>
          <w:rFonts w:ascii="Times New Roman" w:hAnsi="Times New Roman"/>
          <w:lang w:eastAsia="lt-LT"/>
        </w:rPr>
        <w:t>https://vvkt.lrv.lt/lt</w:t>
      </w:r>
      <w:r w:rsidRPr="00C23E05">
        <w:rPr>
          <w:rFonts w:ascii="Times New Roman" w:hAnsi="Times New Roman"/>
        </w:rPr>
        <w:t>.</w:t>
      </w:r>
    </w:p>
    <w:p w14:paraId="45ED80AF" w14:textId="77777777" w:rsidR="00231152" w:rsidRDefault="00231152" w:rsidP="00231152">
      <w:pPr>
        <w:spacing w:after="0" w:line="240" w:lineRule="auto"/>
        <w:rPr>
          <w:rFonts w:ascii="Times New Roman" w:hAnsi="Times New Roman"/>
        </w:rPr>
      </w:pPr>
    </w:p>
    <w:p w14:paraId="436E9968" w14:textId="77777777" w:rsidR="00231152" w:rsidRPr="00C23E05" w:rsidRDefault="00231152" w:rsidP="00231152">
      <w:pPr>
        <w:spacing w:after="0" w:line="240" w:lineRule="auto"/>
        <w:rPr>
          <w:rFonts w:ascii="Times New Roman" w:hAnsi="Times New Roman"/>
          <w:b/>
        </w:rPr>
      </w:pPr>
    </w:p>
    <w:p w14:paraId="7FB6E341" w14:textId="77777777" w:rsidR="00222FED" w:rsidRDefault="00222FED"/>
    <w:sectPr w:rsidR="00222FED" w:rsidSect="00231152">
      <w:headerReference w:type="default" r:id="rId7"/>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6604F4" w14:textId="77777777" w:rsidR="00231152" w:rsidRPr="002B1A34" w:rsidRDefault="00231152" w:rsidP="00E17565">
    <w:pPr>
      <w:pStyle w:val="Antrats"/>
      <w:jc w:val="right"/>
      <w:rPr>
        <w:rFonts w:ascii="Times New Roman" w:hAnsi="Times New Roman"/>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5"/>
    <w:multiLevelType w:val="multilevel"/>
    <w:tmpl w:val="00000005"/>
    <w:lvl w:ilvl="0">
      <w:start w:val="1"/>
      <w:numFmt w:val="bullet"/>
      <w:lvlText w:val="-"/>
      <w:lvlJc w:val="left"/>
      <w:pPr>
        <w:tabs>
          <w:tab w:val="num" w:pos="360"/>
        </w:tabs>
        <w:ind w:left="360" w:hanging="363"/>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6"/>
    <w:multiLevelType w:val="multilevel"/>
    <w:tmpl w:val="00000006"/>
    <w:lvl w:ilvl="0">
      <w:start w:val="1"/>
      <w:numFmt w:val="bullet"/>
      <w:pStyle w:val="BT-EMEASMCA"/>
      <w:lvlText w:val="-"/>
      <w:lvlJc w:val="left"/>
      <w:pPr>
        <w:tabs>
          <w:tab w:val="num" w:pos="363"/>
        </w:tabs>
        <w:ind w:left="363" w:hanging="363"/>
      </w:pPr>
      <w:rPr>
        <w:rFonts w:ascii="Times New Roman" w:hAnsi="Times New Roman" w:cs="Times New Roman"/>
      </w:rPr>
    </w:lvl>
    <w:lvl w:ilvl="1">
      <w:start w:val="1"/>
      <w:numFmt w:val="decimal"/>
      <w:lvlText w:val="%2."/>
      <w:lvlJc w:val="left"/>
      <w:pPr>
        <w:tabs>
          <w:tab w:val="num" w:pos="1083"/>
        </w:tabs>
        <w:ind w:left="1083" w:hanging="360"/>
      </w:pPr>
    </w:lvl>
    <w:lvl w:ilvl="2">
      <w:start w:val="1"/>
      <w:numFmt w:val="decimal"/>
      <w:lvlText w:val="%3."/>
      <w:lvlJc w:val="left"/>
      <w:pPr>
        <w:tabs>
          <w:tab w:val="num" w:pos="1443"/>
        </w:tabs>
        <w:ind w:left="1443" w:hanging="360"/>
      </w:pPr>
    </w:lvl>
    <w:lvl w:ilvl="3">
      <w:start w:val="1"/>
      <w:numFmt w:val="decimal"/>
      <w:lvlText w:val="%4."/>
      <w:lvlJc w:val="left"/>
      <w:pPr>
        <w:tabs>
          <w:tab w:val="num" w:pos="1803"/>
        </w:tabs>
        <w:ind w:left="1803" w:hanging="360"/>
      </w:pPr>
    </w:lvl>
    <w:lvl w:ilvl="4">
      <w:start w:val="1"/>
      <w:numFmt w:val="decimal"/>
      <w:lvlText w:val="%5."/>
      <w:lvlJc w:val="left"/>
      <w:pPr>
        <w:tabs>
          <w:tab w:val="num" w:pos="2163"/>
        </w:tabs>
        <w:ind w:left="2163" w:hanging="360"/>
      </w:pPr>
    </w:lvl>
    <w:lvl w:ilvl="5">
      <w:start w:val="1"/>
      <w:numFmt w:val="decimal"/>
      <w:lvlText w:val="%6."/>
      <w:lvlJc w:val="left"/>
      <w:pPr>
        <w:tabs>
          <w:tab w:val="num" w:pos="2523"/>
        </w:tabs>
        <w:ind w:left="2523" w:hanging="360"/>
      </w:pPr>
    </w:lvl>
    <w:lvl w:ilvl="6">
      <w:start w:val="1"/>
      <w:numFmt w:val="decimal"/>
      <w:lvlText w:val="%7."/>
      <w:lvlJc w:val="left"/>
      <w:pPr>
        <w:tabs>
          <w:tab w:val="num" w:pos="2883"/>
        </w:tabs>
        <w:ind w:left="2883" w:hanging="360"/>
      </w:pPr>
    </w:lvl>
    <w:lvl w:ilvl="7">
      <w:start w:val="1"/>
      <w:numFmt w:val="decimal"/>
      <w:lvlText w:val="%8."/>
      <w:lvlJc w:val="left"/>
      <w:pPr>
        <w:tabs>
          <w:tab w:val="num" w:pos="3243"/>
        </w:tabs>
        <w:ind w:left="3243" w:hanging="360"/>
      </w:pPr>
    </w:lvl>
    <w:lvl w:ilvl="8">
      <w:start w:val="1"/>
      <w:numFmt w:val="decimal"/>
      <w:lvlText w:val="%9."/>
      <w:lvlJc w:val="left"/>
      <w:pPr>
        <w:tabs>
          <w:tab w:val="num" w:pos="3603"/>
        </w:tabs>
        <w:ind w:left="3603" w:hanging="360"/>
      </w:pPr>
    </w:lvl>
  </w:abstractNum>
  <w:abstractNum w:abstractNumId="3" w15:restartNumberingAfterBreak="0">
    <w:nsid w:val="00000008"/>
    <w:multiLevelType w:val="multilevel"/>
    <w:tmpl w:val="00000008"/>
    <w:lvl w:ilvl="0">
      <w:start w:val="1"/>
      <w:numFmt w:val="bullet"/>
      <w:lvlText w:val="-"/>
      <w:lvlJc w:val="left"/>
      <w:pPr>
        <w:tabs>
          <w:tab w:val="num" w:pos="360"/>
        </w:tabs>
        <w:ind w:left="360" w:hanging="363"/>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251548284">
    <w:abstractNumId w:val="1"/>
  </w:num>
  <w:num w:numId="2" w16cid:durableId="760762251">
    <w:abstractNumId w:val="2"/>
  </w:num>
  <w:num w:numId="3" w16cid:durableId="977222195">
    <w:abstractNumId w:val="3"/>
  </w:num>
  <w:num w:numId="4" w16cid:durableId="2071879589">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152"/>
    <w:rsid w:val="00222FED"/>
    <w:rsid w:val="00231152"/>
    <w:rsid w:val="005F173E"/>
    <w:rsid w:val="006D137E"/>
    <w:rsid w:val="008B3AD4"/>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4334A"/>
  <w15:chartTrackingRefBased/>
  <w15:docId w15:val="{7E303BF6-94E7-4B02-A683-361311920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1152"/>
    <w:pPr>
      <w:spacing w:after="200" w:line="276" w:lineRule="auto"/>
    </w:pPr>
    <w:rPr>
      <w:rFonts w:ascii="Calibri" w:eastAsia="Calibri" w:hAnsi="Calibri"/>
      <w:kern w:val="0"/>
      <w14:ligatures w14:val="none"/>
    </w:rPr>
  </w:style>
  <w:style w:type="paragraph" w:styleId="Antrat1">
    <w:name w:val="heading 1"/>
    <w:basedOn w:val="prastasis"/>
    <w:next w:val="prastasis"/>
    <w:link w:val="Antrat1Diagrama"/>
    <w:uiPriority w:val="9"/>
    <w:qFormat/>
    <w:rsid w:val="002311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2311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23115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23115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231152"/>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231152"/>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231152"/>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231152"/>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231152"/>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31152"/>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231152"/>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231152"/>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231152"/>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231152"/>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231152"/>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31152"/>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231152"/>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31152"/>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2311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23115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3115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231152"/>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31152"/>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231152"/>
    <w:rPr>
      <w:i/>
      <w:iCs/>
      <w:color w:val="404040" w:themeColor="text1" w:themeTint="BF"/>
    </w:rPr>
  </w:style>
  <w:style w:type="paragraph" w:styleId="Sraopastraipa">
    <w:name w:val="List Paragraph"/>
    <w:basedOn w:val="prastasis"/>
    <w:uiPriority w:val="34"/>
    <w:qFormat/>
    <w:rsid w:val="00231152"/>
    <w:pPr>
      <w:ind w:left="720"/>
      <w:contextualSpacing/>
    </w:pPr>
  </w:style>
  <w:style w:type="character" w:styleId="Rykuspabraukimas">
    <w:name w:val="Intense Emphasis"/>
    <w:basedOn w:val="Numatytasispastraiposriftas"/>
    <w:uiPriority w:val="21"/>
    <w:qFormat/>
    <w:rsid w:val="00231152"/>
    <w:rPr>
      <w:i/>
      <w:iCs/>
      <w:color w:val="0F4761" w:themeColor="accent1" w:themeShade="BF"/>
    </w:rPr>
  </w:style>
  <w:style w:type="paragraph" w:styleId="Iskirtacitata">
    <w:name w:val="Intense Quote"/>
    <w:basedOn w:val="prastasis"/>
    <w:next w:val="prastasis"/>
    <w:link w:val="IskirtacitataDiagrama"/>
    <w:uiPriority w:val="30"/>
    <w:qFormat/>
    <w:rsid w:val="002311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231152"/>
    <w:rPr>
      <w:i/>
      <w:iCs/>
      <w:color w:val="0F4761" w:themeColor="accent1" w:themeShade="BF"/>
    </w:rPr>
  </w:style>
  <w:style w:type="character" w:styleId="Rykinuoroda">
    <w:name w:val="Intense Reference"/>
    <w:basedOn w:val="Numatytasispastraiposriftas"/>
    <w:uiPriority w:val="32"/>
    <w:qFormat/>
    <w:rsid w:val="00231152"/>
    <w:rPr>
      <w:b/>
      <w:bCs/>
      <w:smallCaps/>
      <w:color w:val="0F4761" w:themeColor="accent1" w:themeShade="BF"/>
      <w:spacing w:val="5"/>
    </w:rPr>
  </w:style>
  <w:style w:type="paragraph" w:customStyle="1" w:styleId="BTEMEASMCA">
    <w:name w:val="BT EMEA_SMCA"/>
    <w:basedOn w:val="prastasis"/>
    <w:link w:val="BTEMEASMCAChar"/>
    <w:rsid w:val="00231152"/>
    <w:pPr>
      <w:widowControl w:val="0"/>
      <w:suppressAutoHyphens/>
      <w:spacing w:after="0" w:line="240" w:lineRule="auto"/>
    </w:pPr>
    <w:rPr>
      <w:rFonts w:ascii="Times New Roman" w:eastAsia="Lucida Sans Unicode" w:hAnsi="Times New Roman"/>
      <w:lang w:eastAsia="lt-LT"/>
    </w:rPr>
  </w:style>
  <w:style w:type="paragraph" w:customStyle="1" w:styleId="BTbEMEASMCA">
    <w:name w:val="BT(b) EMEA_SMCA"/>
    <w:basedOn w:val="BTEMEASMCA"/>
    <w:rsid w:val="00231152"/>
    <w:rPr>
      <w:b/>
    </w:rPr>
  </w:style>
  <w:style w:type="paragraph" w:customStyle="1" w:styleId="TTEMEASMCA">
    <w:name w:val="TT EMEA_SMCA"/>
    <w:basedOn w:val="Antrat1"/>
    <w:rsid w:val="00231152"/>
    <w:pPr>
      <w:keepNext w:val="0"/>
      <w:keepLines w:val="0"/>
      <w:widowControl w:val="0"/>
      <w:tabs>
        <w:tab w:val="left" w:pos="567"/>
      </w:tabs>
      <w:suppressAutoHyphens/>
      <w:spacing w:before="0" w:after="0" w:line="240" w:lineRule="auto"/>
      <w:ind w:left="567" w:hanging="567"/>
      <w:jc w:val="center"/>
    </w:pPr>
    <w:rPr>
      <w:rFonts w:ascii="Times New Roman" w:eastAsia="Lucida Sans Unicode" w:hAnsi="Times New Roman" w:cs="Times New Roman"/>
      <w:b/>
      <w:caps/>
      <w:color w:val="auto"/>
      <w:kern w:val="1"/>
      <w:sz w:val="22"/>
      <w:szCs w:val="22"/>
      <w:lang w:val="en-US" w:eastAsia="lt-LT"/>
    </w:rPr>
  </w:style>
  <w:style w:type="paragraph" w:customStyle="1" w:styleId="PI-1EMEASMCA">
    <w:name w:val="PI-1 EMEA_SMCA"/>
    <w:basedOn w:val="Antrat2"/>
    <w:rsid w:val="00231152"/>
    <w:pPr>
      <w:keepLines w:val="0"/>
      <w:widowControl w:val="0"/>
      <w:tabs>
        <w:tab w:val="left" w:pos="567"/>
      </w:tabs>
      <w:suppressAutoHyphens/>
      <w:spacing w:before="0" w:after="0" w:line="240" w:lineRule="auto"/>
      <w:ind w:left="567" w:hanging="567"/>
    </w:pPr>
    <w:rPr>
      <w:rFonts w:ascii="Times New Roman" w:eastAsia="Lucida Sans Unicode" w:hAnsi="Times New Roman" w:cs="Times New Roman"/>
      <w:b/>
      <w:color w:val="auto"/>
      <w:sz w:val="22"/>
      <w:szCs w:val="22"/>
      <w:lang w:eastAsia="lt-LT"/>
    </w:rPr>
  </w:style>
  <w:style w:type="paragraph" w:customStyle="1" w:styleId="BT-EMEASMCA">
    <w:name w:val="BT- EMEA_SMCA"/>
    <w:basedOn w:val="BTEMEASMCA"/>
    <w:rsid w:val="00231152"/>
    <w:pPr>
      <w:numPr>
        <w:numId w:val="2"/>
      </w:numPr>
      <w:tabs>
        <w:tab w:val="clear" w:pos="363"/>
        <w:tab w:val="left" w:pos="360"/>
      </w:tabs>
      <w:ind w:left="-357" w:firstLine="0"/>
    </w:pPr>
  </w:style>
  <w:style w:type="paragraph" w:customStyle="1" w:styleId="PI-3EMEASMCA">
    <w:name w:val="PI-3 EMEA_SMCA"/>
    <w:basedOn w:val="prastasis"/>
    <w:rsid w:val="00231152"/>
    <w:pPr>
      <w:widowControl w:val="0"/>
      <w:suppressAutoHyphens/>
      <w:spacing w:after="0" w:line="220" w:lineRule="exact"/>
    </w:pPr>
    <w:rPr>
      <w:rFonts w:ascii="Times New Roman" w:eastAsia="Lucida Sans Unicode" w:hAnsi="Times New Roman"/>
      <w:b/>
      <w:bCs/>
      <w:lang w:eastAsia="lt-LT"/>
    </w:rPr>
  </w:style>
  <w:style w:type="character" w:customStyle="1" w:styleId="BTEMEASMCAChar">
    <w:name w:val="BT EMEA_SMCA Char"/>
    <w:link w:val="BTEMEASMCA"/>
    <w:rsid w:val="00231152"/>
    <w:rPr>
      <w:rFonts w:eastAsia="Lucida Sans Unicode"/>
      <w:kern w:val="0"/>
      <w:lang w:eastAsia="lt-LT"/>
      <w14:ligatures w14:val="none"/>
    </w:rPr>
  </w:style>
  <w:style w:type="paragraph" w:styleId="Antrats">
    <w:name w:val="header"/>
    <w:basedOn w:val="prastasis"/>
    <w:link w:val="AntratsDiagrama"/>
    <w:uiPriority w:val="99"/>
    <w:unhideWhenUsed/>
    <w:rsid w:val="00231152"/>
    <w:pPr>
      <w:tabs>
        <w:tab w:val="center" w:pos="4819"/>
        <w:tab w:val="right" w:pos="9638"/>
      </w:tabs>
    </w:pPr>
  </w:style>
  <w:style w:type="character" w:customStyle="1" w:styleId="AntratsDiagrama">
    <w:name w:val="Antraštės Diagrama"/>
    <w:basedOn w:val="Numatytasispastraiposriftas"/>
    <w:link w:val="Antrats"/>
    <w:uiPriority w:val="99"/>
    <w:rsid w:val="00231152"/>
    <w:rPr>
      <w:rFonts w:ascii="Calibri" w:eastAsia="Calibri" w:hAnsi="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6461</Words>
  <Characters>3684</Characters>
  <Application>Microsoft Office Word</Application>
  <DocSecurity>0</DocSecurity>
  <Lines>30</Lines>
  <Paragraphs>20</Paragraphs>
  <ScaleCrop>false</ScaleCrop>
  <Company/>
  <LinksUpToDate>false</LinksUpToDate>
  <CharactersWithSpaces>10125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2026-04-01T05:51:00Z</dcterms:created>
  <dcterms:modified xsi:type="dcterms:W3CDTF">2026-04-01T05:52:00Z</dcterms:modified>
</cp:coreProperties>
</file>