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92" w:rsidRDefault="008A1C92" w:rsidP="008A1C92">
      <w:pPr>
        <w:jc w:val="center"/>
        <w:rPr>
          <w:b/>
        </w:rPr>
      </w:pPr>
    </w:p>
    <w:p w:rsidR="008A1C92" w:rsidRPr="00363839" w:rsidRDefault="008A1C92" w:rsidP="008A1C92">
      <w:pPr>
        <w:widowControl w:val="0"/>
        <w:kinsoku w:val="0"/>
        <w:overflowPunct w:val="0"/>
        <w:autoSpaceDE w:val="0"/>
        <w:autoSpaceDN w:val="0"/>
        <w:adjustRightInd w:val="0"/>
        <w:spacing w:line="252" w:lineRule="exact"/>
        <w:jc w:val="center"/>
        <w:rPr>
          <w:b/>
          <w:bCs/>
          <w:lang w:val="es-AR" w:eastAsia="fr-FR"/>
        </w:rPr>
      </w:pPr>
      <w:r w:rsidRPr="00363839">
        <w:rPr>
          <w:b/>
          <w:bCs/>
        </w:rPr>
        <w:t>Pakuotės lapelis:</w:t>
      </w:r>
      <w:r w:rsidRPr="00363839">
        <w:rPr>
          <w:b/>
          <w:bCs/>
          <w:iCs/>
        </w:rPr>
        <w:t xml:space="preserve"> </w:t>
      </w:r>
      <w:r w:rsidRPr="00363839">
        <w:rPr>
          <w:b/>
          <w:bCs/>
        </w:rPr>
        <w:t>informacija pacientui</w:t>
      </w:r>
      <w:r w:rsidRPr="00363839" w:rsidDel="000603D3">
        <w:rPr>
          <w:b/>
          <w:bCs/>
          <w:lang w:val="es-AR" w:eastAsia="fr-FR"/>
        </w:rPr>
        <w:t xml:space="preserve"> </w:t>
      </w:r>
    </w:p>
    <w:p w:rsidR="008A1C92" w:rsidRPr="00F47445" w:rsidRDefault="008A1C92" w:rsidP="008A1C92">
      <w:pPr>
        <w:widowControl w:val="0"/>
        <w:kinsoku w:val="0"/>
        <w:overflowPunct w:val="0"/>
        <w:autoSpaceDE w:val="0"/>
        <w:autoSpaceDN w:val="0"/>
        <w:adjustRightInd w:val="0"/>
        <w:spacing w:line="252" w:lineRule="exact"/>
        <w:jc w:val="center"/>
        <w:outlineLvl w:val="0"/>
        <w:rPr>
          <w:lang w:val="es-AR" w:eastAsia="fr-FR"/>
        </w:rPr>
      </w:pPr>
      <w:r>
        <w:rPr>
          <w:szCs w:val="22"/>
        </w:rPr>
        <w:t>KANAMYCIN PANPHARMA</w:t>
      </w:r>
      <w:r w:rsidRPr="00994414">
        <w:rPr>
          <w:szCs w:val="22"/>
        </w:rPr>
        <w:t xml:space="preserve"> </w:t>
      </w:r>
      <w:r>
        <w:t>1 g milteliai injekciniam tirpalui</w:t>
      </w:r>
    </w:p>
    <w:p w:rsidR="008A1C92" w:rsidRPr="004E0B17" w:rsidRDefault="008A1C92" w:rsidP="008A1C92">
      <w:pPr>
        <w:widowControl w:val="0"/>
        <w:kinsoku w:val="0"/>
        <w:overflowPunct w:val="0"/>
        <w:autoSpaceDE w:val="0"/>
        <w:autoSpaceDN w:val="0"/>
        <w:adjustRightInd w:val="0"/>
        <w:spacing w:line="252" w:lineRule="exact"/>
        <w:jc w:val="center"/>
      </w:pPr>
      <w:proofErr w:type="spellStart"/>
      <w:r w:rsidRPr="004E0B17">
        <w:rPr>
          <w:spacing w:val="-1"/>
        </w:rPr>
        <w:t>Kanamicinas</w:t>
      </w:r>
      <w:proofErr w:type="spellEnd"/>
    </w:p>
    <w:p w:rsidR="008A1C92" w:rsidRPr="004E0B17" w:rsidRDefault="008A1C92" w:rsidP="008A1C92">
      <w:pPr>
        <w:widowControl w:val="0"/>
        <w:kinsoku w:val="0"/>
        <w:overflowPunct w:val="0"/>
        <w:autoSpaceDE w:val="0"/>
        <w:autoSpaceDN w:val="0"/>
        <w:adjustRightInd w:val="0"/>
        <w:spacing w:line="252" w:lineRule="exact"/>
        <w:rPr>
          <w:b/>
          <w:bCs/>
        </w:rPr>
      </w:pPr>
    </w:p>
    <w:p w:rsidR="008A1C92" w:rsidRDefault="008A1C92" w:rsidP="008A1C92">
      <w:pPr>
        <w:widowControl w:val="0"/>
        <w:tabs>
          <w:tab w:val="left" w:pos="686"/>
        </w:tabs>
        <w:kinsoku w:val="0"/>
        <w:overflowPunct w:val="0"/>
        <w:autoSpaceDE w:val="0"/>
        <w:autoSpaceDN w:val="0"/>
        <w:adjustRightInd w:val="0"/>
        <w:spacing w:line="252" w:lineRule="exact"/>
        <w:rPr>
          <w:b/>
          <w:bCs/>
          <w:lang w:val="es-AR" w:eastAsia="fr-FR"/>
        </w:rPr>
      </w:pPr>
      <w:r>
        <w:rPr>
          <w:b/>
          <w:noProof/>
          <w:lang w:eastAsia="fr-FR"/>
        </w:rPr>
        <w:t>A</w:t>
      </w:r>
      <w:r w:rsidRPr="00F47445">
        <w:rPr>
          <w:b/>
          <w:noProof/>
          <w:lang w:eastAsia="fr-FR"/>
        </w:rPr>
        <w:t>tidžiai perskaitykite visą šį lapelį, prieš pradėdami vartoti vaistą, nes jame pateikiama Jums svarbi informacija</w:t>
      </w:r>
      <w:r w:rsidRPr="004E0B17" w:rsidDel="008134F9">
        <w:rPr>
          <w:b/>
          <w:bCs/>
        </w:rPr>
        <w:t xml:space="preserve"> </w:t>
      </w:r>
    </w:p>
    <w:p w:rsidR="008A1C92" w:rsidRPr="004E0B17" w:rsidRDefault="008A1C92" w:rsidP="008A1C92">
      <w:pPr>
        <w:widowControl w:val="0"/>
        <w:tabs>
          <w:tab w:val="left" w:pos="686"/>
        </w:tabs>
        <w:kinsoku w:val="0"/>
        <w:overflowPunct w:val="0"/>
        <w:autoSpaceDE w:val="0"/>
        <w:autoSpaceDN w:val="0"/>
        <w:adjustRightInd w:val="0"/>
        <w:spacing w:line="252" w:lineRule="exact"/>
      </w:pPr>
      <w:r>
        <w:rPr>
          <w:b/>
          <w:bCs/>
          <w:lang w:val="es-AR" w:eastAsia="fr-FR"/>
        </w:rPr>
        <w:t>-</w:t>
      </w:r>
      <w:r>
        <w:rPr>
          <w:b/>
          <w:bCs/>
          <w:lang w:val="es-AR" w:eastAsia="fr-FR"/>
        </w:rPr>
        <w:tab/>
      </w:r>
      <w:r w:rsidRPr="004E0B17">
        <w:t>Neišmeskite</w:t>
      </w:r>
      <w:r w:rsidRPr="004E0B17">
        <w:rPr>
          <w:spacing w:val="-7"/>
        </w:rPr>
        <w:t xml:space="preserve"> </w:t>
      </w:r>
      <w:r w:rsidRPr="00F47445">
        <w:rPr>
          <w:noProof/>
          <w:lang w:eastAsia="fr-FR"/>
        </w:rPr>
        <w:t xml:space="preserve">šio </w:t>
      </w:r>
      <w:r w:rsidRPr="004E0B17">
        <w:t>lapelio,</w:t>
      </w:r>
      <w:r w:rsidRPr="004E0B17">
        <w:rPr>
          <w:spacing w:val="-6"/>
        </w:rPr>
        <w:t xml:space="preserve"> </w:t>
      </w:r>
      <w:r w:rsidRPr="004E0B17">
        <w:t>nes</w:t>
      </w:r>
      <w:r w:rsidRPr="004E0B17">
        <w:rPr>
          <w:spacing w:val="-7"/>
        </w:rPr>
        <w:t xml:space="preserve"> </w:t>
      </w:r>
      <w:r w:rsidRPr="004E0B17">
        <w:rPr>
          <w:spacing w:val="-1"/>
        </w:rPr>
        <w:t>vėl</w:t>
      </w:r>
      <w:r w:rsidRPr="004E0B17">
        <w:rPr>
          <w:spacing w:val="-6"/>
        </w:rPr>
        <w:t xml:space="preserve"> </w:t>
      </w:r>
      <w:r w:rsidRPr="004E0B17">
        <w:t>gali</w:t>
      </w:r>
      <w:r w:rsidRPr="004E0B17">
        <w:rPr>
          <w:spacing w:val="-6"/>
        </w:rPr>
        <w:t xml:space="preserve"> </w:t>
      </w:r>
      <w:r w:rsidRPr="004E0B17">
        <w:t>prireikti</w:t>
      </w:r>
      <w:r w:rsidRPr="004E0B17">
        <w:rPr>
          <w:spacing w:val="-8"/>
        </w:rPr>
        <w:t xml:space="preserve"> </w:t>
      </w:r>
      <w:r w:rsidRPr="004E0B17">
        <w:rPr>
          <w:spacing w:val="-1"/>
        </w:rPr>
        <w:t>jį</w:t>
      </w:r>
      <w:r w:rsidRPr="004E0B17">
        <w:rPr>
          <w:spacing w:val="-6"/>
        </w:rPr>
        <w:t xml:space="preserve"> </w:t>
      </w:r>
      <w:r w:rsidRPr="004E0B17">
        <w:t>perskaityti.</w:t>
      </w:r>
    </w:p>
    <w:p w:rsidR="008A1C92" w:rsidRPr="004E0B17" w:rsidRDefault="008A1C92" w:rsidP="008A1C92">
      <w:pPr>
        <w:widowControl w:val="0"/>
        <w:numPr>
          <w:ilvl w:val="0"/>
          <w:numId w:val="3"/>
        </w:numPr>
        <w:tabs>
          <w:tab w:val="left" w:pos="686"/>
        </w:tabs>
        <w:kinsoku w:val="0"/>
        <w:overflowPunct w:val="0"/>
        <w:autoSpaceDE w:val="0"/>
        <w:autoSpaceDN w:val="0"/>
        <w:adjustRightInd w:val="0"/>
        <w:ind w:hanging="567"/>
        <w:rPr>
          <w:lang w:val="es-AR" w:eastAsia="fr-FR"/>
        </w:rPr>
      </w:pPr>
      <w:r w:rsidRPr="004E0B17">
        <w:t>Jeigu</w:t>
      </w:r>
      <w:r w:rsidRPr="004E0B17">
        <w:rPr>
          <w:spacing w:val="-7"/>
        </w:rPr>
        <w:t xml:space="preserve"> </w:t>
      </w:r>
      <w:r w:rsidRPr="004E0B17">
        <w:rPr>
          <w:spacing w:val="-1"/>
        </w:rPr>
        <w:t>kiltų</w:t>
      </w:r>
      <w:r>
        <w:rPr>
          <w:spacing w:val="-1"/>
          <w:lang w:val="es-AR" w:eastAsia="fr-FR"/>
        </w:rPr>
        <w:t xml:space="preserve"> </w:t>
      </w:r>
      <w:proofErr w:type="spellStart"/>
      <w:r>
        <w:rPr>
          <w:spacing w:val="-1"/>
          <w:lang w:val="es-AR" w:eastAsia="fr-FR"/>
        </w:rPr>
        <w:t>daugiau</w:t>
      </w:r>
      <w:proofErr w:type="spellEnd"/>
      <w:r w:rsidRPr="004E0B17">
        <w:rPr>
          <w:spacing w:val="-8"/>
          <w:lang w:val="es-AR" w:eastAsia="fr-FR"/>
        </w:rPr>
        <w:t xml:space="preserve"> </w:t>
      </w:r>
      <w:proofErr w:type="spellStart"/>
      <w:r w:rsidRPr="004E0B17">
        <w:rPr>
          <w:spacing w:val="-1"/>
          <w:lang w:val="es-AR" w:eastAsia="fr-FR"/>
        </w:rPr>
        <w:t>klausimų</w:t>
      </w:r>
      <w:proofErr w:type="spellEnd"/>
      <w:r w:rsidRPr="004E0B17">
        <w:rPr>
          <w:spacing w:val="-1"/>
          <w:lang w:val="es-AR" w:eastAsia="fr-FR"/>
        </w:rPr>
        <w:t>,</w:t>
      </w:r>
      <w:r w:rsidRPr="004E0B17">
        <w:rPr>
          <w:spacing w:val="-7"/>
          <w:lang w:val="es-AR" w:eastAsia="fr-FR"/>
        </w:rPr>
        <w:t xml:space="preserve"> </w:t>
      </w:r>
      <w:proofErr w:type="spellStart"/>
      <w:r w:rsidRPr="004E0B17">
        <w:rPr>
          <w:spacing w:val="-1"/>
          <w:lang w:val="es-AR" w:eastAsia="fr-FR"/>
        </w:rPr>
        <w:t>kreipkitės</w:t>
      </w:r>
      <w:proofErr w:type="spellEnd"/>
      <w:r w:rsidRPr="004E0B17">
        <w:rPr>
          <w:spacing w:val="-8"/>
          <w:lang w:val="es-AR" w:eastAsia="fr-FR"/>
        </w:rPr>
        <w:t xml:space="preserve"> </w:t>
      </w:r>
      <w:r w:rsidRPr="004E0B17">
        <w:rPr>
          <w:lang w:val="es-AR" w:eastAsia="fr-FR"/>
        </w:rPr>
        <w:t>į</w:t>
      </w:r>
      <w:r w:rsidRPr="004E0B17">
        <w:rPr>
          <w:spacing w:val="-7"/>
          <w:lang w:val="es-AR" w:eastAsia="fr-FR"/>
        </w:rPr>
        <w:t xml:space="preserve"> </w:t>
      </w:r>
      <w:proofErr w:type="spellStart"/>
      <w:r w:rsidRPr="004E0B17">
        <w:rPr>
          <w:spacing w:val="-1"/>
          <w:lang w:val="es-AR" w:eastAsia="fr-FR"/>
        </w:rPr>
        <w:t>gydytoją</w:t>
      </w:r>
      <w:proofErr w:type="spellEnd"/>
      <w:r w:rsidRPr="004E0B17">
        <w:rPr>
          <w:spacing w:val="-8"/>
          <w:lang w:val="es-AR" w:eastAsia="fr-FR"/>
        </w:rPr>
        <w:t xml:space="preserve"> </w:t>
      </w:r>
      <w:proofErr w:type="spellStart"/>
      <w:r w:rsidRPr="004E0B17">
        <w:rPr>
          <w:lang w:val="es-AR" w:eastAsia="fr-FR"/>
        </w:rPr>
        <w:t>arba</w:t>
      </w:r>
      <w:proofErr w:type="spellEnd"/>
      <w:r w:rsidRPr="004E0B17">
        <w:rPr>
          <w:spacing w:val="-7"/>
          <w:lang w:val="es-AR" w:eastAsia="fr-FR"/>
        </w:rPr>
        <w:t xml:space="preserve"> </w:t>
      </w:r>
      <w:proofErr w:type="spellStart"/>
      <w:r w:rsidRPr="004E0B17">
        <w:rPr>
          <w:spacing w:val="-1"/>
          <w:lang w:val="es-AR" w:eastAsia="fr-FR"/>
        </w:rPr>
        <w:t>vaistininką</w:t>
      </w:r>
      <w:proofErr w:type="spellEnd"/>
      <w:r w:rsidRPr="004E0B17">
        <w:rPr>
          <w:spacing w:val="-1"/>
          <w:lang w:val="es-AR" w:eastAsia="fr-FR"/>
        </w:rPr>
        <w:t>.</w:t>
      </w:r>
    </w:p>
    <w:p w:rsidR="008A1C92" w:rsidRPr="004E0B17" w:rsidRDefault="008A1C92" w:rsidP="008A1C92">
      <w:pPr>
        <w:widowControl w:val="0"/>
        <w:numPr>
          <w:ilvl w:val="0"/>
          <w:numId w:val="3"/>
        </w:numPr>
        <w:tabs>
          <w:tab w:val="left" w:pos="686"/>
        </w:tabs>
        <w:kinsoku w:val="0"/>
        <w:overflowPunct w:val="0"/>
        <w:autoSpaceDE w:val="0"/>
        <w:autoSpaceDN w:val="0"/>
        <w:adjustRightInd w:val="0"/>
        <w:ind w:hanging="567"/>
        <w:rPr>
          <w:spacing w:val="-1"/>
        </w:rPr>
      </w:pPr>
      <w:proofErr w:type="spellStart"/>
      <w:r w:rsidRPr="004E0B17">
        <w:rPr>
          <w:spacing w:val="-1"/>
          <w:lang w:val="es-AR" w:eastAsia="fr-FR"/>
        </w:rPr>
        <w:t>Šis</w:t>
      </w:r>
      <w:proofErr w:type="spellEnd"/>
      <w:r w:rsidRPr="004E0B17">
        <w:rPr>
          <w:spacing w:val="-6"/>
          <w:lang w:val="es-AR" w:eastAsia="fr-FR"/>
        </w:rPr>
        <w:t xml:space="preserve"> </w:t>
      </w:r>
      <w:proofErr w:type="spellStart"/>
      <w:r w:rsidRPr="004E0B17">
        <w:rPr>
          <w:spacing w:val="-1"/>
          <w:lang w:val="es-AR" w:eastAsia="fr-FR"/>
        </w:rPr>
        <w:t>vaistas</w:t>
      </w:r>
      <w:proofErr w:type="spellEnd"/>
      <w:r w:rsidRPr="004E0B17">
        <w:rPr>
          <w:spacing w:val="-6"/>
          <w:lang w:val="es-AR" w:eastAsia="fr-FR"/>
        </w:rPr>
        <w:t xml:space="preserve"> </w:t>
      </w:r>
      <w:proofErr w:type="spellStart"/>
      <w:r w:rsidRPr="004E0B17">
        <w:rPr>
          <w:lang w:val="es-AR" w:eastAsia="fr-FR"/>
        </w:rPr>
        <w:t>skirtas</w:t>
      </w:r>
      <w:proofErr w:type="spellEnd"/>
      <w:r>
        <w:rPr>
          <w:lang w:val="es-AR" w:eastAsia="fr-FR"/>
        </w:rPr>
        <w:t xml:space="preserve"> </w:t>
      </w:r>
      <w:proofErr w:type="spellStart"/>
      <w:r>
        <w:rPr>
          <w:lang w:val="es-AR" w:eastAsia="fr-FR"/>
        </w:rPr>
        <w:t>tik</w:t>
      </w:r>
      <w:proofErr w:type="spellEnd"/>
      <w:r w:rsidRPr="004E0B17">
        <w:rPr>
          <w:spacing w:val="-6"/>
        </w:rPr>
        <w:t xml:space="preserve"> </w:t>
      </w:r>
      <w:r w:rsidRPr="004E0B17">
        <w:rPr>
          <w:spacing w:val="-1"/>
        </w:rPr>
        <w:t>Jums,</w:t>
      </w:r>
      <w:r w:rsidRPr="004E0B17">
        <w:rPr>
          <w:spacing w:val="-6"/>
        </w:rPr>
        <w:t xml:space="preserve"> </w:t>
      </w:r>
      <w:r w:rsidRPr="004E0B17">
        <w:t>todėl</w:t>
      </w:r>
      <w:r w:rsidRPr="004E0B17">
        <w:rPr>
          <w:spacing w:val="-6"/>
        </w:rPr>
        <w:t xml:space="preserve"> </w:t>
      </w:r>
      <w:r w:rsidRPr="004E0B17">
        <w:t>kitiems</w:t>
      </w:r>
      <w:r w:rsidRPr="004E0B17">
        <w:rPr>
          <w:spacing w:val="-6"/>
        </w:rPr>
        <w:t xml:space="preserve"> </w:t>
      </w:r>
      <w:r w:rsidRPr="004E0B17">
        <w:rPr>
          <w:spacing w:val="-1"/>
        </w:rPr>
        <w:t>žmonėms</w:t>
      </w:r>
      <w:r w:rsidRPr="004E0B17">
        <w:rPr>
          <w:spacing w:val="-6"/>
        </w:rPr>
        <w:t xml:space="preserve"> </w:t>
      </w:r>
      <w:r w:rsidRPr="004E0B17">
        <w:t>jo</w:t>
      </w:r>
      <w:r w:rsidRPr="004E0B17">
        <w:rPr>
          <w:spacing w:val="-6"/>
        </w:rPr>
        <w:t xml:space="preserve"> </w:t>
      </w:r>
      <w:r w:rsidRPr="004E0B17">
        <w:t>duoti</w:t>
      </w:r>
      <w:r w:rsidRPr="004E0B17">
        <w:rPr>
          <w:spacing w:val="-6"/>
        </w:rPr>
        <w:t xml:space="preserve"> </w:t>
      </w:r>
      <w:r w:rsidRPr="004E0B17">
        <w:rPr>
          <w:spacing w:val="-1"/>
        </w:rPr>
        <w:t>negalima.</w:t>
      </w:r>
      <w:r>
        <w:rPr>
          <w:lang w:val="es-AR" w:eastAsia="fr-FR"/>
        </w:rPr>
        <w:t xml:space="preserve"> Vais</w:t>
      </w:r>
      <w:r w:rsidRPr="004E0B17">
        <w:t>tas</w:t>
      </w:r>
      <w:r w:rsidRPr="004E0B17">
        <w:rPr>
          <w:spacing w:val="-5"/>
        </w:rPr>
        <w:t xml:space="preserve"> </w:t>
      </w:r>
      <w:r w:rsidRPr="004E0B17">
        <w:t>gali</w:t>
      </w:r>
      <w:r w:rsidRPr="004E0B17">
        <w:rPr>
          <w:spacing w:val="-6"/>
        </w:rPr>
        <w:t xml:space="preserve"> </w:t>
      </w:r>
      <w:r w:rsidRPr="004E0B17">
        <w:rPr>
          <w:spacing w:val="-1"/>
        </w:rPr>
        <w:t>jiems</w:t>
      </w:r>
      <w:r w:rsidRPr="004E0B17">
        <w:rPr>
          <w:spacing w:val="37"/>
          <w:w w:val="99"/>
        </w:rPr>
        <w:t xml:space="preserve"> </w:t>
      </w:r>
      <w:r w:rsidRPr="004E0B17">
        <w:t>pakenkti</w:t>
      </w:r>
      <w:r w:rsidRPr="004E0B17">
        <w:rPr>
          <w:spacing w:val="-6"/>
        </w:rPr>
        <w:t xml:space="preserve"> </w:t>
      </w:r>
      <w:r w:rsidRPr="004E0B17">
        <w:t>(net</w:t>
      </w:r>
      <w:r w:rsidRPr="004E0B17">
        <w:rPr>
          <w:spacing w:val="-6"/>
        </w:rPr>
        <w:t xml:space="preserve"> </w:t>
      </w:r>
      <w:r w:rsidRPr="004E0B17">
        <w:t>t</w:t>
      </w:r>
      <w:proofErr w:type="spellStart"/>
      <w:r>
        <w:rPr>
          <w:lang w:val="es-AR" w:eastAsia="fr-FR"/>
        </w:rPr>
        <w:t>iems</w:t>
      </w:r>
      <w:proofErr w:type="spellEnd"/>
      <w:r>
        <w:rPr>
          <w:lang w:val="es-AR" w:eastAsia="fr-FR"/>
        </w:rPr>
        <w:t>,</w:t>
      </w:r>
      <w:r w:rsidRPr="004E0B17">
        <w:rPr>
          <w:spacing w:val="-5"/>
        </w:rPr>
        <w:t xml:space="preserve"> </w:t>
      </w:r>
      <w:proofErr w:type="spellStart"/>
      <w:r>
        <w:rPr>
          <w:spacing w:val="-1"/>
          <w:lang w:val="es-AR" w:eastAsia="fr-FR"/>
        </w:rPr>
        <w:t>kurių</w:t>
      </w:r>
      <w:proofErr w:type="spellEnd"/>
      <w:r>
        <w:rPr>
          <w:spacing w:val="-1"/>
          <w:lang w:val="es-AR" w:eastAsia="fr-FR"/>
        </w:rPr>
        <w:t xml:space="preserve"> </w:t>
      </w:r>
      <w:r w:rsidRPr="00B34FA1">
        <w:rPr>
          <w:noProof/>
          <w:szCs w:val="24"/>
        </w:rPr>
        <w:t>ligos požymiai yra tokie patys kaip Jūsų</w:t>
      </w:r>
      <w:r w:rsidRPr="004E0B17">
        <w:rPr>
          <w:spacing w:val="-1"/>
        </w:rPr>
        <w:t>).</w:t>
      </w:r>
    </w:p>
    <w:p w:rsidR="008A1C92" w:rsidRPr="00F47445" w:rsidRDefault="008A1C92" w:rsidP="008A1C92">
      <w:pPr>
        <w:widowControl w:val="0"/>
        <w:numPr>
          <w:ilvl w:val="0"/>
          <w:numId w:val="3"/>
        </w:numPr>
        <w:tabs>
          <w:tab w:val="left" w:pos="686"/>
        </w:tabs>
        <w:kinsoku w:val="0"/>
        <w:overflowPunct w:val="0"/>
        <w:autoSpaceDE w:val="0"/>
        <w:autoSpaceDN w:val="0"/>
        <w:adjustRightInd w:val="0"/>
        <w:ind w:hanging="567"/>
        <w:rPr>
          <w:lang w:val="fr-FR" w:eastAsia="fr-FR"/>
        </w:rPr>
      </w:pPr>
      <w:r w:rsidRPr="00F47445">
        <w:rPr>
          <w:noProof/>
          <w:lang w:eastAsia="fr-FR"/>
        </w:rPr>
        <w:t>Jeigu pasireiškė šalutinis poveikis (net jeigu jis šiame lapelyje nenurodytas), kreipkitės į gydytoją arba vaistininką. Žr. 4 skyrių.</w:t>
      </w:r>
    </w:p>
    <w:p w:rsidR="008A1C92" w:rsidRPr="00F47445" w:rsidRDefault="008A1C92" w:rsidP="008A1C92">
      <w:pPr>
        <w:widowControl w:val="0"/>
        <w:kinsoku w:val="0"/>
        <w:overflowPunct w:val="0"/>
        <w:autoSpaceDE w:val="0"/>
        <w:autoSpaceDN w:val="0"/>
        <w:adjustRightInd w:val="0"/>
        <w:spacing w:before="2"/>
        <w:rPr>
          <w:lang w:val="fr-FR" w:eastAsia="fr-FR"/>
        </w:rPr>
      </w:pPr>
    </w:p>
    <w:p w:rsidR="008A1C92" w:rsidRPr="004E0B17" w:rsidRDefault="008A1C92" w:rsidP="008A1C92">
      <w:pPr>
        <w:pStyle w:val="Antrat1"/>
        <w:kinsoku w:val="0"/>
        <w:overflowPunct w:val="0"/>
        <w:spacing w:before="240" w:line="252" w:lineRule="exact"/>
        <w:rPr>
          <w:b/>
          <w:szCs w:val="28"/>
        </w:rPr>
      </w:pPr>
      <w:r w:rsidRPr="00F47445">
        <w:rPr>
          <w:b/>
          <w:bCs/>
          <w:lang w:eastAsia="fr-FR"/>
        </w:rPr>
        <w:t>Apie ką rašoma šiame lapelyje?</w:t>
      </w:r>
    </w:p>
    <w:p w:rsidR="008A1C92" w:rsidRPr="00F47445" w:rsidRDefault="008A1C92" w:rsidP="008A1C92">
      <w:pPr>
        <w:widowControl w:val="0"/>
        <w:numPr>
          <w:ilvl w:val="0"/>
          <w:numId w:val="2"/>
        </w:numPr>
        <w:kinsoku w:val="0"/>
        <w:overflowPunct w:val="0"/>
        <w:autoSpaceDE w:val="0"/>
        <w:autoSpaceDN w:val="0"/>
        <w:adjustRightInd w:val="0"/>
        <w:spacing w:line="252" w:lineRule="exact"/>
        <w:ind w:left="567" w:hanging="567"/>
        <w:rPr>
          <w:lang w:val="es-AR" w:eastAsia="fr-FR"/>
        </w:rPr>
      </w:pPr>
      <w:proofErr w:type="spellStart"/>
      <w:r w:rsidRPr="00F47445">
        <w:rPr>
          <w:lang w:val="es-AR" w:eastAsia="fr-FR"/>
        </w:rPr>
        <w:t>Kas</w:t>
      </w:r>
      <w:proofErr w:type="spellEnd"/>
      <w:r w:rsidRPr="00F47445">
        <w:rPr>
          <w:spacing w:val="-6"/>
          <w:lang w:val="es-AR" w:eastAsia="fr-FR"/>
        </w:rPr>
        <w:t xml:space="preserve"> </w:t>
      </w:r>
      <w:proofErr w:type="spellStart"/>
      <w:r w:rsidRPr="00F47445">
        <w:rPr>
          <w:lang w:val="es-AR" w:eastAsia="fr-FR"/>
        </w:rPr>
        <w:t>yra</w:t>
      </w:r>
      <w:proofErr w:type="spellEnd"/>
      <w:r w:rsidRPr="00F47445">
        <w:rPr>
          <w:spacing w:val="-5"/>
          <w:lang w:val="es-AR" w:eastAsia="fr-FR"/>
        </w:rPr>
        <w:t xml:space="preserve"> </w:t>
      </w:r>
      <w:r>
        <w:rPr>
          <w:szCs w:val="22"/>
        </w:rPr>
        <w:t>KANAMYCIN PANPHARMA</w:t>
      </w:r>
      <w:r w:rsidRPr="00F47445" w:rsidDel="00B213D3">
        <w:rPr>
          <w:lang w:val="es-AR" w:eastAsia="fr-FR"/>
        </w:rPr>
        <w:t xml:space="preserve"> </w:t>
      </w:r>
      <w:r w:rsidRPr="00F47445">
        <w:rPr>
          <w:spacing w:val="44"/>
          <w:lang w:val="es-AR" w:eastAsia="fr-FR"/>
        </w:rPr>
        <w:t xml:space="preserve"> </w:t>
      </w:r>
      <w:r w:rsidRPr="00F47445">
        <w:rPr>
          <w:lang w:eastAsia="fr-FR"/>
        </w:rPr>
        <w:t xml:space="preserve">ir kam </w:t>
      </w:r>
      <w:r w:rsidRPr="00F47445">
        <w:rPr>
          <w:lang w:val="es-AR" w:eastAsia="fr-FR"/>
        </w:rPr>
        <w:t>jis</w:t>
      </w:r>
      <w:r w:rsidRPr="00F47445">
        <w:rPr>
          <w:spacing w:val="-5"/>
          <w:lang w:val="es-AR" w:eastAsia="fr-FR"/>
        </w:rPr>
        <w:t xml:space="preserve"> </w:t>
      </w:r>
      <w:proofErr w:type="spellStart"/>
      <w:r w:rsidRPr="00F47445">
        <w:rPr>
          <w:spacing w:val="-1"/>
          <w:lang w:val="es-AR" w:eastAsia="fr-FR"/>
        </w:rPr>
        <w:t>vartojamas</w:t>
      </w:r>
      <w:proofErr w:type="spellEnd"/>
    </w:p>
    <w:p w:rsidR="008A1C92" w:rsidRPr="00F47445" w:rsidRDefault="008A1C92" w:rsidP="008A1C92">
      <w:pPr>
        <w:widowControl w:val="0"/>
        <w:numPr>
          <w:ilvl w:val="0"/>
          <w:numId w:val="2"/>
        </w:numPr>
        <w:kinsoku w:val="0"/>
        <w:overflowPunct w:val="0"/>
        <w:autoSpaceDE w:val="0"/>
        <w:autoSpaceDN w:val="0"/>
        <w:adjustRightInd w:val="0"/>
        <w:ind w:left="567" w:hanging="567"/>
        <w:rPr>
          <w:lang w:val="es-AR" w:eastAsia="fr-FR"/>
        </w:rPr>
      </w:pPr>
      <w:proofErr w:type="spellStart"/>
      <w:r w:rsidRPr="00F47445">
        <w:rPr>
          <w:lang w:val="es-AR" w:eastAsia="fr-FR"/>
        </w:rPr>
        <w:t>Kas</w:t>
      </w:r>
      <w:proofErr w:type="spellEnd"/>
      <w:r w:rsidRPr="00F47445">
        <w:rPr>
          <w:spacing w:val="-11"/>
          <w:lang w:val="es-AR" w:eastAsia="fr-FR"/>
        </w:rPr>
        <w:t xml:space="preserve"> </w:t>
      </w:r>
      <w:proofErr w:type="spellStart"/>
      <w:r w:rsidRPr="00F47445">
        <w:rPr>
          <w:lang w:val="es-AR" w:eastAsia="fr-FR"/>
        </w:rPr>
        <w:t>žinotina</w:t>
      </w:r>
      <w:proofErr w:type="spellEnd"/>
      <w:r w:rsidRPr="00F47445">
        <w:rPr>
          <w:spacing w:val="-10"/>
          <w:lang w:val="es-AR" w:eastAsia="fr-FR"/>
        </w:rPr>
        <w:t xml:space="preserve"> </w:t>
      </w:r>
      <w:proofErr w:type="spellStart"/>
      <w:r w:rsidRPr="00F47445">
        <w:rPr>
          <w:lang w:val="es-AR" w:eastAsia="fr-FR"/>
        </w:rPr>
        <w:t>prieš</w:t>
      </w:r>
      <w:proofErr w:type="spellEnd"/>
      <w:r w:rsidRPr="00F47445">
        <w:rPr>
          <w:spacing w:val="-11"/>
          <w:lang w:val="es-AR" w:eastAsia="fr-FR"/>
        </w:rPr>
        <w:t xml:space="preserve"> </w:t>
      </w:r>
      <w:proofErr w:type="spellStart"/>
      <w:r w:rsidRPr="00F47445">
        <w:rPr>
          <w:lang w:val="es-AR" w:eastAsia="fr-FR"/>
        </w:rPr>
        <w:t>vartojant</w:t>
      </w:r>
      <w:proofErr w:type="spellEnd"/>
      <w:r w:rsidRPr="00F47445">
        <w:rPr>
          <w:spacing w:val="-10"/>
          <w:lang w:val="es-AR" w:eastAsia="fr-FR"/>
        </w:rPr>
        <w:t xml:space="preserve"> </w:t>
      </w:r>
      <w:r>
        <w:rPr>
          <w:szCs w:val="22"/>
        </w:rPr>
        <w:t>KANAMYCIN PANPHARMA</w:t>
      </w:r>
      <w:r w:rsidRPr="00F47445" w:rsidDel="00B213D3">
        <w:rPr>
          <w:lang w:val="es-AR" w:eastAsia="fr-FR"/>
        </w:rPr>
        <w:t xml:space="preserve"> </w:t>
      </w:r>
    </w:p>
    <w:p w:rsidR="008A1C92" w:rsidRPr="00F47445" w:rsidRDefault="008A1C92" w:rsidP="008A1C92">
      <w:pPr>
        <w:widowControl w:val="0"/>
        <w:numPr>
          <w:ilvl w:val="0"/>
          <w:numId w:val="2"/>
        </w:numPr>
        <w:kinsoku w:val="0"/>
        <w:overflowPunct w:val="0"/>
        <w:autoSpaceDE w:val="0"/>
        <w:autoSpaceDN w:val="0"/>
        <w:adjustRightInd w:val="0"/>
        <w:ind w:left="567" w:hanging="567"/>
        <w:rPr>
          <w:lang w:val="fr-FR" w:eastAsia="fr-FR"/>
        </w:rPr>
      </w:pPr>
      <w:proofErr w:type="spellStart"/>
      <w:r w:rsidRPr="00F47445">
        <w:rPr>
          <w:lang w:val="fr-FR" w:eastAsia="fr-FR"/>
        </w:rPr>
        <w:t>Kaip</w:t>
      </w:r>
      <w:proofErr w:type="spellEnd"/>
      <w:r w:rsidRPr="00F47445">
        <w:rPr>
          <w:spacing w:val="-15"/>
          <w:lang w:val="fr-FR" w:eastAsia="fr-FR"/>
        </w:rPr>
        <w:t xml:space="preserve"> </w:t>
      </w:r>
      <w:proofErr w:type="spellStart"/>
      <w:r w:rsidRPr="00F47445">
        <w:rPr>
          <w:lang w:val="fr-FR" w:eastAsia="fr-FR"/>
        </w:rPr>
        <w:t>vartoti</w:t>
      </w:r>
      <w:proofErr w:type="spellEnd"/>
      <w:r w:rsidRPr="00F47445">
        <w:rPr>
          <w:spacing w:val="-14"/>
          <w:lang w:val="fr-FR" w:eastAsia="fr-FR"/>
        </w:rPr>
        <w:t xml:space="preserve"> </w:t>
      </w:r>
      <w:r>
        <w:rPr>
          <w:szCs w:val="22"/>
        </w:rPr>
        <w:t>KANAMYCIN PANPHARMA</w:t>
      </w:r>
      <w:r w:rsidRPr="00F47445" w:rsidDel="00024C58">
        <w:rPr>
          <w:lang w:val="fr-FR" w:eastAsia="fr-FR"/>
        </w:rPr>
        <w:t xml:space="preserve"> </w:t>
      </w:r>
    </w:p>
    <w:p w:rsidR="008A1C92" w:rsidRPr="00F47445" w:rsidRDefault="008A1C92" w:rsidP="008A1C92">
      <w:pPr>
        <w:widowControl w:val="0"/>
        <w:numPr>
          <w:ilvl w:val="0"/>
          <w:numId w:val="2"/>
        </w:numPr>
        <w:kinsoku w:val="0"/>
        <w:overflowPunct w:val="0"/>
        <w:autoSpaceDE w:val="0"/>
        <w:autoSpaceDN w:val="0"/>
        <w:adjustRightInd w:val="0"/>
        <w:ind w:left="567" w:hanging="567"/>
        <w:rPr>
          <w:lang w:val="fr-FR" w:eastAsia="fr-FR"/>
        </w:rPr>
      </w:pPr>
      <w:proofErr w:type="spellStart"/>
      <w:r w:rsidRPr="00F47445">
        <w:rPr>
          <w:lang w:val="fr-FR" w:eastAsia="fr-FR"/>
        </w:rPr>
        <w:t>Galimas</w:t>
      </w:r>
      <w:proofErr w:type="spellEnd"/>
      <w:r w:rsidRPr="00F47445">
        <w:rPr>
          <w:spacing w:val="-12"/>
          <w:lang w:val="fr-FR" w:eastAsia="fr-FR"/>
        </w:rPr>
        <w:t xml:space="preserve"> </w:t>
      </w:r>
      <w:proofErr w:type="spellStart"/>
      <w:r w:rsidRPr="00F47445">
        <w:rPr>
          <w:lang w:val="fr-FR" w:eastAsia="fr-FR"/>
        </w:rPr>
        <w:t>šalutinis</w:t>
      </w:r>
      <w:proofErr w:type="spellEnd"/>
      <w:r w:rsidRPr="00F47445">
        <w:rPr>
          <w:spacing w:val="-11"/>
          <w:lang w:val="fr-FR" w:eastAsia="fr-FR"/>
        </w:rPr>
        <w:t xml:space="preserve"> </w:t>
      </w:r>
      <w:proofErr w:type="spellStart"/>
      <w:r w:rsidRPr="00F47445">
        <w:rPr>
          <w:lang w:val="fr-FR" w:eastAsia="fr-FR"/>
        </w:rPr>
        <w:t>poveikis</w:t>
      </w:r>
      <w:proofErr w:type="spellEnd"/>
    </w:p>
    <w:p w:rsidR="008A1C92" w:rsidRPr="00F47445" w:rsidRDefault="008A1C92" w:rsidP="008A1C92">
      <w:pPr>
        <w:widowControl w:val="0"/>
        <w:numPr>
          <w:ilvl w:val="0"/>
          <w:numId w:val="2"/>
        </w:numPr>
        <w:kinsoku w:val="0"/>
        <w:overflowPunct w:val="0"/>
        <w:autoSpaceDE w:val="0"/>
        <w:autoSpaceDN w:val="0"/>
        <w:adjustRightInd w:val="0"/>
        <w:spacing w:line="252" w:lineRule="exact"/>
        <w:ind w:left="567" w:hanging="567"/>
        <w:rPr>
          <w:lang w:val="fr-FR" w:eastAsia="fr-FR"/>
        </w:rPr>
      </w:pPr>
      <w:r w:rsidRPr="00F47445">
        <w:rPr>
          <w:lang w:eastAsia="fr-FR"/>
        </w:rPr>
        <w:t xml:space="preserve">Kaip laikyti </w:t>
      </w:r>
      <w:r>
        <w:rPr>
          <w:szCs w:val="22"/>
        </w:rPr>
        <w:t>KANAMYCIN PANPHARMA</w:t>
      </w:r>
      <w:r w:rsidRPr="00F47445" w:rsidDel="00024C58">
        <w:rPr>
          <w:lang w:val="fr-FR" w:eastAsia="fr-FR"/>
        </w:rPr>
        <w:t xml:space="preserve"> </w:t>
      </w:r>
      <w:r w:rsidRPr="00F47445">
        <w:rPr>
          <w:spacing w:val="33"/>
          <w:lang w:val="fr-FR" w:eastAsia="fr-FR"/>
        </w:rPr>
        <w:t xml:space="preserve"> </w:t>
      </w:r>
    </w:p>
    <w:p w:rsidR="008A1C92" w:rsidRPr="00F47445" w:rsidRDefault="008A1C92" w:rsidP="008A1C92">
      <w:pPr>
        <w:widowControl w:val="0"/>
        <w:numPr>
          <w:ilvl w:val="0"/>
          <w:numId w:val="2"/>
        </w:numPr>
        <w:kinsoku w:val="0"/>
        <w:overflowPunct w:val="0"/>
        <w:autoSpaceDE w:val="0"/>
        <w:autoSpaceDN w:val="0"/>
        <w:adjustRightInd w:val="0"/>
        <w:spacing w:line="252" w:lineRule="exact"/>
        <w:ind w:left="567" w:hanging="567"/>
        <w:rPr>
          <w:lang w:val="es-AR" w:eastAsia="fr-FR"/>
        </w:rPr>
      </w:pPr>
      <w:r w:rsidRPr="00F47445">
        <w:rPr>
          <w:noProof/>
          <w:lang w:eastAsia="fr-FR"/>
        </w:rPr>
        <w:t>Pakuotės turinys ir kita informacija</w:t>
      </w:r>
      <w:r w:rsidRPr="00F47445" w:rsidDel="0092348D">
        <w:rPr>
          <w:lang w:val="es-AR" w:eastAsia="fr-FR"/>
        </w:rPr>
        <w:t xml:space="preserve"> </w:t>
      </w:r>
    </w:p>
    <w:p w:rsidR="008A1C92" w:rsidRPr="00F47445" w:rsidRDefault="008A1C92" w:rsidP="008A1C92">
      <w:pPr>
        <w:widowControl w:val="0"/>
        <w:kinsoku w:val="0"/>
        <w:overflowPunct w:val="0"/>
        <w:autoSpaceDE w:val="0"/>
        <w:autoSpaceDN w:val="0"/>
        <w:adjustRightInd w:val="0"/>
        <w:rPr>
          <w:lang w:val="es-AR" w:eastAsia="fr-FR"/>
        </w:rPr>
      </w:pPr>
    </w:p>
    <w:p w:rsidR="008A1C92" w:rsidRDefault="008A1C92" w:rsidP="008A1C92">
      <w:pPr>
        <w:rPr>
          <w:b/>
        </w:rPr>
      </w:pPr>
    </w:p>
    <w:p w:rsidR="008A1C92" w:rsidRDefault="008A1C92" w:rsidP="008A1C92">
      <w:pPr>
        <w:tabs>
          <w:tab w:val="left" w:pos="567"/>
        </w:tabs>
        <w:rPr>
          <w:b/>
        </w:rPr>
      </w:pPr>
      <w:r>
        <w:rPr>
          <w:b/>
          <w:szCs w:val="22"/>
        </w:rPr>
        <w:t>1.</w:t>
      </w:r>
      <w:r>
        <w:rPr>
          <w:b/>
          <w:szCs w:val="22"/>
        </w:rPr>
        <w:tab/>
        <w:t xml:space="preserve">Kas yra </w:t>
      </w:r>
      <w:r w:rsidRPr="00310FA2">
        <w:rPr>
          <w:b/>
        </w:rPr>
        <w:t xml:space="preserve">KANAMYCIN PANPHARMA </w:t>
      </w:r>
      <w:r>
        <w:rPr>
          <w:b/>
          <w:szCs w:val="22"/>
        </w:rPr>
        <w:t xml:space="preserve">ir kam jis </w:t>
      </w:r>
      <w:proofErr w:type="spellStart"/>
      <w:r>
        <w:rPr>
          <w:b/>
          <w:szCs w:val="22"/>
        </w:rPr>
        <w:t>jis</w:t>
      </w:r>
      <w:proofErr w:type="spellEnd"/>
      <w:r>
        <w:rPr>
          <w:b/>
          <w:szCs w:val="22"/>
        </w:rPr>
        <w:t xml:space="preserve"> vartojamas</w:t>
      </w:r>
      <w:r>
        <w:rPr>
          <w:b/>
        </w:rPr>
        <w:t xml:space="preserve"> </w:t>
      </w:r>
    </w:p>
    <w:p w:rsidR="008A1C92" w:rsidRDefault="008A1C92" w:rsidP="008A1C92"/>
    <w:p w:rsidR="008A1C92" w:rsidRDefault="008A1C92" w:rsidP="008A1C92">
      <w:r w:rsidRPr="00310FA2">
        <w:t xml:space="preserve">KANAMYCIN PANPHARMA </w:t>
      </w:r>
      <w:r>
        <w:t xml:space="preserve">1 g milteliai </w:t>
      </w:r>
      <w:r w:rsidRPr="00627ADF">
        <w:t>injekciniam tirpalui</w:t>
      </w:r>
      <w:r>
        <w:t xml:space="preserve"> yra higroskopiniai, balti arba beveik balti.</w:t>
      </w:r>
    </w:p>
    <w:p w:rsidR="008A1C92" w:rsidRDefault="008A1C92" w:rsidP="008A1C92"/>
    <w:p w:rsidR="008A1C92" w:rsidRDefault="008A1C92" w:rsidP="008A1C92">
      <w:r w:rsidRPr="00310FA2">
        <w:rPr>
          <w:szCs w:val="22"/>
        </w:rPr>
        <w:t xml:space="preserve">KANAMYCIN PANPHARMA </w:t>
      </w:r>
      <w:r>
        <w:rPr>
          <w:szCs w:val="22"/>
        </w:rPr>
        <w:t xml:space="preserve">tiekiamas flakonais, kiekviename jų yra po 1 g </w:t>
      </w:r>
      <w:proofErr w:type="spellStart"/>
      <w:r>
        <w:rPr>
          <w:szCs w:val="22"/>
        </w:rPr>
        <w:t>kanamicino</w:t>
      </w:r>
      <w:proofErr w:type="spellEnd"/>
      <w:r>
        <w:rPr>
          <w:szCs w:val="22"/>
        </w:rPr>
        <w:t xml:space="preserve"> miltelių. Kartono dėžutėje yra 25 arba 50 flakonų.</w:t>
      </w:r>
    </w:p>
    <w:p w:rsidR="008A1C92" w:rsidRDefault="008A1C92" w:rsidP="008A1C92">
      <w:pPr>
        <w:rPr>
          <w:szCs w:val="22"/>
        </w:rPr>
      </w:pPr>
      <w:proofErr w:type="spellStart"/>
      <w:r>
        <w:t>Kanamicinas</w:t>
      </w:r>
      <w:proofErr w:type="spellEnd"/>
      <w:r>
        <w:t xml:space="preserve"> yra </w:t>
      </w:r>
      <w:proofErr w:type="spellStart"/>
      <w:r>
        <w:t>aminoglikozidų</w:t>
      </w:r>
      <w:proofErr w:type="spellEnd"/>
      <w:r>
        <w:t xml:space="preserve"> grupės antibiotikas. Jis slopina bakterijų baltymų sintezę ir genetinio kodo perdavimą, todėl užkrečiamąsias ligas sukeliančios bakterijos žūsta. </w:t>
      </w:r>
    </w:p>
    <w:p w:rsidR="008A1C92" w:rsidRDefault="008A1C92" w:rsidP="008A1C92">
      <w:pPr>
        <w:tabs>
          <w:tab w:val="left" w:pos="567"/>
        </w:tabs>
        <w:rPr>
          <w:szCs w:val="22"/>
        </w:rPr>
      </w:pPr>
      <w:proofErr w:type="spellStart"/>
      <w:r>
        <w:rPr>
          <w:szCs w:val="22"/>
        </w:rPr>
        <w:t>Kanamicinu</w:t>
      </w:r>
      <w:proofErr w:type="spellEnd"/>
      <w:r>
        <w:rPr>
          <w:szCs w:val="22"/>
        </w:rPr>
        <w:t xml:space="preserve"> gydomos jautrių mikroorganizmų (žr. 5.1 skyrių ) sukeltų užkrečiamosios ligos:</w:t>
      </w:r>
    </w:p>
    <w:p w:rsidR="008A1C92" w:rsidRDefault="008A1C92" w:rsidP="008A1C92">
      <w:pPr>
        <w:tabs>
          <w:tab w:val="left" w:pos="567"/>
        </w:tabs>
        <w:rPr>
          <w:szCs w:val="22"/>
        </w:rPr>
      </w:pPr>
    </w:p>
    <w:p w:rsidR="008A1C92" w:rsidRDefault="008A1C92" w:rsidP="008A1C92">
      <w:pPr>
        <w:tabs>
          <w:tab w:val="left" w:pos="284"/>
        </w:tabs>
        <w:ind w:left="284" w:hanging="284"/>
      </w:pPr>
      <w:r>
        <w:sym w:font="Symbol" w:char="F0B7"/>
      </w:r>
      <w:r>
        <w:tab/>
      </w:r>
      <w:r w:rsidRPr="00F63556">
        <w:rPr>
          <w:i/>
        </w:rPr>
        <w:t>tuberkuliozė</w:t>
      </w:r>
      <w:r w:rsidRPr="00F63556">
        <w:t>, sukeltos Kocho bacilų, atsparių daugeliui preparatų nuo tuberkuliozės (kart</w:t>
      </w:r>
      <w:r>
        <w:t xml:space="preserve">u su kitais vaistais nuo tuberkuliozės); </w:t>
      </w:r>
    </w:p>
    <w:p w:rsidR="008A1C92" w:rsidRDefault="008A1C92" w:rsidP="008A1C92">
      <w:pPr>
        <w:numPr>
          <w:ilvl w:val="0"/>
          <w:numId w:val="1"/>
        </w:numPr>
        <w:tabs>
          <w:tab w:val="left" w:pos="567"/>
        </w:tabs>
        <w:ind w:left="284" w:hanging="284"/>
      </w:pPr>
      <w:r>
        <w:rPr>
          <w:i/>
        </w:rPr>
        <w:t>gyvybei pavojingos ligos</w:t>
      </w:r>
      <w:r>
        <w:t xml:space="preserve">, sukeltos </w:t>
      </w:r>
      <w:proofErr w:type="spellStart"/>
      <w:r>
        <w:t>gram</w:t>
      </w:r>
      <w:proofErr w:type="spellEnd"/>
      <w:r>
        <w:t xml:space="preserve"> neigiamų sukėlėjų, atsparių kitiems </w:t>
      </w:r>
      <w:proofErr w:type="spellStart"/>
      <w:r>
        <w:t>aminoglikozidų</w:t>
      </w:r>
      <w:proofErr w:type="spellEnd"/>
      <w:r>
        <w:t xml:space="preserve"> grupės antibiotikams, pvz., pneumonijos, sepsio, </w:t>
      </w:r>
      <w:proofErr w:type="spellStart"/>
      <w:r>
        <w:t>endokardito</w:t>
      </w:r>
      <w:proofErr w:type="spellEnd"/>
      <w:r>
        <w:t xml:space="preserve"> (kartu su kitais antibiotikais).</w:t>
      </w:r>
    </w:p>
    <w:p w:rsidR="008A1C92" w:rsidRDefault="008A1C92" w:rsidP="008A1C92">
      <w:pPr>
        <w:pStyle w:val="Antrats"/>
        <w:tabs>
          <w:tab w:val="clear" w:pos="4153"/>
          <w:tab w:val="clear" w:pos="8306"/>
        </w:tabs>
      </w:pPr>
    </w:p>
    <w:p w:rsidR="008A1C92" w:rsidRDefault="008A1C92" w:rsidP="008A1C92"/>
    <w:p w:rsidR="008A1C92" w:rsidRDefault="008A1C92" w:rsidP="008A1C92">
      <w:pPr>
        <w:pStyle w:val="Antrats"/>
        <w:tabs>
          <w:tab w:val="clear" w:pos="4153"/>
          <w:tab w:val="clear" w:pos="8306"/>
          <w:tab w:val="left" w:pos="567"/>
        </w:tabs>
      </w:pPr>
      <w:r>
        <w:rPr>
          <w:b/>
          <w:szCs w:val="22"/>
        </w:rPr>
        <w:t>2.</w:t>
      </w:r>
      <w:r>
        <w:rPr>
          <w:b/>
          <w:szCs w:val="22"/>
        </w:rPr>
        <w:tab/>
        <w:t>Kas žinotina prieš vartojant</w:t>
      </w:r>
      <w:r>
        <w:rPr>
          <w:b/>
        </w:rPr>
        <w:t xml:space="preserve"> </w:t>
      </w:r>
      <w:r w:rsidRPr="001F2F90">
        <w:rPr>
          <w:b/>
        </w:rPr>
        <w:t>KANAMYCIN PANPHARMA</w:t>
      </w:r>
    </w:p>
    <w:p w:rsidR="008A1C92" w:rsidRDefault="008A1C92" w:rsidP="008A1C92">
      <w:pPr>
        <w:pStyle w:val="Antrat3"/>
        <w:spacing w:line="240" w:lineRule="auto"/>
        <w:rPr>
          <w:szCs w:val="22"/>
        </w:rPr>
      </w:pPr>
    </w:p>
    <w:p w:rsidR="008A1C92" w:rsidRDefault="008A1C92" w:rsidP="008A1C92">
      <w:pPr>
        <w:pStyle w:val="Antrat3"/>
        <w:spacing w:line="240" w:lineRule="auto"/>
        <w:rPr>
          <w:szCs w:val="22"/>
        </w:rPr>
      </w:pPr>
      <w:r w:rsidRPr="001F2F90">
        <w:rPr>
          <w:szCs w:val="22"/>
        </w:rPr>
        <w:t xml:space="preserve">KANAMYCIN PANPHARMA </w:t>
      </w:r>
      <w:r>
        <w:rPr>
          <w:szCs w:val="22"/>
        </w:rPr>
        <w:t>vartoti negalima:</w:t>
      </w:r>
    </w:p>
    <w:p w:rsidR="008A1C92" w:rsidRDefault="008A1C92" w:rsidP="008A1C92">
      <w:pPr>
        <w:widowControl w:val="0"/>
        <w:numPr>
          <w:ilvl w:val="0"/>
          <w:numId w:val="4"/>
        </w:numPr>
        <w:tabs>
          <w:tab w:val="left" w:pos="567"/>
        </w:tabs>
        <w:kinsoku w:val="0"/>
        <w:overflowPunct w:val="0"/>
        <w:autoSpaceDE w:val="0"/>
        <w:autoSpaceDN w:val="0"/>
        <w:adjustRightInd w:val="0"/>
        <w:spacing w:line="252" w:lineRule="exact"/>
        <w:ind w:left="567" w:hanging="567"/>
        <w:rPr>
          <w:lang w:eastAsia="fr-FR"/>
        </w:rPr>
      </w:pPr>
      <w:r w:rsidRPr="00F47445">
        <w:rPr>
          <w:noProof/>
          <w:lang w:eastAsia="fr-FR"/>
        </w:rPr>
        <w:t>jeigu yra alergija</w:t>
      </w:r>
      <w:r w:rsidRPr="00765779">
        <w:rPr>
          <w:spacing w:val="-1"/>
        </w:rPr>
        <w:t xml:space="preserve"> </w:t>
      </w:r>
      <w:r>
        <w:rPr>
          <w:noProof/>
          <w:lang w:eastAsia="fr-FR"/>
        </w:rPr>
        <w:t>k</w:t>
      </w:r>
      <w:r w:rsidRPr="00765779">
        <w:rPr>
          <w:noProof/>
        </w:rPr>
        <w:t>anamicin</w:t>
      </w:r>
      <w:r>
        <w:rPr>
          <w:noProof/>
          <w:lang w:eastAsia="fr-FR"/>
        </w:rPr>
        <w:t>ui</w:t>
      </w:r>
      <w:r w:rsidRPr="00F47445">
        <w:rPr>
          <w:noProof/>
          <w:lang w:eastAsia="fr-FR"/>
        </w:rPr>
        <w:t xml:space="preserve">, </w:t>
      </w:r>
      <w:proofErr w:type="spellStart"/>
      <w:r w:rsidRPr="00765779">
        <w:rPr>
          <w:spacing w:val="-1"/>
        </w:rPr>
        <w:t>aminoglikozidų</w:t>
      </w:r>
      <w:proofErr w:type="spellEnd"/>
      <w:r w:rsidRPr="00765779">
        <w:rPr>
          <w:spacing w:val="-10"/>
        </w:rPr>
        <w:t xml:space="preserve"> </w:t>
      </w:r>
      <w:r w:rsidRPr="00765779">
        <w:rPr>
          <w:spacing w:val="-1"/>
        </w:rPr>
        <w:t>grupės</w:t>
      </w:r>
      <w:r w:rsidRPr="00765779">
        <w:rPr>
          <w:spacing w:val="-9"/>
        </w:rPr>
        <w:t xml:space="preserve"> </w:t>
      </w:r>
      <w:r w:rsidRPr="00765779">
        <w:rPr>
          <w:spacing w:val="-1"/>
        </w:rPr>
        <w:t>antibiotikams</w:t>
      </w:r>
      <w:r w:rsidRPr="00F47445">
        <w:rPr>
          <w:noProof/>
          <w:lang w:eastAsia="fr-FR"/>
        </w:rPr>
        <w:t xml:space="preserve"> arba bet kuriai pagalbinei šio vaisto medžiagai (jos išvardytos 6 skyriuje</w:t>
      </w:r>
      <w:r>
        <w:rPr>
          <w:noProof/>
          <w:lang w:eastAsia="fr-FR"/>
        </w:rPr>
        <w:t xml:space="preserve">). </w:t>
      </w:r>
    </w:p>
    <w:p w:rsidR="008A1C92" w:rsidRDefault="008A1C92" w:rsidP="008A1C92">
      <w:pPr>
        <w:widowControl w:val="0"/>
        <w:numPr>
          <w:ilvl w:val="0"/>
          <w:numId w:val="4"/>
        </w:numPr>
        <w:tabs>
          <w:tab w:val="left" w:pos="567"/>
        </w:tabs>
        <w:kinsoku w:val="0"/>
        <w:overflowPunct w:val="0"/>
        <w:autoSpaceDE w:val="0"/>
        <w:autoSpaceDN w:val="0"/>
        <w:adjustRightInd w:val="0"/>
        <w:spacing w:line="252" w:lineRule="exact"/>
        <w:ind w:left="567" w:hanging="567"/>
        <w:rPr>
          <w:lang w:eastAsia="fr-FR"/>
        </w:rPr>
      </w:pPr>
      <w:proofErr w:type="spellStart"/>
      <w:r>
        <w:rPr>
          <w:color w:val="000000"/>
          <w:lang w:val="es-AR" w:eastAsia="fr-FR"/>
        </w:rPr>
        <w:t>s</w:t>
      </w:r>
      <w:r w:rsidRPr="00F47445">
        <w:rPr>
          <w:color w:val="000000"/>
          <w:lang w:val="es-AR" w:eastAsia="fr-FR"/>
        </w:rPr>
        <w:t>unk</w:t>
      </w:r>
      <w:r>
        <w:rPr>
          <w:color w:val="000000"/>
          <w:lang w:val="es-AR" w:eastAsia="fr-FR"/>
        </w:rPr>
        <w:t>us</w:t>
      </w:r>
      <w:proofErr w:type="spellEnd"/>
      <w:r w:rsidRPr="00F47445">
        <w:rPr>
          <w:color w:val="000000"/>
          <w:lang w:val="es-AR" w:eastAsia="fr-FR"/>
        </w:rPr>
        <w:t xml:space="preserve"> </w:t>
      </w:r>
      <w:proofErr w:type="spellStart"/>
      <w:r w:rsidRPr="00F47445">
        <w:rPr>
          <w:color w:val="000000"/>
          <w:lang w:val="es-AR" w:eastAsia="fr-FR"/>
        </w:rPr>
        <w:t>raumenų</w:t>
      </w:r>
      <w:proofErr w:type="spellEnd"/>
      <w:r w:rsidRPr="00F47445">
        <w:rPr>
          <w:color w:val="000000"/>
          <w:lang w:val="es-AR" w:eastAsia="fr-FR"/>
        </w:rPr>
        <w:t xml:space="preserve"> </w:t>
      </w:r>
      <w:proofErr w:type="spellStart"/>
      <w:r w:rsidRPr="00F47445">
        <w:rPr>
          <w:color w:val="000000"/>
          <w:lang w:val="es-AR" w:eastAsia="fr-FR"/>
        </w:rPr>
        <w:t>silpnum</w:t>
      </w:r>
      <w:r>
        <w:rPr>
          <w:color w:val="000000"/>
          <w:lang w:val="es-AR" w:eastAsia="fr-FR"/>
        </w:rPr>
        <w:t>as</w:t>
      </w:r>
      <w:proofErr w:type="spellEnd"/>
      <w:r w:rsidRPr="00F47445">
        <w:rPr>
          <w:color w:val="000000"/>
          <w:lang w:val="es-AR" w:eastAsia="fr-FR"/>
        </w:rPr>
        <w:t xml:space="preserve"> (</w:t>
      </w:r>
      <w:proofErr w:type="spellStart"/>
      <w:r w:rsidRPr="00F47445">
        <w:rPr>
          <w:color w:val="000000"/>
          <w:lang w:val="es-AR" w:eastAsia="fr-FR"/>
        </w:rPr>
        <w:t>generalizuota</w:t>
      </w:r>
      <w:proofErr w:type="spellEnd"/>
      <w:r w:rsidRPr="00F47445">
        <w:rPr>
          <w:color w:val="000000"/>
          <w:lang w:val="es-AR" w:eastAsia="fr-FR"/>
        </w:rPr>
        <w:t xml:space="preserve"> </w:t>
      </w:r>
      <w:proofErr w:type="spellStart"/>
      <w:r w:rsidRPr="00F47445">
        <w:rPr>
          <w:color w:val="000000"/>
          <w:lang w:val="es-AR" w:eastAsia="fr-FR"/>
        </w:rPr>
        <w:t>miastenija</w:t>
      </w:r>
      <w:proofErr w:type="spellEnd"/>
      <w:r w:rsidRPr="00F47445">
        <w:rPr>
          <w:color w:val="000000"/>
          <w:lang w:val="es-AR" w:eastAsia="fr-FR"/>
        </w:rPr>
        <w:t>)</w:t>
      </w:r>
      <w:r>
        <w:rPr>
          <w:color w:val="000000"/>
          <w:lang w:val="es-AR" w:eastAsia="fr-FR"/>
        </w:rPr>
        <w:t>.</w:t>
      </w:r>
    </w:p>
    <w:p w:rsidR="008A1C92" w:rsidRPr="00F47445" w:rsidRDefault="008A1C92" w:rsidP="008A1C92">
      <w:pPr>
        <w:keepNext/>
        <w:widowControl w:val="0"/>
        <w:autoSpaceDE w:val="0"/>
        <w:autoSpaceDN w:val="0"/>
        <w:adjustRightInd w:val="0"/>
        <w:spacing w:before="240" w:after="60"/>
        <w:outlineLvl w:val="3"/>
        <w:rPr>
          <w:b/>
          <w:bCs/>
          <w:snapToGrid w:val="0"/>
          <w:szCs w:val="28"/>
          <w:lang w:eastAsia="x-none"/>
        </w:rPr>
      </w:pPr>
      <w:r w:rsidRPr="00F47445">
        <w:rPr>
          <w:b/>
          <w:bCs/>
          <w:snapToGrid w:val="0"/>
          <w:szCs w:val="28"/>
          <w:lang w:eastAsia="x-none"/>
        </w:rPr>
        <w:t>Įspėjimai ir atsargumo priemonės :</w:t>
      </w:r>
    </w:p>
    <w:p w:rsidR="008A1C92" w:rsidRDefault="008A1C92" w:rsidP="008A1C92">
      <w:pPr>
        <w:pStyle w:val="Pagrindiniotekstotrauka"/>
        <w:ind w:left="0"/>
      </w:pPr>
      <w:r w:rsidRPr="0077755D">
        <w:t>Pasitarkite su gydytoju arba vaistininku prieš pradėdami vartoti</w:t>
      </w:r>
      <w:r w:rsidDel="00634E08">
        <w:rPr>
          <w:szCs w:val="22"/>
        </w:rPr>
        <w:t xml:space="preserve"> </w:t>
      </w:r>
      <w:r w:rsidRPr="00330E3D">
        <w:t>KANAMYCIN PANPHARMA</w:t>
      </w:r>
      <w:r w:rsidRPr="00634E08" w:rsidDel="00634E08">
        <w:rPr>
          <w:szCs w:val="22"/>
        </w:rPr>
        <w:t xml:space="preserve"> </w:t>
      </w:r>
    </w:p>
    <w:p w:rsidR="008A1C92" w:rsidRDefault="008A1C92" w:rsidP="008A1C92">
      <w:pPr>
        <w:pStyle w:val="Pagrindiniotekstotrauka"/>
        <w:ind w:left="0"/>
      </w:pPr>
      <w:r>
        <w:tab/>
        <w:t>jei pacientui sutrikusi klausos ir pusiausviros aparato funkcija, įskaitant ir 8-ojo galvinio nervo pažeidimą, antibiotiko reikia vartoti atsargiai;</w:t>
      </w:r>
    </w:p>
    <w:p w:rsidR="008A1C92" w:rsidRDefault="008A1C92" w:rsidP="008A1C92">
      <w:r>
        <w:t>-</w:t>
      </w:r>
      <w:r>
        <w:tab/>
        <w:t xml:space="preserve">jei ligonio inkstų funkcija sutrikusi, </w:t>
      </w:r>
      <w:proofErr w:type="spellStart"/>
      <w:r>
        <w:t>kanamicino</w:t>
      </w:r>
      <w:proofErr w:type="spellEnd"/>
      <w:r>
        <w:t xml:space="preserve"> galima vartoti tik būtinu atveju, dozę reikia mažinti atsižvelgiant į inkstų funkcijos rodmenis (žr. 3 skyrių);</w:t>
      </w:r>
    </w:p>
    <w:p w:rsidR="008A1C92" w:rsidRDefault="008A1C92" w:rsidP="008A1C92">
      <w:r>
        <w:t>-</w:t>
      </w:r>
      <w:r>
        <w:tab/>
        <w:t>jei ligonio inkstų funkcija sutrikusi, būtina nuolat stebėti inkstų ir klausos funkciją, jei reikia, matuoti antibiotiko koncentraciją kraujo serume;</w:t>
      </w:r>
    </w:p>
    <w:p w:rsidR="008A1C92" w:rsidRDefault="008A1C92" w:rsidP="008A1C92">
      <w:r>
        <w:lastRenderedPageBreak/>
        <w:t>-</w:t>
      </w:r>
      <w:r>
        <w:tab/>
        <w:t xml:space="preserve">jei </w:t>
      </w:r>
      <w:proofErr w:type="spellStart"/>
      <w:r>
        <w:t>kanamicino</w:t>
      </w:r>
      <w:proofErr w:type="spellEnd"/>
      <w:r>
        <w:t xml:space="preserve"> vartojama ilgai, ypač sergant tuberkulioze, būtina atidžiai tikrinti inkstų ir klausos funkciją;</w:t>
      </w:r>
    </w:p>
    <w:p w:rsidR="008A1C92" w:rsidRDefault="008A1C92" w:rsidP="008A1C92">
      <w:pPr>
        <w:tabs>
          <w:tab w:val="left" w:pos="426"/>
        </w:tabs>
      </w:pPr>
      <w:r>
        <w:t>-</w:t>
      </w:r>
      <w:r>
        <w:tab/>
      </w:r>
      <w:r>
        <w:tab/>
        <w:t xml:space="preserve">jei vartojama </w:t>
      </w:r>
      <w:proofErr w:type="spellStart"/>
      <w:r>
        <w:t>kanamicino</w:t>
      </w:r>
      <w:proofErr w:type="spellEnd"/>
      <w:r>
        <w:t xml:space="preserve">, prieš chirurginę operaciją, apie tai būtina pasakyti gydytojui anesteziologui-reanimatologui. (žr. 4.5 skyrių). </w:t>
      </w:r>
    </w:p>
    <w:p w:rsidR="008A1C92" w:rsidRPr="00765779" w:rsidRDefault="008A1C92" w:rsidP="008A1C92">
      <w:pPr>
        <w:widowControl w:val="0"/>
        <w:numPr>
          <w:ilvl w:val="0"/>
          <w:numId w:val="4"/>
        </w:numPr>
        <w:tabs>
          <w:tab w:val="left" w:pos="567"/>
        </w:tabs>
        <w:kinsoku w:val="0"/>
        <w:overflowPunct w:val="0"/>
        <w:autoSpaceDE w:val="0"/>
        <w:autoSpaceDN w:val="0"/>
        <w:adjustRightInd w:val="0"/>
        <w:spacing w:line="252" w:lineRule="exact"/>
        <w:ind w:left="567" w:hanging="567"/>
        <w:rPr>
          <w:lang w:eastAsia="fr-FR"/>
        </w:rPr>
      </w:pPr>
      <w:r w:rsidRPr="00765779">
        <w:rPr>
          <w:color w:val="000000"/>
          <w:lang w:eastAsia="fr-FR"/>
        </w:rPr>
        <w:t xml:space="preserve">pacientams, sergantiems ligomis, dėl kurių sutrinka nervinių impulsų perdavimas į raumenų skaidulas (sunkia </w:t>
      </w:r>
      <w:proofErr w:type="spellStart"/>
      <w:r w:rsidRPr="00765779">
        <w:rPr>
          <w:color w:val="000000"/>
          <w:lang w:eastAsia="fr-FR"/>
        </w:rPr>
        <w:t>miastenija</w:t>
      </w:r>
      <w:proofErr w:type="spellEnd"/>
      <w:r w:rsidRPr="00765779">
        <w:rPr>
          <w:color w:val="000000"/>
          <w:lang w:eastAsia="fr-FR"/>
        </w:rPr>
        <w:t xml:space="preserve">, </w:t>
      </w:r>
      <w:proofErr w:type="spellStart"/>
      <w:r w:rsidRPr="00765779">
        <w:rPr>
          <w:color w:val="000000"/>
          <w:lang w:eastAsia="fr-FR"/>
        </w:rPr>
        <w:t>Parkinsono</w:t>
      </w:r>
      <w:proofErr w:type="spellEnd"/>
      <w:r w:rsidRPr="00765779">
        <w:rPr>
          <w:color w:val="000000"/>
          <w:lang w:eastAsia="fr-FR"/>
        </w:rPr>
        <w:t xml:space="preserve"> liga, kūdikių </w:t>
      </w:r>
      <w:proofErr w:type="spellStart"/>
      <w:r w:rsidRPr="00765779">
        <w:rPr>
          <w:color w:val="000000"/>
          <w:lang w:eastAsia="fr-FR"/>
        </w:rPr>
        <w:t>botulizmu</w:t>
      </w:r>
      <w:proofErr w:type="spellEnd"/>
      <w:r w:rsidRPr="00765779">
        <w:rPr>
          <w:color w:val="000000"/>
          <w:lang w:eastAsia="fr-FR"/>
        </w:rPr>
        <w:t xml:space="preserve">, sunkia </w:t>
      </w:r>
      <w:proofErr w:type="spellStart"/>
      <w:r w:rsidRPr="00765779">
        <w:rPr>
          <w:color w:val="000000"/>
          <w:lang w:eastAsia="fr-FR"/>
        </w:rPr>
        <w:t>hipokalcemija</w:t>
      </w:r>
      <w:proofErr w:type="spellEnd"/>
      <w:r w:rsidRPr="00765779">
        <w:rPr>
          <w:color w:val="000000"/>
          <w:lang w:eastAsia="fr-FR"/>
        </w:rPr>
        <w:t xml:space="preserve">), </w:t>
      </w:r>
      <w:proofErr w:type="spellStart"/>
      <w:r w:rsidRPr="00765779">
        <w:rPr>
          <w:color w:val="000000"/>
          <w:lang w:eastAsia="fr-FR"/>
        </w:rPr>
        <w:t>aminoglikozidų</w:t>
      </w:r>
      <w:proofErr w:type="spellEnd"/>
      <w:r w:rsidRPr="00765779">
        <w:rPr>
          <w:color w:val="000000"/>
          <w:lang w:eastAsia="fr-FR"/>
        </w:rPr>
        <w:t xml:space="preserve"> grupės antibiotikus reikia vartoti atsargiai, nes </w:t>
      </w:r>
      <w:proofErr w:type="spellStart"/>
      <w:r w:rsidRPr="00765779">
        <w:rPr>
          <w:color w:val="000000"/>
          <w:lang w:eastAsia="fr-FR"/>
        </w:rPr>
        <w:t>aminoglikozidų</w:t>
      </w:r>
      <w:proofErr w:type="spellEnd"/>
      <w:r w:rsidRPr="00765779">
        <w:rPr>
          <w:color w:val="000000"/>
          <w:lang w:eastAsia="fr-FR"/>
        </w:rPr>
        <w:t xml:space="preserve"> poveikis nervų ir raumenų jungtims yra panašus į </w:t>
      </w:r>
      <w:proofErr w:type="spellStart"/>
      <w:r w:rsidRPr="00765779">
        <w:rPr>
          <w:color w:val="000000"/>
          <w:lang w:eastAsia="fr-FR"/>
        </w:rPr>
        <w:t>kurarės</w:t>
      </w:r>
      <w:proofErr w:type="spellEnd"/>
      <w:r w:rsidRPr="00765779">
        <w:rPr>
          <w:color w:val="000000"/>
          <w:lang w:eastAsia="fr-FR"/>
        </w:rPr>
        <w:t xml:space="preserve"> poveikį. Dėl to gali pasireikšti raumenų silpnumas ir </w:t>
      </w:r>
      <w:proofErr w:type="spellStart"/>
      <w:r w:rsidRPr="00765779">
        <w:rPr>
          <w:color w:val="000000"/>
          <w:lang w:eastAsia="fr-FR"/>
        </w:rPr>
        <w:t>neuroraumeninių</w:t>
      </w:r>
      <w:proofErr w:type="spellEnd"/>
      <w:r w:rsidRPr="00765779">
        <w:rPr>
          <w:color w:val="000000"/>
          <w:lang w:eastAsia="fr-FR"/>
        </w:rPr>
        <w:t xml:space="preserve"> jungčių blokada.</w:t>
      </w:r>
    </w:p>
    <w:p w:rsidR="008A1C92" w:rsidRPr="00765779" w:rsidRDefault="008A1C92" w:rsidP="008A1C92">
      <w:pPr>
        <w:widowControl w:val="0"/>
        <w:kinsoku w:val="0"/>
        <w:overflowPunct w:val="0"/>
        <w:autoSpaceDE w:val="0"/>
        <w:autoSpaceDN w:val="0"/>
        <w:adjustRightInd w:val="0"/>
        <w:rPr>
          <w:lang w:eastAsia="fr-FR"/>
        </w:rPr>
      </w:pPr>
    </w:p>
    <w:p w:rsidR="008A1C92" w:rsidRDefault="008A1C92" w:rsidP="008A1C92">
      <w:pPr>
        <w:tabs>
          <w:tab w:val="num" w:pos="567"/>
        </w:tabs>
      </w:pPr>
      <w:r>
        <w:t xml:space="preserve">Atsižvelgiant į </w:t>
      </w:r>
      <w:proofErr w:type="spellStart"/>
      <w:r>
        <w:t>kanamicino</w:t>
      </w:r>
      <w:proofErr w:type="spellEnd"/>
      <w:r>
        <w:t xml:space="preserve"> savybes, jo toksinį poveikį inkstams ir klausos aparatui, preparato vartoti pakartotinai ir (arba) ilgai, ypač pagyvenusiems žmonėms, nerekomenduojama.</w:t>
      </w:r>
    </w:p>
    <w:p w:rsidR="008A1C92" w:rsidRDefault="008A1C92" w:rsidP="008A1C92">
      <w:pPr>
        <w:tabs>
          <w:tab w:val="left" w:pos="567"/>
        </w:tabs>
        <w:ind w:left="1080"/>
      </w:pPr>
    </w:p>
    <w:p w:rsidR="008A1C92" w:rsidRDefault="008A1C92" w:rsidP="008A1C92">
      <w:pPr>
        <w:tabs>
          <w:tab w:val="num" w:pos="426"/>
          <w:tab w:val="left" w:pos="567"/>
        </w:tabs>
        <w:rPr>
          <w:u w:val="single"/>
        </w:rPr>
      </w:pPr>
      <w:r>
        <w:rPr>
          <w:u w:val="single"/>
        </w:rPr>
        <w:t>Tuberkuliozės gydymas</w:t>
      </w:r>
    </w:p>
    <w:p w:rsidR="008A1C92" w:rsidRDefault="008A1C92" w:rsidP="008A1C92">
      <w:pPr>
        <w:tabs>
          <w:tab w:val="num" w:pos="426"/>
          <w:tab w:val="left" w:pos="567"/>
        </w:tabs>
      </w:pPr>
      <w:r>
        <w:t xml:space="preserve">Jei reikia gydyti tuberkuliozę, </w:t>
      </w:r>
      <w:proofErr w:type="spellStart"/>
      <w:r>
        <w:t>kanamicino</w:t>
      </w:r>
      <w:proofErr w:type="spellEnd"/>
      <w:r>
        <w:t xml:space="preserve"> vartojimas turi atitikti tuberkuliozės gydymo principus. Preparato vartoti draudžiama tuo atveju, jei neatlikti bakteriologiniai tyrimai, </w:t>
      </w:r>
      <w:proofErr w:type="spellStart"/>
      <w:r>
        <w:t>t.y</w:t>
      </w:r>
      <w:proofErr w:type="spellEnd"/>
      <w:r>
        <w:t xml:space="preserve">. nėra antibiotikogramos, kurios rezultatai rodytų, kad sukėlėjas yra jautrus </w:t>
      </w:r>
      <w:proofErr w:type="spellStart"/>
      <w:r>
        <w:t>kanamicinui</w:t>
      </w:r>
      <w:proofErr w:type="spellEnd"/>
      <w:r>
        <w:t xml:space="preserve"> arba kitiems antibiotikams. </w:t>
      </w:r>
    </w:p>
    <w:p w:rsidR="008A1C92" w:rsidRDefault="008A1C92" w:rsidP="008A1C92">
      <w:pPr>
        <w:tabs>
          <w:tab w:val="left" w:pos="426"/>
        </w:tabs>
      </w:pPr>
    </w:p>
    <w:p w:rsidR="008A1C92" w:rsidRDefault="008A1C92" w:rsidP="008A1C92">
      <w:pPr>
        <w:tabs>
          <w:tab w:val="left" w:pos="426"/>
        </w:tabs>
      </w:pPr>
      <w:r>
        <w:t xml:space="preserve">Kad </w:t>
      </w:r>
      <w:proofErr w:type="spellStart"/>
      <w:r>
        <w:t>kanamicinas</w:t>
      </w:r>
      <w:proofErr w:type="spellEnd"/>
      <w:r>
        <w:t xml:space="preserve"> būtų veiksmingas, jo būtina vartoti kartu su vienu ar keliais vaistais nuo tuberkuliozės. Toks sudėtinis gydymas yra būtinas. Jei reikia, atsižvelgus į sukėlėjo jautrumo antibiotikams tyrimo rezultatus, jį galima keisti.</w:t>
      </w:r>
    </w:p>
    <w:p w:rsidR="008A1C92" w:rsidRDefault="008A1C92" w:rsidP="008A1C92">
      <w:pPr>
        <w:tabs>
          <w:tab w:val="left" w:pos="426"/>
        </w:tabs>
        <w:ind w:left="426"/>
      </w:pPr>
    </w:p>
    <w:p w:rsidR="008A1C92" w:rsidRDefault="008A1C92" w:rsidP="008A1C92">
      <w:pPr>
        <w:tabs>
          <w:tab w:val="left" w:pos="567"/>
        </w:tabs>
        <w:rPr>
          <w:i/>
        </w:rPr>
      </w:pPr>
      <w:r>
        <w:t xml:space="preserve">Kartu vartojant </w:t>
      </w:r>
      <w:proofErr w:type="spellStart"/>
      <w:r>
        <w:t>aminoglikozidų</w:t>
      </w:r>
      <w:proofErr w:type="spellEnd"/>
      <w:r>
        <w:t xml:space="preserve"> grupės ir </w:t>
      </w:r>
      <w:proofErr w:type="spellStart"/>
      <w:r>
        <w:t>cefalosporinų</w:t>
      </w:r>
      <w:proofErr w:type="spellEnd"/>
      <w:r>
        <w:t xml:space="preserve"> grupės antibiotikų, toksinis poveikis inkstams didėja.</w:t>
      </w:r>
    </w:p>
    <w:p w:rsidR="008A1C92" w:rsidRPr="009C15AD" w:rsidRDefault="008A1C92" w:rsidP="008A1C92">
      <w:pPr>
        <w:widowControl w:val="0"/>
        <w:kinsoku w:val="0"/>
        <w:overflowPunct w:val="0"/>
        <w:autoSpaceDE w:val="0"/>
        <w:autoSpaceDN w:val="0"/>
        <w:adjustRightInd w:val="0"/>
        <w:rPr>
          <w:lang w:eastAsia="fr-FR"/>
        </w:rPr>
      </w:pPr>
    </w:p>
    <w:p w:rsidR="008A1C92" w:rsidRPr="009C15AD" w:rsidRDefault="008A1C92" w:rsidP="008A1C92">
      <w:pPr>
        <w:widowControl w:val="0"/>
        <w:kinsoku w:val="0"/>
        <w:overflowPunct w:val="0"/>
        <w:autoSpaceDE w:val="0"/>
        <w:autoSpaceDN w:val="0"/>
        <w:adjustRightInd w:val="0"/>
        <w:rPr>
          <w:lang w:eastAsia="fr-FR"/>
        </w:rPr>
      </w:pPr>
    </w:p>
    <w:p w:rsidR="008A1C92" w:rsidRDefault="008A1C92" w:rsidP="008A1C92">
      <w:pPr>
        <w:rPr>
          <w:szCs w:val="22"/>
        </w:rPr>
      </w:pPr>
      <w:r>
        <w:t>Dėl inkstų nebrandumo iš n</w:t>
      </w:r>
      <w:r>
        <w:rPr>
          <w:szCs w:val="22"/>
        </w:rPr>
        <w:t xml:space="preserve">aujagimių organizmo </w:t>
      </w:r>
      <w:proofErr w:type="spellStart"/>
      <w:r>
        <w:rPr>
          <w:szCs w:val="22"/>
        </w:rPr>
        <w:t>aminoglikozidų</w:t>
      </w:r>
      <w:proofErr w:type="spellEnd"/>
      <w:r>
        <w:rPr>
          <w:szCs w:val="22"/>
        </w:rPr>
        <w:t xml:space="preserve"> </w:t>
      </w:r>
      <w:proofErr w:type="spellStart"/>
      <w:r>
        <w:rPr>
          <w:szCs w:val="22"/>
        </w:rPr>
        <w:t>gruopės</w:t>
      </w:r>
      <w:proofErr w:type="spellEnd"/>
      <w:r>
        <w:rPr>
          <w:szCs w:val="22"/>
        </w:rPr>
        <w:t xml:space="preserve"> antibiotikai pasišalina lėčiau, todėl šių antibiotikų pusinės eliminacijos laikas kraujo plazmoje  gali  pailgėti. Laiku ir prieš laiką gimusiems naujagimiams  </w:t>
      </w:r>
      <w:proofErr w:type="spellStart"/>
      <w:r>
        <w:rPr>
          <w:szCs w:val="22"/>
        </w:rPr>
        <w:t>aminoglikozidų</w:t>
      </w:r>
      <w:proofErr w:type="spellEnd"/>
      <w:r>
        <w:rPr>
          <w:szCs w:val="22"/>
        </w:rPr>
        <w:t xml:space="preserve"> grupės antibiotikų reikia vartoti atsargiai. </w:t>
      </w:r>
    </w:p>
    <w:p w:rsidR="008A1C92" w:rsidRDefault="008A1C92" w:rsidP="008A1C92">
      <w:pPr>
        <w:rPr>
          <w:szCs w:val="22"/>
        </w:rPr>
      </w:pPr>
    </w:p>
    <w:p w:rsidR="008A1C92" w:rsidRDefault="008A1C92" w:rsidP="008A1C92">
      <w:pPr>
        <w:rPr>
          <w:szCs w:val="22"/>
        </w:rPr>
      </w:pPr>
      <w:r>
        <w:rPr>
          <w:szCs w:val="22"/>
        </w:rPr>
        <w:t xml:space="preserve">Senyviems pacientams </w:t>
      </w:r>
      <w:proofErr w:type="spellStart"/>
      <w:r>
        <w:rPr>
          <w:szCs w:val="22"/>
        </w:rPr>
        <w:t>aminoglikozidų</w:t>
      </w:r>
      <w:proofErr w:type="spellEnd"/>
      <w:r>
        <w:rPr>
          <w:szCs w:val="22"/>
        </w:rPr>
        <w:t xml:space="preserve"> grupės antibiotikų reikia vartoti atsargiai, nes antibiotikų išskyrimas iš organizmo gali būti sulėtėjęs. </w:t>
      </w:r>
    </w:p>
    <w:p w:rsidR="008A1C92" w:rsidRDefault="008A1C92" w:rsidP="008A1C92">
      <w:pPr>
        <w:rPr>
          <w:szCs w:val="22"/>
        </w:rPr>
      </w:pPr>
    </w:p>
    <w:p w:rsidR="008A1C92" w:rsidRDefault="008A1C92" w:rsidP="008A1C92">
      <w:pPr>
        <w:tabs>
          <w:tab w:val="left" w:pos="567"/>
        </w:tabs>
      </w:pPr>
      <w:r>
        <w:t>Vaisto vartoti kartu su diuretikais reikia atsargiai (žr.2 skyrių).</w:t>
      </w:r>
    </w:p>
    <w:p w:rsidR="008A1C92" w:rsidRDefault="008A1C92" w:rsidP="008A1C92">
      <w:pPr>
        <w:ind w:left="567" w:hanging="567"/>
        <w:rPr>
          <w:b/>
          <w:szCs w:val="22"/>
        </w:rPr>
      </w:pPr>
    </w:p>
    <w:p w:rsidR="008A1C92" w:rsidRDefault="008A1C92" w:rsidP="008A1C92">
      <w:pPr>
        <w:pStyle w:val="Antrat3"/>
        <w:spacing w:line="240" w:lineRule="auto"/>
        <w:rPr>
          <w:szCs w:val="22"/>
        </w:rPr>
      </w:pPr>
      <w:r>
        <w:rPr>
          <w:szCs w:val="22"/>
        </w:rPr>
        <w:t>Kiti vaistai ir KANAMICIN PANPHARMA</w:t>
      </w:r>
    </w:p>
    <w:p w:rsidR="008A1C92" w:rsidRDefault="008A1C92" w:rsidP="008A1C92">
      <w:pPr>
        <w:pStyle w:val="Pagrindinistekstas2"/>
        <w:spacing w:after="0" w:line="240" w:lineRule="auto"/>
        <w:rPr>
          <w:szCs w:val="22"/>
        </w:rPr>
      </w:pPr>
      <w:r>
        <w:rPr>
          <w:szCs w:val="22"/>
        </w:rPr>
        <w:t xml:space="preserve">Jeigu vartojate arba neseniai vartojote kitų vaistų </w:t>
      </w:r>
      <w:r w:rsidRPr="00B34FA1">
        <w:rPr>
          <w:noProof/>
          <w:szCs w:val="24"/>
        </w:rPr>
        <w:t>arba dėl to nesate tikri,</w:t>
      </w:r>
      <w:r>
        <w:rPr>
          <w:noProof/>
          <w:szCs w:val="24"/>
        </w:rPr>
        <w:t xml:space="preserve"> apie tai</w:t>
      </w:r>
      <w:r>
        <w:rPr>
          <w:szCs w:val="22"/>
        </w:rPr>
        <w:t xml:space="preserve"> pasakykite gydytojui arba vaistininkui. </w:t>
      </w:r>
    </w:p>
    <w:p w:rsidR="008A1C92" w:rsidRDefault="008A1C92" w:rsidP="008A1C92">
      <w:pPr>
        <w:tabs>
          <w:tab w:val="left" w:pos="567"/>
        </w:tabs>
        <w:rPr>
          <w:i/>
        </w:rPr>
      </w:pPr>
    </w:p>
    <w:p w:rsidR="008A1C92" w:rsidRDefault="008A1C92" w:rsidP="008A1C92">
      <w:pPr>
        <w:tabs>
          <w:tab w:val="left" w:pos="567"/>
        </w:tabs>
        <w:rPr>
          <w:i/>
        </w:rPr>
      </w:pPr>
      <w:r>
        <w:rPr>
          <w:i/>
        </w:rPr>
        <w:t>Antibiotikai</w:t>
      </w:r>
    </w:p>
    <w:p w:rsidR="008A1C92" w:rsidRDefault="008A1C92" w:rsidP="008A1C92">
      <w:pPr>
        <w:rPr>
          <w:szCs w:val="22"/>
        </w:rPr>
      </w:pPr>
      <w:r>
        <w:rPr>
          <w:szCs w:val="22"/>
        </w:rPr>
        <w:t xml:space="preserve">Tyrimais nustatytas </w:t>
      </w:r>
      <w:proofErr w:type="spellStart"/>
      <w:r>
        <w:rPr>
          <w:szCs w:val="22"/>
        </w:rPr>
        <w:t>aminoglikozidų</w:t>
      </w:r>
      <w:proofErr w:type="spellEnd"/>
      <w:r>
        <w:rPr>
          <w:szCs w:val="22"/>
        </w:rPr>
        <w:t xml:space="preserve"> grupės ir </w:t>
      </w:r>
      <w:proofErr w:type="spellStart"/>
      <w:r>
        <w:rPr>
          <w:szCs w:val="22"/>
        </w:rPr>
        <w:t>betalaktaminių</w:t>
      </w:r>
      <w:proofErr w:type="spellEnd"/>
      <w:r>
        <w:rPr>
          <w:szCs w:val="22"/>
        </w:rPr>
        <w:t xml:space="preserve">  antibiotikų,  pvz., penicilinų nesuderinamumas, todėl viename švirkšte jų maišyti negalima. </w:t>
      </w:r>
    </w:p>
    <w:p w:rsidR="008A1C92" w:rsidRDefault="008A1C92" w:rsidP="008A1C92">
      <w:pPr>
        <w:tabs>
          <w:tab w:val="left" w:pos="567"/>
        </w:tabs>
      </w:pPr>
      <w:r>
        <w:t xml:space="preserve">Jei kartu šių antibiotikų vartoti būtina, reikia juos švirkši  skirtingu laiku ir į skirtingas vietas. </w:t>
      </w:r>
    </w:p>
    <w:p w:rsidR="008A1C92" w:rsidRDefault="008A1C92" w:rsidP="008A1C92">
      <w:pPr>
        <w:tabs>
          <w:tab w:val="left" w:pos="567"/>
        </w:tabs>
      </w:pPr>
    </w:p>
    <w:p w:rsidR="008A1C92" w:rsidRDefault="008A1C92" w:rsidP="008A1C92">
      <w:pPr>
        <w:tabs>
          <w:tab w:val="left" w:pos="567"/>
        </w:tabs>
      </w:pPr>
      <w:r>
        <w:t>Kartu vartojant kitų toksinį poveikį inkstams bei klausai galinčių sukelti antibiotikų (</w:t>
      </w:r>
      <w:proofErr w:type="spellStart"/>
      <w:r>
        <w:t>gentamicino</w:t>
      </w:r>
      <w:proofErr w:type="spellEnd"/>
      <w:r>
        <w:t xml:space="preserve"> streptomicino, </w:t>
      </w:r>
      <w:proofErr w:type="spellStart"/>
      <w:r>
        <w:t>neomicino</w:t>
      </w:r>
      <w:proofErr w:type="spellEnd"/>
      <w:r>
        <w:t xml:space="preserve">, </w:t>
      </w:r>
      <w:proofErr w:type="spellStart"/>
      <w:r>
        <w:t>polimiksino</w:t>
      </w:r>
      <w:proofErr w:type="spellEnd"/>
      <w:r>
        <w:t xml:space="preserve">, </w:t>
      </w:r>
      <w:proofErr w:type="spellStart"/>
      <w:r>
        <w:t>cefalosporinu</w:t>
      </w:r>
      <w:proofErr w:type="spellEnd"/>
      <w:r>
        <w:t xml:space="preserve">) </w:t>
      </w:r>
      <w:proofErr w:type="spellStart"/>
      <w:r>
        <w:t>kanamicino</w:t>
      </w:r>
      <w:proofErr w:type="spellEnd"/>
      <w:r>
        <w:t xml:space="preserve"> toksinis poveikis inkstams  ir klausai stiprėja.</w:t>
      </w:r>
    </w:p>
    <w:p w:rsidR="008A1C92" w:rsidRDefault="008A1C92" w:rsidP="008A1C92">
      <w:pPr>
        <w:tabs>
          <w:tab w:val="left" w:pos="567"/>
        </w:tabs>
        <w:rPr>
          <w:i/>
        </w:rPr>
      </w:pPr>
    </w:p>
    <w:p w:rsidR="008A1C92" w:rsidRDefault="008A1C92" w:rsidP="008A1C92">
      <w:pPr>
        <w:tabs>
          <w:tab w:val="left" w:pos="567"/>
        </w:tabs>
        <w:rPr>
          <w:i/>
        </w:rPr>
      </w:pPr>
      <w:r>
        <w:rPr>
          <w:i/>
        </w:rPr>
        <w:t>Diuretikai</w:t>
      </w:r>
    </w:p>
    <w:p w:rsidR="008A1C92" w:rsidRDefault="008A1C92" w:rsidP="008A1C92">
      <w:pPr>
        <w:tabs>
          <w:tab w:val="left" w:pos="567"/>
        </w:tabs>
      </w:pPr>
      <w:r>
        <w:t xml:space="preserve">Kartu su </w:t>
      </w:r>
      <w:proofErr w:type="spellStart"/>
      <w:r>
        <w:t>kanamicinu</w:t>
      </w:r>
      <w:proofErr w:type="spellEnd"/>
      <w:r>
        <w:t xml:space="preserve"> vartojant stiprių diuretikų (vaistų , didinančių </w:t>
      </w:r>
      <w:proofErr w:type="spellStart"/>
      <w:r>
        <w:t>šlapimio</w:t>
      </w:r>
      <w:proofErr w:type="spellEnd"/>
      <w:r>
        <w:t xml:space="preserve"> išskyrimą), pvz., </w:t>
      </w:r>
      <w:proofErr w:type="spellStart"/>
      <w:r>
        <w:t>furozemido</w:t>
      </w:r>
      <w:proofErr w:type="spellEnd"/>
      <w:r>
        <w:t xml:space="preserve">, toksinis poveikis inkstams stiprėja. </w:t>
      </w:r>
    </w:p>
    <w:p w:rsidR="008A1C92" w:rsidRDefault="008A1C92" w:rsidP="008A1C92">
      <w:pPr>
        <w:tabs>
          <w:tab w:val="left" w:pos="567"/>
        </w:tabs>
        <w:rPr>
          <w:i/>
        </w:rPr>
      </w:pPr>
    </w:p>
    <w:p w:rsidR="008A1C92" w:rsidRDefault="008A1C92" w:rsidP="008A1C92">
      <w:pPr>
        <w:tabs>
          <w:tab w:val="left" w:pos="567"/>
        </w:tabs>
        <w:rPr>
          <w:i/>
        </w:rPr>
      </w:pPr>
      <w:r>
        <w:rPr>
          <w:i/>
        </w:rPr>
        <w:t xml:space="preserve">Bendrieji anestetikai, </w:t>
      </w:r>
      <w:proofErr w:type="spellStart"/>
      <w:r>
        <w:rPr>
          <w:i/>
        </w:rPr>
        <w:t>miorelaksantai</w:t>
      </w:r>
      <w:proofErr w:type="spellEnd"/>
    </w:p>
    <w:p w:rsidR="008A1C92" w:rsidRDefault="008A1C92" w:rsidP="008A1C92">
      <w:pPr>
        <w:tabs>
          <w:tab w:val="left" w:pos="567"/>
        </w:tabs>
      </w:pPr>
      <w:proofErr w:type="spellStart"/>
      <w:r>
        <w:t>Kanamicinas</w:t>
      </w:r>
      <w:proofErr w:type="spellEnd"/>
      <w:r>
        <w:t xml:space="preserve"> gali stiprinti bendrųjų anestetikų ir </w:t>
      </w:r>
      <w:proofErr w:type="spellStart"/>
      <w:r>
        <w:t>miorelaksantų</w:t>
      </w:r>
      <w:proofErr w:type="spellEnd"/>
      <w:r>
        <w:t xml:space="preserve"> poveikį (vaistų naudojamų bendrinės anestezijos metu), todėl gali pasireikšti nervų ir raumenų sistemos blokada, sukelianti kvėpavimo paralyžių.</w:t>
      </w:r>
    </w:p>
    <w:p w:rsidR="008A1C92" w:rsidRDefault="008A1C92" w:rsidP="008A1C92">
      <w:pPr>
        <w:tabs>
          <w:tab w:val="left" w:pos="567"/>
        </w:tabs>
      </w:pPr>
    </w:p>
    <w:p w:rsidR="008A1C92" w:rsidRPr="00F47445" w:rsidRDefault="008A1C92" w:rsidP="008A1C92">
      <w:pPr>
        <w:widowControl w:val="0"/>
        <w:kinsoku w:val="0"/>
        <w:overflowPunct w:val="0"/>
        <w:autoSpaceDE w:val="0"/>
        <w:autoSpaceDN w:val="0"/>
        <w:adjustRightInd w:val="0"/>
        <w:rPr>
          <w:i/>
          <w:lang w:eastAsia="fr-FR"/>
        </w:rPr>
      </w:pPr>
      <w:r w:rsidRPr="00F47445">
        <w:rPr>
          <w:i/>
          <w:lang w:eastAsia="fr-FR"/>
        </w:rPr>
        <w:lastRenderedPageBreak/>
        <w:t xml:space="preserve">Priešgrybeliniai, </w:t>
      </w:r>
      <w:proofErr w:type="spellStart"/>
      <w:r w:rsidRPr="00F47445">
        <w:rPr>
          <w:i/>
          <w:lang w:eastAsia="fr-FR"/>
        </w:rPr>
        <w:t>citotoksiniai</w:t>
      </w:r>
      <w:proofErr w:type="spellEnd"/>
      <w:r w:rsidRPr="00F47445">
        <w:rPr>
          <w:i/>
          <w:lang w:eastAsia="fr-FR"/>
        </w:rPr>
        <w:t xml:space="preserve"> vaistai ir </w:t>
      </w:r>
      <w:proofErr w:type="spellStart"/>
      <w:r w:rsidRPr="00F47445">
        <w:rPr>
          <w:i/>
          <w:lang w:eastAsia="fr-FR"/>
        </w:rPr>
        <w:t>ciklosporinas</w:t>
      </w:r>
      <w:proofErr w:type="spellEnd"/>
    </w:p>
    <w:p w:rsidR="008A1C92" w:rsidRPr="00F47445" w:rsidRDefault="008A1C92" w:rsidP="008A1C92">
      <w:pPr>
        <w:widowControl w:val="0"/>
        <w:kinsoku w:val="0"/>
        <w:overflowPunct w:val="0"/>
        <w:autoSpaceDE w:val="0"/>
        <w:autoSpaceDN w:val="0"/>
        <w:adjustRightInd w:val="0"/>
        <w:rPr>
          <w:lang w:eastAsia="fr-FR"/>
        </w:rPr>
      </w:pPr>
      <w:r w:rsidRPr="00F47445">
        <w:rPr>
          <w:lang w:eastAsia="fr-FR"/>
        </w:rPr>
        <w:t xml:space="preserve">Kartu su </w:t>
      </w:r>
      <w:proofErr w:type="spellStart"/>
      <w:r w:rsidRPr="00F47445">
        <w:rPr>
          <w:lang w:eastAsia="fr-FR"/>
        </w:rPr>
        <w:t>kanamicinu</w:t>
      </w:r>
      <w:proofErr w:type="spellEnd"/>
      <w:r w:rsidRPr="00F47445">
        <w:rPr>
          <w:lang w:eastAsia="fr-FR"/>
        </w:rPr>
        <w:t xml:space="preserve"> vartojant kai kurių kitų vaistų, galinčių sukelti toksinį poveikį inkstams (pvz., </w:t>
      </w:r>
      <w:proofErr w:type="spellStart"/>
      <w:r w:rsidRPr="00F47445">
        <w:rPr>
          <w:lang w:eastAsia="fr-FR"/>
        </w:rPr>
        <w:t>amfotericino</w:t>
      </w:r>
      <w:proofErr w:type="spellEnd"/>
      <w:r w:rsidRPr="00F47445">
        <w:rPr>
          <w:lang w:eastAsia="fr-FR"/>
        </w:rPr>
        <w:t xml:space="preserve"> B, </w:t>
      </w:r>
      <w:proofErr w:type="spellStart"/>
      <w:r w:rsidRPr="00F47445">
        <w:rPr>
          <w:lang w:eastAsia="fr-FR"/>
        </w:rPr>
        <w:t>cisplatinos</w:t>
      </w:r>
      <w:proofErr w:type="spellEnd"/>
      <w:r w:rsidRPr="00F47445">
        <w:rPr>
          <w:lang w:eastAsia="fr-FR"/>
        </w:rPr>
        <w:t xml:space="preserve">, </w:t>
      </w:r>
      <w:proofErr w:type="spellStart"/>
      <w:r w:rsidRPr="00F47445">
        <w:rPr>
          <w:lang w:eastAsia="fr-FR"/>
        </w:rPr>
        <w:t>ciklosporino</w:t>
      </w:r>
      <w:proofErr w:type="spellEnd"/>
      <w:r w:rsidRPr="00F47445">
        <w:rPr>
          <w:lang w:eastAsia="fr-FR"/>
        </w:rPr>
        <w:t xml:space="preserve">), šis toksinis poveikis inkstams gali sustiprėti. </w:t>
      </w:r>
    </w:p>
    <w:p w:rsidR="008A1C92" w:rsidRPr="00F47445" w:rsidRDefault="008A1C92" w:rsidP="008A1C92">
      <w:pPr>
        <w:widowControl w:val="0"/>
        <w:kinsoku w:val="0"/>
        <w:overflowPunct w:val="0"/>
        <w:autoSpaceDE w:val="0"/>
        <w:autoSpaceDN w:val="0"/>
        <w:adjustRightInd w:val="0"/>
        <w:rPr>
          <w:lang w:eastAsia="fr-FR"/>
        </w:rPr>
      </w:pPr>
    </w:p>
    <w:p w:rsidR="008A1C92" w:rsidRPr="00F47445" w:rsidRDefault="008A1C92" w:rsidP="008A1C92">
      <w:pPr>
        <w:widowControl w:val="0"/>
        <w:kinsoku w:val="0"/>
        <w:overflowPunct w:val="0"/>
        <w:autoSpaceDE w:val="0"/>
        <w:autoSpaceDN w:val="0"/>
        <w:adjustRightInd w:val="0"/>
        <w:rPr>
          <w:i/>
          <w:lang w:eastAsia="fr-FR"/>
        </w:rPr>
      </w:pPr>
      <w:proofErr w:type="spellStart"/>
      <w:r w:rsidRPr="00F47445">
        <w:rPr>
          <w:i/>
          <w:lang w:eastAsia="fr-FR"/>
        </w:rPr>
        <w:t>Cholinerginiai</w:t>
      </w:r>
      <w:proofErr w:type="spellEnd"/>
      <w:r w:rsidRPr="00F47445">
        <w:rPr>
          <w:i/>
          <w:lang w:eastAsia="fr-FR"/>
        </w:rPr>
        <w:t xml:space="preserve"> vaistai</w:t>
      </w:r>
    </w:p>
    <w:p w:rsidR="008A1C92" w:rsidRPr="00F47445" w:rsidRDefault="008A1C92" w:rsidP="008A1C92">
      <w:pPr>
        <w:widowControl w:val="0"/>
        <w:kinsoku w:val="0"/>
        <w:overflowPunct w:val="0"/>
        <w:autoSpaceDE w:val="0"/>
        <w:autoSpaceDN w:val="0"/>
        <w:adjustRightInd w:val="0"/>
        <w:rPr>
          <w:lang w:eastAsia="fr-FR"/>
        </w:rPr>
      </w:pPr>
      <w:proofErr w:type="spellStart"/>
      <w:r w:rsidRPr="00F47445">
        <w:rPr>
          <w:lang w:eastAsia="fr-FR"/>
        </w:rPr>
        <w:t>Kanamicinas</w:t>
      </w:r>
      <w:proofErr w:type="spellEnd"/>
      <w:r w:rsidRPr="00F47445">
        <w:rPr>
          <w:lang w:eastAsia="fr-FR"/>
        </w:rPr>
        <w:t xml:space="preserve"> gali trukdyti </w:t>
      </w:r>
      <w:proofErr w:type="spellStart"/>
      <w:r w:rsidRPr="00F47445">
        <w:rPr>
          <w:lang w:eastAsia="fr-FR"/>
        </w:rPr>
        <w:t>cholinerginių</w:t>
      </w:r>
      <w:proofErr w:type="spellEnd"/>
      <w:r w:rsidRPr="00F47445">
        <w:rPr>
          <w:lang w:eastAsia="fr-FR"/>
        </w:rPr>
        <w:t xml:space="preserve"> vaistų (</w:t>
      </w:r>
      <w:proofErr w:type="spellStart"/>
      <w:r w:rsidRPr="00F47445">
        <w:rPr>
          <w:lang w:eastAsia="fr-FR"/>
        </w:rPr>
        <w:t>neostigmino</w:t>
      </w:r>
      <w:proofErr w:type="spellEnd"/>
      <w:r w:rsidRPr="00F47445">
        <w:rPr>
          <w:lang w:eastAsia="fr-FR"/>
        </w:rPr>
        <w:t xml:space="preserve">, </w:t>
      </w:r>
      <w:proofErr w:type="spellStart"/>
      <w:r w:rsidRPr="00F47445">
        <w:rPr>
          <w:lang w:eastAsia="fr-FR"/>
        </w:rPr>
        <w:t>piridostigmino</w:t>
      </w:r>
      <w:proofErr w:type="spellEnd"/>
      <w:r w:rsidRPr="00F47445">
        <w:rPr>
          <w:lang w:eastAsia="fr-FR"/>
        </w:rPr>
        <w:t>) poveikiui.</w:t>
      </w:r>
    </w:p>
    <w:p w:rsidR="008A1C92" w:rsidRPr="00765779" w:rsidRDefault="008A1C92" w:rsidP="008A1C92">
      <w:pPr>
        <w:widowControl w:val="0"/>
        <w:kinsoku w:val="0"/>
        <w:overflowPunct w:val="0"/>
        <w:autoSpaceDE w:val="0"/>
        <w:autoSpaceDN w:val="0"/>
        <w:adjustRightInd w:val="0"/>
        <w:rPr>
          <w:lang w:eastAsia="fr-FR"/>
        </w:rPr>
      </w:pPr>
    </w:p>
    <w:p w:rsidR="008A1C92" w:rsidRDefault="008A1C92" w:rsidP="008A1C92">
      <w:pPr>
        <w:ind w:left="567" w:hanging="567"/>
        <w:rPr>
          <w:b/>
          <w:szCs w:val="22"/>
        </w:rPr>
      </w:pPr>
      <w:r w:rsidRPr="001F2F90">
        <w:rPr>
          <w:b/>
          <w:szCs w:val="22"/>
        </w:rPr>
        <w:t xml:space="preserve">KANAMYCIN PANPHARMA </w:t>
      </w:r>
      <w:r>
        <w:rPr>
          <w:b/>
          <w:szCs w:val="22"/>
        </w:rPr>
        <w:t>vartojimas su maistu ir gėrimais</w:t>
      </w:r>
    </w:p>
    <w:p w:rsidR="008A1C92" w:rsidRDefault="008A1C92" w:rsidP="008A1C92">
      <w:r>
        <w:rPr>
          <w:szCs w:val="22"/>
        </w:rPr>
        <w:t>Preparato galima leisti prieš valgį, valgio metu ir  po valgio.</w:t>
      </w:r>
    </w:p>
    <w:p w:rsidR="008A1C92" w:rsidRDefault="008A1C92" w:rsidP="008A1C92">
      <w:pPr>
        <w:rPr>
          <w:b/>
        </w:rPr>
      </w:pPr>
    </w:p>
    <w:p w:rsidR="008A1C92" w:rsidRDefault="008A1C92" w:rsidP="008A1C92">
      <w:pPr>
        <w:ind w:left="567" w:hanging="567"/>
        <w:rPr>
          <w:b/>
          <w:szCs w:val="22"/>
        </w:rPr>
      </w:pPr>
      <w:r>
        <w:rPr>
          <w:b/>
          <w:szCs w:val="22"/>
        </w:rPr>
        <w:t>Nėštumas ir žindymo laikotarpis</w:t>
      </w:r>
    </w:p>
    <w:p w:rsidR="008A1C92" w:rsidRDefault="008A1C92" w:rsidP="008A1C92">
      <w:pPr>
        <w:tabs>
          <w:tab w:val="left" w:pos="567"/>
        </w:tabs>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vaistininku</w:t>
      </w:r>
      <w:r>
        <w:t>.</w:t>
      </w:r>
    </w:p>
    <w:p w:rsidR="008A1C92" w:rsidRDefault="008A1C92" w:rsidP="008A1C92">
      <w:pPr>
        <w:tabs>
          <w:tab w:val="left" w:pos="567"/>
        </w:tabs>
      </w:pPr>
      <w:proofErr w:type="spellStart"/>
      <w:r>
        <w:t>Kanamicinas</w:t>
      </w:r>
      <w:proofErr w:type="spellEnd"/>
      <w:r>
        <w:t xml:space="preserve"> prasiskverbia per placentą. Nėščioms moterims </w:t>
      </w:r>
      <w:proofErr w:type="spellStart"/>
      <w:r>
        <w:t>kanamicino</w:t>
      </w:r>
      <w:proofErr w:type="spellEnd"/>
      <w:r>
        <w:t xml:space="preserve"> vartoti galima tik būtiniausiu atveju, kadangi vaistas gali sukelti toksinį poveikį vaisiaus klausos ir pusiausvyros organui.</w:t>
      </w:r>
    </w:p>
    <w:p w:rsidR="008A1C92" w:rsidRDefault="008A1C92" w:rsidP="008A1C92">
      <w:pPr>
        <w:ind w:left="567" w:hanging="567"/>
        <w:rPr>
          <w:b/>
          <w:szCs w:val="22"/>
        </w:rPr>
      </w:pPr>
    </w:p>
    <w:p w:rsidR="008A1C92" w:rsidRPr="00765779" w:rsidRDefault="008A1C92" w:rsidP="008A1C92">
      <w:pPr>
        <w:ind w:left="567" w:hanging="567"/>
        <w:rPr>
          <w:szCs w:val="22"/>
        </w:rPr>
      </w:pPr>
      <w:r w:rsidRPr="00765779">
        <w:rPr>
          <w:szCs w:val="22"/>
        </w:rPr>
        <w:t>Žindymo laikotarpis</w:t>
      </w:r>
    </w:p>
    <w:p w:rsidR="008A1C92" w:rsidRDefault="008A1C92" w:rsidP="008A1C92">
      <w:pPr>
        <w:tabs>
          <w:tab w:val="left" w:pos="567"/>
        </w:tabs>
      </w:pPr>
      <w:r>
        <w:t xml:space="preserve">Nedidelis kiekis </w:t>
      </w:r>
      <w:proofErr w:type="spellStart"/>
      <w:r>
        <w:t>kanamicino</w:t>
      </w:r>
      <w:proofErr w:type="spellEnd"/>
      <w:r>
        <w:t xml:space="preserve"> patenka į motinos pieną.  Kadangi iš virškinimo trakto </w:t>
      </w:r>
      <w:proofErr w:type="spellStart"/>
      <w:r>
        <w:t>kanamicino</w:t>
      </w:r>
      <w:proofErr w:type="spellEnd"/>
      <w:r>
        <w:t xml:space="preserve"> absorbcija bloga (absorbuojama 1% vartotos dozės) žindomam kūdikiui į kraujotaką patenka nereikšmingas </w:t>
      </w:r>
      <w:proofErr w:type="spellStart"/>
      <w:r>
        <w:t>kanamicino</w:t>
      </w:r>
      <w:proofErr w:type="spellEnd"/>
      <w:r>
        <w:t xml:space="preserve"> kiekis. Žindyvės vartotas </w:t>
      </w:r>
      <w:proofErr w:type="spellStart"/>
      <w:r>
        <w:t>kanamicinas</w:t>
      </w:r>
      <w:proofErr w:type="spellEnd"/>
      <w:r>
        <w:t xml:space="preserve"> gali sutrikdyti kūdikio virškinimo trakto bakterijų pusiausvirą - </w:t>
      </w:r>
      <w:r>
        <w:rPr>
          <w:szCs w:val="22"/>
        </w:rPr>
        <w:t>kūdikiui gali prasidėti viduriavimas, gleivinėje atsirasti grybelių.</w:t>
      </w:r>
      <w:r>
        <w:t xml:space="preserve"> </w:t>
      </w:r>
    </w:p>
    <w:p w:rsidR="008A1C92" w:rsidRDefault="008A1C92" w:rsidP="008A1C92">
      <w:pPr>
        <w:tabs>
          <w:tab w:val="left" w:pos="567"/>
        </w:tabs>
      </w:pPr>
      <w:r>
        <w:t xml:space="preserve">Žindyvei vartojant </w:t>
      </w:r>
      <w:proofErr w:type="spellStart"/>
      <w:r>
        <w:t>kanamicino</w:t>
      </w:r>
      <w:proofErr w:type="spellEnd"/>
      <w:r>
        <w:t xml:space="preserve"> reikia apsvarstyti galimybę nutraukti žindymą.</w:t>
      </w:r>
    </w:p>
    <w:p w:rsidR="008A1C92" w:rsidRDefault="008A1C92" w:rsidP="008A1C92">
      <w:pPr>
        <w:tabs>
          <w:tab w:val="left" w:pos="567"/>
        </w:tabs>
      </w:pPr>
    </w:p>
    <w:p w:rsidR="008A1C92" w:rsidRDefault="008A1C92" w:rsidP="008A1C92">
      <w:pPr>
        <w:pStyle w:val="Antrat3"/>
        <w:spacing w:line="240" w:lineRule="auto"/>
        <w:rPr>
          <w:szCs w:val="22"/>
        </w:rPr>
      </w:pPr>
      <w:r>
        <w:rPr>
          <w:szCs w:val="22"/>
        </w:rPr>
        <w:t>Vairavimas ir mechanizmų valdymas</w:t>
      </w:r>
    </w:p>
    <w:p w:rsidR="008A1C92" w:rsidRPr="00765779" w:rsidRDefault="008A1C92" w:rsidP="008A1C92">
      <w:pPr>
        <w:widowControl w:val="0"/>
        <w:kinsoku w:val="0"/>
        <w:overflowPunct w:val="0"/>
        <w:autoSpaceDE w:val="0"/>
        <w:autoSpaceDN w:val="0"/>
        <w:adjustRightInd w:val="0"/>
        <w:spacing w:line="252" w:lineRule="exact"/>
        <w:rPr>
          <w:spacing w:val="-1"/>
          <w:lang w:eastAsia="fr-FR"/>
        </w:rPr>
      </w:pPr>
      <w:r w:rsidRPr="00765779">
        <w:rPr>
          <w:spacing w:val="-1"/>
          <w:lang w:eastAsia="fr-FR"/>
        </w:rPr>
        <w:t xml:space="preserve">Dėl labirintų nepageidaujamų reakcijų rizikos </w:t>
      </w:r>
      <w:proofErr w:type="spellStart"/>
      <w:r w:rsidRPr="00765779">
        <w:rPr>
          <w:spacing w:val="-1"/>
          <w:lang w:eastAsia="fr-FR"/>
        </w:rPr>
        <w:t>kanamicinas</w:t>
      </w:r>
      <w:proofErr w:type="spellEnd"/>
      <w:r w:rsidRPr="00765779">
        <w:rPr>
          <w:spacing w:val="-1"/>
          <w:lang w:eastAsia="fr-FR"/>
        </w:rPr>
        <w:t xml:space="preserve"> gali sutrikdyti gebėjimą vairuoti ir valdyti mechanizmus.</w:t>
      </w:r>
    </w:p>
    <w:p w:rsidR="008A1C92" w:rsidRDefault="008A1C92" w:rsidP="008A1C92">
      <w:pPr>
        <w:rPr>
          <w:b/>
        </w:rPr>
      </w:pPr>
    </w:p>
    <w:p w:rsidR="008A1C92" w:rsidRDefault="008A1C92" w:rsidP="008A1C92">
      <w:pPr>
        <w:rPr>
          <w:b/>
        </w:rPr>
      </w:pPr>
    </w:p>
    <w:p w:rsidR="008A1C92" w:rsidRDefault="008A1C92" w:rsidP="008A1C92">
      <w:pPr>
        <w:pStyle w:val="Antrat2"/>
        <w:rPr>
          <w:b/>
          <w:i w:val="0"/>
          <w:szCs w:val="22"/>
        </w:rPr>
      </w:pPr>
      <w:r>
        <w:rPr>
          <w:b/>
          <w:i w:val="0"/>
          <w:szCs w:val="22"/>
        </w:rPr>
        <w:t>3.</w:t>
      </w:r>
      <w:r>
        <w:rPr>
          <w:b/>
          <w:i w:val="0"/>
          <w:szCs w:val="22"/>
        </w:rPr>
        <w:tab/>
        <w:t>K</w:t>
      </w:r>
      <w:r w:rsidRPr="00CB6E81">
        <w:rPr>
          <w:b/>
          <w:i w:val="0"/>
          <w:szCs w:val="22"/>
        </w:rPr>
        <w:t>aip vartoti</w:t>
      </w:r>
      <w:r>
        <w:rPr>
          <w:b/>
          <w:i w:val="0"/>
        </w:rPr>
        <w:t xml:space="preserve"> </w:t>
      </w:r>
      <w:r w:rsidRPr="001F2F90">
        <w:rPr>
          <w:b/>
          <w:i w:val="0"/>
        </w:rPr>
        <w:t>KANAMYCIN PANPHARMA</w:t>
      </w:r>
    </w:p>
    <w:p w:rsidR="008A1C92" w:rsidRDefault="008A1C92" w:rsidP="008A1C92">
      <w:pPr>
        <w:rPr>
          <w:szCs w:val="22"/>
        </w:rPr>
      </w:pPr>
    </w:p>
    <w:p w:rsidR="008A1C92" w:rsidRPr="00765779" w:rsidRDefault="008A1C92" w:rsidP="008A1C92">
      <w:pPr>
        <w:rPr>
          <w:noProof/>
          <w:szCs w:val="24"/>
        </w:rPr>
      </w:pPr>
      <w:r w:rsidRPr="00B34FA1">
        <w:rPr>
          <w:noProof/>
          <w:szCs w:val="24"/>
        </w:rPr>
        <w:t xml:space="preserve">Visada vartokite šį vaistą </w:t>
      </w:r>
      <w:r>
        <w:rPr>
          <w:noProof/>
          <w:szCs w:val="24"/>
        </w:rPr>
        <w:t>tiksliai kaip nurodė gydytojas arba vaistininkas</w:t>
      </w:r>
      <w:r w:rsidRPr="00B34FA1">
        <w:rPr>
          <w:noProof/>
          <w:szCs w:val="24"/>
        </w:rPr>
        <w:t>.</w:t>
      </w:r>
      <w:r w:rsidRPr="00B34FA1">
        <w:rPr>
          <w:szCs w:val="24"/>
        </w:rPr>
        <w:t xml:space="preserve"> </w:t>
      </w:r>
      <w:r>
        <w:rPr>
          <w:noProof/>
          <w:szCs w:val="24"/>
        </w:rPr>
        <w:t xml:space="preserve">Jeigu abejojate, kreipkitės į  </w:t>
      </w:r>
      <w:r w:rsidRPr="00B34FA1">
        <w:rPr>
          <w:noProof/>
          <w:szCs w:val="24"/>
        </w:rPr>
        <w:t>gy</w:t>
      </w:r>
      <w:r>
        <w:rPr>
          <w:noProof/>
          <w:szCs w:val="24"/>
        </w:rPr>
        <w:t>dytoją arba vaistininką.</w:t>
      </w:r>
    </w:p>
    <w:p w:rsidR="008A1C92" w:rsidRDefault="008A1C92" w:rsidP="008A1C92">
      <w:pPr>
        <w:rPr>
          <w:szCs w:val="22"/>
        </w:rPr>
      </w:pPr>
    </w:p>
    <w:p w:rsidR="008A1C92" w:rsidRDefault="008A1C92" w:rsidP="008A1C92">
      <w:pPr>
        <w:tabs>
          <w:tab w:val="left" w:pos="567"/>
        </w:tabs>
        <w:rPr>
          <w:i/>
          <w:u w:val="single"/>
        </w:rPr>
      </w:pPr>
      <w:r>
        <w:rPr>
          <w:i/>
          <w:u w:val="single"/>
        </w:rPr>
        <w:t>Įprastinė dozė pacientams, kurių inkstų funkcija nepažeista</w:t>
      </w:r>
    </w:p>
    <w:p w:rsidR="008A1C92" w:rsidRDefault="008A1C92" w:rsidP="008A1C92">
      <w:pPr>
        <w:tabs>
          <w:tab w:val="left" w:pos="567"/>
        </w:tabs>
        <w:rPr>
          <w:u w:val="single"/>
        </w:rPr>
      </w:pPr>
    </w:p>
    <w:p w:rsidR="008A1C92" w:rsidRDefault="008A1C92" w:rsidP="008A1C92">
      <w:pPr>
        <w:tabs>
          <w:tab w:val="left" w:pos="567"/>
        </w:tabs>
        <w:rPr>
          <w:u w:val="single"/>
        </w:rPr>
      </w:pPr>
      <w:r>
        <w:rPr>
          <w:u w:val="single"/>
        </w:rPr>
        <w:t>Leidžiant į raumenis</w:t>
      </w:r>
    </w:p>
    <w:p w:rsidR="008A1C92" w:rsidRDefault="008A1C92" w:rsidP="008A1C92">
      <w:pPr>
        <w:tabs>
          <w:tab w:val="left" w:pos="567"/>
        </w:tabs>
        <w:rPr>
          <w:i/>
        </w:rPr>
      </w:pPr>
      <w:r>
        <w:rPr>
          <w:i/>
        </w:rPr>
        <w:t>Suaugę žmonės</w:t>
      </w:r>
    </w:p>
    <w:p w:rsidR="008A1C92" w:rsidRDefault="008A1C92" w:rsidP="008A1C92">
      <w:pPr>
        <w:tabs>
          <w:tab w:val="left" w:pos="567"/>
        </w:tabs>
      </w:pPr>
      <w:r>
        <w:t>Vaisto paros dozė yra 15 mg /kg kūno svorio. Ją reikia padalyti į dvi lygias dalis (po 7,5 mg/kg kūno svorio) ir leisti kas 12 val.</w:t>
      </w:r>
    </w:p>
    <w:p w:rsidR="008A1C92" w:rsidRDefault="008A1C92" w:rsidP="008A1C92">
      <w:pPr>
        <w:tabs>
          <w:tab w:val="left" w:pos="567"/>
        </w:tabs>
      </w:pPr>
      <w:r>
        <w:t xml:space="preserve">Didžiausia suaugusių žmonių paros dozė yra 1,5 g. Visam gydymo kursui negalima suvartoti daugiau kaip 15 g </w:t>
      </w:r>
      <w:proofErr w:type="spellStart"/>
      <w:r>
        <w:t>kanamicino</w:t>
      </w:r>
      <w:proofErr w:type="spellEnd"/>
      <w:r>
        <w:t xml:space="preserve">. </w:t>
      </w:r>
    </w:p>
    <w:p w:rsidR="008A1C92" w:rsidRDefault="008A1C92" w:rsidP="008A1C92">
      <w:pPr>
        <w:tabs>
          <w:tab w:val="left" w:pos="567"/>
        </w:tabs>
      </w:pPr>
    </w:p>
    <w:p w:rsidR="008A1C92" w:rsidRDefault="008A1C92" w:rsidP="008A1C92">
      <w:pPr>
        <w:tabs>
          <w:tab w:val="left" w:pos="567"/>
        </w:tabs>
        <w:rPr>
          <w:i/>
        </w:rPr>
      </w:pPr>
      <w:r>
        <w:rPr>
          <w:i/>
        </w:rPr>
        <w:t>Vaikai</w:t>
      </w:r>
    </w:p>
    <w:p w:rsidR="008A1C92" w:rsidRDefault="008A1C92" w:rsidP="008A1C92">
      <w:pPr>
        <w:tabs>
          <w:tab w:val="left" w:pos="567"/>
        </w:tabs>
      </w:pPr>
      <w:r>
        <w:t>Vaisto paros dozė yra 15 mg /kg kūno svorio. Ją reikia padalyti į dvi lygias dalis (po 7,5 mg/kg kūno svorio) ir leisti kas 12 val.</w:t>
      </w:r>
    </w:p>
    <w:p w:rsidR="008A1C92" w:rsidRDefault="008A1C92" w:rsidP="008A1C92">
      <w:pPr>
        <w:tabs>
          <w:tab w:val="left" w:pos="567"/>
        </w:tabs>
      </w:pPr>
      <w:r>
        <w:t>Didžiausia vaikų paros dozė yra 600 mg. Vaisto negalima vartoti ilgiau kaip 6 dienas.</w:t>
      </w:r>
    </w:p>
    <w:p w:rsidR="008A1C92" w:rsidRDefault="008A1C92" w:rsidP="008A1C92">
      <w:pPr>
        <w:tabs>
          <w:tab w:val="left" w:pos="567"/>
        </w:tabs>
        <w:rPr>
          <w:i/>
        </w:rPr>
      </w:pPr>
    </w:p>
    <w:p w:rsidR="008A1C92" w:rsidRDefault="008A1C92" w:rsidP="008A1C92">
      <w:pPr>
        <w:tabs>
          <w:tab w:val="left" w:pos="567"/>
        </w:tabs>
        <w:rPr>
          <w:i/>
        </w:rPr>
      </w:pPr>
      <w:r>
        <w:rPr>
          <w:i/>
        </w:rPr>
        <w:t xml:space="preserve">Kūdikiai </w:t>
      </w:r>
    </w:p>
    <w:p w:rsidR="008A1C92" w:rsidRDefault="008A1C92" w:rsidP="008A1C92">
      <w:pPr>
        <w:tabs>
          <w:tab w:val="left" w:pos="567"/>
        </w:tabs>
      </w:pPr>
      <w:r>
        <w:t>Vaisto paros dozė yra 5-15 mg /kg kūno svorio. Ją reikia padalyti į dvi lygias dalis (po 2,5 - 7,5 mg/kg kūno svorio) ir leisti kas 12 val. Būtina tikrinti antibiotiko koncentraciją kraujo serume.</w:t>
      </w:r>
    </w:p>
    <w:p w:rsidR="008A1C92" w:rsidRDefault="008A1C92" w:rsidP="008A1C92">
      <w:pPr>
        <w:tabs>
          <w:tab w:val="left" w:pos="567"/>
        </w:tabs>
      </w:pPr>
    </w:p>
    <w:p w:rsidR="008A1C92" w:rsidRDefault="008A1C92" w:rsidP="008A1C92">
      <w:pPr>
        <w:tabs>
          <w:tab w:val="left" w:pos="567"/>
        </w:tabs>
        <w:rPr>
          <w:u w:val="single"/>
        </w:rPr>
      </w:pPr>
      <w:proofErr w:type="spellStart"/>
      <w:r>
        <w:rPr>
          <w:u w:val="single"/>
        </w:rPr>
        <w:t>Injekuojant</w:t>
      </w:r>
      <w:proofErr w:type="spellEnd"/>
      <w:r>
        <w:rPr>
          <w:u w:val="single"/>
        </w:rPr>
        <w:t xml:space="preserve"> į veną</w:t>
      </w:r>
    </w:p>
    <w:p w:rsidR="008A1C92" w:rsidRDefault="008A1C92" w:rsidP="008A1C92">
      <w:pPr>
        <w:tabs>
          <w:tab w:val="left" w:pos="567"/>
        </w:tabs>
        <w:rPr>
          <w:i/>
        </w:rPr>
      </w:pPr>
      <w:r>
        <w:rPr>
          <w:i/>
        </w:rPr>
        <w:t>Suaugę žmonės ir vaikai</w:t>
      </w:r>
    </w:p>
    <w:p w:rsidR="008A1C92" w:rsidRPr="00444AB4" w:rsidRDefault="008A1C92" w:rsidP="008A1C92">
      <w:pPr>
        <w:tabs>
          <w:tab w:val="left" w:pos="567"/>
        </w:tabs>
      </w:pPr>
      <w:r w:rsidRPr="00444AB4">
        <w:t xml:space="preserve">Suaugusių ir vaikų </w:t>
      </w:r>
      <w:proofErr w:type="spellStart"/>
      <w:r w:rsidRPr="00444AB4">
        <w:t>injekuojamo</w:t>
      </w:r>
      <w:proofErr w:type="spellEnd"/>
      <w:r w:rsidRPr="00444AB4">
        <w:t xml:space="preserve"> į veną vaistinio preparato dozė tokia </w:t>
      </w:r>
      <w:proofErr w:type="spellStart"/>
      <w:r w:rsidRPr="00444AB4">
        <w:t>tokia</w:t>
      </w:r>
      <w:proofErr w:type="spellEnd"/>
      <w:r w:rsidRPr="00444AB4">
        <w:t xml:space="preserve"> pati, kaip </w:t>
      </w:r>
      <w:proofErr w:type="spellStart"/>
      <w:r w:rsidRPr="00444AB4">
        <w:t>injekuojamo</w:t>
      </w:r>
      <w:proofErr w:type="spellEnd"/>
      <w:r w:rsidRPr="00444AB4">
        <w:t xml:space="preserve"> į raumenis.   </w:t>
      </w:r>
    </w:p>
    <w:p w:rsidR="008A1C92" w:rsidRDefault="008A1C92" w:rsidP="008A1C92">
      <w:pPr>
        <w:tabs>
          <w:tab w:val="left" w:pos="567"/>
        </w:tabs>
        <w:rPr>
          <w:u w:val="single"/>
        </w:rPr>
      </w:pPr>
    </w:p>
    <w:p w:rsidR="008A1C92" w:rsidRDefault="008A1C92" w:rsidP="008A1C92">
      <w:pPr>
        <w:tabs>
          <w:tab w:val="left" w:pos="567"/>
        </w:tabs>
        <w:rPr>
          <w:i/>
        </w:rPr>
      </w:pPr>
      <w:r>
        <w:rPr>
          <w:i/>
        </w:rPr>
        <w:lastRenderedPageBreak/>
        <w:t xml:space="preserve">Naujagimiai </w:t>
      </w:r>
    </w:p>
    <w:p w:rsidR="008A1C92" w:rsidRDefault="008A1C92" w:rsidP="008A1C92">
      <w:pPr>
        <w:tabs>
          <w:tab w:val="left" w:pos="567"/>
        </w:tabs>
      </w:pPr>
      <w:r>
        <w:t>Vaisto paros dozė yra 15 mg /kg kūno svorio. Ją reikia padalyti į dvi lygias dalis (po 7,5 mg/kg kūno svorio) ir leisti kas 12 val. Būtina tikrinti antibiotiko koncentraciją kraujo serume.</w:t>
      </w:r>
    </w:p>
    <w:p w:rsidR="008A1C92" w:rsidRDefault="008A1C92" w:rsidP="008A1C92">
      <w:pPr>
        <w:tabs>
          <w:tab w:val="left" w:pos="567"/>
        </w:tabs>
      </w:pPr>
    </w:p>
    <w:p w:rsidR="008A1C92" w:rsidRDefault="008A1C92" w:rsidP="008A1C92">
      <w:pPr>
        <w:tabs>
          <w:tab w:val="left" w:pos="567"/>
        </w:tabs>
        <w:rPr>
          <w:u w:val="single"/>
        </w:rPr>
      </w:pPr>
      <w:proofErr w:type="spellStart"/>
      <w:r>
        <w:rPr>
          <w:u w:val="single"/>
        </w:rPr>
        <w:t>Injekuojant</w:t>
      </w:r>
      <w:proofErr w:type="spellEnd"/>
      <w:r>
        <w:rPr>
          <w:u w:val="single"/>
        </w:rPr>
        <w:t xml:space="preserve"> </w:t>
      </w:r>
      <w:proofErr w:type="spellStart"/>
      <w:r>
        <w:rPr>
          <w:u w:val="single"/>
        </w:rPr>
        <w:t>intratekaliai</w:t>
      </w:r>
      <w:proofErr w:type="spellEnd"/>
      <w:r>
        <w:rPr>
          <w:u w:val="single"/>
        </w:rPr>
        <w:t xml:space="preserve"> </w:t>
      </w:r>
    </w:p>
    <w:p w:rsidR="008A1C92" w:rsidRDefault="008A1C92" w:rsidP="008A1C92">
      <w:pPr>
        <w:tabs>
          <w:tab w:val="left" w:pos="567"/>
        </w:tabs>
        <w:rPr>
          <w:i/>
        </w:rPr>
      </w:pPr>
      <w:r>
        <w:rPr>
          <w:i/>
        </w:rPr>
        <w:t>Suaugę žmonės</w:t>
      </w:r>
    </w:p>
    <w:p w:rsidR="008A1C92" w:rsidRDefault="008A1C92" w:rsidP="008A1C92">
      <w:pPr>
        <w:tabs>
          <w:tab w:val="left" w:pos="567"/>
        </w:tabs>
      </w:pPr>
      <w:r>
        <w:t>Suaugusių žmonių paros dozė yra 25 – 50 mg.</w:t>
      </w:r>
    </w:p>
    <w:p w:rsidR="008A1C92" w:rsidRDefault="008A1C92" w:rsidP="008A1C92">
      <w:pPr>
        <w:tabs>
          <w:tab w:val="left" w:pos="567"/>
        </w:tabs>
      </w:pPr>
    </w:p>
    <w:p w:rsidR="008A1C92" w:rsidRDefault="008A1C92" w:rsidP="008A1C92">
      <w:pPr>
        <w:tabs>
          <w:tab w:val="left" w:pos="567"/>
        </w:tabs>
        <w:rPr>
          <w:i/>
        </w:rPr>
      </w:pPr>
      <w:r>
        <w:rPr>
          <w:i/>
        </w:rPr>
        <w:t>Jaunesni kaip 4 metų vaikai</w:t>
      </w:r>
    </w:p>
    <w:p w:rsidR="008A1C92" w:rsidRDefault="008A1C92" w:rsidP="008A1C92">
      <w:pPr>
        <w:tabs>
          <w:tab w:val="left" w:pos="567"/>
        </w:tabs>
      </w:pPr>
      <w:r>
        <w:t>Jaunesnių kaip 4 metų vaikų paros dozė yra 12 mg.</w:t>
      </w:r>
    </w:p>
    <w:p w:rsidR="008A1C92" w:rsidRDefault="008A1C92" w:rsidP="008A1C92">
      <w:pPr>
        <w:tabs>
          <w:tab w:val="left" w:pos="567"/>
        </w:tabs>
      </w:pPr>
    </w:p>
    <w:p w:rsidR="008A1C92" w:rsidRDefault="008A1C92" w:rsidP="008A1C92">
      <w:pPr>
        <w:tabs>
          <w:tab w:val="left" w:pos="567"/>
        </w:tabs>
        <w:rPr>
          <w:i/>
        </w:rPr>
      </w:pPr>
      <w:r>
        <w:rPr>
          <w:i/>
        </w:rPr>
        <w:t>Vyresni kaip 4 metų vaikai</w:t>
      </w:r>
    </w:p>
    <w:p w:rsidR="008A1C92" w:rsidRDefault="008A1C92" w:rsidP="008A1C92">
      <w:pPr>
        <w:tabs>
          <w:tab w:val="left" w:pos="567"/>
        </w:tabs>
      </w:pPr>
      <w:r>
        <w:t>Vyresnių kaip 4 metų vaikų paros dozė yra 25 mg.</w:t>
      </w:r>
    </w:p>
    <w:p w:rsidR="008A1C92" w:rsidRDefault="008A1C92" w:rsidP="008A1C92">
      <w:pPr>
        <w:tabs>
          <w:tab w:val="left" w:pos="567"/>
        </w:tabs>
      </w:pPr>
    </w:p>
    <w:p w:rsidR="008A1C92" w:rsidRDefault="008A1C92" w:rsidP="008A1C92">
      <w:pPr>
        <w:tabs>
          <w:tab w:val="left" w:pos="567"/>
        </w:tabs>
        <w:rPr>
          <w:i/>
          <w:u w:val="single"/>
        </w:rPr>
      </w:pPr>
      <w:r>
        <w:rPr>
          <w:i/>
          <w:u w:val="single"/>
        </w:rPr>
        <w:t>Pacientai, kurių inkstų funkcija sutrikusi</w:t>
      </w:r>
    </w:p>
    <w:p w:rsidR="008A1C92" w:rsidRDefault="008A1C92" w:rsidP="008A1C92">
      <w:pPr>
        <w:tabs>
          <w:tab w:val="left" w:pos="567"/>
        </w:tabs>
        <w:rPr>
          <w:i/>
        </w:rPr>
      </w:pPr>
    </w:p>
    <w:p w:rsidR="008A1C92" w:rsidRDefault="008A1C92" w:rsidP="008A1C92">
      <w:pPr>
        <w:tabs>
          <w:tab w:val="left" w:pos="567"/>
        </w:tabs>
      </w:pPr>
      <w:r>
        <w:t>Jei ligonio inkstų funkcija sutrikusi, būtina:</w:t>
      </w:r>
    </w:p>
    <w:p w:rsidR="008A1C92" w:rsidRDefault="008A1C92" w:rsidP="008A1C92">
      <w:pPr>
        <w:tabs>
          <w:tab w:val="left" w:pos="567"/>
        </w:tabs>
      </w:pPr>
      <w:r>
        <w:sym w:font="Symbol" w:char="F0B7"/>
      </w:r>
      <w:r>
        <w:tab/>
        <w:t>mažinti dozę;</w:t>
      </w:r>
    </w:p>
    <w:p w:rsidR="008A1C92" w:rsidRDefault="008A1C92" w:rsidP="008A1C92">
      <w:pPr>
        <w:tabs>
          <w:tab w:val="left" w:pos="567"/>
        </w:tabs>
      </w:pPr>
      <w:r>
        <w:sym w:font="Symbol" w:char="F0B7"/>
      </w:r>
      <w:r>
        <w:tab/>
        <w:t>reguliariai tikrinti inkstų, klausos ir pusiausvyros aparato funkciją;</w:t>
      </w:r>
    </w:p>
    <w:p w:rsidR="008A1C92" w:rsidRDefault="008A1C92" w:rsidP="008A1C92">
      <w:pPr>
        <w:tabs>
          <w:tab w:val="left" w:pos="567"/>
        </w:tabs>
      </w:pPr>
      <w:r>
        <w:sym w:font="Symbol" w:char="F0B7"/>
      </w:r>
      <w:r>
        <w:tab/>
        <w:t>kiek galint greičiau, dozę koreguoti atsižvelgiant į vaisto koncentraciją serume.</w:t>
      </w:r>
    </w:p>
    <w:p w:rsidR="008A1C92" w:rsidRDefault="008A1C92" w:rsidP="008A1C92">
      <w:pPr>
        <w:tabs>
          <w:tab w:val="left" w:pos="567"/>
        </w:tabs>
      </w:pPr>
    </w:p>
    <w:p w:rsidR="008A1C92" w:rsidRDefault="008A1C92" w:rsidP="008A1C92">
      <w:pPr>
        <w:tabs>
          <w:tab w:val="left" w:pos="567"/>
        </w:tabs>
      </w:pPr>
      <w:r>
        <w:t xml:space="preserve">Suaugusių pacientų, kuriems yra </w:t>
      </w:r>
      <w:proofErr w:type="spellStart"/>
      <w:r>
        <w:t>oligurija</w:t>
      </w:r>
      <w:proofErr w:type="spellEnd"/>
      <w:r>
        <w:t>,  pradinė dozė yra 1 g. Vėliau reikia vartoti 500 mg dozę kas 2-4 dienas.</w:t>
      </w:r>
    </w:p>
    <w:p w:rsidR="008A1C92" w:rsidRDefault="008A1C92" w:rsidP="008A1C92">
      <w:pPr>
        <w:tabs>
          <w:tab w:val="left" w:pos="567"/>
        </w:tabs>
      </w:pPr>
      <w:proofErr w:type="spellStart"/>
      <w:r>
        <w:t>Oligurijai</w:t>
      </w:r>
      <w:proofErr w:type="spellEnd"/>
      <w:r>
        <w:t xml:space="preserve"> praėjus arba esant uremijai, kai </w:t>
      </w:r>
      <w:proofErr w:type="spellStart"/>
      <w:r>
        <w:t>glomerulų</w:t>
      </w:r>
      <w:proofErr w:type="spellEnd"/>
      <w:r>
        <w:t xml:space="preserve"> filtracijos greitis yra mažesnis kaip 10 ml/min, pradinė dozė yra 1 g. Vėliau reikia vartoti 500 mg dozę kas 1-2 dienas.</w:t>
      </w:r>
    </w:p>
    <w:p w:rsidR="008A1C92" w:rsidRPr="00444AB4" w:rsidRDefault="008A1C92" w:rsidP="008A1C92">
      <w:pPr>
        <w:widowControl w:val="0"/>
        <w:kinsoku w:val="0"/>
        <w:overflowPunct w:val="0"/>
        <w:autoSpaceDE w:val="0"/>
        <w:autoSpaceDN w:val="0"/>
        <w:adjustRightInd w:val="0"/>
        <w:spacing w:before="2"/>
        <w:rPr>
          <w:lang w:eastAsia="fr-FR"/>
        </w:rPr>
      </w:pPr>
    </w:p>
    <w:p w:rsidR="008A1C92" w:rsidRDefault="008A1C92" w:rsidP="008A1C92">
      <w:pPr>
        <w:widowControl w:val="0"/>
        <w:kinsoku w:val="0"/>
        <w:overflowPunct w:val="0"/>
        <w:autoSpaceDE w:val="0"/>
        <w:autoSpaceDN w:val="0"/>
        <w:adjustRightInd w:val="0"/>
        <w:spacing w:before="2"/>
        <w:rPr>
          <w:lang w:eastAsia="fr-FR"/>
        </w:rPr>
      </w:pPr>
      <w:proofErr w:type="spellStart"/>
      <w:r w:rsidRPr="00444AB4">
        <w:rPr>
          <w:lang w:eastAsia="fr-FR"/>
        </w:rPr>
        <w:t>Hemodializuojamiems</w:t>
      </w:r>
      <w:proofErr w:type="spellEnd"/>
      <w:r w:rsidRPr="00444AB4">
        <w:rPr>
          <w:lang w:eastAsia="fr-FR"/>
        </w:rPr>
        <w:t xml:space="preserve"> pacientams, paskyrus 5</w:t>
      </w:r>
      <w:r w:rsidRPr="00F47445">
        <w:rPr>
          <w:lang w:eastAsia="fr-FR"/>
        </w:rPr>
        <w:noBreakHyphen/>
      </w:r>
      <w:r w:rsidRPr="00444AB4">
        <w:rPr>
          <w:lang w:eastAsia="fr-FR"/>
        </w:rPr>
        <w:t>7,5</w:t>
      </w:r>
      <w:r w:rsidRPr="00F47445">
        <w:rPr>
          <w:lang w:eastAsia="fr-FR"/>
        </w:rPr>
        <w:t> </w:t>
      </w:r>
      <w:r w:rsidRPr="00444AB4">
        <w:rPr>
          <w:lang w:eastAsia="fr-FR"/>
        </w:rPr>
        <w:t xml:space="preserve">mg/kg įsotinamąją dozę, paskesnės dozės skiriamos po hemodializės procedūrų, atsižvelgiant į </w:t>
      </w:r>
      <w:proofErr w:type="spellStart"/>
      <w:r w:rsidRPr="00444AB4">
        <w:rPr>
          <w:lang w:eastAsia="fr-FR"/>
        </w:rPr>
        <w:t>kanamicino</w:t>
      </w:r>
      <w:proofErr w:type="spellEnd"/>
      <w:r w:rsidRPr="00444AB4">
        <w:rPr>
          <w:lang w:eastAsia="fr-FR"/>
        </w:rPr>
        <w:t xml:space="preserve"> koncentraciją kraujo serume.</w:t>
      </w:r>
    </w:p>
    <w:p w:rsidR="008A1C92" w:rsidRDefault="008A1C92" w:rsidP="008A1C92">
      <w:pPr>
        <w:rPr>
          <w:b/>
        </w:rPr>
      </w:pPr>
    </w:p>
    <w:p w:rsidR="008A1C92" w:rsidRDefault="008A1C92" w:rsidP="008A1C92">
      <w:pPr>
        <w:pStyle w:val="Antrat3"/>
        <w:spacing w:line="240" w:lineRule="auto"/>
        <w:rPr>
          <w:szCs w:val="22"/>
        </w:rPr>
      </w:pPr>
      <w:r>
        <w:rPr>
          <w:szCs w:val="22"/>
        </w:rPr>
        <w:t xml:space="preserve">Ką daryti pavartojus per didelę </w:t>
      </w:r>
      <w:r w:rsidRPr="001F2F90">
        <w:rPr>
          <w:szCs w:val="22"/>
        </w:rPr>
        <w:t xml:space="preserve">KANAMYCIN PANPHARMA </w:t>
      </w:r>
      <w:r>
        <w:rPr>
          <w:szCs w:val="22"/>
        </w:rPr>
        <w:t>dozę</w:t>
      </w:r>
    </w:p>
    <w:p w:rsidR="008A1C92" w:rsidRDefault="008A1C92" w:rsidP="008A1C92">
      <w:pPr>
        <w:tabs>
          <w:tab w:val="left" w:pos="567"/>
        </w:tabs>
      </w:pPr>
      <w:r>
        <w:t xml:space="preserve">Perdozavimo simptomai tokie patys, kaip nepageidaujami. Atsiranda pusiausvyros ir klausos sutrikimų, galvos skausmas, svaigimas, pykinimas, inkstų funkcijos sutrikimas. Toksinės </w:t>
      </w:r>
      <w:proofErr w:type="spellStart"/>
      <w:r>
        <w:t>kanamicino</w:t>
      </w:r>
      <w:proofErr w:type="spellEnd"/>
      <w:r>
        <w:t xml:space="preserve"> dozės gali blokuoti impulso perdavimą iš nervo į raumenis ir slopinti kvėpavimą. Pasireiškus </w:t>
      </w:r>
      <w:proofErr w:type="spellStart"/>
      <w:r>
        <w:t>neuromuskulinei</w:t>
      </w:r>
      <w:proofErr w:type="spellEnd"/>
      <w:r>
        <w:t xml:space="preserve"> blokadai, reikia užtikrinti kvėpavimo funkciją ir švirkšti kalcio druskų ir </w:t>
      </w:r>
      <w:proofErr w:type="spellStart"/>
      <w:r>
        <w:t>neostigmino</w:t>
      </w:r>
      <w:proofErr w:type="spellEnd"/>
      <w:r>
        <w:t>.</w:t>
      </w:r>
    </w:p>
    <w:p w:rsidR="008A1C92" w:rsidRDefault="008A1C92" w:rsidP="008A1C92">
      <w:pPr>
        <w:tabs>
          <w:tab w:val="left" w:pos="567"/>
        </w:tabs>
      </w:pPr>
      <w:r>
        <w:t xml:space="preserve">Jei </w:t>
      </w:r>
      <w:proofErr w:type="spellStart"/>
      <w:r>
        <w:t>kanamicino</w:t>
      </w:r>
      <w:proofErr w:type="spellEnd"/>
      <w:r>
        <w:t xml:space="preserve"> perdozuojama arba atsiranda toksinė reakcija, vaistą iš organizmo galima pašalinti hemodialize ir pilvaplėvės dialize.</w:t>
      </w:r>
    </w:p>
    <w:p w:rsidR="008A1C92" w:rsidRDefault="008A1C92" w:rsidP="008A1C92">
      <w:pPr>
        <w:rPr>
          <w:b/>
        </w:rPr>
      </w:pPr>
    </w:p>
    <w:p w:rsidR="008A1C92" w:rsidRDefault="008A1C92" w:rsidP="008A1C92">
      <w:pPr>
        <w:pStyle w:val="Antrat3"/>
        <w:spacing w:line="240" w:lineRule="auto"/>
      </w:pPr>
      <w:r>
        <w:t xml:space="preserve">Pamiršus pavartoti </w:t>
      </w:r>
      <w:r w:rsidRPr="001F2F90">
        <w:t>KANAMYCIN PANPHARMA</w:t>
      </w:r>
    </w:p>
    <w:p w:rsidR="008A1C92" w:rsidRDefault="008A1C92" w:rsidP="008A1C92">
      <w:pPr>
        <w:pStyle w:val="Antrat3"/>
        <w:spacing w:line="240" w:lineRule="auto"/>
        <w:rPr>
          <w:b w:val="0"/>
        </w:rPr>
      </w:pPr>
      <w:r>
        <w:rPr>
          <w:b w:val="0"/>
        </w:rPr>
        <w:t>Pamiršus suleisti preparato reikiamu laiku, būtina jo leisti tuoj pat, kai tik prisimenama, tačiau jeigu yra beveik atėjęs kitos dozės vartojimo laikas, pamirštosios dozės švirkšti nereikia. Tokiu atveju preparato švirkščiama įprastiniu laiku. Praleidus dozę, vėliau vietoj jos dvigubos dozės vartoti negalima.</w:t>
      </w:r>
    </w:p>
    <w:p w:rsidR="008A1C92" w:rsidRDefault="008A1C92" w:rsidP="008A1C92">
      <w:pPr>
        <w:rPr>
          <w:b/>
        </w:rPr>
      </w:pPr>
    </w:p>
    <w:p w:rsidR="008A1C92" w:rsidRDefault="008A1C92" w:rsidP="008A1C92">
      <w:pPr>
        <w:rPr>
          <w:b/>
        </w:rPr>
      </w:pPr>
    </w:p>
    <w:p w:rsidR="008A1C92" w:rsidRDefault="008A1C92" w:rsidP="008A1C92">
      <w:pPr>
        <w:pStyle w:val="Antrat2"/>
        <w:rPr>
          <w:b/>
          <w:i w:val="0"/>
          <w:szCs w:val="22"/>
        </w:rPr>
      </w:pPr>
      <w:r>
        <w:rPr>
          <w:b/>
          <w:i w:val="0"/>
          <w:szCs w:val="22"/>
        </w:rPr>
        <w:t>4.</w:t>
      </w:r>
      <w:r>
        <w:rPr>
          <w:b/>
          <w:i w:val="0"/>
          <w:szCs w:val="22"/>
        </w:rPr>
        <w:tab/>
        <w:t>Galimas šalutinis poveikis</w:t>
      </w:r>
    </w:p>
    <w:p w:rsidR="008A1C92" w:rsidRDefault="008A1C92" w:rsidP="008A1C92">
      <w:pPr>
        <w:ind w:left="567" w:hanging="567"/>
        <w:rPr>
          <w:szCs w:val="22"/>
        </w:rPr>
      </w:pPr>
    </w:p>
    <w:p w:rsidR="008A1C92" w:rsidRDefault="008A1C92" w:rsidP="008A1C92">
      <w:pPr>
        <w:ind w:left="567" w:hanging="567"/>
        <w:rPr>
          <w:szCs w:val="22"/>
        </w:rPr>
      </w:pPr>
      <w:r w:rsidRPr="00B34FA1">
        <w:rPr>
          <w:noProof/>
          <w:szCs w:val="24"/>
        </w:rPr>
        <w:t>Šis vaistas, kaip ir visi kiti, gali sukelti šalutinį poveikį, nors jis pasireiškia ne visiems žmonėms</w:t>
      </w:r>
      <w:r>
        <w:rPr>
          <w:szCs w:val="22"/>
        </w:rPr>
        <w:t>.</w:t>
      </w:r>
    </w:p>
    <w:p w:rsidR="008A1C92" w:rsidRDefault="008A1C92" w:rsidP="008A1C92">
      <w:pPr>
        <w:ind w:left="567" w:hanging="567"/>
        <w:rPr>
          <w:szCs w:val="22"/>
        </w:rPr>
      </w:pPr>
    </w:p>
    <w:p w:rsidR="008A1C92" w:rsidRPr="00444AB4" w:rsidRDefault="008A1C92" w:rsidP="008A1C92">
      <w:pPr>
        <w:tabs>
          <w:tab w:val="left" w:pos="567"/>
        </w:tabs>
        <w:rPr>
          <w:i/>
        </w:rPr>
      </w:pPr>
      <w:r w:rsidRPr="00444AB4">
        <w:rPr>
          <w:i/>
        </w:rPr>
        <w:t>Kraujo ir limfinės sistemos sutrikimai</w:t>
      </w:r>
    </w:p>
    <w:p w:rsidR="008A1C92" w:rsidRDefault="008A1C92" w:rsidP="008A1C92">
      <w:pPr>
        <w:tabs>
          <w:tab w:val="left" w:pos="567"/>
        </w:tabs>
      </w:pPr>
      <w:r>
        <w:t>Kraujo ląstelių skaičiaus pokytis.</w:t>
      </w:r>
    </w:p>
    <w:p w:rsidR="008A1C92" w:rsidRDefault="008A1C92" w:rsidP="008A1C92">
      <w:pPr>
        <w:tabs>
          <w:tab w:val="left" w:pos="567"/>
        </w:tabs>
        <w:rPr>
          <w:b/>
        </w:rPr>
      </w:pPr>
    </w:p>
    <w:p w:rsidR="008A1C92" w:rsidRPr="006B28C4" w:rsidRDefault="008A1C92" w:rsidP="008A1C92">
      <w:pPr>
        <w:tabs>
          <w:tab w:val="left" w:pos="567"/>
        </w:tabs>
      </w:pPr>
      <w:r w:rsidRPr="006B28C4">
        <w:rPr>
          <w:i/>
        </w:rPr>
        <w:t>Imuninės sistemos sutrikima</w:t>
      </w:r>
      <w:r w:rsidRPr="006B28C4">
        <w:t>i</w:t>
      </w:r>
    </w:p>
    <w:p w:rsidR="008A1C92" w:rsidRPr="006B28C4" w:rsidRDefault="008A1C92" w:rsidP="008A1C92">
      <w:pPr>
        <w:widowControl w:val="0"/>
        <w:kinsoku w:val="0"/>
        <w:overflowPunct w:val="0"/>
        <w:autoSpaceDE w:val="0"/>
        <w:autoSpaceDN w:val="0"/>
        <w:adjustRightInd w:val="0"/>
        <w:spacing w:line="252" w:lineRule="exact"/>
        <w:rPr>
          <w:lang w:eastAsia="fr-FR"/>
        </w:rPr>
      </w:pPr>
      <w:r w:rsidRPr="006B28C4">
        <w:rPr>
          <w:lang w:eastAsia="fr-FR"/>
        </w:rPr>
        <w:t>Alerginės reakcijos:</w:t>
      </w:r>
      <w:r w:rsidRPr="006B28C4">
        <w:rPr>
          <w:spacing w:val="-9"/>
          <w:lang w:eastAsia="fr-FR"/>
        </w:rPr>
        <w:t xml:space="preserve"> </w:t>
      </w:r>
      <w:r>
        <w:rPr>
          <w:spacing w:val="-9"/>
          <w:lang w:eastAsia="fr-FR"/>
        </w:rPr>
        <w:t>iš</w:t>
      </w:r>
      <w:r w:rsidRPr="006B28C4">
        <w:rPr>
          <w:spacing w:val="-1"/>
          <w:lang w:eastAsia="fr-FR"/>
        </w:rPr>
        <w:t>bėrimas,</w:t>
      </w:r>
      <w:r w:rsidRPr="006B28C4">
        <w:rPr>
          <w:spacing w:val="-10"/>
          <w:lang w:eastAsia="fr-FR"/>
        </w:rPr>
        <w:t xml:space="preserve"> </w:t>
      </w:r>
      <w:r w:rsidRPr="006B28C4">
        <w:rPr>
          <w:spacing w:val="-1"/>
          <w:lang w:eastAsia="fr-FR"/>
        </w:rPr>
        <w:t>dilgėlinė,</w:t>
      </w:r>
      <w:r w:rsidRPr="006B28C4">
        <w:rPr>
          <w:spacing w:val="-9"/>
          <w:lang w:eastAsia="fr-FR"/>
        </w:rPr>
        <w:t xml:space="preserve"> </w:t>
      </w:r>
      <w:r w:rsidRPr="006B28C4">
        <w:rPr>
          <w:lang w:eastAsia="fr-FR"/>
        </w:rPr>
        <w:t>niežulys.</w:t>
      </w:r>
    </w:p>
    <w:p w:rsidR="008A1C92" w:rsidRPr="006B28C4" w:rsidRDefault="008A1C92" w:rsidP="008A1C92">
      <w:pPr>
        <w:widowControl w:val="0"/>
        <w:kinsoku w:val="0"/>
        <w:overflowPunct w:val="0"/>
        <w:autoSpaceDE w:val="0"/>
        <w:autoSpaceDN w:val="0"/>
        <w:adjustRightInd w:val="0"/>
        <w:rPr>
          <w:lang w:eastAsia="fr-FR"/>
        </w:rPr>
      </w:pPr>
    </w:p>
    <w:p w:rsidR="008A1C92" w:rsidRPr="006B28C4" w:rsidRDefault="008A1C92" w:rsidP="008A1C92">
      <w:pPr>
        <w:widowControl w:val="0"/>
        <w:kinsoku w:val="0"/>
        <w:overflowPunct w:val="0"/>
        <w:autoSpaceDE w:val="0"/>
        <w:autoSpaceDN w:val="0"/>
        <w:adjustRightInd w:val="0"/>
        <w:spacing w:line="252" w:lineRule="exact"/>
        <w:outlineLvl w:val="0"/>
        <w:rPr>
          <w:i/>
          <w:lang w:eastAsia="fr-FR"/>
        </w:rPr>
      </w:pPr>
      <w:r w:rsidRPr="006B28C4">
        <w:rPr>
          <w:bCs/>
          <w:i/>
          <w:spacing w:val="-1"/>
          <w:lang w:eastAsia="fr-FR"/>
        </w:rPr>
        <w:t>Nervų</w:t>
      </w:r>
      <w:r w:rsidRPr="006B28C4">
        <w:rPr>
          <w:bCs/>
          <w:i/>
          <w:spacing w:val="-12"/>
          <w:lang w:eastAsia="fr-FR"/>
        </w:rPr>
        <w:t xml:space="preserve"> </w:t>
      </w:r>
      <w:r w:rsidRPr="006B28C4">
        <w:rPr>
          <w:bCs/>
          <w:i/>
          <w:lang w:eastAsia="fr-FR"/>
        </w:rPr>
        <w:t>sistemos</w:t>
      </w:r>
      <w:r w:rsidRPr="006B28C4">
        <w:rPr>
          <w:bCs/>
          <w:i/>
          <w:spacing w:val="-12"/>
          <w:lang w:eastAsia="fr-FR"/>
        </w:rPr>
        <w:t xml:space="preserve"> </w:t>
      </w:r>
      <w:r w:rsidRPr="006B28C4">
        <w:rPr>
          <w:bCs/>
          <w:i/>
          <w:lang w:eastAsia="fr-FR"/>
        </w:rPr>
        <w:t>sutrikimas</w:t>
      </w:r>
    </w:p>
    <w:p w:rsidR="008A1C92" w:rsidRPr="006B28C4" w:rsidRDefault="008A1C92" w:rsidP="008A1C92">
      <w:pPr>
        <w:widowControl w:val="0"/>
        <w:kinsoku w:val="0"/>
        <w:overflowPunct w:val="0"/>
        <w:autoSpaceDE w:val="0"/>
        <w:autoSpaceDN w:val="0"/>
        <w:adjustRightInd w:val="0"/>
        <w:spacing w:line="252" w:lineRule="exact"/>
        <w:rPr>
          <w:lang w:eastAsia="fr-FR"/>
        </w:rPr>
      </w:pPr>
      <w:proofErr w:type="spellStart"/>
      <w:r w:rsidRPr="006B28C4">
        <w:rPr>
          <w:lang w:eastAsia="fr-FR"/>
        </w:rPr>
        <w:t>Neuroraumeninis</w:t>
      </w:r>
      <w:proofErr w:type="spellEnd"/>
      <w:r w:rsidRPr="006B28C4">
        <w:rPr>
          <w:lang w:eastAsia="fr-FR"/>
        </w:rPr>
        <w:t xml:space="preserve"> paralyžius (dažniausiai pasireiškia dideles vaisto dozes leidžiant į pilvaplėvės ertmę arba </w:t>
      </w:r>
      <w:proofErr w:type="spellStart"/>
      <w:r w:rsidRPr="006B28C4">
        <w:rPr>
          <w:lang w:eastAsia="fr-FR"/>
        </w:rPr>
        <w:lastRenderedPageBreak/>
        <w:t>generalizuota</w:t>
      </w:r>
      <w:proofErr w:type="spellEnd"/>
      <w:r w:rsidRPr="006B28C4">
        <w:rPr>
          <w:lang w:eastAsia="fr-FR"/>
        </w:rPr>
        <w:t xml:space="preserve"> </w:t>
      </w:r>
      <w:proofErr w:type="spellStart"/>
      <w:r w:rsidRPr="006B28C4">
        <w:rPr>
          <w:lang w:eastAsia="fr-FR"/>
        </w:rPr>
        <w:t>miastenija</w:t>
      </w:r>
      <w:proofErr w:type="spellEnd"/>
      <w:r w:rsidRPr="006B28C4">
        <w:rPr>
          <w:lang w:eastAsia="fr-FR"/>
        </w:rPr>
        <w:t xml:space="preserve"> sergantiems pacientams). Galvos</w:t>
      </w:r>
      <w:r w:rsidRPr="006B28C4">
        <w:rPr>
          <w:spacing w:val="-10"/>
          <w:lang w:eastAsia="fr-FR"/>
        </w:rPr>
        <w:t xml:space="preserve"> </w:t>
      </w:r>
      <w:r w:rsidRPr="006B28C4">
        <w:rPr>
          <w:lang w:eastAsia="fr-FR"/>
        </w:rPr>
        <w:t>skausmas,</w:t>
      </w:r>
      <w:r w:rsidRPr="006B28C4">
        <w:rPr>
          <w:spacing w:val="-10"/>
          <w:lang w:eastAsia="fr-FR"/>
        </w:rPr>
        <w:t xml:space="preserve"> </w:t>
      </w:r>
      <w:r w:rsidRPr="006B28C4">
        <w:rPr>
          <w:lang w:eastAsia="fr-FR"/>
        </w:rPr>
        <w:t>susikaustymas,</w:t>
      </w:r>
      <w:r w:rsidRPr="006B28C4">
        <w:rPr>
          <w:spacing w:val="-9"/>
          <w:lang w:eastAsia="fr-FR"/>
        </w:rPr>
        <w:t xml:space="preserve"> </w:t>
      </w:r>
      <w:r w:rsidRPr="006B28C4">
        <w:rPr>
          <w:spacing w:val="-1"/>
          <w:lang w:eastAsia="fr-FR"/>
        </w:rPr>
        <w:t>traukuliai ir neryškus regėjimas</w:t>
      </w:r>
      <w:r w:rsidRPr="006B28C4">
        <w:rPr>
          <w:lang w:eastAsia="fr-FR"/>
        </w:rPr>
        <w:t>.</w:t>
      </w:r>
    </w:p>
    <w:p w:rsidR="008A1C92" w:rsidRPr="006B28C4" w:rsidRDefault="008A1C92" w:rsidP="008A1C92">
      <w:pPr>
        <w:widowControl w:val="0"/>
        <w:kinsoku w:val="0"/>
        <w:overflowPunct w:val="0"/>
        <w:autoSpaceDE w:val="0"/>
        <w:autoSpaceDN w:val="0"/>
        <w:adjustRightInd w:val="0"/>
        <w:rPr>
          <w:lang w:eastAsia="fr-FR"/>
        </w:rPr>
      </w:pPr>
      <w:r w:rsidRPr="006B28C4">
        <w:rPr>
          <w:lang w:eastAsia="fr-FR"/>
        </w:rPr>
        <w:t xml:space="preserve">Labai retai buvo pranešta apie periferinių nervų uždegimą, regos nervo uždegimą, </w:t>
      </w:r>
      <w:proofErr w:type="spellStart"/>
      <w:r w:rsidRPr="006B28C4">
        <w:rPr>
          <w:lang w:eastAsia="fr-FR"/>
        </w:rPr>
        <w:t>neuroraumeninę</w:t>
      </w:r>
      <w:proofErr w:type="spellEnd"/>
      <w:r w:rsidRPr="006B28C4">
        <w:rPr>
          <w:lang w:eastAsia="fr-FR"/>
        </w:rPr>
        <w:t xml:space="preserve"> blokadą (tokiais atvejais gali sustoti kvėpavimas).</w:t>
      </w:r>
    </w:p>
    <w:p w:rsidR="008A1C92" w:rsidRPr="006B28C4" w:rsidRDefault="008A1C92" w:rsidP="008A1C92">
      <w:pPr>
        <w:widowControl w:val="0"/>
        <w:kinsoku w:val="0"/>
        <w:overflowPunct w:val="0"/>
        <w:autoSpaceDE w:val="0"/>
        <w:autoSpaceDN w:val="0"/>
        <w:adjustRightInd w:val="0"/>
        <w:rPr>
          <w:lang w:eastAsia="fr-FR"/>
        </w:rPr>
      </w:pPr>
    </w:p>
    <w:p w:rsidR="008A1C92" w:rsidRPr="006B28C4" w:rsidRDefault="008A1C92" w:rsidP="008A1C92">
      <w:pPr>
        <w:widowControl w:val="0"/>
        <w:kinsoku w:val="0"/>
        <w:overflowPunct w:val="0"/>
        <w:autoSpaceDE w:val="0"/>
        <w:autoSpaceDN w:val="0"/>
        <w:adjustRightInd w:val="0"/>
        <w:spacing w:line="252" w:lineRule="exact"/>
        <w:outlineLvl w:val="0"/>
        <w:rPr>
          <w:bCs/>
          <w:i/>
          <w:snapToGrid w:val="0"/>
          <w:szCs w:val="28"/>
          <w:lang w:eastAsia="x-none"/>
        </w:rPr>
      </w:pPr>
      <w:r w:rsidRPr="006B28C4">
        <w:rPr>
          <w:bCs/>
          <w:i/>
          <w:snapToGrid w:val="0"/>
          <w:szCs w:val="28"/>
          <w:lang w:eastAsia="x-none"/>
        </w:rPr>
        <w:t>Ausies ir labirinto sutrikimai</w:t>
      </w:r>
    </w:p>
    <w:p w:rsidR="008A1C92" w:rsidRPr="006B28C4" w:rsidRDefault="008A1C92" w:rsidP="008A1C92">
      <w:pPr>
        <w:widowControl w:val="0"/>
        <w:kinsoku w:val="0"/>
        <w:overflowPunct w:val="0"/>
        <w:autoSpaceDE w:val="0"/>
        <w:autoSpaceDN w:val="0"/>
        <w:adjustRightInd w:val="0"/>
        <w:rPr>
          <w:lang w:eastAsia="fr-FR"/>
        </w:rPr>
      </w:pPr>
      <w:r w:rsidRPr="00F47445">
        <w:rPr>
          <w:lang w:eastAsia="fr-FR"/>
        </w:rPr>
        <w:t>Toksinis poveikis klausos organams:</w:t>
      </w:r>
      <w:r w:rsidRPr="006B28C4">
        <w:rPr>
          <w:lang w:eastAsia="fr-FR"/>
        </w:rPr>
        <w:t xml:space="preserve"> Galvos</w:t>
      </w:r>
      <w:r w:rsidRPr="006B28C4">
        <w:rPr>
          <w:spacing w:val="-9"/>
          <w:lang w:eastAsia="fr-FR"/>
        </w:rPr>
        <w:t xml:space="preserve"> </w:t>
      </w:r>
      <w:r w:rsidRPr="006B28C4">
        <w:rPr>
          <w:lang w:eastAsia="fr-FR"/>
        </w:rPr>
        <w:t>svaigimas,</w:t>
      </w:r>
      <w:r w:rsidRPr="006B28C4">
        <w:rPr>
          <w:spacing w:val="-9"/>
          <w:lang w:eastAsia="fr-FR"/>
        </w:rPr>
        <w:t xml:space="preserve"> </w:t>
      </w:r>
      <w:r w:rsidRPr="006B28C4">
        <w:rPr>
          <w:lang w:eastAsia="fr-FR"/>
        </w:rPr>
        <w:t>pykinimas,</w:t>
      </w:r>
      <w:r w:rsidRPr="006B28C4">
        <w:rPr>
          <w:spacing w:val="-9"/>
          <w:lang w:eastAsia="fr-FR"/>
        </w:rPr>
        <w:t xml:space="preserve"> </w:t>
      </w:r>
      <w:r w:rsidRPr="006B28C4">
        <w:rPr>
          <w:spacing w:val="-1"/>
          <w:lang w:eastAsia="fr-FR"/>
        </w:rPr>
        <w:t>ūžimas</w:t>
      </w:r>
      <w:r w:rsidRPr="006B28C4">
        <w:rPr>
          <w:spacing w:val="-9"/>
          <w:lang w:eastAsia="fr-FR"/>
        </w:rPr>
        <w:t xml:space="preserve"> </w:t>
      </w:r>
      <w:r w:rsidRPr="006B28C4">
        <w:rPr>
          <w:spacing w:val="-1"/>
          <w:lang w:eastAsia="fr-FR"/>
        </w:rPr>
        <w:t>ausyse</w:t>
      </w:r>
      <w:r w:rsidRPr="006B28C4">
        <w:rPr>
          <w:spacing w:val="-8"/>
          <w:lang w:eastAsia="fr-FR"/>
        </w:rPr>
        <w:t xml:space="preserve"> </w:t>
      </w:r>
      <w:r w:rsidRPr="006B28C4">
        <w:rPr>
          <w:spacing w:val="-1"/>
          <w:lang w:eastAsia="fr-FR"/>
        </w:rPr>
        <w:t>ir</w:t>
      </w:r>
      <w:r w:rsidRPr="006B28C4">
        <w:rPr>
          <w:spacing w:val="-9"/>
          <w:lang w:eastAsia="fr-FR"/>
        </w:rPr>
        <w:t xml:space="preserve"> </w:t>
      </w:r>
      <w:r w:rsidRPr="006B28C4">
        <w:rPr>
          <w:spacing w:val="-1"/>
          <w:lang w:eastAsia="fr-FR"/>
        </w:rPr>
        <w:t>klausos</w:t>
      </w:r>
      <w:r w:rsidRPr="006B28C4">
        <w:rPr>
          <w:spacing w:val="-8"/>
          <w:lang w:eastAsia="fr-FR"/>
        </w:rPr>
        <w:t xml:space="preserve"> </w:t>
      </w:r>
      <w:r w:rsidRPr="006B28C4">
        <w:rPr>
          <w:spacing w:val="-1"/>
          <w:lang w:eastAsia="fr-FR"/>
        </w:rPr>
        <w:t>susilpnėjimas.</w:t>
      </w:r>
      <w:r w:rsidRPr="006B28C4">
        <w:rPr>
          <w:spacing w:val="-9"/>
          <w:lang w:eastAsia="fr-FR"/>
        </w:rPr>
        <w:t xml:space="preserve"> </w:t>
      </w:r>
      <w:r w:rsidRPr="006B28C4">
        <w:rPr>
          <w:lang w:eastAsia="fr-FR"/>
        </w:rPr>
        <w:t>Dažniausiai</w:t>
      </w:r>
      <w:r w:rsidRPr="006B28C4">
        <w:rPr>
          <w:spacing w:val="-9"/>
          <w:lang w:eastAsia="fr-FR"/>
        </w:rPr>
        <w:t xml:space="preserve"> </w:t>
      </w:r>
      <w:r w:rsidRPr="006B28C4">
        <w:rPr>
          <w:spacing w:val="-1"/>
          <w:lang w:eastAsia="fr-FR"/>
        </w:rPr>
        <w:t>pasireiškė</w:t>
      </w:r>
      <w:r w:rsidRPr="006B28C4">
        <w:rPr>
          <w:spacing w:val="61"/>
          <w:w w:val="99"/>
          <w:lang w:eastAsia="fr-FR"/>
        </w:rPr>
        <w:t xml:space="preserve"> </w:t>
      </w:r>
      <w:r w:rsidRPr="006B28C4">
        <w:rPr>
          <w:spacing w:val="-1"/>
          <w:lang w:eastAsia="fr-FR"/>
        </w:rPr>
        <w:t>žmonėms,</w:t>
      </w:r>
      <w:r w:rsidRPr="006B28C4">
        <w:rPr>
          <w:spacing w:val="-8"/>
          <w:lang w:eastAsia="fr-FR"/>
        </w:rPr>
        <w:t xml:space="preserve"> </w:t>
      </w:r>
      <w:r w:rsidRPr="006B28C4">
        <w:rPr>
          <w:lang w:eastAsia="fr-FR"/>
        </w:rPr>
        <w:t>vartojusiems</w:t>
      </w:r>
      <w:r w:rsidRPr="006B28C4">
        <w:rPr>
          <w:spacing w:val="-7"/>
          <w:lang w:eastAsia="fr-FR"/>
        </w:rPr>
        <w:t xml:space="preserve"> </w:t>
      </w:r>
      <w:r w:rsidRPr="006B28C4">
        <w:rPr>
          <w:lang w:eastAsia="fr-FR"/>
        </w:rPr>
        <w:t>labai</w:t>
      </w:r>
      <w:r w:rsidRPr="006B28C4">
        <w:rPr>
          <w:spacing w:val="-7"/>
          <w:lang w:eastAsia="fr-FR"/>
        </w:rPr>
        <w:t xml:space="preserve"> </w:t>
      </w:r>
      <w:r w:rsidRPr="006B28C4">
        <w:rPr>
          <w:lang w:eastAsia="fr-FR"/>
        </w:rPr>
        <w:t>dideles</w:t>
      </w:r>
      <w:r w:rsidRPr="006B28C4">
        <w:rPr>
          <w:spacing w:val="-8"/>
          <w:lang w:eastAsia="fr-FR"/>
        </w:rPr>
        <w:t xml:space="preserve"> </w:t>
      </w:r>
      <w:r w:rsidRPr="006B28C4">
        <w:rPr>
          <w:lang w:eastAsia="fr-FR"/>
        </w:rPr>
        <w:t>vaisto</w:t>
      </w:r>
      <w:r w:rsidRPr="006B28C4">
        <w:rPr>
          <w:spacing w:val="-8"/>
          <w:lang w:eastAsia="fr-FR"/>
        </w:rPr>
        <w:t xml:space="preserve"> </w:t>
      </w:r>
      <w:r w:rsidRPr="006B28C4">
        <w:rPr>
          <w:lang w:eastAsia="fr-FR"/>
        </w:rPr>
        <w:t>dozes</w:t>
      </w:r>
      <w:r w:rsidRPr="006B28C4">
        <w:rPr>
          <w:spacing w:val="-6"/>
          <w:lang w:eastAsia="fr-FR"/>
        </w:rPr>
        <w:t xml:space="preserve"> </w:t>
      </w:r>
      <w:r w:rsidRPr="006B28C4">
        <w:rPr>
          <w:lang w:eastAsia="fr-FR"/>
        </w:rPr>
        <w:t>arba</w:t>
      </w:r>
      <w:r w:rsidRPr="006B28C4">
        <w:rPr>
          <w:spacing w:val="-7"/>
          <w:lang w:eastAsia="fr-FR"/>
        </w:rPr>
        <w:t xml:space="preserve"> </w:t>
      </w:r>
      <w:r w:rsidRPr="006B28C4">
        <w:rPr>
          <w:lang w:eastAsia="fr-FR"/>
        </w:rPr>
        <w:t>ilgai,</w:t>
      </w:r>
      <w:r w:rsidRPr="006B28C4">
        <w:rPr>
          <w:spacing w:val="-8"/>
          <w:lang w:eastAsia="fr-FR"/>
        </w:rPr>
        <w:t xml:space="preserve"> </w:t>
      </w:r>
      <w:r w:rsidRPr="006B28C4">
        <w:rPr>
          <w:lang w:eastAsia="fr-FR"/>
        </w:rPr>
        <w:t>arba</w:t>
      </w:r>
      <w:r w:rsidRPr="006B28C4">
        <w:rPr>
          <w:spacing w:val="-7"/>
          <w:lang w:eastAsia="fr-FR"/>
        </w:rPr>
        <w:t xml:space="preserve"> </w:t>
      </w:r>
      <w:r w:rsidRPr="006B28C4">
        <w:rPr>
          <w:lang w:eastAsia="fr-FR"/>
        </w:rPr>
        <w:t>sergantiems</w:t>
      </w:r>
      <w:r w:rsidRPr="006B28C4">
        <w:rPr>
          <w:spacing w:val="-7"/>
          <w:lang w:eastAsia="fr-FR"/>
        </w:rPr>
        <w:t xml:space="preserve"> </w:t>
      </w:r>
      <w:r w:rsidRPr="006B28C4">
        <w:rPr>
          <w:spacing w:val="-1"/>
          <w:lang w:eastAsia="fr-FR"/>
        </w:rPr>
        <w:t>inkstų</w:t>
      </w:r>
      <w:r w:rsidRPr="006B28C4">
        <w:rPr>
          <w:spacing w:val="-8"/>
          <w:lang w:eastAsia="fr-FR"/>
        </w:rPr>
        <w:t xml:space="preserve"> </w:t>
      </w:r>
      <w:r w:rsidRPr="006B28C4">
        <w:rPr>
          <w:spacing w:val="-1"/>
          <w:lang w:eastAsia="fr-FR"/>
        </w:rPr>
        <w:t>funkcijos</w:t>
      </w:r>
      <w:r w:rsidRPr="006B28C4">
        <w:rPr>
          <w:spacing w:val="29"/>
          <w:w w:val="99"/>
          <w:lang w:eastAsia="fr-FR"/>
        </w:rPr>
        <w:t xml:space="preserve"> </w:t>
      </w:r>
      <w:r w:rsidRPr="006B28C4">
        <w:rPr>
          <w:spacing w:val="-1"/>
          <w:lang w:eastAsia="fr-FR"/>
        </w:rPr>
        <w:t>nepakankamumu.</w:t>
      </w:r>
      <w:r w:rsidRPr="006B28C4">
        <w:rPr>
          <w:spacing w:val="-9"/>
          <w:lang w:eastAsia="fr-FR"/>
        </w:rPr>
        <w:t xml:space="preserve"> </w:t>
      </w:r>
      <w:r w:rsidRPr="006B28C4">
        <w:rPr>
          <w:lang w:eastAsia="fr-FR"/>
        </w:rPr>
        <w:t>Ypač</w:t>
      </w:r>
      <w:r w:rsidRPr="006B28C4">
        <w:rPr>
          <w:spacing w:val="-9"/>
          <w:lang w:eastAsia="fr-FR"/>
        </w:rPr>
        <w:t xml:space="preserve"> </w:t>
      </w:r>
      <w:r w:rsidRPr="006B28C4">
        <w:rPr>
          <w:lang w:eastAsia="fr-FR"/>
        </w:rPr>
        <w:t>dažnai</w:t>
      </w:r>
      <w:r w:rsidRPr="006B28C4">
        <w:rPr>
          <w:spacing w:val="-8"/>
          <w:lang w:eastAsia="fr-FR"/>
        </w:rPr>
        <w:t xml:space="preserve"> </w:t>
      </w:r>
      <w:r w:rsidRPr="006B28C4">
        <w:rPr>
          <w:lang w:eastAsia="fr-FR"/>
        </w:rPr>
        <w:t>toks</w:t>
      </w:r>
      <w:r w:rsidRPr="006B28C4">
        <w:rPr>
          <w:spacing w:val="-8"/>
          <w:lang w:eastAsia="fr-FR"/>
        </w:rPr>
        <w:t xml:space="preserve"> </w:t>
      </w:r>
      <w:r w:rsidRPr="006B28C4">
        <w:rPr>
          <w:spacing w:val="-1"/>
          <w:lang w:eastAsia="fr-FR"/>
        </w:rPr>
        <w:t>poveikis</w:t>
      </w:r>
      <w:r w:rsidRPr="006B28C4">
        <w:rPr>
          <w:spacing w:val="-9"/>
          <w:lang w:eastAsia="fr-FR"/>
        </w:rPr>
        <w:t xml:space="preserve"> </w:t>
      </w:r>
      <w:r w:rsidRPr="006B28C4">
        <w:rPr>
          <w:lang w:eastAsia="fr-FR"/>
        </w:rPr>
        <w:t>atsiranda</w:t>
      </w:r>
      <w:r w:rsidRPr="006B28C4">
        <w:rPr>
          <w:spacing w:val="-8"/>
          <w:lang w:eastAsia="fr-FR"/>
        </w:rPr>
        <w:t xml:space="preserve"> </w:t>
      </w:r>
      <w:r w:rsidRPr="006B28C4">
        <w:rPr>
          <w:spacing w:val="-1"/>
          <w:lang w:eastAsia="fr-FR"/>
        </w:rPr>
        <w:t>senyviems</w:t>
      </w:r>
      <w:r w:rsidRPr="006B28C4">
        <w:rPr>
          <w:spacing w:val="-9"/>
          <w:lang w:eastAsia="fr-FR"/>
        </w:rPr>
        <w:t xml:space="preserve"> </w:t>
      </w:r>
      <w:r w:rsidRPr="006B28C4">
        <w:rPr>
          <w:lang w:eastAsia="fr-FR"/>
        </w:rPr>
        <w:t>pacientams,</w:t>
      </w:r>
      <w:r w:rsidRPr="006B28C4">
        <w:rPr>
          <w:spacing w:val="-8"/>
          <w:lang w:eastAsia="fr-FR"/>
        </w:rPr>
        <w:t xml:space="preserve"> </w:t>
      </w:r>
      <w:r w:rsidRPr="006B28C4">
        <w:rPr>
          <w:spacing w:val="-1"/>
          <w:lang w:eastAsia="fr-FR"/>
        </w:rPr>
        <w:t>kurių</w:t>
      </w:r>
      <w:r w:rsidRPr="006B28C4">
        <w:rPr>
          <w:spacing w:val="-8"/>
          <w:lang w:eastAsia="fr-FR"/>
        </w:rPr>
        <w:t xml:space="preserve"> </w:t>
      </w:r>
      <w:r w:rsidRPr="006B28C4">
        <w:rPr>
          <w:lang w:eastAsia="fr-FR"/>
        </w:rPr>
        <w:t>inkstų</w:t>
      </w:r>
      <w:r w:rsidRPr="006B28C4">
        <w:rPr>
          <w:spacing w:val="-9"/>
          <w:lang w:eastAsia="fr-FR"/>
        </w:rPr>
        <w:t xml:space="preserve"> </w:t>
      </w:r>
      <w:r w:rsidRPr="006B28C4">
        <w:rPr>
          <w:spacing w:val="-1"/>
          <w:lang w:eastAsia="fr-FR"/>
        </w:rPr>
        <w:t>funkcija</w:t>
      </w:r>
      <w:r w:rsidRPr="006B28C4">
        <w:rPr>
          <w:lang w:eastAsia="fr-FR"/>
        </w:rPr>
        <w:t xml:space="preserve"> sutrikusi</w:t>
      </w:r>
      <w:r w:rsidRPr="006B28C4">
        <w:rPr>
          <w:spacing w:val="-8"/>
          <w:lang w:eastAsia="fr-FR"/>
        </w:rPr>
        <w:t xml:space="preserve"> </w:t>
      </w:r>
      <w:r w:rsidRPr="006B28C4">
        <w:rPr>
          <w:lang w:eastAsia="fr-FR"/>
        </w:rPr>
        <w:t>arba</w:t>
      </w:r>
      <w:r w:rsidRPr="006B28C4">
        <w:rPr>
          <w:spacing w:val="-7"/>
          <w:lang w:eastAsia="fr-FR"/>
        </w:rPr>
        <w:t xml:space="preserve"> </w:t>
      </w:r>
      <w:r w:rsidRPr="006B28C4">
        <w:rPr>
          <w:lang w:eastAsia="fr-FR"/>
        </w:rPr>
        <w:t>kurie</w:t>
      </w:r>
      <w:r w:rsidRPr="006B28C4">
        <w:rPr>
          <w:spacing w:val="-7"/>
          <w:lang w:eastAsia="fr-FR"/>
        </w:rPr>
        <w:t xml:space="preserve"> </w:t>
      </w:r>
      <w:r w:rsidRPr="006B28C4">
        <w:rPr>
          <w:lang w:eastAsia="fr-FR"/>
        </w:rPr>
        <w:t>kartu</w:t>
      </w:r>
      <w:r w:rsidRPr="006B28C4">
        <w:rPr>
          <w:spacing w:val="-8"/>
          <w:lang w:eastAsia="fr-FR"/>
        </w:rPr>
        <w:t xml:space="preserve"> </w:t>
      </w:r>
      <w:r w:rsidRPr="006B28C4">
        <w:rPr>
          <w:spacing w:val="-1"/>
          <w:lang w:eastAsia="fr-FR"/>
        </w:rPr>
        <w:t>vartoja</w:t>
      </w:r>
      <w:r w:rsidRPr="006B28C4">
        <w:rPr>
          <w:spacing w:val="-6"/>
          <w:lang w:eastAsia="fr-FR"/>
        </w:rPr>
        <w:t xml:space="preserve"> </w:t>
      </w:r>
      <w:r w:rsidRPr="006B28C4">
        <w:rPr>
          <w:spacing w:val="-1"/>
          <w:lang w:eastAsia="fr-FR"/>
        </w:rPr>
        <w:t>vaistų,</w:t>
      </w:r>
      <w:r w:rsidRPr="006B28C4">
        <w:rPr>
          <w:spacing w:val="-8"/>
          <w:lang w:eastAsia="fr-FR"/>
        </w:rPr>
        <w:t xml:space="preserve"> </w:t>
      </w:r>
      <w:r w:rsidRPr="006B28C4">
        <w:rPr>
          <w:spacing w:val="-1"/>
          <w:lang w:eastAsia="fr-FR"/>
        </w:rPr>
        <w:t>sukeliančių</w:t>
      </w:r>
      <w:r w:rsidRPr="006B28C4">
        <w:rPr>
          <w:spacing w:val="-7"/>
          <w:lang w:eastAsia="fr-FR"/>
        </w:rPr>
        <w:t xml:space="preserve"> </w:t>
      </w:r>
      <w:r w:rsidRPr="006B28C4">
        <w:rPr>
          <w:lang w:eastAsia="fr-FR"/>
        </w:rPr>
        <w:t>toksinį</w:t>
      </w:r>
      <w:r w:rsidRPr="006B28C4">
        <w:rPr>
          <w:spacing w:val="-8"/>
          <w:lang w:eastAsia="fr-FR"/>
        </w:rPr>
        <w:t xml:space="preserve"> </w:t>
      </w:r>
      <w:r w:rsidRPr="006B28C4">
        <w:rPr>
          <w:lang w:eastAsia="fr-FR"/>
        </w:rPr>
        <w:t>poveikį</w:t>
      </w:r>
      <w:r w:rsidRPr="006B28C4">
        <w:rPr>
          <w:spacing w:val="-8"/>
          <w:lang w:eastAsia="fr-FR"/>
        </w:rPr>
        <w:t xml:space="preserve"> </w:t>
      </w:r>
      <w:r w:rsidRPr="006B28C4">
        <w:rPr>
          <w:lang w:eastAsia="fr-FR"/>
        </w:rPr>
        <w:t>klausos</w:t>
      </w:r>
      <w:r w:rsidRPr="006B28C4">
        <w:rPr>
          <w:spacing w:val="-8"/>
          <w:lang w:eastAsia="fr-FR"/>
        </w:rPr>
        <w:t xml:space="preserve"> </w:t>
      </w:r>
      <w:r w:rsidRPr="006B28C4">
        <w:rPr>
          <w:lang w:eastAsia="fr-FR"/>
        </w:rPr>
        <w:t>ir</w:t>
      </w:r>
      <w:r w:rsidRPr="006B28C4">
        <w:rPr>
          <w:spacing w:val="-7"/>
          <w:lang w:eastAsia="fr-FR"/>
        </w:rPr>
        <w:t xml:space="preserve"> </w:t>
      </w:r>
      <w:r w:rsidRPr="006B28C4">
        <w:rPr>
          <w:lang w:eastAsia="fr-FR"/>
        </w:rPr>
        <w:t>pusiausvyros</w:t>
      </w:r>
      <w:r w:rsidRPr="006B28C4">
        <w:rPr>
          <w:spacing w:val="47"/>
          <w:w w:val="99"/>
          <w:lang w:eastAsia="fr-FR"/>
        </w:rPr>
        <w:t xml:space="preserve"> </w:t>
      </w:r>
      <w:r w:rsidRPr="006B28C4">
        <w:rPr>
          <w:lang w:eastAsia="fr-FR"/>
        </w:rPr>
        <w:t>organui.</w:t>
      </w:r>
    </w:p>
    <w:p w:rsidR="008A1C92" w:rsidRPr="006B28C4" w:rsidRDefault="008A1C92" w:rsidP="008A1C92">
      <w:pPr>
        <w:widowControl w:val="0"/>
        <w:kinsoku w:val="0"/>
        <w:overflowPunct w:val="0"/>
        <w:autoSpaceDE w:val="0"/>
        <w:autoSpaceDN w:val="0"/>
        <w:adjustRightInd w:val="0"/>
        <w:rPr>
          <w:lang w:eastAsia="fr-FR"/>
        </w:rPr>
      </w:pPr>
    </w:p>
    <w:p w:rsidR="008A1C92" w:rsidRPr="0077755D" w:rsidRDefault="008A1C92" w:rsidP="008A1C92">
      <w:pPr>
        <w:widowControl w:val="0"/>
        <w:tabs>
          <w:tab w:val="left" w:pos="567"/>
        </w:tabs>
        <w:autoSpaceDE w:val="0"/>
        <w:autoSpaceDN w:val="0"/>
        <w:adjustRightInd w:val="0"/>
        <w:rPr>
          <w:color w:val="000000"/>
        </w:rPr>
      </w:pPr>
      <w:r w:rsidRPr="006B28C4">
        <w:rPr>
          <w:i/>
          <w:noProof/>
          <w:color w:val="000000"/>
          <w:szCs w:val="24"/>
          <w:lang w:val="it-IT" w:eastAsia="fr-FR"/>
        </w:rPr>
        <w:t>Įgimtos, šeiminės ir genetinės ligos</w:t>
      </w:r>
    </w:p>
    <w:p w:rsidR="008A1C92" w:rsidRPr="0077755D" w:rsidRDefault="008A1C92" w:rsidP="008A1C92">
      <w:pPr>
        <w:widowControl w:val="0"/>
        <w:tabs>
          <w:tab w:val="left" w:pos="567"/>
        </w:tabs>
        <w:autoSpaceDE w:val="0"/>
        <w:autoSpaceDN w:val="0"/>
        <w:adjustRightInd w:val="0"/>
        <w:rPr>
          <w:color w:val="000000"/>
        </w:rPr>
      </w:pPr>
      <w:r w:rsidRPr="0077755D">
        <w:rPr>
          <w:color w:val="000000"/>
        </w:rPr>
        <w:t>Iki gimimo atsiradęs kurtumas.</w:t>
      </w:r>
    </w:p>
    <w:p w:rsidR="008A1C92" w:rsidRPr="0077755D" w:rsidRDefault="008A1C92" w:rsidP="008A1C92">
      <w:pPr>
        <w:widowControl w:val="0"/>
        <w:kinsoku w:val="0"/>
        <w:overflowPunct w:val="0"/>
        <w:autoSpaceDE w:val="0"/>
        <w:autoSpaceDN w:val="0"/>
        <w:adjustRightInd w:val="0"/>
        <w:spacing w:before="2"/>
      </w:pPr>
    </w:p>
    <w:p w:rsidR="008A1C92" w:rsidRPr="006B28C4" w:rsidRDefault="008A1C92" w:rsidP="008A1C92">
      <w:pPr>
        <w:widowControl w:val="0"/>
        <w:kinsoku w:val="0"/>
        <w:overflowPunct w:val="0"/>
        <w:autoSpaceDE w:val="0"/>
        <w:autoSpaceDN w:val="0"/>
        <w:adjustRightInd w:val="0"/>
        <w:spacing w:line="252" w:lineRule="exact"/>
        <w:outlineLvl w:val="0"/>
        <w:rPr>
          <w:bCs/>
          <w:i/>
          <w:snapToGrid w:val="0"/>
          <w:szCs w:val="28"/>
          <w:lang w:eastAsia="x-none"/>
        </w:rPr>
      </w:pPr>
      <w:r w:rsidRPr="006B28C4">
        <w:rPr>
          <w:bCs/>
          <w:i/>
          <w:snapToGrid w:val="0"/>
          <w:szCs w:val="28"/>
          <w:lang w:eastAsia="x-none"/>
        </w:rPr>
        <w:t>Inkstų ir šlapimo takų sutrikimai</w:t>
      </w:r>
    </w:p>
    <w:p w:rsidR="008A1C92" w:rsidRPr="0077755D" w:rsidRDefault="008A1C92" w:rsidP="008A1C92">
      <w:pPr>
        <w:widowControl w:val="0"/>
        <w:kinsoku w:val="0"/>
        <w:overflowPunct w:val="0"/>
        <w:autoSpaceDE w:val="0"/>
        <w:autoSpaceDN w:val="0"/>
        <w:adjustRightInd w:val="0"/>
      </w:pPr>
      <w:r w:rsidRPr="0077755D">
        <w:rPr>
          <w:spacing w:val="-1"/>
        </w:rPr>
        <w:t>Toksinis poveikis inkstams : Ūminis</w:t>
      </w:r>
      <w:r w:rsidRPr="0077755D">
        <w:rPr>
          <w:spacing w:val="-10"/>
        </w:rPr>
        <w:t xml:space="preserve"> </w:t>
      </w:r>
      <w:r w:rsidRPr="0077755D">
        <w:t>inkstų</w:t>
      </w:r>
      <w:r w:rsidRPr="0077755D">
        <w:rPr>
          <w:spacing w:val="-9"/>
        </w:rPr>
        <w:t xml:space="preserve"> </w:t>
      </w:r>
      <w:r w:rsidRPr="0077755D">
        <w:rPr>
          <w:spacing w:val="-1"/>
        </w:rPr>
        <w:t>funkcijos</w:t>
      </w:r>
      <w:r w:rsidRPr="0077755D">
        <w:rPr>
          <w:spacing w:val="-10"/>
        </w:rPr>
        <w:t xml:space="preserve"> </w:t>
      </w:r>
      <w:r w:rsidRPr="0077755D">
        <w:rPr>
          <w:spacing w:val="-1"/>
        </w:rPr>
        <w:t>nepakankamumas,</w:t>
      </w:r>
      <w:r w:rsidRPr="0077755D">
        <w:rPr>
          <w:spacing w:val="-9"/>
        </w:rPr>
        <w:t xml:space="preserve"> </w:t>
      </w:r>
      <w:r w:rsidRPr="0077755D">
        <w:t>pasireiškiantis</w:t>
      </w:r>
      <w:r w:rsidRPr="0077755D">
        <w:rPr>
          <w:spacing w:val="-10"/>
        </w:rPr>
        <w:t xml:space="preserve"> </w:t>
      </w:r>
      <w:r w:rsidRPr="0077755D">
        <w:t>šlapalo,</w:t>
      </w:r>
      <w:r w:rsidRPr="0077755D">
        <w:rPr>
          <w:spacing w:val="-10"/>
        </w:rPr>
        <w:t xml:space="preserve"> </w:t>
      </w:r>
      <w:r w:rsidRPr="0077755D">
        <w:rPr>
          <w:spacing w:val="-1"/>
        </w:rPr>
        <w:t>liekamojo</w:t>
      </w:r>
      <w:r w:rsidRPr="0077755D">
        <w:rPr>
          <w:spacing w:val="-9"/>
        </w:rPr>
        <w:t xml:space="preserve"> </w:t>
      </w:r>
      <w:r w:rsidRPr="0077755D">
        <w:t>azoto,</w:t>
      </w:r>
      <w:r w:rsidRPr="0077755D">
        <w:rPr>
          <w:spacing w:val="-9"/>
        </w:rPr>
        <w:t xml:space="preserve"> </w:t>
      </w:r>
      <w:proofErr w:type="spellStart"/>
      <w:r w:rsidRPr="0077755D">
        <w:t>kreatinino</w:t>
      </w:r>
      <w:proofErr w:type="spellEnd"/>
      <w:r w:rsidRPr="0077755D">
        <w:rPr>
          <w:spacing w:val="-10"/>
        </w:rPr>
        <w:t xml:space="preserve"> </w:t>
      </w:r>
      <w:r w:rsidRPr="0077755D">
        <w:rPr>
          <w:spacing w:val="-1"/>
        </w:rPr>
        <w:t>kiekio</w:t>
      </w:r>
      <w:r w:rsidRPr="0077755D">
        <w:rPr>
          <w:spacing w:val="73"/>
          <w:w w:val="99"/>
        </w:rPr>
        <w:t xml:space="preserve"> </w:t>
      </w:r>
      <w:r w:rsidRPr="0077755D">
        <w:rPr>
          <w:spacing w:val="-1"/>
        </w:rPr>
        <w:t>padidėjimu</w:t>
      </w:r>
      <w:r w:rsidRPr="0077755D">
        <w:rPr>
          <w:spacing w:val="-10"/>
        </w:rPr>
        <w:t xml:space="preserve"> </w:t>
      </w:r>
      <w:r w:rsidRPr="0077755D">
        <w:t>kraujyje</w:t>
      </w:r>
      <w:r w:rsidRPr="0077755D">
        <w:rPr>
          <w:spacing w:val="-10"/>
        </w:rPr>
        <w:t xml:space="preserve"> </w:t>
      </w:r>
      <w:r w:rsidRPr="0077755D">
        <w:t>bei</w:t>
      </w:r>
      <w:r w:rsidRPr="0077755D">
        <w:rPr>
          <w:spacing w:val="-9"/>
        </w:rPr>
        <w:t xml:space="preserve"> </w:t>
      </w:r>
      <w:r w:rsidRPr="0077755D">
        <w:rPr>
          <w:spacing w:val="-1"/>
        </w:rPr>
        <w:t>šlapimo</w:t>
      </w:r>
      <w:r w:rsidRPr="0077755D">
        <w:rPr>
          <w:spacing w:val="-9"/>
        </w:rPr>
        <w:t xml:space="preserve"> </w:t>
      </w:r>
      <w:r w:rsidRPr="0077755D">
        <w:rPr>
          <w:spacing w:val="-1"/>
        </w:rPr>
        <w:t>išskyrimo</w:t>
      </w:r>
      <w:r w:rsidRPr="0077755D">
        <w:rPr>
          <w:spacing w:val="-9"/>
        </w:rPr>
        <w:t xml:space="preserve"> </w:t>
      </w:r>
      <w:r w:rsidRPr="0077755D">
        <w:rPr>
          <w:spacing w:val="-1"/>
        </w:rPr>
        <w:t>sumažėjimu,</w:t>
      </w:r>
      <w:r w:rsidRPr="0077755D">
        <w:rPr>
          <w:spacing w:val="-9"/>
        </w:rPr>
        <w:t xml:space="preserve"> </w:t>
      </w:r>
      <w:r w:rsidRPr="0077755D">
        <w:t>pykinimu,</w:t>
      </w:r>
      <w:r w:rsidRPr="0077755D">
        <w:rPr>
          <w:spacing w:val="-10"/>
        </w:rPr>
        <w:t xml:space="preserve"> </w:t>
      </w:r>
      <w:r w:rsidRPr="0077755D">
        <w:rPr>
          <w:spacing w:val="-1"/>
        </w:rPr>
        <w:t>vėmimu.</w:t>
      </w:r>
      <w:r w:rsidRPr="0077755D">
        <w:rPr>
          <w:spacing w:val="-9"/>
        </w:rPr>
        <w:t xml:space="preserve"> </w:t>
      </w:r>
      <w:r w:rsidRPr="0077755D">
        <w:t>Dažniausiai</w:t>
      </w:r>
      <w:r w:rsidRPr="0077755D">
        <w:rPr>
          <w:spacing w:val="-9"/>
        </w:rPr>
        <w:t xml:space="preserve"> </w:t>
      </w:r>
      <w:r w:rsidRPr="0077755D">
        <w:t>pasireiškė</w:t>
      </w:r>
      <w:r w:rsidRPr="0077755D">
        <w:rPr>
          <w:spacing w:val="67"/>
          <w:w w:val="99"/>
        </w:rPr>
        <w:t xml:space="preserve"> </w:t>
      </w:r>
      <w:r w:rsidRPr="0077755D">
        <w:t>vartojant</w:t>
      </w:r>
      <w:r w:rsidRPr="0077755D">
        <w:rPr>
          <w:spacing w:val="-7"/>
        </w:rPr>
        <w:t xml:space="preserve"> </w:t>
      </w:r>
      <w:r w:rsidRPr="0077755D">
        <w:t>labai</w:t>
      </w:r>
      <w:r w:rsidRPr="0077755D">
        <w:rPr>
          <w:spacing w:val="-6"/>
        </w:rPr>
        <w:t xml:space="preserve"> </w:t>
      </w:r>
      <w:r w:rsidRPr="0077755D">
        <w:t>dideles</w:t>
      </w:r>
      <w:r w:rsidRPr="0077755D">
        <w:rPr>
          <w:spacing w:val="-7"/>
        </w:rPr>
        <w:t xml:space="preserve"> </w:t>
      </w:r>
      <w:proofErr w:type="spellStart"/>
      <w:r w:rsidRPr="0077755D">
        <w:t>kanamicino</w:t>
      </w:r>
      <w:proofErr w:type="spellEnd"/>
      <w:r w:rsidRPr="0077755D">
        <w:rPr>
          <w:spacing w:val="-6"/>
        </w:rPr>
        <w:t xml:space="preserve"> </w:t>
      </w:r>
      <w:r w:rsidRPr="0077755D">
        <w:t>dozes,</w:t>
      </w:r>
      <w:r w:rsidRPr="0077755D">
        <w:rPr>
          <w:spacing w:val="-6"/>
        </w:rPr>
        <w:t xml:space="preserve"> </w:t>
      </w:r>
      <w:r w:rsidRPr="0077755D">
        <w:t>arba</w:t>
      </w:r>
      <w:r w:rsidRPr="0077755D">
        <w:rPr>
          <w:spacing w:val="-7"/>
        </w:rPr>
        <w:t xml:space="preserve"> </w:t>
      </w:r>
      <w:r w:rsidRPr="0077755D">
        <w:t>jo</w:t>
      </w:r>
      <w:r w:rsidRPr="0077755D">
        <w:rPr>
          <w:spacing w:val="-7"/>
        </w:rPr>
        <w:t xml:space="preserve"> </w:t>
      </w:r>
      <w:r w:rsidRPr="0077755D">
        <w:t>vartojus</w:t>
      </w:r>
      <w:r w:rsidRPr="0077755D">
        <w:rPr>
          <w:spacing w:val="-7"/>
        </w:rPr>
        <w:t xml:space="preserve"> </w:t>
      </w:r>
      <w:r w:rsidRPr="0077755D">
        <w:t>ilgai,</w:t>
      </w:r>
      <w:r w:rsidRPr="0077755D">
        <w:rPr>
          <w:spacing w:val="-6"/>
        </w:rPr>
        <w:t xml:space="preserve"> </w:t>
      </w:r>
      <w:r w:rsidRPr="0077755D">
        <w:t>arba</w:t>
      </w:r>
      <w:r w:rsidRPr="0077755D">
        <w:rPr>
          <w:spacing w:val="-6"/>
        </w:rPr>
        <w:t xml:space="preserve"> </w:t>
      </w:r>
      <w:r w:rsidRPr="0077755D">
        <w:rPr>
          <w:spacing w:val="-1"/>
        </w:rPr>
        <w:t>šio</w:t>
      </w:r>
      <w:r w:rsidRPr="0077755D">
        <w:rPr>
          <w:spacing w:val="-7"/>
        </w:rPr>
        <w:t xml:space="preserve"> </w:t>
      </w:r>
      <w:r w:rsidRPr="0077755D">
        <w:rPr>
          <w:spacing w:val="-1"/>
        </w:rPr>
        <w:t>vaisto</w:t>
      </w:r>
      <w:r w:rsidRPr="0077755D">
        <w:rPr>
          <w:spacing w:val="-6"/>
        </w:rPr>
        <w:t xml:space="preserve"> </w:t>
      </w:r>
      <w:r w:rsidRPr="0077755D">
        <w:t>vartojus</w:t>
      </w:r>
      <w:r w:rsidRPr="0077755D">
        <w:rPr>
          <w:spacing w:val="23"/>
          <w:w w:val="99"/>
        </w:rPr>
        <w:t xml:space="preserve"> </w:t>
      </w:r>
      <w:r w:rsidRPr="0077755D">
        <w:rPr>
          <w:spacing w:val="-1"/>
        </w:rPr>
        <w:t>žmonės,</w:t>
      </w:r>
      <w:r w:rsidRPr="0077755D">
        <w:rPr>
          <w:spacing w:val="-7"/>
        </w:rPr>
        <w:t xml:space="preserve"> </w:t>
      </w:r>
      <w:r w:rsidRPr="0077755D">
        <w:t>kurių</w:t>
      </w:r>
      <w:r w:rsidRPr="0077755D">
        <w:rPr>
          <w:spacing w:val="-6"/>
        </w:rPr>
        <w:t xml:space="preserve"> </w:t>
      </w:r>
      <w:r w:rsidRPr="0077755D">
        <w:t>inkstų</w:t>
      </w:r>
      <w:r w:rsidRPr="0077755D">
        <w:rPr>
          <w:spacing w:val="-7"/>
        </w:rPr>
        <w:t xml:space="preserve"> </w:t>
      </w:r>
      <w:r w:rsidRPr="0077755D">
        <w:rPr>
          <w:spacing w:val="-1"/>
        </w:rPr>
        <w:t>funkcija</w:t>
      </w:r>
      <w:r w:rsidRPr="0077755D">
        <w:rPr>
          <w:spacing w:val="-6"/>
        </w:rPr>
        <w:t xml:space="preserve"> </w:t>
      </w:r>
      <w:r w:rsidRPr="0077755D">
        <w:t>jau</w:t>
      </w:r>
      <w:r w:rsidRPr="0077755D">
        <w:rPr>
          <w:spacing w:val="-6"/>
        </w:rPr>
        <w:t xml:space="preserve"> </w:t>
      </w:r>
      <w:r w:rsidRPr="0077755D">
        <w:t>buvo</w:t>
      </w:r>
      <w:r w:rsidRPr="0077755D">
        <w:rPr>
          <w:spacing w:val="-8"/>
        </w:rPr>
        <w:t xml:space="preserve"> </w:t>
      </w:r>
      <w:r w:rsidRPr="0077755D">
        <w:t>sutrikusi,</w:t>
      </w:r>
      <w:r w:rsidRPr="0077755D">
        <w:rPr>
          <w:spacing w:val="-7"/>
        </w:rPr>
        <w:t xml:space="preserve"> </w:t>
      </w:r>
      <w:r w:rsidRPr="0077755D">
        <w:rPr>
          <w:spacing w:val="-1"/>
        </w:rPr>
        <w:t>kuriems</w:t>
      </w:r>
      <w:r w:rsidRPr="0077755D">
        <w:rPr>
          <w:spacing w:val="-7"/>
        </w:rPr>
        <w:t xml:space="preserve"> </w:t>
      </w:r>
      <w:r w:rsidRPr="0077755D">
        <w:t>buvo</w:t>
      </w:r>
      <w:r w:rsidRPr="0077755D">
        <w:rPr>
          <w:spacing w:val="-7"/>
        </w:rPr>
        <w:t xml:space="preserve"> </w:t>
      </w:r>
      <w:r w:rsidRPr="0077755D">
        <w:t>kraujotakos</w:t>
      </w:r>
      <w:r w:rsidRPr="0077755D">
        <w:rPr>
          <w:spacing w:val="-6"/>
        </w:rPr>
        <w:t xml:space="preserve"> </w:t>
      </w:r>
      <w:r w:rsidRPr="0077755D">
        <w:rPr>
          <w:spacing w:val="-1"/>
        </w:rPr>
        <w:t>sutrikimų</w:t>
      </w:r>
      <w:r w:rsidRPr="0077755D">
        <w:rPr>
          <w:spacing w:val="-6"/>
        </w:rPr>
        <w:t xml:space="preserve"> </w:t>
      </w:r>
      <w:r w:rsidRPr="0077755D">
        <w:t>arba</w:t>
      </w:r>
      <w:r w:rsidRPr="0077755D">
        <w:rPr>
          <w:spacing w:val="-7"/>
        </w:rPr>
        <w:t xml:space="preserve"> </w:t>
      </w:r>
      <w:r w:rsidRPr="0077755D">
        <w:t>kurie</w:t>
      </w:r>
      <w:r w:rsidRPr="0077755D">
        <w:rPr>
          <w:spacing w:val="-6"/>
        </w:rPr>
        <w:t xml:space="preserve"> </w:t>
      </w:r>
      <w:r w:rsidRPr="0077755D">
        <w:t>kartu</w:t>
      </w:r>
      <w:r w:rsidRPr="0077755D">
        <w:rPr>
          <w:spacing w:val="33"/>
          <w:w w:val="99"/>
        </w:rPr>
        <w:t xml:space="preserve"> </w:t>
      </w:r>
      <w:r w:rsidRPr="0077755D">
        <w:t>vartojo</w:t>
      </w:r>
      <w:r w:rsidRPr="0077755D">
        <w:rPr>
          <w:spacing w:val="-10"/>
        </w:rPr>
        <w:t xml:space="preserve"> </w:t>
      </w:r>
      <w:r w:rsidRPr="0077755D">
        <w:rPr>
          <w:spacing w:val="-1"/>
        </w:rPr>
        <w:t>vaistų,</w:t>
      </w:r>
      <w:r w:rsidRPr="0077755D">
        <w:rPr>
          <w:spacing w:val="-9"/>
        </w:rPr>
        <w:t xml:space="preserve"> </w:t>
      </w:r>
      <w:r w:rsidRPr="0077755D">
        <w:rPr>
          <w:spacing w:val="-1"/>
        </w:rPr>
        <w:t>sukeliančių</w:t>
      </w:r>
      <w:r w:rsidRPr="0077755D">
        <w:rPr>
          <w:spacing w:val="-9"/>
        </w:rPr>
        <w:t xml:space="preserve"> </w:t>
      </w:r>
      <w:r w:rsidRPr="0077755D">
        <w:t>toksinį</w:t>
      </w:r>
      <w:r w:rsidRPr="0077755D">
        <w:rPr>
          <w:spacing w:val="-10"/>
        </w:rPr>
        <w:t xml:space="preserve"> </w:t>
      </w:r>
      <w:r w:rsidRPr="0077755D">
        <w:rPr>
          <w:spacing w:val="-1"/>
        </w:rPr>
        <w:t>poveikį</w:t>
      </w:r>
      <w:r w:rsidRPr="0077755D">
        <w:rPr>
          <w:spacing w:val="-10"/>
        </w:rPr>
        <w:t xml:space="preserve"> </w:t>
      </w:r>
      <w:r w:rsidRPr="0077755D">
        <w:t>inkstams.</w:t>
      </w:r>
    </w:p>
    <w:p w:rsidR="008A1C92" w:rsidRPr="0077755D" w:rsidRDefault="008A1C92" w:rsidP="008A1C92">
      <w:pPr>
        <w:widowControl w:val="0"/>
        <w:kinsoku w:val="0"/>
        <w:overflowPunct w:val="0"/>
        <w:autoSpaceDE w:val="0"/>
        <w:autoSpaceDN w:val="0"/>
        <w:adjustRightInd w:val="0"/>
      </w:pPr>
      <w:r w:rsidRPr="0077755D">
        <w:t>Nutraukus</w:t>
      </w:r>
      <w:r w:rsidRPr="0077755D">
        <w:rPr>
          <w:spacing w:val="-9"/>
        </w:rPr>
        <w:t xml:space="preserve"> </w:t>
      </w:r>
      <w:r w:rsidRPr="0077755D">
        <w:rPr>
          <w:spacing w:val="-1"/>
        </w:rPr>
        <w:t>antibiotiko</w:t>
      </w:r>
      <w:r w:rsidRPr="0077755D">
        <w:rPr>
          <w:spacing w:val="-9"/>
        </w:rPr>
        <w:t xml:space="preserve"> </w:t>
      </w:r>
      <w:r w:rsidRPr="0077755D">
        <w:rPr>
          <w:spacing w:val="-1"/>
        </w:rPr>
        <w:t>vartojimą</w:t>
      </w:r>
      <w:r w:rsidRPr="0077755D">
        <w:rPr>
          <w:spacing w:val="-8"/>
        </w:rPr>
        <w:t xml:space="preserve"> </w:t>
      </w:r>
      <w:r w:rsidRPr="0077755D">
        <w:t>šis</w:t>
      </w:r>
      <w:r w:rsidRPr="0077755D">
        <w:rPr>
          <w:spacing w:val="-9"/>
        </w:rPr>
        <w:t xml:space="preserve"> </w:t>
      </w:r>
      <w:r w:rsidRPr="0077755D">
        <w:t>poveikis</w:t>
      </w:r>
      <w:r w:rsidRPr="0077755D">
        <w:rPr>
          <w:spacing w:val="-8"/>
        </w:rPr>
        <w:t xml:space="preserve"> </w:t>
      </w:r>
      <w:r w:rsidRPr="0077755D">
        <w:rPr>
          <w:spacing w:val="-1"/>
        </w:rPr>
        <w:t>praeina</w:t>
      </w:r>
      <w:r w:rsidRPr="0077755D">
        <w:rPr>
          <w:b/>
          <w:spacing w:val="-1"/>
        </w:rPr>
        <w:t>.</w:t>
      </w:r>
    </w:p>
    <w:p w:rsidR="008A1C92" w:rsidRPr="00F47445" w:rsidRDefault="008A1C92" w:rsidP="008A1C92">
      <w:pPr>
        <w:widowControl w:val="0"/>
        <w:kinsoku w:val="0"/>
        <w:overflowPunct w:val="0"/>
        <w:autoSpaceDE w:val="0"/>
        <w:autoSpaceDN w:val="0"/>
        <w:adjustRightInd w:val="0"/>
        <w:rPr>
          <w:b/>
          <w:bCs/>
        </w:rPr>
      </w:pPr>
    </w:p>
    <w:p w:rsidR="008A1C92" w:rsidRPr="006B28C4" w:rsidRDefault="008A1C92" w:rsidP="008A1C92">
      <w:pPr>
        <w:widowControl w:val="0"/>
        <w:kinsoku w:val="0"/>
        <w:overflowPunct w:val="0"/>
        <w:autoSpaceDE w:val="0"/>
        <w:autoSpaceDN w:val="0"/>
        <w:adjustRightInd w:val="0"/>
        <w:rPr>
          <w:bCs/>
          <w:i/>
          <w:snapToGrid w:val="0"/>
          <w:szCs w:val="28"/>
          <w:lang w:eastAsia="x-none"/>
        </w:rPr>
      </w:pPr>
      <w:r w:rsidRPr="006B28C4">
        <w:rPr>
          <w:bCs/>
          <w:i/>
          <w:snapToGrid w:val="0"/>
          <w:szCs w:val="28"/>
          <w:lang w:eastAsia="x-none"/>
        </w:rPr>
        <w:t>Kvėpavimo sutrikimai</w:t>
      </w:r>
    </w:p>
    <w:p w:rsidR="008A1C92" w:rsidRPr="00F10957" w:rsidRDefault="008A1C92" w:rsidP="008A1C92">
      <w:pPr>
        <w:widowControl w:val="0"/>
        <w:kinsoku w:val="0"/>
        <w:overflowPunct w:val="0"/>
        <w:autoSpaceDE w:val="0"/>
        <w:autoSpaceDN w:val="0"/>
        <w:adjustRightInd w:val="0"/>
        <w:rPr>
          <w:bCs/>
        </w:rPr>
      </w:pPr>
      <w:r w:rsidRPr="00F10957">
        <w:rPr>
          <w:bCs/>
          <w:lang w:eastAsia="fr-FR"/>
        </w:rPr>
        <w:t>Dusulys.</w:t>
      </w:r>
    </w:p>
    <w:p w:rsidR="008A1C92" w:rsidRPr="00F10957" w:rsidRDefault="008A1C92" w:rsidP="008A1C92">
      <w:pPr>
        <w:widowControl w:val="0"/>
        <w:kinsoku w:val="0"/>
        <w:overflowPunct w:val="0"/>
        <w:autoSpaceDE w:val="0"/>
        <w:autoSpaceDN w:val="0"/>
        <w:adjustRightInd w:val="0"/>
        <w:rPr>
          <w:bCs/>
        </w:rPr>
      </w:pPr>
    </w:p>
    <w:p w:rsidR="008A1C92" w:rsidRPr="006B28C4" w:rsidRDefault="008A1C92" w:rsidP="008A1C92">
      <w:pPr>
        <w:widowControl w:val="0"/>
        <w:kinsoku w:val="0"/>
        <w:overflowPunct w:val="0"/>
        <w:autoSpaceDE w:val="0"/>
        <w:autoSpaceDN w:val="0"/>
        <w:adjustRightInd w:val="0"/>
        <w:rPr>
          <w:bCs/>
          <w:i/>
        </w:rPr>
      </w:pPr>
      <w:r w:rsidRPr="006B28C4">
        <w:rPr>
          <w:bCs/>
          <w:i/>
          <w:lang w:eastAsia="fr-FR"/>
        </w:rPr>
        <w:t>Virškinimo trakto sutrikimai</w:t>
      </w:r>
    </w:p>
    <w:p w:rsidR="008A1C92" w:rsidRPr="00F10957" w:rsidRDefault="008A1C92" w:rsidP="008A1C92">
      <w:pPr>
        <w:widowControl w:val="0"/>
        <w:kinsoku w:val="0"/>
        <w:overflowPunct w:val="0"/>
        <w:autoSpaceDE w:val="0"/>
        <w:autoSpaceDN w:val="0"/>
        <w:adjustRightInd w:val="0"/>
        <w:rPr>
          <w:bCs/>
        </w:rPr>
      </w:pPr>
      <w:r w:rsidRPr="00F10957">
        <w:rPr>
          <w:bCs/>
          <w:lang w:eastAsia="fr-FR"/>
        </w:rPr>
        <w:t>Viduriavimas.</w:t>
      </w:r>
    </w:p>
    <w:p w:rsidR="008A1C92" w:rsidRDefault="008A1C92" w:rsidP="008A1C92">
      <w:pPr>
        <w:widowControl w:val="0"/>
        <w:kinsoku w:val="0"/>
        <w:overflowPunct w:val="0"/>
        <w:autoSpaceDE w:val="0"/>
        <w:autoSpaceDN w:val="0"/>
        <w:adjustRightInd w:val="0"/>
        <w:rPr>
          <w:bCs/>
        </w:rPr>
      </w:pPr>
    </w:p>
    <w:p w:rsidR="008A1C92" w:rsidRPr="00F10957" w:rsidRDefault="008A1C92" w:rsidP="008A1C92">
      <w:pPr>
        <w:widowControl w:val="0"/>
        <w:tabs>
          <w:tab w:val="left" w:pos="567"/>
        </w:tabs>
        <w:autoSpaceDE w:val="0"/>
        <w:autoSpaceDN w:val="0"/>
        <w:adjustRightInd w:val="0"/>
        <w:rPr>
          <w:i/>
          <w:color w:val="000000"/>
          <w:szCs w:val="24"/>
          <w:lang w:eastAsia="en-GB"/>
        </w:rPr>
      </w:pPr>
      <w:r w:rsidRPr="00F10957">
        <w:rPr>
          <w:i/>
          <w:color w:val="000000"/>
          <w:szCs w:val="24"/>
          <w:lang w:eastAsia="en-GB"/>
        </w:rPr>
        <w:t>Tyrimai</w:t>
      </w:r>
    </w:p>
    <w:p w:rsidR="008A1C92" w:rsidRDefault="008A1C92" w:rsidP="008A1C92">
      <w:pPr>
        <w:widowControl w:val="0"/>
        <w:kinsoku w:val="0"/>
        <w:overflowPunct w:val="0"/>
        <w:autoSpaceDE w:val="0"/>
        <w:autoSpaceDN w:val="0"/>
        <w:adjustRightInd w:val="0"/>
        <w:rPr>
          <w:lang w:eastAsia="fr-FR"/>
        </w:rPr>
      </w:pPr>
      <w:r>
        <w:rPr>
          <w:lang w:eastAsia="fr-FR"/>
        </w:rPr>
        <w:t>L</w:t>
      </w:r>
      <w:r w:rsidRPr="00F47445">
        <w:rPr>
          <w:lang w:eastAsia="fr-FR"/>
        </w:rPr>
        <w:t>aikinai padidėjęs tam tikrų kepenų fermentų (</w:t>
      </w:r>
      <w:proofErr w:type="spellStart"/>
      <w:r w:rsidRPr="00F47445">
        <w:rPr>
          <w:lang w:eastAsia="fr-FR"/>
        </w:rPr>
        <w:t>transaminazių</w:t>
      </w:r>
      <w:proofErr w:type="spellEnd"/>
      <w:r w:rsidRPr="00F47445">
        <w:rPr>
          <w:lang w:eastAsia="fr-FR"/>
        </w:rPr>
        <w:t xml:space="preserve">) aktyvumas, gelta (padidėjęs </w:t>
      </w:r>
      <w:proofErr w:type="spellStart"/>
      <w:r w:rsidRPr="00F47445">
        <w:rPr>
          <w:lang w:eastAsia="fr-FR"/>
        </w:rPr>
        <w:t>bilirubino</w:t>
      </w:r>
      <w:proofErr w:type="spellEnd"/>
      <w:r w:rsidRPr="00F47445">
        <w:rPr>
          <w:lang w:eastAsia="fr-FR"/>
        </w:rPr>
        <w:t xml:space="preserve"> kiekis).</w:t>
      </w:r>
    </w:p>
    <w:p w:rsidR="008A1C92" w:rsidRPr="00F10957" w:rsidRDefault="008A1C92" w:rsidP="008A1C92">
      <w:pPr>
        <w:widowControl w:val="0"/>
        <w:kinsoku w:val="0"/>
        <w:overflowPunct w:val="0"/>
        <w:autoSpaceDE w:val="0"/>
        <w:autoSpaceDN w:val="0"/>
        <w:adjustRightInd w:val="0"/>
        <w:rPr>
          <w:bCs/>
        </w:rPr>
      </w:pPr>
    </w:p>
    <w:p w:rsidR="008A1C92" w:rsidRPr="006B28C4" w:rsidRDefault="008A1C92" w:rsidP="008A1C92">
      <w:pPr>
        <w:widowControl w:val="0"/>
        <w:kinsoku w:val="0"/>
        <w:overflowPunct w:val="0"/>
        <w:autoSpaceDE w:val="0"/>
        <w:autoSpaceDN w:val="0"/>
        <w:adjustRightInd w:val="0"/>
        <w:rPr>
          <w:bCs/>
          <w:i/>
          <w:lang w:val="it-IT"/>
        </w:rPr>
      </w:pPr>
      <w:r w:rsidRPr="006B28C4">
        <w:rPr>
          <w:bCs/>
          <w:i/>
          <w:lang w:val="it-IT" w:eastAsia="fr-FR"/>
        </w:rPr>
        <w:t>Bendrieji sutrikimai ir vartojimo vietos pažeidimai</w:t>
      </w:r>
    </w:p>
    <w:p w:rsidR="008A1C92" w:rsidRPr="00F47445" w:rsidRDefault="008A1C92" w:rsidP="008A1C92">
      <w:pPr>
        <w:widowControl w:val="0"/>
        <w:kinsoku w:val="0"/>
        <w:overflowPunct w:val="0"/>
        <w:autoSpaceDE w:val="0"/>
        <w:autoSpaceDN w:val="0"/>
        <w:adjustRightInd w:val="0"/>
        <w:rPr>
          <w:bCs/>
          <w:lang w:val="it-IT"/>
        </w:rPr>
      </w:pPr>
      <w:r w:rsidRPr="00F10957">
        <w:rPr>
          <w:bCs/>
          <w:lang w:val="it-IT" w:eastAsia="fr-FR"/>
        </w:rPr>
        <w:t>Vandens kaupimasis organizme, sukeliantis tinimą (edemą), skausmas (deginimas, gėlimas).</w:t>
      </w:r>
    </w:p>
    <w:p w:rsidR="008A1C92" w:rsidRPr="00F10957" w:rsidRDefault="008A1C92" w:rsidP="008A1C92">
      <w:pPr>
        <w:widowControl w:val="0"/>
        <w:kinsoku w:val="0"/>
        <w:overflowPunct w:val="0"/>
        <w:autoSpaceDE w:val="0"/>
        <w:autoSpaceDN w:val="0"/>
        <w:adjustRightInd w:val="0"/>
        <w:rPr>
          <w:bCs/>
          <w:lang w:val="it-IT"/>
        </w:rPr>
      </w:pPr>
    </w:p>
    <w:p w:rsidR="008A1C92" w:rsidRPr="00F47445" w:rsidRDefault="008A1C92" w:rsidP="008A1C92">
      <w:pPr>
        <w:widowControl w:val="0"/>
        <w:kinsoku w:val="0"/>
        <w:overflowPunct w:val="0"/>
        <w:autoSpaceDE w:val="0"/>
        <w:autoSpaceDN w:val="0"/>
        <w:adjustRightInd w:val="0"/>
        <w:rPr>
          <w:b/>
          <w:bCs/>
          <w:lang w:eastAsia="fr-FR"/>
        </w:rPr>
      </w:pPr>
      <w:r w:rsidRPr="00F47445">
        <w:rPr>
          <w:b/>
          <w:bCs/>
          <w:lang w:eastAsia="fr-FR"/>
        </w:rPr>
        <w:t>Pranešimas apie šalutinį poveikį</w:t>
      </w:r>
    </w:p>
    <w:p w:rsidR="008A1C92" w:rsidRPr="00F10957" w:rsidRDefault="008A1C92" w:rsidP="008A1C92">
      <w:pPr>
        <w:widowControl w:val="0"/>
        <w:kinsoku w:val="0"/>
        <w:overflowPunct w:val="0"/>
        <w:autoSpaceDE w:val="0"/>
        <w:autoSpaceDN w:val="0"/>
        <w:adjustRightInd w:val="0"/>
        <w:rPr>
          <w:bCs/>
          <w:lang w:eastAsia="fr-FR"/>
        </w:rPr>
      </w:pPr>
      <w:r w:rsidRPr="00F10957">
        <w:rPr>
          <w:bCs/>
          <w:lang w:eastAsia="fr-FR"/>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F10957">
          <w:rPr>
            <w:color w:val="0563C1"/>
            <w:lang w:eastAsia="fr-FR"/>
          </w:rPr>
          <w:t>www.vvkt.lt</w:t>
        </w:r>
      </w:hyperlink>
      <w:r w:rsidRPr="00F10957">
        <w:rPr>
          <w:bCs/>
          <w:lang w:eastAsia="fr-FR"/>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10957">
          <w:rPr>
            <w:color w:val="0563C1"/>
            <w:lang w:eastAsia="fr-FR"/>
          </w:rPr>
          <w:t>NepageidaujamaR@vvkt.lt</w:t>
        </w:r>
      </w:hyperlink>
      <w:r w:rsidRPr="00F10957">
        <w:rPr>
          <w:bCs/>
          <w:lang w:eastAsia="fr-FR"/>
        </w:rPr>
        <w:t xml:space="preserve">, taip pat per Valstybinės vaistų kontrolės tarnybos prie Lietuvos Respublikos sveikatos apsaugos ministerijos interneto svetainę (adresu </w:t>
      </w:r>
      <w:hyperlink r:id="rId7" w:history="1">
        <w:r w:rsidRPr="00F10957">
          <w:rPr>
            <w:color w:val="0563C1"/>
            <w:lang w:eastAsia="fr-FR"/>
          </w:rPr>
          <w:t>http://www.vvkt.lt</w:t>
        </w:r>
      </w:hyperlink>
      <w:r w:rsidRPr="00F10957">
        <w:rPr>
          <w:bCs/>
          <w:lang w:eastAsia="fr-FR"/>
        </w:rPr>
        <w:t>). Pranešdami apie šalutinį poveikį galite mums padėti gauti daugiau informacijos apie šio vaisto saugumą.</w:t>
      </w:r>
    </w:p>
    <w:p w:rsidR="008A1C92" w:rsidRPr="00F10957" w:rsidRDefault="008A1C92" w:rsidP="008A1C92">
      <w:pPr>
        <w:widowControl w:val="0"/>
        <w:kinsoku w:val="0"/>
        <w:overflowPunct w:val="0"/>
        <w:autoSpaceDE w:val="0"/>
        <w:autoSpaceDN w:val="0"/>
        <w:adjustRightInd w:val="0"/>
        <w:rPr>
          <w:b/>
          <w:bCs/>
          <w:lang w:eastAsia="fr-FR"/>
        </w:rPr>
      </w:pPr>
    </w:p>
    <w:p w:rsidR="008A1C92" w:rsidRPr="00F10957" w:rsidRDefault="008A1C92" w:rsidP="008A1C92">
      <w:pPr>
        <w:widowControl w:val="0"/>
        <w:kinsoku w:val="0"/>
        <w:overflowPunct w:val="0"/>
        <w:autoSpaceDE w:val="0"/>
        <w:autoSpaceDN w:val="0"/>
        <w:adjustRightInd w:val="0"/>
        <w:spacing w:before="1"/>
        <w:rPr>
          <w:b/>
          <w:bCs/>
          <w:lang w:val="it-IT" w:eastAsia="fr-FR"/>
        </w:rPr>
      </w:pPr>
    </w:p>
    <w:p w:rsidR="008A1C92" w:rsidRDefault="008A1C92" w:rsidP="008A1C92">
      <w:pPr>
        <w:rPr>
          <w:b/>
        </w:rPr>
      </w:pPr>
    </w:p>
    <w:p w:rsidR="008A1C92" w:rsidRDefault="008A1C92" w:rsidP="008A1C92">
      <w:pPr>
        <w:pStyle w:val="Antrat2"/>
        <w:rPr>
          <w:b/>
          <w:i w:val="0"/>
          <w:szCs w:val="22"/>
        </w:rPr>
      </w:pPr>
      <w:r>
        <w:rPr>
          <w:b/>
          <w:i w:val="0"/>
          <w:szCs w:val="22"/>
        </w:rPr>
        <w:t>5.</w:t>
      </w:r>
      <w:r>
        <w:rPr>
          <w:b/>
          <w:i w:val="0"/>
          <w:szCs w:val="22"/>
        </w:rPr>
        <w:tab/>
        <w:t xml:space="preserve">Kaip laikyti </w:t>
      </w:r>
      <w:r>
        <w:rPr>
          <w:b/>
          <w:i w:val="0"/>
        </w:rPr>
        <w:t>KANAMYCIN</w:t>
      </w:r>
      <w:r>
        <w:rPr>
          <w:b/>
          <w:i w:val="0"/>
          <w:szCs w:val="22"/>
        </w:rPr>
        <w:t xml:space="preserve"> PANPHARMA </w:t>
      </w:r>
    </w:p>
    <w:p w:rsidR="008A1C92" w:rsidRDefault="008A1C92" w:rsidP="008A1C92">
      <w:pPr>
        <w:pStyle w:val="Pagrindinistekstas"/>
        <w:spacing w:after="0"/>
      </w:pPr>
    </w:p>
    <w:p w:rsidR="008A1C92" w:rsidRPr="003E5A06" w:rsidRDefault="008A1C92" w:rsidP="008A1C92">
      <w:pPr>
        <w:widowControl w:val="0"/>
        <w:kinsoku w:val="0"/>
        <w:overflowPunct w:val="0"/>
        <w:autoSpaceDE w:val="0"/>
        <w:autoSpaceDN w:val="0"/>
        <w:adjustRightInd w:val="0"/>
        <w:rPr>
          <w:szCs w:val="22"/>
          <w:lang w:eastAsia="fr-FR"/>
        </w:rPr>
      </w:pPr>
      <w:r w:rsidRPr="003E5A06">
        <w:rPr>
          <w:szCs w:val="22"/>
          <w:lang w:eastAsia="fr-FR"/>
        </w:rPr>
        <w:t>Šį vaistą laikykite vaikams nepastebimoje ir nepasiekiamoje vietoje.</w:t>
      </w:r>
    </w:p>
    <w:p w:rsidR="008A1C92" w:rsidRDefault="008A1C92" w:rsidP="008A1C92">
      <w:pPr>
        <w:pStyle w:val="Pagrindinistekstas"/>
        <w:spacing w:after="0"/>
      </w:pPr>
    </w:p>
    <w:p w:rsidR="008A1C92" w:rsidRDefault="008A1C92" w:rsidP="008A1C92">
      <w:pPr>
        <w:rPr>
          <w:b/>
        </w:rPr>
      </w:pPr>
    </w:p>
    <w:p w:rsidR="008A1C92" w:rsidRDefault="008A1C92" w:rsidP="008A1C92">
      <w:pPr>
        <w:tabs>
          <w:tab w:val="left" w:pos="567"/>
        </w:tabs>
        <w:jc w:val="both"/>
      </w:pPr>
    </w:p>
    <w:p w:rsidR="008A1C92" w:rsidRDefault="008A1C92" w:rsidP="008A1C92">
      <w:pPr>
        <w:tabs>
          <w:tab w:val="left" w:pos="567"/>
        </w:tabs>
        <w:jc w:val="both"/>
      </w:pPr>
      <w:r>
        <w:t xml:space="preserve">Šio vaisto laikymui specialių temperatūros sąlygų nereikalaujama. </w:t>
      </w:r>
    </w:p>
    <w:p w:rsidR="008A1C92" w:rsidRDefault="008A1C92" w:rsidP="008A1C92">
      <w:pPr>
        <w:tabs>
          <w:tab w:val="left" w:pos="567"/>
        </w:tabs>
        <w:jc w:val="both"/>
      </w:pPr>
      <w:r>
        <w:t>Laikyti gamintojo pakuotėje, kad preparatas būtų apsaugotas nuo  šviesos ir drėgmės.</w:t>
      </w:r>
    </w:p>
    <w:p w:rsidR="008A1C92" w:rsidRDefault="008A1C92" w:rsidP="008A1C92">
      <w:pPr>
        <w:tabs>
          <w:tab w:val="left" w:pos="567"/>
        </w:tabs>
        <w:jc w:val="both"/>
      </w:pPr>
    </w:p>
    <w:p w:rsidR="008A1C92" w:rsidRDefault="008A1C92" w:rsidP="008A1C92">
      <w:pPr>
        <w:tabs>
          <w:tab w:val="left" w:pos="567"/>
        </w:tabs>
        <w:jc w:val="both"/>
      </w:pPr>
      <w:r>
        <w:t>Paruoštą tirpalą reikia vartoti nedelsiant.</w:t>
      </w:r>
    </w:p>
    <w:p w:rsidR="008A1C92" w:rsidRDefault="008A1C92" w:rsidP="008A1C92">
      <w:pPr>
        <w:pStyle w:val="Pagrindinistekstas"/>
        <w:spacing w:after="0"/>
      </w:pPr>
    </w:p>
    <w:p w:rsidR="008A1C92" w:rsidRPr="00A2625A" w:rsidRDefault="008A1C92" w:rsidP="008A1C92">
      <w:pPr>
        <w:numPr>
          <w:ilvl w:val="12"/>
          <w:numId w:val="0"/>
        </w:numPr>
        <w:ind w:right="-2"/>
        <w:rPr>
          <w:snapToGrid w:val="0"/>
          <w:szCs w:val="24"/>
        </w:rPr>
      </w:pPr>
      <w:r w:rsidRPr="00A2625A">
        <w:rPr>
          <w:noProof/>
          <w:snapToGrid w:val="0"/>
          <w:szCs w:val="24"/>
        </w:rPr>
        <w:t>Ant dėžutės</w:t>
      </w:r>
      <w:r>
        <w:rPr>
          <w:noProof/>
          <w:snapToGrid w:val="0"/>
          <w:szCs w:val="24"/>
        </w:rPr>
        <w:t xml:space="preserve"> ir flakono etiketės </w:t>
      </w:r>
      <w:r w:rsidRPr="00A2625A">
        <w:rPr>
          <w:noProof/>
          <w:snapToGrid w:val="0"/>
          <w:szCs w:val="24"/>
        </w:rPr>
        <w:t xml:space="preserve">po </w:t>
      </w:r>
      <w:r>
        <w:rPr>
          <w:noProof/>
          <w:snapToGrid w:val="0"/>
          <w:szCs w:val="24"/>
        </w:rPr>
        <w:t>„Tinka iki“</w:t>
      </w:r>
      <w:r w:rsidRPr="00A2625A">
        <w:rPr>
          <w:noProof/>
          <w:snapToGrid w:val="0"/>
          <w:szCs w:val="24"/>
        </w:rPr>
        <w:t xml:space="preserve"> nurodytam tinkamumo laikui pasibaigus, šio vaisto vartoti negalima.</w:t>
      </w:r>
      <w:r w:rsidRPr="00A2625A">
        <w:rPr>
          <w:snapToGrid w:val="0"/>
          <w:szCs w:val="24"/>
        </w:rPr>
        <w:t xml:space="preserve">  </w:t>
      </w:r>
      <w:r w:rsidRPr="00A2625A">
        <w:rPr>
          <w:noProof/>
          <w:snapToGrid w:val="0"/>
          <w:szCs w:val="24"/>
        </w:rPr>
        <w:t>Vaistas tinkamas vartoti iki paskutinės nurodyto mėnesio dienos.</w:t>
      </w:r>
    </w:p>
    <w:p w:rsidR="008A1C92" w:rsidRDefault="008A1C92" w:rsidP="008A1C92">
      <w:pPr>
        <w:pStyle w:val="Pagrindinistekstas"/>
        <w:spacing w:after="0"/>
      </w:pPr>
    </w:p>
    <w:p w:rsidR="008A1C92" w:rsidRDefault="008A1C92" w:rsidP="008A1C92">
      <w:pPr>
        <w:tabs>
          <w:tab w:val="left" w:pos="567"/>
        </w:tabs>
        <w:rPr>
          <w:szCs w:val="22"/>
        </w:rPr>
      </w:pPr>
    </w:p>
    <w:p w:rsidR="008A1C92" w:rsidRPr="00A2625A" w:rsidRDefault="008A1C92" w:rsidP="008A1C92">
      <w:pPr>
        <w:numPr>
          <w:ilvl w:val="12"/>
          <w:numId w:val="0"/>
        </w:numPr>
        <w:ind w:right="-2"/>
        <w:rPr>
          <w:i/>
          <w:snapToGrid w:val="0"/>
        </w:rPr>
      </w:pPr>
      <w:r w:rsidRPr="00A2625A">
        <w:rPr>
          <w:noProof/>
          <w:snapToGrid w:val="0"/>
          <w:szCs w:val="24"/>
        </w:rPr>
        <w:t>Vaistų negalima išmesti į kanalizaciją arba su buitinėmis atliekomis.</w:t>
      </w:r>
      <w:r w:rsidRPr="00A2625A">
        <w:rPr>
          <w:snapToGrid w:val="0"/>
          <w:szCs w:val="24"/>
        </w:rPr>
        <w:t xml:space="preserve"> </w:t>
      </w:r>
      <w:r w:rsidRPr="00A2625A">
        <w:rPr>
          <w:noProof/>
          <w:snapToGrid w:val="0"/>
          <w:szCs w:val="24"/>
        </w:rPr>
        <w:t>Kaip išmesti nereikalingus vaistus, klauskite vaistininko.</w:t>
      </w:r>
      <w:r w:rsidRPr="00A2625A">
        <w:rPr>
          <w:snapToGrid w:val="0"/>
          <w:szCs w:val="24"/>
        </w:rPr>
        <w:t xml:space="preserve"> </w:t>
      </w:r>
      <w:r w:rsidRPr="00A2625A">
        <w:rPr>
          <w:noProof/>
          <w:snapToGrid w:val="0"/>
          <w:szCs w:val="24"/>
        </w:rPr>
        <w:t>Šios priemonės padės apsaugoti aplinką.</w:t>
      </w:r>
    </w:p>
    <w:p w:rsidR="008A1C92" w:rsidRDefault="008A1C92" w:rsidP="008A1C92">
      <w:pPr>
        <w:tabs>
          <w:tab w:val="left" w:pos="567"/>
        </w:tabs>
        <w:rPr>
          <w:szCs w:val="22"/>
        </w:rPr>
      </w:pPr>
    </w:p>
    <w:p w:rsidR="008A1C92" w:rsidRDefault="008A1C92" w:rsidP="008A1C92">
      <w:pPr>
        <w:rPr>
          <w:b/>
        </w:rPr>
      </w:pPr>
    </w:p>
    <w:p w:rsidR="008A1C92" w:rsidRDefault="008A1C92" w:rsidP="008A1C92">
      <w:pPr>
        <w:tabs>
          <w:tab w:val="left" w:pos="567"/>
        </w:tabs>
        <w:rPr>
          <w:b/>
        </w:rPr>
      </w:pPr>
      <w:r>
        <w:rPr>
          <w:b/>
        </w:rPr>
        <w:t xml:space="preserve">6. </w:t>
      </w:r>
      <w:r>
        <w:rPr>
          <w:b/>
        </w:rPr>
        <w:tab/>
      </w:r>
      <w:r w:rsidRPr="006B28C4">
        <w:rPr>
          <w:b/>
          <w:snapToGrid w:val="0"/>
        </w:rPr>
        <w:t>Pakuotės turinys ir kita informacija</w:t>
      </w:r>
    </w:p>
    <w:p w:rsidR="008A1C92" w:rsidRDefault="008A1C92" w:rsidP="008A1C92">
      <w:pPr>
        <w:pStyle w:val="Antrats"/>
        <w:tabs>
          <w:tab w:val="clear" w:pos="4153"/>
          <w:tab w:val="clear" w:pos="8306"/>
          <w:tab w:val="left" w:pos="567"/>
        </w:tabs>
      </w:pPr>
    </w:p>
    <w:p w:rsidR="008A1C92" w:rsidRPr="00A2625A" w:rsidRDefault="008A1C92" w:rsidP="008A1C92">
      <w:pPr>
        <w:keepNext/>
        <w:widowControl w:val="0"/>
        <w:autoSpaceDE w:val="0"/>
        <w:autoSpaceDN w:val="0"/>
        <w:adjustRightInd w:val="0"/>
        <w:outlineLvl w:val="3"/>
        <w:rPr>
          <w:snapToGrid w:val="0"/>
          <w:szCs w:val="22"/>
          <w:lang w:eastAsia="x-none"/>
        </w:rPr>
      </w:pPr>
      <w:r w:rsidRPr="00A2625A">
        <w:rPr>
          <w:b/>
        </w:rPr>
        <w:t>KANAMYCIN</w:t>
      </w:r>
      <w:r w:rsidRPr="00A2625A">
        <w:rPr>
          <w:b/>
          <w:szCs w:val="22"/>
        </w:rPr>
        <w:t xml:space="preserve"> PANPHARMA</w:t>
      </w:r>
      <w:r>
        <w:rPr>
          <w:b/>
          <w:i/>
          <w:szCs w:val="22"/>
        </w:rPr>
        <w:t xml:space="preserve"> </w:t>
      </w:r>
      <w:r w:rsidRPr="00A2625A">
        <w:rPr>
          <w:b/>
          <w:bCs/>
          <w:snapToGrid w:val="0"/>
          <w:szCs w:val="28"/>
          <w:lang w:eastAsia="x-none"/>
        </w:rPr>
        <w:t xml:space="preserve">sudėtis </w:t>
      </w:r>
    </w:p>
    <w:p w:rsidR="008A1C92" w:rsidRPr="006B28C4" w:rsidRDefault="008A1C92" w:rsidP="008A1C92">
      <w:pPr>
        <w:widowControl w:val="0"/>
        <w:numPr>
          <w:ilvl w:val="0"/>
          <w:numId w:val="3"/>
        </w:numPr>
        <w:tabs>
          <w:tab w:val="left" w:pos="567"/>
        </w:tabs>
        <w:kinsoku w:val="0"/>
        <w:overflowPunct w:val="0"/>
        <w:autoSpaceDE w:val="0"/>
        <w:autoSpaceDN w:val="0"/>
        <w:adjustRightInd w:val="0"/>
        <w:spacing w:after="160" w:line="259" w:lineRule="auto"/>
        <w:ind w:left="567" w:right="-2" w:hanging="567"/>
        <w:rPr>
          <w:szCs w:val="22"/>
          <w:lang w:eastAsia="fr-FR"/>
        </w:rPr>
      </w:pPr>
      <w:r w:rsidRPr="006B28C4">
        <w:rPr>
          <w:noProof/>
          <w:szCs w:val="22"/>
          <w:lang w:eastAsia="fr-FR"/>
        </w:rPr>
        <w:t xml:space="preserve">Veiklioji medžiaga yra </w:t>
      </w:r>
      <w:r w:rsidRPr="00A2625A">
        <w:rPr>
          <w:noProof/>
          <w:szCs w:val="22"/>
          <w:lang w:eastAsia="fr-FR"/>
        </w:rPr>
        <w:t>k</w:t>
      </w:r>
      <w:r w:rsidRPr="006B28C4">
        <w:rPr>
          <w:noProof/>
          <w:szCs w:val="22"/>
          <w:lang w:eastAsia="fr-FR"/>
        </w:rPr>
        <w:t xml:space="preserve">anamicinas. </w:t>
      </w:r>
      <w:r w:rsidRPr="006B28C4">
        <w:rPr>
          <w:spacing w:val="-1"/>
          <w:szCs w:val="22"/>
          <w:lang w:eastAsia="fr-FR"/>
        </w:rPr>
        <w:t>Viename</w:t>
      </w:r>
      <w:r w:rsidRPr="006B28C4">
        <w:rPr>
          <w:spacing w:val="-7"/>
          <w:szCs w:val="22"/>
          <w:lang w:eastAsia="fr-FR"/>
        </w:rPr>
        <w:t xml:space="preserve"> </w:t>
      </w:r>
      <w:r w:rsidRPr="00A2625A">
        <w:rPr>
          <w:spacing w:val="-7"/>
          <w:szCs w:val="22"/>
          <w:lang w:eastAsia="fr-FR"/>
        </w:rPr>
        <w:t>flakone</w:t>
      </w:r>
      <w:r w:rsidRPr="006B28C4">
        <w:rPr>
          <w:spacing w:val="-7"/>
          <w:szCs w:val="22"/>
          <w:lang w:eastAsia="fr-FR"/>
        </w:rPr>
        <w:t xml:space="preserve"> </w:t>
      </w:r>
      <w:r w:rsidRPr="006B28C4">
        <w:rPr>
          <w:szCs w:val="22"/>
          <w:lang w:eastAsia="fr-FR"/>
        </w:rPr>
        <w:t>yra</w:t>
      </w:r>
      <w:r w:rsidRPr="006B28C4">
        <w:rPr>
          <w:spacing w:val="-9"/>
          <w:szCs w:val="22"/>
          <w:lang w:eastAsia="fr-FR"/>
        </w:rPr>
        <w:t xml:space="preserve"> </w:t>
      </w:r>
      <w:r w:rsidRPr="006B28C4">
        <w:rPr>
          <w:szCs w:val="22"/>
          <w:lang w:eastAsia="fr-FR"/>
        </w:rPr>
        <w:t>1</w:t>
      </w:r>
      <w:r w:rsidRPr="006B28C4">
        <w:rPr>
          <w:spacing w:val="-7"/>
          <w:szCs w:val="22"/>
          <w:lang w:eastAsia="fr-FR"/>
        </w:rPr>
        <w:t xml:space="preserve"> </w:t>
      </w:r>
      <w:r w:rsidRPr="006B28C4">
        <w:rPr>
          <w:szCs w:val="22"/>
          <w:lang w:eastAsia="fr-FR"/>
        </w:rPr>
        <w:t>g</w:t>
      </w:r>
      <w:r w:rsidRPr="006B28C4">
        <w:rPr>
          <w:spacing w:val="-8"/>
          <w:szCs w:val="22"/>
          <w:lang w:eastAsia="fr-FR"/>
        </w:rPr>
        <w:t xml:space="preserve"> </w:t>
      </w:r>
      <w:proofErr w:type="spellStart"/>
      <w:r w:rsidRPr="006B28C4">
        <w:rPr>
          <w:spacing w:val="-1"/>
          <w:szCs w:val="22"/>
          <w:lang w:eastAsia="fr-FR"/>
        </w:rPr>
        <w:t>kanamicino</w:t>
      </w:r>
      <w:proofErr w:type="spellEnd"/>
      <w:r w:rsidRPr="006B28C4">
        <w:rPr>
          <w:spacing w:val="-7"/>
          <w:szCs w:val="22"/>
          <w:lang w:eastAsia="fr-FR"/>
        </w:rPr>
        <w:t xml:space="preserve"> </w:t>
      </w:r>
      <w:r w:rsidRPr="006B28C4">
        <w:rPr>
          <w:spacing w:val="-1"/>
          <w:szCs w:val="22"/>
          <w:lang w:eastAsia="fr-FR"/>
        </w:rPr>
        <w:t>(</w:t>
      </w:r>
      <w:proofErr w:type="spellStart"/>
      <w:r w:rsidRPr="006B28C4">
        <w:rPr>
          <w:spacing w:val="-1"/>
          <w:szCs w:val="22"/>
          <w:lang w:eastAsia="fr-FR"/>
        </w:rPr>
        <w:t>kanamicino</w:t>
      </w:r>
      <w:proofErr w:type="spellEnd"/>
      <w:r w:rsidRPr="006B28C4">
        <w:rPr>
          <w:spacing w:val="67"/>
          <w:w w:val="99"/>
          <w:szCs w:val="22"/>
          <w:lang w:eastAsia="fr-FR"/>
        </w:rPr>
        <w:t xml:space="preserve"> </w:t>
      </w:r>
      <w:r w:rsidRPr="006B28C4">
        <w:rPr>
          <w:szCs w:val="22"/>
          <w:lang w:eastAsia="fr-FR"/>
        </w:rPr>
        <w:t>sulfato</w:t>
      </w:r>
      <w:r w:rsidRPr="006B28C4">
        <w:rPr>
          <w:spacing w:val="-11"/>
          <w:szCs w:val="22"/>
          <w:lang w:eastAsia="fr-FR"/>
        </w:rPr>
        <w:t xml:space="preserve"> </w:t>
      </w:r>
      <w:r w:rsidRPr="006B28C4">
        <w:rPr>
          <w:szCs w:val="22"/>
          <w:lang w:eastAsia="fr-FR"/>
        </w:rPr>
        <w:t>pavidalu)</w:t>
      </w:r>
      <w:r w:rsidRPr="006B28C4">
        <w:rPr>
          <w:spacing w:val="-1"/>
          <w:szCs w:val="22"/>
          <w:lang w:eastAsia="fr-FR"/>
        </w:rPr>
        <w:t>.</w:t>
      </w:r>
    </w:p>
    <w:p w:rsidR="008A1C92" w:rsidRPr="006B28C4" w:rsidRDefault="008A1C92" w:rsidP="008A1C92">
      <w:pPr>
        <w:widowControl w:val="0"/>
        <w:numPr>
          <w:ilvl w:val="0"/>
          <w:numId w:val="3"/>
        </w:numPr>
        <w:tabs>
          <w:tab w:val="left" w:pos="567"/>
        </w:tabs>
        <w:kinsoku w:val="0"/>
        <w:overflowPunct w:val="0"/>
        <w:autoSpaceDE w:val="0"/>
        <w:autoSpaceDN w:val="0"/>
        <w:adjustRightInd w:val="0"/>
        <w:spacing w:after="160" w:line="259" w:lineRule="auto"/>
        <w:ind w:left="567" w:right="-2" w:hanging="567"/>
        <w:rPr>
          <w:szCs w:val="22"/>
          <w:lang w:eastAsia="fr-FR"/>
        </w:rPr>
      </w:pPr>
      <w:r w:rsidRPr="006B28C4">
        <w:rPr>
          <w:szCs w:val="22"/>
          <w:lang w:eastAsia="fr-FR"/>
        </w:rPr>
        <w:t>Pagalbinių</w:t>
      </w:r>
      <w:r w:rsidRPr="006B28C4">
        <w:rPr>
          <w:spacing w:val="-12"/>
          <w:szCs w:val="22"/>
          <w:lang w:eastAsia="fr-FR"/>
        </w:rPr>
        <w:t xml:space="preserve"> </w:t>
      </w:r>
      <w:r w:rsidRPr="006B28C4">
        <w:rPr>
          <w:szCs w:val="22"/>
          <w:lang w:eastAsia="fr-FR"/>
        </w:rPr>
        <w:t>medžiagų</w:t>
      </w:r>
      <w:r w:rsidRPr="006B28C4">
        <w:rPr>
          <w:spacing w:val="-11"/>
          <w:szCs w:val="22"/>
          <w:lang w:eastAsia="fr-FR"/>
        </w:rPr>
        <w:t xml:space="preserve"> </w:t>
      </w:r>
      <w:r w:rsidRPr="006B28C4">
        <w:rPr>
          <w:spacing w:val="-1"/>
          <w:szCs w:val="22"/>
          <w:lang w:eastAsia="fr-FR"/>
        </w:rPr>
        <w:t>nėra.</w:t>
      </w:r>
    </w:p>
    <w:p w:rsidR="008A1C92" w:rsidRDefault="008A1C92" w:rsidP="008A1C92">
      <w:pPr>
        <w:numPr>
          <w:ilvl w:val="12"/>
          <w:numId w:val="0"/>
        </w:numPr>
        <w:tabs>
          <w:tab w:val="left" w:pos="567"/>
        </w:tabs>
        <w:ind w:right="-2"/>
        <w:rPr>
          <w:noProof/>
          <w:snapToGrid w:val="0"/>
          <w:szCs w:val="24"/>
        </w:rPr>
      </w:pPr>
    </w:p>
    <w:p w:rsidR="008A1C92" w:rsidRPr="00A2625A" w:rsidRDefault="008A1C92" w:rsidP="008A1C92">
      <w:pPr>
        <w:keepNext/>
        <w:tabs>
          <w:tab w:val="left" w:pos="567"/>
        </w:tabs>
        <w:spacing w:line="260" w:lineRule="exact"/>
        <w:jc w:val="both"/>
        <w:outlineLvl w:val="3"/>
        <w:rPr>
          <w:b/>
          <w:bCs/>
          <w:snapToGrid w:val="0"/>
          <w:szCs w:val="28"/>
          <w:lang w:eastAsia="x-none"/>
        </w:rPr>
      </w:pPr>
      <w:r w:rsidRPr="00A2625A">
        <w:rPr>
          <w:b/>
        </w:rPr>
        <w:t>KANAMYCIN</w:t>
      </w:r>
      <w:r w:rsidRPr="00A2625A">
        <w:rPr>
          <w:b/>
          <w:szCs w:val="22"/>
        </w:rPr>
        <w:t xml:space="preserve"> PANPHARMA</w:t>
      </w:r>
      <w:r w:rsidRPr="00A2625A">
        <w:rPr>
          <w:b/>
          <w:bCs/>
          <w:snapToGrid w:val="0"/>
          <w:szCs w:val="28"/>
          <w:lang w:eastAsia="x-none"/>
        </w:rPr>
        <w:t xml:space="preserve"> išvaizda ir kiekis pakuotėje</w:t>
      </w:r>
    </w:p>
    <w:p w:rsidR="008A1C92" w:rsidRDefault="008A1C92" w:rsidP="008A1C92">
      <w:pPr>
        <w:tabs>
          <w:tab w:val="left" w:pos="567"/>
        </w:tabs>
        <w:jc w:val="both"/>
      </w:pPr>
      <w:r w:rsidRPr="006B28C4">
        <w:t>KANAMYCIN</w:t>
      </w:r>
      <w:r w:rsidRPr="006B28C4">
        <w:rPr>
          <w:szCs w:val="22"/>
        </w:rPr>
        <w:t xml:space="preserve"> PANPHARMA</w:t>
      </w:r>
      <w:r>
        <w:t xml:space="preserve"> yra balti arba beveik balti higroskopiniai milteliai.</w:t>
      </w:r>
    </w:p>
    <w:p w:rsidR="008A1C92" w:rsidRDefault="008A1C92" w:rsidP="008A1C92">
      <w:pPr>
        <w:tabs>
          <w:tab w:val="left" w:pos="567"/>
        </w:tabs>
        <w:jc w:val="both"/>
      </w:pPr>
      <w:r>
        <w:t>Kartono dėžutėje yra 25 arba 50 flakonų.</w:t>
      </w:r>
    </w:p>
    <w:p w:rsidR="008A1C92" w:rsidRDefault="008A1C92" w:rsidP="008A1C92">
      <w:pPr>
        <w:numPr>
          <w:ilvl w:val="12"/>
          <w:numId w:val="0"/>
        </w:numPr>
        <w:tabs>
          <w:tab w:val="left" w:pos="567"/>
        </w:tabs>
        <w:ind w:right="-2"/>
        <w:rPr>
          <w:noProof/>
          <w:snapToGrid w:val="0"/>
          <w:szCs w:val="24"/>
        </w:rPr>
      </w:pPr>
    </w:p>
    <w:p w:rsidR="008A1C92" w:rsidRPr="0077755D" w:rsidRDefault="008A1C92" w:rsidP="008A1C92">
      <w:pPr>
        <w:widowControl w:val="0"/>
        <w:numPr>
          <w:ilvl w:val="12"/>
          <w:numId w:val="0"/>
        </w:numPr>
        <w:autoSpaceDE w:val="0"/>
        <w:autoSpaceDN w:val="0"/>
        <w:adjustRightInd w:val="0"/>
        <w:ind w:right="-2"/>
        <w:jc w:val="both"/>
        <w:rPr>
          <w:b/>
        </w:rPr>
      </w:pPr>
      <w:r w:rsidRPr="0077755D">
        <w:rPr>
          <w:b/>
        </w:rPr>
        <w:t>Registruotojas ir gamintojas</w:t>
      </w:r>
    </w:p>
    <w:p w:rsidR="008A1C92" w:rsidRPr="0077755D" w:rsidRDefault="008A1C92" w:rsidP="008A1C92">
      <w:pPr>
        <w:widowControl w:val="0"/>
        <w:tabs>
          <w:tab w:val="left" w:pos="567"/>
        </w:tabs>
        <w:autoSpaceDE w:val="0"/>
        <w:autoSpaceDN w:val="0"/>
        <w:adjustRightInd w:val="0"/>
        <w:jc w:val="both"/>
      </w:pPr>
      <w:r w:rsidRPr="0077755D">
        <w:t>PANPHARMA SA</w:t>
      </w:r>
    </w:p>
    <w:p w:rsidR="008A1C92" w:rsidRPr="0077755D" w:rsidRDefault="008A1C92" w:rsidP="008A1C92">
      <w:pPr>
        <w:widowControl w:val="0"/>
        <w:tabs>
          <w:tab w:val="left" w:pos="567"/>
        </w:tabs>
        <w:autoSpaceDE w:val="0"/>
        <w:autoSpaceDN w:val="0"/>
        <w:adjustRightInd w:val="0"/>
        <w:jc w:val="both"/>
      </w:pPr>
      <w:r w:rsidRPr="0077755D">
        <w:t xml:space="preserve">Z.I du </w:t>
      </w:r>
      <w:proofErr w:type="spellStart"/>
      <w:r w:rsidRPr="0077755D">
        <w:t>Clairay-Lutré</w:t>
      </w:r>
      <w:proofErr w:type="spellEnd"/>
    </w:p>
    <w:p w:rsidR="008A1C92" w:rsidRPr="0077755D" w:rsidRDefault="008A1C92" w:rsidP="008A1C92">
      <w:pPr>
        <w:widowControl w:val="0"/>
        <w:tabs>
          <w:tab w:val="left" w:pos="567"/>
        </w:tabs>
        <w:autoSpaceDE w:val="0"/>
        <w:autoSpaceDN w:val="0"/>
        <w:adjustRightInd w:val="0"/>
        <w:jc w:val="both"/>
      </w:pPr>
      <w:r w:rsidRPr="0077755D">
        <w:t xml:space="preserve">35 133 </w:t>
      </w:r>
      <w:proofErr w:type="spellStart"/>
      <w:r w:rsidRPr="0077755D">
        <w:t>Fougéres</w:t>
      </w:r>
      <w:proofErr w:type="spellEnd"/>
    </w:p>
    <w:p w:rsidR="008A1C92" w:rsidRPr="0077755D" w:rsidRDefault="008A1C92" w:rsidP="008A1C92">
      <w:pPr>
        <w:widowControl w:val="0"/>
        <w:tabs>
          <w:tab w:val="left" w:pos="567"/>
        </w:tabs>
        <w:autoSpaceDE w:val="0"/>
        <w:autoSpaceDN w:val="0"/>
        <w:adjustRightInd w:val="0"/>
        <w:jc w:val="both"/>
      </w:pPr>
      <w:r w:rsidRPr="0077755D">
        <w:t>Prancūzija</w:t>
      </w:r>
    </w:p>
    <w:p w:rsidR="008A1C92" w:rsidRDefault="008A1C92" w:rsidP="008A1C92">
      <w:pPr>
        <w:numPr>
          <w:ilvl w:val="12"/>
          <w:numId w:val="0"/>
        </w:numPr>
        <w:tabs>
          <w:tab w:val="left" w:pos="567"/>
        </w:tabs>
        <w:ind w:right="-2"/>
        <w:rPr>
          <w:noProof/>
          <w:snapToGrid w:val="0"/>
          <w:szCs w:val="24"/>
        </w:rPr>
      </w:pPr>
    </w:p>
    <w:p w:rsidR="008A1C92" w:rsidRPr="00A2625A" w:rsidRDefault="008A1C92" w:rsidP="008A1C92">
      <w:pPr>
        <w:numPr>
          <w:ilvl w:val="12"/>
          <w:numId w:val="0"/>
        </w:numPr>
        <w:tabs>
          <w:tab w:val="left" w:pos="567"/>
        </w:tabs>
        <w:ind w:right="-2"/>
        <w:rPr>
          <w:noProof/>
          <w:snapToGrid w:val="0"/>
          <w:szCs w:val="24"/>
        </w:rPr>
      </w:pPr>
      <w:r w:rsidRPr="00A2625A">
        <w:rPr>
          <w:noProof/>
          <w:snapToGrid w:val="0"/>
          <w:szCs w:val="24"/>
        </w:rPr>
        <w:t xml:space="preserve">Jeigu apie šį vaistą norite sužinoti daugiau, kreipkitės į vietinį </w:t>
      </w:r>
      <w:r w:rsidRPr="006B28C4">
        <w:rPr>
          <w:noProof/>
          <w:snapToGrid w:val="0"/>
          <w:szCs w:val="24"/>
        </w:rPr>
        <w:t>registruotojo</w:t>
      </w:r>
      <w:r w:rsidRPr="00A2625A">
        <w:rPr>
          <w:noProof/>
          <w:snapToGrid w:val="0"/>
          <w:szCs w:val="24"/>
        </w:rPr>
        <w:t xml:space="preserve"> atstovą.</w:t>
      </w:r>
    </w:p>
    <w:p w:rsidR="008A1C92" w:rsidRDefault="008A1C92" w:rsidP="008A1C92">
      <w:pPr>
        <w:pStyle w:val="Pagrindinistekstas"/>
        <w:spacing w:after="0"/>
        <w:rPr>
          <w:szCs w:val="22"/>
        </w:rPr>
      </w:pPr>
    </w:p>
    <w:p w:rsidR="008A1C92" w:rsidRDefault="008A1C92" w:rsidP="008A1C92">
      <w:pPr>
        <w:rPr>
          <w:szCs w:val="22"/>
        </w:rPr>
      </w:pPr>
      <w:r>
        <w:rPr>
          <w:szCs w:val="22"/>
        </w:rPr>
        <w:t>UAB „</w:t>
      </w:r>
      <w:proofErr w:type="spellStart"/>
      <w:r>
        <w:rPr>
          <w:szCs w:val="22"/>
        </w:rPr>
        <w:t>Inoterus</w:t>
      </w:r>
      <w:proofErr w:type="spellEnd"/>
      <w:r>
        <w:rPr>
          <w:szCs w:val="22"/>
        </w:rPr>
        <w:t xml:space="preserve">“ </w:t>
      </w:r>
    </w:p>
    <w:p w:rsidR="008A1C92" w:rsidRDefault="008A1C92" w:rsidP="008A1C92">
      <w:pPr>
        <w:rPr>
          <w:szCs w:val="22"/>
        </w:rPr>
      </w:pPr>
      <w:r>
        <w:rPr>
          <w:szCs w:val="22"/>
        </w:rPr>
        <w:t>K. Borutos g. 24/32</w:t>
      </w:r>
    </w:p>
    <w:p w:rsidR="008A1C92" w:rsidRDefault="008A1C92" w:rsidP="008A1C92">
      <w:pPr>
        <w:rPr>
          <w:szCs w:val="22"/>
        </w:rPr>
      </w:pPr>
      <w:r>
        <w:rPr>
          <w:szCs w:val="22"/>
        </w:rPr>
        <w:t>Vilnius  08335</w:t>
      </w:r>
    </w:p>
    <w:p w:rsidR="008A1C92" w:rsidRDefault="008A1C92" w:rsidP="008A1C92">
      <w:pPr>
        <w:rPr>
          <w:szCs w:val="22"/>
        </w:rPr>
      </w:pPr>
      <w:r>
        <w:rPr>
          <w:szCs w:val="22"/>
        </w:rPr>
        <w:t>Lietuva</w:t>
      </w:r>
    </w:p>
    <w:p w:rsidR="008A1C92" w:rsidRDefault="008A1C92" w:rsidP="008A1C92">
      <w:pPr>
        <w:pStyle w:val="Pagrindinistekstas"/>
        <w:spacing w:after="0"/>
        <w:rPr>
          <w:szCs w:val="22"/>
        </w:rPr>
      </w:pPr>
      <w:r>
        <w:rPr>
          <w:szCs w:val="22"/>
        </w:rPr>
        <w:t>Tel. +370 5237 4437</w:t>
      </w:r>
    </w:p>
    <w:p w:rsidR="008A1C92" w:rsidRDefault="008A1C92" w:rsidP="008A1C92">
      <w:pPr>
        <w:rPr>
          <w:b/>
        </w:rPr>
      </w:pPr>
    </w:p>
    <w:p w:rsidR="008A1C92" w:rsidRDefault="008A1C92" w:rsidP="008A1C92">
      <w:pPr>
        <w:rPr>
          <w:b/>
        </w:rPr>
      </w:pPr>
    </w:p>
    <w:p w:rsidR="008A1C92" w:rsidRDefault="008A1C92" w:rsidP="008A1C92">
      <w:pPr>
        <w:rPr>
          <w:b/>
          <w:snapToGrid w:val="0"/>
        </w:rPr>
      </w:pPr>
      <w:r w:rsidRPr="00A2625A">
        <w:rPr>
          <w:b/>
          <w:snapToGrid w:val="0"/>
        </w:rPr>
        <w:t xml:space="preserve">Šis pakuotės lapelis paskutinį kartą peržiūrėtas </w:t>
      </w:r>
      <w:r>
        <w:rPr>
          <w:b/>
          <w:snapToGrid w:val="0"/>
        </w:rPr>
        <w:t>2019-01-10.</w:t>
      </w:r>
    </w:p>
    <w:p w:rsidR="008A1C92" w:rsidRDefault="008A1C92" w:rsidP="008A1C92">
      <w:pPr>
        <w:rPr>
          <w:b/>
          <w:snapToGrid w:val="0"/>
        </w:rPr>
      </w:pPr>
    </w:p>
    <w:p w:rsidR="008A1C92" w:rsidRDefault="008A1C92" w:rsidP="008A1C92">
      <w:pPr>
        <w:rPr>
          <w:b/>
          <w:snapToGrid w:val="0"/>
        </w:rPr>
      </w:pPr>
    </w:p>
    <w:p w:rsidR="00E77D2F" w:rsidRDefault="00E77D2F">
      <w:bookmarkStart w:id="0" w:name="_GoBack"/>
      <w:bookmarkEnd w:id="0"/>
    </w:p>
    <w:sectPr w:rsidR="00E77D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685" w:hanging="568"/>
      </w:pPr>
      <w:rPr>
        <w:rFonts w:ascii="Times New Roman" w:hAnsi="Times New Roman"/>
        <w:b w:val="0"/>
        <w:w w:val="99"/>
        <w:sz w:val="22"/>
      </w:rPr>
    </w:lvl>
    <w:lvl w:ilvl="1">
      <w:numFmt w:val="bullet"/>
      <w:lvlText w:val="•"/>
      <w:lvlJc w:val="left"/>
      <w:pPr>
        <w:ind w:left="1547" w:hanging="568"/>
      </w:pPr>
    </w:lvl>
    <w:lvl w:ilvl="2">
      <w:numFmt w:val="bullet"/>
      <w:lvlText w:val="•"/>
      <w:lvlJc w:val="left"/>
      <w:pPr>
        <w:ind w:left="2409" w:hanging="568"/>
      </w:pPr>
    </w:lvl>
    <w:lvl w:ilvl="3">
      <w:numFmt w:val="bullet"/>
      <w:lvlText w:val="•"/>
      <w:lvlJc w:val="left"/>
      <w:pPr>
        <w:ind w:left="3271" w:hanging="568"/>
      </w:pPr>
    </w:lvl>
    <w:lvl w:ilvl="4">
      <w:numFmt w:val="bullet"/>
      <w:lvlText w:val="•"/>
      <w:lvlJc w:val="left"/>
      <w:pPr>
        <w:ind w:left="4133" w:hanging="568"/>
      </w:pPr>
    </w:lvl>
    <w:lvl w:ilvl="5">
      <w:numFmt w:val="bullet"/>
      <w:lvlText w:val="•"/>
      <w:lvlJc w:val="left"/>
      <w:pPr>
        <w:ind w:left="4995" w:hanging="568"/>
      </w:pPr>
    </w:lvl>
    <w:lvl w:ilvl="6">
      <w:numFmt w:val="bullet"/>
      <w:lvlText w:val="•"/>
      <w:lvlJc w:val="left"/>
      <w:pPr>
        <w:ind w:left="5857" w:hanging="568"/>
      </w:pPr>
    </w:lvl>
    <w:lvl w:ilvl="7">
      <w:numFmt w:val="bullet"/>
      <w:lvlText w:val="•"/>
      <w:lvlJc w:val="left"/>
      <w:pPr>
        <w:ind w:left="6718" w:hanging="568"/>
      </w:pPr>
    </w:lvl>
    <w:lvl w:ilvl="8">
      <w:numFmt w:val="bullet"/>
      <w:lvlText w:val="•"/>
      <w:lvlJc w:val="left"/>
      <w:pPr>
        <w:ind w:left="7580" w:hanging="568"/>
      </w:pPr>
    </w:lvl>
  </w:abstractNum>
  <w:abstractNum w:abstractNumId="1" w15:restartNumberingAfterBreak="0">
    <w:nsid w:val="00000403"/>
    <w:multiLevelType w:val="multilevel"/>
    <w:tmpl w:val="00000886"/>
    <w:lvl w:ilvl="0">
      <w:start w:val="1"/>
      <w:numFmt w:val="decimal"/>
      <w:lvlText w:val="%1."/>
      <w:lvlJc w:val="left"/>
      <w:pPr>
        <w:ind w:left="685" w:hanging="568"/>
      </w:pPr>
      <w:rPr>
        <w:rFonts w:ascii="Times New Roman" w:hAnsi="Times New Roman" w:cs="Times New Roman"/>
        <w:b w:val="0"/>
        <w:bCs w:val="0"/>
        <w:w w:val="99"/>
        <w:sz w:val="22"/>
        <w:szCs w:val="22"/>
      </w:rPr>
    </w:lvl>
    <w:lvl w:ilvl="1">
      <w:numFmt w:val="bullet"/>
      <w:lvlText w:val="•"/>
      <w:lvlJc w:val="left"/>
      <w:pPr>
        <w:ind w:left="1547" w:hanging="568"/>
      </w:pPr>
    </w:lvl>
    <w:lvl w:ilvl="2">
      <w:numFmt w:val="bullet"/>
      <w:lvlText w:val="•"/>
      <w:lvlJc w:val="left"/>
      <w:pPr>
        <w:ind w:left="2409" w:hanging="568"/>
      </w:pPr>
    </w:lvl>
    <w:lvl w:ilvl="3">
      <w:numFmt w:val="bullet"/>
      <w:lvlText w:val="•"/>
      <w:lvlJc w:val="left"/>
      <w:pPr>
        <w:ind w:left="3271" w:hanging="568"/>
      </w:pPr>
    </w:lvl>
    <w:lvl w:ilvl="4">
      <w:numFmt w:val="bullet"/>
      <w:lvlText w:val="•"/>
      <w:lvlJc w:val="left"/>
      <w:pPr>
        <w:ind w:left="4133" w:hanging="568"/>
      </w:pPr>
    </w:lvl>
    <w:lvl w:ilvl="5">
      <w:numFmt w:val="bullet"/>
      <w:lvlText w:val="•"/>
      <w:lvlJc w:val="left"/>
      <w:pPr>
        <w:ind w:left="4995" w:hanging="568"/>
      </w:pPr>
    </w:lvl>
    <w:lvl w:ilvl="6">
      <w:numFmt w:val="bullet"/>
      <w:lvlText w:val="•"/>
      <w:lvlJc w:val="left"/>
      <w:pPr>
        <w:ind w:left="5857" w:hanging="568"/>
      </w:pPr>
    </w:lvl>
    <w:lvl w:ilvl="7">
      <w:numFmt w:val="bullet"/>
      <w:lvlText w:val="•"/>
      <w:lvlJc w:val="left"/>
      <w:pPr>
        <w:ind w:left="6718" w:hanging="568"/>
      </w:pPr>
    </w:lvl>
    <w:lvl w:ilvl="8">
      <w:numFmt w:val="bullet"/>
      <w:lvlText w:val="•"/>
      <w:lvlJc w:val="left"/>
      <w:pPr>
        <w:ind w:left="7580" w:hanging="568"/>
      </w:pPr>
    </w:lvl>
  </w:abstractNum>
  <w:abstractNum w:abstractNumId="2" w15:restartNumberingAfterBreak="0">
    <w:nsid w:val="00000405"/>
    <w:multiLevelType w:val="multilevel"/>
    <w:tmpl w:val="00000888"/>
    <w:lvl w:ilvl="0">
      <w:numFmt w:val="bullet"/>
      <w:lvlText w:val="-"/>
      <w:lvlJc w:val="left"/>
      <w:pPr>
        <w:ind w:left="685" w:hanging="568"/>
      </w:pPr>
      <w:rPr>
        <w:rFonts w:ascii="Times New Roman" w:hAnsi="Times New Roman"/>
        <w:b w:val="0"/>
        <w:w w:val="99"/>
        <w:sz w:val="22"/>
      </w:rPr>
    </w:lvl>
    <w:lvl w:ilvl="1">
      <w:numFmt w:val="bullet"/>
      <w:lvlText w:val="•"/>
      <w:lvlJc w:val="left"/>
      <w:pPr>
        <w:ind w:left="1547" w:hanging="568"/>
      </w:pPr>
    </w:lvl>
    <w:lvl w:ilvl="2">
      <w:numFmt w:val="bullet"/>
      <w:lvlText w:val="•"/>
      <w:lvlJc w:val="left"/>
      <w:pPr>
        <w:ind w:left="2409" w:hanging="568"/>
      </w:pPr>
    </w:lvl>
    <w:lvl w:ilvl="3">
      <w:numFmt w:val="bullet"/>
      <w:lvlText w:val="•"/>
      <w:lvlJc w:val="left"/>
      <w:pPr>
        <w:ind w:left="3271" w:hanging="568"/>
      </w:pPr>
    </w:lvl>
    <w:lvl w:ilvl="4">
      <w:numFmt w:val="bullet"/>
      <w:lvlText w:val="•"/>
      <w:lvlJc w:val="left"/>
      <w:pPr>
        <w:ind w:left="4133" w:hanging="568"/>
      </w:pPr>
    </w:lvl>
    <w:lvl w:ilvl="5">
      <w:numFmt w:val="bullet"/>
      <w:lvlText w:val="•"/>
      <w:lvlJc w:val="left"/>
      <w:pPr>
        <w:ind w:left="4995" w:hanging="568"/>
      </w:pPr>
    </w:lvl>
    <w:lvl w:ilvl="6">
      <w:numFmt w:val="bullet"/>
      <w:lvlText w:val="•"/>
      <w:lvlJc w:val="left"/>
      <w:pPr>
        <w:ind w:left="5856" w:hanging="568"/>
      </w:pPr>
    </w:lvl>
    <w:lvl w:ilvl="7">
      <w:numFmt w:val="bullet"/>
      <w:lvlText w:val="•"/>
      <w:lvlJc w:val="left"/>
      <w:pPr>
        <w:ind w:left="6718" w:hanging="568"/>
      </w:pPr>
    </w:lvl>
    <w:lvl w:ilvl="8">
      <w:numFmt w:val="bullet"/>
      <w:lvlText w:val="•"/>
      <w:lvlJc w:val="left"/>
      <w:pPr>
        <w:ind w:left="7580" w:hanging="568"/>
      </w:pPr>
    </w:lvl>
  </w:abstractNum>
  <w:abstractNum w:abstractNumId="3" w15:restartNumberingAfterBreak="0">
    <w:nsid w:val="6B3C2F5D"/>
    <w:multiLevelType w:val="hybridMultilevel"/>
    <w:tmpl w:val="737009E8"/>
    <w:lvl w:ilvl="0" w:tplc="0427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92"/>
    <w:rsid w:val="008A1C92"/>
    <w:rsid w:val="00E77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6FE5E-DCEA-4F26-955B-DFF5098A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1C92"/>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8A1C92"/>
    <w:pPr>
      <w:keepNext/>
      <w:spacing w:line="360" w:lineRule="auto"/>
      <w:jc w:val="both"/>
      <w:outlineLvl w:val="0"/>
    </w:pPr>
    <w:rPr>
      <w:u w:val="single"/>
    </w:rPr>
  </w:style>
  <w:style w:type="paragraph" w:styleId="Antrat2">
    <w:name w:val="heading 2"/>
    <w:basedOn w:val="prastasis"/>
    <w:next w:val="prastasis"/>
    <w:link w:val="Antrat2Diagrama"/>
    <w:qFormat/>
    <w:rsid w:val="008A1C92"/>
    <w:pPr>
      <w:keepNext/>
      <w:outlineLvl w:val="1"/>
    </w:pPr>
    <w:rPr>
      <w:i/>
    </w:rPr>
  </w:style>
  <w:style w:type="paragraph" w:styleId="Antrat3">
    <w:name w:val="heading 3"/>
    <w:basedOn w:val="prastasis"/>
    <w:next w:val="prastasis"/>
    <w:link w:val="Antrat3Diagrama"/>
    <w:qFormat/>
    <w:rsid w:val="008A1C92"/>
    <w:pPr>
      <w:keepNext/>
      <w:spacing w:line="360" w:lineRule="auto"/>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1C92"/>
    <w:rPr>
      <w:rFonts w:ascii="Times New Roman" w:eastAsia="Times New Roman" w:hAnsi="Times New Roman" w:cs="Times New Roman"/>
      <w:szCs w:val="20"/>
      <w:u w:val="single"/>
    </w:rPr>
  </w:style>
  <w:style w:type="character" w:customStyle="1" w:styleId="Antrat2Diagrama">
    <w:name w:val="Antraštė 2 Diagrama"/>
    <w:basedOn w:val="Numatytasispastraiposriftas"/>
    <w:link w:val="Antrat2"/>
    <w:rsid w:val="008A1C92"/>
    <w:rPr>
      <w:rFonts w:ascii="Times New Roman" w:eastAsia="Times New Roman" w:hAnsi="Times New Roman" w:cs="Times New Roman"/>
      <w:i/>
      <w:szCs w:val="20"/>
    </w:rPr>
  </w:style>
  <w:style w:type="character" w:customStyle="1" w:styleId="Antrat3Diagrama">
    <w:name w:val="Antraštė 3 Diagrama"/>
    <w:basedOn w:val="Numatytasispastraiposriftas"/>
    <w:link w:val="Antrat3"/>
    <w:rsid w:val="008A1C92"/>
    <w:rPr>
      <w:rFonts w:ascii="Times New Roman" w:eastAsia="Times New Roman" w:hAnsi="Times New Roman" w:cs="Times New Roman"/>
      <w:b/>
      <w:szCs w:val="20"/>
    </w:rPr>
  </w:style>
  <w:style w:type="paragraph" w:styleId="Antrats">
    <w:name w:val="header"/>
    <w:basedOn w:val="prastasis"/>
    <w:link w:val="AntratsDiagrama"/>
    <w:rsid w:val="008A1C92"/>
    <w:pPr>
      <w:tabs>
        <w:tab w:val="center" w:pos="4153"/>
        <w:tab w:val="right" w:pos="8306"/>
      </w:tabs>
    </w:pPr>
  </w:style>
  <w:style w:type="character" w:customStyle="1" w:styleId="AntratsDiagrama">
    <w:name w:val="Antraštės Diagrama"/>
    <w:basedOn w:val="Numatytasispastraiposriftas"/>
    <w:link w:val="Antrats"/>
    <w:rsid w:val="008A1C92"/>
    <w:rPr>
      <w:rFonts w:ascii="Times New Roman" w:eastAsia="Times New Roman" w:hAnsi="Times New Roman" w:cs="Times New Roman"/>
      <w:szCs w:val="20"/>
    </w:rPr>
  </w:style>
  <w:style w:type="paragraph" w:styleId="Pagrindiniotekstotrauka">
    <w:name w:val="Body Text Indent"/>
    <w:basedOn w:val="prastasis"/>
    <w:link w:val="PagrindiniotekstotraukaDiagrama"/>
    <w:rsid w:val="008A1C92"/>
    <w:pPr>
      <w:tabs>
        <w:tab w:val="left" w:pos="567"/>
      </w:tabs>
      <w:ind w:left="720"/>
    </w:pPr>
  </w:style>
  <w:style w:type="character" w:customStyle="1" w:styleId="PagrindiniotekstotraukaDiagrama">
    <w:name w:val="Pagrindinio teksto įtrauka Diagrama"/>
    <w:basedOn w:val="Numatytasispastraiposriftas"/>
    <w:link w:val="Pagrindiniotekstotrauka"/>
    <w:rsid w:val="008A1C92"/>
    <w:rPr>
      <w:rFonts w:ascii="Times New Roman" w:eastAsia="Times New Roman" w:hAnsi="Times New Roman" w:cs="Times New Roman"/>
      <w:szCs w:val="20"/>
    </w:rPr>
  </w:style>
  <w:style w:type="paragraph" w:styleId="Pagrindinistekstas">
    <w:name w:val="Body Text"/>
    <w:basedOn w:val="prastasis"/>
    <w:link w:val="PagrindinistekstasDiagrama"/>
    <w:rsid w:val="008A1C92"/>
    <w:pPr>
      <w:spacing w:after="120"/>
    </w:pPr>
    <w:rPr>
      <w:lang w:eastAsia="lt-LT"/>
    </w:rPr>
  </w:style>
  <w:style w:type="character" w:customStyle="1" w:styleId="PagrindinistekstasDiagrama">
    <w:name w:val="Pagrindinis tekstas Diagrama"/>
    <w:basedOn w:val="Numatytasispastraiposriftas"/>
    <w:link w:val="Pagrindinistekstas"/>
    <w:rsid w:val="008A1C92"/>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8A1C92"/>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8A1C92"/>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9546</Words>
  <Characters>5442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2019-01-10T11:30:00Z</dcterms:created>
  <dcterms:modified xsi:type="dcterms:W3CDTF">2019-01-10T11:31:00Z</dcterms:modified>
</cp:coreProperties>
</file>