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F" w:rsidRPr="00D717BD" w:rsidRDefault="002F558F" w:rsidP="002F558F">
      <w:pPr>
        <w:ind w:left="567" w:hanging="567"/>
        <w:jc w:val="center"/>
        <w:rPr>
          <w:b/>
          <w:iCs/>
          <w:sz w:val="22"/>
          <w:szCs w:val="22"/>
          <w:lang w:val="lt-LT"/>
        </w:rPr>
      </w:pPr>
      <w:r w:rsidRPr="00D717BD">
        <w:rPr>
          <w:b/>
          <w:iCs/>
          <w:sz w:val="22"/>
          <w:szCs w:val="22"/>
          <w:lang w:val="lt-LT"/>
        </w:rPr>
        <w:t>Pakuotės lapelis: informacija vartotojui</w:t>
      </w:r>
    </w:p>
    <w:p w:rsidR="002F558F" w:rsidRPr="00D717BD" w:rsidRDefault="002F558F" w:rsidP="002F558F">
      <w:pPr>
        <w:ind w:left="567" w:hanging="567"/>
        <w:jc w:val="center"/>
        <w:rPr>
          <w:sz w:val="22"/>
          <w:szCs w:val="22"/>
          <w:lang w:val="lt-LT"/>
        </w:rPr>
      </w:pPr>
    </w:p>
    <w:p w:rsidR="002F558F" w:rsidRPr="00D717BD" w:rsidRDefault="002F558F" w:rsidP="002F558F">
      <w:pPr>
        <w:jc w:val="center"/>
        <w:rPr>
          <w:b/>
          <w:bCs/>
          <w:sz w:val="22"/>
          <w:szCs w:val="22"/>
          <w:lang w:val="lt-LT"/>
        </w:rPr>
      </w:pPr>
      <w:r w:rsidRPr="00D717BD">
        <w:rPr>
          <w:b/>
          <w:bCs/>
          <w:sz w:val="22"/>
          <w:szCs w:val="22"/>
          <w:lang w:val="lt-LT"/>
        </w:rPr>
        <w:t>Panadol 24 mg/ml geriamoji suspensija kūdikiams ir vaikams</w:t>
      </w:r>
    </w:p>
    <w:p w:rsidR="002F558F" w:rsidRPr="00D717BD" w:rsidRDefault="002F558F" w:rsidP="002F558F">
      <w:pPr>
        <w:jc w:val="center"/>
        <w:rPr>
          <w:sz w:val="22"/>
          <w:szCs w:val="22"/>
          <w:lang w:val="lt-LT"/>
        </w:rPr>
      </w:pPr>
      <w:r w:rsidRPr="00D717BD">
        <w:rPr>
          <w:sz w:val="22"/>
          <w:szCs w:val="22"/>
          <w:lang w:val="lt-LT"/>
        </w:rPr>
        <w:t>paracetamolis</w:t>
      </w:r>
    </w:p>
    <w:p w:rsidR="002F558F" w:rsidRPr="00D717BD" w:rsidRDefault="002F558F" w:rsidP="002F558F">
      <w:pPr>
        <w:ind w:left="567" w:hanging="567"/>
        <w:jc w:val="center"/>
        <w:rPr>
          <w:sz w:val="22"/>
          <w:szCs w:val="22"/>
          <w:lang w:val="lt-LT"/>
        </w:rPr>
      </w:pPr>
    </w:p>
    <w:p w:rsidR="002F558F" w:rsidRPr="00D717BD" w:rsidRDefault="002F558F" w:rsidP="002F558F">
      <w:pPr>
        <w:numPr>
          <w:ilvl w:val="12"/>
          <w:numId w:val="0"/>
        </w:numPr>
        <w:ind w:right="-2"/>
        <w:rPr>
          <w:b/>
          <w:snapToGrid w:val="0"/>
          <w:sz w:val="22"/>
          <w:szCs w:val="22"/>
          <w:lang w:val="lt-LT"/>
        </w:rPr>
      </w:pPr>
      <w:r w:rsidRPr="00D717BD">
        <w:rPr>
          <w:b/>
          <w:noProof/>
          <w:snapToGrid w:val="0"/>
          <w:sz w:val="22"/>
          <w:szCs w:val="22"/>
          <w:lang w:val="lt-LT"/>
        </w:rPr>
        <w:t>Atidžiai perskaitykite visą šį lapelį, prieš pradėdami vartoti šį vaistą, nes jame pateikiama Jums svarbi informacija.</w:t>
      </w:r>
    </w:p>
    <w:p w:rsidR="002F558F" w:rsidRPr="00D717BD" w:rsidRDefault="002F558F" w:rsidP="002F558F">
      <w:pPr>
        <w:numPr>
          <w:ilvl w:val="12"/>
          <w:numId w:val="0"/>
        </w:numPr>
        <w:rPr>
          <w:snapToGrid w:val="0"/>
          <w:sz w:val="22"/>
          <w:szCs w:val="22"/>
          <w:lang w:val="lt-LT"/>
        </w:rPr>
      </w:pPr>
      <w:r w:rsidRPr="00D717BD">
        <w:rPr>
          <w:noProof/>
          <w:snapToGrid w:val="0"/>
          <w:sz w:val="22"/>
          <w:szCs w:val="22"/>
          <w:lang w:val="lt-LT"/>
        </w:rPr>
        <w:t>Visada vartokite šį vaistą tiksliai kaip aprašyta šiame lapelyje arba kaip nurodė gydytojas arba vaistininkas.</w:t>
      </w:r>
    </w:p>
    <w:p w:rsidR="002F558F" w:rsidRPr="00D717BD" w:rsidRDefault="002F558F" w:rsidP="002F558F">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Neišmeskite šio lapelio, nes vėl gali prireikti jį perskaityti.</w:t>
      </w:r>
      <w:r w:rsidRPr="00D717BD">
        <w:rPr>
          <w:snapToGrid w:val="0"/>
          <w:sz w:val="22"/>
          <w:szCs w:val="22"/>
          <w:lang w:val="lt-LT"/>
        </w:rPr>
        <w:t xml:space="preserve"> </w:t>
      </w:r>
    </w:p>
    <w:p w:rsidR="002F558F" w:rsidRPr="00D717BD" w:rsidRDefault="002F558F" w:rsidP="002F558F">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Jeigu norite sužinoti daugiau arba pasitarti, kreipkitės į vaistininką.</w:t>
      </w:r>
    </w:p>
    <w:p w:rsidR="002F558F" w:rsidRPr="00D717BD" w:rsidRDefault="002F558F" w:rsidP="002F558F">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Jeigu pasireiškė šalutinis poveikis (net jeigu jis šiame lapelyje nenurodytas), kreipkitės į gydytoją arba vaistininką. Žr. 4 skyrių.</w:t>
      </w:r>
    </w:p>
    <w:p w:rsidR="002F558F" w:rsidRPr="00D717BD" w:rsidRDefault="002F558F" w:rsidP="002F558F">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Jeigu per 3 dienas Jūsų vaiko savijauta nepagerėjo arba net pablogėjo, kreipkitės į gydytoją.</w:t>
      </w:r>
    </w:p>
    <w:p w:rsidR="002F558F" w:rsidRPr="00D717BD" w:rsidRDefault="002F558F" w:rsidP="002F558F">
      <w:pPr>
        <w:pStyle w:val="BTEMEASMCA"/>
        <w:rPr>
          <w:sz w:val="22"/>
          <w:szCs w:val="22"/>
        </w:rPr>
      </w:pPr>
    </w:p>
    <w:p w:rsidR="002F558F" w:rsidRPr="00D717BD" w:rsidRDefault="002F558F" w:rsidP="002F558F">
      <w:pPr>
        <w:keepNext/>
        <w:tabs>
          <w:tab w:val="left" w:pos="567"/>
        </w:tabs>
        <w:spacing w:line="260" w:lineRule="exact"/>
        <w:jc w:val="both"/>
        <w:outlineLvl w:val="3"/>
        <w:rPr>
          <w:b/>
          <w:bCs/>
          <w:snapToGrid w:val="0"/>
          <w:sz w:val="22"/>
          <w:szCs w:val="22"/>
          <w:lang w:val="lt-LT" w:eastAsia="x-none"/>
        </w:rPr>
      </w:pPr>
      <w:r w:rsidRPr="00D717BD">
        <w:rPr>
          <w:b/>
          <w:bCs/>
          <w:snapToGrid w:val="0"/>
          <w:sz w:val="22"/>
          <w:szCs w:val="22"/>
          <w:lang w:val="lt-LT" w:eastAsia="x-none"/>
        </w:rPr>
        <w:t>Apie ką rašoma šiame lapelyje?</w:t>
      </w:r>
    </w:p>
    <w:p w:rsidR="002F558F" w:rsidRPr="00D717BD" w:rsidRDefault="002F558F" w:rsidP="002F558F">
      <w:pPr>
        <w:keepNext/>
        <w:tabs>
          <w:tab w:val="left" w:pos="567"/>
        </w:tabs>
        <w:spacing w:line="260" w:lineRule="exact"/>
        <w:jc w:val="both"/>
        <w:outlineLvl w:val="3"/>
        <w:rPr>
          <w:b/>
          <w:bCs/>
          <w:snapToGrid w:val="0"/>
          <w:sz w:val="22"/>
          <w:szCs w:val="22"/>
          <w:lang w:val="lt-LT" w:eastAsia="x-none"/>
        </w:rPr>
      </w:pPr>
    </w:p>
    <w:p w:rsidR="002F558F" w:rsidRPr="00D717BD" w:rsidRDefault="002F558F" w:rsidP="002F558F">
      <w:pPr>
        <w:tabs>
          <w:tab w:val="left" w:pos="567"/>
        </w:tabs>
        <w:rPr>
          <w:sz w:val="22"/>
          <w:szCs w:val="22"/>
          <w:lang w:val="lt-LT"/>
        </w:rPr>
      </w:pPr>
      <w:r w:rsidRPr="00D717BD">
        <w:rPr>
          <w:sz w:val="22"/>
          <w:szCs w:val="22"/>
          <w:lang w:val="lt-LT"/>
        </w:rPr>
        <w:t>1.</w:t>
      </w:r>
      <w:r w:rsidRPr="00D717BD">
        <w:rPr>
          <w:sz w:val="22"/>
          <w:szCs w:val="22"/>
          <w:lang w:val="lt-LT"/>
        </w:rPr>
        <w:tab/>
        <w:t>Kas yra Panadol ir kam jis vartojamas</w:t>
      </w:r>
    </w:p>
    <w:p w:rsidR="002F558F" w:rsidRPr="00D717BD" w:rsidRDefault="002F558F" w:rsidP="002F558F">
      <w:pPr>
        <w:tabs>
          <w:tab w:val="left" w:pos="567"/>
        </w:tabs>
        <w:rPr>
          <w:sz w:val="22"/>
          <w:szCs w:val="22"/>
          <w:lang w:val="lt-LT"/>
        </w:rPr>
      </w:pPr>
      <w:r w:rsidRPr="00D717BD">
        <w:rPr>
          <w:sz w:val="22"/>
          <w:szCs w:val="22"/>
          <w:lang w:val="lt-LT"/>
        </w:rPr>
        <w:t>2.</w:t>
      </w:r>
      <w:r w:rsidRPr="00D717BD">
        <w:rPr>
          <w:sz w:val="22"/>
          <w:szCs w:val="22"/>
          <w:lang w:val="lt-LT"/>
        </w:rPr>
        <w:tab/>
        <w:t>Kas žinotina prieš vartojant Panadol</w:t>
      </w:r>
    </w:p>
    <w:p w:rsidR="002F558F" w:rsidRPr="00D717BD" w:rsidRDefault="002F558F" w:rsidP="002F558F">
      <w:pPr>
        <w:tabs>
          <w:tab w:val="left" w:pos="567"/>
        </w:tabs>
        <w:rPr>
          <w:sz w:val="22"/>
          <w:szCs w:val="22"/>
          <w:lang w:val="lt-LT"/>
        </w:rPr>
      </w:pPr>
      <w:r w:rsidRPr="00D717BD">
        <w:rPr>
          <w:sz w:val="22"/>
          <w:szCs w:val="22"/>
          <w:lang w:val="lt-LT"/>
        </w:rPr>
        <w:t>3.</w:t>
      </w:r>
      <w:r w:rsidRPr="00D717BD">
        <w:rPr>
          <w:sz w:val="22"/>
          <w:szCs w:val="22"/>
          <w:lang w:val="lt-LT"/>
        </w:rPr>
        <w:tab/>
        <w:t xml:space="preserve">Kaip vartoti Panadol </w:t>
      </w:r>
    </w:p>
    <w:p w:rsidR="002F558F" w:rsidRPr="00D717BD" w:rsidRDefault="002F558F" w:rsidP="002F558F">
      <w:pPr>
        <w:tabs>
          <w:tab w:val="left" w:pos="567"/>
        </w:tabs>
        <w:rPr>
          <w:sz w:val="22"/>
          <w:szCs w:val="22"/>
          <w:lang w:val="lt-LT"/>
        </w:rPr>
      </w:pPr>
      <w:r w:rsidRPr="00D717BD">
        <w:rPr>
          <w:sz w:val="22"/>
          <w:szCs w:val="22"/>
          <w:lang w:val="lt-LT"/>
        </w:rPr>
        <w:t>4.</w:t>
      </w:r>
      <w:r w:rsidRPr="00D717BD">
        <w:rPr>
          <w:sz w:val="22"/>
          <w:szCs w:val="22"/>
          <w:lang w:val="lt-LT"/>
        </w:rPr>
        <w:tab/>
        <w:t>Galimas šalutinis poveikis</w:t>
      </w:r>
    </w:p>
    <w:p w:rsidR="002F558F" w:rsidRPr="00D717BD" w:rsidRDefault="002F558F" w:rsidP="002F558F">
      <w:pPr>
        <w:tabs>
          <w:tab w:val="left" w:pos="567"/>
        </w:tabs>
        <w:rPr>
          <w:sz w:val="22"/>
          <w:szCs w:val="22"/>
          <w:lang w:val="lt-LT"/>
        </w:rPr>
      </w:pPr>
      <w:r w:rsidRPr="00D717BD">
        <w:rPr>
          <w:sz w:val="22"/>
          <w:szCs w:val="22"/>
          <w:lang w:val="lt-LT"/>
        </w:rPr>
        <w:t>5.</w:t>
      </w:r>
      <w:r w:rsidRPr="00D717BD">
        <w:rPr>
          <w:sz w:val="22"/>
          <w:szCs w:val="22"/>
          <w:lang w:val="lt-LT"/>
        </w:rPr>
        <w:tab/>
        <w:t xml:space="preserve">Kaip laikyti Panadol </w:t>
      </w:r>
    </w:p>
    <w:p w:rsidR="002F558F" w:rsidRPr="00D717BD" w:rsidRDefault="002F558F" w:rsidP="002F558F">
      <w:pPr>
        <w:tabs>
          <w:tab w:val="left" w:pos="540"/>
        </w:tabs>
        <w:rPr>
          <w:sz w:val="22"/>
          <w:szCs w:val="22"/>
          <w:lang w:val="lt-LT"/>
        </w:rPr>
      </w:pPr>
      <w:r w:rsidRPr="00D717BD">
        <w:rPr>
          <w:sz w:val="22"/>
          <w:szCs w:val="22"/>
          <w:lang w:val="lt-LT"/>
        </w:rPr>
        <w:t>6.</w:t>
      </w:r>
      <w:r w:rsidRPr="00D717BD">
        <w:rPr>
          <w:sz w:val="22"/>
          <w:szCs w:val="22"/>
          <w:lang w:val="lt-LT"/>
        </w:rPr>
        <w:tab/>
      </w:r>
      <w:r w:rsidRPr="00D717BD">
        <w:rPr>
          <w:noProof/>
          <w:sz w:val="22"/>
          <w:szCs w:val="22"/>
          <w:lang w:val="lt-LT"/>
        </w:rPr>
        <w:t>Pakuotės turinys ir kita informacija</w:t>
      </w:r>
    </w:p>
    <w:p w:rsidR="002F558F" w:rsidRPr="00D717BD" w:rsidRDefault="002F558F" w:rsidP="002F558F">
      <w:pPr>
        <w:ind w:left="567" w:hanging="567"/>
        <w:rPr>
          <w:sz w:val="22"/>
          <w:szCs w:val="22"/>
          <w:lang w:val="lt-LT"/>
        </w:rPr>
      </w:pPr>
    </w:p>
    <w:p w:rsidR="002F558F" w:rsidRPr="00D717BD" w:rsidRDefault="002F558F" w:rsidP="002F558F">
      <w:pPr>
        <w:ind w:left="567" w:hanging="567"/>
        <w:rPr>
          <w:b/>
          <w:sz w:val="22"/>
          <w:szCs w:val="22"/>
          <w:lang w:val="lt-LT"/>
        </w:rPr>
      </w:pPr>
    </w:p>
    <w:p w:rsidR="002F558F" w:rsidRPr="00D717BD" w:rsidRDefault="002F558F" w:rsidP="002F558F">
      <w:pPr>
        <w:tabs>
          <w:tab w:val="left" w:pos="567"/>
        </w:tabs>
        <w:rPr>
          <w:b/>
          <w:sz w:val="22"/>
          <w:szCs w:val="22"/>
          <w:lang w:val="lt-LT"/>
        </w:rPr>
      </w:pPr>
      <w:r w:rsidRPr="00D717BD">
        <w:rPr>
          <w:b/>
          <w:sz w:val="22"/>
          <w:szCs w:val="22"/>
          <w:lang w:val="lt-LT"/>
        </w:rPr>
        <w:t>1.</w:t>
      </w:r>
      <w:r w:rsidRPr="00D717BD">
        <w:rPr>
          <w:b/>
          <w:sz w:val="22"/>
          <w:szCs w:val="22"/>
          <w:lang w:val="lt-LT"/>
        </w:rPr>
        <w:tab/>
        <w:t>Kas yra Panadol ir kam jis vartojamas</w:t>
      </w:r>
    </w:p>
    <w:p w:rsidR="002F558F" w:rsidRPr="00D717BD" w:rsidRDefault="002F558F" w:rsidP="002F558F">
      <w:pPr>
        <w:rPr>
          <w:b/>
          <w:bCs/>
          <w:sz w:val="22"/>
          <w:szCs w:val="22"/>
          <w:lang w:val="lt-LT"/>
        </w:rPr>
      </w:pPr>
    </w:p>
    <w:p w:rsidR="002F558F" w:rsidRPr="00D717BD" w:rsidRDefault="002F558F" w:rsidP="002F558F">
      <w:pPr>
        <w:rPr>
          <w:sz w:val="22"/>
          <w:szCs w:val="22"/>
          <w:lang w:val="lt-LT"/>
        </w:rPr>
      </w:pPr>
      <w:r w:rsidRPr="00D717BD">
        <w:rPr>
          <w:sz w:val="22"/>
          <w:szCs w:val="22"/>
          <w:lang w:val="lt-LT"/>
        </w:rPr>
        <w:t>Suspensijoje yra paracetamolio, kuris malšina skausmą ir mažina karščiavimą.</w:t>
      </w:r>
    </w:p>
    <w:p w:rsidR="002F558F" w:rsidRPr="00D717BD" w:rsidRDefault="002F558F" w:rsidP="002F558F">
      <w:pPr>
        <w:rPr>
          <w:bCs/>
          <w:sz w:val="22"/>
          <w:szCs w:val="22"/>
          <w:lang w:val="lt-LT"/>
        </w:rPr>
      </w:pPr>
    </w:p>
    <w:p w:rsidR="002F558F" w:rsidRPr="00D717BD" w:rsidRDefault="002F558F" w:rsidP="002F558F">
      <w:pPr>
        <w:rPr>
          <w:sz w:val="22"/>
          <w:szCs w:val="22"/>
          <w:lang w:val="lt-LT"/>
        </w:rPr>
      </w:pPr>
      <w:r w:rsidRPr="00D717BD">
        <w:rPr>
          <w:bCs/>
          <w:sz w:val="22"/>
          <w:szCs w:val="22"/>
          <w:lang w:val="lt-LT"/>
        </w:rPr>
        <w:t>Panadol suspensija skirta</w:t>
      </w:r>
      <w:r w:rsidRPr="00D717BD">
        <w:rPr>
          <w:sz w:val="22"/>
          <w:szCs w:val="22"/>
          <w:lang w:val="lt-LT"/>
        </w:rPr>
        <w:t xml:space="preserve"> silpno ir vidutinio stiprumo skausmo malšinimui, karščiavimo mažinimui.</w:t>
      </w:r>
    </w:p>
    <w:p w:rsidR="002F558F" w:rsidRPr="00D717BD" w:rsidRDefault="002F558F" w:rsidP="002F558F">
      <w:pPr>
        <w:rPr>
          <w:sz w:val="22"/>
          <w:szCs w:val="22"/>
          <w:lang w:val="lt-LT"/>
        </w:rPr>
      </w:pPr>
      <w:r w:rsidRPr="00D717BD">
        <w:rPr>
          <w:sz w:val="22"/>
          <w:szCs w:val="22"/>
          <w:lang w:val="lt-LT"/>
        </w:rPr>
        <w:t>Vaistas skirtas vartoti vaikams nuo 1 mėnesio iki 12 metų.</w:t>
      </w:r>
    </w:p>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Jei 1-3 mėn. kūdikiui karščiavimas tęsiasi daugiau nei 24 valandas reikia kreiptis į gydytoją.</w:t>
      </w:r>
    </w:p>
    <w:p w:rsidR="002F558F" w:rsidRPr="00D717BD" w:rsidRDefault="002F558F" w:rsidP="002F558F">
      <w:pPr>
        <w:rPr>
          <w:sz w:val="22"/>
          <w:szCs w:val="22"/>
          <w:lang w:val="lt-LT"/>
        </w:rPr>
      </w:pPr>
    </w:p>
    <w:p w:rsidR="002F558F" w:rsidRPr="00D717BD" w:rsidRDefault="002F558F" w:rsidP="002F558F">
      <w:pPr>
        <w:pStyle w:val="Komentarotekstas"/>
        <w:rPr>
          <w:sz w:val="22"/>
          <w:szCs w:val="22"/>
          <w:lang w:val="lt-LT"/>
        </w:rPr>
      </w:pPr>
      <w:r w:rsidRPr="00D717BD">
        <w:rPr>
          <w:sz w:val="22"/>
          <w:szCs w:val="22"/>
          <w:lang w:val="lt-LT"/>
        </w:rPr>
        <w:t>Jei malšinant vakcinacijos sukeltą karščiavimą prireikia antros dozės, tarp dozių turi būti paliktas bent 4 valandų tarpas. Jei karščiavimas nepraeina ir po antros dozės, reikia kreiptis į gydytoją.</w:t>
      </w:r>
    </w:p>
    <w:p w:rsidR="002F558F" w:rsidRPr="00D717BD" w:rsidRDefault="002F558F" w:rsidP="002F558F">
      <w:pPr>
        <w:pStyle w:val="Komentarotekstas"/>
        <w:rPr>
          <w:sz w:val="22"/>
          <w:szCs w:val="22"/>
          <w:lang w:val="lt-LT"/>
        </w:rPr>
      </w:pPr>
    </w:p>
    <w:p w:rsidR="002F558F" w:rsidRPr="00D717BD" w:rsidRDefault="002F558F" w:rsidP="002F558F">
      <w:pPr>
        <w:pStyle w:val="Komentarotekstas"/>
        <w:rPr>
          <w:sz w:val="22"/>
          <w:szCs w:val="22"/>
          <w:lang w:val="lt-LT"/>
        </w:rPr>
      </w:pPr>
      <w:r w:rsidRPr="00D717BD">
        <w:rPr>
          <w:sz w:val="22"/>
          <w:szCs w:val="22"/>
          <w:lang w:val="lt-LT"/>
        </w:rPr>
        <w:t>Jeigu per 3 dienas Jūsų vyresnio nei 3 mėnesių kūdikio-12 metų vaiko savijauta nepagerėjo arba net pablogėjo, kreipkitės į gydytoją.</w:t>
      </w:r>
    </w:p>
    <w:p w:rsidR="002F558F" w:rsidRPr="00D717BD" w:rsidRDefault="002F558F" w:rsidP="002F558F">
      <w:pPr>
        <w:rPr>
          <w:sz w:val="22"/>
          <w:szCs w:val="22"/>
          <w:lang w:val="lt-LT"/>
        </w:rPr>
      </w:pPr>
    </w:p>
    <w:p w:rsidR="002F558F" w:rsidRPr="00D717BD" w:rsidRDefault="002F558F" w:rsidP="002F558F">
      <w:pPr>
        <w:jc w:val="both"/>
        <w:rPr>
          <w:b/>
          <w:bCs/>
          <w:sz w:val="22"/>
          <w:szCs w:val="22"/>
          <w:lang w:val="lt-LT"/>
        </w:rPr>
      </w:pPr>
    </w:p>
    <w:p w:rsidR="002F558F" w:rsidRPr="00D717BD" w:rsidRDefault="002F558F" w:rsidP="002F558F">
      <w:pPr>
        <w:tabs>
          <w:tab w:val="left" w:pos="567"/>
        </w:tabs>
        <w:rPr>
          <w:b/>
          <w:sz w:val="22"/>
          <w:szCs w:val="22"/>
          <w:lang w:val="lt-LT"/>
        </w:rPr>
      </w:pPr>
      <w:r w:rsidRPr="00D717BD">
        <w:rPr>
          <w:b/>
          <w:sz w:val="22"/>
          <w:szCs w:val="22"/>
          <w:lang w:val="lt-LT"/>
        </w:rPr>
        <w:t>2.</w:t>
      </w:r>
      <w:r w:rsidRPr="00D717BD">
        <w:rPr>
          <w:b/>
          <w:sz w:val="22"/>
          <w:szCs w:val="22"/>
          <w:lang w:val="lt-LT"/>
        </w:rPr>
        <w:tab/>
        <w:t>Kas žinotina prieš vartojant Panadol</w:t>
      </w:r>
    </w:p>
    <w:p w:rsidR="002F558F" w:rsidRPr="00D717BD" w:rsidRDefault="002F558F" w:rsidP="002F558F">
      <w:pPr>
        <w:ind w:left="567" w:hanging="567"/>
        <w:rPr>
          <w:sz w:val="22"/>
          <w:szCs w:val="22"/>
          <w:lang w:val="lt-LT"/>
        </w:rPr>
      </w:pPr>
    </w:p>
    <w:p w:rsidR="002F558F" w:rsidRPr="00D717BD" w:rsidRDefault="002F558F" w:rsidP="002F558F">
      <w:pPr>
        <w:ind w:left="567" w:hanging="567"/>
        <w:rPr>
          <w:b/>
          <w:sz w:val="22"/>
          <w:szCs w:val="22"/>
          <w:lang w:val="lt-LT"/>
        </w:rPr>
      </w:pPr>
      <w:r w:rsidRPr="00D717BD">
        <w:rPr>
          <w:b/>
          <w:sz w:val="22"/>
          <w:szCs w:val="22"/>
          <w:lang w:val="lt-LT"/>
        </w:rPr>
        <w:t>Panadol vartoti draudžiama</w:t>
      </w:r>
    </w:p>
    <w:p w:rsidR="002F558F" w:rsidRPr="00D717BD" w:rsidRDefault="002F558F" w:rsidP="002F558F">
      <w:pPr>
        <w:numPr>
          <w:ilvl w:val="0"/>
          <w:numId w:val="1"/>
        </w:numPr>
        <w:tabs>
          <w:tab w:val="clear" w:pos="1080"/>
          <w:tab w:val="num" w:pos="540"/>
        </w:tabs>
        <w:ind w:left="540" w:hanging="540"/>
        <w:rPr>
          <w:sz w:val="22"/>
          <w:szCs w:val="22"/>
          <w:lang w:val="lt-LT"/>
        </w:rPr>
      </w:pPr>
      <w:r w:rsidRPr="00D717BD">
        <w:rPr>
          <w:sz w:val="22"/>
          <w:szCs w:val="22"/>
          <w:lang w:val="lt-LT"/>
        </w:rPr>
        <w:t>jeigu yra alergija veikliajai medžiagai arba bet kuriai pagalbinei šio vaisto medžiagai (jos išvardytos 6 skyriuje).</w:t>
      </w:r>
    </w:p>
    <w:p w:rsidR="002F558F" w:rsidRPr="00D717BD" w:rsidRDefault="002F558F" w:rsidP="002F558F">
      <w:pPr>
        <w:rPr>
          <w:sz w:val="22"/>
          <w:szCs w:val="22"/>
          <w:lang w:val="lt-LT"/>
        </w:rPr>
      </w:pPr>
    </w:p>
    <w:p w:rsidR="002F558F" w:rsidRPr="00D717BD" w:rsidRDefault="002F558F" w:rsidP="002F558F">
      <w:pPr>
        <w:rPr>
          <w:b/>
          <w:sz w:val="22"/>
          <w:szCs w:val="22"/>
          <w:lang w:val="lt-LT"/>
        </w:rPr>
      </w:pPr>
      <w:r w:rsidRPr="00D717BD">
        <w:rPr>
          <w:b/>
          <w:sz w:val="22"/>
          <w:szCs w:val="22"/>
          <w:lang w:val="lt-LT"/>
        </w:rPr>
        <w:t xml:space="preserve">Įspėjimai ir atsargumo priemonės </w:t>
      </w:r>
    </w:p>
    <w:p w:rsidR="002F558F" w:rsidRPr="00D717BD" w:rsidRDefault="002F558F" w:rsidP="002F558F">
      <w:pPr>
        <w:rPr>
          <w:sz w:val="22"/>
          <w:szCs w:val="22"/>
          <w:lang w:val="lt-LT"/>
        </w:rPr>
      </w:pPr>
      <w:r w:rsidRPr="00D717BD">
        <w:rPr>
          <w:sz w:val="22"/>
          <w:szCs w:val="22"/>
          <w:lang w:val="lt-LT"/>
        </w:rPr>
        <w:t>Per didelis paracetamolio vartojimas gali sukelti sunkų kepenų pažeidimą.</w:t>
      </w:r>
    </w:p>
    <w:p w:rsidR="002F558F" w:rsidRPr="00D717BD" w:rsidRDefault="002F558F" w:rsidP="002F558F">
      <w:pPr>
        <w:rPr>
          <w:sz w:val="22"/>
          <w:szCs w:val="22"/>
          <w:lang w:val="lt-LT"/>
        </w:rPr>
      </w:pPr>
      <w:r w:rsidRPr="00D717BD">
        <w:rPr>
          <w:sz w:val="22"/>
          <w:szCs w:val="22"/>
          <w:lang w:val="lt-LT"/>
        </w:rPr>
        <w:t xml:space="preserve">Nevartokite šio vaisto, jei vartojate kitų receptinių ar nereceptinių vaistų, kurių sudėtyje yra paracetamolio, skirtų gydyti skausmą, karščiavimą, peršalimo ir gripo simptomus ar gerinančių miegą. </w:t>
      </w:r>
    </w:p>
    <w:p w:rsidR="002F558F" w:rsidRPr="00D717BD" w:rsidRDefault="002F558F" w:rsidP="002F558F">
      <w:pPr>
        <w:tabs>
          <w:tab w:val="left" w:pos="567"/>
        </w:tabs>
        <w:rPr>
          <w:sz w:val="22"/>
          <w:szCs w:val="22"/>
          <w:lang w:val="lt-LT"/>
        </w:rPr>
      </w:pPr>
      <w:r w:rsidRPr="00D717BD">
        <w:rPr>
          <w:sz w:val="22"/>
          <w:szCs w:val="22"/>
          <w:lang w:val="lt-LT"/>
        </w:rPr>
        <w:t>Visada perskaitykite vaisto pakuotės lapelį.</w:t>
      </w:r>
    </w:p>
    <w:p w:rsidR="002F558F" w:rsidRPr="00D717BD" w:rsidRDefault="002F558F" w:rsidP="002F558F">
      <w:pPr>
        <w:rPr>
          <w:sz w:val="22"/>
          <w:szCs w:val="22"/>
          <w:lang w:val="lt-LT"/>
        </w:rPr>
      </w:pPr>
      <w:r w:rsidRPr="00D717BD">
        <w:rPr>
          <w:noProof/>
          <w:sz w:val="22"/>
          <w:szCs w:val="22"/>
          <w:lang w:val="lt-LT"/>
        </w:rPr>
        <w:t>Pasitarkite su gydytoju arba vaistininku, prieš pradėdami vartoti Panadol</w:t>
      </w:r>
      <w:r w:rsidRPr="00D717BD">
        <w:rPr>
          <w:sz w:val="22"/>
          <w:szCs w:val="22"/>
          <w:lang w:val="lt-LT"/>
        </w:rPr>
        <w:t>:</w:t>
      </w:r>
    </w:p>
    <w:p w:rsidR="002F558F" w:rsidRPr="00D717BD" w:rsidRDefault="002F558F" w:rsidP="002F558F">
      <w:pPr>
        <w:numPr>
          <w:ilvl w:val="0"/>
          <w:numId w:val="1"/>
        </w:numPr>
        <w:tabs>
          <w:tab w:val="clear" w:pos="1080"/>
          <w:tab w:val="num" w:pos="540"/>
        </w:tabs>
        <w:ind w:left="540" w:hanging="540"/>
        <w:rPr>
          <w:sz w:val="22"/>
          <w:szCs w:val="22"/>
          <w:lang w:val="lt-LT"/>
        </w:rPr>
      </w:pPr>
      <w:r w:rsidRPr="00D717BD">
        <w:rPr>
          <w:sz w:val="22"/>
          <w:szCs w:val="22"/>
          <w:lang w:val="lt-LT"/>
        </w:rPr>
        <w:t>jei Jūsų vaikas serga sunkia kepenų liga;</w:t>
      </w:r>
    </w:p>
    <w:p w:rsidR="002F558F" w:rsidRPr="00D717BD" w:rsidRDefault="002F558F" w:rsidP="002F558F">
      <w:pPr>
        <w:numPr>
          <w:ilvl w:val="0"/>
          <w:numId w:val="1"/>
        </w:numPr>
        <w:tabs>
          <w:tab w:val="clear" w:pos="1080"/>
          <w:tab w:val="num" w:pos="540"/>
        </w:tabs>
        <w:ind w:left="540" w:hanging="540"/>
        <w:rPr>
          <w:sz w:val="22"/>
          <w:szCs w:val="22"/>
          <w:lang w:val="lt-LT"/>
        </w:rPr>
      </w:pPr>
      <w:r w:rsidRPr="00D717BD">
        <w:rPr>
          <w:sz w:val="22"/>
          <w:szCs w:val="22"/>
          <w:lang w:val="lt-LT"/>
        </w:rPr>
        <w:t xml:space="preserve">jeigu Jūsų vaikas serga sunkiomis ligomis, įskaitant sunkius inkstų funkcijos sutrikimus arba sepsį (kai į kraują patekus bakterijų ir jų toksinų pažeidžiami organai), yra per mažo svorio ar netinkamai maitinamas, arba jei vartoja kitų vaistų, įskaitant ir flukloksacilino (antibiotiko). </w:t>
      </w:r>
      <w:r w:rsidRPr="00D717BD">
        <w:rPr>
          <w:sz w:val="22"/>
          <w:szCs w:val="22"/>
          <w:lang w:val="lt-LT"/>
        </w:rPr>
        <w:lastRenderedPageBreak/>
        <w:t>Gauta pranešimų apie sunkų sveikatos sutrikimą, vadinamą metaboline acidoze (nenormalių kraujo ir skysčių tyrimų rodiklių), pasireiškusį pacientams, vartojantiems paracetamolio įprastinėmis dozėmis ilgą laiką arba kai paracetamolis vartojamas kartu su flukloksacilinu. Metabolinės acidozės simptomai gali būti šie: labai pasunkėjęs kvėpavimas – pagreitėjęs kvėpavimas, mieguistumas, pykinimas ir vėmimas.</w:t>
      </w:r>
    </w:p>
    <w:p w:rsidR="002F558F" w:rsidRPr="00D717BD" w:rsidRDefault="002F558F" w:rsidP="002F558F">
      <w:pPr>
        <w:pStyle w:val="Spalvotassraas1parykinimas1"/>
        <w:rPr>
          <w:sz w:val="22"/>
          <w:szCs w:val="22"/>
          <w:lang w:val="lt-LT"/>
        </w:rPr>
      </w:pPr>
    </w:p>
    <w:p w:rsidR="002F558F" w:rsidRPr="00D717BD" w:rsidRDefault="002F558F" w:rsidP="002F558F">
      <w:pPr>
        <w:rPr>
          <w:sz w:val="22"/>
          <w:szCs w:val="22"/>
          <w:lang w:val="lt-LT"/>
        </w:rPr>
      </w:pPr>
      <w:r w:rsidRPr="00D717BD">
        <w:rPr>
          <w:sz w:val="22"/>
          <w:szCs w:val="22"/>
          <w:lang w:val="lt-LT"/>
        </w:rPr>
        <w:t>Jeigu Jūsų vaikui atsirado šių simptomų derinys, nedelsiant kreipkitės į gydytoją.</w:t>
      </w:r>
    </w:p>
    <w:p w:rsidR="002F558F" w:rsidRPr="00D717BD" w:rsidRDefault="002F558F" w:rsidP="002F558F">
      <w:pPr>
        <w:tabs>
          <w:tab w:val="left" w:pos="540"/>
        </w:tabs>
        <w:ind w:left="1080"/>
        <w:rPr>
          <w:sz w:val="22"/>
          <w:szCs w:val="22"/>
          <w:lang w:val="lt-LT"/>
        </w:rPr>
      </w:pPr>
    </w:p>
    <w:p w:rsidR="002F558F" w:rsidRPr="00D717BD" w:rsidRDefault="002F558F" w:rsidP="002F558F">
      <w:pPr>
        <w:tabs>
          <w:tab w:val="left" w:pos="540"/>
        </w:tabs>
        <w:rPr>
          <w:sz w:val="22"/>
          <w:szCs w:val="22"/>
          <w:lang w:val="lt-LT"/>
        </w:rPr>
      </w:pPr>
      <w:r w:rsidRPr="00D717BD">
        <w:rPr>
          <w:sz w:val="22"/>
          <w:szCs w:val="22"/>
          <w:lang w:val="lt-LT"/>
        </w:rPr>
        <w:t>Šiais atvejais prieš duodami vaikui Panadol suspensiją, pasikonsultuokite su gydytoju.</w:t>
      </w:r>
    </w:p>
    <w:p w:rsidR="002F558F" w:rsidRPr="00D717BD" w:rsidRDefault="002F558F" w:rsidP="002F558F">
      <w:pPr>
        <w:pStyle w:val="Pagrindinistekstas"/>
        <w:spacing w:after="0"/>
        <w:ind w:left="540" w:hanging="540"/>
        <w:rPr>
          <w:sz w:val="22"/>
          <w:szCs w:val="22"/>
        </w:rPr>
      </w:pPr>
      <w:r w:rsidRPr="00D717BD">
        <w:rPr>
          <w:sz w:val="22"/>
          <w:szCs w:val="22"/>
        </w:rPr>
        <w:t>Jeigu simptomai nepalengvėja, pasitarkite su gydytoju.</w:t>
      </w:r>
    </w:p>
    <w:p w:rsidR="002F558F" w:rsidRPr="00D717BD" w:rsidRDefault="002F558F" w:rsidP="002F558F">
      <w:pPr>
        <w:rPr>
          <w:sz w:val="22"/>
          <w:szCs w:val="22"/>
          <w:lang w:val="lt-LT"/>
        </w:rPr>
      </w:pPr>
    </w:p>
    <w:p w:rsidR="002F558F" w:rsidRPr="00D717BD" w:rsidRDefault="002F558F" w:rsidP="002F558F">
      <w:pPr>
        <w:ind w:left="567" w:hanging="567"/>
        <w:rPr>
          <w:b/>
          <w:sz w:val="22"/>
          <w:szCs w:val="22"/>
          <w:lang w:val="lt-LT"/>
        </w:rPr>
      </w:pPr>
      <w:r w:rsidRPr="00D717BD">
        <w:rPr>
          <w:b/>
          <w:sz w:val="22"/>
          <w:szCs w:val="22"/>
          <w:lang w:val="lt-LT"/>
        </w:rPr>
        <w:t>Kiti vaistai ir Panadol</w:t>
      </w:r>
    </w:p>
    <w:p w:rsidR="002F558F" w:rsidRPr="00D717BD" w:rsidRDefault="002F558F" w:rsidP="002F558F">
      <w:pPr>
        <w:pStyle w:val="Pagrindinistekstas"/>
        <w:spacing w:after="0"/>
        <w:rPr>
          <w:iCs/>
          <w:sz w:val="22"/>
          <w:szCs w:val="22"/>
        </w:rPr>
      </w:pPr>
      <w:r w:rsidRPr="00D717BD">
        <w:rPr>
          <w:sz w:val="22"/>
          <w:szCs w:val="22"/>
        </w:rPr>
        <w:t>Jeigu vartojate arba neseniai vartojote kitų vaistų arba dėl to nesate tikri, apie tai pasakykite gydytojui arba vaistininkui.</w:t>
      </w:r>
    </w:p>
    <w:p w:rsidR="002F558F" w:rsidRPr="00D717BD" w:rsidRDefault="002F558F" w:rsidP="002F558F">
      <w:pPr>
        <w:pStyle w:val="Pagrindinistekstas"/>
        <w:spacing w:after="0"/>
        <w:rPr>
          <w:iCs/>
          <w:sz w:val="22"/>
          <w:szCs w:val="22"/>
        </w:rPr>
      </w:pPr>
      <w:r w:rsidRPr="00D717BD">
        <w:rPr>
          <w:iCs/>
          <w:sz w:val="22"/>
          <w:szCs w:val="22"/>
        </w:rPr>
        <w:t>Šio vaisto negalima vartoti kartu su kitais vaistais, kurių sudėtyje yra paracetamolio.</w:t>
      </w:r>
    </w:p>
    <w:p w:rsidR="002F558F" w:rsidRPr="00D717BD" w:rsidRDefault="002F558F" w:rsidP="002F558F">
      <w:pPr>
        <w:pStyle w:val="Pagrindinistekstas"/>
        <w:spacing w:after="0"/>
        <w:rPr>
          <w:iCs/>
          <w:sz w:val="22"/>
          <w:szCs w:val="22"/>
        </w:rPr>
      </w:pPr>
      <w:r w:rsidRPr="00D717BD">
        <w:rPr>
          <w:iCs/>
          <w:sz w:val="22"/>
          <w:szCs w:val="22"/>
        </w:rPr>
        <w:t xml:space="preserve">Jei vartojate varfarino ar panašių vaistų, mažinančių kraujo krešėjimą, prieš vartojant šį vaistą, pasitarkite su gydytoju. </w:t>
      </w:r>
    </w:p>
    <w:p w:rsidR="002F558F" w:rsidRPr="00D717BD" w:rsidRDefault="002F558F" w:rsidP="002F558F">
      <w:pPr>
        <w:pStyle w:val="Pagrindinistekstas"/>
        <w:spacing w:after="0"/>
        <w:rPr>
          <w:iCs/>
          <w:sz w:val="22"/>
          <w:szCs w:val="22"/>
        </w:rPr>
      </w:pPr>
    </w:p>
    <w:p w:rsidR="002F558F" w:rsidRPr="00D717BD" w:rsidRDefault="002F558F" w:rsidP="002F558F">
      <w:pPr>
        <w:pStyle w:val="Pagrindinistekstas"/>
        <w:spacing w:after="0"/>
        <w:rPr>
          <w:iCs/>
          <w:sz w:val="22"/>
          <w:szCs w:val="22"/>
        </w:rPr>
      </w:pPr>
      <w:r w:rsidRPr="00D717BD">
        <w:rPr>
          <w:sz w:val="22"/>
          <w:szCs w:val="22"/>
        </w:rPr>
        <w:t>Pasakykite gydytojui arba vaistininkui, jeigu Jūsų vaikas vartoja flukloksacilino (antibiotiko) dėl didelės kraujo ir skysčių sutrikimo (vadinamos metabolinės acidozės) rizikos (žr. 2 skyrių), kurią reikia skubiai gydyti.</w:t>
      </w:r>
    </w:p>
    <w:p w:rsidR="002F558F" w:rsidRPr="00D717BD" w:rsidRDefault="002F558F" w:rsidP="002F558F">
      <w:pPr>
        <w:pStyle w:val="Pagrindinistekstas"/>
        <w:spacing w:after="0"/>
        <w:rPr>
          <w:iCs/>
          <w:sz w:val="22"/>
          <w:szCs w:val="22"/>
        </w:rPr>
      </w:pPr>
    </w:p>
    <w:p w:rsidR="002F558F" w:rsidRPr="00D717BD" w:rsidRDefault="002F558F" w:rsidP="002F558F">
      <w:pPr>
        <w:pStyle w:val="Pagrindinistekstas"/>
        <w:spacing w:after="0"/>
        <w:rPr>
          <w:b/>
          <w:iCs/>
          <w:sz w:val="22"/>
          <w:szCs w:val="22"/>
        </w:rPr>
      </w:pPr>
      <w:r w:rsidRPr="00D717BD">
        <w:rPr>
          <w:b/>
          <w:iCs/>
          <w:sz w:val="22"/>
          <w:szCs w:val="22"/>
        </w:rPr>
        <w:t>Nėštumas ir žindymo laikotarpis</w:t>
      </w:r>
    </w:p>
    <w:p w:rsidR="002F558F" w:rsidRPr="00D717BD" w:rsidRDefault="002F558F" w:rsidP="002F558F">
      <w:pPr>
        <w:pStyle w:val="Pagrindinistekstas"/>
        <w:spacing w:after="0"/>
        <w:rPr>
          <w:noProof/>
          <w:sz w:val="22"/>
          <w:szCs w:val="22"/>
        </w:rPr>
      </w:pPr>
      <w:r w:rsidRPr="00D717BD">
        <w:rPr>
          <w:noProof/>
          <w:sz w:val="22"/>
          <w:szCs w:val="22"/>
        </w:rPr>
        <w:t>Informacija neaktuali.</w:t>
      </w:r>
    </w:p>
    <w:p w:rsidR="002F558F" w:rsidRPr="00D717BD" w:rsidRDefault="002F558F" w:rsidP="002F558F">
      <w:pPr>
        <w:pStyle w:val="Pagrindinistekstas"/>
        <w:spacing w:after="0"/>
        <w:rPr>
          <w:noProof/>
          <w:sz w:val="22"/>
          <w:szCs w:val="22"/>
        </w:rPr>
      </w:pPr>
    </w:p>
    <w:p w:rsidR="002F558F" w:rsidRPr="00D717BD" w:rsidRDefault="002F558F" w:rsidP="002F558F">
      <w:pPr>
        <w:pStyle w:val="Pagrindinistekstas"/>
        <w:spacing w:after="0"/>
        <w:rPr>
          <w:b/>
          <w:sz w:val="22"/>
          <w:szCs w:val="22"/>
        </w:rPr>
      </w:pPr>
      <w:r w:rsidRPr="00D717BD">
        <w:rPr>
          <w:b/>
          <w:sz w:val="22"/>
          <w:szCs w:val="22"/>
        </w:rPr>
        <w:t xml:space="preserve">Vairavimas ir mechanizmų valdymas </w:t>
      </w:r>
    </w:p>
    <w:p w:rsidR="002F558F" w:rsidRPr="00D717BD" w:rsidRDefault="002F558F" w:rsidP="002F558F">
      <w:pPr>
        <w:pStyle w:val="Pagrindinistekstas"/>
        <w:spacing w:after="0"/>
        <w:rPr>
          <w:iCs/>
          <w:sz w:val="22"/>
          <w:szCs w:val="22"/>
        </w:rPr>
      </w:pPr>
      <w:r w:rsidRPr="00D717BD">
        <w:rPr>
          <w:iCs/>
          <w:sz w:val="22"/>
          <w:szCs w:val="22"/>
        </w:rPr>
        <w:t>Panadol geriamoji suspensija kūdikiams ir vaikams gebėjimo vairuoti ir valdyti mechanizmus neveikia arba veikia nereikšmingai.</w:t>
      </w:r>
    </w:p>
    <w:p w:rsidR="002F558F" w:rsidRPr="00D717BD" w:rsidRDefault="002F558F" w:rsidP="002F558F">
      <w:pPr>
        <w:pStyle w:val="Pagrindinistekstas"/>
        <w:spacing w:after="0"/>
        <w:rPr>
          <w:iCs/>
          <w:sz w:val="22"/>
          <w:szCs w:val="22"/>
        </w:rPr>
      </w:pPr>
    </w:p>
    <w:p w:rsidR="002F558F" w:rsidRPr="00D717BD" w:rsidRDefault="002F558F" w:rsidP="002F558F">
      <w:pPr>
        <w:rPr>
          <w:noProof/>
          <w:sz w:val="22"/>
          <w:szCs w:val="22"/>
          <w:lang w:val="lt-LT"/>
        </w:rPr>
      </w:pPr>
      <w:r w:rsidRPr="00D717BD">
        <w:rPr>
          <w:b/>
          <w:iCs/>
          <w:sz w:val="22"/>
          <w:szCs w:val="22"/>
          <w:lang w:val="lt-LT"/>
        </w:rPr>
        <w:t>Panadol sudėtyje yra skystojo maltitolio (E965), skystojo sorbitolio 70 % (E420) (nesikristalizuojančio) ir metilo, propilo parahidroksibenzoato (E218, E216) ir natrio</w:t>
      </w:r>
    </w:p>
    <w:p w:rsidR="002F558F" w:rsidRPr="00D717BD" w:rsidRDefault="002F558F" w:rsidP="002F558F">
      <w:pPr>
        <w:rPr>
          <w:sz w:val="22"/>
          <w:szCs w:val="22"/>
          <w:lang w:val="lt-LT"/>
        </w:rPr>
      </w:pPr>
      <w:r w:rsidRPr="00D717BD">
        <w:rPr>
          <w:sz w:val="22"/>
          <w:szCs w:val="22"/>
          <w:lang w:val="lt-LT"/>
        </w:rPr>
        <w:t>Vaisto sudėtyje yra maltitolio (E965). Jeigu gydytojas yra Jums sakęs, kad netoleruojate kokių nors angliavandenių, kreipkitės į jį prieš pradėdami vartoti šį vaistą.</w:t>
      </w:r>
    </w:p>
    <w:p w:rsidR="002F558F" w:rsidRPr="00D717BD" w:rsidRDefault="002F558F" w:rsidP="002F558F">
      <w:pPr>
        <w:autoSpaceDE w:val="0"/>
        <w:autoSpaceDN w:val="0"/>
        <w:adjustRightInd w:val="0"/>
        <w:rPr>
          <w:sz w:val="22"/>
          <w:szCs w:val="22"/>
          <w:lang w:val="lt-LT"/>
        </w:rPr>
      </w:pPr>
      <w:r w:rsidRPr="00D717BD">
        <w:rPr>
          <w:sz w:val="22"/>
          <w:szCs w:val="22"/>
          <w:lang w:val="lt-LT"/>
        </w:rPr>
        <w:t>Vaisto sudėtyje yra sorbitolio (E420). Kiekviename šio vaisto mililitre yra 150 mg sorbitolio.</w:t>
      </w:r>
    </w:p>
    <w:p w:rsidR="002F558F" w:rsidRPr="00D717BD" w:rsidRDefault="002F558F" w:rsidP="002F558F">
      <w:pPr>
        <w:autoSpaceDE w:val="0"/>
        <w:autoSpaceDN w:val="0"/>
        <w:adjustRightInd w:val="0"/>
        <w:rPr>
          <w:sz w:val="22"/>
          <w:szCs w:val="22"/>
          <w:lang w:val="lt-LT"/>
        </w:rPr>
      </w:pPr>
      <w:r w:rsidRPr="00D717BD">
        <w:rPr>
          <w:rFonts w:eastAsiaTheme="minorHAnsi"/>
          <w:sz w:val="22"/>
          <w:szCs w:val="22"/>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Pr="00D717BD">
        <w:rPr>
          <w:sz w:val="22"/>
          <w:szCs w:val="22"/>
          <w:lang w:val="lt-LT"/>
        </w:rPr>
        <w:t>.</w:t>
      </w:r>
    </w:p>
    <w:p w:rsidR="002F558F" w:rsidRPr="00D717BD" w:rsidRDefault="002F558F" w:rsidP="002F558F">
      <w:pPr>
        <w:rPr>
          <w:sz w:val="22"/>
          <w:szCs w:val="22"/>
          <w:lang w:val="lt-LT"/>
        </w:rPr>
      </w:pPr>
      <w:r w:rsidRPr="00D717BD">
        <w:rPr>
          <w:sz w:val="22"/>
          <w:szCs w:val="22"/>
          <w:lang w:val="lt-LT"/>
        </w:rPr>
        <w:t xml:space="preserve">Vaisto sudėtyje yra metilo, propilo parahidroksibenzoato (E218, E216). Gali sukelti alerginių reakcijų, kurios gali būti uždelstos. </w:t>
      </w:r>
    </w:p>
    <w:p w:rsidR="002F558F" w:rsidRPr="00D717BD" w:rsidRDefault="002F558F" w:rsidP="002F558F">
      <w:pPr>
        <w:rPr>
          <w:sz w:val="22"/>
          <w:szCs w:val="22"/>
          <w:lang w:val="lt-LT"/>
        </w:rPr>
      </w:pPr>
      <w:r w:rsidRPr="00D717BD">
        <w:rPr>
          <w:sz w:val="22"/>
          <w:szCs w:val="22"/>
          <w:lang w:val="lt-LT"/>
        </w:rPr>
        <w:t>Šio vaisto 1 mililitre yra mažiau kaip 1 mmol (23 mg) natrio, t.y. jis beveik neturi reikšmės.</w:t>
      </w:r>
    </w:p>
    <w:p w:rsidR="002F558F" w:rsidRPr="00D717BD" w:rsidRDefault="002F558F" w:rsidP="002F558F">
      <w:pPr>
        <w:pStyle w:val="Pagrindinistekstas"/>
        <w:spacing w:after="0"/>
        <w:rPr>
          <w:b/>
          <w:iCs/>
          <w:sz w:val="22"/>
          <w:szCs w:val="22"/>
        </w:rPr>
      </w:pPr>
    </w:p>
    <w:p w:rsidR="002F558F" w:rsidRPr="00D717BD" w:rsidRDefault="002F558F" w:rsidP="002F558F">
      <w:pPr>
        <w:rPr>
          <w:sz w:val="22"/>
          <w:szCs w:val="22"/>
          <w:lang w:val="lt-LT"/>
        </w:rPr>
      </w:pPr>
    </w:p>
    <w:p w:rsidR="002F558F" w:rsidRPr="00D717BD" w:rsidRDefault="002F558F" w:rsidP="002F558F">
      <w:pPr>
        <w:tabs>
          <w:tab w:val="left" w:pos="567"/>
        </w:tabs>
        <w:rPr>
          <w:b/>
          <w:sz w:val="22"/>
          <w:szCs w:val="22"/>
          <w:lang w:val="lt-LT"/>
        </w:rPr>
      </w:pPr>
      <w:r w:rsidRPr="00D717BD">
        <w:rPr>
          <w:b/>
          <w:sz w:val="22"/>
          <w:szCs w:val="22"/>
          <w:lang w:val="lt-LT"/>
        </w:rPr>
        <w:t>3.</w:t>
      </w:r>
      <w:r w:rsidRPr="00D717BD">
        <w:rPr>
          <w:b/>
          <w:sz w:val="22"/>
          <w:szCs w:val="22"/>
          <w:lang w:val="lt-LT"/>
        </w:rPr>
        <w:tab/>
        <w:t xml:space="preserve">Kaip vartoti Panadol </w:t>
      </w:r>
    </w:p>
    <w:p w:rsidR="002F558F" w:rsidRPr="00D717BD" w:rsidRDefault="002F558F" w:rsidP="002F558F">
      <w:pPr>
        <w:rPr>
          <w:b/>
          <w:sz w:val="22"/>
          <w:szCs w:val="22"/>
          <w:lang w:val="lt-LT"/>
        </w:rPr>
      </w:pPr>
    </w:p>
    <w:p w:rsidR="002F558F" w:rsidRPr="00D717BD" w:rsidRDefault="002F558F" w:rsidP="002F558F">
      <w:pPr>
        <w:rPr>
          <w:sz w:val="22"/>
          <w:szCs w:val="22"/>
          <w:lang w:val="lt-LT"/>
        </w:rPr>
      </w:pPr>
      <w:r w:rsidRPr="00D717BD">
        <w:rPr>
          <w:sz w:val="22"/>
          <w:szCs w:val="22"/>
          <w:lang w:val="lt-LT"/>
        </w:rPr>
        <w:t xml:space="preserve">Visada vartokite šį vaistą tiksliai </w:t>
      </w:r>
      <w:r w:rsidRPr="00D717BD">
        <w:rPr>
          <w:noProof/>
          <w:sz w:val="22"/>
          <w:szCs w:val="22"/>
          <w:lang w:val="lt-LT"/>
        </w:rPr>
        <w:t>kaip aprašyta šiame lapelyje arba</w:t>
      </w:r>
      <w:r w:rsidRPr="00D717BD">
        <w:rPr>
          <w:sz w:val="22"/>
          <w:szCs w:val="22"/>
          <w:lang w:val="lt-LT"/>
        </w:rPr>
        <w:t xml:space="preserve"> kaip nurodė gydytojas. Jeigu abejojate, kreipkitės į gydytoją arba vaistininką.</w:t>
      </w:r>
    </w:p>
    <w:p w:rsidR="002F558F" w:rsidRPr="00D717BD" w:rsidRDefault="002F558F" w:rsidP="002F558F">
      <w:pPr>
        <w:rPr>
          <w:sz w:val="22"/>
          <w:szCs w:val="22"/>
          <w:lang w:val="lt-LT"/>
        </w:rPr>
      </w:pPr>
      <w:r w:rsidRPr="00D717BD">
        <w:rPr>
          <w:sz w:val="22"/>
          <w:szCs w:val="22"/>
          <w:lang w:val="lt-LT"/>
        </w:rPr>
        <w:t>Neviršykite rekomenduojamos dozės.</w:t>
      </w:r>
    </w:p>
    <w:p w:rsidR="002F558F" w:rsidRPr="00D717BD" w:rsidRDefault="002F558F" w:rsidP="002F558F">
      <w:pPr>
        <w:rPr>
          <w:sz w:val="22"/>
          <w:szCs w:val="22"/>
          <w:lang w:val="lt-LT"/>
        </w:rPr>
      </w:pPr>
      <w:r w:rsidRPr="00D717BD">
        <w:rPr>
          <w:sz w:val="22"/>
          <w:szCs w:val="22"/>
          <w:lang w:val="lt-LT"/>
        </w:rPr>
        <w:t>Visada vartokite mažiausią veiksmingą dozę, reikalingą palengvinti Jūsų simptomams, trumpiausiu laikotarpiu.</w:t>
      </w:r>
    </w:p>
    <w:p w:rsidR="002F558F" w:rsidRPr="00D717BD" w:rsidRDefault="002F558F" w:rsidP="002F558F">
      <w:pPr>
        <w:rPr>
          <w:sz w:val="22"/>
          <w:szCs w:val="22"/>
          <w:lang w:val="lt-LT"/>
        </w:rPr>
      </w:pPr>
      <w:r w:rsidRPr="00D717BD">
        <w:rPr>
          <w:sz w:val="22"/>
          <w:szCs w:val="22"/>
          <w:lang w:val="lt-LT"/>
        </w:rPr>
        <w:t>Negalima vaisto vartoti dažniau kaip kas 4 val.</w:t>
      </w:r>
    </w:p>
    <w:p w:rsidR="002F558F" w:rsidRPr="00D717BD" w:rsidRDefault="002F558F" w:rsidP="002F558F">
      <w:pPr>
        <w:rPr>
          <w:sz w:val="22"/>
          <w:szCs w:val="22"/>
          <w:lang w:val="lt-LT"/>
        </w:rPr>
      </w:pPr>
      <w:r w:rsidRPr="00D717BD">
        <w:rPr>
          <w:sz w:val="22"/>
          <w:szCs w:val="22"/>
          <w:lang w:val="lt-LT"/>
        </w:rPr>
        <w:t xml:space="preserve">Nerekomenduojama kūdikiams, jaunesniems nei 1 mėnesio amžiaus. </w:t>
      </w:r>
    </w:p>
    <w:p w:rsidR="002F558F" w:rsidRPr="00D717BD" w:rsidRDefault="002F558F" w:rsidP="002F558F">
      <w:pPr>
        <w:rPr>
          <w:sz w:val="22"/>
          <w:szCs w:val="22"/>
          <w:lang w:val="lt-LT"/>
        </w:rPr>
      </w:pPr>
    </w:p>
    <w:p w:rsidR="002F558F" w:rsidRPr="00D717BD" w:rsidRDefault="002F558F" w:rsidP="002F558F">
      <w:pPr>
        <w:rPr>
          <w:bCs/>
          <w:i/>
          <w:sz w:val="22"/>
          <w:szCs w:val="22"/>
          <w:lang w:val="lt-LT"/>
        </w:rPr>
      </w:pPr>
      <w:r w:rsidRPr="00D717BD">
        <w:rPr>
          <w:bCs/>
          <w:i/>
          <w:sz w:val="22"/>
          <w:szCs w:val="22"/>
          <w:lang w:val="lt-LT"/>
        </w:rPr>
        <w:t>Dozavimas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849"/>
      </w:tblGrid>
      <w:tr w:rsidR="002F558F" w:rsidRPr="00D717BD" w:rsidTr="00CB6272">
        <w:trPr>
          <w:trHeight w:val="253"/>
        </w:trPr>
        <w:tc>
          <w:tcPr>
            <w:tcW w:w="2848" w:type="dxa"/>
          </w:tcPr>
          <w:p w:rsidR="002F558F" w:rsidRPr="00D717BD" w:rsidRDefault="002F558F" w:rsidP="00CB6272">
            <w:pPr>
              <w:jc w:val="center"/>
              <w:rPr>
                <w:b/>
                <w:bCs/>
                <w:sz w:val="22"/>
                <w:szCs w:val="22"/>
                <w:lang w:val="lt-LT"/>
              </w:rPr>
            </w:pPr>
            <w:r w:rsidRPr="00D717BD">
              <w:rPr>
                <w:b/>
                <w:bCs/>
                <w:sz w:val="22"/>
                <w:szCs w:val="22"/>
                <w:lang w:val="lt-LT"/>
              </w:rPr>
              <w:t>Vidutinis kūno svoris</w:t>
            </w:r>
          </w:p>
        </w:tc>
        <w:tc>
          <w:tcPr>
            <w:tcW w:w="2848" w:type="dxa"/>
          </w:tcPr>
          <w:p w:rsidR="002F558F" w:rsidRPr="00D717BD" w:rsidRDefault="002F558F" w:rsidP="00CB6272">
            <w:pPr>
              <w:jc w:val="center"/>
              <w:rPr>
                <w:b/>
                <w:bCs/>
                <w:sz w:val="22"/>
                <w:szCs w:val="22"/>
                <w:lang w:val="lt-LT"/>
              </w:rPr>
            </w:pPr>
            <w:r w:rsidRPr="00D717BD">
              <w:rPr>
                <w:b/>
                <w:bCs/>
                <w:sz w:val="22"/>
                <w:szCs w:val="22"/>
                <w:lang w:val="lt-LT"/>
              </w:rPr>
              <w:t>Amžius</w:t>
            </w:r>
          </w:p>
        </w:tc>
        <w:tc>
          <w:tcPr>
            <w:tcW w:w="2849" w:type="dxa"/>
          </w:tcPr>
          <w:p w:rsidR="002F558F" w:rsidRPr="00D717BD" w:rsidRDefault="002F558F" w:rsidP="00CB6272">
            <w:pPr>
              <w:jc w:val="center"/>
              <w:rPr>
                <w:b/>
                <w:bCs/>
                <w:sz w:val="22"/>
                <w:szCs w:val="22"/>
                <w:lang w:val="lt-LT"/>
              </w:rPr>
            </w:pPr>
            <w:r w:rsidRPr="00D717BD">
              <w:rPr>
                <w:b/>
                <w:bCs/>
                <w:sz w:val="22"/>
                <w:szCs w:val="22"/>
                <w:lang w:val="lt-LT"/>
              </w:rPr>
              <w:t>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4 kg</w:t>
            </w:r>
          </w:p>
        </w:tc>
        <w:tc>
          <w:tcPr>
            <w:tcW w:w="2848" w:type="dxa"/>
          </w:tcPr>
          <w:p w:rsidR="002F558F" w:rsidRPr="00D717BD" w:rsidRDefault="002F558F" w:rsidP="00CB6272">
            <w:pPr>
              <w:jc w:val="center"/>
              <w:rPr>
                <w:sz w:val="22"/>
                <w:szCs w:val="22"/>
                <w:lang w:val="lt-LT"/>
              </w:rPr>
            </w:pPr>
            <w:r w:rsidRPr="00D717BD">
              <w:rPr>
                <w:sz w:val="22"/>
                <w:szCs w:val="22"/>
                <w:lang w:val="lt-LT"/>
              </w:rPr>
              <w:t>1 mėn.</w:t>
            </w:r>
          </w:p>
        </w:tc>
        <w:tc>
          <w:tcPr>
            <w:tcW w:w="2849" w:type="dxa"/>
          </w:tcPr>
          <w:p w:rsidR="002F558F" w:rsidRPr="00D717BD" w:rsidRDefault="002F558F" w:rsidP="00CB6272">
            <w:pPr>
              <w:jc w:val="center"/>
              <w:rPr>
                <w:sz w:val="22"/>
                <w:szCs w:val="22"/>
                <w:lang w:val="lt-LT"/>
              </w:rPr>
            </w:pPr>
            <w:r w:rsidRPr="00D717BD">
              <w:rPr>
                <w:sz w:val="22"/>
                <w:szCs w:val="22"/>
                <w:lang w:val="lt-LT"/>
              </w:rPr>
              <w:t>2 ml</w:t>
            </w:r>
          </w:p>
        </w:tc>
      </w:tr>
      <w:tr w:rsidR="002F558F" w:rsidRPr="00D717BD" w:rsidTr="00CB6272">
        <w:trPr>
          <w:trHeight w:val="253"/>
        </w:trPr>
        <w:tc>
          <w:tcPr>
            <w:tcW w:w="2848" w:type="dxa"/>
          </w:tcPr>
          <w:p w:rsidR="002F558F" w:rsidRPr="00D717BD" w:rsidRDefault="002F558F" w:rsidP="00CB6272">
            <w:pPr>
              <w:tabs>
                <w:tab w:val="left" w:pos="1335"/>
                <w:tab w:val="center" w:pos="1926"/>
              </w:tabs>
              <w:jc w:val="center"/>
              <w:rPr>
                <w:sz w:val="22"/>
                <w:szCs w:val="22"/>
                <w:lang w:val="lt-LT"/>
              </w:rPr>
            </w:pPr>
            <w:r w:rsidRPr="00D717BD">
              <w:rPr>
                <w:sz w:val="22"/>
                <w:szCs w:val="22"/>
                <w:lang w:val="lt-LT"/>
              </w:rPr>
              <w:t>5-6 kg</w:t>
            </w:r>
          </w:p>
        </w:tc>
        <w:tc>
          <w:tcPr>
            <w:tcW w:w="2848" w:type="dxa"/>
          </w:tcPr>
          <w:p w:rsidR="002F558F" w:rsidRPr="00D717BD" w:rsidRDefault="002F558F" w:rsidP="00CB6272">
            <w:pPr>
              <w:tabs>
                <w:tab w:val="left" w:pos="1335"/>
                <w:tab w:val="center" w:pos="1926"/>
              </w:tabs>
              <w:jc w:val="center"/>
              <w:rPr>
                <w:sz w:val="22"/>
                <w:szCs w:val="22"/>
                <w:lang w:val="lt-LT"/>
              </w:rPr>
            </w:pPr>
            <w:r w:rsidRPr="00D717BD">
              <w:rPr>
                <w:sz w:val="22"/>
                <w:szCs w:val="22"/>
                <w:lang w:val="lt-LT"/>
              </w:rPr>
              <w:t>2-3 mėn.</w:t>
            </w:r>
          </w:p>
        </w:tc>
        <w:tc>
          <w:tcPr>
            <w:tcW w:w="2849" w:type="dxa"/>
          </w:tcPr>
          <w:p w:rsidR="002F558F" w:rsidRPr="00D717BD" w:rsidRDefault="002F558F" w:rsidP="00CB6272">
            <w:pPr>
              <w:jc w:val="center"/>
              <w:rPr>
                <w:sz w:val="22"/>
                <w:szCs w:val="22"/>
                <w:lang w:val="lt-LT"/>
              </w:rPr>
            </w:pPr>
            <w:r w:rsidRPr="00D717BD">
              <w:rPr>
                <w:sz w:val="22"/>
                <w:szCs w:val="22"/>
                <w:lang w:val="lt-LT"/>
              </w:rPr>
              <w:t>3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lastRenderedPageBreak/>
              <w:t>7-9 kg</w:t>
            </w:r>
          </w:p>
        </w:tc>
        <w:tc>
          <w:tcPr>
            <w:tcW w:w="2848" w:type="dxa"/>
          </w:tcPr>
          <w:p w:rsidR="002F558F" w:rsidRPr="00D717BD" w:rsidRDefault="002F558F" w:rsidP="00CB6272">
            <w:pPr>
              <w:jc w:val="center"/>
              <w:rPr>
                <w:sz w:val="22"/>
                <w:szCs w:val="22"/>
                <w:lang w:val="lt-LT"/>
              </w:rPr>
            </w:pPr>
            <w:r w:rsidRPr="00D717BD">
              <w:rPr>
                <w:sz w:val="22"/>
                <w:szCs w:val="22"/>
                <w:lang w:val="lt-LT"/>
              </w:rPr>
              <w:t>4-12 mėn.</w:t>
            </w:r>
          </w:p>
        </w:tc>
        <w:tc>
          <w:tcPr>
            <w:tcW w:w="2849" w:type="dxa"/>
          </w:tcPr>
          <w:p w:rsidR="002F558F" w:rsidRPr="00D717BD" w:rsidRDefault="002F558F" w:rsidP="00CB6272">
            <w:pPr>
              <w:jc w:val="center"/>
              <w:rPr>
                <w:sz w:val="22"/>
                <w:szCs w:val="22"/>
                <w:lang w:val="lt-LT"/>
              </w:rPr>
            </w:pPr>
            <w:r w:rsidRPr="00D717BD">
              <w:rPr>
                <w:sz w:val="22"/>
                <w:szCs w:val="22"/>
                <w:lang w:val="lt-LT"/>
              </w:rPr>
              <w:t>4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10-12 kg</w:t>
            </w:r>
          </w:p>
        </w:tc>
        <w:tc>
          <w:tcPr>
            <w:tcW w:w="2848" w:type="dxa"/>
          </w:tcPr>
          <w:p w:rsidR="002F558F" w:rsidRPr="00D717BD" w:rsidRDefault="002F558F" w:rsidP="00CB6272">
            <w:pPr>
              <w:jc w:val="center"/>
              <w:rPr>
                <w:sz w:val="22"/>
                <w:szCs w:val="22"/>
                <w:lang w:val="lt-LT"/>
              </w:rPr>
            </w:pPr>
            <w:r w:rsidRPr="00D717BD">
              <w:rPr>
                <w:sz w:val="22"/>
                <w:szCs w:val="22"/>
                <w:lang w:val="lt-LT"/>
              </w:rPr>
              <w:t>13-24 mėn.</w:t>
            </w:r>
          </w:p>
        </w:tc>
        <w:tc>
          <w:tcPr>
            <w:tcW w:w="2849" w:type="dxa"/>
          </w:tcPr>
          <w:p w:rsidR="002F558F" w:rsidRPr="00D717BD" w:rsidRDefault="002F558F" w:rsidP="00CB6272">
            <w:pPr>
              <w:jc w:val="center"/>
              <w:rPr>
                <w:sz w:val="22"/>
                <w:szCs w:val="22"/>
                <w:lang w:val="lt-LT"/>
              </w:rPr>
            </w:pPr>
            <w:r w:rsidRPr="00D717BD">
              <w:rPr>
                <w:sz w:val="22"/>
                <w:szCs w:val="22"/>
                <w:lang w:val="lt-LT"/>
              </w:rPr>
              <w:t>6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13-15 kg</w:t>
            </w:r>
          </w:p>
        </w:tc>
        <w:tc>
          <w:tcPr>
            <w:tcW w:w="2848" w:type="dxa"/>
          </w:tcPr>
          <w:p w:rsidR="002F558F" w:rsidRPr="00D717BD" w:rsidRDefault="002F558F" w:rsidP="00CB6272">
            <w:pPr>
              <w:jc w:val="center"/>
              <w:rPr>
                <w:sz w:val="22"/>
                <w:szCs w:val="22"/>
                <w:lang w:val="lt-LT"/>
              </w:rPr>
            </w:pPr>
            <w:r w:rsidRPr="00D717BD">
              <w:rPr>
                <w:sz w:val="22"/>
                <w:szCs w:val="22"/>
                <w:lang w:val="lt-LT"/>
              </w:rPr>
              <w:t>2-3 m.</w:t>
            </w:r>
          </w:p>
        </w:tc>
        <w:tc>
          <w:tcPr>
            <w:tcW w:w="2849" w:type="dxa"/>
          </w:tcPr>
          <w:p w:rsidR="002F558F" w:rsidRPr="00D717BD" w:rsidRDefault="002F558F" w:rsidP="00CB6272">
            <w:pPr>
              <w:jc w:val="center"/>
              <w:rPr>
                <w:sz w:val="22"/>
                <w:szCs w:val="22"/>
                <w:lang w:val="lt-LT"/>
              </w:rPr>
            </w:pPr>
            <w:r w:rsidRPr="00D717BD">
              <w:rPr>
                <w:sz w:val="22"/>
                <w:szCs w:val="22"/>
                <w:lang w:val="lt-LT"/>
              </w:rPr>
              <w:t>8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16-19 kg</w:t>
            </w:r>
          </w:p>
        </w:tc>
        <w:tc>
          <w:tcPr>
            <w:tcW w:w="2848" w:type="dxa"/>
          </w:tcPr>
          <w:p w:rsidR="002F558F" w:rsidRPr="00D717BD" w:rsidRDefault="002F558F" w:rsidP="00CB6272">
            <w:pPr>
              <w:jc w:val="center"/>
              <w:rPr>
                <w:sz w:val="22"/>
                <w:szCs w:val="22"/>
                <w:lang w:val="lt-LT"/>
              </w:rPr>
            </w:pPr>
            <w:r w:rsidRPr="00D717BD">
              <w:rPr>
                <w:sz w:val="22"/>
                <w:szCs w:val="22"/>
                <w:lang w:val="lt-LT"/>
              </w:rPr>
              <w:t>4-5 m.</w:t>
            </w:r>
          </w:p>
        </w:tc>
        <w:tc>
          <w:tcPr>
            <w:tcW w:w="2849" w:type="dxa"/>
          </w:tcPr>
          <w:p w:rsidR="002F558F" w:rsidRPr="00D717BD" w:rsidRDefault="002F558F" w:rsidP="00CB6272">
            <w:pPr>
              <w:jc w:val="center"/>
              <w:rPr>
                <w:sz w:val="22"/>
                <w:szCs w:val="22"/>
                <w:lang w:val="lt-LT"/>
              </w:rPr>
            </w:pPr>
            <w:r w:rsidRPr="00D717BD">
              <w:rPr>
                <w:sz w:val="22"/>
                <w:szCs w:val="22"/>
                <w:lang w:val="lt-LT"/>
              </w:rPr>
              <w:t>10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20-25 kg</w:t>
            </w:r>
          </w:p>
        </w:tc>
        <w:tc>
          <w:tcPr>
            <w:tcW w:w="2848" w:type="dxa"/>
          </w:tcPr>
          <w:p w:rsidR="002F558F" w:rsidRPr="00D717BD" w:rsidRDefault="002F558F" w:rsidP="00CB6272">
            <w:pPr>
              <w:jc w:val="center"/>
              <w:rPr>
                <w:sz w:val="22"/>
                <w:szCs w:val="22"/>
                <w:lang w:val="lt-LT"/>
              </w:rPr>
            </w:pPr>
            <w:r w:rsidRPr="00D717BD">
              <w:rPr>
                <w:sz w:val="22"/>
                <w:szCs w:val="22"/>
                <w:lang w:val="lt-LT"/>
              </w:rPr>
              <w:t>6-7 m.</w:t>
            </w:r>
          </w:p>
        </w:tc>
        <w:tc>
          <w:tcPr>
            <w:tcW w:w="2849" w:type="dxa"/>
          </w:tcPr>
          <w:p w:rsidR="002F558F" w:rsidRPr="00D717BD" w:rsidRDefault="002F558F" w:rsidP="00CB6272">
            <w:pPr>
              <w:jc w:val="center"/>
              <w:rPr>
                <w:sz w:val="22"/>
                <w:szCs w:val="22"/>
                <w:lang w:val="lt-LT"/>
              </w:rPr>
            </w:pPr>
            <w:r w:rsidRPr="00D717BD">
              <w:rPr>
                <w:sz w:val="22"/>
                <w:szCs w:val="22"/>
                <w:lang w:val="lt-LT"/>
              </w:rPr>
              <w:t>12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26-31 kg</w:t>
            </w:r>
          </w:p>
        </w:tc>
        <w:tc>
          <w:tcPr>
            <w:tcW w:w="2848" w:type="dxa"/>
          </w:tcPr>
          <w:p w:rsidR="002F558F" w:rsidRPr="00D717BD" w:rsidRDefault="002F558F" w:rsidP="00CB6272">
            <w:pPr>
              <w:jc w:val="center"/>
              <w:rPr>
                <w:sz w:val="22"/>
                <w:szCs w:val="22"/>
                <w:lang w:val="lt-LT"/>
              </w:rPr>
            </w:pPr>
            <w:r w:rsidRPr="00D717BD">
              <w:rPr>
                <w:sz w:val="22"/>
                <w:szCs w:val="22"/>
                <w:lang w:val="lt-LT"/>
              </w:rPr>
              <w:t>8-9 m.</w:t>
            </w:r>
          </w:p>
        </w:tc>
        <w:tc>
          <w:tcPr>
            <w:tcW w:w="2849" w:type="dxa"/>
          </w:tcPr>
          <w:p w:rsidR="002F558F" w:rsidRPr="00D717BD" w:rsidRDefault="002F558F" w:rsidP="00CB6272">
            <w:pPr>
              <w:jc w:val="center"/>
              <w:rPr>
                <w:sz w:val="22"/>
                <w:szCs w:val="22"/>
                <w:lang w:val="lt-LT"/>
              </w:rPr>
            </w:pPr>
            <w:r w:rsidRPr="00D717BD">
              <w:rPr>
                <w:sz w:val="22"/>
                <w:szCs w:val="22"/>
                <w:lang w:val="lt-LT"/>
              </w:rPr>
              <w:t>16 ml</w:t>
            </w:r>
          </w:p>
        </w:tc>
      </w:tr>
      <w:tr w:rsidR="002F558F" w:rsidRPr="00D717BD" w:rsidTr="00CB6272">
        <w:trPr>
          <w:trHeight w:val="253"/>
        </w:trPr>
        <w:tc>
          <w:tcPr>
            <w:tcW w:w="2848" w:type="dxa"/>
          </w:tcPr>
          <w:p w:rsidR="002F558F" w:rsidRPr="00D717BD" w:rsidRDefault="002F558F" w:rsidP="00CB6272">
            <w:pPr>
              <w:jc w:val="center"/>
              <w:rPr>
                <w:sz w:val="22"/>
                <w:szCs w:val="22"/>
                <w:lang w:val="lt-LT"/>
              </w:rPr>
            </w:pPr>
            <w:r w:rsidRPr="00D717BD">
              <w:rPr>
                <w:sz w:val="22"/>
                <w:szCs w:val="22"/>
                <w:lang w:val="lt-LT"/>
              </w:rPr>
              <w:t>32-42 kg</w:t>
            </w:r>
          </w:p>
        </w:tc>
        <w:tc>
          <w:tcPr>
            <w:tcW w:w="2848" w:type="dxa"/>
          </w:tcPr>
          <w:p w:rsidR="002F558F" w:rsidRPr="00D717BD" w:rsidRDefault="002F558F" w:rsidP="00CB6272">
            <w:pPr>
              <w:jc w:val="center"/>
              <w:rPr>
                <w:sz w:val="22"/>
                <w:szCs w:val="22"/>
                <w:lang w:val="lt-LT"/>
              </w:rPr>
            </w:pPr>
            <w:r w:rsidRPr="00D717BD">
              <w:rPr>
                <w:sz w:val="22"/>
                <w:szCs w:val="22"/>
                <w:lang w:val="lt-LT"/>
              </w:rPr>
              <w:t>10-12 m.</w:t>
            </w:r>
          </w:p>
        </w:tc>
        <w:tc>
          <w:tcPr>
            <w:tcW w:w="2849" w:type="dxa"/>
          </w:tcPr>
          <w:p w:rsidR="002F558F" w:rsidRPr="00D717BD" w:rsidRDefault="002F558F" w:rsidP="00CB6272">
            <w:pPr>
              <w:jc w:val="center"/>
              <w:rPr>
                <w:sz w:val="22"/>
                <w:szCs w:val="22"/>
                <w:lang w:val="lt-LT"/>
              </w:rPr>
            </w:pPr>
            <w:r w:rsidRPr="00D717BD">
              <w:rPr>
                <w:sz w:val="22"/>
                <w:szCs w:val="22"/>
                <w:lang w:val="lt-LT"/>
              </w:rPr>
              <w:t>20 ml</w:t>
            </w:r>
          </w:p>
        </w:tc>
      </w:tr>
    </w:tbl>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Didžiausia paros dozė – 60 mg/kg šią dozę duodant padalinus po 10-15 mg/kg per 24 valandas.</w:t>
      </w:r>
    </w:p>
    <w:p w:rsidR="002F558F" w:rsidRPr="00D717BD" w:rsidRDefault="002F558F" w:rsidP="002F558F">
      <w:pPr>
        <w:rPr>
          <w:sz w:val="22"/>
          <w:szCs w:val="22"/>
          <w:lang w:val="lt-LT"/>
        </w:rPr>
      </w:pPr>
      <w:r w:rsidRPr="00D717BD">
        <w:rPr>
          <w:sz w:val="22"/>
          <w:szCs w:val="22"/>
          <w:lang w:val="lt-LT"/>
        </w:rPr>
        <w:t xml:space="preserve">Dozę galima kartoti kas 4-6 valandas (pagal poreikį), tačiau negalima gerti daugiau kaip 4 dozių per 24 valandas. Nepasitarus su gydytoju, Panadol suspensijos vyresniems nei 3 mėn. kūdikiams-12 metų vaikams nereikėtų duoti ilgiau kaip 3 dienas. Jei simptomai išlieka, reikia kreiptis į gydytoją. Jei kūdikiams, 1-3 mėnesių amžiaus, karščiavimas išlieka ilgiau nei 24 valandas, reikia kreiptis į gydytoją, kad būtų galima kaip įmanoma greičiau diagnozuoti sunkią infekciją. </w:t>
      </w:r>
    </w:p>
    <w:p w:rsidR="002F558F" w:rsidRPr="00D717BD" w:rsidRDefault="002F558F" w:rsidP="002F558F">
      <w:pPr>
        <w:rPr>
          <w:sz w:val="22"/>
          <w:szCs w:val="22"/>
          <w:lang w:val="lt-LT"/>
        </w:rPr>
      </w:pPr>
    </w:p>
    <w:p w:rsidR="002F558F" w:rsidRPr="00D717BD" w:rsidRDefault="002F558F" w:rsidP="002F558F">
      <w:pPr>
        <w:pStyle w:val="Komentarotekstas"/>
        <w:rPr>
          <w:sz w:val="22"/>
          <w:szCs w:val="22"/>
          <w:lang w:val="lt-LT"/>
        </w:rPr>
      </w:pPr>
      <w:r w:rsidRPr="00D717BD">
        <w:rPr>
          <w:sz w:val="22"/>
          <w:szCs w:val="22"/>
          <w:lang w:val="lt-LT"/>
        </w:rPr>
        <w:t>Jei malšinant skiepų sukeltą karščiavimą prireikia antros dozės, tarp dozių turi būti paliktas bent 4 valandų tarpas. Jei karščiavimas nepraeina ir po antros dozės, kreipkitės į gydytoją.</w:t>
      </w:r>
    </w:p>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Nevartoti su kitais vaistais, kurių sudėtyje yra paracetamolio.</w:t>
      </w:r>
    </w:p>
    <w:p w:rsidR="002F558F" w:rsidRPr="00D717BD" w:rsidRDefault="002F558F" w:rsidP="002F558F">
      <w:pPr>
        <w:rPr>
          <w:sz w:val="22"/>
          <w:szCs w:val="22"/>
          <w:lang w:val="lt-LT"/>
        </w:rPr>
      </w:pPr>
    </w:p>
    <w:p w:rsidR="002F558F" w:rsidRPr="00D717BD" w:rsidRDefault="002F558F" w:rsidP="002F558F">
      <w:pPr>
        <w:pStyle w:val="Antrat2"/>
        <w:spacing w:before="0" w:after="0"/>
        <w:rPr>
          <w:rFonts w:ascii="Times New Roman" w:hAnsi="Times New Roman" w:cs="Times New Roman"/>
          <w:bCs w:val="0"/>
          <w:i w:val="0"/>
          <w:sz w:val="22"/>
          <w:szCs w:val="22"/>
          <w:lang w:val="lt-LT"/>
        </w:rPr>
      </w:pPr>
      <w:r w:rsidRPr="00D717BD">
        <w:rPr>
          <w:rFonts w:ascii="Times New Roman" w:hAnsi="Times New Roman" w:cs="Times New Roman"/>
          <w:bCs w:val="0"/>
          <w:i w:val="0"/>
          <w:sz w:val="22"/>
          <w:szCs w:val="22"/>
          <w:lang w:val="lt-LT"/>
        </w:rPr>
        <w:t>Ką daryti pavartojus per didelę Panadol dozę</w:t>
      </w:r>
    </w:p>
    <w:p w:rsidR="002F558F" w:rsidRPr="00D717BD" w:rsidRDefault="002F558F" w:rsidP="002F558F">
      <w:pPr>
        <w:rPr>
          <w:sz w:val="22"/>
          <w:szCs w:val="22"/>
          <w:lang w:val="lt-LT"/>
        </w:rPr>
      </w:pPr>
      <w:r w:rsidRPr="00D717BD">
        <w:rPr>
          <w:sz w:val="22"/>
          <w:szCs w:val="22"/>
          <w:lang w:val="lt-LT"/>
        </w:rPr>
        <w:t>Negalima viršyti nurodytos dozės. Per didelė paracetamolio dozė gali sukelti kepenų nepakankamumą. Jei vaikas išgėrė didesnę dozę negu rekomenduojama, nedelsdami kreipkitės į gydytoją, net jei vaikas nejaučia jokių simptomų, kad būtų išvengta kepenų pažeidimo rizikos.</w:t>
      </w:r>
    </w:p>
    <w:p w:rsidR="002F558F" w:rsidRPr="00D717BD" w:rsidRDefault="002F558F" w:rsidP="002F558F">
      <w:pPr>
        <w:rPr>
          <w:sz w:val="22"/>
          <w:szCs w:val="22"/>
          <w:lang w:val="lt-LT"/>
        </w:rPr>
      </w:pPr>
    </w:p>
    <w:p w:rsidR="002F558F" w:rsidRPr="00D717BD" w:rsidRDefault="002F558F" w:rsidP="002F558F">
      <w:pPr>
        <w:rPr>
          <w:b/>
          <w:iCs/>
          <w:sz w:val="22"/>
          <w:szCs w:val="22"/>
          <w:lang w:val="lt-LT"/>
        </w:rPr>
      </w:pPr>
      <w:r w:rsidRPr="00D717BD">
        <w:rPr>
          <w:b/>
          <w:iCs/>
          <w:sz w:val="22"/>
          <w:szCs w:val="22"/>
          <w:lang w:val="lt-LT"/>
        </w:rPr>
        <w:t>Pamiršus pavartoti Panadol</w:t>
      </w:r>
    </w:p>
    <w:p w:rsidR="002F558F" w:rsidRPr="00D717BD" w:rsidRDefault="002F558F" w:rsidP="002F558F">
      <w:pPr>
        <w:rPr>
          <w:sz w:val="22"/>
          <w:szCs w:val="22"/>
          <w:lang w:val="lt-LT"/>
        </w:rPr>
      </w:pPr>
      <w:r w:rsidRPr="00D717BD">
        <w:rPr>
          <w:sz w:val="22"/>
          <w:szCs w:val="22"/>
          <w:lang w:val="lt-LT"/>
        </w:rPr>
        <w:t>Negalima vartoti dvigubos dozės norint kompensuoti praleistą dozę.</w:t>
      </w:r>
    </w:p>
    <w:p w:rsidR="002F558F" w:rsidRPr="00D717BD" w:rsidRDefault="002F558F" w:rsidP="002F558F">
      <w:pPr>
        <w:rPr>
          <w:sz w:val="22"/>
          <w:szCs w:val="22"/>
          <w:lang w:val="lt-LT"/>
        </w:rPr>
      </w:pPr>
    </w:p>
    <w:p w:rsidR="002F558F" w:rsidRPr="00D717BD" w:rsidRDefault="002F558F" w:rsidP="002F558F">
      <w:pPr>
        <w:rPr>
          <w:sz w:val="22"/>
          <w:szCs w:val="22"/>
          <w:u w:val="single"/>
          <w:lang w:val="lt-LT"/>
        </w:rPr>
      </w:pPr>
      <w:r w:rsidRPr="00D717BD">
        <w:rPr>
          <w:noProof/>
          <w:sz w:val="22"/>
          <w:szCs w:val="22"/>
          <w:u w:val="single"/>
          <w:lang w:val="lt-LT"/>
        </w:rPr>
        <w:t>Vartojimo metodas</w:t>
      </w:r>
      <w:r w:rsidRPr="00D717BD">
        <w:rPr>
          <w:sz w:val="22"/>
          <w:szCs w:val="22"/>
          <w:u w:val="single"/>
          <w:lang w:val="lt-LT"/>
        </w:rPr>
        <w:t xml:space="preserve"> </w:t>
      </w:r>
    </w:p>
    <w:p w:rsidR="002F558F" w:rsidRPr="00D717BD" w:rsidRDefault="002F558F" w:rsidP="002F558F">
      <w:pPr>
        <w:pStyle w:val="BTEMEASMCA"/>
        <w:rPr>
          <w:sz w:val="22"/>
          <w:szCs w:val="22"/>
        </w:rPr>
      </w:pPr>
      <w:r w:rsidRPr="00D717BD">
        <w:rPr>
          <w:sz w:val="22"/>
          <w:szCs w:val="22"/>
        </w:rPr>
        <w:t>Vartoti tik per burną.</w:t>
      </w:r>
    </w:p>
    <w:p w:rsidR="002F558F" w:rsidRPr="00D717BD" w:rsidRDefault="002F558F" w:rsidP="002F558F">
      <w:pPr>
        <w:rPr>
          <w:sz w:val="22"/>
          <w:szCs w:val="22"/>
          <w:lang w:val="lt-LT"/>
        </w:rPr>
      </w:pPr>
    </w:p>
    <w:p w:rsidR="002F558F" w:rsidRPr="00D717BD" w:rsidRDefault="002F558F" w:rsidP="002F558F">
      <w:pPr>
        <w:rPr>
          <w:b/>
          <w:bCs/>
          <w:iCs/>
          <w:noProof/>
          <w:sz w:val="22"/>
          <w:szCs w:val="22"/>
          <w:lang w:val="lt-LT" w:eastAsia="x-none"/>
        </w:rPr>
      </w:pPr>
      <w:r w:rsidRPr="00D717BD">
        <w:rPr>
          <w:b/>
          <w:bCs/>
          <w:iCs/>
          <w:noProof/>
          <w:sz w:val="22"/>
          <w:szCs w:val="22"/>
          <w:lang w:val="lt-LT" w:eastAsia="x-none"/>
        </w:rPr>
        <w:t>Taisyklingas geriamojo švirkšto naudojimas</w:t>
      </w:r>
    </w:p>
    <w:p w:rsidR="002F558F" w:rsidRPr="00D717BD" w:rsidRDefault="002F558F" w:rsidP="002F558F">
      <w:pPr>
        <w:rPr>
          <w:sz w:val="22"/>
          <w:szCs w:val="22"/>
          <w:lang w:val="lt-LT"/>
        </w:rPr>
      </w:pPr>
    </w:p>
    <w:p w:rsidR="002F558F" w:rsidRPr="00D717BD" w:rsidRDefault="002F558F" w:rsidP="002F558F">
      <w:pPr>
        <w:pStyle w:val="Sraopastraipa"/>
        <w:numPr>
          <w:ilvl w:val="0"/>
          <w:numId w:val="4"/>
        </w:numPr>
        <w:rPr>
          <w:iCs/>
          <w:noProof/>
          <w:sz w:val="22"/>
          <w:szCs w:val="22"/>
          <w:lang w:val="lt-LT" w:eastAsia="x-none"/>
        </w:rPr>
      </w:pPr>
      <w:r w:rsidRPr="00D717BD">
        <w:rPr>
          <w:b/>
          <w:bCs/>
          <w:iCs/>
          <w:noProof/>
          <w:sz w:val="22"/>
          <w:szCs w:val="22"/>
          <w:lang w:val="lt-LT" w:eastAsia="x-none"/>
        </w:rPr>
        <w:t>Įstatykite.</w:t>
      </w:r>
      <w:r w:rsidRPr="00D717BD">
        <w:rPr>
          <w:iCs/>
          <w:noProof/>
          <w:sz w:val="22"/>
          <w:szCs w:val="22"/>
          <w:lang w:val="lt-LT" w:eastAsia="x-none"/>
        </w:rPr>
        <w:t xml:space="preserve"> Stumkite stūmoklį iki galo, kad uždarytumėte geriamąjį švirkštą, tada tvirtai įstatykite jį į buteliuko kaklelį.</w:t>
      </w:r>
    </w:p>
    <w:p w:rsidR="002F558F" w:rsidRPr="00D717BD" w:rsidRDefault="002F558F" w:rsidP="002F558F">
      <w:pPr>
        <w:rPr>
          <w:sz w:val="22"/>
          <w:szCs w:val="22"/>
          <w:lang w:val="lt-LT"/>
        </w:rPr>
      </w:pPr>
      <w:r w:rsidRPr="00D717BD">
        <w:rPr>
          <w:b/>
          <w:noProof/>
          <w:sz w:val="22"/>
          <w:szCs w:val="22"/>
          <w:lang w:val="lt-LT" w:eastAsia="lt-LT"/>
        </w:rPr>
        <w:drawing>
          <wp:inline distT="0" distB="0" distL="0" distR="0" wp14:anchorId="61852BBA" wp14:editId="4CEB5B1B">
            <wp:extent cx="1422400" cy="1339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8263" r="67545" b="60319"/>
                    <a:stretch/>
                  </pic:blipFill>
                  <pic:spPr bwMode="auto">
                    <a:xfrm>
                      <a:off x="0" y="0"/>
                      <a:ext cx="1422400" cy="1339850"/>
                    </a:xfrm>
                    <a:prstGeom prst="rect">
                      <a:avLst/>
                    </a:prstGeom>
                    <a:noFill/>
                    <a:ln>
                      <a:noFill/>
                    </a:ln>
                    <a:extLst>
                      <a:ext uri="{53640926-AAD7-44D8-BBD7-CCE9431645EC}">
                        <a14:shadowObscured xmlns:a14="http://schemas.microsoft.com/office/drawing/2010/main"/>
                      </a:ext>
                    </a:extLst>
                  </pic:spPr>
                </pic:pic>
              </a:graphicData>
            </a:graphic>
          </wp:inline>
        </w:drawing>
      </w:r>
    </w:p>
    <w:p w:rsidR="002F558F" w:rsidRPr="00D717BD" w:rsidRDefault="002F558F" w:rsidP="002F558F">
      <w:pPr>
        <w:pStyle w:val="Sraopastraipa"/>
        <w:numPr>
          <w:ilvl w:val="0"/>
          <w:numId w:val="4"/>
        </w:numPr>
        <w:rPr>
          <w:sz w:val="22"/>
          <w:szCs w:val="22"/>
          <w:lang w:val="lt-LT"/>
        </w:rPr>
      </w:pPr>
      <w:r w:rsidRPr="00D717BD">
        <w:rPr>
          <w:b/>
          <w:bCs/>
          <w:color w:val="616159"/>
          <w:sz w:val="22"/>
          <w:szCs w:val="22"/>
          <w:shd w:val="clear" w:color="auto" w:fill="FFFFFF"/>
          <w:lang w:val="lt-LT"/>
        </w:rPr>
        <w:t>Pritraukite iki reikiamos dozės.</w:t>
      </w:r>
      <w:r w:rsidRPr="00D717BD">
        <w:rPr>
          <w:color w:val="616159"/>
          <w:sz w:val="22"/>
          <w:szCs w:val="22"/>
          <w:shd w:val="clear" w:color="auto" w:fill="FFFFFF"/>
          <w:lang w:val="lt-LT"/>
        </w:rPr>
        <w:t xml:space="preserve"> Apverskite buteliuką dugnu į viršų ir atsargiai traukite švirkšto stūmoklį iki vaikui reikiamos dozės. Reikiama dozė yra toje vietoje, kur plačiausia stūmoklio vieta atitinka reikiamą mililitrų (ml) žymę ant švirkšto.</w:t>
      </w:r>
    </w:p>
    <w:p w:rsidR="002F558F" w:rsidRPr="00D717BD" w:rsidRDefault="002F558F" w:rsidP="002F558F">
      <w:pPr>
        <w:rPr>
          <w:sz w:val="22"/>
          <w:szCs w:val="22"/>
          <w:lang w:val="lt-LT"/>
        </w:rPr>
      </w:pPr>
      <w:r w:rsidRPr="00D717BD">
        <w:rPr>
          <w:b/>
          <w:noProof/>
          <w:sz w:val="22"/>
          <w:szCs w:val="22"/>
          <w:lang w:val="lt-LT" w:eastAsia="lt-LT"/>
        </w:rPr>
        <w:drawing>
          <wp:inline distT="0" distB="0" distL="0" distR="0" wp14:anchorId="7C130128" wp14:editId="00206062">
            <wp:extent cx="1504950" cy="1339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32454" t="8263" r="33208" b="60319"/>
                    <a:stretch/>
                  </pic:blipFill>
                  <pic:spPr bwMode="auto">
                    <a:xfrm>
                      <a:off x="0" y="0"/>
                      <a:ext cx="1504950" cy="1339850"/>
                    </a:xfrm>
                    <a:prstGeom prst="rect">
                      <a:avLst/>
                    </a:prstGeom>
                    <a:noFill/>
                    <a:ln>
                      <a:noFill/>
                    </a:ln>
                    <a:extLst>
                      <a:ext uri="{53640926-AAD7-44D8-BBD7-CCE9431645EC}">
                        <a14:shadowObscured xmlns:a14="http://schemas.microsoft.com/office/drawing/2010/main"/>
                      </a:ext>
                    </a:extLst>
                  </pic:spPr>
                </pic:pic>
              </a:graphicData>
            </a:graphic>
          </wp:inline>
        </w:drawing>
      </w:r>
    </w:p>
    <w:p w:rsidR="002F558F" w:rsidRPr="00D717BD" w:rsidRDefault="002F558F" w:rsidP="002F558F">
      <w:pPr>
        <w:pStyle w:val="Sraopastraipa"/>
        <w:numPr>
          <w:ilvl w:val="0"/>
          <w:numId w:val="4"/>
        </w:numPr>
        <w:rPr>
          <w:sz w:val="22"/>
          <w:szCs w:val="22"/>
          <w:lang w:val="lt-LT"/>
        </w:rPr>
      </w:pPr>
      <w:r w:rsidRPr="00D717BD">
        <w:rPr>
          <w:b/>
          <w:bCs/>
          <w:color w:val="616159"/>
          <w:sz w:val="22"/>
          <w:szCs w:val="22"/>
          <w:shd w:val="clear" w:color="auto" w:fill="FFFFFF"/>
          <w:lang w:val="lt-LT"/>
        </w:rPr>
        <w:t>Nuimkite.</w:t>
      </w:r>
      <w:r w:rsidRPr="00D717BD">
        <w:rPr>
          <w:color w:val="616159"/>
          <w:sz w:val="22"/>
          <w:szCs w:val="22"/>
          <w:shd w:val="clear" w:color="auto" w:fill="FFFFFF"/>
          <w:lang w:val="lt-LT"/>
        </w:rPr>
        <w:t xml:space="preserve"> Apverskite buteliuką dugnu žemyn ir atsargiai sukdami ištraukite </w:t>
      </w:r>
      <w:r w:rsidRPr="00D717BD">
        <w:rPr>
          <w:iCs/>
          <w:noProof/>
          <w:sz w:val="22"/>
          <w:szCs w:val="22"/>
          <w:lang w:val="lt-LT" w:eastAsia="x-none"/>
        </w:rPr>
        <w:t>geriamąjį švirkštą</w:t>
      </w:r>
      <w:r w:rsidRPr="00D717BD">
        <w:rPr>
          <w:color w:val="616159"/>
          <w:sz w:val="22"/>
          <w:szCs w:val="22"/>
          <w:shd w:val="clear" w:color="auto" w:fill="FFFFFF"/>
          <w:lang w:val="lt-LT"/>
        </w:rPr>
        <w:t xml:space="preserve"> iš </w:t>
      </w:r>
      <w:r w:rsidRPr="00D717BD">
        <w:rPr>
          <w:sz w:val="22"/>
          <w:szCs w:val="22"/>
          <w:lang w:val="lt-LT"/>
        </w:rPr>
        <w:t>buteliuko kaklelio</w:t>
      </w:r>
      <w:r w:rsidRPr="00D717BD">
        <w:rPr>
          <w:color w:val="616159"/>
          <w:sz w:val="22"/>
          <w:szCs w:val="22"/>
          <w:shd w:val="clear" w:color="auto" w:fill="FFFFFF"/>
          <w:lang w:val="lt-LT"/>
        </w:rPr>
        <w:t>.</w:t>
      </w:r>
    </w:p>
    <w:p w:rsidR="002F558F" w:rsidRPr="00D717BD" w:rsidRDefault="002F558F" w:rsidP="002F558F">
      <w:pPr>
        <w:rPr>
          <w:sz w:val="22"/>
          <w:szCs w:val="22"/>
          <w:lang w:val="lt-LT"/>
        </w:rPr>
      </w:pPr>
      <w:r w:rsidRPr="00D717BD">
        <w:rPr>
          <w:b/>
          <w:noProof/>
          <w:sz w:val="22"/>
          <w:szCs w:val="22"/>
          <w:lang w:val="lt-LT" w:eastAsia="lt-LT"/>
        </w:rPr>
        <w:lastRenderedPageBreak/>
        <w:drawing>
          <wp:inline distT="0" distB="0" distL="0" distR="0" wp14:anchorId="751E4506" wp14:editId="254AE494">
            <wp:extent cx="1449070" cy="133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66937" t="8263" b="60319"/>
                    <a:stretch/>
                  </pic:blipFill>
                  <pic:spPr bwMode="auto">
                    <a:xfrm>
                      <a:off x="0" y="0"/>
                      <a:ext cx="1449070" cy="1339850"/>
                    </a:xfrm>
                    <a:prstGeom prst="rect">
                      <a:avLst/>
                    </a:prstGeom>
                    <a:noFill/>
                    <a:ln>
                      <a:noFill/>
                    </a:ln>
                    <a:extLst>
                      <a:ext uri="{53640926-AAD7-44D8-BBD7-CCE9431645EC}">
                        <a14:shadowObscured xmlns:a14="http://schemas.microsoft.com/office/drawing/2010/main"/>
                      </a:ext>
                    </a:extLst>
                  </pic:spPr>
                </pic:pic>
              </a:graphicData>
            </a:graphic>
          </wp:inline>
        </w:drawing>
      </w:r>
    </w:p>
    <w:p w:rsidR="002F558F" w:rsidRPr="00D717BD" w:rsidRDefault="002F558F" w:rsidP="002F558F">
      <w:pPr>
        <w:rPr>
          <w:b/>
          <w:bCs/>
          <w:sz w:val="22"/>
          <w:szCs w:val="22"/>
          <w:lang w:val="lt-LT"/>
        </w:rPr>
      </w:pPr>
      <w:r w:rsidRPr="00D717BD">
        <w:rPr>
          <w:b/>
          <w:bCs/>
          <w:sz w:val="22"/>
          <w:szCs w:val="22"/>
          <w:lang w:val="lt-LT"/>
        </w:rPr>
        <w:t>Po vaisto vartojimo</w:t>
      </w:r>
    </w:p>
    <w:p w:rsidR="002F558F" w:rsidRPr="00D717BD" w:rsidRDefault="002F558F" w:rsidP="002F558F">
      <w:pPr>
        <w:rPr>
          <w:sz w:val="22"/>
          <w:szCs w:val="22"/>
          <w:lang w:val="lt-LT"/>
        </w:rPr>
      </w:pPr>
      <w:r w:rsidRPr="00D717BD">
        <w:rPr>
          <w:sz w:val="22"/>
          <w:szCs w:val="22"/>
          <w:lang w:val="lt-LT"/>
        </w:rPr>
        <w:t>Spauskite dangtelį žemyn ir sukite, kad sandariai uždarytumėte dangtelį. Tada sukite dangtelį priešinga kryptimi, kol išgirsite spragtelėjimo garsą.</w:t>
      </w:r>
    </w:p>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 xml:space="preserve">Po naudojimo </w:t>
      </w:r>
      <w:r w:rsidRPr="00D717BD">
        <w:rPr>
          <w:iCs/>
          <w:noProof/>
          <w:sz w:val="22"/>
          <w:szCs w:val="22"/>
          <w:lang w:val="lt-LT" w:eastAsia="x-none"/>
        </w:rPr>
        <w:t>geriamąjį švirkštą</w:t>
      </w:r>
      <w:r w:rsidRPr="00D717BD">
        <w:rPr>
          <w:sz w:val="22"/>
          <w:szCs w:val="22"/>
          <w:lang w:val="lt-LT"/>
        </w:rPr>
        <w:t xml:space="preserve"> reikia nuplauti šiltu vandeniu ir išdžiovinti, jo sterilizuoti nereikia.</w:t>
      </w:r>
    </w:p>
    <w:p w:rsidR="002F558F" w:rsidRPr="00D717BD" w:rsidRDefault="002F558F" w:rsidP="002F558F">
      <w:pPr>
        <w:rPr>
          <w:sz w:val="22"/>
          <w:szCs w:val="22"/>
          <w:lang w:val="lt-LT"/>
        </w:rPr>
      </w:pPr>
    </w:p>
    <w:p w:rsidR="002F558F" w:rsidRPr="00D717BD" w:rsidRDefault="002F558F" w:rsidP="002F558F">
      <w:pPr>
        <w:rPr>
          <w:sz w:val="22"/>
          <w:szCs w:val="22"/>
          <w:lang w:val="lt-LT"/>
        </w:rPr>
      </w:pPr>
    </w:p>
    <w:p w:rsidR="002F558F" w:rsidRPr="00D717BD" w:rsidRDefault="002F558F" w:rsidP="002F558F">
      <w:pPr>
        <w:tabs>
          <w:tab w:val="left" w:pos="567"/>
        </w:tabs>
        <w:rPr>
          <w:b/>
          <w:sz w:val="22"/>
          <w:szCs w:val="22"/>
          <w:lang w:val="lt-LT"/>
        </w:rPr>
      </w:pPr>
      <w:r w:rsidRPr="00D717BD">
        <w:rPr>
          <w:b/>
          <w:sz w:val="22"/>
          <w:szCs w:val="22"/>
          <w:lang w:val="lt-LT"/>
        </w:rPr>
        <w:t>4.</w:t>
      </w:r>
      <w:r w:rsidRPr="00D717BD">
        <w:rPr>
          <w:b/>
          <w:sz w:val="22"/>
          <w:szCs w:val="22"/>
          <w:lang w:val="lt-LT"/>
        </w:rPr>
        <w:tab/>
        <w:t>Galimas šalutinis poveikis</w:t>
      </w:r>
    </w:p>
    <w:p w:rsidR="002F558F" w:rsidRPr="00D717BD" w:rsidRDefault="002F558F" w:rsidP="002F558F">
      <w:pPr>
        <w:ind w:left="567" w:hanging="567"/>
        <w:rPr>
          <w:sz w:val="22"/>
          <w:szCs w:val="22"/>
          <w:lang w:val="lt-LT"/>
        </w:rPr>
      </w:pPr>
    </w:p>
    <w:p w:rsidR="002F558F" w:rsidRPr="00D717BD" w:rsidRDefault="002F558F" w:rsidP="002F558F">
      <w:pPr>
        <w:rPr>
          <w:sz w:val="22"/>
          <w:szCs w:val="22"/>
          <w:lang w:val="lt-LT"/>
        </w:rPr>
      </w:pPr>
      <w:r w:rsidRPr="00D717BD">
        <w:rPr>
          <w:noProof/>
          <w:sz w:val="22"/>
          <w:szCs w:val="22"/>
          <w:lang w:val="lt-LT"/>
        </w:rPr>
        <w:t>Šis vaistas, kaip ir visi kiti</w:t>
      </w:r>
      <w:r w:rsidRPr="00D717BD">
        <w:rPr>
          <w:sz w:val="22"/>
          <w:szCs w:val="22"/>
          <w:lang w:val="lt-LT"/>
        </w:rPr>
        <w:t>, gali sukelti šalutinį poveikį, nors jis pasireiškia ne visiems žmonėms.</w:t>
      </w:r>
    </w:p>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Nustokite vartoti vaistą ir pasitarkite su gydytoju jeigu Jūsų vaikui pasireiškė:</w:t>
      </w:r>
    </w:p>
    <w:p w:rsidR="002F558F" w:rsidRPr="00D717BD" w:rsidRDefault="002F558F" w:rsidP="002F558F">
      <w:pPr>
        <w:numPr>
          <w:ilvl w:val="0"/>
          <w:numId w:val="2"/>
        </w:numPr>
        <w:rPr>
          <w:sz w:val="22"/>
          <w:szCs w:val="22"/>
          <w:lang w:val="lt-LT"/>
        </w:rPr>
      </w:pPr>
      <w:r w:rsidRPr="00D717BD">
        <w:rPr>
          <w:sz w:val="22"/>
          <w:szCs w:val="22"/>
          <w:lang w:val="lt-LT"/>
        </w:rPr>
        <w:t>Alerginės reakcijos, tokios kaip odos išbėrimas, niežulys, kartais su kvėpavimo sutrikimais arba lūpų, liežuvio, gerklės, veido patinimas. Labai retais atvejais buvo pranešta apie sunkias odos reakcijas.</w:t>
      </w:r>
    </w:p>
    <w:p w:rsidR="002F558F" w:rsidRPr="00D717BD" w:rsidRDefault="002F558F" w:rsidP="002F558F">
      <w:pPr>
        <w:numPr>
          <w:ilvl w:val="0"/>
          <w:numId w:val="2"/>
        </w:numPr>
        <w:rPr>
          <w:sz w:val="22"/>
          <w:szCs w:val="22"/>
          <w:lang w:val="lt-LT"/>
        </w:rPr>
      </w:pPr>
      <w:r w:rsidRPr="00D717BD">
        <w:rPr>
          <w:sz w:val="22"/>
          <w:szCs w:val="22"/>
          <w:lang w:val="lt-LT"/>
        </w:rPr>
        <w:t>Odos išbėrimas, lupimasis arba burnos gleivinės opos.</w:t>
      </w:r>
    </w:p>
    <w:p w:rsidR="002F558F" w:rsidRPr="00D717BD" w:rsidRDefault="002F558F" w:rsidP="002F558F">
      <w:pPr>
        <w:numPr>
          <w:ilvl w:val="0"/>
          <w:numId w:val="2"/>
        </w:numPr>
        <w:rPr>
          <w:sz w:val="22"/>
          <w:szCs w:val="22"/>
          <w:lang w:val="lt-LT"/>
        </w:rPr>
      </w:pPr>
      <w:r w:rsidRPr="00D717BD">
        <w:rPr>
          <w:sz w:val="22"/>
          <w:szCs w:val="22"/>
          <w:lang w:val="lt-LT"/>
        </w:rPr>
        <w:t xml:space="preserve">Jei vartojant </w:t>
      </w:r>
      <w:r w:rsidRPr="00D717BD">
        <w:rPr>
          <w:color w:val="000000"/>
          <w:sz w:val="22"/>
          <w:szCs w:val="22"/>
          <w:lang w:val="lt-LT"/>
        </w:rPr>
        <w:t>aspiriną arba kitus nesteroidinius vaistus nuo uždegimo Jums buvo problemų su kvėpavimu ir atsirado panašių reakcijų vartojant šio vaisto.</w:t>
      </w:r>
    </w:p>
    <w:p w:rsidR="002F558F" w:rsidRPr="00D717BD" w:rsidRDefault="002F558F" w:rsidP="002F558F">
      <w:pPr>
        <w:numPr>
          <w:ilvl w:val="0"/>
          <w:numId w:val="2"/>
        </w:numPr>
        <w:rPr>
          <w:sz w:val="22"/>
          <w:szCs w:val="22"/>
          <w:lang w:val="lt-LT"/>
        </w:rPr>
      </w:pPr>
      <w:r w:rsidRPr="00D717BD">
        <w:rPr>
          <w:color w:val="000000"/>
          <w:sz w:val="22"/>
          <w:szCs w:val="22"/>
          <w:lang w:val="lt-LT"/>
        </w:rPr>
        <w:t>Nepaaiškinamos mėlynės arba kraujavimai.</w:t>
      </w:r>
    </w:p>
    <w:p w:rsidR="002F558F" w:rsidRPr="00D717BD" w:rsidRDefault="002F558F" w:rsidP="002F558F">
      <w:pPr>
        <w:rPr>
          <w:sz w:val="22"/>
          <w:szCs w:val="22"/>
          <w:lang w:val="lt-LT"/>
        </w:rPr>
      </w:pPr>
      <w:r w:rsidRPr="00D717BD">
        <w:rPr>
          <w:b/>
          <w:bCs/>
          <w:sz w:val="22"/>
          <w:szCs w:val="22"/>
          <w:lang w:val="lt-LT"/>
        </w:rPr>
        <w:t>Šie šalutinio poveikio reiškiniai yra labai reti (gali pasireikšti rečiau kaip 1 iš 10 000 asmenų).</w:t>
      </w:r>
    </w:p>
    <w:p w:rsidR="002F558F" w:rsidRPr="00D717BD" w:rsidRDefault="002F558F" w:rsidP="002F558F">
      <w:pPr>
        <w:rPr>
          <w:sz w:val="22"/>
          <w:szCs w:val="22"/>
          <w:lang w:val="lt-LT"/>
        </w:rPr>
      </w:pPr>
    </w:p>
    <w:p w:rsidR="002F558F" w:rsidRPr="00D717BD" w:rsidRDefault="002F558F" w:rsidP="002F558F">
      <w:pPr>
        <w:rPr>
          <w:sz w:val="22"/>
          <w:szCs w:val="22"/>
          <w:lang w:val="lt-LT"/>
        </w:rPr>
      </w:pPr>
      <w:r w:rsidRPr="00D717BD">
        <w:rPr>
          <w:sz w:val="22"/>
          <w:szCs w:val="22"/>
          <w:lang w:val="lt-LT"/>
        </w:rPr>
        <w:t>Dažnis „nežinomas“ (negali būti apskaičiuotas pagal turimus duomenis): sunkus sutrikimas, dėl kurio gali padidėti kraujo rūgštingumas (vadinamas metaboline acidoze) sunkia liga sergantiems pacientams, vartojantiems paracetamolio (žr. 2 skyrių).</w:t>
      </w:r>
    </w:p>
    <w:p w:rsidR="002F558F" w:rsidRPr="00D717BD" w:rsidRDefault="002F558F" w:rsidP="002F558F">
      <w:pPr>
        <w:rPr>
          <w:sz w:val="22"/>
          <w:szCs w:val="22"/>
          <w:lang w:val="lt-LT"/>
        </w:rPr>
      </w:pPr>
    </w:p>
    <w:p w:rsidR="002F558F" w:rsidRPr="00D717BD" w:rsidRDefault="002F558F" w:rsidP="002F558F">
      <w:pPr>
        <w:tabs>
          <w:tab w:val="left" w:pos="567"/>
        </w:tabs>
        <w:rPr>
          <w:b/>
          <w:snapToGrid w:val="0"/>
          <w:sz w:val="22"/>
          <w:szCs w:val="22"/>
          <w:lang w:val="lt-LT"/>
        </w:rPr>
      </w:pPr>
      <w:r w:rsidRPr="00D717BD">
        <w:rPr>
          <w:b/>
          <w:noProof/>
          <w:snapToGrid w:val="0"/>
          <w:sz w:val="22"/>
          <w:szCs w:val="22"/>
          <w:lang w:val="lt-LT"/>
        </w:rPr>
        <w:t>Pranešimas apie šalutinį poveikį</w:t>
      </w:r>
    </w:p>
    <w:p w:rsidR="002F558F" w:rsidRPr="00D717BD" w:rsidRDefault="002F558F" w:rsidP="002F558F">
      <w:pPr>
        <w:tabs>
          <w:tab w:val="left" w:pos="567"/>
        </w:tabs>
        <w:spacing w:line="260" w:lineRule="exact"/>
        <w:ind w:right="-449"/>
        <w:rPr>
          <w:noProof/>
          <w:snapToGrid w:val="0"/>
          <w:sz w:val="22"/>
          <w:szCs w:val="22"/>
          <w:lang w:val="lt-LT"/>
        </w:rPr>
      </w:pPr>
      <w:r w:rsidRPr="00D717BD">
        <w:rPr>
          <w:noProof/>
          <w:snapToGrid w:val="0"/>
          <w:sz w:val="22"/>
          <w:szCs w:val="22"/>
          <w:lang w:val="lt-LT"/>
        </w:rPr>
        <w:t>Jeigu pasireiškė šalutinis poveikis, įskaitant šiame lapelyje nenurodytą, pasakykite gydytojui arba vaistininkui</w:t>
      </w:r>
      <w:r w:rsidRPr="00D717BD">
        <w:rPr>
          <w:snapToGrid w:val="0"/>
          <w:sz w:val="22"/>
          <w:szCs w:val="22"/>
          <w:lang w:val="lt-LT"/>
        </w:rPr>
        <w:t>.</w:t>
      </w:r>
      <w:r w:rsidRPr="00D717BD">
        <w:rPr>
          <w:noProof/>
          <w:snapToGrid w:val="0"/>
          <w:sz w:val="22"/>
          <w:szCs w:val="22"/>
          <w:lang w:val="lt-LT"/>
        </w:rPr>
        <w:t xml:space="preserve"> </w:t>
      </w:r>
      <w:r w:rsidRPr="00D717BD">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D717BD">
        <w:rPr>
          <w:color w:val="0000EE"/>
          <w:sz w:val="22"/>
          <w:szCs w:val="22"/>
          <w:u w:val="single"/>
          <w:lang w:val="lt-LT" w:eastAsia="lt-LT"/>
        </w:rPr>
        <w:t>https://vvkt.lrv.lt/lt/</w:t>
      </w:r>
      <w:r w:rsidRPr="00D717BD">
        <w:rPr>
          <w:sz w:val="22"/>
          <w:szCs w:val="22"/>
          <w:lang w:val="lt-LT" w:eastAsia="lt-LT"/>
        </w:rPr>
        <w:t xml:space="preserve"> nurodytais būdais arba paskambinti nemokamu telefonu +370 800 73 568. Pranešdami apie šalutinį poveikį galite mums padėti gauti daugiau informacijos apie šio vaisto saugumą.</w:t>
      </w:r>
    </w:p>
    <w:p w:rsidR="002F558F" w:rsidRPr="00D717BD" w:rsidRDefault="002F558F" w:rsidP="002F558F">
      <w:pPr>
        <w:tabs>
          <w:tab w:val="left" w:pos="567"/>
        </w:tabs>
        <w:spacing w:line="260" w:lineRule="exact"/>
        <w:ind w:right="-449"/>
        <w:rPr>
          <w:sz w:val="22"/>
          <w:szCs w:val="22"/>
          <w:lang w:val="lt-LT"/>
        </w:rPr>
      </w:pPr>
    </w:p>
    <w:p w:rsidR="002F558F" w:rsidRPr="00D717BD" w:rsidRDefault="002F558F" w:rsidP="002F558F">
      <w:pPr>
        <w:ind w:left="567" w:hanging="567"/>
        <w:rPr>
          <w:sz w:val="22"/>
          <w:szCs w:val="22"/>
          <w:lang w:val="lt-LT"/>
        </w:rPr>
      </w:pPr>
    </w:p>
    <w:p w:rsidR="002F558F" w:rsidRPr="00D717BD" w:rsidRDefault="002F558F" w:rsidP="002F558F">
      <w:pPr>
        <w:tabs>
          <w:tab w:val="left" w:pos="567"/>
        </w:tabs>
        <w:rPr>
          <w:b/>
          <w:sz w:val="22"/>
          <w:szCs w:val="22"/>
          <w:lang w:val="lt-LT"/>
        </w:rPr>
      </w:pPr>
      <w:r w:rsidRPr="00D717BD">
        <w:rPr>
          <w:b/>
          <w:sz w:val="22"/>
          <w:szCs w:val="22"/>
          <w:lang w:val="lt-LT"/>
        </w:rPr>
        <w:t>5.</w:t>
      </w:r>
      <w:r w:rsidRPr="00D717BD">
        <w:rPr>
          <w:b/>
          <w:sz w:val="22"/>
          <w:szCs w:val="22"/>
          <w:lang w:val="lt-LT"/>
        </w:rPr>
        <w:tab/>
        <w:t xml:space="preserve">Kaip laikyti Panadol </w:t>
      </w:r>
    </w:p>
    <w:p w:rsidR="002F558F" w:rsidRPr="00D717BD" w:rsidRDefault="002F558F" w:rsidP="002F558F">
      <w:pPr>
        <w:numPr>
          <w:ilvl w:val="12"/>
          <w:numId w:val="0"/>
        </w:numPr>
        <w:ind w:left="567" w:hanging="567"/>
        <w:outlineLvl w:val="0"/>
        <w:rPr>
          <w:sz w:val="22"/>
          <w:szCs w:val="22"/>
          <w:lang w:val="lt-LT"/>
        </w:rPr>
      </w:pPr>
    </w:p>
    <w:p w:rsidR="002F558F" w:rsidRPr="00D717BD" w:rsidRDefault="002F558F" w:rsidP="002F558F">
      <w:pPr>
        <w:rPr>
          <w:sz w:val="22"/>
          <w:szCs w:val="22"/>
          <w:lang w:val="lt-LT"/>
        </w:rPr>
      </w:pPr>
      <w:r w:rsidRPr="00D717BD">
        <w:rPr>
          <w:sz w:val="22"/>
          <w:szCs w:val="22"/>
          <w:lang w:val="lt-LT"/>
        </w:rPr>
        <w:t>Šį vaistą laikykite vaikams nepastebimoje ir nepasiekiamoje vietoje.</w:t>
      </w:r>
    </w:p>
    <w:p w:rsidR="002F558F" w:rsidRPr="00D717BD" w:rsidRDefault="002F558F" w:rsidP="002F558F">
      <w:pPr>
        <w:rPr>
          <w:sz w:val="22"/>
          <w:szCs w:val="22"/>
          <w:lang w:val="lt-LT"/>
        </w:rPr>
      </w:pPr>
    </w:p>
    <w:p w:rsidR="002F558F" w:rsidRPr="00D717BD" w:rsidRDefault="002F558F" w:rsidP="002F558F">
      <w:pPr>
        <w:ind w:left="567" w:hanging="567"/>
        <w:rPr>
          <w:sz w:val="22"/>
          <w:szCs w:val="22"/>
          <w:lang w:val="lt-LT"/>
        </w:rPr>
      </w:pPr>
      <w:r w:rsidRPr="00D717BD">
        <w:rPr>
          <w:sz w:val="22"/>
          <w:szCs w:val="22"/>
          <w:lang w:val="lt-LT"/>
        </w:rPr>
        <w:t>Laikyti žemesnėje kaip 30 °C temperatūroje.</w:t>
      </w:r>
      <w:r w:rsidRPr="00D717BD" w:rsidDel="004961BB">
        <w:rPr>
          <w:sz w:val="22"/>
          <w:szCs w:val="22"/>
          <w:lang w:val="lt-LT"/>
        </w:rPr>
        <w:t xml:space="preserve"> </w:t>
      </w:r>
    </w:p>
    <w:p w:rsidR="002F558F" w:rsidRPr="00D717BD" w:rsidRDefault="002F558F" w:rsidP="002F558F">
      <w:pPr>
        <w:rPr>
          <w:sz w:val="22"/>
          <w:szCs w:val="22"/>
          <w:lang w:val="lt-LT"/>
        </w:rPr>
      </w:pPr>
    </w:p>
    <w:p w:rsidR="002F558F" w:rsidRPr="00D717BD" w:rsidRDefault="002F558F" w:rsidP="002F558F">
      <w:pPr>
        <w:tabs>
          <w:tab w:val="left" w:pos="567"/>
        </w:tabs>
        <w:rPr>
          <w:sz w:val="22"/>
          <w:szCs w:val="22"/>
          <w:lang w:val="lt-LT"/>
        </w:rPr>
      </w:pPr>
      <w:r w:rsidRPr="00D717BD">
        <w:rPr>
          <w:sz w:val="22"/>
          <w:szCs w:val="22"/>
          <w:lang w:val="lt-LT"/>
        </w:rPr>
        <w:t>Ant kartono dėžutės ir buteliuko etiketės po ,,Tinka iki“ nurodytam tinkamumo laikui pasibaigus, šio vaisto vartoti negalima. Vaistas tinkamas vartoti iki paskutinės nurodyto mėnesio dienos.</w:t>
      </w:r>
    </w:p>
    <w:p w:rsidR="002F558F" w:rsidRPr="00D717BD" w:rsidRDefault="002F558F" w:rsidP="002F558F">
      <w:pPr>
        <w:tabs>
          <w:tab w:val="left" w:pos="567"/>
        </w:tabs>
        <w:rPr>
          <w:sz w:val="22"/>
          <w:szCs w:val="22"/>
          <w:lang w:val="lt-LT"/>
        </w:rPr>
      </w:pPr>
      <w:r w:rsidRPr="00D717BD">
        <w:rPr>
          <w:sz w:val="22"/>
          <w:szCs w:val="22"/>
          <w:lang w:val="lt-LT"/>
        </w:rPr>
        <w:t xml:space="preserve">Vaistų negalima išmesti į kanalizaciją arba su buitinėmis atliekomis. Kaip išmesti nereikalingus vaistus, klauskite vaistininko. Šios priemonės padės apsaugoti aplinką. </w:t>
      </w:r>
    </w:p>
    <w:p w:rsidR="002F558F" w:rsidRPr="00D717BD" w:rsidRDefault="002F558F" w:rsidP="002F558F">
      <w:pPr>
        <w:rPr>
          <w:sz w:val="22"/>
          <w:szCs w:val="22"/>
          <w:lang w:val="lt-LT"/>
        </w:rPr>
      </w:pPr>
    </w:p>
    <w:p w:rsidR="002F558F" w:rsidRPr="00D717BD" w:rsidRDefault="002F558F" w:rsidP="002F558F">
      <w:pPr>
        <w:rPr>
          <w:sz w:val="22"/>
          <w:szCs w:val="22"/>
          <w:lang w:val="lt-LT"/>
        </w:rPr>
      </w:pPr>
    </w:p>
    <w:p w:rsidR="002F558F" w:rsidRPr="00D717BD" w:rsidRDefault="002F558F" w:rsidP="002F558F">
      <w:pPr>
        <w:tabs>
          <w:tab w:val="left" w:pos="540"/>
        </w:tabs>
        <w:rPr>
          <w:b/>
          <w:sz w:val="22"/>
          <w:szCs w:val="22"/>
          <w:lang w:val="lt-LT"/>
        </w:rPr>
      </w:pPr>
      <w:r w:rsidRPr="00D717BD">
        <w:rPr>
          <w:b/>
          <w:sz w:val="22"/>
          <w:szCs w:val="22"/>
          <w:lang w:val="lt-LT"/>
        </w:rPr>
        <w:t>6.</w:t>
      </w:r>
      <w:r w:rsidRPr="00D717BD">
        <w:rPr>
          <w:b/>
          <w:sz w:val="22"/>
          <w:szCs w:val="22"/>
          <w:lang w:val="lt-LT"/>
        </w:rPr>
        <w:tab/>
      </w:r>
      <w:r w:rsidRPr="00D717BD">
        <w:rPr>
          <w:b/>
          <w:noProof/>
          <w:sz w:val="22"/>
          <w:szCs w:val="22"/>
          <w:lang w:val="lt-LT"/>
        </w:rPr>
        <w:t>Pakuotės turinys ir kita informacija</w:t>
      </w:r>
    </w:p>
    <w:p w:rsidR="002F558F" w:rsidRPr="00D717BD" w:rsidRDefault="002F558F" w:rsidP="002F558F">
      <w:pPr>
        <w:ind w:left="567" w:hanging="567"/>
        <w:rPr>
          <w:sz w:val="22"/>
          <w:szCs w:val="22"/>
          <w:lang w:val="lt-LT"/>
        </w:rPr>
      </w:pPr>
    </w:p>
    <w:p w:rsidR="002F558F" w:rsidRPr="00D717BD" w:rsidRDefault="002F558F" w:rsidP="002F558F">
      <w:pPr>
        <w:numPr>
          <w:ilvl w:val="12"/>
          <w:numId w:val="0"/>
        </w:numPr>
        <w:ind w:right="-2"/>
        <w:rPr>
          <w:b/>
          <w:bCs/>
          <w:noProof/>
          <w:sz w:val="22"/>
          <w:szCs w:val="22"/>
          <w:lang w:val="lt-LT"/>
        </w:rPr>
      </w:pPr>
      <w:r w:rsidRPr="00D717BD">
        <w:rPr>
          <w:b/>
          <w:bCs/>
          <w:noProof/>
          <w:sz w:val="22"/>
          <w:szCs w:val="22"/>
          <w:lang w:val="lt-LT"/>
        </w:rPr>
        <w:t>Panadol sudėtis</w:t>
      </w:r>
    </w:p>
    <w:p w:rsidR="002F558F" w:rsidRPr="00D717BD" w:rsidRDefault="002F558F" w:rsidP="002F558F">
      <w:pPr>
        <w:ind w:left="567" w:hanging="567"/>
        <w:rPr>
          <w:sz w:val="22"/>
          <w:szCs w:val="22"/>
          <w:lang w:val="lt-LT"/>
        </w:rPr>
      </w:pPr>
      <w:r w:rsidRPr="00D717BD">
        <w:rPr>
          <w:sz w:val="22"/>
          <w:szCs w:val="22"/>
          <w:lang w:val="lt-LT"/>
        </w:rPr>
        <w:lastRenderedPageBreak/>
        <w:t>-</w:t>
      </w:r>
      <w:r w:rsidRPr="00D717BD">
        <w:rPr>
          <w:sz w:val="22"/>
          <w:szCs w:val="22"/>
          <w:lang w:val="lt-LT"/>
        </w:rPr>
        <w:tab/>
        <w:t>Veiklioji medžiaga yra paracetamolis. Kiekviename  geriamosios suspensijos mililitre yra 24 mg paracetamolio.</w:t>
      </w:r>
    </w:p>
    <w:p w:rsidR="002F558F" w:rsidRPr="00D717BD" w:rsidRDefault="002F558F" w:rsidP="002F558F">
      <w:pPr>
        <w:tabs>
          <w:tab w:val="left" w:pos="567"/>
        </w:tabs>
        <w:rPr>
          <w:sz w:val="22"/>
          <w:szCs w:val="22"/>
          <w:lang w:val="lt-LT"/>
        </w:rPr>
      </w:pPr>
      <w:r w:rsidRPr="00D717BD">
        <w:rPr>
          <w:sz w:val="22"/>
          <w:szCs w:val="22"/>
          <w:lang w:val="lt-LT"/>
        </w:rPr>
        <w:t>-</w:t>
      </w:r>
      <w:r w:rsidRPr="00D717BD">
        <w:rPr>
          <w:sz w:val="22"/>
          <w:szCs w:val="22"/>
          <w:lang w:val="lt-LT"/>
        </w:rPr>
        <w:tab/>
        <w:t>Pagalbinės medžiagos yra ksantano lipai, skystasis maltitolis (E965), skystasis sorbitolis 70 % (E420) (nesikristalizuojantis), metilo parahidroksibenzoatas (E218), propilo parahidroksibenzoatas (E216), bevandenė citrinų rūgštis, trinatrio citrato dihidratas, glicerolis (rafinuotas glicerinas 99,5 %), braškių skonio medžiaga, dinatrio edetatas (EDTA), sukralozė (E955), išgrynintas vanduo.</w:t>
      </w:r>
    </w:p>
    <w:p w:rsidR="002F558F" w:rsidRPr="00D717BD" w:rsidRDefault="002F558F" w:rsidP="002F558F">
      <w:pPr>
        <w:rPr>
          <w:sz w:val="22"/>
          <w:szCs w:val="22"/>
          <w:lang w:val="lt-LT"/>
        </w:rPr>
      </w:pPr>
    </w:p>
    <w:p w:rsidR="002F558F" w:rsidRPr="00D717BD" w:rsidRDefault="002F558F" w:rsidP="002F558F">
      <w:pPr>
        <w:rPr>
          <w:b/>
          <w:noProof/>
          <w:sz w:val="22"/>
          <w:szCs w:val="22"/>
          <w:lang w:val="lt-LT"/>
        </w:rPr>
      </w:pPr>
      <w:r w:rsidRPr="00D717BD">
        <w:rPr>
          <w:b/>
          <w:noProof/>
          <w:sz w:val="22"/>
          <w:szCs w:val="22"/>
          <w:lang w:val="lt-LT"/>
        </w:rPr>
        <w:t>Panadol išvaizda ir kiekis pakuotėje</w:t>
      </w:r>
    </w:p>
    <w:p w:rsidR="002F558F" w:rsidRPr="00D717BD" w:rsidRDefault="002F558F" w:rsidP="002F558F">
      <w:pPr>
        <w:ind w:left="567" w:hanging="567"/>
        <w:rPr>
          <w:sz w:val="22"/>
          <w:szCs w:val="22"/>
          <w:lang w:val="lt-LT"/>
        </w:rPr>
      </w:pPr>
      <w:r w:rsidRPr="00D717BD">
        <w:rPr>
          <w:sz w:val="22"/>
          <w:szCs w:val="22"/>
          <w:lang w:val="lt-LT"/>
        </w:rPr>
        <w:t>Panadol yra neskaidri arba permatoma, balta arba šiek tiek rusva, braškių kvapo ir skonio suspensija.</w:t>
      </w:r>
    </w:p>
    <w:p w:rsidR="002F558F" w:rsidRPr="00D717BD" w:rsidRDefault="002F558F" w:rsidP="002F558F">
      <w:pPr>
        <w:rPr>
          <w:sz w:val="22"/>
          <w:szCs w:val="22"/>
          <w:lang w:val="lt-LT"/>
        </w:rPr>
      </w:pPr>
      <w:r w:rsidRPr="00D717BD">
        <w:rPr>
          <w:sz w:val="22"/>
          <w:szCs w:val="22"/>
          <w:lang w:val="lt-LT"/>
        </w:rPr>
        <w:t xml:space="preserve">Panadol tiekiamas buteliukais po 100 ml. Kartono dėžutėje yra vienas buteliukas ir 10 ml plastikinis </w:t>
      </w:r>
      <w:r w:rsidRPr="00D717BD">
        <w:rPr>
          <w:iCs/>
          <w:noProof/>
          <w:sz w:val="22"/>
          <w:szCs w:val="22"/>
          <w:lang w:val="lt-LT" w:eastAsia="x-none"/>
        </w:rPr>
        <w:t>geriamasis švirkštas</w:t>
      </w:r>
      <w:r w:rsidRPr="00D717BD">
        <w:rPr>
          <w:sz w:val="22"/>
          <w:szCs w:val="22"/>
          <w:lang w:val="lt-LT"/>
        </w:rPr>
        <w:t>, kurį sudaro cilindras (korpusas) ir stūmoklis (slankiklis) pagamintas iš polietileno ir polipropileno.</w:t>
      </w:r>
    </w:p>
    <w:p w:rsidR="002F558F" w:rsidRPr="00D717BD" w:rsidRDefault="002F558F" w:rsidP="002F558F">
      <w:pPr>
        <w:rPr>
          <w:sz w:val="22"/>
          <w:szCs w:val="22"/>
          <w:lang w:val="lt-LT"/>
        </w:rPr>
      </w:pPr>
    </w:p>
    <w:p w:rsidR="002F558F" w:rsidRPr="00D717BD" w:rsidRDefault="002F558F" w:rsidP="002F558F">
      <w:pPr>
        <w:numPr>
          <w:ilvl w:val="12"/>
          <w:numId w:val="0"/>
        </w:numPr>
        <w:ind w:right="-2"/>
        <w:rPr>
          <w:b/>
          <w:bCs/>
          <w:noProof/>
          <w:sz w:val="22"/>
          <w:szCs w:val="22"/>
          <w:lang w:val="lt-LT"/>
        </w:rPr>
      </w:pPr>
      <w:r w:rsidRPr="00D717BD">
        <w:rPr>
          <w:b/>
          <w:bCs/>
          <w:noProof/>
          <w:sz w:val="22"/>
          <w:szCs w:val="22"/>
          <w:lang w:val="lt-LT"/>
        </w:rPr>
        <w:t>Registruotojas ir gamintojas</w:t>
      </w:r>
    </w:p>
    <w:p w:rsidR="002F558F" w:rsidRPr="00D717BD" w:rsidRDefault="002F558F" w:rsidP="002F558F">
      <w:pPr>
        <w:numPr>
          <w:ilvl w:val="12"/>
          <w:numId w:val="0"/>
        </w:numPr>
        <w:ind w:right="-2"/>
        <w:rPr>
          <w:b/>
          <w:bCs/>
          <w:noProof/>
          <w:sz w:val="22"/>
          <w:szCs w:val="22"/>
          <w:lang w:val="lt-LT"/>
        </w:rPr>
      </w:pPr>
    </w:p>
    <w:p w:rsidR="002F558F" w:rsidRPr="00D717BD" w:rsidRDefault="002F558F" w:rsidP="002F558F">
      <w:pPr>
        <w:rPr>
          <w:b/>
          <w:bCs/>
          <w:sz w:val="22"/>
          <w:szCs w:val="22"/>
          <w:lang w:val="lt-LT"/>
        </w:rPr>
      </w:pPr>
      <w:r w:rsidRPr="00D717BD">
        <w:rPr>
          <w:b/>
          <w:bCs/>
          <w:sz w:val="22"/>
          <w:szCs w:val="22"/>
          <w:lang w:val="lt-LT"/>
        </w:rPr>
        <w:t>Registruotojas</w:t>
      </w:r>
    </w:p>
    <w:p w:rsidR="002F558F" w:rsidRPr="00D717BD" w:rsidRDefault="002F558F" w:rsidP="002F558F">
      <w:pPr>
        <w:rPr>
          <w:sz w:val="22"/>
          <w:szCs w:val="22"/>
          <w:lang w:val="lt-LT"/>
        </w:rPr>
      </w:pPr>
      <w:r w:rsidRPr="00D717BD">
        <w:rPr>
          <w:sz w:val="22"/>
          <w:szCs w:val="22"/>
          <w:lang w:val="lt-LT"/>
        </w:rPr>
        <w:t xml:space="preserve">Haleon Hungary Kft. </w:t>
      </w:r>
    </w:p>
    <w:p w:rsidR="002F558F" w:rsidRPr="00D717BD" w:rsidRDefault="002F558F" w:rsidP="002F558F">
      <w:pPr>
        <w:rPr>
          <w:sz w:val="22"/>
          <w:szCs w:val="22"/>
          <w:lang w:val="lt-LT"/>
        </w:rPr>
      </w:pPr>
      <w:r w:rsidRPr="00D717BD">
        <w:rPr>
          <w:sz w:val="22"/>
          <w:szCs w:val="22"/>
          <w:lang w:val="lt-LT"/>
        </w:rPr>
        <w:t>1124 Budapest, Csörsz utca 43</w:t>
      </w:r>
    </w:p>
    <w:p w:rsidR="002F558F" w:rsidRPr="00D717BD" w:rsidRDefault="002F558F" w:rsidP="002F558F">
      <w:pPr>
        <w:rPr>
          <w:sz w:val="22"/>
          <w:szCs w:val="22"/>
          <w:lang w:val="lt-LT"/>
        </w:rPr>
      </w:pPr>
      <w:r w:rsidRPr="00D717BD">
        <w:rPr>
          <w:sz w:val="22"/>
          <w:szCs w:val="22"/>
          <w:lang w:val="lt-LT"/>
        </w:rPr>
        <w:t>Vengrija</w:t>
      </w:r>
    </w:p>
    <w:p w:rsidR="002F558F" w:rsidRPr="00D717BD" w:rsidRDefault="002F558F" w:rsidP="002F558F">
      <w:pPr>
        <w:rPr>
          <w:i/>
          <w:sz w:val="22"/>
          <w:szCs w:val="22"/>
          <w:lang w:val="lt-LT"/>
        </w:rPr>
      </w:pPr>
    </w:p>
    <w:p w:rsidR="002F558F" w:rsidRPr="00D717BD" w:rsidRDefault="002F558F" w:rsidP="002F558F">
      <w:pPr>
        <w:rPr>
          <w:b/>
          <w:sz w:val="22"/>
          <w:szCs w:val="22"/>
          <w:lang w:val="lt-LT"/>
        </w:rPr>
      </w:pPr>
      <w:r w:rsidRPr="00D717BD">
        <w:rPr>
          <w:b/>
          <w:sz w:val="22"/>
          <w:szCs w:val="22"/>
          <w:lang w:val="lt-LT"/>
        </w:rPr>
        <w:t>Gamintojas</w:t>
      </w:r>
    </w:p>
    <w:p w:rsidR="002F558F" w:rsidRPr="00D717BD" w:rsidRDefault="002F558F" w:rsidP="002F558F">
      <w:pPr>
        <w:rPr>
          <w:sz w:val="22"/>
          <w:szCs w:val="22"/>
          <w:lang w:val="lt-LT"/>
        </w:rPr>
      </w:pPr>
      <w:r w:rsidRPr="00D717BD">
        <w:rPr>
          <w:sz w:val="22"/>
          <w:szCs w:val="22"/>
          <w:lang w:val="lt-LT"/>
        </w:rPr>
        <w:t>Farmaclair</w:t>
      </w:r>
    </w:p>
    <w:p w:rsidR="002F558F" w:rsidRPr="00D717BD" w:rsidRDefault="002F558F" w:rsidP="002F558F">
      <w:pPr>
        <w:rPr>
          <w:sz w:val="22"/>
          <w:szCs w:val="22"/>
          <w:lang w:val="lt-LT"/>
        </w:rPr>
      </w:pPr>
      <w:r w:rsidRPr="00D717BD">
        <w:rPr>
          <w:sz w:val="22"/>
          <w:szCs w:val="22"/>
          <w:lang w:val="lt-LT"/>
        </w:rPr>
        <w:t>440 avenue de General de Gaulle</w:t>
      </w:r>
    </w:p>
    <w:p w:rsidR="002F558F" w:rsidRPr="00D717BD" w:rsidRDefault="002F558F" w:rsidP="002F558F">
      <w:pPr>
        <w:rPr>
          <w:sz w:val="22"/>
          <w:szCs w:val="22"/>
          <w:lang w:val="lt-LT"/>
        </w:rPr>
      </w:pPr>
      <w:r w:rsidRPr="00D717BD">
        <w:rPr>
          <w:sz w:val="22"/>
          <w:szCs w:val="22"/>
          <w:lang w:val="lt-LT"/>
        </w:rPr>
        <w:t>14200 Herouville Saint-Clair</w:t>
      </w:r>
    </w:p>
    <w:p w:rsidR="002F558F" w:rsidRPr="00D717BD" w:rsidRDefault="002F558F" w:rsidP="002F558F">
      <w:pPr>
        <w:rPr>
          <w:snapToGrid w:val="0"/>
          <w:sz w:val="22"/>
          <w:szCs w:val="22"/>
          <w:lang w:val="lt-LT"/>
        </w:rPr>
      </w:pPr>
      <w:r w:rsidRPr="00D717BD">
        <w:rPr>
          <w:snapToGrid w:val="0"/>
          <w:sz w:val="22"/>
          <w:szCs w:val="22"/>
          <w:lang w:val="lt-LT"/>
        </w:rPr>
        <w:t>Prancūzija</w:t>
      </w:r>
    </w:p>
    <w:p w:rsidR="002F558F" w:rsidRPr="00D717BD" w:rsidRDefault="002F558F" w:rsidP="002F558F">
      <w:pPr>
        <w:rPr>
          <w:snapToGrid w:val="0"/>
          <w:sz w:val="22"/>
          <w:szCs w:val="22"/>
          <w:lang w:val="lt-LT"/>
        </w:rPr>
      </w:pPr>
    </w:p>
    <w:p w:rsidR="002F558F" w:rsidRPr="00D717BD" w:rsidRDefault="002F558F" w:rsidP="002F558F">
      <w:pPr>
        <w:rPr>
          <w:sz w:val="22"/>
          <w:szCs w:val="22"/>
          <w:lang w:val="lt-LT"/>
        </w:rPr>
      </w:pPr>
      <w:r w:rsidRPr="00D717BD">
        <w:rPr>
          <w:sz w:val="22"/>
          <w:szCs w:val="22"/>
          <w:lang w:val="lt-LT"/>
        </w:rPr>
        <w:t>arba</w:t>
      </w:r>
    </w:p>
    <w:p w:rsidR="002F558F" w:rsidRPr="00D717BD" w:rsidRDefault="002F558F" w:rsidP="002F558F">
      <w:pPr>
        <w:rPr>
          <w:sz w:val="22"/>
          <w:szCs w:val="22"/>
          <w:lang w:val="lt-LT"/>
        </w:rPr>
      </w:pPr>
    </w:p>
    <w:p w:rsidR="002F558F" w:rsidRPr="00D717BD" w:rsidRDefault="002F558F" w:rsidP="002F558F">
      <w:pPr>
        <w:rPr>
          <w:rFonts w:eastAsia="Calibri"/>
          <w:sz w:val="22"/>
          <w:szCs w:val="22"/>
          <w:lang w:val="lt-LT"/>
        </w:rPr>
      </w:pPr>
      <w:r w:rsidRPr="00D717BD">
        <w:rPr>
          <w:rFonts w:eastAsia="Calibri"/>
          <w:sz w:val="22"/>
          <w:szCs w:val="22"/>
          <w:lang w:val="lt-LT"/>
        </w:rPr>
        <w:t>Haleon Germany GmbH</w:t>
      </w:r>
    </w:p>
    <w:p w:rsidR="002F558F" w:rsidRPr="00D717BD" w:rsidRDefault="002F558F" w:rsidP="002F558F">
      <w:pPr>
        <w:rPr>
          <w:rFonts w:eastAsia="Calibri"/>
          <w:sz w:val="22"/>
          <w:szCs w:val="22"/>
          <w:lang w:val="lt-LT"/>
        </w:rPr>
      </w:pPr>
      <w:r w:rsidRPr="00D717BD">
        <w:rPr>
          <w:rFonts w:eastAsia="Calibri"/>
          <w:sz w:val="22"/>
          <w:szCs w:val="22"/>
          <w:lang w:val="lt-LT"/>
        </w:rPr>
        <w:t>Barthstraße 4</w:t>
      </w:r>
    </w:p>
    <w:p w:rsidR="002F558F" w:rsidRPr="00D717BD" w:rsidRDefault="002F558F" w:rsidP="002F558F">
      <w:pPr>
        <w:rPr>
          <w:rFonts w:eastAsia="Calibri"/>
          <w:sz w:val="22"/>
          <w:szCs w:val="22"/>
          <w:lang w:val="lt-LT"/>
        </w:rPr>
      </w:pPr>
      <w:r w:rsidRPr="00D717BD">
        <w:rPr>
          <w:rFonts w:eastAsia="Calibri"/>
          <w:sz w:val="22"/>
          <w:szCs w:val="22"/>
          <w:lang w:val="lt-LT"/>
        </w:rPr>
        <w:t xml:space="preserve">80339 München </w:t>
      </w:r>
    </w:p>
    <w:p w:rsidR="002F558F" w:rsidRPr="00D717BD" w:rsidRDefault="002F558F" w:rsidP="002F558F">
      <w:pPr>
        <w:rPr>
          <w:rFonts w:eastAsia="Calibri"/>
          <w:sz w:val="22"/>
          <w:szCs w:val="22"/>
          <w:lang w:val="lt-LT"/>
        </w:rPr>
      </w:pPr>
      <w:r w:rsidRPr="00D717BD">
        <w:rPr>
          <w:rFonts w:eastAsia="Calibri"/>
          <w:sz w:val="22"/>
          <w:szCs w:val="22"/>
          <w:lang w:val="lt-LT"/>
        </w:rPr>
        <w:t>Vokietija</w:t>
      </w:r>
    </w:p>
    <w:p w:rsidR="002F558F" w:rsidRPr="00D717BD" w:rsidRDefault="002F558F" w:rsidP="002F558F">
      <w:pPr>
        <w:ind w:left="567" w:hanging="567"/>
        <w:rPr>
          <w:sz w:val="22"/>
          <w:szCs w:val="22"/>
          <w:lang w:val="lt-LT"/>
        </w:rPr>
      </w:pPr>
    </w:p>
    <w:p w:rsidR="002F558F" w:rsidRPr="00D717BD" w:rsidRDefault="002F558F" w:rsidP="002F558F">
      <w:pPr>
        <w:tabs>
          <w:tab w:val="left" w:pos="567"/>
        </w:tabs>
        <w:ind w:left="567" w:hanging="567"/>
        <w:rPr>
          <w:b/>
          <w:sz w:val="22"/>
          <w:szCs w:val="22"/>
          <w:lang w:val="lt-LT"/>
        </w:rPr>
      </w:pPr>
      <w:r w:rsidRPr="00D717BD">
        <w:rPr>
          <w:b/>
          <w:sz w:val="22"/>
          <w:szCs w:val="22"/>
          <w:lang w:val="lt-LT"/>
        </w:rPr>
        <w:t>Šis pakuotės lapelis paskutinį kartą peržiūrėtas</w:t>
      </w:r>
      <w:r>
        <w:rPr>
          <w:b/>
          <w:sz w:val="22"/>
          <w:szCs w:val="22"/>
          <w:lang w:val="lt-LT"/>
        </w:rPr>
        <w:t xml:space="preserve"> 2025-06-20</w:t>
      </w:r>
      <w:r w:rsidRPr="00D717BD">
        <w:rPr>
          <w:b/>
          <w:sz w:val="22"/>
          <w:szCs w:val="22"/>
          <w:lang w:val="lt-LT"/>
        </w:rPr>
        <w:t>.</w:t>
      </w:r>
    </w:p>
    <w:p w:rsidR="002F558F" w:rsidRPr="00D717BD" w:rsidRDefault="002F558F" w:rsidP="002F558F">
      <w:pPr>
        <w:tabs>
          <w:tab w:val="left" w:pos="567"/>
        </w:tabs>
        <w:ind w:left="567" w:hanging="567"/>
        <w:rPr>
          <w:b/>
          <w:sz w:val="22"/>
          <w:szCs w:val="22"/>
          <w:lang w:val="lt-LT"/>
        </w:rPr>
      </w:pPr>
    </w:p>
    <w:p w:rsidR="002F558F" w:rsidRPr="00D717BD" w:rsidRDefault="002F558F" w:rsidP="002F558F">
      <w:pPr>
        <w:numPr>
          <w:ilvl w:val="12"/>
          <w:numId w:val="0"/>
        </w:numPr>
        <w:ind w:right="-2"/>
        <w:rPr>
          <w:sz w:val="22"/>
          <w:szCs w:val="22"/>
          <w:lang w:val="lt-LT"/>
        </w:rPr>
      </w:pPr>
      <w:r w:rsidRPr="00D717BD">
        <w:rPr>
          <w:sz w:val="22"/>
          <w:szCs w:val="22"/>
          <w:lang w:val="lt-LT"/>
        </w:rPr>
        <w:t>Išsami informacija apie šį vaistą pateikiama Valstybinės vaistų kontrolės tarnybos prie Lietuvos Respublikos sveikatos apsaugos ministerijos tinklalapyje</w:t>
      </w:r>
      <w:r w:rsidRPr="00D717BD">
        <w:rPr>
          <w:i/>
          <w:sz w:val="22"/>
          <w:szCs w:val="22"/>
          <w:lang w:val="lt-LT"/>
        </w:rPr>
        <w:t xml:space="preserve"> </w:t>
      </w:r>
      <w:hyperlink r:id="rId6" w:history="1">
        <w:r w:rsidRPr="00D717BD">
          <w:rPr>
            <w:rStyle w:val="Hipersaitas"/>
            <w:rFonts w:eastAsia="SimSun"/>
            <w:sz w:val="22"/>
            <w:szCs w:val="22"/>
            <w:lang w:val="lt-LT"/>
          </w:rPr>
          <w:t>https://vvkt.lrv.lt/lt/</w:t>
        </w:r>
      </w:hyperlink>
      <w:r w:rsidRPr="00D717BD">
        <w:rPr>
          <w:sz w:val="22"/>
          <w:szCs w:val="22"/>
          <w:lang w:val="lt-LT"/>
        </w:rPr>
        <w:t>.</w:t>
      </w:r>
    </w:p>
    <w:p w:rsidR="002F558F" w:rsidRPr="00D717BD" w:rsidRDefault="002F558F" w:rsidP="002F558F">
      <w:pPr>
        <w:rPr>
          <w:lang w:val="lt-LT"/>
        </w:rPr>
      </w:pPr>
    </w:p>
    <w:p w:rsidR="00BA6577" w:rsidRDefault="00BA6577">
      <w:bookmarkStart w:id="0" w:name="_GoBack"/>
      <w:bookmarkEnd w:id="0"/>
    </w:p>
    <w:sectPr w:rsidR="00BA6577" w:rsidSect="00CB359D">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EF20E01"/>
    <w:multiLevelType w:val="hybridMultilevel"/>
    <w:tmpl w:val="054C7304"/>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5D23FF"/>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8F"/>
    <w:rsid w:val="00070BFA"/>
    <w:rsid w:val="00072F85"/>
    <w:rsid w:val="000A5E72"/>
    <w:rsid w:val="000A7B60"/>
    <w:rsid w:val="00181364"/>
    <w:rsid w:val="002945D9"/>
    <w:rsid w:val="002F558F"/>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CFFA6-BB4A-4A07-B602-7E2D494F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58F"/>
    <w:pPr>
      <w:spacing w:after="0" w:line="240" w:lineRule="auto"/>
    </w:pPr>
    <w:rPr>
      <w:rFonts w:ascii="Times New Roman" w:hAnsi="Times New Roman" w:cs="Times New Roman"/>
      <w:sz w:val="24"/>
      <w:szCs w:val="24"/>
      <w:lang w:val="en-GB"/>
    </w:rPr>
  </w:style>
  <w:style w:type="paragraph" w:styleId="Antrat2">
    <w:name w:val="heading 2"/>
    <w:basedOn w:val="prastasis"/>
    <w:next w:val="prastasis"/>
    <w:link w:val="Antrat2Diagrama"/>
    <w:qFormat/>
    <w:rsid w:val="002F55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2F558F"/>
    <w:rPr>
      <w:rFonts w:ascii="Arial" w:hAnsi="Arial" w:cs="Arial"/>
      <w:b/>
      <w:bCs/>
      <w:i/>
      <w:iCs/>
      <w:sz w:val="28"/>
      <w:szCs w:val="28"/>
      <w:lang w:val="en-GB"/>
    </w:rPr>
  </w:style>
  <w:style w:type="paragraph" w:styleId="Pagrindinistekstas">
    <w:name w:val="Body Text"/>
    <w:basedOn w:val="prastasis"/>
    <w:link w:val="PagrindinistekstasDiagrama"/>
    <w:rsid w:val="002F558F"/>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2F558F"/>
    <w:rPr>
      <w:rFonts w:ascii="Times New Roman" w:hAnsi="Times New Roman" w:cs="Times New Roman"/>
      <w:sz w:val="24"/>
      <w:szCs w:val="20"/>
      <w:lang w:eastAsia="lt-LT"/>
    </w:rPr>
  </w:style>
  <w:style w:type="character" w:styleId="Hipersaitas">
    <w:name w:val="Hyperlink"/>
    <w:uiPriority w:val="99"/>
    <w:rsid w:val="002F558F"/>
    <w:rPr>
      <w:color w:val="0000FF"/>
      <w:u w:val="single"/>
    </w:rPr>
  </w:style>
  <w:style w:type="paragraph" w:customStyle="1" w:styleId="BTEMEASMCA">
    <w:name w:val="BT EMEA_SMCA"/>
    <w:basedOn w:val="prastasis"/>
    <w:link w:val="BTEMEASMCAChar"/>
    <w:autoRedefine/>
    <w:uiPriority w:val="99"/>
    <w:rsid w:val="002F558F"/>
    <w:rPr>
      <w:iCs/>
      <w:noProof/>
      <w:sz w:val="20"/>
      <w:szCs w:val="20"/>
      <w:lang w:val="lt-LT" w:eastAsia="x-none"/>
    </w:rPr>
  </w:style>
  <w:style w:type="character" w:customStyle="1" w:styleId="BTEMEASMCAChar">
    <w:name w:val="BT EMEA_SMCA Char"/>
    <w:link w:val="BTEMEASMCA"/>
    <w:uiPriority w:val="99"/>
    <w:rsid w:val="002F558F"/>
    <w:rPr>
      <w:rFonts w:ascii="Times New Roman" w:hAnsi="Times New Roman" w:cs="Times New Roman"/>
      <w:iCs/>
      <w:noProof/>
      <w:sz w:val="20"/>
      <w:szCs w:val="20"/>
      <w:lang w:eastAsia="x-none"/>
    </w:rPr>
  </w:style>
  <w:style w:type="paragraph" w:customStyle="1" w:styleId="Spalvotassraas1parykinimas1">
    <w:name w:val="Spalvotas sąrašas – 1 paryškinimas1"/>
    <w:basedOn w:val="prastasis"/>
    <w:uiPriority w:val="34"/>
    <w:qFormat/>
    <w:rsid w:val="002F558F"/>
    <w:pPr>
      <w:ind w:left="720"/>
      <w:contextualSpacing/>
    </w:pPr>
  </w:style>
  <w:style w:type="paragraph" w:styleId="Sraopastraipa">
    <w:name w:val="List Paragraph"/>
    <w:basedOn w:val="prastasis"/>
    <w:uiPriority w:val="34"/>
    <w:qFormat/>
    <w:rsid w:val="002F558F"/>
    <w:pPr>
      <w:ind w:left="720"/>
      <w:contextualSpacing/>
    </w:pPr>
  </w:style>
  <w:style w:type="paragraph" w:styleId="Komentarotekstas">
    <w:name w:val="annotation text"/>
    <w:basedOn w:val="prastasis"/>
    <w:link w:val="KomentarotekstasDiagrama"/>
    <w:uiPriority w:val="99"/>
    <w:unhideWhenUsed/>
    <w:rsid w:val="002F558F"/>
    <w:rPr>
      <w:sz w:val="20"/>
      <w:szCs w:val="20"/>
    </w:rPr>
  </w:style>
  <w:style w:type="character" w:customStyle="1" w:styleId="KomentarotekstasDiagrama">
    <w:name w:val="Komentaro tekstas Diagrama"/>
    <w:basedOn w:val="Numatytasispastraiposriftas"/>
    <w:link w:val="Komentarotekstas"/>
    <w:uiPriority w:val="99"/>
    <w:rsid w:val="002F558F"/>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7225</Words>
  <Characters>4119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2025-06-25T13:00:00Z</dcterms:created>
  <dcterms:modified xsi:type="dcterms:W3CDTF">2025-06-25T13:01:00Z</dcterms:modified>
</cp:coreProperties>
</file>