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8F9E" w14:textId="77777777" w:rsidR="00DD55FD" w:rsidRPr="00621ED6" w:rsidRDefault="00DD55FD" w:rsidP="00DD55FD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0" w:name="_Toc129243138"/>
      <w:bookmarkStart w:id="1" w:name="_Toc129243263"/>
      <w:r w:rsidRPr="00621ED6">
        <w:rPr>
          <w:rFonts w:ascii="Times New Roman" w:eastAsia="Times New Roman" w:hAnsi="Times New Roman"/>
          <w:b/>
          <w:caps/>
        </w:rPr>
        <w:t>P</w:t>
      </w:r>
      <w:r w:rsidRPr="00621ED6">
        <w:rPr>
          <w:rFonts w:ascii="Times New Roman" w:eastAsia="Times New Roman" w:hAnsi="Times New Roman"/>
          <w:b/>
        </w:rPr>
        <w:t>akuotės lapelis: informacija vartotojui</w:t>
      </w:r>
      <w:bookmarkEnd w:id="0"/>
      <w:bookmarkEnd w:id="1"/>
    </w:p>
    <w:p w14:paraId="7F507BCF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4DAAA51E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>PPH</w:t>
      </w:r>
      <w:r w:rsidRPr="00621ED6">
        <w:rPr>
          <w:rFonts w:ascii="Times New Roman" w:eastAsia="Times New Roman" w:hAnsi="Times New Roman"/>
        </w:rPr>
        <w:t xml:space="preserve"> </w:t>
      </w:r>
      <w:r w:rsidRPr="00621ED6">
        <w:rPr>
          <w:rFonts w:ascii="Times New Roman" w:eastAsia="Times New Roman" w:hAnsi="Times New Roman"/>
          <w:b/>
          <w:bCs/>
          <w:lang w:eastAsia="pl-PL"/>
        </w:rPr>
        <w:t>1 mg tabletės</w:t>
      </w:r>
    </w:p>
    <w:p w14:paraId="268D3F8D" w14:textId="77777777" w:rsidR="00DD55FD" w:rsidRPr="00621ED6" w:rsidRDefault="00DD55FD" w:rsidP="00DD55FD">
      <w:pPr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k</w:t>
      </w:r>
      <w:r w:rsidRPr="00621ED6">
        <w:rPr>
          <w:rFonts w:ascii="Times New Roman" w:eastAsia="Times New Roman" w:hAnsi="Times New Roman"/>
          <w:lang w:eastAsia="lt-LT"/>
        </w:rPr>
        <w:t>lemastinas</w:t>
      </w:r>
      <w:proofErr w:type="spellEnd"/>
    </w:p>
    <w:p w14:paraId="13CBBAEC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09CEBA2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Atidžiai perskaitykite visą šį lapelį, prieš pradėdami vartoti vaistą,</w:t>
      </w:r>
      <w:r w:rsidRPr="00621ED6">
        <w:rPr>
          <w:rFonts w:ascii="Times New Roman" w:eastAsia="Times New Roman" w:hAnsi="Times New Roman"/>
          <w:b/>
          <w:noProof/>
        </w:rPr>
        <w:t xml:space="preserve"> nes jame pateikiama Jums svarbi informacija</w:t>
      </w:r>
      <w:r w:rsidRPr="00621ED6">
        <w:rPr>
          <w:rFonts w:ascii="Times New Roman" w:eastAsia="Times New Roman" w:hAnsi="Times New Roman"/>
          <w:b/>
        </w:rPr>
        <w:t>.</w:t>
      </w:r>
    </w:p>
    <w:p w14:paraId="5AC7B8B7" w14:textId="77777777" w:rsidR="00DD55FD" w:rsidRPr="00347851" w:rsidRDefault="00DD55FD" w:rsidP="00DD55FD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Neišmeskite šio lapelio, nes vėl gali prireikti jį perskaityti.</w:t>
      </w:r>
    </w:p>
    <w:p w14:paraId="3B0622D1" w14:textId="77777777" w:rsidR="00DD55FD" w:rsidRPr="00347851" w:rsidRDefault="00DD55FD" w:rsidP="00DD55FD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Jeigu kiltų daugiau klausimų, kreipkitės į gydytoją arba vaistininką.</w:t>
      </w:r>
    </w:p>
    <w:p w14:paraId="757279B3" w14:textId="77777777" w:rsidR="00DD55FD" w:rsidRPr="00347851" w:rsidRDefault="00DD55FD" w:rsidP="00DD55FD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Šis vaistas skirtas tik Jums, todėl kitiems žmonėms jo duoti negalima. Vaistas gali jiems pakenkti (net tiems, kurių ligos požymiai yra tokie patys kaip Jūsų).</w:t>
      </w:r>
    </w:p>
    <w:p w14:paraId="43B3B6B2" w14:textId="77777777" w:rsidR="00DD55FD" w:rsidRPr="00347851" w:rsidRDefault="00DD55FD" w:rsidP="00DD55FD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347851">
        <w:rPr>
          <w:rFonts w:ascii="Times New Roman" w:eastAsia="Times New Roman" w:hAnsi="Times New Roman"/>
          <w:noProof/>
        </w:rPr>
        <w:t>Jeigu pasireiškė šalutinis poveikis (net jeigu jis šiame lapelyje nenurodytas), kreipkitės į gydytoją arba vaistininką. Žr. 4 skyrių.</w:t>
      </w:r>
    </w:p>
    <w:p w14:paraId="6074AF71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777B67A7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54445732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621ED6">
        <w:rPr>
          <w:rFonts w:ascii="Times New Roman" w:eastAsia="Times New Roman" w:hAnsi="Times New Roman"/>
          <w:b/>
          <w:noProof/>
        </w:rPr>
        <w:t>Apie ką rašoma šiame lapelyje?</w:t>
      </w:r>
    </w:p>
    <w:p w14:paraId="5CD1F7CC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</w:p>
    <w:p w14:paraId="7E1C36C1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1.</w:t>
      </w:r>
      <w:r w:rsidRPr="00621ED6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>PPH</w:t>
      </w:r>
      <w:r w:rsidRPr="00621ED6">
        <w:rPr>
          <w:rFonts w:ascii="Times New Roman" w:eastAsia="Times New Roman" w:hAnsi="Times New Roman"/>
        </w:rPr>
        <w:t xml:space="preserve"> ir kam jis vartojamas</w:t>
      </w:r>
    </w:p>
    <w:p w14:paraId="1B6D8EAA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2.</w:t>
      </w:r>
      <w:r w:rsidRPr="00621ED6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>PPH</w:t>
      </w:r>
    </w:p>
    <w:p w14:paraId="5506CFAC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3.</w:t>
      </w:r>
      <w:r w:rsidRPr="00621ED6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>PPH</w:t>
      </w:r>
    </w:p>
    <w:p w14:paraId="0159D101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4.</w:t>
      </w:r>
      <w:r w:rsidRPr="00621ED6">
        <w:rPr>
          <w:rFonts w:ascii="Times New Roman" w:eastAsia="Times New Roman" w:hAnsi="Times New Roman"/>
        </w:rPr>
        <w:tab/>
        <w:t>Galimas šalutinis poveikis</w:t>
      </w:r>
    </w:p>
    <w:p w14:paraId="6DB3CCD5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5.</w:t>
      </w:r>
      <w:r w:rsidRPr="00621ED6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>PPH</w:t>
      </w:r>
    </w:p>
    <w:p w14:paraId="25C5ED6F" w14:textId="77777777" w:rsidR="00DD55FD" w:rsidRPr="00621ED6" w:rsidRDefault="00DD55FD" w:rsidP="00DD55F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6.</w:t>
      </w:r>
      <w:r w:rsidRPr="00621ED6">
        <w:rPr>
          <w:rFonts w:ascii="Times New Roman" w:eastAsia="Times New Roman" w:hAnsi="Times New Roman"/>
        </w:rPr>
        <w:tab/>
      </w:r>
      <w:r w:rsidRPr="00621ED6">
        <w:rPr>
          <w:rFonts w:ascii="Times New Roman" w:eastAsia="Times New Roman" w:hAnsi="Times New Roman"/>
          <w:noProof/>
        </w:rPr>
        <w:t>Pakuotės turinys ir kita informacija</w:t>
      </w:r>
    </w:p>
    <w:p w14:paraId="3532897A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6ED0D21A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5C1925E8" w14:textId="77777777" w:rsidR="00DD55FD" w:rsidRPr="00621ED6" w:rsidRDefault="00DD55FD" w:rsidP="00DD55F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2" w:name="_Toc129243139"/>
      <w:bookmarkStart w:id="3" w:name="_Toc129243264"/>
      <w:r w:rsidRPr="00621ED6">
        <w:rPr>
          <w:rFonts w:ascii="Times New Roman" w:eastAsia="Times New Roman" w:hAnsi="Times New Roman"/>
          <w:b/>
        </w:rPr>
        <w:t>1.</w:t>
      </w:r>
      <w:r w:rsidRPr="00621ED6"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>PPH</w:t>
      </w:r>
      <w:r w:rsidRPr="00621ED6">
        <w:rPr>
          <w:rFonts w:ascii="Times New Roman" w:eastAsia="Times New Roman" w:hAnsi="Times New Roman"/>
          <w:b/>
        </w:rPr>
        <w:t xml:space="preserve"> ir kam jis vartojamas</w:t>
      </w:r>
      <w:bookmarkEnd w:id="2"/>
      <w:bookmarkEnd w:id="3"/>
    </w:p>
    <w:p w14:paraId="4BD015DD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08E39E4C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Clemastinum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yra vaistas nuo alergijos. Jis mažina alergijos simptomus, ypač jei yra odos sutrikimas ar sloga.</w:t>
      </w:r>
    </w:p>
    <w:p w14:paraId="1F3C8960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06EF17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Clemastinum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gydomi toliau išvardyti sutrikimai.</w:t>
      </w:r>
    </w:p>
    <w:p w14:paraId="6B31D737" w14:textId="77777777" w:rsidR="00DD55FD" w:rsidRPr="00621ED6" w:rsidRDefault="00DD55FD" w:rsidP="00DD55FD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 xml:space="preserve">Šieno sloga ar kitokia alerginė sloga, įvairių priežasčių sukelta dilgėlinė, įskaitant vadinamąją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dermatografinę</w:t>
      </w:r>
      <w:proofErr w:type="spellEnd"/>
      <w:r w:rsidRPr="00621ED6">
        <w:rPr>
          <w:rFonts w:ascii="Times New Roman" w:eastAsia="Times New Roman" w:hAnsi="Times New Roman"/>
          <w:lang w:eastAsia="pl-PL"/>
        </w:rPr>
        <w:t>, niežulys, niežėjimą sukeliantis odos sutrikimas, būklė po vabzdžių įgėlimo ar įkandimo.</w:t>
      </w:r>
    </w:p>
    <w:p w14:paraId="721A3E5B" w14:textId="77777777" w:rsidR="00DD55FD" w:rsidRPr="00621ED6" w:rsidRDefault="00DD55FD" w:rsidP="00DD55FD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 xml:space="preserve">Ūminė ar lėtinė egzema, kontaktinis dermatitas (odos uždegimas) bei vaistų sukeltas išbėrimas (kaip papildoma priemonė). </w:t>
      </w:r>
    </w:p>
    <w:p w14:paraId="73D7201E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1EF810DE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2DABD2C4" w14:textId="77777777" w:rsidR="00DD55FD" w:rsidRPr="00621ED6" w:rsidRDefault="00DD55FD" w:rsidP="00DD55F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4" w:name="_Toc129243140"/>
      <w:bookmarkStart w:id="5" w:name="_Toc129243265"/>
      <w:r w:rsidRPr="00621ED6">
        <w:rPr>
          <w:rFonts w:ascii="Times New Roman" w:eastAsia="Times New Roman" w:hAnsi="Times New Roman"/>
          <w:b/>
        </w:rPr>
        <w:t>2.</w:t>
      </w:r>
      <w:r w:rsidRPr="00621ED6">
        <w:rPr>
          <w:rFonts w:ascii="Times New Roman" w:eastAsia="Times New Roman" w:hAnsi="Times New Roman"/>
          <w:b/>
        </w:rPr>
        <w:tab/>
        <w:t xml:space="preserve">Kas žinotina prieš vartojant </w:t>
      </w:r>
      <w:bookmarkEnd w:id="4"/>
      <w:bookmarkEnd w:id="5"/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>PPH</w:t>
      </w:r>
    </w:p>
    <w:p w14:paraId="33C172EF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1F630A7A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vartoti </w:t>
      </w:r>
      <w:r>
        <w:rPr>
          <w:rFonts w:ascii="Times New Roman" w:eastAsia="Times New Roman" w:hAnsi="Times New Roman"/>
          <w:b/>
          <w:bCs/>
          <w:noProof/>
          <w:snapToGrid w:val="0"/>
        </w:rPr>
        <w:t>draudžiama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:</w:t>
      </w:r>
    </w:p>
    <w:p w14:paraId="3595A105" w14:textId="77777777" w:rsidR="00DD55FD" w:rsidRPr="00621ED6" w:rsidRDefault="00DD55FD" w:rsidP="00DD55FD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yra alergija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klemastinui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arba bet kuriai pagalbinei </w:t>
      </w:r>
      <w:r w:rsidRPr="00621ED6">
        <w:rPr>
          <w:rFonts w:ascii="Times New Roman" w:eastAsia="Times New Roman" w:hAnsi="Times New Roman"/>
          <w:noProof/>
          <w:lang w:eastAsia="lt-LT"/>
        </w:rPr>
        <w:t>šio vaisto</w:t>
      </w:r>
      <w:r w:rsidRPr="00621ED6">
        <w:rPr>
          <w:rFonts w:ascii="Times New Roman" w:eastAsia="Times New Roman" w:hAnsi="Times New Roman"/>
          <w:lang w:eastAsia="lt-LT"/>
        </w:rPr>
        <w:t xml:space="preserve"> medžiagai (jos išvardytos 6 skyriuje);</w:t>
      </w:r>
    </w:p>
    <w:p w14:paraId="484F0738" w14:textId="77777777" w:rsidR="00DD55FD" w:rsidRPr="00621ED6" w:rsidRDefault="00DD55FD" w:rsidP="00DD55FD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yra alergija kitokiai panašios struktūros medžiagai, pvz.,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chlorfeniraminui</w:t>
      </w:r>
      <w:proofErr w:type="spellEnd"/>
      <w:r w:rsidRPr="00621ED6">
        <w:rPr>
          <w:rFonts w:ascii="Times New Roman" w:eastAsia="Times New Roman" w:hAnsi="Times New Roman"/>
          <w:lang w:eastAsia="lt-LT"/>
        </w:rPr>
        <w:t>, difenhidraminui;</w:t>
      </w:r>
    </w:p>
    <w:p w14:paraId="1AD4D759" w14:textId="77777777" w:rsidR="00DD55FD" w:rsidRPr="00621ED6" w:rsidRDefault="00DD55FD" w:rsidP="00DD55FD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 sergama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porfirija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(retu medžiagų apykaitos sutrikimu);</w:t>
      </w:r>
    </w:p>
    <w:p w14:paraId="7256294D" w14:textId="77777777" w:rsidR="00DD55FD" w:rsidRPr="00621ED6" w:rsidRDefault="00DD55FD" w:rsidP="00DD55FD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pacientas jaunesnis kaip </w:t>
      </w:r>
      <w:r w:rsidRPr="00D06D55">
        <w:rPr>
          <w:rFonts w:ascii="Times New Roman" w:eastAsia="Times New Roman" w:hAnsi="Times New Roman"/>
          <w:lang w:eastAsia="lt-LT"/>
        </w:rPr>
        <w:t>12 metų</w:t>
      </w:r>
      <w:r w:rsidRPr="00621ED6">
        <w:rPr>
          <w:rFonts w:ascii="Times New Roman" w:eastAsia="Times New Roman" w:hAnsi="Times New Roman"/>
          <w:lang w:eastAsia="lt-LT"/>
        </w:rPr>
        <w:t>;</w:t>
      </w:r>
    </w:p>
    <w:p w14:paraId="6E7B631C" w14:textId="77777777" w:rsidR="00DD55FD" w:rsidRPr="00621ED6" w:rsidRDefault="00DD55FD" w:rsidP="00DD55FD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 kartu vartojama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monoaminooksidazę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(MAO) slopinančių vaistų.</w:t>
      </w:r>
    </w:p>
    <w:p w14:paraId="0E9617FF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2F2337A0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Įspėjimai ir atsargumo priemonės</w:t>
      </w:r>
    </w:p>
    <w:p w14:paraId="7519D27C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Cs/>
          <w:noProof/>
          <w:snapToGrid w:val="0"/>
        </w:rPr>
      </w:pPr>
      <w:r w:rsidRPr="00621ED6">
        <w:rPr>
          <w:rFonts w:ascii="Times New Roman" w:eastAsia="Times New Roman" w:hAnsi="Times New Roman"/>
          <w:bCs/>
          <w:noProof/>
          <w:snapToGrid w:val="0"/>
        </w:rPr>
        <w:t>Pasitarkite su gydytoju, prieš pradėdami vartoti</w:t>
      </w:r>
      <w:r w:rsidRPr="00621ED6" w:rsidDel="007A66D9">
        <w:rPr>
          <w:rFonts w:ascii="Times New Roman" w:eastAsia="Times New Roman" w:hAnsi="Times New Roman"/>
          <w:bCs/>
          <w:noProof/>
          <w:snapToGrid w:val="0"/>
        </w:rPr>
        <w:t xml:space="preserve"> </w:t>
      </w:r>
      <w:r w:rsidRPr="00621ED6">
        <w:rPr>
          <w:rFonts w:ascii="Times New Roman" w:eastAsia="Times New Roman" w:hAnsi="Times New Roman"/>
          <w:bCs/>
          <w:noProof/>
          <w:snapToGrid w:val="0"/>
        </w:rPr>
        <w:t xml:space="preserve">Clemastinum </w:t>
      </w:r>
      <w:r>
        <w:rPr>
          <w:rFonts w:ascii="Times New Roman" w:eastAsia="Times New Roman" w:hAnsi="Times New Roman"/>
          <w:bCs/>
          <w:noProof/>
          <w:snapToGrid w:val="0"/>
        </w:rPr>
        <w:t>PPH</w:t>
      </w:r>
    </w:p>
    <w:p w14:paraId="7AACC552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uždaro kampo glaukoma ar padidėjęs spaudimas akyse;</w:t>
      </w:r>
    </w:p>
    <w:p w14:paraId="511AD8BE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 xml:space="preserve">jeigu yra </w:t>
      </w:r>
      <w:proofErr w:type="spellStart"/>
      <w:r w:rsidRPr="00621ED6">
        <w:rPr>
          <w:rFonts w:ascii="Times New Roman" w:eastAsia="Times New Roman" w:hAnsi="Times New Roman"/>
          <w:iCs/>
          <w:lang w:eastAsia="lt-LT"/>
        </w:rPr>
        <w:t>pepsinė</w:t>
      </w:r>
      <w:proofErr w:type="spellEnd"/>
      <w:r w:rsidRPr="00621ED6">
        <w:rPr>
          <w:rFonts w:ascii="Times New Roman" w:eastAsia="Times New Roman" w:hAnsi="Times New Roman"/>
          <w:iCs/>
          <w:lang w:eastAsia="lt-LT"/>
        </w:rPr>
        <w:t xml:space="preserve"> opa ar sutrikęs maisto slinkimas skrandyje ir dvylikapirštėje žarnoje;</w:t>
      </w:r>
    </w:p>
    <w:p w14:paraId="0DF9D7E7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 xml:space="preserve">jeigu yra skrandžio </w:t>
      </w:r>
      <w:proofErr w:type="spellStart"/>
      <w:r w:rsidRPr="00621ED6">
        <w:rPr>
          <w:rFonts w:ascii="Times New Roman" w:eastAsia="Times New Roman" w:hAnsi="Times New Roman"/>
          <w:iCs/>
          <w:lang w:eastAsia="lt-LT"/>
        </w:rPr>
        <w:t>prievarčio</w:t>
      </w:r>
      <w:proofErr w:type="spellEnd"/>
      <w:r w:rsidRPr="00621ED6">
        <w:rPr>
          <w:rFonts w:ascii="Times New Roman" w:eastAsia="Times New Roman" w:hAnsi="Times New Roman"/>
          <w:iCs/>
          <w:lang w:eastAsia="lt-LT"/>
        </w:rPr>
        <w:t xml:space="preserve"> nepraeinamumas;</w:t>
      </w:r>
    </w:p>
    <w:p w14:paraId="44DC7B74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lastRenderedPageBreak/>
        <w:t xml:space="preserve">jeigu yra simptominė prostatos </w:t>
      </w:r>
      <w:proofErr w:type="spellStart"/>
      <w:r w:rsidRPr="00621ED6">
        <w:rPr>
          <w:rFonts w:ascii="Times New Roman" w:eastAsia="Times New Roman" w:hAnsi="Times New Roman"/>
          <w:iCs/>
          <w:lang w:eastAsia="lt-LT"/>
        </w:rPr>
        <w:t>hiperplazija</w:t>
      </w:r>
      <w:proofErr w:type="spellEnd"/>
      <w:r w:rsidRPr="00621ED6">
        <w:rPr>
          <w:rFonts w:ascii="Times New Roman" w:eastAsia="Times New Roman" w:hAnsi="Times New Roman"/>
          <w:iCs/>
          <w:lang w:eastAsia="lt-LT"/>
        </w:rPr>
        <w:t xml:space="preserve"> arba dėl kitokios priežasties buvęs šlapimo susilaikymas;</w:t>
      </w:r>
    </w:p>
    <w:p w14:paraId="5978F65E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astma;</w:t>
      </w:r>
    </w:p>
    <w:p w14:paraId="10905D33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per stipri skydliaukės veikla;</w:t>
      </w:r>
    </w:p>
    <w:p w14:paraId="0D543A55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širdies ir kraujagyslių sistemos ligos bei didelio kraujo spaudimo liga:</w:t>
      </w:r>
    </w:p>
    <w:p w14:paraId="734E8952" w14:textId="77777777" w:rsidR="00DD55FD" w:rsidRPr="00621ED6" w:rsidRDefault="00DD55FD" w:rsidP="00DD55FD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 pacientas senyvas (vyresnis kaip 60 metų), kadangi gali atsirasti stipresnis šalutinis poveikis (pvz., apsnūdimas, nuovargis, arterinio kraujo spaudimo sumažėjimas).</w:t>
      </w:r>
    </w:p>
    <w:p w14:paraId="26F702B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iCs/>
          <w:lang w:eastAsia="lt-LT"/>
        </w:rPr>
      </w:pPr>
    </w:p>
    <w:p w14:paraId="6D2F8D3A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Jei minėta būklė buvo anksčiau, būtina pasakyti gydytojui.</w:t>
      </w:r>
    </w:p>
    <w:p w14:paraId="5449E21B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3173FF59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noProof/>
        </w:rPr>
      </w:pPr>
      <w:r w:rsidRPr="00621ED6">
        <w:rPr>
          <w:rFonts w:ascii="Times New Roman" w:eastAsia="Times New Roman" w:hAnsi="Times New Roman"/>
          <w:b/>
          <w:noProof/>
        </w:rPr>
        <w:t xml:space="preserve">Kiti vaistai ir </w:t>
      </w:r>
      <w:r w:rsidRPr="00621ED6">
        <w:rPr>
          <w:rFonts w:ascii="Times New Roman" w:eastAsia="Times New Roman" w:hAnsi="Times New Roman"/>
          <w:b/>
          <w:bCs/>
          <w:noProof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lang w:eastAsia="pl-PL"/>
        </w:rPr>
        <w:t>PPH</w:t>
      </w:r>
    </w:p>
    <w:p w14:paraId="4A17D57E" w14:textId="77777777" w:rsidR="00DD55FD" w:rsidRPr="00A238F7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r w:rsidRPr="00347851">
        <w:rPr>
          <w:rFonts w:ascii="Times New Roman" w:eastAsia="Times New Roman" w:hAnsi="Times New Roman"/>
          <w:noProof/>
        </w:rPr>
        <w:t>Jeigu vartojate ar neseniai vartojote kitų vaistų arba dėl to nesate tikri, apie tai pasakykite gydytojui arba vaistininkui.</w:t>
      </w:r>
    </w:p>
    <w:p w14:paraId="0F662CA7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5DCBA908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 xml:space="preserve">Jeigu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klemastino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 vartojama su centrinę nervų sistemą slopinančiais preparatais, pvz., barbitūratais (jie sukelia raminamąjį bei migdomąjį poveikį),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tricikliais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 antidepresantais (vaistais nuo depresijos), medikamentais nuo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parkinsonizmo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,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opioidiniais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 vaistais nuo skausmo, gali stiprėti centrinės nervų sistemos slopinimas, todėl tokių derinių reikia vartoti atsargiai.</w:t>
      </w:r>
    </w:p>
    <w:p w14:paraId="692071BE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Tam tikri vaistai nuo depresijos (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monoaminooksidazės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(MAO) inhibitoriai) gali ilginti bei stiprinti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klemastino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poveikį.</w:t>
      </w:r>
    </w:p>
    <w:p w14:paraId="1CB87E10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Klemastinas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stiprina etilo alkoholio poveikį centrinei nervų sistemai.</w:t>
      </w:r>
    </w:p>
    <w:p w14:paraId="6CC8DED6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7119AC54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vartojimas su maistu ir gėrimais</w:t>
      </w:r>
    </w:p>
    <w:p w14:paraId="00F504A3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Clemastinum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galima vartoti nepriklausomai nuo valgymo laiko.</w:t>
      </w:r>
    </w:p>
    <w:p w14:paraId="52BF86E7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18A733C6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Nėštumas ir žindymo laikotarpis</w:t>
      </w:r>
    </w:p>
    <w:p w14:paraId="6179E86D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Jeigu esate nėščia, žindote kūdikį, manote, kad galbūt esate nėščia arba planuojate pastoti, tai prieš vartodama šį vaistą pasitarkite su gydytoju arba vaistininku.</w:t>
      </w:r>
    </w:p>
    <w:p w14:paraId="1CD691F7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EAA6793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Nėštumo laikotarpis</w:t>
      </w:r>
    </w:p>
    <w:p w14:paraId="1A54711C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Nėštumo laikotarpiu šio vaisto galima vartoti tik būtinu atveju.</w:t>
      </w:r>
    </w:p>
    <w:p w14:paraId="3483F8A5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Žindymo laikotarpis</w:t>
      </w:r>
    </w:p>
    <w:p w14:paraId="45E691A1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Šiek tiek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klemastino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patenka į motinos pieną ir gali sukelti šalutinį poveikį krūtimi maitinamam kūdikiui.</w:t>
      </w:r>
    </w:p>
    <w:p w14:paraId="396DB677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40FDB910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Vairavimas ir mechanizmų valdymas</w:t>
      </w:r>
    </w:p>
    <w:p w14:paraId="60B17FBD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21ED6">
        <w:rPr>
          <w:rFonts w:ascii="Times New Roman" w:eastAsia="Times New Roman" w:hAnsi="Times New Roman"/>
        </w:rPr>
        <w:t>Klemastinas</w:t>
      </w:r>
      <w:proofErr w:type="spellEnd"/>
      <w:r w:rsidRPr="00621ED6">
        <w:rPr>
          <w:rFonts w:ascii="Times New Roman" w:eastAsia="Times New Roman" w:hAnsi="Times New Roman"/>
        </w:rPr>
        <w:t xml:space="preserve"> gali sukelti tam tikrą šalutinį poveikį (mieguistumą, nuovargį, galvos svaigimą), todėl vairuoti ir valdyti mechanizmų negalima.</w:t>
      </w:r>
    </w:p>
    <w:p w14:paraId="147E693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5096A6D0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sudėtyje yra laktozės</w:t>
      </w:r>
    </w:p>
    <w:p w14:paraId="3E8A58DF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Jeigu gydytojas Jums yra sakęs, kad netoleruojate kokių nors angliavandenių, kreipkitės į jį prieš pradėdami vartoti šio vaisto.</w:t>
      </w:r>
    </w:p>
    <w:p w14:paraId="5C803EA6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3EF045C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22B1336A" w14:textId="77777777" w:rsidR="00DD55FD" w:rsidRPr="00621ED6" w:rsidRDefault="00DD55FD" w:rsidP="00DD55F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6" w:name="_Toc129243141"/>
      <w:bookmarkStart w:id="7" w:name="_Toc129243266"/>
      <w:r w:rsidRPr="00621ED6">
        <w:rPr>
          <w:rFonts w:ascii="Times New Roman" w:eastAsia="Times New Roman" w:hAnsi="Times New Roman"/>
          <w:b/>
        </w:rPr>
        <w:t>3.</w:t>
      </w:r>
      <w:r w:rsidRPr="00621ED6">
        <w:rPr>
          <w:rFonts w:ascii="Times New Roman" w:eastAsia="Times New Roman" w:hAnsi="Times New Roman"/>
          <w:b/>
        </w:rPr>
        <w:tab/>
        <w:t xml:space="preserve">Kaip vartoti </w:t>
      </w:r>
      <w:bookmarkEnd w:id="6"/>
      <w:bookmarkEnd w:id="7"/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>PPH</w:t>
      </w:r>
    </w:p>
    <w:p w14:paraId="030E40BA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54D5E388" w14:textId="77777777" w:rsidR="00DD55FD" w:rsidRPr="00621ED6" w:rsidRDefault="00DD55FD" w:rsidP="00DD55FD">
      <w:pPr>
        <w:suppressAutoHyphens/>
        <w:spacing w:after="0" w:line="240" w:lineRule="auto"/>
        <w:rPr>
          <w:rFonts w:ascii="Times New Roman" w:eastAsia="Times New Roman" w:hAnsi="Times New Roman"/>
          <w:noProof/>
        </w:rPr>
      </w:pPr>
      <w:r w:rsidRPr="00621ED6">
        <w:rPr>
          <w:rFonts w:ascii="Times New Roman" w:eastAsia="Times New Roman" w:hAnsi="Times New Roman"/>
          <w:noProof/>
        </w:rPr>
        <w:t xml:space="preserve">Visada vartokite šį vaistą tiksliai, kaip nurodė gydytojas </w:t>
      </w:r>
      <w:r w:rsidRPr="00621ED6">
        <w:rPr>
          <w:rFonts w:ascii="Times New Roman" w:eastAsia="Times New Roman" w:hAnsi="Times New Roman"/>
        </w:rPr>
        <w:t>arba vaistininkas</w:t>
      </w:r>
      <w:r w:rsidRPr="00621ED6">
        <w:rPr>
          <w:rFonts w:ascii="Times New Roman" w:eastAsia="Times New Roman" w:hAnsi="Times New Roman"/>
          <w:noProof/>
        </w:rPr>
        <w:t>. Jeigu abejojate, kreipkitės į gydytoją arba vaistininką.</w:t>
      </w:r>
    </w:p>
    <w:p w14:paraId="2C86A895" w14:textId="77777777" w:rsidR="00DD55FD" w:rsidRPr="00621ED6" w:rsidRDefault="00DD55FD" w:rsidP="00DD55FD">
      <w:pPr>
        <w:suppressAutoHyphens/>
        <w:spacing w:after="0" w:line="240" w:lineRule="auto"/>
        <w:rPr>
          <w:rFonts w:ascii="Times New Roman" w:eastAsia="Times New Roman" w:hAnsi="Times New Roman"/>
          <w:i/>
          <w:iCs/>
        </w:rPr>
      </w:pPr>
    </w:p>
    <w:p w14:paraId="44FE343F" w14:textId="77777777" w:rsidR="00DD55FD" w:rsidRPr="00621ED6" w:rsidRDefault="00DD55FD" w:rsidP="00DD55FD">
      <w:pPr>
        <w:suppressAutoHyphens/>
        <w:spacing w:after="0" w:line="240" w:lineRule="auto"/>
        <w:rPr>
          <w:rFonts w:ascii="Times New Roman" w:eastAsia="Times New Roman" w:hAnsi="Times New Roman"/>
          <w:i/>
          <w:iCs/>
        </w:rPr>
      </w:pPr>
      <w:r w:rsidRPr="00621ED6">
        <w:rPr>
          <w:rFonts w:ascii="Times New Roman" w:eastAsia="Times New Roman" w:hAnsi="Times New Roman"/>
          <w:i/>
          <w:iCs/>
        </w:rPr>
        <w:t>Suaugę žmonės ir vyresni kaip 12 metų vaikai</w:t>
      </w:r>
    </w:p>
    <w:p w14:paraId="67271FBD" w14:textId="77777777" w:rsidR="00DD55FD" w:rsidRDefault="00DD55FD" w:rsidP="00DD55FD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Reikia gerti po 1 tabletę (1 mg) du kartus per parą, ryte ir vakare. Jei būtina, paros dozę galima didinti iki 3 – 4 tablečių.</w:t>
      </w:r>
    </w:p>
    <w:p w14:paraId="62F9811B" w14:textId="77777777" w:rsidR="00DD55FD" w:rsidRPr="00621ED6" w:rsidRDefault="00DD55FD" w:rsidP="00DD55FD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18DAD4C8" w14:textId="77777777" w:rsidR="00DD55FD" w:rsidRPr="00621ED6" w:rsidRDefault="00DD55FD" w:rsidP="00DD55FD">
      <w:pPr>
        <w:keepNext/>
        <w:suppressAutoHyphens/>
        <w:spacing w:after="0" w:line="240" w:lineRule="auto"/>
        <w:rPr>
          <w:rFonts w:ascii="Times New Roman" w:eastAsia="Times New Roman" w:hAnsi="Times New Roman"/>
          <w:i/>
          <w:iCs/>
        </w:rPr>
      </w:pPr>
      <w:r w:rsidRPr="00621ED6">
        <w:rPr>
          <w:rFonts w:ascii="Times New Roman" w:eastAsia="Times New Roman" w:hAnsi="Times New Roman"/>
          <w:i/>
          <w:iCs/>
        </w:rPr>
        <w:lastRenderedPageBreak/>
        <w:t xml:space="preserve">1 </w:t>
      </w:r>
      <w:r w:rsidRPr="00621ED6">
        <w:rPr>
          <w:rFonts w:ascii="Times New Roman" w:eastAsia="Times New Roman" w:hAnsi="Times New Roman"/>
          <w:i/>
          <w:iCs/>
        </w:rPr>
        <w:noBreakHyphen/>
        <w:t> 12 metų vaikai</w:t>
      </w:r>
    </w:p>
    <w:p w14:paraId="1E21CCAF" w14:textId="77777777" w:rsidR="00DD55FD" w:rsidRPr="00621ED6" w:rsidRDefault="00DD55FD" w:rsidP="00DD55FD">
      <w:pPr>
        <w:keepNext/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21ED6">
        <w:rPr>
          <w:rFonts w:ascii="Times New Roman" w:eastAsia="Times New Roman" w:hAnsi="Times New Roman"/>
          <w:bCs/>
        </w:rPr>
        <w:t>Clemastinum</w:t>
      </w:r>
      <w:proofErr w:type="spellEnd"/>
      <w:r w:rsidRPr="00621ED6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>PPH</w:t>
      </w:r>
      <w:r w:rsidRPr="00621ED6">
        <w:rPr>
          <w:rFonts w:ascii="Times New Roman" w:eastAsia="Times New Roman" w:hAnsi="Times New Roman"/>
          <w:bCs/>
        </w:rPr>
        <w:t xml:space="preserve"> 1 mg tokiems pacientams vartoti negalima. </w:t>
      </w:r>
      <w:r w:rsidRPr="00621ED6">
        <w:rPr>
          <w:rFonts w:ascii="Times New Roman" w:eastAsia="Times New Roman" w:hAnsi="Times New Roman"/>
        </w:rPr>
        <w:t xml:space="preserve">Rekomenduojama vartoti kitokių </w:t>
      </w:r>
      <w:proofErr w:type="spellStart"/>
      <w:r w:rsidRPr="00621ED6">
        <w:rPr>
          <w:rFonts w:ascii="Times New Roman" w:eastAsia="Times New Roman" w:hAnsi="Times New Roman"/>
        </w:rPr>
        <w:t>klemastino</w:t>
      </w:r>
      <w:proofErr w:type="spellEnd"/>
      <w:r w:rsidRPr="00621ED6">
        <w:rPr>
          <w:rFonts w:ascii="Times New Roman" w:eastAsia="Times New Roman" w:hAnsi="Times New Roman"/>
        </w:rPr>
        <w:t xml:space="preserve"> farmacinių formų, pvz., sirupo (kad dozavimas būtų tikslesnis).</w:t>
      </w:r>
    </w:p>
    <w:p w14:paraId="11B608C1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F7A89EA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manoma, kad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Clemastinum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veikia per stipriai arba per silpnai, būtina kreiptis į gydytoją arba vaistininką.</w:t>
      </w:r>
    </w:p>
    <w:p w14:paraId="6B09998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6A53500A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Ką daryti pavartojus per didelę 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dozę?</w:t>
      </w:r>
    </w:p>
    <w:p w14:paraId="19328FD6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Vaikams gali pasireikšti baimingas susijaudinimas, haliucinacijos, judesių koordinacijos išnykimas, raumenų koordinacijos sutrikimas, raumenų drebulys, nevalingi judesiai, karščiavimas (hipertermija), odos pamėlimas, traukuliai, organizmo (nervų sistemos) reakcijos į aplinkos stimulus sustiprėjimas, pereinantis į slopinimą, bei širdies veiklos nutrūkimas.</w:t>
      </w:r>
    </w:p>
    <w:p w14:paraId="43C4D66A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Gali atsirasti burnos sausmė, vyzdžių išsiplėtimas, veido paraudimas, karščiavimas. Suaugusiems žmonėms dažniau būna centrinės nervų sistemos slopinimas, pasireiškiantis mieguistumu ar net koma.</w:t>
      </w:r>
    </w:p>
    <w:p w14:paraId="716279E5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Jei po preparato išgėrimo nepraėjo valandos, gali būti naudinga išplauti skrandį. Jei perdozuota anksčiau kaip prieš valandą, būtinas simptominis gydymas.</w:t>
      </w:r>
    </w:p>
    <w:p w14:paraId="69EB3AC7" w14:textId="77777777" w:rsidR="00DD55FD" w:rsidRPr="00621ED6" w:rsidRDefault="00DD55FD" w:rsidP="00DD55FD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Pavartojus didesnę dozę, nei skirta, reikia nedelsiant kreiptis į gydytoją arba vaistininką.</w:t>
      </w:r>
    </w:p>
    <w:p w14:paraId="003AD66A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6C40461F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Pamiršus pavartoti 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</w:p>
    <w:p w14:paraId="78CEF42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Negalima vartoti dvigubos dozės norint kompensuoti praleistą dozę.</w:t>
      </w:r>
    </w:p>
    <w:p w14:paraId="3679126C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5DC49120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590054EF" w14:textId="77777777" w:rsidR="00DD55FD" w:rsidRPr="00621ED6" w:rsidRDefault="00DD55FD" w:rsidP="00DD55F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" w:name="_Toc129243142"/>
      <w:bookmarkStart w:id="9" w:name="_Toc129243267"/>
      <w:r w:rsidRPr="00621ED6">
        <w:rPr>
          <w:rFonts w:ascii="Times New Roman" w:eastAsia="Times New Roman" w:hAnsi="Times New Roman"/>
          <w:b/>
        </w:rPr>
        <w:t>4.</w:t>
      </w:r>
      <w:r w:rsidRPr="00621ED6">
        <w:rPr>
          <w:rFonts w:ascii="Times New Roman" w:eastAsia="Times New Roman" w:hAnsi="Times New Roman"/>
          <w:b/>
        </w:rPr>
        <w:tab/>
        <w:t>Galimas šalutinis poveikis</w:t>
      </w:r>
      <w:bookmarkEnd w:id="8"/>
      <w:bookmarkEnd w:id="9"/>
    </w:p>
    <w:p w14:paraId="7CC74CA2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04D3CDB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621ED6">
        <w:rPr>
          <w:rFonts w:ascii="Times New Roman" w:eastAsia="Times New Roman" w:hAnsi="Times New Roman"/>
          <w:noProof/>
        </w:rPr>
        <w:t>Šis vaistas, kaip ir visi kiti, gali sukelti šalutinį poveikį, nors jis pasireiškia ne visiems žmonėms.</w:t>
      </w:r>
    </w:p>
    <w:p w14:paraId="4C8726C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77E705C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Žemiau išvardytas pagal dažnį suskirstytas galimas šalutinis poveikis.</w:t>
      </w:r>
    </w:p>
    <w:p w14:paraId="74D524DD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14:paraId="2FF42B72" w14:textId="77777777" w:rsidR="00DD55FD" w:rsidRPr="00621ED6" w:rsidRDefault="00DD55FD" w:rsidP="00DD55F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asmenų):</w:t>
      </w:r>
    </w:p>
    <w:p w14:paraId="45338350" w14:textId="77777777" w:rsidR="00DD55FD" w:rsidRPr="00621ED6" w:rsidRDefault="00DD55FD" w:rsidP="00DD55FD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nuovargis (ypač vaikams ir vyresniems kaip 60 metų pacientams);</w:t>
      </w:r>
    </w:p>
    <w:p w14:paraId="6441782A" w14:textId="77777777" w:rsidR="00DD55FD" w:rsidRPr="00621ED6" w:rsidRDefault="00DD55FD" w:rsidP="00DD55FD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sustiprėjęs mieguistumas (ypač vaikams ir vyresniems kaip 60 metų pacientams).</w:t>
      </w:r>
    </w:p>
    <w:p w14:paraId="3EABD6DF" w14:textId="77777777" w:rsidR="00DD55FD" w:rsidRPr="00621ED6" w:rsidRDefault="00DD55FD" w:rsidP="00DD55F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15F0D44" w14:textId="77777777" w:rsidR="00DD55FD" w:rsidRPr="00C42D2C" w:rsidRDefault="00DD55FD" w:rsidP="00DD55F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asmenų):</w:t>
      </w:r>
    </w:p>
    <w:p w14:paraId="168CC4E5" w14:textId="77777777" w:rsidR="00DD55FD" w:rsidRPr="00621ED6" w:rsidRDefault="00DD55FD" w:rsidP="00DD55FD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svaigulys.</w:t>
      </w:r>
    </w:p>
    <w:p w14:paraId="316A3AD7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u w:val="single"/>
          <w:lang w:eastAsia="pl-PL"/>
        </w:rPr>
      </w:pPr>
    </w:p>
    <w:p w14:paraId="5360260B" w14:textId="77777777" w:rsidR="00DD55FD" w:rsidRPr="00C42D2C" w:rsidRDefault="00DD55FD" w:rsidP="00DD55F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14:paraId="2AA048F7" w14:textId="77777777" w:rsidR="00DD55FD" w:rsidRPr="00621ED6" w:rsidRDefault="00DD55FD" w:rsidP="00DD55FD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galvos skausmas, irzlumas (ypač vaikams);</w:t>
      </w:r>
    </w:p>
    <w:p w14:paraId="621C04D2" w14:textId="77777777" w:rsidR="00DD55FD" w:rsidRPr="00621ED6" w:rsidRDefault="00DD55FD" w:rsidP="00DD55FD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burnos džiūvimas, pykinimas;</w:t>
      </w:r>
    </w:p>
    <w:p w14:paraId="67F1C501" w14:textId="77777777" w:rsidR="00DD55FD" w:rsidRPr="00621ED6" w:rsidRDefault="00DD55FD" w:rsidP="00DD55FD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išbėrimas;</w:t>
      </w:r>
    </w:p>
    <w:p w14:paraId="411F939A" w14:textId="77777777" w:rsidR="00DD55FD" w:rsidRPr="00621ED6" w:rsidRDefault="00DD55FD" w:rsidP="00DD55FD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silpnumas.</w:t>
      </w:r>
    </w:p>
    <w:p w14:paraId="736E456C" w14:textId="77777777" w:rsidR="00DD55FD" w:rsidRPr="00621ED6" w:rsidRDefault="00DD55FD" w:rsidP="00DD55FD">
      <w:pPr>
        <w:spacing w:after="0" w:line="240" w:lineRule="auto"/>
        <w:ind w:left="426"/>
        <w:contextualSpacing/>
        <w:rPr>
          <w:rFonts w:ascii="Times New Roman" w:eastAsia="Times New Roman" w:hAnsi="Times New Roman"/>
          <w:u w:val="single"/>
          <w:lang w:eastAsia="pl-PL"/>
        </w:rPr>
      </w:pPr>
    </w:p>
    <w:p w14:paraId="686A2F33" w14:textId="77777777" w:rsidR="00DD55FD" w:rsidRPr="00621ED6" w:rsidRDefault="00DD55FD" w:rsidP="00DD55FD">
      <w:pPr>
        <w:spacing w:after="0" w:line="240" w:lineRule="auto"/>
        <w:ind w:left="426" w:hanging="426"/>
        <w:rPr>
          <w:rFonts w:ascii="Times New Roman" w:eastAsia="Times New Roman" w:hAnsi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asmenų):</w:t>
      </w:r>
    </w:p>
    <w:p w14:paraId="4CA1B82E" w14:textId="77777777" w:rsidR="00DD55FD" w:rsidRPr="00621ED6" w:rsidRDefault="00DD55FD" w:rsidP="00DD55FD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vidurių užkietėjimas;</w:t>
      </w:r>
    </w:p>
    <w:p w14:paraId="732391D4" w14:textId="77777777" w:rsidR="00DD55FD" w:rsidRPr="00621ED6" w:rsidRDefault="00DD55FD" w:rsidP="00DD55FD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juntamas širdies plakimas, dažnas širdies plakimas.</w:t>
      </w:r>
    </w:p>
    <w:p w14:paraId="369E590B" w14:textId="77777777" w:rsidR="00DD55FD" w:rsidRPr="00621ED6" w:rsidRDefault="00DD55FD" w:rsidP="00DD55FD">
      <w:pPr>
        <w:spacing w:after="0" w:line="240" w:lineRule="auto"/>
        <w:ind w:left="426" w:hanging="426"/>
        <w:contextualSpacing/>
        <w:rPr>
          <w:rFonts w:ascii="Times New Roman" w:eastAsia="Times New Roman" w:hAnsi="Times New Roman"/>
          <w:u w:val="single"/>
          <w:lang w:eastAsia="pl-PL"/>
        </w:rPr>
      </w:pPr>
    </w:p>
    <w:p w14:paraId="73CACB8B" w14:textId="77777777" w:rsidR="00DD55FD" w:rsidRPr="00C42D2C" w:rsidRDefault="00DD55FD" w:rsidP="00DD55F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Šalutinio poveikio reiškiniai, kurių</w:t>
      </w:r>
      <w:r>
        <w:rPr>
          <w:rFonts w:ascii="Times New Roman" w:hAnsi="Times New Roman" w:cs="Times New Roman"/>
          <w:b/>
          <w:bCs/>
          <w:noProof/>
          <w:snapToGrid w:val="0"/>
        </w:rPr>
        <w:t xml:space="preserve"> </w:t>
      </w:r>
      <w:r w:rsidRPr="00554EAD">
        <w:rPr>
          <w:rFonts w:ascii="Times New Roman" w:hAnsi="Times New Roman" w:cs="Times New Roman"/>
          <w:b/>
          <w:bCs/>
          <w:noProof/>
          <w:snapToGrid w:val="0"/>
        </w:rPr>
        <w:t>dažnis nežinomas (negali būti apskaičiuotas pagal turimus duomenis):</w:t>
      </w:r>
    </w:p>
    <w:p w14:paraId="45EF7773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rėmuo, vėmimas, pilvo skausmas, viduriavimas;</w:t>
      </w:r>
    </w:p>
    <w:p w14:paraId="0EC65C9C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drebulys, nemiga, traukuliai;</w:t>
      </w:r>
    </w:p>
    <w:p w14:paraId="6ADB7A60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matomo vaizdo neryškumas, matomo vaizdo dvigubinimasis;</w:t>
      </w:r>
    </w:p>
    <w:p w14:paraId="00F2AD70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spengimas ausyse;</w:t>
      </w:r>
    </w:p>
    <w:p w14:paraId="78F45F33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kvėpavimo takų sekreto tirštumo padidėjimas, nosies užgulimo pojūtis;</w:t>
      </w:r>
    </w:p>
    <w:p w14:paraId="51F52C9A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kraujospūdžio sumažėjimas (ypač vyresniems kaip 60 metų pacientams);</w:t>
      </w:r>
    </w:p>
    <w:p w14:paraId="45BCE5BD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per ankstyvi širdies susitraukimai;</w:t>
      </w:r>
    </w:p>
    <w:p w14:paraId="7AC65CAC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lastRenderedPageBreak/>
        <w:t>kraujo ląstelių kiekio pokytis (trombocitopenija, granuliozitų kiekio sumažėjimas, hemolizinė anemija);</w:t>
      </w:r>
    </w:p>
    <w:p w14:paraId="26DE2A99" w14:textId="77777777" w:rsidR="00DD55FD" w:rsidRPr="00621ED6" w:rsidRDefault="00DD55FD" w:rsidP="00DD55FD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šlapinimosi pasunkėjimas, šlapimo susilaikymas.</w:t>
      </w:r>
    </w:p>
    <w:p w14:paraId="3414E9A7" w14:textId="77777777" w:rsidR="00DD55FD" w:rsidRPr="00A238F7" w:rsidRDefault="00DD55FD" w:rsidP="00DD55FD">
      <w:pPr>
        <w:spacing w:after="0" w:line="240" w:lineRule="auto"/>
        <w:ind w:right="-449"/>
        <w:rPr>
          <w:rFonts w:ascii="Times New Roman" w:eastAsia="Times New Roman" w:hAnsi="Times New Roman"/>
          <w:lang w:eastAsia="pl-PL"/>
        </w:rPr>
      </w:pPr>
    </w:p>
    <w:p w14:paraId="21547CBE" w14:textId="77777777" w:rsidR="00DD55FD" w:rsidRPr="00347851" w:rsidRDefault="00DD55FD" w:rsidP="00DD55FD">
      <w:pPr>
        <w:spacing w:after="0" w:line="240" w:lineRule="auto"/>
        <w:rPr>
          <w:rFonts w:ascii="Times New Roman" w:hAnsi="Times New Roman"/>
          <w:b/>
          <w:szCs w:val="24"/>
        </w:rPr>
      </w:pPr>
      <w:r w:rsidRPr="00347851">
        <w:rPr>
          <w:rFonts w:ascii="Times New Roman" w:hAnsi="Times New Roman"/>
          <w:b/>
          <w:noProof/>
          <w:szCs w:val="24"/>
        </w:rPr>
        <w:t>Pranešimas apie šalutinį poveikį</w:t>
      </w:r>
    </w:p>
    <w:p w14:paraId="41424D08" w14:textId="77777777" w:rsidR="00DD55FD" w:rsidRPr="00554EAD" w:rsidRDefault="00DD55FD" w:rsidP="00DD55FD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napToGrid w:val="0"/>
        </w:rPr>
      </w:pPr>
      <w:r w:rsidRPr="00347851">
        <w:rPr>
          <w:rFonts w:ascii="Times New Roman" w:hAnsi="Times New Roman"/>
          <w:noProof/>
          <w:szCs w:val="24"/>
        </w:rPr>
        <w:t>Jeigu pasireiškė šalutinis poveikis, įskaitant šiame lapelyje ne</w:t>
      </w:r>
      <w:r w:rsidRPr="00A238F7">
        <w:rPr>
          <w:rFonts w:ascii="Times New Roman" w:hAnsi="Times New Roman"/>
          <w:noProof/>
          <w:szCs w:val="24"/>
        </w:rPr>
        <w:t>nurodytą, pasakykite gydytojui</w:t>
      </w:r>
      <w:r w:rsidRPr="00347851">
        <w:rPr>
          <w:rFonts w:ascii="Times New Roman" w:hAnsi="Times New Roman"/>
          <w:noProof/>
          <w:szCs w:val="24"/>
        </w:rPr>
        <w:t>,</w:t>
      </w:r>
      <w:r w:rsidRPr="00A238F7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/>
          <w:noProof/>
          <w:szCs w:val="24"/>
        </w:rPr>
        <w:t>vaistininkui</w:t>
      </w:r>
      <w:r w:rsidRPr="00A238F7">
        <w:rPr>
          <w:rFonts w:ascii="Times New Roman" w:hAnsi="Times New Roman"/>
          <w:noProof/>
          <w:szCs w:val="24"/>
        </w:rPr>
        <w:t xml:space="preserve"> </w:t>
      </w:r>
      <w:r w:rsidRPr="00347851">
        <w:rPr>
          <w:rFonts w:ascii="Times New Roman" w:hAnsi="Times New Roman"/>
          <w:noProof/>
          <w:szCs w:val="24"/>
        </w:rPr>
        <w:t xml:space="preserve">arba </w:t>
      </w:r>
      <w:r w:rsidRPr="00347851">
        <w:rPr>
          <w:rFonts w:ascii="Times New Roman" w:hAnsi="Times New Roman"/>
        </w:rPr>
        <w:t>slaugytoju</w:t>
      </w:r>
      <w:r w:rsidRPr="00A238F7">
        <w:rPr>
          <w:rFonts w:ascii="Times New Roman" w:hAnsi="Times New Roman"/>
        </w:rPr>
        <w:t>i</w:t>
      </w:r>
      <w:r w:rsidRPr="00347851">
        <w:rPr>
          <w:rFonts w:ascii="Times New Roman" w:hAnsi="Times New Roman"/>
        </w:rPr>
        <w:t>.</w:t>
      </w:r>
      <w:r w:rsidRPr="00347851">
        <w:rPr>
          <w:rFonts w:ascii="Times New Roman" w:hAnsi="Times New Roman"/>
          <w:noProof/>
          <w:szCs w:val="24"/>
        </w:rPr>
        <w:t xml:space="preserve"> </w:t>
      </w:r>
      <w:r w:rsidRPr="00554EAD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54EAD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Pr="00554EAD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54EAD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Pr="00554EAD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7" w:history="1">
        <w:r w:rsidRPr="00554EAD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554EAD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2791F4BD" w14:textId="77777777" w:rsidR="00DD55FD" w:rsidRDefault="00DD55FD" w:rsidP="00DD55FD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2566BF6B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71CA2DA8" w14:textId="77777777" w:rsidR="00DD55FD" w:rsidRPr="00621ED6" w:rsidRDefault="00DD55FD" w:rsidP="00DD55F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10" w:name="_Toc129243143"/>
      <w:bookmarkStart w:id="11" w:name="_Toc129243268"/>
      <w:r w:rsidRPr="00621ED6">
        <w:rPr>
          <w:rFonts w:ascii="Times New Roman" w:eastAsia="Times New Roman" w:hAnsi="Times New Roman"/>
          <w:b/>
        </w:rPr>
        <w:t>5.</w:t>
      </w:r>
      <w:r w:rsidRPr="00621ED6">
        <w:rPr>
          <w:rFonts w:ascii="Times New Roman" w:eastAsia="Times New Roman" w:hAnsi="Times New Roman"/>
          <w:b/>
        </w:rPr>
        <w:tab/>
        <w:t xml:space="preserve">Kaip laikyti </w:t>
      </w:r>
      <w:bookmarkEnd w:id="10"/>
      <w:bookmarkEnd w:id="11"/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>PPH</w:t>
      </w:r>
    </w:p>
    <w:p w14:paraId="7446724D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4D9BDFF2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Šį vaistą laikykite</w:t>
      </w:r>
      <w:r w:rsidRPr="00621ED6">
        <w:rPr>
          <w:rFonts w:ascii="Times New Roman" w:eastAsia="Times New Roman" w:hAnsi="Times New Roman"/>
          <w:noProof/>
          <w:lang w:eastAsia="lt-LT"/>
        </w:rPr>
        <w:t xml:space="preserve"> vaikams nepastebimoje ir nepasiekiamoje vietoje.</w:t>
      </w:r>
    </w:p>
    <w:p w14:paraId="6FEB1703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Laikyti ne aukštesnėje kaip 25</w:t>
      </w:r>
      <w:r w:rsidRPr="00621ED6">
        <w:rPr>
          <w:rFonts w:ascii="Times New Roman" w:eastAsia="Times New Roman" w:hAnsi="Times New Roman"/>
          <w:lang w:eastAsia="lt-LT"/>
        </w:rPr>
        <w:sym w:font="Symbol" w:char="F0B0"/>
      </w:r>
      <w:r w:rsidRPr="00621ED6">
        <w:rPr>
          <w:rFonts w:ascii="Times New Roman" w:eastAsia="Times New Roman" w:hAnsi="Times New Roman"/>
          <w:lang w:eastAsia="lt-LT"/>
        </w:rPr>
        <w:t>C temperatūroje.</w:t>
      </w:r>
    </w:p>
    <w:p w14:paraId="28DEAE99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Lizdinę plokštelę laikyti išorinėje dėžutėje, kad </w:t>
      </w:r>
      <w:r>
        <w:rPr>
          <w:rFonts w:ascii="Times New Roman" w:eastAsia="Times New Roman" w:hAnsi="Times New Roman"/>
          <w:lang w:eastAsia="lt-LT"/>
        </w:rPr>
        <w:t>vaistas</w:t>
      </w:r>
      <w:r w:rsidRPr="00621ED6">
        <w:rPr>
          <w:rFonts w:ascii="Times New Roman" w:eastAsia="Times New Roman" w:hAnsi="Times New Roman"/>
          <w:lang w:eastAsia="lt-LT"/>
        </w:rPr>
        <w:t xml:space="preserve"> būtų apsaugotas nuo drėgmės bei šviesos.</w:t>
      </w:r>
    </w:p>
    <w:p w14:paraId="01DCFBA0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5ADED03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noProof/>
        </w:rPr>
      </w:pPr>
      <w:r w:rsidRPr="00621ED6">
        <w:rPr>
          <w:rFonts w:ascii="Times New Roman" w:eastAsia="Times New Roman" w:hAnsi="Times New Roman"/>
          <w:noProof/>
        </w:rPr>
        <w:t>Ant kartono dėžutės ir lizdinės plokštelės po „</w:t>
      </w:r>
      <w:r>
        <w:rPr>
          <w:rFonts w:ascii="Times New Roman" w:eastAsia="Times New Roman" w:hAnsi="Times New Roman"/>
          <w:noProof/>
        </w:rPr>
        <w:t>EXP</w:t>
      </w:r>
      <w:r w:rsidRPr="00621ED6">
        <w:rPr>
          <w:rFonts w:ascii="Times New Roman" w:eastAsia="Times New Roman" w:hAnsi="Times New Roman"/>
          <w:noProof/>
        </w:rPr>
        <w:t>“ nurodytam tinkamumo laikui pasibaigus, šio vaisto vartoti negalima. Vaistas tinkamas vartoti iki paskutinės nurodyto mėnesio dienos.</w:t>
      </w:r>
    </w:p>
    <w:p w14:paraId="4C6A554C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265720D9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7793EF4F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015098AC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0BFDB26A" w14:textId="77777777" w:rsidR="00DD55FD" w:rsidRPr="00621ED6" w:rsidRDefault="00DD55FD" w:rsidP="00DD55F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12" w:name="_Toc129243144"/>
      <w:bookmarkStart w:id="13" w:name="_Toc129243269"/>
      <w:r w:rsidRPr="00621ED6">
        <w:rPr>
          <w:rFonts w:ascii="Times New Roman" w:eastAsia="Times New Roman" w:hAnsi="Times New Roman"/>
          <w:b/>
        </w:rPr>
        <w:t>6.</w:t>
      </w:r>
      <w:r w:rsidRPr="00621ED6">
        <w:rPr>
          <w:rFonts w:ascii="Times New Roman" w:eastAsia="Times New Roman" w:hAnsi="Times New Roman"/>
          <w:b/>
        </w:rPr>
        <w:tab/>
      </w:r>
      <w:r w:rsidRPr="00621ED6">
        <w:rPr>
          <w:rFonts w:ascii="Times New Roman" w:eastAsia="Times New Roman" w:hAnsi="Times New Roman"/>
          <w:b/>
          <w:noProof/>
        </w:rPr>
        <w:t>Pakuotės turinys ir kita informacija</w:t>
      </w:r>
      <w:bookmarkEnd w:id="12"/>
      <w:bookmarkEnd w:id="13"/>
    </w:p>
    <w:p w14:paraId="1EB23B4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36986BDE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sudėtis</w:t>
      </w:r>
    </w:p>
    <w:p w14:paraId="106F02C6" w14:textId="77777777" w:rsidR="00DD55FD" w:rsidRPr="00347851" w:rsidRDefault="00DD55FD" w:rsidP="00DD55FD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  <w:lang w:eastAsia="pl-PL"/>
        </w:rPr>
      </w:pPr>
      <w:r w:rsidRPr="00347851">
        <w:rPr>
          <w:rFonts w:ascii="Times New Roman" w:eastAsia="Times New Roman" w:hAnsi="Times New Roman"/>
          <w:noProof/>
        </w:rPr>
        <w:t>Veiklioji medžiaga yra klemastinas. Vienoje tabletėje yra 1,34 mg klemastino fumarato, atitinkančio 1 mg klemastino</w:t>
      </w:r>
      <w:r w:rsidRPr="00347851">
        <w:rPr>
          <w:rFonts w:ascii="Times New Roman" w:eastAsia="Times New Roman" w:hAnsi="Times New Roman"/>
          <w:noProof/>
          <w:lang w:eastAsia="pl-PL"/>
        </w:rPr>
        <w:t>.</w:t>
      </w:r>
    </w:p>
    <w:p w14:paraId="0DCA1CEE" w14:textId="77777777" w:rsidR="00DD55FD" w:rsidRPr="00347851" w:rsidRDefault="00DD55FD" w:rsidP="00DD55FD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Pagalbinės medžiagos yra laktozė monohidratas, ryžių krakmolas, povidonas, magnio stearatas, talkas.</w:t>
      </w:r>
    </w:p>
    <w:p w14:paraId="1DC49661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19C9B865" w14:textId="77777777" w:rsidR="00DD55FD" w:rsidRPr="00621ED6" w:rsidRDefault="00DD55FD" w:rsidP="00DD55FD">
      <w:pPr>
        <w:spacing w:after="0" w:line="220" w:lineRule="exact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Clemastinum </w:t>
      </w:r>
      <w:r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išvaizda ir kiekis pakuotėje</w:t>
      </w:r>
    </w:p>
    <w:p w14:paraId="6AB3B429" w14:textId="77777777" w:rsidR="00DD55FD" w:rsidRPr="00621ED6" w:rsidRDefault="00DD55FD" w:rsidP="00DD55FD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Tabletės yra baltos, apvalios, abipus lygiu paviršiumi, su aštria brauna.</w:t>
      </w:r>
    </w:p>
    <w:p w14:paraId="0B136EF3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621ED6">
        <w:rPr>
          <w:rFonts w:ascii="Times New Roman" w:eastAsia="Times New Roman" w:hAnsi="Times New Roman"/>
          <w:noProof/>
        </w:rPr>
        <w:t xml:space="preserve">Clemastinum </w:t>
      </w:r>
      <w:r>
        <w:rPr>
          <w:rFonts w:ascii="Times New Roman" w:eastAsia="Times New Roman" w:hAnsi="Times New Roman"/>
          <w:noProof/>
        </w:rPr>
        <w:t>PPH</w:t>
      </w:r>
      <w:r w:rsidRPr="00621ED6">
        <w:rPr>
          <w:rFonts w:ascii="Times New Roman" w:eastAsia="Times New Roman" w:hAnsi="Times New Roman"/>
          <w:noProof/>
        </w:rPr>
        <w:t xml:space="preserve"> tiekiamas lizdinėmis plokštelėmis. Kartoninėje dėžutėje yra 30 tablečių.</w:t>
      </w:r>
    </w:p>
    <w:p w14:paraId="039422E5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650B4AA9" w14:textId="77777777" w:rsidR="00DD55FD" w:rsidRPr="006547F4" w:rsidRDefault="00DD55FD" w:rsidP="00DD55FD">
      <w:pPr>
        <w:spacing w:after="0" w:line="240" w:lineRule="auto"/>
        <w:rPr>
          <w:rFonts w:ascii="Times New Roman" w:eastAsia="Times New Roman" w:hAnsi="Times New Roman"/>
          <w:b/>
        </w:rPr>
      </w:pPr>
      <w:r w:rsidRPr="006547F4">
        <w:rPr>
          <w:rFonts w:ascii="Times New Roman" w:hAnsi="Times New Roman"/>
          <w:b/>
        </w:rPr>
        <w:t>Registruotojas</w:t>
      </w:r>
    </w:p>
    <w:p w14:paraId="7D3C1A52" w14:textId="77777777" w:rsidR="00DD55FD" w:rsidRPr="00E114B8" w:rsidRDefault="00DD55FD" w:rsidP="00DD55FD">
      <w:pPr>
        <w:pStyle w:val="prastasiniatinklio"/>
        <w:spacing w:before="0" w:beforeAutospacing="0" w:after="0" w:afterAutospacing="0"/>
        <w:rPr>
          <w:sz w:val="22"/>
          <w:szCs w:val="22"/>
          <w:lang w:val="pl-PL"/>
        </w:rPr>
      </w:pPr>
      <w:r w:rsidRPr="00E114B8">
        <w:rPr>
          <w:sz w:val="22"/>
          <w:szCs w:val="22"/>
          <w:lang w:val="pl-PL"/>
        </w:rPr>
        <w:t>Zakłady Farmaceutyczne POLPHARMA S.A.</w:t>
      </w:r>
    </w:p>
    <w:p w14:paraId="05CAAF55" w14:textId="77777777" w:rsidR="00DD55FD" w:rsidRDefault="00DD55FD" w:rsidP="00DD55FD">
      <w:pPr>
        <w:pStyle w:val="prastasiniatinklio"/>
        <w:spacing w:before="0" w:beforeAutospacing="0" w:after="0" w:afterAutospacing="0"/>
        <w:rPr>
          <w:lang w:val="pl-PL"/>
        </w:rPr>
      </w:pPr>
      <w:r w:rsidRPr="000960C2">
        <w:rPr>
          <w:lang w:val="pl-PL"/>
        </w:rPr>
        <w:t xml:space="preserve">ul. Pelplińska 19, </w:t>
      </w:r>
    </w:p>
    <w:p w14:paraId="4BB506F3" w14:textId="77777777" w:rsidR="00DD55FD" w:rsidRDefault="00DD55FD" w:rsidP="00DD55FD">
      <w:pPr>
        <w:pStyle w:val="prastasiniatinklio"/>
        <w:spacing w:before="0" w:beforeAutospacing="0" w:after="0" w:afterAutospacing="0"/>
        <w:rPr>
          <w:rFonts w:eastAsia="Arial Unicode MS"/>
          <w:noProof/>
          <w:sz w:val="22"/>
          <w:szCs w:val="22"/>
          <w:lang w:val="pl-PL"/>
        </w:rPr>
      </w:pPr>
      <w:r w:rsidRPr="000960C2">
        <w:rPr>
          <w:lang w:val="pl-PL"/>
        </w:rPr>
        <w:t>83-200 Starogard Gdański</w:t>
      </w:r>
      <w:r w:rsidRPr="00554EAD">
        <w:rPr>
          <w:rFonts w:eastAsia="Arial Unicode MS"/>
          <w:noProof/>
          <w:sz w:val="22"/>
          <w:szCs w:val="22"/>
          <w:lang w:val="pl-PL"/>
        </w:rPr>
        <w:t xml:space="preserve">, </w:t>
      </w:r>
    </w:p>
    <w:p w14:paraId="7AD88585" w14:textId="77777777" w:rsidR="00DD55FD" w:rsidRPr="00554EAD" w:rsidRDefault="00DD55FD" w:rsidP="00DD55FD">
      <w:pPr>
        <w:pStyle w:val="prastasiniatinklio"/>
        <w:spacing w:before="0" w:beforeAutospacing="0" w:after="0" w:afterAutospacing="0"/>
        <w:rPr>
          <w:lang w:val="pl-PL"/>
        </w:rPr>
      </w:pPr>
      <w:r w:rsidRPr="00554EAD">
        <w:rPr>
          <w:rFonts w:eastAsia="Arial Unicode MS"/>
          <w:noProof/>
          <w:sz w:val="22"/>
          <w:szCs w:val="22"/>
          <w:lang w:val="pl-PL"/>
        </w:rPr>
        <w:t>Lenkija</w:t>
      </w:r>
    </w:p>
    <w:p w14:paraId="5F873913" w14:textId="77777777" w:rsidR="00DD55FD" w:rsidRPr="00E114B8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61A56E2F" w14:textId="77777777" w:rsidR="00DD55FD" w:rsidRPr="006547F4" w:rsidRDefault="00DD55FD" w:rsidP="00DD55FD">
      <w:pPr>
        <w:spacing w:after="0" w:line="240" w:lineRule="auto"/>
        <w:rPr>
          <w:rFonts w:ascii="Times New Roman" w:eastAsia="Times New Roman" w:hAnsi="Times New Roman"/>
          <w:b/>
          <w:bCs/>
          <w:noProof/>
          <w:snapToGrid w:val="0"/>
        </w:rPr>
      </w:pPr>
      <w:r w:rsidRPr="006547F4">
        <w:rPr>
          <w:rFonts w:ascii="Times New Roman" w:eastAsia="Times New Roman" w:hAnsi="Times New Roman"/>
          <w:b/>
          <w:bCs/>
          <w:noProof/>
          <w:snapToGrid w:val="0"/>
        </w:rPr>
        <w:t>Gamintojas</w:t>
      </w:r>
    </w:p>
    <w:p w14:paraId="2280EA93" w14:textId="77777777" w:rsidR="00DD55FD" w:rsidRPr="00F7738C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7738C">
        <w:rPr>
          <w:rFonts w:ascii="Times New Roman" w:eastAsia="Times New Roman" w:hAnsi="Times New Roman"/>
        </w:rPr>
        <w:t>Zakłady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Farmaceutyczne</w:t>
      </w:r>
      <w:proofErr w:type="spellEnd"/>
      <w:r w:rsidRPr="00F7738C">
        <w:rPr>
          <w:rFonts w:ascii="Times New Roman" w:eastAsia="Times New Roman" w:hAnsi="Times New Roman"/>
        </w:rPr>
        <w:t xml:space="preserve"> POLPHARMA S.A.</w:t>
      </w:r>
    </w:p>
    <w:p w14:paraId="46B3D9A7" w14:textId="77777777" w:rsidR="00DD55FD" w:rsidRPr="00F7738C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7738C">
        <w:rPr>
          <w:rFonts w:ascii="Times New Roman" w:eastAsia="Times New Roman" w:hAnsi="Times New Roman"/>
        </w:rPr>
        <w:t>Oddział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Produkcyjny</w:t>
      </w:r>
      <w:proofErr w:type="spellEnd"/>
      <w:r w:rsidRPr="00F7738C">
        <w:rPr>
          <w:rFonts w:ascii="Times New Roman" w:eastAsia="Times New Roman" w:hAnsi="Times New Roman"/>
        </w:rPr>
        <w:t xml:space="preserve"> w </w:t>
      </w:r>
      <w:proofErr w:type="spellStart"/>
      <w:r w:rsidRPr="00F7738C">
        <w:rPr>
          <w:rFonts w:ascii="Times New Roman" w:eastAsia="Times New Roman" w:hAnsi="Times New Roman"/>
        </w:rPr>
        <w:t>Nowej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Dębie</w:t>
      </w:r>
      <w:proofErr w:type="spellEnd"/>
    </w:p>
    <w:p w14:paraId="7CB1A3BF" w14:textId="77777777" w:rsidR="00DD55FD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7738C">
        <w:rPr>
          <w:rFonts w:ascii="Times New Roman" w:eastAsia="Times New Roman" w:hAnsi="Times New Roman"/>
        </w:rPr>
        <w:t>ul</w:t>
      </w:r>
      <w:proofErr w:type="spellEnd"/>
      <w:r w:rsidRPr="00F7738C">
        <w:rPr>
          <w:rFonts w:ascii="Times New Roman" w:eastAsia="Times New Roman" w:hAnsi="Times New Roman"/>
        </w:rPr>
        <w:t xml:space="preserve">. </w:t>
      </w:r>
      <w:proofErr w:type="spellStart"/>
      <w:r w:rsidRPr="00F7738C">
        <w:rPr>
          <w:rFonts w:ascii="Times New Roman" w:eastAsia="Times New Roman" w:hAnsi="Times New Roman"/>
        </w:rPr>
        <w:t>Metalowca</w:t>
      </w:r>
      <w:proofErr w:type="spellEnd"/>
      <w:r w:rsidRPr="00F7738C">
        <w:rPr>
          <w:rFonts w:ascii="Times New Roman" w:eastAsia="Times New Roman" w:hAnsi="Times New Roman"/>
        </w:rPr>
        <w:t xml:space="preserve"> 2, 39-460 </w:t>
      </w:r>
      <w:proofErr w:type="spellStart"/>
      <w:r w:rsidRPr="00F7738C">
        <w:rPr>
          <w:rFonts w:ascii="Times New Roman" w:eastAsia="Times New Roman" w:hAnsi="Times New Roman"/>
        </w:rPr>
        <w:t>Nowa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Dęba</w:t>
      </w:r>
      <w:proofErr w:type="spellEnd"/>
      <w:r w:rsidRPr="00F7738C">
        <w:rPr>
          <w:rFonts w:ascii="Times New Roman" w:eastAsia="Times New Roman" w:hAnsi="Times New Roman"/>
        </w:rPr>
        <w:t xml:space="preserve">, </w:t>
      </w:r>
    </w:p>
    <w:p w14:paraId="45E3CC8C" w14:textId="77777777" w:rsidR="00DD55FD" w:rsidRDefault="00DD55FD" w:rsidP="00DD55FD">
      <w:pPr>
        <w:spacing w:after="0" w:line="240" w:lineRule="auto"/>
        <w:rPr>
          <w:rFonts w:ascii="Times New Roman" w:eastAsia="Arial Unicode MS" w:hAnsi="Times New Roman"/>
          <w:noProof/>
        </w:rPr>
      </w:pPr>
      <w:r w:rsidRPr="00F7738C">
        <w:rPr>
          <w:rFonts w:ascii="Times New Roman" w:eastAsia="Arial Unicode MS" w:hAnsi="Times New Roman"/>
          <w:noProof/>
        </w:rPr>
        <w:t>Lenkija</w:t>
      </w:r>
    </w:p>
    <w:p w14:paraId="4F2B01EE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3FF5F6F4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 xml:space="preserve">Jeigu apie šį vaistą norite sužinoti daugiau, kreipkitės į vietinį </w:t>
      </w:r>
      <w:r>
        <w:rPr>
          <w:rFonts w:ascii="Times New Roman" w:eastAsia="Times New Roman" w:hAnsi="Times New Roman"/>
        </w:rPr>
        <w:t>registruotojo</w:t>
      </w:r>
      <w:r w:rsidRPr="00621ED6">
        <w:rPr>
          <w:rFonts w:ascii="Times New Roman" w:eastAsia="Times New Roman" w:hAnsi="Times New Roman"/>
        </w:rPr>
        <w:t xml:space="preserve"> atstovą:</w:t>
      </w:r>
    </w:p>
    <w:p w14:paraId="5A0FD345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2C28D5BC" w14:textId="77777777" w:rsidR="00DD55FD" w:rsidRPr="00B432D6" w:rsidRDefault="00DD55FD" w:rsidP="00DD55FD">
      <w:pPr>
        <w:spacing w:after="0" w:line="240" w:lineRule="auto"/>
        <w:rPr>
          <w:rFonts w:ascii="Times New Roman" w:hAnsi="Times New Roman"/>
          <w:spacing w:val="4"/>
        </w:rPr>
      </w:pPr>
      <w:r w:rsidRPr="00B432D6">
        <w:rPr>
          <w:rFonts w:ascii="Times New Roman" w:hAnsi="Times New Roman"/>
          <w:spacing w:val="4"/>
        </w:rPr>
        <w:t>POLPHARMA S.A. atstovybė</w:t>
      </w:r>
    </w:p>
    <w:p w14:paraId="359C54B4" w14:textId="77777777" w:rsidR="00DD55FD" w:rsidRPr="00B432D6" w:rsidRDefault="00DD55FD" w:rsidP="00DD55FD">
      <w:pPr>
        <w:spacing w:after="0" w:line="240" w:lineRule="auto"/>
        <w:rPr>
          <w:rFonts w:ascii="Times New Roman" w:hAnsi="Times New Roman"/>
          <w:spacing w:val="4"/>
        </w:rPr>
      </w:pPr>
      <w:r w:rsidRPr="00B432D6">
        <w:rPr>
          <w:rFonts w:ascii="Times New Roman" w:hAnsi="Times New Roman"/>
          <w:spacing w:val="4"/>
        </w:rPr>
        <w:lastRenderedPageBreak/>
        <w:t>E. Ožeškienės g. 18A</w:t>
      </w:r>
    </w:p>
    <w:p w14:paraId="496A5B33" w14:textId="77777777" w:rsidR="00DD55FD" w:rsidRPr="00B432D6" w:rsidRDefault="00DD55FD" w:rsidP="00DD55FD">
      <w:pPr>
        <w:spacing w:after="0" w:line="240" w:lineRule="auto"/>
        <w:rPr>
          <w:rFonts w:ascii="Times New Roman" w:hAnsi="Times New Roman"/>
          <w:spacing w:val="4"/>
        </w:rPr>
      </w:pPr>
      <w:r w:rsidRPr="00B432D6">
        <w:rPr>
          <w:rFonts w:ascii="Times New Roman" w:hAnsi="Times New Roman"/>
          <w:spacing w:val="4"/>
        </w:rPr>
        <w:t>LT-44254 Kaunas</w:t>
      </w:r>
    </w:p>
    <w:p w14:paraId="10399D41" w14:textId="77777777" w:rsidR="00DD55FD" w:rsidRPr="00B432D6" w:rsidRDefault="00DD55FD" w:rsidP="00DD55FD">
      <w:pPr>
        <w:spacing w:after="0" w:line="240" w:lineRule="auto"/>
        <w:rPr>
          <w:rFonts w:ascii="Times New Roman" w:hAnsi="Times New Roman"/>
        </w:rPr>
      </w:pPr>
      <w:r w:rsidRPr="00B432D6">
        <w:rPr>
          <w:rFonts w:ascii="Times New Roman" w:hAnsi="Times New Roman"/>
          <w:spacing w:val="4"/>
        </w:rPr>
        <w:t>Tel. +370 37 325131</w:t>
      </w:r>
    </w:p>
    <w:p w14:paraId="0D528568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</w:rPr>
      </w:pPr>
    </w:p>
    <w:p w14:paraId="31D4A280" w14:textId="77777777" w:rsidR="00DD55FD" w:rsidRPr="00621ED6" w:rsidRDefault="00DD55FD" w:rsidP="00DD55FD">
      <w:pPr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  <w:bCs/>
        </w:rPr>
        <w:t>Šis pakuotės lapelis</w:t>
      </w:r>
      <w:r w:rsidRPr="00621ED6">
        <w:rPr>
          <w:rFonts w:ascii="Times New Roman" w:eastAsia="Times New Roman" w:hAnsi="Times New Roman"/>
          <w:b/>
        </w:rPr>
        <w:t xml:space="preserve"> paskutinį kartą </w:t>
      </w:r>
      <w:r w:rsidRPr="00621ED6">
        <w:rPr>
          <w:rFonts w:ascii="Times New Roman" w:eastAsia="Times New Roman" w:hAnsi="Times New Roman"/>
          <w:b/>
          <w:noProof/>
        </w:rPr>
        <w:t>peržiūrėtas</w:t>
      </w:r>
      <w:r w:rsidRPr="00621ED6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t>2025-05-15.</w:t>
      </w:r>
    </w:p>
    <w:p w14:paraId="456AD96C" w14:textId="77777777" w:rsidR="00DD55FD" w:rsidRPr="00621ED6" w:rsidRDefault="00DD55FD" w:rsidP="00DD55F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</w:p>
    <w:p w14:paraId="2F23E4AB" w14:textId="77777777" w:rsidR="00DD55FD" w:rsidRPr="00621ED6" w:rsidRDefault="00DD55FD" w:rsidP="00DD55F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eastAsia="Times New Roman" w:hAnsi="Times New Roman"/>
          <w:snapToGrid w:val="0"/>
        </w:rPr>
        <w:t xml:space="preserve"> </w:t>
      </w:r>
      <w:r w:rsidRPr="00621ED6">
        <w:rPr>
          <w:rFonts w:ascii="Times New Roman" w:eastAsia="SimSun" w:hAnsi="Times New Roman"/>
          <w:snapToGrid w:val="0"/>
          <w:color w:val="0000FF"/>
          <w:u w:val="single"/>
        </w:rPr>
        <w:t>http://www.vvkt.lt/</w:t>
      </w:r>
    </w:p>
    <w:p w14:paraId="0F084532" w14:textId="77777777" w:rsidR="00DD55FD" w:rsidRDefault="00DD55FD" w:rsidP="00DD55FD"/>
    <w:p w14:paraId="3F6E2905" w14:textId="77777777" w:rsidR="00222FED" w:rsidRDefault="00222FED"/>
    <w:sectPr w:rsidR="00222FED" w:rsidSect="00DD55F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572B" w14:textId="77777777" w:rsidR="00DD55FD" w:rsidRDefault="00DD55FD" w:rsidP="00347851">
    <w:pPr>
      <w:pStyle w:val="Porat"/>
      <w:jc w:val="right"/>
    </w:pPr>
    <w:r w:rsidRPr="00347851">
      <w:rPr>
        <w:rFonts w:ascii="Times New Roman" w:hAnsi="Times New Roman" w:cs="Times New Roman"/>
      </w:rPr>
      <w:fldChar w:fldCharType="begin"/>
    </w:r>
    <w:r w:rsidRPr="00347851">
      <w:rPr>
        <w:rFonts w:ascii="Times New Roman" w:hAnsi="Times New Roman" w:cs="Times New Roman"/>
      </w:rPr>
      <w:instrText xml:space="preserve"> PAGE   \* MERGEFORMAT </w:instrText>
    </w:r>
    <w:r w:rsidRPr="00347851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347851">
      <w:rPr>
        <w:rFonts w:ascii="Times New Roman" w:hAnsi="Times New Roman" w:cs="Times New Roman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6DFA"/>
    <w:multiLevelType w:val="hybridMultilevel"/>
    <w:tmpl w:val="FFB430AE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457D"/>
    <w:multiLevelType w:val="hybridMultilevel"/>
    <w:tmpl w:val="3222A3DA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D0A45"/>
    <w:multiLevelType w:val="hybridMultilevel"/>
    <w:tmpl w:val="D86AF792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3201"/>
    <w:multiLevelType w:val="hybridMultilevel"/>
    <w:tmpl w:val="A58C5E08"/>
    <w:lvl w:ilvl="0" w:tplc="1FBCF45E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29E155F"/>
    <w:multiLevelType w:val="hybridMultilevel"/>
    <w:tmpl w:val="17E02FB0"/>
    <w:lvl w:ilvl="0" w:tplc="A8F2F04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1E1DB6"/>
    <w:multiLevelType w:val="hybridMultilevel"/>
    <w:tmpl w:val="1666B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2678"/>
    <w:multiLevelType w:val="hybridMultilevel"/>
    <w:tmpl w:val="FEAEDCBA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B2956"/>
    <w:multiLevelType w:val="hybridMultilevel"/>
    <w:tmpl w:val="AA725DFC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5425C"/>
    <w:multiLevelType w:val="hybridMultilevel"/>
    <w:tmpl w:val="FBFCB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8806599">
    <w:abstractNumId w:val="8"/>
  </w:num>
  <w:num w:numId="2" w16cid:durableId="383598985">
    <w:abstractNumId w:val="3"/>
  </w:num>
  <w:num w:numId="3" w16cid:durableId="1261178488">
    <w:abstractNumId w:val="5"/>
  </w:num>
  <w:num w:numId="4" w16cid:durableId="1490756413">
    <w:abstractNumId w:val="4"/>
  </w:num>
  <w:num w:numId="5" w16cid:durableId="576861588">
    <w:abstractNumId w:val="7"/>
  </w:num>
  <w:num w:numId="6" w16cid:durableId="864829501">
    <w:abstractNumId w:val="0"/>
  </w:num>
  <w:num w:numId="7" w16cid:durableId="654843342">
    <w:abstractNumId w:val="6"/>
  </w:num>
  <w:num w:numId="8" w16cid:durableId="1053505202">
    <w:abstractNumId w:val="1"/>
  </w:num>
  <w:num w:numId="9" w16cid:durableId="1834299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FD"/>
    <w:rsid w:val="00222FED"/>
    <w:rsid w:val="005F173E"/>
    <w:rsid w:val="008B3AD4"/>
    <w:rsid w:val="00984A0A"/>
    <w:rsid w:val="00D047C4"/>
    <w:rsid w:val="00DD55FD"/>
    <w:rsid w:val="00EC0D97"/>
    <w:rsid w:val="00F8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985C"/>
  <w15:chartTrackingRefBased/>
  <w15:docId w15:val="{63A415CA-C9BC-4524-9621-9228F8B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D55FD"/>
    <w:pPr>
      <w:spacing w:after="200" w:line="276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D5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D5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D5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D5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D5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D5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D5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D5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D5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D5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D5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D55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D55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D55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D55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D55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D55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D55F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D5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D5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D5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D55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D5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D55F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D55F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D55F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D5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D55F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D55FD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DD55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D55FD"/>
    <w:rPr>
      <w:rFonts w:asciiTheme="minorHAnsi" w:hAnsiTheme="minorHAnsi" w:cstheme="minorBidi"/>
      <w:kern w:val="0"/>
      <w14:ligatures w14:val="none"/>
    </w:rPr>
  </w:style>
  <w:style w:type="paragraph" w:styleId="prastasiniatinklio">
    <w:name w:val="Normal (Web)"/>
    <w:basedOn w:val="prastasis"/>
    <w:uiPriority w:val="99"/>
    <w:unhideWhenUsed/>
    <w:rsid w:val="00DD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6385</Words>
  <Characters>3641</Characters>
  <Application>Microsoft Office Word</Application>
  <DocSecurity>0</DocSecurity>
  <Lines>30</Lines>
  <Paragraphs>20</Paragraphs>
  <ScaleCrop>false</ScaleCrop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2025-12-31T12:26:00Z</dcterms:created>
  <dcterms:modified xsi:type="dcterms:W3CDTF">2025-12-31T12:27:00Z</dcterms:modified>
</cp:coreProperties>
</file>