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0E" w:rsidRPr="00145B7E" w:rsidRDefault="00453B0E" w:rsidP="00453B0E">
      <w:pPr>
        <w:pStyle w:val="TTEMEASMCA"/>
        <w:rPr>
          <w:lang w:val="lt-LT"/>
        </w:rPr>
      </w:pPr>
      <w:bookmarkStart w:id="0" w:name="_Toc129243138"/>
      <w:bookmarkStart w:id="1" w:name="_Toc129243263"/>
      <w:r w:rsidRPr="005F06DB">
        <w:rPr>
          <w:lang w:val="lt-LT"/>
        </w:rPr>
        <w:t>P</w:t>
      </w:r>
      <w:r w:rsidRPr="005F06DB">
        <w:rPr>
          <w:caps w:val="0"/>
          <w:lang w:val="lt-LT"/>
        </w:rPr>
        <w:t>akuotės lapelis: informacija vartotojui</w:t>
      </w:r>
      <w:bookmarkEnd w:id="0"/>
      <w:bookmarkEnd w:id="1"/>
    </w:p>
    <w:p w:rsidR="00453B0E" w:rsidRPr="00145B7E" w:rsidRDefault="00453B0E" w:rsidP="00453B0E">
      <w:pPr>
        <w:pStyle w:val="BTEMEASMCA"/>
      </w:pPr>
    </w:p>
    <w:p w:rsidR="00453B0E" w:rsidRDefault="00453B0E" w:rsidP="00453B0E">
      <w:pPr>
        <w:pStyle w:val="BTEMEASMCA"/>
        <w:jc w:val="center"/>
        <w:rPr>
          <w:b/>
        </w:rPr>
      </w:pPr>
      <w:r w:rsidRPr="0076172D">
        <w:rPr>
          <w:b/>
        </w:rPr>
        <w:t>Pramistar 600 mg plėvele dengtos tabletės</w:t>
      </w:r>
    </w:p>
    <w:p w:rsidR="00453B0E" w:rsidRDefault="00453B0E" w:rsidP="00453B0E">
      <w:pPr>
        <w:pStyle w:val="BTEMEASMCA"/>
        <w:jc w:val="center"/>
      </w:pPr>
      <w:r w:rsidRPr="00145B7E">
        <w:t>Pramiracetamas</w:t>
      </w:r>
    </w:p>
    <w:p w:rsidR="00453B0E" w:rsidRPr="00145B7E" w:rsidRDefault="00453B0E" w:rsidP="00453B0E">
      <w:pPr>
        <w:pStyle w:val="BTEMEASMCA"/>
      </w:pPr>
    </w:p>
    <w:p w:rsidR="00453B0E" w:rsidRPr="00145B7E" w:rsidRDefault="00453B0E" w:rsidP="00453B0E">
      <w:pPr>
        <w:pStyle w:val="BTbEMEASMCA"/>
      </w:pPr>
      <w:r w:rsidRPr="005F06DB">
        <w:t>Atidžiai perskaitykite visą šį lapelį, prieš pradėdami vartoti vaistą, nes jame pateikiama Jums svarbi informacija.</w:t>
      </w:r>
    </w:p>
    <w:p w:rsidR="00453B0E" w:rsidRPr="00145B7E" w:rsidRDefault="00453B0E" w:rsidP="00453B0E">
      <w:pPr>
        <w:pStyle w:val="BT-EMEASMCA"/>
      </w:pPr>
      <w:r w:rsidRPr="00145B7E">
        <w:t>Neišmeskite šio lapelio, nes vėl gali prireikti jį perskaityti.</w:t>
      </w:r>
    </w:p>
    <w:p w:rsidR="00453B0E" w:rsidRPr="005F06DB" w:rsidRDefault="00453B0E" w:rsidP="00453B0E">
      <w:pPr>
        <w:pStyle w:val="BT-EMEASMCA"/>
      </w:pPr>
      <w:r w:rsidRPr="00145B7E">
        <w:t>Jeigu kiltų daugiau klausimų, kreipkitės į gydytoją arba vai</w:t>
      </w:r>
      <w:r w:rsidRPr="005F06DB">
        <w:t>stininką.</w:t>
      </w:r>
    </w:p>
    <w:p w:rsidR="00453B0E" w:rsidRPr="00145B7E" w:rsidRDefault="00453B0E" w:rsidP="00453B0E">
      <w:pPr>
        <w:pStyle w:val="BT-EMEASMCA"/>
      </w:pPr>
      <w:r w:rsidRPr="005F06DB">
        <w:t>Šis vaistas skirtas tik</w:t>
      </w:r>
      <w:r w:rsidRPr="00145B7E">
        <w:t xml:space="preserve"> Jums, todėl kitiems žmonėms jo duoti negalima. Vaistas gali jiems pakenkti (net tiems, kurių ligos </w:t>
      </w:r>
      <w:r w:rsidRPr="005F06DB">
        <w:t>požymiai</w:t>
      </w:r>
      <w:r w:rsidRPr="00145B7E">
        <w:t xml:space="preserve"> yra tokie patys kaip Jūsų).</w:t>
      </w:r>
    </w:p>
    <w:p w:rsidR="00453B0E" w:rsidRPr="005F06DB" w:rsidRDefault="00453B0E" w:rsidP="00453B0E">
      <w:pPr>
        <w:pStyle w:val="BT-EMEASMCA"/>
      </w:pPr>
      <w:r w:rsidRPr="00145B7E">
        <w:t xml:space="preserve">Jeigu pasireiškė </w:t>
      </w:r>
      <w:r w:rsidRPr="005F06DB">
        <w:t>šalutinis poveikis (net jeigu jis šiame lapelyje nenurodyta), kreipkitės į gydytoją arba vaistininką. Žr. 4 skyrių.</w:t>
      </w:r>
    </w:p>
    <w:p w:rsidR="00453B0E" w:rsidRPr="00145B7E" w:rsidRDefault="00453B0E" w:rsidP="00453B0E">
      <w:pPr>
        <w:pStyle w:val="BTEMEASMCA"/>
      </w:pPr>
    </w:p>
    <w:p w:rsidR="00453B0E" w:rsidRPr="005F06DB" w:rsidRDefault="00453B0E" w:rsidP="00453B0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5F06DB">
        <w:rPr>
          <w:b/>
          <w:bCs/>
          <w:snapToGrid w:val="0"/>
          <w:sz w:val="22"/>
          <w:szCs w:val="28"/>
        </w:rPr>
        <w:t>Apie ką rašoma šiame lapelyje?</w:t>
      </w:r>
    </w:p>
    <w:p w:rsidR="00453B0E" w:rsidRPr="00145B7E" w:rsidRDefault="00453B0E" w:rsidP="00453B0E">
      <w:pPr>
        <w:pStyle w:val="BTEMEASMCA"/>
      </w:pPr>
      <w:r w:rsidRPr="00145B7E">
        <w:t>1.</w:t>
      </w:r>
      <w:r w:rsidRPr="00145B7E">
        <w:tab/>
        <w:t>Kas yra Pramistar ir kam jis vartojamas</w:t>
      </w:r>
    </w:p>
    <w:p w:rsidR="00453B0E" w:rsidRPr="00145B7E" w:rsidRDefault="00453B0E" w:rsidP="00453B0E">
      <w:pPr>
        <w:pStyle w:val="BTEMEASMCA"/>
      </w:pPr>
      <w:r w:rsidRPr="00145B7E">
        <w:t>2.</w:t>
      </w:r>
      <w:r w:rsidRPr="00145B7E">
        <w:tab/>
        <w:t>Kas žinotina prieš vartojant Pramistar</w:t>
      </w:r>
    </w:p>
    <w:p w:rsidR="00453B0E" w:rsidRPr="005F06DB" w:rsidRDefault="00453B0E" w:rsidP="00453B0E">
      <w:pPr>
        <w:pStyle w:val="BTEMEASMCA"/>
      </w:pPr>
      <w:r w:rsidRPr="00145B7E">
        <w:t>3.</w:t>
      </w:r>
      <w:r w:rsidRPr="00145B7E">
        <w:tab/>
        <w:t>Kaip vartoti Pramistar</w:t>
      </w:r>
    </w:p>
    <w:p w:rsidR="00453B0E" w:rsidRPr="005F06DB" w:rsidRDefault="00453B0E" w:rsidP="00453B0E">
      <w:pPr>
        <w:pStyle w:val="BTEMEASMCA"/>
      </w:pPr>
      <w:r w:rsidRPr="005F06DB">
        <w:t>4.</w:t>
      </w:r>
      <w:r w:rsidRPr="005F06DB">
        <w:tab/>
        <w:t>Galimas šalutinis poveikis</w:t>
      </w:r>
    </w:p>
    <w:p w:rsidR="00453B0E" w:rsidRPr="005F06DB" w:rsidRDefault="00453B0E" w:rsidP="00453B0E">
      <w:pPr>
        <w:pStyle w:val="BTEMEASMCA"/>
      </w:pPr>
      <w:r w:rsidRPr="005F06DB">
        <w:t>5.</w:t>
      </w:r>
      <w:r w:rsidRPr="005F06DB">
        <w:tab/>
        <w:t>Kaip laikyti Pramistar</w:t>
      </w:r>
    </w:p>
    <w:p w:rsidR="00453B0E" w:rsidRPr="00145B7E" w:rsidRDefault="00453B0E" w:rsidP="00453B0E">
      <w:pPr>
        <w:pStyle w:val="BTEMEASMCA"/>
      </w:pPr>
      <w:r w:rsidRPr="005F06DB">
        <w:t>6.</w:t>
      </w:r>
      <w:r w:rsidRPr="005F06DB">
        <w:tab/>
        <w:t>Pakuotės turinys ir k</w:t>
      </w:r>
      <w:r w:rsidRPr="00145B7E">
        <w:t>ita informacija</w:t>
      </w:r>
    </w:p>
    <w:p w:rsidR="00453B0E" w:rsidRPr="00145B7E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</w:p>
    <w:p w:rsidR="00453B0E" w:rsidRPr="005F06DB" w:rsidRDefault="00453B0E" w:rsidP="00453B0E">
      <w:pPr>
        <w:pStyle w:val="PI-1EMEASMCA"/>
      </w:pPr>
      <w:bookmarkStart w:id="2" w:name="_Toc129243139"/>
      <w:bookmarkStart w:id="3" w:name="_Toc129243264"/>
      <w:r w:rsidRPr="00145B7E">
        <w:t>1</w:t>
      </w:r>
      <w:r w:rsidRPr="005F06DB">
        <w:t>.</w:t>
      </w:r>
      <w:r w:rsidRPr="005F06DB">
        <w:tab/>
        <w:t>Kas yra Pramistar ir kam jis vartojamas</w:t>
      </w:r>
      <w:bookmarkEnd w:id="2"/>
      <w:bookmarkEnd w:id="3"/>
    </w:p>
    <w:p w:rsidR="00453B0E" w:rsidRPr="005F06DB" w:rsidRDefault="00453B0E" w:rsidP="00453B0E">
      <w:pPr>
        <w:pStyle w:val="BTEMEASMCA"/>
      </w:pPr>
    </w:p>
    <w:p w:rsidR="00453B0E" w:rsidRPr="00F8565F" w:rsidRDefault="00453B0E" w:rsidP="00453B0E">
      <w:pPr>
        <w:pStyle w:val="Pagrindinistekstas"/>
        <w:spacing w:after="0"/>
      </w:pPr>
      <w:r w:rsidRPr="00F8565F">
        <w:t xml:space="preserve">Pramistar vartojamas koncentracijos ir atminties sutrikimų, atsiradusių dėl smegenų ląstelių degeneracijos arba dėl kraujagyslių, aprūpinančių smegenis krauju, ligų gydymui, ir abu šie sutrikimai atsiranda senyviems pacientams </w:t>
      </w:r>
      <w:r w:rsidRPr="00F8565F">
        <w:rPr>
          <w:b/>
          <w:bCs/>
        </w:rPr>
        <w:t>(pacientams vyresniems nei 65 m.)</w:t>
      </w:r>
      <w:r w:rsidRPr="00F8565F">
        <w:t>. Pramistar veiklioji medžiaga yra pramiracetamas, - vaistas, pagerinantis atminties funkcijas ir mokymosi gebėjimus.</w:t>
      </w:r>
    </w:p>
    <w:p w:rsidR="00453B0E" w:rsidRPr="00145B7E" w:rsidRDefault="00453B0E" w:rsidP="00453B0E">
      <w:pPr>
        <w:pStyle w:val="BTEMEASMCA"/>
      </w:pPr>
    </w:p>
    <w:p w:rsidR="00453B0E" w:rsidRPr="005F06DB" w:rsidRDefault="00453B0E" w:rsidP="00453B0E">
      <w:pPr>
        <w:pStyle w:val="PI-1EMEASMCA"/>
      </w:pPr>
      <w:bookmarkStart w:id="4" w:name="_Toc129243140"/>
      <w:bookmarkStart w:id="5" w:name="_Toc129243265"/>
      <w:r w:rsidRPr="00145B7E">
        <w:t>2.</w:t>
      </w:r>
      <w:r w:rsidRPr="00145B7E">
        <w:tab/>
        <w:t xml:space="preserve">Kas žinotina prieš vartojant </w:t>
      </w:r>
      <w:bookmarkEnd w:id="4"/>
      <w:bookmarkEnd w:id="5"/>
      <w:r w:rsidRPr="005F06DB">
        <w:t>Pramistar</w:t>
      </w: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PI-3EMEASMCA"/>
      </w:pPr>
      <w:r w:rsidRPr="005F06DB">
        <w:t>Pramistar vartoti negalima:</w:t>
      </w:r>
    </w:p>
    <w:p w:rsidR="00453B0E" w:rsidRPr="00145B7E" w:rsidRDefault="00453B0E" w:rsidP="00453B0E">
      <w:pPr>
        <w:pStyle w:val="BT-EMEASMCA"/>
      </w:pPr>
      <w:r w:rsidRPr="005F06DB">
        <w:rPr>
          <w:noProof w:val="0"/>
        </w:rPr>
        <w:t xml:space="preserve">jeigu yra alergija </w:t>
      </w:r>
      <w:r w:rsidRPr="005F06DB">
        <w:t>pramiracetamo sulfatui arba kuriai nors pagalbinei šio vaisto medžiagai (jos išvardytos 6 skyriuje),</w:t>
      </w:r>
    </w:p>
    <w:p w:rsidR="00453B0E" w:rsidRPr="00145B7E" w:rsidRDefault="00453B0E" w:rsidP="00453B0E">
      <w:pPr>
        <w:pStyle w:val="BT-EMEASMCA"/>
      </w:pPr>
      <w:r w:rsidRPr="00145B7E">
        <w:t>jeigu Jums buvo kraujo išsiliejimas smegenyse,</w:t>
      </w:r>
    </w:p>
    <w:p w:rsidR="00453B0E" w:rsidRPr="005F06DB" w:rsidRDefault="00453B0E" w:rsidP="00453B0E">
      <w:pPr>
        <w:pStyle w:val="BT-EMEASMCA"/>
      </w:pPr>
      <w:r w:rsidRPr="00145B7E">
        <w:t xml:space="preserve">jeigu Jums </w:t>
      </w:r>
      <w:r w:rsidRPr="005F06DB">
        <w:t>nustatytas sunkus inkstų nepakankamumas,</w:t>
      </w:r>
    </w:p>
    <w:p w:rsidR="00453B0E" w:rsidRPr="005F06DB" w:rsidRDefault="00453B0E" w:rsidP="00453B0E">
      <w:pPr>
        <w:pStyle w:val="BT-EMEASMCA"/>
      </w:pPr>
      <w:r w:rsidRPr="005F06DB">
        <w:t>jeigu Jums nustatytas kepenų nepakankamumas,</w:t>
      </w:r>
    </w:p>
    <w:p w:rsidR="00453B0E" w:rsidRPr="005F06DB" w:rsidRDefault="00453B0E" w:rsidP="00453B0E">
      <w:pPr>
        <w:pStyle w:val="BT-EMEASMCA"/>
      </w:pPr>
      <w:r w:rsidRPr="005F06DB">
        <w:t>nėštumo ir žindymo laikotarpiu.</w:t>
      </w:r>
    </w:p>
    <w:p w:rsidR="00453B0E" w:rsidRPr="005F06DB" w:rsidRDefault="00453B0E" w:rsidP="00453B0E">
      <w:pPr>
        <w:pStyle w:val="PI-3EMEASMCA"/>
      </w:pPr>
    </w:p>
    <w:p w:rsidR="00453B0E" w:rsidRPr="005F06DB" w:rsidRDefault="00453B0E" w:rsidP="00453B0E">
      <w:pPr>
        <w:pStyle w:val="PI-3EMEASMCA"/>
      </w:pPr>
      <w:r w:rsidRPr="005F06DB">
        <w:t>Įspėjimai ir atsargumo priemonės</w:t>
      </w:r>
    </w:p>
    <w:p w:rsidR="00453B0E" w:rsidRPr="00145B7E" w:rsidRDefault="00453B0E" w:rsidP="00453B0E">
      <w:pPr>
        <w:pStyle w:val="PI-3EMEASMCA"/>
      </w:pPr>
    </w:p>
    <w:p w:rsidR="00453B0E" w:rsidRPr="005F06DB" w:rsidRDefault="00453B0E" w:rsidP="00453B0E">
      <w:pPr>
        <w:pStyle w:val="PI-3EMEASMCA"/>
        <w:rPr>
          <w:b w:val="0"/>
        </w:rPr>
      </w:pPr>
      <w:r w:rsidRPr="005F06DB">
        <w:rPr>
          <w:b w:val="0"/>
        </w:rPr>
        <w:t>Prieš pradėdami vartoti Pramistar pasitarkite su gydytoju ar vaistininku:</w:t>
      </w:r>
    </w:p>
    <w:p w:rsidR="00453B0E" w:rsidRPr="005F06DB" w:rsidRDefault="00453B0E" w:rsidP="00453B0E">
      <w:pPr>
        <w:pStyle w:val="BT-EMEASMCA"/>
      </w:pPr>
      <w:r w:rsidRPr="005F06DB">
        <w:rPr>
          <w:noProof w:val="0"/>
        </w:rPr>
        <w:t xml:space="preserve">jeigu Jums nustatytas </w:t>
      </w:r>
      <w:r w:rsidRPr="005F06DB">
        <w:t xml:space="preserve">nesunkus arba vidutinio sunkumo inkstų nepakankamumas; </w:t>
      </w:r>
    </w:p>
    <w:p w:rsidR="00453B0E" w:rsidRPr="005F06DB" w:rsidRDefault="00453B0E" w:rsidP="00453B0E">
      <w:pPr>
        <w:pStyle w:val="BT-EMEASMCA"/>
      </w:pPr>
      <w:r w:rsidRPr="005F06DB">
        <w:t>jeigu Jūs vartojate vaistus nuo kraujo krešumo, pvz., aspiriną arba tokius antikoaguliantus kaip varfarinas;</w:t>
      </w:r>
    </w:p>
    <w:p w:rsidR="00453B0E" w:rsidRPr="005F06DB" w:rsidRDefault="00453B0E" w:rsidP="00453B0E">
      <w:pPr>
        <w:pStyle w:val="BT-EMEASMCA"/>
      </w:pPr>
      <w:r w:rsidRPr="005F06DB">
        <w:t>jeigu nustatyti su kraujavimu susiję sutrikimai.</w:t>
      </w:r>
    </w:p>
    <w:p w:rsidR="00453B0E" w:rsidRPr="005F06DB" w:rsidRDefault="00453B0E" w:rsidP="00453B0E">
      <w:pPr>
        <w:pStyle w:val="BT-EMEASMCA"/>
      </w:pPr>
    </w:p>
    <w:p w:rsidR="00453B0E" w:rsidRPr="00145B7E" w:rsidRDefault="00453B0E" w:rsidP="00453B0E">
      <w:pPr>
        <w:pStyle w:val="BTEMEASMCA"/>
      </w:pPr>
      <w:r w:rsidRPr="005F06DB">
        <w:t>Šiais atvejais Pramistar reikia vartoti laikantis atsargumo.</w:t>
      </w:r>
    </w:p>
    <w:p w:rsidR="00453B0E" w:rsidRPr="005F06DB" w:rsidRDefault="00453B0E" w:rsidP="00453B0E">
      <w:pPr>
        <w:pStyle w:val="PI-3EMEASMCA"/>
      </w:pPr>
    </w:p>
    <w:p w:rsidR="00453B0E" w:rsidRPr="00145B7E" w:rsidRDefault="00453B0E" w:rsidP="00453B0E">
      <w:pPr>
        <w:pStyle w:val="PI-3EMEASMCA"/>
      </w:pPr>
      <w:r w:rsidRPr="005F06DB">
        <w:t>Kiti vaistai ir Pramistar</w:t>
      </w:r>
    </w:p>
    <w:p w:rsidR="00453B0E" w:rsidRPr="005F06DB" w:rsidRDefault="00453B0E" w:rsidP="00453B0E">
      <w:pPr>
        <w:pStyle w:val="BTEMEASMCA"/>
      </w:pPr>
      <w:r w:rsidRPr="00145B7E">
        <w:t>Jeigu vartojate arba neseniai vartojote kitų vaistų</w:t>
      </w:r>
      <w:r w:rsidRPr="00145B7E">
        <w:rPr>
          <w:szCs w:val="24"/>
        </w:rPr>
        <w:t xml:space="preserve"> </w:t>
      </w:r>
      <w:r w:rsidRPr="005F06DB">
        <w:rPr>
          <w:szCs w:val="24"/>
        </w:rPr>
        <w:t>arba dėl to nesate tikri</w:t>
      </w:r>
      <w:r w:rsidRPr="005F06DB">
        <w:t>,</w:t>
      </w:r>
      <w:r w:rsidRPr="00145B7E">
        <w:t xml:space="preserve"> pasakykite gydytojui arba vaistininkui. </w:t>
      </w:r>
      <w:r w:rsidRPr="005F06DB">
        <w:t>Kai kurių vaistų vartoti kartu negalima, o kai kada reikia keisti vaistų dozę, jei jie vartojami kartu.</w:t>
      </w:r>
    </w:p>
    <w:p w:rsidR="00453B0E" w:rsidRPr="005F06DB" w:rsidRDefault="00453B0E" w:rsidP="00453B0E">
      <w:pPr>
        <w:pStyle w:val="BTEMEASMCA"/>
      </w:pPr>
      <w:r w:rsidRPr="00145B7E">
        <w:t xml:space="preserve">Pramistar ir kitų vaistų, kaip pvz., digoksino, ksantinų grupės vaistų (pvz. </w:t>
      </w:r>
      <w:r w:rsidRPr="005F06DB">
        <w:t>teofilino), kraujo krešėjimą mažinančių vaistų (pvz. varfarino) ir kraujospūdį mažinančių vaistų - AKF inhibitorių (tokių kaip kaptorpilis), sąveika nežinoma.</w:t>
      </w:r>
    </w:p>
    <w:p w:rsidR="00453B0E" w:rsidRPr="005F06DB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  <w:r w:rsidRPr="005F06DB">
        <w:lastRenderedPageBreak/>
        <w:t>Jeigu kiltų daugiau klausimų dėl šio vaisto vartojimo su kitais vaistais, kreipkitės į gydytoją arba vaistininką</w:t>
      </w:r>
      <w:r w:rsidRPr="00145B7E">
        <w:t>.</w:t>
      </w:r>
    </w:p>
    <w:p w:rsidR="00453B0E" w:rsidRPr="00145B7E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  <w:r w:rsidRPr="00145B7E">
        <w:t>Pramistar vartojimas su maistu ir gėrimais</w:t>
      </w:r>
    </w:p>
    <w:p w:rsidR="00453B0E" w:rsidRPr="005F06DB" w:rsidRDefault="00453B0E" w:rsidP="00453B0E">
      <w:pPr>
        <w:pStyle w:val="BTEMEASMCA"/>
      </w:pPr>
      <w:r w:rsidRPr="00145B7E">
        <w:t xml:space="preserve">Nėra žinoma apie jokias </w:t>
      </w:r>
      <w:r w:rsidRPr="005F06DB">
        <w:t>Pramistar sąveikas su maistu ir gėrimais.</w:t>
      </w: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PI-3EMEASMCA"/>
      </w:pPr>
      <w:r w:rsidRPr="005F06DB">
        <w:t>Nėštumas ir žindymo laikotarpis</w:t>
      </w:r>
    </w:p>
    <w:p w:rsidR="00453B0E" w:rsidRPr="00145B7E" w:rsidRDefault="00453B0E" w:rsidP="00453B0E">
      <w:pPr>
        <w:pStyle w:val="BTEMEASMCA"/>
      </w:pPr>
      <w:r w:rsidRPr="005F06DB">
        <w:t>Jeigu esate nėščia, žindote kūdikį, manote, kad galbūt esate nėščia, arba planuojate pastoti, tai prieš vartodama šį vaistą, pasitarkite su gydytoju arba vaistininku.</w:t>
      </w:r>
      <w:r w:rsidRPr="00145B7E">
        <w:t>Pramistar neturėtų būti vartojamas nėštumo ir žindymo laikotarpiu.</w:t>
      </w: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PI-3EMEASMCA"/>
      </w:pPr>
      <w:r w:rsidRPr="005F06DB">
        <w:t>Vairavimas ir mechanizmų valdymas</w:t>
      </w:r>
    </w:p>
    <w:p w:rsidR="00453B0E" w:rsidRPr="005F06DB" w:rsidRDefault="00453B0E" w:rsidP="00453B0E">
      <w:pPr>
        <w:pStyle w:val="BTEMEASMCA"/>
      </w:pPr>
      <w:r w:rsidRPr="005F06DB">
        <w:t xml:space="preserve">Poveikio gebėjimui vairuoti ir valdyti mechanizmus tyrimų neatlikta. Tačiau pranešama apie tokius Pramistar galimo poveikio požymius kaip svaigulys, sujaudinimas, tremoras ir suglumimas; atsiradus tokių požymių, negalima vairuoti automobilio ar valdyti mechanizmus. Pasitarkite su gydytoju. </w:t>
      </w: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PI-1EMEASMCA"/>
      </w:pPr>
      <w:bookmarkStart w:id="6" w:name="_Toc129243141"/>
      <w:bookmarkStart w:id="7" w:name="_Toc129243266"/>
      <w:r w:rsidRPr="005F06DB">
        <w:t>3.</w:t>
      </w:r>
      <w:r w:rsidRPr="005F06DB">
        <w:tab/>
        <w:t xml:space="preserve">Kaip vartoti </w:t>
      </w:r>
      <w:bookmarkEnd w:id="6"/>
      <w:bookmarkEnd w:id="7"/>
      <w:r w:rsidRPr="005F06DB">
        <w:t>Pramistar</w:t>
      </w:r>
    </w:p>
    <w:p w:rsidR="00453B0E" w:rsidRPr="005F06DB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  <w:r w:rsidRPr="005F06DB">
        <w:t>V</w:t>
      </w:r>
      <w:r w:rsidRPr="00145B7E">
        <w:t xml:space="preserve">isada vartokite </w:t>
      </w:r>
      <w:r w:rsidRPr="005F06DB">
        <w:t>šį vaistą</w:t>
      </w:r>
      <w:r w:rsidRPr="00145B7E">
        <w:t xml:space="preserve"> tiksliai kaip nurodė gydytojas </w:t>
      </w:r>
      <w:r w:rsidRPr="005F06DB">
        <w:t>arba vaistininkas</w:t>
      </w:r>
      <w:r w:rsidRPr="00145B7E">
        <w:t>. Jeigu abejojate, kreipkitės į gydytoją arba vaistininką.</w:t>
      </w:r>
    </w:p>
    <w:p w:rsidR="00453B0E" w:rsidRPr="00145B7E" w:rsidRDefault="00453B0E" w:rsidP="00453B0E">
      <w:pPr>
        <w:pStyle w:val="BTEMEASMCA"/>
      </w:pPr>
      <w:r w:rsidRPr="005F06DB">
        <w:t>Jūsų gydytojas Jums pasakys kiek Pramistar tablečių per dieną ir kaip ilgai reikia vartoti.</w:t>
      </w:r>
    </w:p>
    <w:p w:rsidR="00453B0E" w:rsidRPr="00145B7E" w:rsidRDefault="00453B0E" w:rsidP="00453B0E">
      <w:pPr>
        <w:pStyle w:val="BTEMEASMCA"/>
      </w:pPr>
      <w:r w:rsidRPr="005F06DB">
        <w:t>Rekomenduojama</w:t>
      </w:r>
      <w:r w:rsidRPr="00145B7E">
        <w:t xml:space="preserve"> dozė yra viena 600 mg tabletė kas 12 valandų (dvi tabletės per parą). Klinikinio poveikios </w:t>
      </w:r>
      <w:r w:rsidRPr="005F06DB">
        <w:t>galima tikėtis</w:t>
      </w:r>
      <w:r w:rsidRPr="00145B7E">
        <w:t xml:space="preserve"> tik po 4-8 gydymo savaičių.</w:t>
      </w:r>
    </w:p>
    <w:p w:rsidR="00453B0E" w:rsidRPr="00145B7E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  <w:r w:rsidRPr="005F06DB">
        <w:t>Gydytojas gali norėti patikrinti Jūsų inkstų funkciją, ypač kai jūs vartojate Pramistar ilgalaikiam gydymui.</w:t>
      </w:r>
    </w:p>
    <w:p w:rsidR="00453B0E" w:rsidRDefault="00453B0E" w:rsidP="00453B0E">
      <w:pPr>
        <w:pStyle w:val="BTEMEASMCA"/>
      </w:pPr>
    </w:p>
    <w:p w:rsidR="00453B0E" w:rsidRPr="005B3B25" w:rsidRDefault="00453B0E" w:rsidP="00453B0E">
      <w:pPr>
        <w:pStyle w:val="BTEMEASMCA"/>
        <w:rPr>
          <w:i/>
        </w:rPr>
      </w:pPr>
      <w:r w:rsidRPr="005B3B25">
        <w:rPr>
          <w:i/>
        </w:rPr>
        <w:t>Pacientai, sergantys inkstų nepakankamumu</w:t>
      </w:r>
    </w:p>
    <w:p w:rsidR="00453B0E" w:rsidRPr="00145B7E" w:rsidRDefault="00453B0E" w:rsidP="00453B0E">
      <w:pPr>
        <w:pStyle w:val="BTEMEASMCA"/>
      </w:pPr>
      <w:r w:rsidRPr="00145B7E">
        <w:t>Jei Jums nustatytas lengvas arba vidutinio sunkumo inkstų nepakankamumas, prieš pradėdami vartoti šį vaistą pasitarkite su gydytoju.</w:t>
      </w:r>
    </w:p>
    <w:p w:rsidR="00453B0E" w:rsidRDefault="00453B0E" w:rsidP="00453B0E">
      <w:pPr>
        <w:pStyle w:val="PI-3EMEASMCA"/>
      </w:pPr>
    </w:p>
    <w:p w:rsidR="00453B0E" w:rsidRPr="00145B7E" w:rsidRDefault="00453B0E" w:rsidP="00453B0E">
      <w:pPr>
        <w:pStyle w:val="PI-3EMEASMCA"/>
      </w:pPr>
      <w:r w:rsidRPr="005F06DB">
        <w:t>Ka daryti p</w:t>
      </w:r>
      <w:r w:rsidRPr="00145B7E">
        <w:t>avartojus per didelę Pramistar dozę?</w:t>
      </w:r>
    </w:p>
    <w:p w:rsidR="00453B0E" w:rsidRPr="005F06DB" w:rsidRDefault="00453B0E" w:rsidP="00453B0E">
      <w:pPr>
        <w:pStyle w:val="BTEMEASMCA"/>
      </w:pPr>
      <w:r w:rsidRPr="005F06DB">
        <w:rPr>
          <w:rStyle w:val="hps"/>
        </w:rPr>
        <w:t>Jei</w:t>
      </w:r>
      <w:r w:rsidRPr="005F06DB">
        <w:t xml:space="preserve"> </w:t>
      </w:r>
      <w:r w:rsidRPr="005F06DB">
        <w:rPr>
          <w:rStyle w:val="hps"/>
        </w:rPr>
        <w:t>išgėrėte per</w:t>
      </w:r>
      <w:r w:rsidRPr="005F06DB">
        <w:t xml:space="preserve"> </w:t>
      </w:r>
      <w:r w:rsidRPr="005F06DB">
        <w:rPr>
          <w:rStyle w:val="hps"/>
        </w:rPr>
        <w:t>daug</w:t>
      </w:r>
      <w:r w:rsidRPr="005F06DB">
        <w:t xml:space="preserve"> </w:t>
      </w:r>
      <w:r w:rsidRPr="005F06DB">
        <w:rPr>
          <w:rStyle w:val="hps"/>
        </w:rPr>
        <w:t>šio vaisto</w:t>
      </w:r>
      <w:r w:rsidRPr="005F06DB">
        <w:t xml:space="preserve">, </w:t>
      </w:r>
      <w:r w:rsidRPr="005F06DB">
        <w:rPr>
          <w:rStyle w:val="hps"/>
        </w:rPr>
        <w:t>nedelsdami apie tai pasakykite</w:t>
      </w:r>
      <w:r w:rsidRPr="005F06DB">
        <w:t xml:space="preserve"> </w:t>
      </w:r>
      <w:r w:rsidRPr="005F06DB">
        <w:rPr>
          <w:rStyle w:val="hps"/>
        </w:rPr>
        <w:t>gydytojui arba vaistininkui</w:t>
      </w:r>
      <w:r w:rsidRPr="005F06DB">
        <w:t xml:space="preserve"> </w:t>
      </w:r>
      <w:r w:rsidRPr="005F06DB">
        <w:rPr>
          <w:rStyle w:val="hps"/>
        </w:rPr>
        <w:t>arba</w:t>
      </w:r>
      <w:r w:rsidRPr="005F06DB">
        <w:t xml:space="preserve"> </w:t>
      </w:r>
      <w:r w:rsidRPr="005F06DB">
        <w:rPr>
          <w:rStyle w:val="hps"/>
        </w:rPr>
        <w:t>kreipkitės  į</w:t>
      </w:r>
      <w:r w:rsidRPr="005F06DB">
        <w:t xml:space="preserve"> </w:t>
      </w:r>
      <w:r w:rsidRPr="005F06DB">
        <w:rPr>
          <w:rStyle w:val="hps"/>
        </w:rPr>
        <w:t>artimiausią</w:t>
      </w:r>
      <w:r w:rsidRPr="005F06DB">
        <w:t xml:space="preserve"> </w:t>
      </w:r>
      <w:r w:rsidRPr="005F06DB">
        <w:rPr>
          <w:rStyle w:val="hps"/>
        </w:rPr>
        <w:t>gydymo įstaigą.</w:t>
      </w:r>
      <w:r w:rsidRPr="005F06DB">
        <w:t xml:space="preserve"> S</w:t>
      </w:r>
      <w:r w:rsidRPr="005F06DB">
        <w:rPr>
          <w:rStyle w:val="hps"/>
        </w:rPr>
        <w:t>u savimi pasiimkite šio vaisto pakuotę ar pakuotės lapelį.</w:t>
      </w:r>
    </w:p>
    <w:p w:rsidR="00453B0E" w:rsidRPr="00145B7E" w:rsidRDefault="00453B0E" w:rsidP="00453B0E">
      <w:pPr>
        <w:pStyle w:val="BTEMEASMCA"/>
      </w:pPr>
      <w:r w:rsidRPr="005F06DB">
        <w:t>Apie perdozavimo atvejus iki šiol nebuvo pranešta.</w:t>
      </w:r>
    </w:p>
    <w:p w:rsidR="00453B0E" w:rsidRPr="00145B7E" w:rsidRDefault="00453B0E" w:rsidP="00453B0E">
      <w:pPr>
        <w:pStyle w:val="BTEMEASMCA"/>
      </w:pPr>
    </w:p>
    <w:p w:rsidR="00453B0E" w:rsidRPr="00145B7E" w:rsidRDefault="00453B0E" w:rsidP="00453B0E">
      <w:pPr>
        <w:pStyle w:val="PI-3EMEASMCA"/>
      </w:pPr>
      <w:r w:rsidRPr="00145B7E">
        <w:t>Pamiršus pavartoti Pramistar</w:t>
      </w:r>
    </w:p>
    <w:p w:rsidR="00453B0E" w:rsidRPr="00145B7E" w:rsidRDefault="00453B0E" w:rsidP="00453B0E">
      <w:pPr>
        <w:pStyle w:val="BTEMEASMCA"/>
      </w:pPr>
      <w:r w:rsidRPr="005F06DB">
        <w:rPr>
          <w:rStyle w:val="hps"/>
        </w:rPr>
        <w:t>Jei pamiršote</w:t>
      </w:r>
      <w:r w:rsidRPr="005F06DB">
        <w:t xml:space="preserve"> </w:t>
      </w:r>
      <w:r w:rsidRPr="005F06DB">
        <w:rPr>
          <w:rStyle w:val="hps"/>
        </w:rPr>
        <w:t>išgerti</w:t>
      </w:r>
      <w:r w:rsidRPr="005F06DB">
        <w:t xml:space="preserve"> </w:t>
      </w:r>
      <w:r w:rsidRPr="005F06DB">
        <w:rPr>
          <w:rStyle w:val="hps"/>
        </w:rPr>
        <w:t>Pramistar</w:t>
      </w:r>
      <w:r w:rsidRPr="005F06DB">
        <w:t xml:space="preserve"> </w:t>
      </w:r>
      <w:r w:rsidRPr="005F06DB">
        <w:rPr>
          <w:rStyle w:val="hps"/>
        </w:rPr>
        <w:t>tabletę, išgerkite</w:t>
      </w:r>
      <w:r w:rsidRPr="005F06DB">
        <w:t xml:space="preserve"> </w:t>
      </w:r>
      <w:r w:rsidRPr="005F06DB">
        <w:rPr>
          <w:rStyle w:val="hps"/>
        </w:rPr>
        <w:t>ją, kai tik</w:t>
      </w:r>
      <w:r w:rsidRPr="005F06DB">
        <w:t xml:space="preserve"> </w:t>
      </w:r>
      <w:r w:rsidRPr="005F06DB">
        <w:rPr>
          <w:rStyle w:val="hps"/>
        </w:rPr>
        <w:t>prisiminsite</w:t>
      </w:r>
      <w:r w:rsidRPr="005F06DB">
        <w:t xml:space="preserve">, </w:t>
      </w:r>
      <w:r w:rsidRPr="005F06DB">
        <w:rPr>
          <w:rStyle w:val="hps"/>
        </w:rPr>
        <w:t>nebent</w:t>
      </w:r>
      <w:r w:rsidRPr="005F06DB">
        <w:t xml:space="preserve"> </w:t>
      </w:r>
      <w:r w:rsidRPr="005F06DB">
        <w:rPr>
          <w:rStyle w:val="hps"/>
        </w:rPr>
        <w:t>jau beveik laikas</w:t>
      </w:r>
      <w:r w:rsidRPr="005F06DB">
        <w:t xml:space="preserve"> </w:t>
      </w:r>
      <w:r w:rsidRPr="005F06DB">
        <w:rPr>
          <w:rStyle w:val="hps"/>
        </w:rPr>
        <w:t>kitai</w:t>
      </w:r>
      <w:r w:rsidRPr="005F06DB">
        <w:t xml:space="preserve"> </w:t>
      </w:r>
      <w:r w:rsidRPr="005F06DB">
        <w:rPr>
          <w:rStyle w:val="hps"/>
        </w:rPr>
        <w:t>dozei.</w:t>
      </w:r>
      <w:r w:rsidRPr="005F06DB">
        <w:t xml:space="preserve"> </w:t>
      </w:r>
      <w:r w:rsidRPr="005F06DB">
        <w:rPr>
          <w:rStyle w:val="hps"/>
        </w:rPr>
        <w:t>Tokiu atveju</w:t>
      </w:r>
      <w:r w:rsidRPr="005F06DB">
        <w:t xml:space="preserve"> </w:t>
      </w:r>
      <w:r w:rsidRPr="005F06DB">
        <w:rPr>
          <w:rStyle w:val="hps"/>
        </w:rPr>
        <w:t>tiesiog</w:t>
      </w:r>
      <w:r w:rsidRPr="005F06DB">
        <w:t xml:space="preserve"> </w:t>
      </w:r>
      <w:r w:rsidRPr="005F06DB">
        <w:rPr>
          <w:rStyle w:val="hps"/>
        </w:rPr>
        <w:t>išgerkite kitą</w:t>
      </w:r>
      <w:r w:rsidRPr="005F06DB">
        <w:t xml:space="preserve"> </w:t>
      </w:r>
      <w:r w:rsidRPr="005F06DB">
        <w:rPr>
          <w:rStyle w:val="hps"/>
        </w:rPr>
        <w:t>įprastą</w:t>
      </w:r>
      <w:r w:rsidRPr="005F06DB">
        <w:t xml:space="preserve"> </w:t>
      </w:r>
      <w:r w:rsidRPr="005F06DB">
        <w:rPr>
          <w:rStyle w:val="hps"/>
        </w:rPr>
        <w:t>dozę</w:t>
      </w:r>
      <w:r w:rsidRPr="005F06DB">
        <w:t xml:space="preserve">, kai bus laikas </w:t>
      </w:r>
      <w:r w:rsidRPr="005F06DB">
        <w:rPr>
          <w:rStyle w:val="hps"/>
        </w:rPr>
        <w:t>(</w:t>
      </w:r>
      <w:r w:rsidRPr="005F06DB">
        <w:t>pagal aukšiau nurodytas instrukcijas</w:t>
      </w:r>
      <w:r w:rsidRPr="005F06DB">
        <w:rPr>
          <w:rStyle w:val="hps"/>
        </w:rPr>
        <w:t>)</w:t>
      </w:r>
      <w:r w:rsidRPr="00145B7E">
        <w:t>.</w:t>
      </w:r>
    </w:p>
    <w:p w:rsidR="00453B0E" w:rsidRPr="00145B7E" w:rsidRDefault="00453B0E" w:rsidP="00453B0E">
      <w:pPr>
        <w:pStyle w:val="BTEMEASMCA"/>
      </w:pPr>
      <w:r w:rsidRPr="00145B7E">
        <w:t>Negalima vartoti dvigubos dozės norint kompensuoti praleistą tabletę.</w:t>
      </w:r>
    </w:p>
    <w:p w:rsidR="00453B0E" w:rsidRPr="00145B7E" w:rsidRDefault="00453B0E" w:rsidP="00453B0E">
      <w:pPr>
        <w:pStyle w:val="BTEMEASMCA"/>
      </w:pPr>
    </w:p>
    <w:p w:rsidR="00453B0E" w:rsidRPr="005F06DB" w:rsidRDefault="00453B0E" w:rsidP="00453B0E">
      <w:pPr>
        <w:pStyle w:val="BTEMEASMCA"/>
      </w:pPr>
      <w:r w:rsidRPr="005F06DB">
        <w:t>Jeigu kiltų daugiau klausimų dėl šio vaisto vartojimo, kreipkitės į gydytoją arba vaistininką.</w:t>
      </w: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PI-1EMEASMCA"/>
      </w:pPr>
      <w:bookmarkStart w:id="8" w:name="_Toc129243142"/>
      <w:bookmarkStart w:id="9" w:name="_Toc129243267"/>
      <w:r w:rsidRPr="005F06DB">
        <w:t>4.</w:t>
      </w:r>
      <w:r w:rsidRPr="005F06DB">
        <w:tab/>
        <w:t>Galimas šalutinis poveikis</w:t>
      </w:r>
      <w:bookmarkEnd w:id="8"/>
      <w:bookmarkEnd w:id="9"/>
    </w:p>
    <w:p w:rsidR="00453B0E" w:rsidRPr="005F06DB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  <w:r w:rsidRPr="005F06DB">
        <w:t>Šis vaistas</w:t>
      </w:r>
      <w:r w:rsidRPr="00145B7E">
        <w:t>, kaip ir visi kiti, gali sukelti šalutinį poveikį, nors jis pasireiškia ne visiems žmonėms.</w:t>
      </w:r>
    </w:p>
    <w:p w:rsidR="00453B0E" w:rsidRPr="005F06DB" w:rsidRDefault="00453B0E" w:rsidP="00453B0E">
      <w:pPr>
        <w:pStyle w:val="BTEMEASMCA"/>
      </w:pPr>
      <w:r w:rsidRPr="00145B7E">
        <w:t>Paprastai Pramistar toleruojamas gerai.</w:t>
      </w: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BTEMEASMCA"/>
        <w:rPr>
          <w:i/>
        </w:rPr>
      </w:pPr>
      <w:r w:rsidRPr="005F06DB">
        <w:rPr>
          <w:i/>
        </w:rPr>
        <w:t>Dažnas (gali pasireikšti ne daugiau kaip 1 iš 10 žmonių)</w:t>
      </w:r>
    </w:p>
    <w:p w:rsidR="00453B0E" w:rsidRPr="005F06DB" w:rsidRDefault="00453B0E" w:rsidP="00453B0E">
      <w:pPr>
        <w:pStyle w:val="BTEMEASMCA"/>
      </w:pPr>
      <w:r w:rsidRPr="005F06DB">
        <w:t>Susijaudinimas, nemiga, svaigulys, pykinimas, viršutinės pilvo srities skausmas.</w:t>
      </w: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BTEMEASMCA"/>
        <w:rPr>
          <w:i/>
        </w:rPr>
      </w:pPr>
      <w:r w:rsidRPr="005F06DB">
        <w:rPr>
          <w:i/>
        </w:rPr>
        <w:t>Nedažnas (gali pasireikšti ne daugiau kaip 1 iš 100 žmonių)</w:t>
      </w:r>
    </w:p>
    <w:p w:rsidR="00453B0E" w:rsidRPr="005F06DB" w:rsidRDefault="00453B0E" w:rsidP="00453B0E">
      <w:pPr>
        <w:pStyle w:val="BTEMEASMCA"/>
      </w:pPr>
      <w:r w:rsidRPr="005F06DB">
        <w:t>Sumažėjęs apetitas, konfūzinė būklė, tremoras (galūnių drebėjimas), burnos džiūvimas, virškinimo sutrikimas.</w:t>
      </w: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BTEMEASMCA"/>
        <w:rPr>
          <w:i/>
        </w:rPr>
      </w:pPr>
      <w:r w:rsidRPr="005F06DB">
        <w:rPr>
          <w:i/>
        </w:rPr>
        <w:lastRenderedPageBreak/>
        <w:t>Retas (gali pasireikšti ne daugiau kaip 1 iš 1000 žmonių)</w:t>
      </w:r>
    </w:p>
    <w:p w:rsidR="00453B0E" w:rsidRPr="005F06DB" w:rsidRDefault="00453B0E" w:rsidP="00453B0E">
      <w:pPr>
        <w:pStyle w:val="BTEMEASMCA"/>
      </w:pPr>
      <w:r w:rsidRPr="005F06DB">
        <w:t>Disforija (nuotaikos svyravimas), enkoprezė (išmatų nelaikymas), raumenų spazmai, enurezė (šlapimo nelaikymas).</w:t>
      </w:r>
    </w:p>
    <w:p w:rsidR="00453B0E" w:rsidRPr="00145B7E" w:rsidRDefault="00453B0E" w:rsidP="00453B0E">
      <w:pPr>
        <w:pStyle w:val="BTEMEASMCA"/>
      </w:pPr>
    </w:p>
    <w:p w:rsidR="00453B0E" w:rsidRPr="005F06DB" w:rsidRDefault="00453B0E" w:rsidP="00453B0E">
      <w:pPr>
        <w:tabs>
          <w:tab w:val="left" w:pos="567"/>
        </w:tabs>
        <w:rPr>
          <w:b/>
          <w:snapToGrid w:val="0"/>
          <w:sz w:val="22"/>
        </w:rPr>
      </w:pPr>
      <w:r w:rsidRPr="005F06DB">
        <w:rPr>
          <w:b/>
          <w:noProof/>
          <w:snapToGrid w:val="0"/>
          <w:sz w:val="22"/>
        </w:rPr>
        <w:t>Pranešimas apie šalutinį poveikį</w:t>
      </w:r>
    </w:p>
    <w:p w:rsidR="00453B0E" w:rsidRPr="00145B7E" w:rsidRDefault="00453B0E" w:rsidP="00453B0E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</w:rPr>
      </w:pPr>
      <w:r w:rsidRPr="005F06DB">
        <w:rPr>
          <w:sz w:val="22"/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5F06DB">
        <w:rPr>
          <w:sz w:val="22"/>
          <w:szCs w:val="22"/>
          <w:lang w:eastAsia="zh-CN"/>
        </w:rPr>
        <w:t>elefonu 8 800 73568</w:t>
      </w:r>
      <w:r w:rsidRPr="005F06DB">
        <w:rPr>
          <w:sz w:val="22"/>
          <w:szCs w:val="22"/>
        </w:rPr>
        <w:t xml:space="preserve"> arba užpildyti interneto svetainėje </w:t>
      </w:r>
      <w:hyperlink r:id="rId5" w:history="1">
        <w:r w:rsidRPr="005F06DB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5F06DB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F06DB">
        <w:rPr>
          <w:sz w:val="22"/>
          <w:szCs w:val="22"/>
          <w:lang w:eastAsia="zh-CN"/>
        </w:rPr>
        <w:t xml:space="preserve">nemokamu </w:t>
      </w:r>
      <w:r w:rsidRPr="005F06DB">
        <w:rPr>
          <w:sz w:val="22"/>
          <w:szCs w:val="22"/>
        </w:rPr>
        <w:t>fakso numeriu 8 800 20131</w:t>
      </w:r>
      <w:r w:rsidRPr="005F06DB">
        <w:rPr>
          <w:sz w:val="22"/>
          <w:szCs w:val="22"/>
          <w:lang w:eastAsia="zh-CN"/>
        </w:rPr>
        <w:t xml:space="preserve">, </w:t>
      </w:r>
      <w:r w:rsidRPr="005F06DB">
        <w:rPr>
          <w:sz w:val="22"/>
          <w:szCs w:val="22"/>
        </w:rPr>
        <w:t xml:space="preserve">el. paštu </w:t>
      </w:r>
      <w:hyperlink r:id="rId6" w:history="1">
        <w:r w:rsidRPr="005F06DB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5F06DB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5F06DB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5F06DB">
        <w:rPr>
          <w:sz w:val="22"/>
          <w:szCs w:val="22"/>
        </w:rPr>
        <w:t>). Pranešdami apie šalutinį poveikį galite mums padėti gauti daugiau informacijos apie šio vaisto saugumą</w:t>
      </w:r>
      <w:r w:rsidRPr="005F06DB">
        <w:rPr>
          <w:noProof/>
          <w:snapToGrid w:val="0"/>
          <w:sz w:val="22"/>
        </w:rPr>
        <w:t>.</w:t>
      </w:r>
    </w:p>
    <w:p w:rsidR="00453B0E" w:rsidRPr="00145B7E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</w:p>
    <w:p w:rsidR="00453B0E" w:rsidRPr="005F06DB" w:rsidRDefault="00453B0E" w:rsidP="00453B0E">
      <w:pPr>
        <w:pStyle w:val="PI-1EMEASMCA"/>
      </w:pPr>
      <w:bookmarkStart w:id="10" w:name="_Toc129243143"/>
      <w:bookmarkStart w:id="11" w:name="_Toc129243268"/>
      <w:r w:rsidRPr="00145B7E">
        <w:t>5</w:t>
      </w:r>
      <w:r w:rsidRPr="005F06DB">
        <w:t>.</w:t>
      </w:r>
      <w:r w:rsidRPr="005F06DB">
        <w:tab/>
        <w:t xml:space="preserve">Kaip laikyti </w:t>
      </w:r>
      <w:bookmarkEnd w:id="10"/>
      <w:bookmarkEnd w:id="11"/>
      <w:r w:rsidRPr="005F06DB">
        <w:t>Pramistar</w:t>
      </w:r>
    </w:p>
    <w:p w:rsidR="00453B0E" w:rsidRPr="005F06DB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  <w:r w:rsidRPr="005F06DB">
        <w:rPr>
          <w:szCs w:val="24"/>
        </w:rPr>
        <w:t>Šį vaistą laikykite</w:t>
      </w:r>
      <w:r w:rsidRPr="005F06DB">
        <w:t xml:space="preserve">i vaikams nepastebimoje ir nepasiekiamoje </w:t>
      </w:r>
      <w:r w:rsidRPr="00145B7E">
        <w:t>vietoje.</w:t>
      </w:r>
    </w:p>
    <w:p w:rsidR="00453B0E" w:rsidRPr="00145B7E" w:rsidRDefault="00453B0E" w:rsidP="00453B0E">
      <w:pPr>
        <w:pStyle w:val="BTEMEASMCA"/>
      </w:pPr>
      <w:r w:rsidRPr="00145B7E">
        <w:t>Laikyti ne aukštesnėje kaip 30 ºC temperatūroje.</w:t>
      </w:r>
    </w:p>
    <w:p w:rsidR="00453B0E" w:rsidRPr="00145B7E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  <w:r w:rsidRPr="005F06DB">
        <w:t xml:space="preserve">Ant lizdinės plokštelės ir dėžutės po </w:t>
      </w:r>
      <w:r>
        <w:t>„</w:t>
      </w:r>
      <w:r w:rsidRPr="005F06DB">
        <w:t>EXP</w:t>
      </w:r>
      <w:r>
        <w:t>“</w:t>
      </w:r>
      <w:r w:rsidRPr="00145B7E">
        <w:t xml:space="preserve"> nurodytam tinkamumo laikui pasibaigus, </w:t>
      </w:r>
      <w:r w:rsidRPr="005F06DB">
        <w:t>šio vaisto</w:t>
      </w:r>
      <w:r w:rsidRPr="00145B7E">
        <w:t xml:space="preserve"> vartoti negalima. Vaistas tinka vartoti iki paskutinės nurodyto mėnesio dienos.</w:t>
      </w:r>
    </w:p>
    <w:p w:rsidR="00453B0E" w:rsidRPr="00145B7E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  <w:r w:rsidRPr="005F06DB">
        <w:t xml:space="preserve">Vaistų negalima </w:t>
      </w:r>
      <w:r w:rsidRPr="005F06DB">
        <w:rPr>
          <w:szCs w:val="24"/>
        </w:rPr>
        <w:t xml:space="preserve">išmesti </w:t>
      </w:r>
      <w:r w:rsidRPr="00145B7E">
        <w:t xml:space="preserve">į kanalizaciją arba su buitinėmis atliekomis. Kaip </w:t>
      </w:r>
      <w:r w:rsidRPr="005F06DB">
        <w:rPr>
          <w:szCs w:val="24"/>
        </w:rPr>
        <w:t>išmesti</w:t>
      </w:r>
      <w:r w:rsidRPr="00145B7E">
        <w:rPr>
          <w:szCs w:val="24"/>
        </w:rPr>
        <w:t xml:space="preserve"> </w:t>
      </w:r>
      <w:r w:rsidRPr="00145B7E">
        <w:t>nereikalingus vaistus, klauskite vaistininko. Šios priemonės padės apsaugoti aplinką.</w:t>
      </w:r>
    </w:p>
    <w:p w:rsidR="00453B0E" w:rsidRPr="00145B7E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</w:p>
    <w:p w:rsidR="00453B0E" w:rsidRPr="00145B7E" w:rsidRDefault="00453B0E" w:rsidP="00453B0E">
      <w:pPr>
        <w:pStyle w:val="PI-1EMEASMCA"/>
      </w:pPr>
      <w:bookmarkStart w:id="12" w:name="_Toc129243144"/>
      <w:bookmarkStart w:id="13" w:name="_Toc129243269"/>
      <w:r w:rsidRPr="005F06DB">
        <w:t>6.</w:t>
      </w:r>
      <w:r w:rsidRPr="005F06DB">
        <w:tab/>
        <w:t>Pakuotės turinys ir</w:t>
      </w:r>
      <w:r w:rsidRPr="00145B7E">
        <w:t xml:space="preserve"> kita informacija</w:t>
      </w:r>
      <w:bookmarkEnd w:id="12"/>
      <w:bookmarkEnd w:id="13"/>
    </w:p>
    <w:p w:rsidR="00453B0E" w:rsidRPr="00145B7E" w:rsidRDefault="00453B0E" w:rsidP="00453B0E">
      <w:pPr>
        <w:pStyle w:val="BTEMEASMCA"/>
      </w:pPr>
    </w:p>
    <w:p w:rsidR="00453B0E" w:rsidRPr="005F06DB" w:rsidRDefault="00453B0E" w:rsidP="00453B0E">
      <w:pPr>
        <w:pStyle w:val="PI-3EMEASMCA"/>
      </w:pPr>
      <w:r w:rsidRPr="00145B7E">
        <w:t>P</w:t>
      </w:r>
      <w:r w:rsidRPr="005F06DB">
        <w:t>ramistar sudėtis</w:t>
      </w:r>
    </w:p>
    <w:p w:rsidR="00453B0E" w:rsidRPr="00145B7E" w:rsidRDefault="00453B0E" w:rsidP="00453B0E">
      <w:pPr>
        <w:pStyle w:val="BT-EMEASMCA"/>
      </w:pPr>
      <w:r w:rsidRPr="005F06DB">
        <w:t>Veiklioji medžiaga - pramiracetamas (pramiracetamo sulfato pavidalu)</w:t>
      </w:r>
      <w:r w:rsidRPr="00145B7E">
        <w:t xml:space="preserve">. Kiekvienoje plėvele dengtoje tabletėje yra </w:t>
      </w:r>
      <w:r w:rsidRPr="005F06DB">
        <w:t>600 mg pramiracetamo, atitinkančio</w:t>
      </w:r>
      <w:r w:rsidRPr="00145B7E">
        <w:t xml:space="preserve"> 818,4 mg pramiracetamo sulfato</w:t>
      </w:r>
      <w:r w:rsidRPr="005F06DB">
        <w:t>.</w:t>
      </w:r>
    </w:p>
    <w:p w:rsidR="00453B0E" w:rsidRPr="00145B7E" w:rsidRDefault="00453B0E" w:rsidP="00453B0E">
      <w:pPr>
        <w:pStyle w:val="BT-EMEASMCA"/>
      </w:pPr>
      <w:r w:rsidRPr="00145B7E">
        <w:t>Pagalbinės medžiagos yra mikrokristalinė celiuliozė, bevandenis koloidinis silicio dioksidas, krospovidonas, kalcio stearatas, hidroksipropilceliuliozė, titano dioksidas (E171), hipromeliozė, makrogolis 3350, makrogolis 400.</w:t>
      </w: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PI-3EMEASMCA"/>
      </w:pPr>
      <w:r w:rsidRPr="005F06DB">
        <w:t>Pramistar išvaizda ir kiekis pakuotėje</w:t>
      </w:r>
    </w:p>
    <w:p w:rsidR="00453B0E" w:rsidRPr="005F06DB" w:rsidRDefault="00453B0E" w:rsidP="00453B0E">
      <w:pPr>
        <w:pStyle w:val="BTEMEASMCA"/>
      </w:pPr>
      <w:r w:rsidRPr="005F06DB">
        <w:t>Pramistar 600 mg plėvele dengtos tabletės yra baltos, ovalios, abiejose pusėse yra įspausta vagelė. Vagelė skirta tabletei perlaužti, kad būtų lengviau nuryti, bet ne jai padalyti į lygias dozes</w:t>
      </w:r>
      <w:r w:rsidRPr="00595F16">
        <w:t>.</w:t>
      </w:r>
    </w:p>
    <w:p w:rsidR="00453B0E" w:rsidRPr="005F06DB" w:rsidRDefault="00453B0E" w:rsidP="00453B0E">
      <w:pPr>
        <w:pStyle w:val="BTEMEASMCA"/>
      </w:pPr>
      <w:r w:rsidRPr="005F06DB">
        <w:t xml:space="preserve"> </w:t>
      </w:r>
    </w:p>
    <w:p w:rsidR="00453B0E" w:rsidRPr="005F06DB" w:rsidRDefault="00453B0E" w:rsidP="00453B0E">
      <w:pPr>
        <w:pStyle w:val="BTEMEASMCA"/>
      </w:pPr>
      <w:r w:rsidRPr="005F06DB">
        <w:t>Vaistas tiekiamas  lizdinėmis plokštelėmis. Kartono dėžutėje yra 20 tablečių.</w:t>
      </w:r>
    </w:p>
    <w:p w:rsidR="00453B0E" w:rsidRPr="005F06DB" w:rsidRDefault="00453B0E" w:rsidP="00453B0E">
      <w:pPr>
        <w:pStyle w:val="BTEMEASMCA"/>
      </w:pPr>
    </w:p>
    <w:p w:rsidR="00453B0E" w:rsidRPr="00145B7E" w:rsidRDefault="00453B0E" w:rsidP="00453B0E">
      <w:pPr>
        <w:pStyle w:val="PI-3EMEASMCA"/>
      </w:pPr>
      <w:r w:rsidRPr="005F06DB">
        <w:t>Registruotojas</w:t>
      </w:r>
      <w:r w:rsidRPr="00145B7E">
        <w:t xml:space="preserve"> ir gamintojas</w:t>
      </w:r>
    </w:p>
    <w:p w:rsidR="00453B0E" w:rsidRPr="00145B7E" w:rsidRDefault="00453B0E" w:rsidP="00453B0E">
      <w:pPr>
        <w:pStyle w:val="BTEMEASMCA"/>
      </w:pPr>
    </w:p>
    <w:p w:rsidR="00453B0E" w:rsidRPr="00857FF0" w:rsidRDefault="00453B0E" w:rsidP="00453B0E">
      <w:pPr>
        <w:pStyle w:val="BTEMEASMCA"/>
        <w:rPr>
          <w:i/>
        </w:rPr>
      </w:pPr>
      <w:r w:rsidRPr="0076172D">
        <w:rPr>
          <w:i/>
        </w:rPr>
        <w:t>Registruotojas</w:t>
      </w:r>
    </w:p>
    <w:p w:rsidR="00453B0E" w:rsidRPr="00145B7E" w:rsidRDefault="00453B0E" w:rsidP="00453B0E">
      <w:pPr>
        <w:pStyle w:val="BTEMEASMCA"/>
      </w:pPr>
      <w:r w:rsidRPr="00145B7E">
        <w:t>F.I.R.M.A. S.p.A. (MENARINI GROUP)</w:t>
      </w:r>
    </w:p>
    <w:p w:rsidR="00453B0E" w:rsidRPr="005F06DB" w:rsidRDefault="00453B0E" w:rsidP="00453B0E">
      <w:pPr>
        <w:pStyle w:val="BTEMEASMCA"/>
      </w:pPr>
      <w:r w:rsidRPr="00145B7E">
        <w:t>Via di Scandicci, 37</w:t>
      </w:r>
    </w:p>
    <w:p w:rsidR="00453B0E" w:rsidRPr="005F06DB" w:rsidRDefault="00453B0E" w:rsidP="00453B0E">
      <w:pPr>
        <w:pStyle w:val="BTEMEASMCA"/>
      </w:pPr>
      <w:r w:rsidRPr="005F06DB">
        <w:t>Florence, Italija</w:t>
      </w:r>
    </w:p>
    <w:p w:rsidR="00453B0E" w:rsidRPr="005F06DB" w:rsidRDefault="00453B0E" w:rsidP="00453B0E">
      <w:pPr>
        <w:pStyle w:val="BTEMEASMCA"/>
      </w:pPr>
    </w:p>
    <w:p w:rsidR="00453B0E" w:rsidRPr="00857FF0" w:rsidRDefault="00453B0E" w:rsidP="00453B0E">
      <w:pPr>
        <w:pStyle w:val="BTEMEASMCA"/>
        <w:rPr>
          <w:i/>
        </w:rPr>
      </w:pPr>
      <w:r w:rsidRPr="0076172D">
        <w:rPr>
          <w:i/>
        </w:rPr>
        <w:t>Gamintojas</w:t>
      </w:r>
    </w:p>
    <w:p w:rsidR="00453B0E" w:rsidRPr="00145B7E" w:rsidRDefault="00453B0E" w:rsidP="00453B0E">
      <w:pPr>
        <w:pStyle w:val="BTEMEASMCA"/>
      </w:pPr>
      <w:r w:rsidRPr="00145B7E">
        <w:rPr>
          <w:lang w:eastAsia="lt-LT"/>
        </w:rPr>
        <w:t>COSMO S.p.A.</w:t>
      </w:r>
    </w:p>
    <w:p w:rsidR="00453B0E" w:rsidRPr="005F06DB" w:rsidRDefault="00453B0E" w:rsidP="00453B0E">
      <w:pPr>
        <w:pStyle w:val="BTEMEASMCA"/>
      </w:pPr>
      <w:r w:rsidRPr="00145B7E">
        <w:rPr>
          <w:lang w:eastAsia="lt-LT"/>
        </w:rPr>
        <w:t>Via C. Colombo, 1</w:t>
      </w:r>
    </w:p>
    <w:p w:rsidR="00453B0E" w:rsidRPr="005F06DB" w:rsidRDefault="00453B0E" w:rsidP="00453B0E">
      <w:pPr>
        <w:pStyle w:val="BTEMEASMCA"/>
      </w:pPr>
      <w:r w:rsidRPr="005F06DB">
        <w:rPr>
          <w:lang w:eastAsia="lt-LT"/>
        </w:rPr>
        <w:t>200</w:t>
      </w:r>
      <w:r>
        <w:rPr>
          <w:lang w:eastAsia="lt-LT"/>
        </w:rPr>
        <w:t>45</w:t>
      </w:r>
      <w:r w:rsidRPr="005F06DB">
        <w:rPr>
          <w:lang w:eastAsia="lt-LT"/>
        </w:rPr>
        <w:t xml:space="preserve"> – Lainate (MI)</w:t>
      </w:r>
      <w:r w:rsidRPr="005F06DB">
        <w:t>, Italija</w:t>
      </w:r>
    </w:p>
    <w:p w:rsidR="00453B0E" w:rsidRPr="005F06DB" w:rsidRDefault="00453B0E" w:rsidP="00453B0E">
      <w:pPr>
        <w:pStyle w:val="BTEMEASMCA"/>
      </w:pPr>
    </w:p>
    <w:p w:rsidR="00453B0E" w:rsidRPr="005F06DB" w:rsidRDefault="00453B0E" w:rsidP="00453B0E">
      <w:pPr>
        <w:pStyle w:val="BTEMEASMCA"/>
      </w:pPr>
    </w:p>
    <w:p w:rsidR="00453B0E" w:rsidRPr="00145B7E" w:rsidRDefault="00453B0E" w:rsidP="00453B0E">
      <w:pPr>
        <w:pStyle w:val="BTEMEASMCA"/>
      </w:pPr>
      <w:r w:rsidRPr="005F06DB">
        <w:t>Jeigu apie šį vaistą norite sužinoti daugiau, kreipkitės į vietinį registruotojo</w:t>
      </w:r>
      <w:r w:rsidRPr="00145B7E">
        <w:t xml:space="preserve"> atstovą.</w:t>
      </w:r>
    </w:p>
    <w:p w:rsidR="00453B0E" w:rsidRPr="00145B7E" w:rsidRDefault="00453B0E" w:rsidP="00453B0E">
      <w:pPr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453B0E" w:rsidRPr="005F06DB" w:rsidTr="003536B6">
        <w:tc>
          <w:tcPr>
            <w:tcW w:w="4678" w:type="dxa"/>
          </w:tcPr>
          <w:p w:rsidR="00453B0E" w:rsidRPr="00145B7E" w:rsidRDefault="00453B0E" w:rsidP="003536B6">
            <w:pPr>
              <w:pStyle w:val="Pagrindinistekstas"/>
              <w:spacing w:after="0"/>
            </w:pPr>
            <w:r w:rsidRPr="00145B7E">
              <w:t>UAB “BERLIN CHEMIE MENARINI BALTIC”</w:t>
            </w:r>
          </w:p>
          <w:p w:rsidR="00453B0E" w:rsidRPr="005F06DB" w:rsidRDefault="00453B0E" w:rsidP="003536B6">
            <w:pPr>
              <w:pStyle w:val="Pagrindinistekstas"/>
              <w:spacing w:after="0"/>
            </w:pPr>
            <w:r>
              <w:t>J.</w:t>
            </w:r>
            <w:r w:rsidRPr="00145B7E">
              <w:t xml:space="preserve">Jasinskio 16 a, </w:t>
            </w:r>
            <w:r>
              <w:t xml:space="preserve">LT-03163 </w:t>
            </w:r>
            <w:r w:rsidRPr="00145B7E">
              <w:t>Vilnius</w:t>
            </w:r>
          </w:p>
          <w:p w:rsidR="00453B0E" w:rsidRPr="005F06DB" w:rsidRDefault="00453B0E" w:rsidP="003536B6">
            <w:pPr>
              <w:pStyle w:val="BTEMEASMCA"/>
            </w:pPr>
            <w:r w:rsidRPr="005F06DB">
              <w:t>Tel. + 370 5 2691947</w:t>
            </w:r>
          </w:p>
          <w:p w:rsidR="00453B0E" w:rsidRPr="005F06DB" w:rsidRDefault="00453B0E" w:rsidP="003536B6">
            <w:pPr>
              <w:tabs>
                <w:tab w:val="left" w:pos="-720"/>
              </w:tabs>
              <w:suppressAutoHyphens/>
            </w:pPr>
          </w:p>
        </w:tc>
      </w:tr>
    </w:tbl>
    <w:p w:rsidR="00453B0E" w:rsidRPr="00145B7E" w:rsidRDefault="00453B0E" w:rsidP="00453B0E">
      <w:pPr>
        <w:pStyle w:val="BTbEMEASMCA"/>
      </w:pPr>
      <w:r w:rsidRPr="00145B7E">
        <w:t xml:space="preserve">Šis pakuotės lapelis paskutinį kartą </w:t>
      </w:r>
      <w:r w:rsidRPr="005F06DB">
        <w:t xml:space="preserve">peržiūrėtas </w:t>
      </w:r>
      <w:r>
        <w:t>2021-05-19.</w:t>
      </w:r>
    </w:p>
    <w:p w:rsidR="00453B0E" w:rsidRPr="00145B7E" w:rsidRDefault="00453B0E" w:rsidP="00453B0E">
      <w:pPr>
        <w:rPr>
          <w:sz w:val="22"/>
          <w:szCs w:val="22"/>
        </w:rPr>
      </w:pPr>
    </w:p>
    <w:p w:rsidR="00453B0E" w:rsidRPr="00B47FD3" w:rsidRDefault="00453B0E" w:rsidP="00453B0E">
      <w:pPr>
        <w:rPr>
          <w:rFonts w:eastAsia="Calibri"/>
          <w:color w:val="0000FF"/>
          <w:sz w:val="22"/>
          <w:szCs w:val="22"/>
        </w:rPr>
      </w:pPr>
      <w:r w:rsidRPr="005F06DB">
        <w:rPr>
          <w:rFonts w:eastAsia="Calibri"/>
          <w:noProof/>
          <w:sz w:val="22"/>
          <w:szCs w:val="22"/>
        </w:rPr>
        <w:t>Išsami informacija apie šį vaistinį preparatą pateikiama Valstybinės vaistų kontrolės tarnybos prie Lietuvos Respublikos  sveikatos apsaugos ministerijos tinklalapyje</w:t>
      </w:r>
      <w:r w:rsidRPr="005F06DB">
        <w:rPr>
          <w:rFonts w:eastAsia="Calibri"/>
          <w:sz w:val="22"/>
          <w:szCs w:val="22"/>
        </w:rPr>
        <w:t xml:space="preserve"> </w:t>
      </w:r>
      <w:hyperlink r:id="rId8" w:history="1">
        <w:r w:rsidRPr="005F06DB">
          <w:rPr>
            <w:rFonts w:eastAsia="Calibri"/>
            <w:color w:val="0000FF"/>
            <w:sz w:val="22"/>
            <w:szCs w:val="22"/>
            <w:u w:val="single"/>
          </w:rPr>
          <w:t>http://www.vvkt.lt/</w:t>
        </w:r>
      </w:hyperlink>
    </w:p>
    <w:p w:rsidR="00453B0E" w:rsidRDefault="00453B0E" w:rsidP="00453B0E"/>
    <w:p w:rsidR="00453B0E" w:rsidRDefault="00453B0E" w:rsidP="00453B0E"/>
    <w:p w:rsidR="009041DB" w:rsidRDefault="009041DB">
      <w:bookmarkStart w:id="14" w:name="_GoBack"/>
      <w:bookmarkEnd w:id="14"/>
    </w:p>
    <w:sectPr w:rsidR="009041DB" w:rsidSect="00B05644">
      <w:footerReference w:type="default" r:id="rId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6DB" w:rsidRDefault="00453B0E">
    <w:pPr>
      <w:pStyle w:val="Porat"/>
      <w:jc w:val="right"/>
      <w:rPr>
        <w:lang w:val="en-US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 PAGE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4</w:t>
    </w:r>
    <w:r>
      <w:rPr>
        <w:rStyle w:val="Puslapionumeris"/>
        <w:rFonts w:eastAsiaTheme="majorEastAsia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0E"/>
    <w:rsid w:val="00453B0E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B8A87-5BB6-4B0D-B761-15640D7D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3B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3B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3B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453B0E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453B0E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autoRedefine/>
    <w:rsid w:val="00453B0E"/>
    <w:rPr>
      <w:bCs/>
      <w:noProof/>
      <w:color w:val="222222"/>
      <w:sz w:val="22"/>
      <w:szCs w:val="22"/>
    </w:rPr>
  </w:style>
  <w:style w:type="paragraph" w:customStyle="1" w:styleId="TTEMEASMCA">
    <w:name w:val="TT EMEA_SMCA"/>
    <w:basedOn w:val="Antrat1"/>
    <w:autoRedefine/>
    <w:rsid w:val="00453B0E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rsid w:val="00453B0E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453B0E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453B0E"/>
    <w:rPr>
      <w:b/>
    </w:rPr>
  </w:style>
  <w:style w:type="paragraph" w:styleId="Pagrindinistekstas">
    <w:name w:val="Body Text"/>
    <w:basedOn w:val="prastasis"/>
    <w:link w:val="PagrindinistekstasDiagrama"/>
    <w:rsid w:val="00453B0E"/>
    <w:pPr>
      <w:spacing w:after="120"/>
    </w:pPr>
    <w:rPr>
      <w:sz w:val="22"/>
      <w:szCs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53B0E"/>
    <w:rPr>
      <w:rFonts w:ascii="Times New Roman" w:hAnsi="Times New Roman" w:cs="Times New Roman"/>
      <w:lang w:eastAsia="lt-LT"/>
    </w:rPr>
  </w:style>
  <w:style w:type="paragraph" w:styleId="Porat">
    <w:name w:val="footer"/>
    <w:basedOn w:val="prastasis"/>
    <w:link w:val="PoratDiagrama"/>
    <w:rsid w:val="00453B0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453B0E"/>
    <w:rPr>
      <w:rFonts w:ascii="Times New Roman" w:hAnsi="Times New Roman" w:cs="Times New Roman"/>
      <w:sz w:val="24"/>
      <w:szCs w:val="24"/>
    </w:rPr>
  </w:style>
  <w:style w:type="character" w:styleId="Puslapionumeris">
    <w:name w:val="page number"/>
    <w:rsid w:val="00453B0E"/>
    <w:rPr>
      <w:rFonts w:cs="Times New Roman"/>
    </w:rPr>
  </w:style>
  <w:style w:type="character" w:customStyle="1" w:styleId="hps">
    <w:name w:val="hps"/>
    <w:basedOn w:val="Numatytasispastraiposriftas"/>
    <w:rsid w:val="00453B0E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3B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53B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5352</Words>
  <Characters>3051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2021-05-19T13:03:00Z</dcterms:created>
  <dcterms:modified xsi:type="dcterms:W3CDTF">2021-05-19T13:04:00Z</dcterms:modified>
</cp:coreProperties>
</file>