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AF" w:rsidRPr="00DC3994" w:rsidRDefault="00A303AF" w:rsidP="00A303AF">
      <w:pPr>
        <w:keepNext/>
        <w:tabs>
          <w:tab w:val="left" w:pos="567"/>
        </w:tabs>
        <w:jc w:val="center"/>
        <w:outlineLvl w:val="1"/>
        <w:rPr>
          <w:rFonts w:ascii="Times New Roman" w:hAnsi="Times New Roman" w:cs="Times New Roman"/>
          <w:b/>
          <w:snapToGrid w:val="0"/>
          <w:sz w:val="22"/>
          <w:szCs w:val="24"/>
          <w:lang w:val="lt-LT" w:eastAsia="x-none"/>
        </w:rPr>
      </w:pPr>
      <w:r w:rsidRPr="00DC3994">
        <w:rPr>
          <w:rFonts w:ascii="Times New Roman" w:hAnsi="Times New Roman" w:cs="Times New Roman"/>
          <w:b/>
          <w:bCs/>
          <w:iCs/>
          <w:snapToGrid w:val="0"/>
          <w:sz w:val="22"/>
          <w:szCs w:val="28"/>
          <w:lang w:val="lt-LT" w:eastAsia="x-none"/>
        </w:rPr>
        <w:t>Pakuotės lapelis:</w:t>
      </w:r>
      <w:r w:rsidRPr="00DC3994">
        <w:rPr>
          <w:rFonts w:ascii="Times New Roman" w:hAnsi="Times New Roman" w:cs="Times New Roman"/>
          <w:b/>
          <w:snapToGrid w:val="0"/>
          <w:sz w:val="22"/>
          <w:szCs w:val="24"/>
          <w:lang w:val="lt-LT" w:eastAsia="x-none"/>
        </w:rPr>
        <w:t xml:space="preserve"> </w:t>
      </w:r>
      <w:r w:rsidRPr="00DC3994">
        <w:rPr>
          <w:rFonts w:ascii="Times New Roman" w:hAnsi="Times New Roman" w:cs="Times New Roman"/>
          <w:b/>
          <w:bCs/>
          <w:iCs/>
          <w:snapToGrid w:val="0"/>
          <w:sz w:val="22"/>
          <w:szCs w:val="28"/>
          <w:lang w:val="lt-LT" w:eastAsia="x-none"/>
        </w:rPr>
        <w:t>informacija vartotojui</w:t>
      </w:r>
    </w:p>
    <w:p w:rsidR="00A303AF" w:rsidRPr="00DC3994" w:rsidRDefault="00A303AF" w:rsidP="00A303AF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DC3994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STUGERON 25</w:t>
      </w:r>
      <w:r w:rsidRPr="00DC3994"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DC3994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mg </w:t>
      </w:r>
      <w:proofErr w:type="spellStart"/>
      <w:r w:rsidRPr="00DC3994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tabletės</w:t>
      </w:r>
      <w:proofErr w:type="spellEnd"/>
    </w:p>
    <w:p w:rsidR="00A303AF" w:rsidRPr="00DC3994" w:rsidRDefault="00A303AF" w:rsidP="00A303AF">
      <w:pPr>
        <w:jc w:val="center"/>
        <w:rPr>
          <w:rFonts w:ascii="Times New Roman" w:hAnsi="Times New Roman" w:cs="Times New Roman"/>
          <w:bCs/>
          <w:sz w:val="22"/>
          <w:szCs w:val="22"/>
          <w:lang w:val="es-ES_tradnl"/>
        </w:rPr>
      </w:pPr>
      <w:proofErr w:type="spellStart"/>
      <w:r>
        <w:rPr>
          <w:rFonts w:ascii="Times New Roman" w:hAnsi="Times New Roman" w:cs="Times New Roman"/>
          <w:bCs/>
          <w:sz w:val="22"/>
          <w:szCs w:val="22"/>
          <w:lang w:val="es-ES_tradnl"/>
        </w:rPr>
        <w:t>c</w:t>
      </w:r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>inarizinas</w:t>
      </w:r>
      <w:proofErr w:type="spellEnd"/>
    </w:p>
    <w:p w:rsidR="00A303AF" w:rsidRPr="00DC3994" w:rsidRDefault="00A303AF" w:rsidP="00A303AF">
      <w:pPr>
        <w:jc w:val="both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A303AF" w:rsidRPr="00DC3994" w:rsidRDefault="00A303AF" w:rsidP="00A303AF">
      <w:pPr>
        <w:suppressAutoHyphens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Atidžiai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perskaitykite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visą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šį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lapelį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,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prieš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pradėdami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vartoti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vaistą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,</w:t>
      </w:r>
      <w:r w:rsidRPr="00DC3994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 xml:space="preserve"> nes jame pateikiama Jums svarbi informacija.</w:t>
      </w:r>
    </w:p>
    <w:p w:rsidR="00A303AF" w:rsidRPr="00DC3994" w:rsidRDefault="00A303AF" w:rsidP="00A303AF">
      <w:pPr>
        <w:numPr>
          <w:ilvl w:val="0"/>
          <w:numId w:val="1"/>
        </w:numPr>
        <w:tabs>
          <w:tab w:val="left" w:pos="567"/>
        </w:tabs>
        <w:spacing w:line="260" w:lineRule="exact"/>
        <w:ind w:left="0" w:right="-2" w:firstLine="0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Neišmeskite šio lapelio, nes vėl gali prireikti jį perskaityti.</w:t>
      </w:r>
      <w:r w:rsidRPr="00DC3994">
        <w:rPr>
          <w:rFonts w:ascii="Times New Roman" w:hAnsi="Times New Roman" w:cs="Times New Roman"/>
          <w:snapToGrid w:val="0"/>
          <w:sz w:val="22"/>
          <w:szCs w:val="24"/>
          <w:lang w:val="lt-LT"/>
        </w:rPr>
        <w:t xml:space="preserve"> </w:t>
      </w:r>
    </w:p>
    <w:p w:rsidR="00A303AF" w:rsidRPr="00DC3994" w:rsidRDefault="00A303AF" w:rsidP="00A303AF">
      <w:pPr>
        <w:numPr>
          <w:ilvl w:val="0"/>
          <w:numId w:val="1"/>
        </w:numPr>
        <w:tabs>
          <w:tab w:val="left" w:pos="567"/>
        </w:tabs>
        <w:spacing w:line="260" w:lineRule="exact"/>
        <w:ind w:left="0" w:right="-2" w:firstLine="0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Jeigu kiltų daugiau klausimų, kreipkitės į  gydytoją arba vaistininką.</w:t>
      </w:r>
    </w:p>
    <w:p w:rsidR="00A303AF" w:rsidRPr="00DC3994" w:rsidRDefault="00A303AF" w:rsidP="00A303AF">
      <w:pPr>
        <w:tabs>
          <w:tab w:val="left" w:pos="567"/>
        </w:tabs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snapToGrid w:val="0"/>
          <w:sz w:val="22"/>
          <w:szCs w:val="24"/>
          <w:lang w:val="lt-LT"/>
        </w:rPr>
        <w:t>-</w:t>
      </w:r>
      <w:r w:rsidRPr="00DC3994">
        <w:rPr>
          <w:rFonts w:ascii="Times New Roman" w:hAnsi="Times New Roman" w:cs="Times New Roman"/>
          <w:snapToGrid w:val="0"/>
          <w:sz w:val="22"/>
          <w:szCs w:val="24"/>
          <w:lang w:val="lt-LT"/>
        </w:rPr>
        <w:tab/>
      </w: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Šis vaistas skirtas tik Jums, todėl kitiems žmonėms jo duoti negalima.</w:t>
      </w:r>
      <w:r w:rsidRPr="00DC3994">
        <w:rPr>
          <w:rFonts w:ascii="Times New Roman" w:hAnsi="Times New Roman" w:cs="Times New Roman"/>
          <w:snapToGrid w:val="0"/>
          <w:sz w:val="22"/>
          <w:szCs w:val="24"/>
          <w:lang w:val="lt-LT"/>
        </w:rPr>
        <w:t xml:space="preserve"> </w:t>
      </w: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Vaistas gali jiems pakenkti (net tiems, kurių ligos požymiai yra tokie patys kaip Jūsų). </w:t>
      </w:r>
      <w:r w:rsidRPr="00DC3994">
        <w:rPr>
          <w:rFonts w:ascii="Times New Roman" w:hAnsi="Times New Roman" w:cs="Times New Roman"/>
          <w:snapToGrid w:val="0"/>
          <w:color w:val="008000"/>
          <w:sz w:val="22"/>
          <w:szCs w:val="24"/>
          <w:lang w:val="lt-LT"/>
        </w:rPr>
        <w:t xml:space="preserve"> </w:t>
      </w:r>
    </w:p>
    <w:p w:rsidR="00A303AF" w:rsidRPr="00DC3994" w:rsidRDefault="00A303AF" w:rsidP="00A303AF">
      <w:pPr>
        <w:numPr>
          <w:ilvl w:val="0"/>
          <w:numId w:val="1"/>
        </w:numPr>
        <w:tabs>
          <w:tab w:val="left" w:pos="567"/>
        </w:tabs>
        <w:spacing w:line="260" w:lineRule="exact"/>
        <w:ind w:left="0" w:firstLine="0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Jeigu pasireiškė šalutinis poveikis (net jeigu jis šiame lapelyje nenurodytas), kreipkitės į gydytoją arba vaistininką. Žr. 4 skyrių. 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 w:rsidDel="00BE7D45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:rsidR="00A303AF" w:rsidRDefault="00A303AF" w:rsidP="00A303AF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DC3994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Apie ką rašoma šiame lapelyje?</w:t>
      </w:r>
    </w:p>
    <w:p w:rsidR="00A303AF" w:rsidRPr="00DC3994" w:rsidRDefault="00A303AF" w:rsidP="00A303AF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</w:p>
    <w:p w:rsidR="00A303AF" w:rsidRPr="00DC3994" w:rsidRDefault="00A303AF" w:rsidP="00A303AF">
      <w:pPr>
        <w:tabs>
          <w:tab w:val="left" w:pos="720"/>
        </w:tabs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1.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ab/>
        <w:t>Kas yra STUGERON ir kam jis vartojamas</w:t>
      </w:r>
    </w:p>
    <w:p w:rsidR="00A303AF" w:rsidRPr="00DC3994" w:rsidRDefault="00A303AF" w:rsidP="00A303AF">
      <w:pPr>
        <w:tabs>
          <w:tab w:val="left" w:pos="720"/>
        </w:tabs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2.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ab/>
        <w:t xml:space="preserve">Kas žinotina prieš vartojant STUGERON </w:t>
      </w:r>
    </w:p>
    <w:p w:rsidR="00A303AF" w:rsidRPr="00DC3994" w:rsidRDefault="00A303AF" w:rsidP="00A303AF">
      <w:pPr>
        <w:tabs>
          <w:tab w:val="left" w:pos="720"/>
        </w:tabs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3.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ab/>
        <w:t xml:space="preserve">Kaip vartoti STUGERON </w:t>
      </w:r>
    </w:p>
    <w:p w:rsidR="00A303AF" w:rsidRPr="00DC3994" w:rsidRDefault="00A303AF" w:rsidP="00A303AF">
      <w:pPr>
        <w:tabs>
          <w:tab w:val="left" w:pos="720"/>
        </w:tabs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4.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ab/>
        <w:t>Galimas šalutinis poveikis</w:t>
      </w:r>
    </w:p>
    <w:p w:rsidR="00A303AF" w:rsidRPr="00DC3994" w:rsidRDefault="00A303AF" w:rsidP="00A303AF">
      <w:pPr>
        <w:tabs>
          <w:tab w:val="left" w:pos="720"/>
        </w:tabs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5.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ab/>
        <w:t xml:space="preserve">Kaip laikyti STUGERON </w:t>
      </w:r>
    </w:p>
    <w:p w:rsidR="00A303AF" w:rsidRPr="00DC3994" w:rsidRDefault="00A303AF" w:rsidP="00A303AF">
      <w:pPr>
        <w:tabs>
          <w:tab w:val="left" w:pos="720"/>
        </w:tabs>
        <w:rPr>
          <w:rFonts w:ascii="Times New Roman" w:hAnsi="Times New Roman" w:cs="Times New Roman"/>
          <w:sz w:val="22"/>
          <w:szCs w:val="22"/>
          <w:lang w:val="es-ES_tradnl"/>
        </w:rPr>
      </w:pPr>
      <w:r w:rsidRPr="00DC3994">
        <w:rPr>
          <w:rFonts w:ascii="Times New Roman" w:hAnsi="Times New Roman" w:cs="Times New Roman"/>
          <w:sz w:val="22"/>
          <w:szCs w:val="22"/>
          <w:lang w:val="es-ES_tradnl"/>
        </w:rPr>
        <w:t>6.</w:t>
      </w:r>
      <w:r w:rsidRPr="00DC3994">
        <w:rPr>
          <w:rFonts w:ascii="Times New Roman" w:hAnsi="Times New Roman" w:cs="Times New Roman"/>
          <w:sz w:val="22"/>
          <w:szCs w:val="22"/>
          <w:lang w:val="es-ES_tradnl"/>
        </w:rPr>
        <w:tab/>
      </w:r>
      <w:proofErr w:type="spellStart"/>
      <w:r w:rsidRPr="00DC3994">
        <w:rPr>
          <w:rFonts w:ascii="Times New Roman" w:hAnsi="Times New Roman" w:cs="Times New Roman"/>
          <w:sz w:val="22"/>
          <w:szCs w:val="22"/>
          <w:lang w:val="es-ES_tradnl"/>
        </w:rPr>
        <w:t>Pakuotės</w:t>
      </w:r>
      <w:proofErr w:type="spellEnd"/>
      <w:r w:rsidRPr="00DC3994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sz w:val="22"/>
          <w:szCs w:val="22"/>
          <w:lang w:val="es-ES_tradnl"/>
        </w:rPr>
        <w:t>turinys</w:t>
      </w:r>
      <w:proofErr w:type="spellEnd"/>
      <w:r w:rsidRPr="00DC3994">
        <w:rPr>
          <w:rFonts w:ascii="Times New Roman" w:hAnsi="Times New Roman" w:cs="Times New Roman"/>
          <w:sz w:val="22"/>
          <w:szCs w:val="22"/>
          <w:lang w:val="es-ES_tradnl"/>
        </w:rPr>
        <w:t xml:space="preserve"> ir </w:t>
      </w:r>
      <w:proofErr w:type="spellStart"/>
      <w:r w:rsidRPr="00DC3994">
        <w:rPr>
          <w:rFonts w:ascii="Times New Roman" w:hAnsi="Times New Roman" w:cs="Times New Roman"/>
          <w:sz w:val="22"/>
          <w:szCs w:val="22"/>
          <w:lang w:val="es-ES_tradnl"/>
        </w:rPr>
        <w:t>kita</w:t>
      </w:r>
      <w:proofErr w:type="spellEnd"/>
      <w:r w:rsidRPr="00DC3994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sz w:val="22"/>
          <w:szCs w:val="22"/>
          <w:lang w:val="es-ES_tradnl"/>
        </w:rPr>
        <w:t>informacija</w:t>
      </w:r>
      <w:proofErr w:type="spellEnd"/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es-ES_tradnl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es-ES_tradnl"/>
        </w:rPr>
      </w:pPr>
    </w:p>
    <w:p w:rsidR="00A303AF" w:rsidRPr="00DC3994" w:rsidRDefault="00A303AF" w:rsidP="00A303AF">
      <w:pPr>
        <w:keepNext/>
        <w:tabs>
          <w:tab w:val="left" w:pos="567"/>
        </w:tabs>
        <w:outlineLvl w:val="1"/>
        <w:rPr>
          <w:rFonts w:ascii="Times New Roman" w:hAnsi="Times New Roman" w:cs="Times New Roman"/>
          <w:b/>
          <w:sz w:val="22"/>
          <w:szCs w:val="22"/>
          <w:lang w:val="es-ES_tradnl"/>
        </w:rPr>
      </w:pPr>
      <w:bookmarkStart w:id="0" w:name="_Toc129243139"/>
      <w:bookmarkStart w:id="1" w:name="_Toc129243264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1.</w:t>
      </w:r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ab/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Kas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yra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STUGERON ir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kam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jis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vartojamas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</w:t>
      </w:r>
      <w:bookmarkEnd w:id="0"/>
      <w:bookmarkEnd w:id="1"/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es-ES_tradnl"/>
        </w:rPr>
      </w:pPr>
    </w:p>
    <w:p w:rsidR="00A303AF" w:rsidRPr="00DC3994" w:rsidRDefault="00A303AF" w:rsidP="00A303AF">
      <w:pPr>
        <w:jc w:val="both"/>
        <w:rPr>
          <w:rFonts w:ascii="Times New Roman" w:hAnsi="Times New Roman" w:cs="Times New Roman"/>
          <w:bCs/>
          <w:sz w:val="22"/>
          <w:szCs w:val="22"/>
          <w:lang w:val="es-ES_tradnl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 xml:space="preserve">STUGERON </w:t>
      </w:r>
      <w:proofErr w:type="spellStart"/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>slopina</w:t>
      </w:r>
      <w:proofErr w:type="spellEnd"/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 xml:space="preserve"> </w:t>
      </w:r>
      <w:r w:rsidRPr="00EC16CE">
        <w:rPr>
          <w:rFonts w:ascii="Times New Roman" w:hAnsi="Times New Roman" w:cs="Times New Roman"/>
          <w:noProof/>
          <w:sz w:val="22"/>
          <w:szCs w:val="22"/>
          <w:lang w:val="lt-LT"/>
        </w:rPr>
        <w:t>pusiausvyros ar judėjimo sutrikimų sukeltus simptomus</w:t>
      </w:r>
      <w:r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, įskaitant galvos sukimąsi ir </w:t>
      </w:r>
      <w:proofErr w:type="gramStart"/>
      <w:r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svaigulį, </w:t>
      </w:r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es-ES_tradnl"/>
        </w:rPr>
        <w:t>ūžesį</w:t>
      </w:r>
      <w:proofErr w:type="spellEnd"/>
      <w:proofErr w:type="gramEnd"/>
      <w:r>
        <w:rPr>
          <w:rFonts w:ascii="Times New Roman" w:hAnsi="Times New Roman" w:cs="Times New Roman"/>
          <w:bCs/>
          <w:sz w:val="22"/>
          <w:szCs w:val="22"/>
          <w:lang w:val="es-ES_tradnl"/>
        </w:rPr>
        <w:t>,</w:t>
      </w:r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es-ES_tradnl"/>
        </w:rPr>
        <w:t>pykinimą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es-ES_tradnl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es-ES_tradnl"/>
        </w:rPr>
        <w:t>vėmimą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es-ES_tradnl"/>
        </w:rPr>
        <w:t xml:space="preserve"> </w:t>
      </w:r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 xml:space="preserve">ir </w:t>
      </w:r>
      <w:proofErr w:type="spellStart"/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>judėjimo</w:t>
      </w:r>
      <w:proofErr w:type="spellEnd"/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>sukeltus</w:t>
      </w:r>
      <w:proofErr w:type="spellEnd"/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>pykinimą</w:t>
      </w:r>
      <w:proofErr w:type="spellEnd"/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 xml:space="preserve"> ir </w:t>
      </w:r>
      <w:proofErr w:type="spellStart"/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>vėmimą</w:t>
      </w:r>
      <w:proofErr w:type="spellEnd"/>
      <w:r w:rsidRPr="00DC3994">
        <w:rPr>
          <w:rFonts w:ascii="Times New Roman" w:hAnsi="Times New Roman" w:cs="Times New Roman"/>
          <w:bCs/>
          <w:sz w:val="22"/>
          <w:szCs w:val="22"/>
          <w:lang w:val="es-ES_tradnl"/>
        </w:rPr>
        <w:t>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keepNext/>
        <w:tabs>
          <w:tab w:val="left" w:pos="567"/>
        </w:tabs>
        <w:outlineLvl w:val="1"/>
        <w:rPr>
          <w:rFonts w:ascii="Times New Roman" w:hAnsi="Times New Roman" w:cs="Times New Roman"/>
          <w:b/>
          <w:sz w:val="22"/>
          <w:szCs w:val="22"/>
          <w:lang w:val="pt-BR"/>
        </w:rPr>
      </w:pPr>
      <w:bookmarkStart w:id="2" w:name="_Toc129243140"/>
      <w:bookmarkStart w:id="3" w:name="_Toc129243265"/>
      <w:r w:rsidRPr="00DC3994">
        <w:rPr>
          <w:rFonts w:ascii="Times New Roman" w:hAnsi="Times New Roman" w:cs="Times New Roman"/>
          <w:b/>
          <w:sz w:val="22"/>
          <w:szCs w:val="22"/>
          <w:lang w:val="pt-BR"/>
        </w:rPr>
        <w:t>2.</w:t>
      </w:r>
      <w:r w:rsidRPr="00DC3994">
        <w:rPr>
          <w:rFonts w:ascii="Times New Roman" w:hAnsi="Times New Roman" w:cs="Times New Roman"/>
          <w:b/>
          <w:sz w:val="22"/>
          <w:szCs w:val="22"/>
          <w:lang w:val="pt-BR"/>
        </w:rPr>
        <w:tab/>
        <w:t xml:space="preserve">Kas žinotina prieš vartojant STUGERON </w:t>
      </w:r>
      <w:bookmarkEnd w:id="2"/>
      <w:bookmarkEnd w:id="3"/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/>
          <w:bCs/>
          <w:sz w:val="22"/>
          <w:szCs w:val="22"/>
          <w:lang w:val="pt-BR"/>
        </w:rPr>
        <w:t>STUGERON vartoti negalima: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- jeigu yra alergija cinarizinui arba bet kuriai pagalbinei šio vaisto medžiagai</w:t>
      </w:r>
      <w:r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DC3994">
        <w:rPr>
          <w:rFonts w:ascii="Times New Roman" w:hAnsi="Times New Roman" w:cs="Times New Roman"/>
          <w:noProof/>
          <w:sz w:val="22"/>
          <w:szCs w:val="22"/>
          <w:lang w:val="lt-LT"/>
        </w:rPr>
        <w:t>(jos išvardytos 6 skyriuje)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>,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- jeigu krūtimi maitinate kūdikį.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DC3994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 xml:space="preserve">Įspėjimai ir atsargumo priemonės </w:t>
      </w:r>
    </w:p>
    <w:p w:rsidR="00A303AF" w:rsidRPr="00DC3994" w:rsidRDefault="00A303AF" w:rsidP="00A303AF">
      <w:pPr>
        <w:numPr>
          <w:ilvl w:val="12"/>
          <w:numId w:val="0"/>
        </w:numPr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Pasitarkite su gydytoju arba vaistininku, prieš pradėdami vartoti 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>STUGERON</w:t>
      </w: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- Kaip ir kiti antihistamininiai vaistai, STUGERON gali sukelti viršutinės pilvo dalies skausmą (po “duobute”); vartojant po valgio, skrandis mažiau sudirginamas.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 xml:space="preserve">- Jei sergate Parkinsono liga, gydytojas turi nuspręsti, ar Jūs galite vartoti STUGERON. Parkinsono liga sergantiems pacientams ligos simptomai gali pasunkėti, todėl tokie </w:t>
      </w:r>
      <w:r>
        <w:rPr>
          <w:rFonts w:ascii="Times New Roman" w:hAnsi="Times New Roman" w:cs="Times New Roman"/>
          <w:sz w:val="22"/>
          <w:szCs w:val="22"/>
          <w:lang w:val="pt-BR"/>
        </w:rPr>
        <w:t>pacientai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 xml:space="preserve"> STUGERON gali vartoti tik tuomet, kai nauda bus didesnė už galimą ligos pasunkėjimo pavojų.</w:t>
      </w:r>
    </w:p>
    <w:p w:rsidR="00A303AF" w:rsidRPr="00DC3994" w:rsidRDefault="00A303AF" w:rsidP="00A303AF">
      <w:pPr>
        <w:rPr>
          <w:rFonts w:ascii="Times New Roman" w:eastAsia="Calibri" w:hAnsi="Times New Roman" w:cs="Times New Roman"/>
          <w:noProof/>
          <w:sz w:val="22"/>
          <w:szCs w:val="22"/>
          <w:lang w:val="lt-LT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- STUGERON gydymo pradžioje gali sukelti mieguistumą,</w:t>
      </w:r>
      <w:r w:rsidRPr="00DC3994"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todėl kartu geriant alkoholio, vartojant centrinę nervų sistemą (CNS) slopinančių vaistų arba vaistų depresijai gydyti (</w:t>
      </w:r>
      <w:proofErr w:type="spellStart"/>
      <w:r w:rsidRPr="00DC3994">
        <w:rPr>
          <w:rFonts w:ascii="Times New Roman" w:eastAsia="Calibri" w:hAnsi="Times New Roman" w:cs="Times New Roman"/>
          <w:sz w:val="22"/>
          <w:szCs w:val="22"/>
          <w:lang w:val="lt-LT"/>
        </w:rPr>
        <w:t>triciklių</w:t>
      </w:r>
      <w:proofErr w:type="spellEnd"/>
      <w:r w:rsidRPr="00DC3994"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antidepresantų), būtinas atsargumas.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Kiti vaistai ir STUGERON 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Jeigu vartojate arba neseniai vartojote kitų vaistų, įskaitant įsigytus be recepto,</w:t>
      </w:r>
      <w:r w:rsidRPr="00DC3994">
        <w:rPr>
          <w:noProof/>
          <w:szCs w:val="24"/>
          <w:lang w:val="lt-LT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lt-LT"/>
        </w:rPr>
        <w:t>a</w:t>
      </w:r>
      <w:r w:rsidRPr="00DC3994">
        <w:rPr>
          <w:rFonts w:ascii="Times New Roman" w:hAnsi="Times New Roman" w:cs="Times New Roman"/>
          <w:noProof/>
          <w:sz w:val="22"/>
          <w:szCs w:val="22"/>
          <w:lang w:val="lt-LT"/>
        </w:rPr>
        <w:t>rba dėl to nesate tikri</w:t>
      </w:r>
      <w:r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, 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 xml:space="preserve">apie tai pasakykite gydytojui arba vaistininkui. 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STUGERON gali sukelti mieguistumą, ypač gydymo pradžioje, todėl migdomųjų, raminamųjų ar kitų centrinę nervų sistemą slopinančių vaistų, taip pat alkoholio kartu su STUGERON vartoti reikėtų atsargiai.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lastRenderedPageBreak/>
        <w:t xml:space="preserve">Šis vaistas gali paveikti Jūsų organizmo reakciją atliekant odos mėginį alergijai nustatyti. Pasakykite gydytojui, jei 4 dienų  laikotarpiu prieš atliekamą odos mėginį vartojote STUGERON.  </w:t>
      </w:r>
    </w:p>
    <w:p w:rsidR="00A303AF" w:rsidRPr="00DC3994" w:rsidRDefault="00A303AF" w:rsidP="00A303AF">
      <w:pPr>
        <w:jc w:val="both"/>
        <w:rPr>
          <w:rFonts w:ascii="Times New Roman" w:hAnsi="Times New Roman"/>
          <w:sz w:val="22"/>
          <w:lang w:val="lt-LT"/>
        </w:rPr>
      </w:pPr>
    </w:p>
    <w:p w:rsidR="00A303AF" w:rsidRPr="00DC3994" w:rsidRDefault="00A303AF" w:rsidP="00A303AF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DC3994">
        <w:rPr>
          <w:rFonts w:ascii="Times New Roman" w:hAnsi="Times New Roman"/>
          <w:b/>
          <w:sz w:val="22"/>
          <w:lang w:val="lt-LT"/>
        </w:rPr>
        <w:t>STUGERON vartojimas su maistu ir gėrimais</w:t>
      </w:r>
    </w:p>
    <w:p w:rsidR="00A303AF" w:rsidRPr="00DC3994" w:rsidRDefault="00A303AF" w:rsidP="00A303AF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Cs/>
          <w:snapToGrid w:val="0"/>
          <w:sz w:val="22"/>
          <w:szCs w:val="28"/>
          <w:lang w:val="lt-LT" w:eastAsia="x-none"/>
        </w:rPr>
      </w:pPr>
      <w:r w:rsidRPr="00DC3994">
        <w:rPr>
          <w:rFonts w:ascii="Times New Roman" w:hAnsi="Times New Roman" w:cs="Times New Roman"/>
          <w:bCs/>
          <w:snapToGrid w:val="0"/>
          <w:sz w:val="22"/>
          <w:szCs w:val="28"/>
          <w:lang w:val="lt-LT" w:eastAsia="x-none"/>
        </w:rPr>
        <w:t>STUGERON gali sukelti nemalonių jutimų skrandžio srityje;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 xml:space="preserve"> vaisto vartojant po valgio, skrandis mažiau  sudirginamas. STU</w:t>
      </w:r>
      <w:r w:rsidRPr="00DC3994">
        <w:rPr>
          <w:rFonts w:ascii="Times New Roman" w:hAnsi="Times New Roman" w:cs="Times New Roman"/>
          <w:bCs/>
          <w:snapToGrid w:val="0"/>
          <w:sz w:val="22"/>
          <w:szCs w:val="28"/>
          <w:lang w:val="lt-LT" w:eastAsia="x-none"/>
        </w:rPr>
        <w:t>GERON tabletes geriau gerti po valgio.</w:t>
      </w:r>
    </w:p>
    <w:p w:rsidR="00A303AF" w:rsidRPr="00DC3994" w:rsidRDefault="00A303AF" w:rsidP="00A303AF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:rsidR="00A303AF" w:rsidRPr="00DC3994" w:rsidRDefault="00A303AF" w:rsidP="00A303AF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/>
          <w:bCs/>
          <w:sz w:val="22"/>
          <w:szCs w:val="22"/>
          <w:lang w:val="pt-BR"/>
        </w:rPr>
        <w:t>Nėštumas ir žindymo laikotarpis</w:t>
      </w:r>
    </w:p>
    <w:p w:rsidR="00A303AF" w:rsidRPr="00DC3994" w:rsidRDefault="00A303AF" w:rsidP="00A303AF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DC3994">
        <w:rPr>
          <w:rFonts w:ascii="Times New Roman" w:hAnsi="Times New Roman" w:cs="Times New Roman"/>
          <w:sz w:val="22"/>
          <w:szCs w:val="22"/>
          <w:lang w:val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 xml:space="preserve">Nors tyrimų metu gyvūnams teratogeninio poveikio </w:t>
      </w: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STUGERON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 xml:space="preserve"> nesukėlė, nėštumo metu jo galima vartoti tik nustačius naudos ir galimos žalos vaisiui santykį.</w:t>
      </w:r>
    </w:p>
    <w:p w:rsidR="00A303AF" w:rsidRPr="00DC3994" w:rsidRDefault="00A303AF" w:rsidP="00A303AF">
      <w:pPr>
        <w:rPr>
          <w:rFonts w:ascii="Verdana" w:hAnsi="Verdana" w:cs="Times New Roman"/>
          <w:sz w:val="20"/>
          <w:szCs w:val="24"/>
          <w:lang w:val="pt-BR"/>
        </w:rPr>
      </w:pPr>
    </w:p>
    <w:p w:rsidR="00A303AF" w:rsidRPr="00DC3994" w:rsidRDefault="00A303AF" w:rsidP="00A303AF">
      <w:pPr>
        <w:keepNext/>
        <w:outlineLvl w:val="2"/>
        <w:rPr>
          <w:rFonts w:ascii="Times New Roman" w:hAnsi="Times New Roman" w:cs="Times New Roman"/>
          <w:bCs/>
          <w:sz w:val="22"/>
          <w:szCs w:val="22"/>
          <w:u w:val="single"/>
          <w:lang w:val="pt-BR"/>
        </w:rPr>
      </w:pPr>
      <w:r w:rsidRPr="00DC3994">
        <w:rPr>
          <w:rFonts w:ascii="Times New Roman" w:hAnsi="Times New Roman" w:cs="Times New Roman"/>
          <w:bCs/>
          <w:sz w:val="22"/>
          <w:szCs w:val="22"/>
          <w:u w:val="single"/>
          <w:lang w:val="pt-BR"/>
        </w:rPr>
        <w:t>Žindymo laikotarpis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Ar STUGERON patenka į motinos pieną, nežinoma, todėl vartojant šio vaisto kūdikio žindyti negalima. Jei žindote kūdikį, nevartokite STUGERON.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/>
          <w:bCs/>
          <w:sz w:val="22"/>
          <w:szCs w:val="22"/>
          <w:lang w:val="pt-BR"/>
        </w:rPr>
        <w:t>Vairavimas ir mechanizmų valdymas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Kadangi nuo STUGERON, ypač gydymo pradžioje, gali pasireikšti mieguistumas, reikia būti atsargiems vairuojant ir valdant mechanizmus.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/>
          <w:bCs/>
          <w:sz w:val="22"/>
          <w:szCs w:val="22"/>
          <w:lang w:val="pt-BR"/>
        </w:rPr>
        <w:t>STUGERON sudėtyje yra laktozės monohidrato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Jeigu gydytojas Jums yra sakęs, kad netoleruojate kokių nors angliavandenių, kreipkitės į jį prieš pradėdami vartoti šį vaistą.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:rsidR="00A303AF" w:rsidRPr="00DC3994" w:rsidRDefault="00A303AF" w:rsidP="00A303AF">
      <w:pPr>
        <w:keepNext/>
        <w:tabs>
          <w:tab w:val="left" w:pos="567"/>
        </w:tabs>
        <w:outlineLvl w:val="1"/>
        <w:rPr>
          <w:rFonts w:ascii="Times New Roman" w:hAnsi="Times New Roman" w:cs="Times New Roman"/>
          <w:b/>
          <w:sz w:val="22"/>
          <w:szCs w:val="22"/>
          <w:lang w:val="pt-BR"/>
        </w:rPr>
      </w:pPr>
      <w:bookmarkStart w:id="4" w:name="_Toc129243141"/>
      <w:bookmarkStart w:id="5" w:name="_Toc129243266"/>
      <w:r w:rsidRPr="00DC3994">
        <w:rPr>
          <w:rFonts w:ascii="Times New Roman" w:hAnsi="Times New Roman" w:cs="Times New Roman"/>
          <w:b/>
          <w:sz w:val="22"/>
          <w:szCs w:val="22"/>
          <w:lang w:val="pt-BR"/>
        </w:rPr>
        <w:t>3.</w:t>
      </w:r>
      <w:r w:rsidRPr="00DC3994">
        <w:rPr>
          <w:rFonts w:ascii="Times New Roman" w:hAnsi="Times New Roman" w:cs="Times New Roman"/>
          <w:b/>
          <w:sz w:val="22"/>
          <w:szCs w:val="22"/>
          <w:lang w:val="pt-BR"/>
        </w:rPr>
        <w:tab/>
        <w:t xml:space="preserve">Kaip vartoti </w:t>
      </w:r>
      <w:bookmarkEnd w:id="4"/>
      <w:bookmarkEnd w:id="5"/>
      <w:r w:rsidRPr="00DC3994">
        <w:rPr>
          <w:rFonts w:ascii="Times New Roman" w:hAnsi="Times New Roman" w:cs="Times New Roman"/>
          <w:b/>
          <w:sz w:val="22"/>
          <w:szCs w:val="22"/>
          <w:lang w:val="pt-BR"/>
        </w:rPr>
        <w:t>STUGERON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Visada vartokite šį vaistą tiksliai kaip nurodė gydytojas. Jeigu abejojate, kreipkitės į gydytoją arba vaistininką.</w:t>
      </w: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Kaip ir visi antihistamininiai vaistai, STUGERON tabletės gali sukelti nemalonių pojūčių pilvo srityje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(skrandyje), todėl jų patartina gerti po valgio.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Tabletes reikia nuryti nekramtytas.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Rekomenduojamos dozės: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- pusiausvyros sutrikimai</w:t>
      </w:r>
      <w:r>
        <w:rPr>
          <w:rFonts w:ascii="Times New Roman" w:hAnsi="Times New Roman" w:cs="Times New Roman"/>
          <w:bCs/>
          <w:sz w:val="22"/>
          <w:szCs w:val="22"/>
          <w:lang w:val="pt-BR"/>
        </w:rPr>
        <w:t>: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  <w:r>
        <w:rPr>
          <w:rFonts w:ascii="Times New Roman" w:hAnsi="Times New Roman" w:cs="Times New Roman"/>
          <w:bCs/>
          <w:sz w:val="22"/>
          <w:szCs w:val="22"/>
          <w:lang w:val="pt-BR"/>
        </w:rPr>
        <w:t>s</w:t>
      </w: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uaugusiesiems: po vieną tabletę tris kartus per parą.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:rsidR="00A303AF" w:rsidRPr="00DC3994" w:rsidRDefault="00A303AF" w:rsidP="00A303AF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 w:cs="Times New Roman"/>
          <w:spacing w:val="-2"/>
          <w:sz w:val="22"/>
          <w:szCs w:val="22"/>
          <w:lang w:val="lt-LT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- </w:t>
      </w:r>
      <w:r w:rsidRPr="00DC3994">
        <w:rPr>
          <w:rFonts w:ascii="Times New Roman" w:hAnsi="Times New Roman" w:cs="Times New Roman"/>
          <w:spacing w:val="-2"/>
          <w:sz w:val="22"/>
          <w:szCs w:val="22"/>
          <w:lang w:val="lt-LT"/>
        </w:rPr>
        <w:t>Judėjimo sukeltas pykinimas ir vėmimas:</w:t>
      </w:r>
    </w:p>
    <w:p w:rsidR="00A303AF" w:rsidRPr="00DC3994" w:rsidRDefault="00A303AF" w:rsidP="00A303AF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>
        <w:rPr>
          <w:rFonts w:ascii="Times New Roman" w:hAnsi="Times New Roman" w:cs="Times New Roman"/>
          <w:spacing w:val="-2"/>
          <w:sz w:val="22"/>
          <w:szCs w:val="22"/>
          <w:lang w:val="lt-LT"/>
        </w:rPr>
        <w:t>s</w:t>
      </w:r>
      <w:r w:rsidRPr="00683104">
        <w:rPr>
          <w:rFonts w:ascii="Times New Roman" w:hAnsi="Times New Roman" w:cs="Times New Roman"/>
          <w:spacing w:val="-2"/>
          <w:sz w:val="22"/>
          <w:szCs w:val="22"/>
          <w:lang w:val="lt-LT"/>
        </w:rPr>
        <w:t xml:space="preserve">uaugusieji ir vyresni nei 13 metų paaugliai: </w:t>
      </w:r>
      <w:r w:rsidRPr="00DC3994">
        <w:rPr>
          <w:rFonts w:ascii="Times New Roman" w:hAnsi="Times New Roman" w:cs="Times New Roman"/>
          <w:spacing w:val="-2"/>
          <w:sz w:val="22"/>
          <w:szCs w:val="22"/>
          <w:lang w:val="lt-LT"/>
        </w:rPr>
        <w:t>1 tablet</w:t>
      </w:r>
      <w:r>
        <w:rPr>
          <w:rFonts w:ascii="Times New Roman" w:hAnsi="Times New Roman" w:cs="Times New Roman"/>
          <w:spacing w:val="-2"/>
          <w:sz w:val="22"/>
          <w:szCs w:val="22"/>
          <w:lang w:val="lt-LT"/>
        </w:rPr>
        <w:t xml:space="preserve">ė </w:t>
      </w:r>
      <w:r w:rsidRPr="00DC3994">
        <w:rPr>
          <w:rFonts w:ascii="Times New Roman" w:hAnsi="Times New Roman" w:cs="Times New Roman"/>
          <w:spacing w:val="-2"/>
          <w:sz w:val="22"/>
          <w:szCs w:val="22"/>
          <w:lang w:val="lt-LT"/>
        </w:rPr>
        <w:t xml:space="preserve">likus mažiausiai pusvalandžiui iki kelionės; </w:t>
      </w: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šią dozę gerti kartotinai kas 6 val.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  <w:lang w:val="pt-BR"/>
        </w:rPr>
        <w:t>6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>–12 metų vaikams rekomenduojama pusė suaugusiojo dozės.</w:t>
      </w: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Didžiausia dozė yra</w:t>
      </w:r>
      <w:r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100</w:t>
      </w:r>
      <w:r w:rsidRPr="00DC3994"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mg per parą.</w:t>
      </w:r>
    </w:p>
    <w:p w:rsidR="00A303AF" w:rsidRPr="00DC3994" w:rsidRDefault="00A303AF" w:rsidP="00A303A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 xml:space="preserve">Jeigu manote, kad </w:t>
      </w: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STUGERON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 xml:space="preserve"> veikia per stipriai arba per silpnai, kreipkitės į gydytoją arba vaistininką.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/>
          <w:bCs/>
          <w:sz w:val="22"/>
          <w:szCs w:val="22"/>
          <w:lang w:val="pt-BR"/>
        </w:rPr>
        <w:t>Ką daryti pavartojus per didelę STUGERON dozę?</w:t>
      </w:r>
    </w:p>
    <w:p w:rsidR="00A303AF" w:rsidRPr="00DC3994" w:rsidRDefault="00A303AF" w:rsidP="00A303A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Jei išgėrėte tablečių daugiau nei skirta, nedelsdami kreipkitės į gydytoją</w:t>
      </w:r>
    </w:p>
    <w:p w:rsidR="00A303AF" w:rsidRPr="00DC3994" w:rsidRDefault="00A303AF" w:rsidP="00A303AF">
      <w:pPr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A303AF" w:rsidRPr="00DC3994" w:rsidRDefault="00A303AF" w:rsidP="00A303AF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/>
          <w:bCs/>
          <w:sz w:val="22"/>
          <w:szCs w:val="22"/>
          <w:lang w:val="pt-BR"/>
        </w:rPr>
        <w:t>Pamiršus pavartoti STUGERON</w:t>
      </w:r>
    </w:p>
    <w:p w:rsidR="00A303AF" w:rsidRDefault="00A303AF" w:rsidP="00A303AF">
      <w:pPr>
        <w:rPr>
          <w:rFonts w:ascii="Times New Roman" w:hAnsi="Times New Roman" w:cs="Times New Roman"/>
          <w:sz w:val="22"/>
          <w:lang w:val="lt-LT" w:eastAsia="lt-LT" w:bidi="lt-LT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Negalima vartoti dvigubos dozės norint kompensuoti praleistą tabletę.</w:t>
      </w:r>
      <w:r w:rsidRPr="00DC3994">
        <w:rPr>
          <w:rFonts w:ascii="Times New Roman" w:eastAsia="Calibri" w:hAnsi="Times New Roman" w:cs="Times New Roman"/>
          <w:noProof/>
          <w:sz w:val="22"/>
          <w:szCs w:val="22"/>
          <w:lang w:val="lt-LT"/>
        </w:rPr>
        <w:t xml:space="preserve"> </w:t>
      </w:r>
      <w:r w:rsidRPr="00DC3994">
        <w:rPr>
          <w:rFonts w:ascii="Times New Roman" w:hAnsi="Times New Roman" w:cs="Times New Roman"/>
          <w:sz w:val="22"/>
          <w:szCs w:val="22"/>
          <w:lang w:val="lt-LT"/>
        </w:rPr>
        <w:t xml:space="preserve">Toliau vaistą vartokite, kaip paskyrė Jūsų gydytojas. 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lang w:val="lt-LT" w:eastAsia="lt-LT" w:bidi="lt-LT"/>
        </w:rPr>
        <w:t>Jeigu kiltų daugiau klausimų dėl šio vaisto vartojimo, kreipkitės į gydytoją arba vaistininką.</w:t>
      </w:r>
    </w:p>
    <w:p w:rsidR="00A303AF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keepNext/>
        <w:tabs>
          <w:tab w:val="left" w:pos="567"/>
        </w:tabs>
        <w:outlineLvl w:val="1"/>
        <w:rPr>
          <w:rFonts w:ascii="Times New Roman" w:hAnsi="Times New Roman" w:cs="Times New Roman"/>
          <w:b/>
          <w:sz w:val="22"/>
          <w:szCs w:val="22"/>
          <w:lang w:val="pt-BR"/>
        </w:rPr>
      </w:pPr>
      <w:bookmarkStart w:id="6" w:name="_Toc129243142"/>
      <w:bookmarkStart w:id="7" w:name="_Toc129243267"/>
      <w:r w:rsidRPr="00DC3994">
        <w:rPr>
          <w:rFonts w:ascii="Times New Roman" w:hAnsi="Times New Roman" w:cs="Times New Roman"/>
          <w:b/>
          <w:sz w:val="22"/>
          <w:szCs w:val="22"/>
          <w:lang w:val="pt-BR"/>
        </w:rPr>
        <w:t>4.</w:t>
      </w:r>
      <w:r w:rsidRPr="00DC3994">
        <w:rPr>
          <w:rFonts w:ascii="Times New Roman" w:hAnsi="Times New Roman" w:cs="Times New Roman"/>
          <w:b/>
          <w:sz w:val="22"/>
          <w:szCs w:val="22"/>
          <w:lang w:val="pt-BR"/>
        </w:rPr>
        <w:tab/>
        <w:t xml:space="preserve">Galimas šalutinis poveikis </w:t>
      </w:r>
      <w:bookmarkEnd w:id="6"/>
      <w:bookmarkEnd w:id="7"/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pt-BR"/>
        </w:rPr>
        <w:t>Šis vaistas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>, kaip ir kiti, gali sukelti šalutinį poveikį, nors jis pasireškia ne visiems žmonėms.</w:t>
      </w:r>
    </w:p>
    <w:p w:rsidR="00A303AF" w:rsidRPr="00DC3994" w:rsidRDefault="00A303AF" w:rsidP="00A303AF">
      <w:pPr>
        <w:tabs>
          <w:tab w:val="left" w:pos="567"/>
        </w:tabs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</w:pPr>
    </w:p>
    <w:p w:rsidR="00A303AF" w:rsidRPr="00DC3994" w:rsidRDefault="00A303AF" w:rsidP="00A303AF">
      <w:pPr>
        <w:tabs>
          <w:tab w:val="left" w:pos="567"/>
        </w:tabs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Klinikinių tyrimų metu 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ir vaistui jau esant rinkoje </w:t>
      </w: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gauta pranešimų apie šiuos šalutinius poveikius:</w:t>
      </w:r>
    </w:p>
    <w:p w:rsidR="00A303AF" w:rsidRPr="00EC16CE" w:rsidRDefault="00A303AF" w:rsidP="00A303AF">
      <w:pPr>
        <w:tabs>
          <w:tab w:val="left" w:pos="567"/>
        </w:tabs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>Dažnas</w:t>
      </w: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(gali pasireikšti 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nerečiau</w:t>
      </w: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kaip 1 iš 100 žmonių): </w:t>
      </w:r>
    </w:p>
    <w:p w:rsidR="00A303AF" w:rsidRPr="00EC16CE" w:rsidRDefault="00A303AF" w:rsidP="00A303AF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mieguistumas (somnolencija), </w:t>
      </w:r>
    </w:p>
    <w:p w:rsidR="00A303AF" w:rsidRPr="00EC16CE" w:rsidRDefault="00A303AF" w:rsidP="00A303AF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pykinimas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;</w:t>
      </w:r>
    </w:p>
    <w:p w:rsidR="00A303AF" w:rsidRPr="00EC16CE" w:rsidRDefault="00A303AF" w:rsidP="00A303AF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padidėjęs kūno svoris.</w:t>
      </w:r>
    </w:p>
    <w:p w:rsidR="00A303AF" w:rsidRDefault="00A303AF" w:rsidP="00A303AF">
      <w:pPr>
        <w:tabs>
          <w:tab w:val="left" w:pos="567"/>
        </w:tabs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</w:pPr>
    </w:p>
    <w:p w:rsidR="00A303AF" w:rsidRDefault="00A303AF" w:rsidP="00A303AF">
      <w:pPr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>Nedažnas</w:t>
      </w: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(gali pasireikšti 1 iš 100 žmonių): 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pailgėjusi miego trukmė </w:t>
      </w: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(hipersomnija), vėmimas,viršutinės pilvo dalies skausmas, nevirškinimas (dispepsija), padidėjęs prakaitavimas (hiperhidrozė), nuovargis.</w:t>
      </w:r>
    </w:p>
    <w:p w:rsidR="00A303AF" w:rsidRPr="00666774" w:rsidRDefault="00A303AF" w:rsidP="00A303AF">
      <w:pPr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</w:pPr>
    </w:p>
    <w:p w:rsidR="00A303AF" w:rsidRPr="00DC3994" w:rsidRDefault="00A303AF" w:rsidP="00A303AF">
      <w:pPr>
        <w:tabs>
          <w:tab w:val="left" w:pos="567"/>
        </w:tabs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</w:p>
    <w:p w:rsidR="00A303AF" w:rsidRPr="00DC3994" w:rsidRDefault="00A303AF" w:rsidP="00A303AF">
      <w:pPr>
        <w:tabs>
          <w:tab w:val="left" w:pos="567"/>
        </w:tabs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Vaistui jau esant rinkoje, gauta pranešimų apie šiuos </w:t>
      </w:r>
      <w:r w:rsidRPr="00DC3994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>labai retus</w:t>
      </w: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(gali pasireikšti 1 iš 10 000 žmonių) šalutinius poveikius:</w:t>
      </w:r>
    </w:p>
    <w:p w:rsidR="00A303AF" w:rsidRDefault="00A303AF" w:rsidP="00A303AF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nevalingi (raumenų) judesiai (diskinezija, ekstrapiramidiniai sutrikimai, parkinsonizmas, tremoras);</w:t>
      </w:r>
    </w:p>
    <w:p w:rsidR="00A303AF" w:rsidRPr="00DC3994" w:rsidRDefault="00A303AF" w:rsidP="00A303AF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odos ir akių pageltimas (cholestazinė gelta);</w:t>
      </w:r>
    </w:p>
    <w:p w:rsidR="00A303AF" w:rsidRPr="004B5947" w:rsidRDefault="00A303AF" w:rsidP="00A303AF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  <w:r w:rsidRPr="004B5947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odos pažeidimai (l</w:t>
      </w:r>
      <w:r w:rsidRPr="004B5947">
        <w:rPr>
          <w:rFonts w:ascii="Times New Roman" w:hAnsi="Times New Roman" w:cs="Times New Roman"/>
          <w:noProof/>
          <w:snapToGrid w:val="0"/>
          <w:sz w:val="22"/>
          <w:szCs w:val="24"/>
          <w:lang w:val="pt-BR"/>
        </w:rPr>
        <w:t>ichenoidinė keratozė, plokščioji kerpligė, poūmė odos raudonoji vilkligė</w:t>
      </w:r>
      <w:r w:rsidRPr="004B5947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);</w:t>
      </w:r>
    </w:p>
    <w:p w:rsidR="00A303AF" w:rsidRDefault="00A303AF" w:rsidP="00A303AF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raumenų sustingimas. </w:t>
      </w:r>
    </w:p>
    <w:p w:rsidR="00A303AF" w:rsidRPr="00DC3994" w:rsidRDefault="00A303AF" w:rsidP="00A303AF">
      <w:pPr>
        <w:tabs>
          <w:tab w:val="left" w:pos="567"/>
        </w:tabs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</w:p>
    <w:p w:rsidR="00A303AF" w:rsidRPr="001968C3" w:rsidRDefault="00A303AF" w:rsidP="00A303AF">
      <w:pPr>
        <w:tabs>
          <w:tab w:val="left" w:pos="567"/>
        </w:tabs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</w:p>
    <w:p w:rsidR="00A303AF" w:rsidRPr="00DC3994" w:rsidRDefault="00A303AF" w:rsidP="00A303AF">
      <w:pPr>
        <w:tabs>
          <w:tab w:val="left" w:pos="567"/>
        </w:tabs>
        <w:rPr>
          <w:rFonts w:ascii="Times New Roman" w:hAnsi="Times New Roman" w:cs="Times New Roman"/>
          <w:b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>Pranešimas apie šalutinį poveikį</w:t>
      </w:r>
    </w:p>
    <w:p w:rsidR="00A303AF" w:rsidRPr="00DC3994" w:rsidRDefault="00A303AF" w:rsidP="00A303AF">
      <w:pPr>
        <w:tabs>
          <w:tab w:val="left" w:pos="567"/>
        </w:tabs>
        <w:spacing w:line="260" w:lineRule="exact"/>
        <w:ind w:right="-449"/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  <w:r w:rsidRPr="00DC3994">
        <w:rPr>
          <w:rFonts w:ascii="Times New Roman" w:hAnsi="Times New Roman" w:cs="Times New Roman"/>
          <w:snapToGrid w:val="0"/>
          <w:sz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DC3994">
        <w:rPr>
          <w:rFonts w:ascii="Times New Roman" w:hAnsi="Times New Roman" w:cs="Times New Roman"/>
          <w:snapToGrid w:val="0"/>
          <w:sz w:val="22"/>
          <w:lang w:val="lt-LT" w:eastAsia="zh-CN"/>
        </w:rPr>
        <w:t>elefonu 8 800 73568</w:t>
      </w:r>
      <w:r w:rsidRPr="00DC3994">
        <w:rPr>
          <w:rFonts w:ascii="Times New Roman" w:hAnsi="Times New Roman" w:cs="Times New Roman"/>
          <w:snapToGrid w:val="0"/>
          <w:sz w:val="22"/>
          <w:lang w:val="lt-LT"/>
        </w:rPr>
        <w:t xml:space="preserve"> arba užpildyti interneto svetainėje </w:t>
      </w:r>
      <w:hyperlink r:id="rId5" w:history="1">
        <w:r w:rsidRPr="00DC3994">
          <w:rPr>
            <w:rFonts w:ascii="Times New Roman" w:eastAsia="SimSun" w:hAnsi="Times New Roman" w:cs="Times New Roman"/>
            <w:snapToGrid w:val="0"/>
            <w:color w:val="0000FF"/>
            <w:sz w:val="22"/>
            <w:u w:val="single"/>
            <w:lang w:val="lt-LT"/>
          </w:rPr>
          <w:t>www.vvkt.lt</w:t>
        </w:r>
      </w:hyperlink>
      <w:r w:rsidRPr="00DC3994">
        <w:rPr>
          <w:rFonts w:ascii="Times New Roman" w:hAnsi="Times New Roman" w:cs="Times New Roman"/>
          <w:snapToGrid w:val="0"/>
          <w:sz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C3994">
        <w:rPr>
          <w:rFonts w:ascii="Times New Roman" w:hAnsi="Times New Roman" w:cs="Times New Roman"/>
          <w:snapToGrid w:val="0"/>
          <w:sz w:val="22"/>
          <w:lang w:val="lt-LT" w:eastAsia="zh-CN"/>
        </w:rPr>
        <w:t xml:space="preserve">nemokamu </w:t>
      </w:r>
      <w:r w:rsidRPr="00DC3994">
        <w:rPr>
          <w:rFonts w:ascii="Times New Roman" w:hAnsi="Times New Roman" w:cs="Times New Roman"/>
          <w:snapToGrid w:val="0"/>
          <w:sz w:val="22"/>
          <w:lang w:val="lt-LT"/>
        </w:rPr>
        <w:t>fakso numeriu 8 800 20131</w:t>
      </w:r>
      <w:r w:rsidRPr="00DC3994">
        <w:rPr>
          <w:rFonts w:ascii="Times New Roman" w:hAnsi="Times New Roman" w:cs="Times New Roman"/>
          <w:snapToGrid w:val="0"/>
          <w:sz w:val="22"/>
          <w:lang w:val="lt-LT" w:eastAsia="zh-CN"/>
        </w:rPr>
        <w:t xml:space="preserve">, </w:t>
      </w:r>
      <w:r w:rsidRPr="00DC3994">
        <w:rPr>
          <w:rFonts w:ascii="Times New Roman" w:hAnsi="Times New Roman" w:cs="Times New Roman"/>
          <w:snapToGrid w:val="0"/>
          <w:sz w:val="22"/>
          <w:lang w:val="lt-LT"/>
        </w:rPr>
        <w:t xml:space="preserve">el. paštu </w:t>
      </w:r>
      <w:hyperlink r:id="rId6" w:history="1">
        <w:r w:rsidRPr="00DC3994">
          <w:rPr>
            <w:rFonts w:ascii="Times New Roman" w:eastAsia="SimSun" w:hAnsi="Times New Roman" w:cs="Times New Roman"/>
            <w:snapToGrid w:val="0"/>
            <w:color w:val="0000FF"/>
            <w:sz w:val="22"/>
            <w:u w:val="single"/>
            <w:lang w:val="lt-LT"/>
          </w:rPr>
          <w:t>NepageidaujamaR@vvkt.lt</w:t>
        </w:r>
      </w:hyperlink>
      <w:r w:rsidRPr="00DC3994">
        <w:rPr>
          <w:rFonts w:ascii="Times New Roman" w:hAnsi="Times New Roman" w:cs="Times New Roman"/>
          <w:snapToGrid w:val="0"/>
          <w:sz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C3994">
          <w:rPr>
            <w:rFonts w:ascii="Times New Roman" w:eastAsia="SimSun" w:hAnsi="Times New Roman" w:cs="Times New Roman"/>
            <w:snapToGrid w:val="0"/>
            <w:color w:val="0000FF"/>
            <w:sz w:val="22"/>
            <w:u w:val="single"/>
            <w:lang w:val="lt-LT"/>
          </w:rPr>
          <w:t>http://www.vvkt.lt</w:t>
        </w:r>
      </w:hyperlink>
      <w:r w:rsidRPr="00DC3994">
        <w:rPr>
          <w:rFonts w:ascii="Times New Roman" w:hAnsi="Times New Roman" w:cs="Times New Roman"/>
          <w:snapToGrid w:val="0"/>
          <w:sz w:val="22"/>
          <w:lang w:val="lt-LT"/>
        </w:rPr>
        <w:t>). Pranešdami apie šalutinį poveikį galite mums padėti gauti daugiau informacijos apie šio vaisto saugumą.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keepNext/>
        <w:tabs>
          <w:tab w:val="left" w:pos="567"/>
        </w:tabs>
        <w:outlineLvl w:val="1"/>
        <w:rPr>
          <w:rFonts w:ascii="Times New Roman" w:hAnsi="Times New Roman" w:cs="Times New Roman"/>
          <w:b/>
          <w:sz w:val="22"/>
          <w:szCs w:val="22"/>
          <w:lang w:val="pt-BR"/>
        </w:rPr>
      </w:pPr>
      <w:bookmarkStart w:id="8" w:name="_Toc129243143"/>
      <w:bookmarkStart w:id="9" w:name="_Toc129243268"/>
      <w:r w:rsidRPr="00DC3994">
        <w:rPr>
          <w:rFonts w:ascii="Times New Roman" w:hAnsi="Times New Roman" w:cs="Times New Roman"/>
          <w:b/>
          <w:sz w:val="22"/>
          <w:szCs w:val="22"/>
          <w:lang w:val="pt-BR"/>
        </w:rPr>
        <w:t>5.</w:t>
      </w:r>
      <w:r w:rsidRPr="00DC3994">
        <w:rPr>
          <w:rFonts w:ascii="Times New Roman" w:hAnsi="Times New Roman" w:cs="Times New Roman"/>
          <w:b/>
          <w:sz w:val="22"/>
          <w:szCs w:val="22"/>
          <w:lang w:val="pt-BR"/>
        </w:rPr>
        <w:tab/>
        <w:t xml:space="preserve">Kaip laikyti </w:t>
      </w:r>
      <w:bookmarkEnd w:id="8"/>
      <w:bookmarkEnd w:id="9"/>
      <w:r w:rsidRPr="00DC3994">
        <w:rPr>
          <w:rFonts w:ascii="Times New Roman" w:hAnsi="Times New Roman" w:cs="Times New Roman"/>
          <w:b/>
          <w:sz w:val="22"/>
          <w:szCs w:val="22"/>
          <w:lang w:val="pt-BR"/>
        </w:rPr>
        <w:t>STUGERON</w:t>
      </w:r>
    </w:p>
    <w:p w:rsidR="00A303AF" w:rsidRPr="00DC3994" w:rsidRDefault="00A303AF" w:rsidP="00A303AF">
      <w:pPr>
        <w:rPr>
          <w:rFonts w:ascii="Times New Roman" w:hAnsi="Times New Roman" w:cs="Times New Roman"/>
          <w:noProof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noProof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noProof/>
          <w:sz w:val="22"/>
          <w:szCs w:val="22"/>
          <w:lang w:val="pt-BR"/>
        </w:rPr>
        <w:t>Šį vaistą laikykite vaikams nepastebimoje ir nepasiekiamoje vietoje.</w:t>
      </w:r>
    </w:p>
    <w:p w:rsidR="00A303AF" w:rsidRPr="00DC3994" w:rsidRDefault="00A303AF" w:rsidP="00A303AF">
      <w:pPr>
        <w:rPr>
          <w:rFonts w:ascii="Times New Roman" w:hAnsi="Times New Roman" w:cs="Times New Roman"/>
          <w:noProof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noProof/>
          <w:sz w:val="22"/>
          <w:szCs w:val="22"/>
          <w:lang w:val="pt-BR"/>
        </w:rPr>
        <w:t>Šiam vaistui specialių laikymo sąlygų nereikia.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Ant dėžutės po {Tinka iki</w:t>
      </w:r>
      <w:r w:rsidRPr="00DC3994" w:rsidDel="00692B9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>} ir lizdinės plokštelės nurodytam tinkamumo laikui pasibaigus, šio vaisto vartoti negalima. Vaistas tinkamas vartoti iki paskutinės nurodyto mėnesio dienos.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Vaistų negalima išmesti į kanalizaciją arba su buitinėmis atliekomis. Kaip išmesti nereikalingus vaistus, klauskite vaistininko. Šios priemonės padės apsaugoti aplinką.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keepNext/>
        <w:tabs>
          <w:tab w:val="left" w:pos="567"/>
        </w:tabs>
        <w:outlineLvl w:val="1"/>
        <w:rPr>
          <w:rFonts w:ascii="Times New Roman" w:hAnsi="Times New Roman" w:cs="Times New Roman"/>
          <w:b/>
          <w:sz w:val="22"/>
          <w:szCs w:val="22"/>
          <w:lang w:val="es-ES_tradnl"/>
        </w:rPr>
      </w:pPr>
      <w:bookmarkStart w:id="10" w:name="_Toc129243144"/>
      <w:bookmarkStart w:id="11" w:name="_Toc129243269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6.</w:t>
      </w:r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ab/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Pakuotės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turinys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ir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kita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>informacija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 </w:t>
      </w:r>
      <w:bookmarkEnd w:id="10"/>
      <w:bookmarkEnd w:id="11"/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es-ES_tradnl"/>
        </w:rPr>
      </w:pPr>
    </w:p>
    <w:p w:rsidR="00A303AF" w:rsidRPr="00DC3994" w:rsidRDefault="00A303AF" w:rsidP="00A303AF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DC3994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STUGERON </w:t>
      </w:r>
      <w:proofErr w:type="spellStart"/>
      <w:r w:rsidRPr="00DC3994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sudėtis</w:t>
      </w:r>
      <w:proofErr w:type="spellEnd"/>
    </w:p>
    <w:p w:rsidR="00A303AF" w:rsidRPr="00DC3994" w:rsidRDefault="00A303AF" w:rsidP="00A303AF">
      <w:pPr>
        <w:spacing w:after="120"/>
        <w:rPr>
          <w:rFonts w:ascii="Times New Roman" w:hAnsi="Times New Roman" w:cs="Times New Roman"/>
          <w:bCs/>
          <w:sz w:val="22"/>
          <w:szCs w:val="22"/>
          <w:lang w:val="da-DK" w:eastAsia="lt-LT"/>
        </w:rPr>
      </w:pPr>
      <w:r w:rsidRPr="00DC3994">
        <w:rPr>
          <w:rFonts w:ascii="Times New Roman" w:hAnsi="Times New Roman" w:cs="Times New Roman"/>
          <w:bCs/>
          <w:sz w:val="22"/>
          <w:szCs w:val="22"/>
          <w:lang w:val="es-ES_tradnl" w:eastAsia="lt-LT"/>
        </w:rPr>
        <w:t xml:space="preserve">-      </w:t>
      </w:r>
      <w:proofErr w:type="spellStart"/>
      <w:r w:rsidRPr="00DC3994">
        <w:rPr>
          <w:rFonts w:ascii="Times New Roman" w:hAnsi="Times New Roman" w:cs="Times New Roman"/>
          <w:bCs/>
          <w:sz w:val="22"/>
          <w:szCs w:val="22"/>
          <w:lang w:val="es-ES_tradnl" w:eastAsia="lt-LT"/>
        </w:rPr>
        <w:t>Veiklioji</w:t>
      </w:r>
      <w:proofErr w:type="spellEnd"/>
      <w:r w:rsidRPr="00DC3994">
        <w:rPr>
          <w:rFonts w:ascii="Times New Roman" w:hAnsi="Times New Roman" w:cs="Times New Roman"/>
          <w:bCs/>
          <w:sz w:val="22"/>
          <w:szCs w:val="22"/>
          <w:lang w:val="es-ES_tradnl" w:eastAsia="lt-LT"/>
        </w:rPr>
        <w:t xml:space="preserve"> </w:t>
      </w:r>
      <w:proofErr w:type="spellStart"/>
      <w:r w:rsidRPr="00DC3994">
        <w:rPr>
          <w:rFonts w:ascii="Times New Roman" w:hAnsi="Times New Roman" w:cs="Times New Roman"/>
          <w:bCs/>
          <w:sz w:val="22"/>
          <w:szCs w:val="22"/>
          <w:lang w:val="es-ES_tradnl" w:eastAsia="lt-LT"/>
        </w:rPr>
        <w:t>medžiaga</w:t>
      </w:r>
      <w:proofErr w:type="spellEnd"/>
      <w:r w:rsidRPr="00DC3994">
        <w:rPr>
          <w:rFonts w:ascii="Times New Roman" w:hAnsi="Times New Roman" w:cs="Times New Roman"/>
          <w:bCs/>
          <w:sz w:val="22"/>
          <w:szCs w:val="22"/>
          <w:lang w:val="es-ES_tradnl" w:eastAsia="lt-LT"/>
        </w:rPr>
        <w:t xml:space="preserve"> </w:t>
      </w:r>
      <w:proofErr w:type="spellStart"/>
      <w:r w:rsidRPr="00DC3994">
        <w:rPr>
          <w:rFonts w:ascii="Times New Roman" w:hAnsi="Times New Roman" w:cs="Times New Roman"/>
          <w:bCs/>
          <w:sz w:val="22"/>
          <w:szCs w:val="22"/>
          <w:lang w:val="es-ES_tradnl" w:eastAsia="lt-LT"/>
        </w:rPr>
        <w:t>yra</w:t>
      </w:r>
      <w:proofErr w:type="spellEnd"/>
      <w:r w:rsidRPr="00DC3994">
        <w:rPr>
          <w:rFonts w:ascii="Times New Roman" w:hAnsi="Times New Roman" w:cs="Times New Roman"/>
          <w:bCs/>
          <w:sz w:val="22"/>
          <w:szCs w:val="22"/>
          <w:lang w:val="es-ES_tradnl" w:eastAsia="lt-LT"/>
        </w:rPr>
        <w:t xml:space="preserve"> </w:t>
      </w:r>
      <w:proofErr w:type="spellStart"/>
      <w:r w:rsidRPr="00DC3994">
        <w:rPr>
          <w:rFonts w:ascii="Times New Roman" w:hAnsi="Times New Roman" w:cs="Times New Roman"/>
          <w:bCs/>
          <w:sz w:val="22"/>
          <w:szCs w:val="22"/>
          <w:lang w:val="es-ES_tradnl" w:eastAsia="lt-LT"/>
        </w:rPr>
        <w:t>cinarizinas</w:t>
      </w:r>
      <w:proofErr w:type="spellEnd"/>
      <w:r w:rsidRPr="00DC3994">
        <w:rPr>
          <w:rFonts w:ascii="Times New Roman" w:hAnsi="Times New Roman" w:cs="Times New Roman"/>
          <w:bCs/>
          <w:sz w:val="22"/>
          <w:szCs w:val="22"/>
          <w:lang w:val="es-ES_tradnl" w:eastAsia="lt-LT"/>
        </w:rPr>
        <w:t xml:space="preserve">. </w:t>
      </w:r>
      <w:r w:rsidRPr="00DC3994">
        <w:rPr>
          <w:rFonts w:ascii="Times New Roman" w:hAnsi="Times New Roman" w:cs="Times New Roman"/>
          <w:bCs/>
          <w:sz w:val="22"/>
          <w:szCs w:val="22"/>
          <w:lang w:val="da-DK" w:eastAsia="lt-LT"/>
        </w:rPr>
        <w:t>Vienoje tabletėje jo yra 25 mg.</w:t>
      </w:r>
    </w:p>
    <w:p w:rsidR="00A303AF" w:rsidRPr="00DC3994" w:rsidRDefault="00A303AF" w:rsidP="00A303A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da-DK"/>
        </w:rPr>
        <w:t xml:space="preserve">-   </w:t>
      </w:r>
      <w:r w:rsidRPr="00DC3994">
        <w:rPr>
          <w:rFonts w:ascii="Times New Roman" w:hAnsi="Times New Roman" w:cs="Times New Roman"/>
          <w:sz w:val="22"/>
          <w:szCs w:val="22"/>
          <w:lang w:val="pt-BR"/>
        </w:rPr>
        <w:t xml:space="preserve">Pagalbinės medžiagos yra bevandenis koloidinis silicio dioksidas, bulvių krakmolas, magnio stearatas, povidonas, talkas, kukurūzų krakmolas, laktozė monohidratas. 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u w:val="single"/>
          <w:lang w:val="da-DK"/>
        </w:rPr>
      </w:pPr>
    </w:p>
    <w:p w:rsidR="00A303AF" w:rsidRPr="00DC3994" w:rsidRDefault="00A303AF" w:rsidP="00A303AF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/>
          <w:bCs/>
          <w:sz w:val="22"/>
          <w:szCs w:val="22"/>
          <w:lang w:val="pt-BR"/>
        </w:rPr>
        <w:lastRenderedPageBreak/>
        <w:t>STUGERON išvaizda ir kiekis pakuotėje</w:t>
      </w:r>
    </w:p>
    <w:p w:rsidR="00A303AF" w:rsidRPr="00350B19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 xml:space="preserve">STUGERON tabletės yra beveik baltos, disko formos, plokščios, nuožulniomis briaunomis, vienoje pusėje yra įspaustas simbolis “STUGERON”, kitoje – laužimo linijos </w:t>
      </w:r>
      <w:r w:rsidRPr="00350B19">
        <w:rPr>
          <w:rFonts w:ascii="Times New Roman" w:hAnsi="Times New Roman" w:cs="Times New Roman"/>
          <w:sz w:val="22"/>
          <w:szCs w:val="22"/>
          <w:lang w:val="pt-BR"/>
        </w:rPr>
        <w:t>žymė.</w:t>
      </w:r>
      <w:r w:rsidRPr="00EC16CE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Tabletę galima padalyti į lygias dozes.</w:t>
      </w:r>
    </w:p>
    <w:p w:rsidR="00A303AF" w:rsidRPr="00DC3994" w:rsidRDefault="00A303AF" w:rsidP="00A303A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 xml:space="preserve">25 tabletės supakuotos į  lizdines plokšteles. Kartoninėje dėžutėje yra dvi lizdinės plokštelės. 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b/>
          <w:bCs/>
          <w:sz w:val="22"/>
          <w:szCs w:val="22"/>
          <w:lang w:val="pt-BR"/>
        </w:rPr>
        <w:t>Registruotojas ir gamintojas</w:t>
      </w:r>
    </w:p>
    <w:p w:rsidR="00A303AF" w:rsidRPr="00DC3994" w:rsidRDefault="00A303AF" w:rsidP="00A303AF">
      <w:pPr>
        <w:ind w:right="28"/>
        <w:rPr>
          <w:rFonts w:ascii="Times New Roman" w:eastAsia="Arial Unicode MS" w:hAnsi="Times New Roman" w:cs="Times New Roman"/>
          <w:noProof/>
          <w:sz w:val="22"/>
          <w:szCs w:val="22"/>
          <w:lang w:val="de-DE"/>
        </w:rPr>
      </w:pPr>
      <w:r w:rsidRPr="00DC3994">
        <w:rPr>
          <w:rFonts w:ascii="Times New Roman" w:eastAsia="Arial Unicode MS" w:hAnsi="Times New Roman" w:cs="Times New Roman"/>
          <w:noProof/>
          <w:sz w:val="22"/>
          <w:szCs w:val="22"/>
          <w:lang w:val="de-DE"/>
        </w:rPr>
        <w:t>Gedeon Richter Plc.,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DC3994">
        <w:rPr>
          <w:rFonts w:ascii="Times New Roman" w:hAnsi="Times New Roman" w:cs="Times New Roman"/>
          <w:sz w:val="22"/>
          <w:szCs w:val="22"/>
          <w:lang w:val="de-DE"/>
        </w:rPr>
        <w:t>Gyömröi</w:t>
      </w:r>
      <w:proofErr w:type="spellEnd"/>
      <w:r w:rsidRPr="00DC3994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DC3994">
        <w:rPr>
          <w:rFonts w:ascii="Times New Roman" w:hAnsi="Times New Roman" w:cs="Times New Roman"/>
          <w:sz w:val="22"/>
          <w:szCs w:val="22"/>
          <w:lang w:val="de-DE"/>
        </w:rPr>
        <w:t>út</w:t>
      </w:r>
      <w:proofErr w:type="spellEnd"/>
      <w:r w:rsidRPr="00DC3994">
        <w:rPr>
          <w:rFonts w:ascii="Times New Roman" w:hAnsi="Times New Roman" w:cs="Times New Roman"/>
          <w:sz w:val="22"/>
          <w:szCs w:val="22"/>
          <w:lang w:val="de-DE"/>
        </w:rPr>
        <w:t xml:space="preserve"> 19-21, 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 xml:space="preserve">1103 Budapest, 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Vengrija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C3994">
        <w:rPr>
          <w:rFonts w:ascii="Times New Roman" w:hAnsi="Times New Roman" w:cs="Times New Roman"/>
          <w:sz w:val="22"/>
          <w:szCs w:val="22"/>
          <w:lang w:val="pt-BR"/>
        </w:rPr>
        <w:t>Jeigu apie šį vaistą norite sužinoti daugiau, kreipkitės į vietinį registruotojo atstovą.</w:t>
      </w:r>
    </w:p>
    <w:p w:rsidR="00A303AF" w:rsidRPr="00DC3994" w:rsidRDefault="00A303AF" w:rsidP="00A303AF">
      <w:pPr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DC3994">
        <w:rPr>
          <w:rFonts w:ascii="Times New Roman" w:hAnsi="Times New Roman" w:cs="Times New Roman"/>
          <w:sz w:val="22"/>
          <w:szCs w:val="22"/>
          <w:lang w:val="de-DE"/>
        </w:rPr>
        <w:t xml:space="preserve">Gedeon Richter </w:t>
      </w:r>
      <w:proofErr w:type="spellStart"/>
      <w:r w:rsidRPr="00DC3994">
        <w:rPr>
          <w:rFonts w:ascii="Times New Roman" w:hAnsi="Times New Roman" w:cs="Times New Roman"/>
          <w:sz w:val="22"/>
          <w:szCs w:val="22"/>
          <w:lang w:val="de-DE"/>
        </w:rPr>
        <w:t>Plc</w:t>
      </w:r>
      <w:proofErr w:type="spellEnd"/>
      <w:r w:rsidRPr="00DC3994">
        <w:rPr>
          <w:rFonts w:ascii="Times New Roman" w:hAnsi="Times New Roman" w:cs="Times New Roman"/>
          <w:sz w:val="22"/>
          <w:szCs w:val="22"/>
          <w:lang w:val="de-DE"/>
        </w:rPr>
        <w:t xml:space="preserve">. </w:t>
      </w:r>
      <w:proofErr w:type="spellStart"/>
      <w:r w:rsidRPr="00DC3994">
        <w:rPr>
          <w:rFonts w:ascii="Times New Roman" w:hAnsi="Times New Roman" w:cs="Times New Roman"/>
          <w:sz w:val="22"/>
          <w:szCs w:val="22"/>
          <w:lang w:val="de-DE"/>
        </w:rPr>
        <w:t>atstovybė</w:t>
      </w:r>
      <w:proofErr w:type="spellEnd"/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DC3994">
        <w:rPr>
          <w:rFonts w:ascii="Times New Roman" w:hAnsi="Times New Roman" w:cs="Times New Roman"/>
          <w:sz w:val="22"/>
          <w:szCs w:val="22"/>
          <w:lang w:val="de-DE"/>
        </w:rPr>
        <w:t>Maironio</w:t>
      </w:r>
      <w:proofErr w:type="spellEnd"/>
      <w:r w:rsidRPr="00DC3994">
        <w:rPr>
          <w:rFonts w:ascii="Times New Roman" w:hAnsi="Times New Roman" w:cs="Times New Roman"/>
          <w:sz w:val="22"/>
          <w:szCs w:val="22"/>
          <w:lang w:val="de-DE"/>
        </w:rPr>
        <w:t xml:space="preserve"> 23-3,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DC3994">
        <w:rPr>
          <w:rFonts w:ascii="Times New Roman" w:hAnsi="Times New Roman" w:cs="Times New Roman"/>
          <w:sz w:val="22"/>
          <w:szCs w:val="22"/>
          <w:lang w:val="de-DE"/>
        </w:rPr>
        <w:t xml:space="preserve">Vilnius 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DC3994">
        <w:rPr>
          <w:rFonts w:ascii="Times New Roman" w:hAnsi="Times New Roman" w:cs="Times New Roman"/>
          <w:sz w:val="22"/>
          <w:szCs w:val="22"/>
          <w:lang w:val="de-DE"/>
        </w:rPr>
        <w:t>Tel. +370 5 268 53 92</w:t>
      </w:r>
    </w:p>
    <w:p w:rsidR="00A303AF" w:rsidRPr="00DC3994" w:rsidRDefault="00A303AF" w:rsidP="00A303AF">
      <w:pPr>
        <w:rPr>
          <w:rFonts w:ascii="Times New Roman" w:hAnsi="Times New Roman" w:cs="Times New Roman"/>
          <w:sz w:val="22"/>
          <w:szCs w:val="22"/>
          <w:lang w:val="de-DE"/>
        </w:rPr>
      </w:pPr>
    </w:p>
    <w:p w:rsidR="00A303AF" w:rsidRPr="00DC3994" w:rsidRDefault="00A303AF" w:rsidP="00A303AF">
      <w:pPr>
        <w:rPr>
          <w:rFonts w:ascii="Times New Roman" w:hAnsi="Times New Roman" w:cs="Times New Roman"/>
          <w:b/>
          <w:sz w:val="22"/>
          <w:szCs w:val="22"/>
          <w:lang w:val="de-DE"/>
        </w:rPr>
      </w:pPr>
      <w:proofErr w:type="spellStart"/>
      <w:r w:rsidRPr="00DC3994">
        <w:rPr>
          <w:rFonts w:ascii="Times New Roman" w:hAnsi="Times New Roman" w:cs="Times New Roman"/>
          <w:b/>
          <w:bCs/>
          <w:sz w:val="22"/>
          <w:szCs w:val="22"/>
          <w:lang w:val="de-DE"/>
        </w:rPr>
        <w:t>Šis</w:t>
      </w:r>
      <w:proofErr w:type="spellEnd"/>
      <w:r w:rsidRPr="00DC3994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bCs/>
          <w:sz w:val="22"/>
          <w:szCs w:val="22"/>
          <w:lang w:val="de-DE"/>
        </w:rPr>
        <w:t>pakuotės</w:t>
      </w:r>
      <w:proofErr w:type="spellEnd"/>
      <w:r w:rsidRPr="00DC3994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bCs/>
          <w:sz w:val="22"/>
          <w:szCs w:val="22"/>
          <w:lang w:val="de-DE"/>
        </w:rPr>
        <w:t>lapelis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de-DE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de-DE"/>
        </w:rPr>
        <w:t>paskutinį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de-DE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de-DE"/>
        </w:rPr>
        <w:t>kartą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de-DE"/>
        </w:rPr>
        <w:t xml:space="preserve"> </w:t>
      </w:r>
      <w:proofErr w:type="spellStart"/>
      <w:r w:rsidRPr="00DC3994">
        <w:rPr>
          <w:rFonts w:ascii="Times New Roman" w:hAnsi="Times New Roman" w:cs="Times New Roman"/>
          <w:b/>
          <w:sz w:val="22"/>
          <w:szCs w:val="22"/>
          <w:lang w:val="de-DE"/>
        </w:rPr>
        <w:t>peržiūrėtas</w:t>
      </w:r>
      <w:proofErr w:type="spellEnd"/>
      <w:r w:rsidRPr="00DC3994">
        <w:rPr>
          <w:rFonts w:ascii="Times New Roman" w:hAnsi="Times New Roman" w:cs="Times New Roman"/>
          <w:b/>
          <w:sz w:val="22"/>
          <w:szCs w:val="22"/>
          <w:lang w:val="de-D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de-DE"/>
        </w:rPr>
        <w:t>2020-12-29.</w:t>
      </w:r>
    </w:p>
    <w:p w:rsidR="00A303AF" w:rsidRPr="00EC16CE" w:rsidRDefault="00A303AF" w:rsidP="00A303AF">
      <w:pPr>
        <w:pStyle w:val="Pagrindinistekstas"/>
        <w:rPr>
          <w:sz w:val="22"/>
          <w:szCs w:val="22"/>
        </w:rPr>
      </w:pPr>
    </w:p>
    <w:p w:rsidR="00A303AF" w:rsidRDefault="00A303AF" w:rsidP="00A303AF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snapToGrid w:val="0"/>
          <w:sz w:val="22"/>
          <w:lang w:val="lt-LT"/>
        </w:rPr>
      </w:pPr>
      <w:r w:rsidRPr="00DC3994">
        <w:rPr>
          <w:rFonts w:ascii="Times New Roman" w:hAnsi="Times New Roman" w:cs="Times New Roman"/>
          <w:snapToGrid w:val="0"/>
          <w:sz w:val="22"/>
          <w:lang w:val="lt-LT"/>
        </w:rPr>
        <w:t xml:space="preserve">Išsami informacija apie šį </w:t>
      </w:r>
      <w:r w:rsidRPr="00DC3994">
        <w:rPr>
          <w:rFonts w:ascii="Times New Roman" w:hAnsi="Times New Roman" w:cs="Times New Roman"/>
          <w:snapToGrid w:val="0"/>
          <w:sz w:val="22"/>
          <w:szCs w:val="24"/>
          <w:lang w:val="lt-LT"/>
        </w:rPr>
        <w:t>vaistą</w:t>
      </w:r>
      <w:r w:rsidRPr="00DC3994">
        <w:rPr>
          <w:rFonts w:ascii="Times New Roman" w:hAnsi="Times New Roman" w:cs="Times New Roman"/>
          <w:snapToGrid w:val="0"/>
          <w:sz w:val="22"/>
          <w:lang w:val="lt-LT"/>
        </w:rPr>
        <w:t xml:space="preserve"> pateikiama Valstybinės vaistų kontrolės tarnybos prie Lietuvos Respublikos sveikatos apsaugos ministerijos tinklalapyje</w:t>
      </w:r>
      <w:r w:rsidRPr="00DC3994">
        <w:rPr>
          <w:rFonts w:ascii="Times New Roman" w:hAnsi="Times New Roman" w:cs="Times New Roman"/>
          <w:i/>
          <w:snapToGrid w:val="0"/>
          <w:sz w:val="22"/>
          <w:szCs w:val="24"/>
          <w:lang w:val="lt-LT"/>
        </w:rPr>
        <w:t xml:space="preserve"> </w:t>
      </w:r>
      <w:hyperlink r:id="rId8" w:history="1">
        <w:r w:rsidRPr="00DC3994">
          <w:rPr>
            <w:rFonts w:ascii="Times New Roman" w:eastAsia="SimSun" w:hAnsi="Times New Roman" w:cs="Times New Roman"/>
            <w:snapToGrid w:val="0"/>
            <w:color w:val="0000FF"/>
            <w:sz w:val="22"/>
            <w:u w:val="single"/>
            <w:lang w:val="lt-LT"/>
          </w:rPr>
          <w:t>http://www.vvkt.lt/</w:t>
        </w:r>
      </w:hyperlink>
      <w:r w:rsidRPr="00DC3994">
        <w:rPr>
          <w:rFonts w:ascii="Times New Roman" w:hAnsi="Times New Roman" w:cs="Times New Roman"/>
          <w:snapToGrid w:val="0"/>
          <w:sz w:val="22"/>
          <w:lang w:val="lt-LT"/>
        </w:rPr>
        <w:t>.</w:t>
      </w:r>
    </w:p>
    <w:p w:rsidR="00A303AF" w:rsidRDefault="00A303AF" w:rsidP="00A303AF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snapToGrid w:val="0"/>
          <w:sz w:val="22"/>
          <w:lang w:val="lt-LT"/>
        </w:rPr>
      </w:pPr>
    </w:p>
    <w:p w:rsidR="00A303AF" w:rsidRDefault="00A303AF" w:rsidP="00A303AF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snapToGrid w:val="0"/>
          <w:sz w:val="22"/>
          <w:lang w:val="lt-LT"/>
        </w:rPr>
      </w:pPr>
    </w:p>
    <w:p w:rsidR="00A303AF" w:rsidRPr="003A3E7D" w:rsidRDefault="00A303AF" w:rsidP="00A303AF">
      <w:pPr>
        <w:jc w:val="center"/>
        <w:rPr>
          <w:rFonts w:ascii="Times New Roman" w:hAnsi="Times New Roman"/>
          <w:color w:val="0000FF"/>
          <w:sz w:val="22"/>
          <w:szCs w:val="22"/>
          <w:lang w:val="de-DE"/>
        </w:rPr>
      </w:pPr>
      <w:r w:rsidRPr="003A3E7D" w:rsidDel="004B5451">
        <w:rPr>
          <w:rFonts w:ascii="Times New Roman" w:hAnsi="Times New Roman"/>
          <w:sz w:val="22"/>
          <w:szCs w:val="22"/>
          <w:lang w:val="de-DE"/>
        </w:rPr>
        <w:t xml:space="preserve"> </w:t>
      </w:r>
    </w:p>
    <w:p w:rsidR="00A303AF" w:rsidRPr="001968C3" w:rsidRDefault="00A303AF" w:rsidP="00A303AF">
      <w:pPr>
        <w:rPr>
          <w:lang w:val="lt-LT"/>
        </w:rPr>
      </w:pPr>
    </w:p>
    <w:p w:rsidR="009041DB" w:rsidRDefault="009041DB">
      <w:bookmarkStart w:id="12" w:name="_GoBack"/>
      <w:bookmarkEnd w:id="12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AF"/>
    <w:rsid w:val="009041DB"/>
    <w:rsid w:val="00A303A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F09F9-D630-4A60-9876-43340364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03AF"/>
    <w:pPr>
      <w:spacing w:after="0" w:line="240" w:lineRule="auto"/>
    </w:pPr>
    <w:rPr>
      <w:rFonts w:ascii="Monotype Corsiva" w:hAnsi="Monotype Corsiva" w:cs="Courier New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Body Text Char Char Char,Body Text Char"/>
    <w:basedOn w:val="prastasis"/>
    <w:link w:val="PagrindinistekstasDiagrama"/>
    <w:rsid w:val="00A303AF"/>
    <w:rPr>
      <w:rFonts w:ascii="Times New Roman" w:hAnsi="Times New Roman" w:cs="Times New Roman"/>
      <w:sz w:val="28"/>
      <w:lang w:val="lt-LT"/>
    </w:rPr>
  </w:style>
  <w:style w:type="character" w:customStyle="1" w:styleId="PagrindinistekstasDiagrama">
    <w:name w:val="Pagrindinis tekstas Diagrama"/>
    <w:aliases w:val="Body Text Char Char Char Diagrama,Body Text Char Diagrama"/>
    <w:basedOn w:val="Numatytasispastraiposriftas"/>
    <w:link w:val="Pagrindinistekstas"/>
    <w:rsid w:val="00A303AF"/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5462</Words>
  <Characters>3114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2020-12-29T11:25:00Z</dcterms:created>
  <dcterms:modified xsi:type="dcterms:W3CDTF">2020-12-29T11:25:00Z</dcterms:modified>
</cp:coreProperties>
</file>