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87" w:rsidRPr="00F5692D" w:rsidRDefault="00F63787" w:rsidP="00F63787">
      <w:pPr>
        <w:pStyle w:val="Pagrindinistekstas"/>
        <w:jc w:val="center"/>
        <w:rPr>
          <w:b/>
          <w:sz w:val="22"/>
          <w:szCs w:val="22"/>
        </w:rPr>
      </w:pPr>
      <w:r w:rsidRPr="00F5692D">
        <w:rPr>
          <w:b/>
          <w:sz w:val="22"/>
          <w:szCs w:val="22"/>
        </w:rPr>
        <w:t>Pakuotės lapelis: informacija vartotojui</w:t>
      </w:r>
    </w:p>
    <w:p w:rsidR="00F63787" w:rsidRPr="00F5692D" w:rsidRDefault="00F63787" w:rsidP="00F63787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VERMOX 100 mg tabletės</w:t>
      </w:r>
    </w:p>
    <w:p w:rsidR="00F63787" w:rsidRPr="00F5692D" w:rsidRDefault="00F63787" w:rsidP="00F63787">
      <w:pPr>
        <w:pStyle w:val="Antrats"/>
        <w:jc w:val="center"/>
        <w:rPr>
          <w:rFonts w:ascii="Times New Roman" w:hAnsi="Times New Roman"/>
          <w:szCs w:val="22"/>
          <w:lang w:val="lt-LT"/>
        </w:rPr>
      </w:pPr>
      <w:proofErr w:type="spellStart"/>
      <w:r>
        <w:rPr>
          <w:rFonts w:ascii="Times New Roman" w:hAnsi="Times New Roman"/>
          <w:szCs w:val="22"/>
          <w:lang w:val="lt-LT"/>
        </w:rPr>
        <w:t>m</w:t>
      </w:r>
      <w:r w:rsidRPr="00F5692D">
        <w:rPr>
          <w:rFonts w:ascii="Times New Roman" w:hAnsi="Times New Roman"/>
          <w:szCs w:val="22"/>
          <w:lang w:val="lt-LT"/>
        </w:rPr>
        <w:t>ebendazolas</w:t>
      </w:r>
      <w:proofErr w:type="spellEnd"/>
    </w:p>
    <w:p w:rsidR="00F63787" w:rsidRPr="00F5692D" w:rsidRDefault="00F63787" w:rsidP="00F63787">
      <w:pPr>
        <w:pStyle w:val="BT-EMEASMCA"/>
        <w:numPr>
          <w:ilvl w:val="0"/>
          <w:numId w:val="0"/>
        </w:numPr>
      </w:pPr>
    </w:p>
    <w:p w:rsidR="00F63787" w:rsidRDefault="00F63787" w:rsidP="00F63787">
      <w:pPr>
        <w:tabs>
          <w:tab w:val="left" w:pos="0"/>
        </w:tabs>
        <w:suppressAutoHyphens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F63787" w:rsidRPr="00F5692D" w:rsidRDefault="00F63787" w:rsidP="00F63787">
      <w:pPr>
        <w:tabs>
          <w:tab w:val="left" w:pos="0"/>
        </w:tabs>
        <w:suppressAutoHyphens/>
        <w:rPr>
          <w:rFonts w:ascii="Times New Roman" w:hAnsi="Times New Roman"/>
          <w:b/>
          <w:sz w:val="22"/>
          <w:szCs w:val="22"/>
          <w:lang w:val="lt-LT"/>
        </w:rPr>
      </w:pPr>
    </w:p>
    <w:p w:rsidR="00F63787" w:rsidRPr="00F5692D" w:rsidRDefault="00F63787" w:rsidP="00F63787">
      <w:pPr>
        <w:numPr>
          <w:ilvl w:val="0"/>
          <w:numId w:val="2"/>
        </w:numPr>
        <w:tabs>
          <w:tab w:val="left" w:pos="709"/>
        </w:tabs>
        <w:ind w:left="0" w:right="-2" w:firstLine="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 xml:space="preserve">Neišmeskite šio lapelio, nes vėl gali prireikti jį perskaityti. </w:t>
      </w:r>
    </w:p>
    <w:p w:rsidR="00F63787" w:rsidRPr="00F5692D" w:rsidRDefault="00F63787" w:rsidP="00F63787">
      <w:pPr>
        <w:numPr>
          <w:ilvl w:val="0"/>
          <w:numId w:val="2"/>
        </w:numPr>
        <w:tabs>
          <w:tab w:val="left" w:pos="0"/>
        </w:tabs>
        <w:ind w:left="709" w:right="-2" w:hanging="709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Jeigu kiltų daugiau klausimų, kreipkitės į gydytoją arba vaistininką.</w:t>
      </w:r>
    </w:p>
    <w:p w:rsidR="00F63787" w:rsidRPr="00F5692D" w:rsidRDefault="00F63787" w:rsidP="00F63787">
      <w:pPr>
        <w:tabs>
          <w:tab w:val="left" w:pos="0"/>
        </w:tabs>
        <w:ind w:left="700" w:right="-2" w:hanging="700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-</w:t>
      </w:r>
      <w:r w:rsidRPr="00F5692D">
        <w:rPr>
          <w:rFonts w:ascii="Times New Roman" w:hAnsi="Times New Roman"/>
          <w:sz w:val="22"/>
          <w:szCs w:val="22"/>
          <w:lang w:val="lt-LT"/>
        </w:rPr>
        <w:tab/>
        <w:t xml:space="preserve">Šis vaistas skirtas tik Jums, todėl kitiems žmonėms jo duoti negalima. Vaistas gali jiems pakenkti (net tiems, kurių ligos požymiai yra tokie patys kaip Jūsų). </w:t>
      </w:r>
    </w:p>
    <w:p w:rsidR="00F63787" w:rsidRPr="00BB5F2D" w:rsidRDefault="00F63787" w:rsidP="00F63787">
      <w:pPr>
        <w:numPr>
          <w:ilvl w:val="0"/>
          <w:numId w:val="2"/>
        </w:numPr>
        <w:tabs>
          <w:tab w:val="left" w:pos="709"/>
          <w:tab w:val="left" w:pos="851"/>
        </w:tabs>
        <w:ind w:left="709" w:hanging="709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 xml:space="preserve">Jeigu pasireiškė šalutinis poveikis (net jeigu jis šiame lapelyje nenurodytas), kreipkitės į </w:t>
      </w:r>
      <w:r>
        <w:rPr>
          <w:rFonts w:ascii="Times New Roman" w:hAnsi="Times New Roman"/>
          <w:sz w:val="22"/>
          <w:szCs w:val="22"/>
          <w:lang w:val="lt-LT"/>
        </w:rPr>
        <w:t xml:space="preserve">    </w:t>
      </w:r>
      <w:r w:rsidRPr="00F5692D">
        <w:rPr>
          <w:rFonts w:ascii="Times New Roman" w:hAnsi="Times New Roman"/>
          <w:sz w:val="22"/>
          <w:szCs w:val="22"/>
          <w:lang w:val="lt-LT"/>
        </w:rPr>
        <w:t>gydytoją arba vaistininką.</w:t>
      </w:r>
      <w:r w:rsidRPr="00BB5F2D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Žr. 4 skyrių. </w:t>
      </w:r>
    </w:p>
    <w:p w:rsidR="00F63787" w:rsidRPr="00F5692D" w:rsidRDefault="00F63787" w:rsidP="00F63787">
      <w:pPr>
        <w:tabs>
          <w:tab w:val="left" w:pos="0"/>
        </w:tabs>
        <w:ind w:right="-2"/>
        <w:rPr>
          <w:rFonts w:ascii="Times New Roman" w:hAnsi="Times New Roman"/>
          <w:sz w:val="22"/>
          <w:szCs w:val="22"/>
          <w:lang w:val="lt-LT"/>
        </w:rPr>
      </w:pPr>
    </w:p>
    <w:p w:rsidR="00F63787" w:rsidRPr="00F5692D" w:rsidRDefault="00F63787" w:rsidP="00F63787">
      <w:pPr>
        <w:pStyle w:val="Pagrindinistekstas"/>
        <w:tabs>
          <w:tab w:val="left" w:pos="0"/>
        </w:tabs>
        <w:rPr>
          <w:sz w:val="22"/>
          <w:szCs w:val="22"/>
        </w:rPr>
      </w:pPr>
    </w:p>
    <w:p w:rsidR="00F63787" w:rsidRDefault="00F63787" w:rsidP="00F63787">
      <w:pPr>
        <w:pStyle w:val="Pagrindinistekstas"/>
        <w:tabs>
          <w:tab w:val="left" w:pos="0"/>
        </w:tabs>
        <w:rPr>
          <w:b/>
          <w:sz w:val="22"/>
          <w:szCs w:val="22"/>
        </w:rPr>
      </w:pPr>
      <w:r w:rsidRPr="00F5692D">
        <w:rPr>
          <w:b/>
          <w:sz w:val="22"/>
          <w:szCs w:val="22"/>
        </w:rPr>
        <w:t>Apie ką rašoma šiame lapelyje?</w:t>
      </w:r>
    </w:p>
    <w:p w:rsidR="00F63787" w:rsidRPr="00F5692D" w:rsidRDefault="00F63787" w:rsidP="00F63787">
      <w:pPr>
        <w:pStyle w:val="Pagrindinistekstas"/>
        <w:tabs>
          <w:tab w:val="left" w:pos="0"/>
        </w:tabs>
        <w:rPr>
          <w:b/>
          <w:sz w:val="22"/>
          <w:szCs w:val="22"/>
        </w:rPr>
      </w:pPr>
    </w:p>
    <w:p w:rsidR="00F63787" w:rsidRPr="00F5692D" w:rsidRDefault="00F63787" w:rsidP="00F63787">
      <w:pPr>
        <w:pStyle w:val="Pagrindinistekstas"/>
        <w:tabs>
          <w:tab w:val="left" w:pos="0"/>
        </w:tabs>
        <w:rPr>
          <w:sz w:val="22"/>
          <w:szCs w:val="22"/>
        </w:rPr>
      </w:pPr>
      <w:r w:rsidRPr="00F5692D">
        <w:rPr>
          <w:sz w:val="22"/>
          <w:szCs w:val="22"/>
        </w:rPr>
        <w:t>1.</w:t>
      </w:r>
      <w:r w:rsidRPr="00F5692D">
        <w:rPr>
          <w:sz w:val="22"/>
          <w:szCs w:val="22"/>
        </w:rPr>
        <w:tab/>
        <w:t>Kas yra VERMOX ir kam jis vartojamas</w:t>
      </w:r>
    </w:p>
    <w:p w:rsidR="00F63787" w:rsidRPr="00F5692D" w:rsidRDefault="00F63787" w:rsidP="00F63787">
      <w:pPr>
        <w:pStyle w:val="Pagrindinistekstas"/>
        <w:tabs>
          <w:tab w:val="left" w:pos="0"/>
        </w:tabs>
        <w:rPr>
          <w:sz w:val="22"/>
          <w:szCs w:val="22"/>
        </w:rPr>
      </w:pPr>
      <w:r w:rsidRPr="00F5692D">
        <w:rPr>
          <w:sz w:val="22"/>
          <w:szCs w:val="22"/>
        </w:rPr>
        <w:t>2.</w:t>
      </w:r>
      <w:r w:rsidRPr="00F5692D">
        <w:rPr>
          <w:sz w:val="22"/>
          <w:szCs w:val="22"/>
        </w:rPr>
        <w:tab/>
        <w:t xml:space="preserve">Kas žinotina prieš vartojant VERMOX </w:t>
      </w:r>
    </w:p>
    <w:p w:rsidR="00F63787" w:rsidRPr="00F5692D" w:rsidRDefault="00F63787" w:rsidP="00F63787">
      <w:pPr>
        <w:pStyle w:val="Pagrindinistekstas"/>
        <w:tabs>
          <w:tab w:val="left" w:pos="0"/>
        </w:tabs>
        <w:rPr>
          <w:sz w:val="22"/>
          <w:szCs w:val="22"/>
        </w:rPr>
      </w:pPr>
      <w:r w:rsidRPr="00F5692D">
        <w:rPr>
          <w:sz w:val="22"/>
          <w:szCs w:val="22"/>
        </w:rPr>
        <w:t>3.</w:t>
      </w:r>
      <w:r w:rsidRPr="00F5692D">
        <w:rPr>
          <w:sz w:val="22"/>
          <w:szCs w:val="22"/>
        </w:rPr>
        <w:tab/>
        <w:t xml:space="preserve">Kaip vartoti VERMOX </w:t>
      </w:r>
    </w:p>
    <w:p w:rsidR="00F63787" w:rsidRPr="00F5692D" w:rsidRDefault="00F63787" w:rsidP="00F63787">
      <w:pPr>
        <w:pStyle w:val="Pagrindinistekstas"/>
        <w:tabs>
          <w:tab w:val="left" w:pos="0"/>
        </w:tabs>
        <w:rPr>
          <w:sz w:val="22"/>
          <w:szCs w:val="22"/>
        </w:rPr>
      </w:pPr>
      <w:r w:rsidRPr="00F5692D">
        <w:rPr>
          <w:sz w:val="22"/>
          <w:szCs w:val="22"/>
        </w:rPr>
        <w:t>4.</w:t>
      </w:r>
      <w:r w:rsidRPr="00F5692D">
        <w:rPr>
          <w:sz w:val="22"/>
          <w:szCs w:val="22"/>
        </w:rPr>
        <w:tab/>
        <w:t>Galimas šalutinis poveikis</w:t>
      </w:r>
    </w:p>
    <w:p w:rsidR="00F63787" w:rsidRPr="00F5692D" w:rsidRDefault="00F63787" w:rsidP="00F63787">
      <w:pPr>
        <w:pStyle w:val="Pagrindinistekstas"/>
        <w:tabs>
          <w:tab w:val="left" w:pos="0"/>
        </w:tabs>
        <w:rPr>
          <w:sz w:val="22"/>
          <w:szCs w:val="22"/>
        </w:rPr>
      </w:pPr>
      <w:r w:rsidRPr="00F5692D">
        <w:rPr>
          <w:sz w:val="22"/>
          <w:szCs w:val="22"/>
        </w:rPr>
        <w:t>5.</w:t>
      </w:r>
      <w:r w:rsidRPr="00F5692D">
        <w:rPr>
          <w:sz w:val="22"/>
          <w:szCs w:val="22"/>
        </w:rPr>
        <w:tab/>
        <w:t xml:space="preserve">Kaip laikyti VERMOX </w:t>
      </w:r>
    </w:p>
    <w:p w:rsidR="00F63787" w:rsidRPr="00F5692D" w:rsidRDefault="00F63787" w:rsidP="00F63787">
      <w:pPr>
        <w:pStyle w:val="Pagrindinistekstas"/>
        <w:tabs>
          <w:tab w:val="left" w:pos="0"/>
        </w:tabs>
        <w:rPr>
          <w:sz w:val="22"/>
          <w:szCs w:val="22"/>
        </w:rPr>
      </w:pPr>
      <w:r w:rsidRPr="00F5692D">
        <w:rPr>
          <w:sz w:val="22"/>
          <w:szCs w:val="22"/>
        </w:rPr>
        <w:t>6.</w:t>
      </w:r>
      <w:r w:rsidRPr="00F5692D">
        <w:rPr>
          <w:sz w:val="22"/>
          <w:szCs w:val="22"/>
        </w:rPr>
        <w:tab/>
        <w:t xml:space="preserve">Pakuotės turinys ir kita informacija </w:t>
      </w:r>
    </w:p>
    <w:p w:rsidR="00F63787" w:rsidRPr="00F5692D" w:rsidRDefault="00F63787" w:rsidP="00F63787">
      <w:pPr>
        <w:pStyle w:val="Pagrindinistekstas"/>
        <w:tabs>
          <w:tab w:val="left" w:pos="0"/>
        </w:tabs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ind w:hanging="540"/>
        <w:rPr>
          <w:sz w:val="22"/>
          <w:szCs w:val="22"/>
        </w:rPr>
      </w:pPr>
    </w:p>
    <w:p w:rsidR="00F63787" w:rsidRPr="00BB5F2D" w:rsidRDefault="00F63787" w:rsidP="00F63787">
      <w:pPr>
        <w:pStyle w:val="Antrat2"/>
        <w:jc w:val="left"/>
        <w:rPr>
          <w:b/>
          <w:i/>
          <w:sz w:val="22"/>
          <w:szCs w:val="22"/>
        </w:rPr>
      </w:pPr>
      <w:r w:rsidRPr="00BB5F2D">
        <w:rPr>
          <w:b/>
          <w:sz w:val="22"/>
          <w:szCs w:val="22"/>
        </w:rPr>
        <w:t>1.</w:t>
      </w:r>
      <w:r w:rsidRPr="00BB5F2D">
        <w:rPr>
          <w:b/>
          <w:sz w:val="22"/>
          <w:szCs w:val="22"/>
        </w:rPr>
        <w:tab/>
        <w:t>Kas yra VERMOX ir kam jis vartojamas</w:t>
      </w:r>
    </w:p>
    <w:p w:rsidR="00F63787" w:rsidRPr="00BB5F2D" w:rsidRDefault="00F63787" w:rsidP="00F63787">
      <w:pPr>
        <w:pStyle w:val="Pagrindinistekstas"/>
        <w:rPr>
          <w:b/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VERMOX</w:t>
      </w:r>
      <w:r>
        <w:rPr>
          <w:sz w:val="22"/>
          <w:szCs w:val="22"/>
        </w:rPr>
        <w:t xml:space="preserve">, kurio veiklioji medžiaga yra </w:t>
      </w:r>
      <w:proofErr w:type="spellStart"/>
      <w:r>
        <w:rPr>
          <w:sz w:val="22"/>
          <w:szCs w:val="22"/>
        </w:rPr>
        <w:t>mebendazolas</w:t>
      </w:r>
      <w:proofErr w:type="spellEnd"/>
      <w:r>
        <w:rPr>
          <w:sz w:val="22"/>
          <w:szCs w:val="22"/>
        </w:rPr>
        <w:t>,</w:t>
      </w:r>
      <w:r w:rsidRPr="00F5692D">
        <w:rPr>
          <w:sz w:val="22"/>
          <w:szCs w:val="22"/>
        </w:rPr>
        <w:t xml:space="preserve"> yra vaistas nuo kirmėlių, vartojamas suaugusiesiems ir vaikams</w:t>
      </w:r>
      <w:r>
        <w:rPr>
          <w:sz w:val="22"/>
          <w:szCs w:val="22"/>
        </w:rPr>
        <w:t xml:space="preserve"> virš 2 metų amžiaus</w:t>
      </w:r>
      <w:r w:rsidRPr="00F5692D">
        <w:rPr>
          <w:sz w:val="22"/>
          <w:szCs w:val="22"/>
        </w:rPr>
        <w:t>.</w:t>
      </w: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 xml:space="preserve">VERMOX </w:t>
      </w:r>
      <w:r>
        <w:rPr>
          <w:rFonts w:ascii="Times New Roman" w:hAnsi="Times New Roman"/>
          <w:sz w:val="22"/>
          <w:szCs w:val="22"/>
          <w:lang w:val="lt-LT"/>
        </w:rPr>
        <w:t>skiriamas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virškinimo trakto užkrėtim</w:t>
      </w:r>
      <w:r>
        <w:rPr>
          <w:rFonts w:ascii="Times New Roman" w:hAnsi="Times New Roman"/>
          <w:sz w:val="22"/>
          <w:szCs w:val="22"/>
          <w:lang w:val="lt-LT"/>
        </w:rPr>
        <w:t>ui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tiek vienos rūšies, tiek ir kelių rūšių kirmėlėmis</w:t>
      </w:r>
      <w:r>
        <w:rPr>
          <w:rFonts w:ascii="Times New Roman" w:hAnsi="Times New Roman"/>
          <w:sz w:val="22"/>
          <w:szCs w:val="22"/>
          <w:lang w:val="lt-LT"/>
        </w:rPr>
        <w:t>: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 spalinėmis (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Enterobius</w:t>
      </w:r>
      <w:proofErr w:type="spellEnd"/>
      <w:r w:rsidRPr="00F5692D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vermicularis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),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askaridėmis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 (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Ascaris</w:t>
      </w:r>
      <w:proofErr w:type="spellEnd"/>
      <w:r w:rsidRPr="00F5692D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lumbricoides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),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plaukagalviais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 (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Trichuris</w:t>
      </w:r>
      <w:proofErr w:type="spellEnd"/>
      <w:r w:rsidRPr="00F5692D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trichiura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),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kreivagalvėmis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ankilostomomis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 (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Ancylostoma</w:t>
      </w:r>
      <w:proofErr w:type="spellEnd"/>
      <w:r w:rsidRPr="00F5692D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duodenale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), amerikiniais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nekatoriais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 (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Necator</w:t>
      </w:r>
      <w:proofErr w:type="spellEnd"/>
      <w:r w:rsidRPr="00F5692D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i/>
          <w:sz w:val="22"/>
          <w:szCs w:val="22"/>
          <w:lang w:val="lt-LT"/>
        </w:rPr>
        <w:t>americanus</w:t>
      </w:r>
      <w:proofErr w:type="spellEnd"/>
      <w:r w:rsidRPr="00D414EC">
        <w:rPr>
          <w:rFonts w:ascii="Times New Roman" w:hAnsi="Times New Roman"/>
          <w:i/>
          <w:sz w:val="22"/>
          <w:szCs w:val="22"/>
          <w:lang w:val="lt-LT"/>
        </w:rPr>
        <w:t>)</w:t>
      </w:r>
      <w:r w:rsidRPr="00D414EC">
        <w:rPr>
          <w:rFonts w:ascii="Times New Roman" w:hAnsi="Times New Roman"/>
          <w:sz w:val="22"/>
          <w:szCs w:val="22"/>
          <w:lang w:val="lt-LT"/>
        </w:rPr>
        <w:t>, gydyti.</w:t>
      </w: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</w:p>
    <w:p w:rsidR="00F63787" w:rsidRPr="00BB5F2D" w:rsidRDefault="00F63787" w:rsidP="00F63787">
      <w:pPr>
        <w:pStyle w:val="Antrat2"/>
        <w:jc w:val="left"/>
        <w:rPr>
          <w:b/>
          <w:i/>
          <w:sz w:val="22"/>
          <w:szCs w:val="22"/>
        </w:rPr>
      </w:pPr>
      <w:r w:rsidRPr="00BB5F2D">
        <w:rPr>
          <w:b/>
          <w:sz w:val="22"/>
          <w:szCs w:val="22"/>
        </w:rPr>
        <w:t>2.</w:t>
      </w:r>
      <w:r w:rsidRPr="00BB5F2D">
        <w:rPr>
          <w:b/>
          <w:sz w:val="22"/>
          <w:szCs w:val="22"/>
        </w:rPr>
        <w:tab/>
        <w:t>Kas žinotina prieš vartojant VERMOX</w:t>
      </w:r>
    </w:p>
    <w:p w:rsidR="00F63787" w:rsidRPr="00BB5F2D" w:rsidRDefault="00F63787" w:rsidP="00F63787">
      <w:pPr>
        <w:pStyle w:val="Pagrindinistekstas"/>
        <w:rPr>
          <w:b/>
          <w:sz w:val="22"/>
          <w:szCs w:val="22"/>
        </w:rPr>
      </w:pPr>
    </w:p>
    <w:p w:rsidR="00F63787" w:rsidRPr="00BB5F2D" w:rsidRDefault="00F63787" w:rsidP="00F63787">
      <w:pPr>
        <w:pStyle w:val="Antrat2"/>
        <w:jc w:val="left"/>
        <w:rPr>
          <w:b/>
          <w:i/>
          <w:sz w:val="22"/>
          <w:szCs w:val="22"/>
        </w:rPr>
      </w:pPr>
      <w:r w:rsidRPr="00BB5F2D">
        <w:rPr>
          <w:b/>
          <w:sz w:val="22"/>
          <w:szCs w:val="22"/>
        </w:rPr>
        <w:t xml:space="preserve">VERMOX vartoti </w:t>
      </w:r>
      <w:r>
        <w:rPr>
          <w:b/>
          <w:sz w:val="22"/>
          <w:szCs w:val="22"/>
        </w:rPr>
        <w:t>draudžia</w:t>
      </w:r>
      <w:r w:rsidRPr="00BB5F2D">
        <w:rPr>
          <w:b/>
          <w:sz w:val="22"/>
          <w:szCs w:val="22"/>
        </w:rPr>
        <w:t>ma:</w:t>
      </w:r>
    </w:p>
    <w:p w:rsidR="00F63787" w:rsidRDefault="00F63787" w:rsidP="00F63787">
      <w:pPr>
        <w:pStyle w:val="Pagrindinisteksta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F5692D">
        <w:rPr>
          <w:sz w:val="22"/>
          <w:szCs w:val="22"/>
        </w:rPr>
        <w:t xml:space="preserve">jeigu yra alergija </w:t>
      </w:r>
      <w:proofErr w:type="spellStart"/>
      <w:r w:rsidRPr="00F5692D">
        <w:rPr>
          <w:sz w:val="22"/>
          <w:szCs w:val="22"/>
        </w:rPr>
        <w:t>mebendazolui</w:t>
      </w:r>
      <w:proofErr w:type="spellEnd"/>
      <w:r w:rsidRPr="00F5692D">
        <w:rPr>
          <w:sz w:val="22"/>
          <w:szCs w:val="22"/>
        </w:rPr>
        <w:t xml:space="preserve"> arba bet kuriai pagalbinei medžiagai (jos išvardytos 6 skyriuje)</w:t>
      </w:r>
      <w:r>
        <w:rPr>
          <w:sz w:val="22"/>
          <w:szCs w:val="22"/>
        </w:rPr>
        <w:t>;</w:t>
      </w:r>
    </w:p>
    <w:p w:rsidR="00F63787" w:rsidRPr="00531911" w:rsidRDefault="00F63787" w:rsidP="00F63787">
      <w:pPr>
        <w:pStyle w:val="Pagrindinisteksta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531911">
        <w:rPr>
          <w:sz w:val="22"/>
          <w:szCs w:val="22"/>
        </w:rPr>
        <w:t xml:space="preserve">ei esate nėščia arba </w:t>
      </w:r>
      <w:r w:rsidRPr="00D414EC">
        <w:rPr>
          <w:noProof/>
          <w:sz w:val="22"/>
          <w:szCs w:val="22"/>
        </w:rPr>
        <w:t>manote, kad galbūt esate nėščia</w:t>
      </w:r>
      <w:r>
        <w:rPr>
          <w:noProof/>
          <w:sz w:val="22"/>
          <w:szCs w:val="22"/>
        </w:rPr>
        <w:t>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 w:rsidRPr="00F5692D">
        <w:rPr>
          <w:rFonts w:ascii="Times New Roman" w:hAnsi="Times New Roman" w:cs="Times New Roman"/>
          <w:sz w:val="22"/>
          <w:szCs w:val="22"/>
          <w:lang w:val="lt-LT"/>
        </w:rPr>
        <w:t>Įspėjimai ir atsargumo priemonės</w:t>
      </w:r>
    </w:p>
    <w:p w:rsidR="00F63787" w:rsidRDefault="00F63787" w:rsidP="00F63787">
      <w:pPr>
        <w:pStyle w:val="Pagrindinistekstas"/>
        <w:rPr>
          <w:sz w:val="22"/>
          <w:szCs w:val="22"/>
        </w:rPr>
      </w:pPr>
      <w:r w:rsidRPr="008550AE">
        <w:rPr>
          <w:sz w:val="22"/>
          <w:szCs w:val="22"/>
        </w:rPr>
        <w:t xml:space="preserve">Pasitarkite su gydytoju arba vaistininku, prieš pradėdami vartoti </w:t>
      </w:r>
      <w:r w:rsidRPr="00F5692D">
        <w:rPr>
          <w:sz w:val="22"/>
          <w:szCs w:val="22"/>
        </w:rPr>
        <w:t>VERMOX</w:t>
      </w:r>
      <w:r>
        <w:rPr>
          <w:sz w:val="22"/>
          <w:szCs w:val="22"/>
        </w:rPr>
        <w:t>.</w:t>
      </w:r>
      <w:r w:rsidRPr="00F5692D">
        <w:rPr>
          <w:sz w:val="22"/>
          <w:szCs w:val="22"/>
        </w:rPr>
        <w:t xml:space="preserve"> 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8550AE">
        <w:rPr>
          <w:sz w:val="22"/>
          <w:szCs w:val="22"/>
        </w:rPr>
        <w:t xml:space="preserve">VERMOX </w:t>
      </w:r>
      <w:r w:rsidRPr="00F5692D">
        <w:rPr>
          <w:sz w:val="22"/>
          <w:szCs w:val="22"/>
        </w:rPr>
        <w:t>visada vartokite tiksliai taip, kaip nurodė gydytojas. Simptomams išnykus, būtina atlikti gydytojo paskirtą išmatų tyrimą.</w:t>
      </w:r>
    </w:p>
    <w:p w:rsidR="00F63787" w:rsidRDefault="00F63787" w:rsidP="00F63787">
      <w:pPr>
        <w:pStyle w:val="Pagrindinistekstas"/>
        <w:rPr>
          <w:sz w:val="22"/>
          <w:szCs w:val="22"/>
        </w:rPr>
      </w:pPr>
    </w:p>
    <w:p w:rsidR="00F63787" w:rsidRDefault="00F63787" w:rsidP="00F63787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 xml:space="preserve">Gauta pranešimų apie grįžtamojo pobūdžio kepenų funkcijos sutrikimo, hepatito ir tam tikro tipo  baltųjų kraujo ląstelių skaičiaus sumažėjimo atvejus vartojant rekomenduojamas </w:t>
      </w:r>
      <w:proofErr w:type="spellStart"/>
      <w:r>
        <w:rPr>
          <w:sz w:val="22"/>
          <w:szCs w:val="22"/>
        </w:rPr>
        <w:t>mebendazolo</w:t>
      </w:r>
      <w:proofErr w:type="spellEnd"/>
      <w:r>
        <w:rPr>
          <w:sz w:val="22"/>
          <w:szCs w:val="22"/>
        </w:rPr>
        <w:t xml:space="preserve"> dozes. Ilgą laiką vartojant dideles </w:t>
      </w:r>
      <w:proofErr w:type="spellStart"/>
      <w:r>
        <w:rPr>
          <w:sz w:val="22"/>
          <w:szCs w:val="22"/>
        </w:rPr>
        <w:t>mebendazolo</w:t>
      </w:r>
      <w:proofErr w:type="spellEnd"/>
      <w:r>
        <w:rPr>
          <w:sz w:val="22"/>
          <w:szCs w:val="22"/>
        </w:rPr>
        <w:t xml:space="preserve"> dozes, pasireiškė ženklus baltųjų kraujo ląstelių skaičiaus sumažėjimas (</w:t>
      </w:r>
      <w:proofErr w:type="spellStart"/>
      <w:r>
        <w:rPr>
          <w:sz w:val="22"/>
          <w:szCs w:val="22"/>
        </w:rPr>
        <w:t>agranolocitozė</w:t>
      </w:r>
      <w:proofErr w:type="spellEnd"/>
      <w:r>
        <w:rPr>
          <w:sz w:val="22"/>
          <w:szCs w:val="22"/>
        </w:rPr>
        <w:t>) ir inkstų uždegimas (</w:t>
      </w:r>
      <w:proofErr w:type="spellStart"/>
      <w:r>
        <w:rPr>
          <w:sz w:val="22"/>
          <w:szCs w:val="22"/>
        </w:rPr>
        <w:t>glomerulonefritas</w:t>
      </w:r>
      <w:proofErr w:type="spellEnd"/>
      <w:r>
        <w:rPr>
          <w:sz w:val="22"/>
          <w:szCs w:val="22"/>
        </w:rPr>
        <w:t>). Todėl negalima viršyti rekomenduojamos vaisto dozės ar vartoti ilgiau, negu paskirta gydytojo.</w:t>
      </w:r>
    </w:p>
    <w:p w:rsidR="00F63787" w:rsidRDefault="00F63787" w:rsidP="00F63787">
      <w:pPr>
        <w:pStyle w:val="Pagrindinistekstas"/>
        <w:rPr>
          <w:sz w:val="22"/>
          <w:szCs w:val="22"/>
        </w:rPr>
      </w:pPr>
    </w:p>
    <w:p w:rsidR="00F63787" w:rsidRDefault="00F63787" w:rsidP="00F63787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Gydymo metu ir jį baigus labai svarbu laikytis asmeninės higienos, kad būtų išvengta pakartotino užsikrėtimo bei neužsikrėstų kiti asmenys.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b/>
          <w:bCs/>
          <w:sz w:val="22"/>
          <w:szCs w:val="22"/>
        </w:rPr>
      </w:pPr>
      <w:r w:rsidRPr="00F5692D">
        <w:rPr>
          <w:b/>
          <w:bCs/>
          <w:sz w:val="22"/>
          <w:szCs w:val="22"/>
        </w:rPr>
        <w:t>Vaikams</w:t>
      </w:r>
    </w:p>
    <w:p w:rsidR="00F63787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lastRenderedPageBreak/>
        <w:t>J</w:t>
      </w:r>
      <w:r w:rsidRPr="00F5692D">
        <w:rPr>
          <w:rFonts w:ascii="Times New Roman" w:hAnsi="Times New Roman"/>
          <w:sz w:val="22"/>
          <w:szCs w:val="22"/>
          <w:lang w:val="lt-LT"/>
        </w:rPr>
        <w:t>aunesni</w:t>
      </w:r>
      <w:r>
        <w:rPr>
          <w:rFonts w:ascii="Times New Roman" w:hAnsi="Times New Roman"/>
          <w:sz w:val="22"/>
          <w:szCs w:val="22"/>
          <w:lang w:val="lt-LT"/>
        </w:rPr>
        <w:t>em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s nei 2 metų vaikus </w:t>
      </w:r>
      <w:r>
        <w:rPr>
          <w:rFonts w:ascii="Times New Roman" w:hAnsi="Times New Roman"/>
          <w:sz w:val="22"/>
          <w:szCs w:val="22"/>
          <w:lang w:val="lt-LT"/>
        </w:rPr>
        <w:t>VERMOX vartoti galima tik paskyrus gydytojui.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F63787" w:rsidRPr="00446F7A" w:rsidRDefault="00F63787" w:rsidP="00F63787">
      <w:pPr>
        <w:pStyle w:val="Pagrindinistekstas2"/>
        <w:spacing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iCs/>
          <w:sz w:val="22"/>
          <w:szCs w:val="22"/>
          <w:lang w:val="lt-LT"/>
        </w:rPr>
        <w:t>Jaunesnių nei 1</w:t>
      </w:r>
      <w:r w:rsidRPr="008550AE">
        <w:rPr>
          <w:rFonts w:ascii="Times New Roman" w:hAnsi="Times New Roman"/>
          <w:iCs/>
          <w:sz w:val="22"/>
          <w:szCs w:val="22"/>
          <w:lang w:val="lt-LT"/>
        </w:rPr>
        <w:t xml:space="preserve"> metų vaik</w:t>
      </w:r>
      <w:r>
        <w:rPr>
          <w:rFonts w:ascii="Times New Roman" w:hAnsi="Times New Roman"/>
          <w:iCs/>
          <w:sz w:val="22"/>
          <w:szCs w:val="22"/>
          <w:lang w:val="lt-LT"/>
        </w:rPr>
        <w:t xml:space="preserve">ų negalima gydyti </w:t>
      </w:r>
      <w:proofErr w:type="spellStart"/>
      <w:r>
        <w:rPr>
          <w:rFonts w:ascii="Times New Roman" w:hAnsi="Times New Roman"/>
          <w:iCs/>
          <w:sz w:val="22"/>
          <w:szCs w:val="22"/>
          <w:lang w:val="lt-LT"/>
        </w:rPr>
        <w:t>V</w:t>
      </w:r>
      <w:r w:rsidRPr="008550AE">
        <w:rPr>
          <w:rFonts w:ascii="Times New Roman" w:hAnsi="Times New Roman"/>
          <w:iCs/>
          <w:sz w:val="22"/>
          <w:szCs w:val="22"/>
          <w:lang w:val="lt-LT"/>
        </w:rPr>
        <w:t>ermox</w:t>
      </w:r>
      <w:proofErr w:type="spellEnd"/>
      <w:r>
        <w:rPr>
          <w:rFonts w:ascii="Times New Roman" w:hAnsi="Times New Roman"/>
          <w:iCs/>
          <w:sz w:val="22"/>
          <w:szCs w:val="22"/>
          <w:lang w:val="lt-LT"/>
        </w:rPr>
        <w:t>.</w:t>
      </w:r>
      <w:r w:rsidRPr="008550AE">
        <w:rPr>
          <w:rFonts w:ascii="Times New Roman" w:hAnsi="Times New Roman"/>
          <w:iCs/>
          <w:sz w:val="22"/>
          <w:szCs w:val="22"/>
          <w:lang w:val="lt-LT"/>
        </w:rPr>
        <w:t xml:space="preserve"> 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b/>
          <w:sz w:val="22"/>
          <w:szCs w:val="22"/>
        </w:rPr>
        <w:t>Kiti vaistai ir</w:t>
      </w:r>
      <w:r w:rsidRPr="00F5692D">
        <w:rPr>
          <w:sz w:val="22"/>
          <w:szCs w:val="22"/>
        </w:rPr>
        <w:t xml:space="preserve"> </w:t>
      </w:r>
      <w:r w:rsidRPr="00F5692D">
        <w:rPr>
          <w:b/>
          <w:sz w:val="22"/>
          <w:szCs w:val="22"/>
        </w:rPr>
        <w:t>VERMOX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 xml:space="preserve">Jeigu vartojate ar neseniai vartojote kitų vaistų arba dėl to nesate tikri, apie tai pasakykite gydytojui arba vaistininkui. </w:t>
      </w:r>
    </w:p>
    <w:p w:rsidR="00F63787" w:rsidRPr="00F5692D" w:rsidRDefault="00F63787" w:rsidP="00F63787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F5692D">
        <w:rPr>
          <w:rFonts w:ascii="Times New Roman" w:hAnsi="Times New Roman"/>
          <w:noProof/>
          <w:sz w:val="22"/>
          <w:szCs w:val="22"/>
          <w:lang w:val="lt-LT"/>
        </w:rPr>
        <w:t>Reikia vengti vienu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metu vartoti 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>mebendazolo ir metronidazolo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(vartojamas kai kurių bakterijų ar pirmuonių sukeltoms ligos gydyti)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 xml:space="preserve">, nes galimas sunkus šalutinis poveikis. </w:t>
      </w:r>
    </w:p>
    <w:p w:rsidR="00F63787" w:rsidRPr="00F5692D" w:rsidRDefault="00F63787" w:rsidP="00F63787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Jeigu vartojate</w:t>
      </w:r>
      <w:r>
        <w:rPr>
          <w:rFonts w:ascii="Times New Roman" w:hAnsi="Times New Roman"/>
          <w:sz w:val="22"/>
          <w:szCs w:val="22"/>
          <w:lang w:val="lt-LT"/>
        </w:rPr>
        <w:t xml:space="preserve"> kitų vaistų, pvz.,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cimetidino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 (skrandžio rūgšties kiekį mažinančio </w:t>
      </w:r>
      <w:r>
        <w:rPr>
          <w:rFonts w:ascii="Times New Roman" w:hAnsi="Times New Roman"/>
          <w:sz w:val="22"/>
          <w:szCs w:val="22"/>
          <w:lang w:val="lt-LT"/>
        </w:rPr>
        <w:t>vaisto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), informuokite apie tai gydytoją, kadangi gali tekti keisti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Vermox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 dozę.</w:t>
      </w: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</w:p>
    <w:p w:rsidR="00F63787" w:rsidRPr="00F5692D" w:rsidRDefault="00F63787" w:rsidP="00F63787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 w:rsidRPr="00F5692D">
        <w:rPr>
          <w:rFonts w:ascii="Times New Roman" w:hAnsi="Times New Roman" w:cs="Times New Roman"/>
          <w:sz w:val="22"/>
          <w:szCs w:val="22"/>
          <w:lang w:val="lt-LT"/>
        </w:rPr>
        <w:t>VERMOX vartojimas su maistu ir gėrimais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VERMOX rekomenduojama vartoti po valgio,</w:t>
      </w:r>
      <w:r>
        <w:rPr>
          <w:sz w:val="22"/>
          <w:szCs w:val="22"/>
        </w:rPr>
        <w:t xml:space="preserve"> užsigeriant vandeniu</w:t>
      </w:r>
      <w:r w:rsidRPr="00F5692D">
        <w:rPr>
          <w:sz w:val="22"/>
          <w:szCs w:val="22"/>
        </w:rPr>
        <w:t>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 xml:space="preserve">Laikytis specialios dietos arba vartoti vidurių laisvinamųjų </w:t>
      </w:r>
      <w:r>
        <w:rPr>
          <w:sz w:val="22"/>
          <w:szCs w:val="22"/>
        </w:rPr>
        <w:t>vaistų</w:t>
      </w:r>
      <w:r w:rsidRPr="00F5692D">
        <w:rPr>
          <w:sz w:val="22"/>
          <w:szCs w:val="22"/>
        </w:rPr>
        <w:t xml:space="preserve"> nereikia. </w:t>
      </w:r>
    </w:p>
    <w:p w:rsidR="00F63787" w:rsidRPr="00F5692D" w:rsidRDefault="00F63787" w:rsidP="00F63787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</w:p>
    <w:p w:rsidR="00F63787" w:rsidRPr="00F5692D" w:rsidRDefault="00F63787" w:rsidP="00F63787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 w:rsidRPr="00F5692D">
        <w:rPr>
          <w:rFonts w:ascii="Times New Roman" w:hAnsi="Times New Roman" w:cs="Times New Roman"/>
          <w:sz w:val="22"/>
          <w:szCs w:val="22"/>
          <w:lang w:val="lt-LT"/>
        </w:rPr>
        <w:t xml:space="preserve">Nėštumas ir žindymo laikotarpis </w:t>
      </w:r>
    </w:p>
    <w:p w:rsidR="00F63787" w:rsidRPr="00F5692D" w:rsidRDefault="00F63787" w:rsidP="00F6378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Jeigu esate nėščia, žindote kūdikį, manote, kad galbūt esate nėščia</w:t>
      </w:r>
      <w:r>
        <w:rPr>
          <w:rFonts w:ascii="Times New Roman" w:hAnsi="Times New Roman"/>
          <w:sz w:val="22"/>
          <w:szCs w:val="22"/>
          <w:lang w:val="lt-LT"/>
        </w:rPr>
        <w:t>,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arba planuojate pastoti, tai prieš vartodama šį vaistą</w:t>
      </w:r>
      <w:r>
        <w:rPr>
          <w:rFonts w:ascii="Times New Roman" w:hAnsi="Times New Roman"/>
          <w:sz w:val="22"/>
          <w:szCs w:val="22"/>
          <w:lang w:val="lt-LT"/>
        </w:rPr>
        <w:t>,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pasitarkite su gydytoju arba vaistininku. </w:t>
      </w:r>
    </w:p>
    <w:p w:rsidR="00F63787" w:rsidRDefault="00F63787" w:rsidP="00F6378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Jeigu esate nėščia</w:t>
      </w:r>
      <w:r>
        <w:rPr>
          <w:rFonts w:ascii="Times New Roman" w:hAnsi="Times New Roman"/>
          <w:sz w:val="22"/>
          <w:szCs w:val="22"/>
          <w:lang w:val="lt-LT"/>
        </w:rPr>
        <w:t xml:space="preserve"> arba manote, kad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esate nėščia</w:t>
      </w:r>
      <w:r>
        <w:rPr>
          <w:rFonts w:ascii="Times New Roman" w:hAnsi="Times New Roman"/>
          <w:sz w:val="22"/>
          <w:szCs w:val="22"/>
          <w:lang w:val="lt-LT"/>
        </w:rPr>
        <w:t>, šio vaisto vartoti negalima.</w:t>
      </w:r>
    </w:p>
    <w:p w:rsidR="00F63787" w:rsidRPr="00F5692D" w:rsidRDefault="00F63787" w:rsidP="00F6378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Ž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indymo laikotarpiu VERMOX galima vartoti tik gydytojui </w:t>
      </w:r>
      <w:r>
        <w:rPr>
          <w:rFonts w:ascii="Times New Roman" w:hAnsi="Times New Roman"/>
          <w:sz w:val="22"/>
          <w:szCs w:val="22"/>
          <w:lang w:val="lt-LT"/>
        </w:rPr>
        <w:t>pa</w:t>
      </w:r>
      <w:r w:rsidRPr="00F5692D">
        <w:rPr>
          <w:rFonts w:ascii="Times New Roman" w:hAnsi="Times New Roman"/>
          <w:sz w:val="22"/>
          <w:szCs w:val="22"/>
          <w:lang w:val="lt-LT"/>
        </w:rPr>
        <w:t>skyrus.</w:t>
      </w:r>
    </w:p>
    <w:p w:rsidR="00F63787" w:rsidRPr="00F5692D" w:rsidRDefault="00F63787" w:rsidP="00F63787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</w:p>
    <w:p w:rsidR="00F63787" w:rsidRPr="00F5692D" w:rsidRDefault="00F63787" w:rsidP="00F63787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 w:rsidRPr="00F5692D">
        <w:rPr>
          <w:rFonts w:ascii="Times New Roman" w:hAnsi="Times New Roman" w:cs="Times New Roman"/>
          <w:sz w:val="22"/>
          <w:szCs w:val="22"/>
          <w:lang w:val="lt-LT"/>
        </w:rPr>
        <w:t>Vairavimas ir mechanizmų valdymas</w:t>
      </w:r>
    </w:p>
    <w:p w:rsidR="00F63787" w:rsidRPr="00F5692D" w:rsidRDefault="00F63787" w:rsidP="00F6378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VERMOX gebėjimo vairuoti ir valdyti mechanizmus neveikia</w:t>
      </w:r>
      <w:r>
        <w:rPr>
          <w:rFonts w:ascii="Times New Roman" w:hAnsi="Times New Roman"/>
          <w:sz w:val="22"/>
          <w:szCs w:val="22"/>
          <w:lang w:val="lt-LT"/>
        </w:rPr>
        <w:t xml:space="preserve"> arba veikia nereikšmingai</w:t>
      </w:r>
      <w:r w:rsidRPr="00F5692D">
        <w:rPr>
          <w:rFonts w:ascii="Times New Roman" w:hAnsi="Times New Roman"/>
          <w:sz w:val="22"/>
          <w:szCs w:val="22"/>
          <w:lang w:val="lt-LT"/>
        </w:rPr>
        <w:t>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8550AE" w:rsidRDefault="00F63787" w:rsidP="00F63787">
      <w:pPr>
        <w:pStyle w:val="Pagrindinistekstas"/>
        <w:rPr>
          <w:b/>
          <w:sz w:val="22"/>
          <w:szCs w:val="22"/>
        </w:rPr>
      </w:pPr>
      <w:r w:rsidRPr="008550AE">
        <w:rPr>
          <w:b/>
          <w:sz w:val="22"/>
          <w:szCs w:val="22"/>
        </w:rPr>
        <w:t xml:space="preserve">VERMOX sudėtyje yra laktozės </w:t>
      </w:r>
      <w:proofErr w:type="spellStart"/>
      <w:r w:rsidRPr="008550AE">
        <w:rPr>
          <w:b/>
          <w:sz w:val="22"/>
          <w:szCs w:val="22"/>
        </w:rPr>
        <w:t>monohidrato</w:t>
      </w:r>
      <w:proofErr w:type="spellEnd"/>
      <w:r>
        <w:rPr>
          <w:b/>
          <w:sz w:val="22"/>
          <w:szCs w:val="22"/>
        </w:rPr>
        <w:t xml:space="preserve"> (pieno cukraus)</w:t>
      </w:r>
      <w:r w:rsidRPr="008550A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ir natrio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Jeigu gydytojas Jums yra sakęs, kad netoleruojate kokių nors angliavandenių, kreipkitės į jį prieš pradėdami vartoti šį vaistą.</w:t>
      </w:r>
      <w:r w:rsidRPr="00F5692D" w:rsidDel="003B02C1">
        <w:rPr>
          <w:sz w:val="22"/>
          <w:szCs w:val="22"/>
        </w:rPr>
        <w:t xml:space="preserve"> </w:t>
      </w:r>
    </w:p>
    <w:p w:rsidR="00F63787" w:rsidRDefault="00F63787" w:rsidP="00F63787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Kiekvienoje šio vaisto  tabletėje yra mažiau kaip 1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mmol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(23 mg) natrio,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t.y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>. jis beveik</w:t>
      </w:r>
    </w:p>
    <w:p w:rsidR="00F63787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neturi reikšmės.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Default="00F63787" w:rsidP="00F63787">
      <w:pPr>
        <w:pStyle w:val="Antrat2"/>
        <w:jc w:val="left"/>
        <w:rPr>
          <w:b/>
          <w:sz w:val="22"/>
          <w:szCs w:val="22"/>
        </w:rPr>
      </w:pPr>
    </w:p>
    <w:p w:rsidR="00F63787" w:rsidRPr="00BB5F2D" w:rsidRDefault="00F63787" w:rsidP="00F63787">
      <w:pPr>
        <w:pStyle w:val="Antrat2"/>
        <w:jc w:val="left"/>
        <w:rPr>
          <w:b/>
          <w:i/>
          <w:sz w:val="22"/>
          <w:szCs w:val="22"/>
        </w:rPr>
      </w:pPr>
      <w:r w:rsidRPr="00BB5F2D">
        <w:rPr>
          <w:b/>
          <w:sz w:val="22"/>
          <w:szCs w:val="22"/>
        </w:rPr>
        <w:t>3.</w:t>
      </w:r>
      <w:r w:rsidRPr="00BB5F2D">
        <w:rPr>
          <w:b/>
          <w:sz w:val="22"/>
          <w:szCs w:val="22"/>
        </w:rPr>
        <w:tab/>
        <w:t>Kaip vartoti VERMOX</w:t>
      </w:r>
    </w:p>
    <w:p w:rsidR="00F63787" w:rsidRPr="00F5692D" w:rsidRDefault="00F63787" w:rsidP="00F63787">
      <w:pPr>
        <w:rPr>
          <w:rFonts w:ascii="Times New Roman" w:hAnsi="Times New Roman"/>
          <w:noProof/>
          <w:sz w:val="22"/>
          <w:szCs w:val="22"/>
          <w:lang w:val="lt-LT"/>
        </w:rPr>
      </w:pPr>
    </w:p>
    <w:p w:rsidR="00F63787" w:rsidRPr="00F5692D" w:rsidRDefault="00F63787" w:rsidP="00F63787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F5692D">
        <w:rPr>
          <w:rFonts w:ascii="Times New Roman" w:hAnsi="Times New Roman"/>
          <w:noProof/>
          <w:sz w:val="22"/>
          <w:szCs w:val="22"/>
          <w:lang w:val="lt-LT"/>
        </w:rPr>
        <w:t>Visada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vartokite 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 xml:space="preserve">šį vaistą 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tiksliai, kaip nurodė gydytojas. 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 xml:space="preserve">Jeigu abejojate, kreipkitės į gydytoją arba vaistininką. 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 xml:space="preserve">Dozę ir gydymo </w:t>
      </w:r>
      <w:r>
        <w:rPr>
          <w:sz w:val="22"/>
          <w:szCs w:val="22"/>
        </w:rPr>
        <w:t xml:space="preserve">VERMOX </w:t>
      </w:r>
      <w:r w:rsidRPr="00F5692D">
        <w:rPr>
          <w:sz w:val="22"/>
          <w:szCs w:val="22"/>
        </w:rPr>
        <w:t xml:space="preserve">trukmę nustato gydytojas, atsižvelgdamas į kirmėlių rūšį. </w:t>
      </w:r>
      <w:r>
        <w:rPr>
          <w:sz w:val="22"/>
          <w:szCs w:val="22"/>
        </w:rPr>
        <w:t xml:space="preserve">Paprastai gydymas trunka 3 dienas. 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 xml:space="preserve">Vartokite tiksliai tokią </w:t>
      </w:r>
      <w:r w:rsidRPr="008550AE">
        <w:rPr>
          <w:sz w:val="22"/>
          <w:szCs w:val="22"/>
        </w:rPr>
        <w:t xml:space="preserve">VERMOX </w:t>
      </w:r>
      <w:r>
        <w:rPr>
          <w:sz w:val="22"/>
          <w:szCs w:val="22"/>
        </w:rPr>
        <w:t xml:space="preserve">dozę, kokią </w:t>
      </w:r>
      <w:r w:rsidRPr="00F5692D">
        <w:rPr>
          <w:sz w:val="22"/>
          <w:szCs w:val="22"/>
        </w:rPr>
        <w:t>nurodė gydytojas. Simptomams išnykus, būtina atlikti gydytojo paskirtą išmatų tyrimą.</w:t>
      </w:r>
    </w:p>
    <w:p w:rsidR="00F63787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Rekomenduojamos dozės nurodytos toliau.</w:t>
      </w:r>
    </w:p>
    <w:p w:rsidR="00F63787" w:rsidRPr="00F5692D" w:rsidRDefault="00F63787" w:rsidP="00F63787">
      <w:pPr>
        <w:pStyle w:val="Antrat7"/>
        <w:spacing w:before="0" w:after="0"/>
        <w:rPr>
          <w:sz w:val="22"/>
          <w:szCs w:val="22"/>
          <w:lang w:val="lt-LT"/>
        </w:rPr>
      </w:pPr>
    </w:p>
    <w:p w:rsidR="00F63787" w:rsidRPr="00F5692D" w:rsidRDefault="00F63787" w:rsidP="00F63787">
      <w:pPr>
        <w:pStyle w:val="Antrat7"/>
        <w:spacing w:before="0" w:after="0"/>
        <w:rPr>
          <w:sz w:val="22"/>
          <w:szCs w:val="22"/>
          <w:u w:val="single"/>
          <w:lang w:val="lt-LT"/>
        </w:rPr>
      </w:pPr>
      <w:r w:rsidRPr="00F5692D">
        <w:rPr>
          <w:sz w:val="22"/>
          <w:szCs w:val="22"/>
          <w:u w:val="single"/>
          <w:lang w:val="lt-LT"/>
        </w:rPr>
        <w:t xml:space="preserve">Spalinės </w:t>
      </w: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  <w:r w:rsidRPr="00D414EC">
        <w:rPr>
          <w:rFonts w:ascii="Times New Roman" w:hAnsi="Times New Roman"/>
          <w:iCs/>
          <w:sz w:val="22"/>
          <w:szCs w:val="22"/>
          <w:lang w:val="lt-LT"/>
        </w:rPr>
        <w:t>R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eikia gerti </w:t>
      </w:r>
      <w:r>
        <w:rPr>
          <w:rFonts w:ascii="Times New Roman" w:hAnsi="Times New Roman"/>
          <w:sz w:val="22"/>
          <w:szCs w:val="22"/>
          <w:lang w:val="lt-LT"/>
        </w:rPr>
        <w:t xml:space="preserve">po </w:t>
      </w:r>
      <w:r w:rsidRPr="00F5692D">
        <w:rPr>
          <w:rFonts w:ascii="Times New Roman" w:hAnsi="Times New Roman"/>
          <w:sz w:val="22"/>
          <w:szCs w:val="22"/>
          <w:lang w:val="lt-LT"/>
        </w:rPr>
        <w:t>1 tablet</w:t>
      </w:r>
      <w:r>
        <w:rPr>
          <w:rFonts w:ascii="Times New Roman" w:hAnsi="Times New Roman"/>
          <w:sz w:val="22"/>
          <w:szCs w:val="22"/>
          <w:lang w:val="lt-LT"/>
        </w:rPr>
        <w:t>ę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vieną kartą</w:t>
      </w:r>
      <w:r>
        <w:rPr>
          <w:rFonts w:ascii="Times New Roman" w:hAnsi="Times New Roman"/>
          <w:sz w:val="22"/>
          <w:szCs w:val="22"/>
          <w:lang w:val="lt-LT"/>
        </w:rPr>
        <w:t xml:space="preserve"> per parą</w:t>
      </w:r>
      <w:r w:rsidRPr="00F5692D">
        <w:rPr>
          <w:rFonts w:ascii="Times New Roman" w:hAnsi="Times New Roman"/>
          <w:sz w:val="22"/>
          <w:szCs w:val="22"/>
          <w:lang w:val="lt-LT"/>
        </w:rPr>
        <w:t>, geriau vakare.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Jei reikia, gydytojui skyrus, gydymą galima kartoti po 2 ir 4 savaičių.</w:t>
      </w:r>
    </w:p>
    <w:p w:rsidR="00F63787" w:rsidRPr="00F5692D" w:rsidRDefault="00F63787" w:rsidP="00F63787">
      <w:pPr>
        <w:rPr>
          <w:rFonts w:ascii="Times New Roman" w:hAnsi="Times New Roman"/>
          <w:bCs/>
          <w:sz w:val="22"/>
          <w:szCs w:val="22"/>
          <w:u w:val="single"/>
          <w:lang w:val="lt-LT"/>
        </w:rPr>
      </w:pPr>
    </w:p>
    <w:p w:rsidR="00F63787" w:rsidRPr="00F5692D" w:rsidRDefault="00F63787" w:rsidP="00F63787">
      <w:pPr>
        <w:rPr>
          <w:rFonts w:ascii="Times New Roman" w:hAnsi="Times New Roman"/>
          <w:bCs/>
          <w:sz w:val="22"/>
          <w:szCs w:val="22"/>
          <w:u w:val="single"/>
          <w:lang w:val="lt-LT"/>
        </w:rPr>
      </w:pPr>
      <w:proofErr w:type="spellStart"/>
      <w:r w:rsidRPr="00F5692D">
        <w:rPr>
          <w:rFonts w:ascii="Times New Roman" w:hAnsi="Times New Roman"/>
          <w:bCs/>
          <w:sz w:val="22"/>
          <w:szCs w:val="22"/>
          <w:u w:val="single"/>
          <w:lang w:val="lt-LT"/>
        </w:rPr>
        <w:t>Askaridės</w:t>
      </w:r>
      <w:proofErr w:type="spellEnd"/>
      <w:r w:rsidRPr="00F5692D">
        <w:rPr>
          <w:rFonts w:ascii="Times New Roman" w:hAnsi="Times New Roman"/>
          <w:bCs/>
          <w:sz w:val="22"/>
          <w:szCs w:val="22"/>
          <w:u w:val="single"/>
          <w:lang w:val="lt-LT"/>
        </w:rPr>
        <w:t xml:space="preserve">, </w:t>
      </w:r>
      <w:proofErr w:type="spellStart"/>
      <w:r w:rsidRPr="00F5692D">
        <w:rPr>
          <w:rFonts w:ascii="Times New Roman" w:hAnsi="Times New Roman"/>
          <w:bCs/>
          <w:sz w:val="22"/>
          <w:szCs w:val="22"/>
          <w:u w:val="single"/>
          <w:lang w:val="lt-LT"/>
        </w:rPr>
        <w:t>plaukagalviai</w:t>
      </w:r>
      <w:proofErr w:type="spellEnd"/>
      <w:r w:rsidRPr="00F5692D">
        <w:rPr>
          <w:rFonts w:ascii="Times New Roman" w:hAnsi="Times New Roman"/>
          <w:bCs/>
          <w:sz w:val="22"/>
          <w:szCs w:val="22"/>
          <w:u w:val="single"/>
          <w:lang w:val="lt-LT"/>
        </w:rPr>
        <w:t xml:space="preserve">, dvylikapirštės žarnos </w:t>
      </w:r>
      <w:proofErr w:type="spellStart"/>
      <w:r w:rsidRPr="00F5692D">
        <w:rPr>
          <w:rFonts w:ascii="Times New Roman" w:hAnsi="Times New Roman"/>
          <w:bCs/>
          <w:sz w:val="22"/>
          <w:szCs w:val="22"/>
          <w:u w:val="single"/>
          <w:lang w:val="lt-LT"/>
        </w:rPr>
        <w:t>kreivagalviai</w:t>
      </w:r>
      <w:proofErr w:type="spellEnd"/>
      <w:r w:rsidRPr="00F5692D">
        <w:rPr>
          <w:rFonts w:ascii="Times New Roman" w:hAnsi="Times New Roman"/>
          <w:bCs/>
          <w:sz w:val="22"/>
          <w:szCs w:val="22"/>
          <w:u w:val="single"/>
          <w:lang w:val="lt-LT"/>
        </w:rPr>
        <w:t xml:space="preserve"> arba užsikrėtimas kelių rūšių kirmėlėmis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D414EC">
        <w:rPr>
          <w:iCs/>
          <w:sz w:val="22"/>
          <w:szCs w:val="22"/>
        </w:rPr>
        <w:t>R</w:t>
      </w:r>
      <w:r w:rsidRPr="00F5692D">
        <w:rPr>
          <w:sz w:val="22"/>
          <w:szCs w:val="22"/>
        </w:rPr>
        <w:t xml:space="preserve">eikia gerti </w:t>
      </w:r>
      <w:r>
        <w:rPr>
          <w:sz w:val="22"/>
          <w:szCs w:val="22"/>
        </w:rPr>
        <w:t xml:space="preserve">po </w:t>
      </w:r>
      <w:r w:rsidRPr="00F5692D">
        <w:rPr>
          <w:sz w:val="22"/>
          <w:szCs w:val="22"/>
        </w:rPr>
        <w:t>1 tablet</w:t>
      </w:r>
      <w:r>
        <w:rPr>
          <w:sz w:val="22"/>
          <w:szCs w:val="22"/>
        </w:rPr>
        <w:t>ę</w:t>
      </w:r>
      <w:r w:rsidRPr="00F5692D">
        <w:rPr>
          <w:sz w:val="22"/>
          <w:szCs w:val="22"/>
        </w:rPr>
        <w:t xml:space="preserve"> ryte ir 1 tablet</w:t>
      </w:r>
      <w:r>
        <w:rPr>
          <w:sz w:val="22"/>
          <w:szCs w:val="22"/>
        </w:rPr>
        <w:t>ę</w:t>
      </w:r>
      <w:r w:rsidRPr="00F5692D">
        <w:rPr>
          <w:sz w:val="22"/>
          <w:szCs w:val="22"/>
        </w:rPr>
        <w:t xml:space="preserve"> vakare tris dienas iš eilės.</w:t>
      </w: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  <w:r w:rsidRPr="006842F4">
        <w:rPr>
          <w:rFonts w:ascii="Times New Roman" w:hAnsi="Times New Roman" w:cs="Times New Roman"/>
          <w:sz w:val="22"/>
          <w:szCs w:val="22"/>
          <w:lang w:val="lt-LT"/>
        </w:rPr>
        <w:t>Tabletes galima nuryti nekramtytas arba sukramtyti ar perlaužti, kad b</w:t>
      </w:r>
      <w:r w:rsidRPr="006842F4">
        <w:rPr>
          <w:rFonts w:ascii="Times New Roman" w:hAnsi="Times New Roman" w:cs="Times New Roman" w:hint="eastAsia"/>
          <w:sz w:val="22"/>
          <w:szCs w:val="22"/>
          <w:lang w:val="lt-LT"/>
        </w:rPr>
        <w:t>ū</w:t>
      </w:r>
      <w:r w:rsidRPr="006842F4">
        <w:rPr>
          <w:rFonts w:ascii="Times New Roman" w:hAnsi="Times New Roman" w:cs="Times New Roman"/>
          <w:sz w:val="22"/>
          <w:szCs w:val="22"/>
          <w:lang w:val="lt-LT"/>
        </w:rPr>
        <w:t>t</w:t>
      </w:r>
      <w:r w:rsidRPr="006842F4">
        <w:rPr>
          <w:rFonts w:ascii="Times New Roman" w:hAnsi="Times New Roman" w:cs="Times New Roman" w:hint="eastAsia"/>
          <w:sz w:val="22"/>
          <w:szCs w:val="22"/>
          <w:lang w:val="lt-LT"/>
        </w:rPr>
        <w:t>ų</w:t>
      </w:r>
      <w:r w:rsidRPr="006842F4">
        <w:rPr>
          <w:rFonts w:ascii="Times New Roman" w:hAnsi="Times New Roman" w:cs="Times New Roman"/>
          <w:sz w:val="22"/>
          <w:szCs w:val="22"/>
          <w:lang w:val="lt-LT"/>
        </w:rPr>
        <w:t xml:space="preserve"> lengviau nuryti, užsigeriant trupu</w:t>
      </w:r>
      <w:r w:rsidRPr="006842F4">
        <w:rPr>
          <w:rFonts w:ascii="Times New Roman" w:hAnsi="Times New Roman" w:cs="Times New Roman" w:hint="eastAsia"/>
          <w:sz w:val="22"/>
          <w:szCs w:val="22"/>
          <w:lang w:val="lt-LT"/>
        </w:rPr>
        <w:t>č</w:t>
      </w:r>
      <w:r w:rsidRPr="006842F4">
        <w:rPr>
          <w:rFonts w:ascii="Times New Roman" w:hAnsi="Times New Roman" w:cs="Times New Roman"/>
          <w:sz w:val="22"/>
          <w:szCs w:val="22"/>
          <w:lang w:val="lt-LT"/>
        </w:rPr>
        <w:t>iu vandens.</w:t>
      </w:r>
      <w:r w:rsidRPr="006842F4">
        <w:rPr>
          <w:sz w:val="22"/>
          <w:szCs w:val="22"/>
          <w:lang w:val="lt-LT"/>
        </w:rPr>
        <w:t xml:space="preserve"> 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>Vagelė skirta tik tabletei perlaužti, kad būtų lengviau nuryti, bet ne jai padalyti į lygias dozes.</w:t>
      </w:r>
      <w:r w:rsidRPr="00B62280"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t>Prieš duodant mažiems vaikams, tabletę reikia susmulkinti. Visada stebėkite vaiką, kuomet jis vartoja šio vaisto.</w:t>
      </w: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</w:p>
    <w:p w:rsidR="00F63787" w:rsidRPr="00BB5F2D" w:rsidRDefault="00F63787" w:rsidP="00F63787">
      <w:pPr>
        <w:pStyle w:val="Antrat2"/>
        <w:jc w:val="left"/>
        <w:rPr>
          <w:b/>
          <w:i/>
          <w:sz w:val="22"/>
          <w:szCs w:val="22"/>
        </w:rPr>
      </w:pPr>
      <w:r w:rsidRPr="00BB5F2D">
        <w:rPr>
          <w:b/>
          <w:sz w:val="22"/>
          <w:szCs w:val="22"/>
        </w:rPr>
        <w:lastRenderedPageBreak/>
        <w:t>Ką daryti pavartojus per didelę VERMOX dozę?</w:t>
      </w:r>
    </w:p>
    <w:p w:rsidR="00F63787" w:rsidRPr="00F5692D" w:rsidRDefault="00F63787" w:rsidP="00F6378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Jei išgėrėte per daug tablečių, nedelsdami kreipkitės į gydytoją</w:t>
      </w:r>
      <w:r>
        <w:rPr>
          <w:rFonts w:ascii="Times New Roman" w:hAnsi="Times New Roman"/>
          <w:sz w:val="22"/>
          <w:szCs w:val="22"/>
          <w:lang w:val="lt-LT"/>
        </w:rPr>
        <w:t xml:space="preserve"> arba artimiausią ligoninę</w:t>
      </w:r>
      <w:r w:rsidRPr="00F5692D">
        <w:rPr>
          <w:rFonts w:ascii="Times New Roman" w:hAnsi="Times New Roman"/>
          <w:sz w:val="22"/>
          <w:szCs w:val="22"/>
          <w:lang w:val="lt-LT"/>
        </w:rPr>
        <w:t>.</w:t>
      </w:r>
      <w:r>
        <w:rPr>
          <w:rFonts w:ascii="Times New Roman" w:hAnsi="Times New Roman"/>
          <w:sz w:val="22"/>
          <w:szCs w:val="22"/>
          <w:lang w:val="lt-LT"/>
        </w:rPr>
        <w:t xml:space="preserve"> Kartu pasiimkite vaisto dėžutę ir šį pakuotės lapelį.</w:t>
      </w: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Pavartojus per didelę VERMOX dozę, gali atsirasti pilvo dieglių, pykinimas, vėmimas, viduriavimas. Pacientams, kurie ilgai buvo gydomi didelėmis dozėmis,</w:t>
      </w:r>
      <w:r w:rsidRPr="00F5692D" w:rsidDel="004809ED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pasireiškia ,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glomerulonefritas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(inkstų uždegimas) 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ir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agranulocitozė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F5692D">
        <w:rPr>
          <w:rFonts w:ascii="Times New Roman" w:hAnsi="Times New Roman"/>
          <w:sz w:val="22"/>
          <w:szCs w:val="22"/>
          <w:lang w:val="lt-LT"/>
        </w:rPr>
        <w:t>(</w:t>
      </w:r>
      <w:r>
        <w:rPr>
          <w:rFonts w:ascii="Times New Roman" w:hAnsi="Times New Roman"/>
          <w:sz w:val="22"/>
          <w:szCs w:val="22"/>
          <w:lang w:val="lt-LT"/>
        </w:rPr>
        <w:t xml:space="preserve">ženklus </w:t>
      </w:r>
      <w:r w:rsidRPr="00F5692D">
        <w:rPr>
          <w:rFonts w:ascii="Times New Roman" w:hAnsi="Times New Roman"/>
          <w:sz w:val="22"/>
          <w:szCs w:val="22"/>
          <w:lang w:val="lt-LT"/>
        </w:rPr>
        <w:t>baltųjų kraujo ląstelių skaičiaus sumažėjimas).</w:t>
      </w:r>
      <w:r>
        <w:rPr>
          <w:rFonts w:ascii="Times New Roman" w:hAnsi="Times New Roman"/>
          <w:sz w:val="22"/>
          <w:szCs w:val="22"/>
          <w:lang w:val="lt-LT"/>
        </w:rPr>
        <w:t xml:space="preserve"> Šie simptomai tikėtini ir pavartojus per didelę dozę.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Specifinio priešnuodžio nėra. Jei nuo vaisto pavartojimo praėjo mažiau nei valanda, galima plauti skrandį. Jei reikia, galima išgerti aktyvintosios anglies.</w:t>
      </w:r>
    </w:p>
    <w:p w:rsidR="00F63787" w:rsidRDefault="00F63787" w:rsidP="00F63787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</w:p>
    <w:p w:rsidR="00F63787" w:rsidRPr="00086563" w:rsidRDefault="00F63787" w:rsidP="00F63787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086563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Pamiršus pavartoti </w:t>
      </w:r>
      <w:r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VERMOX</w:t>
      </w:r>
    </w:p>
    <w:p w:rsidR="00F63787" w:rsidRPr="00086563" w:rsidRDefault="00F63787" w:rsidP="00F63787">
      <w:pPr>
        <w:numPr>
          <w:ilvl w:val="12"/>
          <w:numId w:val="0"/>
        </w:numPr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086563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Negalima vartoti dvigubos dozės norint kompensuoti praleistą 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t</w:t>
      </w:r>
      <w:r w:rsidRPr="00086563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abletę.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Kitą dozę išgerkite įprastu laiku ir vėliau vartokite taip, kaip skyrė gydytojas.</w:t>
      </w:r>
    </w:p>
    <w:p w:rsidR="00F63787" w:rsidRPr="00086563" w:rsidRDefault="00F63787" w:rsidP="00F63787">
      <w:pPr>
        <w:numPr>
          <w:ilvl w:val="12"/>
          <w:numId w:val="0"/>
        </w:numPr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</w:p>
    <w:p w:rsidR="00F63787" w:rsidRDefault="00F63787" w:rsidP="00F63787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086563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Nustojus vartoti </w:t>
      </w:r>
      <w:r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VERMOX</w:t>
      </w:r>
    </w:p>
    <w:p w:rsidR="00F63787" w:rsidRPr="00D414EC" w:rsidRDefault="00F63787" w:rsidP="00F63787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Cs/>
          <w:snapToGrid w:val="0"/>
          <w:sz w:val="22"/>
          <w:szCs w:val="28"/>
          <w:lang w:val="lt-LT" w:eastAsia="x-none"/>
        </w:rPr>
      </w:pPr>
      <w:r w:rsidRPr="00D414EC">
        <w:rPr>
          <w:rFonts w:ascii="Times New Roman" w:hAnsi="Times New Roman" w:cs="Times New Roman"/>
          <w:bCs/>
          <w:snapToGrid w:val="0"/>
          <w:sz w:val="22"/>
          <w:szCs w:val="28"/>
          <w:lang w:val="lt-LT" w:eastAsia="x-none"/>
        </w:rPr>
        <w:t>Tokiu atveju gali sumažėti vaist</w:t>
      </w:r>
      <w:r>
        <w:rPr>
          <w:rFonts w:ascii="Times New Roman" w:hAnsi="Times New Roman" w:cs="Times New Roman"/>
          <w:bCs/>
          <w:snapToGrid w:val="0"/>
          <w:sz w:val="22"/>
          <w:szCs w:val="28"/>
          <w:lang w:val="lt-LT" w:eastAsia="x-none"/>
        </w:rPr>
        <w:t>o</w:t>
      </w:r>
      <w:r w:rsidRPr="00D414EC">
        <w:rPr>
          <w:rFonts w:ascii="Times New Roman" w:hAnsi="Times New Roman" w:cs="Times New Roman"/>
          <w:bCs/>
          <w:snapToGrid w:val="0"/>
          <w:sz w:val="22"/>
          <w:szCs w:val="28"/>
          <w:lang w:val="lt-LT" w:eastAsia="x-none"/>
        </w:rPr>
        <w:t xml:space="preserve"> veiksmingumas.</w:t>
      </w:r>
    </w:p>
    <w:p w:rsidR="00F63787" w:rsidRPr="00086563" w:rsidRDefault="00F63787" w:rsidP="00F63787">
      <w:pPr>
        <w:pStyle w:val="Pagrindinistekstas"/>
        <w:rPr>
          <w:sz w:val="22"/>
          <w:szCs w:val="22"/>
        </w:rPr>
      </w:pPr>
    </w:p>
    <w:p w:rsidR="00F63787" w:rsidRPr="008550AE" w:rsidRDefault="00F63787" w:rsidP="00F63787">
      <w:pPr>
        <w:pStyle w:val="Pagrindinistekstas"/>
        <w:rPr>
          <w:sz w:val="22"/>
          <w:szCs w:val="22"/>
        </w:rPr>
      </w:pPr>
      <w:r w:rsidRPr="008550AE">
        <w:rPr>
          <w:sz w:val="22"/>
          <w:szCs w:val="22"/>
        </w:rPr>
        <w:t>Jeigu kiltų daugiau klausimų dėl šio vaisto vartojimo, kreipkitės į gydytoją arba vaistininką.</w:t>
      </w:r>
    </w:p>
    <w:p w:rsidR="00F63787" w:rsidRPr="008550AE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BB5F2D" w:rsidRDefault="00F63787" w:rsidP="00F63787">
      <w:pPr>
        <w:pStyle w:val="Antrat2"/>
        <w:jc w:val="left"/>
        <w:rPr>
          <w:b/>
          <w:i/>
          <w:sz w:val="22"/>
          <w:szCs w:val="22"/>
        </w:rPr>
      </w:pPr>
      <w:r w:rsidRPr="00BB5F2D">
        <w:rPr>
          <w:b/>
          <w:sz w:val="22"/>
          <w:szCs w:val="22"/>
        </w:rPr>
        <w:t>4.</w:t>
      </w:r>
      <w:r w:rsidRPr="00BB5F2D">
        <w:rPr>
          <w:b/>
          <w:sz w:val="22"/>
          <w:szCs w:val="22"/>
        </w:rPr>
        <w:tab/>
        <w:t>Galimas šalutinis poveikis</w:t>
      </w:r>
    </w:p>
    <w:p w:rsidR="00F63787" w:rsidRPr="00BB5F2D" w:rsidRDefault="00F63787" w:rsidP="00F63787">
      <w:pPr>
        <w:pStyle w:val="Pagrindinistekstas"/>
        <w:rPr>
          <w:b/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Šis vaistas, kaip ir visi kiti, gali sukelti šalutinį poveikį, nors jis pasireiškia ne visiems žmonėms.</w:t>
      </w:r>
    </w:p>
    <w:p w:rsidR="00F63787" w:rsidRDefault="00F63787" w:rsidP="00F63787">
      <w:pPr>
        <w:pStyle w:val="Pagrindinistekstas"/>
        <w:rPr>
          <w:sz w:val="22"/>
          <w:szCs w:val="22"/>
        </w:rPr>
      </w:pPr>
    </w:p>
    <w:p w:rsidR="00F63787" w:rsidRDefault="00F63787" w:rsidP="00F63787">
      <w:pPr>
        <w:pStyle w:val="Pagrindinistekstas"/>
        <w:rPr>
          <w:sz w:val="22"/>
          <w:szCs w:val="22"/>
        </w:rPr>
      </w:pPr>
      <w:r w:rsidRPr="002971EA">
        <w:rPr>
          <w:b/>
          <w:sz w:val="22"/>
          <w:szCs w:val="22"/>
        </w:rPr>
        <w:t>Nedažni šalutinio poveikio reiškiniai</w:t>
      </w:r>
      <w:r w:rsidRPr="008550AE">
        <w:rPr>
          <w:sz w:val="22"/>
          <w:szCs w:val="22"/>
        </w:rPr>
        <w:t xml:space="preserve"> </w:t>
      </w:r>
      <w:r w:rsidRPr="002971EA">
        <w:rPr>
          <w:b/>
          <w:sz w:val="22"/>
          <w:szCs w:val="22"/>
        </w:rPr>
        <w:t>(gali pasireikšti rečiau kaip 1 iš 100 asmenų):</w:t>
      </w:r>
      <w:r w:rsidRPr="008550AE">
        <w:rPr>
          <w:sz w:val="22"/>
          <w:szCs w:val="22"/>
        </w:rPr>
        <w:t xml:space="preserve"> </w:t>
      </w:r>
      <w:r w:rsidRPr="00F5692D">
        <w:rPr>
          <w:sz w:val="22"/>
          <w:szCs w:val="22"/>
        </w:rPr>
        <w:t xml:space="preserve">nemalonūs jutimai </w:t>
      </w:r>
      <w:r>
        <w:rPr>
          <w:sz w:val="22"/>
          <w:szCs w:val="22"/>
        </w:rPr>
        <w:t>pilv</w:t>
      </w:r>
      <w:r w:rsidRPr="00F5692D">
        <w:rPr>
          <w:sz w:val="22"/>
          <w:szCs w:val="22"/>
        </w:rPr>
        <w:t xml:space="preserve">e, pilvo pūtimas, viduriavimas ir </w:t>
      </w:r>
      <w:r>
        <w:rPr>
          <w:sz w:val="22"/>
          <w:szCs w:val="22"/>
        </w:rPr>
        <w:t>iš</w:t>
      </w:r>
      <w:r w:rsidRPr="00F5692D">
        <w:rPr>
          <w:sz w:val="22"/>
          <w:szCs w:val="22"/>
        </w:rPr>
        <w:t>bėrimas.</w:t>
      </w:r>
    </w:p>
    <w:p w:rsidR="00F63787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2971EA">
        <w:rPr>
          <w:b/>
          <w:sz w:val="22"/>
          <w:szCs w:val="22"/>
        </w:rPr>
        <w:t xml:space="preserve">Šalutinio poveikio reiškiniai, kurių </w:t>
      </w:r>
      <w:r>
        <w:rPr>
          <w:b/>
          <w:sz w:val="22"/>
          <w:szCs w:val="22"/>
        </w:rPr>
        <w:t xml:space="preserve"> </w:t>
      </w:r>
      <w:r w:rsidRPr="002971EA">
        <w:rPr>
          <w:b/>
          <w:sz w:val="22"/>
          <w:szCs w:val="22"/>
        </w:rPr>
        <w:t>dažnis nežinomas (negali būti apskaičiuotas pagal turimus duomenis)</w:t>
      </w:r>
      <w:r>
        <w:rPr>
          <w:sz w:val="22"/>
          <w:szCs w:val="22"/>
        </w:rPr>
        <w:t>: tam tikrų baltųjų kraujo ląstelių, vadinamų leukocitais, sumažėjimas (</w:t>
      </w:r>
      <w:proofErr w:type="spellStart"/>
      <w:r>
        <w:rPr>
          <w:sz w:val="22"/>
          <w:szCs w:val="22"/>
        </w:rPr>
        <w:t>neutropenija</w:t>
      </w:r>
      <w:proofErr w:type="spellEnd"/>
      <w:r>
        <w:rPr>
          <w:sz w:val="22"/>
          <w:szCs w:val="22"/>
        </w:rPr>
        <w:t xml:space="preserve">), dėl kurio gali padažnėti infekcijos, alerginės reakcijos, įskaitant anafilaksines ir </w:t>
      </w:r>
      <w:proofErr w:type="spellStart"/>
      <w:r>
        <w:rPr>
          <w:sz w:val="22"/>
          <w:szCs w:val="22"/>
        </w:rPr>
        <w:t>anafilaktoidines</w:t>
      </w:r>
      <w:proofErr w:type="spellEnd"/>
      <w:r>
        <w:rPr>
          <w:sz w:val="22"/>
          <w:szCs w:val="22"/>
        </w:rPr>
        <w:t xml:space="preserve"> reakcijas, traukuliai, svaigulys, pilvo skausmas, pykinimas, vėmimas, kepenų funkcijos sutrikimai, kepenų uždegimas (hepatitas), </w:t>
      </w:r>
      <w:r w:rsidRPr="0014050F">
        <w:rPr>
          <w:sz w:val="22"/>
          <w:szCs w:val="22"/>
        </w:rPr>
        <w:t>to</w:t>
      </w:r>
      <w:r w:rsidRPr="00C161C3">
        <w:rPr>
          <w:sz w:val="22"/>
          <w:szCs w:val="22"/>
        </w:rPr>
        <w:t>ksinė epiderm</w:t>
      </w:r>
      <w:r w:rsidRPr="00D02A63">
        <w:rPr>
          <w:sz w:val="22"/>
          <w:szCs w:val="22"/>
        </w:rPr>
        <w:t>i</w:t>
      </w:r>
      <w:r w:rsidRPr="0014050F">
        <w:rPr>
          <w:sz w:val="22"/>
          <w:szCs w:val="22"/>
        </w:rPr>
        <w:t>o</w:t>
      </w:r>
      <w:r w:rsidRPr="00D02A63">
        <w:rPr>
          <w:sz w:val="22"/>
          <w:szCs w:val="22"/>
        </w:rPr>
        <w:t xml:space="preserve"> </w:t>
      </w:r>
      <w:proofErr w:type="spellStart"/>
      <w:r w:rsidRPr="00D02A63">
        <w:rPr>
          <w:sz w:val="22"/>
          <w:szCs w:val="22"/>
        </w:rPr>
        <w:t>nekro</w:t>
      </w:r>
      <w:r w:rsidRPr="0014050F">
        <w:rPr>
          <w:sz w:val="22"/>
          <w:szCs w:val="22"/>
        </w:rPr>
        <w:t>li</w:t>
      </w:r>
      <w:r w:rsidRPr="00C161C3">
        <w:rPr>
          <w:sz w:val="22"/>
          <w:szCs w:val="22"/>
        </w:rPr>
        <w:t>zė</w:t>
      </w:r>
      <w:proofErr w:type="spellEnd"/>
      <w:r>
        <w:rPr>
          <w:sz w:val="22"/>
          <w:szCs w:val="22"/>
        </w:rPr>
        <w:t xml:space="preserve"> (sunki liga su odos pūslėmis, odos lupimasis, apėmęs daugiau nei 30 proc. kūno paviršiaus), </w:t>
      </w:r>
      <w:r w:rsidRPr="00F82F44">
        <w:rPr>
          <w:noProof/>
          <w:sz w:val="22"/>
          <w:szCs w:val="22"/>
        </w:rPr>
        <w:t xml:space="preserve">Stivenso – Džonsono </w:t>
      </w:r>
      <w:r w:rsidRPr="0014050F">
        <w:rPr>
          <w:sz w:val="22"/>
          <w:szCs w:val="22"/>
        </w:rPr>
        <w:t>sindromas</w:t>
      </w:r>
      <w:r>
        <w:rPr>
          <w:sz w:val="22"/>
          <w:szCs w:val="22"/>
        </w:rPr>
        <w:t xml:space="preserve"> (sunki liga su odos, burnos, akių ar genitalijų pūslėmis ir odos lupimusi), odos išbėrimas, </w:t>
      </w:r>
      <w:proofErr w:type="spellStart"/>
      <w:r w:rsidRPr="00D02A63">
        <w:rPr>
          <w:sz w:val="22"/>
          <w:szCs w:val="22"/>
        </w:rPr>
        <w:t>angio</w:t>
      </w:r>
      <w:r>
        <w:rPr>
          <w:sz w:val="22"/>
          <w:szCs w:val="22"/>
        </w:rPr>
        <w:t>neurozinė</w:t>
      </w:r>
      <w:proofErr w:type="spellEnd"/>
      <w:r>
        <w:rPr>
          <w:sz w:val="22"/>
          <w:szCs w:val="22"/>
        </w:rPr>
        <w:t xml:space="preserve"> </w:t>
      </w:r>
      <w:r w:rsidRPr="00D02A63">
        <w:rPr>
          <w:sz w:val="22"/>
          <w:szCs w:val="22"/>
        </w:rPr>
        <w:t>edema</w:t>
      </w:r>
      <w:r>
        <w:rPr>
          <w:sz w:val="22"/>
          <w:szCs w:val="22"/>
        </w:rPr>
        <w:t xml:space="preserve"> (pasireiškia</w:t>
      </w:r>
      <w:r w:rsidRPr="00D02A63">
        <w:rPr>
          <w:sz w:val="22"/>
          <w:szCs w:val="22"/>
        </w:rPr>
        <w:t xml:space="preserve"> veido, </w:t>
      </w:r>
      <w:r>
        <w:rPr>
          <w:sz w:val="22"/>
          <w:szCs w:val="22"/>
        </w:rPr>
        <w:t>ryklės</w:t>
      </w:r>
      <w:r w:rsidRPr="00D02A63">
        <w:rPr>
          <w:sz w:val="22"/>
          <w:szCs w:val="22"/>
        </w:rPr>
        <w:t>, burnos</w:t>
      </w:r>
      <w:r>
        <w:rPr>
          <w:sz w:val="22"/>
          <w:szCs w:val="22"/>
        </w:rPr>
        <w:t>, gerklų pabrinkimu, pasunkėjusiu kvėpavimu), dilgėlinė, plaukų slinkimas.</w:t>
      </w:r>
    </w:p>
    <w:p w:rsidR="00F63787" w:rsidRPr="00D414EC" w:rsidRDefault="00F63787" w:rsidP="00F63787">
      <w:pPr>
        <w:pStyle w:val="Pagrindinistekstas"/>
        <w:rPr>
          <w:sz w:val="22"/>
          <w:szCs w:val="22"/>
        </w:rPr>
      </w:pPr>
    </w:p>
    <w:p w:rsidR="00F63787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 xml:space="preserve">Kaip ir kiti vaistai, VERMOX gali sukelti organizmo padidėjusio jautrumo (alerginių) reakcijų, todėl atsiradus odos </w:t>
      </w:r>
      <w:r>
        <w:rPr>
          <w:sz w:val="22"/>
          <w:szCs w:val="22"/>
        </w:rPr>
        <w:t>iš</w:t>
      </w:r>
      <w:r w:rsidRPr="00F5692D">
        <w:rPr>
          <w:sz w:val="22"/>
          <w:szCs w:val="22"/>
        </w:rPr>
        <w:t xml:space="preserve">bėrimui, dilgėlinei ar </w:t>
      </w:r>
      <w:proofErr w:type="spellStart"/>
      <w:r w:rsidRPr="00F5692D">
        <w:rPr>
          <w:sz w:val="22"/>
          <w:szCs w:val="22"/>
        </w:rPr>
        <w:t>angio</w:t>
      </w:r>
      <w:r>
        <w:rPr>
          <w:sz w:val="22"/>
          <w:szCs w:val="22"/>
        </w:rPr>
        <w:t>neurozinei</w:t>
      </w:r>
      <w:proofErr w:type="spellEnd"/>
      <w:r>
        <w:rPr>
          <w:sz w:val="22"/>
          <w:szCs w:val="22"/>
        </w:rPr>
        <w:t xml:space="preserve"> </w:t>
      </w:r>
      <w:r w:rsidRPr="00F5692D">
        <w:rPr>
          <w:sz w:val="22"/>
          <w:szCs w:val="22"/>
        </w:rPr>
        <w:t>edemai (alerginiam pabrinkimui), nedelsdami kreipkitės į gydytoją.</w:t>
      </w:r>
    </w:p>
    <w:p w:rsidR="00F63787" w:rsidRDefault="00F63787" w:rsidP="00F63787">
      <w:pPr>
        <w:tabs>
          <w:tab w:val="left" w:pos="567"/>
        </w:tabs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</w:p>
    <w:p w:rsidR="00F63787" w:rsidRPr="005C1F7C" w:rsidRDefault="00F63787" w:rsidP="00F63787">
      <w:pPr>
        <w:tabs>
          <w:tab w:val="left" w:pos="567"/>
        </w:tabs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</w:pPr>
      <w:r w:rsidRPr="004809ED"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  <w:t>Ilgą laiką vartojant dideles dozes pasireišk</w:t>
      </w:r>
      <w:r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  <w:t xml:space="preserve">ė </w:t>
      </w:r>
      <w:r w:rsidRPr="004809ED"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  <w:t>šie šalutini</w:t>
      </w:r>
      <w:r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  <w:t>o</w:t>
      </w:r>
      <w:r w:rsidRPr="004809ED"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  <w:t xml:space="preserve"> poveiki</w:t>
      </w:r>
      <w:r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  <w:t xml:space="preserve">o reiškiniai, kurių </w:t>
      </w:r>
      <w:r w:rsidRPr="002971EA">
        <w:rPr>
          <w:rFonts w:ascii="Times New Roman" w:hAnsi="Times New Roman" w:cs="Times New Roman"/>
          <w:i/>
          <w:sz w:val="22"/>
          <w:szCs w:val="22"/>
          <w:lang w:val="lt-LT"/>
        </w:rPr>
        <w:t>dažnis nežinomas (negali būti apskaičiuotas pagal turimus duomenis):</w:t>
      </w:r>
    </w:p>
    <w:p w:rsidR="00F63787" w:rsidRDefault="00F63787" w:rsidP="00F63787">
      <w:pPr>
        <w:tabs>
          <w:tab w:val="left" w:pos="567"/>
        </w:tabs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5C1F7C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- agranulocitozė (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ženklus baltųjų kraujo ląstelių sumažėjimas, dėl kurio gali pasireikšti infekcijos)</w:t>
      </w:r>
    </w:p>
    <w:p w:rsidR="00F63787" w:rsidRPr="005C1F7C" w:rsidRDefault="00F63787" w:rsidP="00F63787">
      <w:pPr>
        <w:tabs>
          <w:tab w:val="left" w:pos="567"/>
        </w:tabs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- glomerulonefritas (inkstų uždegimas).</w:t>
      </w:r>
    </w:p>
    <w:p w:rsidR="00F63787" w:rsidRDefault="00F63787" w:rsidP="00F63787">
      <w:pPr>
        <w:numPr>
          <w:ilvl w:val="12"/>
          <w:numId w:val="0"/>
        </w:numPr>
        <w:tabs>
          <w:tab w:val="left" w:pos="567"/>
        </w:tabs>
        <w:ind w:right="-22"/>
        <w:outlineLvl w:val="0"/>
        <w:rPr>
          <w:rFonts w:ascii="Times New Roman" w:hAnsi="Times New Roman" w:cs="Times New Roman"/>
          <w:b/>
          <w:snapToGrid w:val="0"/>
          <w:sz w:val="22"/>
          <w:lang w:val="lt-LT"/>
        </w:rPr>
      </w:pPr>
    </w:p>
    <w:p w:rsidR="00F63787" w:rsidRPr="005C1F7C" w:rsidRDefault="00F63787" w:rsidP="00F63787">
      <w:pPr>
        <w:numPr>
          <w:ilvl w:val="12"/>
          <w:numId w:val="0"/>
        </w:numPr>
        <w:tabs>
          <w:tab w:val="left" w:pos="567"/>
        </w:tabs>
        <w:ind w:right="-22"/>
        <w:outlineLvl w:val="0"/>
        <w:rPr>
          <w:rFonts w:ascii="Times New Roman" w:hAnsi="Times New Roman" w:cs="Times New Roman"/>
          <w:b/>
          <w:sz w:val="22"/>
          <w:lang w:val="lt-LT"/>
        </w:rPr>
      </w:pPr>
      <w:r w:rsidRPr="005C1F7C">
        <w:rPr>
          <w:rFonts w:ascii="Times New Roman" w:hAnsi="Times New Roman" w:cs="Times New Roman"/>
          <w:b/>
          <w:snapToGrid w:val="0"/>
          <w:sz w:val="22"/>
          <w:lang w:val="lt-LT"/>
        </w:rPr>
        <w:t>Pranešimas apie šalutinį poveikį</w:t>
      </w:r>
    </w:p>
    <w:p w:rsidR="00F63787" w:rsidRPr="007D0725" w:rsidRDefault="00F63787" w:rsidP="00F63787">
      <w:pPr>
        <w:tabs>
          <w:tab w:val="left" w:pos="567"/>
        </w:tabs>
        <w:ind w:right="-29"/>
        <w:rPr>
          <w:rFonts w:ascii="Times New Roman" w:hAnsi="Times New Roman" w:cs="Times New Roman"/>
          <w:noProof/>
          <w:snapToGrid w:val="0"/>
          <w:sz w:val="22"/>
          <w:lang w:val="lt-LT"/>
        </w:rPr>
      </w:pPr>
      <w:r w:rsidRPr="007D0725">
        <w:rPr>
          <w:rFonts w:ascii="Times New Roman" w:hAnsi="Times New Roman" w:cs="Times New Roman"/>
          <w:sz w:val="22"/>
          <w:szCs w:val="22"/>
          <w:lang w:val="lt-LT" w:eastAsia="lt-LT"/>
        </w:rPr>
        <w:t>Jeigu pasireiškė šalutinis poveikis, įskaitant šiame lapelyje nenurodytą, pasakykite gydytojui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r w:rsidRPr="007D0725">
        <w:rPr>
          <w:rFonts w:ascii="Times New Roman" w:hAnsi="Times New Roman" w:cs="Times New Roman"/>
          <w:sz w:val="22"/>
          <w:szCs w:val="22"/>
          <w:lang w:val="lt-LT" w:eastAsia="lt-LT"/>
        </w:rPr>
        <w:t>arba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r w:rsidRPr="007D0725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7D0725">
        <w:rPr>
          <w:rFonts w:ascii="Times New Roman" w:hAnsi="Times New Roman" w:cs="Times New Roman"/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7D0725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saugumą.“</w:t>
      </w:r>
    </w:p>
    <w:p w:rsidR="00F63787" w:rsidRPr="007D0725" w:rsidRDefault="00F63787" w:rsidP="00F63787">
      <w:pPr>
        <w:tabs>
          <w:tab w:val="left" w:pos="567"/>
        </w:tabs>
        <w:ind w:right="-29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:rsidR="00F63787" w:rsidRPr="00F5692D" w:rsidRDefault="00F63787" w:rsidP="00F63787">
      <w:pPr>
        <w:pStyle w:val="Pagrindinistekstas"/>
        <w:rPr>
          <w:b/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BB5F2D" w:rsidRDefault="00F63787" w:rsidP="00F63787">
      <w:pPr>
        <w:pStyle w:val="Antrat2"/>
        <w:jc w:val="left"/>
        <w:rPr>
          <w:b/>
          <w:i/>
          <w:sz w:val="22"/>
          <w:szCs w:val="22"/>
        </w:rPr>
      </w:pPr>
      <w:r w:rsidRPr="00BB5F2D">
        <w:rPr>
          <w:b/>
          <w:sz w:val="22"/>
          <w:szCs w:val="22"/>
        </w:rPr>
        <w:lastRenderedPageBreak/>
        <w:t>5.</w:t>
      </w:r>
      <w:r w:rsidRPr="00BB5F2D">
        <w:rPr>
          <w:b/>
          <w:sz w:val="22"/>
          <w:szCs w:val="22"/>
        </w:rPr>
        <w:tab/>
        <w:t xml:space="preserve">Kaip laikyti VERMOX </w:t>
      </w:r>
    </w:p>
    <w:p w:rsidR="00F63787" w:rsidRPr="00F5692D" w:rsidRDefault="00F63787" w:rsidP="00F63787">
      <w:pPr>
        <w:pStyle w:val="Pagrindinistekstas"/>
        <w:rPr>
          <w:b/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Šį vaistą laikykite vaikams nepastebimoje ir nepasiekiamoje vietoje.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  <w:r w:rsidRPr="00F5692D">
        <w:rPr>
          <w:sz w:val="22"/>
          <w:szCs w:val="22"/>
        </w:rPr>
        <w:t>Šiam vaist</w:t>
      </w:r>
      <w:r>
        <w:rPr>
          <w:sz w:val="22"/>
          <w:szCs w:val="22"/>
        </w:rPr>
        <w:t>ui</w:t>
      </w:r>
      <w:r w:rsidRPr="00F5692D">
        <w:rPr>
          <w:sz w:val="22"/>
          <w:szCs w:val="22"/>
        </w:rPr>
        <w:t xml:space="preserve"> specialių laikymo sąlygų nereikia.</w:t>
      </w:r>
    </w:p>
    <w:p w:rsidR="00F63787" w:rsidRPr="00F5692D" w:rsidRDefault="00F63787" w:rsidP="00F63787">
      <w:pPr>
        <w:pStyle w:val="BTEMEASMCA"/>
      </w:pPr>
      <w:r w:rsidRPr="00F5692D">
        <w:t>Ant dėžutės po „Tinka iki” ir ant lizdinės plokštelės nurodytam tinkamumo laikui pasibaigus, šio vaisto vartoti negalima. Vaistas tinkamas vartoti iki paskutinės nurodyto mėnesio dienos.</w:t>
      </w:r>
    </w:p>
    <w:p w:rsidR="00F63787" w:rsidRPr="00F5692D" w:rsidRDefault="00F63787" w:rsidP="00F63787">
      <w:pPr>
        <w:pStyle w:val="BTEMEASMCA"/>
      </w:pPr>
    </w:p>
    <w:p w:rsidR="00F63787" w:rsidRPr="00F5692D" w:rsidRDefault="00F63787" w:rsidP="00F63787">
      <w:pPr>
        <w:pStyle w:val="BTEMEASMCA"/>
      </w:pPr>
      <w:r w:rsidRPr="00F5692D">
        <w:t>Vaistų negalima išmesti į kanalizaciją arba su buitinėmis atliekomis. Kaip išmesti nereikalingus vaistus, klauskite vaistininko. Šios priemonės padės apsaugoti aplinką.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I-1EMEASMCA"/>
      </w:pPr>
      <w:bookmarkStart w:id="0" w:name="_Toc129243144"/>
      <w:bookmarkStart w:id="1" w:name="_Toc129243269"/>
      <w:r w:rsidRPr="00F5692D">
        <w:t>6.</w:t>
      </w:r>
      <w:r w:rsidRPr="00F5692D">
        <w:tab/>
        <w:t>Pakuotės turinys ir kita informacija</w:t>
      </w:r>
      <w:bookmarkEnd w:id="0"/>
      <w:bookmarkEnd w:id="1"/>
    </w:p>
    <w:p w:rsidR="00F63787" w:rsidRPr="00F5692D" w:rsidRDefault="00F63787" w:rsidP="00F63787">
      <w:pPr>
        <w:pStyle w:val="BTEMEASMCA"/>
      </w:pPr>
    </w:p>
    <w:p w:rsidR="00F63787" w:rsidRPr="00F5692D" w:rsidRDefault="00F63787" w:rsidP="00F63787">
      <w:pPr>
        <w:pStyle w:val="PI-3EMEASMCA"/>
        <w:rPr>
          <w:rFonts w:ascii="Times New Roman" w:hAnsi="Times New Roman"/>
          <w:lang w:val="lt-LT"/>
        </w:rPr>
      </w:pPr>
      <w:r w:rsidRPr="00F5692D">
        <w:rPr>
          <w:rFonts w:ascii="Times New Roman" w:hAnsi="Times New Roman"/>
          <w:lang w:val="lt-LT"/>
        </w:rPr>
        <w:t>VERMOX sudėtis</w:t>
      </w:r>
    </w:p>
    <w:p w:rsidR="00F63787" w:rsidRPr="00F5692D" w:rsidRDefault="00F63787" w:rsidP="00F6378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-</w:t>
      </w:r>
      <w:r w:rsidRPr="00F5692D">
        <w:rPr>
          <w:rFonts w:ascii="Times New Roman" w:hAnsi="Times New Roman"/>
          <w:sz w:val="22"/>
          <w:szCs w:val="22"/>
          <w:lang w:val="lt-LT"/>
        </w:rPr>
        <w:tab/>
        <w:t xml:space="preserve">Veiklioji medžiaga yra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mebendazolas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. Kiekvienoje tabletėje yra 100 mg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mebendazolo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>.</w:t>
      </w:r>
    </w:p>
    <w:p w:rsidR="00F63787" w:rsidRPr="00F5692D" w:rsidRDefault="00F63787" w:rsidP="00F6378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-</w:t>
      </w:r>
      <w:r w:rsidRPr="00F5692D">
        <w:rPr>
          <w:rFonts w:ascii="Times New Roman" w:hAnsi="Times New Roman"/>
          <w:sz w:val="22"/>
          <w:szCs w:val="22"/>
          <w:lang w:val="lt-LT"/>
        </w:rPr>
        <w:tab/>
        <w:t xml:space="preserve">Pagalbinės medžiagos yra natrio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laurilsulfatas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, koloidinis bevandenis silicio dioksidas, magnio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stearatas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, sacharino natrio druska, talkas, kukurūzų krakmolas, laktozė </w:t>
      </w:r>
      <w:proofErr w:type="spellStart"/>
      <w:r w:rsidRPr="00F5692D">
        <w:rPr>
          <w:rFonts w:ascii="Times New Roman" w:hAnsi="Times New Roman"/>
          <w:sz w:val="22"/>
          <w:szCs w:val="22"/>
          <w:lang w:val="lt-LT"/>
        </w:rPr>
        <w:t>monohidratas</w:t>
      </w:r>
      <w:proofErr w:type="spellEnd"/>
      <w:r w:rsidRPr="00F5692D">
        <w:rPr>
          <w:rFonts w:ascii="Times New Roman" w:hAnsi="Times New Roman"/>
          <w:sz w:val="22"/>
          <w:szCs w:val="22"/>
          <w:lang w:val="lt-LT"/>
        </w:rPr>
        <w:t xml:space="preserve">. </w:t>
      </w:r>
    </w:p>
    <w:p w:rsidR="00F63787" w:rsidRPr="00F5692D" w:rsidRDefault="00F63787" w:rsidP="00F63787">
      <w:pPr>
        <w:pStyle w:val="PI-3EMEASMCA"/>
        <w:rPr>
          <w:rFonts w:ascii="Times New Roman" w:hAnsi="Times New Roman"/>
          <w:lang w:val="lt-LT"/>
        </w:rPr>
      </w:pPr>
    </w:p>
    <w:p w:rsidR="00F63787" w:rsidRPr="00F5692D" w:rsidRDefault="00F63787" w:rsidP="00F63787">
      <w:pPr>
        <w:pStyle w:val="PI-3EMEASMCA"/>
        <w:rPr>
          <w:rFonts w:ascii="Times New Roman" w:hAnsi="Times New Roman"/>
          <w:lang w:val="lt-LT"/>
        </w:rPr>
      </w:pPr>
      <w:r w:rsidRPr="00F5692D">
        <w:rPr>
          <w:rFonts w:ascii="Times New Roman" w:hAnsi="Times New Roman"/>
          <w:lang w:val="lt-LT"/>
        </w:rPr>
        <w:t>VERMOX išvaizda ir kiekis pakuotėje</w:t>
      </w:r>
    </w:p>
    <w:p w:rsidR="00F63787" w:rsidRPr="00F5692D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T</w:t>
      </w:r>
      <w:r w:rsidRPr="00F5692D">
        <w:rPr>
          <w:rFonts w:ascii="Times New Roman" w:hAnsi="Times New Roman"/>
          <w:sz w:val="22"/>
          <w:szCs w:val="22"/>
          <w:lang w:val="lt-LT"/>
        </w:rPr>
        <w:t>abletės yra baltos arba beveik baltos, apvalios, plokščios, nuožulniais kraštais, vienoje jų pusėje pažymėta “VERMOX”, kitoje yra dalijimo vagelė.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 xml:space="preserve"> Vagelė skirta tik tabletei perlaužti, kad būtų lengviau nuryti, bet ne jai padalyti į lygias dozes.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Pagrindinistekstas2"/>
        <w:spacing w:after="0" w:line="240" w:lineRule="auto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PVC/AL lizdinėje plokštelėje yra 6 tabletės. Kartono dėžutėje yra viena lizdinė plokštelė.</w:t>
      </w:r>
    </w:p>
    <w:p w:rsidR="00F63787" w:rsidRPr="00F5692D" w:rsidRDefault="00F63787" w:rsidP="00F63787">
      <w:pPr>
        <w:pStyle w:val="BTEMEASMCA"/>
      </w:pPr>
    </w:p>
    <w:p w:rsidR="00F63787" w:rsidRPr="00F5692D" w:rsidRDefault="00F63787" w:rsidP="00F63787">
      <w:pPr>
        <w:pStyle w:val="PI-3EMEASMCA"/>
        <w:rPr>
          <w:rFonts w:ascii="Times New Roman" w:hAnsi="Times New Roman"/>
          <w:lang w:val="lt-LT"/>
        </w:rPr>
      </w:pPr>
      <w:r w:rsidRPr="00F5692D">
        <w:rPr>
          <w:rFonts w:ascii="Times New Roman" w:hAnsi="Times New Roman"/>
          <w:lang w:val="lt-LT"/>
        </w:rPr>
        <w:t>R</w:t>
      </w:r>
      <w:r>
        <w:rPr>
          <w:rFonts w:ascii="Times New Roman" w:hAnsi="Times New Roman"/>
          <w:lang w:val="lt-LT"/>
        </w:rPr>
        <w:t xml:space="preserve">egistruotojas </w:t>
      </w:r>
      <w:r w:rsidRPr="00F5692D">
        <w:rPr>
          <w:rFonts w:ascii="Times New Roman" w:hAnsi="Times New Roman"/>
          <w:lang w:val="lt-LT"/>
        </w:rPr>
        <w:t>ir gamintojas</w:t>
      </w:r>
    </w:p>
    <w:p w:rsidR="00F63787" w:rsidRPr="00F5692D" w:rsidRDefault="00F63787" w:rsidP="00F63787">
      <w:pPr>
        <w:pStyle w:val="Pavadinimas"/>
        <w:jc w:val="both"/>
        <w:rPr>
          <w:rFonts w:ascii="Times New Roman" w:hAnsi="Times New Roman"/>
          <w:spacing w:val="-2"/>
          <w:sz w:val="22"/>
          <w:szCs w:val="22"/>
          <w:lang w:val="lt-LT"/>
        </w:rPr>
      </w:pPr>
      <w:proofErr w:type="spellStart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>Gedeon</w:t>
      </w:r>
      <w:proofErr w:type="spellEnd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>Richter</w:t>
      </w:r>
      <w:proofErr w:type="spellEnd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>Plc</w:t>
      </w:r>
      <w:proofErr w:type="spellEnd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 xml:space="preserve">. </w:t>
      </w:r>
    </w:p>
    <w:p w:rsidR="00F63787" w:rsidRPr="00F5692D" w:rsidRDefault="00F63787" w:rsidP="00F63787">
      <w:pPr>
        <w:pStyle w:val="Pavadinimas"/>
        <w:jc w:val="both"/>
        <w:rPr>
          <w:rFonts w:ascii="Times New Roman" w:hAnsi="Times New Roman"/>
          <w:spacing w:val="-2"/>
          <w:sz w:val="22"/>
          <w:szCs w:val="22"/>
          <w:lang w:val="lt-LT"/>
        </w:rPr>
      </w:pPr>
      <w:proofErr w:type="spellStart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>Gyömr</w:t>
      </w:r>
      <w:r w:rsidRPr="00F5692D">
        <w:rPr>
          <w:rFonts w:ascii="Times New Roman" w:hAnsi="Times New Roman"/>
          <w:sz w:val="22"/>
          <w:szCs w:val="22"/>
          <w:lang w:val="lt-LT"/>
        </w:rPr>
        <w:t>ő</w:t>
      </w:r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>i</w:t>
      </w:r>
      <w:proofErr w:type="spellEnd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 xml:space="preserve"> </w:t>
      </w:r>
      <w:proofErr w:type="spellStart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>út</w:t>
      </w:r>
      <w:proofErr w:type="spellEnd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 xml:space="preserve"> 19-21 </w:t>
      </w:r>
    </w:p>
    <w:p w:rsidR="00F63787" w:rsidRDefault="00F63787" w:rsidP="00F63787">
      <w:pPr>
        <w:tabs>
          <w:tab w:val="left" w:pos="567"/>
        </w:tabs>
        <w:rPr>
          <w:rFonts w:ascii="Times New Roman" w:hAnsi="Times New Roman"/>
          <w:spacing w:val="-2"/>
          <w:sz w:val="22"/>
          <w:szCs w:val="22"/>
          <w:lang w:val="lt-LT"/>
        </w:rPr>
      </w:pPr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 xml:space="preserve">1103 </w:t>
      </w:r>
      <w:proofErr w:type="spellStart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>Budapest</w:t>
      </w:r>
      <w:proofErr w:type="spellEnd"/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 xml:space="preserve">, </w:t>
      </w:r>
    </w:p>
    <w:p w:rsidR="00F63787" w:rsidRPr="00F5692D" w:rsidRDefault="00F63787" w:rsidP="00F63787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pacing w:val="-2"/>
          <w:sz w:val="22"/>
          <w:szCs w:val="22"/>
          <w:lang w:val="lt-LT"/>
        </w:rPr>
        <w:t>Vengrija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F5692D" w:rsidRDefault="00F63787" w:rsidP="00F63787">
      <w:pPr>
        <w:pStyle w:val="BTEMEASMCA"/>
      </w:pPr>
      <w:r w:rsidRPr="00F5692D">
        <w:t xml:space="preserve">Jeigu apie šį vaistą norite sužinoti daugiau, kreipkitės į vietinį </w:t>
      </w:r>
      <w:r>
        <w:t>registruo</w:t>
      </w:r>
      <w:r w:rsidRPr="00F5692D">
        <w:t>tojo atstovą.</w:t>
      </w:r>
    </w:p>
    <w:p w:rsidR="00F63787" w:rsidRPr="00F5692D" w:rsidRDefault="00F63787" w:rsidP="00F63787">
      <w:pPr>
        <w:pStyle w:val="Pagrindinistekstas"/>
        <w:rPr>
          <w:sz w:val="22"/>
          <w:szCs w:val="22"/>
        </w:rPr>
      </w:pPr>
    </w:p>
    <w:p w:rsidR="00F63787" w:rsidRPr="005738B9" w:rsidRDefault="00F63787" w:rsidP="00F63787">
      <w:pPr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5738B9">
        <w:rPr>
          <w:rFonts w:ascii="Times New Roman" w:hAnsi="Times New Roman"/>
          <w:sz w:val="22"/>
          <w:szCs w:val="22"/>
          <w:lang w:val="lt-LT"/>
        </w:rPr>
        <w:t>Gedeon</w:t>
      </w:r>
      <w:proofErr w:type="spellEnd"/>
      <w:r w:rsidRPr="005738B9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5738B9">
        <w:rPr>
          <w:rFonts w:ascii="Times New Roman" w:hAnsi="Times New Roman"/>
          <w:sz w:val="22"/>
          <w:szCs w:val="22"/>
          <w:lang w:val="lt-LT"/>
        </w:rPr>
        <w:t>Richter</w:t>
      </w:r>
      <w:proofErr w:type="spellEnd"/>
      <w:r w:rsidRPr="005738B9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5738B9">
        <w:rPr>
          <w:rFonts w:ascii="Times New Roman" w:hAnsi="Times New Roman"/>
          <w:sz w:val="22"/>
          <w:szCs w:val="22"/>
          <w:lang w:val="lt-LT"/>
        </w:rPr>
        <w:t>Plc</w:t>
      </w:r>
      <w:proofErr w:type="spellEnd"/>
      <w:r w:rsidRPr="005738B9">
        <w:rPr>
          <w:rFonts w:ascii="Times New Roman" w:hAnsi="Times New Roman"/>
          <w:sz w:val="22"/>
          <w:szCs w:val="22"/>
          <w:lang w:val="lt-LT"/>
        </w:rPr>
        <w:t>. atstovybė</w:t>
      </w:r>
    </w:p>
    <w:p w:rsidR="00F63787" w:rsidRPr="005738B9" w:rsidRDefault="00F63787" w:rsidP="00F6378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5738B9">
        <w:rPr>
          <w:rFonts w:ascii="Times New Roman" w:hAnsi="Times New Roman"/>
          <w:sz w:val="22"/>
          <w:szCs w:val="22"/>
          <w:lang w:val="lt-LT"/>
        </w:rPr>
        <w:t>Maironio 23-3,</w:t>
      </w:r>
    </w:p>
    <w:p w:rsidR="00F63787" w:rsidRPr="005738B9" w:rsidRDefault="00F63787" w:rsidP="00F6378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5738B9">
        <w:rPr>
          <w:rFonts w:ascii="Times New Roman" w:hAnsi="Times New Roman"/>
          <w:sz w:val="22"/>
          <w:szCs w:val="22"/>
          <w:lang w:val="lt-LT"/>
        </w:rPr>
        <w:t xml:space="preserve">Vilnius </w:t>
      </w:r>
    </w:p>
    <w:p w:rsidR="00F63787" w:rsidRPr="005738B9" w:rsidRDefault="00F63787" w:rsidP="00F6378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5738B9">
        <w:rPr>
          <w:rFonts w:ascii="Times New Roman" w:hAnsi="Times New Roman"/>
          <w:sz w:val="22"/>
          <w:szCs w:val="22"/>
          <w:lang w:val="lt-LT"/>
        </w:rPr>
        <w:t>Tel. +370 5 268 53 92</w:t>
      </w:r>
    </w:p>
    <w:p w:rsidR="00F63787" w:rsidRPr="005738B9" w:rsidRDefault="00F63787" w:rsidP="00F63787">
      <w:pPr>
        <w:rPr>
          <w:rFonts w:ascii="Times New Roman" w:hAnsi="Times New Roman"/>
          <w:sz w:val="22"/>
          <w:szCs w:val="22"/>
          <w:lang w:val="lt-LT"/>
        </w:rPr>
      </w:pPr>
    </w:p>
    <w:p w:rsidR="00F63787" w:rsidRPr="005738B9" w:rsidRDefault="00F63787" w:rsidP="00F63787">
      <w:pPr>
        <w:pStyle w:val="Pagrindinistekstas"/>
        <w:rPr>
          <w:b/>
          <w:sz w:val="22"/>
          <w:szCs w:val="22"/>
        </w:rPr>
      </w:pPr>
      <w:r w:rsidRPr="005738B9">
        <w:rPr>
          <w:b/>
          <w:sz w:val="22"/>
          <w:szCs w:val="22"/>
        </w:rPr>
        <w:t>Šis pakuotės lape</w:t>
      </w:r>
      <w:r>
        <w:rPr>
          <w:b/>
          <w:sz w:val="22"/>
          <w:szCs w:val="22"/>
        </w:rPr>
        <w:t>lis paskutinį kartą peržiūrėtas 2025-03-21.</w:t>
      </w:r>
    </w:p>
    <w:p w:rsidR="00F63787" w:rsidRPr="005738B9" w:rsidRDefault="00F63787" w:rsidP="00F63787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</w:p>
    <w:p w:rsidR="00F63787" w:rsidRPr="005738B9" w:rsidRDefault="00F63787" w:rsidP="00F63787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sz w:val="22"/>
          <w:szCs w:val="22"/>
          <w:lang w:val="lt-LT"/>
        </w:rPr>
      </w:pPr>
      <w:r w:rsidRPr="005738B9">
        <w:rPr>
          <w:rFonts w:ascii="Times New Roman" w:hAnsi="Times New Roman" w:cs="Times New Roman"/>
          <w:snapToGrid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5738B9">
        <w:rPr>
          <w:rFonts w:ascii="Times New Roman" w:hAnsi="Times New Roman" w:cs="Times New Roman"/>
          <w:i/>
          <w:snapToGrid w:val="0"/>
          <w:sz w:val="22"/>
          <w:szCs w:val="22"/>
          <w:lang w:val="lt-LT"/>
        </w:rPr>
        <w:t xml:space="preserve"> </w:t>
      </w:r>
      <w:hyperlink r:id="rId5" w:history="1">
        <w:r w:rsidRPr="00C35DBC">
          <w:rPr>
            <w:rStyle w:val="Hipersaitas"/>
            <w:rFonts w:ascii="Times New Roman" w:eastAsia="SimSun" w:hAnsi="Times New Roman" w:cs="Times New Roman"/>
            <w:snapToGrid w:val="0"/>
            <w:sz w:val="22"/>
            <w:szCs w:val="22"/>
            <w:lang w:val="lt-LT"/>
          </w:rPr>
          <w:t>http://www.vvkt.lrv.lt/lt/</w:t>
        </w:r>
      </w:hyperlink>
      <w:r w:rsidRPr="005738B9">
        <w:rPr>
          <w:rFonts w:ascii="Times New Roman" w:hAnsi="Times New Roman" w:cs="Times New Roman"/>
          <w:snapToGrid w:val="0"/>
          <w:sz w:val="22"/>
          <w:szCs w:val="22"/>
          <w:lang w:val="lt-LT"/>
        </w:rPr>
        <w:t>.</w:t>
      </w:r>
    </w:p>
    <w:p w:rsidR="00F63787" w:rsidRPr="005738B9" w:rsidRDefault="00F63787" w:rsidP="00F63787">
      <w:pPr>
        <w:pStyle w:val="Pagrindinistekstas"/>
        <w:rPr>
          <w:sz w:val="22"/>
          <w:szCs w:val="22"/>
        </w:rPr>
      </w:pPr>
      <w:bookmarkStart w:id="2" w:name="_GoBack"/>
      <w:bookmarkEnd w:id="2"/>
    </w:p>
    <w:p w:rsidR="00F63787" w:rsidRPr="006842F4" w:rsidRDefault="00F63787" w:rsidP="00F63787">
      <w:pPr>
        <w:pStyle w:val="Pagrindinistekstas"/>
        <w:jc w:val="center"/>
      </w:pPr>
      <w:r w:rsidRPr="006842F4">
        <w:t xml:space="preserve"> </w:t>
      </w:r>
    </w:p>
    <w:p w:rsidR="00BA6577" w:rsidRDefault="00BA6577"/>
    <w:sectPr w:rsidR="00BA6577" w:rsidSect="00177FA8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E6CBA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F18E7830"/>
    <w:lvl w:ilvl="0" w:tplc="5342753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87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63787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9E94"/>
  <w15:chartTrackingRefBased/>
  <w15:docId w15:val="{59E493B8-3567-46BA-AAFA-F1EF09CC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3787"/>
    <w:pPr>
      <w:spacing w:after="0" w:line="240" w:lineRule="auto"/>
    </w:pPr>
    <w:rPr>
      <w:rFonts w:ascii="Monotype Corsiva" w:eastAsia="Times New Roman" w:hAnsi="Monotype Corsiva" w:cs="Courier New"/>
      <w:sz w:val="24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63787"/>
    <w:pPr>
      <w:keepNext/>
      <w:jc w:val="center"/>
      <w:outlineLvl w:val="1"/>
    </w:pPr>
    <w:rPr>
      <w:rFonts w:ascii="Times New Roman" w:hAnsi="Times New Roman" w:cs="Times New Roman"/>
      <w:sz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3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F63787"/>
    <w:pPr>
      <w:spacing w:before="240" w:after="60"/>
      <w:outlineLvl w:val="6"/>
    </w:pPr>
    <w:rPr>
      <w:rFonts w:ascii="Times New Roman" w:hAnsi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63787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63787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F637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aliases w:val="Body Text Char Char Char,Body Text Char"/>
    <w:basedOn w:val="prastasis"/>
    <w:link w:val="PagrindinistekstasDiagrama"/>
    <w:rsid w:val="00F63787"/>
    <w:rPr>
      <w:rFonts w:ascii="Times New Roman" w:hAnsi="Times New Roman" w:cs="Times New Roman"/>
      <w:sz w:val="28"/>
      <w:lang w:val="lt-LT"/>
    </w:rPr>
  </w:style>
  <w:style w:type="character" w:customStyle="1" w:styleId="PagrindinistekstasDiagrama">
    <w:name w:val="Pagrindinis tekstas Diagrama"/>
    <w:aliases w:val="Body Text Char Char Char Diagrama,Body Text Char Diagrama"/>
    <w:basedOn w:val="Numatytasispastraiposriftas"/>
    <w:link w:val="Pagrindinistekstas"/>
    <w:rsid w:val="00F63787"/>
    <w:rPr>
      <w:rFonts w:ascii="Times New Roman" w:eastAsia="Times New Roman" w:hAnsi="Times New Roman" w:cs="Times New Roman"/>
      <w:sz w:val="28"/>
      <w:szCs w:val="20"/>
    </w:rPr>
  </w:style>
  <w:style w:type="paragraph" w:customStyle="1" w:styleId="PI-1EMEASMCA">
    <w:name w:val="PI-1 EMEA_SMCA"/>
    <w:basedOn w:val="Antrat2"/>
    <w:autoRedefine/>
    <w:uiPriority w:val="99"/>
    <w:rsid w:val="00F63787"/>
    <w:pPr>
      <w:tabs>
        <w:tab w:val="left" w:pos="567"/>
      </w:tabs>
      <w:jc w:val="left"/>
    </w:pPr>
    <w:rPr>
      <w:b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F63787"/>
    <w:pPr>
      <w:tabs>
        <w:tab w:val="left" w:pos="0"/>
      </w:tabs>
    </w:pPr>
    <w:rPr>
      <w:rFonts w:ascii="Times New Roman" w:hAnsi="Times New Roman" w:cs="Times New Roman"/>
      <w:sz w:val="22"/>
      <w:szCs w:val="22"/>
      <w:lang w:val="lt-LT" w:eastAsia="x-none"/>
    </w:rPr>
  </w:style>
  <w:style w:type="character" w:customStyle="1" w:styleId="BTEMEASMCAChar">
    <w:name w:val="BT EMEA_SMCA Char"/>
    <w:link w:val="BTEMEASMCA"/>
    <w:rsid w:val="00F63787"/>
    <w:rPr>
      <w:rFonts w:ascii="Times New Roman" w:eastAsia="Times New Roman" w:hAnsi="Times New Roman" w:cs="Times New Roman"/>
      <w:lang w:eastAsia="x-none"/>
    </w:rPr>
  </w:style>
  <w:style w:type="paragraph" w:customStyle="1" w:styleId="BT-EMEASMCA">
    <w:name w:val="BT- EMEA_SMCA"/>
    <w:basedOn w:val="BTEMEASMCA"/>
    <w:autoRedefine/>
    <w:uiPriority w:val="99"/>
    <w:rsid w:val="00F63787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F63787"/>
    <w:pPr>
      <w:spacing w:line="220" w:lineRule="exact"/>
    </w:pPr>
    <w:rPr>
      <w:rFonts w:ascii="Verdana" w:hAnsi="Verdana" w:cs="Times New Roman"/>
      <w:b/>
      <w:bCs/>
      <w:sz w:val="22"/>
      <w:szCs w:val="22"/>
      <w:lang w:val="en-GB"/>
    </w:rPr>
  </w:style>
  <w:style w:type="character" w:customStyle="1" w:styleId="AntratsDiagrama">
    <w:name w:val="Antraštės Diagrama"/>
    <w:link w:val="Antrats"/>
    <w:uiPriority w:val="99"/>
    <w:rsid w:val="00F63787"/>
    <w:rPr>
      <w:rFonts w:ascii="Verdana" w:hAnsi="Verdana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F63787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2"/>
      <w:szCs w:val="24"/>
      <w:lang w:val="en-GB"/>
    </w:rPr>
  </w:style>
  <w:style w:type="character" w:customStyle="1" w:styleId="AntratsDiagrama1">
    <w:name w:val="Antraštės Diagrama1"/>
    <w:basedOn w:val="Numatytasispastraiposriftas"/>
    <w:uiPriority w:val="99"/>
    <w:semiHidden/>
    <w:rsid w:val="00F63787"/>
    <w:rPr>
      <w:rFonts w:ascii="Monotype Corsiva" w:eastAsia="Times New Roman" w:hAnsi="Monotype Corsiva" w:cs="Courier New"/>
      <w:sz w:val="24"/>
      <w:szCs w:val="20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F63787"/>
    <w:pPr>
      <w:jc w:val="center"/>
    </w:pPr>
    <w:rPr>
      <w:rFonts w:ascii="Verdana" w:hAnsi="Verdana" w:cs="Times New Roman"/>
      <w:sz w:val="28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63787"/>
    <w:rPr>
      <w:rFonts w:ascii="Verdana" w:eastAsia="Times New Roman" w:hAnsi="Verdana" w:cs="Times New Roman"/>
      <w:sz w:val="28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63787"/>
    <w:pPr>
      <w:spacing w:after="120" w:line="480" w:lineRule="auto"/>
    </w:pPr>
    <w:rPr>
      <w:rFonts w:ascii="Verdana" w:hAnsi="Verdana" w:cs="Times New Roman"/>
      <w:sz w:val="20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3787"/>
    <w:rPr>
      <w:rFonts w:ascii="Verdana" w:eastAsia="Times New Roman" w:hAnsi="Verdana" w:cs="Times New Roman"/>
      <w:sz w:val="20"/>
      <w:szCs w:val="24"/>
      <w:lang w:val="en-GB"/>
    </w:rPr>
  </w:style>
  <w:style w:type="character" w:styleId="Hipersaitas">
    <w:name w:val="Hyperlink"/>
    <w:uiPriority w:val="99"/>
    <w:unhideWhenUsed/>
    <w:rsid w:val="00F637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6380</Words>
  <Characters>3637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2025-03-21T11:44:00Z</dcterms:created>
  <dcterms:modified xsi:type="dcterms:W3CDTF">2025-03-21T11:46:00Z</dcterms:modified>
</cp:coreProperties>
</file>