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42D4" w:rsidRPr="000E27EC" w:rsidRDefault="00EB42D4" w:rsidP="00EB42D4">
      <w:pPr>
        <w:widowControl w:val="0"/>
        <w:tabs>
          <w:tab w:val="left" w:pos="720"/>
        </w:tabs>
        <w:spacing w:after="0" w:line="240" w:lineRule="auto"/>
        <w:jc w:val="center"/>
        <w:outlineLvl w:val="0"/>
        <w:rPr>
          <w:rFonts w:ascii="Times New Roman" w:eastAsia="Calibri" w:hAnsi="Times New Roman" w:cs="Times New Roman"/>
          <w:b/>
          <w:sz w:val="22"/>
          <w:szCs w:val="22"/>
        </w:rPr>
      </w:pPr>
      <w:r w:rsidRPr="000E27EC">
        <w:rPr>
          <w:rFonts w:ascii="Times New Roman" w:hAnsi="Times New Roman" w:cs="Times New Roman"/>
          <w:b/>
          <w:sz w:val="22"/>
          <w:szCs w:val="22"/>
        </w:rPr>
        <w:t>Pakuotės lapelis: informacija pacientui</w:t>
      </w:r>
    </w:p>
    <w:p w:rsidR="00EB42D4" w:rsidRPr="000E27EC" w:rsidRDefault="00EB42D4" w:rsidP="00EB42D4">
      <w:pPr>
        <w:widowControl w:val="0"/>
        <w:tabs>
          <w:tab w:val="left" w:pos="720"/>
        </w:tabs>
        <w:spacing w:after="0" w:line="240" w:lineRule="auto"/>
        <w:jc w:val="center"/>
        <w:outlineLvl w:val="0"/>
        <w:rPr>
          <w:rFonts w:ascii="Times New Roman" w:hAnsi="Times New Roman" w:cs="Times New Roman"/>
          <w:b/>
          <w:sz w:val="22"/>
          <w:szCs w:val="22"/>
        </w:rPr>
      </w:pPr>
    </w:p>
    <w:p w:rsidR="00EB42D4" w:rsidRPr="000E27EC" w:rsidRDefault="00EB42D4" w:rsidP="00EB42D4">
      <w:pPr>
        <w:widowControl w:val="0"/>
        <w:tabs>
          <w:tab w:val="left" w:pos="720"/>
        </w:tabs>
        <w:spacing w:after="0" w:line="240" w:lineRule="auto"/>
        <w:jc w:val="center"/>
        <w:outlineLvl w:val="0"/>
        <w:rPr>
          <w:rFonts w:ascii="Times New Roman" w:eastAsia="Calibri" w:hAnsi="Times New Roman" w:cs="Times New Roman"/>
          <w:b/>
          <w:sz w:val="22"/>
          <w:szCs w:val="22"/>
        </w:rPr>
      </w:pPr>
      <w:r w:rsidRPr="000E27EC">
        <w:rPr>
          <w:rFonts w:ascii="Times New Roman" w:hAnsi="Times New Roman" w:cs="Times New Roman"/>
          <w:b/>
          <w:sz w:val="22"/>
          <w:szCs w:val="22"/>
        </w:rPr>
        <w:t xml:space="preserve">Sandostatin 100 mikrogramų/ml injekcinis ar infuzinis tirpalas </w:t>
      </w:r>
    </w:p>
    <w:p w:rsidR="00EB42D4" w:rsidRPr="000E27EC" w:rsidRDefault="00EB42D4" w:rsidP="00EB42D4">
      <w:pPr>
        <w:widowControl w:val="0"/>
        <w:tabs>
          <w:tab w:val="left" w:pos="720"/>
        </w:tabs>
        <w:spacing w:before="240" w:after="0" w:line="240" w:lineRule="auto"/>
        <w:jc w:val="center"/>
        <w:outlineLvl w:val="0"/>
        <w:rPr>
          <w:rFonts w:ascii="Times New Roman" w:eastAsia="Calibri" w:hAnsi="Times New Roman" w:cs="Times New Roman"/>
          <w:b/>
          <w:i/>
          <w:sz w:val="22"/>
          <w:szCs w:val="22"/>
        </w:rPr>
      </w:pPr>
      <w:r w:rsidRPr="000E27EC">
        <w:rPr>
          <w:rFonts w:ascii="Times New Roman" w:hAnsi="Times New Roman" w:cs="Times New Roman"/>
          <w:sz w:val="22"/>
          <w:szCs w:val="22"/>
        </w:rPr>
        <w:t xml:space="preserve">Oktreotidas </w:t>
      </w: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keepNext/>
        <w:widowControl w:val="0"/>
        <w:numPr>
          <w:ilvl w:val="12"/>
          <w:numId w:val="0"/>
        </w:numPr>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Atidžiai perskaitykite visą šį lapelį, prieš pradėdami vartoti vaistą, nes jame pateikiama Jums svarbi informacija.</w:t>
      </w:r>
    </w:p>
    <w:p w:rsidR="00EB42D4" w:rsidRPr="000E27EC" w:rsidRDefault="00EB42D4" w:rsidP="00EB42D4">
      <w:pPr>
        <w:widowControl w:val="0"/>
        <w:numPr>
          <w:ilvl w:val="0"/>
          <w:numId w:val="1"/>
        </w:numPr>
        <w:tabs>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Neišmeskite šio lapelio, nes vėl gali prireikti jį perskaityti.</w:t>
      </w:r>
    </w:p>
    <w:p w:rsidR="00EB42D4" w:rsidRPr="000E27EC" w:rsidRDefault="00EB42D4" w:rsidP="00EB42D4">
      <w:pPr>
        <w:widowControl w:val="0"/>
        <w:numPr>
          <w:ilvl w:val="0"/>
          <w:numId w:val="1"/>
        </w:numPr>
        <w:tabs>
          <w:tab w:val="left" w:pos="567"/>
        </w:tabs>
        <w:autoSpaceDE w:val="0"/>
        <w:autoSpaceDN w:val="0"/>
        <w:adjustRightInd w:val="0"/>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kiltų daugiau klausimų, kreipkitės į gydytoją, vaistininką arba slaugytoją.</w:t>
      </w:r>
    </w:p>
    <w:p w:rsidR="00EB42D4" w:rsidRPr="000E27EC" w:rsidRDefault="00EB42D4" w:rsidP="00EB42D4">
      <w:pPr>
        <w:widowControl w:val="0"/>
        <w:numPr>
          <w:ilvl w:val="0"/>
          <w:numId w:val="1"/>
        </w:numPr>
        <w:tabs>
          <w:tab w:val="left" w:pos="567"/>
        </w:tabs>
        <w:autoSpaceDE w:val="0"/>
        <w:autoSpaceDN w:val="0"/>
        <w:adjustRightInd w:val="0"/>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Šis vaistas skirtas tik Jums, todėl kitiems žmonėms jo duoti negalima. Vaistas gali jiems pakenkti (net tiems, kurių ligos požymiai yra tokie patys kaip Jūsų).</w:t>
      </w:r>
    </w:p>
    <w:p w:rsidR="00EB42D4" w:rsidRPr="000E27EC" w:rsidRDefault="00EB42D4" w:rsidP="00EB42D4">
      <w:pPr>
        <w:widowControl w:val="0"/>
        <w:numPr>
          <w:ilvl w:val="0"/>
          <w:numId w:val="1"/>
        </w:numPr>
        <w:tabs>
          <w:tab w:val="left" w:pos="567"/>
        </w:tabs>
        <w:autoSpaceDE w:val="0"/>
        <w:autoSpaceDN w:val="0"/>
        <w:adjustRightInd w:val="0"/>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pasireiškė šalutinis poveikis (net jeigu jis šiame lapelyje nenurodytas), kreipkitės į gydytoją, vaistininką arba slaugytoją. Žr. 4 skyrių.</w:t>
      </w:r>
    </w:p>
    <w:p w:rsidR="00EB42D4" w:rsidRPr="000E27EC" w:rsidRDefault="00EB42D4" w:rsidP="00EB42D4">
      <w:pPr>
        <w:widowControl w:val="0"/>
        <w:tabs>
          <w:tab w:val="left" w:pos="567"/>
        </w:tabs>
        <w:spacing w:after="0" w:line="240" w:lineRule="auto"/>
        <w:ind w:left="567" w:right="-2" w:hanging="567"/>
        <w:rPr>
          <w:rFonts w:ascii="Times New Roman" w:hAnsi="Times New Roman" w:cs="Times New Roman"/>
          <w:sz w:val="22"/>
          <w:szCs w:val="22"/>
        </w:rPr>
      </w:pPr>
    </w:p>
    <w:p w:rsidR="00EB42D4" w:rsidRPr="000E27EC" w:rsidRDefault="00EB42D4" w:rsidP="00EB42D4">
      <w:pPr>
        <w:keepNext/>
        <w:widowControl w:val="0"/>
        <w:numPr>
          <w:ilvl w:val="12"/>
          <w:numId w:val="0"/>
        </w:numPr>
        <w:tabs>
          <w:tab w:val="left" w:pos="720"/>
        </w:tabs>
        <w:spacing w:after="0" w:line="240" w:lineRule="auto"/>
        <w:ind w:right="-2"/>
        <w:outlineLvl w:val="0"/>
        <w:rPr>
          <w:rFonts w:ascii="Times New Roman" w:eastAsia="Calibri" w:hAnsi="Times New Roman" w:cs="Times New Roman"/>
          <w:b/>
          <w:sz w:val="22"/>
          <w:szCs w:val="22"/>
        </w:rPr>
      </w:pPr>
      <w:r w:rsidRPr="000E27EC">
        <w:rPr>
          <w:rFonts w:ascii="Times New Roman" w:hAnsi="Times New Roman" w:cs="Times New Roman"/>
          <w:b/>
          <w:sz w:val="22"/>
          <w:szCs w:val="22"/>
        </w:rPr>
        <w:t>Apie ką rašoma šiame lapelyje?</w:t>
      </w:r>
    </w:p>
    <w:p w:rsidR="00EB42D4" w:rsidRPr="000E27EC" w:rsidRDefault="00EB42D4" w:rsidP="00EB42D4">
      <w:pPr>
        <w:widowControl w:val="0"/>
        <w:numPr>
          <w:ilvl w:val="12"/>
          <w:numId w:val="0"/>
        </w:numPr>
        <w:spacing w:after="0" w:line="240" w:lineRule="auto"/>
        <w:ind w:left="567" w:right="-29"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1.</w:t>
      </w:r>
      <w:r w:rsidRPr="000E27EC">
        <w:rPr>
          <w:rFonts w:ascii="Times New Roman" w:hAnsi="Times New Roman" w:cs="Times New Roman"/>
          <w:sz w:val="22"/>
          <w:szCs w:val="22"/>
          <w:lang w:val="es-ES"/>
        </w:rPr>
        <w:tab/>
        <w:t>Kas yra Sandostatin ir kam jis vartojamas</w:t>
      </w:r>
    </w:p>
    <w:p w:rsidR="00EB42D4" w:rsidRPr="000E27EC" w:rsidRDefault="00EB42D4" w:rsidP="00EB42D4">
      <w:pPr>
        <w:widowControl w:val="0"/>
        <w:numPr>
          <w:ilvl w:val="12"/>
          <w:numId w:val="0"/>
        </w:numPr>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2.</w:t>
      </w:r>
      <w:r w:rsidRPr="000E27EC">
        <w:rPr>
          <w:rFonts w:ascii="Times New Roman" w:hAnsi="Times New Roman" w:cs="Times New Roman"/>
          <w:sz w:val="22"/>
          <w:szCs w:val="22"/>
          <w:lang w:val="it-IT"/>
        </w:rPr>
        <w:tab/>
        <w:t>Kas žinotina prieš vartojant Sandostatin</w:t>
      </w:r>
    </w:p>
    <w:p w:rsidR="00EB42D4" w:rsidRPr="000E27EC" w:rsidRDefault="00EB42D4" w:rsidP="00EB42D4">
      <w:pPr>
        <w:widowControl w:val="0"/>
        <w:numPr>
          <w:ilvl w:val="12"/>
          <w:numId w:val="0"/>
        </w:numPr>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3.</w:t>
      </w:r>
      <w:r w:rsidRPr="000E27EC">
        <w:rPr>
          <w:rFonts w:ascii="Times New Roman" w:hAnsi="Times New Roman" w:cs="Times New Roman"/>
          <w:sz w:val="22"/>
          <w:szCs w:val="22"/>
          <w:lang w:val="it-IT"/>
        </w:rPr>
        <w:tab/>
        <w:t>Kaip vartoti Sandostatin</w:t>
      </w:r>
    </w:p>
    <w:p w:rsidR="00EB42D4" w:rsidRPr="000E27EC" w:rsidRDefault="00EB42D4" w:rsidP="00EB42D4">
      <w:pPr>
        <w:widowControl w:val="0"/>
        <w:numPr>
          <w:ilvl w:val="12"/>
          <w:numId w:val="0"/>
        </w:numPr>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4.</w:t>
      </w:r>
      <w:r w:rsidRPr="000E27EC">
        <w:rPr>
          <w:rFonts w:ascii="Times New Roman" w:hAnsi="Times New Roman" w:cs="Times New Roman"/>
          <w:sz w:val="22"/>
          <w:szCs w:val="22"/>
          <w:lang w:val="it-IT"/>
        </w:rPr>
        <w:tab/>
        <w:t>Galimas šalutinis poveikis</w:t>
      </w:r>
    </w:p>
    <w:p w:rsidR="00EB42D4" w:rsidRPr="000E27EC" w:rsidRDefault="00EB42D4" w:rsidP="00EB42D4">
      <w:pPr>
        <w:widowControl w:val="0"/>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5.</w:t>
      </w:r>
      <w:r w:rsidRPr="000E27EC">
        <w:rPr>
          <w:rFonts w:ascii="Times New Roman" w:hAnsi="Times New Roman" w:cs="Times New Roman"/>
          <w:sz w:val="22"/>
          <w:szCs w:val="22"/>
          <w:lang w:val="it-IT"/>
        </w:rPr>
        <w:tab/>
        <w:t>Kaip laikyti Sandostatin</w:t>
      </w:r>
    </w:p>
    <w:p w:rsidR="00EB42D4" w:rsidRPr="000E27EC" w:rsidRDefault="00EB42D4" w:rsidP="00EB42D4">
      <w:pPr>
        <w:widowControl w:val="0"/>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6.</w:t>
      </w:r>
      <w:r w:rsidRPr="000E27EC">
        <w:rPr>
          <w:rFonts w:ascii="Times New Roman" w:hAnsi="Times New Roman" w:cs="Times New Roman"/>
          <w:sz w:val="22"/>
          <w:szCs w:val="22"/>
          <w:lang w:val="it-IT"/>
        </w:rPr>
        <w:tab/>
        <w:t>Pakuotės turinys ir kita informacija</w:t>
      </w: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keepNext/>
        <w:widowControl w:val="0"/>
        <w:tabs>
          <w:tab w:val="left" w:pos="567"/>
        </w:tabs>
        <w:spacing w:after="0" w:line="240" w:lineRule="auto"/>
        <w:ind w:right="-2"/>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1.</w:t>
      </w:r>
      <w:r w:rsidRPr="000E27EC">
        <w:rPr>
          <w:rFonts w:ascii="Times New Roman" w:hAnsi="Times New Roman" w:cs="Times New Roman"/>
          <w:b/>
          <w:sz w:val="22"/>
          <w:szCs w:val="22"/>
          <w:lang w:val="es-ES"/>
        </w:rPr>
        <w:tab/>
        <w:t>Kas yra Sandostatin ir kam jis vartojamas</w:t>
      </w:r>
    </w:p>
    <w:p w:rsidR="00EB42D4" w:rsidRPr="000E27EC" w:rsidRDefault="00EB42D4" w:rsidP="00EB42D4">
      <w:pPr>
        <w:keepNext/>
        <w:widowControl w:val="0"/>
        <w:tabs>
          <w:tab w:val="left" w:pos="720"/>
        </w:tabs>
        <w:spacing w:after="0" w:line="240" w:lineRule="auto"/>
        <w:ind w:right="-2"/>
        <w:rPr>
          <w:rFonts w:ascii="Times New Roman" w:hAnsi="Times New Roman" w:cs="Times New Roman"/>
          <w:sz w:val="22"/>
          <w:szCs w:val="22"/>
          <w:lang w:val="es-ES"/>
        </w:rPr>
      </w:pPr>
    </w:p>
    <w:p w:rsidR="00EB42D4" w:rsidRPr="000E27EC" w:rsidRDefault="00EB42D4" w:rsidP="00EB42D4">
      <w:pPr>
        <w:widowControl w:val="0"/>
        <w:numPr>
          <w:ilvl w:val="12"/>
          <w:numId w:val="0"/>
        </w:num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Sandostatin yra sintetinis somatostatino junginys; somatostatino normaliai būna žmonių organizme, ir jis slopina kai kurių hormonų, pavyzdžiui, augimo hormono, veikimą. Sandostatin privalumas, lyginant su somatostatinu, yra tas, kad jis veikia stipriau ir ilgiau. </w:t>
      </w: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lang w:val="es-ES"/>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Sandostatin vartojamas</w:t>
      </w:r>
    </w:p>
    <w:p w:rsidR="00EB42D4" w:rsidRPr="000E27EC" w:rsidRDefault="00EB42D4" w:rsidP="00EB42D4">
      <w:pPr>
        <w:keepNext/>
        <w:widowControl w:val="0"/>
        <w:numPr>
          <w:ilvl w:val="0"/>
          <w:numId w:val="2"/>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b/>
          <w:sz w:val="22"/>
          <w:szCs w:val="22"/>
        </w:rPr>
        <w:t xml:space="preserve">akromegalija </w:t>
      </w:r>
      <w:r w:rsidRPr="000E27EC">
        <w:rPr>
          <w:rFonts w:ascii="Times New Roman" w:hAnsi="Times New Roman" w:cs="Times New Roman"/>
          <w:sz w:val="22"/>
          <w:szCs w:val="22"/>
        </w:rPr>
        <w:t>sergantiems pacientams; akromegalija – tai tokia būklė, kai organizme gaminama per daug augimo hormono. Sveikame organizme augimo hormonas kontroliuoja audinių, organų ir kaulų augimą. Augimo hormono perteklius sukelia kaulų ir audinių, ypač plaštakų bei pėdų, padidėjimą. Sandostatin ženkliai palengvina akromegalijos požymius, pavyzdžiui, galvos skausmą, sustiprėjusį prakaitavimą, plaštakų ir pėdų tirpimo pojūtį, nuovargį ir sąnarių skausmą;</w:t>
      </w:r>
    </w:p>
    <w:p w:rsidR="00EB42D4" w:rsidRPr="000E27EC" w:rsidRDefault="00EB42D4" w:rsidP="00EB42D4">
      <w:pPr>
        <w:numPr>
          <w:ilvl w:val="0"/>
          <w:numId w:val="2"/>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požymiams, kuriuos sukelia kai kurie </w:t>
      </w:r>
      <w:r w:rsidRPr="000E27EC">
        <w:rPr>
          <w:rFonts w:ascii="Times New Roman" w:hAnsi="Times New Roman" w:cs="Times New Roman"/>
          <w:b/>
          <w:sz w:val="22"/>
          <w:szCs w:val="22"/>
        </w:rPr>
        <w:t>virškinimo trakto augliai</w:t>
      </w:r>
      <w:r w:rsidRPr="000E27EC">
        <w:rPr>
          <w:rFonts w:ascii="Times New Roman" w:hAnsi="Times New Roman" w:cs="Times New Roman"/>
          <w:sz w:val="22"/>
          <w:szCs w:val="22"/>
        </w:rPr>
        <w:t xml:space="preserve"> (pavyzdžiui, vadinamieji karcinoidiniai augliai, VIP-omos, gliukagonomos, gastrinomos, insulinomos, GRF-omos), silpninti. Kai yra šių auglių, būna padidėjęs kai kurių specifinių hormonų ir su jais susijusių medžiagų, gaminamų skrandyje, žarnyne ar kasoje, kiekis. Dėl padidėjusio šių medžiagų kiekio organizme sutrinka natūrali hormonų pusiausvyra ir išryškėja įvairūs požymiai, pavyzdžiui, karščio pylimas, viduriavimas, sumažėjęs kraujospūdis, </w:t>
      </w:r>
      <w:r>
        <w:rPr>
          <w:rFonts w:ascii="Times New Roman" w:hAnsi="Times New Roman" w:cs="Times New Roman"/>
          <w:sz w:val="22"/>
          <w:szCs w:val="22"/>
        </w:rPr>
        <w:t>iš</w:t>
      </w:r>
      <w:r w:rsidRPr="000E27EC">
        <w:rPr>
          <w:rFonts w:ascii="Times New Roman" w:hAnsi="Times New Roman" w:cs="Times New Roman"/>
          <w:sz w:val="22"/>
          <w:szCs w:val="22"/>
        </w:rPr>
        <w:t>bėrimas ir kūno svorio mažėjimas. Gydymas Sandostatin padeda kontroliuoti šiuos požymius;</w:t>
      </w:r>
    </w:p>
    <w:p w:rsidR="00EB42D4" w:rsidRPr="000E27EC" w:rsidRDefault="00EB42D4" w:rsidP="00EB42D4">
      <w:pPr>
        <w:numPr>
          <w:ilvl w:val="0"/>
          <w:numId w:val="2"/>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b/>
          <w:sz w:val="22"/>
          <w:szCs w:val="22"/>
        </w:rPr>
        <w:t xml:space="preserve">komplikacijų po kasos operacijų </w:t>
      </w:r>
      <w:r w:rsidRPr="000E27EC">
        <w:rPr>
          <w:rFonts w:ascii="Times New Roman" w:hAnsi="Times New Roman" w:cs="Times New Roman"/>
          <w:sz w:val="22"/>
          <w:szCs w:val="22"/>
        </w:rPr>
        <w:t>profilaktikai. Gydymas Sandostatin padeda sumažinti komplikacijų po operacijos pasireiškimo (pvz., pilvo ertmės pūlinių, kasos uždegimo) galimybę;</w:t>
      </w:r>
    </w:p>
    <w:p w:rsidR="00EB42D4" w:rsidRPr="000E27EC" w:rsidRDefault="00EB42D4" w:rsidP="00EB42D4">
      <w:pPr>
        <w:numPr>
          <w:ilvl w:val="0"/>
          <w:numId w:val="2"/>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kraujavimui iš </w:t>
      </w:r>
      <w:r w:rsidRPr="000E27EC">
        <w:rPr>
          <w:rFonts w:ascii="Times New Roman" w:hAnsi="Times New Roman" w:cs="Times New Roman"/>
          <w:b/>
          <w:sz w:val="22"/>
          <w:szCs w:val="22"/>
        </w:rPr>
        <w:t>plyšusių stemplės ir skrandžio varikozinių mazgų</w:t>
      </w:r>
      <w:r w:rsidRPr="000E27EC">
        <w:rPr>
          <w:rFonts w:ascii="Times New Roman" w:hAnsi="Times New Roman" w:cs="Times New Roman"/>
          <w:sz w:val="22"/>
          <w:szCs w:val="22"/>
        </w:rPr>
        <w:t xml:space="preserve"> stabdyti ir pakartotinio kraujavimo profilaktikai ligoniams, sergantiems kepenų ciroze (lėtine kepenų liga). Gydymas Sandostatin padeda sustabdyti kraujavimą ir sumažinti kraujo perpylimų poreikį;</w:t>
      </w:r>
    </w:p>
    <w:p w:rsidR="00EB42D4" w:rsidRPr="000E27EC" w:rsidRDefault="00EB42D4" w:rsidP="00EB42D4">
      <w:pPr>
        <w:keepNext/>
        <w:widowControl w:val="0"/>
        <w:numPr>
          <w:ilvl w:val="0"/>
          <w:numId w:val="2"/>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pacientams, kuriems yra hipofizės augliai, gydyti, kai šie augliai gamina per daug skydliaukę stimuliuojančio (tirotropinio) hormono (TTH). Per didelis skydliaukę stimuliuojančio hormono (TTH) kiekis sukelia hipertirozę.</w:t>
      </w:r>
    </w:p>
    <w:p w:rsidR="00EB42D4" w:rsidRPr="000E27EC" w:rsidRDefault="00EB42D4" w:rsidP="00EB42D4">
      <w:pPr>
        <w:keepNext/>
        <w:widowControl w:val="0"/>
        <w:spacing w:after="0" w:line="240" w:lineRule="auto"/>
        <w:ind w:left="567"/>
        <w:rPr>
          <w:rFonts w:ascii="Times New Roman" w:eastAsia="Calibri" w:hAnsi="Times New Roman" w:cs="Times New Roman"/>
          <w:sz w:val="22"/>
          <w:szCs w:val="22"/>
        </w:rPr>
      </w:pPr>
      <w:r w:rsidRPr="000E27EC">
        <w:rPr>
          <w:rFonts w:ascii="Times New Roman" w:hAnsi="Times New Roman" w:cs="Times New Roman"/>
          <w:sz w:val="22"/>
          <w:szCs w:val="22"/>
        </w:rPr>
        <w:t xml:space="preserve">Sandostatin vartojamas pacientams, kuriems yra hipofizės augliai dėl kurių per daug gaminama </w:t>
      </w:r>
      <w:r w:rsidRPr="000E27EC">
        <w:rPr>
          <w:rFonts w:ascii="Times New Roman" w:hAnsi="Times New Roman" w:cs="Times New Roman"/>
          <w:sz w:val="22"/>
          <w:szCs w:val="22"/>
        </w:rPr>
        <w:lastRenderedPageBreak/>
        <w:t>skydliaukę stimuliuojančio hormono (TTH), gydyti:</w:t>
      </w:r>
    </w:p>
    <w:p w:rsidR="00EB42D4" w:rsidRPr="000E27EC" w:rsidRDefault="00EB42D4" w:rsidP="00EB42D4">
      <w:pPr>
        <w:keepNext/>
        <w:widowControl w:val="0"/>
        <w:spacing w:after="0" w:line="240" w:lineRule="auto"/>
        <w:ind w:left="1134" w:hanging="567"/>
        <w:rPr>
          <w:rFonts w:ascii="Times New Roman" w:hAnsi="Times New Roman" w:cs="Times New Roman"/>
          <w:sz w:val="22"/>
          <w:szCs w:val="22"/>
        </w:rPr>
      </w:pPr>
      <w:r w:rsidRPr="000E27EC">
        <w:rPr>
          <w:rFonts w:ascii="Times New Roman" w:hAnsi="Times New Roman" w:cs="Times New Roman"/>
          <w:sz w:val="22"/>
          <w:szCs w:val="22"/>
        </w:rPr>
        <w:t>-</w:t>
      </w:r>
      <w:r w:rsidRPr="000E27EC">
        <w:rPr>
          <w:rFonts w:ascii="Times New Roman" w:hAnsi="Times New Roman" w:cs="Times New Roman"/>
          <w:sz w:val="22"/>
          <w:szCs w:val="22"/>
        </w:rPr>
        <w:tab/>
        <w:t>kai kitokie gydymo metodai (chirurginė operacija ar radioterapija) netinka ar buvo neveiksmingi;</w:t>
      </w:r>
    </w:p>
    <w:p w:rsidR="00EB42D4" w:rsidRPr="000E27EC" w:rsidRDefault="00EB42D4" w:rsidP="00EB42D4">
      <w:pPr>
        <w:keepNext/>
        <w:widowControl w:val="0"/>
        <w:spacing w:after="0" w:line="240" w:lineRule="auto"/>
        <w:ind w:left="1134" w:hanging="567"/>
        <w:rPr>
          <w:rFonts w:ascii="Times New Roman" w:hAnsi="Times New Roman" w:cs="Times New Roman"/>
          <w:sz w:val="22"/>
          <w:szCs w:val="22"/>
        </w:rPr>
      </w:pPr>
      <w:r w:rsidRPr="000E27EC">
        <w:rPr>
          <w:rFonts w:ascii="Times New Roman" w:hAnsi="Times New Roman" w:cs="Times New Roman"/>
          <w:sz w:val="22"/>
          <w:szCs w:val="22"/>
        </w:rPr>
        <w:t>-</w:t>
      </w:r>
      <w:r w:rsidRPr="000E27EC">
        <w:rPr>
          <w:rFonts w:ascii="Times New Roman" w:hAnsi="Times New Roman" w:cs="Times New Roman"/>
          <w:sz w:val="22"/>
          <w:szCs w:val="22"/>
        </w:rPr>
        <w:tab/>
        <w:t>tarpiniu laikotarpiu po radioterapijos, kol pasireikš jos poveikis.</w:t>
      </w:r>
    </w:p>
    <w:p w:rsidR="00EB42D4" w:rsidRPr="000E27EC" w:rsidRDefault="00EB42D4" w:rsidP="00EB42D4">
      <w:pPr>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keepNext/>
        <w:widowControl w:val="0"/>
        <w:spacing w:after="0" w:line="240" w:lineRule="auto"/>
        <w:ind w:left="567" w:right="-2"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2.</w:t>
      </w:r>
      <w:r w:rsidRPr="000E27EC">
        <w:rPr>
          <w:rFonts w:ascii="Times New Roman" w:hAnsi="Times New Roman" w:cs="Times New Roman"/>
          <w:b/>
          <w:sz w:val="22"/>
          <w:szCs w:val="22"/>
          <w:lang w:val="it-IT"/>
        </w:rPr>
        <w:tab/>
        <w:t>Kas žinotina prieš vartojant Sandostatin</w:t>
      </w:r>
    </w:p>
    <w:p w:rsidR="00EB42D4" w:rsidRPr="000E27EC" w:rsidRDefault="00EB42D4" w:rsidP="00EB42D4">
      <w:pPr>
        <w:keepNext/>
        <w:widowControl w:val="0"/>
        <w:tabs>
          <w:tab w:val="left" w:pos="720"/>
        </w:tabs>
        <w:spacing w:after="0" w:line="240" w:lineRule="auto"/>
        <w:outlineLvl w:val="0"/>
        <w:rPr>
          <w:rFonts w:ascii="Times New Roman" w:hAnsi="Times New Roman" w:cs="Times New Roman"/>
          <w:sz w:val="22"/>
          <w:szCs w:val="22"/>
          <w:lang w:val="it-IT"/>
        </w:rPr>
      </w:pPr>
    </w:p>
    <w:p w:rsidR="00EB42D4" w:rsidRPr="000E27EC" w:rsidRDefault="00EB42D4" w:rsidP="00EB42D4">
      <w:pPr>
        <w:keepNext/>
        <w:widowControl w:val="0"/>
        <w:tabs>
          <w:tab w:val="left" w:pos="720"/>
        </w:tabs>
        <w:spacing w:after="0" w:line="240" w:lineRule="auto"/>
        <w:outlineLvl w:val="0"/>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Sandostatin vartoti negalima:</w:t>
      </w:r>
    </w:p>
    <w:p w:rsidR="00EB42D4" w:rsidRPr="000E27EC" w:rsidRDefault="00EB42D4" w:rsidP="00EB42D4">
      <w:pPr>
        <w:widowControl w:val="0"/>
        <w:numPr>
          <w:ilvl w:val="0"/>
          <w:numId w:val="1"/>
        </w:numPr>
        <w:tabs>
          <w:tab w:val="left" w:pos="567"/>
          <w:tab w:val="left" w:pos="720"/>
        </w:tabs>
        <w:autoSpaceDE w:val="0"/>
        <w:autoSpaceDN w:val="0"/>
        <w:adjustRightInd w:val="0"/>
        <w:spacing w:after="0" w:line="240" w:lineRule="auto"/>
        <w:ind w:left="567"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yra alergija oktreotidui arba bet kuriai pagalbinei šio vaisto medžiagai (jos išvardytos 6 skyriuje).</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Įspėjimai ir atsargumo priemonės</w:t>
      </w:r>
    </w:p>
    <w:p w:rsidR="00EB42D4" w:rsidRPr="000E27EC" w:rsidRDefault="00EB42D4" w:rsidP="00EB42D4">
      <w:pPr>
        <w:keepNext/>
        <w:widowControl w:val="0"/>
        <w:numPr>
          <w:ilvl w:val="12"/>
          <w:numId w:val="0"/>
        </w:numPr>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keepNext/>
        <w:widowControl w:val="0"/>
        <w:numPr>
          <w:ilvl w:val="12"/>
          <w:numId w:val="0"/>
        </w:numPr>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Pasitarkite su gydytoju, prieš pradėdami vartoti Sandostatin:</w:t>
      </w:r>
    </w:p>
    <w:p w:rsidR="00EB42D4" w:rsidRPr="000E27EC" w:rsidRDefault="00EB42D4" w:rsidP="00EB42D4">
      <w:pPr>
        <w:keepNext/>
        <w:widowControl w:val="0"/>
        <w:numPr>
          <w:ilvl w:val="12"/>
          <w:numId w:val="0"/>
        </w:numPr>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numPr>
          <w:ilvl w:val="0"/>
          <w:numId w:val="3"/>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lang w:val="it-IT"/>
        </w:rPr>
        <w:t>jeigu žinote, kad Jums yra tulžies akmenų arba jų buvo anksčiau</w:t>
      </w:r>
      <w:r>
        <w:rPr>
          <w:rFonts w:ascii="Times New Roman" w:hAnsi="Times New Roman" w:cs="Times New Roman"/>
          <w:sz w:val="22"/>
          <w:szCs w:val="22"/>
          <w:lang w:val="it-IT"/>
        </w:rPr>
        <w:t xml:space="preserve">, </w:t>
      </w:r>
      <w:r w:rsidRPr="00641FEA">
        <w:rPr>
          <w:rFonts w:ascii="Times New Roman" w:hAnsi="Times New Roman" w:cs="Times New Roman"/>
          <w:sz w:val="22"/>
          <w:szCs w:val="22"/>
          <w:lang w:val="it-IT"/>
        </w:rPr>
        <w:t xml:space="preserve">arba </w:t>
      </w:r>
      <w:r>
        <w:rPr>
          <w:rFonts w:ascii="Times New Roman" w:hAnsi="Times New Roman" w:cs="Times New Roman"/>
          <w:sz w:val="22"/>
          <w:szCs w:val="22"/>
          <w:lang w:val="it-IT"/>
        </w:rPr>
        <w:t>J</w:t>
      </w:r>
      <w:r w:rsidRPr="00641FEA">
        <w:rPr>
          <w:rFonts w:ascii="Times New Roman" w:hAnsi="Times New Roman" w:cs="Times New Roman"/>
          <w:sz w:val="22"/>
          <w:szCs w:val="22"/>
          <w:lang w:val="it-IT"/>
        </w:rPr>
        <w:t>ūs patiriate kokių nors komplikacijų, tokių kaip karščiavimas, šaltkrėtis, pilvo skausmas, odos ar akių pagelti</w:t>
      </w:r>
      <w:r>
        <w:rPr>
          <w:rFonts w:ascii="Times New Roman" w:hAnsi="Times New Roman" w:cs="Times New Roman"/>
          <w:sz w:val="22"/>
          <w:szCs w:val="22"/>
          <w:lang w:val="it-IT"/>
        </w:rPr>
        <w:t>mas</w:t>
      </w:r>
      <w:r w:rsidRPr="000E27EC">
        <w:rPr>
          <w:rFonts w:ascii="Times New Roman" w:hAnsi="Times New Roman" w:cs="Times New Roman"/>
          <w:sz w:val="22"/>
          <w:szCs w:val="22"/>
          <w:lang w:val="it-IT"/>
        </w:rPr>
        <w:t xml:space="preserve">; apie tai pasakykite gydytojui, nes ilgai vartojant Sandostatin, gali jų susidaryti. </w:t>
      </w:r>
      <w:r w:rsidRPr="000E27EC">
        <w:rPr>
          <w:rFonts w:ascii="Times New Roman" w:hAnsi="Times New Roman" w:cs="Times New Roman"/>
          <w:sz w:val="22"/>
          <w:szCs w:val="22"/>
        </w:rPr>
        <w:t xml:space="preserve">Jūsų gydytojas gali periodiškai tirti tulžies pūslę; </w:t>
      </w:r>
    </w:p>
    <w:p w:rsidR="00EB42D4" w:rsidRPr="000E27EC" w:rsidRDefault="00EB42D4" w:rsidP="00EB42D4">
      <w:pPr>
        <w:widowControl w:val="0"/>
        <w:spacing w:after="0" w:line="240" w:lineRule="auto"/>
        <w:ind w:left="567" w:hanging="567"/>
        <w:rPr>
          <w:rFonts w:ascii="Times New Roman" w:hAnsi="Times New Roman" w:cs="Times New Roman"/>
          <w:sz w:val="22"/>
          <w:szCs w:val="22"/>
        </w:rPr>
      </w:pPr>
    </w:p>
    <w:p w:rsidR="00EB42D4" w:rsidRPr="000E27EC" w:rsidRDefault="00EB42D4" w:rsidP="00EB42D4">
      <w:pPr>
        <w:widowControl w:val="0"/>
        <w:numPr>
          <w:ilvl w:val="0"/>
          <w:numId w:val="3"/>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pakitusi cukraus koncentracija Jūsų kraujyje, t.</w:t>
      </w:r>
      <w:r>
        <w:rPr>
          <w:rFonts w:ascii="Times New Roman" w:hAnsi="Times New Roman" w:cs="Times New Roman"/>
          <w:sz w:val="22"/>
          <w:szCs w:val="22"/>
        </w:rPr>
        <w:t> </w:t>
      </w:r>
      <w:r w:rsidRPr="000E27EC">
        <w:rPr>
          <w:rFonts w:ascii="Times New Roman" w:hAnsi="Times New Roman" w:cs="Times New Roman"/>
          <w:sz w:val="22"/>
          <w:szCs w:val="22"/>
        </w:rPr>
        <w:t>y., ji yra per didelė (sergate diabetu) arba per maža (yra hipoglikemija). Kai Sandostatin vartojamas kraujavimui iš stemplės ir skrandžio varikozinių mazgų stabdyti, būtina reguliariai tirti cukraus kiekį kraujyje;</w:t>
      </w:r>
    </w:p>
    <w:p w:rsidR="00EB42D4" w:rsidRPr="000E27EC" w:rsidRDefault="00EB42D4" w:rsidP="00EB42D4">
      <w:pPr>
        <w:widowControl w:val="0"/>
        <w:spacing w:after="0" w:line="240" w:lineRule="auto"/>
        <w:ind w:left="567" w:hanging="567"/>
        <w:rPr>
          <w:rFonts w:ascii="Times New Roman" w:hAnsi="Times New Roman" w:cs="Times New Roman"/>
          <w:sz w:val="22"/>
          <w:szCs w:val="22"/>
        </w:rPr>
      </w:pPr>
    </w:p>
    <w:p w:rsidR="00EB42D4" w:rsidRPr="00F61446" w:rsidRDefault="00EB42D4" w:rsidP="00EB42D4">
      <w:pPr>
        <w:widowControl w:val="0"/>
        <w:numPr>
          <w:ilvl w:val="0"/>
          <w:numId w:val="3"/>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Jums anksčiau buvo nustatytas vitamino B12 trūkumas; tokiu atveju gydytojas gali periodiškai tirti vitamino B12 kiekį Jūsų organizme</w:t>
      </w:r>
      <w:r>
        <w:rPr>
          <w:rFonts w:ascii="Times New Roman" w:hAnsi="Times New Roman" w:cs="Times New Roman"/>
          <w:sz w:val="22"/>
          <w:szCs w:val="22"/>
        </w:rPr>
        <w:t>;</w:t>
      </w:r>
    </w:p>
    <w:p w:rsidR="00EB42D4" w:rsidRDefault="00EB42D4" w:rsidP="00EB42D4">
      <w:pPr>
        <w:pStyle w:val="Sraopastraipa"/>
        <w:rPr>
          <w:rFonts w:eastAsia="Calibri"/>
          <w:szCs w:val="22"/>
        </w:rPr>
      </w:pPr>
    </w:p>
    <w:p w:rsidR="00EB42D4" w:rsidRPr="000E27EC" w:rsidRDefault="00EB42D4" w:rsidP="00EB42D4">
      <w:pPr>
        <w:widowControl w:val="0"/>
        <w:numPr>
          <w:ilvl w:val="0"/>
          <w:numId w:val="3"/>
        </w:numPr>
        <w:spacing w:after="0" w:line="240" w:lineRule="auto"/>
        <w:ind w:left="567" w:hanging="567"/>
        <w:rPr>
          <w:rFonts w:ascii="Times New Roman" w:eastAsia="Calibri" w:hAnsi="Times New Roman" w:cs="Times New Roman"/>
          <w:sz w:val="22"/>
          <w:szCs w:val="22"/>
        </w:rPr>
      </w:pPr>
      <w:r>
        <w:rPr>
          <w:rFonts w:ascii="Times New Roman" w:eastAsia="Calibri" w:hAnsi="Times New Roman" w:cs="Times New Roman"/>
          <w:sz w:val="22"/>
          <w:szCs w:val="22"/>
        </w:rPr>
        <w:t>o</w:t>
      </w:r>
      <w:r w:rsidRPr="00225D45">
        <w:rPr>
          <w:rFonts w:ascii="Times New Roman" w:eastAsia="Calibri" w:hAnsi="Times New Roman" w:cs="Times New Roman"/>
          <w:sz w:val="22"/>
          <w:szCs w:val="22"/>
        </w:rPr>
        <w:t>ktreotidas gali sulėtinti širdies ritmą, o labai didelėmis dozėmis vartojamas vaistas gali sutrikdyti širdies ritmą. Gydymo laikotarpiu gydytojas gali stebėti jūsų širdies ritmą.</w:t>
      </w:r>
    </w:p>
    <w:p w:rsidR="00EB42D4" w:rsidRPr="000E27EC" w:rsidRDefault="00EB42D4" w:rsidP="00EB42D4">
      <w:pPr>
        <w:widowControl w:val="0"/>
        <w:spacing w:after="0" w:line="240" w:lineRule="auto"/>
        <w:ind w:left="567"/>
        <w:rPr>
          <w:rFonts w:ascii="Times New Roman" w:eastAsia="Calibri" w:hAnsi="Times New Roman" w:cs="Times New Roman"/>
          <w:sz w:val="22"/>
          <w:szCs w:val="22"/>
        </w:rPr>
      </w:pPr>
    </w:p>
    <w:p w:rsidR="00EB42D4" w:rsidRPr="000E27EC" w:rsidRDefault="00EB42D4" w:rsidP="00EB42D4">
      <w:pPr>
        <w:widowControl w:val="0"/>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Tyrimai ir patikrinimai</w:t>
      </w: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Jeigu Sandostatin vartosite ilgai, gydytojas gali reguliariai atlikinėti Jūsų skydliaukės funkcijos tyrimus.</w:t>
      </w:r>
    </w:p>
    <w:p w:rsidR="00EB42D4" w:rsidRPr="000E27EC" w:rsidRDefault="00EB42D4" w:rsidP="00EB42D4">
      <w:pPr>
        <w:widowControl w:val="0"/>
        <w:tabs>
          <w:tab w:val="left" w:pos="720"/>
        </w:tabs>
        <w:spacing w:after="0" w:line="240" w:lineRule="auto"/>
        <w:rPr>
          <w:rFonts w:ascii="Times New Roman" w:hAnsi="Times New Roman" w:cs="Times New Roman"/>
          <w:sz w:val="22"/>
          <w:szCs w:val="22"/>
        </w:rPr>
      </w:pPr>
    </w:p>
    <w:p w:rsidR="00EB42D4"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rPr>
      </w:pPr>
      <w:r w:rsidRPr="000E27EC">
        <w:rPr>
          <w:rFonts w:ascii="Times New Roman" w:hAnsi="Times New Roman" w:cs="Times New Roman"/>
          <w:sz w:val="22"/>
          <w:szCs w:val="22"/>
        </w:rPr>
        <w:t>Gydytojas taip pat tikrins Jūsų kepenų veiklą.</w:t>
      </w:r>
    </w:p>
    <w:p w:rsidR="00EB42D4"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rPr>
      </w:pPr>
    </w:p>
    <w:p w:rsidR="00EB42D4" w:rsidRPr="00F07EC2"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rPr>
      </w:pPr>
      <w:r w:rsidRPr="00F07EC2">
        <w:rPr>
          <w:rFonts w:ascii="Times New Roman" w:eastAsia="Calibri" w:hAnsi="Times New Roman" w:cs="Times New Roman"/>
          <w:sz w:val="22"/>
          <w:szCs w:val="22"/>
        </w:rPr>
        <w:t xml:space="preserve">Jūsų gydytojas gali patikrinti </w:t>
      </w:r>
      <w:r>
        <w:rPr>
          <w:rFonts w:ascii="Times New Roman" w:eastAsia="Calibri" w:hAnsi="Times New Roman" w:cs="Times New Roman"/>
          <w:sz w:val="22"/>
          <w:szCs w:val="22"/>
        </w:rPr>
        <w:t>J</w:t>
      </w:r>
      <w:r w:rsidRPr="00F07EC2">
        <w:rPr>
          <w:rFonts w:ascii="Times New Roman" w:eastAsia="Calibri" w:hAnsi="Times New Roman" w:cs="Times New Roman"/>
          <w:sz w:val="22"/>
          <w:szCs w:val="22"/>
        </w:rPr>
        <w:t>ūsų kasos fermentų gamybos funkciją.</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rPr>
      </w:pPr>
    </w:p>
    <w:p w:rsidR="00EB42D4" w:rsidRPr="000E27EC" w:rsidRDefault="00EB42D4" w:rsidP="00EB42D4">
      <w:pPr>
        <w:keepNext/>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Vaikams</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Sandostatin vartojimo vaikams patirties yra labai nedaug.</w:t>
      </w: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keepNext/>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b/>
          <w:sz w:val="22"/>
          <w:szCs w:val="22"/>
        </w:rPr>
        <w:t>Kiti vaistai ir Sandostatin</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vartojate ar neseniai vartojote kitų vaistų arba dėl to nesate tikri, apie tai pasakykite gydytojui arba vaistininkui.</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 xml:space="preserve">Vartodami Sandostatin paprastai Jūs galėsite ir toliau vartoti kitų vaistų. Tačiau nustatyta, kad Sandostatin įtakoja kai kurių vaistų, pavyzdžiui, cimetidino, ciklosporino, bromokriptino, chinidino ir terfenadino, poveikį. </w:t>
      </w:r>
    </w:p>
    <w:p w:rsidR="00EB42D4" w:rsidRPr="000E27EC" w:rsidRDefault="00EB42D4" w:rsidP="00EB42D4">
      <w:pPr>
        <w:widowControl w:val="0"/>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 xml:space="preserve">Jeigu vartojate kraujospūdžiui reguliuoti skirtų vaistų (pvz., beta adrenoblokatorių ar kalcio kanalų blokatorių) arba skysčių ir elektrolitų pusiausvyrą reguliuojančių </w:t>
      </w:r>
      <w:r>
        <w:rPr>
          <w:rFonts w:ascii="Times New Roman" w:hAnsi="Times New Roman" w:cs="Times New Roman"/>
          <w:sz w:val="22"/>
          <w:szCs w:val="22"/>
        </w:rPr>
        <w:t>vaistų</w:t>
      </w:r>
      <w:r w:rsidRPr="000E27EC">
        <w:rPr>
          <w:rFonts w:ascii="Times New Roman" w:hAnsi="Times New Roman" w:cs="Times New Roman"/>
          <w:sz w:val="22"/>
          <w:szCs w:val="22"/>
        </w:rPr>
        <w:t>, gydytojas gali koreguoti jų dozę.</w:t>
      </w:r>
    </w:p>
    <w:p w:rsidR="00EB42D4" w:rsidRPr="000E27EC" w:rsidRDefault="00EB42D4" w:rsidP="00EB42D4">
      <w:pPr>
        <w:widowControl w:val="0"/>
        <w:tabs>
          <w:tab w:val="left" w:pos="720"/>
        </w:tabs>
        <w:spacing w:after="0" w:line="240" w:lineRule="auto"/>
        <w:rPr>
          <w:rFonts w:ascii="Times New Roman" w:hAnsi="Times New Roman" w:cs="Times New Roman"/>
          <w:sz w:val="22"/>
          <w:szCs w:val="22"/>
        </w:rPr>
      </w:pPr>
    </w:p>
    <w:p w:rsidR="00EB42D4" w:rsidRDefault="00EB42D4" w:rsidP="00EB42D4">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Jeigu sergate diabetu, gydytojui gali tekti koreguoti Jūsų vartojamo insulino dozę.</w:t>
      </w:r>
    </w:p>
    <w:p w:rsidR="00EB42D4" w:rsidRDefault="00EB42D4" w:rsidP="00EB42D4">
      <w:pPr>
        <w:widowControl w:val="0"/>
        <w:tabs>
          <w:tab w:val="left" w:pos="720"/>
        </w:tabs>
        <w:spacing w:after="0" w:line="240" w:lineRule="auto"/>
        <w:rPr>
          <w:rFonts w:ascii="Times New Roman" w:eastAsia="Calibri" w:hAnsi="Times New Roman" w:cs="Times New Roman"/>
          <w:sz w:val="22"/>
          <w:szCs w:val="22"/>
        </w:rPr>
      </w:pPr>
    </w:p>
    <w:p w:rsidR="00EB42D4" w:rsidRPr="002D2B82" w:rsidRDefault="00EB42D4" w:rsidP="00EB42D4">
      <w:pPr>
        <w:widowControl w:val="0"/>
        <w:tabs>
          <w:tab w:val="left" w:pos="720"/>
        </w:tabs>
        <w:spacing w:after="0" w:line="240" w:lineRule="auto"/>
        <w:rPr>
          <w:rFonts w:ascii="Times New Roman" w:eastAsia="Calibri" w:hAnsi="Times New Roman" w:cs="Times New Roman"/>
          <w:color w:val="000000" w:themeColor="text1"/>
          <w:sz w:val="22"/>
          <w:szCs w:val="22"/>
        </w:rPr>
      </w:pPr>
      <w:r w:rsidRPr="002D2B82">
        <w:rPr>
          <w:rFonts w:ascii="Times New Roman" w:eastAsia="Calibri" w:hAnsi="Times New Roman" w:cs="Times New Roman"/>
          <w:color w:val="000000" w:themeColor="text1"/>
          <w:sz w:val="22"/>
          <w:szCs w:val="22"/>
          <w:lang w:val="en-GB"/>
        </w:rPr>
        <w:t>Jeigu Jums paskirtas radiofarmacinis gydymas liutecio (</w:t>
      </w:r>
      <w:r w:rsidRPr="002D2B82">
        <w:rPr>
          <w:rFonts w:ascii="Times New Roman" w:eastAsia="Calibri" w:hAnsi="Times New Roman" w:cs="Times New Roman"/>
          <w:color w:val="000000" w:themeColor="text1"/>
          <w:sz w:val="22"/>
          <w:szCs w:val="22"/>
          <w:vertAlign w:val="superscript"/>
          <w:lang w:val="en-GB"/>
        </w:rPr>
        <w:t>177</w:t>
      </w:r>
      <w:r w:rsidRPr="002D2B82">
        <w:rPr>
          <w:rFonts w:ascii="Times New Roman" w:eastAsia="Calibri" w:hAnsi="Times New Roman" w:cs="Times New Roman"/>
          <w:color w:val="000000" w:themeColor="text1"/>
          <w:sz w:val="22"/>
          <w:szCs w:val="22"/>
          <w:lang w:val="en-GB"/>
        </w:rPr>
        <w:t>Lu) oksodotreotidu</w:t>
      </w:r>
      <w:r w:rsidRPr="002D2B82">
        <w:rPr>
          <w:rFonts w:ascii="Times New Roman" w:eastAsia="Calibri" w:hAnsi="Times New Roman" w:cs="Times New Roman"/>
          <w:color w:val="000000" w:themeColor="text1"/>
          <w:sz w:val="22"/>
          <w:szCs w:val="22"/>
          <w:lang w:bidi="lt-LT"/>
        </w:rPr>
        <w:t>, Jūsų gydytojas gali trumpam laikotarpiui pristabdyti ir (arba) pritaikyti gydymą Sandostatin.</w:t>
      </w:r>
    </w:p>
    <w:p w:rsidR="00EB42D4" w:rsidRPr="002D2B82" w:rsidRDefault="00EB42D4" w:rsidP="00EB42D4">
      <w:pPr>
        <w:widowControl w:val="0"/>
        <w:tabs>
          <w:tab w:val="left" w:pos="720"/>
        </w:tabs>
        <w:spacing w:after="0" w:line="240" w:lineRule="auto"/>
        <w:jc w:val="both"/>
        <w:rPr>
          <w:rFonts w:ascii="Times New Roman" w:hAnsi="Times New Roman" w:cs="Times New Roman"/>
          <w:color w:val="000000" w:themeColor="text1"/>
          <w:sz w:val="22"/>
          <w:szCs w:val="22"/>
        </w:rPr>
      </w:pPr>
    </w:p>
    <w:p w:rsidR="00EB42D4" w:rsidRPr="000E27EC" w:rsidRDefault="00EB42D4" w:rsidP="00EB42D4">
      <w:pPr>
        <w:keepNext/>
        <w:widowControl w:val="0"/>
        <w:numPr>
          <w:ilvl w:val="12"/>
          <w:numId w:val="0"/>
        </w:numPr>
        <w:tabs>
          <w:tab w:val="left" w:pos="720"/>
        </w:tabs>
        <w:spacing w:after="0" w:line="240" w:lineRule="auto"/>
        <w:ind w:right="-2"/>
        <w:outlineLvl w:val="0"/>
        <w:rPr>
          <w:rFonts w:ascii="Times New Roman" w:eastAsia="Calibri" w:hAnsi="Times New Roman" w:cs="Times New Roman"/>
          <w:sz w:val="22"/>
          <w:szCs w:val="22"/>
        </w:rPr>
      </w:pPr>
      <w:r w:rsidRPr="000E27EC">
        <w:rPr>
          <w:rFonts w:ascii="Times New Roman" w:hAnsi="Times New Roman" w:cs="Times New Roman"/>
          <w:b/>
          <w:sz w:val="22"/>
          <w:szCs w:val="22"/>
        </w:rPr>
        <w:t>Nėštumas ir žindymo laikotarpis</w:t>
      </w:r>
    </w:p>
    <w:p w:rsidR="00EB42D4" w:rsidRPr="000E27EC" w:rsidRDefault="00EB42D4" w:rsidP="00EB42D4">
      <w:pPr>
        <w:widowControl w:val="0"/>
        <w:numPr>
          <w:ilvl w:val="12"/>
          <w:numId w:val="0"/>
        </w:numPr>
        <w:tabs>
          <w:tab w:val="left" w:pos="720"/>
        </w:tabs>
        <w:spacing w:after="0" w:line="240" w:lineRule="auto"/>
        <w:ind w:right="-2"/>
        <w:outlineLvl w:val="0"/>
        <w:rPr>
          <w:rFonts w:ascii="Times New Roman" w:eastAsia="Calibri" w:hAnsi="Times New Roman" w:cs="Times New Roman"/>
          <w:sz w:val="22"/>
          <w:szCs w:val="22"/>
        </w:rPr>
      </w:pPr>
      <w:r w:rsidRPr="000E27EC">
        <w:rPr>
          <w:rFonts w:ascii="Times New Roman" w:hAnsi="Times New Roman" w:cs="Times New Roman"/>
          <w:sz w:val="22"/>
          <w:szCs w:val="22"/>
        </w:rPr>
        <w:t>Jeigu esate nėščia, žindote kūdikį, manote, kad galbūt esate nėščia arba planuojate pastoti, tai prieš vartodama šį vaistą pasitarkite su gydytoju.</w:t>
      </w:r>
    </w:p>
    <w:p w:rsidR="00EB42D4" w:rsidRPr="000E27EC" w:rsidRDefault="00EB42D4" w:rsidP="00EB42D4">
      <w:pPr>
        <w:widowControl w:val="0"/>
        <w:numPr>
          <w:ilvl w:val="12"/>
          <w:numId w:val="0"/>
        </w:numPr>
        <w:tabs>
          <w:tab w:val="left" w:pos="720"/>
        </w:tabs>
        <w:spacing w:after="0" w:line="240" w:lineRule="auto"/>
        <w:ind w:right="-2"/>
        <w:outlineLvl w:val="0"/>
        <w:rPr>
          <w:rFonts w:ascii="Times New Roman" w:hAnsi="Times New Roman" w:cs="Times New Roman"/>
          <w:sz w:val="22"/>
          <w:szCs w:val="22"/>
        </w:rPr>
      </w:pPr>
    </w:p>
    <w:p w:rsidR="00EB42D4" w:rsidRPr="000E27EC" w:rsidRDefault="00EB42D4" w:rsidP="00EB42D4">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nėštumo metu galima vartoti tik tuomet, kai neabejotinai būtina.</w:t>
      </w:r>
    </w:p>
    <w:p w:rsidR="00EB42D4" w:rsidRPr="000E27EC" w:rsidRDefault="00EB42D4" w:rsidP="00EB42D4">
      <w:pPr>
        <w:widowControl w:val="0"/>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Gydymo metu vaisingo amžiaus moterys turi naudoti veiksmingą kontracepcijos metodą.</w:t>
      </w:r>
    </w:p>
    <w:p w:rsidR="00EB42D4" w:rsidRPr="000E27EC" w:rsidRDefault="00EB42D4" w:rsidP="00EB42D4">
      <w:pPr>
        <w:widowControl w:val="0"/>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vartojimo metu žindyti negalima. Nėra žinoma, ar Sandostatin išsiskiria į motinos pieną.</w:t>
      </w:r>
    </w:p>
    <w:p w:rsidR="00EB42D4" w:rsidRPr="000E27EC" w:rsidRDefault="00EB42D4" w:rsidP="00EB42D4">
      <w:pPr>
        <w:widowControl w:val="0"/>
        <w:numPr>
          <w:ilvl w:val="12"/>
          <w:numId w:val="0"/>
        </w:numPr>
        <w:tabs>
          <w:tab w:val="left" w:pos="720"/>
        </w:tabs>
        <w:spacing w:after="0" w:line="240" w:lineRule="auto"/>
        <w:ind w:right="-2"/>
        <w:outlineLvl w:val="0"/>
        <w:rPr>
          <w:rFonts w:ascii="Times New Roman" w:hAnsi="Times New Roman" w:cs="Times New Roman"/>
          <w:sz w:val="22"/>
          <w:szCs w:val="22"/>
          <w:lang w:val="it-IT"/>
        </w:rPr>
      </w:pPr>
    </w:p>
    <w:p w:rsidR="00EB42D4" w:rsidRPr="000E27EC" w:rsidRDefault="00EB42D4" w:rsidP="00EB42D4">
      <w:pPr>
        <w:keepNext/>
        <w:widowControl w:val="0"/>
        <w:numPr>
          <w:ilvl w:val="12"/>
          <w:numId w:val="0"/>
        </w:numPr>
        <w:tabs>
          <w:tab w:val="left" w:pos="720"/>
        </w:tabs>
        <w:spacing w:after="0" w:line="240" w:lineRule="auto"/>
        <w:ind w:right="-2"/>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Vairavimas ir mechanizmų valdymas</w:t>
      </w: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gebėjimo vairuoti ir valdyti mechanizmus neveikia arba veikia nereikšmingai. Tačiau vartodami Sandostatin galite patirti kai kurių šalutinių reiškinių, pavyzdžiui, galvos skausmą ir nuovargį, kurie gali bloginti Jūsų gebėjimą saugiai vairuoti ir valdyti mechanizmus.</w:t>
      </w: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numPr>
          <w:ilvl w:val="12"/>
          <w:numId w:val="0"/>
        </w:numPr>
        <w:spacing w:after="0" w:line="240" w:lineRule="auto"/>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Sandostatin sudėtyje yra natrio</w:t>
      </w:r>
    </w:p>
    <w:p w:rsidR="00EB42D4" w:rsidRPr="000E27EC" w:rsidRDefault="00EB42D4" w:rsidP="00EB42D4">
      <w:pPr>
        <w:widowControl w:val="0"/>
        <w:numPr>
          <w:ilvl w:val="12"/>
          <w:numId w:val="0"/>
        </w:numPr>
        <w:tabs>
          <w:tab w:val="left" w:pos="720"/>
        </w:tabs>
        <w:spacing w:after="0" w:line="240" w:lineRule="auto"/>
        <w:rPr>
          <w:rFonts w:ascii="Times New Roman" w:eastAsia="Calibri" w:hAnsi="Times New Roman" w:cs="Times New Roman"/>
          <w:sz w:val="22"/>
          <w:szCs w:val="22"/>
          <w:lang w:val="it-IT"/>
        </w:rPr>
      </w:pPr>
      <w:r>
        <w:rPr>
          <w:rFonts w:ascii="Times New Roman" w:hAnsi="Times New Roman" w:cs="Times New Roman"/>
          <w:sz w:val="22"/>
          <w:szCs w:val="22"/>
          <w:lang w:val="it-IT"/>
        </w:rPr>
        <w:t xml:space="preserve">Šio vaisto ampulėje </w:t>
      </w:r>
      <w:r w:rsidRPr="000E27EC">
        <w:rPr>
          <w:rFonts w:ascii="Times New Roman" w:hAnsi="Times New Roman" w:cs="Times New Roman"/>
          <w:sz w:val="22"/>
          <w:szCs w:val="22"/>
          <w:lang w:val="it-IT"/>
        </w:rPr>
        <w:t>yra mažiau kaip 1 mmol (23 mg) natrio, t.</w:t>
      </w:r>
      <w:r>
        <w:rPr>
          <w:rFonts w:ascii="Times New Roman" w:hAnsi="Times New Roman" w:cs="Times New Roman"/>
          <w:sz w:val="22"/>
          <w:szCs w:val="22"/>
          <w:lang w:val="it-IT"/>
        </w:rPr>
        <w:t> </w:t>
      </w:r>
      <w:r w:rsidRPr="000E27EC">
        <w:rPr>
          <w:rFonts w:ascii="Times New Roman" w:hAnsi="Times New Roman" w:cs="Times New Roman"/>
          <w:sz w:val="22"/>
          <w:szCs w:val="22"/>
          <w:lang w:val="it-IT"/>
        </w:rPr>
        <w:t>y. jis beveik neturi reikšmės.</w:t>
      </w:r>
    </w:p>
    <w:p w:rsidR="00EB42D4" w:rsidRPr="000E27EC" w:rsidRDefault="00EB42D4" w:rsidP="00EB42D4">
      <w:pPr>
        <w:widowControl w:val="0"/>
        <w:numPr>
          <w:ilvl w:val="12"/>
          <w:numId w:val="0"/>
        </w:numPr>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rPr>
          <w:rFonts w:ascii="Times New Roman" w:eastAsia="Calibri" w:hAnsi="Times New Roman" w:cs="Times New Roman"/>
          <w:sz w:val="22"/>
          <w:szCs w:val="22"/>
          <w:lang w:val="it-IT"/>
        </w:rPr>
      </w:pPr>
    </w:p>
    <w:p w:rsidR="00EB42D4" w:rsidRPr="000E27EC" w:rsidRDefault="00EB42D4" w:rsidP="00EB42D4">
      <w:pPr>
        <w:keepNext/>
        <w:widowControl w:val="0"/>
        <w:tabs>
          <w:tab w:val="left" w:pos="567"/>
        </w:tabs>
        <w:spacing w:after="0" w:line="240" w:lineRule="auto"/>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3.</w:t>
      </w:r>
      <w:r w:rsidRPr="000E27EC">
        <w:rPr>
          <w:rFonts w:ascii="Times New Roman" w:hAnsi="Times New Roman" w:cs="Times New Roman"/>
          <w:b/>
          <w:sz w:val="22"/>
          <w:szCs w:val="22"/>
          <w:lang w:val="it-IT"/>
        </w:rPr>
        <w:tab/>
        <w:t>Kaip vartoti Sandostatin</w:t>
      </w:r>
    </w:p>
    <w:p w:rsidR="00EB42D4" w:rsidRPr="000E27EC" w:rsidRDefault="00EB42D4" w:rsidP="00EB42D4">
      <w:pPr>
        <w:keepNext/>
        <w:widowControl w:val="0"/>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Visada vartokite šį vaistą tiksliai, kaip nurodė gydytojas arba vaistininkas. Jeigu abejojate, kreipkitės į gydytoją arba vaistininką.</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Priklausomai nuo gydomos būklės, Sandostatin leidžiamas:</w:t>
      </w:r>
    </w:p>
    <w:p w:rsidR="00EB42D4" w:rsidRPr="000E27EC" w:rsidRDefault="00EB42D4" w:rsidP="00EB42D4">
      <w:pPr>
        <w:widowControl w:val="0"/>
        <w:numPr>
          <w:ilvl w:val="0"/>
          <w:numId w:val="4"/>
        </w:numPr>
        <w:tabs>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po oda (poodinės injekcijos būdu) arba</w:t>
      </w:r>
    </w:p>
    <w:p w:rsidR="00EB42D4" w:rsidRPr="000E27EC" w:rsidRDefault="00EB42D4" w:rsidP="00EB42D4">
      <w:pPr>
        <w:widowControl w:val="0"/>
        <w:numPr>
          <w:ilvl w:val="0"/>
          <w:numId w:val="4"/>
        </w:numPr>
        <w:tabs>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į veną lašiniu (infuzijos) būdu. </w:t>
      </w:r>
    </w:p>
    <w:p w:rsidR="00EB42D4" w:rsidRPr="000E27EC" w:rsidRDefault="00EB42D4" w:rsidP="00EB42D4">
      <w:pPr>
        <w:widowControl w:val="0"/>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sergate kepenų ciroze (lėtine kepenų liga), gydytojas gali koreguoti Jūsų vartojamą palaikomąją vaisto dozę.</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Gydytojas arba slaugytoja</w:t>
      </w:r>
      <w:r>
        <w:rPr>
          <w:rFonts w:ascii="Times New Roman" w:hAnsi="Times New Roman" w:cs="Times New Roman"/>
          <w:sz w:val="22"/>
          <w:szCs w:val="22"/>
        </w:rPr>
        <w:t>s</w:t>
      </w:r>
      <w:r w:rsidRPr="000E27EC">
        <w:rPr>
          <w:rFonts w:ascii="Times New Roman" w:hAnsi="Times New Roman" w:cs="Times New Roman"/>
          <w:sz w:val="22"/>
          <w:szCs w:val="22"/>
        </w:rPr>
        <w:t xml:space="preserve"> Jums paaiškins, kaip Sandostatin leisti po oda, tačiau vaisto lašinti į veną visada turi tik sveikatos priežiūros specialistas.</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0"/>
          <w:numId w:val="5"/>
        </w:numPr>
        <w:tabs>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Injekcija po oda</w:t>
      </w:r>
    </w:p>
    <w:p w:rsidR="00EB42D4" w:rsidRPr="000E27EC" w:rsidRDefault="00EB42D4" w:rsidP="00EB42D4">
      <w:pPr>
        <w:keepNext/>
        <w:widowControl w:val="0"/>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Vaisto geriausiai leisti po žasto, šlaunų bei pilvo oda.</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Kad nebūtų dirginama ta pati injekcijos vieta, kiekvieną kartą vaisto leiskite po oda vis į naują sritį. Pacientai, kurie pageidauja vaistą leistis patys, turi būti išsamiai apmokyti gydytojo ar slaugytojo, kaip tai padaryti.</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vaistas laikomas šaldytuve, prieš vartojant rekomenduojama jį sušildyti iki kambario temperatūros. Tuomet bus mažesnė skausmo injekcijos vietoje pasireiškimo galimybė. Vaistą šildyti galima rankose, tačiau jo negalima kaitinti.</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Kai kuriems pacientams injekcijos po oda vietoje pasireiškia skausmas. Paprastai skausmas trunka </w:t>
      </w:r>
      <w:r w:rsidRPr="000E27EC">
        <w:rPr>
          <w:rFonts w:ascii="Times New Roman" w:hAnsi="Times New Roman" w:cs="Times New Roman"/>
          <w:sz w:val="22"/>
          <w:szCs w:val="22"/>
          <w:lang w:val="it-IT"/>
        </w:rPr>
        <w:lastRenderedPageBreak/>
        <w:t>trumpai. Jeigu Jūs pajustumėte tokį skausmą, jį galite sumažinti keletą sekundžių švelniai patrindami injekcijos vietą.</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Prieš vartodami Sandostatin ampulę, patikrinkite, ar tirpale nėra dalelių ir ar nepakitusi jo spalva. Nevartokite vaisto, jeigu pastebėsite ką nors neįprasto.</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Siekiant išvengti užterštumo, daugiadozio flakono dangtelio negalima pradurti daugiau kaip 10 kartų.</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rsidR="00EB42D4" w:rsidRPr="000E27EC" w:rsidRDefault="00EB42D4" w:rsidP="00EB42D4">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Ką daryti pavartojus per didelę Sandostatin dozę?</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Perdozavimo požymiai yra nereguliarus širdies susitraukimų ritmas, sumažėjęs kraujospūdis, širdies sustojimas, sumažėjęs deguonies patekimas į galvos smegenis, stiprus viršutinės pilvo srities skausmas, odos ir akių baltymų pageltimas, pykinimas, apetito praradimas, viduriavimas, silpnumas, nuovargis, energijos stoka, sumažėjęs kūno svoris, padidėjusi pilvo apimtis, nemalonus pojūtis pilve ir padidėjęs pieno rūgšties kiekis kraujyje</w:t>
      </w:r>
      <w:r>
        <w:rPr>
          <w:rFonts w:ascii="Times New Roman" w:hAnsi="Times New Roman" w:cs="Times New Roman"/>
          <w:sz w:val="22"/>
          <w:szCs w:val="22"/>
          <w:lang w:val="it-IT"/>
        </w:rPr>
        <w:t xml:space="preserve"> ir sutri</w:t>
      </w:r>
      <w:r>
        <w:rPr>
          <w:rFonts w:ascii="Times New Roman" w:hAnsi="Times New Roman" w:cs="Times New Roman"/>
          <w:sz w:val="22"/>
          <w:szCs w:val="22"/>
          <w:lang w:val="lt-LT"/>
        </w:rPr>
        <w:t>kęs širdies ritmas</w:t>
      </w:r>
      <w:r w:rsidRPr="000E27EC">
        <w:rPr>
          <w:rFonts w:ascii="Times New Roman" w:hAnsi="Times New Roman" w:cs="Times New Roman"/>
          <w:sz w:val="22"/>
          <w:szCs w:val="22"/>
          <w:lang w:val="it-IT"/>
        </w:rPr>
        <w:t>.</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 manote, kad pavartojote per didelę vaisto dozę, ir Jums pasireiškė šių požymių, nedelsdami kreipkitės į gydytoją.</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Pamiršus pavartoti Sandostatin</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Pamiršus pavartoti vaisto dozę, suleiskite ją iškart prisiminę, o toliau vaisto vartokite įprastai. Nebus jokios žalos, jeigu pamiršite pavartoti vaisto dozę, tačiau kol vaisto pradėsite vartoti įprastu režimu, gali laikinai atsinaujinti ligos požymiai.</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Neleiskite dvigubos Sandostatin dozės, norėdami kompensuoti praleistą dozę.</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Nustojus vartoti Sandostatin</w:t>
      </w:r>
    </w:p>
    <w:p w:rsidR="00EB42D4" w:rsidRPr="000E27EC" w:rsidRDefault="00EB42D4" w:rsidP="00EB42D4">
      <w:pPr>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nutrauksite gydymą Sandostatin, Jūsų ligos simptomai gali atsinaujinti. Todėl nenutraukite Sandostatin vartojimo, nebent taip padaryti nurodė gydytojas.</w:t>
      </w:r>
    </w:p>
    <w:p w:rsidR="00EB42D4" w:rsidRPr="000E27EC" w:rsidRDefault="00EB42D4" w:rsidP="00EB42D4">
      <w:pPr>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kiltų daugiau klausimų dėl šio vaisto vartojimo, kreipkitės į gydytoją, slaugytoją arba vaistininką.</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keepNext/>
        <w:widowControl w:val="0"/>
        <w:numPr>
          <w:ilvl w:val="12"/>
          <w:numId w:val="0"/>
        </w:numPr>
        <w:spacing w:after="0" w:line="240" w:lineRule="auto"/>
        <w:ind w:left="567" w:hanging="567"/>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4.</w:t>
      </w:r>
      <w:r w:rsidRPr="000E27EC">
        <w:rPr>
          <w:rFonts w:ascii="Times New Roman" w:hAnsi="Times New Roman" w:cs="Times New Roman"/>
          <w:b/>
          <w:sz w:val="22"/>
          <w:szCs w:val="22"/>
          <w:lang w:val="it-IT"/>
        </w:rPr>
        <w:tab/>
        <w:t>Galimas šalutinis poveikis</w:t>
      </w:r>
    </w:p>
    <w:p w:rsidR="00EB42D4" w:rsidRPr="000E27EC" w:rsidRDefault="00EB42D4" w:rsidP="00EB42D4">
      <w:pPr>
        <w:keepNext/>
        <w:widowControl w:val="0"/>
        <w:numPr>
          <w:ilvl w:val="12"/>
          <w:numId w:val="0"/>
        </w:numPr>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Šis vaistas, kaip ir visi kiti, gali sukelti šalutinį poveikį, nors jis pasireiškia ne visiems žmonėms.</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Kai kurie šalutiniai reiškiniai gali būti sunkūs. Jeigu Jums pasireikštų bet kurių toliau išvardytų reiškinių, nedelsdami kreipkitės į gydytoją:</w:t>
      </w:r>
    </w:p>
    <w:p w:rsidR="00EB42D4" w:rsidRPr="000E27EC" w:rsidRDefault="00EB42D4" w:rsidP="00EB42D4">
      <w:pPr>
        <w:keepNext/>
        <w:widowControl w:val="0"/>
        <w:tabs>
          <w:tab w:val="left" w:pos="720"/>
        </w:tabs>
        <w:spacing w:after="0" w:line="240" w:lineRule="auto"/>
        <w:rPr>
          <w:rFonts w:ascii="Times New Roman" w:hAnsi="Times New Roman" w:cs="Times New Roman"/>
          <w:sz w:val="22"/>
          <w:szCs w:val="22"/>
          <w:lang w:val="it-IT"/>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b/>
          <w:sz w:val="22"/>
          <w:szCs w:val="22"/>
          <w:lang w:val="it-IT"/>
        </w:rPr>
        <w:t>Labai dažn</w:t>
      </w:r>
      <w:r>
        <w:rPr>
          <w:rFonts w:ascii="Times New Roman" w:hAnsi="Times New Roman" w:cs="Times New Roman"/>
          <w:b/>
          <w:sz w:val="22"/>
          <w:szCs w:val="22"/>
          <w:lang w:val="it-IT"/>
        </w:rPr>
        <w:t>as</w:t>
      </w:r>
      <w:r w:rsidRPr="000E27EC">
        <w:rPr>
          <w:rFonts w:ascii="Times New Roman" w:hAnsi="Times New Roman" w:cs="Times New Roman"/>
          <w:b/>
          <w:sz w:val="22"/>
          <w:szCs w:val="22"/>
          <w:lang w:val="it-IT"/>
        </w:rPr>
        <w:t xml:space="preserve"> </w:t>
      </w:r>
      <w:r w:rsidRPr="000E27EC">
        <w:rPr>
          <w:rFonts w:ascii="Times New Roman" w:hAnsi="Times New Roman" w:cs="Times New Roman"/>
          <w:sz w:val="22"/>
          <w:szCs w:val="22"/>
          <w:lang w:val="it-IT"/>
        </w:rPr>
        <w:t>(gali pasireikšti da</w:t>
      </w:r>
      <w:r>
        <w:rPr>
          <w:rFonts w:ascii="Times New Roman" w:hAnsi="Times New Roman" w:cs="Times New Roman"/>
          <w:sz w:val="22"/>
          <w:szCs w:val="22"/>
          <w:lang w:val="it-IT"/>
        </w:rPr>
        <w:t>žniau</w:t>
      </w:r>
      <w:r w:rsidRPr="000E27EC">
        <w:rPr>
          <w:rFonts w:ascii="Times New Roman" w:hAnsi="Times New Roman" w:cs="Times New Roman"/>
          <w:sz w:val="22"/>
          <w:szCs w:val="22"/>
          <w:lang w:val="it-IT"/>
        </w:rPr>
        <w:t xml:space="preserve"> kaip 1 asmeniui iš 10):</w:t>
      </w:r>
    </w:p>
    <w:p w:rsidR="00EB42D4" w:rsidRPr="000E27EC" w:rsidRDefault="00EB42D4" w:rsidP="00EB42D4">
      <w:pPr>
        <w:widowControl w:val="0"/>
        <w:numPr>
          <w:ilvl w:val="0"/>
          <w:numId w:val="6"/>
        </w:numPr>
        <w:tabs>
          <w:tab w:val="clear" w:pos="357"/>
          <w:tab w:val="left" w:pos="567"/>
          <w:tab w:val="left" w:pos="720"/>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tulžies akmenų atsiradimas ir dėl to pasireiškiantis staigus nugaros skausmas;</w:t>
      </w:r>
    </w:p>
    <w:p w:rsidR="00EB42D4" w:rsidRPr="000E27EC" w:rsidRDefault="00EB42D4" w:rsidP="00EB42D4">
      <w:pPr>
        <w:widowControl w:val="0"/>
        <w:numPr>
          <w:ilvl w:val="0"/>
          <w:numId w:val="6"/>
        </w:numPr>
        <w:tabs>
          <w:tab w:val="clear" w:pos="357"/>
          <w:tab w:val="left" w:pos="567"/>
          <w:tab w:val="left" w:pos="720"/>
        </w:tabs>
        <w:spacing w:after="0" w:line="240" w:lineRule="auto"/>
        <w:ind w:left="567" w:right="-2" w:hanging="567"/>
        <w:rPr>
          <w:rFonts w:ascii="Times New Roman" w:eastAsia="Calibri" w:hAnsi="Times New Roman" w:cs="Times New Roman"/>
          <w:sz w:val="22"/>
          <w:szCs w:val="22"/>
          <w:lang w:val="de-DE"/>
        </w:rPr>
      </w:pPr>
      <w:r w:rsidRPr="000E27EC">
        <w:rPr>
          <w:rFonts w:ascii="Times New Roman" w:hAnsi="Times New Roman" w:cs="Times New Roman"/>
          <w:sz w:val="22"/>
          <w:szCs w:val="22"/>
          <w:lang w:val="de-DE"/>
        </w:rPr>
        <w:t>per didelis cukraus kiekis kraujyje.</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lang w:val="de-DE"/>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b/>
          <w:sz w:val="22"/>
          <w:szCs w:val="22"/>
          <w:lang w:val="it-IT"/>
        </w:rPr>
        <w:t>Dažn</w:t>
      </w:r>
      <w:r>
        <w:rPr>
          <w:rFonts w:ascii="Times New Roman" w:hAnsi="Times New Roman" w:cs="Times New Roman"/>
          <w:b/>
          <w:sz w:val="22"/>
          <w:szCs w:val="22"/>
          <w:lang w:val="it-IT"/>
        </w:rPr>
        <w:t xml:space="preserve">as </w:t>
      </w:r>
      <w:r w:rsidRPr="000E27EC">
        <w:rPr>
          <w:rFonts w:ascii="Times New Roman" w:hAnsi="Times New Roman" w:cs="Times New Roman"/>
          <w:sz w:val="22"/>
          <w:szCs w:val="22"/>
          <w:lang w:val="it-IT"/>
        </w:rPr>
        <w:t xml:space="preserve">(gali pasireikšti </w:t>
      </w:r>
      <w:r>
        <w:rPr>
          <w:rFonts w:ascii="Times New Roman" w:hAnsi="Times New Roman" w:cs="Times New Roman"/>
          <w:sz w:val="22"/>
          <w:szCs w:val="22"/>
          <w:lang w:val="it-IT"/>
        </w:rPr>
        <w:t>rečiau</w:t>
      </w:r>
      <w:r w:rsidRPr="000E27EC">
        <w:rPr>
          <w:rFonts w:ascii="Times New Roman" w:hAnsi="Times New Roman" w:cs="Times New Roman"/>
          <w:sz w:val="22"/>
          <w:szCs w:val="22"/>
          <w:lang w:val="it-IT"/>
        </w:rPr>
        <w:t xml:space="preserve"> kaip 1 asmeniui iš 10):</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nepakankama skydliaukės veikla (hipotirozė), dėl ko pakinta širdies susitraukimų greitis, apetitas ir kūno svoris; atsiranda nuovargis, šalčio pojūtis arba priekinės kaklo dalies patinimas;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skydliaukės veiklos tyrimų rodmenų pokyčiai;</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tulžies pūslės uždegimas (cholecistitas), kurio simptomais gali būti viršutinės dešiniosios pilvo srities skausmas, karščiavimas, pykinimas, odos ir akių pageltimas (gelta);</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lang w:val="de-DE"/>
        </w:rPr>
      </w:pPr>
      <w:r w:rsidRPr="000E27EC">
        <w:rPr>
          <w:rFonts w:ascii="Times New Roman" w:hAnsi="Times New Roman" w:cs="Times New Roman"/>
          <w:sz w:val="22"/>
          <w:szCs w:val="22"/>
          <w:lang w:val="de-DE"/>
        </w:rPr>
        <w:t>per mažas cukraus kiekis kraujyje;</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sutrikęs gliukozės toleravimas;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retas širdies plakimas.</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Nedažn</w:t>
      </w:r>
      <w:r>
        <w:rPr>
          <w:rFonts w:ascii="Times New Roman" w:hAnsi="Times New Roman" w:cs="Times New Roman"/>
          <w:b/>
          <w:sz w:val="22"/>
          <w:szCs w:val="22"/>
        </w:rPr>
        <w:t>as</w:t>
      </w:r>
      <w:r w:rsidRPr="000E27EC">
        <w:rPr>
          <w:rFonts w:ascii="Times New Roman" w:hAnsi="Times New Roman" w:cs="Times New Roman"/>
          <w:b/>
          <w:sz w:val="22"/>
          <w:szCs w:val="22"/>
        </w:rPr>
        <w:t xml:space="preserve"> </w:t>
      </w:r>
      <w:r w:rsidRPr="000E27EC">
        <w:rPr>
          <w:rFonts w:ascii="Times New Roman" w:hAnsi="Times New Roman" w:cs="Times New Roman"/>
          <w:sz w:val="22"/>
          <w:szCs w:val="22"/>
        </w:rPr>
        <w:t xml:space="preserve">(gali pasireikšti </w:t>
      </w:r>
      <w:r>
        <w:rPr>
          <w:rFonts w:ascii="Times New Roman" w:hAnsi="Times New Roman" w:cs="Times New Roman"/>
          <w:sz w:val="22"/>
          <w:szCs w:val="22"/>
        </w:rPr>
        <w:t>rečiau</w:t>
      </w:r>
      <w:r w:rsidRPr="000E27EC">
        <w:rPr>
          <w:rFonts w:ascii="Times New Roman" w:hAnsi="Times New Roman" w:cs="Times New Roman"/>
          <w:sz w:val="22"/>
          <w:szCs w:val="22"/>
        </w:rPr>
        <w:t xml:space="preserve"> kaip 1 asmeniui iš 100):</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troškulys, sumažėjęs išskiriamo šlapimo kiekis, tamsios spalvos šlapimas, sausa paraudusi oda;</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greitas širdies plakimas.</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Kitas sunkus šalutinis poveikis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padidėjusio jautrumo (alerginė) reakcija, įskaitant odos </w:t>
      </w:r>
      <w:r>
        <w:rPr>
          <w:rFonts w:ascii="Times New Roman" w:hAnsi="Times New Roman" w:cs="Times New Roman"/>
          <w:sz w:val="22"/>
          <w:szCs w:val="22"/>
        </w:rPr>
        <w:t>iš</w:t>
      </w:r>
      <w:r w:rsidRPr="000E27EC">
        <w:rPr>
          <w:rFonts w:ascii="Times New Roman" w:hAnsi="Times New Roman" w:cs="Times New Roman"/>
          <w:sz w:val="22"/>
          <w:szCs w:val="22"/>
        </w:rPr>
        <w:t>bėrimą;</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alerginės reakcijos tipas (anafilaksija), kuris gali sukelti </w:t>
      </w:r>
      <w:r w:rsidRPr="000E27EC">
        <w:rPr>
          <w:rFonts w:ascii="Times New Roman" w:hAnsi="Times New Roman" w:cs="Times New Roman"/>
          <w:sz w:val="22"/>
          <w:szCs w:val="22"/>
          <w:lang w:val="lt-LT"/>
        </w:rPr>
        <w:t>rijimo ar kvėpavimo sunkumą, patinimą ir dilgčiojimą, galimą kraujospūdžio sumažėjimą kartu su galvos sukimusi arba sąmonės netekimu</w:t>
      </w:r>
      <w:r w:rsidRPr="000E27EC">
        <w:rPr>
          <w:rFonts w:ascii="Times New Roman" w:hAnsi="Times New Roman" w:cs="Times New Roman"/>
          <w:sz w:val="22"/>
          <w:szCs w:val="22"/>
        </w:rPr>
        <w:t>;</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kasos liaukos uždegimas (pankreatitas), kurio simptomais gali būti ūmus viršutinės pilvo srities skausmas, pykinimas, vėmimas, viduriavimas;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kepenų uždegimas (hepatitas), kurio simptomai gali būti odos ir akių pageltimas (gelta), pykinimas, vėmimas, apetito nebuvimas, bendras negalavimas, niežulys, šviesios spalvos šlapimas;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nereguliarus širdies plakimas;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lang w:val="lt-LT"/>
        </w:rPr>
        <w:t>mažas trombocitų kiekis kraujyje; tai gali sukelti padidėjusį kraujavimą ar mėlynes</w:t>
      </w:r>
      <w:r w:rsidRPr="000E27EC">
        <w:rPr>
          <w:rFonts w:ascii="Times New Roman" w:hAnsi="Times New Roman" w:cs="Times New Roman"/>
          <w:sz w:val="22"/>
          <w:szCs w:val="22"/>
        </w:rPr>
        <w:t>.</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Jums pasireiškė bet kuris iš anksčiau nurodytų šalutinių poveikių, nedelsdami kreipkitės į gydytoją.</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Kitas šalutinis poveikis:</w:t>
      </w:r>
    </w:p>
    <w:p w:rsidR="00EB42D4" w:rsidRPr="000E27EC" w:rsidRDefault="00EB42D4" w:rsidP="00EB42D4">
      <w:pPr>
        <w:keepNext/>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Jeigu Jums pasireikštų bet kuris toliau nurodytas šalutinis poveikis, pasakykite apie tai gydytojui, vaistininkui arba slaugytoj</w:t>
      </w:r>
      <w:r>
        <w:rPr>
          <w:rFonts w:ascii="Times New Roman" w:hAnsi="Times New Roman" w:cs="Times New Roman"/>
          <w:sz w:val="22"/>
          <w:szCs w:val="22"/>
        </w:rPr>
        <w:t>u</w:t>
      </w:r>
      <w:r w:rsidRPr="000E27EC">
        <w:rPr>
          <w:rFonts w:ascii="Times New Roman" w:hAnsi="Times New Roman" w:cs="Times New Roman"/>
          <w:sz w:val="22"/>
          <w:szCs w:val="22"/>
        </w:rPr>
        <w:t>i. Paprastai šie reiškiniai yra nesunkūs ir praeina savaime tęsiant gydymą.</w:t>
      </w:r>
    </w:p>
    <w:p w:rsidR="00EB42D4" w:rsidRPr="000E27EC" w:rsidRDefault="00EB42D4" w:rsidP="00EB42D4">
      <w:pPr>
        <w:keepNext/>
        <w:widowControl w:val="0"/>
        <w:tabs>
          <w:tab w:val="left" w:pos="720"/>
        </w:tabs>
        <w:spacing w:after="0" w:line="240" w:lineRule="auto"/>
        <w:rPr>
          <w:rFonts w:ascii="Times New Roman" w:hAnsi="Times New Roman" w:cs="Times New Roman"/>
          <w:sz w:val="22"/>
          <w:szCs w:val="22"/>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Labai dažn</w:t>
      </w:r>
      <w:r>
        <w:rPr>
          <w:rFonts w:ascii="Times New Roman" w:hAnsi="Times New Roman" w:cs="Times New Roman"/>
          <w:b/>
          <w:sz w:val="22"/>
          <w:szCs w:val="22"/>
        </w:rPr>
        <w:t>as</w:t>
      </w:r>
      <w:r w:rsidRPr="000E27EC">
        <w:rPr>
          <w:rFonts w:ascii="Times New Roman" w:hAnsi="Times New Roman" w:cs="Times New Roman"/>
          <w:b/>
          <w:sz w:val="22"/>
          <w:szCs w:val="22"/>
        </w:rPr>
        <w:t xml:space="preserve"> </w:t>
      </w:r>
      <w:r w:rsidRPr="000E27EC">
        <w:rPr>
          <w:rFonts w:ascii="Times New Roman" w:hAnsi="Times New Roman" w:cs="Times New Roman"/>
          <w:sz w:val="22"/>
          <w:szCs w:val="22"/>
        </w:rPr>
        <w:t xml:space="preserve">(gali pasireikšti </w:t>
      </w:r>
      <w:r>
        <w:rPr>
          <w:rFonts w:ascii="Times New Roman" w:hAnsi="Times New Roman" w:cs="Times New Roman"/>
          <w:sz w:val="22"/>
          <w:szCs w:val="22"/>
        </w:rPr>
        <w:t>dažniau</w:t>
      </w:r>
      <w:r w:rsidRPr="000E27EC">
        <w:rPr>
          <w:rFonts w:ascii="Times New Roman" w:hAnsi="Times New Roman" w:cs="Times New Roman"/>
          <w:sz w:val="22"/>
          <w:szCs w:val="22"/>
        </w:rPr>
        <w:t xml:space="preserve"> kaip 1 asmeniui iš 10):</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viduriavimas;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pilvo skausmas;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pykinimas;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vidurių užkietėjimas;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vidurių pūtimas (dujų susikaupimas);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galvos skausmas;</w:t>
      </w:r>
    </w:p>
    <w:p w:rsidR="00EB42D4" w:rsidRPr="000E27EC" w:rsidRDefault="00EB42D4" w:rsidP="00EB42D4">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injekcijos vietos skausmas.</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tabs>
          <w:tab w:val="left" w:pos="720"/>
        </w:tabs>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b/>
          <w:sz w:val="22"/>
          <w:szCs w:val="22"/>
          <w:lang w:val="it-IT"/>
        </w:rPr>
        <w:t>Dažn</w:t>
      </w:r>
      <w:r>
        <w:rPr>
          <w:rFonts w:ascii="Times New Roman" w:hAnsi="Times New Roman" w:cs="Times New Roman"/>
          <w:b/>
          <w:sz w:val="22"/>
          <w:szCs w:val="22"/>
          <w:lang w:val="it-IT"/>
        </w:rPr>
        <w:t>as</w:t>
      </w:r>
      <w:r w:rsidRPr="000E27EC">
        <w:rPr>
          <w:rFonts w:ascii="Times New Roman" w:hAnsi="Times New Roman" w:cs="Times New Roman"/>
          <w:b/>
          <w:sz w:val="22"/>
          <w:szCs w:val="22"/>
          <w:lang w:val="it-IT"/>
        </w:rPr>
        <w:t xml:space="preserve"> </w:t>
      </w:r>
      <w:r w:rsidRPr="000E27EC">
        <w:rPr>
          <w:rFonts w:ascii="Times New Roman" w:hAnsi="Times New Roman" w:cs="Times New Roman"/>
          <w:sz w:val="22"/>
          <w:szCs w:val="22"/>
          <w:lang w:val="it-IT"/>
        </w:rPr>
        <w:t xml:space="preserve">(gali pasireikšti </w:t>
      </w:r>
      <w:r>
        <w:rPr>
          <w:rFonts w:ascii="Times New Roman" w:hAnsi="Times New Roman" w:cs="Times New Roman"/>
          <w:sz w:val="22"/>
          <w:szCs w:val="22"/>
          <w:lang w:val="it-IT"/>
        </w:rPr>
        <w:t>rečiau</w:t>
      </w:r>
      <w:r w:rsidRPr="000E27EC">
        <w:rPr>
          <w:rFonts w:ascii="Times New Roman" w:hAnsi="Times New Roman" w:cs="Times New Roman"/>
          <w:sz w:val="22"/>
          <w:szCs w:val="22"/>
          <w:lang w:val="it-IT"/>
        </w:rPr>
        <w:t xml:space="preserve"> kaip 1 asmeniui iš 10):</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po valgio atsirandantis diskomfortas pilve (dispepsija);</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vėmimas;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skrandžio pilnumo pojūtis;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riebios išmatos;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laisvi viduriai;</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išmatų spalvos pakitimas;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galvos sukimasis;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apetito nebuvimas;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kepenų funkcijos tyrimų rodmenų pokyčiai;</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nuplikimas;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dusulys;</w:t>
      </w:r>
    </w:p>
    <w:p w:rsidR="00EB42D4" w:rsidRPr="000E27EC" w:rsidRDefault="00EB42D4" w:rsidP="00EB42D4">
      <w:pPr>
        <w:widowControl w:val="0"/>
        <w:numPr>
          <w:ilvl w:val="0"/>
          <w:numId w:val="7"/>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silpnumas.</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Jums pasireiškė bet kuris iš anksčiau nurodytų šalutinių poveikių, apie tai pasakykite gydytojui, slaugytoj</w:t>
      </w:r>
      <w:r>
        <w:rPr>
          <w:rFonts w:ascii="Times New Roman" w:hAnsi="Times New Roman" w:cs="Times New Roman"/>
          <w:sz w:val="22"/>
          <w:szCs w:val="22"/>
        </w:rPr>
        <w:t>u</w:t>
      </w:r>
      <w:r w:rsidRPr="000E27EC">
        <w:rPr>
          <w:rFonts w:ascii="Times New Roman" w:hAnsi="Times New Roman" w:cs="Times New Roman"/>
          <w:sz w:val="22"/>
          <w:szCs w:val="22"/>
        </w:rPr>
        <w:t>i arba vaistininkui.</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Kai kuriems pacientams injekcijos po oda vietoje pasireiškia skausmas. Paprastai skausmas trunka trumpai. Jeigu Jūs pajustumėte tokį skausmą, jį galite sumažinti keletą sekundžių švelniai patrindami injekcijos vietą.</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rPr>
      </w:pPr>
    </w:p>
    <w:p w:rsidR="00EB42D4" w:rsidRPr="000E27EC" w:rsidRDefault="00EB42D4" w:rsidP="00EB42D4">
      <w:pPr>
        <w:widowControl w:val="0"/>
        <w:tabs>
          <w:tab w:val="left" w:pos="720"/>
        </w:tabs>
        <w:autoSpaceDE w:val="0"/>
        <w:autoSpaceDN w:val="0"/>
        <w:adjustRightInd w:val="0"/>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Jeigu Sandostatin leidžiamas po oda, šalutinio poveikio virškinimo traktui pasireiškimo galimybę galite sumažinti, jeigu nevalgysite prieš atliekant injekciją, jos metu ir tam tikrą laiką po jos. Todėl rekomenduojama Sandostatin leisti tarp valgymų arba einant miegoti.</w:t>
      </w:r>
    </w:p>
    <w:p w:rsidR="00EB42D4" w:rsidRPr="000E27EC" w:rsidRDefault="00EB42D4" w:rsidP="00EB42D4">
      <w:pPr>
        <w:widowControl w:val="0"/>
        <w:tabs>
          <w:tab w:val="left" w:pos="720"/>
        </w:tabs>
        <w:autoSpaceDE w:val="0"/>
        <w:autoSpaceDN w:val="0"/>
        <w:adjustRightInd w:val="0"/>
        <w:spacing w:after="0" w:line="240" w:lineRule="auto"/>
        <w:rPr>
          <w:rFonts w:ascii="Times New Roman" w:hAnsi="Times New Roman" w:cs="Times New Roman"/>
          <w:sz w:val="22"/>
          <w:szCs w:val="22"/>
        </w:rPr>
      </w:pPr>
    </w:p>
    <w:p w:rsidR="00EB42D4" w:rsidRPr="000E27EC" w:rsidRDefault="00EB42D4" w:rsidP="00EB42D4">
      <w:pPr>
        <w:keepNext/>
        <w:widowControl w:val="0"/>
        <w:numPr>
          <w:ilvl w:val="12"/>
          <w:numId w:val="0"/>
        </w:numPr>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Pranešimas apie šalutinį poveikį</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Jeigu pasireiškė šalutinis poveikis, įskaitant šiame lapelyje nenurodytą, pasakykite gydytojui, vaistininkui arba slaugytoj</w:t>
      </w:r>
      <w:r>
        <w:rPr>
          <w:rFonts w:ascii="Times New Roman" w:hAnsi="Times New Roman" w:cs="Times New Roman"/>
          <w:sz w:val="22"/>
          <w:szCs w:val="22"/>
          <w:lang w:val="lt-LT"/>
        </w:rPr>
        <w:t>u</w:t>
      </w:r>
      <w:r w:rsidRPr="000E27EC">
        <w:rPr>
          <w:rFonts w:ascii="Times New Roman" w:hAnsi="Times New Roman" w:cs="Times New Roman"/>
          <w:sz w:val="22"/>
          <w:szCs w:val="22"/>
          <w:lang w:val="lt-LT"/>
        </w:rPr>
        <w:t xml:space="preserve">i. </w:t>
      </w:r>
      <w:r w:rsidRPr="002A5BDA">
        <w:rPr>
          <w:rFonts w:ascii="Times New Roman" w:hAnsi="Times New Roman" w:cs="Times New Roman"/>
          <w:sz w:val="22"/>
          <w:szCs w:val="22"/>
          <w:lang w:val="lt-LT"/>
        </w:rPr>
        <w:t xml:space="preserve">Pranešimą apie šalutinį poveikį galite </w:t>
      </w:r>
      <w:r>
        <w:rPr>
          <w:rFonts w:ascii="Times New Roman" w:hAnsi="Times New Roman" w:cs="Times New Roman"/>
          <w:sz w:val="22"/>
          <w:szCs w:val="22"/>
          <w:lang w:val="lt-LT"/>
        </w:rPr>
        <w:t xml:space="preserve">užpildyti ir </w:t>
      </w:r>
      <w:r w:rsidRPr="002A5BDA">
        <w:rPr>
          <w:rFonts w:ascii="Times New Roman" w:hAnsi="Times New Roman" w:cs="Times New Roman"/>
          <w:sz w:val="22"/>
          <w:szCs w:val="22"/>
          <w:lang w:val="lt-LT"/>
        </w:rPr>
        <w:t xml:space="preserve">pateikti Valstybinės vaistų kontrolės tarnybos prie Lietuvos Respublikos sveikatos apsaugos ministerijos </w:t>
      </w:r>
      <w:r>
        <w:rPr>
          <w:rFonts w:ascii="Times New Roman" w:hAnsi="Times New Roman" w:cs="Times New Roman"/>
          <w:sz w:val="22"/>
          <w:szCs w:val="22"/>
          <w:lang w:val="lt-LT"/>
        </w:rPr>
        <w:t xml:space="preserve">tinklalapyje </w:t>
      </w:r>
      <w:r w:rsidRPr="00B733FF">
        <w:rPr>
          <w:rFonts w:ascii="Times New Roman" w:hAnsi="Times New Roman" w:cs="Times New Roman"/>
          <w:sz w:val="22"/>
          <w:szCs w:val="22"/>
          <w:lang w:val="lt-LT"/>
        </w:rPr>
        <w:t xml:space="preserve">https://vvkt.lrv.lt/lt/ nurodytais būdais arba paskambinti </w:t>
      </w:r>
      <w:r w:rsidRPr="002A5BDA">
        <w:rPr>
          <w:rFonts w:ascii="Times New Roman" w:hAnsi="Times New Roman" w:cs="Times New Roman"/>
          <w:sz w:val="22"/>
          <w:szCs w:val="22"/>
          <w:lang w:val="lt-LT"/>
        </w:rPr>
        <w:t>nemokamu telefonu 8 800 73 568. Pranešdami apie šalutinį poveikį galite mums padėti gauti daugiau informacijos apie šio vaisto saugumą.</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12"/>
          <w:numId w:val="0"/>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b/>
          <w:sz w:val="22"/>
          <w:szCs w:val="22"/>
        </w:rPr>
        <w:t>5.</w:t>
      </w:r>
      <w:r w:rsidRPr="000E27EC">
        <w:rPr>
          <w:rFonts w:ascii="Times New Roman" w:hAnsi="Times New Roman" w:cs="Times New Roman"/>
          <w:b/>
          <w:sz w:val="22"/>
          <w:szCs w:val="22"/>
        </w:rPr>
        <w:tab/>
        <w:t>Kaip laikyti Sandostatin</w:t>
      </w:r>
    </w:p>
    <w:p w:rsidR="00EB42D4" w:rsidRPr="000E27EC" w:rsidRDefault="00EB42D4" w:rsidP="00EB42D4">
      <w:pPr>
        <w:keepNext/>
        <w:widowControl w:val="0"/>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Šį vaistą laikykite vaikams nepastebimoje ir nepasiekiamoje vietoje.</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Vaistą laikyti išorinėje dėžutėje, kad </w:t>
      </w:r>
      <w:r>
        <w:rPr>
          <w:rFonts w:ascii="Times New Roman" w:hAnsi="Times New Roman" w:cs="Times New Roman"/>
          <w:sz w:val="22"/>
          <w:szCs w:val="22"/>
        </w:rPr>
        <w:t>vaistas</w:t>
      </w:r>
      <w:r w:rsidRPr="000E27EC">
        <w:rPr>
          <w:rFonts w:ascii="Times New Roman" w:hAnsi="Times New Roman" w:cs="Times New Roman"/>
          <w:sz w:val="22"/>
          <w:szCs w:val="22"/>
        </w:rPr>
        <w:t xml:space="preserve"> būtų apsaugotas nuo šviesos.</w:t>
      </w:r>
    </w:p>
    <w:p w:rsidR="00EB42D4" w:rsidRPr="000E27EC" w:rsidRDefault="00EB42D4" w:rsidP="00EB42D4">
      <w:pPr>
        <w:tabs>
          <w:tab w:val="left" w:pos="567"/>
        </w:tabs>
        <w:spacing w:after="0" w:line="260" w:lineRule="exact"/>
        <w:rPr>
          <w:rFonts w:ascii="Times New Roman" w:eastAsia="Calibri" w:hAnsi="Times New Roman" w:cs="Times New Roman"/>
          <w:sz w:val="22"/>
          <w:szCs w:val="22"/>
        </w:rPr>
      </w:pPr>
      <w:r w:rsidRPr="000E27EC">
        <w:rPr>
          <w:rFonts w:ascii="Times New Roman" w:hAnsi="Times New Roman" w:cs="Times New Roman"/>
          <w:sz w:val="22"/>
          <w:szCs w:val="22"/>
        </w:rPr>
        <w:t>Laikyti šaldytuve (2</w:t>
      </w:r>
      <w:r w:rsidRPr="000E27EC">
        <w:rPr>
          <w:rFonts w:ascii="Times New Roman" w:eastAsia="Calibri" w:hAnsi="Times New Roman" w:cs="Times New Roman"/>
          <w:sz w:val="22"/>
          <w:szCs w:val="22"/>
        </w:rPr>
        <w:t>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rPr>
        <w:t>C – 8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rPr>
        <w:t>C). Negalima užšaldyti.</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Ampules galima laikyti ne aukštesnėje kaip 30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rPr>
        <w:t xml:space="preserve">C temperatūroje </w:t>
      </w:r>
    </w:p>
    <w:p w:rsidR="00EB42D4" w:rsidRPr="000E27EC" w:rsidRDefault="00EB42D4" w:rsidP="00EB42D4">
      <w:pPr>
        <w:tabs>
          <w:tab w:val="left" w:pos="567"/>
        </w:tabs>
        <w:spacing w:after="0" w:line="260" w:lineRule="exact"/>
        <w:rPr>
          <w:rFonts w:ascii="Times New Roman" w:eastAsia="Calibri" w:hAnsi="Times New Roman" w:cs="Times New Roman"/>
          <w:sz w:val="22"/>
          <w:szCs w:val="22"/>
        </w:rPr>
      </w:pPr>
      <w:r w:rsidRPr="000E27EC">
        <w:rPr>
          <w:rFonts w:ascii="Times New Roman" w:hAnsi="Times New Roman" w:cs="Times New Roman"/>
          <w:sz w:val="22"/>
          <w:szCs w:val="22"/>
        </w:rPr>
        <w:t>Atidarius, ampules reikia suvartoti iš karto.</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Ant dėžutės ir etiketės po „EXP“ nurodytam tinkamumo laikui pasibaigus, šio vaisto vartoti negalima. Vaistas tinkamas vartoti iki paskutinės nurodyto mėnesio dienos.</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 pastebėjote dalelių arba pakito vaisto spalva, šio vaisto vartoti negalima</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Vaistų negalima išmesti į kanalizaciją arba su buitinėmis atliekomis. Kaip išmesti nereikalingus vaistus, klauskite vaistininko. Šios priemonės padės apsaugoti aplinką.</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12"/>
          <w:numId w:val="0"/>
        </w:numPr>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6.</w:t>
      </w:r>
      <w:r w:rsidRPr="000E27EC">
        <w:rPr>
          <w:rFonts w:ascii="Times New Roman" w:hAnsi="Times New Roman" w:cs="Times New Roman"/>
          <w:b/>
          <w:sz w:val="22"/>
          <w:szCs w:val="22"/>
          <w:lang w:val="es-ES"/>
        </w:rPr>
        <w:tab/>
        <w:t>Pakuotės turinys ir kita informacija</w:t>
      </w:r>
    </w:p>
    <w:p w:rsidR="00EB42D4" w:rsidRPr="000E27EC" w:rsidRDefault="00EB42D4" w:rsidP="00EB42D4">
      <w:pPr>
        <w:keepNext/>
        <w:widowControl w:val="0"/>
        <w:numPr>
          <w:ilvl w:val="12"/>
          <w:numId w:val="0"/>
        </w:numPr>
        <w:tabs>
          <w:tab w:val="left" w:pos="720"/>
        </w:tabs>
        <w:spacing w:after="0" w:line="240" w:lineRule="auto"/>
        <w:rPr>
          <w:rFonts w:ascii="Times New Roman" w:hAnsi="Times New Roman" w:cs="Times New Roman"/>
          <w:sz w:val="22"/>
          <w:szCs w:val="22"/>
          <w:lang w:val="es-ES"/>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Sandostatin sudėtis:</w:t>
      </w:r>
    </w:p>
    <w:p w:rsidR="00EB42D4" w:rsidRPr="000E27EC" w:rsidRDefault="00EB42D4" w:rsidP="00EB42D4">
      <w:pPr>
        <w:widowControl w:val="0"/>
        <w:numPr>
          <w:ilvl w:val="0"/>
          <w:numId w:val="8"/>
        </w:numPr>
        <w:tabs>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Veiklioji medžiaga yra oktreotidas. </w:t>
      </w:r>
    </w:p>
    <w:p w:rsidR="00EB42D4" w:rsidRPr="000E27EC" w:rsidRDefault="00EB42D4" w:rsidP="00EB42D4">
      <w:pPr>
        <w:spacing w:after="0" w:line="260" w:lineRule="exact"/>
        <w:ind w:left="567"/>
        <w:rPr>
          <w:rFonts w:ascii="Times New Roman" w:eastAsia="Calibri" w:hAnsi="Times New Roman" w:cs="Times New Roman"/>
          <w:sz w:val="22"/>
          <w:szCs w:val="22"/>
        </w:rPr>
      </w:pPr>
      <w:r w:rsidRPr="000E27EC">
        <w:rPr>
          <w:rFonts w:ascii="Times New Roman" w:hAnsi="Times New Roman" w:cs="Times New Roman"/>
          <w:sz w:val="22"/>
          <w:szCs w:val="22"/>
        </w:rPr>
        <w:t>Sandostatin 100 mikrogramų: 1 ml tirpalo yra 100 mikrogramų oktreotido.</w:t>
      </w:r>
    </w:p>
    <w:p w:rsidR="00EB42D4" w:rsidRPr="000E27EC" w:rsidRDefault="00EB42D4" w:rsidP="00EB42D4">
      <w:pPr>
        <w:widowControl w:val="0"/>
        <w:numPr>
          <w:ilvl w:val="0"/>
          <w:numId w:val="8"/>
        </w:numPr>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Pagalbinės medžiagos ampulėse yra: pieno rūgštis, manitolis (E421), natrio-vandenilio karbonatas, injekcinis vanduo</w:t>
      </w:r>
    </w:p>
    <w:p w:rsidR="00EB42D4" w:rsidRPr="000E27EC" w:rsidRDefault="00EB42D4" w:rsidP="00EB42D4">
      <w:pPr>
        <w:widowControl w:val="0"/>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b/>
          <w:sz w:val="22"/>
          <w:szCs w:val="22"/>
        </w:rPr>
      </w:pPr>
      <w:r w:rsidRPr="000E27EC">
        <w:rPr>
          <w:rFonts w:ascii="Times New Roman" w:hAnsi="Times New Roman" w:cs="Times New Roman"/>
          <w:b/>
          <w:sz w:val="22"/>
          <w:szCs w:val="22"/>
        </w:rPr>
        <w:t>Sandostatin išvaizda ir kiekis pakuotėje</w:t>
      </w:r>
    </w:p>
    <w:p w:rsidR="00EB42D4" w:rsidRPr="000E27EC" w:rsidRDefault="00EB42D4" w:rsidP="00EB42D4">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Ampulės</w:t>
      </w:r>
    </w:p>
    <w:p w:rsidR="00EB42D4" w:rsidRPr="000E27EC" w:rsidRDefault="00EB42D4" w:rsidP="00EB42D4">
      <w:pPr>
        <w:tabs>
          <w:tab w:val="left" w:pos="567"/>
        </w:tabs>
        <w:spacing w:after="0" w:line="260" w:lineRule="exact"/>
        <w:jc w:val="both"/>
        <w:rPr>
          <w:rFonts w:ascii="Times New Roman" w:eastAsia="Calibri" w:hAnsi="Times New Roman" w:cs="Times New Roman"/>
          <w:sz w:val="22"/>
          <w:szCs w:val="22"/>
        </w:rPr>
      </w:pPr>
    </w:p>
    <w:p w:rsidR="00EB42D4" w:rsidRPr="000E27EC" w:rsidRDefault="00EB42D4" w:rsidP="00EB42D4">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Bespalvio stiklo</w:t>
      </w:r>
      <w:r w:rsidRPr="000E27EC">
        <w:rPr>
          <w:rFonts w:ascii="Times New Roman" w:hAnsi="Times New Roman" w:cs="Times New Roman"/>
          <w:sz w:val="22"/>
          <w:szCs w:val="22"/>
          <w:lang w:val="fr-FR"/>
        </w:rPr>
        <w:t xml:space="preserve"> su dviejų spalvų žiedais</w:t>
      </w:r>
      <w:r w:rsidRPr="000E27EC">
        <w:rPr>
          <w:rFonts w:ascii="Times New Roman" w:hAnsi="Times New Roman" w:cs="Times New Roman"/>
          <w:sz w:val="22"/>
          <w:szCs w:val="22"/>
        </w:rPr>
        <w:t>, kuriose yra skaidrus bespalvis tirpalas.</w:t>
      </w:r>
    </w:p>
    <w:p w:rsidR="00EB42D4" w:rsidRPr="000E27EC" w:rsidRDefault="00EB42D4" w:rsidP="00EB42D4">
      <w:pPr>
        <w:tabs>
          <w:tab w:val="left" w:pos="567"/>
        </w:tabs>
        <w:spacing w:after="0" w:line="260" w:lineRule="exact"/>
        <w:jc w:val="both"/>
        <w:rPr>
          <w:rFonts w:ascii="Times New Roman" w:eastAsia="Calibri" w:hAnsi="Times New Roman" w:cs="Times New Roman"/>
          <w:sz w:val="22"/>
          <w:szCs w:val="22"/>
          <w:lang w:val="en-GB"/>
        </w:rPr>
      </w:pPr>
      <w:r w:rsidRPr="000E27EC">
        <w:rPr>
          <w:rFonts w:ascii="Times New Roman" w:eastAsia="Calibri" w:hAnsi="Times New Roman" w:cs="Times New Roman"/>
          <w:sz w:val="22"/>
          <w:szCs w:val="22"/>
          <w:lang w:val="en-GB"/>
        </w:rPr>
        <w:t>Sandostatin</w:t>
      </w:r>
      <w:r w:rsidRPr="000E27EC" w:rsidDel="00C107C5">
        <w:rPr>
          <w:rFonts w:ascii="Times New Roman" w:eastAsia="Calibri" w:hAnsi="Times New Roman" w:cs="Times New Roman"/>
          <w:sz w:val="22"/>
          <w:szCs w:val="22"/>
          <w:lang w:val="en-GB"/>
        </w:rPr>
        <w:t xml:space="preserve"> </w:t>
      </w:r>
      <w:r w:rsidRPr="000E27EC">
        <w:rPr>
          <w:rFonts w:ascii="Times New Roman" w:eastAsia="Calibri" w:hAnsi="Times New Roman" w:cs="Times New Roman"/>
          <w:sz w:val="22"/>
          <w:szCs w:val="22"/>
          <w:lang w:val="it-IT"/>
        </w:rPr>
        <w:t>100 mikrogramų/ml injekcinis ar infuzinis tirpalas</w:t>
      </w:r>
      <w:r w:rsidRPr="000E27EC">
        <w:rPr>
          <w:rFonts w:ascii="Times New Roman" w:eastAsia="Calibri" w:hAnsi="Times New Roman" w:cs="Times New Roman"/>
          <w:sz w:val="22"/>
          <w:szCs w:val="22"/>
          <w:lang w:val="en-GB"/>
        </w:rPr>
        <w:t>: vienas mėlynas ir vienas žalias.</w:t>
      </w:r>
    </w:p>
    <w:p w:rsidR="00EB42D4" w:rsidRPr="000E27EC" w:rsidRDefault="00EB42D4" w:rsidP="00EB42D4">
      <w:pPr>
        <w:tabs>
          <w:tab w:val="left" w:pos="567"/>
        </w:tabs>
        <w:spacing w:after="0" w:line="260" w:lineRule="exact"/>
        <w:jc w:val="both"/>
        <w:rPr>
          <w:rFonts w:ascii="Times New Roman" w:hAnsi="Times New Roman" w:cs="Times New Roman"/>
          <w:sz w:val="22"/>
          <w:szCs w:val="22"/>
        </w:rPr>
      </w:pPr>
    </w:p>
    <w:p w:rsidR="00EB42D4" w:rsidRPr="000E27EC" w:rsidRDefault="00EB42D4" w:rsidP="00EB42D4">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Pakuotėje yra trys, penki, šeši, dešimt, dvidešimt ir penkiasdešimt ampulių.</w:t>
      </w:r>
    </w:p>
    <w:p w:rsidR="00EB42D4" w:rsidRPr="000E27EC" w:rsidRDefault="00EB42D4" w:rsidP="00EB42D4">
      <w:pPr>
        <w:tabs>
          <w:tab w:val="left" w:pos="567"/>
        </w:tabs>
        <w:spacing w:after="0" w:line="260" w:lineRule="exact"/>
        <w:jc w:val="both"/>
        <w:rPr>
          <w:rFonts w:ascii="Times New Roman" w:hAnsi="Times New Roman" w:cs="Times New Roman"/>
          <w:sz w:val="22"/>
          <w:szCs w:val="22"/>
        </w:rPr>
      </w:pPr>
    </w:p>
    <w:p w:rsidR="00EB42D4" w:rsidRPr="000E27EC" w:rsidRDefault="00EB42D4" w:rsidP="00EB42D4">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Daugiadozes pakuotes sudaro dešimt pakuočių, kurių kiekvienoje yra trys ampulės.</w:t>
      </w:r>
    </w:p>
    <w:p w:rsidR="00EB42D4" w:rsidRPr="000E27EC" w:rsidRDefault="00EB42D4" w:rsidP="00EB42D4">
      <w:pPr>
        <w:tabs>
          <w:tab w:val="left" w:pos="567"/>
        </w:tabs>
        <w:spacing w:after="0" w:line="260" w:lineRule="exact"/>
        <w:jc w:val="both"/>
        <w:rPr>
          <w:rFonts w:ascii="Times New Roman" w:hAnsi="Times New Roman" w:cs="Times New Roman"/>
          <w:sz w:val="22"/>
          <w:szCs w:val="22"/>
        </w:rPr>
      </w:pPr>
    </w:p>
    <w:p w:rsidR="00EB42D4" w:rsidRPr="000E27EC" w:rsidRDefault="00EB42D4" w:rsidP="00EB42D4">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Gali būti tiekiamos ne visų dydžių pakuotės.</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u w:val="single"/>
        </w:rPr>
      </w:pP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u w:val="single"/>
          <w:lang w:val="es-ES"/>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Registruotojas</w:t>
      </w:r>
    </w:p>
    <w:p w:rsidR="00EB42D4" w:rsidRPr="000E27EC" w:rsidRDefault="00EB42D4" w:rsidP="00EB42D4">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SIA Novartis Baltics</w:t>
      </w:r>
    </w:p>
    <w:p w:rsidR="00EB42D4" w:rsidRDefault="00EB42D4" w:rsidP="00EB42D4">
      <w:pPr>
        <w:tabs>
          <w:tab w:val="left" w:pos="567"/>
        </w:tabs>
        <w:spacing w:after="0" w:line="260" w:lineRule="exact"/>
        <w:rPr>
          <w:rFonts w:ascii="Times New Roman" w:hAnsi="Times New Roman" w:cs="Times New Roman"/>
          <w:sz w:val="22"/>
          <w:szCs w:val="22"/>
          <w:lang w:val="es-ES"/>
        </w:rPr>
      </w:pPr>
      <w:r w:rsidRPr="00D75CA1">
        <w:rPr>
          <w:rFonts w:ascii="Times New Roman" w:hAnsi="Times New Roman" w:cs="Times New Roman"/>
          <w:sz w:val="22"/>
          <w:szCs w:val="22"/>
          <w:lang w:val="es-ES"/>
        </w:rPr>
        <w:lastRenderedPageBreak/>
        <w:t>Skanstes iela 25</w:t>
      </w:r>
    </w:p>
    <w:p w:rsidR="00EB42D4" w:rsidRPr="000E27EC" w:rsidRDefault="00EB42D4" w:rsidP="00EB42D4">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LV-</w:t>
      </w:r>
      <w:r>
        <w:rPr>
          <w:rFonts w:ascii="Times New Roman" w:hAnsi="Times New Roman" w:cs="Times New Roman"/>
          <w:sz w:val="22"/>
          <w:szCs w:val="22"/>
          <w:lang w:val="es-ES"/>
        </w:rPr>
        <w:t>1013</w:t>
      </w:r>
      <w:r w:rsidRPr="000E27EC">
        <w:rPr>
          <w:rFonts w:ascii="Times New Roman" w:hAnsi="Times New Roman" w:cs="Times New Roman"/>
          <w:sz w:val="22"/>
          <w:szCs w:val="22"/>
          <w:lang w:val="es-ES"/>
        </w:rPr>
        <w:t>, Rīga</w:t>
      </w:r>
    </w:p>
    <w:p w:rsidR="00EB42D4" w:rsidRPr="000E27EC" w:rsidRDefault="00EB42D4" w:rsidP="00EB42D4">
      <w:pPr>
        <w:spacing w:after="0" w:line="22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Latvija</w:t>
      </w:r>
    </w:p>
    <w:p w:rsidR="00EB42D4" w:rsidRPr="000E27EC" w:rsidRDefault="00EB42D4" w:rsidP="00EB42D4">
      <w:pPr>
        <w:spacing w:after="0" w:line="220" w:lineRule="exact"/>
        <w:rPr>
          <w:rFonts w:ascii="Times New Roman" w:hAnsi="Times New Roman" w:cs="Times New Roman"/>
          <w:b/>
          <w:sz w:val="22"/>
          <w:szCs w:val="22"/>
          <w:lang w:val="es-ES"/>
        </w:rPr>
      </w:pPr>
    </w:p>
    <w:p w:rsidR="00EB42D4" w:rsidRPr="000E27EC" w:rsidRDefault="00EB42D4" w:rsidP="00EB42D4">
      <w:pPr>
        <w:spacing w:after="0" w:line="220" w:lineRule="exact"/>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Gamintojas</w:t>
      </w:r>
    </w:p>
    <w:p w:rsidR="00EB42D4" w:rsidRPr="000E27EC" w:rsidRDefault="00EB42D4" w:rsidP="00EB42D4">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Novartis Pharma GmbH</w:t>
      </w:r>
    </w:p>
    <w:p w:rsidR="00EB42D4" w:rsidRPr="000E27EC" w:rsidRDefault="00EB42D4" w:rsidP="00EB42D4">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Roonstrasse 25</w:t>
      </w:r>
    </w:p>
    <w:p w:rsidR="00EB42D4" w:rsidRPr="000E27EC" w:rsidRDefault="00EB42D4" w:rsidP="00EB42D4">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90429 Nürnberg</w:t>
      </w:r>
    </w:p>
    <w:p w:rsidR="00EB42D4" w:rsidRDefault="00EB42D4" w:rsidP="00EB42D4">
      <w:pPr>
        <w:tabs>
          <w:tab w:val="left" w:pos="567"/>
        </w:tabs>
        <w:spacing w:after="0" w:line="260" w:lineRule="exact"/>
        <w:rPr>
          <w:rFonts w:ascii="Times New Roman" w:hAnsi="Times New Roman" w:cs="Times New Roman"/>
          <w:sz w:val="22"/>
          <w:szCs w:val="22"/>
          <w:lang w:val="es-ES"/>
        </w:rPr>
      </w:pPr>
      <w:r w:rsidRPr="000E27EC">
        <w:rPr>
          <w:rFonts w:ascii="Times New Roman" w:hAnsi="Times New Roman" w:cs="Times New Roman"/>
          <w:sz w:val="22"/>
          <w:szCs w:val="22"/>
          <w:lang w:val="es-ES"/>
        </w:rPr>
        <w:t>Vokietija</w:t>
      </w:r>
    </w:p>
    <w:p w:rsidR="00EB42D4" w:rsidRDefault="00EB42D4" w:rsidP="00EB42D4">
      <w:pPr>
        <w:tabs>
          <w:tab w:val="left" w:pos="567"/>
        </w:tabs>
        <w:spacing w:after="0" w:line="260" w:lineRule="exact"/>
        <w:rPr>
          <w:rFonts w:ascii="Times New Roman" w:eastAsia="Calibri" w:hAnsi="Times New Roman" w:cs="Times New Roman"/>
          <w:sz w:val="22"/>
          <w:szCs w:val="22"/>
          <w:lang w:val="es-ES"/>
        </w:rPr>
      </w:pPr>
    </w:p>
    <w:p w:rsidR="00EB42D4" w:rsidRPr="00F61446" w:rsidRDefault="00EB42D4" w:rsidP="00EB42D4">
      <w:pPr>
        <w:tabs>
          <w:tab w:val="left" w:pos="567"/>
        </w:tabs>
        <w:spacing w:after="0" w:line="260" w:lineRule="exact"/>
        <w:rPr>
          <w:rFonts w:ascii="Times New Roman" w:eastAsia="Calibri" w:hAnsi="Times New Roman" w:cs="Times New Roman"/>
          <w:sz w:val="22"/>
          <w:szCs w:val="22"/>
          <w:highlight w:val="lightGray"/>
          <w:lang w:val="es-ES"/>
        </w:rPr>
      </w:pPr>
      <w:r w:rsidRPr="00F61446">
        <w:rPr>
          <w:rFonts w:ascii="Times New Roman" w:eastAsia="Calibri" w:hAnsi="Times New Roman" w:cs="Times New Roman"/>
          <w:sz w:val="22"/>
          <w:szCs w:val="22"/>
          <w:highlight w:val="lightGray"/>
          <w:lang w:val="es-ES"/>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GmbH</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Jakov-Lind-Straße 5, Top 3.05</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1020 Wien</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Austrija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2C4790"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arba</w:t>
      </w:r>
    </w:p>
    <w:p w:rsidR="00EB42D4" w:rsidRPr="002C4790"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NV</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Medialaan 40 Bus 1,</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Vilvoorde, B-1800,</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Belgija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Healthcare A/S</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Edvard Thomsens Vej 14,</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København S, 2300,</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Danija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Finland Oy</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Metsäneidonkuja 10,</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Espoo, FI-02130,</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Suomija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SAS</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8-10 rue Henri Sainte-Claire Deville</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Rueil Malmaison, 92500</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Prancūzija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(HELLAS) SA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12th km National Road Athinon-Lamias,</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Metamorfosi Attiki, 14451,</w:t>
      </w:r>
    </w:p>
    <w:p w:rsidR="00EB42D4"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Graikija</w:t>
      </w:r>
    </w:p>
    <w:p w:rsidR="00EB42D4" w:rsidRPr="000D706C" w:rsidRDefault="00EB42D4" w:rsidP="00EB42D4">
      <w:pPr>
        <w:widowControl w:val="0"/>
        <w:numPr>
          <w:ilvl w:val="12"/>
          <w:numId w:val="0"/>
        </w:numPr>
        <w:tabs>
          <w:tab w:val="left" w:pos="720"/>
        </w:tabs>
        <w:spacing w:after="0" w:line="240" w:lineRule="auto"/>
        <w:ind w:right="-2"/>
        <w:rPr>
          <w:rFonts w:ascii="Times New Roman" w:hAnsi="Times New Roman"/>
          <w:sz w:val="22"/>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Hungary Ltd.</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Vasύt u.13.,</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Budaörs, 2040,</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Vengrija</w:t>
      </w: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Farma S.p.A.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Via Provinciale Schito 131,</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80058 Torre Annunziata (NA)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Italija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Poland Sp. z o.o.</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15 Marynarska Street,</w:t>
      </w:r>
    </w:p>
    <w:p w:rsidR="00EB42D4" w:rsidRPr="001F79E3"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02-674</w:t>
      </w:r>
      <w:r w:rsidRPr="00045C11">
        <w:rPr>
          <w:rFonts w:ascii="Times New Roman" w:hAnsi="Times New Roman" w:cs="Times New Roman"/>
          <w:sz w:val="22"/>
          <w:szCs w:val="22"/>
          <w:shd w:val="clear" w:color="auto" w:fill="D9D9D9" w:themeFill="background1" w:themeFillShade="D9"/>
        </w:rPr>
        <w:t xml:space="preserve"> Warsaw</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Lenkija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Farma - Produtos Farmacêuticos, S.A.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Avenida Professor Doutor Cavaco Silva, n.10E,Taguspark,</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Porto Salvo, 2740-255,</w:t>
      </w:r>
    </w:p>
    <w:p w:rsidR="00EB42D4"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Portugalija</w:t>
      </w: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rPr>
      </w:pP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rPr>
      </w:pPr>
      <w:r w:rsidRPr="008A6A96">
        <w:rPr>
          <w:rFonts w:ascii="Times New Roman" w:hAnsi="Times New Roman"/>
          <w:sz w:val="22"/>
          <w:highlight w:val="lightGray"/>
        </w:rPr>
        <w:t>arba</w:t>
      </w: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rPr>
      </w:pP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rPr>
      </w:pPr>
      <w:r w:rsidRPr="006A0DEA">
        <w:rPr>
          <w:rFonts w:ascii="Times New Roman" w:hAnsi="Times New Roman"/>
          <w:sz w:val="22"/>
        </w:rPr>
        <w:t xml:space="preserve">Novartis </w:t>
      </w:r>
      <w:r w:rsidRPr="002A5BDA">
        <w:rPr>
          <w:rFonts w:ascii="Times New Roman" w:hAnsi="Times New Roman" w:cs="Times New Roman"/>
          <w:sz w:val="22"/>
          <w:szCs w:val="22"/>
        </w:rPr>
        <w:t>Farmacéutica</w:t>
      </w:r>
      <w:r w:rsidRPr="006A0DEA">
        <w:rPr>
          <w:rFonts w:ascii="Times New Roman" w:hAnsi="Times New Roman"/>
          <w:sz w:val="22"/>
        </w:rPr>
        <w:t xml:space="preserve"> S.A.</w:t>
      </w:r>
    </w:p>
    <w:p w:rsidR="00EB42D4" w:rsidRPr="002A5BDA"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r w:rsidRPr="002A5BDA">
        <w:rPr>
          <w:rFonts w:ascii="Times New Roman" w:hAnsi="Times New Roman" w:cs="Times New Roman"/>
          <w:sz w:val="22"/>
          <w:szCs w:val="22"/>
        </w:rPr>
        <w:t>Gran Via de les Corts Catalanes, 764</w:t>
      </w:r>
    </w:p>
    <w:p w:rsidR="00EB42D4" w:rsidRPr="002A5BDA"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r w:rsidRPr="002A5BDA">
        <w:rPr>
          <w:rFonts w:ascii="Times New Roman" w:hAnsi="Times New Roman" w:cs="Times New Roman"/>
          <w:sz w:val="22"/>
          <w:szCs w:val="22"/>
        </w:rPr>
        <w:t>08013 Barcelona</w:t>
      </w:r>
    </w:p>
    <w:p w:rsidR="00EB42D4"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r w:rsidRPr="002A5BDA">
        <w:rPr>
          <w:rFonts w:ascii="Times New Roman" w:hAnsi="Times New Roman" w:cs="Times New Roman"/>
          <w:sz w:val="22"/>
          <w:szCs w:val="22"/>
        </w:rPr>
        <w:t>Ispanija</w:t>
      </w:r>
    </w:p>
    <w:p w:rsidR="00EB42D4" w:rsidRPr="00045C11" w:rsidRDefault="00EB42D4" w:rsidP="00EB42D4">
      <w:pPr>
        <w:widowControl w:val="0"/>
        <w:numPr>
          <w:ilvl w:val="12"/>
          <w:numId w:val="0"/>
        </w:numPr>
        <w:tabs>
          <w:tab w:val="left" w:pos="720"/>
        </w:tabs>
        <w:spacing w:after="0" w:line="240" w:lineRule="auto"/>
        <w:ind w:right="-2"/>
        <w:rPr>
          <w:rFonts w:ascii="Times New Roman" w:hAnsi="Times New Roman"/>
          <w:sz w:val="22"/>
        </w:rPr>
      </w:pP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highlight w:val="lightGray"/>
        </w:rPr>
      </w:pPr>
      <w:r w:rsidRPr="00F61446">
        <w:rPr>
          <w:rFonts w:ascii="Times New Roman" w:hAnsi="Times New Roman" w:cs="Times New Roman"/>
          <w:sz w:val="22"/>
          <w:szCs w:val="22"/>
          <w:highlight w:val="lightGray"/>
        </w:rPr>
        <w:t>arba</w:t>
      </w: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highlight w:val="lightGray"/>
        </w:rPr>
      </w:pP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highlight w:val="lightGray"/>
        </w:rPr>
      </w:pPr>
      <w:r w:rsidRPr="006A0DEA">
        <w:rPr>
          <w:rFonts w:ascii="Times New Roman" w:hAnsi="Times New Roman"/>
          <w:sz w:val="22"/>
          <w:highlight w:val="lightGray"/>
        </w:rPr>
        <w:t xml:space="preserve">Novartis </w:t>
      </w:r>
      <w:r w:rsidRPr="00F61446">
        <w:rPr>
          <w:rFonts w:ascii="Times New Roman" w:hAnsi="Times New Roman" w:cs="Times New Roman"/>
          <w:sz w:val="22"/>
          <w:szCs w:val="22"/>
          <w:highlight w:val="lightGray"/>
        </w:rPr>
        <w:t>Sverige AB</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Torshamnsgatan 48,</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164 40 Kista,</w:t>
      </w:r>
    </w:p>
    <w:p w:rsidR="00EB42D4"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Švedija</w:t>
      </w:r>
    </w:p>
    <w:p w:rsidR="00EB42D4" w:rsidRPr="006A0DEA" w:rsidRDefault="00EB42D4" w:rsidP="00EB42D4">
      <w:pPr>
        <w:widowControl w:val="0"/>
        <w:numPr>
          <w:ilvl w:val="12"/>
          <w:numId w:val="0"/>
        </w:numPr>
        <w:tabs>
          <w:tab w:val="left" w:pos="720"/>
        </w:tabs>
        <w:spacing w:after="0" w:line="240" w:lineRule="auto"/>
        <w:ind w:right="-2"/>
        <w:rPr>
          <w:rFonts w:ascii="Times New Roman" w:hAnsi="Times New Roman"/>
          <w:sz w:val="22"/>
          <w:highlight w:val="lightGray"/>
        </w:rPr>
      </w:pP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Pr>
          <w:rFonts w:ascii="Times New Roman" w:hAnsi="Times New Roman" w:cs="Times New Roman"/>
          <w:sz w:val="22"/>
          <w:szCs w:val="22"/>
          <w:highlight w:val="lightGray"/>
        </w:rPr>
        <w:t>arba</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rsidR="00EB42D4" w:rsidRPr="00045C11" w:rsidRDefault="00EB42D4" w:rsidP="00EB42D4">
      <w:pPr>
        <w:widowControl w:val="0"/>
        <w:numPr>
          <w:ilvl w:val="12"/>
          <w:numId w:val="0"/>
        </w:numPr>
        <w:tabs>
          <w:tab w:val="left" w:pos="720"/>
        </w:tabs>
        <w:spacing w:after="0" w:line="240" w:lineRule="auto"/>
        <w:ind w:right="-2"/>
        <w:rPr>
          <w:rFonts w:ascii="Times New Roman" w:hAnsi="Times New Roman"/>
          <w:sz w:val="22"/>
          <w:highlight w:val="lightGray"/>
        </w:rPr>
      </w:pPr>
      <w:r w:rsidRPr="00045C11">
        <w:rPr>
          <w:rFonts w:ascii="Times New Roman" w:hAnsi="Times New Roman"/>
          <w:sz w:val="22"/>
          <w:highlight w:val="lightGray"/>
        </w:rPr>
        <w:t xml:space="preserve">Novartis </w:t>
      </w:r>
      <w:r w:rsidRPr="00F61446">
        <w:rPr>
          <w:rFonts w:ascii="Times New Roman" w:hAnsi="Times New Roman" w:cs="Times New Roman"/>
          <w:sz w:val="22"/>
          <w:szCs w:val="22"/>
          <w:highlight w:val="lightGray"/>
        </w:rPr>
        <w:t>Pharma B.V</w:t>
      </w:r>
      <w:r w:rsidRPr="00045C11">
        <w:rPr>
          <w:rFonts w:ascii="Times New Roman" w:hAnsi="Times New Roman"/>
          <w:sz w:val="22"/>
          <w:highlight w:val="lightGray"/>
        </w:rPr>
        <w:t>.</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Haaksbergweg 16</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1101 BX Amsterdam</w:t>
      </w:r>
    </w:p>
    <w:p w:rsidR="00EB42D4" w:rsidRPr="00F61446"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Nyderlandai</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es-ES"/>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Jeigu apie šį vaistą norite sužinoti daugiau, kreipkitės į vietinį registruotojo atstovą:</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es-ES"/>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SIA Novartis Baltics Lietuvos filialas </w:t>
      </w:r>
    </w:p>
    <w:p w:rsidR="00EB42D4" w:rsidRPr="00375A9D" w:rsidRDefault="00EB42D4" w:rsidP="00EB42D4">
      <w:pPr>
        <w:widowControl w:val="0"/>
        <w:numPr>
          <w:ilvl w:val="12"/>
          <w:numId w:val="0"/>
        </w:numPr>
        <w:tabs>
          <w:tab w:val="left" w:pos="720"/>
        </w:tabs>
        <w:spacing w:after="0" w:line="240" w:lineRule="auto"/>
        <w:ind w:right="-2"/>
        <w:rPr>
          <w:rFonts w:ascii="Times New Roman" w:hAnsi="Times New Roman"/>
          <w:sz w:val="22"/>
          <w:lang w:val="lt-LT"/>
        </w:rPr>
      </w:pPr>
      <w:r>
        <w:rPr>
          <w:rFonts w:ascii="Times New Roman" w:hAnsi="Times New Roman" w:cs="Times New Roman"/>
          <w:sz w:val="22"/>
          <w:szCs w:val="22"/>
          <w:lang w:val="es-ES"/>
        </w:rPr>
        <w:t>Upės g</w:t>
      </w:r>
      <w:r w:rsidRPr="000E27EC">
        <w:rPr>
          <w:rFonts w:ascii="Times New Roman" w:hAnsi="Times New Roman" w:cs="Times New Roman"/>
          <w:sz w:val="22"/>
          <w:szCs w:val="22"/>
          <w:lang w:val="es-ES"/>
        </w:rPr>
        <w:t xml:space="preserve">. </w:t>
      </w:r>
      <w:r>
        <w:rPr>
          <w:rFonts w:ascii="Times New Roman" w:hAnsi="Times New Roman" w:cs="Times New Roman"/>
          <w:sz w:val="22"/>
          <w:szCs w:val="22"/>
          <w:lang w:val="es-ES"/>
        </w:rPr>
        <w:t>19-1</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LT-</w:t>
      </w:r>
      <w:r w:rsidRPr="00034EF0">
        <w:rPr>
          <w:rFonts w:ascii="Times New Roman" w:hAnsi="Times New Roman" w:cs="Times New Roman"/>
          <w:sz w:val="22"/>
          <w:szCs w:val="22"/>
        </w:rPr>
        <w:t>08128</w:t>
      </w:r>
      <w:r w:rsidRPr="000E27EC">
        <w:rPr>
          <w:rFonts w:ascii="Times New Roman" w:hAnsi="Times New Roman" w:cs="Times New Roman"/>
          <w:sz w:val="22"/>
          <w:szCs w:val="22"/>
          <w:lang w:val="es-ES"/>
        </w:rPr>
        <w:t>, Vilnius</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lastRenderedPageBreak/>
        <w:t>Tel. +370 5 269 16 50</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lang w:val="es-ES"/>
        </w:rPr>
      </w:pPr>
    </w:p>
    <w:p w:rsidR="00EB42D4" w:rsidRPr="000E27EC" w:rsidRDefault="00EB42D4" w:rsidP="00EB42D4">
      <w:pPr>
        <w:widowControl w:val="0"/>
        <w:tabs>
          <w:tab w:val="left" w:pos="720"/>
        </w:tabs>
        <w:spacing w:after="0" w:line="240" w:lineRule="auto"/>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Šis vaistas E</w:t>
      </w:r>
      <w:r>
        <w:rPr>
          <w:rFonts w:ascii="Times New Roman" w:hAnsi="Times New Roman" w:cs="Times New Roman"/>
          <w:b/>
          <w:sz w:val="22"/>
          <w:szCs w:val="22"/>
          <w:lang w:val="es-ES"/>
        </w:rPr>
        <w:t xml:space="preserve">uropos </w:t>
      </w:r>
      <w:r w:rsidRPr="000E27EC">
        <w:rPr>
          <w:rFonts w:ascii="Times New Roman" w:hAnsi="Times New Roman" w:cs="Times New Roman"/>
          <w:b/>
          <w:sz w:val="22"/>
          <w:szCs w:val="22"/>
          <w:lang w:val="es-ES"/>
        </w:rPr>
        <w:t>E</w:t>
      </w:r>
      <w:r>
        <w:rPr>
          <w:rFonts w:ascii="Times New Roman" w:hAnsi="Times New Roman" w:cs="Times New Roman"/>
          <w:b/>
          <w:sz w:val="22"/>
          <w:szCs w:val="22"/>
          <w:lang w:val="es-ES"/>
        </w:rPr>
        <w:t xml:space="preserve">konominės </w:t>
      </w:r>
      <w:r w:rsidRPr="000E27EC">
        <w:rPr>
          <w:rFonts w:ascii="Times New Roman" w:hAnsi="Times New Roman" w:cs="Times New Roman"/>
          <w:b/>
          <w:sz w:val="22"/>
          <w:szCs w:val="22"/>
          <w:lang w:val="es-ES"/>
        </w:rPr>
        <w:t>E</w:t>
      </w:r>
      <w:r>
        <w:rPr>
          <w:rFonts w:ascii="Times New Roman" w:hAnsi="Times New Roman" w:cs="Times New Roman"/>
          <w:b/>
          <w:sz w:val="22"/>
          <w:szCs w:val="22"/>
          <w:lang w:val="es-ES"/>
        </w:rPr>
        <w:t>rdvės</w:t>
      </w:r>
      <w:r w:rsidRPr="000E27EC">
        <w:rPr>
          <w:rFonts w:ascii="Times New Roman" w:hAnsi="Times New Roman" w:cs="Times New Roman"/>
          <w:b/>
          <w:sz w:val="22"/>
          <w:szCs w:val="22"/>
          <w:lang w:val="es-ES"/>
        </w:rPr>
        <w:t xml:space="preserve"> valstybėse narėse</w:t>
      </w:r>
      <w:r>
        <w:rPr>
          <w:rFonts w:ascii="Times New Roman" w:hAnsi="Times New Roman" w:cs="Times New Roman"/>
          <w:b/>
          <w:sz w:val="22"/>
          <w:szCs w:val="22"/>
          <w:lang w:val="es-ES"/>
        </w:rPr>
        <w:t xml:space="preserve"> </w:t>
      </w:r>
      <w:r w:rsidRPr="000E27EC">
        <w:rPr>
          <w:rFonts w:ascii="Times New Roman" w:hAnsi="Times New Roman" w:cs="Times New Roman"/>
          <w:b/>
          <w:sz w:val="22"/>
          <w:szCs w:val="22"/>
          <w:lang w:val="es-ES"/>
        </w:rPr>
        <w:t>registruotas tokiais pavadinimais:</w:t>
      </w:r>
    </w:p>
    <w:p w:rsidR="00EB42D4" w:rsidRPr="000E27EC" w:rsidRDefault="00EB42D4" w:rsidP="00EB42D4">
      <w:pPr>
        <w:widowControl w:val="0"/>
        <w:tabs>
          <w:tab w:val="left" w:pos="720"/>
        </w:tabs>
        <w:spacing w:after="0" w:line="240" w:lineRule="auto"/>
        <w:rPr>
          <w:rFonts w:ascii="Times New Roman" w:hAnsi="Times New Roman" w:cs="Times New Roman"/>
          <w:b/>
          <w:sz w:val="22"/>
          <w:szCs w:val="22"/>
          <w:lang w:val="es-ES"/>
        </w:rPr>
      </w:pPr>
    </w:p>
    <w:tbl>
      <w:tblPr>
        <w:tblW w:w="0" w:type="auto"/>
        <w:tblLook w:val="01E0" w:firstRow="1" w:lastRow="1" w:firstColumn="1" w:lastColumn="1" w:noHBand="0" w:noVBand="0"/>
      </w:tblPr>
      <w:tblGrid>
        <w:gridCol w:w="6487"/>
        <w:gridCol w:w="2800"/>
      </w:tblGrid>
      <w:tr w:rsidR="00EB42D4" w:rsidRPr="000E27EC" w:rsidTr="00A740B4">
        <w:tc>
          <w:tcPr>
            <w:tcW w:w="6487" w:type="dxa"/>
            <w:hideMark/>
          </w:tcPr>
          <w:p w:rsidR="00EB42D4" w:rsidRPr="00F61446" w:rsidRDefault="00EB42D4" w:rsidP="00A740B4">
            <w:pPr>
              <w:tabs>
                <w:tab w:val="left" w:pos="720"/>
              </w:tabs>
              <w:spacing w:after="0" w:line="240" w:lineRule="auto"/>
              <w:rPr>
                <w:rFonts w:ascii="Times New Roman" w:hAnsi="Times New Roman" w:cs="Times New Roman"/>
                <w:sz w:val="22"/>
                <w:szCs w:val="22"/>
                <w:lang w:val="lt-LT"/>
              </w:rPr>
            </w:pPr>
            <w:r w:rsidRPr="000E27EC">
              <w:rPr>
                <w:rFonts w:ascii="Times New Roman" w:hAnsi="Times New Roman" w:cs="Times New Roman"/>
                <w:sz w:val="22"/>
                <w:szCs w:val="22"/>
                <w:lang w:val="es-ES"/>
              </w:rPr>
              <w:t>Austrija, Bulgarija, Kroatija, Kipras, Čekija, Danija, Estija, Suomija, Vokietija, Graikija, Vengrija, Airija, Islandija, Latvija, Lietuva, Malta, Norvegija, Lenkija, Rumunija, Slovakija, Slovėnija, Ispanija, Švedija</w:t>
            </w:r>
          </w:p>
        </w:tc>
        <w:tc>
          <w:tcPr>
            <w:tcW w:w="2800" w:type="dxa"/>
            <w:hideMark/>
          </w:tcPr>
          <w:p w:rsidR="00EB42D4" w:rsidRPr="000E27EC" w:rsidRDefault="00EB42D4" w:rsidP="00A740B4">
            <w:p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color w:val="000000"/>
                <w:sz w:val="22"/>
                <w:szCs w:val="22"/>
                <w:lang w:val="en-GB"/>
              </w:rPr>
              <w:t>Sandostatin</w:t>
            </w:r>
          </w:p>
        </w:tc>
      </w:tr>
      <w:tr w:rsidR="00EB42D4" w:rsidRPr="000E27EC" w:rsidTr="00A740B4">
        <w:tc>
          <w:tcPr>
            <w:tcW w:w="6487" w:type="dxa"/>
            <w:hideMark/>
          </w:tcPr>
          <w:p w:rsidR="00EB42D4" w:rsidRPr="000E27EC" w:rsidRDefault="00EB42D4" w:rsidP="00A740B4">
            <w:pPr>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Belgija, Prancūzija, Liuksemburgas, Nyderlandai</w:t>
            </w:r>
          </w:p>
        </w:tc>
        <w:tc>
          <w:tcPr>
            <w:tcW w:w="2800" w:type="dxa"/>
            <w:hideMark/>
          </w:tcPr>
          <w:p w:rsidR="00EB42D4" w:rsidRPr="000E27EC" w:rsidRDefault="00EB42D4" w:rsidP="00A740B4">
            <w:p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lang w:val="en-GB"/>
              </w:rPr>
              <w:t xml:space="preserve">Sandostatine </w:t>
            </w:r>
          </w:p>
        </w:tc>
      </w:tr>
      <w:tr w:rsidR="00EB42D4" w:rsidRPr="000E27EC" w:rsidTr="00A740B4">
        <w:tc>
          <w:tcPr>
            <w:tcW w:w="6487" w:type="dxa"/>
            <w:hideMark/>
          </w:tcPr>
          <w:p w:rsidR="00EB42D4" w:rsidRPr="000E27EC" w:rsidRDefault="00EB42D4" w:rsidP="00A740B4">
            <w:pPr>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Italija, Portugalija</w:t>
            </w:r>
          </w:p>
        </w:tc>
        <w:tc>
          <w:tcPr>
            <w:tcW w:w="2800" w:type="dxa"/>
            <w:hideMark/>
          </w:tcPr>
          <w:p w:rsidR="00EB42D4" w:rsidRPr="000E27EC" w:rsidRDefault="00EB42D4" w:rsidP="00A740B4">
            <w:p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pacing w:val="-3"/>
                <w:sz w:val="22"/>
                <w:szCs w:val="22"/>
                <w:lang w:val="en-GB"/>
              </w:rPr>
              <w:t xml:space="preserve">Sandostatina </w:t>
            </w:r>
          </w:p>
        </w:tc>
      </w:tr>
    </w:tbl>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outlineLvl w:val="0"/>
        <w:rPr>
          <w:rFonts w:ascii="Times New Roman" w:eastAsia="Calibri" w:hAnsi="Times New Roman" w:cs="Times New Roman"/>
          <w:b/>
          <w:sz w:val="22"/>
          <w:szCs w:val="22"/>
        </w:rPr>
      </w:pPr>
      <w:r w:rsidRPr="000E27EC">
        <w:rPr>
          <w:rFonts w:ascii="Times New Roman" w:hAnsi="Times New Roman" w:cs="Times New Roman"/>
          <w:b/>
          <w:sz w:val="22"/>
          <w:szCs w:val="22"/>
        </w:rPr>
        <w:t>Šis pakuotės lapelis paskutinį kartą peržiūrėtas</w:t>
      </w:r>
      <w:r>
        <w:rPr>
          <w:rFonts w:ascii="Times New Roman" w:hAnsi="Times New Roman" w:cs="Times New Roman"/>
          <w:b/>
          <w:sz w:val="22"/>
          <w:szCs w:val="22"/>
        </w:rPr>
        <w:t xml:space="preserve"> 2024-10-09</w:t>
      </w:r>
      <w:r w:rsidRPr="000E27EC">
        <w:rPr>
          <w:rFonts w:ascii="Times New Roman" w:hAnsi="Times New Roman" w:cs="Times New Roman"/>
          <w:b/>
          <w:sz w:val="22"/>
          <w:szCs w:val="22"/>
        </w:rPr>
        <w:t xml:space="preserve">. </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tabs>
          <w:tab w:val="left" w:pos="567"/>
        </w:tabs>
        <w:spacing w:after="0" w:line="240" w:lineRule="auto"/>
        <w:rPr>
          <w:rFonts w:ascii="Times New Roman" w:eastAsia="Calibri" w:hAnsi="Times New Roman" w:cs="Times New Roman"/>
          <w:color w:val="0000FF"/>
          <w:sz w:val="22"/>
          <w:szCs w:val="22"/>
          <w:u w:val="single"/>
        </w:rPr>
      </w:pPr>
      <w:r w:rsidRPr="000E27EC">
        <w:rPr>
          <w:rFonts w:ascii="Times New Roman" w:hAnsi="Times New Roman" w:cs="Times New Roman"/>
          <w:sz w:val="22"/>
          <w:szCs w:val="22"/>
        </w:rPr>
        <w:t xml:space="preserve">Išsami informacija apie šį vaistą pateikiama Valstybinės vaistų kontrolės tarnybos prie Lietuvos Respublikos sveikatos apsaugos ministerijos tinklalapyje </w:t>
      </w:r>
      <w:r w:rsidRPr="00B733FF">
        <w:rPr>
          <w:rFonts w:ascii="Times New Roman" w:hAnsi="Times New Roman" w:cs="Times New Roman"/>
          <w:color w:val="0000FF"/>
          <w:sz w:val="22"/>
          <w:szCs w:val="22"/>
          <w:u w:val="single"/>
        </w:rPr>
        <w:t>https://vvkt.lrv.lt/lt/.</w:t>
      </w:r>
    </w:p>
    <w:p w:rsidR="00EB42D4" w:rsidRDefault="00EB42D4" w:rsidP="00EB42D4">
      <w:pPr>
        <w:rPr>
          <w:rFonts w:ascii="Times New Roman" w:hAnsi="Times New Roman" w:cs="Times New Roman"/>
          <w:sz w:val="22"/>
          <w:szCs w:val="22"/>
        </w:rPr>
      </w:pPr>
    </w:p>
    <w:p w:rsidR="00EB42D4" w:rsidRPr="000E27EC" w:rsidRDefault="00EB42D4" w:rsidP="00EB42D4">
      <w:pPr>
        <w:keepNext/>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Toliau pateikta informacija skirta tik sveikatos priežiūros specialistams:</w:t>
      </w:r>
    </w:p>
    <w:p w:rsidR="00EB42D4" w:rsidRPr="000E27EC" w:rsidRDefault="00EB42D4" w:rsidP="00EB42D4">
      <w:pPr>
        <w:keepNext/>
        <w:numPr>
          <w:ilvl w:val="12"/>
          <w:numId w:val="0"/>
        </w:numPr>
        <w:tabs>
          <w:tab w:val="left" w:pos="720"/>
        </w:tabs>
        <w:spacing w:after="0" w:line="240" w:lineRule="auto"/>
        <w:rPr>
          <w:rFonts w:ascii="Times New Roman" w:hAnsi="Times New Roman" w:cs="Times New Roman"/>
          <w:sz w:val="22"/>
          <w:szCs w:val="22"/>
        </w:rPr>
      </w:pPr>
    </w:p>
    <w:p w:rsidR="00EB42D4" w:rsidRPr="000E27EC" w:rsidRDefault="00EB42D4" w:rsidP="00EB42D4">
      <w:pPr>
        <w:keepNext/>
        <w:numPr>
          <w:ilvl w:val="0"/>
          <w:numId w:val="7"/>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Infuzija į veną (sveikatos priežiūros specialistams)</w:t>
      </w:r>
    </w:p>
    <w:p w:rsidR="00EB42D4" w:rsidRPr="000E27EC" w:rsidRDefault="00EB42D4" w:rsidP="00EB42D4">
      <w:pPr>
        <w:keepNext/>
        <w:widowControl w:val="0"/>
        <w:tabs>
          <w:tab w:val="left" w:pos="720"/>
        </w:tabs>
        <w:spacing w:after="0" w:line="240" w:lineRule="auto"/>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Prieš vartojant vaistinio preparato reikia patikrinti, ar tirpale nėra dalelių ir ar nepakitusi jo spalva. Pastebėjus ką nors neįprasto, tirpalo vartoti negalima. Infuzijai į veną vaistinis preparatas turi būti praskiedžiamas prieš pat vartojimą.</w:t>
      </w: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Sandostatin (oktreotido acetato) tirpalas, praskiestas steriliu fiziologiniu natrio chlorido ar steriliu 5 % dekstrozės (gliukozės) vandeniniu tirpalu, fiziškai ir chemiškai išlieka stabilus 24 valandas. Kadangi Sandostatin gali įtakoti gliukozės homeostazę, todėl </w:t>
      </w:r>
      <w:r w:rsidRPr="00CE52D0">
        <w:rPr>
          <w:rFonts w:ascii="Times New Roman" w:hAnsi="Times New Roman" w:cs="Times New Roman"/>
          <w:sz w:val="22"/>
          <w:szCs w:val="22"/>
          <w:lang w:val="it-IT"/>
        </w:rPr>
        <w:t>vaistini</w:t>
      </w:r>
      <w:r>
        <w:rPr>
          <w:rFonts w:ascii="Times New Roman" w:hAnsi="Times New Roman" w:cs="Times New Roman"/>
          <w:sz w:val="22"/>
          <w:szCs w:val="22"/>
          <w:lang w:val="it-IT"/>
        </w:rPr>
        <w:t>am</w:t>
      </w:r>
      <w:r w:rsidRPr="00CE52D0">
        <w:rPr>
          <w:rFonts w:ascii="Times New Roman" w:hAnsi="Times New Roman" w:cs="Times New Roman"/>
          <w:sz w:val="22"/>
          <w:szCs w:val="22"/>
          <w:lang w:val="it-IT"/>
        </w:rPr>
        <w:t xml:space="preserve"> preparat</w:t>
      </w:r>
      <w:r>
        <w:rPr>
          <w:rFonts w:ascii="Times New Roman" w:hAnsi="Times New Roman" w:cs="Times New Roman"/>
          <w:sz w:val="22"/>
          <w:szCs w:val="22"/>
          <w:lang w:val="it-IT"/>
        </w:rPr>
        <w:t>ui</w:t>
      </w:r>
      <w:r w:rsidRPr="00CE52D0">
        <w:rPr>
          <w:rFonts w:ascii="Times New Roman" w:hAnsi="Times New Roman" w:cs="Times New Roman"/>
          <w:sz w:val="22"/>
          <w:szCs w:val="22"/>
          <w:lang w:val="it-IT"/>
        </w:rPr>
        <w:t xml:space="preserve"> </w:t>
      </w:r>
      <w:r w:rsidRPr="000E27EC">
        <w:rPr>
          <w:rFonts w:ascii="Times New Roman" w:hAnsi="Times New Roman" w:cs="Times New Roman"/>
          <w:sz w:val="22"/>
          <w:szCs w:val="22"/>
        </w:rPr>
        <w:t>skiesti rekomenduojama geriau vartoti fiziologinį natrio chlorido tirpalą nei dekstrozės tirpalą. Praskiestas tirpalas fiziškai ir chemiškai išlieka stabilus mažiausiai 24 valandas, jei laikomas žemesnėje kaip 25 °C temperatūroje. Mikrobiologiniu požiūriu, praskiestą tirpalą suvartoti nedelsiant. Jeigu nevartojama iškart, už laikymo trukmę ir sąlygas prieš vartojimą, atsakingas vartotojas.</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b/>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b/>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b/>
          <w:sz w:val="22"/>
          <w:szCs w:val="22"/>
        </w:rPr>
      </w:pPr>
      <w:r w:rsidRPr="000E27EC">
        <w:rPr>
          <w:rFonts w:ascii="Times New Roman" w:hAnsi="Times New Roman" w:cs="Times New Roman"/>
          <w:b/>
          <w:sz w:val="22"/>
          <w:szCs w:val="22"/>
        </w:rPr>
        <w:t>Kokią Sandostatin dozę vartoti</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Skiriama Sandostatin dozė priklauso nuo gydomos būklės.</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0"/>
          <w:numId w:val="7"/>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Akromegalija</w:t>
      </w:r>
    </w:p>
    <w:p w:rsidR="00EB42D4" w:rsidRPr="000E27EC" w:rsidRDefault="00EB42D4" w:rsidP="00EB42D4">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Gydymas paprastai pradedamas skiriant po 0,05–0,1 mg dozę kas 8 arba 12 valandų injekcijos po oda būdu. Vėliau dozė koreguojama atsižvelgiant į sukeliamą poveikį bei simptomų, pvz., nuovargio, prakaitavimo ir galvos skausmo, sumažėjimą. </w:t>
      </w:r>
      <w:r w:rsidRPr="000E27EC">
        <w:rPr>
          <w:rFonts w:ascii="Times New Roman" w:hAnsi="Times New Roman" w:cs="Times New Roman"/>
          <w:sz w:val="22"/>
          <w:szCs w:val="22"/>
          <w:lang w:val="it-IT"/>
        </w:rPr>
        <w:t xml:space="preserve">Daugeliui pacientų optimali vaistinio preparato paros dozė yra po 0,1 mg tris kartus per parą. </w:t>
      </w:r>
      <w:r w:rsidRPr="000E27EC">
        <w:rPr>
          <w:rFonts w:ascii="Times New Roman" w:hAnsi="Times New Roman" w:cs="Times New Roman"/>
          <w:sz w:val="22"/>
          <w:szCs w:val="22"/>
        </w:rPr>
        <w:t xml:space="preserve">Didžiausios 1,5 mg paros dozės viršyti negalima. </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0"/>
          <w:numId w:val="7"/>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Virškinimo trakto augliai</w:t>
      </w:r>
    </w:p>
    <w:p w:rsidR="00EB42D4" w:rsidRPr="000E27EC" w:rsidRDefault="00EB42D4" w:rsidP="00EB42D4">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Gydymas paprastai pradedamas skiriant po 0,05 mg dozę kartą arba du kartus per parą injekcijos po oda būdu. Atsižvelgiant į sukeliamą poveikį bei </w:t>
      </w:r>
      <w:r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rPr>
        <w:t>toleravimą, dozę galima laipsniškai didinti iki po 0,1</w:t>
      </w:r>
      <w:r w:rsidRPr="000E27EC">
        <w:rPr>
          <w:rFonts w:ascii="Times New Roman" w:hAnsi="Times New Roman" w:cs="Times New Roman"/>
          <w:sz w:val="22"/>
          <w:szCs w:val="22"/>
        </w:rPr>
        <w:noBreakHyphen/>
        <w:t>0,2 mg 3</w:t>
      </w:r>
      <w:r>
        <w:rPr>
          <w:rFonts w:ascii="Times New Roman" w:hAnsi="Times New Roman" w:cs="Times New Roman"/>
          <w:sz w:val="22"/>
          <w:szCs w:val="22"/>
        </w:rPr>
        <w:t> </w:t>
      </w:r>
      <w:r w:rsidRPr="000E27EC">
        <w:rPr>
          <w:rFonts w:ascii="Times New Roman" w:hAnsi="Times New Roman" w:cs="Times New Roman"/>
          <w:sz w:val="22"/>
          <w:szCs w:val="22"/>
        </w:rPr>
        <w:t xml:space="preserve">kartus per parą. Jeigu pacientus, kuriems yra karcinoidinių auglių, gydant didžiausia toleruojama doze, per 1 savaitę ligonio būklė nepagerėja, </w:t>
      </w:r>
      <w:r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rPr>
        <w:t xml:space="preserve">vartojimą reikia nutraukti. </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0"/>
          <w:numId w:val="7"/>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Komplikacijų po kasos operacijos profilaktikai</w:t>
      </w:r>
    </w:p>
    <w:p w:rsidR="00EB42D4" w:rsidRPr="000E27EC" w:rsidRDefault="00EB42D4" w:rsidP="00EB42D4">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Įprasta dozė yra po 0,1 mg tris kartus per parą skiriant injekcijos po oda būdu 1 savaitę; gydymas pradedamas likus ne mažiau kaip valandai iki operacijos.</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0"/>
          <w:numId w:val="7"/>
        </w:numPr>
        <w:tabs>
          <w:tab w:val="clear" w:pos="357"/>
          <w:tab w:val="left" w:pos="-2268"/>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lastRenderedPageBreak/>
        <w:t>Kraujavimas iš varikozinių skrandžio ir stemplės mazgų</w:t>
      </w:r>
    </w:p>
    <w:p w:rsidR="00EB42D4" w:rsidRPr="000E27EC" w:rsidRDefault="00EB42D4" w:rsidP="00EB42D4">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Rekomenduojama </w:t>
      </w:r>
      <w:r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rPr>
        <w:t xml:space="preserve">skirti nuolatinės intraveninės infuzijos būdu 25 mikrogramų per valandą greičiu 5 dienas. Gydymo metu būtina reguliariai tirti cukraus koncentraciją kraujyje. </w:t>
      </w:r>
    </w:p>
    <w:p w:rsidR="00EB42D4" w:rsidRPr="000E27EC" w:rsidRDefault="00EB42D4" w:rsidP="00EB42D4">
      <w:pPr>
        <w:widowControl w:val="0"/>
        <w:numPr>
          <w:ilvl w:val="12"/>
          <w:numId w:val="0"/>
        </w:numPr>
        <w:tabs>
          <w:tab w:val="left" w:pos="720"/>
        </w:tabs>
        <w:spacing w:after="0" w:line="240" w:lineRule="auto"/>
        <w:ind w:right="-2"/>
        <w:rPr>
          <w:rFonts w:ascii="Times New Roman" w:hAnsi="Times New Roman" w:cs="Times New Roman"/>
          <w:sz w:val="22"/>
          <w:szCs w:val="22"/>
        </w:rPr>
      </w:pPr>
    </w:p>
    <w:p w:rsidR="00EB42D4" w:rsidRPr="000E27EC" w:rsidRDefault="00EB42D4" w:rsidP="00EB42D4">
      <w:pPr>
        <w:keepNext/>
        <w:widowControl w:val="0"/>
        <w:numPr>
          <w:ilvl w:val="0"/>
          <w:numId w:val="7"/>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TTH sekretuojančios hipofizės adenomos</w:t>
      </w:r>
    </w:p>
    <w:p w:rsidR="00EB42D4" w:rsidRPr="000E27EC" w:rsidRDefault="00EB42D4" w:rsidP="00EB42D4">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Dažniausiai veiksminga dozė yra po 100 mikrogramų tris kartus per parą leidžiant po oda. Dozę galima koreguoti, atsižvelgiant į TTH ir skydliaukės hormonų koncentracijų pokyčius. Norint nustatyti gydymo veiksmingumą, jį reikia skirti bent 5 dienas.</w:t>
      </w:r>
    </w:p>
    <w:p w:rsidR="00EB42D4" w:rsidRPr="000E27EC" w:rsidRDefault="00EB42D4" w:rsidP="00EB42D4">
      <w:pPr>
        <w:rPr>
          <w:rFonts w:ascii="Times New Roman" w:hAnsi="Times New Roman" w:cs="Times New Roman"/>
          <w:sz w:val="22"/>
          <w:szCs w:val="22"/>
        </w:rPr>
      </w:pPr>
    </w:p>
    <w:p w:rsidR="00BA6577" w:rsidRDefault="00BA6577">
      <w:bookmarkStart w:id="0" w:name="_GoBack"/>
      <w:bookmarkEnd w:id="0"/>
    </w:p>
    <w:sectPr w:rsidR="00BA6577" w:rsidSect="00E446F1">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DE656E"/>
    <w:lvl w:ilvl="0">
      <w:numFmt w:val="decimal"/>
      <w:lvlText w:val="*"/>
      <w:lvlJc w:val="left"/>
      <w:pPr>
        <w:ind w:left="0" w:firstLine="0"/>
      </w:pPr>
    </w:lvl>
  </w:abstractNum>
  <w:abstractNum w:abstractNumId="1" w15:restartNumberingAfterBreak="0">
    <w:nsid w:val="1BF4036F"/>
    <w:multiLevelType w:val="singleLevel"/>
    <w:tmpl w:val="08090001"/>
    <w:lvl w:ilvl="0">
      <w:start w:val="1"/>
      <w:numFmt w:val="bullet"/>
      <w:lvlText w:val=""/>
      <w:lvlJc w:val="left"/>
      <w:pPr>
        <w:tabs>
          <w:tab w:val="num" w:pos="502"/>
        </w:tabs>
        <w:ind w:left="502" w:hanging="360"/>
      </w:pPr>
      <w:rPr>
        <w:rFonts w:ascii="Symbol" w:hAnsi="Symbol" w:hint="default"/>
      </w:rPr>
    </w:lvl>
  </w:abstractNum>
  <w:abstractNum w:abstractNumId="2" w15:restartNumberingAfterBreak="0">
    <w:nsid w:val="23B17A57"/>
    <w:multiLevelType w:val="singleLevel"/>
    <w:tmpl w:val="B7A49E96"/>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2C673943"/>
    <w:multiLevelType w:val="singleLevel"/>
    <w:tmpl w:val="347020E6"/>
    <w:lvl w:ilvl="0">
      <w:start w:val="1"/>
      <w:numFmt w:val="bullet"/>
      <w:lvlText w:val=""/>
      <w:lvlJc w:val="left"/>
      <w:pPr>
        <w:tabs>
          <w:tab w:val="num" w:pos="357"/>
        </w:tabs>
        <w:ind w:left="357" w:hanging="357"/>
      </w:pPr>
      <w:rPr>
        <w:rFonts w:ascii="Symbol" w:hAnsi="Symbol" w:hint="default"/>
      </w:rPr>
    </w:lvl>
  </w:abstractNum>
  <w:abstractNum w:abstractNumId="4" w15:restartNumberingAfterBreak="0">
    <w:nsid w:val="37986EA3"/>
    <w:multiLevelType w:val="hybridMultilevel"/>
    <w:tmpl w:val="5B5411B6"/>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368284C"/>
    <w:multiLevelType w:val="hybridMultilevel"/>
    <w:tmpl w:val="54047246"/>
    <w:lvl w:ilvl="0" w:tplc="FFFFFFFF">
      <w:start w:val="1"/>
      <w:numFmt w:val="bullet"/>
      <w:lvlText w:val="-"/>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70CE568B"/>
    <w:multiLevelType w:val="hybridMultilevel"/>
    <w:tmpl w:val="48EABBC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79A50508"/>
    <w:multiLevelType w:val="singleLevel"/>
    <w:tmpl w:val="0F4ADFEC"/>
    <w:lvl w:ilvl="0">
      <w:start w:val="1"/>
      <w:numFmt w:val="bullet"/>
      <w:lvlText w:val=""/>
      <w:lvlJc w:val="left"/>
      <w:pPr>
        <w:tabs>
          <w:tab w:val="num" w:pos="357"/>
        </w:tabs>
        <w:ind w:left="357" w:hanging="357"/>
      </w:pPr>
      <w:rPr>
        <w:rFonts w:ascii="Symbol" w:hAnsi="Symbol" w:hint="default"/>
      </w:rPr>
    </w:lvl>
  </w:abstractNum>
  <w:num w:numId="1">
    <w:abstractNumId w:val="4"/>
  </w:num>
  <w:num w:numId="2">
    <w:abstractNumId w:val="3"/>
  </w:num>
  <w:num w:numId="3">
    <w:abstractNumId w:val="5"/>
  </w:num>
  <w:num w:numId="4">
    <w:abstractNumId w:val="6"/>
  </w:num>
  <w:num w:numId="5">
    <w:abstractNumId w:val="1"/>
  </w:num>
  <w:num w:numId="6">
    <w:abstractNumId w:val="7"/>
  </w:num>
  <w:num w:numId="7">
    <w:abstractNumId w:val="2"/>
  </w:num>
  <w:num w:numId="8">
    <w:abstractNumId w:val="0"/>
    <w:lvlOverride w:ilvl="0">
      <w:lvl w:ilvl="0">
        <w:numFmt w:val="bullet"/>
        <w:lvlText w:val="-"/>
        <w:legacy w:legacy="1" w:legacySpace="0" w:legacyIndent="360"/>
        <w:lvlJc w:val="left"/>
        <w:pPr>
          <w:ind w:left="360" w:hanging="360"/>
        </w:pPr>
        <w:rPr>
          <w:lang w:val="pt-BR"/>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2D4"/>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B42D4"/>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93C349-0C8A-4123-97F7-35018ACCA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42D4"/>
    <w:rPr>
      <w:rFonts w:ascii="Arial" w:eastAsiaTheme="minorHAnsi"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Sraopastraipa">
    <w:name w:val="List Paragraph"/>
    <w:basedOn w:val="prastasis"/>
    <w:uiPriority w:val="34"/>
    <w:qFormat/>
    <w:rsid w:val="00EB42D4"/>
    <w:pPr>
      <w:tabs>
        <w:tab w:val="left" w:pos="567"/>
      </w:tabs>
      <w:spacing w:after="0" w:line="260" w:lineRule="exact"/>
      <w:ind w:left="720"/>
      <w:contextualSpacing/>
    </w:pPr>
    <w:rPr>
      <w:rFonts w:ascii="Times New Roman" w:eastAsia="Times New Roman" w:hAnsi="Times New Roman" w:cs="Times New Roman"/>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12581</Words>
  <Characters>7172</Characters>
  <Application>Microsoft Office Word</Application>
  <DocSecurity>0</DocSecurity>
  <Lines>59</Lines>
  <Paragraphs>39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2025-05-08T07:24:00Z</dcterms:created>
  <dcterms:modified xsi:type="dcterms:W3CDTF">2025-05-08T07:25:00Z</dcterms:modified>
</cp:coreProperties>
</file>