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9C308C" w14:textId="77777777" w:rsidR="00E446F1" w:rsidRPr="00F61446" w:rsidRDefault="00E446F1" w:rsidP="00E446F1">
      <w:pPr>
        <w:tabs>
          <w:tab w:val="left" w:pos="567"/>
        </w:tabs>
        <w:spacing w:after="0" w:line="260" w:lineRule="exact"/>
        <w:rPr>
          <w:rFonts w:ascii="Times New Roman" w:hAnsi="Times New Roman" w:cs="Times New Roman"/>
          <w:sz w:val="22"/>
          <w:szCs w:val="22"/>
        </w:rPr>
      </w:pPr>
      <w:bookmarkStart w:id="0" w:name="_GoBack"/>
      <w:bookmarkEnd w:id="0"/>
    </w:p>
    <w:p w14:paraId="39FF357D" w14:textId="77777777" w:rsidR="00E446F1" w:rsidRPr="000E27EC" w:rsidRDefault="00E446F1" w:rsidP="00E446F1">
      <w:pPr>
        <w:spacing w:after="0" w:line="240" w:lineRule="auto"/>
        <w:rPr>
          <w:rFonts w:ascii="Times New Roman" w:hAnsi="Times New Roman" w:cs="Times New Roman"/>
          <w:sz w:val="22"/>
          <w:szCs w:val="22"/>
          <w:lang w:val="en-GB"/>
        </w:rPr>
      </w:pPr>
    </w:p>
    <w:p w14:paraId="0EB3D2F5" w14:textId="77777777" w:rsidR="00E446F1" w:rsidRPr="000E27EC" w:rsidRDefault="00E446F1" w:rsidP="00E446F1">
      <w:pPr>
        <w:spacing w:after="0" w:line="240" w:lineRule="auto"/>
        <w:rPr>
          <w:rFonts w:ascii="Times New Roman" w:hAnsi="Times New Roman" w:cs="Times New Roman"/>
          <w:sz w:val="22"/>
          <w:szCs w:val="22"/>
          <w:lang w:val="en-GB"/>
        </w:rPr>
      </w:pPr>
    </w:p>
    <w:p w14:paraId="23B0AC9D" w14:textId="77777777" w:rsidR="00E446F1" w:rsidRPr="000E27EC" w:rsidRDefault="00E446F1" w:rsidP="00E446F1">
      <w:pPr>
        <w:spacing w:after="0" w:line="240" w:lineRule="auto"/>
        <w:rPr>
          <w:rFonts w:ascii="Times New Roman" w:hAnsi="Times New Roman" w:cs="Times New Roman"/>
          <w:sz w:val="22"/>
          <w:szCs w:val="22"/>
          <w:lang w:val="en-GB"/>
        </w:rPr>
      </w:pPr>
    </w:p>
    <w:p w14:paraId="4BDAD1EF" w14:textId="77777777" w:rsidR="00E446F1" w:rsidRPr="000E27EC" w:rsidRDefault="00E446F1" w:rsidP="00E446F1">
      <w:pPr>
        <w:spacing w:after="0" w:line="240" w:lineRule="auto"/>
        <w:rPr>
          <w:rFonts w:ascii="Times New Roman" w:hAnsi="Times New Roman" w:cs="Times New Roman"/>
          <w:sz w:val="22"/>
          <w:szCs w:val="22"/>
          <w:lang w:val="en-GB"/>
        </w:rPr>
      </w:pPr>
    </w:p>
    <w:p w14:paraId="24B4A1EE" w14:textId="77777777" w:rsidR="00E446F1" w:rsidRPr="000E27EC" w:rsidRDefault="00E446F1" w:rsidP="00E446F1">
      <w:pPr>
        <w:spacing w:after="0" w:line="240" w:lineRule="auto"/>
        <w:rPr>
          <w:rFonts w:ascii="Times New Roman" w:hAnsi="Times New Roman" w:cs="Times New Roman"/>
          <w:sz w:val="22"/>
          <w:szCs w:val="22"/>
          <w:lang w:val="en-GB"/>
        </w:rPr>
      </w:pPr>
    </w:p>
    <w:p w14:paraId="40B4F4B6" w14:textId="77777777" w:rsidR="00E446F1" w:rsidRPr="000E27EC" w:rsidRDefault="00E446F1" w:rsidP="00E446F1">
      <w:pPr>
        <w:spacing w:after="0" w:line="240" w:lineRule="auto"/>
        <w:rPr>
          <w:rFonts w:ascii="Times New Roman" w:hAnsi="Times New Roman" w:cs="Times New Roman"/>
          <w:sz w:val="22"/>
          <w:szCs w:val="22"/>
          <w:lang w:val="en-GB"/>
        </w:rPr>
      </w:pPr>
    </w:p>
    <w:p w14:paraId="791CCE5E" w14:textId="77777777" w:rsidR="00E446F1" w:rsidRPr="000E27EC" w:rsidRDefault="00E446F1" w:rsidP="00E446F1">
      <w:pPr>
        <w:spacing w:after="0" w:line="240" w:lineRule="auto"/>
        <w:rPr>
          <w:rFonts w:ascii="Times New Roman" w:hAnsi="Times New Roman" w:cs="Times New Roman"/>
          <w:sz w:val="22"/>
          <w:szCs w:val="22"/>
          <w:lang w:val="en-GB"/>
        </w:rPr>
      </w:pPr>
    </w:p>
    <w:p w14:paraId="6125EDB3" w14:textId="77777777" w:rsidR="00E446F1" w:rsidRPr="000E27EC" w:rsidRDefault="00E446F1" w:rsidP="00E446F1">
      <w:pPr>
        <w:spacing w:after="0" w:line="240" w:lineRule="auto"/>
        <w:rPr>
          <w:rFonts w:ascii="Times New Roman" w:hAnsi="Times New Roman" w:cs="Times New Roman"/>
          <w:sz w:val="22"/>
          <w:szCs w:val="22"/>
          <w:lang w:val="en-GB"/>
        </w:rPr>
      </w:pPr>
    </w:p>
    <w:p w14:paraId="071CC81E" w14:textId="77777777" w:rsidR="00E446F1" w:rsidRPr="000E27EC" w:rsidRDefault="00E446F1" w:rsidP="00E446F1">
      <w:pPr>
        <w:spacing w:after="0" w:line="240" w:lineRule="auto"/>
        <w:rPr>
          <w:rFonts w:ascii="Times New Roman" w:hAnsi="Times New Roman" w:cs="Times New Roman"/>
          <w:sz w:val="22"/>
          <w:szCs w:val="22"/>
          <w:lang w:val="en-GB"/>
        </w:rPr>
      </w:pPr>
    </w:p>
    <w:p w14:paraId="7635E370" w14:textId="77777777" w:rsidR="00E446F1" w:rsidRPr="000E27EC" w:rsidRDefault="00E446F1" w:rsidP="00E446F1">
      <w:pPr>
        <w:spacing w:after="0" w:line="240" w:lineRule="auto"/>
        <w:rPr>
          <w:rFonts w:ascii="Times New Roman" w:hAnsi="Times New Roman" w:cs="Times New Roman"/>
          <w:sz w:val="22"/>
          <w:szCs w:val="22"/>
          <w:lang w:val="en-GB"/>
        </w:rPr>
      </w:pPr>
    </w:p>
    <w:p w14:paraId="0C6336E7" w14:textId="77777777" w:rsidR="00E446F1" w:rsidRPr="000E27EC" w:rsidRDefault="00E446F1" w:rsidP="00E446F1">
      <w:pPr>
        <w:spacing w:after="0" w:line="240" w:lineRule="auto"/>
        <w:rPr>
          <w:rFonts w:ascii="Times New Roman" w:hAnsi="Times New Roman" w:cs="Times New Roman"/>
          <w:sz w:val="22"/>
          <w:szCs w:val="22"/>
          <w:lang w:val="en-GB"/>
        </w:rPr>
      </w:pPr>
    </w:p>
    <w:p w14:paraId="553DEF18" w14:textId="77777777" w:rsidR="00E446F1" w:rsidRPr="000E27EC" w:rsidRDefault="00E446F1" w:rsidP="00E446F1">
      <w:pPr>
        <w:spacing w:after="0" w:line="240" w:lineRule="auto"/>
        <w:rPr>
          <w:rFonts w:ascii="Times New Roman" w:hAnsi="Times New Roman" w:cs="Times New Roman"/>
          <w:sz w:val="22"/>
          <w:szCs w:val="22"/>
          <w:lang w:val="en-GB"/>
        </w:rPr>
      </w:pPr>
    </w:p>
    <w:p w14:paraId="440A47E1" w14:textId="77777777" w:rsidR="00E446F1" w:rsidRPr="000E27EC" w:rsidRDefault="00E446F1" w:rsidP="00E446F1">
      <w:pPr>
        <w:spacing w:after="0" w:line="240" w:lineRule="auto"/>
        <w:rPr>
          <w:rFonts w:ascii="Times New Roman" w:hAnsi="Times New Roman" w:cs="Times New Roman"/>
          <w:sz w:val="22"/>
          <w:szCs w:val="22"/>
          <w:lang w:val="en-GB"/>
        </w:rPr>
      </w:pPr>
    </w:p>
    <w:p w14:paraId="59746C9C" w14:textId="77777777" w:rsidR="00E446F1" w:rsidRPr="000E27EC" w:rsidRDefault="00E446F1" w:rsidP="00E446F1">
      <w:pPr>
        <w:spacing w:after="0" w:line="240" w:lineRule="auto"/>
        <w:rPr>
          <w:rFonts w:ascii="Times New Roman" w:hAnsi="Times New Roman" w:cs="Times New Roman"/>
          <w:sz w:val="22"/>
          <w:szCs w:val="22"/>
          <w:lang w:val="en-GB"/>
        </w:rPr>
      </w:pPr>
    </w:p>
    <w:p w14:paraId="62778FC3" w14:textId="77777777" w:rsidR="00E446F1" w:rsidRPr="000E27EC" w:rsidRDefault="00E446F1" w:rsidP="00E446F1">
      <w:pPr>
        <w:spacing w:after="0" w:line="240" w:lineRule="auto"/>
        <w:rPr>
          <w:rFonts w:ascii="Times New Roman" w:hAnsi="Times New Roman" w:cs="Times New Roman"/>
          <w:sz w:val="22"/>
          <w:szCs w:val="22"/>
          <w:lang w:val="en-GB"/>
        </w:rPr>
      </w:pPr>
    </w:p>
    <w:p w14:paraId="1FD305AE" w14:textId="77777777" w:rsidR="00E446F1" w:rsidRPr="000E27EC" w:rsidRDefault="00E446F1" w:rsidP="00E446F1">
      <w:pPr>
        <w:spacing w:after="0" w:line="240" w:lineRule="auto"/>
        <w:rPr>
          <w:rFonts w:ascii="Times New Roman" w:hAnsi="Times New Roman" w:cs="Times New Roman"/>
          <w:sz w:val="22"/>
          <w:szCs w:val="22"/>
          <w:lang w:val="en-GB"/>
        </w:rPr>
      </w:pPr>
    </w:p>
    <w:p w14:paraId="7D8DB5E1" w14:textId="77777777" w:rsidR="00E446F1" w:rsidRPr="000E27EC" w:rsidRDefault="00E446F1" w:rsidP="00E446F1">
      <w:pPr>
        <w:spacing w:after="0" w:line="240" w:lineRule="auto"/>
        <w:rPr>
          <w:rFonts w:ascii="Times New Roman" w:hAnsi="Times New Roman" w:cs="Times New Roman"/>
          <w:sz w:val="22"/>
          <w:szCs w:val="22"/>
          <w:lang w:val="en-GB"/>
        </w:rPr>
      </w:pPr>
    </w:p>
    <w:p w14:paraId="4087787E" w14:textId="77777777" w:rsidR="00E446F1" w:rsidRPr="000E27EC" w:rsidRDefault="00E446F1" w:rsidP="00E446F1">
      <w:pPr>
        <w:spacing w:after="0" w:line="240" w:lineRule="auto"/>
        <w:rPr>
          <w:rFonts w:ascii="Times New Roman" w:hAnsi="Times New Roman" w:cs="Times New Roman"/>
          <w:sz w:val="22"/>
          <w:szCs w:val="22"/>
          <w:lang w:val="en-GB"/>
        </w:rPr>
      </w:pPr>
    </w:p>
    <w:p w14:paraId="28264813" w14:textId="77777777" w:rsidR="00E446F1" w:rsidRPr="000E27EC" w:rsidRDefault="00E446F1" w:rsidP="00E446F1">
      <w:pPr>
        <w:spacing w:after="0" w:line="240" w:lineRule="auto"/>
        <w:rPr>
          <w:rFonts w:ascii="Times New Roman" w:hAnsi="Times New Roman" w:cs="Times New Roman"/>
          <w:sz w:val="22"/>
          <w:szCs w:val="22"/>
          <w:lang w:val="en-GB"/>
        </w:rPr>
      </w:pPr>
    </w:p>
    <w:p w14:paraId="5FA7D39F" w14:textId="77777777" w:rsidR="00E446F1" w:rsidRPr="000E27EC" w:rsidRDefault="00E446F1" w:rsidP="00E446F1">
      <w:pPr>
        <w:spacing w:after="0" w:line="240" w:lineRule="auto"/>
        <w:rPr>
          <w:rFonts w:ascii="Times New Roman" w:hAnsi="Times New Roman" w:cs="Times New Roman"/>
          <w:sz w:val="22"/>
          <w:szCs w:val="22"/>
          <w:lang w:val="en-GB"/>
        </w:rPr>
      </w:pPr>
    </w:p>
    <w:p w14:paraId="446E68FB" w14:textId="77777777" w:rsidR="00E446F1" w:rsidRPr="000E27EC" w:rsidRDefault="00E446F1" w:rsidP="00E446F1">
      <w:pPr>
        <w:spacing w:after="0" w:line="240" w:lineRule="auto"/>
        <w:rPr>
          <w:rFonts w:ascii="Times New Roman" w:hAnsi="Times New Roman" w:cs="Times New Roman"/>
          <w:sz w:val="22"/>
          <w:szCs w:val="22"/>
          <w:lang w:val="en-GB"/>
        </w:rPr>
      </w:pPr>
    </w:p>
    <w:p w14:paraId="5ABE4670" w14:textId="77777777" w:rsidR="00E446F1" w:rsidRPr="000E27EC" w:rsidRDefault="00E446F1" w:rsidP="00E446F1">
      <w:pPr>
        <w:widowControl w:val="0"/>
        <w:tabs>
          <w:tab w:val="left" w:pos="720"/>
        </w:tabs>
        <w:spacing w:after="0" w:line="240" w:lineRule="auto"/>
        <w:jc w:val="center"/>
        <w:rPr>
          <w:rFonts w:ascii="Times New Roman" w:hAnsi="Times New Roman" w:cs="Times New Roman"/>
          <w:b/>
          <w:sz w:val="22"/>
          <w:szCs w:val="22"/>
        </w:rPr>
      </w:pPr>
    </w:p>
    <w:p w14:paraId="50A12E0C" w14:textId="77777777" w:rsidR="00E446F1" w:rsidRPr="000E27EC" w:rsidRDefault="00E446F1" w:rsidP="00E446F1">
      <w:pPr>
        <w:widowControl w:val="0"/>
        <w:tabs>
          <w:tab w:val="left" w:pos="720"/>
        </w:tabs>
        <w:spacing w:after="0" w:line="240" w:lineRule="auto"/>
        <w:jc w:val="center"/>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I PRIEDAS</w:t>
      </w:r>
    </w:p>
    <w:p w14:paraId="527069C2" w14:textId="77777777" w:rsidR="00E446F1" w:rsidRPr="000E27EC" w:rsidRDefault="00E446F1" w:rsidP="00E446F1">
      <w:pPr>
        <w:widowControl w:val="0"/>
        <w:tabs>
          <w:tab w:val="left" w:pos="720"/>
        </w:tabs>
        <w:spacing w:after="0" w:line="240" w:lineRule="auto"/>
        <w:jc w:val="center"/>
        <w:rPr>
          <w:rFonts w:ascii="Times New Roman" w:hAnsi="Times New Roman" w:cs="Times New Roman"/>
          <w:sz w:val="22"/>
          <w:szCs w:val="22"/>
          <w:lang w:val="it-IT"/>
        </w:rPr>
      </w:pPr>
    </w:p>
    <w:p w14:paraId="3D962ACB" w14:textId="77777777" w:rsidR="00E446F1" w:rsidRPr="000E27EC" w:rsidRDefault="00E446F1" w:rsidP="00E446F1">
      <w:pPr>
        <w:widowControl w:val="0"/>
        <w:tabs>
          <w:tab w:val="left" w:pos="720"/>
        </w:tabs>
        <w:spacing w:after="0" w:line="240" w:lineRule="auto"/>
        <w:jc w:val="center"/>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PREPARATO CHARAKTERISTIKŲ SANTRAUKA</w:t>
      </w:r>
    </w:p>
    <w:p w14:paraId="44F47620" w14:textId="77777777" w:rsidR="00E446F1" w:rsidRPr="000E27EC" w:rsidRDefault="00E446F1" w:rsidP="00E446F1">
      <w:pPr>
        <w:widowControl w:val="0"/>
        <w:tabs>
          <w:tab w:val="left" w:pos="720"/>
        </w:tabs>
        <w:spacing w:after="0" w:line="240" w:lineRule="auto"/>
        <w:rPr>
          <w:rFonts w:ascii="Times New Roman" w:hAnsi="Times New Roman" w:cs="Times New Roman"/>
          <w:b/>
          <w:sz w:val="22"/>
          <w:szCs w:val="22"/>
          <w:lang w:val="it-IT"/>
        </w:rPr>
      </w:pPr>
    </w:p>
    <w:p w14:paraId="7164954B" w14:textId="77777777" w:rsidR="00E446F1" w:rsidRPr="000E27EC" w:rsidRDefault="00E446F1" w:rsidP="00E446F1">
      <w:pPr>
        <w:widowControl w:val="0"/>
        <w:tabs>
          <w:tab w:val="left" w:pos="567"/>
        </w:tabs>
        <w:spacing w:after="0" w:line="240" w:lineRule="auto"/>
        <w:rPr>
          <w:rFonts w:ascii="Times New Roman" w:hAnsi="Times New Roman" w:cs="Times New Roman"/>
          <w:b/>
          <w:sz w:val="22"/>
          <w:szCs w:val="22"/>
          <w:lang w:val="it-IT"/>
        </w:rPr>
      </w:pPr>
      <w:r w:rsidRPr="000E27EC">
        <w:rPr>
          <w:rFonts w:ascii="Times New Roman" w:hAnsi="Times New Roman" w:cs="Times New Roman"/>
          <w:sz w:val="22"/>
          <w:szCs w:val="22"/>
          <w:lang w:val="it-IT"/>
        </w:rPr>
        <w:br w:type="page"/>
      </w:r>
      <w:r w:rsidRPr="000E27EC">
        <w:rPr>
          <w:rFonts w:ascii="Times New Roman" w:hAnsi="Times New Roman" w:cs="Times New Roman"/>
          <w:b/>
          <w:sz w:val="22"/>
          <w:szCs w:val="22"/>
          <w:lang w:val="it-IT"/>
        </w:rPr>
        <w:lastRenderedPageBreak/>
        <w:t>1.</w:t>
      </w:r>
      <w:r w:rsidRPr="000E27EC">
        <w:rPr>
          <w:rFonts w:ascii="Times New Roman" w:hAnsi="Times New Roman" w:cs="Times New Roman"/>
          <w:b/>
          <w:sz w:val="22"/>
          <w:szCs w:val="22"/>
          <w:lang w:val="it-IT"/>
        </w:rPr>
        <w:tab/>
        <w:t>VAISTINIO PREPARATO PAVADINIMAS</w:t>
      </w:r>
    </w:p>
    <w:p w14:paraId="3AC05F2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010E124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pacing w:val="-3"/>
          <w:sz w:val="22"/>
          <w:szCs w:val="22"/>
          <w:lang w:val="it-IT"/>
        </w:rPr>
      </w:pPr>
      <w:r w:rsidRPr="000E27EC">
        <w:rPr>
          <w:rFonts w:ascii="Times New Roman" w:hAnsi="Times New Roman" w:cs="Times New Roman"/>
          <w:sz w:val="22"/>
          <w:szCs w:val="22"/>
          <w:lang w:val="it-IT"/>
        </w:rPr>
        <w:t>Sandostatin 10</w:t>
      </w:r>
      <w:r w:rsidRPr="000E27EC">
        <w:rPr>
          <w:rFonts w:ascii="Times New Roman" w:hAnsi="Times New Roman" w:cs="Times New Roman"/>
          <w:spacing w:val="-3"/>
          <w:sz w:val="22"/>
          <w:szCs w:val="22"/>
          <w:lang w:val="it-IT"/>
        </w:rPr>
        <w:t xml:space="preserve">0 mikrogramų/ml injekcinis ar infuzinis tirpalas </w:t>
      </w:r>
    </w:p>
    <w:p w14:paraId="13E0553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2030BDA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08E94D69" w14:textId="77777777" w:rsidR="00E446F1" w:rsidRPr="000E27EC" w:rsidRDefault="00E446F1" w:rsidP="00E446F1">
      <w:pPr>
        <w:keepNext/>
        <w:widowControl w:val="0"/>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2.</w:t>
      </w:r>
      <w:r w:rsidRPr="000E27EC">
        <w:rPr>
          <w:rFonts w:ascii="Times New Roman" w:hAnsi="Times New Roman" w:cs="Times New Roman"/>
          <w:b/>
          <w:sz w:val="22"/>
          <w:szCs w:val="22"/>
          <w:lang w:val="it-IT"/>
        </w:rPr>
        <w:tab/>
        <w:t>KOKYBINĖ IR KIEKYBINĖ SUDĖTIS</w:t>
      </w:r>
    </w:p>
    <w:p w14:paraId="794B6FC6"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5E0BF115"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1 ml ampulėje yra 100 mikrogramų oktreotido (oktreotido acetato pavidalu).</w:t>
      </w:r>
    </w:p>
    <w:p w14:paraId="0B2C9550"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4868DA0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Visos pagalbinės medžiagos išvardytos 6.1 skyriuje.</w:t>
      </w:r>
    </w:p>
    <w:p w14:paraId="79803E3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7DEB1D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55A8A5C"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caps/>
          <w:sz w:val="22"/>
          <w:szCs w:val="22"/>
          <w:lang w:val="es-ES"/>
        </w:rPr>
      </w:pPr>
      <w:r w:rsidRPr="000E27EC">
        <w:rPr>
          <w:rFonts w:ascii="Times New Roman" w:hAnsi="Times New Roman" w:cs="Times New Roman"/>
          <w:b/>
          <w:caps/>
          <w:sz w:val="22"/>
          <w:szCs w:val="22"/>
          <w:lang w:val="es-ES"/>
        </w:rPr>
        <w:t>3.</w:t>
      </w:r>
      <w:r w:rsidRPr="000E27EC">
        <w:rPr>
          <w:rFonts w:ascii="Times New Roman" w:hAnsi="Times New Roman" w:cs="Times New Roman"/>
          <w:b/>
          <w:caps/>
          <w:sz w:val="22"/>
          <w:szCs w:val="22"/>
          <w:lang w:val="es-ES"/>
        </w:rPr>
        <w:tab/>
        <w:t>FARMACINĖ forma</w:t>
      </w:r>
    </w:p>
    <w:p w14:paraId="3D7AB6CD"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27C3A5F9"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Injekcinis ar infuzinis tirpalas</w:t>
      </w:r>
    </w:p>
    <w:p w14:paraId="17C31096"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Skaidrus bespalvis tirpalas</w:t>
      </w:r>
    </w:p>
    <w:p w14:paraId="315FF6C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98AF12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2535716"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caps/>
          <w:sz w:val="22"/>
          <w:szCs w:val="22"/>
          <w:lang w:val="es-ES"/>
        </w:rPr>
      </w:pPr>
      <w:r w:rsidRPr="000E27EC">
        <w:rPr>
          <w:rFonts w:ascii="Times New Roman" w:hAnsi="Times New Roman" w:cs="Times New Roman"/>
          <w:b/>
          <w:caps/>
          <w:sz w:val="22"/>
          <w:szCs w:val="22"/>
          <w:lang w:val="es-ES"/>
        </w:rPr>
        <w:t>4.</w:t>
      </w:r>
      <w:r w:rsidRPr="000E27EC">
        <w:rPr>
          <w:rFonts w:ascii="Times New Roman" w:hAnsi="Times New Roman" w:cs="Times New Roman"/>
          <w:b/>
          <w:caps/>
          <w:sz w:val="22"/>
          <w:szCs w:val="22"/>
          <w:lang w:val="es-ES"/>
        </w:rPr>
        <w:tab/>
        <w:t>klinikinĖ informacija</w:t>
      </w:r>
    </w:p>
    <w:p w14:paraId="0240DDFB"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0D90AABF"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4.1</w:t>
      </w:r>
      <w:r w:rsidRPr="000E27EC">
        <w:rPr>
          <w:rFonts w:ascii="Times New Roman" w:hAnsi="Times New Roman" w:cs="Times New Roman"/>
          <w:b/>
          <w:sz w:val="22"/>
          <w:szCs w:val="22"/>
          <w:lang w:val="es-ES"/>
        </w:rPr>
        <w:tab/>
        <w:t>Terapinės indikacijos</w:t>
      </w:r>
    </w:p>
    <w:p w14:paraId="01F31C96" w14:textId="77777777" w:rsidR="00E446F1" w:rsidRPr="000E27EC" w:rsidRDefault="00E446F1" w:rsidP="00E446F1">
      <w:pPr>
        <w:keepNext/>
        <w:widowControl w:val="0"/>
        <w:spacing w:after="0" w:line="240" w:lineRule="auto"/>
        <w:rPr>
          <w:rFonts w:ascii="Times New Roman" w:hAnsi="Times New Roman" w:cs="Times New Roman"/>
          <w:sz w:val="22"/>
          <w:szCs w:val="22"/>
          <w:lang w:val="es-ES"/>
        </w:rPr>
      </w:pPr>
    </w:p>
    <w:p w14:paraId="669C5DA3"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Augimo hormono (AH) ir IAF-1 (į insuliną panašaus augimo faktoriaus-1) kiekiams plazmoje mažinti ir ligos simptomams kontroliuoti akromegalija sergantiems pacientams, kurių būklė nepakankamai kontroliuojama atlikus chirurginę operaciją ar skyrus radioterapiją. Sandostatin taip pat skiriamas akromegalija sergantiems pacientams, kurių negalima operuoti ar kurie būti operuojami nesutinka, arba kuriems reikalingas gydymas laikotarpiu iki bus pasiektas visiškas radioterapijos efektas. </w:t>
      </w:r>
    </w:p>
    <w:p w14:paraId="17C12A6F"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6885A43C"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Simptomams, susijusiems su hormonus produkuojančiais skrandžio, žarnų ar kasos endokrininiais navikais, lengvinti, pvz., kai yra karcinoidiniai navikai su karcinoido sindromo požymiais (žr. 5.1 skyrių).</w:t>
      </w:r>
    </w:p>
    <w:p w14:paraId="69FA8FAD" w14:textId="77777777" w:rsidR="00E446F1" w:rsidRPr="000E27EC" w:rsidRDefault="00E446F1" w:rsidP="00E446F1">
      <w:pPr>
        <w:tabs>
          <w:tab w:val="left" w:pos="8280"/>
        </w:tabs>
        <w:spacing w:after="0" w:line="260" w:lineRule="exact"/>
        <w:rPr>
          <w:rFonts w:ascii="Times New Roman" w:hAnsi="Times New Roman" w:cs="Times New Roman"/>
          <w:sz w:val="22"/>
          <w:szCs w:val="22"/>
          <w:lang w:val="es-ES"/>
        </w:rPr>
      </w:pPr>
    </w:p>
    <w:p w14:paraId="4C66BFAE"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Sandostatin navikų neveikia, todėl ligonių, kuriems yra navikas, nuo jo neišgydo.</w:t>
      </w:r>
    </w:p>
    <w:p w14:paraId="1CD45C44"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19E45F51"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Komplikacijų po kasos operacijų profilaktikai.</w:t>
      </w:r>
    </w:p>
    <w:p w14:paraId="69296C42"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752B04E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Kraujavimo iš stemplės ir skrandžio varikozinių mazgų stabdymas ligoniams, sergantiems kepenų ciroze (</w:t>
      </w:r>
      <w:r w:rsidR="002A4847">
        <w:rPr>
          <w:rFonts w:ascii="Times New Roman" w:hAnsi="Times New Roman" w:cs="Times New Roman"/>
          <w:sz w:val="22"/>
          <w:szCs w:val="22"/>
          <w:lang w:val="es-ES"/>
        </w:rPr>
        <w:t>vaistinio preparato</w:t>
      </w:r>
      <w:r w:rsidR="002A4847" w:rsidRPr="000E27EC">
        <w:rPr>
          <w:rFonts w:ascii="Times New Roman" w:hAnsi="Times New Roman" w:cs="Times New Roman"/>
          <w:sz w:val="22"/>
          <w:szCs w:val="22"/>
          <w:lang w:val="es-ES"/>
        </w:rPr>
        <w:t xml:space="preserve"> </w:t>
      </w:r>
      <w:r w:rsidRPr="000E27EC">
        <w:rPr>
          <w:rFonts w:ascii="Times New Roman" w:hAnsi="Times New Roman" w:cs="Times New Roman"/>
          <w:sz w:val="22"/>
          <w:szCs w:val="22"/>
          <w:lang w:val="es-ES"/>
        </w:rPr>
        <w:t>vartojama ūminiam kraujavimui stabdyti ir jo pasikartojimo profilaktikai). Sandostatin vartojamas kartu su specifinėmis gydymo priemonėmis, pvz., endoskopine skleroterapija.</w:t>
      </w:r>
    </w:p>
    <w:p w14:paraId="0E680576" w14:textId="77777777" w:rsidR="00E446F1" w:rsidRPr="000E27EC" w:rsidRDefault="00E446F1" w:rsidP="00E446F1">
      <w:pPr>
        <w:widowControl w:val="0"/>
        <w:spacing w:after="0" w:line="240" w:lineRule="auto"/>
        <w:rPr>
          <w:rFonts w:ascii="Times New Roman" w:hAnsi="Times New Roman" w:cs="Times New Roman"/>
          <w:sz w:val="22"/>
          <w:szCs w:val="22"/>
          <w:lang w:val="es-ES"/>
        </w:rPr>
      </w:pPr>
    </w:p>
    <w:p w14:paraId="47A636F0" w14:textId="77777777" w:rsidR="00E446F1" w:rsidRPr="000E27EC" w:rsidRDefault="00E446F1" w:rsidP="00E446F1">
      <w:pPr>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Pacientams, sergantiems TTH sekretuojančia hipofizės adenoma, gydyti:</w:t>
      </w:r>
    </w:p>
    <w:p w14:paraId="4E96826F" w14:textId="77777777" w:rsidR="00E446F1" w:rsidRPr="000E27EC" w:rsidRDefault="00E446F1" w:rsidP="00E446F1">
      <w:pPr>
        <w:keepNext/>
        <w:widowControl w:val="0"/>
        <w:numPr>
          <w:ilvl w:val="0"/>
          <w:numId w:val="9"/>
        </w:numPr>
        <w:tabs>
          <w:tab w:val="left" w:pos="567"/>
        </w:tabs>
        <w:spacing w:after="0" w:line="240" w:lineRule="auto"/>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kai sekrecija netapo normalia po atliktos chirurginės operacijos ir (arba) radioterapijos;</w:t>
      </w:r>
    </w:p>
    <w:p w14:paraId="7F16AFB7" w14:textId="77777777" w:rsidR="00E446F1" w:rsidRPr="000E27EC" w:rsidRDefault="00E446F1" w:rsidP="00E446F1">
      <w:pPr>
        <w:keepNext/>
        <w:widowControl w:val="0"/>
        <w:numPr>
          <w:ilvl w:val="0"/>
          <w:numId w:val="9"/>
        </w:numPr>
        <w:tabs>
          <w:tab w:val="left" w:pos="567"/>
        </w:tabs>
        <w:spacing w:after="0" w:line="240" w:lineRule="auto"/>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pacientams, kuriems netinka atlikti chirurginės operacijos;</w:t>
      </w:r>
    </w:p>
    <w:p w14:paraId="2460060E" w14:textId="77777777" w:rsidR="00E446F1" w:rsidRPr="000E27EC" w:rsidRDefault="00E446F1" w:rsidP="00E446F1">
      <w:pPr>
        <w:keepNext/>
        <w:widowControl w:val="0"/>
        <w:numPr>
          <w:ilvl w:val="0"/>
          <w:numId w:val="9"/>
        </w:numPr>
        <w:tabs>
          <w:tab w:val="left" w:pos="567"/>
        </w:tabs>
        <w:spacing w:after="0" w:line="240" w:lineRule="auto"/>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pacientams po spindulinio gydymo, kol pasireikš radioterapijos poveikis.</w:t>
      </w:r>
    </w:p>
    <w:p w14:paraId="12D50342" w14:textId="77777777" w:rsidR="00E446F1" w:rsidRPr="000E27EC" w:rsidRDefault="00E446F1" w:rsidP="00E446F1">
      <w:pPr>
        <w:spacing w:after="0" w:line="240" w:lineRule="auto"/>
        <w:rPr>
          <w:rFonts w:ascii="Times New Roman" w:hAnsi="Times New Roman" w:cs="Times New Roman"/>
          <w:sz w:val="22"/>
          <w:szCs w:val="22"/>
          <w:lang w:val="es-ES"/>
        </w:rPr>
      </w:pPr>
    </w:p>
    <w:p w14:paraId="10EAA8FC" w14:textId="77777777" w:rsidR="00E446F1" w:rsidRPr="000E27EC" w:rsidRDefault="00E446F1" w:rsidP="00E446F1">
      <w:pPr>
        <w:keepNext/>
        <w:tabs>
          <w:tab w:val="left" w:pos="567"/>
        </w:tabs>
        <w:spacing w:after="0" w:line="240" w:lineRule="auto"/>
        <w:jc w:val="both"/>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4.2</w:t>
      </w:r>
      <w:r w:rsidRPr="000E27EC">
        <w:rPr>
          <w:rFonts w:ascii="Times New Roman" w:hAnsi="Times New Roman" w:cs="Times New Roman"/>
          <w:b/>
          <w:sz w:val="22"/>
          <w:szCs w:val="22"/>
          <w:lang w:val="es-ES"/>
        </w:rPr>
        <w:tab/>
        <w:t>Dozavimas ir vartojimo metodas</w:t>
      </w:r>
    </w:p>
    <w:p w14:paraId="15619342" w14:textId="77777777" w:rsidR="00E446F1" w:rsidRPr="000E27EC" w:rsidRDefault="00E446F1" w:rsidP="00E446F1">
      <w:pPr>
        <w:keepNext/>
        <w:widowControl w:val="0"/>
        <w:spacing w:after="0" w:line="240" w:lineRule="auto"/>
        <w:rPr>
          <w:rFonts w:ascii="Times New Roman" w:hAnsi="Times New Roman" w:cs="Times New Roman"/>
          <w:sz w:val="22"/>
          <w:szCs w:val="22"/>
          <w:lang w:val="es-ES"/>
        </w:rPr>
      </w:pPr>
    </w:p>
    <w:p w14:paraId="5B5AF7EF"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Dozavimas</w:t>
      </w:r>
    </w:p>
    <w:p w14:paraId="4BE66510" w14:textId="77777777" w:rsidR="00E446F1" w:rsidRPr="000E27EC" w:rsidRDefault="00E446F1" w:rsidP="00E446F1">
      <w:pPr>
        <w:keepNext/>
        <w:widowControl w:val="0"/>
        <w:spacing w:after="0" w:line="240" w:lineRule="auto"/>
        <w:rPr>
          <w:rFonts w:ascii="Times New Roman" w:hAnsi="Times New Roman" w:cs="Times New Roman"/>
          <w:sz w:val="22"/>
          <w:szCs w:val="22"/>
          <w:lang w:val="es-ES"/>
        </w:rPr>
      </w:pPr>
    </w:p>
    <w:p w14:paraId="60BFFD76"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es-ES"/>
        </w:rPr>
      </w:pPr>
      <w:r w:rsidRPr="000E27EC">
        <w:rPr>
          <w:rFonts w:ascii="Times New Roman" w:hAnsi="Times New Roman" w:cs="Times New Roman"/>
          <w:i/>
          <w:sz w:val="22"/>
          <w:szCs w:val="22"/>
          <w:lang w:val="es-ES"/>
        </w:rPr>
        <w:t>Akromegalija</w:t>
      </w:r>
    </w:p>
    <w:p w14:paraId="406B923A"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Iš pradžių reikia po oda leisti po 0,05–0,1 mg dozę kas 8 arba 12 valandų. Dozę reikėtų koreguoti atsižvelgiant į kas mėnesį nustatomus AH ir IAF-1 kiekius (reikia siekti, kad AH koncentracija būtų mažesnė kaip 2,5 ng/ml, o IAF-1 koncentracija būtų normali), klinikinius simptomus bei toleravimą. Daugeliui pacientų optimali vaistinio preparato paros dozė yra 0,3 mg. Didžiausios 1,5 mg paros dozės viršyti negalima. Ligoniams, kurie vartoja pastovią Sandostatin dozę, AH ir IAF-1 koncentraciją reikėtų tirti kas 6 mėnesius. </w:t>
      </w:r>
    </w:p>
    <w:p w14:paraId="79D5864C"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0F8DF98A"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per tris gydymo Sandostatin mėnesius reikšmingai nesumažėja AH koncentracija ir nepalengvėja klinikiniai simptomai, gydymą reikėtų nutraukti.</w:t>
      </w:r>
    </w:p>
    <w:p w14:paraId="54AAD436" w14:textId="77777777" w:rsidR="00E446F1" w:rsidRPr="000E27EC" w:rsidRDefault="00E446F1" w:rsidP="00E446F1">
      <w:pPr>
        <w:tabs>
          <w:tab w:val="left" w:pos="567"/>
        </w:tabs>
        <w:spacing w:after="0" w:line="260" w:lineRule="exact"/>
        <w:rPr>
          <w:rFonts w:ascii="Times New Roman" w:hAnsi="Times New Roman" w:cs="Times New Roman"/>
          <w:b/>
          <w:i/>
          <w:sz w:val="22"/>
          <w:szCs w:val="22"/>
          <w:lang w:val="it-IT"/>
        </w:rPr>
      </w:pPr>
    </w:p>
    <w:p w14:paraId="389BF47C"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Skrandžio, žarnyno, kasos endokrininiai navikai</w:t>
      </w:r>
    </w:p>
    <w:p w14:paraId="51FEFCDB" w14:textId="2E51AF5D"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Iš pradžių reikia po oda leisti po 0,05 mg dozę kartą arba du kartus per parą. Atsižvelgiant į sukeliamą klinikinį atsaką, naviko išskiriamų hormonų kiekių pokyčius (jeigu yra karcinoidinis navikas, reikia nustatyti su šlapimu išskiriamos 5-hidroksiindolacto rūgšties kiekį) bei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toleravimą, dozę galima laipsniškai didinti iki po 0,1–0,2 mg 3 kartus per parą. Išimtiniu atveju gali reikėti didesnės dozės. Palaikomoji dozė kiekvienam pacientui nustatoma individualiai</w:t>
      </w:r>
      <w:r w:rsidR="00987843">
        <w:rPr>
          <w:rFonts w:ascii="Times New Roman" w:hAnsi="Times New Roman" w:cs="Times New Roman"/>
          <w:sz w:val="22"/>
          <w:szCs w:val="22"/>
          <w:lang w:val="it-IT"/>
        </w:rPr>
        <w:t xml:space="preserve"> </w:t>
      </w:r>
      <w:r w:rsidR="00987843" w:rsidRPr="000E27EC">
        <w:rPr>
          <w:rFonts w:ascii="Times New Roman" w:hAnsi="Times New Roman" w:cs="Times New Roman"/>
          <w:sz w:val="22"/>
          <w:szCs w:val="22"/>
          <w:lang w:val="it-IT"/>
        </w:rPr>
        <w:t>(žr. 4.</w:t>
      </w:r>
      <w:r w:rsidR="00987843">
        <w:rPr>
          <w:rFonts w:ascii="Times New Roman" w:hAnsi="Times New Roman" w:cs="Times New Roman"/>
          <w:sz w:val="22"/>
          <w:szCs w:val="22"/>
          <w:lang w:val="it-IT"/>
        </w:rPr>
        <w:t>9</w:t>
      </w:r>
      <w:r w:rsidR="00987843" w:rsidRPr="000E27EC">
        <w:rPr>
          <w:rFonts w:ascii="Times New Roman" w:hAnsi="Times New Roman" w:cs="Times New Roman"/>
          <w:sz w:val="22"/>
          <w:szCs w:val="22"/>
          <w:lang w:val="it-IT"/>
        </w:rPr>
        <w:t> skyrių).</w:t>
      </w:r>
    </w:p>
    <w:p w14:paraId="3E374629"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698B5C3F"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Jeigu pacientus, kuriems yra karcinoidinių navikų, gydant didžiausia toleruojama Sandostatin doze, per 1 savaitę nepasireiškia palankus klinikinis atsakas,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 xml:space="preserve">vartojimą reikėtų nutraukti. </w:t>
      </w:r>
    </w:p>
    <w:p w14:paraId="225ED66C" w14:textId="77777777" w:rsidR="00E446F1" w:rsidRPr="000E27EC" w:rsidRDefault="00E446F1" w:rsidP="00E446F1">
      <w:pPr>
        <w:tabs>
          <w:tab w:val="left" w:pos="567"/>
        </w:tabs>
        <w:spacing w:after="0" w:line="260" w:lineRule="exact"/>
        <w:rPr>
          <w:rFonts w:ascii="Times New Roman" w:hAnsi="Times New Roman" w:cs="Times New Roman"/>
          <w:b/>
          <w:i/>
          <w:sz w:val="22"/>
          <w:szCs w:val="22"/>
          <w:lang w:val="it-IT"/>
        </w:rPr>
      </w:pPr>
    </w:p>
    <w:p w14:paraId="2B54B88A" w14:textId="77777777" w:rsidR="00E446F1" w:rsidRPr="000E27EC" w:rsidRDefault="00E446F1" w:rsidP="00E446F1">
      <w:pPr>
        <w:keepNext/>
        <w:tabs>
          <w:tab w:val="left" w:pos="567"/>
        </w:tabs>
        <w:spacing w:after="0" w:line="260" w:lineRule="exact"/>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Komplikacijų po kasos operacijų profilaktikai</w:t>
      </w:r>
    </w:p>
    <w:p w14:paraId="6C384EA9"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Įprastai skiriama po 0,1 mg dozę, ją leidžiant po oda tris kartus per parą 7 dienas paeiliui. Gydymą reikia pradėti operacijos dieną likus ne mažiau kaip valandai iki laparotomijos.</w:t>
      </w:r>
    </w:p>
    <w:p w14:paraId="472EA301" w14:textId="77777777" w:rsidR="00E446F1" w:rsidRPr="000E27EC" w:rsidRDefault="00E446F1" w:rsidP="00E446F1">
      <w:pPr>
        <w:tabs>
          <w:tab w:val="left" w:pos="567"/>
        </w:tabs>
        <w:spacing w:after="0" w:line="260" w:lineRule="exact"/>
        <w:rPr>
          <w:rFonts w:ascii="Times New Roman" w:hAnsi="Times New Roman" w:cs="Times New Roman"/>
          <w:b/>
          <w:i/>
          <w:sz w:val="22"/>
          <w:szCs w:val="22"/>
          <w:lang w:val="it-IT"/>
        </w:rPr>
      </w:pPr>
    </w:p>
    <w:p w14:paraId="63302FB5" w14:textId="77777777" w:rsidR="00E446F1" w:rsidRPr="000E27EC" w:rsidRDefault="00E446F1" w:rsidP="00E446F1">
      <w:pPr>
        <w:keepNext/>
        <w:tabs>
          <w:tab w:val="left" w:pos="567"/>
        </w:tabs>
        <w:spacing w:after="0" w:line="260" w:lineRule="exact"/>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Kraujavimas iš varikozinių skrandžio ir stemplės mazgų</w:t>
      </w:r>
    </w:p>
    <w:p w14:paraId="4AA3247F"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Vaistinio preparato skiriama nuolatinės intraveninės infuzijos būdu 25 mikrogramų per valandą greičiu 5 dienas. Sandostatin galima skiesti fiziologiniu tirpalu.</w:t>
      </w:r>
    </w:p>
    <w:p w14:paraId="6FBBEBA2"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174B9B58"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Kepenų ciroze sergantys ligoniai, kuriems kraujavo iš varikozinių stemplės ir skrandžio mazgų, nuolatinę Sandostatin infuziją toleravo gerai vaistinio preparato skiriant iki 50 mikrogramų per valandą greičiu 5 dienas. </w:t>
      </w:r>
    </w:p>
    <w:p w14:paraId="4A932B40" w14:textId="77777777" w:rsidR="00E446F1" w:rsidRPr="000E27EC" w:rsidRDefault="00E446F1" w:rsidP="00E446F1">
      <w:pPr>
        <w:tabs>
          <w:tab w:val="left" w:pos="720"/>
        </w:tabs>
        <w:autoSpaceDE w:val="0"/>
        <w:autoSpaceDN w:val="0"/>
        <w:adjustRightInd w:val="0"/>
        <w:spacing w:after="0" w:line="240" w:lineRule="auto"/>
        <w:rPr>
          <w:rFonts w:ascii="Times New Roman" w:hAnsi="Times New Roman" w:cs="Times New Roman"/>
          <w:sz w:val="22"/>
          <w:szCs w:val="22"/>
          <w:lang w:val="it-IT"/>
        </w:rPr>
      </w:pPr>
    </w:p>
    <w:p w14:paraId="0AEF1D81"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Pacientų, sergančių TTH sekretuojančia adenoma, gydymas</w:t>
      </w:r>
    </w:p>
    <w:p w14:paraId="124B9CE2"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Dažniausiai veiksminga dozė yra po 100 mikrogramų tris kartus per parą leidžiant po oda. Dozę galima koreguoti, atsižvelgiant į TTH ir skydliaukės hormonų koncentracijų pokyčius. Norint nustatyti gydymo veiksmingumą, jį reikia skirti bent 5 dienas.</w:t>
      </w:r>
    </w:p>
    <w:p w14:paraId="79CE345C"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76BB9857"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Senyviems pacientams</w:t>
      </w:r>
    </w:p>
    <w:p w14:paraId="15D0499A"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Duomenų, kad Sandostatin skiriant senyviems pacientams </w:t>
      </w:r>
      <w:r w:rsidR="002A4847" w:rsidRPr="002A4847">
        <w:rPr>
          <w:rFonts w:ascii="Times New Roman" w:hAnsi="Times New Roman" w:cs="Times New Roman"/>
          <w:sz w:val="22"/>
          <w:szCs w:val="22"/>
          <w:lang w:val="it-IT"/>
        </w:rPr>
        <w:t>vaistini</w:t>
      </w:r>
      <w:r w:rsidR="002A4847">
        <w:rPr>
          <w:rFonts w:ascii="Times New Roman" w:hAnsi="Times New Roman" w:cs="Times New Roman"/>
          <w:sz w:val="22"/>
          <w:szCs w:val="22"/>
          <w:lang w:val="it-IT"/>
        </w:rPr>
        <w:t>s</w:t>
      </w:r>
      <w:r w:rsidR="002A4847" w:rsidRPr="002A4847">
        <w:rPr>
          <w:rFonts w:ascii="Times New Roman" w:hAnsi="Times New Roman" w:cs="Times New Roman"/>
          <w:sz w:val="22"/>
          <w:szCs w:val="22"/>
          <w:lang w:val="it-IT"/>
        </w:rPr>
        <w:t xml:space="preserve"> preparat</w:t>
      </w:r>
      <w:r w:rsidR="002A4847">
        <w:rPr>
          <w:rFonts w:ascii="Times New Roman" w:hAnsi="Times New Roman" w:cs="Times New Roman"/>
          <w:sz w:val="22"/>
          <w:szCs w:val="22"/>
          <w:lang w:val="it-IT"/>
        </w:rPr>
        <w:t>as</w:t>
      </w:r>
      <w:r w:rsidR="002A4847" w:rsidRPr="002A4847">
        <w:rPr>
          <w:rFonts w:ascii="Times New Roman" w:hAnsi="Times New Roman" w:cs="Times New Roman"/>
          <w:sz w:val="22"/>
          <w:szCs w:val="22"/>
          <w:lang w:val="it-IT"/>
        </w:rPr>
        <w:t xml:space="preserve"> </w:t>
      </w:r>
      <w:r w:rsidRPr="000E27EC">
        <w:rPr>
          <w:rFonts w:ascii="Times New Roman" w:hAnsi="Times New Roman" w:cs="Times New Roman"/>
          <w:sz w:val="22"/>
          <w:szCs w:val="22"/>
          <w:lang w:val="it-IT"/>
        </w:rPr>
        <w:t>būtų blogiau toleruojamas ar reikėtų keisti jo dozę, nėra.</w:t>
      </w:r>
    </w:p>
    <w:p w14:paraId="72A4667E"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27FCEFE7"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Vaikų populiacija</w:t>
      </w:r>
    </w:p>
    <w:p w14:paraId="2D8C3BC6"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vartojimo vaikams patirties yra nedaug.</w:t>
      </w:r>
    </w:p>
    <w:p w14:paraId="77DDE003"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15E7BF10"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Pacientams, kurių kepenų funkcija sutrikusi</w:t>
      </w:r>
    </w:p>
    <w:p w14:paraId="769998E8"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Pacientams, kuriems yra kepenų cirozė, gali pailgėti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pusinės eliminacijos periodas, todėl gali reikėti koreguoti palaikomąją dozę.</w:t>
      </w:r>
    </w:p>
    <w:p w14:paraId="7D8C0326"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7F61C735" w14:textId="77777777" w:rsidR="00E446F1" w:rsidRPr="000E27EC" w:rsidRDefault="00E446F1" w:rsidP="00E446F1">
      <w:pPr>
        <w:keepNext/>
        <w:widowControl w:val="0"/>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i/>
          <w:sz w:val="22"/>
          <w:szCs w:val="22"/>
          <w:lang w:val="it-IT"/>
        </w:rPr>
        <w:t>Pacientams, kurių inkstų funkcija sutrikusi</w:t>
      </w:r>
    </w:p>
    <w:p w14:paraId="65242693"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Sutrikusi inkstų funkcija neturėjo įtakos bendrajai po oda leidžiamo oktreotido ekspozicijai (AUC), todėl Sandostatin dozės keisti nereikia.</w:t>
      </w:r>
    </w:p>
    <w:p w14:paraId="36E8CC04"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1BE77D89"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Vartojimo metodas</w:t>
      </w:r>
    </w:p>
    <w:p w14:paraId="1AC7C092"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7C3365AC"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gali būti skiriamas leisti po oda (s.c.) arba atskiedus leisti į veną (i.v.). Instrukcijos apie atliekų tvarkymą ir kaip vaistinį preparatą atskiesti pateikiamos 6.6 skyriuje.</w:t>
      </w:r>
    </w:p>
    <w:p w14:paraId="5AD06002" w14:textId="77777777" w:rsidR="00E446F1" w:rsidRPr="000E27EC" w:rsidRDefault="00E446F1" w:rsidP="00E446F1">
      <w:pPr>
        <w:tabs>
          <w:tab w:val="left" w:pos="567"/>
        </w:tabs>
        <w:spacing w:after="0" w:line="240" w:lineRule="auto"/>
        <w:rPr>
          <w:rFonts w:ascii="Times New Roman" w:hAnsi="Times New Roman" w:cs="Times New Roman"/>
          <w:sz w:val="22"/>
          <w:szCs w:val="22"/>
          <w:lang w:val="it-IT"/>
        </w:rPr>
      </w:pPr>
    </w:p>
    <w:p w14:paraId="0700158E"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4.3</w:t>
      </w:r>
      <w:r w:rsidRPr="000E27EC">
        <w:rPr>
          <w:rFonts w:ascii="Times New Roman" w:hAnsi="Times New Roman" w:cs="Times New Roman"/>
          <w:b/>
          <w:sz w:val="22"/>
          <w:szCs w:val="22"/>
          <w:lang w:val="it-IT"/>
        </w:rPr>
        <w:tab/>
        <w:t>Kontraindikacijos</w:t>
      </w:r>
    </w:p>
    <w:p w14:paraId="2947A07C"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3BE47BDB"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Padidėjęs jautrumas veikliajai arba bet kuriai 6.1</w:t>
      </w:r>
      <w:r w:rsidR="005B74C3">
        <w:rPr>
          <w:rFonts w:ascii="Times New Roman" w:hAnsi="Times New Roman" w:cs="Times New Roman"/>
          <w:sz w:val="22"/>
          <w:szCs w:val="22"/>
          <w:lang w:val="it-IT"/>
        </w:rPr>
        <w:t> </w:t>
      </w:r>
      <w:r w:rsidRPr="000E27EC">
        <w:rPr>
          <w:rFonts w:ascii="Times New Roman" w:hAnsi="Times New Roman" w:cs="Times New Roman"/>
          <w:sz w:val="22"/>
          <w:szCs w:val="22"/>
          <w:lang w:val="it-IT"/>
        </w:rPr>
        <w:t>skyriuje nurodytai pagalbinei medžiagai.</w:t>
      </w:r>
    </w:p>
    <w:p w14:paraId="47704CF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3A4643E0"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lastRenderedPageBreak/>
        <w:t>4.4</w:t>
      </w:r>
      <w:r w:rsidRPr="000E27EC">
        <w:rPr>
          <w:rFonts w:ascii="Times New Roman" w:hAnsi="Times New Roman" w:cs="Times New Roman"/>
          <w:b/>
          <w:sz w:val="22"/>
          <w:szCs w:val="22"/>
          <w:lang w:val="it-IT"/>
        </w:rPr>
        <w:tab/>
        <w:t>Specialūs įspėjimai ir atsargumo priemonės</w:t>
      </w:r>
    </w:p>
    <w:p w14:paraId="34A6CA88"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7DB49B4B"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Bendrieji įspėjimai</w:t>
      </w:r>
    </w:p>
    <w:p w14:paraId="14B68EED"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3A95C52F"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Kartais AH išskiriantys hipofizės navikai gali didėti ir sukelti sunkių komplikacijų (pvz., akipločio defektų), dėl to svarbu atidžiai stebėti visų šių pacientų būklę. Jeigu atsiranda naviko didėjimą rodančių požymių, patariama keisti gydymo būdą. </w:t>
      </w:r>
    </w:p>
    <w:p w14:paraId="1EBA6090"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6F172889"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Sumažėjus augimo hormono (AH) kiekiui ir į insuliną panašaus augimo faktoriaus 1 (IAF-1) koncentracijai grįžus į normos ribas, akromegalija sergančioms moterims terapinė nauda gali pasireikšti atsinaujinusiu vaisingumu. Jeigu reikia, gydymo oktreotidu metu vaisingo amžiaus pacientėms reikia patarti naudoti tinkamą kontracepcijos metodą (žr. 4.6 skyrių).</w:t>
      </w:r>
    </w:p>
    <w:p w14:paraId="667B00C2"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17D90F63"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Pacientams, kuriems paskirtas ilgalaikis gydymas oktreotidu, reikia stebėti skydliaukės funkciją.</w:t>
      </w:r>
    </w:p>
    <w:p w14:paraId="7D2FF492"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33C67A4E"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Gydymo oktreotidu metu būtina stebėti kepenų funkciją.</w:t>
      </w:r>
    </w:p>
    <w:p w14:paraId="604EC026"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482E6C63"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Širdies ir kraujagyslių sistemos sutrikimai</w:t>
      </w:r>
    </w:p>
    <w:p w14:paraId="3800F219"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175484A6"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Pranešta apie pasireiškusius dažnus bradikardijos atvejus. Gali prireikti koreguoti tokių vaistinių preparatų, kaip beta adrenoblokatorių, kalcio kanalų blokatorių ar skysčių ir elektrolitų balansą reguliuojančių preparatų, dozę (žr. 4.5 skyrių).</w:t>
      </w:r>
    </w:p>
    <w:p w14:paraId="3EB708B1" w14:textId="77777777" w:rsidR="00987843" w:rsidRDefault="00987843" w:rsidP="00987843">
      <w:pPr>
        <w:widowControl w:val="0"/>
        <w:spacing w:after="0" w:line="240" w:lineRule="auto"/>
        <w:rPr>
          <w:rFonts w:ascii="Times New Roman" w:hAnsi="Times New Roman" w:cs="Times New Roman"/>
          <w:sz w:val="22"/>
          <w:szCs w:val="22"/>
          <w:lang w:val="it-IT"/>
        </w:rPr>
      </w:pPr>
    </w:p>
    <w:p w14:paraId="0ED537BC" w14:textId="77777777" w:rsidR="00987843" w:rsidRDefault="00987843" w:rsidP="00987843">
      <w:pPr>
        <w:widowControl w:val="0"/>
        <w:spacing w:after="0" w:line="240" w:lineRule="auto"/>
        <w:rPr>
          <w:rFonts w:ascii="Times New Roman" w:hAnsi="Times New Roman" w:cs="Times New Roman"/>
          <w:sz w:val="22"/>
          <w:szCs w:val="22"/>
          <w:lang w:val="it-IT"/>
        </w:rPr>
      </w:pPr>
      <w:r w:rsidRPr="00225D45">
        <w:rPr>
          <w:rFonts w:ascii="Times New Roman" w:hAnsi="Times New Roman" w:cs="Times New Roman"/>
          <w:sz w:val="22"/>
          <w:szCs w:val="22"/>
          <w:lang w:val="it-IT"/>
        </w:rPr>
        <w:t>Pacientams, kuriems buvo skiriamos didelės nepertraukiamos infuzijos dozės</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(100 mikrogramų per valandą), ir pacientams, kuriems oktreotido į veną buvo</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suleidžiama boliuso būdu (50 mikrogramų boliuso būdu, po to – 50 mikrogramų per</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valandą nepertraukiama infuzija), pasireiškė atrioventrikulinė blokada (įskaitant visišką</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atrioventrikulinę blokadą). Todėl negalima viršyti didžiausios 50 mikrogramų per</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valandą dozės (žr. 4.2 skyrių). Būtina stebėti pacientų, kuriems didelėmis dozėmis</w:t>
      </w:r>
      <w:r>
        <w:rPr>
          <w:rFonts w:ascii="Times New Roman" w:hAnsi="Times New Roman" w:cs="Times New Roman"/>
          <w:sz w:val="22"/>
          <w:szCs w:val="22"/>
          <w:lang w:val="it-IT"/>
        </w:rPr>
        <w:t xml:space="preserve"> </w:t>
      </w:r>
      <w:r w:rsidRPr="00225D45">
        <w:rPr>
          <w:rFonts w:ascii="Times New Roman" w:hAnsi="Times New Roman" w:cs="Times New Roman"/>
          <w:sz w:val="22"/>
          <w:szCs w:val="22"/>
          <w:lang w:val="it-IT"/>
        </w:rPr>
        <w:t>leidžiama į veną oktreotido, širdies funkciją.</w:t>
      </w:r>
    </w:p>
    <w:p w14:paraId="4BE581F2" w14:textId="77777777" w:rsidR="00987843" w:rsidRPr="000E27EC" w:rsidRDefault="00987843" w:rsidP="00E446F1">
      <w:pPr>
        <w:widowControl w:val="0"/>
        <w:spacing w:after="0" w:line="240" w:lineRule="auto"/>
        <w:rPr>
          <w:rFonts w:ascii="Times New Roman" w:hAnsi="Times New Roman" w:cs="Times New Roman"/>
          <w:sz w:val="22"/>
          <w:szCs w:val="22"/>
          <w:lang w:val="it-IT"/>
        </w:rPr>
      </w:pPr>
    </w:p>
    <w:p w14:paraId="3E3F17A8"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Tulžies pūslės ir susiję sutrikimai</w:t>
      </w:r>
    </w:p>
    <w:p w14:paraId="157B5EE0"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38F37EDB"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Cholelitiaz</w:t>
      </w:r>
      <w:r w:rsidRPr="000E27EC">
        <w:rPr>
          <w:rFonts w:ascii="Times New Roman" w:hAnsi="Times New Roman" w:cs="Times New Roman"/>
          <w:sz w:val="22"/>
          <w:szCs w:val="22"/>
          <w:lang w:val="lt-LT"/>
        </w:rPr>
        <w:t>ė labai dažnai pasireiškia gydant Sandostatin ir gali būti susijusi su cholecistitu bei tulžies latakų išsiplėtimu (žr. 4.8 skyrių).</w:t>
      </w:r>
      <w:r w:rsidR="00B75CB5" w:rsidRPr="00B75CB5">
        <w:t xml:space="preserve"> </w:t>
      </w:r>
      <w:r w:rsidR="00B75CB5" w:rsidRPr="00B75CB5">
        <w:rPr>
          <w:rFonts w:ascii="Times New Roman" w:hAnsi="Times New Roman" w:cs="Times New Roman"/>
          <w:sz w:val="22"/>
          <w:szCs w:val="22"/>
          <w:lang w:val="lt-LT"/>
        </w:rPr>
        <w:t xml:space="preserve">Be to, </w:t>
      </w:r>
      <w:r w:rsidR="00362E60">
        <w:rPr>
          <w:rFonts w:ascii="Times New Roman" w:hAnsi="Times New Roman" w:cs="Times New Roman"/>
          <w:sz w:val="22"/>
          <w:szCs w:val="22"/>
          <w:lang w:val="lt-LT"/>
        </w:rPr>
        <w:t xml:space="preserve">vaistinį preparatą pateikus į rinką </w:t>
      </w:r>
      <w:r w:rsidR="00B75CB5" w:rsidRPr="00B75CB5">
        <w:rPr>
          <w:rFonts w:ascii="Times New Roman" w:hAnsi="Times New Roman" w:cs="Times New Roman"/>
          <w:sz w:val="22"/>
          <w:szCs w:val="22"/>
          <w:lang w:val="lt-LT"/>
        </w:rPr>
        <w:t xml:space="preserve">buvo </w:t>
      </w:r>
      <w:r w:rsidR="00362E60">
        <w:rPr>
          <w:rFonts w:ascii="Times New Roman" w:hAnsi="Times New Roman" w:cs="Times New Roman"/>
          <w:sz w:val="22"/>
          <w:szCs w:val="22"/>
          <w:lang w:val="lt-LT"/>
        </w:rPr>
        <w:t>gauta pranešimų</w:t>
      </w:r>
      <w:r w:rsidR="00B75CB5" w:rsidRPr="00B75CB5">
        <w:rPr>
          <w:rFonts w:ascii="Times New Roman" w:hAnsi="Times New Roman" w:cs="Times New Roman"/>
          <w:sz w:val="22"/>
          <w:szCs w:val="22"/>
          <w:lang w:val="lt-LT"/>
        </w:rPr>
        <w:t xml:space="preserve"> apie </w:t>
      </w:r>
      <w:r w:rsidR="00362E60">
        <w:rPr>
          <w:rFonts w:ascii="Times New Roman" w:hAnsi="Times New Roman" w:cs="Times New Roman"/>
          <w:sz w:val="22"/>
          <w:szCs w:val="22"/>
          <w:lang w:val="lt-LT"/>
        </w:rPr>
        <w:t xml:space="preserve">pasireiškusius </w:t>
      </w:r>
      <w:r w:rsidR="00B75CB5" w:rsidRPr="00B75CB5">
        <w:rPr>
          <w:rFonts w:ascii="Times New Roman" w:hAnsi="Times New Roman" w:cs="Times New Roman"/>
          <w:sz w:val="22"/>
          <w:szCs w:val="22"/>
          <w:lang w:val="lt-LT"/>
        </w:rPr>
        <w:t>cholangito atvejus kaip cholelitiazės komplikaciją pacienta</w:t>
      </w:r>
      <w:r w:rsidR="00B75CB5">
        <w:rPr>
          <w:rFonts w:ascii="Times New Roman" w:hAnsi="Times New Roman" w:cs="Times New Roman"/>
          <w:sz w:val="22"/>
          <w:szCs w:val="22"/>
          <w:lang w:val="lt-LT"/>
        </w:rPr>
        <w:t>ms, vartojusiems Sandostatin</w:t>
      </w:r>
      <w:r w:rsidR="00B75CB5" w:rsidRPr="00B75CB5">
        <w:rPr>
          <w:rFonts w:ascii="Times New Roman" w:hAnsi="Times New Roman" w:cs="Times New Roman"/>
          <w:sz w:val="22"/>
          <w:szCs w:val="22"/>
          <w:lang w:val="lt-LT"/>
        </w:rPr>
        <w:t>.</w:t>
      </w:r>
      <w:r w:rsidRPr="000E27EC">
        <w:rPr>
          <w:rFonts w:ascii="Times New Roman" w:hAnsi="Times New Roman" w:cs="Times New Roman"/>
          <w:sz w:val="22"/>
          <w:szCs w:val="22"/>
          <w:lang w:val="it-IT"/>
        </w:rPr>
        <w:t xml:space="preserve"> Todėl gydymo Sandostatin metu rekomenduojama atlikti ultragarsinį tulžies pūslės tyrimą prieš pradedant vaistinio preparato vartojimą ir vėliau maždaug kas 6</w:t>
      </w:r>
      <w:r w:rsidRPr="000E27EC">
        <w:rPr>
          <w:rFonts w:ascii="Times New Roman" w:hAnsi="Times New Roman" w:cs="Times New Roman"/>
          <w:sz w:val="22"/>
          <w:szCs w:val="22"/>
          <w:lang w:val="it-IT"/>
        </w:rPr>
        <w:noBreakHyphen/>
        <w:t xml:space="preserve">12 mėnesių. </w:t>
      </w:r>
    </w:p>
    <w:p w14:paraId="70567C56"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40ECD4D8"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Skrandžio, žarnyno, kasos endokrininiai navikai</w:t>
      </w:r>
    </w:p>
    <w:p w14:paraId="58AE47FF"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310CE033"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gydant skrandžio, žarnyno, kasos endokrininiais navikais sergančius pacientus, retais atvejais gali staiga pablogėti ligos simptomų kontrolė ir greitai atsinaujinti sunkių simptomų. Nutraukus gydymą ligos simptomai gali pasunkėti ar atsinaujinti.</w:t>
      </w:r>
    </w:p>
    <w:p w14:paraId="5601C0D8"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1C5000C7"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Gliukozės metabolizmas</w:t>
      </w:r>
    </w:p>
    <w:p w14:paraId="443A91C2" w14:textId="77777777" w:rsidR="00E446F1" w:rsidRPr="000E27EC" w:rsidRDefault="00E446F1" w:rsidP="00E446F1">
      <w:pPr>
        <w:keepNext/>
        <w:widowControl w:val="0"/>
        <w:spacing w:after="0" w:line="240" w:lineRule="auto"/>
        <w:rPr>
          <w:rFonts w:ascii="Times New Roman" w:hAnsi="Times New Roman" w:cs="Times New Roman"/>
          <w:sz w:val="22"/>
          <w:szCs w:val="22"/>
          <w:lang w:val="it-IT"/>
        </w:rPr>
      </w:pPr>
    </w:p>
    <w:p w14:paraId="15F6938D"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Dėl slopinančio poveikio augimo hormonui, gliukagonui ir insulinui Sandostatin gali įtakoti gliukozės apykaitą. Gali sutrikti gliukozės tolerancija po valgio, ir kai kuriais atvejais ilgalaikis vaistinio preparato vartojimas gali sukelti pastovios hiperglikemijos būklę. Taip pat pranešta apie hipoglikemijos atvejus.</w:t>
      </w:r>
    </w:p>
    <w:p w14:paraId="2F87340F"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70E4E0E3"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Insulinoma sergantiems pacientams oktreotidas AH ir gliukagono sekreciją slopina santykinai stipriau negu insulino sekreciją, taip pat trumpiau slopina insulino veikimą, todėl šiems pacientams gali sukelti didesnio laipsnio ir ilgiau trunkančią hipoglikemiją. Šių pacientų būklę pradedant gydymą Sandostatin bei kiekvieną kartą keičiant dozavimą reikia atidžiai stebėti. Reikšmingus gliukozės koncentracijos kraujyje pokyčius galbūt galima sumažinti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vartojant dažniau, bet mažesnę dozę.</w:t>
      </w:r>
    </w:p>
    <w:p w14:paraId="17946292"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3296497D"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lastRenderedPageBreak/>
        <w:t>1 tipo cukriniu diabetu sergantiems pacientams paskyrus Sandostatin, gali sumažėti insulino poreikis. Diabetu nesergantiems asmenims arba 2 tipo cukriniu diabetu sergantiems pacientams, kurių insulino rezervas iš dalies nepakitęs, vartojant Sandostatin, gali padidėti glikemija po valgio. Todėl rekomenduojama stebėti gliukozės toleranciją ir koreguoti gydymą nuo diabeto.</w:t>
      </w:r>
    </w:p>
    <w:p w14:paraId="4A8E2111"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49976F27"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Stemplės venų varikozė</w:t>
      </w:r>
    </w:p>
    <w:p w14:paraId="51900D2C" w14:textId="77777777" w:rsidR="00E446F1" w:rsidRPr="000E27EC" w:rsidRDefault="00E446F1" w:rsidP="00E446F1">
      <w:pPr>
        <w:keepNext/>
        <w:widowControl w:val="0"/>
        <w:spacing w:after="0" w:line="240" w:lineRule="auto"/>
        <w:rPr>
          <w:rFonts w:ascii="Times New Roman" w:hAnsi="Times New Roman" w:cs="Times New Roman"/>
          <w:sz w:val="22"/>
          <w:szCs w:val="22"/>
          <w:u w:val="single"/>
          <w:lang w:val="it-IT"/>
        </w:rPr>
      </w:pPr>
    </w:p>
    <w:p w14:paraId="1E56414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Kadangi po kraujavimo iš varikozinių stemplės venų gali dažniau atsirasti nuo insulino priklausomas cukrinis diabetas ar šia liga jau sergantiems ligoniams pakisti insulino poreikis, būtina tinkamai stebėti gliukozės kiekį kraujyje.</w:t>
      </w:r>
    </w:p>
    <w:p w14:paraId="6E140B86"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120B0ABE"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Vartojimo vietos reakcijos</w:t>
      </w:r>
    </w:p>
    <w:p w14:paraId="4CA7E6A0" w14:textId="77777777" w:rsidR="00E446F1" w:rsidRPr="000E27EC" w:rsidRDefault="00E446F1" w:rsidP="00E446F1">
      <w:pPr>
        <w:keepNext/>
        <w:widowControl w:val="0"/>
        <w:spacing w:after="0" w:line="240" w:lineRule="auto"/>
        <w:rPr>
          <w:rFonts w:ascii="Times New Roman" w:hAnsi="Times New Roman" w:cs="Times New Roman"/>
          <w:sz w:val="22"/>
          <w:szCs w:val="22"/>
          <w:u w:val="single"/>
          <w:lang w:val="it-IT"/>
        </w:rPr>
      </w:pPr>
    </w:p>
    <w:p w14:paraId="60476C87"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52 savaičių trukmės toksinio poveikio tyrimo su žiurkėmis duomenimis, didžiausios vaistinio preparato dozės (maždaug 8 kartus didesnės už didžiausią rekomenduojamą žmogui dozę pagal kūno paviršiaus plotą) injekcijos po oda vietoje atsirado sarkomų (dažniausiai patinams). 52 savaičių trukmės toksinio poveikio tyrimo su šunimis metu injekcijos po oda vietoje audinių hiperplazijos ar neoplazijos atvejų nepastebėta. Žmonėms, vartojusiems Sandostatin net iki 15 metų, navikų susidarymo injekcijos vietose atvejų nenustatyta. Remiantis visa iki šiol turima informacija daroma išvada, kad žiurkėms atsiradę pokyčiai yra specifiniai šiai gyvūnų rūšiai ir neturi reikšmės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skiriant žmonėms (žr. 5.3 skyrių).</w:t>
      </w:r>
    </w:p>
    <w:p w14:paraId="2F1B602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48452564" w14:textId="77777777" w:rsidR="00E446F1" w:rsidRPr="000E27EC" w:rsidRDefault="00E446F1" w:rsidP="00E446F1">
      <w:pPr>
        <w:keepNext/>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Mityba</w:t>
      </w:r>
    </w:p>
    <w:p w14:paraId="1FB84A04"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7BFC4960"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Kai kuriems pacientams oktreotidas gali sutrikdyti maisto riebalų absorbciją.</w:t>
      </w:r>
    </w:p>
    <w:p w14:paraId="1897E47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16251F39"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Kai kuriems oktreotidu gydytiems pacientams stebėtas vitamino B12 koncentracijos sumažėjimas ir pakitę Šilingo testų rezultatai. Pacientams, kuriems anksčiau yra buvęs vitamino B12 trūkumas, gydymo Sandostatin metu rekomenduojama tirti vitamino B12 koncentraciją.</w:t>
      </w:r>
    </w:p>
    <w:p w14:paraId="292B8DB3" w14:textId="48B3E398" w:rsidR="00E446F1" w:rsidRDefault="00E446F1" w:rsidP="00E446F1">
      <w:pPr>
        <w:widowControl w:val="0"/>
        <w:spacing w:after="0" w:line="240" w:lineRule="auto"/>
        <w:rPr>
          <w:rFonts w:ascii="Times New Roman" w:hAnsi="Times New Roman" w:cs="Times New Roman"/>
          <w:sz w:val="22"/>
          <w:szCs w:val="22"/>
          <w:u w:val="single"/>
          <w:lang w:val="it-IT"/>
        </w:rPr>
      </w:pPr>
    </w:p>
    <w:p w14:paraId="324D3C64" w14:textId="77777777" w:rsidR="002F45EE" w:rsidRPr="002F45EE" w:rsidRDefault="002F45EE" w:rsidP="002F45EE">
      <w:pPr>
        <w:widowControl w:val="0"/>
        <w:spacing w:after="0" w:line="240" w:lineRule="auto"/>
        <w:rPr>
          <w:rFonts w:ascii="Times New Roman" w:hAnsi="Times New Roman" w:cs="Times New Roman"/>
          <w:sz w:val="22"/>
          <w:szCs w:val="22"/>
          <w:u w:val="single"/>
          <w:lang w:val="it-IT"/>
        </w:rPr>
      </w:pPr>
      <w:r w:rsidRPr="002F45EE">
        <w:rPr>
          <w:rFonts w:ascii="Times New Roman" w:hAnsi="Times New Roman" w:cs="Times New Roman"/>
          <w:sz w:val="22"/>
          <w:szCs w:val="22"/>
          <w:u w:val="single"/>
          <w:lang w:val="it-IT"/>
        </w:rPr>
        <w:t>Kasos funkcija</w:t>
      </w:r>
    </w:p>
    <w:p w14:paraId="58129D12" w14:textId="77777777" w:rsidR="002F45EE" w:rsidRPr="002F45EE" w:rsidRDefault="002F45EE" w:rsidP="002F45EE">
      <w:pPr>
        <w:widowControl w:val="0"/>
        <w:spacing w:after="0" w:line="240" w:lineRule="auto"/>
        <w:rPr>
          <w:rFonts w:ascii="Times New Roman" w:hAnsi="Times New Roman" w:cs="Times New Roman"/>
          <w:sz w:val="22"/>
          <w:szCs w:val="22"/>
          <w:u w:val="single"/>
          <w:lang w:val="it-IT"/>
        </w:rPr>
      </w:pPr>
    </w:p>
    <w:p w14:paraId="382F1463" w14:textId="5D20A616" w:rsidR="002F45EE" w:rsidRPr="002F45EE" w:rsidRDefault="002F45EE" w:rsidP="002F45EE">
      <w:pPr>
        <w:widowControl w:val="0"/>
        <w:spacing w:after="0" w:line="240" w:lineRule="auto"/>
        <w:rPr>
          <w:rFonts w:ascii="Times New Roman" w:hAnsi="Times New Roman" w:cs="Times New Roman"/>
          <w:sz w:val="22"/>
          <w:szCs w:val="22"/>
          <w:lang w:val="it-IT"/>
        </w:rPr>
      </w:pPr>
      <w:r w:rsidRPr="002F45EE">
        <w:rPr>
          <w:rFonts w:ascii="Times New Roman" w:hAnsi="Times New Roman" w:cs="Times New Roman"/>
          <w:sz w:val="22"/>
          <w:szCs w:val="22"/>
          <w:lang w:val="it-IT"/>
        </w:rPr>
        <w:t>Kai kuriems pacientams, kuriems buvo taikomas gastroenteropankreatinių neuroendokrininių navikų gydymas oktreotidu, nustatytas kasos egzokrininės funkcijos nepakankamumas (KEFN). KEFN gali pasireikšti steatorėja, išmatų suskystėjimu, pilvo pūtimu ir svorio mažėjimu. Reikia apsvarstyti galimybę pacientams, kuriems pasireiškia KEFN simptomai, atlikti tyrimus dėl šio sutrikimo ir paskirti atitinkamą gydymą pagal klinikines gaires.</w:t>
      </w:r>
    </w:p>
    <w:p w14:paraId="5A483F02" w14:textId="77777777" w:rsidR="002F45EE" w:rsidRPr="000E27EC" w:rsidRDefault="002F45EE" w:rsidP="00E446F1">
      <w:pPr>
        <w:widowControl w:val="0"/>
        <w:spacing w:after="0" w:line="240" w:lineRule="auto"/>
        <w:rPr>
          <w:rFonts w:ascii="Times New Roman" w:hAnsi="Times New Roman" w:cs="Times New Roman"/>
          <w:sz w:val="22"/>
          <w:szCs w:val="22"/>
          <w:u w:val="single"/>
          <w:lang w:val="it-IT"/>
        </w:rPr>
      </w:pPr>
    </w:p>
    <w:p w14:paraId="06E7C427" w14:textId="77777777" w:rsidR="00E446F1" w:rsidRPr="000E27EC" w:rsidRDefault="00E446F1" w:rsidP="00E446F1">
      <w:pPr>
        <w:widowControl w:val="0"/>
        <w:spacing w:after="0" w:line="240" w:lineRule="auto"/>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t>Natrio kiekis</w:t>
      </w:r>
    </w:p>
    <w:p w14:paraId="045CC185" w14:textId="77777777" w:rsidR="00E446F1" w:rsidRPr="000E27EC" w:rsidRDefault="00E446F1" w:rsidP="00E446F1">
      <w:pPr>
        <w:widowControl w:val="0"/>
        <w:spacing w:after="0" w:line="240" w:lineRule="auto"/>
        <w:rPr>
          <w:rFonts w:ascii="Times New Roman" w:hAnsi="Times New Roman" w:cs="Times New Roman"/>
          <w:sz w:val="22"/>
          <w:szCs w:val="22"/>
          <w:lang w:val="it-IT"/>
        </w:rPr>
      </w:pPr>
    </w:p>
    <w:p w14:paraId="7578CB61"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Vienoje Sandostatin </w:t>
      </w:r>
      <w:r w:rsidR="00641FEA">
        <w:rPr>
          <w:rFonts w:ascii="Times New Roman" w:hAnsi="Times New Roman" w:cs="Times New Roman"/>
          <w:sz w:val="22"/>
          <w:szCs w:val="22"/>
          <w:lang w:val="it-IT"/>
        </w:rPr>
        <w:t>ampulėje</w:t>
      </w:r>
      <w:r w:rsidR="00641FEA" w:rsidRPr="000E27EC">
        <w:rPr>
          <w:rFonts w:ascii="Times New Roman" w:hAnsi="Times New Roman" w:cs="Times New Roman"/>
          <w:sz w:val="22"/>
          <w:szCs w:val="22"/>
          <w:lang w:val="it-IT"/>
        </w:rPr>
        <w:t xml:space="preserve"> </w:t>
      </w:r>
      <w:r w:rsidRPr="000E27EC">
        <w:rPr>
          <w:rFonts w:ascii="Times New Roman" w:hAnsi="Times New Roman" w:cs="Times New Roman"/>
          <w:sz w:val="22"/>
          <w:szCs w:val="22"/>
          <w:lang w:val="it-IT"/>
        </w:rPr>
        <w:t>yra mažiau kaip 1 mmol (23 mg) natrio, t.</w:t>
      </w:r>
      <w:r w:rsidR="00362E60">
        <w:rPr>
          <w:rFonts w:ascii="Times New Roman" w:hAnsi="Times New Roman" w:cs="Times New Roman"/>
          <w:sz w:val="22"/>
          <w:szCs w:val="22"/>
          <w:lang w:val="it-IT"/>
        </w:rPr>
        <w:t> </w:t>
      </w:r>
      <w:r w:rsidRPr="000E27EC">
        <w:rPr>
          <w:rFonts w:ascii="Times New Roman" w:hAnsi="Times New Roman" w:cs="Times New Roman"/>
          <w:sz w:val="22"/>
          <w:szCs w:val="22"/>
          <w:lang w:val="it-IT"/>
        </w:rPr>
        <w:t>y. jis beveik neturi reikšmės.</w:t>
      </w:r>
    </w:p>
    <w:p w14:paraId="361F2DB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6528B70A"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4.5</w:t>
      </w:r>
      <w:r w:rsidRPr="000E27EC">
        <w:rPr>
          <w:rFonts w:ascii="Times New Roman" w:hAnsi="Times New Roman" w:cs="Times New Roman"/>
          <w:b/>
          <w:sz w:val="22"/>
          <w:szCs w:val="22"/>
          <w:lang w:val="it-IT"/>
        </w:rPr>
        <w:tab/>
        <w:t>Sąveika su kitais vaistiniais preparatais ir kitokia sąveika</w:t>
      </w:r>
    </w:p>
    <w:p w14:paraId="6602EF5E"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19A5E934"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Vartojant kartu su Sandostatin gali prireikti koreguoti tokių vaistinių preparatų, kaip beta adrenoblokatorių, kalcio kanalų blokatorių ar skysčių ir elektrolitų balansą reguliuojančių preparatų, dozę (žr. 4.4 skyrių).</w:t>
      </w:r>
    </w:p>
    <w:p w14:paraId="0CF033A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75F962C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Vartojant kartu su Sandostatin gali prireikti koreguoti insulino ir vaistinių preparatų nuo diabeto dozę (žr. 4.4 skyrių).</w:t>
      </w:r>
    </w:p>
    <w:p w14:paraId="7B4E79F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0CA95897"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Nustatyta, kad Sandostatin mažina ciklosporino ir lėtina cimetidino absorbciją žarnyne.</w:t>
      </w:r>
    </w:p>
    <w:p w14:paraId="57B84F5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4C82560"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Kartu vartojant oktreotido ir bromokriptino, padidėja pastarojo biologinis prieinamumas. </w:t>
      </w:r>
    </w:p>
    <w:p w14:paraId="1D4EC83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264A95E" w14:textId="77777777" w:rsidR="00E446F1" w:rsidRDefault="00E446F1" w:rsidP="00E446F1">
      <w:pPr>
        <w:widowControl w:val="0"/>
        <w:tabs>
          <w:tab w:val="left" w:pos="720"/>
        </w:tabs>
        <w:spacing w:after="0" w:line="240" w:lineRule="auto"/>
        <w:rPr>
          <w:rFonts w:ascii="Times New Roman" w:hAnsi="Times New Roman" w:cs="Times New Roman"/>
          <w:sz w:val="22"/>
          <w:szCs w:val="22"/>
          <w:lang w:val="es-ES"/>
        </w:rPr>
      </w:pPr>
      <w:r w:rsidRPr="000E27EC">
        <w:rPr>
          <w:rFonts w:ascii="Times New Roman" w:hAnsi="Times New Roman" w:cs="Times New Roman"/>
          <w:sz w:val="22"/>
          <w:szCs w:val="22"/>
          <w:lang w:val="es-ES"/>
        </w:rPr>
        <w:t xml:space="preserve">Paskelbta nedaug duomenų, rodančių, kad somatostatino analogai gali mažinti citochromo P450 fermentų metabolizuojamų medžiagų metabolinį klirensą, o tai gali būti dėl augimo hormono </w:t>
      </w:r>
      <w:r w:rsidRPr="000E27EC">
        <w:rPr>
          <w:rFonts w:ascii="Times New Roman" w:hAnsi="Times New Roman" w:cs="Times New Roman"/>
          <w:sz w:val="22"/>
          <w:szCs w:val="22"/>
          <w:lang w:val="es-ES"/>
        </w:rPr>
        <w:lastRenderedPageBreak/>
        <w:t>slopinimo. Kadangi negalima paneigti tokio oktreotido poveikio, kitų vaistinių preparatų, kuriuos daugiausia metabolizuoja CYP3A4 ir kurie pasižymi siauru terapiniu indeksu (pvz., chinidino, terfenadino), vartoti kartu reikia atsargiai.</w:t>
      </w:r>
    </w:p>
    <w:p w14:paraId="1AC279DB" w14:textId="77777777" w:rsidR="007201EF" w:rsidRDefault="007201EF" w:rsidP="00E446F1">
      <w:pPr>
        <w:widowControl w:val="0"/>
        <w:tabs>
          <w:tab w:val="left" w:pos="720"/>
        </w:tabs>
        <w:spacing w:after="0" w:line="240" w:lineRule="auto"/>
        <w:rPr>
          <w:rFonts w:ascii="Times New Roman" w:eastAsia="Calibri" w:hAnsi="Times New Roman" w:cs="Times New Roman"/>
          <w:sz w:val="22"/>
          <w:szCs w:val="22"/>
          <w:lang w:val="es-ES"/>
        </w:rPr>
      </w:pPr>
    </w:p>
    <w:p w14:paraId="31C98008" w14:textId="77777777" w:rsidR="000062BC" w:rsidRPr="000062BC" w:rsidRDefault="000062BC" w:rsidP="000062BC">
      <w:pPr>
        <w:widowControl w:val="0"/>
        <w:spacing w:after="0" w:line="240" w:lineRule="auto"/>
        <w:rPr>
          <w:rFonts w:ascii="Times New Roman" w:eastAsia="Calibri" w:hAnsi="Times New Roman" w:cs="Times New Roman"/>
          <w:sz w:val="22"/>
          <w:szCs w:val="22"/>
          <w:u w:val="single"/>
          <w:lang w:val="es-ES" w:bidi="lt-LT"/>
        </w:rPr>
      </w:pPr>
      <w:r w:rsidRPr="000062BC">
        <w:rPr>
          <w:rFonts w:ascii="Times New Roman" w:eastAsia="Calibri" w:hAnsi="Times New Roman" w:cs="Times New Roman"/>
          <w:sz w:val="22"/>
          <w:szCs w:val="22"/>
          <w:u w:val="single"/>
          <w:lang w:val="es-ES" w:bidi="lt-LT"/>
        </w:rPr>
        <w:t>Kartu vartojami radioaktyv</w:t>
      </w:r>
      <w:r w:rsidRPr="000062BC">
        <w:rPr>
          <w:rFonts w:ascii="Times New Roman" w:eastAsia="Calibri" w:hAnsi="Times New Roman" w:cs="Times New Roman"/>
          <w:sz w:val="22"/>
          <w:szCs w:val="22"/>
          <w:u w:val="single"/>
          <w:lang w:bidi="lt-LT"/>
        </w:rPr>
        <w:t xml:space="preserve">ūs </w:t>
      </w:r>
      <w:r w:rsidRPr="000062BC">
        <w:rPr>
          <w:rFonts w:ascii="Times New Roman" w:eastAsia="Calibri" w:hAnsi="Times New Roman" w:cs="Times New Roman"/>
          <w:sz w:val="22"/>
          <w:szCs w:val="22"/>
          <w:u w:val="single"/>
          <w:lang w:val="es-ES" w:bidi="lt-LT"/>
        </w:rPr>
        <w:t>somatostatino analogai</w:t>
      </w:r>
    </w:p>
    <w:p w14:paraId="1A417299" w14:textId="77777777" w:rsidR="000062BC" w:rsidRPr="000062BC" w:rsidRDefault="000062BC" w:rsidP="000062BC">
      <w:pPr>
        <w:widowControl w:val="0"/>
        <w:spacing w:after="0" w:line="240" w:lineRule="auto"/>
        <w:rPr>
          <w:rFonts w:ascii="Times New Roman" w:eastAsia="Calibri" w:hAnsi="Times New Roman" w:cs="Times New Roman"/>
          <w:sz w:val="22"/>
          <w:szCs w:val="22"/>
          <w:u w:val="single"/>
        </w:rPr>
      </w:pPr>
    </w:p>
    <w:p w14:paraId="5BD61A31" w14:textId="77777777" w:rsidR="000062BC" w:rsidRPr="000062BC" w:rsidRDefault="000062BC" w:rsidP="000062BC">
      <w:pPr>
        <w:widowControl w:val="0"/>
        <w:spacing w:after="0" w:line="240" w:lineRule="auto"/>
        <w:rPr>
          <w:rFonts w:ascii="Times New Roman" w:eastAsia="Calibri" w:hAnsi="Times New Roman" w:cs="Times New Roman"/>
          <w:sz w:val="22"/>
          <w:szCs w:val="22"/>
        </w:rPr>
      </w:pPr>
      <w:r w:rsidRPr="000062BC">
        <w:rPr>
          <w:rFonts w:ascii="Times New Roman" w:eastAsia="Calibri" w:hAnsi="Times New Roman" w:cs="Times New Roman"/>
          <w:sz w:val="22"/>
          <w:szCs w:val="22"/>
        </w:rPr>
        <w:t xml:space="preserve">Somatostatinas ir </w:t>
      </w:r>
      <w:proofErr w:type="gramStart"/>
      <w:r w:rsidRPr="000062BC">
        <w:rPr>
          <w:rFonts w:ascii="Times New Roman" w:eastAsia="Calibri" w:hAnsi="Times New Roman" w:cs="Times New Roman"/>
          <w:sz w:val="22"/>
          <w:szCs w:val="22"/>
        </w:rPr>
        <w:t>jo</w:t>
      </w:r>
      <w:proofErr w:type="gramEnd"/>
      <w:r w:rsidRPr="000062BC">
        <w:rPr>
          <w:rFonts w:ascii="Times New Roman" w:eastAsia="Calibri" w:hAnsi="Times New Roman" w:cs="Times New Roman"/>
          <w:sz w:val="22"/>
          <w:szCs w:val="22"/>
        </w:rPr>
        <w:t xml:space="preserve"> analogai konkurenciniu būdu prisijungia prie </w:t>
      </w:r>
      <w:r w:rsidRPr="000062BC">
        <w:rPr>
          <w:rFonts w:ascii="Times New Roman" w:eastAsia="Calibri" w:hAnsi="Times New Roman" w:cs="Times New Roman"/>
          <w:sz w:val="22"/>
          <w:szCs w:val="22"/>
          <w:lang w:val="es-ES" w:bidi="lt-LT"/>
        </w:rPr>
        <w:t>somatostatino receptorių, todėl gali įtakoti</w:t>
      </w:r>
      <w:r w:rsidRPr="000062BC">
        <w:rPr>
          <w:rFonts w:ascii="Times New Roman" w:eastAsia="Calibri" w:hAnsi="Times New Roman" w:cs="Times New Roman"/>
          <w:sz w:val="22"/>
          <w:szCs w:val="22"/>
        </w:rPr>
        <w:t xml:space="preserve"> radioaktyvių somatostatino analogų veiksmingumą. </w:t>
      </w:r>
    </w:p>
    <w:p w14:paraId="3FB7B5FF" w14:textId="77777777" w:rsidR="000062BC" w:rsidRPr="000062BC" w:rsidRDefault="000062BC" w:rsidP="000062BC">
      <w:pPr>
        <w:widowControl w:val="0"/>
        <w:spacing w:after="0" w:line="240" w:lineRule="auto"/>
        <w:rPr>
          <w:rFonts w:ascii="Times New Roman" w:eastAsia="Calibri" w:hAnsi="Times New Roman" w:cs="Times New Roman"/>
          <w:sz w:val="22"/>
          <w:szCs w:val="22"/>
          <w:lang w:val="es-ES"/>
        </w:rPr>
      </w:pPr>
      <w:r w:rsidRPr="000062BC">
        <w:rPr>
          <w:rFonts w:ascii="Times New Roman" w:eastAsia="Calibri" w:hAnsi="Times New Roman" w:cs="Times New Roman"/>
          <w:sz w:val="22"/>
          <w:szCs w:val="22"/>
        </w:rPr>
        <w:t>R</w:t>
      </w:r>
      <w:r w:rsidRPr="000062BC">
        <w:rPr>
          <w:rFonts w:ascii="Times New Roman" w:eastAsia="Calibri" w:hAnsi="Times New Roman" w:cs="Times New Roman"/>
          <w:sz w:val="22"/>
          <w:szCs w:val="22"/>
          <w:lang w:bidi="lt-LT"/>
        </w:rPr>
        <w:t xml:space="preserve">eikia vengti skirti Sandostatin </w:t>
      </w:r>
      <w:r w:rsidRPr="000062BC">
        <w:rPr>
          <w:rFonts w:ascii="Times New Roman" w:eastAsia="Calibri" w:hAnsi="Times New Roman" w:cs="Times New Roman"/>
          <w:sz w:val="22"/>
          <w:szCs w:val="22"/>
        </w:rPr>
        <w:t>likus 24</w:t>
      </w:r>
      <w:r w:rsidRPr="000062BC">
        <w:rPr>
          <w:rFonts w:ascii="Times New Roman" w:eastAsia="Calibri" w:hAnsi="Times New Roman" w:cs="Times New Roman"/>
          <w:sz w:val="22"/>
          <w:szCs w:val="22"/>
          <w:lang w:bidi="lt-LT"/>
        </w:rPr>
        <w:t> </w:t>
      </w:r>
      <w:r w:rsidRPr="000062BC">
        <w:rPr>
          <w:rFonts w:ascii="Times New Roman" w:eastAsia="Calibri" w:hAnsi="Times New Roman" w:cs="Times New Roman"/>
          <w:sz w:val="22"/>
          <w:szCs w:val="22"/>
        </w:rPr>
        <w:t>valandoms iki</w:t>
      </w:r>
      <w:r w:rsidRPr="000062BC">
        <w:rPr>
          <w:rFonts w:ascii="Times New Roman" w:eastAsia="Calibri" w:hAnsi="Times New Roman" w:cs="Times New Roman"/>
          <w:sz w:val="22"/>
          <w:szCs w:val="22"/>
          <w:lang w:bidi="lt-LT"/>
        </w:rPr>
        <w:t xml:space="preserve"> r</w:t>
      </w:r>
      <w:r w:rsidRPr="000062BC">
        <w:rPr>
          <w:rFonts w:ascii="Times New Roman" w:eastAsia="Calibri" w:hAnsi="Times New Roman" w:cs="Times New Roman"/>
          <w:sz w:val="22"/>
          <w:szCs w:val="22"/>
          <w:lang w:val="es-ES"/>
        </w:rPr>
        <w:t>adiofarmacinio preparato</w:t>
      </w:r>
      <w:r w:rsidRPr="000062BC">
        <w:rPr>
          <w:rFonts w:ascii="Times New Roman" w:eastAsia="Calibri" w:hAnsi="Times New Roman" w:cs="Times New Roman"/>
          <w:sz w:val="22"/>
          <w:szCs w:val="22"/>
          <w:lang w:bidi="lt-LT"/>
        </w:rPr>
        <w:t xml:space="preserve"> liutecio (</w:t>
      </w:r>
      <w:r w:rsidRPr="000062BC">
        <w:rPr>
          <w:rFonts w:ascii="Times New Roman" w:eastAsia="Calibri" w:hAnsi="Times New Roman" w:cs="Times New Roman"/>
          <w:sz w:val="22"/>
          <w:szCs w:val="22"/>
          <w:vertAlign w:val="superscript"/>
          <w:lang w:bidi="lt-LT"/>
        </w:rPr>
        <w:t>177</w:t>
      </w:r>
      <w:r w:rsidRPr="000062BC">
        <w:rPr>
          <w:rFonts w:ascii="Times New Roman" w:eastAsia="Calibri" w:hAnsi="Times New Roman" w:cs="Times New Roman"/>
          <w:sz w:val="22"/>
          <w:szCs w:val="22"/>
          <w:lang w:bidi="lt-LT"/>
        </w:rPr>
        <w:t xml:space="preserve">Lu) oksodotreotido, </w:t>
      </w:r>
      <w:r w:rsidRPr="000062BC">
        <w:rPr>
          <w:rFonts w:ascii="Times New Roman" w:eastAsia="Calibri" w:hAnsi="Times New Roman" w:cs="Times New Roman"/>
          <w:sz w:val="22"/>
          <w:szCs w:val="22"/>
          <w:lang w:val="es-ES"/>
        </w:rPr>
        <w:t>kuris jungiasi prie somatostatino receptori</w:t>
      </w:r>
      <w:r w:rsidRPr="000062BC">
        <w:rPr>
          <w:rFonts w:ascii="Times New Roman" w:eastAsia="Calibri" w:hAnsi="Times New Roman" w:cs="Times New Roman"/>
          <w:sz w:val="22"/>
          <w:szCs w:val="22"/>
        </w:rPr>
        <w:t>ų, skyrim</w:t>
      </w:r>
      <w:r>
        <w:rPr>
          <w:rFonts w:ascii="Times New Roman" w:eastAsia="Calibri" w:hAnsi="Times New Roman" w:cs="Times New Roman"/>
          <w:sz w:val="22"/>
          <w:szCs w:val="22"/>
        </w:rPr>
        <w:t>o</w:t>
      </w:r>
      <w:r w:rsidRPr="000062BC">
        <w:rPr>
          <w:rFonts w:ascii="Times New Roman" w:eastAsia="Calibri" w:hAnsi="Times New Roman" w:cs="Times New Roman"/>
          <w:sz w:val="22"/>
          <w:szCs w:val="22"/>
        </w:rPr>
        <w:t>.</w:t>
      </w:r>
    </w:p>
    <w:p w14:paraId="05CDDC92" w14:textId="77777777" w:rsidR="007201EF" w:rsidRPr="000062BC" w:rsidRDefault="007201EF" w:rsidP="00E446F1">
      <w:pPr>
        <w:widowControl w:val="0"/>
        <w:tabs>
          <w:tab w:val="left" w:pos="720"/>
        </w:tabs>
        <w:spacing w:after="0" w:line="240" w:lineRule="auto"/>
        <w:rPr>
          <w:rFonts w:ascii="Times New Roman" w:eastAsia="Calibri" w:hAnsi="Times New Roman" w:cs="Times New Roman"/>
          <w:sz w:val="22"/>
          <w:szCs w:val="22"/>
          <w:lang w:val="es-ES"/>
        </w:rPr>
      </w:pPr>
    </w:p>
    <w:p w14:paraId="459373D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4D04F7B"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4.6</w:t>
      </w:r>
      <w:r w:rsidRPr="000E27EC">
        <w:rPr>
          <w:rFonts w:ascii="Times New Roman" w:hAnsi="Times New Roman" w:cs="Times New Roman"/>
          <w:b/>
          <w:sz w:val="22"/>
          <w:szCs w:val="22"/>
          <w:lang w:val="es-ES"/>
        </w:rPr>
        <w:tab/>
        <w:t>Vaisingumas, nėštumo ir žindymo laikotarpis</w:t>
      </w:r>
    </w:p>
    <w:p w14:paraId="068600FF"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5DE0EBE9"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Nėštumas</w:t>
      </w:r>
    </w:p>
    <w:p w14:paraId="18C7291B"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2B80B40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Duomenų apie oktreotido vartojimą nėštumo metu nepakanka (duomenų yra mažiau kaip apie 300 nėštumų baigčių), o maždaug trečdaliu atvejų nėštumo baigtys nežinomos. Dauguma pranešimų apie oktreotido vartojimą nėštumo metu gauti po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es-ES"/>
        </w:rPr>
        <w:t>pate</w:t>
      </w:r>
      <w:r w:rsidR="00C9435D">
        <w:rPr>
          <w:rFonts w:ascii="Times New Roman" w:hAnsi="Times New Roman" w:cs="Times New Roman"/>
          <w:sz w:val="22"/>
          <w:szCs w:val="22"/>
          <w:lang w:val="es-ES"/>
        </w:rPr>
        <w:t>i</w:t>
      </w:r>
      <w:r w:rsidRPr="000E27EC">
        <w:rPr>
          <w:rFonts w:ascii="Times New Roman" w:hAnsi="Times New Roman" w:cs="Times New Roman"/>
          <w:sz w:val="22"/>
          <w:szCs w:val="22"/>
          <w:lang w:val="es-ES"/>
        </w:rPr>
        <w:t>kimo į rinką, o daugiau kaip 50 % atvejų vaistinio preparato nėštumo metu vartojo akromegalija sergančios pacientės. Dauguma moterų oktreotido vartojo pirmuoju nėštumo trimestru, o buvo vartotos 100</w:t>
      </w:r>
      <w:r w:rsidRPr="000E27EC">
        <w:rPr>
          <w:rFonts w:ascii="Times New Roman" w:hAnsi="Times New Roman" w:cs="Times New Roman"/>
          <w:sz w:val="22"/>
          <w:szCs w:val="22"/>
          <w:lang w:val="es-ES"/>
        </w:rPr>
        <w:noBreakHyphen/>
        <w:t>1200 mikrogramų per parą po oda leidžiamo Sandostatin dozės arba 10</w:t>
      </w:r>
      <w:r w:rsidRPr="000E27EC">
        <w:rPr>
          <w:rFonts w:ascii="Times New Roman" w:hAnsi="Times New Roman" w:cs="Times New Roman"/>
          <w:sz w:val="22"/>
          <w:szCs w:val="22"/>
          <w:lang w:val="es-ES"/>
        </w:rPr>
        <w:noBreakHyphen/>
        <w:t>40 mg per mėnesį Sandostatin</w:t>
      </w:r>
      <w:r w:rsidR="00E32B96">
        <w:rPr>
          <w:rFonts w:ascii="Times New Roman" w:hAnsi="Times New Roman" w:cs="Times New Roman"/>
          <w:sz w:val="22"/>
          <w:szCs w:val="22"/>
          <w:lang w:val="es-ES"/>
        </w:rPr>
        <w:t> </w:t>
      </w:r>
      <w:r w:rsidRPr="000E27EC">
        <w:rPr>
          <w:rFonts w:ascii="Times New Roman" w:hAnsi="Times New Roman" w:cs="Times New Roman"/>
          <w:sz w:val="22"/>
          <w:szCs w:val="22"/>
          <w:lang w:val="es-ES"/>
        </w:rPr>
        <w:t>LAR dozės. Iš tų nėštumų, kurių baigtys yra žinomos, maždaug 4 % atvejų nustatytos įgimtos anomalijos. Šiais atvejais nebuvo įtartas priežastinis ryšys su oktreotido vartojimu.</w:t>
      </w:r>
    </w:p>
    <w:p w14:paraId="0386FB0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C594C3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Tyrimai su gyvūnais tiesioginio ar netiesioginio kenksmingo toksinio poveikio reprodukcijai neparodė (žr. 5.3 skyrių).</w:t>
      </w:r>
    </w:p>
    <w:p w14:paraId="38CE439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5C0478E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Laikantis atsargumo priemonių, nėštumo metu geriau vengti vartoti Sandostatin (žr. 4.4 skyrių).</w:t>
      </w:r>
    </w:p>
    <w:p w14:paraId="32A04AA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A5DD797"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Žindymas</w:t>
      </w:r>
    </w:p>
    <w:p w14:paraId="0D24A8A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5266DE9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Nežinoma, ar oktreotido išsiskiria į motinos pieną. Su gyvūnais atlikti tyrimai parodė, kad oktreotido išsiskiria į gyvūnų pieną. Gydymo Sandostatin metu žindyti negalima.</w:t>
      </w:r>
    </w:p>
    <w:p w14:paraId="4F7725F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8F87B61"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Vaisingumas</w:t>
      </w:r>
    </w:p>
    <w:p w14:paraId="5FA1FB5F"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u w:val="single"/>
          <w:lang w:val="es-ES"/>
        </w:rPr>
      </w:pPr>
    </w:p>
    <w:p w14:paraId="6435621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Nežinoma, ar oktreotidas įtakoja žmonių vaisingumą. Patelių, kurioms nėštumo ir žindymo laikotarpiu buvo skiriama oktreotido, vyriškosios lyties palikuonims nustatytas vėluojantis sėklidžių nusileidimas. Tačiau, iki 1 mg/kg kūno svorio per parą oktreotido dozes skiriant žiurkių patinams ir patelėms, jų vislumas nepakito (žr. 5.3 skyrių).</w:t>
      </w:r>
    </w:p>
    <w:p w14:paraId="6F022DB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1A0488E"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4.7</w:t>
      </w:r>
      <w:r w:rsidRPr="000E27EC">
        <w:rPr>
          <w:rFonts w:ascii="Times New Roman" w:hAnsi="Times New Roman" w:cs="Times New Roman"/>
          <w:b/>
          <w:sz w:val="22"/>
          <w:szCs w:val="22"/>
          <w:lang w:val="es-ES"/>
        </w:rPr>
        <w:tab/>
        <w:t>Poveikis gebėjimui vairuoti ir valdyti mechanizmus</w:t>
      </w:r>
    </w:p>
    <w:p w14:paraId="3D0C344C"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183F10B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Sandostatin gebėjimo vairuoti ir valdyti mechanizmus neveikia arba veikia nereikšmingai. Pacientams reikia patarti, kad atsargiai vairuotų ar valdytų mechanizmus, jeigu Sandostatin vartojimo metu jiems pasireiškia galvos svaigimas, astenija ar nuovargis arba galvos skausmas.</w:t>
      </w:r>
    </w:p>
    <w:p w14:paraId="4672074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1F8E798D" w14:textId="77777777" w:rsidR="00E446F1" w:rsidRPr="000E27EC" w:rsidRDefault="00E446F1" w:rsidP="00E446F1">
      <w:pPr>
        <w:keepNext/>
        <w:widowControl w:val="0"/>
        <w:tabs>
          <w:tab w:val="left" w:pos="567"/>
        </w:tabs>
        <w:spacing w:after="0" w:line="240" w:lineRule="auto"/>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4.8</w:t>
      </w:r>
      <w:r w:rsidRPr="000E27EC">
        <w:rPr>
          <w:rFonts w:ascii="Times New Roman" w:hAnsi="Times New Roman" w:cs="Times New Roman"/>
          <w:b/>
          <w:sz w:val="22"/>
          <w:szCs w:val="22"/>
          <w:lang w:val="es-ES"/>
        </w:rPr>
        <w:tab/>
        <w:t>Nepageidaujamas poveikis</w:t>
      </w:r>
    </w:p>
    <w:p w14:paraId="37D9DDA1"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3C18474D"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Saugumo duomenų santrauka</w:t>
      </w:r>
    </w:p>
    <w:p w14:paraId="0A741856"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22D65A09"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Dažniausios gydymo oktreotidu metu pasireiškusios nepageidaujamos reakcijos buvo virškinimo trakto sutrikimai, nervų sistemos sutrikimai, kepenų, tulžies pūslės ir latakų sutrikimai bei metabolizmo ir mitybos sutrikimai.</w:t>
      </w:r>
    </w:p>
    <w:p w14:paraId="1448C6F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706A8D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Klinikinių tyrimų, kuriuos atliekant buvo skiriama oktreotido, metu dažniausiai pasireiškusios </w:t>
      </w:r>
      <w:r w:rsidRPr="000E27EC">
        <w:rPr>
          <w:rFonts w:ascii="Times New Roman" w:hAnsi="Times New Roman" w:cs="Times New Roman"/>
          <w:sz w:val="22"/>
          <w:szCs w:val="22"/>
          <w:lang w:val="es-ES"/>
        </w:rPr>
        <w:lastRenderedPageBreak/>
        <w:t>nepageidaujamos reakcijos buvo viduriavimas, pilvo skausmas, pykinimas, vidurių pūtimas, galvos skausmas, tulžies pūslės akmenligė, hiperglikemija ir vidurių užkietėjimas. Kitos dažnai pasireiškusios nepageidaujamos reakcijos buvo galvos svaigimas, lokalus skausmas, nuosėdos tulžyje, skydliaukės funkcijos sutrikimas (pvz., skydliaukę stimuliuojančio (tirotropinio) hormono (TTH) koncentracijos sumažėjimas, bendrojo T4 ir laisvojo T4</w:t>
      </w:r>
      <w:r w:rsidR="00E32B96">
        <w:rPr>
          <w:rFonts w:ascii="Times New Roman" w:hAnsi="Times New Roman" w:cs="Times New Roman"/>
          <w:sz w:val="22"/>
          <w:szCs w:val="22"/>
          <w:lang w:val="es-ES"/>
        </w:rPr>
        <w:t> </w:t>
      </w:r>
      <w:r w:rsidRPr="000E27EC">
        <w:rPr>
          <w:rFonts w:ascii="Times New Roman" w:hAnsi="Times New Roman" w:cs="Times New Roman"/>
          <w:sz w:val="22"/>
          <w:szCs w:val="22"/>
          <w:lang w:val="es-ES"/>
        </w:rPr>
        <w:t>hormono koncentracijos sumažėjimas), skystos išmatos, sutrikusi gliukozės tolerancija, vėmimas, astenija ir hipoglikemija.</w:t>
      </w:r>
    </w:p>
    <w:p w14:paraId="6587D3C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6D5A3A3"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Nepageidaujamų reakcijų santraukos lentelėse</w:t>
      </w:r>
    </w:p>
    <w:p w14:paraId="6CF36C3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518B8F89"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Informacija apie toliau 1 lentelėje išvardytas nepageidaujamas reakcijas sukaupta klinikinių tyrimų su oktreotidu metu.</w:t>
      </w:r>
    </w:p>
    <w:p w14:paraId="720E69E3"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Nepageidaujamos reakcijos (žr. 1 lentelę) išvardytos pagal dažnių kategoriją, pirmiausia nurodant dažniausias ir dažnis apibūdinimas taip: labai dažnas (≥ 1/10), dažnas (nuo ≥ 1/100 iki &lt; 1/10), nedažnas (nuo ≥1/1000 iki &lt; 1/100), retas (nuo ≥ 1/10000 iki &lt; 1/1000), labai reti (&lt;1 /10000), įskaitant pavienius atvejus. Kiekvienoje dažnio grupėje nepageidaujamas poveikis pateikiamas mažėjančio sunkumo tvarka.</w:t>
      </w:r>
    </w:p>
    <w:p w14:paraId="2E01119E"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7A0DA074"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 lentelė.</w:t>
      </w:r>
      <w:r w:rsidRPr="000E27EC">
        <w:rPr>
          <w:rFonts w:ascii="Times New Roman" w:hAnsi="Times New Roman" w:cs="Times New Roman"/>
          <w:b/>
          <w:sz w:val="22"/>
          <w:szCs w:val="22"/>
          <w:lang w:val="es-ES"/>
        </w:rPr>
        <w:tab/>
        <w:t>Klinikinių tyrimų metu pasireiškusios nepageidaujamos reakcijos</w:t>
      </w:r>
    </w:p>
    <w:p w14:paraId="77D17BF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tbl>
      <w:tblPr>
        <w:tblW w:w="5000" w:type="pct"/>
        <w:tblBorders>
          <w:top w:val="single" w:sz="4" w:space="0" w:color="auto"/>
          <w:bottom w:val="single" w:sz="4" w:space="0" w:color="auto"/>
        </w:tblBorders>
        <w:tblLook w:val="04A0" w:firstRow="1" w:lastRow="0" w:firstColumn="1" w:lastColumn="0" w:noHBand="0" w:noVBand="1"/>
      </w:tblPr>
      <w:tblGrid>
        <w:gridCol w:w="3044"/>
        <w:gridCol w:w="6017"/>
      </w:tblGrid>
      <w:tr w:rsidR="00E446F1" w:rsidRPr="000E27EC" w14:paraId="70DB7313"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3A8DE6C9" w14:textId="77777777" w:rsidR="00E446F1" w:rsidRPr="000E27EC" w:rsidRDefault="00E446F1" w:rsidP="00E446F1">
            <w:pPr>
              <w:keepNext/>
              <w:widowControl w:val="0"/>
              <w:tabs>
                <w:tab w:val="left" w:pos="720"/>
              </w:tabs>
              <w:spacing w:after="0" w:line="240" w:lineRule="auto"/>
              <w:rPr>
                <w:rFonts w:ascii="Times New Roman" w:hAnsi="Times New Roman" w:cs="Times New Roman"/>
                <w:b/>
                <w:sz w:val="22"/>
                <w:szCs w:val="22"/>
              </w:rPr>
            </w:pPr>
            <w:r w:rsidRPr="000E27EC">
              <w:rPr>
                <w:rFonts w:ascii="Times New Roman" w:hAnsi="Times New Roman" w:cs="Times New Roman"/>
                <w:b/>
                <w:sz w:val="22"/>
                <w:szCs w:val="22"/>
              </w:rPr>
              <w:t>Virškinimo trakto sutrikimai</w:t>
            </w:r>
          </w:p>
        </w:tc>
      </w:tr>
      <w:tr w:rsidR="00E446F1" w:rsidRPr="000E27EC" w14:paraId="1C79C81C" w14:textId="77777777" w:rsidTr="00E446F1">
        <w:trPr>
          <w:cantSplit/>
        </w:trPr>
        <w:tc>
          <w:tcPr>
            <w:tcW w:w="1680" w:type="pct"/>
            <w:tcBorders>
              <w:top w:val="nil"/>
              <w:left w:val="single" w:sz="4" w:space="0" w:color="auto"/>
              <w:bottom w:val="nil"/>
              <w:right w:val="nil"/>
            </w:tcBorders>
            <w:hideMark/>
          </w:tcPr>
          <w:p w14:paraId="2DDA99BD"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Labai dažnas:</w:t>
            </w:r>
          </w:p>
        </w:tc>
        <w:tc>
          <w:tcPr>
            <w:tcW w:w="3320" w:type="pct"/>
            <w:tcBorders>
              <w:top w:val="nil"/>
              <w:left w:val="nil"/>
              <w:bottom w:val="nil"/>
              <w:right w:val="single" w:sz="4" w:space="0" w:color="auto"/>
            </w:tcBorders>
            <w:hideMark/>
          </w:tcPr>
          <w:p w14:paraId="3648A8A0"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viduriavimas</w:t>
            </w:r>
            <w:proofErr w:type="gramEnd"/>
            <w:r w:rsidRPr="000E27EC">
              <w:rPr>
                <w:rFonts w:ascii="Times New Roman" w:hAnsi="Times New Roman" w:cs="Times New Roman"/>
                <w:sz w:val="22"/>
                <w:szCs w:val="22"/>
              </w:rPr>
              <w:t>, pilvo skausmas, pykinimas, vidurių užkietėjimas, dujų susikaupimas.</w:t>
            </w:r>
          </w:p>
        </w:tc>
      </w:tr>
      <w:tr w:rsidR="00E446F1" w:rsidRPr="000E27EC" w14:paraId="0EFD79B2" w14:textId="77777777" w:rsidTr="00E446F1">
        <w:trPr>
          <w:cantSplit/>
        </w:trPr>
        <w:tc>
          <w:tcPr>
            <w:tcW w:w="1680" w:type="pct"/>
            <w:tcBorders>
              <w:top w:val="nil"/>
              <w:left w:val="single" w:sz="4" w:space="0" w:color="auto"/>
              <w:bottom w:val="nil"/>
              <w:right w:val="nil"/>
            </w:tcBorders>
            <w:hideMark/>
          </w:tcPr>
          <w:p w14:paraId="06FEA6A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nil"/>
              <w:right w:val="single" w:sz="4" w:space="0" w:color="auto"/>
            </w:tcBorders>
            <w:hideMark/>
          </w:tcPr>
          <w:p w14:paraId="724CFFC7"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dispepsija</w:t>
            </w:r>
            <w:proofErr w:type="gramEnd"/>
            <w:r w:rsidRPr="000E27EC">
              <w:rPr>
                <w:rFonts w:ascii="Times New Roman" w:hAnsi="Times New Roman" w:cs="Times New Roman"/>
                <w:sz w:val="22"/>
                <w:szCs w:val="22"/>
              </w:rPr>
              <w:t>, vėmimas, pilvo pūtimas, steatorėja, skystos išmatos, pakitusi išmatų spalva.</w:t>
            </w:r>
          </w:p>
        </w:tc>
      </w:tr>
      <w:tr w:rsidR="00E446F1" w:rsidRPr="000E27EC" w14:paraId="7EBF9A55"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2D3253A5"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Nervų sistemos sutrikimai</w:t>
            </w:r>
          </w:p>
        </w:tc>
      </w:tr>
      <w:tr w:rsidR="00E446F1" w:rsidRPr="000E27EC" w14:paraId="589F5994" w14:textId="77777777" w:rsidTr="00E446F1">
        <w:trPr>
          <w:cantSplit/>
        </w:trPr>
        <w:tc>
          <w:tcPr>
            <w:tcW w:w="1680" w:type="pct"/>
            <w:tcBorders>
              <w:top w:val="nil"/>
              <w:left w:val="single" w:sz="4" w:space="0" w:color="auto"/>
              <w:bottom w:val="nil"/>
              <w:right w:val="nil"/>
            </w:tcBorders>
            <w:hideMark/>
          </w:tcPr>
          <w:p w14:paraId="1790B454" w14:textId="77777777" w:rsidR="00E446F1" w:rsidRPr="000E27EC" w:rsidRDefault="00E446F1" w:rsidP="00E446F1">
            <w:pPr>
              <w:keepNext/>
              <w:widowControl w:val="0"/>
              <w:tabs>
                <w:tab w:val="left" w:pos="720"/>
              </w:tabs>
              <w:spacing w:after="0" w:line="240" w:lineRule="auto"/>
              <w:rPr>
                <w:rFonts w:ascii="Times New Roman" w:hAnsi="Times New Roman" w:cs="Times New Roman"/>
                <w:b/>
                <w:sz w:val="22"/>
                <w:szCs w:val="22"/>
              </w:rPr>
            </w:pPr>
            <w:r w:rsidRPr="000E27EC">
              <w:rPr>
                <w:rFonts w:ascii="Times New Roman" w:hAnsi="Times New Roman" w:cs="Times New Roman"/>
                <w:sz w:val="22"/>
                <w:szCs w:val="22"/>
              </w:rPr>
              <w:t>Labai dažnas:</w:t>
            </w:r>
          </w:p>
        </w:tc>
        <w:tc>
          <w:tcPr>
            <w:tcW w:w="3320" w:type="pct"/>
            <w:tcBorders>
              <w:top w:val="nil"/>
              <w:left w:val="nil"/>
              <w:bottom w:val="nil"/>
              <w:right w:val="single" w:sz="4" w:space="0" w:color="auto"/>
            </w:tcBorders>
            <w:hideMark/>
          </w:tcPr>
          <w:p w14:paraId="2562C153" w14:textId="77777777" w:rsidR="00E446F1" w:rsidRPr="000E27EC" w:rsidRDefault="00E446F1" w:rsidP="00E446F1">
            <w:pPr>
              <w:keepNext/>
              <w:keepLines/>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galvos</w:t>
            </w:r>
            <w:proofErr w:type="gramEnd"/>
            <w:r w:rsidRPr="000E27EC">
              <w:rPr>
                <w:rFonts w:ascii="Times New Roman" w:hAnsi="Times New Roman" w:cs="Times New Roman"/>
                <w:sz w:val="22"/>
                <w:szCs w:val="22"/>
              </w:rPr>
              <w:t xml:space="preserve"> skausmas.</w:t>
            </w:r>
          </w:p>
        </w:tc>
      </w:tr>
      <w:tr w:rsidR="00E446F1" w:rsidRPr="000E27EC" w14:paraId="16BE9A6B" w14:textId="77777777" w:rsidTr="00E446F1">
        <w:trPr>
          <w:cantSplit/>
        </w:trPr>
        <w:tc>
          <w:tcPr>
            <w:tcW w:w="1680" w:type="pct"/>
            <w:tcBorders>
              <w:top w:val="nil"/>
              <w:left w:val="single" w:sz="4" w:space="0" w:color="auto"/>
              <w:bottom w:val="single" w:sz="4" w:space="0" w:color="auto"/>
              <w:right w:val="nil"/>
            </w:tcBorders>
            <w:hideMark/>
          </w:tcPr>
          <w:p w14:paraId="743C6717" w14:textId="77777777" w:rsidR="00E446F1" w:rsidRPr="000E27EC" w:rsidRDefault="00E446F1" w:rsidP="00E446F1">
            <w:pPr>
              <w:widowControl w:val="0"/>
              <w:tabs>
                <w:tab w:val="left" w:pos="720"/>
              </w:tabs>
              <w:spacing w:after="0" w:line="240" w:lineRule="auto"/>
              <w:rPr>
                <w:rFonts w:ascii="Times New Roman" w:hAnsi="Times New Roman" w:cs="Times New Roman"/>
                <w:b/>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4C4BE5E0" w14:textId="77777777" w:rsidR="00E446F1" w:rsidRPr="000E27EC" w:rsidRDefault="00E446F1" w:rsidP="00E446F1">
            <w:pPr>
              <w:keepNext/>
              <w:keepLines/>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galvos</w:t>
            </w:r>
            <w:proofErr w:type="gramEnd"/>
            <w:r w:rsidRPr="000E27EC">
              <w:rPr>
                <w:rFonts w:ascii="Times New Roman" w:hAnsi="Times New Roman" w:cs="Times New Roman"/>
                <w:sz w:val="22"/>
                <w:szCs w:val="22"/>
              </w:rPr>
              <w:t xml:space="preserve"> svaigimas.</w:t>
            </w:r>
          </w:p>
        </w:tc>
      </w:tr>
      <w:tr w:rsidR="00E446F1" w:rsidRPr="000E27EC" w14:paraId="3440E1AF" w14:textId="77777777" w:rsidTr="00E446F1">
        <w:trPr>
          <w:cantSplit/>
          <w:trHeight w:val="335"/>
        </w:trPr>
        <w:tc>
          <w:tcPr>
            <w:tcW w:w="5000" w:type="pct"/>
            <w:gridSpan w:val="2"/>
            <w:tcBorders>
              <w:top w:val="single" w:sz="4" w:space="0" w:color="auto"/>
              <w:left w:val="single" w:sz="4" w:space="0" w:color="auto"/>
              <w:bottom w:val="nil"/>
              <w:right w:val="single" w:sz="4" w:space="0" w:color="auto"/>
            </w:tcBorders>
            <w:hideMark/>
          </w:tcPr>
          <w:p w14:paraId="2936BEC2"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Endokrininiai sutrikimai</w:t>
            </w:r>
          </w:p>
        </w:tc>
      </w:tr>
      <w:tr w:rsidR="00E446F1" w:rsidRPr="000E27EC" w14:paraId="4156B22B" w14:textId="77777777" w:rsidTr="00E446F1">
        <w:trPr>
          <w:cantSplit/>
        </w:trPr>
        <w:tc>
          <w:tcPr>
            <w:tcW w:w="1680" w:type="pct"/>
            <w:tcBorders>
              <w:top w:val="nil"/>
              <w:left w:val="single" w:sz="4" w:space="0" w:color="auto"/>
              <w:bottom w:val="single" w:sz="4" w:space="0" w:color="auto"/>
              <w:right w:val="nil"/>
            </w:tcBorders>
            <w:hideMark/>
          </w:tcPr>
          <w:p w14:paraId="381EBBC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0E17C7BF" w14:textId="77777777" w:rsidR="00E446F1" w:rsidRPr="000E27EC" w:rsidRDefault="00E446F1" w:rsidP="00E446F1">
            <w:pPr>
              <w:keepNext/>
              <w:keepLines/>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hipotirozė</w:t>
            </w:r>
            <w:proofErr w:type="gramEnd"/>
            <w:r w:rsidRPr="000E27EC">
              <w:rPr>
                <w:rFonts w:ascii="Times New Roman" w:hAnsi="Times New Roman" w:cs="Times New Roman"/>
                <w:sz w:val="22"/>
                <w:szCs w:val="22"/>
              </w:rPr>
              <w:t>, skydliaukės funkcijos sutrikimas (pvz., TTH koncentracijos sumažėjimas, bendrojo T4 ir laisvojo T4 hormono koncentracijos sumažėjimas).</w:t>
            </w:r>
          </w:p>
        </w:tc>
      </w:tr>
      <w:tr w:rsidR="00E446F1" w:rsidRPr="000E27EC" w14:paraId="6ACFC0C3"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35FDF5E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Kepenų, tulžies pūslės ir latakų sutrikimai</w:t>
            </w:r>
          </w:p>
        </w:tc>
      </w:tr>
      <w:tr w:rsidR="00E446F1" w:rsidRPr="000E27EC" w14:paraId="03F41A1F" w14:textId="77777777" w:rsidTr="00E446F1">
        <w:trPr>
          <w:cantSplit/>
        </w:trPr>
        <w:tc>
          <w:tcPr>
            <w:tcW w:w="1680" w:type="pct"/>
            <w:tcBorders>
              <w:top w:val="nil"/>
              <w:left w:val="single" w:sz="4" w:space="0" w:color="auto"/>
              <w:bottom w:val="nil"/>
              <w:right w:val="nil"/>
            </w:tcBorders>
            <w:hideMark/>
          </w:tcPr>
          <w:p w14:paraId="3F22DFDE"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Labai dažnas:</w:t>
            </w:r>
          </w:p>
        </w:tc>
        <w:tc>
          <w:tcPr>
            <w:tcW w:w="3320" w:type="pct"/>
            <w:tcBorders>
              <w:top w:val="nil"/>
              <w:left w:val="nil"/>
              <w:bottom w:val="nil"/>
              <w:right w:val="single" w:sz="4" w:space="0" w:color="auto"/>
            </w:tcBorders>
            <w:hideMark/>
          </w:tcPr>
          <w:p w14:paraId="37F31832"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tulžies</w:t>
            </w:r>
            <w:proofErr w:type="gramEnd"/>
            <w:r w:rsidRPr="000E27EC">
              <w:rPr>
                <w:rFonts w:ascii="Times New Roman" w:hAnsi="Times New Roman" w:cs="Times New Roman"/>
                <w:sz w:val="22"/>
                <w:szCs w:val="22"/>
              </w:rPr>
              <w:t xml:space="preserve"> pūslės akmenligė.</w:t>
            </w:r>
          </w:p>
        </w:tc>
      </w:tr>
      <w:tr w:rsidR="00E446F1" w:rsidRPr="000E27EC" w14:paraId="10839EFF" w14:textId="77777777" w:rsidTr="00E446F1">
        <w:trPr>
          <w:cantSplit/>
        </w:trPr>
        <w:tc>
          <w:tcPr>
            <w:tcW w:w="1680" w:type="pct"/>
            <w:tcBorders>
              <w:top w:val="nil"/>
              <w:left w:val="single" w:sz="4" w:space="0" w:color="auto"/>
              <w:bottom w:val="nil"/>
              <w:right w:val="nil"/>
            </w:tcBorders>
            <w:hideMark/>
          </w:tcPr>
          <w:p w14:paraId="469AD69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nil"/>
              <w:right w:val="single" w:sz="4" w:space="0" w:color="auto"/>
            </w:tcBorders>
            <w:hideMark/>
          </w:tcPr>
          <w:p w14:paraId="3D26B1E6"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cholecistitas</w:t>
            </w:r>
            <w:proofErr w:type="gramEnd"/>
            <w:r w:rsidRPr="000E27EC">
              <w:rPr>
                <w:rFonts w:ascii="Times New Roman" w:hAnsi="Times New Roman" w:cs="Times New Roman"/>
                <w:sz w:val="22"/>
                <w:szCs w:val="22"/>
              </w:rPr>
              <w:t>, nuosėdos tulžyje, hiperbilirubinemija.</w:t>
            </w:r>
          </w:p>
        </w:tc>
      </w:tr>
      <w:tr w:rsidR="00E446F1" w:rsidRPr="000E27EC" w14:paraId="11AACA4E"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24775955"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Metabolizmo ir mitybos sutrikimai</w:t>
            </w:r>
          </w:p>
        </w:tc>
      </w:tr>
      <w:tr w:rsidR="00E446F1" w:rsidRPr="000E27EC" w14:paraId="605FDBC2" w14:textId="77777777" w:rsidTr="00E446F1">
        <w:trPr>
          <w:cantSplit/>
        </w:trPr>
        <w:tc>
          <w:tcPr>
            <w:tcW w:w="1680" w:type="pct"/>
            <w:tcBorders>
              <w:top w:val="nil"/>
              <w:left w:val="single" w:sz="4" w:space="0" w:color="auto"/>
              <w:bottom w:val="nil"/>
              <w:right w:val="nil"/>
            </w:tcBorders>
            <w:hideMark/>
          </w:tcPr>
          <w:p w14:paraId="601FBD31"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Labai dažnas:</w:t>
            </w:r>
          </w:p>
        </w:tc>
        <w:tc>
          <w:tcPr>
            <w:tcW w:w="3320" w:type="pct"/>
            <w:tcBorders>
              <w:top w:val="nil"/>
              <w:left w:val="nil"/>
              <w:bottom w:val="nil"/>
              <w:right w:val="single" w:sz="4" w:space="0" w:color="auto"/>
            </w:tcBorders>
            <w:hideMark/>
          </w:tcPr>
          <w:p w14:paraId="3CA9FD1B"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hiperglikemija</w:t>
            </w:r>
            <w:proofErr w:type="gramEnd"/>
            <w:r w:rsidRPr="000E27EC">
              <w:rPr>
                <w:rFonts w:ascii="Times New Roman" w:hAnsi="Times New Roman" w:cs="Times New Roman"/>
                <w:sz w:val="22"/>
                <w:szCs w:val="22"/>
              </w:rPr>
              <w:t>.</w:t>
            </w:r>
          </w:p>
        </w:tc>
      </w:tr>
      <w:tr w:rsidR="00E446F1" w:rsidRPr="000E27EC" w14:paraId="6D7AC853" w14:textId="77777777" w:rsidTr="00E446F1">
        <w:trPr>
          <w:cantSplit/>
        </w:trPr>
        <w:tc>
          <w:tcPr>
            <w:tcW w:w="1680" w:type="pct"/>
            <w:tcBorders>
              <w:top w:val="nil"/>
              <w:left w:val="single" w:sz="4" w:space="0" w:color="auto"/>
              <w:bottom w:val="nil"/>
              <w:right w:val="nil"/>
            </w:tcBorders>
            <w:hideMark/>
          </w:tcPr>
          <w:p w14:paraId="587E915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nil"/>
              <w:right w:val="single" w:sz="4" w:space="0" w:color="auto"/>
            </w:tcBorders>
            <w:hideMark/>
          </w:tcPr>
          <w:p w14:paraId="0A9ABE14"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hipoglikemija</w:t>
            </w:r>
            <w:proofErr w:type="gramEnd"/>
            <w:r w:rsidRPr="000E27EC">
              <w:rPr>
                <w:rFonts w:ascii="Times New Roman" w:hAnsi="Times New Roman" w:cs="Times New Roman"/>
                <w:sz w:val="22"/>
                <w:szCs w:val="22"/>
              </w:rPr>
              <w:t>, sutrikusi gliukozės tolerancija, anoreksija.</w:t>
            </w:r>
          </w:p>
        </w:tc>
      </w:tr>
      <w:tr w:rsidR="00E446F1" w:rsidRPr="000E27EC" w14:paraId="3488313B" w14:textId="77777777" w:rsidTr="00E446F1">
        <w:trPr>
          <w:cantSplit/>
        </w:trPr>
        <w:tc>
          <w:tcPr>
            <w:tcW w:w="1680" w:type="pct"/>
            <w:tcBorders>
              <w:top w:val="nil"/>
              <w:left w:val="single" w:sz="4" w:space="0" w:color="auto"/>
              <w:bottom w:val="single" w:sz="4" w:space="0" w:color="auto"/>
              <w:right w:val="nil"/>
            </w:tcBorders>
            <w:hideMark/>
          </w:tcPr>
          <w:p w14:paraId="1A6407CC" w14:textId="77777777" w:rsidR="00E446F1" w:rsidRPr="000E27EC" w:rsidRDefault="00E446F1" w:rsidP="00E446F1">
            <w:pPr>
              <w:widowControl w:val="0"/>
              <w:tabs>
                <w:tab w:val="left" w:pos="720"/>
              </w:tabs>
              <w:spacing w:after="0" w:line="240" w:lineRule="auto"/>
              <w:rPr>
                <w:rFonts w:ascii="Times New Roman" w:hAnsi="Times New Roman" w:cs="Times New Roman"/>
                <w:b/>
                <w:sz w:val="22"/>
                <w:szCs w:val="22"/>
              </w:rPr>
            </w:pPr>
            <w:r w:rsidRPr="000E27EC">
              <w:rPr>
                <w:rFonts w:ascii="Times New Roman" w:hAnsi="Times New Roman" w:cs="Times New Roman"/>
                <w:sz w:val="22"/>
                <w:szCs w:val="22"/>
              </w:rPr>
              <w:t>Nedažnas:</w:t>
            </w:r>
          </w:p>
        </w:tc>
        <w:tc>
          <w:tcPr>
            <w:tcW w:w="3320" w:type="pct"/>
            <w:tcBorders>
              <w:top w:val="nil"/>
              <w:left w:val="nil"/>
              <w:bottom w:val="single" w:sz="4" w:space="0" w:color="auto"/>
              <w:right w:val="single" w:sz="4" w:space="0" w:color="auto"/>
            </w:tcBorders>
            <w:hideMark/>
          </w:tcPr>
          <w:p w14:paraId="0A8BE977"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dehidracija</w:t>
            </w:r>
            <w:proofErr w:type="gramEnd"/>
            <w:r w:rsidRPr="000E27EC">
              <w:rPr>
                <w:rFonts w:ascii="Times New Roman" w:hAnsi="Times New Roman" w:cs="Times New Roman"/>
                <w:sz w:val="22"/>
                <w:szCs w:val="22"/>
              </w:rPr>
              <w:t>.</w:t>
            </w:r>
          </w:p>
        </w:tc>
      </w:tr>
      <w:tr w:rsidR="00E446F1" w:rsidRPr="000E27EC" w14:paraId="007781DA"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67D5645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Bendrieji sutrikimai ir vartojimo vietos pažeidimai</w:t>
            </w:r>
          </w:p>
        </w:tc>
      </w:tr>
      <w:tr w:rsidR="00E446F1" w:rsidRPr="000E27EC" w14:paraId="51CB85AB" w14:textId="77777777" w:rsidTr="00E446F1">
        <w:trPr>
          <w:cantSplit/>
          <w:trHeight w:val="292"/>
        </w:trPr>
        <w:tc>
          <w:tcPr>
            <w:tcW w:w="1680" w:type="pct"/>
            <w:tcBorders>
              <w:top w:val="nil"/>
              <w:left w:val="single" w:sz="4" w:space="0" w:color="auto"/>
              <w:bottom w:val="nil"/>
              <w:right w:val="nil"/>
            </w:tcBorders>
            <w:hideMark/>
          </w:tcPr>
          <w:p w14:paraId="03BD41A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Labai dažnas:</w:t>
            </w:r>
          </w:p>
        </w:tc>
        <w:tc>
          <w:tcPr>
            <w:tcW w:w="3320" w:type="pct"/>
            <w:tcBorders>
              <w:top w:val="nil"/>
              <w:left w:val="nil"/>
              <w:bottom w:val="nil"/>
              <w:right w:val="single" w:sz="4" w:space="0" w:color="auto"/>
            </w:tcBorders>
            <w:hideMark/>
          </w:tcPr>
          <w:p w14:paraId="0E8CFCD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injekcijos</w:t>
            </w:r>
            <w:proofErr w:type="gramEnd"/>
            <w:r w:rsidRPr="000E27EC">
              <w:rPr>
                <w:rFonts w:ascii="Times New Roman" w:hAnsi="Times New Roman" w:cs="Times New Roman"/>
                <w:sz w:val="22"/>
                <w:szCs w:val="22"/>
              </w:rPr>
              <w:t xml:space="preserve"> vietos reakcijos.</w:t>
            </w:r>
          </w:p>
        </w:tc>
      </w:tr>
      <w:tr w:rsidR="00E446F1" w:rsidRPr="000E27EC" w14:paraId="7F2DDC73" w14:textId="77777777" w:rsidTr="00E446F1">
        <w:trPr>
          <w:cantSplit/>
          <w:trHeight w:val="268"/>
        </w:trPr>
        <w:tc>
          <w:tcPr>
            <w:tcW w:w="1680" w:type="pct"/>
            <w:tcBorders>
              <w:top w:val="nil"/>
              <w:left w:val="single" w:sz="4" w:space="0" w:color="auto"/>
              <w:bottom w:val="single" w:sz="4" w:space="0" w:color="auto"/>
              <w:right w:val="nil"/>
            </w:tcBorders>
            <w:hideMark/>
          </w:tcPr>
          <w:p w14:paraId="07D3E45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66EBCD3F"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astenija</w:t>
            </w:r>
            <w:proofErr w:type="gramEnd"/>
            <w:r w:rsidRPr="000E27EC">
              <w:rPr>
                <w:rFonts w:ascii="Times New Roman" w:hAnsi="Times New Roman" w:cs="Times New Roman"/>
                <w:sz w:val="22"/>
                <w:szCs w:val="22"/>
              </w:rPr>
              <w:t>.</w:t>
            </w:r>
          </w:p>
        </w:tc>
      </w:tr>
      <w:tr w:rsidR="00E446F1" w:rsidRPr="000E27EC" w14:paraId="4ACE0BD5"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1D6F1D91"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Tyrimai</w:t>
            </w:r>
          </w:p>
        </w:tc>
      </w:tr>
      <w:tr w:rsidR="00E446F1" w:rsidRPr="000E27EC" w14:paraId="4CB4FF53" w14:textId="77777777" w:rsidTr="00E446F1">
        <w:trPr>
          <w:cantSplit/>
        </w:trPr>
        <w:tc>
          <w:tcPr>
            <w:tcW w:w="1680" w:type="pct"/>
            <w:tcBorders>
              <w:top w:val="nil"/>
              <w:left w:val="single" w:sz="4" w:space="0" w:color="auto"/>
              <w:bottom w:val="single" w:sz="4" w:space="0" w:color="auto"/>
              <w:right w:val="nil"/>
            </w:tcBorders>
            <w:hideMark/>
          </w:tcPr>
          <w:p w14:paraId="5DA8C12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2E068F52" w14:textId="77777777" w:rsidR="00E446F1" w:rsidRPr="000E27EC" w:rsidRDefault="00E446F1" w:rsidP="00E446F1">
            <w:pPr>
              <w:keepNext/>
              <w:keepLines/>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padidėjęs</w:t>
            </w:r>
            <w:proofErr w:type="gramEnd"/>
            <w:r w:rsidRPr="000E27EC">
              <w:rPr>
                <w:rFonts w:ascii="Times New Roman" w:hAnsi="Times New Roman" w:cs="Times New Roman"/>
                <w:sz w:val="22"/>
                <w:szCs w:val="22"/>
              </w:rPr>
              <w:t xml:space="preserve"> transaminazių aktyvumas.</w:t>
            </w:r>
          </w:p>
        </w:tc>
      </w:tr>
      <w:tr w:rsidR="00E446F1" w:rsidRPr="000E27EC" w14:paraId="514C8A49"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56B3F861"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Odos ir poodinio audinio sutrikimai</w:t>
            </w:r>
          </w:p>
        </w:tc>
      </w:tr>
      <w:tr w:rsidR="00E446F1" w:rsidRPr="000E27EC" w14:paraId="2BD2DC28" w14:textId="77777777" w:rsidTr="00E446F1">
        <w:trPr>
          <w:cantSplit/>
        </w:trPr>
        <w:tc>
          <w:tcPr>
            <w:tcW w:w="1680" w:type="pct"/>
            <w:tcBorders>
              <w:top w:val="nil"/>
              <w:left w:val="single" w:sz="4" w:space="0" w:color="auto"/>
              <w:bottom w:val="single" w:sz="4" w:space="0" w:color="auto"/>
              <w:right w:val="nil"/>
            </w:tcBorders>
            <w:hideMark/>
          </w:tcPr>
          <w:p w14:paraId="006205B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4B80EB62"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niežulys</w:t>
            </w:r>
            <w:proofErr w:type="gramEnd"/>
            <w:r w:rsidRPr="000E27EC">
              <w:rPr>
                <w:rFonts w:ascii="Times New Roman" w:hAnsi="Times New Roman" w:cs="Times New Roman"/>
                <w:sz w:val="22"/>
                <w:szCs w:val="22"/>
              </w:rPr>
              <w:t xml:space="preserve">, </w:t>
            </w:r>
            <w:r w:rsidR="00E32B96">
              <w:rPr>
                <w:rFonts w:ascii="Times New Roman" w:hAnsi="Times New Roman" w:cs="Times New Roman"/>
                <w:sz w:val="22"/>
                <w:szCs w:val="22"/>
              </w:rPr>
              <w:t>iš</w:t>
            </w:r>
            <w:r w:rsidRPr="000E27EC">
              <w:rPr>
                <w:rFonts w:ascii="Times New Roman" w:hAnsi="Times New Roman" w:cs="Times New Roman"/>
                <w:sz w:val="22"/>
                <w:szCs w:val="22"/>
              </w:rPr>
              <w:t>bėrimas, alopecija.</w:t>
            </w:r>
          </w:p>
        </w:tc>
      </w:tr>
      <w:tr w:rsidR="00E446F1" w:rsidRPr="000E27EC" w14:paraId="72638BB2"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5354AC51" w14:textId="77777777" w:rsidR="00E446F1" w:rsidRPr="000E27EC" w:rsidRDefault="00E446F1" w:rsidP="00E446F1">
            <w:pPr>
              <w:keepNext/>
              <w:widowControl w:val="0"/>
              <w:tabs>
                <w:tab w:val="left" w:pos="720"/>
              </w:tabs>
              <w:spacing w:after="0" w:line="240" w:lineRule="auto"/>
              <w:rPr>
                <w:rFonts w:ascii="Times New Roman" w:hAnsi="Times New Roman" w:cs="Times New Roman"/>
                <w:b/>
                <w:sz w:val="22"/>
                <w:szCs w:val="22"/>
              </w:rPr>
            </w:pPr>
            <w:r w:rsidRPr="000E27EC">
              <w:rPr>
                <w:rFonts w:ascii="Times New Roman" w:hAnsi="Times New Roman" w:cs="Times New Roman"/>
                <w:b/>
                <w:sz w:val="22"/>
                <w:szCs w:val="22"/>
              </w:rPr>
              <w:t>Kvėpavimo sistemos, krūtinės ląstos ir tarpuplaučio sutrikimai</w:t>
            </w:r>
          </w:p>
        </w:tc>
      </w:tr>
      <w:tr w:rsidR="00E446F1" w:rsidRPr="000E27EC" w14:paraId="173CCBE3" w14:textId="77777777" w:rsidTr="00E446F1">
        <w:trPr>
          <w:cantSplit/>
        </w:trPr>
        <w:tc>
          <w:tcPr>
            <w:tcW w:w="1680" w:type="pct"/>
            <w:tcBorders>
              <w:top w:val="nil"/>
              <w:left w:val="single" w:sz="4" w:space="0" w:color="auto"/>
              <w:bottom w:val="single" w:sz="4" w:space="0" w:color="auto"/>
              <w:right w:val="nil"/>
            </w:tcBorders>
            <w:hideMark/>
          </w:tcPr>
          <w:p w14:paraId="6FF3178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single" w:sz="4" w:space="0" w:color="auto"/>
              <w:right w:val="single" w:sz="4" w:space="0" w:color="auto"/>
            </w:tcBorders>
            <w:hideMark/>
          </w:tcPr>
          <w:p w14:paraId="5BDBB85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dusulys</w:t>
            </w:r>
            <w:proofErr w:type="gramEnd"/>
            <w:r w:rsidRPr="000E27EC">
              <w:rPr>
                <w:rFonts w:ascii="Times New Roman" w:hAnsi="Times New Roman" w:cs="Times New Roman"/>
                <w:sz w:val="22"/>
                <w:szCs w:val="22"/>
              </w:rPr>
              <w:t>.</w:t>
            </w:r>
          </w:p>
        </w:tc>
      </w:tr>
      <w:tr w:rsidR="00E446F1" w:rsidRPr="000E27EC" w14:paraId="0143DDD6" w14:textId="77777777" w:rsidTr="00E446F1">
        <w:trPr>
          <w:cantSplit/>
        </w:trPr>
        <w:tc>
          <w:tcPr>
            <w:tcW w:w="5000" w:type="pct"/>
            <w:gridSpan w:val="2"/>
            <w:tcBorders>
              <w:top w:val="single" w:sz="4" w:space="0" w:color="auto"/>
              <w:left w:val="single" w:sz="4" w:space="0" w:color="auto"/>
              <w:bottom w:val="nil"/>
              <w:right w:val="single" w:sz="4" w:space="0" w:color="auto"/>
            </w:tcBorders>
            <w:hideMark/>
          </w:tcPr>
          <w:p w14:paraId="12667FDC"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Širdies sutrikimai</w:t>
            </w:r>
          </w:p>
        </w:tc>
      </w:tr>
      <w:tr w:rsidR="00E446F1" w:rsidRPr="000E27EC" w14:paraId="633A88DD" w14:textId="77777777" w:rsidTr="00E446F1">
        <w:trPr>
          <w:cantSplit/>
        </w:trPr>
        <w:tc>
          <w:tcPr>
            <w:tcW w:w="1680" w:type="pct"/>
            <w:tcBorders>
              <w:top w:val="nil"/>
              <w:left w:val="single" w:sz="4" w:space="0" w:color="auto"/>
              <w:bottom w:val="nil"/>
              <w:right w:val="nil"/>
            </w:tcBorders>
            <w:hideMark/>
          </w:tcPr>
          <w:p w14:paraId="23A21616"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Dažnas:</w:t>
            </w:r>
          </w:p>
        </w:tc>
        <w:tc>
          <w:tcPr>
            <w:tcW w:w="3320" w:type="pct"/>
            <w:tcBorders>
              <w:top w:val="nil"/>
              <w:left w:val="nil"/>
              <w:bottom w:val="nil"/>
              <w:right w:val="single" w:sz="4" w:space="0" w:color="auto"/>
            </w:tcBorders>
            <w:hideMark/>
          </w:tcPr>
          <w:p w14:paraId="1C361E71"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bradikardija</w:t>
            </w:r>
            <w:proofErr w:type="gramEnd"/>
            <w:r w:rsidRPr="000E27EC">
              <w:rPr>
                <w:rFonts w:ascii="Times New Roman" w:hAnsi="Times New Roman" w:cs="Times New Roman"/>
                <w:sz w:val="22"/>
                <w:szCs w:val="22"/>
              </w:rPr>
              <w:t>.</w:t>
            </w:r>
          </w:p>
        </w:tc>
      </w:tr>
      <w:tr w:rsidR="00E446F1" w:rsidRPr="000E27EC" w14:paraId="2B193716" w14:textId="77777777" w:rsidTr="00E446F1">
        <w:trPr>
          <w:cantSplit/>
        </w:trPr>
        <w:tc>
          <w:tcPr>
            <w:tcW w:w="1680" w:type="pct"/>
            <w:tcBorders>
              <w:top w:val="nil"/>
              <w:left w:val="single" w:sz="4" w:space="0" w:color="auto"/>
              <w:bottom w:val="single" w:sz="4" w:space="0" w:color="auto"/>
              <w:right w:val="nil"/>
            </w:tcBorders>
            <w:hideMark/>
          </w:tcPr>
          <w:p w14:paraId="57A1642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Nedažnas:</w:t>
            </w:r>
          </w:p>
        </w:tc>
        <w:tc>
          <w:tcPr>
            <w:tcW w:w="3320" w:type="pct"/>
            <w:tcBorders>
              <w:top w:val="nil"/>
              <w:left w:val="nil"/>
              <w:bottom w:val="single" w:sz="4" w:space="0" w:color="auto"/>
              <w:right w:val="single" w:sz="4" w:space="0" w:color="auto"/>
            </w:tcBorders>
            <w:hideMark/>
          </w:tcPr>
          <w:p w14:paraId="658B466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tachikardija</w:t>
            </w:r>
            <w:proofErr w:type="gramEnd"/>
            <w:r w:rsidRPr="000E27EC">
              <w:rPr>
                <w:rFonts w:ascii="Times New Roman" w:hAnsi="Times New Roman" w:cs="Times New Roman"/>
                <w:sz w:val="22"/>
                <w:szCs w:val="22"/>
              </w:rPr>
              <w:t>.</w:t>
            </w:r>
          </w:p>
        </w:tc>
      </w:tr>
    </w:tbl>
    <w:p w14:paraId="01631406" w14:textId="77777777" w:rsidR="00E446F1" w:rsidRPr="000E27EC" w:rsidRDefault="00E446F1" w:rsidP="00E446F1">
      <w:pPr>
        <w:widowControl w:val="0"/>
        <w:tabs>
          <w:tab w:val="left" w:pos="720"/>
        </w:tabs>
        <w:spacing w:after="0" w:line="240" w:lineRule="auto"/>
        <w:jc w:val="both"/>
        <w:rPr>
          <w:rFonts w:ascii="Times New Roman" w:hAnsi="Times New Roman" w:cs="Times New Roman"/>
          <w:sz w:val="22"/>
          <w:szCs w:val="22"/>
          <w:u w:val="single"/>
        </w:rPr>
      </w:pPr>
    </w:p>
    <w:p w14:paraId="5103D32A" w14:textId="77777777" w:rsidR="00E446F1" w:rsidRPr="000E27EC" w:rsidRDefault="00E446F1" w:rsidP="00E446F1">
      <w:pPr>
        <w:keepNext/>
        <w:keepLines/>
        <w:widowControl w:val="0"/>
        <w:tabs>
          <w:tab w:val="left" w:pos="720"/>
        </w:tabs>
        <w:spacing w:after="0" w:line="240" w:lineRule="auto"/>
        <w:jc w:val="both"/>
        <w:rPr>
          <w:rFonts w:ascii="Times New Roman" w:eastAsia="Calibri" w:hAnsi="Times New Roman" w:cs="Times New Roman"/>
          <w:sz w:val="22"/>
          <w:szCs w:val="22"/>
          <w:u w:val="single"/>
          <w:lang w:val="it-IT"/>
        </w:rPr>
      </w:pPr>
      <w:r w:rsidRPr="000E27EC">
        <w:rPr>
          <w:rFonts w:ascii="Times New Roman" w:hAnsi="Times New Roman" w:cs="Times New Roman"/>
          <w:sz w:val="22"/>
          <w:szCs w:val="22"/>
          <w:u w:val="single"/>
          <w:lang w:val="it-IT"/>
        </w:rPr>
        <w:lastRenderedPageBreak/>
        <w:t>Po vaistinio preparato pateikimo į rinką</w:t>
      </w:r>
    </w:p>
    <w:p w14:paraId="1AC8D9D0" w14:textId="77777777" w:rsidR="00E446F1" w:rsidRPr="000E27EC" w:rsidRDefault="00E446F1" w:rsidP="00E446F1">
      <w:pPr>
        <w:keepNext/>
        <w:keepLines/>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2 lentelėje nurodytos nepageidaujamos reakcijos iš spontaninių pranešimų, apie kuriuos pranešta savanoriškai, todėl ne visada įmanoma patikimai nustatyti pasireiškimo dažnį ar priežastinį ryšį su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it-IT"/>
        </w:rPr>
        <w:t>vartojimu.</w:t>
      </w:r>
    </w:p>
    <w:p w14:paraId="2658C08E"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lang w:val="it-IT"/>
        </w:rPr>
      </w:pPr>
    </w:p>
    <w:p w14:paraId="35DFBFB5" w14:textId="77777777" w:rsidR="00E446F1" w:rsidRPr="000E27EC" w:rsidRDefault="00E446F1" w:rsidP="00E446F1">
      <w:pPr>
        <w:keepNext/>
        <w:keepLines/>
        <w:widowControl w:val="0"/>
        <w:tabs>
          <w:tab w:val="left" w:pos="720"/>
        </w:tabs>
        <w:spacing w:after="0" w:line="240" w:lineRule="auto"/>
        <w:outlineLvl w:val="5"/>
        <w:rPr>
          <w:rFonts w:ascii="Times New Roman" w:hAnsi="Times New Roman" w:cs="Times New Roman"/>
          <w:b/>
          <w:sz w:val="22"/>
          <w:szCs w:val="22"/>
          <w:lang w:val="it-IT"/>
        </w:rPr>
      </w:pPr>
      <w:bookmarkStart w:id="1" w:name="_Toc171752435"/>
      <w:r w:rsidRPr="000E27EC">
        <w:rPr>
          <w:rFonts w:ascii="Times New Roman" w:hAnsi="Times New Roman" w:cs="Times New Roman"/>
          <w:b/>
          <w:sz w:val="22"/>
          <w:szCs w:val="22"/>
          <w:lang w:val="it-IT"/>
        </w:rPr>
        <w:t>2 lentelė.</w:t>
      </w:r>
      <w:r w:rsidRPr="000E27EC">
        <w:rPr>
          <w:rFonts w:ascii="Times New Roman" w:hAnsi="Times New Roman" w:cs="Times New Roman"/>
          <w:b/>
          <w:sz w:val="22"/>
          <w:szCs w:val="22"/>
          <w:lang w:val="it-IT"/>
        </w:rPr>
        <w:tab/>
        <w:t>Nepageidaujamos reakcijos, apie kurias sužinota iš spontaninių pranešimų</w:t>
      </w:r>
      <w:bookmarkEnd w:id="1"/>
    </w:p>
    <w:p w14:paraId="63CA5E77"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lang w:val="it-IT"/>
        </w:rPr>
      </w:pPr>
    </w:p>
    <w:tbl>
      <w:tblPr>
        <w:tblW w:w="5000" w:type="pct"/>
        <w:tblBorders>
          <w:top w:val="single" w:sz="4" w:space="0" w:color="auto"/>
          <w:bottom w:val="single" w:sz="4" w:space="0" w:color="auto"/>
        </w:tblBorders>
        <w:tblLook w:val="0000" w:firstRow="0" w:lastRow="0" w:firstColumn="0" w:lastColumn="0" w:noHBand="0" w:noVBand="0"/>
      </w:tblPr>
      <w:tblGrid>
        <w:gridCol w:w="9061"/>
      </w:tblGrid>
      <w:tr w:rsidR="00E446F1" w:rsidRPr="000E27EC" w14:paraId="685BCF7B" w14:textId="77777777" w:rsidTr="00E446F1">
        <w:trPr>
          <w:cantSplit/>
        </w:trPr>
        <w:tc>
          <w:tcPr>
            <w:tcW w:w="5000" w:type="pct"/>
            <w:tcBorders>
              <w:top w:val="single" w:sz="4" w:space="0" w:color="auto"/>
              <w:left w:val="single" w:sz="4" w:space="0" w:color="auto"/>
              <w:bottom w:val="nil"/>
              <w:right w:val="single" w:sz="4" w:space="0" w:color="auto"/>
            </w:tcBorders>
            <w:shd w:val="clear" w:color="auto" w:fill="auto"/>
          </w:tcPr>
          <w:p w14:paraId="6596E1A8" w14:textId="77777777" w:rsidR="00E446F1" w:rsidRPr="000E27EC" w:rsidRDefault="00E446F1" w:rsidP="00E446F1">
            <w:pPr>
              <w:keepNext/>
              <w:keepLines/>
              <w:widowControl w:val="0"/>
              <w:spacing w:after="0" w:line="240" w:lineRule="auto"/>
              <w:rPr>
                <w:rFonts w:ascii="Times New Roman" w:hAnsi="Times New Roman" w:cs="Times New Roman"/>
                <w:b/>
                <w:sz w:val="22"/>
                <w:szCs w:val="22"/>
                <w:lang w:val="es-ES"/>
              </w:rPr>
            </w:pPr>
            <w:r w:rsidRPr="000E27EC">
              <w:rPr>
                <w:rFonts w:ascii="Times New Roman" w:hAnsi="Times New Roman" w:cs="Times New Roman"/>
                <w:b/>
                <w:sz w:val="22"/>
                <w:szCs w:val="22"/>
                <w:lang w:val="lt-LT"/>
              </w:rPr>
              <w:t>Kraujo ir limfinės sistemos sutrikimai</w:t>
            </w:r>
          </w:p>
        </w:tc>
      </w:tr>
      <w:tr w:rsidR="00E446F1" w:rsidRPr="000E27EC" w14:paraId="48801704" w14:textId="77777777" w:rsidTr="00E446F1">
        <w:trPr>
          <w:cantSplit/>
        </w:trPr>
        <w:tc>
          <w:tcPr>
            <w:tcW w:w="5000" w:type="pct"/>
            <w:tcBorders>
              <w:top w:val="nil"/>
              <w:left w:val="single" w:sz="4" w:space="0" w:color="auto"/>
              <w:bottom w:val="single" w:sz="4" w:space="0" w:color="auto"/>
              <w:right w:val="single" w:sz="4" w:space="0" w:color="auto"/>
            </w:tcBorders>
            <w:shd w:val="clear" w:color="auto" w:fill="auto"/>
          </w:tcPr>
          <w:p w14:paraId="25339FA4" w14:textId="77777777" w:rsidR="00E446F1" w:rsidRPr="000E27EC" w:rsidRDefault="00E446F1" w:rsidP="00E446F1">
            <w:pPr>
              <w:keepNext/>
              <w:keepLines/>
              <w:widowControl w:val="0"/>
              <w:spacing w:after="0" w:line="240" w:lineRule="auto"/>
              <w:rPr>
                <w:rFonts w:ascii="Times New Roman" w:hAnsi="Times New Roman" w:cs="Times New Roman"/>
                <w:sz w:val="22"/>
                <w:szCs w:val="22"/>
                <w:lang w:val="es-ES"/>
              </w:rPr>
            </w:pPr>
            <w:r w:rsidRPr="000E27EC">
              <w:rPr>
                <w:rFonts w:ascii="Times New Roman" w:hAnsi="Times New Roman" w:cs="Times New Roman"/>
                <w:sz w:val="22"/>
                <w:szCs w:val="22"/>
              </w:rPr>
              <w:t>Trombocitopenija.</w:t>
            </w:r>
          </w:p>
        </w:tc>
      </w:tr>
      <w:tr w:rsidR="00E446F1" w:rsidRPr="000E27EC" w14:paraId="15D056F4" w14:textId="77777777" w:rsidTr="00E446F1">
        <w:tblPrEx>
          <w:tblLook w:val="04A0" w:firstRow="1" w:lastRow="0" w:firstColumn="1" w:lastColumn="0" w:noHBand="0" w:noVBand="1"/>
        </w:tblPrEx>
        <w:trPr>
          <w:cantSplit/>
        </w:trPr>
        <w:tc>
          <w:tcPr>
            <w:tcW w:w="5000" w:type="pct"/>
            <w:tcBorders>
              <w:top w:val="single" w:sz="4" w:space="0" w:color="auto"/>
              <w:left w:val="single" w:sz="4" w:space="0" w:color="auto"/>
              <w:bottom w:val="nil"/>
              <w:right w:val="single" w:sz="4" w:space="0" w:color="auto"/>
            </w:tcBorders>
            <w:hideMark/>
          </w:tcPr>
          <w:p w14:paraId="74FFD662"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Imuninės sistemos sutrikimai</w:t>
            </w:r>
          </w:p>
        </w:tc>
      </w:tr>
      <w:tr w:rsidR="00E446F1" w:rsidRPr="000E27EC" w14:paraId="685F70B4" w14:textId="77777777" w:rsidTr="00E446F1">
        <w:tblPrEx>
          <w:tblLook w:val="04A0" w:firstRow="1" w:lastRow="0" w:firstColumn="1" w:lastColumn="0" w:noHBand="0" w:noVBand="1"/>
        </w:tblPrEx>
        <w:trPr>
          <w:cantSplit/>
          <w:trHeight w:val="227"/>
        </w:trPr>
        <w:tc>
          <w:tcPr>
            <w:tcW w:w="5000" w:type="pct"/>
            <w:tcBorders>
              <w:top w:val="nil"/>
              <w:left w:val="single" w:sz="4" w:space="0" w:color="auto"/>
              <w:bottom w:val="nil"/>
              <w:right w:val="single" w:sz="4" w:space="0" w:color="auto"/>
            </w:tcBorders>
            <w:hideMark/>
          </w:tcPr>
          <w:p w14:paraId="74A49119" w14:textId="77777777" w:rsidR="00E446F1" w:rsidRPr="000E27EC" w:rsidRDefault="00E446F1" w:rsidP="00E446F1">
            <w:pPr>
              <w:keepNext/>
              <w:keepLines/>
              <w:widowControl w:val="0"/>
              <w:tabs>
                <w:tab w:val="left" w:pos="567"/>
              </w:tabs>
              <w:spacing w:after="0" w:line="240" w:lineRule="auto"/>
              <w:rPr>
                <w:rFonts w:ascii="Times New Roman" w:hAnsi="Times New Roman" w:cs="Times New Roman"/>
                <w:sz w:val="22"/>
                <w:szCs w:val="22"/>
                <w:lang w:val="es-ES"/>
              </w:rPr>
            </w:pPr>
            <w:r w:rsidRPr="000E27EC">
              <w:rPr>
                <w:rFonts w:ascii="Times New Roman" w:hAnsi="Times New Roman" w:cs="Times New Roman"/>
                <w:sz w:val="22"/>
                <w:szCs w:val="22"/>
                <w:lang w:val="es-ES"/>
              </w:rPr>
              <w:t>Anafilaksija, alergija ir (arba) padidėjusio jautrumo reakcijos.</w:t>
            </w:r>
          </w:p>
        </w:tc>
      </w:tr>
      <w:tr w:rsidR="00E446F1" w:rsidRPr="000E27EC" w14:paraId="5D699E7B" w14:textId="77777777" w:rsidTr="00E446F1">
        <w:tblPrEx>
          <w:tblLook w:val="04A0" w:firstRow="1" w:lastRow="0" w:firstColumn="1" w:lastColumn="0" w:noHBand="0" w:noVBand="1"/>
        </w:tblPrEx>
        <w:trPr>
          <w:cantSplit/>
        </w:trPr>
        <w:tc>
          <w:tcPr>
            <w:tcW w:w="5000" w:type="pct"/>
            <w:tcBorders>
              <w:top w:val="single" w:sz="4" w:space="0" w:color="auto"/>
              <w:left w:val="single" w:sz="4" w:space="0" w:color="auto"/>
              <w:bottom w:val="nil"/>
              <w:right w:val="single" w:sz="4" w:space="0" w:color="auto"/>
            </w:tcBorders>
            <w:hideMark/>
          </w:tcPr>
          <w:p w14:paraId="307396B6"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Odos ir poodinio audinio sutrikimai</w:t>
            </w:r>
          </w:p>
        </w:tc>
      </w:tr>
      <w:tr w:rsidR="00E446F1" w:rsidRPr="000E27EC" w14:paraId="4E175879" w14:textId="77777777" w:rsidTr="00E446F1">
        <w:tblPrEx>
          <w:tblLook w:val="04A0" w:firstRow="1" w:lastRow="0" w:firstColumn="1" w:lastColumn="0" w:noHBand="0" w:noVBand="1"/>
        </w:tblPrEx>
        <w:trPr>
          <w:cantSplit/>
        </w:trPr>
        <w:tc>
          <w:tcPr>
            <w:tcW w:w="5000" w:type="pct"/>
            <w:tcBorders>
              <w:top w:val="nil"/>
              <w:left w:val="single" w:sz="4" w:space="0" w:color="auto"/>
              <w:bottom w:val="nil"/>
              <w:right w:val="single" w:sz="4" w:space="0" w:color="auto"/>
            </w:tcBorders>
            <w:hideMark/>
          </w:tcPr>
          <w:p w14:paraId="37F1B0C5"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Dilgėlinė.</w:t>
            </w:r>
          </w:p>
        </w:tc>
      </w:tr>
      <w:tr w:rsidR="00E446F1" w:rsidRPr="000E27EC" w14:paraId="41A1BA4D" w14:textId="77777777" w:rsidTr="00E446F1">
        <w:tblPrEx>
          <w:tblLook w:val="04A0" w:firstRow="1" w:lastRow="0" w:firstColumn="1" w:lastColumn="0" w:noHBand="0" w:noVBand="1"/>
        </w:tblPrEx>
        <w:trPr>
          <w:cantSplit/>
          <w:trHeight w:val="335"/>
        </w:trPr>
        <w:tc>
          <w:tcPr>
            <w:tcW w:w="5000" w:type="pct"/>
            <w:tcBorders>
              <w:top w:val="single" w:sz="4" w:space="0" w:color="auto"/>
              <w:left w:val="single" w:sz="4" w:space="0" w:color="auto"/>
              <w:bottom w:val="nil"/>
              <w:right w:val="single" w:sz="4" w:space="0" w:color="auto"/>
            </w:tcBorders>
            <w:hideMark/>
          </w:tcPr>
          <w:p w14:paraId="70A9EACD"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Kepenų, tulžies pūslės ir latakų sutrikimai</w:t>
            </w:r>
          </w:p>
        </w:tc>
      </w:tr>
      <w:tr w:rsidR="00E446F1" w:rsidRPr="000E27EC" w14:paraId="455A85FE" w14:textId="77777777" w:rsidTr="00E446F1">
        <w:tblPrEx>
          <w:tblLook w:val="04A0" w:firstRow="1" w:lastRow="0" w:firstColumn="1" w:lastColumn="0" w:noHBand="0" w:noVBand="1"/>
        </w:tblPrEx>
        <w:trPr>
          <w:cantSplit/>
        </w:trPr>
        <w:tc>
          <w:tcPr>
            <w:tcW w:w="5000" w:type="pct"/>
            <w:tcBorders>
              <w:top w:val="nil"/>
              <w:left w:val="single" w:sz="4" w:space="0" w:color="auto"/>
              <w:bottom w:val="single" w:sz="4" w:space="0" w:color="auto"/>
              <w:right w:val="single" w:sz="4" w:space="0" w:color="auto"/>
            </w:tcBorders>
            <w:hideMark/>
          </w:tcPr>
          <w:p w14:paraId="7474F150"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Ūminis pankreatitas, ūminis hepatitas be cholestazės, cholestazinis hepatitas, cholestazė, gelta, cholestazinė gelta.</w:t>
            </w:r>
          </w:p>
        </w:tc>
      </w:tr>
      <w:tr w:rsidR="00E446F1" w:rsidRPr="000E27EC" w14:paraId="11137C3E" w14:textId="77777777" w:rsidTr="00E446F1">
        <w:tblPrEx>
          <w:tblLook w:val="04A0" w:firstRow="1" w:lastRow="0" w:firstColumn="1" w:lastColumn="0" w:noHBand="0" w:noVBand="1"/>
        </w:tblPrEx>
        <w:trPr>
          <w:cantSplit/>
        </w:trPr>
        <w:tc>
          <w:tcPr>
            <w:tcW w:w="5000" w:type="pct"/>
            <w:tcBorders>
              <w:top w:val="single" w:sz="4" w:space="0" w:color="auto"/>
              <w:left w:val="single" w:sz="4" w:space="0" w:color="auto"/>
              <w:bottom w:val="nil"/>
              <w:right w:val="single" w:sz="4" w:space="0" w:color="auto"/>
            </w:tcBorders>
            <w:hideMark/>
          </w:tcPr>
          <w:p w14:paraId="3CD34BE6"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Širdies sutrikimai</w:t>
            </w:r>
          </w:p>
        </w:tc>
      </w:tr>
      <w:tr w:rsidR="00E446F1" w:rsidRPr="000E27EC" w14:paraId="04293897" w14:textId="77777777" w:rsidTr="00E446F1">
        <w:tblPrEx>
          <w:tblLook w:val="04A0" w:firstRow="1" w:lastRow="0" w:firstColumn="1" w:lastColumn="0" w:noHBand="0" w:noVBand="1"/>
        </w:tblPrEx>
        <w:trPr>
          <w:cantSplit/>
        </w:trPr>
        <w:tc>
          <w:tcPr>
            <w:tcW w:w="5000" w:type="pct"/>
            <w:tcBorders>
              <w:top w:val="nil"/>
              <w:left w:val="single" w:sz="4" w:space="0" w:color="auto"/>
              <w:bottom w:val="nil"/>
              <w:right w:val="single" w:sz="4" w:space="0" w:color="auto"/>
            </w:tcBorders>
            <w:hideMark/>
          </w:tcPr>
          <w:p w14:paraId="33920727"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Aritmijos.</w:t>
            </w:r>
          </w:p>
        </w:tc>
      </w:tr>
      <w:tr w:rsidR="00E446F1" w:rsidRPr="000E27EC" w14:paraId="308385E5" w14:textId="77777777" w:rsidTr="00E446F1">
        <w:tblPrEx>
          <w:tblLook w:val="04A0" w:firstRow="1" w:lastRow="0" w:firstColumn="1" w:lastColumn="0" w:noHBand="0" w:noVBand="1"/>
        </w:tblPrEx>
        <w:trPr>
          <w:cantSplit/>
        </w:trPr>
        <w:tc>
          <w:tcPr>
            <w:tcW w:w="5000" w:type="pct"/>
            <w:tcBorders>
              <w:top w:val="single" w:sz="4" w:space="0" w:color="auto"/>
              <w:left w:val="single" w:sz="4" w:space="0" w:color="auto"/>
              <w:bottom w:val="nil"/>
              <w:right w:val="single" w:sz="4" w:space="0" w:color="auto"/>
            </w:tcBorders>
            <w:hideMark/>
          </w:tcPr>
          <w:p w14:paraId="3C6CAF07" w14:textId="77777777" w:rsidR="00E446F1" w:rsidRPr="000E27EC" w:rsidRDefault="00E446F1" w:rsidP="00E446F1">
            <w:pPr>
              <w:keepNext/>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b/>
                <w:sz w:val="22"/>
                <w:szCs w:val="22"/>
              </w:rPr>
              <w:t>Tyrimai</w:t>
            </w:r>
          </w:p>
        </w:tc>
      </w:tr>
      <w:tr w:rsidR="00E446F1" w:rsidRPr="000E27EC" w14:paraId="67B9488F" w14:textId="77777777" w:rsidTr="00E446F1">
        <w:tblPrEx>
          <w:tblLook w:val="04A0" w:firstRow="1" w:lastRow="0" w:firstColumn="1" w:lastColumn="0" w:noHBand="0" w:noVBand="1"/>
        </w:tblPrEx>
        <w:trPr>
          <w:cantSplit/>
        </w:trPr>
        <w:tc>
          <w:tcPr>
            <w:tcW w:w="5000" w:type="pct"/>
            <w:tcBorders>
              <w:top w:val="nil"/>
              <w:left w:val="single" w:sz="4" w:space="0" w:color="auto"/>
              <w:bottom w:val="single" w:sz="4" w:space="0" w:color="auto"/>
              <w:right w:val="single" w:sz="4" w:space="0" w:color="auto"/>
            </w:tcBorders>
            <w:hideMark/>
          </w:tcPr>
          <w:p w14:paraId="40B480AD" w14:textId="77777777" w:rsidR="00E446F1" w:rsidRPr="000E27EC" w:rsidRDefault="00E446F1" w:rsidP="00E446F1">
            <w:pPr>
              <w:keepLines/>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Padidėjęs šarminės fosfatazės aktyvumas, padidėjęs gama-glutamil transferazės aktyvumas.</w:t>
            </w:r>
          </w:p>
        </w:tc>
      </w:tr>
    </w:tbl>
    <w:p w14:paraId="4A217C6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u w:val="single"/>
        </w:rPr>
      </w:pPr>
    </w:p>
    <w:p w14:paraId="01AD5455"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rPr>
      </w:pPr>
      <w:r w:rsidRPr="000E27EC">
        <w:rPr>
          <w:rFonts w:ascii="Times New Roman" w:hAnsi="Times New Roman" w:cs="Times New Roman"/>
          <w:sz w:val="22"/>
          <w:szCs w:val="22"/>
          <w:u w:val="single"/>
        </w:rPr>
        <w:t xml:space="preserve">Atrinktų nepageidaujamų reakcijų apibūdinimas </w:t>
      </w:r>
    </w:p>
    <w:p w14:paraId="7188F21B" w14:textId="77777777" w:rsidR="00E446F1" w:rsidRPr="000E27EC" w:rsidRDefault="00E446F1" w:rsidP="00E446F1">
      <w:pPr>
        <w:widowControl w:val="0"/>
        <w:spacing w:after="0" w:line="240" w:lineRule="auto"/>
        <w:rPr>
          <w:rFonts w:ascii="Times New Roman" w:hAnsi="Times New Roman" w:cs="Times New Roman"/>
          <w:sz w:val="22"/>
          <w:szCs w:val="22"/>
          <w:lang w:val="en-GB"/>
        </w:rPr>
      </w:pPr>
    </w:p>
    <w:p w14:paraId="2DBCDC9D" w14:textId="77777777" w:rsidR="00E446F1" w:rsidRPr="000E27EC" w:rsidRDefault="00E446F1" w:rsidP="00E446F1">
      <w:pPr>
        <w:widowControl w:val="0"/>
        <w:spacing w:after="0" w:line="240" w:lineRule="auto"/>
        <w:rPr>
          <w:rFonts w:ascii="Times New Roman" w:eastAsia="Calibri" w:hAnsi="Times New Roman" w:cs="Times New Roman"/>
          <w:i/>
          <w:sz w:val="22"/>
          <w:szCs w:val="22"/>
          <w:lang w:val="en-GB"/>
        </w:rPr>
      </w:pPr>
      <w:r w:rsidRPr="000E27EC">
        <w:rPr>
          <w:rFonts w:ascii="Times New Roman" w:hAnsi="Times New Roman" w:cs="Times New Roman"/>
          <w:i/>
          <w:sz w:val="22"/>
          <w:szCs w:val="22"/>
          <w:lang w:val="lt-LT"/>
        </w:rPr>
        <w:t>Tulžies pūslės ir susijusios reakcijos</w:t>
      </w:r>
    </w:p>
    <w:p w14:paraId="416845AE"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Manoma, kad somatostatino analogai slopina tulžies pūslės kontraktilumą ir sumažina tulžies sekreciją, dėl kurios gali atsirasti tulžies pūslės anomalijų ar nuosėdų.</w:t>
      </w:r>
      <w:r w:rsidRPr="000E27EC">
        <w:rPr>
          <w:rFonts w:ascii="Times New Roman" w:hAnsi="Times New Roman" w:cs="Times New Roman"/>
          <w:sz w:val="22"/>
          <w:szCs w:val="22"/>
          <w:lang w:val="en-GB"/>
        </w:rPr>
        <w:t xml:space="preserve"> Gauta pranešimų apie tulžies akmenų atsiradimą 15-30 </w:t>
      </w:r>
      <w:r w:rsidRPr="000E27EC">
        <w:rPr>
          <w:rFonts w:ascii="Times New Roman" w:hAnsi="Times New Roman" w:cs="Times New Roman"/>
          <w:sz w:val="22"/>
          <w:szCs w:val="22"/>
          <w:lang w:val="lt-LT"/>
        </w:rPr>
        <w:t xml:space="preserve">% pacientų, ilgą laiką vartojusių Sandostatin </w:t>
      </w:r>
      <w:r w:rsidRPr="000E27EC">
        <w:rPr>
          <w:rFonts w:ascii="Times New Roman" w:hAnsi="Times New Roman" w:cs="Times New Roman"/>
          <w:sz w:val="22"/>
          <w:szCs w:val="22"/>
          <w:lang w:val="en-GB"/>
        </w:rPr>
        <w:t>injekcinį tirpalą (s.c.).</w:t>
      </w:r>
      <w:r w:rsidRPr="000E27EC">
        <w:rPr>
          <w:rFonts w:ascii="Times New Roman" w:hAnsi="Times New Roman" w:cs="Times New Roman"/>
          <w:color w:val="222222"/>
          <w:sz w:val="22"/>
          <w:szCs w:val="22"/>
          <w:lang w:val="lt-LT"/>
        </w:rPr>
        <w:t xml:space="preserve"> </w:t>
      </w:r>
      <w:r w:rsidRPr="000E27EC">
        <w:rPr>
          <w:rFonts w:ascii="Times New Roman" w:hAnsi="Times New Roman" w:cs="Times New Roman"/>
          <w:sz w:val="22"/>
          <w:szCs w:val="22"/>
          <w:lang w:val="lt-LT"/>
        </w:rPr>
        <w:t>Bendras (40-60 metų amžiaus) populiacijos dažnis yra apie 5-20 %.</w:t>
      </w:r>
      <w:r w:rsidRPr="000E27EC">
        <w:rPr>
          <w:rFonts w:ascii="Times New Roman" w:hAnsi="Times New Roman" w:cs="Times New Roman"/>
          <w:color w:val="222222"/>
          <w:sz w:val="22"/>
          <w:szCs w:val="22"/>
          <w:lang w:val="lt-LT"/>
        </w:rPr>
        <w:t xml:space="preserve"> </w:t>
      </w:r>
      <w:r w:rsidRPr="000E27EC">
        <w:rPr>
          <w:rFonts w:ascii="Times New Roman" w:hAnsi="Times New Roman" w:cs="Times New Roman"/>
          <w:sz w:val="22"/>
          <w:szCs w:val="22"/>
          <w:lang w:val="lt-LT"/>
        </w:rPr>
        <w:t>Jei atsiranda tulžies akmenys, paprastai jie yra besimptomiai; simptominiai tulžies akmenys turi būti gydomi arba nutraukus gydymą tulžies rūgštimis arba operuojant.</w:t>
      </w:r>
    </w:p>
    <w:p w14:paraId="58460B76"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lt-LT"/>
        </w:rPr>
      </w:pPr>
    </w:p>
    <w:p w14:paraId="12329340" w14:textId="77777777" w:rsidR="00E446F1" w:rsidRPr="000E27EC" w:rsidRDefault="00E446F1" w:rsidP="00E446F1">
      <w:pPr>
        <w:tabs>
          <w:tab w:val="left" w:pos="720"/>
        </w:tabs>
        <w:spacing w:after="0" w:line="240" w:lineRule="auto"/>
        <w:rPr>
          <w:rFonts w:ascii="Times New Roman" w:eastAsia="Calibri" w:hAnsi="Times New Roman" w:cs="Times New Roman"/>
          <w:i/>
          <w:sz w:val="22"/>
          <w:szCs w:val="22"/>
          <w:lang w:val="lt-LT"/>
        </w:rPr>
      </w:pPr>
      <w:r w:rsidRPr="000E27EC">
        <w:rPr>
          <w:rFonts w:ascii="Times New Roman" w:hAnsi="Times New Roman" w:cs="Times New Roman"/>
          <w:i/>
          <w:sz w:val="22"/>
          <w:szCs w:val="22"/>
          <w:lang w:val="lt-LT"/>
        </w:rPr>
        <w:t>Virškinimo trakto sutrikimai</w:t>
      </w:r>
    </w:p>
    <w:p w14:paraId="3947A883"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 xml:space="preserve">Retais atvejais nepageidaujamas poveikis virškinimo traktui gali būti panašus į ūminį žarnų nepraeinamumą, kai pasireiškia stiprėjantis pilvo pūtimas, stiprus viršutinės pilvo dalies skausmas, padidėjęs pilvo jautrumas (jį pacientas saugo nuo bet kokio dirginimo). </w:t>
      </w:r>
    </w:p>
    <w:p w14:paraId="0D186E2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lt-LT"/>
        </w:rPr>
      </w:pPr>
    </w:p>
    <w:p w14:paraId="7D46895C"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Nustatyta, kad tęsiant gydymą nepageidaujamų virškinimo trakto sutrikimų dažnis ilgainiui mažėja.</w:t>
      </w:r>
    </w:p>
    <w:p w14:paraId="16107B4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lt-LT"/>
        </w:rPr>
      </w:pPr>
    </w:p>
    <w:p w14:paraId="1156C33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 xml:space="preserve">Nepageidaujamą poveikį virškinimo traktui galima sumažinti, jei prieš Sandostatin vartojimą, injekcijos po oda metu ir tam tikrą laiką po jos pacientas nevalgytų, kitaip tariant, jei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lt-LT"/>
        </w:rPr>
        <w:t>būtų leidžiama tarp valgymų arba einant miegoti.</w:t>
      </w:r>
    </w:p>
    <w:p w14:paraId="488CD094" w14:textId="77777777" w:rsidR="00E446F1" w:rsidRPr="000E27EC" w:rsidRDefault="00E446F1" w:rsidP="00E446F1">
      <w:pPr>
        <w:widowControl w:val="0"/>
        <w:spacing w:after="0" w:line="240" w:lineRule="auto"/>
        <w:rPr>
          <w:rFonts w:ascii="Times New Roman" w:hAnsi="Times New Roman" w:cs="Times New Roman"/>
          <w:sz w:val="22"/>
          <w:szCs w:val="22"/>
          <w:lang w:val="lt-LT"/>
        </w:rPr>
      </w:pPr>
    </w:p>
    <w:p w14:paraId="5D2A9A4D" w14:textId="77777777" w:rsidR="00E446F1" w:rsidRPr="000E27EC" w:rsidRDefault="00E446F1" w:rsidP="00E446F1">
      <w:pPr>
        <w:widowControl w:val="0"/>
        <w:spacing w:after="0" w:line="240" w:lineRule="auto"/>
        <w:rPr>
          <w:rFonts w:ascii="Times New Roman" w:eastAsia="Calibri" w:hAnsi="Times New Roman" w:cs="Times New Roman"/>
          <w:i/>
          <w:sz w:val="22"/>
          <w:szCs w:val="22"/>
          <w:lang w:val="lt-LT"/>
        </w:rPr>
      </w:pPr>
      <w:r w:rsidRPr="000E27EC">
        <w:rPr>
          <w:rFonts w:ascii="Times New Roman" w:hAnsi="Times New Roman" w:cs="Times New Roman"/>
          <w:i/>
          <w:sz w:val="22"/>
          <w:szCs w:val="22"/>
          <w:lang w:val="lt-LT"/>
        </w:rPr>
        <w:t>Padidėjęs jautrumas ir anafilaksinės reakcijos</w:t>
      </w:r>
    </w:p>
    <w:p w14:paraId="466E6253"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Vaistinį preparatą pateikus į rinką, gauta pranešimų apie padidėjusio jautrumo ir alergines reakcijas. Joms pasireiškus, dažniausiai paveikiama oda, retai - burna ir kvėpavimo takai.</w:t>
      </w:r>
      <w:r w:rsidRPr="000E27EC">
        <w:rPr>
          <w:rFonts w:ascii="Times New Roman" w:hAnsi="Times New Roman" w:cs="Times New Roman"/>
          <w:color w:val="222222"/>
          <w:sz w:val="22"/>
          <w:szCs w:val="22"/>
          <w:lang w:val="lt-LT"/>
        </w:rPr>
        <w:t xml:space="preserve"> </w:t>
      </w:r>
      <w:r w:rsidRPr="000E27EC">
        <w:rPr>
          <w:rFonts w:ascii="Times New Roman" w:hAnsi="Times New Roman" w:cs="Times New Roman"/>
          <w:sz w:val="22"/>
          <w:szCs w:val="22"/>
          <w:lang w:val="lt-LT"/>
        </w:rPr>
        <w:t>Pastebėta atskirų anafilaksinio šoko atvejų.</w:t>
      </w:r>
    </w:p>
    <w:p w14:paraId="13BEE8A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DEF90E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i/>
          <w:sz w:val="22"/>
          <w:szCs w:val="22"/>
        </w:rPr>
      </w:pPr>
      <w:r w:rsidRPr="000E27EC">
        <w:rPr>
          <w:rFonts w:ascii="Times New Roman" w:hAnsi="Times New Roman" w:cs="Times New Roman"/>
          <w:i/>
          <w:sz w:val="22"/>
          <w:szCs w:val="22"/>
        </w:rPr>
        <w:t>Injekcijos vietos reakcijos</w:t>
      </w:r>
    </w:p>
    <w:p w14:paraId="0A97BA87"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Injekcijos po oda vietoje atsiradęs skausmas, dūrimo, dilgčiojimo ar deginimo pojūtis, paraudimas bei patinimas retai trunka ilgiau kaip 15 minučių. Vietinį nemalonų pojūtį galima sumažinti leidžiant iki kambario temperatūros sušildytą tirpalą arba mažesnį didesnės koncentracijos tirpalo tūrį.</w:t>
      </w:r>
    </w:p>
    <w:p w14:paraId="79DB8C2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769BCBF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i/>
          <w:sz w:val="22"/>
          <w:szCs w:val="22"/>
        </w:rPr>
      </w:pPr>
      <w:r w:rsidRPr="000E27EC">
        <w:rPr>
          <w:rFonts w:ascii="Times New Roman" w:hAnsi="Times New Roman" w:cs="Times New Roman"/>
          <w:i/>
          <w:sz w:val="22"/>
          <w:szCs w:val="22"/>
        </w:rPr>
        <w:t>Metabolizmo ir mitybos sutrikimai</w:t>
      </w:r>
    </w:p>
    <w:p w14:paraId="51EBC36D"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Nors gali padidėti su išmatomis šalinamų riebalų kiekis, iki šiol nėra duomenų, kad </w:t>
      </w:r>
      <w:proofErr w:type="gramStart"/>
      <w:r w:rsidRPr="000E27EC">
        <w:rPr>
          <w:rFonts w:ascii="Times New Roman" w:hAnsi="Times New Roman" w:cs="Times New Roman"/>
          <w:sz w:val="22"/>
          <w:szCs w:val="22"/>
        </w:rPr>
        <w:t>dėl</w:t>
      </w:r>
      <w:proofErr w:type="gramEnd"/>
      <w:r w:rsidRPr="000E27EC">
        <w:rPr>
          <w:rFonts w:ascii="Times New Roman" w:hAnsi="Times New Roman" w:cs="Times New Roman"/>
          <w:sz w:val="22"/>
          <w:szCs w:val="22"/>
        </w:rPr>
        <w:t xml:space="preserve"> ilgalaikio oktreotido vartojimo atsirastų rezorbcijos sutrikimo sukeltas mitybos nepakankamumas.</w:t>
      </w:r>
    </w:p>
    <w:p w14:paraId="5CB5159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2A096E3D"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i/>
          <w:sz w:val="22"/>
          <w:szCs w:val="22"/>
        </w:rPr>
      </w:pPr>
      <w:r w:rsidRPr="000E27EC">
        <w:rPr>
          <w:rFonts w:ascii="Times New Roman" w:hAnsi="Times New Roman" w:cs="Times New Roman"/>
          <w:i/>
          <w:sz w:val="22"/>
          <w:szCs w:val="22"/>
        </w:rPr>
        <w:t>Kasos fermentai</w:t>
      </w:r>
    </w:p>
    <w:p w14:paraId="46D6D8B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lastRenderedPageBreak/>
        <w:t xml:space="preserve">Labai retais atvejais per pirmąsias kelias valandas ar dienas nuo po oda leidžiamo Sandostatin vartojimo pasireiškė ūminis pankreatitas; jis praeidavo nutraukus </w:t>
      </w:r>
      <w:r w:rsidR="002A4847" w:rsidRPr="002A4847">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vartojimą. Be to, ilgai po oda leidžiamu Sandostatin gydytiems pacientams buvo tulžies pūslės akmenligės sukelto pankreatito atvejų.</w:t>
      </w:r>
    </w:p>
    <w:p w14:paraId="3B4524B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669F90AC"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i/>
          <w:sz w:val="22"/>
          <w:szCs w:val="22"/>
        </w:rPr>
      </w:pPr>
      <w:r w:rsidRPr="000E27EC">
        <w:rPr>
          <w:rFonts w:ascii="Times New Roman" w:hAnsi="Times New Roman" w:cs="Times New Roman"/>
          <w:i/>
          <w:sz w:val="22"/>
          <w:szCs w:val="22"/>
        </w:rPr>
        <w:t>Širdies sutrikimai</w:t>
      </w:r>
    </w:p>
    <w:p w14:paraId="127DF5CC"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Bradikardija yra dažna nepageidaujama reakcija gydant somatostatino analogais. Tiek akromegalija, tiek karcinoidiniu sindromu sergantiems pacientams nustatyta EKG pokyčių, pavyzdžiui, QT intervalo pailgėjimas, elektrinės širdies ašies nuokrypis, ankstyva repoliarizacija, bangų amplitudžių sumažėjimas, R-S dantelių pokytis, ankstyvas R bangos kilimas ir nespecifiniai ST-T bangos pokyčiai. Šių pakitimų ryšys su oktreotido vartojimu nenustatytas, nes dauguma šį vaistinį preparatą vartojusių pacientų sirgo kitomis širdies ligomis (žr. 4.4 skyrių).</w:t>
      </w:r>
    </w:p>
    <w:p w14:paraId="054B4863" w14:textId="77777777" w:rsidR="00E446F1" w:rsidRPr="000E27EC" w:rsidRDefault="00E446F1" w:rsidP="00E446F1">
      <w:pPr>
        <w:widowControl w:val="0"/>
        <w:spacing w:after="0" w:line="240" w:lineRule="auto"/>
        <w:rPr>
          <w:rFonts w:ascii="Times New Roman" w:hAnsi="Times New Roman" w:cs="Times New Roman"/>
          <w:i/>
          <w:sz w:val="22"/>
          <w:szCs w:val="22"/>
          <w:lang w:val="lt-LT"/>
        </w:rPr>
      </w:pPr>
    </w:p>
    <w:p w14:paraId="3424B710" w14:textId="77777777" w:rsidR="00E446F1" w:rsidRPr="000E27EC" w:rsidRDefault="00E446F1" w:rsidP="00E446F1">
      <w:pPr>
        <w:widowControl w:val="0"/>
        <w:spacing w:after="0" w:line="240" w:lineRule="auto"/>
        <w:rPr>
          <w:rFonts w:ascii="Times New Roman" w:eastAsia="Calibri" w:hAnsi="Times New Roman" w:cs="Times New Roman"/>
          <w:i/>
          <w:sz w:val="22"/>
          <w:szCs w:val="22"/>
          <w:lang w:val="lt-LT"/>
        </w:rPr>
      </w:pPr>
      <w:r w:rsidRPr="000E27EC">
        <w:rPr>
          <w:rFonts w:ascii="Times New Roman" w:hAnsi="Times New Roman" w:cs="Times New Roman"/>
          <w:i/>
          <w:sz w:val="22"/>
          <w:szCs w:val="22"/>
          <w:lang w:val="lt-LT"/>
        </w:rPr>
        <w:t>Trombocitopenija</w:t>
      </w:r>
    </w:p>
    <w:p w14:paraId="7F8FA405" w14:textId="77777777" w:rsidR="00E446F1" w:rsidRPr="000E27EC" w:rsidRDefault="00E446F1" w:rsidP="00E446F1">
      <w:pPr>
        <w:widowControl w:val="0"/>
        <w:spacing w:after="0" w:line="240" w:lineRule="auto"/>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Vaistinį preparatą pateikus į rinką, gauta pranešimų apie trombocitopenijos atvejus, ypatingai pacientams, sergantiems kepenų ciroze ir vartojantiems Sandostatin infuzinį tirpalą. Tai išnyksta nutraukus gydymą.</w:t>
      </w:r>
    </w:p>
    <w:p w14:paraId="4494516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u w:val="single"/>
          <w:lang w:val="lt-LT"/>
        </w:rPr>
      </w:pPr>
    </w:p>
    <w:p w14:paraId="09037A05" w14:textId="77777777" w:rsidR="00E446F1" w:rsidRPr="000E27EC" w:rsidRDefault="00E446F1" w:rsidP="00E446F1">
      <w:pPr>
        <w:tabs>
          <w:tab w:val="left" w:pos="567"/>
        </w:tabs>
        <w:autoSpaceDE w:val="0"/>
        <w:autoSpaceDN w:val="0"/>
        <w:adjustRightInd w:val="0"/>
        <w:spacing w:after="0" w:line="260" w:lineRule="exact"/>
        <w:rPr>
          <w:rFonts w:ascii="Times New Roman" w:eastAsia="Calibri" w:hAnsi="Times New Roman" w:cs="Times New Roman"/>
          <w:sz w:val="22"/>
          <w:szCs w:val="22"/>
          <w:u w:val="single"/>
          <w:lang w:val="lt-LT"/>
        </w:rPr>
      </w:pPr>
      <w:r w:rsidRPr="000E27EC">
        <w:rPr>
          <w:rFonts w:ascii="Times New Roman" w:hAnsi="Times New Roman" w:cs="Times New Roman"/>
          <w:sz w:val="22"/>
          <w:szCs w:val="22"/>
          <w:u w:val="single"/>
          <w:lang w:val="lt-LT"/>
        </w:rPr>
        <w:t>Pranešimas apie įtariamas nepageidaujamas reakcijas</w:t>
      </w:r>
    </w:p>
    <w:p w14:paraId="656CBBA0" w14:textId="40F8E97F" w:rsidR="00E446F1" w:rsidRPr="000E27EC" w:rsidRDefault="00E446F1" w:rsidP="00E446F1">
      <w:pPr>
        <w:tabs>
          <w:tab w:val="left" w:pos="567"/>
        </w:tabs>
        <w:autoSpaceDE w:val="0"/>
        <w:autoSpaceDN w:val="0"/>
        <w:adjustRightInd w:val="0"/>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 xml:space="preserve">Svarbu pranešti apie įtariamas nepageidaujamas reakcijas, pastebėtas po vaistinio preparato registracijos, nes </w:t>
      </w:r>
      <w:proofErr w:type="gramStart"/>
      <w:r w:rsidRPr="000E27EC">
        <w:rPr>
          <w:rFonts w:ascii="Times New Roman" w:hAnsi="Times New Roman" w:cs="Times New Roman"/>
          <w:sz w:val="22"/>
          <w:szCs w:val="22"/>
        </w:rPr>
        <w:t>tai</w:t>
      </w:r>
      <w:proofErr w:type="gramEnd"/>
      <w:r w:rsidRPr="000E27EC">
        <w:rPr>
          <w:rFonts w:ascii="Times New Roman" w:hAnsi="Times New Roman" w:cs="Times New Roman"/>
          <w:sz w:val="22"/>
          <w:szCs w:val="22"/>
        </w:rPr>
        <w:t xml:space="preserve"> leidžia nuolat stebėti vaistinio preparato naudos ir rizikos santykį. </w:t>
      </w:r>
      <w:r w:rsidR="00890989" w:rsidRPr="00890989">
        <w:rPr>
          <w:rFonts w:ascii="Times New Roman" w:hAnsi="Times New Roman" w:cs="Times New Roman"/>
          <w:sz w:val="22"/>
          <w:szCs w:val="22"/>
        </w:rPr>
        <w:t xml:space="preserve">Sveikatos priežiūros ar farmacijos specialistai turi pranešti apie bet kokias įtariamas nepageidaujamas reakcijas, užpildę </w:t>
      </w:r>
      <w:r w:rsidR="00B733FF">
        <w:rPr>
          <w:rFonts w:ascii="Times New Roman" w:hAnsi="Times New Roman" w:cs="Times New Roman"/>
          <w:sz w:val="22"/>
          <w:szCs w:val="22"/>
        </w:rPr>
        <w:t xml:space="preserve">ir pateikę </w:t>
      </w:r>
      <w:r w:rsidR="00890989" w:rsidRPr="00890989">
        <w:rPr>
          <w:rFonts w:ascii="Times New Roman" w:hAnsi="Times New Roman" w:cs="Times New Roman"/>
          <w:sz w:val="22"/>
          <w:szCs w:val="22"/>
        </w:rPr>
        <w:t xml:space="preserve">pranešimo formą </w:t>
      </w:r>
      <w:r w:rsidR="00B733FF" w:rsidRPr="00B733FF">
        <w:rPr>
          <w:rFonts w:ascii="Times New Roman" w:hAnsi="Times New Roman" w:cs="Times New Roman"/>
          <w:sz w:val="22"/>
          <w:szCs w:val="22"/>
        </w:rPr>
        <w:t>Valstybinės vaistų kontrolės tarnybos prie Lietuvos Respublikos sveikatos apsaugos ministerijos tinklalapyje https://vvkt.lrv.lt/lt/ nurodytais</w:t>
      </w:r>
      <w:r w:rsidR="00B733FF">
        <w:rPr>
          <w:rFonts w:ascii="Times New Roman" w:hAnsi="Times New Roman" w:cs="Times New Roman"/>
          <w:sz w:val="22"/>
          <w:szCs w:val="22"/>
        </w:rPr>
        <w:t xml:space="preserve"> </w:t>
      </w:r>
      <w:r w:rsidR="00B733FF" w:rsidRPr="00B733FF">
        <w:rPr>
          <w:rFonts w:ascii="Times New Roman" w:hAnsi="Times New Roman" w:cs="Times New Roman"/>
          <w:sz w:val="22"/>
          <w:szCs w:val="22"/>
        </w:rPr>
        <w:t>būdais</w:t>
      </w:r>
      <w:r w:rsidR="00B733FF">
        <w:rPr>
          <w:rFonts w:ascii="Times New Roman" w:hAnsi="Times New Roman" w:cs="Times New Roman"/>
          <w:sz w:val="22"/>
          <w:szCs w:val="22"/>
        </w:rPr>
        <w:t>.</w:t>
      </w:r>
    </w:p>
    <w:p w14:paraId="1766D09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u w:val="single"/>
        </w:rPr>
      </w:pPr>
    </w:p>
    <w:p w14:paraId="5E5D77DD"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4.9</w:t>
      </w:r>
      <w:r w:rsidRPr="000E27EC">
        <w:rPr>
          <w:rFonts w:ascii="Times New Roman" w:hAnsi="Times New Roman" w:cs="Times New Roman"/>
          <w:b/>
          <w:sz w:val="22"/>
          <w:szCs w:val="22"/>
        </w:rPr>
        <w:tab/>
        <w:t>Perdozavimas</w:t>
      </w:r>
    </w:p>
    <w:p w14:paraId="42CC43E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p>
    <w:p w14:paraId="4937F1EF" w14:textId="4D81874A" w:rsidR="00987843" w:rsidRPr="00225D45" w:rsidRDefault="00E446F1" w:rsidP="00987843">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 xml:space="preserve">Duomenų apie netyčinį Sandostatin perdozavimą suaugusiesiems ir vaikams gauta nedaug. Suaugusiesiems buvo skirtos 2400–6000 mikrogramų per parą vaistinio preparato dozės, kurios buvo suleistos nuolatinės infuzijos būdu (100–250 mikrogramų per valandą greičiu) arba suleistos po oda (po </w:t>
      </w:r>
      <w:r w:rsidR="007F52E1">
        <w:rPr>
          <w:rFonts w:ascii="Times New Roman" w:hAnsi="Times New Roman" w:cs="Times New Roman"/>
          <w:sz w:val="22"/>
          <w:szCs w:val="22"/>
        </w:rPr>
        <w:t>1000</w:t>
      </w:r>
      <w:r w:rsidRPr="000E27EC">
        <w:rPr>
          <w:rFonts w:ascii="Times New Roman" w:hAnsi="Times New Roman" w:cs="Times New Roman"/>
          <w:sz w:val="22"/>
          <w:szCs w:val="22"/>
        </w:rPr>
        <w:t> mikrogramų tris kartus per parą). Pranešta apie pasireiškusius tokius nepageidaujamus reiškinius: sutrikęs širdies ritmas, hipotenzija, širdies sustojimas, galvos smegenų hipoksija, pankreatitas, kepenų steatozė, viduriavimas, silpnumas, letargija, sumažėjęs kūno svoris, hepatomegalija ir laktatų acidozė.</w:t>
      </w:r>
      <w:r w:rsidR="00987843">
        <w:rPr>
          <w:rFonts w:ascii="Times New Roman" w:hAnsi="Times New Roman" w:cs="Times New Roman"/>
          <w:sz w:val="22"/>
          <w:szCs w:val="22"/>
        </w:rPr>
        <w:t xml:space="preserve"> </w:t>
      </w:r>
      <w:r w:rsidR="00987843" w:rsidRPr="00225D45">
        <w:rPr>
          <w:rFonts w:ascii="Times New Roman" w:hAnsi="Times New Roman" w:cs="Times New Roman"/>
          <w:sz w:val="22"/>
          <w:szCs w:val="22"/>
        </w:rPr>
        <w:t xml:space="preserve">Pacientams, kuriems buvo skiriamos 100 mikrogramų per valandą nepertraukiamos infuzijos ir (arba) į veną boliuso būdu leidžiama oktreotido (50 mikrogramų boliuso </w:t>
      </w:r>
    </w:p>
    <w:p w14:paraId="31560754" w14:textId="4457832F" w:rsidR="00E446F1" w:rsidRPr="000E27EC" w:rsidRDefault="00987843" w:rsidP="00E446F1">
      <w:pPr>
        <w:widowControl w:val="0"/>
        <w:tabs>
          <w:tab w:val="left" w:pos="720"/>
        </w:tabs>
        <w:spacing w:after="0" w:line="240" w:lineRule="auto"/>
        <w:rPr>
          <w:rFonts w:ascii="Times New Roman" w:eastAsia="Calibri" w:hAnsi="Times New Roman" w:cs="Times New Roman"/>
          <w:sz w:val="22"/>
          <w:szCs w:val="22"/>
        </w:rPr>
      </w:pPr>
      <w:proofErr w:type="gramStart"/>
      <w:r w:rsidRPr="00225D45">
        <w:rPr>
          <w:rFonts w:ascii="Times New Roman" w:hAnsi="Times New Roman" w:cs="Times New Roman"/>
          <w:sz w:val="22"/>
          <w:szCs w:val="22"/>
        </w:rPr>
        <w:t>būdu</w:t>
      </w:r>
      <w:proofErr w:type="gramEnd"/>
      <w:r w:rsidRPr="00225D45">
        <w:rPr>
          <w:rFonts w:ascii="Times New Roman" w:hAnsi="Times New Roman" w:cs="Times New Roman"/>
          <w:sz w:val="22"/>
          <w:szCs w:val="22"/>
        </w:rPr>
        <w:t>, po to – 50 mikrogramų per valandą nepertraukiama infuzija), pasireiškė atrioventrikulinė blokada (įskaitant visišką atrioventrikulinę blokadą)</w:t>
      </w:r>
      <w:r>
        <w:rPr>
          <w:rFonts w:ascii="Times New Roman" w:hAnsi="Times New Roman" w:cs="Times New Roman"/>
          <w:sz w:val="22"/>
          <w:szCs w:val="22"/>
        </w:rPr>
        <w:t>.</w:t>
      </w:r>
    </w:p>
    <w:p w14:paraId="4C63F88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324168A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Vaikams buvo skirtos 50–3000 mikrogramų per parą vaistinio preparato dozės, kurios buvo suleistos nuolatinės infuzijos būdu (2</w:t>
      </w:r>
      <w:proofErr w:type="gramStart"/>
      <w:r w:rsidRPr="000E27EC">
        <w:rPr>
          <w:rFonts w:ascii="Times New Roman" w:hAnsi="Times New Roman" w:cs="Times New Roman"/>
          <w:sz w:val="22"/>
          <w:szCs w:val="22"/>
        </w:rPr>
        <w:t>,1</w:t>
      </w:r>
      <w:proofErr w:type="gramEnd"/>
      <w:r w:rsidRPr="000E27EC">
        <w:rPr>
          <w:rFonts w:ascii="Times New Roman" w:hAnsi="Times New Roman" w:cs="Times New Roman"/>
          <w:sz w:val="22"/>
          <w:szCs w:val="22"/>
        </w:rPr>
        <w:t>–500 mikrogramų per valandą greičiu) arba suleistos po oda (50</w:t>
      </w:r>
      <w:r w:rsidRPr="000E27EC">
        <w:rPr>
          <w:rFonts w:ascii="Times New Roman" w:hAnsi="Times New Roman" w:cs="Times New Roman"/>
          <w:sz w:val="22"/>
          <w:szCs w:val="22"/>
        </w:rPr>
        <w:noBreakHyphen/>
        <w:t>100 mikrogramų). Vienintelis pasireiškęs nepageidaujamas poveikis buvo nesunki hiperglikemija.</w:t>
      </w:r>
    </w:p>
    <w:p w14:paraId="12585E7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632D54AC"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Pranešimų apie netikėtus nepageidaujamus reiškinius, pasireiškusius vėžiu sirgusiems ir 3000–30000 mikrogramų per parą Sandostatin dozę per kelis kartus po oda vartojusiems pacientams, negauta.</w:t>
      </w:r>
    </w:p>
    <w:p w14:paraId="5D1628F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362E8DC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Perdozavus reikia gydyti simptomiškai. </w:t>
      </w:r>
    </w:p>
    <w:p w14:paraId="3302FE4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4E135C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ED98457"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5.</w:t>
      </w:r>
      <w:r w:rsidRPr="000E27EC">
        <w:rPr>
          <w:rFonts w:ascii="Times New Roman" w:hAnsi="Times New Roman" w:cs="Times New Roman"/>
          <w:b/>
          <w:sz w:val="22"/>
          <w:szCs w:val="22"/>
        </w:rPr>
        <w:tab/>
        <w:t>FARMAKOLOGINĖS SAVYBĖS</w:t>
      </w:r>
    </w:p>
    <w:p w14:paraId="19B6BE0C" w14:textId="77777777" w:rsidR="00E446F1" w:rsidRPr="000E27EC" w:rsidRDefault="00E446F1" w:rsidP="00E446F1">
      <w:pPr>
        <w:keepNext/>
        <w:widowControl w:val="0"/>
        <w:tabs>
          <w:tab w:val="left" w:pos="720"/>
        </w:tabs>
        <w:spacing w:after="0" w:line="240" w:lineRule="auto"/>
        <w:ind w:left="567" w:hanging="567"/>
        <w:rPr>
          <w:rFonts w:ascii="Times New Roman" w:hAnsi="Times New Roman" w:cs="Times New Roman"/>
          <w:sz w:val="22"/>
          <w:szCs w:val="22"/>
        </w:rPr>
      </w:pPr>
    </w:p>
    <w:p w14:paraId="12A58DEE"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5.1</w:t>
      </w:r>
      <w:r w:rsidRPr="000E27EC">
        <w:rPr>
          <w:rFonts w:ascii="Times New Roman" w:hAnsi="Times New Roman" w:cs="Times New Roman"/>
          <w:b/>
          <w:sz w:val="22"/>
          <w:szCs w:val="22"/>
        </w:rPr>
        <w:tab/>
        <w:t>Farmakodinaminės savybės</w:t>
      </w:r>
    </w:p>
    <w:p w14:paraId="7442A672"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p>
    <w:p w14:paraId="3BF84C17"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Farmakoterapinė grupė – somatostatinas ir jo analogai, ATC kodas – H01CB02.</w:t>
      </w:r>
    </w:p>
    <w:p w14:paraId="3F8BDEC1"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73ED682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Oktreotidas yra sintetinis oktapeptidas, natūraliojo somatostatino junginys, pasižymintis panašiomis farmakologinėmis savybėmis, bet veikiantis gerokai ilgiau. Jis slopina patologiškai padidėjusią augimo hormono (AH) sekreciją, taip pat peptidų bei serotonino sekreciją skrandžio, žarnų ir kasos </w:t>
      </w:r>
      <w:r w:rsidRPr="000E27EC">
        <w:rPr>
          <w:rFonts w:ascii="Times New Roman" w:hAnsi="Times New Roman" w:cs="Times New Roman"/>
          <w:sz w:val="22"/>
          <w:szCs w:val="22"/>
          <w:lang w:val="es-ES"/>
        </w:rPr>
        <w:lastRenderedPageBreak/>
        <w:t xml:space="preserve">endokrininėje sistemoje. </w:t>
      </w:r>
    </w:p>
    <w:p w14:paraId="75C0A7E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AF65B1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Gyvūnams oktreotidas daug stipriau negu somatostatinas slopina AH, gliukagono ir insulino išsiskyrimą. Jis selektyviau slopina AH ir gliukagono sekreciją.</w:t>
      </w:r>
    </w:p>
    <w:p w14:paraId="5811DCF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4056FEEB"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Nustatyta, kad Sandostatin sveikų žmonių organizme slopina:</w:t>
      </w:r>
    </w:p>
    <w:p w14:paraId="647E5BA1" w14:textId="77777777" w:rsidR="00E446F1" w:rsidRPr="000E27EC" w:rsidRDefault="00E446F1" w:rsidP="00E446F1">
      <w:pPr>
        <w:widowControl w:val="0"/>
        <w:numPr>
          <w:ilvl w:val="0"/>
          <w:numId w:val="10"/>
        </w:numPr>
        <w:tabs>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argininu, fiziniu krūviu ir insulinu sukelta hipoglikemija skatinamą AH sekreciją,</w:t>
      </w:r>
    </w:p>
    <w:p w14:paraId="5E8E1CA8" w14:textId="77777777" w:rsidR="00E446F1" w:rsidRPr="000E27EC" w:rsidRDefault="00E446F1" w:rsidP="00E446F1">
      <w:pPr>
        <w:widowControl w:val="0"/>
        <w:numPr>
          <w:ilvl w:val="0"/>
          <w:numId w:val="10"/>
        </w:numPr>
        <w:tabs>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insulino, gliukagono, gastrino, kitų skrandžio, žarnų ir kasos endokrininės sistemos peptidų išsiskyrimą pavalgius bei argininu skatinamą insulino ir gliukagono išsiskyrimą,</w:t>
      </w:r>
    </w:p>
    <w:p w14:paraId="0CEE4BD3" w14:textId="77777777" w:rsidR="00E446F1" w:rsidRPr="000E27EC" w:rsidRDefault="00E446F1" w:rsidP="00E446F1">
      <w:pPr>
        <w:widowControl w:val="0"/>
        <w:numPr>
          <w:ilvl w:val="0"/>
          <w:numId w:val="10"/>
        </w:numPr>
        <w:tabs>
          <w:tab w:val="left" w:pos="567"/>
        </w:tabs>
        <w:spacing w:after="0" w:line="240" w:lineRule="auto"/>
        <w:ind w:left="567" w:hanging="567"/>
        <w:rPr>
          <w:rFonts w:ascii="Times New Roman" w:eastAsia="Calibri" w:hAnsi="Times New Roman" w:cs="Times New Roman"/>
          <w:sz w:val="22"/>
          <w:szCs w:val="22"/>
        </w:rPr>
      </w:pPr>
      <w:proofErr w:type="gramStart"/>
      <w:r w:rsidRPr="000E27EC">
        <w:rPr>
          <w:rFonts w:ascii="Times New Roman" w:hAnsi="Times New Roman" w:cs="Times New Roman"/>
          <w:sz w:val="22"/>
          <w:szCs w:val="22"/>
        </w:rPr>
        <w:t>tirotropiną</w:t>
      </w:r>
      <w:proofErr w:type="gramEnd"/>
      <w:r w:rsidRPr="000E27EC">
        <w:rPr>
          <w:rFonts w:ascii="Times New Roman" w:hAnsi="Times New Roman" w:cs="Times New Roman"/>
          <w:sz w:val="22"/>
          <w:szCs w:val="22"/>
        </w:rPr>
        <w:t xml:space="preserve"> atpalaiduojančiu hormonu (TRH) skatinamą tirotropino (TTH) išsiskyrimą.</w:t>
      </w:r>
    </w:p>
    <w:p w14:paraId="2CDF9B9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961DE8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Oktreotidas, skirtingai negu somatostatinas, AH sekreciją slopina labiau negu insulino, o po </w:t>
      </w:r>
      <w:proofErr w:type="gramStart"/>
      <w:r w:rsidRPr="000E27EC">
        <w:rPr>
          <w:rFonts w:ascii="Times New Roman" w:hAnsi="Times New Roman" w:cs="Times New Roman"/>
          <w:sz w:val="22"/>
          <w:szCs w:val="22"/>
        </w:rPr>
        <w:t>jo</w:t>
      </w:r>
      <w:proofErr w:type="gramEnd"/>
      <w:r w:rsidRPr="000E27EC">
        <w:rPr>
          <w:rFonts w:ascii="Times New Roman" w:hAnsi="Times New Roman" w:cs="Times New Roman"/>
          <w:sz w:val="22"/>
          <w:szCs w:val="22"/>
        </w:rPr>
        <w:t xml:space="preserve"> vartojimo nebūna atoveiksmio sukelto hormonų (t.</w:t>
      </w:r>
      <w:r w:rsidR="002B052D">
        <w:rPr>
          <w:rFonts w:ascii="Times New Roman" w:hAnsi="Times New Roman" w:cs="Times New Roman"/>
          <w:sz w:val="22"/>
          <w:szCs w:val="22"/>
        </w:rPr>
        <w:t> </w:t>
      </w:r>
      <w:r w:rsidRPr="000E27EC">
        <w:rPr>
          <w:rFonts w:ascii="Times New Roman" w:hAnsi="Times New Roman" w:cs="Times New Roman"/>
          <w:sz w:val="22"/>
          <w:szCs w:val="22"/>
        </w:rPr>
        <w:t>y. AH akromegalija sergantiems pacientams) sekrecijos padidėjimo.</w:t>
      </w:r>
    </w:p>
    <w:p w14:paraId="5AA3C57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57DBB5A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Akromegalija sergantiems pacientams vartojant Sandostatin, sumažėja AH ir IAF-1 koncentracijos plazmoje. AH koncentracija 50 % arba daugiau sumažėja net iki 90 % pacientų, o maždaug pusei ligonių šio hormono koncentracija serume tampa mažesnė negu 5 ng/ml. Daugumai pacientų vartojant Sandostatin ženkliai sumažėjo klinikinių ligos simptomų, pvz., galvos skausmas, odos ir minkštųjų audinių patinimas, sustiprėjęs prakaitavimas, artralgijos ir parestezijos. Ligoniams, kuriems yra didelė hipofizės adenoma, dėl gydymo Sandostatin navikas gali šiek tiek sumažėti.</w:t>
      </w:r>
    </w:p>
    <w:p w14:paraId="22D3D94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3444237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Dėl savo įvairialypio poveikio endokrininei sistemai, Sandostatin lengvina įvairius ligos sukeltus sutrikimus pacientams, kuriems yra hormonus produkuojančių skrandžio, žarnyno, kasos endokrininės sistemos navikų. </w:t>
      </w:r>
      <w:r w:rsidR="002A4847">
        <w:rPr>
          <w:rFonts w:ascii="Times New Roman" w:hAnsi="Times New Roman" w:cs="Times New Roman"/>
          <w:sz w:val="22"/>
          <w:szCs w:val="22"/>
          <w:lang w:val="es-ES"/>
        </w:rPr>
        <w:t>V</w:t>
      </w:r>
      <w:r w:rsidR="002A4847" w:rsidRPr="002A4847">
        <w:rPr>
          <w:rFonts w:ascii="Times New Roman" w:hAnsi="Times New Roman" w:cs="Times New Roman"/>
          <w:sz w:val="22"/>
          <w:szCs w:val="22"/>
          <w:lang w:val="it-IT"/>
        </w:rPr>
        <w:t>aistini</w:t>
      </w:r>
      <w:r w:rsidR="002A4847">
        <w:rPr>
          <w:rFonts w:ascii="Times New Roman" w:hAnsi="Times New Roman" w:cs="Times New Roman"/>
          <w:sz w:val="22"/>
          <w:szCs w:val="22"/>
          <w:lang w:val="it-IT"/>
        </w:rPr>
        <w:t>s</w:t>
      </w:r>
      <w:r w:rsidR="002A4847" w:rsidRPr="002A4847">
        <w:rPr>
          <w:rFonts w:ascii="Times New Roman" w:hAnsi="Times New Roman" w:cs="Times New Roman"/>
          <w:sz w:val="22"/>
          <w:szCs w:val="22"/>
          <w:lang w:val="it-IT"/>
        </w:rPr>
        <w:t xml:space="preserve"> preparat</w:t>
      </w:r>
      <w:r w:rsidR="002A4847">
        <w:rPr>
          <w:rFonts w:ascii="Times New Roman" w:hAnsi="Times New Roman" w:cs="Times New Roman"/>
          <w:sz w:val="22"/>
          <w:szCs w:val="22"/>
          <w:lang w:val="it-IT"/>
        </w:rPr>
        <w:t>as</w:t>
      </w:r>
      <w:r w:rsidR="002A4847" w:rsidRPr="002A4847">
        <w:rPr>
          <w:rFonts w:ascii="Times New Roman" w:hAnsi="Times New Roman" w:cs="Times New Roman"/>
          <w:sz w:val="22"/>
          <w:szCs w:val="22"/>
          <w:lang w:val="it-IT"/>
        </w:rPr>
        <w:t xml:space="preserve"> </w:t>
      </w:r>
      <w:r w:rsidRPr="000E27EC">
        <w:rPr>
          <w:rFonts w:ascii="Times New Roman" w:hAnsi="Times New Roman" w:cs="Times New Roman"/>
          <w:sz w:val="22"/>
          <w:szCs w:val="22"/>
          <w:lang w:val="es-ES"/>
        </w:rPr>
        <w:t>gerina klinikinė būklę bei lengvina simptomus pacientams, kuriems, nepaisant ankstesnio gydymo, įskaitant operaciją, kepenų arterijų embolizaciją bei įvairią chemoterapiją, pvz., streptozocinu ir 5</w:t>
      </w:r>
      <w:r w:rsidRPr="000E27EC">
        <w:rPr>
          <w:rFonts w:ascii="Times New Roman" w:hAnsi="Times New Roman" w:cs="Times New Roman"/>
          <w:sz w:val="22"/>
          <w:szCs w:val="22"/>
          <w:lang w:val="es-ES"/>
        </w:rPr>
        <w:noBreakHyphen/>
        <w:t>fluoruracilu, vis dar yra su naviku susijusių simptomų.</w:t>
      </w:r>
    </w:p>
    <w:p w14:paraId="35111A1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C22D558"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Sandostatin poveikis skirtingiems navikų tipams nurodytas toliau</w:t>
      </w:r>
    </w:p>
    <w:p w14:paraId="0F5F8DE1"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5FD29C6B"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Karcinoidiniai navikai</w:t>
      </w:r>
    </w:p>
    <w:p w14:paraId="2DC7B11B"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60E2126D"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Vartojant Sandostatin, gali palengvėti simptomai, ypač karščio pylimas ir viduriavimas. Daugeliu atvejų šis poveikis pasireiškia kartu su sumažėjusia serotonino koncentracija plazmoje ir sumažėjusiu 5</w:t>
      </w:r>
      <w:r w:rsidRPr="000E27EC">
        <w:rPr>
          <w:rFonts w:ascii="Times New Roman" w:hAnsi="Times New Roman" w:cs="Times New Roman"/>
          <w:sz w:val="22"/>
          <w:szCs w:val="22"/>
          <w:lang w:val="es-ES"/>
        </w:rPr>
        <w:noBreakHyphen/>
        <w:t>hidroksiindolacto rūgšties išsiskyrimu su šlapimu.</w:t>
      </w:r>
    </w:p>
    <w:p w14:paraId="5BE9D396"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3467023A"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VIP-omos</w:t>
      </w:r>
    </w:p>
    <w:p w14:paraId="6ECD31A6"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50F6B18D"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Biocheminė šių navikų savybė yra padidėjusi vazoaktyvaus žarnų peptido (angl., </w:t>
      </w:r>
      <w:r w:rsidRPr="000E27EC">
        <w:rPr>
          <w:rFonts w:ascii="Times New Roman" w:hAnsi="Times New Roman" w:cs="Times New Roman"/>
          <w:i/>
          <w:sz w:val="22"/>
          <w:szCs w:val="22"/>
          <w:lang w:val="es-ES"/>
        </w:rPr>
        <w:t>vasoactive intestinal peptide – VIP</w:t>
      </w:r>
      <w:r w:rsidRPr="000E27EC">
        <w:rPr>
          <w:rFonts w:ascii="Times New Roman" w:hAnsi="Times New Roman" w:cs="Times New Roman"/>
          <w:sz w:val="22"/>
          <w:szCs w:val="22"/>
          <w:lang w:val="es-ES"/>
        </w:rPr>
        <w:t>) sekrecija. Daugeliu atvejų pacientams vartojant Sandostatin, sumažėja šiai ligai būdingas sekrecinis viduriavimas ir dėl to pagerėja gyvenimo kokybė. Taip pat pagerėja dėl viduriavimo sutrikusi elektrolitų pusiausvyra, pvz., hipokalemija, todėl pacientui nereikia skirti geriamųjų ar parenteriniu būdu vartojamų skysčių bei elektrolitų papildų. Kompiuterinės tomografijos duomenimis, kai kuriems pacientams lėtėja arba sustoja naviko progresavimas arba navikas, ypač jo metastazės kepenyse, net sumažėja. Pagerėjusi klinikinė būklė paprastai būna susijusi su sumažėjusia VIP koncentracija plazmoje, kuri net gali tapti normalia.</w:t>
      </w:r>
    </w:p>
    <w:p w14:paraId="23065EFE"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4676F7E9"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Gliukagonomos</w:t>
      </w:r>
    </w:p>
    <w:p w14:paraId="5D1183FA"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040101F7"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Vartojant Sandostatin, daugeliu atvejų reikšmingai sumažėja šiai būklei būdingas nekrolizinis migruojantis </w:t>
      </w:r>
      <w:r w:rsidR="00E32B96">
        <w:rPr>
          <w:rFonts w:ascii="Times New Roman" w:hAnsi="Times New Roman" w:cs="Times New Roman"/>
          <w:sz w:val="22"/>
          <w:szCs w:val="22"/>
          <w:lang w:val="es-ES"/>
        </w:rPr>
        <w:t>iš</w:t>
      </w:r>
      <w:r w:rsidRPr="000E27EC">
        <w:rPr>
          <w:rFonts w:ascii="Times New Roman" w:hAnsi="Times New Roman" w:cs="Times New Roman"/>
          <w:sz w:val="22"/>
          <w:szCs w:val="22"/>
          <w:lang w:val="es-ES"/>
        </w:rPr>
        <w:t xml:space="preserve">bėrimas. Sandostatin poveikis nesunkiam cukriniam diabetui, kuris yra gana dažnas, nėra ryškus, ir paprastai dėl to insulino ir gliukozės kiekį mažinančių </w:t>
      </w:r>
      <w:r w:rsidR="002A4847" w:rsidRPr="002A4847">
        <w:rPr>
          <w:rFonts w:ascii="Times New Roman" w:hAnsi="Times New Roman" w:cs="Times New Roman"/>
          <w:sz w:val="22"/>
          <w:szCs w:val="22"/>
          <w:lang w:val="it-IT"/>
        </w:rPr>
        <w:t>vaistini</w:t>
      </w:r>
      <w:r w:rsidR="002A4847">
        <w:rPr>
          <w:rFonts w:ascii="Times New Roman" w:hAnsi="Times New Roman" w:cs="Times New Roman"/>
          <w:sz w:val="22"/>
          <w:szCs w:val="22"/>
          <w:lang w:val="it-IT"/>
        </w:rPr>
        <w:t>ų</w:t>
      </w:r>
      <w:r w:rsidR="002A4847" w:rsidRPr="002A4847">
        <w:rPr>
          <w:rFonts w:ascii="Times New Roman" w:hAnsi="Times New Roman" w:cs="Times New Roman"/>
          <w:sz w:val="22"/>
          <w:szCs w:val="22"/>
          <w:lang w:val="it-IT"/>
        </w:rPr>
        <w:t xml:space="preserve"> preparat</w:t>
      </w:r>
      <w:r w:rsidR="002A4847">
        <w:rPr>
          <w:rFonts w:ascii="Times New Roman" w:hAnsi="Times New Roman" w:cs="Times New Roman"/>
          <w:sz w:val="22"/>
          <w:szCs w:val="22"/>
          <w:lang w:val="it-IT"/>
        </w:rPr>
        <w:t>ų</w:t>
      </w:r>
      <w:r w:rsidR="002A4847" w:rsidRPr="002A4847">
        <w:rPr>
          <w:rFonts w:ascii="Times New Roman" w:hAnsi="Times New Roman" w:cs="Times New Roman"/>
          <w:sz w:val="22"/>
          <w:szCs w:val="22"/>
          <w:lang w:val="it-IT"/>
        </w:rPr>
        <w:t xml:space="preserve"> </w:t>
      </w:r>
      <w:r w:rsidRPr="000E27EC">
        <w:rPr>
          <w:rFonts w:ascii="Times New Roman" w:hAnsi="Times New Roman" w:cs="Times New Roman"/>
          <w:sz w:val="22"/>
          <w:szCs w:val="22"/>
          <w:lang w:val="es-ES"/>
        </w:rPr>
        <w:t>poreikis pacientui nesumažėja. Šiems pacientams Sandostatin sumažina viduriavimą, todėl padidėja jų kūno svoris. Nors vartojant Sandostatin, dažnai iškart sumažėja gliukagono koncentracija plazmoje, tačiau toks pokytis paprastai neišlieka vaistinio preparato vartojant ilgai, tačiau išlieka simptominis būklės pagerėjimas.</w:t>
      </w:r>
    </w:p>
    <w:p w14:paraId="35B502AD"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7C34652F"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lastRenderedPageBreak/>
        <w:t>Gastrinomos ir Zollinger-Ellison sindromas</w:t>
      </w:r>
    </w:p>
    <w:p w14:paraId="011AC113"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7A6DB942"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Nors skiriant protonų siurblio inhibitorių ar H2 receptorių blokatorių dažniausiai galima kontroliuoti skrandžio rūgšties hipersekreciją, tačiau šie preparatai gali pakankamai nesumažinti viduriavimo, kuris taip pat yra reikšmingas simptomas. Skiriant Sandostatin, gali labiau sumažėti skrandžio rūgšties hipersekrecija ir palengvėti ligos simptomai, įskaitant viduriavimą, kadangi šis vaistinis preparatas kai kuriems pacientams mažina padidėjusią gastrito koncentraciją.</w:t>
      </w:r>
    </w:p>
    <w:p w14:paraId="5E69247E"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02A9E366"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Insulinomos</w:t>
      </w:r>
    </w:p>
    <w:p w14:paraId="4A856991" w14:textId="77777777" w:rsidR="00E446F1" w:rsidRPr="000E27EC" w:rsidRDefault="00E446F1" w:rsidP="00E446F1">
      <w:pPr>
        <w:keepNext/>
        <w:tabs>
          <w:tab w:val="left" w:pos="720"/>
        </w:tabs>
        <w:spacing w:after="0" w:line="240" w:lineRule="auto"/>
        <w:rPr>
          <w:rFonts w:ascii="Times New Roman" w:hAnsi="Times New Roman" w:cs="Times New Roman"/>
          <w:sz w:val="22"/>
          <w:szCs w:val="22"/>
          <w:lang w:val="es-ES"/>
        </w:rPr>
      </w:pPr>
    </w:p>
    <w:p w14:paraId="7B2FAB47"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Vartojant Sandostatin, sumažėja cirkuliuojančio imunoreaktyvaus insulino koncentracija, tačiau šis pokytis yra trumpalaikis, t.</w:t>
      </w:r>
      <w:r w:rsidR="005B74C3">
        <w:rPr>
          <w:rFonts w:ascii="Times New Roman" w:hAnsi="Times New Roman" w:cs="Times New Roman"/>
          <w:sz w:val="22"/>
          <w:szCs w:val="22"/>
          <w:lang w:val="es-ES"/>
        </w:rPr>
        <w:t> </w:t>
      </w:r>
      <w:r w:rsidRPr="000E27EC">
        <w:rPr>
          <w:rFonts w:ascii="Times New Roman" w:hAnsi="Times New Roman" w:cs="Times New Roman"/>
          <w:sz w:val="22"/>
          <w:szCs w:val="22"/>
          <w:lang w:val="es-ES"/>
        </w:rPr>
        <w:t>y. trunka maždaug 2</w:t>
      </w:r>
      <w:r w:rsidR="005B74C3">
        <w:rPr>
          <w:rFonts w:ascii="Times New Roman" w:hAnsi="Times New Roman" w:cs="Times New Roman"/>
          <w:sz w:val="22"/>
          <w:szCs w:val="22"/>
          <w:lang w:val="es-ES"/>
        </w:rPr>
        <w:t> </w:t>
      </w:r>
      <w:r w:rsidRPr="000E27EC">
        <w:rPr>
          <w:rFonts w:ascii="Times New Roman" w:hAnsi="Times New Roman" w:cs="Times New Roman"/>
          <w:sz w:val="22"/>
          <w:szCs w:val="22"/>
          <w:lang w:val="es-ES"/>
        </w:rPr>
        <w:t>valandas. Pacientams, kuriems naviką galima operuoti, paskyrus Sandostatin, šis vaistinis preparatas gali padėti atstatyti ir išlaikyti normoglikemiją iki operacijos. Pacientų, kuriems gerybinio ar piktybinio naviko pašalinti neįmanoma, gliukozės kiekio kontrolė kraujyje gali pagerėti, nors cirkuliuojančio insulino kiekis ilgam nesumažėja.</w:t>
      </w:r>
    </w:p>
    <w:p w14:paraId="6ECABE33"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72EF8AA8"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Komplikacijos po kasos operacijų</w:t>
      </w:r>
    </w:p>
    <w:p w14:paraId="6AA7510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2FDC7F7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Pacientams, kuriems atliekama kasos operacija, perioperaciniu laikotarpiu ir po jos vartojamas Sandostatin mažina būdingų komplikacijų po operacijos (pvz., kasos fistulės, pūlinio ir po to pasireiškiančio sepsio, ūminio pankreatito) pasireiškimo dažnį.</w:t>
      </w:r>
    </w:p>
    <w:p w14:paraId="3911DC3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D3A9687"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Kraujavimas iš varikozinių stemplės ir skrandžio mazgų</w:t>
      </w:r>
    </w:p>
    <w:p w14:paraId="4BADA3BE"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5F6F7CAC"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Pacientams, kuriems dėl kepenų cirozės pasireiškia kraujavimas iš varikozinių stemplės ir skrandžio mazgų, skiriant Sandostatin kartu su specifinėmis priemonėmis (pvz., skleroterapija), geriau kontroliuojamas kraujavimas ir ankstyvasis pakartotinis kraujavimas, sumažėja kraujo perpylimų poreikis bei pagerėja ligonių išgyvenamumas 5 dienų laikotarpiu. Nors tikslus Sandostatin veikimo būdas iki šiol nežinomas, manoma, kad </w:t>
      </w:r>
      <w:r w:rsidR="00EE16F3" w:rsidRPr="00EE16F3">
        <w:rPr>
          <w:rFonts w:ascii="Times New Roman" w:hAnsi="Times New Roman" w:cs="Times New Roman"/>
          <w:sz w:val="22"/>
          <w:szCs w:val="22"/>
          <w:lang w:val="it-IT"/>
        </w:rPr>
        <w:t>vaistini</w:t>
      </w:r>
      <w:r w:rsidR="00EE16F3">
        <w:rPr>
          <w:rFonts w:ascii="Times New Roman" w:hAnsi="Times New Roman" w:cs="Times New Roman"/>
          <w:sz w:val="22"/>
          <w:szCs w:val="22"/>
          <w:lang w:val="it-IT"/>
        </w:rPr>
        <w:t>s</w:t>
      </w:r>
      <w:r w:rsidR="00EE16F3" w:rsidRPr="00EE16F3">
        <w:rPr>
          <w:rFonts w:ascii="Times New Roman" w:hAnsi="Times New Roman" w:cs="Times New Roman"/>
          <w:sz w:val="22"/>
          <w:szCs w:val="22"/>
          <w:lang w:val="it-IT"/>
        </w:rPr>
        <w:t xml:space="preserve"> preparat</w:t>
      </w:r>
      <w:r w:rsidR="00EE16F3">
        <w:rPr>
          <w:rFonts w:ascii="Times New Roman" w:hAnsi="Times New Roman" w:cs="Times New Roman"/>
          <w:sz w:val="22"/>
          <w:szCs w:val="22"/>
          <w:lang w:val="it-IT"/>
        </w:rPr>
        <w:t>as</w:t>
      </w:r>
      <w:r w:rsidR="00EE16F3" w:rsidRPr="00EE16F3">
        <w:rPr>
          <w:rFonts w:ascii="Times New Roman" w:hAnsi="Times New Roman" w:cs="Times New Roman"/>
          <w:sz w:val="22"/>
          <w:szCs w:val="22"/>
          <w:lang w:val="it-IT"/>
        </w:rPr>
        <w:t xml:space="preserve"> </w:t>
      </w:r>
      <w:r w:rsidRPr="000E27EC">
        <w:rPr>
          <w:rFonts w:ascii="Times New Roman" w:hAnsi="Times New Roman" w:cs="Times New Roman"/>
          <w:sz w:val="22"/>
          <w:szCs w:val="22"/>
          <w:lang w:val="es-ES"/>
        </w:rPr>
        <w:t>slopina vazoaktyvių peptidų (pvz., VIP, gliukagono) sintezę, todėl lėtėja vidaus organų kraujotaka.</w:t>
      </w:r>
    </w:p>
    <w:p w14:paraId="530ECBB8"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79AA27A2" w14:textId="77777777" w:rsidR="00E446F1" w:rsidRPr="000E27EC" w:rsidRDefault="00E446F1" w:rsidP="00E446F1">
      <w:pPr>
        <w:keepNext/>
        <w:tabs>
          <w:tab w:val="left" w:pos="720"/>
        </w:tab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Pacientų, sergančių TTH sekretuojančia hipofizės adenoma, gydymas</w:t>
      </w:r>
    </w:p>
    <w:p w14:paraId="0FBF713C" w14:textId="77777777" w:rsidR="00E446F1" w:rsidRPr="000E27EC" w:rsidRDefault="00E446F1" w:rsidP="00E446F1">
      <w:pPr>
        <w:keepNext/>
        <w:tabs>
          <w:tab w:val="left" w:pos="720"/>
        </w:tabs>
        <w:spacing w:after="0" w:line="240" w:lineRule="auto"/>
        <w:rPr>
          <w:rFonts w:ascii="Times New Roman" w:hAnsi="Times New Roman" w:cs="Times New Roman"/>
          <w:sz w:val="22"/>
          <w:szCs w:val="22"/>
          <w:u w:val="single"/>
          <w:lang w:val="es-ES"/>
        </w:rPr>
      </w:pPr>
    </w:p>
    <w:p w14:paraId="3E67B62E" w14:textId="77777777" w:rsidR="00E446F1" w:rsidRPr="000E27EC" w:rsidRDefault="00E446F1" w:rsidP="00E446F1">
      <w:pPr>
        <w:tabs>
          <w:tab w:val="left" w:pos="720"/>
        </w:tabs>
        <w:spacing w:after="0" w:line="240" w:lineRule="auto"/>
        <w:rPr>
          <w:rFonts w:ascii="Times New Roman" w:eastAsia="Calibri" w:hAnsi="Times New Roman" w:cs="Times New Roman"/>
          <w:color w:val="222222"/>
          <w:sz w:val="22"/>
          <w:szCs w:val="22"/>
          <w:lang w:val="es-ES"/>
        </w:rPr>
      </w:pPr>
      <w:r w:rsidRPr="000E27EC">
        <w:rPr>
          <w:rFonts w:ascii="Times New Roman" w:hAnsi="Times New Roman" w:cs="Times New Roman"/>
          <w:sz w:val="22"/>
          <w:szCs w:val="22"/>
          <w:lang w:val="es-ES"/>
        </w:rPr>
        <w:t>Sandostatin gydymo poveikis buvo perspektyviai stebėtas 21 pacientui ir susumuotas iš 37 publikuotų atvejų.</w:t>
      </w:r>
      <w:r w:rsidRPr="000E27EC">
        <w:rPr>
          <w:rFonts w:ascii="Times New Roman" w:hAnsi="Times New Roman" w:cs="Times New Roman"/>
          <w:color w:val="222222"/>
          <w:sz w:val="22"/>
          <w:szCs w:val="22"/>
          <w:lang w:val="es-ES"/>
        </w:rPr>
        <w:t xml:space="preserve"> Įvertinus 42</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pacientų biocheminius duomenis, 81</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pacientų (n</w:t>
      </w:r>
      <w:r w:rsidR="005B74C3">
        <w:rPr>
          <w:rFonts w:ascii="Times New Roman" w:hAnsi="Times New Roman" w:cs="Times New Roman"/>
          <w:color w:val="222222"/>
          <w:sz w:val="22"/>
          <w:szCs w:val="22"/>
          <w:lang w:val="es-ES"/>
        </w:rPr>
        <w:t> </w:t>
      </w:r>
      <w:r w:rsidRPr="000E27EC">
        <w:rPr>
          <w:rFonts w:ascii="Times New Roman" w:hAnsi="Times New Roman" w:cs="Times New Roman"/>
          <w:color w:val="222222"/>
          <w:sz w:val="22"/>
          <w:szCs w:val="22"/>
          <w:lang w:val="es-ES"/>
        </w:rPr>
        <w:t>=</w:t>
      </w:r>
      <w:r w:rsidR="005B74C3">
        <w:rPr>
          <w:rFonts w:ascii="Times New Roman" w:hAnsi="Times New Roman" w:cs="Times New Roman"/>
          <w:color w:val="222222"/>
          <w:sz w:val="22"/>
          <w:szCs w:val="22"/>
          <w:lang w:val="es-ES"/>
        </w:rPr>
        <w:t> </w:t>
      </w:r>
      <w:r w:rsidRPr="000E27EC">
        <w:rPr>
          <w:rFonts w:ascii="Times New Roman" w:hAnsi="Times New Roman" w:cs="Times New Roman"/>
          <w:color w:val="222222"/>
          <w:sz w:val="22"/>
          <w:szCs w:val="22"/>
          <w:lang w:val="es-ES"/>
        </w:rPr>
        <w:t>34) rezultatai buvo patenkinami (ne mažiau kaip 50</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TTH sumažėjimas ir reikšmingas skydliaukės hormonų koncentracijos sumažėjimas), tuo tarpu 67</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pacientų (n</w:t>
      </w:r>
      <w:r w:rsidR="005B74C3">
        <w:rPr>
          <w:rFonts w:ascii="Times New Roman" w:hAnsi="Times New Roman" w:cs="Times New Roman"/>
          <w:color w:val="222222"/>
          <w:sz w:val="22"/>
          <w:szCs w:val="22"/>
          <w:lang w:val="es-ES"/>
        </w:rPr>
        <w:t> </w:t>
      </w:r>
      <w:r w:rsidRPr="000E27EC">
        <w:rPr>
          <w:rFonts w:ascii="Times New Roman" w:hAnsi="Times New Roman" w:cs="Times New Roman"/>
          <w:color w:val="222222"/>
          <w:sz w:val="22"/>
          <w:szCs w:val="22"/>
          <w:lang w:val="es-ES"/>
        </w:rPr>
        <w:t>=</w:t>
      </w:r>
      <w:r w:rsidR="005B74C3">
        <w:rPr>
          <w:rFonts w:ascii="Times New Roman" w:hAnsi="Times New Roman" w:cs="Times New Roman"/>
          <w:color w:val="222222"/>
          <w:sz w:val="22"/>
          <w:szCs w:val="22"/>
          <w:lang w:val="es-ES"/>
        </w:rPr>
        <w:t> </w:t>
      </w:r>
      <w:r w:rsidRPr="000E27EC">
        <w:rPr>
          <w:rFonts w:ascii="Times New Roman" w:hAnsi="Times New Roman" w:cs="Times New Roman"/>
          <w:color w:val="222222"/>
          <w:sz w:val="22"/>
          <w:szCs w:val="22"/>
          <w:lang w:val="es-ES"/>
        </w:rPr>
        <w:t>28) turėjo normalią TTH ir skydliaukės hormonų koncentraciją. Šiems pacientams atsakas išliko per visą gydymo laikotarpį (iki 61</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mėnesio, vidurkis, 15,7</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xml:space="preserve">mėnesio). </w:t>
      </w:r>
    </w:p>
    <w:p w14:paraId="2BC4E312" w14:textId="77777777" w:rsidR="00E446F1" w:rsidRPr="000E27EC" w:rsidRDefault="00E446F1" w:rsidP="00E446F1">
      <w:pPr>
        <w:tabs>
          <w:tab w:val="left" w:pos="720"/>
        </w:tabs>
        <w:spacing w:after="0" w:line="240" w:lineRule="auto"/>
        <w:rPr>
          <w:rFonts w:ascii="Times New Roman" w:hAnsi="Times New Roman" w:cs="Times New Roman"/>
          <w:color w:val="222222"/>
          <w:sz w:val="22"/>
          <w:szCs w:val="22"/>
          <w:lang w:val="es-ES"/>
        </w:rPr>
      </w:pPr>
    </w:p>
    <w:p w14:paraId="3B47F3A5"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color w:val="222222"/>
          <w:sz w:val="22"/>
          <w:szCs w:val="22"/>
          <w:lang w:val="es-ES"/>
        </w:rPr>
        <w:t>Remiantis klinikiniais simptomais, ženklus pagerėjimas pasireiškė 19 iš 32</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pacientų, sergančių kliniškai patvirtintu hipertiroidizmu. Didesnis nei 20</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naviko tūrio sumažėjimas buvo stebimas 11</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atvejų (41</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o didesnis kaip 50</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sumažėjimas – 4</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atvejais (15</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Ankstyviausias sumažėjimas buvo pastebėtas po 14</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gydymo dienų.</w:t>
      </w:r>
    </w:p>
    <w:p w14:paraId="525ACD11"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0079F400"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5.2</w:t>
      </w:r>
      <w:r w:rsidRPr="000E27EC">
        <w:rPr>
          <w:rFonts w:ascii="Times New Roman" w:hAnsi="Times New Roman" w:cs="Times New Roman"/>
          <w:b/>
          <w:sz w:val="22"/>
          <w:szCs w:val="22"/>
          <w:lang w:val="es-ES"/>
        </w:rPr>
        <w:tab/>
        <w:t>Farmakokinetinės savybės</w:t>
      </w:r>
    </w:p>
    <w:p w14:paraId="619249E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442A6C67" w14:textId="77777777" w:rsidR="00E446F1" w:rsidRPr="000E27EC" w:rsidRDefault="00E446F1" w:rsidP="00E446F1">
      <w:pPr>
        <w:keepNext/>
        <w:widowControl w:val="0"/>
        <w:numPr>
          <w:ilvl w:val="12"/>
          <w:numId w:val="0"/>
        </w:numPr>
        <w:tabs>
          <w:tab w:val="left" w:pos="720"/>
        </w:tabs>
        <w:spacing w:after="0" w:line="240" w:lineRule="auto"/>
        <w:ind w:right="-2"/>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Absorbcija</w:t>
      </w:r>
    </w:p>
    <w:p w14:paraId="2A8D7AEB"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10B15880"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Sandostatin suleidus po oda, </w:t>
      </w:r>
      <w:r w:rsidR="00EE16F3" w:rsidRPr="00EE16F3">
        <w:rPr>
          <w:rFonts w:ascii="Times New Roman" w:hAnsi="Times New Roman" w:cs="Times New Roman"/>
          <w:sz w:val="22"/>
          <w:szCs w:val="22"/>
          <w:lang w:val="it-IT"/>
        </w:rPr>
        <w:t>vaistini</w:t>
      </w:r>
      <w:r w:rsidR="00EE16F3">
        <w:rPr>
          <w:rFonts w:ascii="Times New Roman" w:hAnsi="Times New Roman" w:cs="Times New Roman"/>
          <w:sz w:val="22"/>
          <w:szCs w:val="22"/>
          <w:lang w:val="it-IT"/>
        </w:rPr>
        <w:t>s</w:t>
      </w:r>
      <w:r w:rsidR="00EE16F3" w:rsidRPr="00EE16F3">
        <w:rPr>
          <w:rFonts w:ascii="Times New Roman" w:hAnsi="Times New Roman" w:cs="Times New Roman"/>
          <w:sz w:val="22"/>
          <w:szCs w:val="22"/>
          <w:lang w:val="it-IT"/>
        </w:rPr>
        <w:t xml:space="preserve"> preparat</w:t>
      </w:r>
      <w:r w:rsidR="00EE16F3">
        <w:rPr>
          <w:rFonts w:ascii="Times New Roman" w:hAnsi="Times New Roman" w:cs="Times New Roman"/>
          <w:sz w:val="22"/>
          <w:szCs w:val="22"/>
          <w:lang w:val="it-IT"/>
        </w:rPr>
        <w:t>as</w:t>
      </w:r>
      <w:r w:rsidR="00EE16F3" w:rsidRPr="00EE16F3">
        <w:rPr>
          <w:rFonts w:ascii="Times New Roman" w:hAnsi="Times New Roman" w:cs="Times New Roman"/>
          <w:sz w:val="22"/>
          <w:szCs w:val="22"/>
          <w:lang w:val="it-IT"/>
        </w:rPr>
        <w:t xml:space="preserve"> </w:t>
      </w:r>
      <w:r w:rsidRPr="000E27EC">
        <w:rPr>
          <w:rFonts w:ascii="Times New Roman" w:hAnsi="Times New Roman" w:cs="Times New Roman"/>
          <w:sz w:val="22"/>
          <w:szCs w:val="22"/>
          <w:lang w:val="es-ES"/>
        </w:rPr>
        <w:t>greitai ir visiškai rezorbuojamas, o didžiausia jo koncentracija plazmoje susidaro per 30 minučių.</w:t>
      </w:r>
    </w:p>
    <w:p w14:paraId="7E9CD2C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14F29E8" w14:textId="77777777" w:rsidR="00E446F1" w:rsidRPr="000E27EC" w:rsidRDefault="00E446F1" w:rsidP="00E446F1">
      <w:pPr>
        <w:keepNext/>
        <w:widowControl w:val="0"/>
        <w:tabs>
          <w:tab w:val="left" w:pos="720"/>
        </w:tabs>
        <w:suppressAutoHyphens/>
        <w:spacing w:after="0" w:line="240" w:lineRule="auto"/>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Pasiskirstymas</w:t>
      </w:r>
    </w:p>
    <w:p w14:paraId="35078ECF"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7DFE79C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Oktreotido pasiskirstymo tūris yra 0,27 l/kg, o bendrasis organizmo klirensas – 160 ml/min. 65 % vaistinio preparato jungiasi su plazmos baltymais. Prie kraujo ląstelių prisijungia nereikšmingas Sandostatin kiekis.</w:t>
      </w:r>
    </w:p>
    <w:p w14:paraId="2691EA2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6D0E2E9" w14:textId="77777777" w:rsidR="00E446F1" w:rsidRPr="000E27EC" w:rsidRDefault="00E446F1" w:rsidP="00E446F1">
      <w:pPr>
        <w:keepNext/>
        <w:widowControl w:val="0"/>
        <w:numPr>
          <w:ilvl w:val="12"/>
          <w:numId w:val="0"/>
        </w:numPr>
        <w:tabs>
          <w:tab w:val="left" w:pos="720"/>
        </w:tabs>
        <w:spacing w:after="0" w:line="240" w:lineRule="auto"/>
        <w:ind w:right="-2"/>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Eliminacija</w:t>
      </w:r>
    </w:p>
    <w:p w14:paraId="569DF170"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04444C0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Suleidus po oda, </w:t>
      </w:r>
      <w:r w:rsidR="00EE16F3" w:rsidRPr="00EE16F3">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es-ES"/>
        </w:rPr>
        <w:t xml:space="preserve">pusinės eliminacijos laikotarpis yra 100 minučių. Suleidus į veną, Sandostatin eliminacija yra dvifazė, pirmosios fazės metu šalinamo </w:t>
      </w:r>
      <w:r w:rsidR="00EE16F3" w:rsidRPr="00EE16F3">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es-ES"/>
        </w:rPr>
        <w:t>pusinės eliminacijos laikotarpis yra 10</w:t>
      </w:r>
      <w:r w:rsidR="005B74C3">
        <w:rPr>
          <w:rFonts w:ascii="Times New Roman" w:hAnsi="Times New Roman" w:cs="Times New Roman"/>
          <w:sz w:val="22"/>
          <w:szCs w:val="22"/>
          <w:lang w:val="es-ES"/>
        </w:rPr>
        <w:t> </w:t>
      </w:r>
      <w:r w:rsidRPr="000E27EC">
        <w:rPr>
          <w:rFonts w:ascii="Times New Roman" w:hAnsi="Times New Roman" w:cs="Times New Roman"/>
          <w:sz w:val="22"/>
          <w:szCs w:val="22"/>
          <w:lang w:val="es-ES"/>
        </w:rPr>
        <w:t>min., antrosios – 90</w:t>
      </w:r>
      <w:r w:rsidR="005B74C3">
        <w:rPr>
          <w:rFonts w:ascii="Times New Roman" w:hAnsi="Times New Roman" w:cs="Times New Roman"/>
          <w:sz w:val="22"/>
          <w:szCs w:val="22"/>
          <w:lang w:val="es-ES"/>
        </w:rPr>
        <w:t> </w:t>
      </w:r>
      <w:r w:rsidRPr="000E27EC">
        <w:rPr>
          <w:rFonts w:ascii="Times New Roman" w:hAnsi="Times New Roman" w:cs="Times New Roman"/>
          <w:sz w:val="22"/>
          <w:szCs w:val="22"/>
          <w:lang w:val="es-ES"/>
        </w:rPr>
        <w:t xml:space="preserve">min. Didžioji vaistinio preparato dalis išsiskiria su išmatomis, o maždaug 32 % dozės – nepakitusio </w:t>
      </w:r>
      <w:r w:rsidR="00EE16F3" w:rsidRPr="00EE16F3">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es-ES"/>
        </w:rPr>
        <w:t>pavidalu su šlapimu.</w:t>
      </w:r>
    </w:p>
    <w:p w14:paraId="4B246E92"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u w:val="single"/>
          <w:lang w:val="es-ES"/>
        </w:rPr>
      </w:pPr>
    </w:p>
    <w:p w14:paraId="4FB2B752" w14:textId="77777777" w:rsidR="00E446F1" w:rsidRPr="000E27EC" w:rsidRDefault="00E446F1" w:rsidP="00E446F1">
      <w:pPr>
        <w:keepNext/>
        <w:widowControl w:val="0"/>
        <w:numPr>
          <w:ilvl w:val="12"/>
          <w:numId w:val="0"/>
        </w:numPr>
        <w:tabs>
          <w:tab w:val="left" w:pos="720"/>
        </w:tabs>
        <w:spacing w:after="0" w:line="240" w:lineRule="auto"/>
        <w:ind w:right="-2"/>
        <w:rPr>
          <w:rFonts w:ascii="Times New Roman" w:eastAsia="Calibri" w:hAnsi="Times New Roman" w:cs="Times New Roman"/>
          <w:sz w:val="22"/>
          <w:szCs w:val="22"/>
          <w:u w:val="single"/>
          <w:lang w:val="es-ES"/>
        </w:rPr>
      </w:pPr>
      <w:r w:rsidRPr="000E27EC">
        <w:rPr>
          <w:rFonts w:ascii="Times New Roman" w:hAnsi="Times New Roman" w:cs="Times New Roman"/>
          <w:sz w:val="22"/>
          <w:szCs w:val="22"/>
          <w:u w:val="single"/>
          <w:lang w:val="es-ES"/>
        </w:rPr>
        <w:t xml:space="preserve">Ypatingos populiacijos </w:t>
      </w:r>
    </w:p>
    <w:p w14:paraId="162FAE4A"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3E3E1D22"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Inkstų veiklos sutrikimas neįtakojo bendrosios po oda suleisto oktreotido ekspozicijos (AUC rodiklio).</w:t>
      </w:r>
    </w:p>
    <w:p w14:paraId="6FF0696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509971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Vaistinio preparato eliminacija gali sulėtėti kepenų ciroze sergantiems pacientams, tačiau pacientams, kuriems yra riebalinė kepenų liga, </w:t>
      </w:r>
      <w:r w:rsidR="00EE16F3" w:rsidRPr="00EE16F3">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es-ES"/>
        </w:rPr>
        <w:t>eliminacija nepakinta.</w:t>
      </w:r>
    </w:p>
    <w:p w14:paraId="0BF76B5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DDD8B73"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5.3</w:t>
      </w:r>
      <w:r w:rsidRPr="000E27EC">
        <w:rPr>
          <w:rFonts w:ascii="Times New Roman" w:hAnsi="Times New Roman" w:cs="Times New Roman"/>
          <w:b/>
          <w:sz w:val="22"/>
          <w:szCs w:val="22"/>
          <w:lang w:val="es-ES"/>
        </w:rPr>
        <w:tab/>
        <w:t>Ikiklinikinių saugumo tyrimų duomenys</w:t>
      </w:r>
    </w:p>
    <w:p w14:paraId="273B8003"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30AAC6A3"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Su gyvūnais atlikti ūminio ir kartotinių dozių toksiškumo, genotoksiškumo, kancerogeniškumo ir toksinio poveikio reprodukcijai tyrimų duomenys specifinio pavojaus žmogui nerodo.</w:t>
      </w:r>
    </w:p>
    <w:p w14:paraId="22932300"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01B26AEE"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Su gyvūnais atlikti poveikio reprodukcijai tyrimai, jiems skiriant iki 1 mg/kg kūno svorio dozes per parą, jokio teratogeninio oktreotido poveikio, poveikio embrionams ar vaisiams bei kitokio poveikio reprodukcijai neparodė. Nustatytas tam tikras laikinai sulėtėjęs fiziologinis žiurkių jauniklių augimas, susijęs su AH slopinimu dėl per didelio farmakodinaminio vaistinio preparato poveikio (žr. 4.6 skyrių).</w:t>
      </w:r>
    </w:p>
    <w:p w14:paraId="34BCDB38" w14:textId="77777777" w:rsidR="00E446F1" w:rsidRPr="000E27EC" w:rsidRDefault="00E446F1" w:rsidP="00E446F1">
      <w:pPr>
        <w:tabs>
          <w:tab w:val="left" w:pos="720"/>
        </w:tabs>
        <w:spacing w:after="0" w:line="240" w:lineRule="auto"/>
        <w:rPr>
          <w:rFonts w:ascii="Times New Roman" w:hAnsi="Times New Roman" w:cs="Times New Roman"/>
          <w:sz w:val="22"/>
          <w:szCs w:val="22"/>
          <w:lang w:val="es-ES"/>
        </w:rPr>
      </w:pPr>
    </w:p>
    <w:p w14:paraId="4C32B402"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Specifinių tyrimų su žiurkių jaunikliais neatlikta. Poveikio prenataliniam ir postnataliniam vystimuisi tyrimų metu nustatytas sulėtėjęs F1 palikuonių augimas ir brendimas, kai patelėms visu nėštumo metu ir laktacijos laikotarpiu buvo skiriama oktreotido. F1 palikuonims patinams pastebėtas vėluojantis sėklidžių nusileidimas, tačiau šių F1 vyriškosios lyties jauniklių vislumas išliko normalus. Taigi, anksčiau nurodytas poveikis buvo grįžtamas ir laikomas susijusiu su AH slopinimo pasekmėmis.</w:t>
      </w:r>
    </w:p>
    <w:p w14:paraId="50309834" w14:textId="77777777" w:rsidR="00E446F1" w:rsidRPr="000E27EC" w:rsidRDefault="00E446F1" w:rsidP="00E446F1">
      <w:pPr>
        <w:widowControl w:val="0"/>
        <w:tabs>
          <w:tab w:val="left" w:pos="720"/>
        </w:tabs>
        <w:spacing w:after="0" w:line="240" w:lineRule="auto"/>
        <w:rPr>
          <w:rFonts w:ascii="Times New Roman" w:hAnsi="Times New Roman" w:cs="Times New Roman"/>
          <w:color w:val="222222"/>
          <w:sz w:val="22"/>
          <w:szCs w:val="22"/>
          <w:u w:val="single"/>
          <w:lang w:val="es-ES"/>
        </w:rPr>
      </w:pPr>
    </w:p>
    <w:p w14:paraId="734BD6CF"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color w:val="222222"/>
          <w:sz w:val="22"/>
          <w:szCs w:val="22"/>
          <w:u w:val="single"/>
          <w:lang w:val="es-ES"/>
        </w:rPr>
      </w:pPr>
      <w:r w:rsidRPr="000E27EC">
        <w:rPr>
          <w:rFonts w:ascii="Times New Roman" w:hAnsi="Times New Roman" w:cs="Times New Roman"/>
          <w:color w:val="222222"/>
          <w:sz w:val="22"/>
          <w:szCs w:val="22"/>
          <w:u w:val="single"/>
          <w:lang w:val="es-ES"/>
        </w:rPr>
        <w:t>Kancerogeniškumas ir lėtinis toksiškumas</w:t>
      </w:r>
    </w:p>
    <w:p w14:paraId="3F7CADD3" w14:textId="77777777" w:rsidR="00E446F1" w:rsidRPr="000E27EC" w:rsidRDefault="00E446F1" w:rsidP="00E446F1">
      <w:pPr>
        <w:widowControl w:val="0"/>
        <w:tabs>
          <w:tab w:val="left" w:pos="720"/>
        </w:tabs>
        <w:spacing w:after="0" w:line="240" w:lineRule="auto"/>
        <w:rPr>
          <w:rFonts w:ascii="Times New Roman" w:hAnsi="Times New Roman" w:cs="Times New Roman"/>
          <w:color w:val="222222"/>
          <w:sz w:val="22"/>
          <w:szCs w:val="22"/>
          <w:u w:val="single"/>
          <w:lang w:val="es-ES"/>
        </w:rPr>
      </w:pPr>
    </w:p>
    <w:p w14:paraId="2D253D69"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color w:val="222222"/>
          <w:sz w:val="22"/>
          <w:szCs w:val="22"/>
          <w:lang w:val="es-ES"/>
        </w:rPr>
        <w:t>Žiurkėms, kiekvieną dieną gavusioms iki 1,25</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 xml:space="preserve">mg/kg kūno svorio oktreotido acetato dozę, </w:t>
      </w:r>
      <w:r w:rsidRPr="000E27EC">
        <w:rPr>
          <w:rFonts w:ascii="Times New Roman" w:hAnsi="Times New Roman" w:cs="Times New Roman"/>
          <w:sz w:val="22"/>
          <w:szCs w:val="22"/>
          <w:lang w:val="es-ES"/>
        </w:rPr>
        <w:t xml:space="preserve">injekcijos po oda vietoje, </w:t>
      </w:r>
      <w:r w:rsidRPr="000E27EC">
        <w:rPr>
          <w:rFonts w:ascii="Times New Roman" w:hAnsi="Times New Roman" w:cs="Times New Roman"/>
          <w:color w:val="222222"/>
          <w:sz w:val="22"/>
          <w:szCs w:val="22"/>
          <w:lang w:val="es-ES"/>
        </w:rPr>
        <w:t>po 52, 104 ir 113/116</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savaitės,</w:t>
      </w:r>
      <w:r w:rsidRPr="000E27EC">
        <w:rPr>
          <w:rFonts w:ascii="Times New Roman" w:hAnsi="Times New Roman" w:cs="Times New Roman"/>
          <w:sz w:val="22"/>
          <w:szCs w:val="22"/>
          <w:lang w:val="es-ES"/>
        </w:rPr>
        <w:t xml:space="preserve"> buvo nustatytos fibrosarkomos (dažniausiai patinams)</w:t>
      </w:r>
      <w:r w:rsidRPr="000E27EC">
        <w:rPr>
          <w:rFonts w:ascii="Times New Roman" w:hAnsi="Times New Roman" w:cs="Times New Roman"/>
          <w:color w:val="222222"/>
          <w:sz w:val="22"/>
          <w:szCs w:val="22"/>
          <w:lang w:val="es-ES"/>
        </w:rPr>
        <w:t xml:space="preserve">. Injekcijos po oda vietos navikai taip pat </w:t>
      </w:r>
      <w:r w:rsidRPr="000E27EC">
        <w:rPr>
          <w:rFonts w:ascii="Times New Roman" w:hAnsi="Times New Roman" w:cs="Times New Roman"/>
          <w:sz w:val="22"/>
          <w:szCs w:val="22"/>
          <w:lang w:val="es-ES"/>
        </w:rPr>
        <w:t>pasireiškė</w:t>
      </w:r>
      <w:r w:rsidRPr="000E27EC">
        <w:rPr>
          <w:rFonts w:ascii="Times New Roman" w:hAnsi="Times New Roman" w:cs="Times New Roman"/>
          <w:color w:val="222222"/>
          <w:sz w:val="22"/>
          <w:szCs w:val="22"/>
          <w:lang w:val="es-ES"/>
        </w:rPr>
        <w:t xml:space="preserve"> kontrolinėms žiurkėmis, tačiau šie atsiradę navikai priskiriami netvarkingai fibroplazijai, atsiradusiai dėl ilgalaikio dirginančio poveikio injekcijos vietai, sustiprinto rūgštinio pieno rūgšties/manitolio tirpiklio poveikio. Tokia nespecifinė audinių reakcija pasireiškė būtent žiurkėms. Neoplaziniai injekcijos po oda vietoje pakitimai nebuvo pastebėti nei pelėms, skiriant iki 2</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mg/kg oktreotido kiekvieną dieną 98</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savaites, nei šunims, skiriant preparato po oda kasdien 52</w:t>
      </w:r>
      <w:r w:rsidRPr="000E27EC">
        <w:rPr>
          <w:rFonts w:ascii="Times New Roman" w:hAnsi="Times New Roman" w:cs="Times New Roman"/>
          <w:sz w:val="22"/>
          <w:szCs w:val="22"/>
          <w:lang w:val="es-ES"/>
        </w:rPr>
        <w:t> </w:t>
      </w:r>
      <w:r w:rsidRPr="000E27EC">
        <w:rPr>
          <w:rFonts w:ascii="Times New Roman" w:hAnsi="Times New Roman" w:cs="Times New Roman"/>
          <w:color w:val="222222"/>
          <w:sz w:val="22"/>
          <w:szCs w:val="22"/>
          <w:lang w:val="es-ES"/>
        </w:rPr>
        <w:t>savaites.</w:t>
      </w:r>
    </w:p>
    <w:p w14:paraId="08B1C31C" w14:textId="77777777" w:rsidR="00E446F1" w:rsidRPr="000E27EC" w:rsidRDefault="00E446F1" w:rsidP="00E446F1">
      <w:pPr>
        <w:widowControl w:val="0"/>
        <w:tabs>
          <w:tab w:val="left" w:pos="720"/>
        </w:tabs>
        <w:spacing w:after="0" w:line="240" w:lineRule="auto"/>
        <w:rPr>
          <w:rFonts w:ascii="Times New Roman" w:hAnsi="Times New Roman" w:cs="Times New Roman"/>
          <w:color w:val="222222"/>
          <w:sz w:val="22"/>
          <w:szCs w:val="22"/>
          <w:lang w:val="es-ES"/>
        </w:rPr>
      </w:pPr>
    </w:p>
    <w:p w14:paraId="2696B41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7E884CB7"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6.</w:t>
      </w:r>
      <w:r w:rsidRPr="000E27EC">
        <w:rPr>
          <w:rFonts w:ascii="Times New Roman" w:hAnsi="Times New Roman" w:cs="Times New Roman"/>
          <w:b/>
          <w:sz w:val="22"/>
          <w:szCs w:val="22"/>
          <w:lang w:val="es-ES"/>
        </w:rPr>
        <w:tab/>
        <w:t>FARMACINĖ INFORMACIJA</w:t>
      </w:r>
    </w:p>
    <w:p w14:paraId="4DF411AC"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2756E3CE"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6.1</w:t>
      </w:r>
      <w:r w:rsidRPr="000E27EC">
        <w:rPr>
          <w:rFonts w:ascii="Times New Roman" w:hAnsi="Times New Roman" w:cs="Times New Roman"/>
          <w:b/>
          <w:sz w:val="22"/>
          <w:szCs w:val="22"/>
          <w:lang w:val="es-ES"/>
        </w:rPr>
        <w:tab/>
        <w:t>Pagalbinių medžiagų sąrašas</w:t>
      </w:r>
    </w:p>
    <w:p w14:paraId="4B6E1407"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es-ES"/>
        </w:rPr>
      </w:pPr>
    </w:p>
    <w:p w14:paraId="5903213D"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Pieno rūgštis</w:t>
      </w:r>
    </w:p>
    <w:p w14:paraId="681F130D"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Manitolis (E421)</w:t>
      </w:r>
    </w:p>
    <w:p w14:paraId="0B2AB729"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Natrio-vandenilio karbonatas</w:t>
      </w:r>
    </w:p>
    <w:p w14:paraId="00C166C8"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Injekcinis vanduo</w:t>
      </w:r>
    </w:p>
    <w:p w14:paraId="1690B3B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484A4725" w14:textId="77777777" w:rsidR="00E446F1" w:rsidRPr="000E27EC" w:rsidRDefault="00E446F1" w:rsidP="00E446F1">
      <w:pPr>
        <w:keepNext/>
        <w:widowControl w:val="0"/>
        <w:tabs>
          <w:tab w:val="left" w:pos="-2410"/>
        </w:tabs>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6.2</w:t>
      </w:r>
      <w:r w:rsidRPr="000E27EC">
        <w:rPr>
          <w:rFonts w:ascii="Times New Roman" w:hAnsi="Times New Roman" w:cs="Times New Roman"/>
          <w:b/>
          <w:sz w:val="22"/>
          <w:szCs w:val="22"/>
          <w:lang w:val="it-IT"/>
        </w:rPr>
        <w:tab/>
        <w:t>Nesuderinamumas</w:t>
      </w:r>
    </w:p>
    <w:p w14:paraId="64984479"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4087B903"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Šio vaistinio preparato negalima maišyti su kitais vaistiniais preparatais, išskyrus išvardytus 6.6 skyriuje. Oktreotido acetatas yra nestabilus visiško parenterinio maitinimo (TPN) tirpaluose.</w:t>
      </w:r>
    </w:p>
    <w:p w14:paraId="31D186E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4E301099" w14:textId="77777777" w:rsidR="00E446F1" w:rsidRPr="000E27EC" w:rsidRDefault="00E446F1" w:rsidP="00E446F1">
      <w:pPr>
        <w:keepNext/>
        <w:widowControl w:val="0"/>
        <w:tabs>
          <w:tab w:val="left" w:pos="-2410"/>
        </w:tabs>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6.3</w:t>
      </w:r>
      <w:r w:rsidRPr="000E27EC">
        <w:rPr>
          <w:rFonts w:ascii="Times New Roman" w:hAnsi="Times New Roman" w:cs="Times New Roman"/>
          <w:b/>
          <w:sz w:val="22"/>
          <w:szCs w:val="22"/>
          <w:lang w:val="it-IT"/>
        </w:rPr>
        <w:tab/>
        <w:t>Tinkamumo laikas</w:t>
      </w:r>
    </w:p>
    <w:p w14:paraId="24F99387"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159D62A2"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3</w:t>
      </w:r>
      <w:r w:rsidR="00EA0DA7">
        <w:rPr>
          <w:rFonts w:ascii="Times New Roman" w:hAnsi="Times New Roman" w:cs="Times New Roman"/>
          <w:sz w:val="22"/>
          <w:szCs w:val="22"/>
          <w:lang w:val="it-IT"/>
        </w:rPr>
        <w:t> </w:t>
      </w:r>
      <w:r w:rsidRPr="000E27EC">
        <w:rPr>
          <w:rFonts w:ascii="Times New Roman" w:hAnsi="Times New Roman" w:cs="Times New Roman"/>
          <w:sz w:val="22"/>
          <w:szCs w:val="22"/>
          <w:lang w:val="it-IT"/>
        </w:rPr>
        <w:t>metai</w:t>
      </w:r>
    </w:p>
    <w:p w14:paraId="51DDAA5B"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Atidarius, vaistinį preparatą reikia suvartoti iš karto.</w:t>
      </w:r>
    </w:p>
    <w:p w14:paraId="3FDD462A"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Praskiestą tirpalą reikia suvartoti nedelsiant.</w:t>
      </w:r>
    </w:p>
    <w:p w14:paraId="26D9A2AF"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0642DCD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4E1F89C3"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6.4</w:t>
      </w:r>
      <w:r w:rsidRPr="000E27EC">
        <w:rPr>
          <w:rFonts w:ascii="Times New Roman" w:hAnsi="Times New Roman" w:cs="Times New Roman"/>
          <w:b/>
          <w:sz w:val="22"/>
          <w:szCs w:val="22"/>
          <w:lang w:val="it-IT"/>
        </w:rPr>
        <w:tab/>
        <w:t>Specialios laikymo sąlygos</w:t>
      </w:r>
    </w:p>
    <w:p w14:paraId="2AF4CD44" w14:textId="77777777" w:rsidR="00E446F1" w:rsidRPr="000E27EC" w:rsidRDefault="00E446F1" w:rsidP="00E446F1">
      <w:pPr>
        <w:keepNext/>
        <w:widowControl w:val="0"/>
        <w:tabs>
          <w:tab w:val="left" w:pos="720"/>
        </w:tabs>
        <w:spacing w:after="0" w:line="240" w:lineRule="auto"/>
        <w:rPr>
          <w:rFonts w:ascii="Times New Roman" w:hAnsi="Times New Roman" w:cs="Times New Roman"/>
          <w:i/>
          <w:sz w:val="22"/>
          <w:szCs w:val="22"/>
          <w:lang w:val="it-IT"/>
        </w:rPr>
      </w:pPr>
    </w:p>
    <w:p w14:paraId="0C7371DD"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Ampules laikyti išorinėje dėžutėje, kad preparatas būtų apsaugotas nuo šviesos.</w:t>
      </w:r>
    </w:p>
    <w:p w14:paraId="43E3DBB0"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Laikyti šaldytuve (2</w:t>
      </w:r>
      <w:r w:rsidR="00EA0DA7">
        <w:rPr>
          <w:rFonts w:ascii="Times New Roman" w:hAnsi="Times New Roman" w:cs="Times New Roman"/>
          <w:sz w:val="22"/>
          <w:szCs w:val="22"/>
          <w:lang w:val="it-IT"/>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it-IT"/>
        </w:rPr>
        <w:t>C – 8</w:t>
      </w:r>
      <w:r w:rsidR="00EA0DA7">
        <w:rPr>
          <w:rFonts w:ascii="Times New Roman" w:hAnsi="Times New Roman" w:cs="Times New Roman"/>
          <w:sz w:val="22"/>
          <w:szCs w:val="22"/>
          <w:lang w:val="it-IT"/>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it-IT"/>
        </w:rPr>
        <w:t xml:space="preserve">C). Negalima užšaldyti. </w:t>
      </w:r>
    </w:p>
    <w:p w14:paraId="176FD5D1"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Ampules galima laikyti ne aukštesnėje kaip 30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fr-FR"/>
        </w:rPr>
        <w:t>C temperatūroje ne ilgiau kaip 2 savaites.</w:t>
      </w:r>
    </w:p>
    <w:p w14:paraId="386A757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 xml:space="preserve">Po atidarymo ir praskiesto tirpalo laikymo sąlygos nurodytos 6.3 skyriuje. </w:t>
      </w:r>
    </w:p>
    <w:p w14:paraId="67291518" w14:textId="77777777" w:rsidR="00E446F1" w:rsidRPr="000E27EC" w:rsidRDefault="00E446F1" w:rsidP="00E446F1">
      <w:pPr>
        <w:tabs>
          <w:tab w:val="left" w:pos="567"/>
        </w:tabs>
        <w:spacing w:after="0" w:line="260" w:lineRule="exact"/>
        <w:rPr>
          <w:rFonts w:ascii="Times New Roman" w:hAnsi="Times New Roman" w:cs="Times New Roman"/>
          <w:sz w:val="22"/>
          <w:szCs w:val="22"/>
          <w:lang w:val="fr-FR"/>
        </w:rPr>
      </w:pPr>
    </w:p>
    <w:p w14:paraId="2E1B22C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6211AC5E"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6.5</w:t>
      </w:r>
      <w:r w:rsidRPr="000E27EC">
        <w:rPr>
          <w:rFonts w:ascii="Times New Roman" w:hAnsi="Times New Roman" w:cs="Times New Roman"/>
          <w:b/>
          <w:sz w:val="22"/>
          <w:szCs w:val="22"/>
          <w:lang w:val="fr-FR"/>
        </w:rPr>
        <w:tab/>
        <w:t>Talpyklės pobūdis ir jos turinys</w:t>
      </w:r>
    </w:p>
    <w:p w14:paraId="5B0E72F4"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545CEE8E"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Nulaužiama bespalvė, I tipo stiklo ampulė</w:t>
      </w:r>
      <w:r w:rsidR="00EA60C2" w:rsidRPr="000E27EC">
        <w:rPr>
          <w:rFonts w:ascii="Times New Roman" w:hAnsi="Times New Roman" w:cs="Times New Roman"/>
          <w:sz w:val="22"/>
          <w:szCs w:val="22"/>
          <w:lang w:val="fr-FR"/>
        </w:rPr>
        <w:t xml:space="preserve"> su dviejų spalvų žiedais</w:t>
      </w:r>
      <w:r w:rsidRPr="000E27EC">
        <w:rPr>
          <w:rFonts w:ascii="Times New Roman" w:hAnsi="Times New Roman" w:cs="Times New Roman"/>
          <w:sz w:val="22"/>
          <w:szCs w:val="22"/>
          <w:lang w:val="fr-FR"/>
        </w:rPr>
        <w:t>, kurioje yra skaidrus bespalvis tirpalas.</w:t>
      </w:r>
    </w:p>
    <w:p w14:paraId="0C38975B" w14:textId="77777777" w:rsidR="00EA60C2" w:rsidRPr="000E27EC" w:rsidRDefault="00EA60C2" w:rsidP="00EA60C2">
      <w:pPr>
        <w:keepNext/>
        <w:widowControl w:val="0"/>
        <w:tabs>
          <w:tab w:val="left" w:pos="720"/>
        </w:tabs>
        <w:spacing w:after="0" w:line="240" w:lineRule="auto"/>
        <w:rPr>
          <w:rFonts w:ascii="Times New Roman" w:eastAsia="Calibri" w:hAnsi="Times New Roman" w:cs="Times New Roman"/>
          <w:sz w:val="22"/>
          <w:szCs w:val="22"/>
          <w:lang w:val="en-GB"/>
        </w:rPr>
      </w:pPr>
      <w:r w:rsidRPr="000E27EC">
        <w:rPr>
          <w:rFonts w:ascii="Times New Roman" w:eastAsia="Calibri" w:hAnsi="Times New Roman" w:cs="Times New Roman"/>
          <w:sz w:val="22"/>
          <w:szCs w:val="22"/>
          <w:lang w:val="en-GB"/>
        </w:rPr>
        <w:t>Sandostatin</w:t>
      </w:r>
      <w:r w:rsidRPr="000E27EC" w:rsidDel="00C107C5">
        <w:rPr>
          <w:rFonts w:ascii="Times New Roman" w:eastAsia="Calibri" w:hAnsi="Times New Roman" w:cs="Times New Roman"/>
          <w:sz w:val="22"/>
          <w:szCs w:val="22"/>
          <w:lang w:val="en-GB"/>
        </w:rPr>
        <w:t xml:space="preserve"> </w:t>
      </w:r>
      <w:r w:rsidRPr="000E27EC">
        <w:rPr>
          <w:rFonts w:ascii="Times New Roman" w:eastAsia="Calibri" w:hAnsi="Times New Roman" w:cs="Times New Roman"/>
          <w:sz w:val="22"/>
          <w:szCs w:val="22"/>
          <w:lang w:val="it-IT"/>
        </w:rPr>
        <w:t>100 mikrogramų/ml injekcinis ar infuzinis tirpalas</w:t>
      </w:r>
      <w:r w:rsidRPr="000E27EC">
        <w:rPr>
          <w:rFonts w:ascii="Times New Roman" w:hAnsi="Times New Roman" w:cs="Times New Roman"/>
          <w:sz w:val="22"/>
          <w:szCs w:val="22"/>
          <w:lang w:val="en-GB"/>
        </w:rPr>
        <w:t>: vienas mėlynas ir vienas žalias.</w:t>
      </w:r>
    </w:p>
    <w:p w14:paraId="72132265" w14:textId="77777777" w:rsidR="00EA60C2" w:rsidRPr="000E27EC" w:rsidRDefault="00EA60C2" w:rsidP="00E446F1">
      <w:pPr>
        <w:keepNext/>
        <w:widowControl w:val="0"/>
        <w:tabs>
          <w:tab w:val="left" w:pos="720"/>
        </w:tabs>
        <w:spacing w:after="0" w:line="240" w:lineRule="auto"/>
        <w:rPr>
          <w:rFonts w:ascii="Times New Roman" w:hAnsi="Times New Roman" w:cs="Times New Roman"/>
          <w:sz w:val="22"/>
          <w:szCs w:val="22"/>
          <w:lang w:val="fr-FR"/>
        </w:rPr>
      </w:pPr>
    </w:p>
    <w:p w14:paraId="631B8090"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Pakuotėje yra trys, penkios, šešios, dešimt, dvidešimt ir penkiasdešimt ampulių, supakuotų į kartoninį dėklą, kuris yra išorinėje dėžutėje.</w:t>
      </w:r>
    </w:p>
    <w:p w14:paraId="31200887"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34F3F251"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Daugiadozes pakuotes sudaro dešimt pakuočių, kurių kiekvienoje yra trys ampulės.</w:t>
      </w:r>
    </w:p>
    <w:p w14:paraId="0DA3EE03"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64EEA1BC"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Gali būti tiekiamos ne visų dydžių pakuotės.</w:t>
      </w:r>
    </w:p>
    <w:p w14:paraId="1CEE122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743C306C" w14:textId="77777777" w:rsidR="00E446F1" w:rsidRPr="000E27EC" w:rsidRDefault="00E446F1" w:rsidP="00E446F1">
      <w:pPr>
        <w:keepNext/>
        <w:widowControl w:val="0"/>
        <w:spacing w:after="0" w:line="240" w:lineRule="auto"/>
        <w:ind w:left="567" w:hanging="567"/>
        <w:outlineLvl w:val="0"/>
        <w:rPr>
          <w:rFonts w:ascii="Times New Roman" w:eastAsia="Calibri" w:hAnsi="Times New Roman" w:cs="Times New Roman"/>
          <w:sz w:val="22"/>
          <w:szCs w:val="22"/>
          <w:lang w:val="fr-FR"/>
        </w:rPr>
      </w:pPr>
      <w:r w:rsidRPr="000E27EC">
        <w:rPr>
          <w:rFonts w:ascii="Times New Roman" w:hAnsi="Times New Roman" w:cs="Times New Roman"/>
          <w:b/>
          <w:sz w:val="22"/>
          <w:szCs w:val="22"/>
          <w:lang w:val="fr-FR"/>
        </w:rPr>
        <w:t>6.6</w:t>
      </w:r>
      <w:r w:rsidRPr="000E27EC">
        <w:rPr>
          <w:rFonts w:ascii="Times New Roman" w:hAnsi="Times New Roman" w:cs="Times New Roman"/>
          <w:b/>
          <w:sz w:val="22"/>
          <w:szCs w:val="22"/>
          <w:lang w:val="fr-FR"/>
        </w:rPr>
        <w:tab/>
        <w:t>Specialūs reikalavimai atliekoms tvarkyti ir vaistiniam preparatui ruošti</w:t>
      </w:r>
    </w:p>
    <w:p w14:paraId="441A848A"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485B6BCA"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Nesuvartotą vaistinį preparatą ar atliekas reikia tvarkyti laikantis vietinių reikalavimų.</w:t>
      </w:r>
    </w:p>
    <w:p w14:paraId="7642ED0F"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008D6000"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Vartojimo ir preparato ruošimo instrukcijos</w:t>
      </w:r>
    </w:p>
    <w:p w14:paraId="4AA883BE"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Ampulė skirta tik vienkartiniam naudojimui;</w:t>
      </w:r>
      <w:r w:rsidRPr="000E27EC">
        <w:rPr>
          <w:rFonts w:ascii="Times New Roman" w:hAnsi="Times New Roman" w:cs="Times New Roman"/>
          <w:color w:val="222222"/>
          <w:sz w:val="22"/>
          <w:szCs w:val="22"/>
          <w:lang w:val="fr-FR"/>
        </w:rPr>
        <w:t xml:space="preserve"> </w:t>
      </w:r>
      <w:r w:rsidRPr="000E27EC">
        <w:rPr>
          <w:rFonts w:ascii="Times New Roman" w:hAnsi="Times New Roman" w:cs="Times New Roman"/>
          <w:sz w:val="22"/>
          <w:szCs w:val="22"/>
          <w:lang w:val="fr-FR"/>
        </w:rPr>
        <w:t xml:space="preserve">ją reikia nulaužti prieš pat leidimą, o </w:t>
      </w:r>
      <w:r w:rsidR="00CE52D0"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fr-FR"/>
        </w:rPr>
        <w:t>likučius reikia išmesti.</w:t>
      </w:r>
    </w:p>
    <w:p w14:paraId="3DD2DC27"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5D549816" w14:textId="77777777" w:rsidR="00E446F1" w:rsidRPr="000E27EC" w:rsidRDefault="00E446F1" w:rsidP="00E446F1">
      <w:pPr>
        <w:tabs>
          <w:tab w:val="left" w:pos="567"/>
        </w:tabs>
        <w:spacing w:after="0" w:line="260" w:lineRule="exact"/>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 xml:space="preserve">Injekcija po oda </w:t>
      </w:r>
    </w:p>
    <w:p w14:paraId="115B6E9E"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Pacientams, kurie pageidauja patys vaistinio preparato leisti po oda, gydytojas ar medicinos slaugytoja</w:t>
      </w:r>
      <w:r w:rsidR="008C4550">
        <w:rPr>
          <w:rFonts w:ascii="Times New Roman" w:hAnsi="Times New Roman" w:cs="Times New Roman"/>
          <w:sz w:val="22"/>
          <w:szCs w:val="22"/>
          <w:lang w:val="fr-FR"/>
        </w:rPr>
        <w:t>s</w:t>
      </w:r>
      <w:r w:rsidRPr="000E27EC">
        <w:rPr>
          <w:rFonts w:ascii="Times New Roman" w:hAnsi="Times New Roman" w:cs="Times New Roman"/>
          <w:sz w:val="22"/>
          <w:szCs w:val="22"/>
          <w:lang w:val="fr-FR"/>
        </w:rPr>
        <w:t xml:space="preserve"> turi pateikti tikslius </w:t>
      </w:r>
      <w:r w:rsidR="00CE52D0"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lang w:val="fr-FR"/>
        </w:rPr>
        <w:t xml:space="preserve">leidimo nurodymus. </w:t>
      </w:r>
    </w:p>
    <w:p w14:paraId="7BAF6914"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Kad nemalonūs pojūčiai injekcijos vietoje būtų mažesni, prieš injekciją rekomenduojama tirpalą pašildyti iki kambario temperatūros. Reikėtų vengti preparato leisti į tą pačią vietą pakartotinai, praėjus neilgam laiko tarpui po praėjusios injekcijos.</w:t>
      </w:r>
    </w:p>
    <w:p w14:paraId="135F21A0" w14:textId="77777777" w:rsidR="00E446F1" w:rsidRPr="000E27EC" w:rsidRDefault="00E446F1" w:rsidP="00E446F1">
      <w:pPr>
        <w:tabs>
          <w:tab w:val="left" w:pos="567"/>
        </w:tabs>
        <w:spacing w:after="0" w:line="260" w:lineRule="exact"/>
        <w:rPr>
          <w:rFonts w:ascii="Times New Roman" w:hAnsi="Times New Roman" w:cs="Times New Roman"/>
          <w:sz w:val="22"/>
          <w:szCs w:val="22"/>
          <w:lang w:val="fr-FR"/>
        </w:rPr>
      </w:pPr>
    </w:p>
    <w:p w14:paraId="4399A641" w14:textId="77777777" w:rsidR="00E446F1" w:rsidRPr="000E27EC" w:rsidRDefault="00E446F1" w:rsidP="00E446F1">
      <w:pPr>
        <w:tabs>
          <w:tab w:val="left" w:pos="567"/>
        </w:tabs>
        <w:spacing w:after="0" w:line="260" w:lineRule="exact"/>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 xml:space="preserve">Infuzija į veną </w:t>
      </w:r>
    </w:p>
    <w:p w14:paraId="788BEF1D" w14:textId="77777777" w:rsidR="00E446F1" w:rsidRPr="000E27EC" w:rsidRDefault="00E446F1" w:rsidP="00E446F1">
      <w:pPr>
        <w:tabs>
          <w:tab w:val="left" w:pos="567"/>
        </w:tabs>
        <w:spacing w:after="0" w:line="260" w:lineRule="exact"/>
        <w:rPr>
          <w:rFonts w:ascii="Times New Roman" w:eastAsia="Calibri" w:hAnsi="Times New Roman" w:cs="Times New Roman"/>
          <w:color w:val="222222"/>
          <w:sz w:val="22"/>
          <w:szCs w:val="22"/>
          <w:lang w:val="fr-FR"/>
        </w:rPr>
      </w:pPr>
      <w:r w:rsidRPr="000E27EC">
        <w:rPr>
          <w:rFonts w:ascii="Times New Roman" w:hAnsi="Times New Roman" w:cs="Times New Roman"/>
          <w:sz w:val="22"/>
          <w:szCs w:val="22"/>
          <w:lang w:val="fr-FR"/>
        </w:rPr>
        <w:t>Prieš vartojant parenterinio vaistinio preparato reikia patikrinti, ar tirpale nėra dalelių ir ar nepakitusi jo spalva.</w:t>
      </w:r>
      <w:r w:rsidRPr="000E27EC">
        <w:rPr>
          <w:rFonts w:ascii="Times New Roman" w:hAnsi="Times New Roman" w:cs="Times New Roman"/>
          <w:color w:val="222222"/>
          <w:sz w:val="22"/>
          <w:szCs w:val="22"/>
          <w:lang w:val="fr-FR"/>
        </w:rPr>
        <w:t xml:space="preserve"> </w:t>
      </w:r>
      <w:r w:rsidRPr="000E27EC">
        <w:rPr>
          <w:rFonts w:ascii="Times New Roman" w:hAnsi="Times New Roman" w:cs="Times New Roman"/>
          <w:sz w:val="22"/>
          <w:szCs w:val="22"/>
          <w:lang w:val="fr-FR"/>
        </w:rPr>
        <w:t>Infuzijai į veną vaistinis preparatas turi būti praskiedžiamas prieš pat vartojimą.</w:t>
      </w:r>
      <w:r w:rsidRPr="000E27EC">
        <w:rPr>
          <w:rFonts w:ascii="Times New Roman" w:hAnsi="Times New Roman" w:cs="Times New Roman"/>
          <w:color w:val="222222"/>
          <w:sz w:val="22"/>
          <w:szCs w:val="22"/>
          <w:lang w:val="fr-FR"/>
        </w:rPr>
        <w:t xml:space="preserve"> </w:t>
      </w:r>
      <w:r w:rsidRPr="000E27EC">
        <w:rPr>
          <w:rFonts w:ascii="Times New Roman" w:hAnsi="Times New Roman" w:cs="Times New Roman"/>
          <w:sz w:val="22"/>
          <w:szCs w:val="22"/>
          <w:lang w:val="fr-FR"/>
        </w:rPr>
        <w:t xml:space="preserve">Sandostatin (oktreotido aceato) tirpalas, praskiestas sterilu fiziologiniu natrio chlorido ar steriliu 5 % dekstrozės (gliukozės) vandeniniu tirpalu, fiziškai ir chemiškai išlieka stabilus 24 valandas. Kadangi Sandostatin gali įtakoti gliukozės homeostazę, </w:t>
      </w:r>
      <w:r w:rsidR="00CE52D0">
        <w:rPr>
          <w:rFonts w:ascii="Times New Roman" w:hAnsi="Times New Roman" w:cs="Times New Roman"/>
          <w:sz w:val="22"/>
          <w:szCs w:val="22"/>
          <w:lang w:val="it-IT"/>
        </w:rPr>
        <w:t>vaistinį</w:t>
      </w:r>
      <w:r w:rsidR="00CE52D0" w:rsidRPr="00CE52D0">
        <w:rPr>
          <w:rFonts w:ascii="Times New Roman" w:hAnsi="Times New Roman" w:cs="Times New Roman"/>
          <w:sz w:val="22"/>
          <w:szCs w:val="22"/>
          <w:lang w:val="it-IT"/>
        </w:rPr>
        <w:t xml:space="preserve"> preparat</w:t>
      </w:r>
      <w:r w:rsidR="00CE52D0">
        <w:rPr>
          <w:rFonts w:ascii="Times New Roman" w:hAnsi="Times New Roman" w:cs="Times New Roman"/>
          <w:sz w:val="22"/>
          <w:szCs w:val="22"/>
          <w:lang w:val="it-IT"/>
        </w:rPr>
        <w:t>ą</w:t>
      </w:r>
      <w:r w:rsidR="00CE52D0" w:rsidRPr="00CE52D0">
        <w:rPr>
          <w:rFonts w:ascii="Times New Roman" w:hAnsi="Times New Roman" w:cs="Times New Roman"/>
          <w:sz w:val="22"/>
          <w:szCs w:val="22"/>
          <w:lang w:val="it-IT"/>
        </w:rPr>
        <w:t xml:space="preserve"> </w:t>
      </w:r>
      <w:r w:rsidRPr="000E27EC">
        <w:rPr>
          <w:rFonts w:ascii="Times New Roman" w:hAnsi="Times New Roman" w:cs="Times New Roman"/>
          <w:sz w:val="22"/>
          <w:szCs w:val="22"/>
          <w:lang w:val="fr-FR"/>
        </w:rPr>
        <w:t>rekomenduojama geriau skiesti ne dekstrozės, bet fiziologiniu natrio chlorido tirpalu. Praskiestas tirpalas, laikomas žemesnėje kaip 25 ºC temperatūroje, fiziškai ir chemiškai išlieka stabilus mažiausiai 24 valandas. Mikrobiologiniu požiūriu, praskiestą tirpalą reikia suvartoti nedelsiant. Jei tirpalas nesuvartojamas iš karto, už laikymo trukmę ir sąlygas prieš vartojimą yra atsakingas vartotojas.</w:t>
      </w:r>
      <w:r w:rsidRPr="000E27EC">
        <w:rPr>
          <w:rFonts w:ascii="Times New Roman" w:hAnsi="Times New Roman" w:cs="Times New Roman"/>
          <w:color w:val="222222"/>
          <w:sz w:val="22"/>
          <w:szCs w:val="22"/>
          <w:lang w:val="fr-FR"/>
        </w:rPr>
        <w:t xml:space="preserve"> </w:t>
      </w:r>
    </w:p>
    <w:p w14:paraId="2B613422" w14:textId="77777777" w:rsidR="00E446F1" w:rsidRPr="000E27EC" w:rsidRDefault="00E446F1" w:rsidP="00E446F1">
      <w:pPr>
        <w:tabs>
          <w:tab w:val="left" w:pos="567"/>
        </w:tabs>
        <w:spacing w:after="0" w:line="260" w:lineRule="exact"/>
        <w:rPr>
          <w:rFonts w:ascii="Times New Roman" w:hAnsi="Times New Roman" w:cs="Times New Roman"/>
          <w:i/>
          <w:sz w:val="22"/>
          <w:szCs w:val="22"/>
          <w:lang w:val="fr-FR"/>
        </w:rPr>
      </w:pPr>
    </w:p>
    <w:p w14:paraId="4B19B4E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343EA0E5"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sz w:val="22"/>
          <w:szCs w:val="22"/>
          <w:lang w:val="fr-FR"/>
        </w:rPr>
      </w:pPr>
      <w:r w:rsidRPr="000E27EC">
        <w:rPr>
          <w:rFonts w:ascii="Times New Roman" w:hAnsi="Times New Roman" w:cs="Times New Roman"/>
          <w:b/>
          <w:sz w:val="22"/>
          <w:szCs w:val="22"/>
          <w:lang w:val="fr-FR"/>
        </w:rPr>
        <w:lastRenderedPageBreak/>
        <w:t>7.</w:t>
      </w:r>
      <w:r w:rsidRPr="000E27EC">
        <w:rPr>
          <w:rFonts w:ascii="Times New Roman" w:hAnsi="Times New Roman" w:cs="Times New Roman"/>
          <w:b/>
          <w:sz w:val="22"/>
          <w:szCs w:val="22"/>
          <w:lang w:val="fr-FR"/>
        </w:rPr>
        <w:tab/>
        <w:t>REGISTRUOTOJAS</w:t>
      </w:r>
    </w:p>
    <w:p w14:paraId="61AF3EE4"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fr-FR"/>
        </w:rPr>
      </w:pPr>
    </w:p>
    <w:p w14:paraId="1B0C9888"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SIA Novartis Baltics</w:t>
      </w:r>
    </w:p>
    <w:p w14:paraId="74F060E1" w14:textId="3BAD8969" w:rsidR="00D75CA1" w:rsidRPr="00EF2363" w:rsidRDefault="00D75CA1" w:rsidP="00E446F1">
      <w:pPr>
        <w:tabs>
          <w:tab w:val="left" w:pos="567"/>
        </w:tabs>
        <w:spacing w:after="0" w:line="260" w:lineRule="exact"/>
        <w:rPr>
          <w:rFonts w:ascii="Times New Roman" w:hAnsi="Times New Roman" w:cs="Times New Roman"/>
          <w:sz w:val="22"/>
          <w:szCs w:val="22"/>
          <w:lang w:val="fr-FR"/>
        </w:rPr>
      </w:pPr>
      <w:r w:rsidRPr="00D75CA1">
        <w:rPr>
          <w:rFonts w:ascii="Times New Roman" w:hAnsi="Times New Roman" w:cs="Times New Roman"/>
          <w:sz w:val="22"/>
          <w:szCs w:val="22"/>
          <w:lang w:val="fr-FR"/>
        </w:rPr>
        <w:t>Skanstes iela 25</w:t>
      </w:r>
    </w:p>
    <w:p w14:paraId="528531E8" w14:textId="51CBBD88" w:rsidR="00E446F1" w:rsidRPr="000E27EC" w:rsidRDefault="00E446F1" w:rsidP="00E446F1">
      <w:pPr>
        <w:tabs>
          <w:tab w:val="left" w:pos="567"/>
        </w:tabs>
        <w:spacing w:after="0" w:line="260" w:lineRule="exact"/>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LV-</w:t>
      </w:r>
      <w:r w:rsidR="00D75CA1">
        <w:rPr>
          <w:rFonts w:ascii="Times New Roman" w:hAnsi="Times New Roman" w:cs="Times New Roman"/>
          <w:sz w:val="22"/>
          <w:szCs w:val="22"/>
          <w:lang w:val="fr-FR"/>
        </w:rPr>
        <w:t>1013</w:t>
      </w:r>
      <w:r w:rsidRPr="000E27EC">
        <w:rPr>
          <w:rFonts w:ascii="Times New Roman" w:hAnsi="Times New Roman" w:cs="Times New Roman"/>
          <w:sz w:val="22"/>
          <w:szCs w:val="22"/>
          <w:lang w:val="fr-FR"/>
        </w:rPr>
        <w:t>, R</w:t>
      </w:r>
      <w:r w:rsidRPr="000E27EC">
        <w:rPr>
          <w:rFonts w:ascii="Times New Roman" w:hAnsi="Times New Roman" w:cs="Times New Roman"/>
          <w:sz w:val="22"/>
          <w:szCs w:val="22"/>
          <w:lang w:val="es-ES"/>
        </w:rPr>
        <w:t>ī</w:t>
      </w:r>
      <w:r w:rsidRPr="000E27EC">
        <w:rPr>
          <w:rFonts w:ascii="Times New Roman" w:hAnsi="Times New Roman" w:cs="Times New Roman"/>
          <w:sz w:val="22"/>
          <w:szCs w:val="22"/>
          <w:lang w:val="fr-FR"/>
        </w:rPr>
        <w:t>ga</w:t>
      </w:r>
    </w:p>
    <w:p w14:paraId="5AD87E73"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Latvija</w:t>
      </w:r>
    </w:p>
    <w:p w14:paraId="3E77F49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1AEE4302"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8.</w:t>
      </w:r>
      <w:r w:rsidRPr="000E27EC">
        <w:rPr>
          <w:rFonts w:ascii="Times New Roman" w:hAnsi="Times New Roman" w:cs="Times New Roman"/>
          <w:b/>
          <w:sz w:val="22"/>
          <w:szCs w:val="22"/>
          <w:lang w:val="it-IT"/>
        </w:rPr>
        <w:tab/>
        <w:t xml:space="preserve">REGISTRACIJOS PAŽYMĖJIMO NUMERIS (-IAI) </w:t>
      </w:r>
    </w:p>
    <w:p w14:paraId="418D5F85"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67964935"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LT/1/94/1033/001 – N5</w:t>
      </w:r>
    </w:p>
    <w:p w14:paraId="0B835292" w14:textId="77777777" w:rsidR="00E446F1" w:rsidRPr="000E27EC" w:rsidRDefault="00E446F1" w:rsidP="00E446F1">
      <w:pPr>
        <w:widowControl w:val="0"/>
        <w:tabs>
          <w:tab w:val="left" w:pos="720"/>
        </w:tabs>
        <w:spacing w:after="0" w:line="240" w:lineRule="auto"/>
        <w:rPr>
          <w:rFonts w:ascii="Times New Roman" w:hAnsi="Times New Roman" w:cs="Times New Roman"/>
          <w:i/>
          <w:sz w:val="22"/>
          <w:szCs w:val="22"/>
          <w:lang w:val="it-IT"/>
        </w:rPr>
      </w:pPr>
    </w:p>
    <w:p w14:paraId="4803561F" w14:textId="77777777" w:rsidR="00E446F1" w:rsidRPr="000E27EC" w:rsidRDefault="00E446F1" w:rsidP="00E446F1">
      <w:pPr>
        <w:widowControl w:val="0"/>
        <w:tabs>
          <w:tab w:val="left" w:pos="720"/>
        </w:tabs>
        <w:spacing w:after="0" w:line="240" w:lineRule="auto"/>
        <w:rPr>
          <w:rFonts w:ascii="Times New Roman" w:hAnsi="Times New Roman" w:cs="Times New Roman"/>
          <w:i/>
          <w:sz w:val="22"/>
          <w:szCs w:val="22"/>
          <w:lang w:val="it-IT"/>
        </w:rPr>
      </w:pPr>
    </w:p>
    <w:p w14:paraId="430BCE1C"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9.</w:t>
      </w:r>
      <w:r w:rsidRPr="000E27EC">
        <w:rPr>
          <w:rFonts w:ascii="Times New Roman" w:hAnsi="Times New Roman" w:cs="Times New Roman"/>
          <w:b/>
          <w:sz w:val="22"/>
          <w:szCs w:val="22"/>
          <w:lang w:val="it-IT"/>
        </w:rPr>
        <w:tab/>
        <w:t>REGISTRAVIMO / PERREGISTRAVIMO DATA</w:t>
      </w:r>
    </w:p>
    <w:p w14:paraId="36EEE2C3"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057E1D79" w14:textId="77777777" w:rsidR="00E446F1" w:rsidRPr="000E27EC" w:rsidRDefault="00E446F1" w:rsidP="00E446F1">
      <w:pPr>
        <w:tabs>
          <w:tab w:val="left" w:pos="567"/>
        </w:tabs>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Registravimo data 1994 m. kovo 31 d.</w:t>
      </w:r>
    </w:p>
    <w:p w14:paraId="523D5B23"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Paskutinio perregistravimo data 2008 m. vasario 22 d.</w:t>
      </w:r>
    </w:p>
    <w:p w14:paraId="16DE1FB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r w:rsidRPr="000E27EC">
        <w:rPr>
          <w:rFonts w:ascii="Times New Roman" w:hAnsi="Times New Roman" w:cs="Times New Roman"/>
          <w:sz w:val="22"/>
          <w:szCs w:val="22"/>
          <w:lang w:val="it-IT"/>
        </w:rPr>
        <w:t xml:space="preserve"> </w:t>
      </w:r>
    </w:p>
    <w:p w14:paraId="627271D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B8602D8" w14:textId="77777777" w:rsidR="00E446F1" w:rsidRPr="000E27EC" w:rsidRDefault="00E446F1" w:rsidP="00E446F1">
      <w:pPr>
        <w:keepNext/>
        <w:widowControl w:val="0"/>
        <w:spacing w:after="0" w:line="240" w:lineRule="auto"/>
        <w:ind w:left="567"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10.</w:t>
      </w:r>
      <w:r w:rsidRPr="000E27EC">
        <w:rPr>
          <w:rFonts w:ascii="Times New Roman" w:hAnsi="Times New Roman" w:cs="Times New Roman"/>
          <w:b/>
          <w:sz w:val="22"/>
          <w:szCs w:val="22"/>
          <w:lang w:val="it-IT"/>
        </w:rPr>
        <w:tab/>
        <w:t>TEKSTO PERŽIŪROS DATA</w:t>
      </w:r>
    </w:p>
    <w:p w14:paraId="3F280C15"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7E6465E1" w14:textId="0CE3A59F" w:rsidR="00E446F1" w:rsidRPr="000E27EC" w:rsidRDefault="00BE5BAE"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r>
        <w:rPr>
          <w:rFonts w:ascii="Times New Roman" w:hAnsi="Times New Roman" w:cs="Times New Roman"/>
          <w:sz w:val="22"/>
          <w:szCs w:val="22"/>
          <w:lang w:val="it-IT"/>
        </w:rPr>
        <w:t>202</w:t>
      </w:r>
      <w:r w:rsidR="00D75CA1">
        <w:rPr>
          <w:rFonts w:ascii="Times New Roman" w:hAnsi="Times New Roman" w:cs="Times New Roman"/>
          <w:sz w:val="22"/>
          <w:szCs w:val="22"/>
          <w:lang w:val="it-IT"/>
        </w:rPr>
        <w:t>4</w:t>
      </w:r>
      <w:r>
        <w:rPr>
          <w:rFonts w:ascii="Times New Roman" w:hAnsi="Times New Roman" w:cs="Times New Roman"/>
          <w:sz w:val="22"/>
          <w:szCs w:val="22"/>
          <w:lang w:val="it-IT"/>
        </w:rPr>
        <w:t xml:space="preserve"> m. </w:t>
      </w:r>
      <w:r w:rsidR="00D75CA1">
        <w:rPr>
          <w:rFonts w:ascii="Times New Roman" w:hAnsi="Times New Roman" w:cs="Times New Roman"/>
          <w:sz w:val="22"/>
          <w:szCs w:val="22"/>
          <w:lang w:val="it-IT"/>
        </w:rPr>
        <w:t>liepos</w:t>
      </w:r>
      <w:r>
        <w:rPr>
          <w:rFonts w:ascii="Times New Roman" w:hAnsi="Times New Roman" w:cs="Times New Roman"/>
          <w:sz w:val="22"/>
          <w:szCs w:val="22"/>
          <w:lang w:val="it-IT"/>
        </w:rPr>
        <w:t xml:space="preserve"> 15 d.</w:t>
      </w:r>
    </w:p>
    <w:p w14:paraId="6CA56A49" w14:textId="77777777" w:rsidR="000E27EC" w:rsidRPr="000E27EC" w:rsidRDefault="000E27EC"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20EB74F9" w14:textId="2D76F365"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Išsami informacija apie šį vaistinį preparatą pateikiama Valstybinės vaistų kontrolės tarnybos prie Lietuvos Respublikos sveikatos apsaugos ministerijos tinklalapyje </w:t>
      </w:r>
      <w:r w:rsidR="00B733FF" w:rsidRPr="00B733FF">
        <w:rPr>
          <w:rFonts w:ascii="Times New Roman" w:hAnsi="Times New Roman" w:cs="Times New Roman"/>
          <w:sz w:val="22"/>
          <w:szCs w:val="22"/>
          <w:lang w:val="it-IT"/>
        </w:rPr>
        <w:t>https://vvkt.lrv.lt/lt/.</w:t>
      </w:r>
    </w:p>
    <w:p w14:paraId="03F33114"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23AE7DB8"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7819D12F"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117AF402"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34EFB4FD"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6AFF1397"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569F8536"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p>
    <w:p w14:paraId="40C63E1C" w14:textId="77777777" w:rsidR="00E446F1" w:rsidRPr="000E27EC" w:rsidRDefault="00E446F1" w:rsidP="00E446F1">
      <w:pPr>
        <w:tabs>
          <w:tab w:val="left" w:pos="567"/>
        </w:tabs>
        <w:spacing w:after="0" w:line="260" w:lineRule="exact"/>
        <w:rPr>
          <w:rFonts w:ascii="Times New Roman" w:hAnsi="Times New Roman" w:cs="Times New Roman"/>
          <w:sz w:val="22"/>
          <w:szCs w:val="22"/>
          <w:lang w:val="it-IT"/>
        </w:rPr>
      </w:pPr>
      <w:r w:rsidRPr="000E27EC">
        <w:rPr>
          <w:rFonts w:ascii="Times New Roman" w:hAnsi="Times New Roman" w:cs="Times New Roman"/>
          <w:sz w:val="22"/>
          <w:szCs w:val="22"/>
          <w:lang w:val="it-IT"/>
        </w:rPr>
        <w:br w:type="page"/>
      </w:r>
    </w:p>
    <w:p w14:paraId="10499BAE"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72E61E13"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011CC421"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479CD7F7"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6715FE7D"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51D0EBF5"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56F8FB15"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28C52FBE"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2FC56112"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4229A93C"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534E3764"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7AAFD3F0"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46628B82"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4D8ED4AA"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7B8160CF"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2D6BEA59"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200A29A2"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40EBE266"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345945E3"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5FDADF58"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6AB7108D"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0C02EC69"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67341CEF"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5546DDC8" w14:textId="77777777" w:rsidR="00E446F1" w:rsidRPr="000E27EC" w:rsidRDefault="00E446F1" w:rsidP="00E446F1">
      <w:pPr>
        <w:tabs>
          <w:tab w:val="left" w:pos="567"/>
        </w:tabs>
        <w:spacing w:after="0" w:line="260" w:lineRule="exact"/>
        <w:jc w:val="center"/>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II PRIEDAS</w:t>
      </w:r>
    </w:p>
    <w:p w14:paraId="1AB71D25" w14:textId="77777777" w:rsidR="00E446F1" w:rsidRPr="000E27EC" w:rsidRDefault="00E446F1" w:rsidP="00E446F1">
      <w:pPr>
        <w:tabs>
          <w:tab w:val="left" w:pos="567"/>
        </w:tabs>
        <w:spacing w:after="0" w:line="260" w:lineRule="exact"/>
        <w:jc w:val="center"/>
        <w:rPr>
          <w:rFonts w:ascii="Times New Roman" w:hAnsi="Times New Roman" w:cs="Times New Roman"/>
          <w:b/>
          <w:sz w:val="22"/>
          <w:szCs w:val="22"/>
          <w:lang w:val="it-IT"/>
        </w:rPr>
      </w:pPr>
    </w:p>
    <w:p w14:paraId="7DE5E5F6" w14:textId="77777777" w:rsidR="00E446F1" w:rsidRPr="000E27EC" w:rsidRDefault="00E446F1" w:rsidP="00E446F1">
      <w:pPr>
        <w:tabs>
          <w:tab w:val="left" w:pos="567"/>
        </w:tabs>
        <w:spacing w:after="0" w:line="260" w:lineRule="exact"/>
        <w:jc w:val="center"/>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REGISTRACIJOS SĄLYGOS</w:t>
      </w:r>
    </w:p>
    <w:p w14:paraId="77B4002E" w14:textId="77777777" w:rsidR="00E446F1" w:rsidRPr="000E27EC" w:rsidRDefault="00E446F1" w:rsidP="00E446F1">
      <w:pPr>
        <w:tabs>
          <w:tab w:val="left" w:pos="567"/>
        </w:tabs>
        <w:spacing w:after="0" w:line="260" w:lineRule="exact"/>
        <w:ind w:left="1701" w:right="1416" w:hanging="567"/>
        <w:rPr>
          <w:rFonts w:ascii="Times New Roman" w:hAnsi="Times New Roman" w:cs="Times New Roman"/>
          <w:sz w:val="22"/>
          <w:szCs w:val="22"/>
          <w:highlight w:val="yellow"/>
          <w:lang w:val="it-IT"/>
        </w:rPr>
      </w:pPr>
    </w:p>
    <w:p w14:paraId="4F77E19E" w14:textId="77777777" w:rsidR="00E446F1" w:rsidRPr="000E27EC" w:rsidRDefault="00E446F1" w:rsidP="00E446F1">
      <w:pPr>
        <w:tabs>
          <w:tab w:val="left" w:pos="567"/>
        </w:tabs>
        <w:spacing w:after="0" w:line="260" w:lineRule="exact"/>
        <w:ind w:left="1701" w:right="1416" w:hanging="708"/>
        <w:rPr>
          <w:rFonts w:ascii="Times New Roman" w:eastAsia="Calibri" w:hAnsi="Times New Roman" w:cs="Times New Roman"/>
          <w:b/>
          <w:sz w:val="22"/>
          <w:szCs w:val="22"/>
          <w:highlight w:val="yellow"/>
          <w:lang w:val="it-IT"/>
        </w:rPr>
      </w:pPr>
      <w:r w:rsidRPr="000E27EC">
        <w:rPr>
          <w:rFonts w:ascii="Times New Roman" w:hAnsi="Times New Roman" w:cs="Times New Roman"/>
          <w:b/>
          <w:sz w:val="22"/>
          <w:szCs w:val="22"/>
          <w:lang w:val="it-IT"/>
        </w:rPr>
        <w:t>A.</w:t>
      </w:r>
      <w:r w:rsidRPr="000E27EC">
        <w:rPr>
          <w:rFonts w:ascii="Times New Roman" w:hAnsi="Times New Roman" w:cs="Times New Roman"/>
          <w:b/>
          <w:sz w:val="22"/>
          <w:szCs w:val="22"/>
          <w:lang w:val="it-IT"/>
        </w:rPr>
        <w:tab/>
        <w:t>GAMINTOJAS</w:t>
      </w:r>
      <w:r w:rsidR="006D7049">
        <w:rPr>
          <w:rFonts w:ascii="Times New Roman" w:hAnsi="Times New Roman" w:cs="Times New Roman"/>
          <w:b/>
          <w:sz w:val="22"/>
          <w:szCs w:val="22"/>
          <w:lang w:val="it-IT"/>
        </w:rPr>
        <w:t xml:space="preserve"> (-AI)</w:t>
      </w:r>
      <w:r w:rsidRPr="000E27EC">
        <w:rPr>
          <w:rFonts w:ascii="Times New Roman" w:hAnsi="Times New Roman" w:cs="Times New Roman"/>
          <w:b/>
          <w:sz w:val="22"/>
          <w:szCs w:val="22"/>
          <w:lang w:val="it-IT"/>
        </w:rPr>
        <w:t>, ATSAKINGAS</w:t>
      </w:r>
      <w:r w:rsidR="006D7049">
        <w:rPr>
          <w:rFonts w:ascii="Times New Roman" w:hAnsi="Times New Roman" w:cs="Times New Roman"/>
          <w:b/>
          <w:sz w:val="22"/>
          <w:szCs w:val="22"/>
          <w:lang w:val="it-IT"/>
        </w:rPr>
        <w:t xml:space="preserve"> (-I)</w:t>
      </w:r>
      <w:r w:rsidRPr="000E27EC">
        <w:rPr>
          <w:rFonts w:ascii="Times New Roman" w:hAnsi="Times New Roman" w:cs="Times New Roman"/>
          <w:b/>
          <w:sz w:val="22"/>
          <w:szCs w:val="22"/>
          <w:lang w:val="it-IT"/>
        </w:rPr>
        <w:t xml:space="preserve"> UŽ SERIJŲ IŠLEIDIMĄ</w:t>
      </w:r>
    </w:p>
    <w:p w14:paraId="45173C72" w14:textId="77777777" w:rsidR="00E446F1" w:rsidRPr="000E27EC" w:rsidRDefault="00E446F1" w:rsidP="00E446F1">
      <w:pPr>
        <w:tabs>
          <w:tab w:val="left" w:pos="567"/>
        </w:tabs>
        <w:spacing w:after="0" w:line="260" w:lineRule="exact"/>
        <w:ind w:left="567" w:hanging="567"/>
        <w:rPr>
          <w:rFonts w:ascii="Times New Roman" w:hAnsi="Times New Roman" w:cs="Times New Roman"/>
          <w:sz w:val="22"/>
          <w:szCs w:val="22"/>
          <w:highlight w:val="yellow"/>
          <w:lang w:val="it-IT"/>
        </w:rPr>
      </w:pPr>
    </w:p>
    <w:p w14:paraId="2776B749" w14:textId="77777777" w:rsidR="00E446F1" w:rsidRPr="000E27EC" w:rsidRDefault="00E446F1" w:rsidP="00E446F1">
      <w:pPr>
        <w:tabs>
          <w:tab w:val="left" w:pos="567"/>
        </w:tabs>
        <w:spacing w:after="0" w:line="260" w:lineRule="exact"/>
        <w:ind w:left="1701" w:right="1416" w:hanging="708"/>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B.</w:t>
      </w:r>
      <w:r w:rsidRPr="000E27EC">
        <w:rPr>
          <w:rFonts w:ascii="Times New Roman" w:hAnsi="Times New Roman" w:cs="Times New Roman"/>
          <w:b/>
          <w:sz w:val="22"/>
          <w:szCs w:val="22"/>
          <w:lang w:val="es-ES"/>
        </w:rPr>
        <w:tab/>
        <w:t>TIEKIMO IR VARTOJIMO SĄLYGOS AR APRIBOJIMAI</w:t>
      </w:r>
    </w:p>
    <w:p w14:paraId="10622525" w14:textId="77777777" w:rsidR="00E446F1" w:rsidRPr="000E27EC" w:rsidRDefault="00E446F1" w:rsidP="00E446F1">
      <w:pPr>
        <w:tabs>
          <w:tab w:val="left" w:pos="567"/>
        </w:tabs>
        <w:spacing w:after="0" w:line="260" w:lineRule="exact"/>
        <w:ind w:left="567" w:hanging="567"/>
        <w:rPr>
          <w:rFonts w:ascii="Times New Roman" w:hAnsi="Times New Roman" w:cs="Times New Roman"/>
          <w:sz w:val="22"/>
          <w:szCs w:val="22"/>
          <w:highlight w:val="yellow"/>
          <w:lang w:val="es-ES"/>
        </w:rPr>
      </w:pPr>
    </w:p>
    <w:p w14:paraId="2037A3B5" w14:textId="77777777" w:rsidR="00E446F1" w:rsidRPr="000E27EC" w:rsidRDefault="00E446F1" w:rsidP="00E446F1">
      <w:pPr>
        <w:tabs>
          <w:tab w:val="left" w:pos="567"/>
        </w:tabs>
        <w:spacing w:after="0" w:line="260" w:lineRule="exact"/>
        <w:ind w:left="567" w:hanging="567"/>
        <w:rPr>
          <w:rFonts w:ascii="Times New Roman" w:hAnsi="Times New Roman" w:cs="Times New Roman"/>
          <w:sz w:val="22"/>
          <w:szCs w:val="22"/>
          <w:lang w:val="es-ES"/>
        </w:rPr>
      </w:pPr>
      <w:r w:rsidRPr="000E27EC">
        <w:rPr>
          <w:rFonts w:ascii="Times New Roman" w:hAnsi="Times New Roman" w:cs="Times New Roman"/>
          <w:sz w:val="22"/>
          <w:szCs w:val="22"/>
          <w:lang w:val="es-ES"/>
        </w:rPr>
        <w:br w:type="page"/>
      </w:r>
      <w:r w:rsidRPr="000E27EC">
        <w:rPr>
          <w:rFonts w:ascii="Times New Roman" w:hAnsi="Times New Roman" w:cs="Times New Roman"/>
          <w:b/>
          <w:sz w:val="22"/>
          <w:szCs w:val="22"/>
          <w:lang w:val="es-ES"/>
        </w:rPr>
        <w:lastRenderedPageBreak/>
        <w:t>A.</w:t>
      </w:r>
      <w:r w:rsidRPr="000E27EC">
        <w:rPr>
          <w:rFonts w:ascii="Times New Roman" w:hAnsi="Times New Roman" w:cs="Times New Roman"/>
          <w:b/>
          <w:sz w:val="22"/>
          <w:szCs w:val="22"/>
          <w:lang w:val="es-ES"/>
        </w:rPr>
        <w:tab/>
        <w:t>GAMINTOJAS</w:t>
      </w:r>
      <w:r w:rsidR="006D7049">
        <w:rPr>
          <w:rFonts w:ascii="Times New Roman" w:hAnsi="Times New Roman" w:cs="Times New Roman"/>
          <w:b/>
          <w:sz w:val="22"/>
          <w:szCs w:val="22"/>
          <w:lang w:val="es-ES"/>
        </w:rPr>
        <w:t xml:space="preserve"> (-AI)</w:t>
      </w:r>
      <w:r w:rsidRPr="000E27EC">
        <w:rPr>
          <w:rFonts w:ascii="Times New Roman" w:hAnsi="Times New Roman" w:cs="Times New Roman"/>
          <w:b/>
          <w:sz w:val="22"/>
          <w:szCs w:val="22"/>
          <w:lang w:val="es-ES"/>
        </w:rPr>
        <w:t>, ATSAKINGAS</w:t>
      </w:r>
      <w:r w:rsidR="006D7049">
        <w:rPr>
          <w:rFonts w:ascii="Times New Roman" w:hAnsi="Times New Roman" w:cs="Times New Roman"/>
          <w:b/>
          <w:sz w:val="22"/>
          <w:szCs w:val="22"/>
          <w:lang w:val="es-ES"/>
        </w:rPr>
        <w:t xml:space="preserve"> (-I)</w:t>
      </w:r>
      <w:r w:rsidRPr="000E27EC">
        <w:rPr>
          <w:rFonts w:ascii="Times New Roman" w:hAnsi="Times New Roman" w:cs="Times New Roman"/>
          <w:b/>
          <w:sz w:val="22"/>
          <w:szCs w:val="22"/>
          <w:lang w:val="es-ES"/>
        </w:rPr>
        <w:t xml:space="preserve"> UŽ SERIJŲ IŠLEIDIMĄ</w:t>
      </w:r>
    </w:p>
    <w:p w14:paraId="11901120"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5EEDBF35"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lang w:val="es-ES"/>
        </w:rPr>
      </w:pPr>
      <w:r w:rsidRPr="000E27EC">
        <w:rPr>
          <w:rFonts w:ascii="Times New Roman" w:hAnsi="Times New Roman" w:cs="Times New Roman"/>
          <w:sz w:val="22"/>
          <w:szCs w:val="22"/>
          <w:u w:val="single"/>
          <w:lang w:val="es-ES"/>
        </w:rPr>
        <w:t>Gamintojo</w:t>
      </w:r>
      <w:r w:rsidR="006D7049">
        <w:rPr>
          <w:rFonts w:ascii="Times New Roman" w:hAnsi="Times New Roman" w:cs="Times New Roman"/>
          <w:sz w:val="22"/>
          <w:szCs w:val="22"/>
          <w:u w:val="single"/>
          <w:lang w:val="es-ES"/>
        </w:rPr>
        <w:t xml:space="preserve"> (-ų)</w:t>
      </w:r>
      <w:r w:rsidRPr="000E27EC">
        <w:rPr>
          <w:rFonts w:ascii="Times New Roman" w:hAnsi="Times New Roman" w:cs="Times New Roman"/>
          <w:sz w:val="22"/>
          <w:szCs w:val="22"/>
          <w:u w:val="single"/>
          <w:lang w:val="es-ES"/>
        </w:rPr>
        <w:t>, atsakingo</w:t>
      </w:r>
      <w:r w:rsidR="006D7049">
        <w:rPr>
          <w:rFonts w:ascii="Times New Roman" w:hAnsi="Times New Roman" w:cs="Times New Roman"/>
          <w:sz w:val="22"/>
          <w:szCs w:val="22"/>
          <w:u w:val="single"/>
          <w:lang w:val="es-ES"/>
        </w:rPr>
        <w:t xml:space="preserve"> (-ų)</w:t>
      </w:r>
      <w:r w:rsidRPr="000E27EC">
        <w:rPr>
          <w:rFonts w:ascii="Times New Roman" w:hAnsi="Times New Roman" w:cs="Times New Roman"/>
          <w:sz w:val="22"/>
          <w:szCs w:val="22"/>
          <w:u w:val="single"/>
          <w:lang w:val="es-ES"/>
        </w:rPr>
        <w:t xml:space="preserve"> už serijų išleidimą, pavadinimas</w:t>
      </w:r>
      <w:r w:rsidR="006D7049">
        <w:rPr>
          <w:rFonts w:ascii="Times New Roman" w:hAnsi="Times New Roman" w:cs="Times New Roman"/>
          <w:sz w:val="22"/>
          <w:szCs w:val="22"/>
          <w:u w:val="single"/>
          <w:lang w:val="es-ES"/>
        </w:rPr>
        <w:t xml:space="preserve"> (-ai)</w:t>
      </w:r>
      <w:r w:rsidRPr="000E27EC">
        <w:rPr>
          <w:rFonts w:ascii="Times New Roman" w:hAnsi="Times New Roman" w:cs="Times New Roman"/>
          <w:sz w:val="22"/>
          <w:szCs w:val="22"/>
          <w:u w:val="single"/>
          <w:lang w:val="es-ES"/>
        </w:rPr>
        <w:t xml:space="preserve"> ir adresas</w:t>
      </w:r>
      <w:r w:rsidR="006D7049">
        <w:rPr>
          <w:rFonts w:ascii="Times New Roman" w:hAnsi="Times New Roman" w:cs="Times New Roman"/>
          <w:sz w:val="22"/>
          <w:szCs w:val="22"/>
          <w:u w:val="single"/>
          <w:lang w:val="es-ES"/>
        </w:rPr>
        <w:t xml:space="preserve"> (-ai)</w:t>
      </w:r>
    </w:p>
    <w:p w14:paraId="61CD3223"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18095969" w14:textId="77777777" w:rsidR="006D7049" w:rsidRDefault="00E446F1" w:rsidP="00E446F1">
      <w:pPr>
        <w:tabs>
          <w:tab w:val="left" w:pos="567"/>
        </w:tabs>
        <w:spacing w:after="0" w:line="260" w:lineRule="exact"/>
        <w:rPr>
          <w:rFonts w:ascii="Times New Roman" w:hAnsi="Times New Roman" w:cs="Times New Roman"/>
          <w:sz w:val="22"/>
          <w:szCs w:val="22"/>
          <w:lang w:val="es-ES"/>
        </w:rPr>
      </w:pPr>
      <w:r w:rsidRPr="000E27EC">
        <w:rPr>
          <w:rFonts w:ascii="Times New Roman" w:hAnsi="Times New Roman" w:cs="Times New Roman"/>
          <w:sz w:val="22"/>
          <w:szCs w:val="22"/>
          <w:lang w:val="es-ES"/>
        </w:rPr>
        <w:t>Novartis Pharma GmbH</w:t>
      </w:r>
    </w:p>
    <w:p w14:paraId="39B7CBD0" w14:textId="77777777" w:rsidR="006D7049" w:rsidRDefault="00E446F1" w:rsidP="00E446F1">
      <w:pPr>
        <w:tabs>
          <w:tab w:val="left" w:pos="567"/>
        </w:tabs>
        <w:spacing w:after="0" w:line="260" w:lineRule="exact"/>
        <w:rPr>
          <w:rFonts w:ascii="Times New Roman" w:hAnsi="Times New Roman" w:cs="Times New Roman"/>
          <w:sz w:val="22"/>
          <w:szCs w:val="22"/>
          <w:lang w:val="es-ES"/>
        </w:rPr>
      </w:pPr>
      <w:r w:rsidRPr="000E27EC">
        <w:rPr>
          <w:rFonts w:ascii="Times New Roman" w:hAnsi="Times New Roman" w:cs="Times New Roman"/>
          <w:sz w:val="22"/>
          <w:szCs w:val="22"/>
          <w:lang w:val="es-ES"/>
        </w:rPr>
        <w:t>Roonstrasse 25</w:t>
      </w:r>
    </w:p>
    <w:p w14:paraId="5B12CD04" w14:textId="77777777" w:rsidR="006D7049" w:rsidRDefault="00E446F1" w:rsidP="00E446F1">
      <w:pPr>
        <w:tabs>
          <w:tab w:val="left" w:pos="567"/>
        </w:tabs>
        <w:spacing w:after="0" w:line="260" w:lineRule="exact"/>
        <w:rPr>
          <w:rFonts w:ascii="Times New Roman" w:hAnsi="Times New Roman" w:cs="Times New Roman"/>
          <w:sz w:val="22"/>
          <w:szCs w:val="22"/>
          <w:lang w:val="es-ES"/>
        </w:rPr>
      </w:pPr>
      <w:r w:rsidRPr="000E27EC">
        <w:rPr>
          <w:rFonts w:ascii="Times New Roman" w:hAnsi="Times New Roman" w:cs="Times New Roman"/>
          <w:sz w:val="22"/>
          <w:szCs w:val="22"/>
          <w:lang w:val="es-ES"/>
        </w:rPr>
        <w:t>90429 Nürnberg</w:t>
      </w:r>
    </w:p>
    <w:p w14:paraId="7B50063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Vokietija</w:t>
      </w:r>
    </w:p>
    <w:p w14:paraId="480B5E2C" w14:textId="77777777" w:rsidR="001F79E3" w:rsidRDefault="001F79E3" w:rsidP="001F79E3">
      <w:pPr>
        <w:tabs>
          <w:tab w:val="left" w:pos="567"/>
        </w:tabs>
        <w:spacing w:after="0" w:line="260" w:lineRule="exact"/>
        <w:rPr>
          <w:rFonts w:ascii="Times New Roman" w:eastAsia="Calibri" w:hAnsi="Times New Roman" w:cs="Times New Roman"/>
          <w:sz w:val="22"/>
          <w:szCs w:val="22"/>
          <w:lang w:val="es-ES"/>
        </w:rPr>
      </w:pPr>
    </w:p>
    <w:p w14:paraId="772890ED" w14:textId="77777777" w:rsidR="001F79E3" w:rsidRPr="000E27EC" w:rsidRDefault="001F79E3" w:rsidP="001F79E3">
      <w:pPr>
        <w:tabs>
          <w:tab w:val="left" w:pos="567"/>
        </w:tabs>
        <w:spacing w:after="0" w:line="260" w:lineRule="exact"/>
        <w:rPr>
          <w:rFonts w:ascii="Times New Roman" w:eastAsia="Calibri" w:hAnsi="Times New Roman" w:cs="Times New Roman"/>
          <w:sz w:val="22"/>
          <w:szCs w:val="22"/>
          <w:lang w:val="es-ES"/>
        </w:rPr>
      </w:pPr>
      <w:r>
        <w:rPr>
          <w:rFonts w:ascii="Times New Roman" w:eastAsia="Calibri" w:hAnsi="Times New Roman" w:cs="Times New Roman"/>
          <w:sz w:val="22"/>
          <w:szCs w:val="22"/>
          <w:lang w:val="es-ES"/>
        </w:rPr>
        <w:t>arba</w:t>
      </w:r>
    </w:p>
    <w:p w14:paraId="6A4CD738" w14:textId="77777777"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p>
    <w:p w14:paraId="20E97AC1"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GmbH</w:t>
      </w:r>
    </w:p>
    <w:p w14:paraId="3816F7C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Jakov-Lind-Straße 5, Top 3.05</w:t>
      </w:r>
    </w:p>
    <w:p w14:paraId="642D94C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1020 Wien</w:t>
      </w:r>
    </w:p>
    <w:p w14:paraId="43B20C5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Austrija</w:t>
      </w:r>
    </w:p>
    <w:p w14:paraId="2090EC6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2C91F9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28CE330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09889CE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NV</w:t>
      </w:r>
    </w:p>
    <w:p w14:paraId="58F7884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Medialaan 40 Bus 1,</w:t>
      </w:r>
    </w:p>
    <w:p w14:paraId="2B34078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Vilvoorde, B-1800,</w:t>
      </w:r>
    </w:p>
    <w:p w14:paraId="06108F1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Belgija</w:t>
      </w:r>
    </w:p>
    <w:p w14:paraId="7C41BD9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01140E1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796CA0E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764B77F" w14:textId="125ED9AB"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Healthcare A/S</w:t>
      </w:r>
    </w:p>
    <w:p w14:paraId="4DE06DC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Edvard Thomsens Vej 14,</w:t>
      </w:r>
    </w:p>
    <w:p w14:paraId="35DF978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København S, 2300,</w:t>
      </w:r>
    </w:p>
    <w:p w14:paraId="5DC4C6A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Danija</w:t>
      </w:r>
    </w:p>
    <w:p w14:paraId="610689E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2E53F7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3FC02B7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4A515F42" w14:textId="3C335783"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Finland Oy</w:t>
      </w:r>
    </w:p>
    <w:p w14:paraId="2EC042B1"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Metsäneidonkuja 10,</w:t>
      </w:r>
    </w:p>
    <w:p w14:paraId="20CB405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Espoo, FI-02130,</w:t>
      </w:r>
    </w:p>
    <w:p w14:paraId="3071153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Suomija</w:t>
      </w:r>
    </w:p>
    <w:p w14:paraId="7D489CB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65B2588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05FBFB2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2EDEF085" w14:textId="16559FD3"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SAS</w:t>
      </w:r>
    </w:p>
    <w:p w14:paraId="39BDE0A1"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8-10 rue Henri Sainte-Claire Deville</w:t>
      </w:r>
    </w:p>
    <w:p w14:paraId="445F50D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Rueil Malmaison, 92500</w:t>
      </w:r>
    </w:p>
    <w:p w14:paraId="17AC0A9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Prancūzija</w:t>
      </w:r>
    </w:p>
    <w:p w14:paraId="3E1FF4B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6AFBD57D" w14:textId="77777777" w:rsidR="001F79E3" w:rsidRPr="000D706C" w:rsidRDefault="001F79E3" w:rsidP="001F79E3">
      <w:pPr>
        <w:widowControl w:val="0"/>
        <w:numPr>
          <w:ilvl w:val="12"/>
          <w:numId w:val="0"/>
        </w:numPr>
        <w:tabs>
          <w:tab w:val="left" w:pos="720"/>
        </w:tabs>
        <w:spacing w:after="0" w:line="240" w:lineRule="auto"/>
        <w:ind w:right="-2"/>
        <w:rPr>
          <w:rFonts w:ascii="Times New Roman" w:hAnsi="Times New Roman"/>
          <w:sz w:val="22"/>
        </w:rPr>
      </w:pPr>
      <w:proofErr w:type="gramStart"/>
      <w:r w:rsidRPr="00F61446">
        <w:rPr>
          <w:rFonts w:ascii="Times New Roman" w:hAnsi="Times New Roman" w:cs="Times New Roman"/>
          <w:sz w:val="22"/>
          <w:szCs w:val="22"/>
          <w:highlight w:val="lightGray"/>
        </w:rPr>
        <w:t>arba</w:t>
      </w:r>
      <w:proofErr w:type="gramEnd"/>
    </w:p>
    <w:p w14:paraId="5A3A016A" w14:textId="77777777" w:rsidR="001F79E3" w:rsidRPr="000D706C"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7E5513A6" w14:textId="65C4E5D5"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(HELLAS) SA</w:t>
      </w:r>
    </w:p>
    <w:p w14:paraId="20DFC6D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12th</w:t>
      </w:r>
      <w:proofErr w:type="gramEnd"/>
      <w:r w:rsidRPr="00F61446">
        <w:rPr>
          <w:rFonts w:ascii="Times New Roman" w:hAnsi="Times New Roman" w:cs="Times New Roman"/>
          <w:sz w:val="22"/>
          <w:szCs w:val="22"/>
          <w:highlight w:val="lightGray"/>
        </w:rPr>
        <w:t xml:space="preserve"> km National Road Athinon-Lamias,</w:t>
      </w:r>
    </w:p>
    <w:p w14:paraId="43DBB93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Metamorfosi Attiki, 14451,</w:t>
      </w:r>
    </w:p>
    <w:p w14:paraId="5F5D32A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Graikija</w:t>
      </w:r>
    </w:p>
    <w:p w14:paraId="156DB31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2C7C8BEB" w14:textId="77777777" w:rsidR="001F79E3" w:rsidRPr="000D706C"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roofErr w:type="gramStart"/>
      <w:r w:rsidRPr="00F61446">
        <w:rPr>
          <w:rFonts w:ascii="Times New Roman" w:hAnsi="Times New Roman" w:cs="Times New Roman"/>
          <w:sz w:val="22"/>
          <w:szCs w:val="22"/>
          <w:highlight w:val="lightGray"/>
        </w:rPr>
        <w:t>arba</w:t>
      </w:r>
      <w:proofErr w:type="gramEnd"/>
    </w:p>
    <w:p w14:paraId="411074F0" w14:textId="77777777" w:rsidR="001F79E3" w:rsidRPr="000D706C"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
    <w:p w14:paraId="2F62E85D" w14:textId="5CFE97C3"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Hungary Ltd.</w:t>
      </w:r>
    </w:p>
    <w:p w14:paraId="0079151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Vasύt u.13</w:t>
      </w:r>
      <w:proofErr w:type="gramStart"/>
      <w:r w:rsidRPr="00F61446">
        <w:rPr>
          <w:rFonts w:ascii="Times New Roman" w:hAnsi="Times New Roman" w:cs="Times New Roman"/>
          <w:sz w:val="22"/>
          <w:szCs w:val="22"/>
          <w:highlight w:val="lightGray"/>
        </w:rPr>
        <w:t>.,</w:t>
      </w:r>
      <w:proofErr w:type="gramEnd"/>
    </w:p>
    <w:p w14:paraId="402A32D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Budaörs, 2040,</w:t>
      </w:r>
    </w:p>
    <w:p w14:paraId="2DED8A7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Vengrija</w:t>
      </w:r>
    </w:p>
    <w:p w14:paraId="0CE6088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6FE1918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3B98151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46E3713" w14:textId="05EA43F8"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S.p.A.</w:t>
      </w:r>
    </w:p>
    <w:p w14:paraId="2343A95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Via Provinciale Schito 131,</w:t>
      </w:r>
    </w:p>
    <w:p w14:paraId="75C38B5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80058</w:t>
      </w:r>
      <w:proofErr w:type="gramEnd"/>
      <w:r w:rsidRPr="00F61446">
        <w:rPr>
          <w:rFonts w:ascii="Times New Roman" w:hAnsi="Times New Roman" w:cs="Times New Roman"/>
          <w:sz w:val="22"/>
          <w:szCs w:val="22"/>
          <w:highlight w:val="lightGray"/>
        </w:rPr>
        <w:t xml:space="preserve"> Torre Annunziata (NA)</w:t>
      </w:r>
    </w:p>
    <w:p w14:paraId="69C4D581"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Italija</w:t>
      </w:r>
    </w:p>
    <w:p w14:paraId="24BF273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44FCBA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1445D19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5865F9A" w14:textId="20A940CE"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Poland Sp. z o.o.</w:t>
      </w:r>
    </w:p>
    <w:p w14:paraId="1F0E774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15 Marynarska Street,</w:t>
      </w:r>
    </w:p>
    <w:p w14:paraId="0903B57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02-674 Warsaw</w:t>
      </w:r>
    </w:p>
    <w:p w14:paraId="6E547C2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Lenkija</w:t>
      </w:r>
    </w:p>
    <w:p w14:paraId="3A2CB92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60C872F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roofErr w:type="gramStart"/>
      <w:r w:rsidRPr="00F61446">
        <w:rPr>
          <w:rFonts w:ascii="Times New Roman" w:hAnsi="Times New Roman" w:cs="Times New Roman"/>
          <w:sz w:val="22"/>
          <w:szCs w:val="22"/>
          <w:highlight w:val="lightGray"/>
        </w:rPr>
        <w:t>arba</w:t>
      </w:r>
      <w:proofErr w:type="gramEnd"/>
    </w:p>
    <w:p w14:paraId="04EF97D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6A01333" w14:textId="4BC1BBA0"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 Produtos Farmacêuticos, S.A.</w:t>
      </w:r>
    </w:p>
    <w:p w14:paraId="760D896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Avenida Professor Doutor Cavaco Silva, n.10E</w:t>
      </w:r>
      <w:proofErr w:type="gramStart"/>
      <w:r w:rsidRPr="00F61446">
        <w:rPr>
          <w:rFonts w:ascii="Times New Roman" w:hAnsi="Times New Roman" w:cs="Times New Roman"/>
          <w:sz w:val="22"/>
          <w:szCs w:val="22"/>
          <w:highlight w:val="lightGray"/>
        </w:rPr>
        <w:t>,Taguspark</w:t>
      </w:r>
      <w:proofErr w:type="gramEnd"/>
      <w:r w:rsidRPr="00F61446">
        <w:rPr>
          <w:rFonts w:ascii="Times New Roman" w:hAnsi="Times New Roman" w:cs="Times New Roman"/>
          <w:sz w:val="22"/>
          <w:szCs w:val="22"/>
          <w:highlight w:val="lightGray"/>
        </w:rPr>
        <w:t>,</w:t>
      </w:r>
    </w:p>
    <w:p w14:paraId="005D3A9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Porto Salvo, 2740-255,</w:t>
      </w:r>
    </w:p>
    <w:p w14:paraId="139E7F2A"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Portugalija</w:t>
      </w:r>
    </w:p>
    <w:p w14:paraId="428137D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248032F"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proofErr w:type="gramStart"/>
      <w:r w:rsidRPr="00F61446">
        <w:rPr>
          <w:rFonts w:ascii="Times New Roman" w:hAnsi="Times New Roman" w:cs="Times New Roman"/>
          <w:sz w:val="22"/>
          <w:szCs w:val="22"/>
          <w:highlight w:val="lightGray"/>
        </w:rPr>
        <w:t>arba</w:t>
      </w:r>
      <w:proofErr w:type="gramEnd"/>
    </w:p>
    <w:p w14:paraId="4FAF0A73"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0930B8AB" w14:textId="1E58283D"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r w:rsidRPr="006A0DEA">
        <w:rPr>
          <w:rFonts w:ascii="Times New Roman" w:hAnsi="Times New Roman"/>
          <w:sz w:val="22"/>
        </w:rPr>
        <w:t xml:space="preserve">Novartis </w:t>
      </w:r>
      <w:r w:rsidRPr="001F79E3">
        <w:rPr>
          <w:rFonts w:ascii="Times New Roman" w:hAnsi="Times New Roman" w:cs="Times New Roman"/>
          <w:sz w:val="22"/>
          <w:szCs w:val="22"/>
        </w:rPr>
        <w:t>Farmacéutica</w:t>
      </w:r>
      <w:r w:rsidRPr="006A0DEA">
        <w:rPr>
          <w:rFonts w:ascii="Times New Roman" w:hAnsi="Times New Roman"/>
          <w:sz w:val="22"/>
        </w:rPr>
        <w:t xml:space="preserve"> S</w:t>
      </w:r>
      <w:r w:rsidR="002414A7" w:rsidRPr="006A0DEA">
        <w:rPr>
          <w:rFonts w:ascii="Times New Roman" w:hAnsi="Times New Roman"/>
          <w:sz w:val="22"/>
        </w:rPr>
        <w:t>.</w:t>
      </w:r>
      <w:r w:rsidRPr="006A0DEA">
        <w:rPr>
          <w:rFonts w:ascii="Times New Roman" w:hAnsi="Times New Roman"/>
          <w:sz w:val="22"/>
        </w:rPr>
        <w:t>A</w:t>
      </w:r>
      <w:r w:rsidR="002414A7" w:rsidRPr="006A0DEA">
        <w:rPr>
          <w:rFonts w:ascii="Times New Roman" w:hAnsi="Times New Roman"/>
          <w:sz w:val="22"/>
        </w:rPr>
        <w:t>.</w:t>
      </w:r>
    </w:p>
    <w:p w14:paraId="2D293843" w14:textId="4D0D3EF6" w:rsidR="001F79E3" w:rsidRPr="001F79E3" w:rsidRDefault="002414A7"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2414A7">
        <w:rPr>
          <w:rFonts w:ascii="Times New Roman" w:hAnsi="Times New Roman" w:cs="Times New Roman"/>
          <w:sz w:val="22"/>
          <w:szCs w:val="22"/>
        </w:rPr>
        <w:t>Gran Via de les Corts Catalanes, 764</w:t>
      </w:r>
    </w:p>
    <w:p w14:paraId="21602866" w14:textId="68D56541" w:rsidR="001F79E3" w:rsidRP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proofErr w:type="gramStart"/>
      <w:r w:rsidRPr="001F79E3">
        <w:rPr>
          <w:rFonts w:ascii="Times New Roman" w:hAnsi="Times New Roman" w:cs="Times New Roman"/>
          <w:sz w:val="22"/>
          <w:szCs w:val="22"/>
        </w:rPr>
        <w:t>08</w:t>
      </w:r>
      <w:r w:rsidR="002414A7">
        <w:rPr>
          <w:rFonts w:ascii="Times New Roman" w:hAnsi="Times New Roman" w:cs="Times New Roman"/>
          <w:sz w:val="22"/>
          <w:szCs w:val="22"/>
        </w:rPr>
        <w:t>013</w:t>
      </w:r>
      <w:proofErr w:type="gramEnd"/>
      <w:r w:rsidRPr="001F79E3">
        <w:rPr>
          <w:rFonts w:ascii="Times New Roman" w:hAnsi="Times New Roman" w:cs="Times New Roman"/>
          <w:sz w:val="22"/>
          <w:szCs w:val="22"/>
        </w:rPr>
        <w:t xml:space="preserve"> Barcelona</w:t>
      </w:r>
    </w:p>
    <w:p w14:paraId="00FAA487" w14:textId="77777777"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Pr>
          <w:rFonts w:ascii="Times New Roman" w:hAnsi="Times New Roman" w:cs="Times New Roman"/>
          <w:sz w:val="22"/>
          <w:szCs w:val="22"/>
        </w:rPr>
        <w:t>Ispanija</w:t>
      </w:r>
    </w:p>
    <w:p w14:paraId="2A868FDC"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0749A2F9"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roofErr w:type="gramStart"/>
      <w:r w:rsidRPr="00F61446">
        <w:rPr>
          <w:rFonts w:ascii="Times New Roman" w:hAnsi="Times New Roman" w:cs="Times New Roman"/>
          <w:sz w:val="22"/>
          <w:szCs w:val="22"/>
          <w:highlight w:val="lightGray"/>
        </w:rPr>
        <w:t>arba</w:t>
      </w:r>
      <w:proofErr w:type="gramEnd"/>
    </w:p>
    <w:p w14:paraId="2EFDE457"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
    <w:p w14:paraId="5D2DB07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Sverige AB</w:t>
      </w:r>
    </w:p>
    <w:p w14:paraId="3CD69E2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Torshamnsgatan 48,</w:t>
      </w:r>
    </w:p>
    <w:p w14:paraId="107F12A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164 40 Kista,</w:t>
      </w:r>
    </w:p>
    <w:p w14:paraId="75FB05C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Švedija</w:t>
      </w:r>
    </w:p>
    <w:p w14:paraId="3A1A7CB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252F3A0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B.V.</w:t>
      </w:r>
    </w:p>
    <w:p w14:paraId="1FD28F5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Haaksbergweg 16</w:t>
      </w:r>
    </w:p>
    <w:p w14:paraId="6BD2B4A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1101 BX Amsterdam</w:t>
      </w:r>
    </w:p>
    <w:p w14:paraId="0D6A658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Nyderlandai</w:t>
      </w:r>
    </w:p>
    <w:p w14:paraId="4D5F5795" w14:textId="77777777" w:rsidR="00E446F1" w:rsidRPr="000E27EC" w:rsidRDefault="00E446F1" w:rsidP="006D7049">
      <w:pPr>
        <w:tabs>
          <w:tab w:val="left" w:pos="567"/>
        </w:tabs>
        <w:spacing w:after="0" w:line="260" w:lineRule="exact"/>
        <w:rPr>
          <w:rFonts w:ascii="Times New Roman" w:hAnsi="Times New Roman" w:cs="Times New Roman"/>
          <w:sz w:val="22"/>
          <w:szCs w:val="22"/>
          <w:lang w:val="es-ES"/>
        </w:rPr>
      </w:pPr>
    </w:p>
    <w:p w14:paraId="5DAFC718" w14:textId="1B56583C" w:rsidR="00E446F1" w:rsidRDefault="00F10056" w:rsidP="00F10056">
      <w:pPr>
        <w:tabs>
          <w:tab w:val="left" w:pos="567"/>
        </w:tabs>
        <w:spacing w:after="0" w:line="260" w:lineRule="exact"/>
        <w:rPr>
          <w:rFonts w:ascii="Times New Roman" w:eastAsia="Times New Roman" w:hAnsi="Times New Roman" w:cs="Times New Roman"/>
          <w:sz w:val="22"/>
          <w:lang w:val="lt-LT" w:eastAsia="lt-LT"/>
        </w:rPr>
      </w:pPr>
      <w:r w:rsidRPr="00F10056">
        <w:rPr>
          <w:rFonts w:ascii="Times New Roman" w:eastAsia="Times New Roman" w:hAnsi="Times New Roman" w:cs="Times New Roman"/>
          <w:sz w:val="22"/>
          <w:lang w:val="lt-LT" w:eastAsia="lt-LT"/>
        </w:rPr>
        <w:t>Su pakuote pateikiamame lapelyje nurodomas gamintojo, atsakingo už konkrečios serijos išleidimą, pavadinimas ir adresas</w:t>
      </w:r>
      <w:r>
        <w:rPr>
          <w:rFonts w:ascii="Times New Roman" w:eastAsia="Times New Roman" w:hAnsi="Times New Roman" w:cs="Times New Roman"/>
          <w:sz w:val="22"/>
          <w:lang w:val="lt-LT" w:eastAsia="lt-LT"/>
        </w:rPr>
        <w:t>.</w:t>
      </w:r>
    </w:p>
    <w:p w14:paraId="5A83C751" w14:textId="77777777" w:rsidR="00F10056" w:rsidRDefault="00F10056" w:rsidP="00F10056">
      <w:pPr>
        <w:tabs>
          <w:tab w:val="left" w:pos="567"/>
        </w:tabs>
        <w:spacing w:after="0" w:line="260" w:lineRule="exact"/>
        <w:rPr>
          <w:rFonts w:ascii="Times New Roman" w:hAnsi="Times New Roman" w:cs="Times New Roman"/>
          <w:sz w:val="22"/>
          <w:szCs w:val="22"/>
          <w:lang w:val="es-ES"/>
        </w:rPr>
      </w:pPr>
    </w:p>
    <w:p w14:paraId="443ED0CA" w14:textId="77777777" w:rsidR="00F10056" w:rsidRPr="000E27EC" w:rsidRDefault="00F10056" w:rsidP="00E446F1">
      <w:pPr>
        <w:tabs>
          <w:tab w:val="left" w:pos="567"/>
        </w:tabs>
        <w:spacing w:after="0" w:line="260" w:lineRule="exact"/>
        <w:rPr>
          <w:rFonts w:ascii="Times New Roman" w:hAnsi="Times New Roman" w:cs="Times New Roman"/>
          <w:sz w:val="22"/>
          <w:szCs w:val="22"/>
          <w:lang w:val="es-ES"/>
        </w:rPr>
      </w:pPr>
    </w:p>
    <w:p w14:paraId="3B75C700"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B.</w:t>
      </w:r>
      <w:r w:rsidRPr="000E27EC">
        <w:rPr>
          <w:rFonts w:ascii="Times New Roman" w:hAnsi="Times New Roman" w:cs="Times New Roman"/>
          <w:b/>
          <w:sz w:val="22"/>
          <w:szCs w:val="22"/>
          <w:lang w:val="es-ES"/>
        </w:rPr>
        <w:tab/>
        <w:t xml:space="preserve">TIEKIMO IR VARTOJIMO SĄLYGOS AR APRIBOJIMAI </w:t>
      </w:r>
    </w:p>
    <w:p w14:paraId="30601854" w14:textId="77777777" w:rsidR="00E446F1" w:rsidRPr="000E27EC" w:rsidRDefault="00E446F1" w:rsidP="00E446F1">
      <w:pPr>
        <w:tabs>
          <w:tab w:val="left" w:pos="567"/>
        </w:tabs>
        <w:spacing w:after="0" w:line="260" w:lineRule="exact"/>
        <w:rPr>
          <w:rFonts w:ascii="Times New Roman" w:hAnsi="Times New Roman" w:cs="Times New Roman"/>
          <w:sz w:val="22"/>
          <w:szCs w:val="22"/>
          <w:lang w:val="es-ES"/>
        </w:rPr>
      </w:pPr>
    </w:p>
    <w:p w14:paraId="7192135F" w14:textId="77777777" w:rsidR="00E446F1" w:rsidRPr="000E27EC" w:rsidRDefault="00E446F1" w:rsidP="00E446F1">
      <w:pPr>
        <w:numPr>
          <w:ilvl w:val="12"/>
          <w:numId w:val="0"/>
        </w:numPr>
        <w:tabs>
          <w:tab w:val="left" w:pos="567"/>
        </w:tabs>
        <w:spacing w:after="0" w:line="260" w:lineRule="exact"/>
        <w:jc w:val="both"/>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Receptinis vaistinis preparatas.</w:t>
      </w:r>
    </w:p>
    <w:p w14:paraId="0BFE20F2"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lang w:val="es-ES"/>
        </w:rPr>
      </w:pPr>
    </w:p>
    <w:p w14:paraId="2F429A17"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291E2459"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04652275"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36E797DB"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6DB96C9F"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7D88F536" w14:textId="77777777" w:rsidR="00E446F1" w:rsidRPr="000E27EC" w:rsidRDefault="00E446F1" w:rsidP="00E446F1">
      <w:pPr>
        <w:numPr>
          <w:ilvl w:val="12"/>
          <w:numId w:val="0"/>
        </w:numPr>
        <w:tabs>
          <w:tab w:val="left" w:pos="567"/>
        </w:tabs>
        <w:spacing w:after="0" w:line="260" w:lineRule="exact"/>
        <w:rPr>
          <w:rFonts w:ascii="Times New Roman" w:hAnsi="Times New Roman" w:cs="Times New Roman"/>
          <w:sz w:val="22"/>
          <w:szCs w:val="22"/>
          <w:highlight w:val="yellow"/>
          <w:lang w:val="es-ES"/>
        </w:rPr>
      </w:pPr>
    </w:p>
    <w:p w14:paraId="0A3416BA" w14:textId="77777777" w:rsidR="00E446F1" w:rsidRPr="000E27EC" w:rsidRDefault="00E446F1" w:rsidP="00E446F1">
      <w:pPr>
        <w:spacing w:after="0" w:line="240" w:lineRule="auto"/>
        <w:rPr>
          <w:rFonts w:ascii="Times New Roman" w:hAnsi="Times New Roman" w:cs="Times New Roman"/>
          <w:sz w:val="22"/>
          <w:szCs w:val="22"/>
          <w:lang w:val="es-ES"/>
        </w:rPr>
        <w:sectPr w:rsidR="00E446F1" w:rsidRPr="000E27EC">
          <w:headerReference w:type="default" r:id="rId12"/>
          <w:footerReference w:type="default" r:id="rId13"/>
          <w:endnotePr>
            <w:numFmt w:val="decimal"/>
          </w:endnotePr>
          <w:pgSz w:w="11907" w:h="16840"/>
          <w:pgMar w:top="1134" w:right="1418" w:bottom="1134" w:left="1418" w:header="737" w:footer="737" w:gutter="0"/>
          <w:cols w:space="720"/>
        </w:sectPr>
      </w:pPr>
    </w:p>
    <w:p w14:paraId="0B5885A9"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5E0C5EB0"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1B996BEB"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67CDD203"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5DFEAD68"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0E4F5357"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143CDAF1"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7DA81B13"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3523ABB4"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347EDF59"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024B33B3"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1A0B0FC1"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35681BA9"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75F9E3E1"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0EA82581"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63B37597"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76B316BE"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4F7C5EA6"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7147E83C"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6EA52F25"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520E8744"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12681A0A"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3EBBBF69" w14:textId="77777777" w:rsidR="00E446F1" w:rsidRPr="000E27EC" w:rsidRDefault="00E446F1" w:rsidP="00E446F1">
      <w:pPr>
        <w:tabs>
          <w:tab w:val="left" w:pos="567"/>
        </w:tabs>
        <w:spacing w:after="0" w:line="240" w:lineRule="auto"/>
        <w:jc w:val="center"/>
        <w:outlineLvl w:val="0"/>
        <w:rPr>
          <w:rFonts w:ascii="Times New Roman" w:eastAsia="Calibri" w:hAnsi="Times New Roman" w:cs="Times New Roman"/>
          <w:b/>
          <w:kern w:val="28"/>
          <w:sz w:val="22"/>
          <w:szCs w:val="22"/>
          <w:lang w:val="es-ES"/>
        </w:rPr>
      </w:pPr>
      <w:r w:rsidRPr="000E27EC">
        <w:rPr>
          <w:rFonts w:ascii="Times New Roman" w:hAnsi="Times New Roman" w:cs="Times New Roman"/>
          <w:b/>
          <w:kern w:val="28"/>
          <w:sz w:val="22"/>
          <w:szCs w:val="22"/>
          <w:lang w:val="es-ES"/>
        </w:rPr>
        <w:t>III PRIEDAS</w:t>
      </w:r>
    </w:p>
    <w:p w14:paraId="43AAE773"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p>
    <w:p w14:paraId="0E7E0B7C" w14:textId="77777777" w:rsidR="00E446F1" w:rsidRPr="000E27EC" w:rsidRDefault="00E446F1" w:rsidP="00E446F1">
      <w:pPr>
        <w:tabs>
          <w:tab w:val="left" w:pos="567"/>
        </w:tabs>
        <w:spacing w:after="0" w:line="240" w:lineRule="auto"/>
        <w:jc w:val="center"/>
        <w:outlineLvl w:val="0"/>
        <w:rPr>
          <w:rFonts w:ascii="Times New Roman" w:hAnsi="Times New Roman" w:cs="Times New Roman"/>
          <w:b/>
          <w:kern w:val="28"/>
          <w:sz w:val="22"/>
          <w:szCs w:val="22"/>
          <w:lang w:val="es-ES"/>
        </w:rPr>
      </w:pPr>
      <w:r w:rsidRPr="000E27EC">
        <w:rPr>
          <w:rFonts w:ascii="Times New Roman" w:hAnsi="Times New Roman" w:cs="Times New Roman"/>
          <w:b/>
          <w:kern w:val="28"/>
          <w:sz w:val="22"/>
          <w:szCs w:val="22"/>
          <w:lang w:val="es-ES"/>
        </w:rPr>
        <w:t xml:space="preserve">ŽENKLINIMAS IR PAKUOTĖS </w:t>
      </w:r>
      <w:smartTag w:uri="schemas-tilde-lt/tildestengine" w:element="templates">
        <w:smartTagPr>
          <w:attr w:name="text" w:val="LAPELIS"/>
          <w:attr w:name="id" w:val="-1"/>
          <w:attr w:name="baseform" w:val="lapel|is"/>
        </w:smartTagPr>
        <w:r w:rsidRPr="000E27EC">
          <w:rPr>
            <w:rFonts w:ascii="Times New Roman" w:hAnsi="Times New Roman" w:cs="Times New Roman"/>
            <w:b/>
            <w:kern w:val="28"/>
            <w:sz w:val="22"/>
            <w:szCs w:val="22"/>
            <w:lang w:val="es-ES"/>
          </w:rPr>
          <w:t>LAPELIS</w:t>
        </w:r>
      </w:smartTag>
    </w:p>
    <w:p w14:paraId="148B4C52" w14:textId="77777777" w:rsidR="00E446F1" w:rsidRPr="000E27EC" w:rsidRDefault="00E446F1" w:rsidP="000E27EC">
      <w:pPr>
        <w:spacing w:after="200" w:line="276" w:lineRule="auto"/>
        <w:rPr>
          <w:rFonts w:ascii="Times New Roman" w:hAnsi="Times New Roman" w:cs="Times New Roman"/>
          <w:sz w:val="22"/>
          <w:szCs w:val="22"/>
          <w:lang w:val="es-ES"/>
        </w:rPr>
      </w:pPr>
      <w:r w:rsidRPr="000E27EC">
        <w:rPr>
          <w:rFonts w:ascii="Times New Roman" w:hAnsi="Times New Roman" w:cs="Times New Roman"/>
          <w:sz w:val="22"/>
          <w:szCs w:val="22"/>
          <w:lang w:val="es-ES"/>
        </w:rPr>
        <w:br w:type="page"/>
      </w:r>
    </w:p>
    <w:p w14:paraId="3EFBA913"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57921C16"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1B4C5E32"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5BC674B6"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67784E12"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0D57EE38"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015AA07B"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0CCB42C3"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6CCCEF88"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0D0E1EB2"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71BC4C48"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5FC75A25"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7DDA1E2C"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33C46AEE"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11470A80"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6D6A8266"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2A198236"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2FA50E89"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6A2B6B18"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1EB862F2"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22B88E9F"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1D441FCA"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59843A6F"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lang w:val="es-ES"/>
        </w:rPr>
      </w:pPr>
    </w:p>
    <w:p w14:paraId="40C29B0D" w14:textId="77777777" w:rsidR="00E446F1" w:rsidRPr="000E27EC" w:rsidRDefault="00E446F1" w:rsidP="00E446F1">
      <w:pPr>
        <w:widowControl w:val="0"/>
        <w:numPr>
          <w:ilvl w:val="0"/>
          <w:numId w:val="12"/>
        </w:numPr>
        <w:tabs>
          <w:tab w:val="left" w:pos="567"/>
          <w:tab w:val="left" w:pos="720"/>
        </w:tabs>
        <w:spacing w:after="0" w:line="240" w:lineRule="auto"/>
        <w:contextualSpacing/>
        <w:jc w:val="center"/>
        <w:outlineLvl w:val="0"/>
        <w:rPr>
          <w:rFonts w:ascii="Times New Roman" w:eastAsia="Calibri" w:hAnsi="Times New Roman" w:cs="Times New Roman"/>
          <w:sz w:val="22"/>
          <w:szCs w:val="22"/>
        </w:rPr>
      </w:pPr>
      <w:r w:rsidRPr="000E27EC">
        <w:rPr>
          <w:rFonts w:ascii="Times New Roman" w:hAnsi="Times New Roman" w:cs="Times New Roman"/>
          <w:b/>
          <w:sz w:val="22"/>
          <w:szCs w:val="22"/>
        </w:rPr>
        <w:t>ŽENKLINIMAS</w:t>
      </w:r>
    </w:p>
    <w:p w14:paraId="04C31CB1" w14:textId="77777777" w:rsidR="00E446F1" w:rsidRPr="000E27EC" w:rsidRDefault="00E446F1" w:rsidP="00E446F1">
      <w:pPr>
        <w:widowControl w:val="0"/>
        <w:shd w:val="clear" w:color="auto" w:fill="FFFFFF"/>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br w:type="page"/>
      </w:r>
    </w:p>
    <w:p w14:paraId="4C30530B"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lastRenderedPageBreak/>
        <w:t>INFORMACIJA ANT IŠORINĖS PAKUOTĖS</w:t>
      </w:r>
    </w:p>
    <w:p w14:paraId="74EEB54B"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cs="Times New Roman"/>
          <w:sz w:val="22"/>
          <w:szCs w:val="22"/>
        </w:rPr>
      </w:pPr>
    </w:p>
    <w:p w14:paraId="04ADF875"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IŠORINĖ PAKUOTĖ</w:t>
      </w:r>
    </w:p>
    <w:p w14:paraId="21215DD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81B04C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5F936584"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sz w:val="22"/>
          <w:szCs w:val="22"/>
        </w:rPr>
      </w:pPr>
      <w:r w:rsidRPr="000E27EC">
        <w:rPr>
          <w:rFonts w:ascii="Times New Roman" w:hAnsi="Times New Roman" w:cs="Times New Roman"/>
          <w:b/>
          <w:sz w:val="22"/>
          <w:szCs w:val="22"/>
        </w:rPr>
        <w:t>1.</w:t>
      </w:r>
      <w:r w:rsidRPr="000E27EC">
        <w:rPr>
          <w:rFonts w:ascii="Times New Roman" w:hAnsi="Times New Roman" w:cs="Times New Roman"/>
          <w:b/>
          <w:sz w:val="22"/>
          <w:szCs w:val="22"/>
        </w:rPr>
        <w:tab/>
        <w:t>VAISTINIO PREPARATO PAVADINIMAS</w:t>
      </w:r>
    </w:p>
    <w:p w14:paraId="34AA524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522E854" w14:textId="77777777" w:rsidR="00E446F1" w:rsidRPr="000E27EC" w:rsidRDefault="00E446F1" w:rsidP="00E446F1">
      <w:pPr>
        <w:widowControl w:val="0"/>
        <w:shd w:val="clear" w:color="auto" w:fill="FFFFFF"/>
        <w:tabs>
          <w:tab w:val="left" w:pos="720"/>
        </w:tabs>
        <w:spacing w:after="0" w:line="240" w:lineRule="auto"/>
        <w:rPr>
          <w:rFonts w:ascii="Times New Roman" w:eastAsia="Calibri" w:hAnsi="Times New Roman" w:cs="Times New Roman"/>
          <w:spacing w:val="-3"/>
          <w:sz w:val="22"/>
          <w:szCs w:val="22"/>
        </w:rPr>
      </w:pPr>
      <w:r w:rsidRPr="000E27EC">
        <w:rPr>
          <w:rFonts w:ascii="Times New Roman" w:hAnsi="Times New Roman" w:cs="Times New Roman"/>
          <w:sz w:val="22"/>
          <w:szCs w:val="22"/>
        </w:rPr>
        <w:t xml:space="preserve">Sandostatin </w:t>
      </w:r>
      <w:r w:rsidRPr="000E27EC">
        <w:rPr>
          <w:rFonts w:ascii="Times New Roman" w:hAnsi="Times New Roman" w:cs="Times New Roman"/>
          <w:spacing w:val="-3"/>
          <w:sz w:val="22"/>
          <w:szCs w:val="22"/>
        </w:rPr>
        <w:t xml:space="preserve">100 mikrogramų/ml injekcinis ar infuzinis tirpalas </w:t>
      </w:r>
    </w:p>
    <w:p w14:paraId="27378807" w14:textId="77777777" w:rsidR="00E446F1" w:rsidRPr="00F23492" w:rsidRDefault="00034EF0" w:rsidP="00E446F1">
      <w:pPr>
        <w:tabs>
          <w:tab w:val="left" w:pos="567"/>
        </w:tabs>
        <w:spacing w:after="0" w:line="260" w:lineRule="exact"/>
        <w:ind w:left="567" w:hanging="567"/>
        <w:rPr>
          <w:rFonts w:ascii="Times New Roman" w:eastAsia="Calibri" w:hAnsi="Times New Roman" w:cs="Times New Roman"/>
          <w:i/>
          <w:sz w:val="22"/>
          <w:szCs w:val="22"/>
        </w:rPr>
      </w:pPr>
      <w:r>
        <w:rPr>
          <w:rFonts w:ascii="Times New Roman" w:hAnsi="Times New Roman" w:cs="Times New Roman"/>
          <w:i/>
          <w:sz w:val="22"/>
          <w:szCs w:val="22"/>
        </w:rPr>
        <w:t>o</w:t>
      </w:r>
      <w:r w:rsidR="00E446F1" w:rsidRPr="00F23492">
        <w:rPr>
          <w:rFonts w:ascii="Times New Roman" w:hAnsi="Times New Roman" w:cs="Times New Roman"/>
          <w:i/>
          <w:sz w:val="22"/>
          <w:szCs w:val="22"/>
        </w:rPr>
        <w:t>ctreotidum</w:t>
      </w:r>
    </w:p>
    <w:p w14:paraId="186A402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3F2BAFD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A05DA99"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2.</w:t>
      </w:r>
      <w:r w:rsidRPr="000E27EC">
        <w:rPr>
          <w:rFonts w:ascii="Times New Roman" w:hAnsi="Times New Roman" w:cs="Times New Roman"/>
          <w:b/>
          <w:sz w:val="22"/>
          <w:szCs w:val="22"/>
          <w:lang w:val="es-ES"/>
        </w:rPr>
        <w:tab/>
        <w:t>VEIKLIOJI (-IOS) MEDŽIAGA (-OS) IR JOS (-Ų) KIEKIS (-IAI)</w:t>
      </w:r>
    </w:p>
    <w:p w14:paraId="1D9FCCF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1687E299"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1 ml tirpalo yra 100 mikrogramų</w:t>
      </w:r>
      <w:r w:rsidRPr="000E27EC" w:rsidDel="00B4337F">
        <w:rPr>
          <w:rFonts w:ascii="Times New Roman" w:hAnsi="Times New Roman" w:cs="Times New Roman"/>
          <w:sz w:val="22"/>
          <w:szCs w:val="22"/>
          <w:lang w:val="es-ES"/>
        </w:rPr>
        <w:t xml:space="preserve"> </w:t>
      </w:r>
      <w:r w:rsidRPr="000E27EC">
        <w:rPr>
          <w:rFonts w:ascii="Times New Roman" w:hAnsi="Times New Roman" w:cs="Times New Roman"/>
          <w:sz w:val="22"/>
          <w:szCs w:val="22"/>
          <w:lang w:val="es-ES"/>
        </w:rPr>
        <w:t>oktreotido (oktreotido acetato pavidalu).</w:t>
      </w:r>
    </w:p>
    <w:p w14:paraId="760CD58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567B27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56368221"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3.</w:t>
      </w:r>
      <w:r w:rsidRPr="000E27EC">
        <w:rPr>
          <w:rFonts w:ascii="Times New Roman" w:hAnsi="Times New Roman" w:cs="Times New Roman"/>
          <w:b/>
          <w:sz w:val="22"/>
          <w:szCs w:val="22"/>
          <w:lang w:val="es-ES"/>
        </w:rPr>
        <w:tab/>
        <w:t>PAGALBINIŲ MEDŽIAGŲ SĄRAŠAS</w:t>
      </w:r>
    </w:p>
    <w:p w14:paraId="042B125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036B7218"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Pagalbinės medžiagos: pieno rūgštis, manitolis (E421), natrio-vandenilio karbonatas, injekcinis vanduo.</w:t>
      </w:r>
    </w:p>
    <w:p w14:paraId="4C04B81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Daugiau informacijos pateikta pakuotės lapelyje.</w:t>
      </w:r>
    </w:p>
    <w:p w14:paraId="6C164A9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E38DB6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5645AFCB"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4.</w:t>
      </w:r>
      <w:r w:rsidRPr="000E27EC">
        <w:rPr>
          <w:rFonts w:ascii="Times New Roman" w:hAnsi="Times New Roman" w:cs="Times New Roman"/>
          <w:b/>
          <w:sz w:val="22"/>
          <w:szCs w:val="22"/>
          <w:lang w:val="es-ES"/>
        </w:rPr>
        <w:tab/>
        <w:t>FARMACINĖ FORMA IR KIEKIS PAKUOTĖJE</w:t>
      </w:r>
    </w:p>
    <w:p w14:paraId="4A75F37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A0AB5BD"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Injekcinis ar infuzinis tirpalas </w:t>
      </w:r>
    </w:p>
    <w:p w14:paraId="77EAD764"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5 ampulės po 1 ml. </w:t>
      </w:r>
    </w:p>
    <w:p w14:paraId="07561F5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0DFC80B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AE25328"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5.</w:t>
      </w:r>
      <w:r w:rsidRPr="000E27EC">
        <w:rPr>
          <w:rFonts w:ascii="Times New Roman" w:hAnsi="Times New Roman" w:cs="Times New Roman"/>
          <w:b/>
          <w:sz w:val="22"/>
          <w:szCs w:val="22"/>
          <w:lang w:val="es-ES"/>
        </w:rPr>
        <w:tab/>
        <w:t>VARTOJIMO METODAS IR BŪDAS (-AI)</w:t>
      </w:r>
    </w:p>
    <w:p w14:paraId="479CF03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AB90B4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Prieš vartojimą perskaitykite pakuotės lapelį.</w:t>
      </w:r>
    </w:p>
    <w:p w14:paraId="57F3A38C"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Leisti po oda ir į veną</w:t>
      </w:r>
    </w:p>
    <w:p w14:paraId="38D6277F"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Vienkartiniam naudojimui.</w:t>
      </w:r>
      <w:r w:rsidRPr="000E27EC">
        <w:rPr>
          <w:rFonts w:ascii="Times New Roman" w:hAnsi="Times New Roman" w:cs="Times New Roman"/>
          <w:color w:val="222222"/>
          <w:sz w:val="22"/>
          <w:szCs w:val="22"/>
          <w:lang w:val="it-IT"/>
        </w:rPr>
        <w:t xml:space="preserve"> </w:t>
      </w:r>
      <w:r w:rsidRPr="000E27EC">
        <w:rPr>
          <w:rFonts w:ascii="Times New Roman" w:hAnsi="Times New Roman" w:cs="Times New Roman"/>
          <w:sz w:val="22"/>
          <w:szCs w:val="22"/>
          <w:lang w:val="it-IT"/>
        </w:rPr>
        <w:t>Vaisto likučius išmeskite.</w:t>
      </w:r>
    </w:p>
    <w:p w14:paraId="0AB613B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061F58D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7BA08952"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6.</w:t>
      </w:r>
      <w:r w:rsidRPr="000E27EC">
        <w:rPr>
          <w:rFonts w:ascii="Times New Roman" w:hAnsi="Times New Roman" w:cs="Times New Roman"/>
          <w:b/>
          <w:sz w:val="22"/>
          <w:szCs w:val="22"/>
          <w:lang w:val="it-IT"/>
        </w:rPr>
        <w:tab/>
        <w:t>SPECIALUS ĮSPĖJIMAS, KAD VAISTINĮ PREPARATĄ BŪTINA LAIKYTI VAIKAMS NEPASTEBIMOJE IR NEPASIEKIAMOJE VIETOJE</w:t>
      </w:r>
    </w:p>
    <w:p w14:paraId="58C0FEB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7EF93428" w14:textId="77777777" w:rsidR="00E446F1" w:rsidRPr="000E27EC" w:rsidRDefault="00E446F1" w:rsidP="00E446F1">
      <w:pPr>
        <w:widowControl w:val="0"/>
        <w:tabs>
          <w:tab w:val="left" w:pos="720"/>
        </w:tabs>
        <w:spacing w:after="0" w:line="240" w:lineRule="auto"/>
        <w:outlineLvl w:val="0"/>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Laikyti vaikams nepastebimoje ir nepasiekiamoje vietoje.</w:t>
      </w:r>
    </w:p>
    <w:p w14:paraId="3952D5C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39DFCE7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A018F23"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7.</w:t>
      </w:r>
      <w:r w:rsidRPr="000E27EC">
        <w:rPr>
          <w:rFonts w:ascii="Times New Roman" w:hAnsi="Times New Roman" w:cs="Times New Roman"/>
          <w:b/>
          <w:sz w:val="22"/>
          <w:szCs w:val="22"/>
          <w:lang w:val="it-IT"/>
        </w:rPr>
        <w:tab/>
        <w:t>KITAS (-I) SPECIALUS (-ŪS) ĮSPĖJIMAS (-AI) (JEI REIKIA)</w:t>
      </w:r>
    </w:p>
    <w:p w14:paraId="08DD29F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27A023C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Prieš leidžiant į veną praskiesti.</w:t>
      </w:r>
    </w:p>
    <w:p w14:paraId="458864F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1C9697B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8466F70"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8.</w:t>
      </w:r>
      <w:r w:rsidRPr="000E27EC">
        <w:rPr>
          <w:rFonts w:ascii="Times New Roman" w:hAnsi="Times New Roman" w:cs="Times New Roman"/>
          <w:b/>
          <w:sz w:val="22"/>
          <w:szCs w:val="22"/>
          <w:lang w:val="it-IT"/>
        </w:rPr>
        <w:tab/>
        <w:t>TINKAMUMO LAIKAS</w:t>
      </w:r>
    </w:p>
    <w:p w14:paraId="212E0B7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7E7B47D2"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EXP {mm MMMM}</w:t>
      </w:r>
    </w:p>
    <w:p w14:paraId="5A7F30D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Apie praskiesto vaisto galiojimą perskaitykite pakuotės lapelį.</w:t>
      </w:r>
    </w:p>
    <w:p w14:paraId="5C814AC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671F51C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3790CE5B"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9.</w:t>
      </w:r>
      <w:r w:rsidRPr="000E27EC">
        <w:rPr>
          <w:rFonts w:ascii="Times New Roman" w:hAnsi="Times New Roman" w:cs="Times New Roman"/>
          <w:b/>
          <w:sz w:val="22"/>
          <w:szCs w:val="22"/>
          <w:lang w:val="it-IT"/>
        </w:rPr>
        <w:tab/>
        <w:t>SPECIALIOS LAIKYMO SĄLYGOS</w:t>
      </w:r>
    </w:p>
    <w:p w14:paraId="4949401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1A2C93B1"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Laikyti šaldytuve (2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it-IT"/>
        </w:rPr>
        <w:t>C – 8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it-IT"/>
        </w:rPr>
        <w:t>C). Negalima užšaldyti.</w:t>
      </w:r>
    </w:p>
    <w:p w14:paraId="3B2A9EE7"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Laikyti išorinėje dėžutėje, kad vaistas būtų apsaugotas nuo šviesos.</w:t>
      </w:r>
    </w:p>
    <w:p w14:paraId="6D1EE732"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Galima laikyti ne aukštesnėje kaip 30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lang w:val="it-IT"/>
        </w:rPr>
        <w:t xml:space="preserve">C temperatūroje ne ilgiau kaip 2 savaites. </w:t>
      </w:r>
    </w:p>
    <w:p w14:paraId="55985CD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12F026B" w14:textId="77777777" w:rsidR="00E446F1" w:rsidRPr="000E27EC" w:rsidRDefault="00E446F1" w:rsidP="00E446F1">
      <w:pPr>
        <w:widowControl w:val="0"/>
        <w:tabs>
          <w:tab w:val="left" w:pos="720"/>
        </w:tabs>
        <w:spacing w:after="0" w:line="240" w:lineRule="auto"/>
        <w:ind w:left="567" w:hanging="567"/>
        <w:rPr>
          <w:rFonts w:ascii="Times New Roman" w:hAnsi="Times New Roman" w:cs="Times New Roman"/>
          <w:sz w:val="22"/>
          <w:szCs w:val="22"/>
          <w:lang w:val="it-IT"/>
        </w:rPr>
      </w:pPr>
    </w:p>
    <w:p w14:paraId="137C99F1"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10.</w:t>
      </w:r>
      <w:r w:rsidRPr="000E27EC">
        <w:rPr>
          <w:rFonts w:ascii="Times New Roman" w:hAnsi="Times New Roman" w:cs="Times New Roman"/>
          <w:b/>
          <w:sz w:val="22"/>
          <w:szCs w:val="22"/>
          <w:lang w:val="it-IT"/>
        </w:rPr>
        <w:tab/>
        <w:t>SPECIALIOS ATSARGUMO PRIEMONĖS DĖL NESUVARTOTO VAISTINIO PREPARATO AR JO ATLIEKU TVARKYMO (JEI REIKIA)</w:t>
      </w:r>
    </w:p>
    <w:p w14:paraId="2E2A689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2BFAA7D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4A04E3A7" w14:textId="77777777" w:rsidR="00E446F1" w:rsidRPr="000E27EC" w:rsidRDefault="00E446F1" w:rsidP="00E446F1">
      <w:pPr>
        <w:widowControl w:val="0"/>
        <w:pBdr>
          <w:top w:val="single" w:sz="4" w:space="0"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11.</w:t>
      </w:r>
      <w:r w:rsidRPr="000E27EC">
        <w:rPr>
          <w:rFonts w:ascii="Times New Roman" w:hAnsi="Times New Roman" w:cs="Times New Roman"/>
          <w:b/>
          <w:sz w:val="22"/>
          <w:szCs w:val="22"/>
          <w:lang w:val="es-ES"/>
        </w:rPr>
        <w:tab/>
        <w:t>REGISTRUOTOJO PAVADINIMAS IR ADRESAS</w:t>
      </w:r>
    </w:p>
    <w:p w14:paraId="389E58A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DBB05F6" w14:textId="77777777" w:rsidR="00E446F1" w:rsidRPr="000E27EC" w:rsidRDefault="00E446F1" w:rsidP="00E446F1">
      <w:pPr>
        <w:tabs>
          <w:tab w:val="left" w:pos="567"/>
          <w:tab w:val="center" w:pos="4536"/>
          <w:tab w:val="center" w:pos="893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SIA Novartis Baltics</w:t>
      </w:r>
    </w:p>
    <w:p w14:paraId="7A781844" w14:textId="76A7FBD1" w:rsidR="00D75CA1" w:rsidRPr="000E27EC" w:rsidRDefault="00D75CA1" w:rsidP="00E446F1">
      <w:pPr>
        <w:tabs>
          <w:tab w:val="left" w:pos="567"/>
          <w:tab w:val="center" w:pos="4536"/>
          <w:tab w:val="center" w:pos="8930"/>
        </w:tabs>
        <w:spacing w:after="0" w:line="240" w:lineRule="auto"/>
        <w:rPr>
          <w:rFonts w:ascii="Times New Roman" w:eastAsia="Calibri" w:hAnsi="Times New Roman" w:cs="Times New Roman"/>
          <w:sz w:val="22"/>
          <w:szCs w:val="22"/>
          <w:lang w:val="es-ES"/>
        </w:rPr>
      </w:pPr>
      <w:r w:rsidRPr="00D75CA1">
        <w:rPr>
          <w:rFonts w:ascii="Times New Roman" w:hAnsi="Times New Roman" w:cs="Times New Roman"/>
          <w:sz w:val="22"/>
          <w:szCs w:val="22"/>
          <w:lang w:val="es-ES"/>
        </w:rPr>
        <w:t>Skanstes iela 25</w:t>
      </w:r>
    </w:p>
    <w:p w14:paraId="0F41342F" w14:textId="0211D481" w:rsidR="00E446F1" w:rsidRPr="000E27EC" w:rsidRDefault="00E446F1" w:rsidP="00E446F1">
      <w:pPr>
        <w:tabs>
          <w:tab w:val="left" w:pos="567"/>
          <w:tab w:val="center" w:pos="4536"/>
          <w:tab w:val="center" w:pos="893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LV-</w:t>
      </w:r>
      <w:r w:rsidR="00D75CA1">
        <w:rPr>
          <w:rFonts w:ascii="Times New Roman" w:hAnsi="Times New Roman" w:cs="Times New Roman"/>
          <w:sz w:val="22"/>
          <w:szCs w:val="22"/>
          <w:lang w:val="es-ES"/>
        </w:rPr>
        <w:t>1013</w:t>
      </w:r>
      <w:r w:rsidRPr="000E27EC">
        <w:rPr>
          <w:rFonts w:ascii="Times New Roman" w:hAnsi="Times New Roman" w:cs="Times New Roman"/>
          <w:sz w:val="22"/>
          <w:szCs w:val="22"/>
          <w:lang w:val="es-ES"/>
        </w:rPr>
        <w:t>, Rīga</w:t>
      </w:r>
    </w:p>
    <w:p w14:paraId="537BAC7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Latvija</w:t>
      </w:r>
    </w:p>
    <w:p w14:paraId="4A933BD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0D6AE027" w14:textId="77777777" w:rsidR="00E446F1" w:rsidRPr="000E27EC" w:rsidRDefault="00E446F1" w:rsidP="00E446F1">
      <w:pPr>
        <w:widowControl w:val="0"/>
        <w:pBdr>
          <w:top w:val="single" w:sz="4" w:space="3"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12.</w:t>
      </w:r>
      <w:r w:rsidRPr="000E27EC">
        <w:rPr>
          <w:rFonts w:ascii="Times New Roman" w:hAnsi="Times New Roman" w:cs="Times New Roman"/>
          <w:b/>
          <w:sz w:val="22"/>
          <w:szCs w:val="22"/>
          <w:lang w:val="es-ES"/>
        </w:rPr>
        <w:tab/>
        <w:t xml:space="preserve">REGISTRACIJOS PAŽYMĖJIMO NUMERIS (-IAI) </w:t>
      </w:r>
    </w:p>
    <w:p w14:paraId="5825EB1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1B9CB85" w14:textId="77777777" w:rsidR="00E446F1" w:rsidRPr="000E27EC" w:rsidRDefault="00E446F1" w:rsidP="00E446F1">
      <w:pPr>
        <w:tabs>
          <w:tab w:val="left" w:pos="567"/>
        </w:tabs>
        <w:spacing w:after="0" w:line="260" w:lineRule="exact"/>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LT/1/94/1033/001 – N 5</w:t>
      </w:r>
    </w:p>
    <w:p w14:paraId="0FC17D3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0CEC8C6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69D32FD2"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13.</w:t>
      </w:r>
      <w:r w:rsidRPr="000E27EC">
        <w:rPr>
          <w:rFonts w:ascii="Times New Roman" w:hAnsi="Times New Roman" w:cs="Times New Roman"/>
          <w:b/>
          <w:sz w:val="22"/>
          <w:szCs w:val="22"/>
          <w:lang w:val="es-ES"/>
        </w:rPr>
        <w:tab/>
        <w:t>SERIJOS NUMERIS</w:t>
      </w:r>
    </w:p>
    <w:p w14:paraId="65DE746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224DA48"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Lot</w:t>
      </w:r>
    </w:p>
    <w:p w14:paraId="7AD6B27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1989E69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5A60C4EA"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14.</w:t>
      </w:r>
      <w:r w:rsidRPr="000E27EC">
        <w:rPr>
          <w:rFonts w:ascii="Times New Roman" w:hAnsi="Times New Roman" w:cs="Times New Roman"/>
          <w:b/>
          <w:sz w:val="22"/>
          <w:szCs w:val="22"/>
          <w:lang w:val="es-ES"/>
        </w:rPr>
        <w:tab/>
        <w:t>PARDAVIMO (IŠDAVIMO) TVARKA</w:t>
      </w:r>
    </w:p>
    <w:p w14:paraId="4D6F217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3B63D7FA" w14:textId="77777777" w:rsidR="00E446F1" w:rsidRPr="000E27EC" w:rsidRDefault="00E446F1" w:rsidP="00E446F1">
      <w:pPr>
        <w:tabs>
          <w:tab w:val="left" w:pos="567"/>
        </w:tabs>
        <w:spacing w:after="0" w:line="260" w:lineRule="exact"/>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Receptinis vaistas.</w:t>
      </w:r>
    </w:p>
    <w:p w14:paraId="0061746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35BC54F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15133EC7"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15.</w:t>
      </w:r>
      <w:r w:rsidRPr="000E27EC">
        <w:rPr>
          <w:rFonts w:ascii="Times New Roman" w:hAnsi="Times New Roman" w:cs="Times New Roman"/>
          <w:b/>
          <w:sz w:val="22"/>
          <w:szCs w:val="22"/>
          <w:lang w:val="es-ES"/>
        </w:rPr>
        <w:tab/>
        <w:t>VARTOJIMO INSTRUKCIJA</w:t>
      </w:r>
    </w:p>
    <w:p w14:paraId="1E5C140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4D78880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2406BB86"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sz w:val="22"/>
          <w:szCs w:val="22"/>
          <w:lang w:val="es-ES"/>
        </w:rPr>
      </w:pPr>
      <w:r w:rsidRPr="000E27EC">
        <w:rPr>
          <w:rFonts w:ascii="Times New Roman" w:hAnsi="Times New Roman" w:cs="Times New Roman"/>
          <w:b/>
          <w:sz w:val="22"/>
          <w:szCs w:val="22"/>
          <w:lang w:val="es-ES"/>
        </w:rPr>
        <w:t>16.</w:t>
      </w:r>
      <w:r w:rsidRPr="000E27EC">
        <w:rPr>
          <w:rFonts w:ascii="Times New Roman" w:hAnsi="Times New Roman" w:cs="Times New Roman"/>
          <w:b/>
          <w:sz w:val="22"/>
          <w:szCs w:val="22"/>
          <w:lang w:val="es-ES"/>
        </w:rPr>
        <w:tab/>
        <w:t>INFORMACIJA BRAILIO RAŠTU</w:t>
      </w:r>
    </w:p>
    <w:p w14:paraId="3154D4C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es-ES"/>
        </w:rPr>
      </w:pPr>
    </w:p>
    <w:p w14:paraId="1E72B81F" w14:textId="77777777" w:rsidR="00E446F1" w:rsidRPr="000E27EC" w:rsidRDefault="00E446F1" w:rsidP="00E446F1">
      <w:pPr>
        <w:tabs>
          <w:tab w:val="left" w:pos="567"/>
        </w:tabs>
        <w:spacing w:after="0" w:line="260" w:lineRule="exact"/>
        <w:ind w:left="567"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Sandostatin 100 mcg/ml</w:t>
      </w:r>
    </w:p>
    <w:p w14:paraId="320E4618" w14:textId="77777777" w:rsidR="00E446F1" w:rsidRPr="000E27EC" w:rsidRDefault="00E446F1" w:rsidP="00E446F1">
      <w:pPr>
        <w:spacing w:after="0" w:line="240" w:lineRule="auto"/>
        <w:rPr>
          <w:rFonts w:ascii="Times New Roman" w:hAnsi="Times New Roman" w:cs="Times New Roman"/>
          <w:sz w:val="22"/>
          <w:szCs w:val="22"/>
          <w:lang w:val="lt-LT"/>
        </w:rPr>
      </w:pPr>
    </w:p>
    <w:p w14:paraId="68A3CF79" w14:textId="77777777" w:rsidR="00E446F1" w:rsidRPr="000E27EC" w:rsidRDefault="00E446F1" w:rsidP="00E446F1">
      <w:pPr>
        <w:tabs>
          <w:tab w:val="left" w:pos="567"/>
        </w:tabs>
        <w:spacing w:after="0" w:line="240" w:lineRule="auto"/>
        <w:rPr>
          <w:rFonts w:ascii="Times New Roman" w:hAnsi="Times New Roman" w:cs="Times New Roman"/>
          <w:sz w:val="22"/>
          <w:szCs w:val="22"/>
          <w:shd w:val="clear" w:color="auto" w:fill="CCCCCC"/>
          <w:lang w:val="lt-LT"/>
        </w:rPr>
      </w:pPr>
    </w:p>
    <w:p w14:paraId="6F5B3D1B" w14:textId="77777777" w:rsidR="00E446F1" w:rsidRPr="000E27EC" w:rsidRDefault="00E446F1" w:rsidP="00E446F1">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sz w:val="22"/>
          <w:szCs w:val="22"/>
          <w:lang w:val="lt-LT"/>
        </w:rPr>
      </w:pPr>
      <w:r w:rsidRPr="000E27EC">
        <w:rPr>
          <w:rFonts w:ascii="Times New Roman" w:hAnsi="Times New Roman" w:cs="Times New Roman"/>
          <w:b/>
          <w:sz w:val="22"/>
          <w:szCs w:val="22"/>
          <w:lang w:val="lt-LT"/>
        </w:rPr>
        <w:t>17.</w:t>
      </w:r>
      <w:r w:rsidRPr="000E27EC">
        <w:rPr>
          <w:rFonts w:ascii="Times New Roman" w:hAnsi="Times New Roman" w:cs="Times New Roman"/>
          <w:b/>
          <w:sz w:val="22"/>
          <w:szCs w:val="22"/>
          <w:lang w:val="lt-LT"/>
        </w:rPr>
        <w:tab/>
        <w:t>UNIKALUS IDENTIFIKATORIUS – 2D BRŪKŠNINIS KODAS</w:t>
      </w:r>
    </w:p>
    <w:p w14:paraId="1A442115" w14:textId="77777777" w:rsidR="00E446F1" w:rsidRPr="000E27EC" w:rsidRDefault="00E446F1" w:rsidP="00E446F1">
      <w:pPr>
        <w:spacing w:after="0" w:line="240" w:lineRule="auto"/>
        <w:rPr>
          <w:rFonts w:ascii="Times New Roman" w:hAnsi="Times New Roman" w:cs="Times New Roman"/>
          <w:sz w:val="22"/>
          <w:szCs w:val="22"/>
          <w:lang w:val="lt-LT"/>
        </w:rPr>
      </w:pPr>
    </w:p>
    <w:p w14:paraId="42B5E83D" w14:textId="77777777" w:rsidR="00E446F1" w:rsidRPr="000E27EC" w:rsidRDefault="00E446F1" w:rsidP="00E446F1">
      <w:pPr>
        <w:tabs>
          <w:tab w:val="left" w:pos="567"/>
        </w:tabs>
        <w:spacing w:after="0" w:line="240" w:lineRule="auto"/>
        <w:rPr>
          <w:rFonts w:ascii="Times New Roman" w:eastAsia="Calibri" w:hAnsi="Times New Roman" w:cs="Times New Roman"/>
          <w:sz w:val="22"/>
          <w:szCs w:val="22"/>
          <w:shd w:val="pct15" w:color="auto" w:fill="auto"/>
          <w:lang w:val="lt-LT"/>
        </w:rPr>
      </w:pPr>
      <w:r w:rsidRPr="000E27EC">
        <w:rPr>
          <w:rFonts w:ascii="Times New Roman" w:hAnsi="Times New Roman" w:cs="Times New Roman"/>
          <w:sz w:val="22"/>
          <w:szCs w:val="22"/>
          <w:shd w:val="pct15" w:color="auto" w:fill="auto"/>
          <w:lang w:val="lt-LT"/>
        </w:rPr>
        <w:t>2D brūkšninis kodas su nurodytu unikaliu identifikatoriumi.</w:t>
      </w:r>
    </w:p>
    <w:p w14:paraId="579B3C2F" w14:textId="77777777" w:rsidR="00E446F1" w:rsidRPr="000E27EC" w:rsidRDefault="00E446F1" w:rsidP="00E446F1">
      <w:pPr>
        <w:tabs>
          <w:tab w:val="left" w:pos="567"/>
        </w:tabs>
        <w:spacing w:after="0" w:line="240" w:lineRule="auto"/>
        <w:rPr>
          <w:rFonts w:ascii="Times New Roman" w:hAnsi="Times New Roman" w:cs="Times New Roman"/>
          <w:sz w:val="22"/>
          <w:szCs w:val="22"/>
          <w:shd w:val="clear" w:color="auto" w:fill="CCCCCC"/>
          <w:lang w:val="lt-LT"/>
        </w:rPr>
      </w:pPr>
    </w:p>
    <w:p w14:paraId="7960B09C" w14:textId="77777777" w:rsidR="00E446F1" w:rsidRPr="000E27EC" w:rsidRDefault="00E446F1" w:rsidP="00E446F1">
      <w:pPr>
        <w:spacing w:after="0" w:line="240" w:lineRule="auto"/>
        <w:rPr>
          <w:rFonts w:ascii="Times New Roman" w:hAnsi="Times New Roman" w:cs="Times New Roman"/>
          <w:sz w:val="22"/>
          <w:szCs w:val="22"/>
          <w:lang w:val="lt-LT"/>
        </w:rPr>
      </w:pPr>
    </w:p>
    <w:p w14:paraId="0D645333" w14:textId="77777777" w:rsidR="00E446F1" w:rsidRPr="000E27EC" w:rsidRDefault="00E446F1" w:rsidP="00E446F1">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sz w:val="22"/>
          <w:szCs w:val="22"/>
          <w:lang w:val="lt-LT"/>
        </w:rPr>
      </w:pPr>
      <w:r w:rsidRPr="000E27EC">
        <w:rPr>
          <w:rFonts w:ascii="Times New Roman" w:hAnsi="Times New Roman" w:cs="Times New Roman"/>
          <w:b/>
          <w:sz w:val="22"/>
          <w:szCs w:val="22"/>
          <w:lang w:val="lt-LT"/>
        </w:rPr>
        <w:t>18.</w:t>
      </w:r>
      <w:r w:rsidRPr="000E27EC">
        <w:rPr>
          <w:rFonts w:ascii="Times New Roman" w:hAnsi="Times New Roman" w:cs="Times New Roman"/>
          <w:b/>
          <w:sz w:val="22"/>
          <w:szCs w:val="22"/>
          <w:lang w:val="lt-LT"/>
        </w:rPr>
        <w:tab/>
        <w:t>UNIKALUS IDENTIFIKATORIUS – ŽMONĖMS SUPRANTAMI DUOMENYS</w:t>
      </w:r>
    </w:p>
    <w:p w14:paraId="5CD88F30" w14:textId="77777777" w:rsidR="00E446F1" w:rsidRPr="000E27EC" w:rsidRDefault="00E446F1" w:rsidP="00E446F1">
      <w:pPr>
        <w:spacing w:after="0" w:line="240" w:lineRule="auto"/>
        <w:rPr>
          <w:rFonts w:ascii="Times New Roman" w:hAnsi="Times New Roman" w:cs="Times New Roman"/>
          <w:sz w:val="22"/>
          <w:szCs w:val="22"/>
          <w:lang w:val="lt-LT"/>
        </w:rPr>
      </w:pPr>
    </w:p>
    <w:p w14:paraId="7AF9FF19" w14:textId="77777777" w:rsidR="00E446F1" w:rsidRPr="000E27EC" w:rsidRDefault="00E446F1" w:rsidP="00E446F1">
      <w:pPr>
        <w:tabs>
          <w:tab w:val="left" w:pos="567"/>
        </w:tabs>
        <w:spacing w:after="0" w:line="260" w:lineRule="exact"/>
        <w:rPr>
          <w:rFonts w:ascii="Times New Roman" w:eastAsia="Calibri" w:hAnsi="Times New Roman" w:cs="Times New Roman"/>
          <w:color w:val="008000"/>
          <w:sz w:val="22"/>
          <w:szCs w:val="22"/>
          <w:lang w:val="lt-LT"/>
        </w:rPr>
      </w:pPr>
      <w:r w:rsidRPr="000E27EC">
        <w:rPr>
          <w:rFonts w:ascii="Times New Roman" w:hAnsi="Times New Roman" w:cs="Times New Roman"/>
          <w:sz w:val="22"/>
          <w:szCs w:val="22"/>
          <w:lang w:val="lt-LT"/>
        </w:rPr>
        <w:t>PC</w:t>
      </w:r>
    </w:p>
    <w:p w14:paraId="63BC5A0A"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lastRenderedPageBreak/>
        <w:t>SN</w:t>
      </w:r>
    </w:p>
    <w:p w14:paraId="4BD72A7E"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NN</w:t>
      </w:r>
    </w:p>
    <w:p w14:paraId="1885FD17" w14:textId="77777777" w:rsidR="00E446F1" w:rsidRPr="000E27EC" w:rsidRDefault="00E446F1" w:rsidP="000E27EC">
      <w:pPr>
        <w:spacing w:after="200" w:line="276" w:lineRule="auto"/>
        <w:rPr>
          <w:rFonts w:ascii="Times New Roman" w:hAnsi="Times New Roman" w:cs="Times New Roman"/>
          <w:b/>
          <w:sz w:val="22"/>
          <w:szCs w:val="22"/>
          <w:lang w:val="lt-LT"/>
        </w:rPr>
      </w:pPr>
      <w:r w:rsidRPr="000E27EC">
        <w:rPr>
          <w:rFonts w:ascii="Times New Roman" w:hAnsi="Times New Roman" w:cs="Times New Roman"/>
          <w:b/>
          <w:sz w:val="22"/>
          <w:szCs w:val="22"/>
          <w:lang w:val="lt-LT"/>
        </w:rPr>
        <w:br w:type="page"/>
      </w:r>
    </w:p>
    <w:p w14:paraId="674B229C"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eastAsia="Calibri" w:hAnsi="Times New Roman" w:cs="Times New Roman"/>
          <w:b/>
          <w:sz w:val="22"/>
          <w:szCs w:val="22"/>
          <w:lang w:val="lt-LT"/>
        </w:rPr>
      </w:pPr>
      <w:r w:rsidRPr="000E27EC">
        <w:rPr>
          <w:rFonts w:ascii="Times New Roman" w:hAnsi="Times New Roman" w:cs="Times New Roman"/>
          <w:b/>
          <w:sz w:val="22"/>
          <w:szCs w:val="22"/>
          <w:lang w:val="lt-LT"/>
        </w:rPr>
        <w:lastRenderedPageBreak/>
        <w:t>MINIMALI INFORMACIJA ANT MAŽŲ VIDINIŲ PAKUOČIŲ</w:t>
      </w:r>
    </w:p>
    <w:p w14:paraId="487BB0E9"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cs="Times New Roman"/>
          <w:b/>
          <w:sz w:val="22"/>
          <w:szCs w:val="22"/>
          <w:lang w:val="lt-LT"/>
        </w:rPr>
      </w:pPr>
    </w:p>
    <w:p w14:paraId="4C3EA63F" w14:textId="77777777" w:rsidR="00E446F1" w:rsidRPr="000E27EC" w:rsidRDefault="00E446F1" w:rsidP="00E446F1">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Calibri" w:hAnsi="Times New Roman" w:cs="Times New Roman"/>
          <w:b/>
          <w:caps/>
          <w:sz w:val="22"/>
          <w:szCs w:val="22"/>
          <w:lang w:val="lt-LT"/>
        </w:rPr>
      </w:pPr>
      <w:r w:rsidRPr="000E27EC">
        <w:rPr>
          <w:rFonts w:ascii="Times New Roman" w:hAnsi="Times New Roman" w:cs="Times New Roman"/>
          <w:b/>
          <w:caps/>
          <w:sz w:val="22"/>
          <w:szCs w:val="22"/>
          <w:lang w:val="lt-LT"/>
        </w:rPr>
        <w:t>aMpulėS ETIKETĖ</w:t>
      </w:r>
    </w:p>
    <w:p w14:paraId="1A7CA34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lt-LT"/>
        </w:rPr>
      </w:pPr>
    </w:p>
    <w:p w14:paraId="3A91370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lt-LT"/>
        </w:rPr>
      </w:pPr>
    </w:p>
    <w:p w14:paraId="6FF81B7E"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1.</w:t>
      </w:r>
      <w:r w:rsidRPr="000E27EC">
        <w:rPr>
          <w:rFonts w:ascii="Times New Roman" w:hAnsi="Times New Roman" w:cs="Times New Roman"/>
          <w:b/>
          <w:sz w:val="22"/>
          <w:szCs w:val="22"/>
          <w:lang w:val="it-IT"/>
        </w:rPr>
        <w:tab/>
        <w:t>VAISTINIO PREPARATO PAVADINIMAS IR VARTOJIMO BŪDAS (-AI)</w:t>
      </w:r>
    </w:p>
    <w:p w14:paraId="1C43B3D3" w14:textId="77777777" w:rsidR="00E446F1" w:rsidRPr="000E27EC" w:rsidRDefault="00E446F1" w:rsidP="00E446F1">
      <w:pPr>
        <w:widowControl w:val="0"/>
        <w:tabs>
          <w:tab w:val="left" w:pos="720"/>
        </w:tabs>
        <w:spacing w:after="0" w:line="240" w:lineRule="auto"/>
        <w:ind w:left="567" w:hanging="567"/>
        <w:rPr>
          <w:rFonts w:ascii="Times New Roman" w:hAnsi="Times New Roman" w:cs="Times New Roman"/>
          <w:sz w:val="22"/>
          <w:szCs w:val="22"/>
          <w:lang w:val="it-IT"/>
        </w:rPr>
      </w:pPr>
    </w:p>
    <w:p w14:paraId="6C5673A6" w14:textId="77777777" w:rsidR="00E446F1" w:rsidRPr="000E27EC" w:rsidRDefault="00E446F1" w:rsidP="00E446F1">
      <w:pPr>
        <w:tabs>
          <w:tab w:val="left" w:pos="567"/>
        </w:tabs>
        <w:spacing w:after="0" w:line="260" w:lineRule="exact"/>
        <w:ind w:left="567" w:hanging="567"/>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Sandostatin 100 µ/ml injekcinis ar infuzinis tirpalas</w:t>
      </w:r>
    </w:p>
    <w:p w14:paraId="4B9FAAE1" w14:textId="77777777" w:rsidR="00E446F1" w:rsidRPr="00F23492" w:rsidRDefault="00034EF0" w:rsidP="00E446F1">
      <w:pPr>
        <w:tabs>
          <w:tab w:val="left" w:pos="567"/>
        </w:tabs>
        <w:spacing w:after="0" w:line="260" w:lineRule="exact"/>
        <w:ind w:left="567" w:hanging="567"/>
        <w:rPr>
          <w:rFonts w:ascii="Times New Roman" w:eastAsia="Calibri" w:hAnsi="Times New Roman" w:cs="Times New Roman"/>
          <w:i/>
          <w:sz w:val="22"/>
          <w:szCs w:val="22"/>
          <w:lang w:val="fr-FR"/>
        </w:rPr>
      </w:pPr>
      <w:r>
        <w:rPr>
          <w:rFonts w:ascii="Times New Roman" w:hAnsi="Times New Roman" w:cs="Times New Roman"/>
          <w:i/>
          <w:sz w:val="22"/>
          <w:szCs w:val="22"/>
          <w:lang w:val="fr-FR"/>
        </w:rPr>
        <w:t>o</w:t>
      </w:r>
      <w:r w:rsidR="00E446F1" w:rsidRPr="00F23492">
        <w:rPr>
          <w:rFonts w:ascii="Times New Roman" w:hAnsi="Times New Roman" w:cs="Times New Roman"/>
          <w:i/>
          <w:sz w:val="22"/>
          <w:szCs w:val="22"/>
          <w:lang w:val="fr-FR"/>
        </w:rPr>
        <w:t>ctreotidum</w:t>
      </w:r>
    </w:p>
    <w:p w14:paraId="476B521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7B38A90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s.c./i.v.</w:t>
      </w:r>
    </w:p>
    <w:p w14:paraId="47B92A4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2597398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35862305"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2.</w:t>
      </w:r>
      <w:r w:rsidRPr="000E27EC">
        <w:rPr>
          <w:rFonts w:ascii="Times New Roman" w:hAnsi="Times New Roman" w:cs="Times New Roman"/>
          <w:b/>
          <w:sz w:val="22"/>
          <w:szCs w:val="22"/>
          <w:lang w:val="fr-FR"/>
        </w:rPr>
        <w:tab/>
        <w:t>VARTOJIMO METODAS</w:t>
      </w:r>
    </w:p>
    <w:p w14:paraId="75FA34C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1AC7BED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7BF0099A"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lang w:val="fr-FR"/>
        </w:rPr>
      </w:pPr>
      <w:r w:rsidRPr="000E27EC">
        <w:rPr>
          <w:rFonts w:ascii="Times New Roman" w:hAnsi="Times New Roman" w:cs="Times New Roman"/>
          <w:b/>
          <w:sz w:val="22"/>
          <w:szCs w:val="22"/>
          <w:lang w:val="fr-FR"/>
        </w:rPr>
        <w:t>3.</w:t>
      </w:r>
      <w:r w:rsidRPr="000E27EC">
        <w:rPr>
          <w:rFonts w:ascii="Times New Roman" w:hAnsi="Times New Roman" w:cs="Times New Roman"/>
          <w:b/>
          <w:sz w:val="22"/>
          <w:szCs w:val="22"/>
          <w:lang w:val="fr-FR"/>
        </w:rPr>
        <w:tab/>
        <w:t>TINKAMUMO LAIKAS</w:t>
      </w:r>
    </w:p>
    <w:p w14:paraId="42AD433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0BF79E86"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fr-FR"/>
        </w:rPr>
      </w:pPr>
      <w:r w:rsidRPr="000E27EC">
        <w:rPr>
          <w:rFonts w:ascii="Times New Roman" w:hAnsi="Times New Roman" w:cs="Times New Roman"/>
          <w:sz w:val="22"/>
          <w:szCs w:val="22"/>
          <w:lang w:val="fr-FR"/>
        </w:rPr>
        <w:t>EXP {mm MMMM}</w:t>
      </w:r>
    </w:p>
    <w:p w14:paraId="3589277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69BCB1B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fr-FR"/>
        </w:rPr>
      </w:pPr>
    </w:p>
    <w:p w14:paraId="06FA8204"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rPr>
      </w:pPr>
      <w:r w:rsidRPr="000E27EC">
        <w:rPr>
          <w:rFonts w:ascii="Times New Roman" w:hAnsi="Times New Roman" w:cs="Times New Roman"/>
          <w:b/>
          <w:sz w:val="22"/>
          <w:szCs w:val="22"/>
        </w:rPr>
        <w:t>4.</w:t>
      </w:r>
      <w:r w:rsidRPr="000E27EC">
        <w:rPr>
          <w:rFonts w:ascii="Times New Roman" w:hAnsi="Times New Roman" w:cs="Times New Roman"/>
          <w:b/>
          <w:sz w:val="22"/>
          <w:szCs w:val="22"/>
        </w:rPr>
        <w:tab/>
        <w:t>SERIJOS NUMERIS</w:t>
      </w:r>
    </w:p>
    <w:p w14:paraId="535A8056"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51FA3583" w14:textId="77777777" w:rsidR="00E446F1" w:rsidRPr="000E27EC" w:rsidRDefault="00E446F1" w:rsidP="00E446F1">
      <w:pPr>
        <w:widowControl w:val="0"/>
        <w:tabs>
          <w:tab w:val="left" w:pos="720"/>
        </w:tabs>
        <w:spacing w:after="0" w:line="240" w:lineRule="auto"/>
        <w:ind w:right="113"/>
        <w:rPr>
          <w:rFonts w:ascii="Times New Roman" w:eastAsia="Calibri" w:hAnsi="Times New Roman" w:cs="Times New Roman"/>
          <w:sz w:val="22"/>
          <w:szCs w:val="22"/>
        </w:rPr>
      </w:pPr>
      <w:r w:rsidRPr="000E27EC">
        <w:rPr>
          <w:rFonts w:ascii="Times New Roman" w:hAnsi="Times New Roman" w:cs="Times New Roman"/>
          <w:sz w:val="22"/>
          <w:szCs w:val="22"/>
        </w:rPr>
        <w:t>Lot {numeris}</w:t>
      </w:r>
    </w:p>
    <w:p w14:paraId="06E3CD5E"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6C4A3C67"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76FC3087"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rPr>
      </w:pPr>
      <w:r w:rsidRPr="000E27EC">
        <w:rPr>
          <w:rFonts w:ascii="Times New Roman" w:hAnsi="Times New Roman" w:cs="Times New Roman"/>
          <w:b/>
          <w:sz w:val="22"/>
          <w:szCs w:val="22"/>
        </w:rPr>
        <w:t>5.</w:t>
      </w:r>
      <w:r w:rsidRPr="000E27EC">
        <w:rPr>
          <w:rFonts w:ascii="Times New Roman" w:hAnsi="Times New Roman" w:cs="Times New Roman"/>
          <w:b/>
          <w:sz w:val="22"/>
          <w:szCs w:val="22"/>
        </w:rPr>
        <w:tab/>
        <w:t>KIEKIS (MASĖ, TŪRIS ARBA VIENETAI)</w:t>
      </w:r>
    </w:p>
    <w:p w14:paraId="43DEA7A6"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4FD267D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1 ml</w:t>
      </w:r>
    </w:p>
    <w:p w14:paraId="55E68975"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08342BFE"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5488649F" w14:textId="77777777" w:rsidR="00E446F1" w:rsidRPr="000E27EC" w:rsidRDefault="00E446F1" w:rsidP="00E446F1">
      <w:pPr>
        <w:widowControl w:val="0"/>
        <w:pBdr>
          <w:top w:val="single" w:sz="4" w:space="1" w:color="auto"/>
          <w:left w:val="single" w:sz="4" w:space="4" w:color="auto"/>
          <w:bottom w:val="single" w:sz="4" w:space="1" w:color="auto"/>
          <w:right w:val="single" w:sz="4" w:space="4" w:color="auto"/>
        </w:pBdr>
        <w:tabs>
          <w:tab w:val="left" w:pos="720"/>
        </w:tabs>
        <w:spacing w:after="0" w:line="240" w:lineRule="auto"/>
        <w:outlineLvl w:val="0"/>
        <w:rPr>
          <w:rFonts w:ascii="Times New Roman" w:eastAsia="Calibri" w:hAnsi="Times New Roman" w:cs="Times New Roman"/>
          <w:b/>
          <w:sz w:val="22"/>
          <w:szCs w:val="22"/>
        </w:rPr>
      </w:pPr>
      <w:r w:rsidRPr="000E27EC">
        <w:rPr>
          <w:rFonts w:ascii="Times New Roman" w:hAnsi="Times New Roman" w:cs="Times New Roman"/>
          <w:b/>
          <w:sz w:val="22"/>
          <w:szCs w:val="22"/>
        </w:rPr>
        <w:t>6.</w:t>
      </w:r>
      <w:r w:rsidRPr="000E27EC">
        <w:rPr>
          <w:rFonts w:ascii="Times New Roman" w:hAnsi="Times New Roman" w:cs="Times New Roman"/>
          <w:b/>
          <w:sz w:val="22"/>
          <w:szCs w:val="22"/>
        </w:rPr>
        <w:tab/>
        <w:t>KITA</w:t>
      </w:r>
    </w:p>
    <w:p w14:paraId="0F890E31"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7F22CE5"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Novartis</w:t>
      </w:r>
    </w:p>
    <w:p w14:paraId="40B0FE6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u w:val="single"/>
        </w:rPr>
      </w:pPr>
      <w:r w:rsidRPr="000E27EC">
        <w:rPr>
          <w:rFonts w:ascii="Times New Roman" w:hAnsi="Times New Roman" w:cs="Times New Roman"/>
          <w:sz w:val="22"/>
          <w:szCs w:val="22"/>
          <w:u w:val="single"/>
        </w:rPr>
        <w:br w:type="page"/>
      </w:r>
    </w:p>
    <w:p w14:paraId="611D35AC" w14:textId="77777777" w:rsidR="00E446F1" w:rsidRPr="000E27EC" w:rsidRDefault="00E446F1" w:rsidP="00E446F1">
      <w:pPr>
        <w:widowControl w:val="0"/>
        <w:tabs>
          <w:tab w:val="left" w:pos="720"/>
        </w:tabs>
        <w:spacing w:after="0" w:line="240" w:lineRule="auto"/>
        <w:ind w:right="113"/>
        <w:rPr>
          <w:rFonts w:ascii="Times New Roman" w:hAnsi="Times New Roman" w:cs="Times New Roman"/>
          <w:sz w:val="22"/>
          <w:szCs w:val="22"/>
        </w:rPr>
      </w:pPr>
    </w:p>
    <w:p w14:paraId="38A0E96B"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02770D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54216A3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20F5501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7E0F844F"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3453BCB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B7C8A30"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43CDF9A7"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4FEF479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299985F4"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1B4BA4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D5B316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7E83F132"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26C910C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A94DD9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C0587AE"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4B32DCE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79524B35"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651C2BA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04C3D288"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6770609A"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5D36F2C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200D69CF"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rPr>
      </w:pPr>
    </w:p>
    <w:p w14:paraId="3DA0DAAE" w14:textId="77777777" w:rsidR="00E446F1" w:rsidRPr="000E27EC" w:rsidRDefault="00E446F1" w:rsidP="00E446F1">
      <w:pPr>
        <w:widowControl w:val="0"/>
        <w:numPr>
          <w:ilvl w:val="0"/>
          <w:numId w:val="12"/>
        </w:numPr>
        <w:tabs>
          <w:tab w:val="left" w:pos="567"/>
          <w:tab w:val="left" w:pos="720"/>
        </w:tabs>
        <w:spacing w:after="0" w:line="240" w:lineRule="auto"/>
        <w:contextualSpacing/>
        <w:jc w:val="center"/>
        <w:outlineLvl w:val="0"/>
        <w:rPr>
          <w:rFonts w:ascii="Times New Roman" w:eastAsia="Calibri" w:hAnsi="Times New Roman" w:cs="Times New Roman"/>
          <w:sz w:val="22"/>
          <w:szCs w:val="22"/>
        </w:rPr>
      </w:pPr>
      <w:r w:rsidRPr="000E27EC">
        <w:rPr>
          <w:rFonts w:ascii="Times New Roman" w:hAnsi="Times New Roman" w:cs="Times New Roman"/>
          <w:b/>
          <w:sz w:val="22"/>
          <w:szCs w:val="22"/>
        </w:rPr>
        <w:t>PAKUOTĖS LAPELIS</w:t>
      </w:r>
    </w:p>
    <w:p w14:paraId="5EF20CB1" w14:textId="77777777" w:rsidR="00E446F1" w:rsidRPr="000E27EC" w:rsidRDefault="00E446F1" w:rsidP="00E446F1">
      <w:pPr>
        <w:widowControl w:val="0"/>
        <w:tabs>
          <w:tab w:val="left" w:pos="720"/>
        </w:tabs>
        <w:spacing w:after="0" w:line="240" w:lineRule="auto"/>
        <w:jc w:val="center"/>
        <w:outlineLvl w:val="0"/>
        <w:rPr>
          <w:rFonts w:ascii="Times New Roman" w:eastAsia="Calibri" w:hAnsi="Times New Roman" w:cs="Times New Roman"/>
          <w:b/>
          <w:sz w:val="22"/>
          <w:szCs w:val="22"/>
        </w:rPr>
      </w:pPr>
      <w:r w:rsidRPr="000E27EC">
        <w:rPr>
          <w:rFonts w:ascii="Times New Roman" w:hAnsi="Times New Roman" w:cs="Times New Roman"/>
          <w:b/>
          <w:sz w:val="22"/>
          <w:szCs w:val="22"/>
        </w:rPr>
        <w:br w:type="page"/>
      </w:r>
      <w:r w:rsidRPr="000E27EC">
        <w:rPr>
          <w:rFonts w:ascii="Times New Roman" w:hAnsi="Times New Roman" w:cs="Times New Roman"/>
          <w:b/>
          <w:sz w:val="22"/>
          <w:szCs w:val="22"/>
        </w:rPr>
        <w:lastRenderedPageBreak/>
        <w:t>Pakuotės lapelis: informacija pacientui</w:t>
      </w:r>
    </w:p>
    <w:p w14:paraId="06DDC715" w14:textId="77777777" w:rsidR="00E446F1" w:rsidRPr="000E27EC" w:rsidRDefault="00E446F1" w:rsidP="00E446F1">
      <w:pPr>
        <w:widowControl w:val="0"/>
        <w:tabs>
          <w:tab w:val="left" w:pos="720"/>
        </w:tabs>
        <w:spacing w:after="0" w:line="240" w:lineRule="auto"/>
        <w:jc w:val="center"/>
        <w:outlineLvl w:val="0"/>
        <w:rPr>
          <w:rFonts w:ascii="Times New Roman" w:hAnsi="Times New Roman" w:cs="Times New Roman"/>
          <w:b/>
          <w:sz w:val="22"/>
          <w:szCs w:val="22"/>
        </w:rPr>
      </w:pPr>
    </w:p>
    <w:p w14:paraId="052B2FDF" w14:textId="77777777" w:rsidR="00E446F1" w:rsidRPr="000E27EC" w:rsidRDefault="00E446F1" w:rsidP="00E446F1">
      <w:pPr>
        <w:widowControl w:val="0"/>
        <w:tabs>
          <w:tab w:val="left" w:pos="720"/>
        </w:tabs>
        <w:spacing w:after="0" w:line="240" w:lineRule="auto"/>
        <w:jc w:val="center"/>
        <w:outlineLvl w:val="0"/>
        <w:rPr>
          <w:rFonts w:ascii="Times New Roman" w:eastAsia="Calibri" w:hAnsi="Times New Roman" w:cs="Times New Roman"/>
          <w:b/>
          <w:sz w:val="22"/>
          <w:szCs w:val="22"/>
        </w:rPr>
      </w:pPr>
      <w:r w:rsidRPr="000E27EC">
        <w:rPr>
          <w:rFonts w:ascii="Times New Roman" w:hAnsi="Times New Roman" w:cs="Times New Roman"/>
          <w:b/>
          <w:sz w:val="22"/>
          <w:szCs w:val="22"/>
        </w:rPr>
        <w:t xml:space="preserve">Sandostatin 100 mikrogramų/ml injekcinis ar infuzinis tirpalas </w:t>
      </w:r>
    </w:p>
    <w:p w14:paraId="64D83D2D" w14:textId="77777777" w:rsidR="00E446F1" w:rsidRPr="000E27EC" w:rsidRDefault="00E446F1" w:rsidP="00E446F1">
      <w:pPr>
        <w:widowControl w:val="0"/>
        <w:tabs>
          <w:tab w:val="left" w:pos="720"/>
        </w:tabs>
        <w:spacing w:before="240" w:after="0" w:line="240" w:lineRule="auto"/>
        <w:jc w:val="center"/>
        <w:outlineLvl w:val="0"/>
        <w:rPr>
          <w:rFonts w:ascii="Times New Roman" w:eastAsia="Calibri" w:hAnsi="Times New Roman" w:cs="Times New Roman"/>
          <w:b/>
          <w:i/>
          <w:sz w:val="22"/>
          <w:szCs w:val="22"/>
        </w:rPr>
      </w:pPr>
      <w:r w:rsidRPr="000E27EC">
        <w:rPr>
          <w:rFonts w:ascii="Times New Roman" w:hAnsi="Times New Roman" w:cs="Times New Roman"/>
          <w:sz w:val="22"/>
          <w:szCs w:val="22"/>
        </w:rPr>
        <w:t xml:space="preserve">Oktreotidas </w:t>
      </w:r>
    </w:p>
    <w:p w14:paraId="56AFC5E8"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rPr>
      </w:pPr>
    </w:p>
    <w:p w14:paraId="304837F7"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rPr>
      </w:pPr>
    </w:p>
    <w:p w14:paraId="5D97BAAC" w14:textId="77777777" w:rsidR="00E446F1" w:rsidRPr="000E27EC" w:rsidRDefault="00E446F1" w:rsidP="00E446F1">
      <w:pPr>
        <w:keepNext/>
        <w:widowControl w:val="0"/>
        <w:numPr>
          <w:ilvl w:val="12"/>
          <w:numId w:val="0"/>
        </w:numPr>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Atidžiai perskaitykite visą šį lapelį, prieš pradėdami vartoti vaistą, nes jame pateikiama Jums svarbi informacija.</w:t>
      </w:r>
    </w:p>
    <w:p w14:paraId="20E13E50" w14:textId="77777777" w:rsidR="00E446F1" w:rsidRPr="000E27EC" w:rsidRDefault="00E446F1" w:rsidP="00E446F1">
      <w:pPr>
        <w:widowControl w:val="0"/>
        <w:numPr>
          <w:ilvl w:val="0"/>
          <w:numId w:val="13"/>
        </w:numPr>
        <w:tabs>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Neišmeskite šio lapelio, nes vėl gali prireikti jį perskaityti.</w:t>
      </w:r>
    </w:p>
    <w:p w14:paraId="7C205721" w14:textId="77777777" w:rsidR="00E446F1" w:rsidRPr="000E27EC" w:rsidRDefault="00E446F1" w:rsidP="00E446F1">
      <w:pPr>
        <w:widowControl w:val="0"/>
        <w:numPr>
          <w:ilvl w:val="0"/>
          <w:numId w:val="13"/>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kiltų daugiau klausimų, kreipkitės į gydytoją, vaistininką arba slaugytoją.</w:t>
      </w:r>
    </w:p>
    <w:p w14:paraId="7FBB858B" w14:textId="77777777" w:rsidR="00E446F1" w:rsidRPr="000E27EC" w:rsidRDefault="00E446F1" w:rsidP="00E446F1">
      <w:pPr>
        <w:widowControl w:val="0"/>
        <w:numPr>
          <w:ilvl w:val="0"/>
          <w:numId w:val="13"/>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Šis vaistas skirtas tik Jums, todėl kitiems žmonėms jo duoti negalima. Vaistas gali jiems pakenkti (net tiems, kurių ligos požymiai yra tokie patys kaip Jūsų).</w:t>
      </w:r>
    </w:p>
    <w:p w14:paraId="57FF2FBD" w14:textId="77777777" w:rsidR="00E446F1" w:rsidRPr="000E27EC" w:rsidRDefault="00E446F1" w:rsidP="00E446F1">
      <w:pPr>
        <w:widowControl w:val="0"/>
        <w:numPr>
          <w:ilvl w:val="0"/>
          <w:numId w:val="13"/>
        </w:numPr>
        <w:tabs>
          <w:tab w:val="left" w:pos="567"/>
        </w:tabs>
        <w:autoSpaceDE w:val="0"/>
        <w:autoSpaceDN w:val="0"/>
        <w:adjustRightInd w:val="0"/>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pasireiškė šalutinis poveikis (net jeigu jis šiame lapelyje nenurodytas), kreipkitės į gydytoją, vaistininką arba slaugytoją. Žr. 4 skyrių.</w:t>
      </w:r>
    </w:p>
    <w:p w14:paraId="73D74471" w14:textId="77777777" w:rsidR="00E446F1" w:rsidRPr="000E27EC" w:rsidRDefault="00E446F1" w:rsidP="00E446F1">
      <w:pPr>
        <w:widowControl w:val="0"/>
        <w:tabs>
          <w:tab w:val="left" w:pos="567"/>
        </w:tabs>
        <w:spacing w:after="0" w:line="240" w:lineRule="auto"/>
        <w:ind w:left="567" w:right="-2" w:hanging="567"/>
        <w:rPr>
          <w:rFonts w:ascii="Times New Roman" w:hAnsi="Times New Roman" w:cs="Times New Roman"/>
          <w:sz w:val="22"/>
          <w:szCs w:val="22"/>
        </w:rPr>
      </w:pPr>
    </w:p>
    <w:p w14:paraId="24699AA3" w14:textId="77777777" w:rsidR="00E446F1" w:rsidRPr="000E27EC" w:rsidRDefault="00E446F1" w:rsidP="00E446F1">
      <w:pPr>
        <w:keepNext/>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rPr>
      </w:pPr>
      <w:r w:rsidRPr="000E27EC">
        <w:rPr>
          <w:rFonts w:ascii="Times New Roman" w:hAnsi="Times New Roman" w:cs="Times New Roman"/>
          <w:b/>
          <w:sz w:val="22"/>
          <w:szCs w:val="22"/>
        </w:rPr>
        <w:t>Apie ką rašoma šiame lapelyje?</w:t>
      </w:r>
    </w:p>
    <w:p w14:paraId="025E3529" w14:textId="77777777" w:rsidR="00E446F1" w:rsidRPr="000E27EC" w:rsidRDefault="00E446F1" w:rsidP="00F23492">
      <w:pPr>
        <w:widowControl w:val="0"/>
        <w:numPr>
          <w:ilvl w:val="12"/>
          <w:numId w:val="0"/>
        </w:numPr>
        <w:spacing w:after="0" w:line="240" w:lineRule="auto"/>
        <w:ind w:left="567" w:right="-29" w:hanging="567"/>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1.</w:t>
      </w:r>
      <w:r w:rsidRPr="000E27EC">
        <w:rPr>
          <w:rFonts w:ascii="Times New Roman" w:hAnsi="Times New Roman" w:cs="Times New Roman"/>
          <w:sz w:val="22"/>
          <w:szCs w:val="22"/>
          <w:lang w:val="es-ES"/>
        </w:rPr>
        <w:tab/>
        <w:t>Kas yra Sandostatin ir kam jis vartojamas</w:t>
      </w:r>
    </w:p>
    <w:p w14:paraId="732A267B" w14:textId="77777777" w:rsidR="00E446F1" w:rsidRPr="000E27EC" w:rsidRDefault="00E446F1" w:rsidP="00F23492">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2.</w:t>
      </w:r>
      <w:r w:rsidRPr="000E27EC">
        <w:rPr>
          <w:rFonts w:ascii="Times New Roman" w:hAnsi="Times New Roman" w:cs="Times New Roman"/>
          <w:sz w:val="22"/>
          <w:szCs w:val="22"/>
          <w:lang w:val="it-IT"/>
        </w:rPr>
        <w:tab/>
        <w:t>Kas žinotina prieš vartojant Sandostatin</w:t>
      </w:r>
    </w:p>
    <w:p w14:paraId="33132C8E" w14:textId="77777777" w:rsidR="00E446F1" w:rsidRPr="000E27EC" w:rsidRDefault="00E446F1" w:rsidP="00F23492">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3.</w:t>
      </w:r>
      <w:r w:rsidRPr="000E27EC">
        <w:rPr>
          <w:rFonts w:ascii="Times New Roman" w:hAnsi="Times New Roman" w:cs="Times New Roman"/>
          <w:sz w:val="22"/>
          <w:szCs w:val="22"/>
          <w:lang w:val="it-IT"/>
        </w:rPr>
        <w:tab/>
        <w:t>Kaip vartoti Sandostatin</w:t>
      </w:r>
    </w:p>
    <w:p w14:paraId="01A11556" w14:textId="77777777" w:rsidR="00E446F1" w:rsidRPr="000E27EC" w:rsidRDefault="00E446F1" w:rsidP="00F23492">
      <w:pPr>
        <w:widowControl w:val="0"/>
        <w:numPr>
          <w:ilvl w:val="12"/>
          <w:numId w:val="0"/>
        </w:numPr>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4.</w:t>
      </w:r>
      <w:r w:rsidRPr="000E27EC">
        <w:rPr>
          <w:rFonts w:ascii="Times New Roman" w:hAnsi="Times New Roman" w:cs="Times New Roman"/>
          <w:sz w:val="22"/>
          <w:szCs w:val="22"/>
          <w:lang w:val="it-IT"/>
        </w:rPr>
        <w:tab/>
        <w:t>Galimas šalutinis poveikis</w:t>
      </w:r>
    </w:p>
    <w:p w14:paraId="1BBC3E3D" w14:textId="77777777" w:rsidR="00E446F1" w:rsidRPr="000E27EC" w:rsidRDefault="00E446F1" w:rsidP="00F23492">
      <w:pPr>
        <w:widowControl w:val="0"/>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5.</w:t>
      </w:r>
      <w:r w:rsidRPr="000E27EC">
        <w:rPr>
          <w:rFonts w:ascii="Times New Roman" w:hAnsi="Times New Roman" w:cs="Times New Roman"/>
          <w:sz w:val="22"/>
          <w:szCs w:val="22"/>
          <w:lang w:val="it-IT"/>
        </w:rPr>
        <w:tab/>
        <w:t>Kaip laikyti Sandostatin</w:t>
      </w:r>
    </w:p>
    <w:p w14:paraId="1FAC7445" w14:textId="77777777" w:rsidR="00E446F1" w:rsidRPr="000E27EC" w:rsidRDefault="00E446F1" w:rsidP="00F23492">
      <w:pPr>
        <w:widowControl w:val="0"/>
        <w:spacing w:after="0" w:line="240" w:lineRule="auto"/>
        <w:ind w:left="567" w:right="-29"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6.</w:t>
      </w:r>
      <w:r w:rsidRPr="000E27EC">
        <w:rPr>
          <w:rFonts w:ascii="Times New Roman" w:hAnsi="Times New Roman" w:cs="Times New Roman"/>
          <w:sz w:val="22"/>
          <w:szCs w:val="22"/>
          <w:lang w:val="it-IT"/>
        </w:rPr>
        <w:tab/>
        <w:t>Pakuotės turinys ir kita informacija</w:t>
      </w:r>
    </w:p>
    <w:p w14:paraId="35F52C55"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lang w:val="it-IT"/>
        </w:rPr>
      </w:pPr>
    </w:p>
    <w:p w14:paraId="19B28FFC"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lang w:val="it-IT"/>
        </w:rPr>
      </w:pPr>
    </w:p>
    <w:p w14:paraId="724A8345" w14:textId="77777777" w:rsidR="00E446F1" w:rsidRPr="000E27EC" w:rsidRDefault="00E446F1" w:rsidP="00E446F1">
      <w:pPr>
        <w:keepNext/>
        <w:widowControl w:val="0"/>
        <w:tabs>
          <w:tab w:val="left" w:pos="567"/>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1.</w:t>
      </w:r>
      <w:r w:rsidRPr="000E27EC">
        <w:rPr>
          <w:rFonts w:ascii="Times New Roman" w:hAnsi="Times New Roman" w:cs="Times New Roman"/>
          <w:b/>
          <w:sz w:val="22"/>
          <w:szCs w:val="22"/>
          <w:lang w:val="es-ES"/>
        </w:rPr>
        <w:tab/>
        <w:t>Kas yra Sandostatin ir kam jis vartojamas</w:t>
      </w:r>
    </w:p>
    <w:p w14:paraId="2F9AEE45" w14:textId="77777777" w:rsidR="00E446F1" w:rsidRPr="000E27EC" w:rsidRDefault="00E446F1" w:rsidP="00E446F1">
      <w:pPr>
        <w:keepNext/>
        <w:widowControl w:val="0"/>
        <w:tabs>
          <w:tab w:val="left" w:pos="720"/>
        </w:tabs>
        <w:spacing w:after="0" w:line="240" w:lineRule="auto"/>
        <w:ind w:right="-2"/>
        <w:rPr>
          <w:rFonts w:ascii="Times New Roman" w:hAnsi="Times New Roman" w:cs="Times New Roman"/>
          <w:sz w:val="22"/>
          <w:szCs w:val="22"/>
          <w:lang w:val="es-ES"/>
        </w:rPr>
      </w:pPr>
    </w:p>
    <w:p w14:paraId="65B39ED0" w14:textId="77777777" w:rsidR="00E446F1" w:rsidRPr="000E27EC" w:rsidRDefault="00E446F1" w:rsidP="00E446F1">
      <w:pPr>
        <w:widowControl w:val="0"/>
        <w:numPr>
          <w:ilvl w:val="12"/>
          <w:numId w:val="0"/>
        </w:numPr>
        <w:tabs>
          <w:tab w:val="left" w:pos="720"/>
        </w:tabs>
        <w:spacing w:after="0" w:line="240" w:lineRule="auto"/>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Sandostatin yra sintetinis somatostatino junginys; somatostatino normaliai būna žmonių organizme, ir jis slopina kai kurių hormonų, pavyzdžiui, augimo hormono, veikimą. Sandostatin privalumas, lyginant su somatostatinu, yra tas, kad jis veikia stipriau ir ilgiau. </w:t>
      </w:r>
    </w:p>
    <w:p w14:paraId="36E071EC"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lang w:val="es-ES"/>
        </w:rPr>
      </w:pPr>
    </w:p>
    <w:p w14:paraId="5B7F34D6"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Sandostatin vartojamas</w:t>
      </w:r>
    </w:p>
    <w:p w14:paraId="3A1AE83C" w14:textId="77777777" w:rsidR="00E446F1" w:rsidRPr="000E27EC" w:rsidRDefault="00E446F1" w:rsidP="00E446F1">
      <w:pPr>
        <w:keepNext/>
        <w:widowControl w:val="0"/>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 xml:space="preserve">akromegalija </w:t>
      </w:r>
      <w:r w:rsidRPr="000E27EC">
        <w:rPr>
          <w:rFonts w:ascii="Times New Roman" w:hAnsi="Times New Roman" w:cs="Times New Roman"/>
          <w:sz w:val="22"/>
          <w:szCs w:val="22"/>
        </w:rPr>
        <w:t>sergantiems pacientams; akromegalija – tai tokia būklė, kai organizme gaminama per daug augimo hormono. Sveikame organizme augimo hormonas kontroliuoja audinių, organų ir kaulų augimą. Augimo hormono perteklius sukelia kaulų ir audinių, ypač plaštakų bei pėdų, padidėjimą. Sandostatin ženkliai palengvina akromegalijos požymius, pavyzdžiui, galvos skausmą, sustiprėjusį prakaitavimą, plaštakų ir pėdų tirpimo pojūtį, nuovargį ir sąnarių skausmą;</w:t>
      </w:r>
    </w:p>
    <w:p w14:paraId="354C0E41" w14:textId="77777777" w:rsidR="00E446F1" w:rsidRPr="000E27EC" w:rsidRDefault="00E446F1" w:rsidP="00E446F1">
      <w:pPr>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požymiams, kuriuos sukelia kai kurie </w:t>
      </w:r>
      <w:r w:rsidRPr="000E27EC">
        <w:rPr>
          <w:rFonts w:ascii="Times New Roman" w:hAnsi="Times New Roman" w:cs="Times New Roman"/>
          <w:b/>
          <w:sz w:val="22"/>
          <w:szCs w:val="22"/>
        </w:rPr>
        <w:t>virškinimo trakto augliai</w:t>
      </w:r>
      <w:r w:rsidRPr="000E27EC">
        <w:rPr>
          <w:rFonts w:ascii="Times New Roman" w:hAnsi="Times New Roman" w:cs="Times New Roman"/>
          <w:sz w:val="22"/>
          <w:szCs w:val="22"/>
        </w:rPr>
        <w:t xml:space="preserve"> (pavyzdžiui, vadinamieji karcinoidiniai augliai, VIP-omos, gliukagonomos, gastrinomos, insulinomos, GRF-omos), silpninti. Kai yra šių auglių, būna padidėjęs kai kurių specifinių hormonų ir su jais susijusių medžiagų, gaminamų skrandyje, žarnyne ar kasoje, kiekis. Dėl padidėjusio šių medžiagų kiekio organizme sutrinka natūrali hormonų pusiausvyra ir išryškėja įvairūs požymiai, pavyzdžiui, karščio pylimas, viduriavimas, sumažėjęs kraujospūdis, </w:t>
      </w:r>
      <w:r w:rsidR="00E32B96">
        <w:rPr>
          <w:rFonts w:ascii="Times New Roman" w:hAnsi="Times New Roman" w:cs="Times New Roman"/>
          <w:sz w:val="22"/>
          <w:szCs w:val="22"/>
        </w:rPr>
        <w:t>iš</w:t>
      </w:r>
      <w:r w:rsidRPr="000E27EC">
        <w:rPr>
          <w:rFonts w:ascii="Times New Roman" w:hAnsi="Times New Roman" w:cs="Times New Roman"/>
          <w:sz w:val="22"/>
          <w:szCs w:val="22"/>
        </w:rPr>
        <w:t>bėrimas ir kūno svorio mažėjimas. Gydymas Sandostatin padeda kontroliuoti šiuos požymius;</w:t>
      </w:r>
    </w:p>
    <w:p w14:paraId="41CB9FE4" w14:textId="77777777" w:rsidR="00E446F1" w:rsidRPr="000E27EC" w:rsidRDefault="00E446F1" w:rsidP="00E446F1">
      <w:pPr>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 xml:space="preserve">komplikacijų po kasos operacijų </w:t>
      </w:r>
      <w:r w:rsidRPr="000E27EC">
        <w:rPr>
          <w:rFonts w:ascii="Times New Roman" w:hAnsi="Times New Roman" w:cs="Times New Roman"/>
          <w:sz w:val="22"/>
          <w:szCs w:val="22"/>
        </w:rPr>
        <w:t>profilaktikai. Gydymas Sandostatin padeda sumažinti komplikacijų po operacijos pasireiškimo (pvz., pilvo ertmės pūlinių, kasos uždegimo) galimybę;</w:t>
      </w:r>
    </w:p>
    <w:p w14:paraId="3BC1C439" w14:textId="77777777" w:rsidR="00E446F1" w:rsidRPr="000E27EC" w:rsidRDefault="00E446F1" w:rsidP="00E446F1">
      <w:pPr>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kraujavimui iš </w:t>
      </w:r>
      <w:r w:rsidRPr="000E27EC">
        <w:rPr>
          <w:rFonts w:ascii="Times New Roman" w:hAnsi="Times New Roman" w:cs="Times New Roman"/>
          <w:b/>
          <w:sz w:val="22"/>
          <w:szCs w:val="22"/>
        </w:rPr>
        <w:t>plyšusių stemplės ir skrandžio varikozinių mazgų</w:t>
      </w:r>
      <w:r w:rsidRPr="000E27EC">
        <w:rPr>
          <w:rFonts w:ascii="Times New Roman" w:hAnsi="Times New Roman" w:cs="Times New Roman"/>
          <w:sz w:val="22"/>
          <w:szCs w:val="22"/>
        </w:rPr>
        <w:t xml:space="preserve"> stabdyti ir pakartotinio kraujavimo profilaktikai ligoniams, sergantiems kepenų ciroze (lėtine kepenų liga). Gydymas Sandostatin padeda sustabdyti kraujavimą ir sumažinti kraujo perpylimų poreikį;</w:t>
      </w:r>
    </w:p>
    <w:p w14:paraId="139182BF" w14:textId="77777777" w:rsidR="00E446F1" w:rsidRPr="000E27EC" w:rsidRDefault="00E446F1" w:rsidP="00E446F1">
      <w:pPr>
        <w:keepNext/>
        <w:widowControl w:val="0"/>
        <w:numPr>
          <w:ilvl w:val="0"/>
          <w:numId w:val="14"/>
        </w:numPr>
        <w:tabs>
          <w:tab w:val="clear" w:pos="357"/>
          <w:tab w:val="left" w:pos="567"/>
        </w:tabs>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pacientams, kuriems yra hipofizės augliai, gydyti, kai šie augliai gamina per daug skydliaukę stimuliuojančio (tirotropinio) hormono (TTH). Per didelis skydliaukę stimuliuojančio hormono (TTH) kiekis sukelia hipertirozę.</w:t>
      </w:r>
    </w:p>
    <w:p w14:paraId="50518A2A" w14:textId="77777777" w:rsidR="00E446F1" w:rsidRPr="000E27EC" w:rsidRDefault="00E446F1" w:rsidP="00E446F1">
      <w:pPr>
        <w:keepNext/>
        <w:widowControl w:val="0"/>
        <w:spacing w:after="0" w:line="240" w:lineRule="auto"/>
        <w:ind w:left="567"/>
        <w:rPr>
          <w:rFonts w:ascii="Times New Roman" w:eastAsia="Calibri" w:hAnsi="Times New Roman" w:cs="Times New Roman"/>
          <w:sz w:val="22"/>
          <w:szCs w:val="22"/>
        </w:rPr>
      </w:pPr>
      <w:r w:rsidRPr="000E27EC">
        <w:rPr>
          <w:rFonts w:ascii="Times New Roman" w:hAnsi="Times New Roman" w:cs="Times New Roman"/>
          <w:sz w:val="22"/>
          <w:szCs w:val="22"/>
        </w:rPr>
        <w:t xml:space="preserve">Sandostatin vartojamas pacientams, kuriems yra hipofizės augliai dėl kurių per daug gaminama </w:t>
      </w:r>
      <w:r w:rsidRPr="000E27EC">
        <w:rPr>
          <w:rFonts w:ascii="Times New Roman" w:hAnsi="Times New Roman" w:cs="Times New Roman"/>
          <w:sz w:val="22"/>
          <w:szCs w:val="22"/>
        </w:rPr>
        <w:lastRenderedPageBreak/>
        <w:t>skydliaukę stimuliuojančio hormono (TTH), gydyti:</w:t>
      </w:r>
    </w:p>
    <w:p w14:paraId="632E509C" w14:textId="77777777" w:rsidR="00E446F1" w:rsidRPr="000E27EC" w:rsidRDefault="00E446F1" w:rsidP="00F23492">
      <w:pPr>
        <w:keepNext/>
        <w:widowControl w:val="0"/>
        <w:spacing w:after="0" w:line="240" w:lineRule="auto"/>
        <w:ind w:left="1134" w:hanging="567"/>
        <w:rPr>
          <w:rFonts w:ascii="Times New Roman" w:hAnsi="Times New Roman" w:cs="Times New Roman"/>
          <w:sz w:val="22"/>
          <w:szCs w:val="22"/>
        </w:rPr>
      </w:pPr>
      <w:r w:rsidRPr="000E27EC">
        <w:rPr>
          <w:rFonts w:ascii="Times New Roman" w:hAnsi="Times New Roman" w:cs="Times New Roman"/>
          <w:sz w:val="22"/>
          <w:szCs w:val="22"/>
        </w:rPr>
        <w:t>-</w:t>
      </w:r>
      <w:r w:rsidRPr="000E27EC">
        <w:rPr>
          <w:rFonts w:ascii="Times New Roman" w:hAnsi="Times New Roman" w:cs="Times New Roman"/>
          <w:sz w:val="22"/>
          <w:szCs w:val="22"/>
        </w:rPr>
        <w:tab/>
        <w:t>kai kitokie gydymo metodai (chirurginė operacija ar radioterapija) netinka ar buvo neveiksmingi;</w:t>
      </w:r>
    </w:p>
    <w:p w14:paraId="02D76B55" w14:textId="77777777" w:rsidR="00E446F1" w:rsidRPr="000E27EC" w:rsidRDefault="00E446F1" w:rsidP="00F23492">
      <w:pPr>
        <w:keepNext/>
        <w:widowControl w:val="0"/>
        <w:spacing w:after="0" w:line="240" w:lineRule="auto"/>
        <w:ind w:left="1134" w:hanging="567"/>
        <w:rPr>
          <w:rFonts w:ascii="Times New Roman" w:hAnsi="Times New Roman" w:cs="Times New Roman"/>
          <w:sz w:val="22"/>
          <w:szCs w:val="22"/>
        </w:rPr>
      </w:pPr>
      <w:r w:rsidRPr="000E27EC">
        <w:rPr>
          <w:rFonts w:ascii="Times New Roman" w:hAnsi="Times New Roman" w:cs="Times New Roman"/>
          <w:sz w:val="22"/>
          <w:szCs w:val="22"/>
        </w:rPr>
        <w:t>-</w:t>
      </w:r>
      <w:r w:rsidRPr="000E27EC">
        <w:rPr>
          <w:rFonts w:ascii="Times New Roman" w:hAnsi="Times New Roman" w:cs="Times New Roman"/>
          <w:sz w:val="22"/>
          <w:szCs w:val="22"/>
        </w:rPr>
        <w:tab/>
        <w:t>tarpiniu laikotarpiu po radioterapijos, kol pasireikš jos poveikis.</w:t>
      </w:r>
    </w:p>
    <w:p w14:paraId="1D3D5C9F" w14:textId="77777777" w:rsidR="00E446F1" w:rsidRPr="000E27EC" w:rsidRDefault="00E446F1" w:rsidP="00E446F1">
      <w:pPr>
        <w:numPr>
          <w:ilvl w:val="12"/>
          <w:numId w:val="0"/>
        </w:numPr>
        <w:tabs>
          <w:tab w:val="left" w:pos="720"/>
        </w:tabs>
        <w:spacing w:after="0" w:line="240" w:lineRule="auto"/>
        <w:rPr>
          <w:rFonts w:ascii="Times New Roman" w:hAnsi="Times New Roman" w:cs="Times New Roman"/>
          <w:sz w:val="22"/>
          <w:szCs w:val="22"/>
        </w:rPr>
      </w:pPr>
    </w:p>
    <w:p w14:paraId="5616F0D7"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rPr>
      </w:pPr>
    </w:p>
    <w:p w14:paraId="492257F9" w14:textId="77777777" w:rsidR="00E446F1" w:rsidRPr="000E27EC" w:rsidRDefault="00E446F1" w:rsidP="00E446F1">
      <w:pPr>
        <w:keepNext/>
        <w:widowControl w:val="0"/>
        <w:spacing w:after="0" w:line="240" w:lineRule="auto"/>
        <w:ind w:left="567" w:right="-2" w:hanging="567"/>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2.</w:t>
      </w:r>
      <w:r w:rsidRPr="000E27EC">
        <w:rPr>
          <w:rFonts w:ascii="Times New Roman" w:hAnsi="Times New Roman" w:cs="Times New Roman"/>
          <w:b/>
          <w:sz w:val="22"/>
          <w:szCs w:val="22"/>
          <w:lang w:val="it-IT"/>
        </w:rPr>
        <w:tab/>
        <w:t>Kas žinotina prieš vartojant Sandostatin</w:t>
      </w:r>
    </w:p>
    <w:p w14:paraId="4595CC90" w14:textId="77777777" w:rsidR="00E446F1" w:rsidRPr="000E27EC" w:rsidRDefault="00E446F1" w:rsidP="00E446F1">
      <w:pPr>
        <w:keepNext/>
        <w:widowControl w:val="0"/>
        <w:tabs>
          <w:tab w:val="left" w:pos="720"/>
        </w:tabs>
        <w:spacing w:after="0" w:line="240" w:lineRule="auto"/>
        <w:outlineLvl w:val="0"/>
        <w:rPr>
          <w:rFonts w:ascii="Times New Roman" w:hAnsi="Times New Roman" w:cs="Times New Roman"/>
          <w:sz w:val="22"/>
          <w:szCs w:val="22"/>
          <w:lang w:val="it-IT"/>
        </w:rPr>
      </w:pPr>
    </w:p>
    <w:p w14:paraId="1ED599BD" w14:textId="77777777" w:rsidR="00E446F1" w:rsidRPr="000E27EC" w:rsidRDefault="00E446F1" w:rsidP="00E446F1">
      <w:pPr>
        <w:keepNext/>
        <w:widowControl w:val="0"/>
        <w:tabs>
          <w:tab w:val="left" w:pos="720"/>
        </w:tabs>
        <w:spacing w:after="0" w:line="240" w:lineRule="auto"/>
        <w:outlineLvl w:val="0"/>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Sandostatin vartoti negalima:</w:t>
      </w:r>
    </w:p>
    <w:p w14:paraId="0377B0F2" w14:textId="77777777" w:rsidR="00E446F1" w:rsidRPr="000E27EC" w:rsidRDefault="00E446F1" w:rsidP="00E446F1">
      <w:pPr>
        <w:widowControl w:val="0"/>
        <w:numPr>
          <w:ilvl w:val="0"/>
          <w:numId w:val="13"/>
        </w:numPr>
        <w:tabs>
          <w:tab w:val="left" w:pos="567"/>
          <w:tab w:val="left" w:pos="720"/>
        </w:tabs>
        <w:autoSpaceDE w:val="0"/>
        <w:autoSpaceDN w:val="0"/>
        <w:adjustRightInd w:val="0"/>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yra alergija oktreotidui arba bet kuriai pagalbinei šio vaisto medžiagai (jos išvardytos 6 skyriuje).</w:t>
      </w:r>
    </w:p>
    <w:p w14:paraId="21CBD9C1"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lang w:val="it-IT"/>
        </w:rPr>
      </w:pPr>
    </w:p>
    <w:p w14:paraId="246D908A" w14:textId="77777777" w:rsidR="00E446F1" w:rsidRPr="000E27EC" w:rsidRDefault="00E446F1" w:rsidP="00E446F1">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Įspėjimai ir atsargumo priemonės</w:t>
      </w:r>
    </w:p>
    <w:p w14:paraId="1A4EC64B" w14:textId="77777777" w:rsidR="00E446F1" w:rsidRPr="000E27EC" w:rsidRDefault="00E446F1" w:rsidP="00E446F1">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14:paraId="5B19DBA6" w14:textId="77777777" w:rsidR="00E446F1" w:rsidRPr="000E27EC" w:rsidRDefault="00E446F1" w:rsidP="00E446F1">
      <w:pPr>
        <w:keepNext/>
        <w:widowControl w:val="0"/>
        <w:numPr>
          <w:ilvl w:val="12"/>
          <w:numId w:val="0"/>
        </w:numPr>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Pasitarkite su gydytoju, prieš pradėdami vartoti Sandostatin:</w:t>
      </w:r>
    </w:p>
    <w:p w14:paraId="0A0C562F" w14:textId="77777777" w:rsidR="00E446F1" w:rsidRPr="000E27EC" w:rsidRDefault="00E446F1" w:rsidP="00E446F1">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14:paraId="16530B9D" w14:textId="77777777" w:rsidR="00E446F1" w:rsidRPr="000E27EC" w:rsidRDefault="00E446F1" w:rsidP="00F23492">
      <w:pPr>
        <w:widowControl w:val="0"/>
        <w:numPr>
          <w:ilvl w:val="0"/>
          <w:numId w:val="15"/>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lang w:val="it-IT"/>
        </w:rPr>
        <w:t>jeigu žinote, kad Jums yra tulžies akmenų arba jų buvo anksčiau</w:t>
      </w:r>
      <w:r w:rsidR="00641FEA">
        <w:rPr>
          <w:rFonts w:ascii="Times New Roman" w:hAnsi="Times New Roman" w:cs="Times New Roman"/>
          <w:sz w:val="22"/>
          <w:szCs w:val="22"/>
          <w:lang w:val="it-IT"/>
        </w:rPr>
        <w:t xml:space="preserve">, </w:t>
      </w:r>
      <w:r w:rsidR="00641FEA" w:rsidRPr="00641FEA">
        <w:rPr>
          <w:rFonts w:ascii="Times New Roman" w:hAnsi="Times New Roman" w:cs="Times New Roman"/>
          <w:sz w:val="22"/>
          <w:szCs w:val="22"/>
          <w:lang w:val="it-IT"/>
        </w:rPr>
        <w:t xml:space="preserve">arba </w:t>
      </w:r>
      <w:r w:rsidR="002B052D">
        <w:rPr>
          <w:rFonts w:ascii="Times New Roman" w:hAnsi="Times New Roman" w:cs="Times New Roman"/>
          <w:sz w:val="22"/>
          <w:szCs w:val="22"/>
          <w:lang w:val="it-IT"/>
        </w:rPr>
        <w:t>J</w:t>
      </w:r>
      <w:r w:rsidR="00641FEA" w:rsidRPr="00641FEA">
        <w:rPr>
          <w:rFonts w:ascii="Times New Roman" w:hAnsi="Times New Roman" w:cs="Times New Roman"/>
          <w:sz w:val="22"/>
          <w:szCs w:val="22"/>
          <w:lang w:val="it-IT"/>
        </w:rPr>
        <w:t>ūs patiriate kokių nors komplikacijų, tokių kaip karščiavimas, šaltkrėtis, pilvo skausmas, odos ar akių pagelti</w:t>
      </w:r>
      <w:r w:rsidR="00641FEA">
        <w:rPr>
          <w:rFonts w:ascii="Times New Roman" w:hAnsi="Times New Roman" w:cs="Times New Roman"/>
          <w:sz w:val="22"/>
          <w:szCs w:val="22"/>
          <w:lang w:val="it-IT"/>
        </w:rPr>
        <w:t>mas</w:t>
      </w:r>
      <w:r w:rsidRPr="000E27EC">
        <w:rPr>
          <w:rFonts w:ascii="Times New Roman" w:hAnsi="Times New Roman" w:cs="Times New Roman"/>
          <w:sz w:val="22"/>
          <w:szCs w:val="22"/>
          <w:lang w:val="it-IT"/>
        </w:rPr>
        <w:t xml:space="preserve">; apie tai pasakykite gydytojui, nes ilgai vartojant Sandostatin, gali jų susidaryti. </w:t>
      </w:r>
      <w:r w:rsidRPr="000E27EC">
        <w:rPr>
          <w:rFonts w:ascii="Times New Roman" w:hAnsi="Times New Roman" w:cs="Times New Roman"/>
          <w:sz w:val="22"/>
          <w:szCs w:val="22"/>
        </w:rPr>
        <w:t xml:space="preserve">Jūsų gydytojas gali periodiškai tirti tulžies pūslę; </w:t>
      </w:r>
    </w:p>
    <w:p w14:paraId="0AF144E7" w14:textId="77777777" w:rsidR="00E446F1" w:rsidRPr="000E27EC" w:rsidRDefault="00E446F1" w:rsidP="00F23492">
      <w:pPr>
        <w:widowControl w:val="0"/>
        <w:spacing w:after="0" w:line="240" w:lineRule="auto"/>
        <w:ind w:left="567" w:hanging="567"/>
        <w:rPr>
          <w:rFonts w:ascii="Times New Roman" w:hAnsi="Times New Roman" w:cs="Times New Roman"/>
          <w:sz w:val="22"/>
          <w:szCs w:val="22"/>
        </w:rPr>
      </w:pPr>
    </w:p>
    <w:p w14:paraId="64ED149A" w14:textId="77777777" w:rsidR="00E446F1" w:rsidRPr="000E27EC" w:rsidRDefault="00E446F1" w:rsidP="00F23492">
      <w:pPr>
        <w:widowControl w:val="0"/>
        <w:numPr>
          <w:ilvl w:val="0"/>
          <w:numId w:val="15"/>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pakitusi cukraus koncentracija Jūsų kraujyje, t.</w:t>
      </w:r>
      <w:r w:rsidR="002B052D">
        <w:rPr>
          <w:rFonts w:ascii="Times New Roman" w:hAnsi="Times New Roman" w:cs="Times New Roman"/>
          <w:sz w:val="22"/>
          <w:szCs w:val="22"/>
        </w:rPr>
        <w:t> </w:t>
      </w:r>
      <w:r w:rsidRPr="000E27EC">
        <w:rPr>
          <w:rFonts w:ascii="Times New Roman" w:hAnsi="Times New Roman" w:cs="Times New Roman"/>
          <w:sz w:val="22"/>
          <w:szCs w:val="22"/>
        </w:rPr>
        <w:t>y., ji yra per didelė (sergate diabetu) arba per maža (yra hipoglikemija). Kai Sandostatin vartojamas kraujavimui iš stemplės ir skrandžio varikozinių mazgų stabdyti, būtina reguliariai tirti cukraus kiekį kraujyje;</w:t>
      </w:r>
    </w:p>
    <w:p w14:paraId="763C4B1B" w14:textId="77777777" w:rsidR="00E446F1" w:rsidRPr="000E27EC" w:rsidRDefault="00E446F1" w:rsidP="00F23492">
      <w:pPr>
        <w:widowControl w:val="0"/>
        <w:spacing w:after="0" w:line="240" w:lineRule="auto"/>
        <w:ind w:left="567" w:hanging="567"/>
        <w:rPr>
          <w:rFonts w:ascii="Times New Roman" w:hAnsi="Times New Roman" w:cs="Times New Roman"/>
          <w:sz w:val="22"/>
          <w:szCs w:val="22"/>
        </w:rPr>
      </w:pPr>
    </w:p>
    <w:p w14:paraId="021A51FC" w14:textId="07D98244" w:rsidR="00E446F1" w:rsidRPr="00F61446" w:rsidRDefault="00E446F1" w:rsidP="00F23492">
      <w:pPr>
        <w:widowControl w:val="0"/>
        <w:numPr>
          <w:ilvl w:val="0"/>
          <w:numId w:val="15"/>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sz w:val="22"/>
          <w:szCs w:val="22"/>
        </w:rPr>
        <w:t>jeigu Jums anksčiau buvo nustatytas vitamino B12 trūkumas; tokiu atveju gydytojas gali periodiškai tirti vitamino B12 kiekį Jūsų organizme</w:t>
      </w:r>
      <w:r w:rsidR="00987843">
        <w:rPr>
          <w:rFonts w:ascii="Times New Roman" w:hAnsi="Times New Roman" w:cs="Times New Roman"/>
          <w:sz w:val="22"/>
          <w:szCs w:val="22"/>
        </w:rPr>
        <w:t>;</w:t>
      </w:r>
    </w:p>
    <w:p w14:paraId="4463C167" w14:textId="77777777" w:rsidR="00987843" w:rsidRDefault="00987843" w:rsidP="00F61446">
      <w:pPr>
        <w:pStyle w:val="Sraopastraipa"/>
        <w:rPr>
          <w:rFonts w:eastAsia="Calibri"/>
          <w:szCs w:val="22"/>
        </w:rPr>
      </w:pPr>
    </w:p>
    <w:p w14:paraId="41FF5613" w14:textId="77777777" w:rsidR="00987843" w:rsidRPr="000E27EC" w:rsidRDefault="00987843" w:rsidP="00987843">
      <w:pPr>
        <w:widowControl w:val="0"/>
        <w:numPr>
          <w:ilvl w:val="0"/>
          <w:numId w:val="15"/>
        </w:numPr>
        <w:spacing w:after="0" w:line="240" w:lineRule="auto"/>
        <w:ind w:left="567" w:hanging="567"/>
        <w:rPr>
          <w:rFonts w:ascii="Times New Roman" w:eastAsia="Calibri" w:hAnsi="Times New Roman" w:cs="Times New Roman"/>
          <w:sz w:val="22"/>
          <w:szCs w:val="22"/>
        </w:rPr>
      </w:pPr>
      <w:r>
        <w:rPr>
          <w:rFonts w:ascii="Times New Roman" w:eastAsia="Calibri" w:hAnsi="Times New Roman" w:cs="Times New Roman"/>
          <w:sz w:val="22"/>
          <w:szCs w:val="22"/>
        </w:rPr>
        <w:t>o</w:t>
      </w:r>
      <w:r w:rsidRPr="00225D45">
        <w:rPr>
          <w:rFonts w:ascii="Times New Roman" w:eastAsia="Calibri" w:hAnsi="Times New Roman" w:cs="Times New Roman"/>
          <w:sz w:val="22"/>
          <w:szCs w:val="22"/>
        </w:rPr>
        <w:t>ktreotidas gali sulėtinti širdies ritmą, o labai didelėmis dozėmis vartojamas vaistas gali sutrikdyti širdies ritmą. Gydymo laikotarpiu gydytojas gali stebėti jūsų širdies ritmą.</w:t>
      </w:r>
    </w:p>
    <w:p w14:paraId="75F147FE" w14:textId="77777777" w:rsidR="00987843" w:rsidRPr="000E27EC" w:rsidRDefault="00987843" w:rsidP="00F61446">
      <w:pPr>
        <w:widowControl w:val="0"/>
        <w:spacing w:after="0" w:line="240" w:lineRule="auto"/>
        <w:ind w:left="567"/>
        <w:rPr>
          <w:rFonts w:ascii="Times New Roman" w:eastAsia="Calibri" w:hAnsi="Times New Roman" w:cs="Times New Roman"/>
          <w:sz w:val="22"/>
          <w:szCs w:val="22"/>
        </w:rPr>
      </w:pPr>
    </w:p>
    <w:p w14:paraId="46C7D7BC"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7BAC210F" w14:textId="77777777" w:rsidR="00E446F1" w:rsidRPr="000E27EC" w:rsidRDefault="00E446F1" w:rsidP="00E446F1">
      <w:pPr>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Tyrimai ir patikrinimai</w:t>
      </w:r>
    </w:p>
    <w:p w14:paraId="157D4486"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rPr>
      </w:pPr>
    </w:p>
    <w:p w14:paraId="01BA76C4" w14:textId="77777777" w:rsidR="00E446F1" w:rsidRPr="000E27EC" w:rsidRDefault="00E446F1" w:rsidP="00E446F1">
      <w:pPr>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Sandostatin vartosite ilgai, gydytojas gali reguliariai atlikinėti Jūsų skydliaukės funkcijos tyrimus.</w:t>
      </w:r>
    </w:p>
    <w:p w14:paraId="696AE58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44F3C828" w14:textId="3C3BC3F1" w:rsidR="00E446F1"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rPr>
      </w:pPr>
      <w:r w:rsidRPr="000E27EC">
        <w:rPr>
          <w:rFonts w:ascii="Times New Roman" w:hAnsi="Times New Roman" w:cs="Times New Roman"/>
          <w:sz w:val="22"/>
          <w:szCs w:val="22"/>
        </w:rPr>
        <w:t>Gydytojas taip pat tikrins Jūsų kepenų veiklą.</w:t>
      </w:r>
    </w:p>
    <w:p w14:paraId="5BD8D13C" w14:textId="27DFDF16" w:rsidR="00F07EC2" w:rsidRDefault="00F07EC2" w:rsidP="00E446F1">
      <w:pPr>
        <w:widowControl w:val="0"/>
        <w:tabs>
          <w:tab w:val="left" w:pos="720"/>
        </w:tabs>
        <w:autoSpaceDE w:val="0"/>
        <w:autoSpaceDN w:val="0"/>
        <w:adjustRightInd w:val="0"/>
        <w:spacing w:after="0" w:line="240" w:lineRule="auto"/>
        <w:rPr>
          <w:rFonts w:ascii="Times New Roman" w:hAnsi="Times New Roman" w:cs="Times New Roman"/>
          <w:sz w:val="22"/>
          <w:szCs w:val="22"/>
        </w:rPr>
      </w:pPr>
    </w:p>
    <w:p w14:paraId="527E253C" w14:textId="283D4325" w:rsidR="00F07EC2" w:rsidRPr="00F07EC2" w:rsidRDefault="00F07EC2"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F07EC2">
        <w:rPr>
          <w:rFonts w:ascii="Times New Roman" w:eastAsia="Calibri" w:hAnsi="Times New Roman" w:cs="Times New Roman"/>
          <w:sz w:val="22"/>
          <w:szCs w:val="22"/>
        </w:rPr>
        <w:t xml:space="preserve">Jūsų gydytojas gali patikrinti </w:t>
      </w:r>
      <w:r>
        <w:rPr>
          <w:rFonts w:ascii="Times New Roman" w:eastAsia="Calibri" w:hAnsi="Times New Roman" w:cs="Times New Roman"/>
          <w:sz w:val="22"/>
          <w:szCs w:val="22"/>
        </w:rPr>
        <w:t>J</w:t>
      </w:r>
      <w:r w:rsidRPr="00F07EC2">
        <w:rPr>
          <w:rFonts w:ascii="Times New Roman" w:eastAsia="Calibri" w:hAnsi="Times New Roman" w:cs="Times New Roman"/>
          <w:sz w:val="22"/>
          <w:szCs w:val="22"/>
        </w:rPr>
        <w:t>ūsų kasos fermentų gamybos funkciją.</w:t>
      </w:r>
    </w:p>
    <w:p w14:paraId="575270C9"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rPr>
      </w:pPr>
    </w:p>
    <w:p w14:paraId="10BDA916" w14:textId="77777777" w:rsidR="00E446F1" w:rsidRPr="000E27EC" w:rsidRDefault="00E446F1" w:rsidP="00E446F1">
      <w:pPr>
        <w:keepNext/>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Vaikams</w:t>
      </w:r>
    </w:p>
    <w:p w14:paraId="570C713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Sandostatin vartojimo vaikams patirties yra labai nedaug.</w:t>
      </w:r>
    </w:p>
    <w:p w14:paraId="135FCB49"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rPr>
      </w:pPr>
    </w:p>
    <w:p w14:paraId="5D065881" w14:textId="77777777" w:rsidR="00E446F1" w:rsidRPr="000E27EC" w:rsidRDefault="00E446F1" w:rsidP="00E446F1">
      <w:pPr>
        <w:keepNext/>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b/>
          <w:sz w:val="22"/>
          <w:szCs w:val="22"/>
        </w:rPr>
        <w:t>Kiti vaistai ir Sandostatin</w:t>
      </w:r>
    </w:p>
    <w:p w14:paraId="577E346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vartojate ar neseniai vartojote kitų vaistų arba dėl to nesate tikri, apie tai pasakykite gydytojui arba vaistininkui.</w:t>
      </w:r>
    </w:p>
    <w:p w14:paraId="1FADA166"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6315863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Vartodami Sandostatin paprastai Jūs galėsite ir toliau vartoti kitų vaistų. Tačiau nustatyta, kad Sandostatin įtakoja kai kurių vaistų, pavyzdžiui, cimetidino, ciklosporino, bromokriptino, chinidino ir terfenadino, poveikį. </w:t>
      </w:r>
    </w:p>
    <w:p w14:paraId="4BC9F239"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1D5E482E"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 xml:space="preserve">Jeigu vartojate kraujospūdžiui reguliuoti skirtų vaistų (pvz., beta adrenoblokatorių ar kalcio kanalų blokatorių) arba skysčių ir elektrolitų pusiausvyrą reguliuojančių </w:t>
      </w:r>
      <w:r w:rsidR="00CE52D0">
        <w:rPr>
          <w:rFonts w:ascii="Times New Roman" w:hAnsi="Times New Roman" w:cs="Times New Roman"/>
          <w:sz w:val="22"/>
          <w:szCs w:val="22"/>
        </w:rPr>
        <w:t>vaistų</w:t>
      </w:r>
      <w:r w:rsidRPr="000E27EC">
        <w:rPr>
          <w:rFonts w:ascii="Times New Roman" w:hAnsi="Times New Roman" w:cs="Times New Roman"/>
          <w:sz w:val="22"/>
          <w:szCs w:val="22"/>
        </w:rPr>
        <w:t>, gydytojas gali koreguoti jų dozę.</w:t>
      </w:r>
    </w:p>
    <w:p w14:paraId="4503CD86"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rPr>
      </w:pPr>
    </w:p>
    <w:p w14:paraId="3DF06C17" w14:textId="77777777" w:rsidR="00E446F1" w:rsidRDefault="00E446F1" w:rsidP="00E446F1">
      <w:pPr>
        <w:widowControl w:val="0"/>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Jeigu sergate diabetu, gydytojui gali tekti koreguoti Jūsų vartojamo insulino dozę.</w:t>
      </w:r>
    </w:p>
    <w:p w14:paraId="4B6F8319" w14:textId="77777777" w:rsidR="000062BC" w:rsidRDefault="000062BC" w:rsidP="00E446F1">
      <w:pPr>
        <w:widowControl w:val="0"/>
        <w:tabs>
          <w:tab w:val="left" w:pos="720"/>
        </w:tabs>
        <w:spacing w:after="0" w:line="240" w:lineRule="auto"/>
        <w:rPr>
          <w:rFonts w:ascii="Times New Roman" w:eastAsia="Calibri" w:hAnsi="Times New Roman" w:cs="Times New Roman"/>
          <w:sz w:val="22"/>
          <w:szCs w:val="22"/>
        </w:rPr>
      </w:pPr>
    </w:p>
    <w:p w14:paraId="100540A2" w14:textId="77777777" w:rsidR="000062BC" w:rsidRPr="002D2B82" w:rsidRDefault="003A487D" w:rsidP="00E446F1">
      <w:pPr>
        <w:widowControl w:val="0"/>
        <w:tabs>
          <w:tab w:val="left" w:pos="720"/>
        </w:tabs>
        <w:spacing w:after="0" w:line="240" w:lineRule="auto"/>
        <w:rPr>
          <w:rFonts w:ascii="Times New Roman" w:eastAsia="Calibri" w:hAnsi="Times New Roman" w:cs="Times New Roman"/>
          <w:color w:val="000000" w:themeColor="text1"/>
          <w:sz w:val="22"/>
          <w:szCs w:val="22"/>
        </w:rPr>
      </w:pPr>
      <w:r w:rsidRPr="002D2B82">
        <w:rPr>
          <w:rFonts w:ascii="Times New Roman" w:eastAsia="Calibri" w:hAnsi="Times New Roman" w:cs="Times New Roman"/>
          <w:color w:val="000000" w:themeColor="text1"/>
          <w:sz w:val="22"/>
          <w:szCs w:val="22"/>
          <w:lang w:val="en-GB"/>
        </w:rPr>
        <w:t>Jeigu Jums paskirtas radiofarmacinis gydymas liutecio (</w:t>
      </w:r>
      <w:r w:rsidRPr="002D2B82">
        <w:rPr>
          <w:rFonts w:ascii="Times New Roman" w:eastAsia="Calibri" w:hAnsi="Times New Roman" w:cs="Times New Roman"/>
          <w:color w:val="000000" w:themeColor="text1"/>
          <w:sz w:val="22"/>
          <w:szCs w:val="22"/>
          <w:vertAlign w:val="superscript"/>
          <w:lang w:val="en-GB"/>
        </w:rPr>
        <w:t>177</w:t>
      </w:r>
      <w:r w:rsidRPr="002D2B82">
        <w:rPr>
          <w:rFonts w:ascii="Times New Roman" w:eastAsia="Calibri" w:hAnsi="Times New Roman" w:cs="Times New Roman"/>
          <w:color w:val="000000" w:themeColor="text1"/>
          <w:sz w:val="22"/>
          <w:szCs w:val="22"/>
          <w:lang w:val="en-GB"/>
        </w:rPr>
        <w:t>Lu) oksodotreotidu</w:t>
      </w:r>
      <w:r w:rsidRPr="002D2B82">
        <w:rPr>
          <w:rFonts w:ascii="Times New Roman" w:eastAsia="Calibri" w:hAnsi="Times New Roman" w:cs="Times New Roman"/>
          <w:color w:val="000000" w:themeColor="text1"/>
          <w:sz w:val="22"/>
          <w:szCs w:val="22"/>
          <w:lang w:bidi="lt-LT"/>
        </w:rPr>
        <w:t>, Jūsų gydytojas gali trumpam laikotarpiui pristabdyti ir (arba) pritaikyti gydymą Sandostatin.</w:t>
      </w:r>
    </w:p>
    <w:p w14:paraId="348D4591" w14:textId="77777777" w:rsidR="00E446F1" w:rsidRPr="002D2B82" w:rsidRDefault="00E446F1" w:rsidP="00E446F1">
      <w:pPr>
        <w:widowControl w:val="0"/>
        <w:tabs>
          <w:tab w:val="left" w:pos="720"/>
        </w:tabs>
        <w:spacing w:after="0" w:line="240" w:lineRule="auto"/>
        <w:jc w:val="both"/>
        <w:rPr>
          <w:rFonts w:ascii="Times New Roman" w:hAnsi="Times New Roman" w:cs="Times New Roman"/>
          <w:color w:val="000000" w:themeColor="text1"/>
          <w:sz w:val="22"/>
          <w:szCs w:val="22"/>
        </w:rPr>
      </w:pPr>
    </w:p>
    <w:p w14:paraId="2AB2A6CA" w14:textId="77777777" w:rsidR="00E446F1" w:rsidRPr="000E27EC" w:rsidRDefault="00E446F1" w:rsidP="00E446F1">
      <w:pPr>
        <w:keepNext/>
        <w:widowControl w:val="0"/>
        <w:numPr>
          <w:ilvl w:val="12"/>
          <w:numId w:val="0"/>
        </w:numPr>
        <w:tabs>
          <w:tab w:val="left" w:pos="720"/>
        </w:tabs>
        <w:spacing w:after="0" w:line="240" w:lineRule="auto"/>
        <w:ind w:right="-2"/>
        <w:outlineLvl w:val="0"/>
        <w:rPr>
          <w:rFonts w:ascii="Times New Roman" w:eastAsia="Calibri" w:hAnsi="Times New Roman" w:cs="Times New Roman"/>
          <w:sz w:val="22"/>
          <w:szCs w:val="22"/>
        </w:rPr>
      </w:pPr>
      <w:r w:rsidRPr="000E27EC">
        <w:rPr>
          <w:rFonts w:ascii="Times New Roman" w:hAnsi="Times New Roman" w:cs="Times New Roman"/>
          <w:b/>
          <w:sz w:val="22"/>
          <w:szCs w:val="22"/>
        </w:rPr>
        <w:t>Nėštumas ir žindymo laikotarpis</w:t>
      </w:r>
    </w:p>
    <w:p w14:paraId="22B5686E" w14:textId="77777777" w:rsidR="00E446F1" w:rsidRPr="000E27EC" w:rsidRDefault="00E446F1" w:rsidP="00E446F1">
      <w:pPr>
        <w:widowControl w:val="0"/>
        <w:numPr>
          <w:ilvl w:val="12"/>
          <w:numId w:val="0"/>
        </w:numPr>
        <w:tabs>
          <w:tab w:val="left" w:pos="720"/>
        </w:tabs>
        <w:spacing w:after="0" w:line="240" w:lineRule="auto"/>
        <w:ind w:right="-2"/>
        <w:outlineLvl w:val="0"/>
        <w:rPr>
          <w:rFonts w:ascii="Times New Roman" w:eastAsia="Calibri" w:hAnsi="Times New Roman" w:cs="Times New Roman"/>
          <w:sz w:val="22"/>
          <w:szCs w:val="22"/>
        </w:rPr>
      </w:pPr>
      <w:r w:rsidRPr="000E27EC">
        <w:rPr>
          <w:rFonts w:ascii="Times New Roman" w:hAnsi="Times New Roman" w:cs="Times New Roman"/>
          <w:sz w:val="22"/>
          <w:szCs w:val="22"/>
        </w:rPr>
        <w:t>Jeigu esate nėščia, žindote kūdikį, manote, kad galbūt esate nėščia arba planuojate pastoti, tai prieš vartodama šį vaistą pasitarkite su gydytoju.</w:t>
      </w:r>
    </w:p>
    <w:p w14:paraId="2473FDA8" w14:textId="77777777" w:rsidR="00E446F1" w:rsidRPr="000E27EC" w:rsidRDefault="00E446F1" w:rsidP="00E446F1">
      <w:pPr>
        <w:widowControl w:val="0"/>
        <w:numPr>
          <w:ilvl w:val="12"/>
          <w:numId w:val="0"/>
        </w:numPr>
        <w:tabs>
          <w:tab w:val="left" w:pos="720"/>
        </w:tabs>
        <w:spacing w:after="0" w:line="240" w:lineRule="auto"/>
        <w:ind w:right="-2"/>
        <w:outlineLvl w:val="0"/>
        <w:rPr>
          <w:rFonts w:ascii="Times New Roman" w:hAnsi="Times New Roman" w:cs="Times New Roman"/>
          <w:sz w:val="22"/>
          <w:szCs w:val="22"/>
        </w:rPr>
      </w:pPr>
    </w:p>
    <w:p w14:paraId="10D6EAA1"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nėštumo metu galima vartoti tik tuomet, kai neabejotinai būtina.</w:t>
      </w:r>
    </w:p>
    <w:p w14:paraId="1FF3D8BD"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68CE919D"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Gydymo metu vaisingo amžiaus moterys turi naudoti veiksmingą kontracepcijos metodą.</w:t>
      </w:r>
    </w:p>
    <w:p w14:paraId="57B534C3" w14:textId="77777777" w:rsidR="00E446F1" w:rsidRPr="000E27EC" w:rsidRDefault="00E446F1" w:rsidP="00E446F1">
      <w:pPr>
        <w:widowControl w:val="0"/>
        <w:tabs>
          <w:tab w:val="left" w:pos="720"/>
        </w:tabs>
        <w:spacing w:after="0" w:line="240" w:lineRule="auto"/>
        <w:rPr>
          <w:rFonts w:ascii="Times New Roman" w:hAnsi="Times New Roman" w:cs="Times New Roman"/>
          <w:sz w:val="22"/>
          <w:szCs w:val="22"/>
          <w:lang w:val="it-IT"/>
        </w:rPr>
      </w:pPr>
    </w:p>
    <w:p w14:paraId="5DB5F8ED" w14:textId="77777777" w:rsidR="00E446F1" w:rsidRPr="000E27EC" w:rsidRDefault="00E446F1" w:rsidP="00E446F1">
      <w:pPr>
        <w:widowControl w:val="0"/>
        <w:tabs>
          <w:tab w:val="left" w:pos="720"/>
        </w:tabs>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vartojimo metu žindyti negalima. Nėra žinoma, ar Sandostatin išsiskiria į motinos pieną.</w:t>
      </w:r>
    </w:p>
    <w:p w14:paraId="291B7F01" w14:textId="77777777" w:rsidR="00E446F1" w:rsidRPr="000E27EC" w:rsidRDefault="00E446F1" w:rsidP="00E446F1">
      <w:pPr>
        <w:widowControl w:val="0"/>
        <w:numPr>
          <w:ilvl w:val="12"/>
          <w:numId w:val="0"/>
        </w:numPr>
        <w:tabs>
          <w:tab w:val="left" w:pos="720"/>
        </w:tabs>
        <w:spacing w:after="0" w:line="240" w:lineRule="auto"/>
        <w:ind w:right="-2"/>
        <w:outlineLvl w:val="0"/>
        <w:rPr>
          <w:rFonts w:ascii="Times New Roman" w:hAnsi="Times New Roman" w:cs="Times New Roman"/>
          <w:sz w:val="22"/>
          <w:szCs w:val="22"/>
          <w:lang w:val="it-IT"/>
        </w:rPr>
      </w:pPr>
    </w:p>
    <w:p w14:paraId="1EE41A37" w14:textId="77777777" w:rsidR="00E446F1" w:rsidRPr="000E27EC" w:rsidRDefault="00E446F1" w:rsidP="00E446F1">
      <w:pPr>
        <w:keepNext/>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Vairavimas ir mechanizmų valdymas</w:t>
      </w:r>
    </w:p>
    <w:p w14:paraId="2FCE6315"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Sandostatin gebėjimo vairuoti ir valdyti mechanizmus neveikia arba veikia nereikšmingai. Tačiau vartodami Sandostatin galite patirti kai kurių šalutinių reiškinių, pavyzdžiui, galvos skausmą ir nuovargį, kurie gali bloginti Jūsų gebėjimą saugiai vairuoti ir valdyti mechanizmus.</w:t>
      </w:r>
    </w:p>
    <w:p w14:paraId="1BBBF1D3"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lang w:val="it-IT"/>
        </w:rPr>
      </w:pPr>
    </w:p>
    <w:p w14:paraId="1438F349" w14:textId="77777777" w:rsidR="00E446F1" w:rsidRPr="000E27EC" w:rsidRDefault="00E446F1" w:rsidP="00E446F1">
      <w:pPr>
        <w:widowControl w:val="0"/>
        <w:numPr>
          <w:ilvl w:val="12"/>
          <w:numId w:val="0"/>
        </w:numPr>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Sandostatin sudėtyje yra natrio</w:t>
      </w:r>
    </w:p>
    <w:p w14:paraId="67DA03DF" w14:textId="77777777" w:rsidR="00E446F1" w:rsidRPr="000E27EC" w:rsidRDefault="005B74C3" w:rsidP="00E446F1">
      <w:pPr>
        <w:widowControl w:val="0"/>
        <w:numPr>
          <w:ilvl w:val="12"/>
          <w:numId w:val="0"/>
        </w:numPr>
        <w:tabs>
          <w:tab w:val="left" w:pos="720"/>
        </w:tabs>
        <w:spacing w:after="0" w:line="240" w:lineRule="auto"/>
        <w:rPr>
          <w:rFonts w:ascii="Times New Roman" w:eastAsia="Calibri" w:hAnsi="Times New Roman" w:cs="Times New Roman"/>
          <w:sz w:val="22"/>
          <w:szCs w:val="22"/>
          <w:lang w:val="it-IT"/>
        </w:rPr>
      </w:pPr>
      <w:r>
        <w:rPr>
          <w:rFonts w:ascii="Times New Roman" w:hAnsi="Times New Roman" w:cs="Times New Roman"/>
          <w:sz w:val="22"/>
          <w:szCs w:val="22"/>
          <w:lang w:val="it-IT"/>
        </w:rPr>
        <w:t>Š</w:t>
      </w:r>
      <w:r w:rsidR="00641FEA">
        <w:rPr>
          <w:rFonts w:ascii="Times New Roman" w:hAnsi="Times New Roman" w:cs="Times New Roman"/>
          <w:sz w:val="22"/>
          <w:szCs w:val="22"/>
          <w:lang w:val="it-IT"/>
        </w:rPr>
        <w:t xml:space="preserve">io vaisto ampulėje </w:t>
      </w:r>
      <w:r w:rsidR="00E446F1" w:rsidRPr="000E27EC">
        <w:rPr>
          <w:rFonts w:ascii="Times New Roman" w:hAnsi="Times New Roman" w:cs="Times New Roman"/>
          <w:sz w:val="22"/>
          <w:szCs w:val="22"/>
          <w:lang w:val="it-IT"/>
        </w:rPr>
        <w:t>yra mažiau kaip 1 mmol (23 mg) natrio, t.</w:t>
      </w:r>
      <w:r w:rsidR="002B052D">
        <w:rPr>
          <w:rFonts w:ascii="Times New Roman" w:hAnsi="Times New Roman" w:cs="Times New Roman"/>
          <w:sz w:val="22"/>
          <w:szCs w:val="22"/>
          <w:lang w:val="it-IT"/>
        </w:rPr>
        <w:t> </w:t>
      </w:r>
      <w:r w:rsidR="00E446F1" w:rsidRPr="000E27EC">
        <w:rPr>
          <w:rFonts w:ascii="Times New Roman" w:hAnsi="Times New Roman" w:cs="Times New Roman"/>
          <w:sz w:val="22"/>
          <w:szCs w:val="22"/>
          <w:lang w:val="it-IT"/>
        </w:rPr>
        <w:t>y. jis beveik neturi reikšmės.</w:t>
      </w:r>
    </w:p>
    <w:p w14:paraId="31D35F60" w14:textId="77777777" w:rsidR="00E446F1" w:rsidRPr="000E27EC" w:rsidRDefault="00E446F1" w:rsidP="00E446F1">
      <w:pPr>
        <w:widowControl w:val="0"/>
        <w:numPr>
          <w:ilvl w:val="12"/>
          <w:numId w:val="0"/>
        </w:numPr>
        <w:tabs>
          <w:tab w:val="left" w:pos="720"/>
        </w:tabs>
        <w:spacing w:after="0" w:line="240" w:lineRule="auto"/>
        <w:rPr>
          <w:rFonts w:ascii="Times New Roman" w:hAnsi="Times New Roman" w:cs="Times New Roman"/>
          <w:sz w:val="22"/>
          <w:szCs w:val="22"/>
          <w:lang w:val="it-IT"/>
        </w:rPr>
      </w:pPr>
    </w:p>
    <w:p w14:paraId="14FEA5CB" w14:textId="77777777" w:rsidR="00533327" w:rsidRPr="000E27EC" w:rsidRDefault="00533327" w:rsidP="00E446F1">
      <w:pPr>
        <w:widowControl w:val="0"/>
        <w:numPr>
          <w:ilvl w:val="12"/>
          <w:numId w:val="0"/>
        </w:numPr>
        <w:tabs>
          <w:tab w:val="left" w:pos="720"/>
        </w:tabs>
        <w:spacing w:after="0" w:line="240" w:lineRule="auto"/>
        <w:rPr>
          <w:rFonts w:ascii="Times New Roman" w:eastAsia="Calibri" w:hAnsi="Times New Roman" w:cs="Times New Roman"/>
          <w:sz w:val="22"/>
          <w:szCs w:val="22"/>
          <w:lang w:val="it-IT"/>
        </w:rPr>
      </w:pPr>
    </w:p>
    <w:p w14:paraId="082B0DE7" w14:textId="77777777" w:rsidR="00E446F1" w:rsidRPr="000E27EC" w:rsidRDefault="00E446F1" w:rsidP="00E446F1">
      <w:pPr>
        <w:keepNext/>
        <w:widowControl w:val="0"/>
        <w:tabs>
          <w:tab w:val="left" w:pos="567"/>
        </w:tabs>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3.</w:t>
      </w:r>
      <w:r w:rsidRPr="000E27EC">
        <w:rPr>
          <w:rFonts w:ascii="Times New Roman" w:hAnsi="Times New Roman" w:cs="Times New Roman"/>
          <w:b/>
          <w:sz w:val="22"/>
          <w:szCs w:val="22"/>
          <w:lang w:val="it-IT"/>
        </w:rPr>
        <w:tab/>
        <w:t>Kaip vartoti Sandostatin</w:t>
      </w:r>
    </w:p>
    <w:p w14:paraId="76C11063"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679E8C0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Visada vartokite šį vaistą tiksliai, kaip nurodė gydytojas arba vaistininkas. Jeigu abejojate, kreipkitės į gydytoją arba vaistininką.</w:t>
      </w:r>
    </w:p>
    <w:p w14:paraId="486E5E94"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4D2F2789"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Priklausomai nuo gydomos būklės, Sandostatin leidžiamas:</w:t>
      </w:r>
    </w:p>
    <w:p w14:paraId="250C8F75" w14:textId="77777777" w:rsidR="00E446F1" w:rsidRPr="000E27EC" w:rsidRDefault="00E446F1" w:rsidP="00E446F1">
      <w:pPr>
        <w:widowControl w:val="0"/>
        <w:numPr>
          <w:ilvl w:val="0"/>
          <w:numId w:val="16"/>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po oda (poodinės injekcijos būdu) arba</w:t>
      </w:r>
    </w:p>
    <w:p w14:paraId="6DE8496D" w14:textId="77777777" w:rsidR="00E446F1" w:rsidRPr="000E27EC" w:rsidRDefault="00E446F1" w:rsidP="00E446F1">
      <w:pPr>
        <w:widowControl w:val="0"/>
        <w:numPr>
          <w:ilvl w:val="0"/>
          <w:numId w:val="16"/>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į veną lašiniu (infuzijos) būdu. </w:t>
      </w:r>
    </w:p>
    <w:p w14:paraId="0355D735" w14:textId="77777777" w:rsidR="00E446F1" w:rsidRPr="000E27EC" w:rsidRDefault="00E446F1" w:rsidP="00E446F1">
      <w:pPr>
        <w:widowControl w:val="0"/>
        <w:spacing w:after="0" w:line="240" w:lineRule="auto"/>
        <w:ind w:right="-2"/>
        <w:rPr>
          <w:rFonts w:ascii="Times New Roman" w:hAnsi="Times New Roman" w:cs="Times New Roman"/>
          <w:sz w:val="22"/>
          <w:szCs w:val="22"/>
        </w:rPr>
      </w:pPr>
    </w:p>
    <w:p w14:paraId="0F2DC26E"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sergate kepenų ciroze (lėtine kepenų liga), gydytojas gali koreguoti Jūsų vartojamą palaikomąją vaisto dozę.</w:t>
      </w:r>
    </w:p>
    <w:p w14:paraId="6988B5F3"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CB909C3"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Gydytojas arba slaugytoja</w:t>
      </w:r>
      <w:r w:rsidR="008C4550">
        <w:rPr>
          <w:rFonts w:ascii="Times New Roman" w:hAnsi="Times New Roman" w:cs="Times New Roman"/>
          <w:sz w:val="22"/>
          <w:szCs w:val="22"/>
        </w:rPr>
        <w:t>s</w:t>
      </w:r>
      <w:r w:rsidRPr="000E27EC">
        <w:rPr>
          <w:rFonts w:ascii="Times New Roman" w:hAnsi="Times New Roman" w:cs="Times New Roman"/>
          <w:sz w:val="22"/>
          <w:szCs w:val="22"/>
        </w:rPr>
        <w:t xml:space="preserve"> Jums paaiškins, kaip Sandostatin leisti po oda, tačiau vaisto lašinti į veną visada turi tik sveikatos priežiūros specialistas.</w:t>
      </w:r>
    </w:p>
    <w:p w14:paraId="21B8598E"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8505CA7" w14:textId="77777777" w:rsidR="00E446F1" w:rsidRPr="000E27EC" w:rsidRDefault="00E446F1" w:rsidP="00E446F1">
      <w:pPr>
        <w:keepNext/>
        <w:widowControl w:val="0"/>
        <w:numPr>
          <w:ilvl w:val="0"/>
          <w:numId w:val="17"/>
        </w:numPr>
        <w:tabs>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Injekcija po oda</w:t>
      </w:r>
    </w:p>
    <w:p w14:paraId="7DFF31C1"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p>
    <w:p w14:paraId="4224B711"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Vaisto geriausiai leisti po žasto, šlaunų bei pilvo oda.</w:t>
      </w:r>
    </w:p>
    <w:p w14:paraId="158FEE0E"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4DAC519F"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Kad nebūtų dirginama ta pati injekcijos vieta, kiekvieną kartą vaisto leiskite po oda vis į naują sritį. Pacientai, kurie pageidauja vaistą leistis patys, turi būti išsamiai apmokyti gydytojo ar slaugytojo, kaip tai padaryti.</w:t>
      </w:r>
    </w:p>
    <w:p w14:paraId="66C425FD"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0DF243F7"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vaistas laikomas šaldytuve, prieš vartojant rekomenduojama jį sušildyti iki kambario temperatūros. Tuomet bus mažesnė skausmo injekcijos vietoje pasireiškimo galimybė. Vaistą šildyti galima rankose, tačiau jo negalima kaitinti.</w:t>
      </w:r>
    </w:p>
    <w:p w14:paraId="2226012C"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2707AF6E"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 xml:space="preserve">Kai kuriems pacientams injekcijos po oda vietoje pasireiškia skausmas. Paprastai skausmas trunka </w:t>
      </w:r>
      <w:r w:rsidRPr="000E27EC">
        <w:rPr>
          <w:rFonts w:ascii="Times New Roman" w:hAnsi="Times New Roman" w:cs="Times New Roman"/>
          <w:sz w:val="22"/>
          <w:szCs w:val="22"/>
          <w:lang w:val="it-IT"/>
        </w:rPr>
        <w:lastRenderedPageBreak/>
        <w:t>trumpai. Jeigu Jūs pajustumėte tokį skausmą, jį galite sumažinti keletą sekundžių švelniai patrindami injekcijos vietą.</w:t>
      </w:r>
    </w:p>
    <w:p w14:paraId="6CE1DC82"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2FD5675B"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Prieš vartodami Sandostatin ampulę, patikrinkite, ar tirpale nėra dalelių ir ar nepakitusi jo spalva. Nevartokite vaisto, jeigu pastebėsite ką nors neįprasto.</w:t>
      </w:r>
    </w:p>
    <w:p w14:paraId="28EAD8EA"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54904E17"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Siekiant išvengti užterštumo, daugiadozio flakono dangtelio negalima pradurti daugiau kaip 10 kartų.</w:t>
      </w:r>
    </w:p>
    <w:p w14:paraId="3F10B454"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lang w:val="it-IT"/>
        </w:rPr>
      </w:pPr>
    </w:p>
    <w:p w14:paraId="7EE2CA89" w14:textId="77777777" w:rsidR="00E446F1" w:rsidRPr="000E27EC" w:rsidRDefault="00E446F1" w:rsidP="00E446F1">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Ką daryti pavartojus per didelę Sandostatin dozę?</w:t>
      </w:r>
    </w:p>
    <w:p w14:paraId="359147B9"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21794EB0" w14:textId="6B1106CB"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Perdozavimo požymiai yra nereguliarus širdies susitraukimų ritmas, sumažėjęs kraujospūdis, širdies sustojimas, sumažėjęs deguonies patekimas į galvos smegenis, stiprus viršutinės pilvo srities skausmas, odos ir akių baltymų pageltimas, pykinimas, apetito praradimas, viduriavimas, silpnumas, nuovargis, energijos stoka, sumažėjęs kūno svoris, padidėjusi pilvo apimtis, nemalonus pojūtis pilve ir padidėjęs pieno rūgšties kiekis kraujyje</w:t>
      </w:r>
      <w:r w:rsidR="00987843">
        <w:rPr>
          <w:rFonts w:ascii="Times New Roman" w:hAnsi="Times New Roman" w:cs="Times New Roman"/>
          <w:sz w:val="22"/>
          <w:szCs w:val="22"/>
          <w:lang w:val="it-IT"/>
        </w:rPr>
        <w:t xml:space="preserve"> ir sutri</w:t>
      </w:r>
      <w:r w:rsidR="00987843">
        <w:rPr>
          <w:rFonts w:ascii="Times New Roman" w:hAnsi="Times New Roman" w:cs="Times New Roman"/>
          <w:sz w:val="22"/>
          <w:szCs w:val="22"/>
          <w:lang w:val="lt-LT"/>
        </w:rPr>
        <w:t>kęs širdies ritmas</w:t>
      </w:r>
      <w:r w:rsidRPr="000E27EC">
        <w:rPr>
          <w:rFonts w:ascii="Times New Roman" w:hAnsi="Times New Roman" w:cs="Times New Roman"/>
          <w:sz w:val="22"/>
          <w:szCs w:val="22"/>
          <w:lang w:val="it-IT"/>
        </w:rPr>
        <w:t>.</w:t>
      </w:r>
    </w:p>
    <w:p w14:paraId="45CC7E8B"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511F74B6"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 manote, kad pavartojote per didelę vaisto dozę, ir Jums pasireiškė šių požymių, nedelsdami kreipkitės į gydytoją.</w:t>
      </w:r>
    </w:p>
    <w:p w14:paraId="3ECD3845"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61F473D9" w14:textId="77777777" w:rsidR="00E446F1" w:rsidRPr="000E27EC" w:rsidRDefault="00E446F1" w:rsidP="00E446F1">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Pamiršus pavartoti Sandostatin</w:t>
      </w:r>
    </w:p>
    <w:p w14:paraId="7A0D424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Pamiršus pavartoti vaisto dozę, suleiskite ją iškart prisiminę, o toliau vaisto vartokite įprastai. Nebus jokios žalos, jeigu pamiršite pavartoti vaisto dozę, tačiau kol vaisto pradėsite vartoti įprastu režimu, gali laikinai atsinaujinti ligos požymiai.</w:t>
      </w:r>
    </w:p>
    <w:p w14:paraId="69B517C0"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635D1F27"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Neleiskite dvigubos Sandostatin dozės, norėdami kompensuoti praleistą dozę.</w:t>
      </w:r>
    </w:p>
    <w:p w14:paraId="0681056C"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1EB9A314" w14:textId="77777777" w:rsidR="00E446F1" w:rsidRPr="000E27EC" w:rsidRDefault="00E446F1" w:rsidP="00E446F1">
      <w:pPr>
        <w:keepNext/>
        <w:widowControl w:val="0"/>
        <w:numPr>
          <w:ilvl w:val="12"/>
          <w:numId w:val="0"/>
        </w:numPr>
        <w:tabs>
          <w:tab w:val="left" w:pos="720"/>
        </w:tabs>
        <w:spacing w:after="0" w:line="240" w:lineRule="auto"/>
        <w:outlineLvl w:val="0"/>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Nustojus vartoti Sandostatin</w:t>
      </w:r>
    </w:p>
    <w:p w14:paraId="52B1FB80" w14:textId="77777777" w:rsidR="00E446F1" w:rsidRPr="000E27EC" w:rsidRDefault="00E446F1" w:rsidP="00E446F1">
      <w:pPr>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nutrauksite gydymą Sandostatin, Jūsų ligos simptomai gali atsinaujinti. Todėl nenutraukite Sandostatin vartojimo, nebent taip padaryti nurodė gydytojas.</w:t>
      </w:r>
    </w:p>
    <w:p w14:paraId="110A310C" w14:textId="77777777" w:rsidR="00E446F1" w:rsidRPr="000E27EC" w:rsidRDefault="00E446F1" w:rsidP="00E446F1">
      <w:pPr>
        <w:numPr>
          <w:ilvl w:val="12"/>
          <w:numId w:val="0"/>
        </w:numPr>
        <w:tabs>
          <w:tab w:val="left" w:pos="720"/>
        </w:tabs>
        <w:spacing w:after="0" w:line="240" w:lineRule="auto"/>
        <w:ind w:right="-2"/>
        <w:rPr>
          <w:rFonts w:ascii="Times New Roman" w:hAnsi="Times New Roman" w:cs="Times New Roman"/>
          <w:sz w:val="22"/>
          <w:szCs w:val="22"/>
          <w:lang w:val="it-IT"/>
        </w:rPr>
      </w:pPr>
    </w:p>
    <w:p w14:paraId="4F08612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Jeigu kiltų daugiau klausimų dėl šio vaisto vartojimo, kreipkitės į gydytoją, slaugytoją arba vaistininką.</w:t>
      </w:r>
    </w:p>
    <w:p w14:paraId="0F837C5F"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4246F744"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3788D2BB" w14:textId="77777777" w:rsidR="00E446F1" w:rsidRPr="000E27EC" w:rsidRDefault="00E446F1" w:rsidP="00E446F1">
      <w:pPr>
        <w:keepNext/>
        <w:widowControl w:val="0"/>
        <w:numPr>
          <w:ilvl w:val="12"/>
          <w:numId w:val="0"/>
        </w:numPr>
        <w:spacing w:after="0" w:line="240" w:lineRule="auto"/>
        <w:ind w:left="567" w:hanging="567"/>
        <w:rPr>
          <w:rFonts w:ascii="Times New Roman" w:eastAsia="Calibri" w:hAnsi="Times New Roman" w:cs="Times New Roman"/>
          <w:sz w:val="22"/>
          <w:szCs w:val="22"/>
          <w:lang w:val="it-IT"/>
        </w:rPr>
      </w:pPr>
      <w:r w:rsidRPr="000E27EC">
        <w:rPr>
          <w:rFonts w:ascii="Times New Roman" w:hAnsi="Times New Roman" w:cs="Times New Roman"/>
          <w:b/>
          <w:sz w:val="22"/>
          <w:szCs w:val="22"/>
          <w:lang w:val="it-IT"/>
        </w:rPr>
        <w:t>4.</w:t>
      </w:r>
      <w:r w:rsidRPr="000E27EC">
        <w:rPr>
          <w:rFonts w:ascii="Times New Roman" w:hAnsi="Times New Roman" w:cs="Times New Roman"/>
          <w:b/>
          <w:sz w:val="22"/>
          <w:szCs w:val="22"/>
          <w:lang w:val="it-IT"/>
        </w:rPr>
        <w:tab/>
        <w:t>Galimas šalutinis poveikis</w:t>
      </w:r>
    </w:p>
    <w:p w14:paraId="17092069" w14:textId="77777777" w:rsidR="00E446F1" w:rsidRPr="000E27EC" w:rsidRDefault="00E446F1" w:rsidP="00E446F1">
      <w:pPr>
        <w:keepNext/>
        <w:widowControl w:val="0"/>
        <w:numPr>
          <w:ilvl w:val="12"/>
          <w:numId w:val="0"/>
        </w:numPr>
        <w:tabs>
          <w:tab w:val="left" w:pos="720"/>
        </w:tabs>
        <w:spacing w:after="0" w:line="240" w:lineRule="auto"/>
        <w:rPr>
          <w:rFonts w:ascii="Times New Roman" w:hAnsi="Times New Roman" w:cs="Times New Roman"/>
          <w:sz w:val="22"/>
          <w:szCs w:val="22"/>
          <w:lang w:val="it-IT"/>
        </w:rPr>
      </w:pPr>
    </w:p>
    <w:p w14:paraId="542D12C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Šis vaistas, kaip ir visi kiti, gali sukelti šalutinį poveikį, nors jis pasireiškia ne visiems žmonėms.</w:t>
      </w:r>
    </w:p>
    <w:p w14:paraId="6035D300"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it-IT"/>
        </w:rPr>
      </w:pPr>
    </w:p>
    <w:p w14:paraId="0BEC9320"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b/>
          <w:sz w:val="22"/>
          <w:szCs w:val="22"/>
          <w:lang w:val="it-IT"/>
        </w:rPr>
      </w:pPr>
      <w:r w:rsidRPr="000E27EC">
        <w:rPr>
          <w:rFonts w:ascii="Times New Roman" w:hAnsi="Times New Roman" w:cs="Times New Roman"/>
          <w:b/>
          <w:sz w:val="22"/>
          <w:szCs w:val="22"/>
          <w:lang w:val="it-IT"/>
        </w:rPr>
        <w:t>Kai kurie šalutiniai reiškiniai gali būti sunkūs. Jeigu Jums pasireikštų bet kurių toliau išvardytų reiškinių, nedelsdami kreipkitės į gydytoją:</w:t>
      </w:r>
    </w:p>
    <w:p w14:paraId="0DD4EA3A"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lang w:val="it-IT"/>
        </w:rPr>
      </w:pPr>
    </w:p>
    <w:p w14:paraId="3C2A5E01" w14:textId="4C86809B" w:rsidR="00E446F1" w:rsidRPr="000E27EC" w:rsidRDefault="00E446F1" w:rsidP="00E446F1">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 xml:space="preserve">Labai </w:t>
      </w:r>
      <w:r w:rsidR="00B77EFD" w:rsidRPr="000E27EC">
        <w:rPr>
          <w:rFonts w:ascii="Times New Roman" w:hAnsi="Times New Roman" w:cs="Times New Roman"/>
          <w:b/>
          <w:sz w:val="22"/>
          <w:szCs w:val="22"/>
          <w:lang w:val="it-IT"/>
        </w:rPr>
        <w:t>dažn</w:t>
      </w:r>
      <w:r w:rsidR="00B77EFD">
        <w:rPr>
          <w:rFonts w:ascii="Times New Roman" w:hAnsi="Times New Roman" w:cs="Times New Roman"/>
          <w:b/>
          <w:sz w:val="22"/>
          <w:szCs w:val="22"/>
          <w:lang w:val="it-IT"/>
        </w:rPr>
        <w:t>as</w:t>
      </w:r>
      <w:r w:rsidR="00B77EFD" w:rsidRPr="000E27EC">
        <w:rPr>
          <w:rFonts w:ascii="Times New Roman" w:hAnsi="Times New Roman" w:cs="Times New Roman"/>
          <w:b/>
          <w:sz w:val="22"/>
          <w:szCs w:val="22"/>
          <w:lang w:val="it-IT"/>
        </w:rPr>
        <w:t xml:space="preserve"> </w:t>
      </w:r>
      <w:r w:rsidRPr="000E27EC">
        <w:rPr>
          <w:rFonts w:ascii="Times New Roman" w:hAnsi="Times New Roman" w:cs="Times New Roman"/>
          <w:sz w:val="22"/>
          <w:szCs w:val="22"/>
          <w:lang w:val="it-IT"/>
        </w:rPr>
        <w:t>(gali pasireikšti da</w:t>
      </w:r>
      <w:r w:rsidR="00B77EFD">
        <w:rPr>
          <w:rFonts w:ascii="Times New Roman" w:hAnsi="Times New Roman" w:cs="Times New Roman"/>
          <w:sz w:val="22"/>
          <w:szCs w:val="22"/>
          <w:lang w:val="it-IT"/>
        </w:rPr>
        <w:t>žniau</w:t>
      </w:r>
      <w:r w:rsidRPr="000E27EC">
        <w:rPr>
          <w:rFonts w:ascii="Times New Roman" w:hAnsi="Times New Roman" w:cs="Times New Roman"/>
          <w:sz w:val="22"/>
          <w:szCs w:val="22"/>
          <w:lang w:val="it-IT"/>
        </w:rPr>
        <w:t xml:space="preserve"> kaip 1 asmeniui iš 10):</w:t>
      </w:r>
    </w:p>
    <w:p w14:paraId="40652946" w14:textId="77777777" w:rsidR="00E446F1" w:rsidRPr="000E27EC" w:rsidRDefault="00E446F1" w:rsidP="00E446F1">
      <w:pPr>
        <w:widowControl w:val="0"/>
        <w:numPr>
          <w:ilvl w:val="0"/>
          <w:numId w:val="18"/>
        </w:numPr>
        <w:tabs>
          <w:tab w:val="clear" w:pos="357"/>
          <w:tab w:val="left" w:pos="567"/>
          <w:tab w:val="left" w:pos="720"/>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tulžies akmenų atsiradimas ir dėl to pasireiškiantis staigus nugaros skausmas;</w:t>
      </w:r>
    </w:p>
    <w:p w14:paraId="03ED4544" w14:textId="77777777" w:rsidR="00E446F1" w:rsidRPr="000E27EC" w:rsidRDefault="00E446F1" w:rsidP="00E446F1">
      <w:pPr>
        <w:widowControl w:val="0"/>
        <w:numPr>
          <w:ilvl w:val="0"/>
          <w:numId w:val="18"/>
        </w:numPr>
        <w:tabs>
          <w:tab w:val="clear" w:pos="357"/>
          <w:tab w:val="left" w:pos="567"/>
          <w:tab w:val="left" w:pos="720"/>
        </w:tabs>
        <w:spacing w:after="0" w:line="240" w:lineRule="auto"/>
        <w:ind w:left="567" w:right="-2" w:hanging="567"/>
        <w:rPr>
          <w:rFonts w:ascii="Times New Roman" w:eastAsia="Calibri" w:hAnsi="Times New Roman" w:cs="Times New Roman"/>
          <w:sz w:val="22"/>
          <w:szCs w:val="22"/>
          <w:lang w:val="de-DE"/>
        </w:rPr>
      </w:pPr>
      <w:r w:rsidRPr="000E27EC">
        <w:rPr>
          <w:rFonts w:ascii="Times New Roman" w:hAnsi="Times New Roman" w:cs="Times New Roman"/>
          <w:sz w:val="22"/>
          <w:szCs w:val="22"/>
          <w:lang w:val="de-DE"/>
        </w:rPr>
        <w:t>per didelis cukraus kiekis kraujyje.</w:t>
      </w:r>
    </w:p>
    <w:p w14:paraId="4086E538"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lang w:val="de-DE"/>
        </w:rPr>
      </w:pPr>
    </w:p>
    <w:p w14:paraId="121472EF" w14:textId="3218604F" w:rsidR="00E446F1" w:rsidRPr="000E27EC" w:rsidRDefault="00B77EFD" w:rsidP="00E446F1">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Dažn</w:t>
      </w:r>
      <w:r>
        <w:rPr>
          <w:rFonts w:ascii="Times New Roman" w:hAnsi="Times New Roman" w:cs="Times New Roman"/>
          <w:b/>
          <w:sz w:val="22"/>
          <w:szCs w:val="22"/>
          <w:lang w:val="it-IT"/>
        </w:rPr>
        <w:t xml:space="preserve">as </w:t>
      </w:r>
      <w:r w:rsidR="00E446F1" w:rsidRPr="000E27EC">
        <w:rPr>
          <w:rFonts w:ascii="Times New Roman" w:hAnsi="Times New Roman" w:cs="Times New Roman"/>
          <w:sz w:val="22"/>
          <w:szCs w:val="22"/>
          <w:lang w:val="it-IT"/>
        </w:rPr>
        <w:t xml:space="preserve">(gali pasireikšti </w:t>
      </w:r>
      <w:r>
        <w:rPr>
          <w:rFonts w:ascii="Times New Roman" w:hAnsi="Times New Roman" w:cs="Times New Roman"/>
          <w:sz w:val="22"/>
          <w:szCs w:val="22"/>
          <w:lang w:val="it-IT"/>
        </w:rPr>
        <w:t>rečiau</w:t>
      </w:r>
      <w:r w:rsidR="00E446F1" w:rsidRPr="000E27EC">
        <w:rPr>
          <w:rFonts w:ascii="Times New Roman" w:hAnsi="Times New Roman" w:cs="Times New Roman"/>
          <w:sz w:val="22"/>
          <w:szCs w:val="22"/>
          <w:lang w:val="it-IT"/>
        </w:rPr>
        <w:t xml:space="preserve"> kaip 1 asmeniui iš 10):</w:t>
      </w:r>
    </w:p>
    <w:p w14:paraId="3589E948"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nepakankama skydliaukės veikla (hipotirozė), dėl ko pakinta širdies susitraukimų greitis, apetitas ir kūno svoris; atsiranda nuovargis, šalčio pojūtis arba priekinės kaklo dalies patinimas;</w:t>
      </w:r>
    </w:p>
    <w:p w14:paraId="06C73A50"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skydliaukės veiklos tyrimų rodmenų pokyčiai;</w:t>
      </w:r>
    </w:p>
    <w:p w14:paraId="2414C9A9"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lang w:val="it-IT"/>
        </w:rPr>
      </w:pPr>
      <w:r w:rsidRPr="000E27EC">
        <w:rPr>
          <w:rFonts w:ascii="Times New Roman" w:hAnsi="Times New Roman" w:cs="Times New Roman"/>
          <w:sz w:val="22"/>
          <w:szCs w:val="22"/>
          <w:lang w:val="it-IT"/>
        </w:rPr>
        <w:t>tulžies pūslės uždegimas (cholecistitas), kurio simptomais gali būti viršutinės dešiniosios pilvo srities skausmas, karščiavimas, pykinimas, odos ir akių pageltimas (gelta);</w:t>
      </w:r>
    </w:p>
    <w:p w14:paraId="4C890D85"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lang w:val="de-DE"/>
        </w:rPr>
      </w:pPr>
      <w:r w:rsidRPr="000E27EC">
        <w:rPr>
          <w:rFonts w:ascii="Times New Roman" w:hAnsi="Times New Roman" w:cs="Times New Roman"/>
          <w:sz w:val="22"/>
          <w:szCs w:val="22"/>
          <w:lang w:val="de-DE"/>
        </w:rPr>
        <w:t>per mažas cukraus kiekis kraujyje;</w:t>
      </w:r>
    </w:p>
    <w:p w14:paraId="40D878D7"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sutrikęs gliukozės toleravimas;</w:t>
      </w:r>
    </w:p>
    <w:p w14:paraId="4BA09B8F"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retas širdies plakimas.</w:t>
      </w:r>
    </w:p>
    <w:p w14:paraId="6B7C936A"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25303AE0" w14:textId="0F03A96A" w:rsidR="00E446F1" w:rsidRPr="000E27EC" w:rsidRDefault="00B77EFD" w:rsidP="00E446F1">
      <w:pPr>
        <w:keepNext/>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Nedažn</w:t>
      </w:r>
      <w:r>
        <w:rPr>
          <w:rFonts w:ascii="Times New Roman" w:hAnsi="Times New Roman" w:cs="Times New Roman"/>
          <w:b/>
          <w:sz w:val="22"/>
          <w:szCs w:val="22"/>
        </w:rPr>
        <w:t>as</w:t>
      </w:r>
      <w:r w:rsidRPr="000E27EC">
        <w:rPr>
          <w:rFonts w:ascii="Times New Roman" w:hAnsi="Times New Roman" w:cs="Times New Roman"/>
          <w:b/>
          <w:sz w:val="22"/>
          <w:szCs w:val="22"/>
        </w:rPr>
        <w:t xml:space="preserve"> </w:t>
      </w:r>
      <w:r w:rsidR="00E446F1" w:rsidRPr="000E27EC">
        <w:rPr>
          <w:rFonts w:ascii="Times New Roman" w:hAnsi="Times New Roman" w:cs="Times New Roman"/>
          <w:sz w:val="22"/>
          <w:szCs w:val="22"/>
        </w:rPr>
        <w:t xml:space="preserve">(gali pasireikšti </w:t>
      </w:r>
      <w:r>
        <w:rPr>
          <w:rFonts w:ascii="Times New Roman" w:hAnsi="Times New Roman" w:cs="Times New Roman"/>
          <w:sz w:val="22"/>
          <w:szCs w:val="22"/>
        </w:rPr>
        <w:t>rečiau</w:t>
      </w:r>
      <w:r w:rsidRPr="000E27EC">
        <w:rPr>
          <w:rFonts w:ascii="Times New Roman" w:hAnsi="Times New Roman" w:cs="Times New Roman"/>
          <w:sz w:val="22"/>
          <w:szCs w:val="22"/>
        </w:rPr>
        <w:t xml:space="preserve"> </w:t>
      </w:r>
      <w:r w:rsidR="00E446F1" w:rsidRPr="000E27EC">
        <w:rPr>
          <w:rFonts w:ascii="Times New Roman" w:hAnsi="Times New Roman" w:cs="Times New Roman"/>
          <w:sz w:val="22"/>
          <w:szCs w:val="22"/>
        </w:rPr>
        <w:t>kaip 1 asmeniui iš 100):</w:t>
      </w:r>
    </w:p>
    <w:p w14:paraId="464F7678"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troškulys, sumažėjęs išskiriamo šlapimo kiekis, tamsios spalvos šlapimas, sausa paraudusi oda;</w:t>
      </w:r>
    </w:p>
    <w:p w14:paraId="7180C44A"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greitas širdies plakimas.</w:t>
      </w:r>
    </w:p>
    <w:p w14:paraId="73F73DE5"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6F0E737F"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Kitas sunkus šalutinis poveikis</w:t>
      </w:r>
    </w:p>
    <w:p w14:paraId="1871D257"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padidėjusio jautrumo (alerginė) reakcija, įskaitant odos </w:t>
      </w:r>
      <w:r w:rsidR="00E32B96">
        <w:rPr>
          <w:rFonts w:ascii="Times New Roman" w:hAnsi="Times New Roman" w:cs="Times New Roman"/>
          <w:sz w:val="22"/>
          <w:szCs w:val="22"/>
        </w:rPr>
        <w:t>iš</w:t>
      </w:r>
      <w:r w:rsidRPr="000E27EC">
        <w:rPr>
          <w:rFonts w:ascii="Times New Roman" w:hAnsi="Times New Roman" w:cs="Times New Roman"/>
          <w:sz w:val="22"/>
          <w:szCs w:val="22"/>
        </w:rPr>
        <w:t>bėrimą;</w:t>
      </w:r>
    </w:p>
    <w:p w14:paraId="619F092D"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alerginės reakcijos tipas (anafilaksija), kuris gali sukelti </w:t>
      </w:r>
      <w:r w:rsidRPr="000E27EC">
        <w:rPr>
          <w:rFonts w:ascii="Times New Roman" w:hAnsi="Times New Roman" w:cs="Times New Roman"/>
          <w:sz w:val="22"/>
          <w:szCs w:val="22"/>
          <w:lang w:val="lt-LT"/>
        </w:rPr>
        <w:t>rijimo ar kvėpavimo sunkumą, patinimą ir dilgčiojimą, galimą kraujospūdžio sumažėjimą kartu su galvos sukimusi arba sąmonės netekimu</w:t>
      </w:r>
      <w:r w:rsidRPr="000E27EC">
        <w:rPr>
          <w:rFonts w:ascii="Times New Roman" w:hAnsi="Times New Roman" w:cs="Times New Roman"/>
          <w:sz w:val="22"/>
          <w:szCs w:val="22"/>
        </w:rPr>
        <w:t>;</w:t>
      </w:r>
    </w:p>
    <w:p w14:paraId="2D2FFEAE"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kasos liaukos uždegimas (pankreatitas), kurio simptomais gali būti ūmus viršutinės pilvo srities skausmas, pykinimas, vėmimas, viduriavimas;</w:t>
      </w:r>
    </w:p>
    <w:p w14:paraId="254A324D"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kepenų uždegimas (hepatitas), kurio simptomai gali būti odos ir akių pageltimas (gelta), pykinimas, vėmimas, apetito nebuvimas, bendras negalavimas, niežulys, šviesios spalvos šlapimas;</w:t>
      </w:r>
    </w:p>
    <w:p w14:paraId="2A788CB0"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nereguliarus širdies plakimas;</w:t>
      </w:r>
    </w:p>
    <w:p w14:paraId="6DBA182C"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lang w:val="lt-LT"/>
        </w:rPr>
        <w:t>mažas trombocitų kiekis kraujyje; tai gali sukelti padidėjusį kraujavimą ar mėlynes</w:t>
      </w:r>
      <w:r w:rsidRPr="000E27EC">
        <w:rPr>
          <w:rFonts w:ascii="Times New Roman" w:hAnsi="Times New Roman" w:cs="Times New Roman"/>
          <w:sz w:val="22"/>
          <w:szCs w:val="22"/>
        </w:rPr>
        <w:t>.</w:t>
      </w:r>
    </w:p>
    <w:p w14:paraId="173E40D4"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4A49CDC5"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Jums pasireiškė bet kuris iš anksčiau nurodytų šalutinių poveikių, nedelsdami kreipkitės į gydytoją.</w:t>
      </w:r>
    </w:p>
    <w:p w14:paraId="0C67E6B8"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090AE6C1" w14:textId="77777777" w:rsidR="00E446F1" w:rsidRPr="000E27EC" w:rsidRDefault="00E446F1" w:rsidP="00E446F1">
      <w:pPr>
        <w:keepNext/>
        <w:widowControl w:val="0"/>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Kitas šalutinis poveikis:</w:t>
      </w:r>
    </w:p>
    <w:p w14:paraId="02433FA7" w14:textId="77777777" w:rsidR="00E446F1" w:rsidRPr="000E27EC" w:rsidRDefault="00E446F1" w:rsidP="00E446F1">
      <w:pPr>
        <w:keepNext/>
        <w:widowControl w:val="0"/>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Jums pasireikštų bet kuris toliau nurodytas šalutinis poveikis, pasakykite apie tai gydytojui, vaistininkui arba slaugytoj</w:t>
      </w:r>
      <w:r w:rsidR="008C4550">
        <w:rPr>
          <w:rFonts w:ascii="Times New Roman" w:hAnsi="Times New Roman" w:cs="Times New Roman"/>
          <w:sz w:val="22"/>
          <w:szCs w:val="22"/>
        </w:rPr>
        <w:t>u</w:t>
      </w:r>
      <w:r w:rsidRPr="000E27EC">
        <w:rPr>
          <w:rFonts w:ascii="Times New Roman" w:hAnsi="Times New Roman" w:cs="Times New Roman"/>
          <w:sz w:val="22"/>
          <w:szCs w:val="22"/>
        </w:rPr>
        <w:t>i. Paprastai šie reiškiniai yra nesunkūs ir praeina savaime tęsiant gydymą.</w:t>
      </w:r>
    </w:p>
    <w:p w14:paraId="68ED8C5C"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p>
    <w:p w14:paraId="7C2E8315" w14:textId="48D2D626" w:rsidR="00E446F1" w:rsidRPr="000E27EC" w:rsidRDefault="00E446F1" w:rsidP="00E446F1">
      <w:pPr>
        <w:keepNext/>
        <w:widowControl w:val="0"/>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b/>
          <w:sz w:val="22"/>
          <w:szCs w:val="22"/>
        </w:rPr>
        <w:t xml:space="preserve">Labai </w:t>
      </w:r>
      <w:r w:rsidR="00B77EFD" w:rsidRPr="000E27EC">
        <w:rPr>
          <w:rFonts w:ascii="Times New Roman" w:hAnsi="Times New Roman" w:cs="Times New Roman"/>
          <w:b/>
          <w:sz w:val="22"/>
          <w:szCs w:val="22"/>
        </w:rPr>
        <w:t>dažn</w:t>
      </w:r>
      <w:r w:rsidR="00B77EFD">
        <w:rPr>
          <w:rFonts w:ascii="Times New Roman" w:hAnsi="Times New Roman" w:cs="Times New Roman"/>
          <w:b/>
          <w:sz w:val="22"/>
          <w:szCs w:val="22"/>
        </w:rPr>
        <w:t>as</w:t>
      </w:r>
      <w:r w:rsidR="00B77EFD" w:rsidRPr="000E27EC">
        <w:rPr>
          <w:rFonts w:ascii="Times New Roman" w:hAnsi="Times New Roman" w:cs="Times New Roman"/>
          <w:b/>
          <w:sz w:val="22"/>
          <w:szCs w:val="22"/>
        </w:rPr>
        <w:t xml:space="preserve"> </w:t>
      </w:r>
      <w:r w:rsidRPr="000E27EC">
        <w:rPr>
          <w:rFonts w:ascii="Times New Roman" w:hAnsi="Times New Roman" w:cs="Times New Roman"/>
          <w:sz w:val="22"/>
          <w:szCs w:val="22"/>
        </w:rPr>
        <w:t xml:space="preserve">(gali pasireikšti </w:t>
      </w:r>
      <w:r w:rsidR="00B77EFD">
        <w:rPr>
          <w:rFonts w:ascii="Times New Roman" w:hAnsi="Times New Roman" w:cs="Times New Roman"/>
          <w:sz w:val="22"/>
          <w:szCs w:val="22"/>
        </w:rPr>
        <w:t>dažniau</w:t>
      </w:r>
      <w:r w:rsidR="00B77EFD" w:rsidRPr="000E27EC">
        <w:rPr>
          <w:rFonts w:ascii="Times New Roman" w:hAnsi="Times New Roman" w:cs="Times New Roman"/>
          <w:sz w:val="22"/>
          <w:szCs w:val="22"/>
        </w:rPr>
        <w:t xml:space="preserve"> </w:t>
      </w:r>
      <w:r w:rsidRPr="000E27EC">
        <w:rPr>
          <w:rFonts w:ascii="Times New Roman" w:hAnsi="Times New Roman" w:cs="Times New Roman"/>
          <w:sz w:val="22"/>
          <w:szCs w:val="22"/>
        </w:rPr>
        <w:t>kaip 1 asmeniui iš 10):</w:t>
      </w:r>
    </w:p>
    <w:p w14:paraId="1F67AF6C"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viduriavimas;</w:t>
      </w:r>
    </w:p>
    <w:p w14:paraId="67C18033"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pilvo skausmas;</w:t>
      </w:r>
    </w:p>
    <w:p w14:paraId="056006B0"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pykinimas;</w:t>
      </w:r>
    </w:p>
    <w:p w14:paraId="4FED3F77"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vidurių užkietėjimas;</w:t>
      </w:r>
    </w:p>
    <w:p w14:paraId="5BA8948A"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vidurių pūtimas (dujų susikaupimas);</w:t>
      </w:r>
    </w:p>
    <w:p w14:paraId="6D5769F1"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galvos skausmas;</w:t>
      </w:r>
    </w:p>
    <w:p w14:paraId="4D882D66" w14:textId="77777777" w:rsidR="00E446F1" w:rsidRPr="000E27EC" w:rsidRDefault="00E446F1" w:rsidP="00E446F1">
      <w:pPr>
        <w:widowControl w:val="0"/>
        <w:numPr>
          <w:ilvl w:val="0"/>
          <w:numId w:val="18"/>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injekcijos vietos skausmas.</w:t>
      </w:r>
    </w:p>
    <w:p w14:paraId="7C427CCA"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1DBA5050" w14:textId="2FF25D4A" w:rsidR="00E446F1" w:rsidRPr="000E27EC" w:rsidRDefault="00B77EFD" w:rsidP="00E446F1">
      <w:pPr>
        <w:keepNext/>
        <w:widowControl w:val="0"/>
        <w:tabs>
          <w:tab w:val="left" w:pos="720"/>
        </w:tabs>
        <w:spacing w:after="0" w:line="240" w:lineRule="auto"/>
        <w:rPr>
          <w:rFonts w:ascii="Times New Roman" w:eastAsia="Calibri" w:hAnsi="Times New Roman" w:cs="Times New Roman"/>
          <w:i/>
          <w:sz w:val="22"/>
          <w:szCs w:val="22"/>
          <w:lang w:val="it-IT"/>
        </w:rPr>
      </w:pPr>
      <w:r w:rsidRPr="000E27EC">
        <w:rPr>
          <w:rFonts w:ascii="Times New Roman" w:hAnsi="Times New Roman" w:cs="Times New Roman"/>
          <w:b/>
          <w:sz w:val="22"/>
          <w:szCs w:val="22"/>
          <w:lang w:val="it-IT"/>
        </w:rPr>
        <w:t>Dažn</w:t>
      </w:r>
      <w:r>
        <w:rPr>
          <w:rFonts w:ascii="Times New Roman" w:hAnsi="Times New Roman" w:cs="Times New Roman"/>
          <w:b/>
          <w:sz w:val="22"/>
          <w:szCs w:val="22"/>
          <w:lang w:val="it-IT"/>
        </w:rPr>
        <w:t>as</w:t>
      </w:r>
      <w:r w:rsidRPr="000E27EC">
        <w:rPr>
          <w:rFonts w:ascii="Times New Roman" w:hAnsi="Times New Roman" w:cs="Times New Roman"/>
          <w:b/>
          <w:sz w:val="22"/>
          <w:szCs w:val="22"/>
          <w:lang w:val="it-IT"/>
        </w:rPr>
        <w:t xml:space="preserve"> </w:t>
      </w:r>
      <w:r w:rsidR="00E446F1" w:rsidRPr="000E27EC">
        <w:rPr>
          <w:rFonts w:ascii="Times New Roman" w:hAnsi="Times New Roman" w:cs="Times New Roman"/>
          <w:sz w:val="22"/>
          <w:szCs w:val="22"/>
          <w:lang w:val="it-IT"/>
        </w:rPr>
        <w:t xml:space="preserve">(gali pasireikšti </w:t>
      </w:r>
      <w:r>
        <w:rPr>
          <w:rFonts w:ascii="Times New Roman" w:hAnsi="Times New Roman" w:cs="Times New Roman"/>
          <w:sz w:val="22"/>
          <w:szCs w:val="22"/>
          <w:lang w:val="it-IT"/>
        </w:rPr>
        <w:t>rečiau</w:t>
      </w:r>
      <w:r w:rsidR="00E446F1" w:rsidRPr="000E27EC">
        <w:rPr>
          <w:rFonts w:ascii="Times New Roman" w:hAnsi="Times New Roman" w:cs="Times New Roman"/>
          <w:sz w:val="22"/>
          <w:szCs w:val="22"/>
          <w:lang w:val="it-IT"/>
        </w:rPr>
        <w:t xml:space="preserve"> kaip 1 asmeniui iš 10):</w:t>
      </w:r>
    </w:p>
    <w:p w14:paraId="0FA7DB84"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po valgio atsirandantis diskomfortas pilve (dispepsija);</w:t>
      </w:r>
    </w:p>
    <w:p w14:paraId="359D1140"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vėmimas;</w:t>
      </w:r>
    </w:p>
    <w:p w14:paraId="65AB83DD"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skrandžio pilnumo pojūtis;</w:t>
      </w:r>
    </w:p>
    <w:p w14:paraId="7FEE974A"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riebios išmatos;</w:t>
      </w:r>
    </w:p>
    <w:p w14:paraId="7F2EE232"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laisvi viduriai;</w:t>
      </w:r>
    </w:p>
    <w:p w14:paraId="44A8A328"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išmatų spalvos pakitimas;</w:t>
      </w:r>
    </w:p>
    <w:p w14:paraId="14880D46"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galvos sukimasis;</w:t>
      </w:r>
    </w:p>
    <w:p w14:paraId="427204CE"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apetito nebuvimas;</w:t>
      </w:r>
    </w:p>
    <w:p w14:paraId="2B2F2C87"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kepenų funkcijos tyrimų rodmenų pokyčiai;</w:t>
      </w:r>
    </w:p>
    <w:p w14:paraId="4BCBFAC7"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nuplikimas;</w:t>
      </w:r>
    </w:p>
    <w:p w14:paraId="6B6085EC"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dusulys;</w:t>
      </w:r>
    </w:p>
    <w:p w14:paraId="70FEA292" w14:textId="77777777" w:rsidR="00E446F1" w:rsidRPr="000E27EC" w:rsidRDefault="00E446F1" w:rsidP="00E446F1">
      <w:pPr>
        <w:widowControl w:val="0"/>
        <w:numPr>
          <w:ilvl w:val="0"/>
          <w:numId w:val="19"/>
        </w:numPr>
        <w:tabs>
          <w:tab w:val="clear" w:pos="357"/>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silpnumas.</w:t>
      </w:r>
    </w:p>
    <w:p w14:paraId="73AFB458"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36A6972B"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Jeigu Jums pasireiškė bet kuris iš anksčiau nurodytų šalutinių poveikių, apie tai pasakykite gydytojui, slaugytoj</w:t>
      </w:r>
      <w:r w:rsidR="008C4550">
        <w:rPr>
          <w:rFonts w:ascii="Times New Roman" w:hAnsi="Times New Roman" w:cs="Times New Roman"/>
          <w:sz w:val="22"/>
          <w:szCs w:val="22"/>
        </w:rPr>
        <w:t>u</w:t>
      </w:r>
      <w:r w:rsidRPr="000E27EC">
        <w:rPr>
          <w:rFonts w:ascii="Times New Roman" w:hAnsi="Times New Roman" w:cs="Times New Roman"/>
          <w:sz w:val="22"/>
          <w:szCs w:val="22"/>
        </w:rPr>
        <w:t>i arba vaistininkui.</w:t>
      </w:r>
    </w:p>
    <w:p w14:paraId="3002288F"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5DDACAEB"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Kai kuriems pacientams injekcijos po oda vietoje pasireiškia skausmas. Paprastai skausmas trunka trumpai. Jeigu Jūs pajustumėte tokį skausmą, jį galite sumažinti keletą sekundžių švelniai patrindami injekcijos vietą.</w:t>
      </w:r>
    </w:p>
    <w:p w14:paraId="2DA77276"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rPr>
      </w:pPr>
    </w:p>
    <w:p w14:paraId="0BDEF196"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Jeigu Sandostatin leidžiamas po oda, šalutinio poveikio virškinimo traktui pasireiškimo galimybę galite sumažinti, jeigu nevalgysite prieš atliekant injekciją, jos metu ir tam tikrą laiką po jos. Todėl rekomenduojama Sandostatin leisti tarp valgymų arba einant miegoti.</w:t>
      </w:r>
    </w:p>
    <w:p w14:paraId="02E6BD5F" w14:textId="77777777" w:rsidR="00E446F1" w:rsidRPr="000E27EC" w:rsidRDefault="00E446F1" w:rsidP="00E446F1">
      <w:pPr>
        <w:widowControl w:val="0"/>
        <w:tabs>
          <w:tab w:val="left" w:pos="720"/>
        </w:tabs>
        <w:autoSpaceDE w:val="0"/>
        <w:autoSpaceDN w:val="0"/>
        <w:adjustRightInd w:val="0"/>
        <w:spacing w:after="0" w:line="240" w:lineRule="auto"/>
        <w:rPr>
          <w:rFonts w:ascii="Times New Roman" w:hAnsi="Times New Roman" w:cs="Times New Roman"/>
          <w:sz w:val="22"/>
          <w:szCs w:val="22"/>
        </w:rPr>
      </w:pPr>
    </w:p>
    <w:p w14:paraId="68FB89A0" w14:textId="77777777" w:rsidR="00E446F1" w:rsidRPr="000E27EC" w:rsidRDefault="00E446F1" w:rsidP="00E446F1">
      <w:pPr>
        <w:keepNext/>
        <w:widowControl w:val="0"/>
        <w:numPr>
          <w:ilvl w:val="12"/>
          <w:numId w:val="0"/>
        </w:numPr>
        <w:tabs>
          <w:tab w:val="left" w:pos="720"/>
        </w:tabs>
        <w:spacing w:after="0" w:line="240" w:lineRule="auto"/>
        <w:rPr>
          <w:rFonts w:ascii="Times New Roman" w:eastAsia="Calibri" w:hAnsi="Times New Roman" w:cs="Times New Roman"/>
          <w:b/>
          <w:sz w:val="22"/>
          <w:szCs w:val="22"/>
        </w:rPr>
      </w:pPr>
      <w:r w:rsidRPr="000E27EC">
        <w:rPr>
          <w:rFonts w:ascii="Times New Roman" w:hAnsi="Times New Roman" w:cs="Times New Roman"/>
          <w:b/>
          <w:sz w:val="22"/>
          <w:szCs w:val="22"/>
        </w:rPr>
        <w:t>Pranešimas apie šalutinį poveikį</w:t>
      </w:r>
    </w:p>
    <w:p w14:paraId="14DBAE19" w14:textId="743E5F65"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lt-LT"/>
        </w:rPr>
      </w:pPr>
      <w:r w:rsidRPr="000E27EC">
        <w:rPr>
          <w:rFonts w:ascii="Times New Roman" w:hAnsi="Times New Roman" w:cs="Times New Roman"/>
          <w:sz w:val="22"/>
          <w:szCs w:val="22"/>
          <w:lang w:val="lt-LT"/>
        </w:rPr>
        <w:t>Jeigu pasireiškė šalutinis poveikis, įskaitant šiame lapelyje nenurodytą, pasakykite gydytojui, vaistininkui arba slaugytoj</w:t>
      </w:r>
      <w:r w:rsidR="008C4550">
        <w:rPr>
          <w:rFonts w:ascii="Times New Roman" w:hAnsi="Times New Roman" w:cs="Times New Roman"/>
          <w:sz w:val="22"/>
          <w:szCs w:val="22"/>
          <w:lang w:val="lt-LT"/>
        </w:rPr>
        <w:t>u</w:t>
      </w:r>
      <w:r w:rsidRPr="000E27EC">
        <w:rPr>
          <w:rFonts w:ascii="Times New Roman" w:hAnsi="Times New Roman" w:cs="Times New Roman"/>
          <w:sz w:val="22"/>
          <w:szCs w:val="22"/>
          <w:lang w:val="lt-LT"/>
        </w:rPr>
        <w:t xml:space="preserve">i. </w:t>
      </w:r>
      <w:r w:rsidR="002A5BDA" w:rsidRPr="002A5BDA">
        <w:rPr>
          <w:rFonts w:ascii="Times New Roman" w:hAnsi="Times New Roman" w:cs="Times New Roman"/>
          <w:sz w:val="22"/>
          <w:szCs w:val="22"/>
          <w:lang w:val="lt-LT"/>
        </w:rPr>
        <w:t xml:space="preserve">Pranešimą apie šalutinį poveikį galite </w:t>
      </w:r>
      <w:r w:rsidR="00B733FF">
        <w:rPr>
          <w:rFonts w:ascii="Times New Roman" w:hAnsi="Times New Roman" w:cs="Times New Roman"/>
          <w:sz w:val="22"/>
          <w:szCs w:val="22"/>
          <w:lang w:val="lt-LT"/>
        </w:rPr>
        <w:t xml:space="preserve">užpildyti ir </w:t>
      </w:r>
      <w:r w:rsidR="002A5BDA" w:rsidRPr="002A5BDA">
        <w:rPr>
          <w:rFonts w:ascii="Times New Roman" w:hAnsi="Times New Roman" w:cs="Times New Roman"/>
          <w:sz w:val="22"/>
          <w:szCs w:val="22"/>
          <w:lang w:val="lt-LT"/>
        </w:rPr>
        <w:t xml:space="preserve">pateikti Valstybinės vaistų kontrolės tarnybos prie Lietuvos Respublikos sveikatos apsaugos ministerijos </w:t>
      </w:r>
      <w:r w:rsidR="00B733FF">
        <w:rPr>
          <w:rFonts w:ascii="Times New Roman" w:hAnsi="Times New Roman" w:cs="Times New Roman"/>
          <w:sz w:val="22"/>
          <w:szCs w:val="22"/>
          <w:lang w:val="lt-LT"/>
        </w:rPr>
        <w:t xml:space="preserve">tinklalapyje </w:t>
      </w:r>
      <w:r w:rsidR="00B733FF" w:rsidRPr="00B733FF">
        <w:rPr>
          <w:rFonts w:ascii="Times New Roman" w:hAnsi="Times New Roman" w:cs="Times New Roman"/>
          <w:sz w:val="22"/>
          <w:szCs w:val="22"/>
          <w:lang w:val="lt-LT"/>
        </w:rPr>
        <w:t xml:space="preserve">https://vvkt.lrv.lt/lt/ nurodytais būdais arba paskambinti </w:t>
      </w:r>
      <w:r w:rsidR="002A5BDA" w:rsidRPr="002A5BDA">
        <w:rPr>
          <w:rFonts w:ascii="Times New Roman" w:hAnsi="Times New Roman" w:cs="Times New Roman"/>
          <w:sz w:val="22"/>
          <w:szCs w:val="22"/>
          <w:lang w:val="lt-LT"/>
        </w:rPr>
        <w:t>nemokamu telefonu 8 800 73 568. Pranešdami apie šalutinį poveikį galite mums padėti gauti daugiau informacijos apie šio vaisto saugumą.</w:t>
      </w:r>
    </w:p>
    <w:p w14:paraId="4AB2BFEF"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467A1F45"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560E8609" w14:textId="77777777" w:rsidR="00E446F1" w:rsidRPr="000E27EC" w:rsidRDefault="00E446F1" w:rsidP="00E446F1">
      <w:pPr>
        <w:keepNext/>
        <w:widowControl w:val="0"/>
        <w:numPr>
          <w:ilvl w:val="12"/>
          <w:numId w:val="0"/>
        </w:numPr>
        <w:spacing w:after="0" w:line="240" w:lineRule="auto"/>
        <w:ind w:left="567" w:hanging="567"/>
        <w:rPr>
          <w:rFonts w:ascii="Times New Roman" w:eastAsia="Calibri" w:hAnsi="Times New Roman" w:cs="Times New Roman"/>
          <w:sz w:val="22"/>
          <w:szCs w:val="22"/>
        </w:rPr>
      </w:pPr>
      <w:r w:rsidRPr="000E27EC">
        <w:rPr>
          <w:rFonts w:ascii="Times New Roman" w:hAnsi="Times New Roman" w:cs="Times New Roman"/>
          <w:b/>
          <w:sz w:val="22"/>
          <w:szCs w:val="22"/>
        </w:rPr>
        <w:t>5.</w:t>
      </w:r>
      <w:r w:rsidRPr="000E27EC">
        <w:rPr>
          <w:rFonts w:ascii="Times New Roman" w:hAnsi="Times New Roman" w:cs="Times New Roman"/>
          <w:b/>
          <w:sz w:val="22"/>
          <w:szCs w:val="22"/>
        </w:rPr>
        <w:tab/>
        <w:t>Kaip laikyti Sandostatin</w:t>
      </w:r>
    </w:p>
    <w:p w14:paraId="0638FDA9" w14:textId="77777777" w:rsidR="00E446F1" w:rsidRPr="000E27EC" w:rsidRDefault="00E446F1" w:rsidP="00E446F1">
      <w:pPr>
        <w:keepNext/>
        <w:widowControl w:val="0"/>
        <w:numPr>
          <w:ilvl w:val="12"/>
          <w:numId w:val="0"/>
        </w:numPr>
        <w:tabs>
          <w:tab w:val="left" w:pos="720"/>
        </w:tabs>
        <w:spacing w:after="0" w:line="240" w:lineRule="auto"/>
        <w:rPr>
          <w:rFonts w:ascii="Times New Roman" w:hAnsi="Times New Roman" w:cs="Times New Roman"/>
          <w:sz w:val="22"/>
          <w:szCs w:val="22"/>
        </w:rPr>
      </w:pPr>
    </w:p>
    <w:p w14:paraId="5367EF92"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Šį vaistą laikykite vaikams nepastebimoje ir nepasiekiamoje vietoje.</w:t>
      </w:r>
    </w:p>
    <w:p w14:paraId="555E9033"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Vaistą laikyti išorinėje dėžutėje, kad </w:t>
      </w:r>
      <w:r w:rsidR="00CE52D0">
        <w:rPr>
          <w:rFonts w:ascii="Times New Roman" w:hAnsi="Times New Roman" w:cs="Times New Roman"/>
          <w:sz w:val="22"/>
          <w:szCs w:val="22"/>
        </w:rPr>
        <w:t>vaistas</w:t>
      </w:r>
      <w:r w:rsidR="00CE52D0" w:rsidRPr="000E27EC">
        <w:rPr>
          <w:rFonts w:ascii="Times New Roman" w:hAnsi="Times New Roman" w:cs="Times New Roman"/>
          <w:sz w:val="22"/>
          <w:szCs w:val="22"/>
        </w:rPr>
        <w:t xml:space="preserve"> </w:t>
      </w:r>
      <w:r w:rsidRPr="000E27EC">
        <w:rPr>
          <w:rFonts w:ascii="Times New Roman" w:hAnsi="Times New Roman" w:cs="Times New Roman"/>
          <w:sz w:val="22"/>
          <w:szCs w:val="22"/>
        </w:rPr>
        <w:t>būtų apsaugotas nuo šviesos.</w:t>
      </w:r>
    </w:p>
    <w:p w14:paraId="27CEDE6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Laikyti šaldytuve (2</w:t>
      </w:r>
      <w:r w:rsidR="007F4E86" w:rsidRPr="000E27EC">
        <w:rPr>
          <w:rFonts w:ascii="Times New Roman" w:eastAsia="Calibri" w:hAnsi="Times New Roman" w:cs="Times New Roman"/>
          <w:sz w:val="22"/>
          <w:szCs w:val="22"/>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C – 8</w:t>
      </w:r>
      <w:r w:rsidR="007F4E86" w:rsidRPr="000E27EC">
        <w:rPr>
          <w:rFonts w:ascii="Times New Roman" w:hAnsi="Times New Roman" w:cs="Times New Roman"/>
          <w:sz w:val="22"/>
          <w:szCs w:val="22"/>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C). Negalima užšaldyti.</w:t>
      </w:r>
    </w:p>
    <w:p w14:paraId="4636E225"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Ampules galima laikyti ne aukštesnėje kaip 30</w:t>
      </w:r>
      <w:r w:rsidR="007F4E86" w:rsidRPr="000E27EC">
        <w:rPr>
          <w:rFonts w:ascii="Times New Roman" w:hAnsi="Times New Roman" w:cs="Times New Roman"/>
          <w:sz w:val="22"/>
          <w:szCs w:val="22"/>
        </w:rPr>
        <w:t> </w:t>
      </w:r>
      <w:r w:rsidRPr="000E27EC">
        <w:rPr>
          <w:rFonts w:ascii="Times New Roman" w:hAnsi="Times New Roman" w:cs="Times New Roman"/>
          <w:sz w:val="22"/>
          <w:szCs w:val="22"/>
          <w:lang w:val="en-GB"/>
        </w:rPr>
        <w:sym w:font="Symbol" w:char="F0B0"/>
      </w:r>
      <w:r w:rsidRPr="000E27EC">
        <w:rPr>
          <w:rFonts w:ascii="Times New Roman" w:hAnsi="Times New Roman" w:cs="Times New Roman"/>
          <w:sz w:val="22"/>
          <w:szCs w:val="22"/>
        </w:rPr>
        <w:t xml:space="preserve">C temperatūroje </w:t>
      </w:r>
    </w:p>
    <w:p w14:paraId="428E7F48"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rPr>
      </w:pPr>
      <w:r w:rsidRPr="000E27EC">
        <w:rPr>
          <w:rFonts w:ascii="Times New Roman" w:hAnsi="Times New Roman" w:cs="Times New Roman"/>
          <w:sz w:val="22"/>
          <w:szCs w:val="22"/>
        </w:rPr>
        <w:t>Atidarius, ampules reikia suvartoti iš karto.</w:t>
      </w:r>
    </w:p>
    <w:p w14:paraId="6FB5BED3"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2A66A468"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Ant dėžutės ir etiketės po „EXP“ nurodytam tinkamumo laikui pasibaigus, šio vaisto vartoti negalima. Vaistas tinkamas vartoti iki paskutinės nurodyto mėnesio dienos.</w:t>
      </w:r>
    </w:p>
    <w:p w14:paraId="3EBDF815"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18E3105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Jei pastebėjote dalelių arba pakito vaisto spalva, šio vaisto vartoti negalima</w:t>
      </w:r>
    </w:p>
    <w:p w14:paraId="59F7148D"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76DC467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Vaistų negalima išmesti į kanalizaciją arba su buitinėmis atliekomis. Kaip išmesti nereikalingus vaistus, klauskite vaistininko. Šios priemonės padės apsaugoti aplinką.</w:t>
      </w:r>
    </w:p>
    <w:p w14:paraId="7B88ADAE"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457BD3B0"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A74DAEF" w14:textId="77777777" w:rsidR="00E446F1" w:rsidRPr="000E27EC" w:rsidRDefault="00E446F1" w:rsidP="00E446F1">
      <w:pPr>
        <w:keepNext/>
        <w:widowControl w:val="0"/>
        <w:numPr>
          <w:ilvl w:val="12"/>
          <w:numId w:val="0"/>
        </w:numPr>
        <w:spacing w:after="0" w:line="240" w:lineRule="auto"/>
        <w:ind w:left="567" w:hanging="567"/>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6.</w:t>
      </w:r>
      <w:r w:rsidRPr="000E27EC">
        <w:rPr>
          <w:rFonts w:ascii="Times New Roman" w:hAnsi="Times New Roman" w:cs="Times New Roman"/>
          <w:b/>
          <w:sz w:val="22"/>
          <w:szCs w:val="22"/>
          <w:lang w:val="es-ES"/>
        </w:rPr>
        <w:tab/>
        <w:t>Pakuotės turinys ir kita informacija</w:t>
      </w:r>
    </w:p>
    <w:p w14:paraId="2FFFCE0E" w14:textId="77777777" w:rsidR="00E446F1" w:rsidRPr="000E27EC" w:rsidRDefault="00E446F1" w:rsidP="00E446F1">
      <w:pPr>
        <w:keepNext/>
        <w:widowControl w:val="0"/>
        <w:numPr>
          <w:ilvl w:val="12"/>
          <w:numId w:val="0"/>
        </w:numPr>
        <w:tabs>
          <w:tab w:val="left" w:pos="720"/>
        </w:tabs>
        <w:spacing w:after="0" w:line="240" w:lineRule="auto"/>
        <w:rPr>
          <w:rFonts w:ascii="Times New Roman" w:hAnsi="Times New Roman" w:cs="Times New Roman"/>
          <w:sz w:val="22"/>
          <w:szCs w:val="22"/>
          <w:lang w:val="es-ES"/>
        </w:rPr>
      </w:pPr>
    </w:p>
    <w:p w14:paraId="0390B0A7"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Sandostatin sudėtis:</w:t>
      </w:r>
    </w:p>
    <w:p w14:paraId="60D5A7AB" w14:textId="77777777" w:rsidR="00E446F1" w:rsidRPr="000E27EC" w:rsidRDefault="00E446F1" w:rsidP="00E446F1">
      <w:pPr>
        <w:widowControl w:val="0"/>
        <w:numPr>
          <w:ilvl w:val="0"/>
          <w:numId w:val="21"/>
        </w:numPr>
        <w:tabs>
          <w:tab w:val="left" w:pos="567"/>
        </w:tabs>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 xml:space="preserve">Veiklioji medžiaga yra oktreotidas. </w:t>
      </w:r>
    </w:p>
    <w:p w14:paraId="7F8E4361" w14:textId="77777777" w:rsidR="00E446F1" w:rsidRPr="000E27EC" w:rsidRDefault="00E446F1" w:rsidP="00E446F1">
      <w:pPr>
        <w:spacing w:after="0" w:line="260" w:lineRule="exact"/>
        <w:ind w:left="567"/>
        <w:rPr>
          <w:rFonts w:ascii="Times New Roman" w:eastAsia="Calibri" w:hAnsi="Times New Roman" w:cs="Times New Roman"/>
          <w:sz w:val="22"/>
          <w:szCs w:val="22"/>
        </w:rPr>
      </w:pPr>
      <w:r w:rsidRPr="000E27EC">
        <w:rPr>
          <w:rFonts w:ascii="Times New Roman" w:hAnsi="Times New Roman" w:cs="Times New Roman"/>
          <w:sz w:val="22"/>
          <w:szCs w:val="22"/>
        </w:rPr>
        <w:t>Sandostatin 100 mikrogramų: 1 ml tirpalo yra 100 mikrogramų oktreotido.</w:t>
      </w:r>
    </w:p>
    <w:p w14:paraId="0FBBCE89" w14:textId="77777777" w:rsidR="00E446F1" w:rsidRPr="000E27EC" w:rsidRDefault="00E446F1" w:rsidP="00E446F1">
      <w:pPr>
        <w:widowControl w:val="0"/>
        <w:numPr>
          <w:ilvl w:val="0"/>
          <w:numId w:val="21"/>
        </w:numPr>
        <w:spacing w:after="0" w:line="240" w:lineRule="auto"/>
        <w:ind w:left="567" w:right="-2" w:hanging="567"/>
        <w:rPr>
          <w:rFonts w:ascii="Times New Roman" w:eastAsia="Calibri" w:hAnsi="Times New Roman" w:cs="Times New Roman"/>
          <w:sz w:val="22"/>
          <w:szCs w:val="22"/>
        </w:rPr>
      </w:pPr>
      <w:r w:rsidRPr="000E27EC">
        <w:rPr>
          <w:rFonts w:ascii="Times New Roman" w:hAnsi="Times New Roman" w:cs="Times New Roman"/>
          <w:sz w:val="22"/>
          <w:szCs w:val="22"/>
        </w:rPr>
        <w:t>Pagalbinės medžiagos ampulėse yra: pieno rūgštis, manitolis (E421), natrio-vandenilio karbonatas, injekcinis vanduo</w:t>
      </w:r>
    </w:p>
    <w:p w14:paraId="32EF1FA2" w14:textId="77777777" w:rsidR="00E446F1" w:rsidRPr="000E27EC" w:rsidRDefault="00E446F1" w:rsidP="00E446F1">
      <w:pPr>
        <w:widowControl w:val="0"/>
        <w:tabs>
          <w:tab w:val="left" w:pos="720"/>
        </w:tabs>
        <w:spacing w:after="0" w:line="240" w:lineRule="auto"/>
        <w:ind w:right="-2"/>
        <w:rPr>
          <w:rFonts w:ascii="Times New Roman" w:hAnsi="Times New Roman" w:cs="Times New Roman"/>
          <w:sz w:val="22"/>
          <w:szCs w:val="22"/>
        </w:rPr>
      </w:pPr>
    </w:p>
    <w:p w14:paraId="1A9D56BB"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b/>
          <w:sz w:val="22"/>
          <w:szCs w:val="22"/>
        </w:rPr>
      </w:pPr>
      <w:r w:rsidRPr="000E27EC">
        <w:rPr>
          <w:rFonts w:ascii="Times New Roman" w:hAnsi="Times New Roman" w:cs="Times New Roman"/>
          <w:b/>
          <w:sz w:val="22"/>
          <w:szCs w:val="22"/>
        </w:rPr>
        <w:t>Sandostatin išvaizda ir kiekis pakuotėje</w:t>
      </w:r>
    </w:p>
    <w:p w14:paraId="21150559"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Ampulės</w:t>
      </w:r>
    </w:p>
    <w:p w14:paraId="3E7AF0C3" w14:textId="77777777" w:rsidR="009D06F6" w:rsidRPr="000E27EC" w:rsidRDefault="009D06F6" w:rsidP="00E446F1">
      <w:pPr>
        <w:tabs>
          <w:tab w:val="left" w:pos="567"/>
        </w:tabs>
        <w:spacing w:after="0" w:line="260" w:lineRule="exact"/>
        <w:jc w:val="both"/>
        <w:rPr>
          <w:rFonts w:ascii="Times New Roman" w:eastAsia="Calibri" w:hAnsi="Times New Roman" w:cs="Times New Roman"/>
          <w:sz w:val="22"/>
          <w:szCs w:val="22"/>
        </w:rPr>
      </w:pPr>
    </w:p>
    <w:p w14:paraId="0D7342FB"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Bespalvio stiklo</w:t>
      </w:r>
      <w:r w:rsidR="009D06F6" w:rsidRPr="000E27EC">
        <w:rPr>
          <w:rFonts w:ascii="Times New Roman" w:hAnsi="Times New Roman" w:cs="Times New Roman"/>
          <w:sz w:val="22"/>
          <w:szCs w:val="22"/>
          <w:lang w:val="fr-FR"/>
        </w:rPr>
        <w:t xml:space="preserve"> su dviejų spalvų žiedais</w:t>
      </w:r>
      <w:r w:rsidRPr="000E27EC">
        <w:rPr>
          <w:rFonts w:ascii="Times New Roman" w:hAnsi="Times New Roman" w:cs="Times New Roman"/>
          <w:sz w:val="22"/>
          <w:szCs w:val="22"/>
        </w:rPr>
        <w:t>, kuriose yra skaidrus bespalvis tirpalas.</w:t>
      </w:r>
    </w:p>
    <w:p w14:paraId="19DD5E5E" w14:textId="77777777" w:rsidR="009D06F6" w:rsidRPr="000E27EC" w:rsidRDefault="009D06F6" w:rsidP="009D06F6">
      <w:pPr>
        <w:tabs>
          <w:tab w:val="left" w:pos="567"/>
        </w:tabs>
        <w:spacing w:after="0" w:line="260" w:lineRule="exact"/>
        <w:jc w:val="both"/>
        <w:rPr>
          <w:rFonts w:ascii="Times New Roman" w:eastAsia="Calibri" w:hAnsi="Times New Roman" w:cs="Times New Roman"/>
          <w:sz w:val="22"/>
          <w:szCs w:val="22"/>
          <w:lang w:val="en-GB"/>
        </w:rPr>
      </w:pPr>
      <w:r w:rsidRPr="000E27EC">
        <w:rPr>
          <w:rFonts w:ascii="Times New Roman" w:eastAsia="Calibri" w:hAnsi="Times New Roman" w:cs="Times New Roman"/>
          <w:sz w:val="22"/>
          <w:szCs w:val="22"/>
          <w:lang w:val="en-GB"/>
        </w:rPr>
        <w:t>Sandostatin</w:t>
      </w:r>
      <w:r w:rsidRPr="000E27EC" w:rsidDel="00C107C5">
        <w:rPr>
          <w:rFonts w:ascii="Times New Roman" w:eastAsia="Calibri" w:hAnsi="Times New Roman" w:cs="Times New Roman"/>
          <w:sz w:val="22"/>
          <w:szCs w:val="22"/>
          <w:lang w:val="en-GB"/>
        </w:rPr>
        <w:t xml:space="preserve"> </w:t>
      </w:r>
      <w:r w:rsidRPr="000E27EC">
        <w:rPr>
          <w:rFonts w:ascii="Times New Roman" w:eastAsia="Calibri" w:hAnsi="Times New Roman" w:cs="Times New Roman"/>
          <w:sz w:val="22"/>
          <w:szCs w:val="22"/>
          <w:lang w:val="it-IT"/>
        </w:rPr>
        <w:t>100 mikrogramų/ml injekcinis ar infuzinis tirpalas</w:t>
      </w:r>
      <w:r w:rsidRPr="000E27EC">
        <w:rPr>
          <w:rFonts w:ascii="Times New Roman" w:eastAsia="Calibri" w:hAnsi="Times New Roman" w:cs="Times New Roman"/>
          <w:sz w:val="22"/>
          <w:szCs w:val="22"/>
          <w:lang w:val="en-GB"/>
        </w:rPr>
        <w:t>: vienas mėlynas ir vienas žalias.</w:t>
      </w:r>
    </w:p>
    <w:p w14:paraId="5C7A050D" w14:textId="77777777" w:rsidR="009D06F6" w:rsidRPr="000E27EC" w:rsidRDefault="009D06F6" w:rsidP="00E446F1">
      <w:pPr>
        <w:tabs>
          <w:tab w:val="left" w:pos="567"/>
        </w:tabs>
        <w:spacing w:after="0" w:line="260" w:lineRule="exact"/>
        <w:jc w:val="both"/>
        <w:rPr>
          <w:rFonts w:ascii="Times New Roman" w:hAnsi="Times New Roman" w:cs="Times New Roman"/>
          <w:sz w:val="22"/>
          <w:szCs w:val="22"/>
        </w:rPr>
      </w:pPr>
    </w:p>
    <w:p w14:paraId="5020B9CF"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Pakuotėje yra trys, penki, šeši, dešimt, dvidešimt ir penkiasdešimt ampulių.</w:t>
      </w:r>
    </w:p>
    <w:p w14:paraId="12851E3B" w14:textId="77777777" w:rsidR="00E446F1" w:rsidRPr="000E27EC" w:rsidRDefault="00E446F1" w:rsidP="00E446F1">
      <w:pPr>
        <w:tabs>
          <w:tab w:val="left" w:pos="567"/>
        </w:tabs>
        <w:spacing w:after="0" w:line="260" w:lineRule="exact"/>
        <w:jc w:val="both"/>
        <w:rPr>
          <w:rFonts w:ascii="Times New Roman" w:hAnsi="Times New Roman" w:cs="Times New Roman"/>
          <w:sz w:val="22"/>
          <w:szCs w:val="22"/>
        </w:rPr>
      </w:pPr>
    </w:p>
    <w:p w14:paraId="17E583B8"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Daugiadozes pakuotes sudaro dešimt pakuočių, kurių kiekvienoje yra trys ampulės.</w:t>
      </w:r>
    </w:p>
    <w:p w14:paraId="5AFAEBDB" w14:textId="77777777" w:rsidR="00E446F1" w:rsidRPr="000E27EC" w:rsidRDefault="00E446F1" w:rsidP="00E446F1">
      <w:pPr>
        <w:tabs>
          <w:tab w:val="left" w:pos="567"/>
        </w:tabs>
        <w:spacing w:after="0" w:line="260" w:lineRule="exact"/>
        <w:jc w:val="both"/>
        <w:rPr>
          <w:rFonts w:ascii="Times New Roman" w:hAnsi="Times New Roman" w:cs="Times New Roman"/>
          <w:sz w:val="22"/>
          <w:szCs w:val="22"/>
        </w:rPr>
      </w:pPr>
    </w:p>
    <w:p w14:paraId="67370B5F" w14:textId="77777777" w:rsidR="00E446F1" w:rsidRPr="000E27EC" w:rsidRDefault="00E446F1" w:rsidP="00E446F1">
      <w:pPr>
        <w:tabs>
          <w:tab w:val="left" w:pos="567"/>
        </w:tabs>
        <w:spacing w:after="0" w:line="260" w:lineRule="exact"/>
        <w:jc w:val="both"/>
        <w:rPr>
          <w:rFonts w:ascii="Times New Roman" w:eastAsia="Calibri" w:hAnsi="Times New Roman" w:cs="Times New Roman"/>
          <w:sz w:val="22"/>
          <w:szCs w:val="22"/>
        </w:rPr>
      </w:pPr>
      <w:r w:rsidRPr="000E27EC">
        <w:rPr>
          <w:rFonts w:ascii="Times New Roman" w:hAnsi="Times New Roman" w:cs="Times New Roman"/>
          <w:sz w:val="22"/>
          <w:szCs w:val="22"/>
        </w:rPr>
        <w:t>Gali būti tiekiamos ne visų dydžių pakuotės.</w:t>
      </w:r>
    </w:p>
    <w:p w14:paraId="45BC1B0C"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u w:val="single"/>
        </w:rPr>
      </w:pPr>
    </w:p>
    <w:p w14:paraId="5C666589"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u w:val="single"/>
          <w:lang w:val="es-ES"/>
        </w:rPr>
      </w:pPr>
    </w:p>
    <w:p w14:paraId="5F52323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Registruotojas</w:t>
      </w:r>
    </w:p>
    <w:p w14:paraId="6F5DC5C4"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SIA Novartis Baltics</w:t>
      </w:r>
    </w:p>
    <w:p w14:paraId="7B78E337" w14:textId="08ACD894" w:rsidR="00E446F1" w:rsidRDefault="00D75CA1" w:rsidP="00E446F1">
      <w:pPr>
        <w:tabs>
          <w:tab w:val="left" w:pos="567"/>
        </w:tabs>
        <w:spacing w:after="0" w:line="260" w:lineRule="exact"/>
        <w:rPr>
          <w:rFonts w:ascii="Times New Roman" w:hAnsi="Times New Roman" w:cs="Times New Roman"/>
          <w:sz w:val="22"/>
          <w:szCs w:val="22"/>
          <w:lang w:val="es-ES"/>
        </w:rPr>
      </w:pPr>
      <w:r w:rsidRPr="00D75CA1">
        <w:rPr>
          <w:rFonts w:ascii="Times New Roman" w:hAnsi="Times New Roman" w:cs="Times New Roman"/>
          <w:sz w:val="22"/>
          <w:szCs w:val="22"/>
          <w:lang w:val="es-ES"/>
        </w:rPr>
        <w:lastRenderedPageBreak/>
        <w:t>Skanstes iela 25</w:t>
      </w:r>
    </w:p>
    <w:p w14:paraId="67B1AE4A" w14:textId="4F4DA4E1"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LV-</w:t>
      </w:r>
      <w:r w:rsidR="00D75CA1">
        <w:rPr>
          <w:rFonts w:ascii="Times New Roman" w:hAnsi="Times New Roman" w:cs="Times New Roman"/>
          <w:sz w:val="22"/>
          <w:szCs w:val="22"/>
          <w:lang w:val="es-ES"/>
        </w:rPr>
        <w:t>1013</w:t>
      </w:r>
      <w:r w:rsidRPr="000E27EC">
        <w:rPr>
          <w:rFonts w:ascii="Times New Roman" w:hAnsi="Times New Roman" w:cs="Times New Roman"/>
          <w:sz w:val="22"/>
          <w:szCs w:val="22"/>
          <w:lang w:val="es-ES"/>
        </w:rPr>
        <w:t>, Rīga</w:t>
      </w:r>
    </w:p>
    <w:p w14:paraId="267829B9" w14:textId="77777777" w:rsidR="00E446F1" w:rsidRPr="000E27EC" w:rsidRDefault="00E446F1" w:rsidP="00E446F1">
      <w:pPr>
        <w:spacing w:after="0" w:line="22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Latvija</w:t>
      </w:r>
    </w:p>
    <w:p w14:paraId="6AE553B4" w14:textId="77777777" w:rsidR="00E446F1" w:rsidRPr="000E27EC" w:rsidRDefault="00E446F1" w:rsidP="00E446F1">
      <w:pPr>
        <w:spacing w:after="0" w:line="220" w:lineRule="exact"/>
        <w:rPr>
          <w:rFonts w:ascii="Times New Roman" w:hAnsi="Times New Roman" w:cs="Times New Roman"/>
          <w:b/>
          <w:sz w:val="22"/>
          <w:szCs w:val="22"/>
          <w:lang w:val="es-ES"/>
        </w:rPr>
      </w:pPr>
    </w:p>
    <w:p w14:paraId="7AC914C0" w14:textId="77777777" w:rsidR="00E446F1" w:rsidRPr="000E27EC" w:rsidRDefault="00E446F1" w:rsidP="00E446F1">
      <w:pPr>
        <w:spacing w:after="0" w:line="220" w:lineRule="exact"/>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Gamintojas</w:t>
      </w:r>
    </w:p>
    <w:p w14:paraId="0F2E0D67"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Novartis Pharma GmbH</w:t>
      </w:r>
    </w:p>
    <w:p w14:paraId="74C4E16F"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Roonstrasse 25</w:t>
      </w:r>
    </w:p>
    <w:p w14:paraId="4009684B" w14:textId="77777777" w:rsidR="00E446F1" w:rsidRPr="000E27EC" w:rsidRDefault="00E446F1" w:rsidP="00E446F1">
      <w:pPr>
        <w:tabs>
          <w:tab w:val="left" w:pos="567"/>
        </w:tabs>
        <w:spacing w:after="0" w:line="260" w:lineRule="exact"/>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90429 Nürnberg</w:t>
      </w:r>
    </w:p>
    <w:p w14:paraId="43F2E095" w14:textId="77777777" w:rsidR="00E446F1" w:rsidRDefault="00E446F1" w:rsidP="00E446F1">
      <w:pPr>
        <w:tabs>
          <w:tab w:val="left" w:pos="567"/>
        </w:tabs>
        <w:spacing w:after="0" w:line="260" w:lineRule="exact"/>
        <w:rPr>
          <w:rFonts w:ascii="Times New Roman" w:hAnsi="Times New Roman" w:cs="Times New Roman"/>
          <w:sz w:val="22"/>
          <w:szCs w:val="22"/>
          <w:lang w:val="es-ES"/>
        </w:rPr>
      </w:pPr>
      <w:r w:rsidRPr="000E27EC">
        <w:rPr>
          <w:rFonts w:ascii="Times New Roman" w:hAnsi="Times New Roman" w:cs="Times New Roman"/>
          <w:sz w:val="22"/>
          <w:szCs w:val="22"/>
          <w:lang w:val="es-ES"/>
        </w:rPr>
        <w:t>Vokietija</w:t>
      </w:r>
    </w:p>
    <w:p w14:paraId="579E9E14" w14:textId="77777777" w:rsidR="001F79E3" w:rsidRDefault="001F79E3" w:rsidP="00E446F1">
      <w:pPr>
        <w:tabs>
          <w:tab w:val="left" w:pos="567"/>
        </w:tabs>
        <w:spacing w:after="0" w:line="260" w:lineRule="exact"/>
        <w:rPr>
          <w:rFonts w:ascii="Times New Roman" w:eastAsia="Calibri" w:hAnsi="Times New Roman" w:cs="Times New Roman"/>
          <w:sz w:val="22"/>
          <w:szCs w:val="22"/>
          <w:lang w:val="es-ES"/>
        </w:rPr>
      </w:pPr>
    </w:p>
    <w:p w14:paraId="7B2338F5" w14:textId="77777777" w:rsidR="001F79E3" w:rsidRPr="00F61446" w:rsidRDefault="001F79E3" w:rsidP="00E446F1">
      <w:pPr>
        <w:tabs>
          <w:tab w:val="left" w:pos="567"/>
        </w:tabs>
        <w:spacing w:after="0" w:line="260" w:lineRule="exact"/>
        <w:rPr>
          <w:rFonts w:ascii="Times New Roman" w:eastAsia="Calibri" w:hAnsi="Times New Roman" w:cs="Times New Roman"/>
          <w:sz w:val="22"/>
          <w:szCs w:val="22"/>
          <w:highlight w:val="lightGray"/>
          <w:lang w:val="es-ES"/>
        </w:rPr>
      </w:pPr>
      <w:r w:rsidRPr="00F61446">
        <w:rPr>
          <w:rFonts w:ascii="Times New Roman" w:eastAsia="Calibri" w:hAnsi="Times New Roman" w:cs="Times New Roman"/>
          <w:sz w:val="22"/>
          <w:szCs w:val="22"/>
          <w:highlight w:val="lightGray"/>
          <w:lang w:val="es-ES"/>
        </w:rPr>
        <w:t>arba</w:t>
      </w:r>
    </w:p>
    <w:p w14:paraId="114D0B1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3AF1D0A"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GmbH</w:t>
      </w:r>
    </w:p>
    <w:p w14:paraId="7FF9DE7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Jakov-Lind-Straße 5, Top 3.05</w:t>
      </w:r>
    </w:p>
    <w:p w14:paraId="2FD9B47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1020 Wien</w:t>
      </w:r>
    </w:p>
    <w:p w14:paraId="4DEDC6B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Austrija</w:t>
      </w:r>
    </w:p>
    <w:p w14:paraId="35EE751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180EB5D2" w14:textId="77777777" w:rsidR="001F79E3" w:rsidRPr="002C4790"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arba</w:t>
      </w:r>
    </w:p>
    <w:p w14:paraId="0761F130" w14:textId="77777777" w:rsidR="001F79E3" w:rsidRPr="002C4790"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p>
    <w:p w14:paraId="536E853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NV</w:t>
      </w:r>
    </w:p>
    <w:p w14:paraId="51FA8E5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Medialaan 40 Bus 1,</w:t>
      </w:r>
    </w:p>
    <w:p w14:paraId="1432776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Vilvoorde, B-1800,</w:t>
      </w:r>
    </w:p>
    <w:p w14:paraId="6F1B197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Belgija</w:t>
      </w:r>
    </w:p>
    <w:p w14:paraId="49E1E54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A25D85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18EA667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36AA93E" w14:textId="128D2923"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Healthcare A/S</w:t>
      </w:r>
    </w:p>
    <w:p w14:paraId="5DEB959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Edvard Thomsens Vej 14,</w:t>
      </w:r>
    </w:p>
    <w:p w14:paraId="31D6118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København S, 2300,</w:t>
      </w:r>
    </w:p>
    <w:p w14:paraId="7C6B3BC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Danija</w:t>
      </w:r>
    </w:p>
    <w:p w14:paraId="38E2774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6305A04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69E1947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0E094B36" w14:textId="65515E39"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Finland Oy</w:t>
      </w:r>
    </w:p>
    <w:p w14:paraId="1597100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Metsäneidonkuja 10,</w:t>
      </w:r>
    </w:p>
    <w:p w14:paraId="5F4E222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Espoo, FI-02130,</w:t>
      </w:r>
    </w:p>
    <w:p w14:paraId="5381DF1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Suomija</w:t>
      </w:r>
    </w:p>
    <w:p w14:paraId="3857EE1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2055AA7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117892D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9A5D0CA" w14:textId="1E81C59C"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Pharma SAS</w:t>
      </w:r>
    </w:p>
    <w:p w14:paraId="4947C64D"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8-10 rue Henri Sainte-Claire Deville</w:t>
      </w:r>
    </w:p>
    <w:p w14:paraId="618F478B"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Rueil Malmaison, 92500</w:t>
      </w:r>
    </w:p>
    <w:p w14:paraId="50B89BF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Prancūzija</w:t>
      </w:r>
    </w:p>
    <w:p w14:paraId="5543AE2A"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207D68E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062D87F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1BC5A463" w14:textId="26E19B44"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(HELLAS) SA</w:t>
      </w:r>
    </w:p>
    <w:p w14:paraId="0840306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12th km National Road Athinon-Lamias,</w:t>
      </w:r>
    </w:p>
    <w:p w14:paraId="218D8901"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Metamorfosi Attiki, 14451,</w:t>
      </w:r>
    </w:p>
    <w:p w14:paraId="4DCDBDEF" w14:textId="77777777"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Graikija</w:t>
      </w:r>
    </w:p>
    <w:p w14:paraId="68FC5A1B" w14:textId="77777777" w:rsidR="001F79E3" w:rsidRPr="000D706C"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3419A74F"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573451F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0D389F5D" w14:textId="58A232D1"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Hungary Ltd.</w:t>
      </w:r>
    </w:p>
    <w:p w14:paraId="50465C3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Vasύt u.13.,</w:t>
      </w:r>
    </w:p>
    <w:p w14:paraId="364CBB5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Budaörs, 2040,</w:t>
      </w:r>
    </w:p>
    <w:p w14:paraId="38BBE12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Vengrija</w:t>
      </w:r>
    </w:p>
    <w:p w14:paraId="1AB897BE"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
    <w:p w14:paraId="36A204F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00A4CF9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4DBBE017" w14:textId="4FD98A8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S.p.A.</w:t>
      </w:r>
    </w:p>
    <w:p w14:paraId="3B90BA3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Via Provinciale Schito 131,</w:t>
      </w:r>
    </w:p>
    <w:p w14:paraId="3A445F1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80058 Torre Annunziata (NA)</w:t>
      </w:r>
    </w:p>
    <w:p w14:paraId="6C01CFE5"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Italija</w:t>
      </w:r>
    </w:p>
    <w:p w14:paraId="654A9D5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7A825B8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75FE5D3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3A4A63D7" w14:textId="286D8BD8"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Poland Sp. z o.o.</w:t>
      </w:r>
    </w:p>
    <w:p w14:paraId="52E501C0"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15 Marynarska Street,</w:t>
      </w:r>
    </w:p>
    <w:p w14:paraId="36810A01" w14:textId="77777777" w:rsidR="001F79E3" w:rsidRP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02-674</w:t>
      </w:r>
      <w:r w:rsidRPr="00045C11">
        <w:rPr>
          <w:rFonts w:ascii="Times New Roman" w:hAnsi="Times New Roman" w:cs="Times New Roman"/>
          <w:sz w:val="22"/>
          <w:szCs w:val="22"/>
          <w:shd w:val="clear" w:color="auto" w:fill="D9D9D9" w:themeFill="background1" w:themeFillShade="D9"/>
        </w:rPr>
        <w:t xml:space="preserve"> Warsaw</w:t>
      </w:r>
    </w:p>
    <w:p w14:paraId="0F698762"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Lenkija</w:t>
      </w:r>
    </w:p>
    <w:p w14:paraId="5E7B64DC"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3ED936D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arba</w:t>
      </w:r>
    </w:p>
    <w:p w14:paraId="2E19DE07"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3167790D" w14:textId="0D84FA88"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Novartis Farma - Produtos Farmacêuticos, S.A.</w:t>
      </w:r>
    </w:p>
    <w:p w14:paraId="699BBEA3"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Avenida Professor Doutor Cavaco Silva, n.10E,Taguspark,</w:t>
      </w:r>
    </w:p>
    <w:p w14:paraId="16ED6808"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Porto Salvo, 2740-255,</w:t>
      </w:r>
    </w:p>
    <w:p w14:paraId="2CBCB534" w14:textId="77777777"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F61446">
        <w:rPr>
          <w:rFonts w:ascii="Times New Roman" w:hAnsi="Times New Roman" w:cs="Times New Roman"/>
          <w:sz w:val="22"/>
          <w:szCs w:val="22"/>
          <w:highlight w:val="lightGray"/>
        </w:rPr>
        <w:t>Portugalija</w:t>
      </w:r>
    </w:p>
    <w:p w14:paraId="5E804B81"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7ADD75DE"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r w:rsidRPr="008A6A96">
        <w:rPr>
          <w:rFonts w:ascii="Times New Roman" w:hAnsi="Times New Roman"/>
          <w:sz w:val="22"/>
          <w:highlight w:val="lightGray"/>
        </w:rPr>
        <w:t>arba</w:t>
      </w:r>
    </w:p>
    <w:p w14:paraId="1CFFB5F8"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18F4A95D" w14:textId="77819E8A"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rPr>
      </w:pPr>
      <w:r w:rsidRPr="006A0DEA">
        <w:rPr>
          <w:rFonts w:ascii="Times New Roman" w:hAnsi="Times New Roman"/>
          <w:sz w:val="22"/>
        </w:rPr>
        <w:t xml:space="preserve">Novartis </w:t>
      </w:r>
      <w:r w:rsidRPr="002A5BDA">
        <w:rPr>
          <w:rFonts w:ascii="Times New Roman" w:hAnsi="Times New Roman" w:cs="Times New Roman"/>
          <w:sz w:val="22"/>
          <w:szCs w:val="22"/>
        </w:rPr>
        <w:t>Farmacéutica</w:t>
      </w:r>
      <w:r w:rsidRPr="006A0DEA">
        <w:rPr>
          <w:rFonts w:ascii="Times New Roman" w:hAnsi="Times New Roman"/>
          <w:sz w:val="22"/>
        </w:rPr>
        <w:t xml:space="preserve"> S</w:t>
      </w:r>
      <w:r w:rsidR="002414A7" w:rsidRPr="006A0DEA">
        <w:rPr>
          <w:rFonts w:ascii="Times New Roman" w:hAnsi="Times New Roman"/>
          <w:sz w:val="22"/>
        </w:rPr>
        <w:t>.</w:t>
      </w:r>
      <w:r w:rsidRPr="006A0DEA">
        <w:rPr>
          <w:rFonts w:ascii="Times New Roman" w:hAnsi="Times New Roman"/>
          <w:sz w:val="22"/>
        </w:rPr>
        <w:t>A</w:t>
      </w:r>
      <w:r w:rsidR="002414A7" w:rsidRPr="006A0DEA">
        <w:rPr>
          <w:rFonts w:ascii="Times New Roman" w:hAnsi="Times New Roman"/>
          <w:sz w:val="22"/>
        </w:rPr>
        <w:t>.</w:t>
      </w:r>
    </w:p>
    <w:p w14:paraId="7D120616" w14:textId="74A5DFF3" w:rsidR="001F79E3" w:rsidRPr="002A5BDA" w:rsidRDefault="002414A7"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Gran Via de les Corts Catalanes, 764</w:t>
      </w:r>
    </w:p>
    <w:p w14:paraId="378067C3" w14:textId="1A8D5F65" w:rsidR="001F79E3" w:rsidRPr="002A5BDA"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08</w:t>
      </w:r>
      <w:r w:rsidR="002414A7" w:rsidRPr="002A5BDA">
        <w:rPr>
          <w:rFonts w:ascii="Times New Roman" w:hAnsi="Times New Roman" w:cs="Times New Roman"/>
          <w:sz w:val="22"/>
          <w:szCs w:val="22"/>
        </w:rPr>
        <w:t>013</w:t>
      </w:r>
      <w:r w:rsidRPr="002A5BDA">
        <w:rPr>
          <w:rFonts w:ascii="Times New Roman" w:hAnsi="Times New Roman" w:cs="Times New Roman"/>
          <w:sz w:val="22"/>
          <w:szCs w:val="22"/>
        </w:rPr>
        <w:t xml:space="preserve"> Barcelona</w:t>
      </w:r>
    </w:p>
    <w:p w14:paraId="541981B9" w14:textId="77777777"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rPr>
      </w:pPr>
      <w:r w:rsidRPr="002A5BDA">
        <w:rPr>
          <w:rFonts w:ascii="Times New Roman" w:hAnsi="Times New Roman" w:cs="Times New Roman"/>
          <w:sz w:val="22"/>
          <w:szCs w:val="22"/>
        </w:rPr>
        <w:t>Ispanija</w:t>
      </w:r>
    </w:p>
    <w:p w14:paraId="719286E5" w14:textId="77777777" w:rsidR="001F79E3" w:rsidRPr="00045C11" w:rsidRDefault="001F79E3" w:rsidP="001F79E3">
      <w:pPr>
        <w:widowControl w:val="0"/>
        <w:numPr>
          <w:ilvl w:val="12"/>
          <w:numId w:val="0"/>
        </w:numPr>
        <w:tabs>
          <w:tab w:val="left" w:pos="720"/>
        </w:tabs>
        <w:spacing w:after="0" w:line="240" w:lineRule="auto"/>
        <w:ind w:right="-2"/>
        <w:rPr>
          <w:rFonts w:ascii="Times New Roman" w:hAnsi="Times New Roman"/>
          <w:sz w:val="22"/>
        </w:rPr>
      </w:pPr>
    </w:p>
    <w:p w14:paraId="1D4E0697"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r w:rsidRPr="00F61446">
        <w:rPr>
          <w:rFonts w:ascii="Times New Roman" w:hAnsi="Times New Roman" w:cs="Times New Roman"/>
          <w:sz w:val="22"/>
          <w:szCs w:val="22"/>
          <w:highlight w:val="lightGray"/>
        </w:rPr>
        <w:t>arba</w:t>
      </w:r>
    </w:p>
    <w:p w14:paraId="555F8B06" w14:textId="77777777"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p>
    <w:p w14:paraId="4D65398C" w14:textId="71E0940F" w:rsidR="001F79E3" w:rsidRPr="006A0DEA"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r w:rsidRPr="006A0DEA">
        <w:rPr>
          <w:rFonts w:ascii="Times New Roman" w:hAnsi="Times New Roman"/>
          <w:sz w:val="22"/>
          <w:highlight w:val="lightGray"/>
        </w:rPr>
        <w:t xml:space="preserve">Novartis </w:t>
      </w:r>
      <w:r w:rsidRPr="00F61446">
        <w:rPr>
          <w:rFonts w:ascii="Times New Roman" w:hAnsi="Times New Roman" w:cs="Times New Roman"/>
          <w:sz w:val="22"/>
          <w:szCs w:val="22"/>
          <w:highlight w:val="lightGray"/>
        </w:rPr>
        <w:t>Sverige AB</w:t>
      </w:r>
    </w:p>
    <w:p w14:paraId="3F5D9DE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Torshamnsgatan 48,</w:t>
      </w:r>
    </w:p>
    <w:p w14:paraId="058086C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164 40 Kista,</w:t>
      </w:r>
    </w:p>
    <w:p w14:paraId="2EBF7FE6" w14:textId="082A6810" w:rsidR="001F79E3"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Švedija</w:t>
      </w:r>
    </w:p>
    <w:p w14:paraId="5DE6EE2D" w14:textId="7F4C0F4F" w:rsidR="008A6A96" w:rsidRPr="006A0DEA" w:rsidRDefault="008A6A96" w:rsidP="001F79E3">
      <w:pPr>
        <w:widowControl w:val="0"/>
        <w:numPr>
          <w:ilvl w:val="12"/>
          <w:numId w:val="0"/>
        </w:numPr>
        <w:tabs>
          <w:tab w:val="left" w:pos="720"/>
        </w:tabs>
        <w:spacing w:after="0" w:line="240" w:lineRule="auto"/>
        <w:ind w:right="-2"/>
        <w:rPr>
          <w:rFonts w:ascii="Times New Roman" w:hAnsi="Times New Roman"/>
          <w:sz w:val="22"/>
          <w:highlight w:val="lightGray"/>
        </w:rPr>
      </w:pPr>
    </w:p>
    <w:p w14:paraId="23F4372C" w14:textId="271A933E" w:rsidR="008A6A96" w:rsidRPr="00F61446" w:rsidRDefault="008A6A96"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Pr>
          <w:rFonts w:ascii="Times New Roman" w:hAnsi="Times New Roman" w:cs="Times New Roman"/>
          <w:sz w:val="22"/>
          <w:szCs w:val="22"/>
          <w:highlight w:val="lightGray"/>
        </w:rPr>
        <w:t>arba</w:t>
      </w:r>
    </w:p>
    <w:p w14:paraId="039A5AD9"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p>
    <w:p w14:paraId="539BE476" w14:textId="133A5A98" w:rsidR="001F79E3" w:rsidRPr="00045C11" w:rsidRDefault="001F79E3" w:rsidP="001F79E3">
      <w:pPr>
        <w:widowControl w:val="0"/>
        <w:numPr>
          <w:ilvl w:val="12"/>
          <w:numId w:val="0"/>
        </w:numPr>
        <w:tabs>
          <w:tab w:val="left" w:pos="720"/>
        </w:tabs>
        <w:spacing w:after="0" w:line="240" w:lineRule="auto"/>
        <w:ind w:right="-2"/>
        <w:rPr>
          <w:rFonts w:ascii="Times New Roman" w:hAnsi="Times New Roman"/>
          <w:sz w:val="22"/>
          <w:highlight w:val="lightGray"/>
        </w:rPr>
      </w:pPr>
      <w:r w:rsidRPr="00045C11">
        <w:rPr>
          <w:rFonts w:ascii="Times New Roman" w:hAnsi="Times New Roman"/>
          <w:sz w:val="22"/>
          <w:highlight w:val="lightGray"/>
        </w:rPr>
        <w:t xml:space="preserve">Novartis </w:t>
      </w:r>
      <w:r w:rsidRPr="00F61446">
        <w:rPr>
          <w:rFonts w:ascii="Times New Roman" w:hAnsi="Times New Roman" w:cs="Times New Roman"/>
          <w:sz w:val="22"/>
          <w:szCs w:val="22"/>
          <w:highlight w:val="lightGray"/>
        </w:rPr>
        <w:t>Pharma B.V</w:t>
      </w:r>
      <w:r w:rsidRPr="00045C11">
        <w:rPr>
          <w:rFonts w:ascii="Times New Roman" w:hAnsi="Times New Roman"/>
          <w:sz w:val="22"/>
          <w:highlight w:val="lightGray"/>
        </w:rPr>
        <w:t>.</w:t>
      </w:r>
    </w:p>
    <w:p w14:paraId="1E987476"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Haaksbergweg 16</w:t>
      </w:r>
    </w:p>
    <w:p w14:paraId="59B8946E"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1101 BX Amsterdam</w:t>
      </w:r>
    </w:p>
    <w:p w14:paraId="19231754" w14:textId="77777777" w:rsidR="001F79E3" w:rsidRPr="00F61446"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highlight w:val="lightGray"/>
        </w:rPr>
      </w:pPr>
      <w:r w:rsidRPr="00F61446">
        <w:rPr>
          <w:rFonts w:ascii="Times New Roman" w:hAnsi="Times New Roman" w:cs="Times New Roman"/>
          <w:sz w:val="22"/>
          <w:szCs w:val="22"/>
          <w:highlight w:val="lightGray"/>
        </w:rPr>
        <w:t>Nyderlandai</w:t>
      </w:r>
    </w:p>
    <w:p w14:paraId="30D55084" w14:textId="77777777" w:rsidR="001F79E3" w:rsidRPr="000E27EC" w:rsidRDefault="001F79E3" w:rsidP="001F79E3">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14:paraId="027E952C"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Jeigu apie šį vaistą norite sužinoti daugiau, kreipkitės į vietinį registruotojo atstovą:</w:t>
      </w:r>
    </w:p>
    <w:p w14:paraId="4D2D7BD2"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14:paraId="64F40207"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 xml:space="preserve">SIA Novartis Baltics Lietuvos filialas </w:t>
      </w:r>
    </w:p>
    <w:p w14:paraId="7FFEB61C" w14:textId="683DBE7A" w:rsidR="00E446F1" w:rsidRPr="00375A9D" w:rsidRDefault="00034EF0" w:rsidP="00E446F1">
      <w:pPr>
        <w:widowControl w:val="0"/>
        <w:numPr>
          <w:ilvl w:val="12"/>
          <w:numId w:val="0"/>
        </w:numPr>
        <w:tabs>
          <w:tab w:val="left" w:pos="720"/>
        </w:tabs>
        <w:spacing w:after="0" w:line="240" w:lineRule="auto"/>
        <w:ind w:right="-2"/>
        <w:rPr>
          <w:rFonts w:ascii="Times New Roman" w:hAnsi="Times New Roman"/>
          <w:sz w:val="22"/>
          <w:lang w:val="lt-LT"/>
        </w:rPr>
      </w:pPr>
      <w:r>
        <w:rPr>
          <w:rFonts w:ascii="Times New Roman" w:hAnsi="Times New Roman" w:cs="Times New Roman"/>
          <w:sz w:val="22"/>
          <w:szCs w:val="22"/>
          <w:lang w:val="es-ES"/>
        </w:rPr>
        <w:t>Upės g</w:t>
      </w:r>
      <w:r w:rsidR="00E446F1" w:rsidRPr="000E27EC">
        <w:rPr>
          <w:rFonts w:ascii="Times New Roman" w:hAnsi="Times New Roman" w:cs="Times New Roman"/>
          <w:sz w:val="22"/>
          <w:szCs w:val="22"/>
          <w:lang w:val="es-ES"/>
        </w:rPr>
        <w:t xml:space="preserve">. </w:t>
      </w:r>
      <w:r>
        <w:rPr>
          <w:rFonts w:ascii="Times New Roman" w:hAnsi="Times New Roman" w:cs="Times New Roman"/>
          <w:sz w:val="22"/>
          <w:szCs w:val="22"/>
          <w:lang w:val="es-ES"/>
        </w:rPr>
        <w:t>19</w:t>
      </w:r>
      <w:r w:rsidR="00B733FF">
        <w:rPr>
          <w:rFonts w:ascii="Times New Roman" w:hAnsi="Times New Roman" w:cs="Times New Roman"/>
          <w:sz w:val="22"/>
          <w:szCs w:val="22"/>
          <w:lang w:val="es-ES"/>
        </w:rPr>
        <w:t>-1</w:t>
      </w:r>
    </w:p>
    <w:p w14:paraId="699D3BC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t>LT-</w:t>
      </w:r>
      <w:r w:rsidR="00034EF0" w:rsidRPr="00034EF0">
        <w:rPr>
          <w:rFonts w:ascii="Times New Roman" w:hAnsi="Times New Roman" w:cs="Times New Roman"/>
          <w:sz w:val="22"/>
          <w:szCs w:val="22"/>
        </w:rPr>
        <w:t>08128</w:t>
      </w:r>
      <w:r w:rsidRPr="000E27EC">
        <w:rPr>
          <w:rFonts w:ascii="Times New Roman" w:hAnsi="Times New Roman" w:cs="Times New Roman"/>
          <w:sz w:val="22"/>
          <w:szCs w:val="22"/>
          <w:lang w:val="es-ES"/>
        </w:rPr>
        <w:t>, Vilnius</w:t>
      </w:r>
    </w:p>
    <w:p w14:paraId="500AC81C"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lang w:val="es-ES"/>
        </w:rPr>
      </w:pPr>
      <w:r w:rsidRPr="000E27EC">
        <w:rPr>
          <w:rFonts w:ascii="Times New Roman" w:hAnsi="Times New Roman" w:cs="Times New Roman"/>
          <w:sz w:val="22"/>
          <w:szCs w:val="22"/>
          <w:lang w:val="es-ES"/>
        </w:rPr>
        <w:lastRenderedPageBreak/>
        <w:t>Tel. +370 5 269 16 50</w:t>
      </w:r>
    </w:p>
    <w:p w14:paraId="48ABC851"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lang w:val="es-ES"/>
        </w:rPr>
      </w:pPr>
    </w:p>
    <w:p w14:paraId="0130A5B8" w14:textId="1A567030" w:rsidR="00E446F1" w:rsidRPr="000E27EC" w:rsidRDefault="00E446F1" w:rsidP="00E446F1">
      <w:pPr>
        <w:widowControl w:val="0"/>
        <w:tabs>
          <w:tab w:val="left" w:pos="720"/>
        </w:tabs>
        <w:spacing w:after="0" w:line="240" w:lineRule="auto"/>
        <w:rPr>
          <w:rFonts w:ascii="Times New Roman" w:eastAsia="Calibri" w:hAnsi="Times New Roman" w:cs="Times New Roman"/>
          <w:b/>
          <w:sz w:val="22"/>
          <w:szCs w:val="22"/>
          <w:lang w:val="es-ES"/>
        </w:rPr>
      </w:pPr>
      <w:r w:rsidRPr="000E27EC">
        <w:rPr>
          <w:rFonts w:ascii="Times New Roman" w:hAnsi="Times New Roman" w:cs="Times New Roman"/>
          <w:b/>
          <w:sz w:val="22"/>
          <w:szCs w:val="22"/>
          <w:lang w:val="es-ES"/>
        </w:rPr>
        <w:t>Šis vaistas E</w:t>
      </w:r>
      <w:r w:rsidR="00987843">
        <w:rPr>
          <w:rFonts w:ascii="Times New Roman" w:hAnsi="Times New Roman" w:cs="Times New Roman"/>
          <w:b/>
          <w:sz w:val="22"/>
          <w:szCs w:val="22"/>
          <w:lang w:val="es-ES"/>
        </w:rPr>
        <w:t xml:space="preserve">uropos </w:t>
      </w:r>
      <w:r w:rsidRPr="000E27EC">
        <w:rPr>
          <w:rFonts w:ascii="Times New Roman" w:hAnsi="Times New Roman" w:cs="Times New Roman"/>
          <w:b/>
          <w:sz w:val="22"/>
          <w:szCs w:val="22"/>
          <w:lang w:val="es-ES"/>
        </w:rPr>
        <w:t>E</w:t>
      </w:r>
      <w:r w:rsidR="00987843">
        <w:rPr>
          <w:rFonts w:ascii="Times New Roman" w:hAnsi="Times New Roman" w:cs="Times New Roman"/>
          <w:b/>
          <w:sz w:val="22"/>
          <w:szCs w:val="22"/>
          <w:lang w:val="es-ES"/>
        </w:rPr>
        <w:t xml:space="preserve">konominės </w:t>
      </w:r>
      <w:r w:rsidRPr="000E27EC">
        <w:rPr>
          <w:rFonts w:ascii="Times New Roman" w:hAnsi="Times New Roman" w:cs="Times New Roman"/>
          <w:b/>
          <w:sz w:val="22"/>
          <w:szCs w:val="22"/>
          <w:lang w:val="es-ES"/>
        </w:rPr>
        <w:t>E</w:t>
      </w:r>
      <w:r w:rsidR="00987843">
        <w:rPr>
          <w:rFonts w:ascii="Times New Roman" w:hAnsi="Times New Roman" w:cs="Times New Roman"/>
          <w:b/>
          <w:sz w:val="22"/>
          <w:szCs w:val="22"/>
          <w:lang w:val="es-ES"/>
        </w:rPr>
        <w:t>rdvės</w:t>
      </w:r>
      <w:r w:rsidRPr="000E27EC">
        <w:rPr>
          <w:rFonts w:ascii="Times New Roman" w:hAnsi="Times New Roman" w:cs="Times New Roman"/>
          <w:b/>
          <w:sz w:val="22"/>
          <w:szCs w:val="22"/>
          <w:lang w:val="es-ES"/>
        </w:rPr>
        <w:t xml:space="preserve"> valstybėse narėse</w:t>
      </w:r>
      <w:r w:rsidR="00987843">
        <w:rPr>
          <w:rFonts w:ascii="Times New Roman" w:hAnsi="Times New Roman" w:cs="Times New Roman"/>
          <w:b/>
          <w:sz w:val="22"/>
          <w:szCs w:val="22"/>
          <w:lang w:val="es-ES"/>
        </w:rPr>
        <w:t xml:space="preserve"> </w:t>
      </w:r>
      <w:r w:rsidRPr="000E27EC">
        <w:rPr>
          <w:rFonts w:ascii="Times New Roman" w:hAnsi="Times New Roman" w:cs="Times New Roman"/>
          <w:b/>
          <w:sz w:val="22"/>
          <w:szCs w:val="22"/>
          <w:lang w:val="es-ES"/>
        </w:rPr>
        <w:t>registruotas tokiais pavadinimais:</w:t>
      </w:r>
    </w:p>
    <w:p w14:paraId="42523299" w14:textId="77777777" w:rsidR="00E446F1" w:rsidRPr="000E27EC" w:rsidRDefault="00E446F1" w:rsidP="00E446F1">
      <w:pPr>
        <w:widowControl w:val="0"/>
        <w:tabs>
          <w:tab w:val="left" w:pos="720"/>
        </w:tabs>
        <w:spacing w:after="0" w:line="240" w:lineRule="auto"/>
        <w:rPr>
          <w:rFonts w:ascii="Times New Roman" w:hAnsi="Times New Roman" w:cs="Times New Roman"/>
          <w:b/>
          <w:sz w:val="22"/>
          <w:szCs w:val="22"/>
          <w:lang w:val="es-ES"/>
        </w:rPr>
      </w:pPr>
    </w:p>
    <w:tbl>
      <w:tblPr>
        <w:tblW w:w="0" w:type="auto"/>
        <w:tblLook w:val="01E0" w:firstRow="1" w:lastRow="1" w:firstColumn="1" w:lastColumn="1" w:noHBand="0" w:noVBand="0"/>
      </w:tblPr>
      <w:tblGrid>
        <w:gridCol w:w="6487"/>
        <w:gridCol w:w="2800"/>
      </w:tblGrid>
      <w:tr w:rsidR="00E446F1" w:rsidRPr="000E27EC" w14:paraId="7F866FA3" w14:textId="77777777" w:rsidTr="00E446F1">
        <w:tc>
          <w:tcPr>
            <w:tcW w:w="6487" w:type="dxa"/>
            <w:hideMark/>
          </w:tcPr>
          <w:p w14:paraId="666BFE9C" w14:textId="4DAE2765" w:rsidR="00E446F1" w:rsidRPr="00F61446" w:rsidRDefault="00E446F1" w:rsidP="00E446F1">
            <w:pPr>
              <w:tabs>
                <w:tab w:val="left" w:pos="720"/>
              </w:tabs>
              <w:spacing w:after="0" w:line="240" w:lineRule="auto"/>
              <w:rPr>
                <w:rFonts w:ascii="Times New Roman" w:hAnsi="Times New Roman" w:cs="Times New Roman"/>
                <w:sz w:val="22"/>
                <w:szCs w:val="22"/>
                <w:lang w:val="lt-LT"/>
              </w:rPr>
            </w:pPr>
            <w:r w:rsidRPr="000E27EC">
              <w:rPr>
                <w:rFonts w:ascii="Times New Roman" w:hAnsi="Times New Roman" w:cs="Times New Roman"/>
                <w:sz w:val="22"/>
                <w:szCs w:val="22"/>
                <w:lang w:val="es-ES"/>
              </w:rPr>
              <w:t>Austrija, Bulgarija, Kroatija, Kipras, Čekija, Danija, Estija, Suomija, Vokietija, Graikija, Vengrija, Airija, Islandija, Latvija, Lietuva, Malta, Norvegija, Lenkija, Rumunija, Slovakija, Slovėnija, Ispanija, Švedija</w:t>
            </w:r>
          </w:p>
        </w:tc>
        <w:tc>
          <w:tcPr>
            <w:tcW w:w="2800" w:type="dxa"/>
            <w:hideMark/>
          </w:tcPr>
          <w:p w14:paraId="5813829C"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color w:val="000000"/>
                <w:sz w:val="22"/>
                <w:szCs w:val="22"/>
                <w:lang w:val="en-GB"/>
              </w:rPr>
              <w:t>Sandostatin</w:t>
            </w:r>
          </w:p>
        </w:tc>
      </w:tr>
      <w:tr w:rsidR="00E446F1" w:rsidRPr="000E27EC" w14:paraId="346F5CDA" w14:textId="77777777" w:rsidTr="00E446F1">
        <w:tc>
          <w:tcPr>
            <w:tcW w:w="6487" w:type="dxa"/>
            <w:hideMark/>
          </w:tcPr>
          <w:p w14:paraId="6375BFAB" w14:textId="77777777" w:rsidR="00E446F1" w:rsidRPr="000E27EC" w:rsidRDefault="00E446F1" w:rsidP="00E446F1">
            <w:pPr>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Belgija, Prancūzija, Liuksemburgas, Nyderlandai</w:t>
            </w:r>
          </w:p>
        </w:tc>
        <w:tc>
          <w:tcPr>
            <w:tcW w:w="2800" w:type="dxa"/>
            <w:hideMark/>
          </w:tcPr>
          <w:p w14:paraId="3746DBE9"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lang w:val="en-GB"/>
              </w:rPr>
              <w:t xml:space="preserve">Sandostatine </w:t>
            </w:r>
          </w:p>
        </w:tc>
      </w:tr>
      <w:tr w:rsidR="00E446F1" w:rsidRPr="000E27EC" w14:paraId="1109E65F" w14:textId="77777777" w:rsidTr="00E446F1">
        <w:tc>
          <w:tcPr>
            <w:tcW w:w="6487" w:type="dxa"/>
            <w:hideMark/>
          </w:tcPr>
          <w:p w14:paraId="2F49DD8E" w14:textId="77777777" w:rsidR="00E446F1" w:rsidRPr="000E27EC" w:rsidRDefault="00E446F1" w:rsidP="00E446F1">
            <w:pPr>
              <w:tabs>
                <w:tab w:val="left" w:pos="720"/>
              </w:tabs>
              <w:spacing w:after="0" w:line="240" w:lineRule="auto"/>
              <w:rPr>
                <w:rFonts w:ascii="Times New Roman" w:hAnsi="Times New Roman" w:cs="Times New Roman"/>
                <w:sz w:val="22"/>
                <w:szCs w:val="22"/>
              </w:rPr>
            </w:pPr>
            <w:r w:rsidRPr="000E27EC">
              <w:rPr>
                <w:rFonts w:ascii="Times New Roman" w:hAnsi="Times New Roman" w:cs="Times New Roman"/>
                <w:sz w:val="22"/>
                <w:szCs w:val="22"/>
              </w:rPr>
              <w:t>Italija, Portugalija</w:t>
            </w:r>
          </w:p>
        </w:tc>
        <w:tc>
          <w:tcPr>
            <w:tcW w:w="2800" w:type="dxa"/>
            <w:hideMark/>
          </w:tcPr>
          <w:p w14:paraId="3FC55991" w14:textId="77777777" w:rsidR="00E446F1" w:rsidRPr="000E27EC" w:rsidRDefault="00E446F1" w:rsidP="00E446F1">
            <w:p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pacing w:val="-3"/>
                <w:sz w:val="22"/>
                <w:szCs w:val="22"/>
                <w:lang w:val="en-GB"/>
              </w:rPr>
              <w:t xml:space="preserve">Sandostatina </w:t>
            </w:r>
          </w:p>
        </w:tc>
      </w:tr>
    </w:tbl>
    <w:p w14:paraId="43D7840F"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DF1FA1B" w14:textId="0C238907" w:rsidR="00E446F1" w:rsidRPr="000E27EC" w:rsidRDefault="00E446F1" w:rsidP="00E446F1">
      <w:pPr>
        <w:widowControl w:val="0"/>
        <w:numPr>
          <w:ilvl w:val="12"/>
          <w:numId w:val="0"/>
        </w:numPr>
        <w:tabs>
          <w:tab w:val="left" w:pos="720"/>
        </w:tabs>
        <w:spacing w:after="0" w:line="240" w:lineRule="auto"/>
        <w:ind w:right="-2"/>
        <w:outlineLvl w:val="0"/>
        <w:rPr>
          <w:rFonts w:ascii="Times New Roman" w:eastAsia="Calibri" w:hAnsi="Times New Roman" w:cs="Times New Roman"/>
          <w:b/>
          <w:sz w:val="22"/>
          <w:szCs w:val="22"/>
        </w:rPr>
      </w:pPr>
      <w:r w:rsidRPr="000E27EC">
        <w:rPr>
          <w:rFonts w:ascii="Times New Roman" w:hAnsi="Times New Roman" w:cs="Times New Roman"/>
          <w:b/>
          <w:sz w:val="22"/>
          <w:szCs w:val="22"/>
        </w:rPr>
        <w:t>Šis pakuotės lapelis paskutinį kartą peržiūrėtas</w:t>
      </w:r>
      <w:r w:rsidR="009342F9">
        <w:rPr>
          <w:rFonts w:ascii="Times New Roman" w:hAnsi="Times New Roman" w:cs="Times New Roman"/>
          <w:b/>
          <w:sz w:val="22"/>
          <w:szCs w:val="22"/>
        </w:rPr>
        <w:t xml:space="preserve"> </w:t>
      </w:r>
      <w:r w:rsidR="00BE5BAE">
        <w:rPr>
          <w:rFonts w:ascii="Times New Roman" w:hAnsi="Times New Roman" w:cs="Times New Roman"/>
          <w:b/>
          <w:sz w:val="22"/>
          <w:szCs w:val="22"/>
        </w:rPr>
        <w:t>202</w:t>
      </w:r>
      <w:r w:rsidR="00C60073">
        <w:rPr>
          <w:rFonts w:ascii="Times New Roman" w:hAnsi="Times New Roman" w:cs="Times New Roman"/>
          <w:b/>
          <w:sz w:val="22"/>
          <w:szCs w:val="22"/>
        </w:rPr>
        <w:t>4-</w:t>
      </w:r>
      <w:r w:rsidR="00E34486">
        <w:rPr>
          <w:rFonts w:ascii="Times New Roman" w:hAnsi="Times New Roman" w:cs="Times New Roman"/>
          <w:b/>
          <w:sz w:val="22"/>
          <w:szCs w:val="22"/>
        </w:rPr>
        <w:t>10</w:t>
      </w:r>
      <w:r w:rsidR="00C60073">
        <w:rPr>
          <w:rFonts w:ascii="Times New Roman" w:hAnsi="Times New Roman" w:cs="Times New Roman"/>
          <w:b/>
          <w:sz w:val="22"/>
          <w:szCs w:val="22"/>
        </w:rPr>
        <w:t>-</w:t>
      </w:r>
      <w:r w:rsidR="00E34486">
        <w:rPr>
          <w:rFonts w:ascii="Times New Roman" w:hAnsi="Times New Roman" w:cs="Times New Roman"/>
          <w:b/>
          <w:sz w:val="22"/>
          <w:szCs w:val="22"/>
        </w:rPr>
        <w:t>09</w:t>
      </w:r>
      <w:r w:rsidR="000E27EC" w:rsidRPr="000E27EC">
        <w:rPr>
          <w:rFonts w:ascii="Times New Roman" w:hAnsi="Times New Roman" w:cs="Times New Roman"/>
          <w:b/>
          <w:sz w:val="22"/>
          <w:szCs w:val="22"/>
        </w:rPr>
        <w:t>.</w:t>
      </w:r>
      <w:r w:rsidRPr="000E27EC">
        <w:rPr>
          <w:rFonts w:ascii="Times New Roman" w:hAnsi="Times New Roman" w:cs="Times New Roman"/>
          <w:b/>
          <w:sz w:val="22"/>
          <w:szCs w:val="22"/>
        </w:rPr>
        <w:t xml:space="preserve"> </w:t>
      </w:r>
    </w:p>
    <w:p w14:paraId="0714C2AA"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427CB9F7"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45F71A23" w14:textId="08DA08E2" w:rsidR="00E446F1" w:rsidRPr="000E27EC" w:rsidRDefault="00E446F1" w:rsidP="00E446F1">
      <w:pPr>
        <w:tabs>
          <w:tab w:val="left" w:pos="567"/>
        </w:tabs>
        <w:spacing w:after="0" w:line="240" w:lineRule="auto"/>
        <w:rPr>
          <w:rFonts w:ascii="Times New Roman" w:eastAsia="Calibri" w:hAnsi="Times New Roman" w:cs="Times New Roman"/>
          <w:color w:val="0000FF"/>
          <w:sz w:val="22"/>
          <w:szCs w:val="22"/>
          <w:u w:val="single"/>
        </w:rPr>
      </w:pPr>
      <w:r w:rsidRPr="000E27EC">
        <w:rPr>
          <w:rFonts w:ascii="Times New Roman" w:hAnsi="Times New Roman" w:cs="Times New Roman"/>
          <w:sz w:val="22"/>
          <w:szCs w:val="22"/>
        </w:rPr>
        <w:t xml:space="preserve">Išsami informacija apie šį vaistą pateikiama Valstybinės vaistų kontrolės tarnybos prie Lietuvos Respublikos sveikatos apsaugos ministerijos tinklalapyje </w:t>
      </w:r>
      <w:r w:rsidR="00B733FF" w:rsidRPr="00B733FF">
        <w:rPr>
          <w:rFonts w:ascii="Times New Roman" w:hAnsi="Times New Roman" w:cs="Times New Roman"/>
          <w:color w:val="0000FF"/>
          <w:sz w:val="22"/>
          <w:szCs w:val="22"/>
          <w:u w:val="single"/>
        </w:rPr>
        <w:t>https://vvkt.lrv.lt/lt/.</w:t>
      </w:r>
    </w:p>
    <w:p w14:paraId="33B28FA6" w14:textId="77777777" w:rsidR="00CE52D0" w:rsidRDefault="00CE52D0">
      <w:pPr>
        <w:rPr>
          <w:rFonts w:ascii="Times New Roman" w:hAnsi="Times New Roman" w:cs="Times New Roman"/>
          <w:sz w:val="22"/>
          <w:szCs w:val="22"/>
        </w:rPr>
      </w:pPr>
    </w:p>
    <w:p w14:paraId="643DB276" w14:textId="77777777" w:rsidR="00E446F1" w:rsidRPr="000E27EC" w:rsidRDefault="00E446F1" w:rsidP="00E446F1">
      <w:pPr>
        <w:keepNext/>
        <w:numPr>
          <w:ilvl w:val="12"/>
          <w:numId w:val="0"/>
        </w:numPr>
        <w:tabs>
          <w:tab w:val="left" w:pos="720"/>
        </w:tabs>
        <w:spacing w:after="0" w:line="240" w:lineRule="auto"/>
        <w:rPr>
          <w:rFonts w:ascii="Times New Roman" w:eastAsia="Calibri" w:hAnsi="Times New Roman" w:cs="Times New Roman"/>
          <w:sz w:val="22"/>
          <w:szCs w:val="22"/>
        </w:rPr>
      </w:pPr>
      <w:r w:rsidRPr="000E27EC">
        <w:rPr>
          <w:rFonts w:ascii="Times New Roman" w:hAnsi="Times New Roman" w:cs="Times New Roman"/>
          <w:sz w:val="22"/>
          <w:szCs w:val="22"/>
        </w:rPr>
        <w:t>Toliau pateikta informacija skirta tik sveikatos priežiūros specialistams:</w:t>
      </w:r>
    </w:p>
    <w:p w14:paraId="2DF44CEF" w14:textId="77777777" w:rsidR="00E446F1" w:rsidRPr="000E27EC" w:rsidRDefault="00E446F1" w:rsidP="00E446F1">
      <w:pPr>
        <w:keepNext/>
        <w:numPr>
          <w:ilvl w:val="12"/>
          <w:numId w:val="0"/>
        </w:numPr>
        <w:tabs>
          <w:tab w:val="left" w:pos="720"/>
        </w:tabs>
        <w:spacing w:after="0" w:line="240" w:lineRule="auto"/>
        <w:rPr>
          <w:rFonts w:ascii="Times New Roman" w:hAnsi="Times New Roman" w:cs="Times New Roman"/>
          <w:sz w:val="22"/>
          <w:szCs w:val="22"/>
        </w:rPr>
      </w:pPr>
    </w:p>
    <w:p w14:paraId="10382E2A" w14:textId="77777777" w:rsidR="00E446F1" w:rsidRPr="000E27EC" w:rsidRDefault="00E446F1" w:rsidP="00E446F1">
      <w:pPr>
        <w:keepNext/>
        <w:numPr>
          <w:ilvl w:val="0"/>
          <w:numId w:val="19"/>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Infuzija į veną (sveikatos priežiūros specialistams)</w:t>
      </w:r>
    </w:p>
    <w:p w14:paraId="564FC3B8" w14:textId="77777777" w:rsidR="00E446F1" w:rsidRPr="000E27EC" w:rsidRDefault="00E446F1" w:rsidP="00E446F1">
      <w:pPr>
        <w:keepNext/>
        <w:widowControl w:val="0"/>
        <w:tabs>
          <w:tab w:val="left" w:pos="720"/>
        </w:tabs>
        <w:spacing w:after="0" w:line="240" w:lineRule="auto"/>
        <w:rPr>
          <w:rFonts w:ascii="Times New Roman" w:hAnsi="Times New Roman" w:cs="Times New Roman"/>
          <w:sz w:val="22"/>
          <w:szCs w:val="22"/>
        </w:rPr>
      </w:pPr>
    </w:p>
    <w:p w14:paraId="4D14481A"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Prieš vartojant vaistinio preparato reikia patikrinti, ar tirpale nėra dalelių ir ar nepakitusi jo spalva. Pastebėjus ką nors neįprasto, tirpalo vartoti negalima. Infuzijai į veną vaistinis preparatas turi būti praskiedžiamas prieš pat vartojimą.</w:t>
      </w:r>
    </w:p>
    <w:p w14:paraId="1E1EFA9E"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Sandostatin (oktreotido acetato) tirpalas, praskiestas steriliu fiziologiniu natrio chlorido ar steriliu 5 % dekstrozės (gliukozės) vandeniniu tirpalu, fiziškai ir chemiškai išlieka stabilus 24 valandas. Kadangi Sandostatin gali įtakoti gliukozės homeostazę, todėl </w:t>
      </w:r>
      <w:r w:rsidR="00CE52D0" w:rsidRPr="00CE52D0">
        <w:rPr>
          <w:rFonts w:ascii="Times New Roman" w:hAnsi="Times New Roman" w:cs="Times New Roman"/>
          <w:sz w:val="22"/>
          <w:szCs w:val="22"/>
          <w:lang w:val="it-IT"/>
        </w:rPr>
        <w:t>vaistini</w:t>
      </w:r>
      <w:r w:rsidR="00CE52D0">
        <w:rPr>
          <w:rFonts w:ascii="Times New Roman" w:hAnsi="Times New Roman" w:cs="Times New Roman"/>
          <w:sz w:val="22"/>
          <w:szCs w:val="22"/>
          <w:lang w:val="it-IT"/>
        </w:rPr>
        <w:t>am</w:t>
      </w:r>
      <w:r w:rsidR="00CE52D0" w:rsidRPr="00CE52D0">
        <w:rPr>
          <w:rFonts w:ascii="Times New Roman" w:hAnsi="Times New Roman" w:cs="Times New Roman"/>
          <w:sz w:val="22"/>
          <w:szCs w:val="22"/>
          <w:lang w:val="it-IT"/>
        </w:rPr>
        <w:t xml:space="preserve"> preparat</w:t>
      </w:r>
      <w:r w:rsidR="00CE52D0">
        <w:rPr>
          <w:rFonts w:ascii="Times New Roman" w:hAnsi="Times New Roman" w:cs="Times New Roman"/>
          <w:sz w:val="22"/>
          <w:szCs w:val="22"/>
          <w:lang w:val="it-IT"/>
        </w:rPr>
        <w:t>ui</w:t>
      </w:r>
      <w:r w:rsidR="00CE52D0" w:rsidRPr="00CE52D0">
        <w:rPr>
          <w:rFonts w:ascii="Times New Roman" w:hAnsi="Times New Roman" w:cs="Times New Roman"/>
          <w:sz w:val="22"/>
          <w:szCs w:val="22"/>
          <w:lang w:val="it-IT"/>
        </w:rPr>
        <w:t xml:space="preserve"> </w:t>
      </w:r>
      <w:r w:rsidRPr="000E27EC">
        <w:rPr>
          <w:rFonts w:ascii="Times New Roman" w:hAnsi="Times New Roman" w:cs="Times New Roman"/>
          <w:sz w:val="22"/>
          <w:szCs w:val="22"/>
        </w:rPr>
        <w:t>skiesti rekomenduojama geriau vartoti fiziologinį natrio chlorido tirpalą nei dekstrozės tirpalą. Praskiestas tirpalas fiziškai ir chemiškai išlieka stabilus mažiausiai 24 valandas, jei laikomas žemesnėje kaip 25 °C temperatūroje. Mikrobiologiniu požiūriu, praskiestą tirpalą suvartoti nedelsiant. Jeigu nevartojama iškart, už laikymo trukmę ir sąlygas prieš vartojimą, atsakingas vartotojas.</w:t>
      </w:r>
    </w:p>
    <w:p w14:paraId="25814BD4"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b/>
          <w:sz w:val="22"/>
          <w:szCs w:val="22"/>
        </w:rPr>
      </w:pPr>
    </w:p>
    <w:p w14:paraId="6C46C1FB"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b/>
          <w:sz w:val="22"/>
          <w:szCs w:val="22"/>
        </w:rPr>
      </w:pPr>
    </w:p>
    <w:p w14:paraId="718C9C56"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b/>
          <w:sz w:val="22"/>
          <w:szCs w:val="22"/>
        </w:rPr>
      </w:pPr>
      <w:r w:rsidRPr="000E27EC">
        <w:rPr>
          <w:rFonts w:ascii="Times New Roman" w:hAnsi="Times New Roman" w:cs="Times New Roman"/>
          <w:b/>
          <w:sz w:val="22"/>
          <w:szCs w:val="22"/>
        </w:rPr>
        <w:t>Kokią Sandostatin dozę vartoti</w:t>
      </w:r>
    </w:p>
    <w:p w14:paraId="3A568DA6"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2584DD44" w14:textId="77777777" w:rsidR="00E446F1" w:rsidRPr="000E27EC" w:rsidRDefault="00E446F1" w:rsidP="00E446F1">
      <w:pPr>
        <w:widowControl w:val="0"/>
        <w:numPr>
          <w:ilvl w:val="12"/>
          <w:numId w:val="0"/>
        </w:numPr>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Skiriama Sandostatin dozė priklauso nuo gydomos būklės.</w:t>
      </w:r>
    </w:p>
    <w:p w14:paraId="752949E0"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4C03FDDA" w14:textId="77777777" w:rsidR="00E446F1" w:rsidRPr="000E27EC" w:rsidRDefault="00E446F1" w:rsidP="00E446F1">
      <w:pPr>
        <w:keepNext/>
        <w:widowControl w:val="0"/>
        <w:numPr>
          <w:ilvl w:val="0"/>
          <w:numId w:val="19"/>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Akromegalija</w:t>
      </w:r>
    </w:p>
    <w:p w14:paraId="502E6830"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Gydymas paprastai pradedamas skiriant po 0,05–0,1 mg dozę kas 8 arba 12 valandų injekcijos po oda būdu. Vėliau dozė koreguojama atsižvelgiant į sukeliamą poveikį bei simptomų, pvz., nuovargio, prakaitavimo ir galvos skausmo, sumažėjimą. </w:t>
      </w:r>
      <w:r w:rsidRPr="000E27EC">
        <w:rPr>
          <w:rFonts w:ascii="Times New Roman" w:hAnsi="Times New Roman" w:cs="Times New Roman"/>
          <w:sz w:val="22"/>
          <w:szCs w:val="22"/>
          <w:lang w:val="it-IT"/>
        </w:rPr>
        <w:t xml:space="preserve">Daugeliui pacientų optimali vaistinio preparato paros dozė yra po 0,1 mg tris kartus per parą. </w:t>
      </w:r>
      <w:r w:rsidRPr="000E27EC">
        <w:rPr>
          <w:rFonts w:ascii="Times New Roman" w:hAnsi="Times New Roman" w:cs="Times New Roman"/>
          <w:sz w:val="22"/>
          <w:szCs w:val="22"/>
        </w:rPr>
        <w:t xml:space="preserve">Didžiausios 1,5 mg paros dozės viršyti negalima. </w:t>
      </w:r>
    </w:p>
    <w:p w14:paraId="1F5FEB08"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DC85378" w14:textId="77777777" w:rsidR="00E446F1" w:rsidRPr="000E27EC" w:rsidRDefault="00E446F1" w:rsidP="00E446F1">
      <w:pPr>
        <w:keepNext/>
        <w:widowControl w:val="0"/>
        <w:numPr>
          <w:ilvl w:val="0"/>
          <w:numId w:val="19"/>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Virškinimo trakto augliai</w:t>
      </w:r>
    </w:p>
    <w:p w14:paraId="4936F9F6"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Gydymas paprastai pradedamas skiriant po 0,05 mg dozę kartą arba du kartus per parą injekcijos po oda būdu. Atsižvelgiant į sukeliamą poveikį bei </w:t>
      </w:r>
      <w:r w:rsidR="00CE52D0"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toleravimą, dozę galima laipsniškai didinti iki po 0,1</w:t>
      </w:r>
      <w:r w:rsidRPr="000E27EC">
        <w:rPr>
          <w:rFonts w:ascii="Times New Roman" w:hAnsi="Times New Roman" w:cs="Times New Roman"/>
          <w:sz w:val="22"/>
          <w:szCs w:val="22"/>
        </w:rPr>
        <w:noBreakHyphen/>
        <w:t>0,2 mg 3</w:t>
      </w:r>
      <w:r w:rsidR="00CE52D0">
        <w:rPr>
          <w:rFonts w:ascii="Times New Roman" w:hAnsi="Times New Roman" w:cs="Times New Roman"/>
          <w:sz w:val="22"/>
          <w:szCs w:val="22"/>
        </w:rPr>
        <w:t> </w:t>
      </w:r>
      <w:r w:rsidRPr="000E27EC">
        <w:rPr>
          <w:rFonts w:ascii="Times New Roman" w:hAnsi="Times New Roman" w:cs="Times New Roman"/>
          <w:sz w:val="22"/>
          <w:szCs w:val="22"/>
        </w:rPr>
        <w:t xml:space="preserve">kartus per parą. Jeigu pacientus, kuriems yra karcinoidinių auglių, gydant didžiausia toleruojama doze, per 1 savaitę ligonio būklė nepagerėja, </w:t>
      </w:r>
      <w:r w:rsidR="00CE52D0"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 xml:space="preserve">vartojimą reikia nutraukti. </w:t>
      </w:r>
    </w:p>
    <w:p w14:paraId="5D202443"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351C0CA3" w14:textId="77777777" w:rsidR="00E446F1" w:rsidRPr="000E27EC" w:rsidRDefault="00E446F1" w:rsidP="00E446F1">
      <w:pPr>
        <w:keepNext/>
        <w:widowControl w:val="0"/>
        <w:numPr>
          <w:ilvl w:val="0"/>
          <w:numId w:val="19"/>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Komplikacijų po kasos operacijos profilaktikai</w:t>
      </w:r>
    </w:p>
    <w:p w14:paraId="101D8B14"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Įprasta dozė yra po 0,1 mg tris kartus per parą skiriant injekcijos po oda būdu 1 savaitę; gydymas pradedamas likus ne mažiau kaip valandai iki operacijos.</w:t>
      </w:r>
    </w:p>
    <w:p w14:paraId="586D4B24"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73E88BDA" w14:textId="77777777" w:rsidR="00E446F1" w:rsidRPr="000E27EC" w:rsidRDefault="00E446F1" w:rsidP="00E446F1">
      <w:pPr>
        <w:keepNext/>
        <w:widowControl w:val="0"/>
        <w:numPr>
          <w:ilvl w:val="0"/>
          <w:numId w:val="19"/>
        </w:numPr>
        <w:tabs>
          <w:tab w:val="clear" w:pos="357"/>
          <w:tab w:val="left" w:pos="-2268"/>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lastRenderedPageBreak/>
        <w:t>Kraujavimas iš varikozinių skrandžio ir stemplės mazgų</w:t>
      </w:r>
    </w:p>
    <w:p w14:paraId="3B4A19FD"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 xml:space="preserve">Rekomenduojama </w:t>
      </w:r>
      <w:r w:rsidR="00CE52D0" w:rsidRPr="00CE52D0">
        <w:rPr>
          <w:rFonts w:ascii="Times New Roman" w:hAnsi="Times New Roman" w:cs="Times New Roman"/>
          <w:sz w:val="22"/>
          <w:szCs w:val="22"/>
          <w:lang w:val="it-IT"/>
        </w:rPr>
        <w:t xml:space="preserve">vaistinio preparato </w:t>
      </w:r>
      <w:r w:rsidRPr="000E27EC">
        <w:rPr>
          <w:rFonts w:ascii="Times New Roman" w:hAnsi="Times New Roman" w:cs="Times New Roman"/>
          <w:sz w:val="22"/>
          <w:szCs w:val="22"/>
        </w:rPr>
        <w:t xml:space="preserve">skirti nuolatinės intraveninės infuzijos būdu 25 mikrogramų per valandą greičiu 5 dienas. Gydymo metu būtina reguliariai tirti cukraus koncentraciją kraujyje. </w:t>
      </w:r>
    </w:p>
    <w:p w14:paraId="24D3D90D" w14:textId="77777777" w:rsidR="00E446F1" w:rsidRPr="000E27EC" w:rsidRDefault="00E446F1" w:rsidP="00E446F1">
      <w:pPr>
        <w:widowControl w:val="0"/>
        <w:numPr>
          <w:ilvl w:val="12"/>
          <w:numId w:val="0"/>
        </w:numPr>
        <w:tabs>
          <w:tab w:val="left" w:pos="720"/>
        </w:tabs>
        <w:spacing w:after="0" w:line="240" w:lineRule="auto"/>
        <w:ind w:right="-2"/>
        <w:rPr>
          <w:rFonts w:ascii="Times New Roman" w:hAnsi="Times New Roman" w:cs="Times New Roman"/>
          <w:sz w:val="22"/>
          <w:szCs w:val="22"/>
        </w:rPr>
      </w:pPr>
    </w:p>
    <w:p w14:paraId="6E3A8EE7" w14:textId="77777777" w:rsidR="00E446F1" w:rsidRPr="000E27EC" w:rsidRDefault="00E446F1" w:rsidP="00E446F1">
      <w:pPr>
        <w:keepNext/>
        <w:widowControl w:val="0"/>
        <w:numPr>
          <w:ilvl w:val="0"/>
          <w:numId w:val="19"/>
        </w:numPr>
        <w:tabs>
          <w:tab w:val="clear" w:pos="357"/>
          <w:tab w:val="left" w:pos="567"/>
        </w:tabs>
        <w:spacing w:after="0" w:line="240" w:lineRule="auto"/>
        <w:ind w:left="567" w:hanging="567"/>
        <w:rPr>
          <w:rFonts w:ascii="Times New Roman" w:eastAsia="Calibri" w:hAnsi="Times New Roman" w:cs="Times New Roman"/>
          <w:b/>
          <w:sz w:val="22"/>
          <w:szCs w:val="22"/>
        </w:rPr>
      </w:pPr>
      <w:r w:rsidRPr="000E27EC">
        <w:rPr>
          <w:rFonts w:ascii="Times New Roman" w:hAnsi="Times New Roman" w:cs="Times New Roman"/>
          <w:b/>
          <w:sz w:val="22"/>
          <w:szCs w:val="22"/>
        </w:rPr>
        <w:t>TTH sekretuojančios hipofizės adenomos</w:t>
      </w:r>
    </w:p>
    <w:p w14:paraId="5789232F" w14:textId="77777777" w:rsidR="00E446F1" w:rsidRPr="000E27EC" w:rsidRDefault="00E446F1" w:rsidP="00E446F1">
      <w:pPr>
        <w:widowControl w:val="0"/>
        <w:tabs>
          <w:tab w:val="left" w:pos="720"/>
        </w:tabs>
        <w:spacing w:after="0" w:line="240" w:lineRule="auto"/>
        <w:ind w:right="-2"/>
        <w:rPr>
          <w:rFonts w:ascii="Times New Roman" w:eastAsia="Calibri" w:hAnsi="Times New Roman" w:cs="Times New Roman"/>
          <w:sz w:val="22"/>
          <w:szCs w:val="22"/>
        </w:rPr>
      </w:pPr>
      <w:r w:rsidRPr="000E27EC">
        <w:rPr>
          <w:rFonts w:ascii="Times New Roman" w:hAnsi="Times New Roman" w:cs="Times New Roman"/>
          <w:sz w:val="22"/>
          <w:szCs w:val="22"/>
        </w:rPr>
        <w:t>Dažniausiai veiksminga dozė yra po 100 mikrogramų tris kartus per parą leidžiant po oda. Dozę galima koreguoti, atsižvelgiant į TTH ir skydliaukės hormonų koncentracijų pokyčius. Norint nustatyti gydymo veiksmingumą, jį reikia skirti bent 5 dienas.</w:t>
      </w:r>
    </w:p>
    <w:p w14:paraId="4317B83C" w14:textId="77777777" w:rsidR="00FF5FC9" w:rsidRPr="000E27EC" w:rsidRDefault="00FF5FC9">
      <w:pPr>
        <w:rPr>
          <w:rFonts w:ascii="Times New Roman" w:hAnsi="Times New Roman" w:cs="Times New Roman"/>
          <w:sz w:val="22"/>
          <w:szCs w:val="22"/>
        </w:rPr>
      </w:pPr>
    </w:p>
    <w:sectPr w:rsidR="00FF5FC9" w:rsidRPr="000E27EC" w:rsidSect="00E446F1">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EE3A53" w14:textId="77777777" w:rsidR="00521AA1" w:rsidRDefault="00521AA1" w:rsidP="00FD5A03">
      <w:pPr>
        <w:spacing w:after="0" w:line="240" w:lineRule="auto"/>
      </w:pPr>
      <w:r>
        <w:separator/>
      </w:r>
    </w:p>
  </w:endnote>
  <w:endnote w:type="continuationSeparator" w:id="0">
    <w:p w14:paraId="408BCBA5" w14:textId="77777777" w:rsidR="00521AA1" w:rsidRDefault="00521AA1" w:rsidP="00FD5A03">
      <w:pPr>
        <w:spacing w:after="0" w:line="240" w:lineRule="auto"/>
      </w:pPr>
      <w:r>
        <w:continuationSeparator/>
      </w:r>
    </w:p>
  </w:endnote>
  <w:endnote w:type="continuationNotice" w:id="1">
    <w:p w14:paraId="60E05E42" w14:textId="77777777" w:rsidR="00521AA1" w:rsidRDefault="00521A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C00D24" w14:textId="77777777" w:rsidR="0017427E" w:rsidRDefault="0017427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7DD2FA" w14:textId="77777777" w:rsidR="00521AA1" w:rsidRDefault="00521AA1" w:rsidP="00FD5A03">
      <w:pPr>
        <w:spacing w:after="0" w:line="240" w:lineRule="auto"/>
      </w:pPr>
      <w:r>
        <w:separator/>
      </w:r>
    </w:p>
  </w:footnote>
  <w:footnote w:type="continuationSeparator" w:id="0">
    <w:p w14:paraId="742C3F87" w14:textId="77777777" w:rsidR="00521AA1" w:rsidRDefault="00521AA1" w:rsidP="00FD5A03">
      <w:pPr>
        <w:spacing w:after="0" w:line="240" w:lineRule="auto"/>
      </w:pPr>
      <w:r>
        <w:continuationSeparator/>
      </w:r>
    </w:p>
  </w:footnote>
  <w:footnote w:type="continuationNotice" w:id="1">
    <w:p w14:paraId="43EF4DE1" w14:textId="77777777" w:rsidR="00521AA1" w:rsidRDefault="00521AA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DA19DF" w14:textId="77777777" w:rsidR="0017427E" w:rsidRDefault="0017427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DE656E"/>
    <w:lvl w:ilvl="0">
      <w:numFmt w:val="decimal"/>
      <w:lvlText w:val="*"/>
      <w:lvlJc w:val="left"/>
      <w:pPr>
        <w:ind w:left="0" w:firstLine="0"/>
      </w:pPr>
    </w:lvl>
  </w:abstractNum>
  <w:abstractNum w:abstractNumId="1" w15:restartNumberingAfterBreak="0">
    <w:nsid w:val="085F4D74"/>
    <w:multiLevelType w:val="multilevel"/>
    <w:tmpl w:val="A02E932A"/>
    <w:styleLink w:val="BulletsAgency"/>
    <w:lvl w:ilvl="0">
      <w:start w:val="1"/>
      <w:numFmt w:val="bullet"/>
      <w:lvlText w:val=""/>
      <w:lvlJc w:val="left"/>
      <w:pPr>
        <w:tabs>
          <w:tab w:val="num" w:pos="357"/>
        </w:tabs>
        <w:ind w:left="357" w:hanging="357"/>
      </w:pPr>
      <w:rPr>
        <w:rFonts w:ascii="Symbol" w:hAnsi="Symbol" w:hint="default"/>
        <w:color w:val="003399"/>
        <w:sz w:val="18"/>
      </w:rPr>
    </w:lvl>
    <w:lvl w:ilvl="1">
      <w:start w:val="1"/>
      <w:numFmt w:val="bullet"/>
      <w:lvlText w:val=""/>
      <w:lvlJc w:val="left"/>
      <w:pPr>
        <w:tabs>
          <w:tab w:val="num" w:pos="720"/>
        </w:tabs>
        <w:ind w:left="720" w:hanging="363"/>
      </w:pPr>
      <w:rPr>
        <w:rFonts w:ascii="Symbol" w:hAnsi="Symbol" w:hint="default"/>
        <w:color w:val="003399"/>
      </w:rPr>
    </w:lvl>
    <w:lvl w:ilvl="2">
      <w:start w:val="1"/>
      <w:numFmt w:val="none"/>
      <w:lvlText w:val=""/>
      <w:lvlJc w:val="left"/>
      <w:pPr>
        <w:tabs>
          <w:tab w:val="num" w:pos="720"/>
        </w:tabs>
        <w:ind w:left="720" w:firstLine="0"/>
      </w:pPr>
    </w:lvl>
    <w:lvl w:ilvl="3">
      <w:start w:val="1"/>
      <w:numFmt w:val="none"/>
      <w:lvlText w:val=""/>
      <w:lvlJc w:val="left"/>
      <w:pPr>
        <w:tabs>
          <w:tab w:val="num" w:pos="720"/>
        </w:tabs>
        <w:ind w:left="720" w:firstLine="0"/>
      </w:pPr>
    </w:lvl>
    <w:lvl w:ilvl="4">
      <w:start w:val="1"/>
      <w:numFmt w:val="none"/>
      <w:lvlText w:val=""/>
      <w:lvlJc w:val="left"/>
      <w:pPr>
        <w:tabs>
          <w:tab w:val="num" w:pos="720"/>
        </w:tabs>
        <w:ind w:left="720" w:firstLine="0"/>
      </w:pPr>
    </w:lvl>
    <w:lvl w:ilvl="5">
      <w:start w:val="1"/>
      <w:numFmt w:val="none"/>
      <w:lvlText w:val=""/>
      <w:lvlJc w:val="left"/>
      <w:pPr>
        <w:tabs>
          <w:tab w:val="num" w:pos="720"/>
        </w:tabs>
        <w:ind w:left="720" w:firstLine="0"/>
      </w:pPr>
    </w:lvl>
    <w:lvl w:ilvl="6">
      <w:start w:val="1"/>
      <w:numFmt w:val="none"/>
      <w:lvlText w:val=""/>
      <w:lvlJc w:val="left"/>
      <w:pPr>
        <w:tabs>
          <w:tab w:val="num" w:pos="720"/>
        </w:tabs>
        <w:ind w:left="720" w:firstLine="0"/>
      </w:pPr>
    </w:lvl>
    <w:lvl w:ilvl="7">
      <w:start w:val="1"/>
      <w:numFmt w:val="none"/>
      <w:lvlText w:val=""/>
      <w:lvlJc w:val="left"/>
      <w:pPr>
        <w:tabs>
          <w:tab w:val="num" w:pos="720"/>
        </w:tabs>
        <w:ind w:left="720" w:firstLine="0"/>
      </w:pPr>
    </w:lvl>
    <w:lvl w:ilvl="8">
      <w:start w:val="1"/>
      <w:numFmt w:val="none"/>
      <w:lvlText w:val=""/>
      <w:lvlJc w:val="left"/>
      <w:pPr>
        <w:tabs>
          <w:tab w:val="num" w:pos="720"/>
        </w:tabs>
        <w:ind w:left="720" w:firstLine="0"/>
      </w:pPr>
    </w:lvl>
  </w:abstractNum>
  <w:abstractNum w:abstractNumId="2" w15:restartNumberingAfterBreak="0">
    <w:nsid w:val="0A127BC8"/>
    <w:multiLevelType w:val="multilevel"/>
    <w:tmpl w:val="A66AC686"/>
    <w:lvl w:ilvl="0">
      <w:start w:val="1"/>
      <w:numFmt w:val="decimal"/>
      <w:pStyle w:val="TableheadingAgency"/>
      <w:suff w:val="space"/>
      <w:lvlText w:val="Table %1. "/>
      <w:lvlJc w:val="left"/>
      <w:pPr>
        <w:ind w:left="0" w:firstLine="0"/>
      </w:pPr>
      <w:rPr>
        <w:rFonts w:ascii="Verdana" w:hAnsi="Verdana" w:hint="default"/>
        <w:b/>
        <w:i w:val="0"/>
        <w:sz w:val="18"/>
        <w:szCs w:val="18"/>
      </w:rPr>
    </w:lvl>
    <w:lvl w:ilvl="1">
      <w:start w:val="1"/>
      <w:numFmt w:val="decimalZero"/>
      <w:isLgl/>
      <w:lvlText w:val="%1Section .%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 w15:restartNumberingAfterBreak="0">
    <w:nsid w:val="0E7A0AF4"/>
    <w:multiLevelType w:val="multilevel"/>
    <w:tmpl w:val="14DA7716"/>
    <w:lvl w:ilvl="0">
      <w:start w:val="1"/>
      <w:numFmt w:val="decimal"/>
      <w:pStyle w:val="FigureheadingAgency"/>
      <w:suff w:val="space"/>
      <w:lvlText w:val="Figure %1. "/>
      <w:lvlJc w:val="left"/>
      <w:pPr>
        <w:ind w:left="432" w:hanging="432"/>
      </w:pPr>
      <w:rPr>
        <w:rFonts w:ascii="Verdana" w:hAnsi="Verdana" w:hint="default"/>
        <w:b/>
        <w:i w:val="0"/>
        <w:color w:val="auto"/>
        <w:sz w:val="18"/>
        <w:szCs w:val="18"/>
      </w:r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F247F1B"/>
    <w:multiLevelType w:val="hybridMultilevel"/>
    <w:tmpl w:val="DB2E110A"/>
    <w:lvl w:ilvl="0" w:tplc="63BA640E">
      <w:start w:val="1"/>
      <w:numFmt w:val="upperLetter"/>
      <w:lvlText w:val="%1."/>
      <w:lvlJc w:val="left"/>
      <w:pPr>
        <w:ind w:left="720" w:hanging="360"/>
      </w:pPr>
      <w:rPr>
        <w:b/>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start w:val="1"/>
      <w:numFmt w:val="decimal"/>
      <w:lvlText w:val="%4."/>
      <w:lvlJc w:val="left"/>
      <w:pPr>
        <w:ind w:left="2880" w:hanging="360"/>
      </w:pPr>
    </w:lvl>
    <w:lvl w:ilvl="4" w:tplc="04270019">
      <w:start w:val="1"/>
      <w:numFmt w:val="lowerLetter"/>
      <w:lvlText w:val="%5."/>
      <w:lvlJc w:val="left"/>
      <w:pPr>
        <w:ind w:left="3600" w:hanging="360"/>
      </w:pPr>
    </w:lvl>
    <w:lvl w:ilvl="5" w:tplc="0427001B">
      <w:start w:val="1"/>
      <w:numFmt w:val="lowerRoman"/>
      <w:lvlText w:val="%6."/>
      <w:lvlJc w:val="right"/>
      <w:pPr>
        <w:ind w:left="4320" w:hanging="180"/>
      </w:pPr>
    </w:lvl>
    <w:lvl w:ilvl="6" w:tplc="0427000F">
      <w:start w:val="1"/>
      <w:numFmt w:val="decimal"/>
      <w:lvlText w:val="%7."/>
      <w:lvlJc w:val="left"/>
      <w:pPr>
        <w:ind w:left="5040" w:hanging="360"/>
      </w:pPr>
    </w:lvl>
    <w:lvl w:ilvl="7" w:tplc="04270019">
      <w:start w:val="1"/>
      <w:numFmt w:val="lowerLetter"/>
      <w:lvlText w:val="%8."/>
      <w:lvlJc w:val="left"/>
      <w:pPr>
        <w:ind w:left="5760" w:hanging="360"/>
      </w:pPr>
    </w:lvl>
    <w:lvl w:ilvl="8" w:tplc="0427001B">
      <w:start w:val="1"/>
      <w:numFmt w:val="lowerRoman"/>
      <w:lvlText w:val="%9."/>
      <w:lvlJc w:val="right"/>
      <w:pPr>
        <w:ind w:left="6480" w:hanging="180"/>
      </w:pPr>
    </w:lvl>
  </w:abstractNum>
  <w:abstractNum w:abstractNumId="5" w15:restartNumberingAfterBreak="0">
    <w:nsid w:val="1BF4036F"/>
    <w:multiLevelType w:val="singleLevel"/>
    <w:tmpl w:val="08090001"/>
    <w:lvl w:ilvl="0">
      <w:start w:val="1"/>
      <w:numFmt w:val="bullet"/>
      <w:lvlText w:val=""/>
      <w:lvlJc w:val="left"/>
      <w:pPr>
        <w:tabs>
          <w:tab w:val="num" w:pos="502"/>
        </w:tabs>
        <w:ind w:left="502" w:hanging="360"/>
      </w:pPr>
      <w:rPr>
        <w:rFonts w:ascii="Symbol" w:hAnsi="Symbol" w:hint="default"/>
      </w:rPr>
    </w:lvl>
  </w:abstractNum>
  <w:abstractNum w:abstractNumId="6" w15:restartNumberingAfterBreak="0">
    <w:nsid w:val="1E64282B"/>
    <w:multiLevelType w:val="multilevel"/>
    <w:tmpl w:val="7614763A"/>
    <w:styleLink w:val="NumberlistAgency"/>
    <w:lvl w:ilvl="0">
      <w:start w:val="1"/>
      <w:numFmt w:val="decimal"/>
      <w:lvlText w:val="%1."/>
      <w:lvlJc w:val="left"/>
      <w:pPr>
        <w:tabs>
          <w:tab w:val="num" w:pos="360"/>
        </w:tabs>
        <w:ind w:left="360" w:hanging="360"/>
      </w:pPr>
      <w:rPr>
        <w:rFonts w:ascii="Verdana" w:hAnsi="Verdana" w:hint="default"/>
        <w:b w:val="0"/>
        <w:i w:val="0"/>
        <w:caps w:val="0"/>
        <w:strike w:val="0"/>
        <w:dstrike w:val="0"/>
        <w:vanish w:val="0"/>
        <w:webHidden w:val="0"/>
        <w:color w:val="auto"/>
        <w:sz w:val="18"/>
        <w:szCs w:val="18"/>
        <w:u w:val="none"/>
        <w:effect w:val="none"/>
        <w:vertAlign w:val="baseline"/>
        <w:em w:val="none"/>
        <w:specVanish w:val="0"/>
      </w:rPr>
    </w:lvl>
    <w:lvl w:ilvl="1">
      <w:start w:val="1"/>
      <w:numFmt w:val="decimal"/>
      <w:lvlText w:val="%1.%2."/>
      <w:lvlJc w:val="left"/>
      <w:pPr>
        <w:tabs>
          <w:tab w:val="num" w:pos="964"/>
        </w:tabs>
        <w:ind w:left="964" w:hanging="604"/>
      </w:pPr>
      <w:rPr>
        <w:rFonts w:ascii="Verdana" w:hAnsi="Verdana" w:hint="default"/>
        <w:b w:val="0"/>
        <w:i w:val="0"/>
        <w:caps w:val="0"/>
        <w:strike w:val="0"/>
        <w:dstrike w:val="0"/>
        <w:vanish w:val="0"/>
        <w:webHidden w:val="0"/>
        <w:color w:val="auto"/>
        <w:sz w:val="18"/>
        <w:szCs w:val="18"/>
        <w:u w:val="none"/>
        <w:effect w:val="none"/>
        <w:vertAlign w:val="baseline"/>
        <w:em w:val="none"/>
        <w:specVanish w:val="0"/>
      </w:rPr>
    </w:lvl>
    <w:lvl w:ilvl="2">
      <w:start w:val="1"/>
      <w:numFmt w:val="none"/>
      <w:lvlText w:val=""/>
      <w:lvlJc w:val="left"/>
      <w:pPr>
        <w:tabs>
          <w:tab w:val="num" w:pos="964"/>
        </w:tabs>
        <w:ind w:left="964" w:hanging="607"/>
      </w:pPr>
    </w:lvl>
    <w:lvl w:ilvl="3">
      <w:start w:val="1"/>
      <w:numFmt w:val="none"/>
      <w:lvlText w:val=""/>
      <w:lvlJc w:val="left"/>
      <w:pPr>
        <w:tabs>
          <w:tab w:val="num" w:pos="964"/>
        </w:tabs>
        <w:ind w:left="964" w:hanging="607"/>
      </w:pPr>
    </w:lvl>
    <w:lvl w:ilvl="4">
      <w:start w:val="1"/>
      <w:numFmt w:val="none"/>
      <w:lvlText w:val=""/>
      <w:lvlJc w:val="left"/>
      <w:pPr>
        <w:tabs>
          <w:tab w:val="num" w:pos="964"/>
        </w:tabs>
        <w:ind w:left="964" w:hanging="607"/>
      </w:pPr>
    </w:lvl>
    <w:lvl w:ilvl="5">
      <w:start w:val="1"/>
      <w:numFmt w:val="none"/>
      <w:lvlText w:val=""/>
      <w:lvlJc w:val="left"/>
      <w:pPr>
        <w:tabs>
          <w:tab w:val="num" w:pos="964"/>
        </w:tabs>
        <w:ind w:left="964" w:hanging="607"/>
      </w:pPr>
    </w:lvl>
    <w:lvl w:ilvl="6">
      <w:start w:val="1"/>
      <w:numFmt w:val="none"/>
      <w:lvlText w:val="%7"/>
      <w:lvlJc w:val="left"/>
      <w:pPr>
        <w:tabs>
          <w:tab w:val="num" w:pos="964"/>
        </w:tabs>
        <w:ind w:left="964" w:hanging="607"/>
      </w:pPr>
    </w:lvl>
    <w:lvl w:ilvl="7">
      <w:start w:val="1"/>
      <w:numFmt w:val="none"/>
      <w:lvlText w:val=""/>
      <w:lvlJc w:val="left"/>
      <w:pPr>
        <w:tabs>
          <w:tab w:val="num" w:pos="964"/>
        </w:tabs>
        <w:ind w:left="964" w:hanging="607"/>
      </w:pPr>
    </w:lvl>
    <w:lvl w:ilvl="8">
      <w:start w:val="1"/>
      <w:numFmt w:val="none"/>
      <w:lvlText w:val=""/>
      <w:lvlJc w:val="left"/>
      <w:pPr>
        <w:tabs>
          <w:tab w:val="num" w:pos="964"/>
        </w:tabs>
        <w:ind w:left="964" w:hanging="607"/>
      </w:pPr>
    </w:lvl>
  </w:abstractNum>
  <w:abstractNum w:abstractNumId="7"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8" w15:restartNumberingAfterBreak="0">
    <w:nsid w:val="204E1AD7"/>
    <w:multiLevelType w:val="hybridMultilevel"/>
    <w:tmpl w:val="134CC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3B17A57"/>
    <w:multiLevelType w:val="singleLevel"/>
    <w:tmpl w:val="B7A49E96"/>
    <w:lvl w:ilvl="0">
      <w:start w:val="1"/>
      <w:numFmt w:val="bullet"/>
      <w:lvlText w:val=""/>
      <w:lvlJc w:val="left"/>
      <w:pPr>
        <w:tabs>
          <w:tab w:val="num" w:pos="357"/>
        </w:tabs>
        <w:ind w:left="357" w:hanging="357"/>
      </w:pPr>
      <w:rPr>
        <w:rFonts w:ascii="Symbol" w:hAnsi="Symbol" w:hint="default"/>
      </w:rPr>
    </w:lvl>
  </w:abstractNum>
  <w:abstractNum w:abstractNumId="10" w15:restartNumberingAfterBreak="0">
    <w:nsid w:val="2C673943"/>
    <w:multiLevelType w:val="singleLevel"/>
    <w:tmpl w:val="347020E6"/>
    <w:lvl w:ilvl="0">
      <w:start w:val="1"/>
      <w:numFmt w:val="bullet"/>
      <w:lvlText w:val=""/>
      <w:lvlJc w:val="left"/>
      <w:pPr>
        <w:tabs>
          <w:tab w:val="num" w:pos="357"/>
        </w:tabs>
        <w:ind w:left="357" w:hanging="357"/>
      </w:pPr>
      <w:rPr>
        <w:rFonts w:ascii="Symbol" w:hAnsi="Symbol" w:hint="default"/>
      </w:rPr>
    </w:lvl>
  </w:abstractNum>
  <w:abstractNum w:abstractNumId="11" w15:restartNumberingAfterBreak="0">
    <w:nsid w:val="37986EA3"/>
    <w:multiLevelType w:val="hybridMultilevel"/>
    <w:tmpl w:val="5B5411B6"/>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368284C"/>
    <w:multiLevelType w:val="hybridMultilevel"/>
    <w:tmpl w:val="54047246"/>
    <w:lvl w:ilvl="0" w:tplc="FFFFFFFF">
      <w:start w:val="1"/>
      <w:numFmt w:val="bullet"/>
      <w:lvlText w:val="-"/>
      <w:lvlJc w:val="left"/>
      <w:pPr>
        <w:ind w:left="720" w:hanging="360"/>
      </w:p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1E21733"/>
    <w:multiLevelType w:val="multilevel"/>
    <w:tmpl w:val="A94C57BE"/>
    <w:lvl w:ilvl="0">
      <w:start w:val="1"/>
      <w:numFmt w:val="decimal"/>
      <w:pStyle w:val="Heading1Agency"/>
      <w:suff w:val="space"/>
      <w:lvlText w:val="%1. "/>
      <w:lvlJc w:val="left"/>
      <w:pPr>
        <w:ind w:left="0" w:firstLine="0"/>
      </w:pPr>
    </w:lvl>
    <w:lvl w:ilvl="1">
      <w:start w:val="1"/>
      <w:numFmt w:val="decimal"/>
      <w:pStyle w:val="Heading2Agency"/>
      <w:suff w:val="space"/>
      <w:lvlText w:val="%1.%2. "/>
      <w:lvlJc w:val="left"/>
      <w:pPr>
        <w:ind w:left="0" w:firstLine="0"/>
      </w:pPr>
    </w:lvl>
    <w:lvl w:ilvl="2">
      <w:start w:val="1"/>
      <w:numFmt w:val="decimal"/>
      <w:pStyle w:val="Heading3Agency"/>
      <w:suff w:val="space"/>
      <w:lvlText w:val="%1.%2.%3. "/>
      <w:lvlJc w:val="left"/>
      <w:pPr>
        <w:ind w:left="0" w:firstLine="0"/>
      </w:pPr>
    </w:lvl>
    <w:lvl w:ilvl="3">
      <w:start w:val="1"/>
      <w:numFmt w:val="decimal"/>
      <w:pStyle w:val="Heading4Agency"/>
      <w:isLgl/>
      <w:suff w:val="space"/>
      <w:lvlText w:val="%1.%2.%3.%4. "/>
      <w:lvlJc w:val="left"/>
      <w:pPr>
        <w:ind w:left="0" w:firstLine="0"/>
      </w:pPr>
    </w:lvl>
    <w:lvl w:ilvl="4">
      <w:start w:val="1"/>
      <w:numFmt w:val="decimal"/>
      <w:pStyle w:val="Heading5Agency"/>
      <w:suff w:val="space"/>
      <w:lvlText w:val="%1.%2.%3.%4.%5. "/>
      <w:lvlJc w:val="left"/>
      <w:pPr>
        <w:ind w:left="0" w:firstLine="0"/>
      </w:pPr>
    </w:lvl>
    <w:lvl w:ilvl="5">
      <w:start w:val="1"/>
      <w:numFmt w:val="decimal"/>
      <w:pStyle w:val="Heading6Agency"/>
      <w:suff w:val="space"/>
      <w:lvlText w:val="%1.%2.%3.%4.%5.%6. "/>
      <w:lvlJc w:val="left"/>
      <w:pPr>
        <w:ind w:left="0" w:firstLine="0"/>
      </w:pPr>
    </w:lvl>
    <w:lvl w:ilvl="6">
      <w:start w:val="1"/>
      <w:numFmt w:val="decimal"/>
      <w:pStyle w:val="Heading7Agency"/>
      <w:suff w:val="space"/>
      <w:lvlText w:val="%1.%2.%3.%4.%5.%6.%7. "/>
      <w:lvlJc w:val="left"/>
      <w:pPr>
        <w:ind w:left="0" w:firstLine="0"/>
      </w:pPr>
    </w:lvl>
    <w:lvl w:ilvl="7">
      <w:start w:val="1"/>
      <w:numFmt w:val="decimal"/>
      <w:pStyle w:val="Heading8Agency"/>
      <w:suff w:val="space"/>
      <w:lvlText w:val="%1.%2.%3.%4.%5.%6.%7.%8. "/>
      <w:lvlJc w:val="left"/>
      <w:pPr>
        <w:ind w:left="0" w:firstLine="0"/>
      </w:pPr>
    </w:lvl>
    <w:lvl w:ilvl="8">
      <w:start w:val="1"/>
      <w:numFmt w:val="decimal"/>
      <w:pStyle w:val="Heading9Agency"/>
      <w:suff w:val="space"/>
      <w:lvlText w:val="%1.%2.%3.%4.%5.%6.%7.%8.%9. "/>
      <w:lvlJc w:val="left"/>
      <w:pPr>
        <w:ind w:left="0" w:firstLine="0"/>
      </w:pPr>
    </w:lvl>
  </w:abstractNum>
  <w:abstractNum w:abstractNumId="14" w15:restartNumberingAfterBreak="0">
    <w:nsid w:val="70CE568B"/>
    <w:multiLevelType w:val="hybridMultilevel"/>
    <w:tmpl w:val="48EABBC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79A50508"/>
    <w:multiLevelType w:val="singleLevel"/>
    <w:tmpl w:val="0F4ADFEC"/>
    <w:lvl w:ilvl="0">
      <w:start w:val="1"/>
      <w:numFmt w:val="bullet"/>
      <w:lvlText w:val=""/>
      <w:lvlJc w:val="left"/>
      <w:pPr>
        <w:tabs>
          <w:tab w:val="num" w:pos="357"/>
        </w:tabs>
        <w:ind w:left="357" w:hanging="357"/>
      </w:pPr>
      <w:rPr>
        <w:rFonts w:ascii="Symbol" w:hAnsi="Symbol" w:hint="default"/>
      </w:rPr>
    </w:lvl>
  </w:abstractNum>
  <w:abstractNum w:abstractNumId="16" w15:restartNumberingAfterBreak="0">
    <w:nsid w:val="7D40455A"/>
    <w:multiLevelType w:val="hybridMultilevel"/>
    <w:tmpl w:val="B74ED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7"/>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num>
  <w:num w:numId="10">
    <w:abstractNumId w:val="8"/>
  </w:num>
  <w:num w:numId="11">
    <w:abstractNumId w:val="4"/>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num>
  <w:num w:numId="14">
    <w:abstractNumId w:val="10"/>
  </w:num>
  <w:num w:numId="15">
    <w:abstractNumId w:val="12"/>
  </w:num>
  <w:num w:numId="16">
    <w:abstractNumId w:val="14"/>
  </w:num>
  <w:num w:numId="17">
    <w:abstractNumId w:val="5"/>
  </w:num>
  <w:num w:numId="18">
    <w:abstractNumId w:val="15"/>
  </w:num>
  <w:num w:numId="19">
    <w:abstractNumId w:val="9"/>
  </w:num>
  <w:num w:numId="20">
    <w:abstractNumId w:val="0"/>
  </w:num>
  <w:num w:numId="21">
    <w:abstractNumId w:val="0"/>
    <w:lvlOverride w:ilvl="0">
      <w:lvl w:ilvl="0">
        <w:numFmt w:val="bullet"/>
        <w:lvlText w:val="-"/>
        <w:legacy w:legacy="1" w:legacySpace="0" w:legacyIndent="360"/>
        <w:lvlJc w:val="left"/>
        <w:pPr>
          <w:ind w:left="360" w:hanging="360"/>
        </w:pPr>
        <w:rPr>
          <w:lang w:val="pt-BR"/>
        </w:rPr>
      </w:lvl>
    </w:lvlOverride>
  </w:num>
  <w:num w:numId="22">
    <w:abstractNumId w:val="1"/>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396"/>
  <w:characterSpacingControl w:val="doNotCompress"/>
  <w:hdrShapeDefaults>
    <o:shapedefaults v:ext="edit" spidmax="6145"/>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6F1"/>
    <w:rsid w:val="000062BC"/>
    <w:rsid w:val="00031257"/>
    <w:rsid w:val="00034EF0"/>
    <w:rsid w:val="00035CFA"/>
    <w:rsid w:val="00045C11"/>
    <w:rsid w:val="000570E2"/>
    <w:rsid w:val="000A1464"/>
    <w:rsid w:val="000C4408"/>
    <w:rsid w:val="000D706C"/>
    <w:rsid w:val="000E27EC"/>
    <w:rsid w:val="00102973"/>
    <w:rsid w:val="0011050E"/>
    <w:rsid w:val="00111DBB"/>
    <w:rsid w:val="0011639A"/>
    <w:rsid w:val="00121B85"/>
    <w:rsid w:val="001451F2"/>
    <w:rsid w:val="0017427E"/>
    <w:rsid w:val="001A53A5"/>
    <w:rsid w:val="001A7A52"/>
    <w:rsid w:val="001D3DFB"/>
    <w:rsid w:val="001E4B9A"/>
    <w:rsid w:val="001F79E3"/>
    <w:rsid w:val="002414A7"/>
    <w:rsid w:val="0027683E"/>
    <w:rsid w:val="00281569"/>
    <w:rsid w:val="00287763"/>
    <w:rsid w:val="002972E9"/>
    <w:rsid w:val="002A4847"/>
    <w:rsid w:val="002A5BDA"/>
    <w:rsid w:val="002B052D"/>
    <w:rsid w:val="002C4790"/>
    <w:rsid w:val="002D2B82"/>
    <w:rsid w:val="002F2565"/>
    <w:rsid w:val="002F45EE"/>
    <w:rsid w:val="003353DE"/>
    <w:rsid w:val="0034447F"/>
    <w:rsid w:val="003469C8"/>
    <w:rsid w:val="00352BD1"/>
    <w:rsid w:val="00362E60"/>
    <w:rsid w:val="00375A9D"/>
    <w:rsid w:val="003A487D"/>
    <w:rsid w:val="003B3969"/>
    <w:rsid w:val="004012FD"/>
    <w:rsid w:val="00402643"/>
    <w:rsid w:val="00405FD3"/>
    <w:rsid w:val="0040747B"/>
    <w:rsid w:val="00436C8D"/>
    <w:rsid w:val="0045567B"/>
    <w:rsid w:val="00465F1F"/>
    <w:rsid w:val="004A75DB"/>
    <w:rsid w:val="004C0EA0"/>
    <w:rsid w:val="004C0ED9"/>
    <w:rsid w:val="004D0E76"/>
    <w:rsid w:val="00505178"/>
    <w:rsid w:val="00521AA1"/>
    <w:rsid w:val="00530FA4"/>
    <w:rsid w:val="00533327"/>
    <w:rsid w:val="005A5232"/>
    <w:rsid w:val="005B3EBA"/>
    <w:rsid w:val="005B74C3"/>
    <w:rsid w:val="005C36E6"/>
    <w:rsid w:val="00605F62"/>
    <w:rsid w:val="00641FEA"/>
    <w:rsid w:val="00651B65"/>
    <w:rsid w:val="006902CE"/>
    <w:rsid w:val="006A0DEA"/>
    <w:rsid w:val="006A2D3A"/>
    <w:rsid w:val="006C75EF"/>
    <w:rsid w:val="006D7049"/>
    <w:rsid w:val="00715E1B"/>
    <w:rsid w:val="007201EF"/>
    <w:rsid w:val="00722FF5"/>
    <w:rsid w:val="00740CA6"/>
    <w:rsid w:val="00770E95"/>
    <w:rsid w:val="007B6CF9"/>
    <w:rsid w:val="007D4E56"/>
    <w:rsid w:val="007F4E86"/>
    <w:rsid w:val="007F52E1"/>
    <w:rsid w:val="00890989"/>
    <w:rsid w:val="008A6A96"/>
    <w:rsid w:val="008C4550"/>
    <w:rsid w:val="008E4662"/>
    <w:rsid w:val="00904B20"/>
    <w:rsid w:val="00910B71"/>
    <w:rsid w:val="00924A0C"/>
    <w:rsid w:val="009342F9"/>
    <w:rsid w:val="00940807"/>
    <w:rsid w:val="0094361C"/>
    <w:rsid w:val="00962C89"/>
    <w:rsid w:val="00987843"/>
    <w:rsid w:val="009B5828"/>
    <w:rsid w:val="009C17BB"/>
    <w:rsid w:val="009D06F6"/>
    <w:rsid w:val="00A023B2"/>
    <w:rsid w:val="00A03AB5"/>
    <w:rsid w:val="00A05FE0"/>
    <w:rsid w:val="00A122D0"/>
    <w:rsid w:val="00A679DA"/>
    <w:rsid w:val="00A7345B"/>
    <w:rsid w:val="00A75D05"/>
    <w:rsid w:val="00A97CA6"/>
    <w:rsid w:val="00AA334E"/>
    <w:rsid w:val="00AE11DD"/>
    <w:rsid w:val="00AE4E51"/>
    <w:rsid w:val="00AF1268"/>
    <w:rsid w:val="00B24019"/>
    <w:rsid w:val="00B733FF"/>
    <w:rsid w:val="00B75CB5"/>
    <w:rsid w:val="00B77EFD"/>
    <w:rsid w:val="00BE2345"/>
    <w:rsid w:val="00BE5BAE"/>
    <w:rsid w:val="00C41EF3"/>
    <w:rsid w:val="00C60073"/>
    <w:rsid w:val="00C85447"/>
    <w:rsid w:val="00C9435D"/>
    <w:rsid w:val="00CB39FE"/>
    <w:rsid w:val="00CE52D0"/>
    <w:rsid w:val="00D31999"/>
    <w:rsid w:val="00D462BC"/>
    <w:rsid w:val="00D75CA1"/>
    <w:rsid w:val="00DC2CBA"/>
    <w:rsid w:val="00DC52DC"/>
    <w:rsid w:val="00E32B96"/>
    <w:rsid w:val="00E34486"/>
    <w:rsid w:val="00E446F1"/>
    <w:rsid w:val="00EA0DA7"/>
    <w:rsid w:val="00EA480D"/>
    <w:rsid w:val="00EA60C2"/>
    <w:rsid w:val="00EE16F3"/>
    <w:rsid w:val="00EE70A5"/>
    <w:rsid w:val="00EF2363"/>
    <w:rsid w:val="00F07EC2"/>
    <w:rsid w:val="00F10056"/>
    <w:rsid w:val="00F23492"/>
    <w:rsid w:val="00F31F85"/>
    <w:rsid w:val="00F61446"/>
    <w:rsid w:val="00F67CA4"/>
    <w:rsid w:val="00FC6191"/>
    <w:rsid w:val="00FD5A03"/>
    <w:rsid w:val="00FF23DB"/>
    <w:rsid w:val="00FF5F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schemas-tilde-lt/tildestengine" w:name="templates"/>
  <w:shapeDefaults>
    <o:shapedefaults v:ext="edit" spidmax="6145"/>
    <o:shapelayout v:ext="edit">
      <o:idmap v:ext="edit" data="1"/>
    </o:shapelayout>
  </w:shapeDefaults>
  <w:decimalSymbol w:val=","/>
  <w:listSeparator w:val=";"/>
  <w14:docId w14:val="5C25BFA1"/>
  <w15:chartTrackingRefBased/>
  <w15:docId w15:val="{D50136AA-8DD0-45F2-8F39-9D5306D15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B6CF9"/>
  </w:style>
  <w:style w:type="paragraph" w:styleId="Antrat1">
    <w:name w:val="heading 1"/>
    <w:basedOn w:val="prastasis"/>
    <w:next w:val="prastasis"/>
    <w:link w:val="Antrat1Diagrama"/>
    <w:qFormat/>
    <w:rsid w:val="007B6CF9"/>
    <w:pPr>
      <w:tabs>
        <w:tab w:val="left" w:pos="567"/>
      </w:tabs>
      <w:spacing w:before="240" w:after="120" w:line="260" w:lineRule="exact"/>
      <w:ind w:left="357" w:hanging="357"/>
      <w:outlineLvl w:val="0"/>
    </w:pPr>
    <w:rPr>
      <w:rFonts w:ascii="Times New Roman" w:eastAsia="Times New Roman" w:hAnsi="Times New Roman" w:cs="Times New Roman"/>
      <w:b/>
      <w:caps/>
      <w:sz w:val="26"/>
    </w:rPr>
  </w:style>
  <w:style w:type="paragraph" w:styleId="Antrat2">
    <w:name w:val="heading 2"/>
    <w:basedOn w:val="prastasis"/>
    <w:next w:val="prastasis"/>
    <w:link w:val="Antrat2Diagrama"/>
    <w:semiHidden/>
    <w:unhideWhenUsed/>
    <w:qFormat/>
    <w:rsid w:val="007B6CF9"/>
    <w:pPr>
      <w:keepNext/>
      <w:tabs>
        <w:tab w:val="left" w:pos="567"/>
      </w:tabs>
      <w:spacing w:before="240" w:after="60" w:line="260" w:lineRule="exact"/>
      <w:outlineLvl w:val="1"/>
    </w:pPr>
    <w:rPr>
      <w:rFonts w:ascii="Helvetica" w:eastAsia="Times New Roman" w:hAnsi="Helvetica" w:cs="Times New Roman"/>
      <w:b/>
      <w:i/>
      <w:sz w:val="24"/>
      <w:lang w:val="en-GB"/>
    </w:rPr>
  </w:style>
  <w:style w:type="paragraph" w:styleId="Antrat3">
    <w:name w:val="heading 3"/>
    <w:basedOn w:val="prastasis"/>
    <w:next w:val="prastasis"/>
    <w:link w:val="Antrat3Diagrama"/>
    <w:semiHidden/>
    <w:unhideWhenUsed/>
    <w:qFormat/>
    <w:rsid w:val="007B6CF9"/>
    <w:pPr>
      <w:keepNext/>
      <w:keepLines/>
      <w:tabs>
        <w:tab w:val="left" w:pos="567"/>
      </w:tabs>
      <w:spacing w:before="120" w:after="80" w:line="260" w:lineRule="exact"/>
      <w:outlineLvl w:val="2"/>
    </w:pPr>
    <w:rPr>
      <w:rFonts w:ascii="Times New Roman" w:eastAsia="Times New Roman" w:hAnsi="Times New Roman" w:cs="Times New Roman"/>
      <w:b/>
      <w:kern w:val="28"/>
      <w:sz w:val="24"/>
    </w:rPr>
  </w:style>
  <w:style w:type="paragraph" w:styleId="Antrat4">
    <w:name w:val="heading 4"/>
    <w:basedOn w:val="prastasis"/>
    <w:next w:val="prastasis"/>
    <w:link w:val="Antrat4Diagrama"/>
    <w:semiHidden/>
    <w:unhideWhenUsed/>
    <w:qFormat/>
    <w:rsid w:val="007B6CF9"/>
    <w:pPr>
      <w:keepNext/>
      <w:tabs>
        <w:tab w:val="left" w:pos="567"/>
      </w:tabs>
      <w:spacing w:after="0" w:line="260" w:lineRule="exact"/>
      <w:jc w:val="both"/>
      <w:outlineLvl w:val="3"/>
    </w:pPr>
    <w:rPr>
      <w:rFonts w:ascii="Times New Roman" w:eastAsia="Times New Roman" w:hAnsi="Times New Roman" w:cs="Times New Roman"/>
      <w:b/>
      <w:noProof/>
      <w:sz w:val="22"/>
      <w:lang w:val="en-GB"/>
    </w:rPr>
  </w:style>
  <w:style w:type="paragraph" w:styleId="Antrat5">
    <w:name w:val="heading 5"/>
    <w:basedOn w:val="prastasis"/>
    <w:next w:val="prastasis"/>
    <w:link w:val="Antrat5Diagrama"/>
    <w:semiHidden/>
    <w:unhideWhenUsed/>
    <w:qFormat/>
    <w:rsid w:val="007B6CF9"/>
    <w:pPr>
      <w:keepNext/>
      <w:tabs>
        <w:tab w:val="left" w:pos="567"/>
      </w:tabs>
      <w:spacing w:after="0" w:line="260" w:lineRule="exact"/>
      <w:jc w:val="both"/>
      <w:outlineLvl w:val="4"/>
    </w:pPr>
    <w:rPr>
      <w:rFonts w:ascii="Times New Roman" w:eastAsia="Times New Roman" w:hAnsi="Times New Roman" w:cs="Times New Roman"/>
      <w:noProof/>
      <w:sz w:val="22"/>
      <w:lang w:val="en-GB"/>
    </w:rPr>
  </w:style>
  <w:style w:type="paragraph" w:styleId="Antrat6">
    <w:name w:val="heading 6"/>
    <w:basedOn w:val="prastasis"/>
    <w:next w:val="prastasis"/>
    <w:link w:val="Antrat6Diagrama"/>
    <w:semiHidden/>
    <w:unhideWhenUsed/>
    <w:qFormat/>
    <w:rsid w:val="007B6CF9"/>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sz w:val="22"/>
      <w:lang w:val="en-GB"/>
    </w:rPr>
  </w:style>
  <w:style w:type="paragraph" w:styleId="Antrat7">
    <w:name w:val="heading 7"/>
    <w:basedOn w:val="prastasis"/>
    <w:next w:val="prastasis"/>
    <w:link w:val="Antrat7Diagrama"/>
    <w:semiHidden/>
    <w:unhideWhenUsed/>
    <w:qFormat/>
    <w:rsid w:val="007B6CF9"/>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sz w:val="22"/>
      <w:lang w:val="en-GB"/>
    </w:rPr>
  </w:style>
  <w:style w:type="paragraph" w:styleId="Antrat8">
    <w:name w:val="heading 8"/>
    <w:basedOn w:val="prastasis"/>
    <w:next w:val="prastasis"/>
    <w:link w:val="Antrat8Diagrama"/>
    <w:semiHidden/>
    <w:unhideWhenUsed/>
    <w:qFormat/>
    <w:rsid w:val="007B6CF9"/>
    <w:pPr>
      <w:keepNext/>
      <w:tabs>
        <w:tab w:val="left" w:pos="567"/>
      </w:tabs>
      <w:spacing w:after="0" w:line="260" w:lineRule="exact"/>
      <w:ind w:left="567" w:hanging="567"/>
      <w:jc w:val="both"/>
      <w:outlineLvl w:val="7"/>
    </w:pPr>
    <w:rPr>
      <w:rFonts w:ascii="Times New Roman" w:eastAsia="Times New Roman" w:hAnsi="Times New Roman" w:cs="Times New Roman"/>
      <w:b/>
      <w:i/>
      <w:sz w:val="22"/>
      <w:lang w:val="en-GB"/>
    </w:rPr>
  </w:style>
  <w:style w:type="paragraph" w:styleId="Antrat9">
    <w:name w:val="heading 9"/>
    <w:basedOn w:val="prastasis"/>
    <w:next w:val="prastasis"/>
    <w:link w:val="Antrat9Diagrama"/>
    <w:semiHidden/>
    <w:unhideWhenUsed/>
    <w:qFormat/>
    <w:rsid w:val="007B6CF9"/>
    <w:pPr>
      <w:keepNext/>
      <w:tabs>
        <w:tab w:val="left" w:pos="567"/>
      </w:tabs>
      <w:spacing w:after="0" w:line="260" w:lineRule="exact"/>
      <w:jc w:val="both"/>
      <w:outlineLvl w:val="8"/>
    </w:pPr>
    <w:rPr>
      <w:rFonts w:ascii="Times New Roman" w:eastAsia="Times New Roman" w:hAnsi="Times New Roman" w:cs="Times New Roma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446F1"/>
    <w:rPr>
      <w:rFonts w:ascii="Times New Roman" w:eastAsia="Times New Roman" w:hAnsi="Times New Roman" w:cs="Times New Roman"/>
      <w:b/>
      <w:caps/>
      <w:sz w:val="26"/>
    </w:rPr>
  </w:style>
  <w:style w:type="character" w:customStyle="1" w:styleId="Antrat2Diagrama">
    <w:name w:val="Antraštė 2 Diagrama"/>
    <w:basedOn w:val="Numatytasispastraiposriftas"/>
    <w:link w:val="Antrat2"/>
    <w:semiHidden/>
    <w:rsid w:val="00E446F1"/>
    <w:rPr>
      <w:rFonts w:ascii="Helvetica" w:eastAsia="Times New Roman" w:hAnsi="Helvetica" w:cs="Times New Roman"/>
      <w:b/>
      <w:i/>
      <w:sz w:val="24"/>
      <w:lang w:val="en-GB"/>
    </w:rPr>
  </w:style>
  <w:style w:type="character" w:customStyle="1" w:styleId="Antrat3Diagrama">
    <w:name w:val="Antraštė 3 Diagrama"/>
    <w:basedOn w:val="Numatytasispastraiposriftas"/>
    <w:link w:val="Antrat3"/>
    <w:semiHidden/>
    <w:rsid w:val="00E446F1"/>
    <w:rPr>
      <w:rFonts w:ascii="Times New Roman" w:eastAsia="Times New Roman" w:hAnsi="Times New Roman" w:cs="Times New Roman"/>
      <w:b/>
      <w:kern w:val="28"/>
      <w:sz w:val="24"/>
    </w:rPr>
  </w:style>
  <w:style w:type="character" w:customStyle="1" w:styleId="Antrat4Diagrama">
    <w:name w:val="Antraštė 4 Diagrama"/>
    <w:basedOn w:val="Numatytasispastraiposriftas"/>
    <w:link w:val="Antrat4"/>
    <w:semiHidden/>
    <w:rsid w:val="00E446F1"/>
    <w:rPr>
      <w:rFonts w:ascii="Times New Roman" w:eastAsia="Times New Roman" w:hAnsi="Times New Roman" w:cs="Times New Roman"/>
      <w:b/>
      <w:noProof/>
      <w:sz w:val="22"/>
      <w:lang w:val="en-GB"/>
    </w:rPr>
  </w:style>
  <w:style w:type="character" w:customStyle="1" w:styleId="Antrat5Diagrama">
    <w:name w:val="Antraštė 5 Diagrama"/>
    <w:basedOn w:val="Numatytasispastraiposriftas"/>
    <w:link w:val="Antrat5"/>
    <w:semiHidden/>
    <w:rsid w:val="00E446F1"/>
    <w:rPr>
      <w:rFonts w:ascii="Times New Roman" w:eastAsia="Times New Roman" w:hAnsi="Times New Roman" w:cs="Times New Roman"/>
      <w:noProof/>
      <w:sz w:val="22"/>
      <w:lang w:val="en-GB"/>
    </w:rPr>
  </w:style>
  <w:style w:type="character" w:customStyle="1" w:styleId="Antrat6Diagrama">
    <w:name w:val="Antraštė 6 Diagrama"/>
    <w:basedOn w:val="Numatytasispastraiposriftas"/>
    <w:link w:val="Antrat6"/>
    <w:semiHidden/>
    <w:rsid w:val="00E446F1"/>
    <w:rPr>
      <w:rFonts w:ascii="Times New Roman" w:eastAsia="Times New Roman" w:hAnsi="Times New Roman" w:cs="Times New Roman"/>
      <w:i/>
      <w:sz w:val="22"/>
      <w:lang w:val="en-GB"/>
    </w:rPr>
  </w:style>
  <w:style w:type="character" w:customStyle="1" w:styleId="Antrat7Diagrama">
    <w:name w:val="Antraštė 7 Diagrama"/>
    <w:basedOn w:val="Numatytasispastraiposriftas"/>
    <w:link w:val="Antrat7"/>
    <w:semiHidden/>
    <w:rsid w:val="00E446F1"/>
    <w:rPr>
      <w:rFonts w:ascii="Times New Roman" w:eastAsia="Times New Roman" w:hAnsi="Times New Roman" w:cs="Times New Roman"/>
      <w:i/>
      <w:sz w:val="22"/>
      <w:lang w:val="en-GB"/>
    </w:rPr>
  </w:style>
  <w:style w:type="character" w:customStyle="1" w:styleId="Antrat8Diagrama">
    <w:name w:val="Antraštė 8 Diagrama"/>
    <w:basedOn w:val="Numatytasispastraiposriftas"/>
    <w:link w:val="Antrat8"/>
    <w:semiHidden/>
    <w:rsid w:val="00E446F1"/>
    <w:rPr>
      <w:rFonts w:ascii="Times New Roman" w:eastAsia="Times New Roman" w:hAnsi="Times New Roman" w:cs="Times New Roman"/>
      <w:b/>
      <w:i/>
      <w:sz w:val="22"/>
      <w:lang w:val="en-GB"/>
    </w:rPr>
  </w:style>
  <w:style w:type="character" w:customStyle="1" w:styleId="Antrat9Diagrama">
    <w:name w:val="Antraštė 9 Diagrama"/>
    <w:basedOn w:val="Numatytasispastraiposriftas"/>
    <w:link w:val="Antrat9"/>
    <w:semiHidden/>
    <w:rsid w:val="00E446F1"/>
    <w:rPr>
      <w:rFonts w:ascii="Times New Roman" w:eastAsia="Times New Roman" w:hAnsi="Times New Roman" w:cs="Times New Roman"/>
      <w:b/>
      <w:i/>
      <w:sz w:val="22"/>
      <w:lang w:val="en-GB"/>
    </w:rPr>
  </w:style>
  <w:style w:type="numbering" w:customStyle="1" w:styleId="NoList1">
    <w:name w:val="No List1"/>
    <w:next w:val="Sraonra"/>
    <w:uiPriority w:val="99"/>
    <w:semiHidden/>
    <w:unhideWhenUsed/>
    <w:rsid w:val="00E446F1"/>
  </w:style>
  <w:style w:type="numbering" w:customStyle="1" w:styleId="NoList11">
    <w:name w:val="No List11"/>
    <w:next w:val="Sraonra"/>
    <w:uiPriority w:val="99"/>
    <w:semiHidden/>
    <w:unhideWhenUsed/>
    <w:rsid w:val="00E446F1"/>
  </w:style>
  <w:style w:type="numbering" w:customStyle="1" w:styleId="NoList111">
    <w:name w:val="No List111"/>
    <w:next w:val="Sraonra"/>
    <w:uiPriority w:val="99"/>
    <w:semiHidden/>
    <w:unhideWhenUsed/>
    <w:rsid w:val="00E446F1"/>
  </w:style>
  <w:style w:type="numbering" w:customStyle="1" w:styleId="NoList1111">
    <w:name w:val="No List1111"/>
    <w:next w:val="Sraonra"/>
    <w:uiPriority w:val="99"/>
    <w:semiHidden/>
    <w:unhideWhenUsed/>
    <w:rsid w:val="00E446F1"/>
  </w:style>
  <w:style w:type="character" w:styleId="Hipersaitas">
    <w:name w:val="Hyperlink"/>
    <w:uiPriority w:val="99"/>
    <w:unhideWhenUsed/>
    <w:rsid w:val="00E446F1"/>
    <w:rPr>
      <w:color w:val="0000FF"/>
      <w:u w:val="single"/>
    </w:rPr>
  </w:style>
  <w:style w:type="character" w:styleId="Perirtashipersaitas">
    <w:name w:val="FollowedHyperlink"/>
    <w:semiHidden/>
    <w:unhideWhenUsed/>
    <w:rsid w:val="00E446F1"/>
    <w:rPr>
      <w:color w:val="800080"/>
      <w:u w:val="single"/>
    </w:rPr>
  </w:style>
  <w:style w:type="paragraph" w:customStyle="1" w:styleId="BodytextAgency">
    <w:name w:val="Body text (Agency)"/>
    <w:basedOn w:val="prastasis"/>
    <w:link w:val="BodytextAgencyChar"/>
    <w:qFormat/>
    <w:rsid w:val="00E446F1"/>
    <w:pPr>
      <w:spacing w:after="140" w:line="280" w:lineRule="atLeast"/>
    </w:pPr>
    <w:rPr>
      <w:rFonts w:ascii="Verdana" w:eastAsia="Verdana" w:hAnsi="Verdana" w:cs="Verdana"/>
      <w:sz w:val="18"/>
      <w:szCs w:val="18"/>
      <w:lang w:val="en-GB" w:eastAsia="en-GB"/>
    </w:rPr>
  </w:style>
  <w:style w:type="paragraph" w:styleId="Turinys1">
    <w:name w:val="toc 1"/>
    <w:basedOn w:val="prastasis"/>
    <w:next w:val="BodytextAgency"/>
    <w:autoRedefine/>
    <w:semiHidden/>
    <w:unhideWhenUsed/>
    <w:rsid w:val="007B6CF9"/>
    <w:pPr>
      <w:keepNext/>
      <w:tabs>
        <w:tab w:val="right" w:leader="dot" w:pos="9401"/>
      </w:tabs>
      <w:spacing w:before="140" w:after="57" w:line="240" w:lineRule="atLeast"/>
    </w:pPr>
    <w:rPr>
      <w:rFonts w:ascii="Verdana" w:eastAsia="Verdana" w:hAnsi="Verdana" w:cs="Verdana"/>
      <w:b/>
      <w:noProof/>
      <w:sz w:val="22"/>
      <w:szCs w:val="22"/>
      <w:lang w:val="en-GB" w:eastAsia="en-GB"/>
    </w:rPr>
  </w:style>
  <w:style w:type="paragraph" w:styleId="Turinys2">
    <w:name w:val="toc 2"/>
    <w:basedOn w:val="prastasis"/>
    <w:next w:val="BodytextAgency"/>
    <w:autoRedefine/>
    <w:semiHidden/>
    <w:unhideWhenUsed/>
    <w:rsid w:val="007B6CF9"/>
    <w:pPr>
      <w:tabs>
        <w:tab w:val="right" w:leader="dot" w:pos="9401"/>
      </w:tabs>
      <w:spacing w:after="57" w:line="240" w:lineRule="atLeast"/>
    </w:pPr>
    <w:rPr>
      <w:rFonts w:ascii="Verdana" w:eastAsia="Verdana" w:hAnsi="Verdana" w:cs="Verdana"/>
      <w:noProof/>
      <w:szCs w:val="18"/>
      <w:lang w:val="en-GB" w:eastAsia="en-GB"/>
    </w:rPr>
  </w:style>
  <w:style w:type="paragraph" w:styleId="Turinys3">
    <w:name w:val="toc 3"/>
    <w:basedOn w:val="prastasis"/>
    <w:next w:val="BodytextAgency"/>
    <w:autoRedefine/>
    <w:semiHidden/>
    <w:unhideWhenUsed/>
    <w:rsid w:val="007B6CF9"/>
    <w:pPr>
      <w:tabs>
        <w:tab w:val="right" w:leader="dot" w:pos="9401"/>
      </w:tabs>
      <w:spacing w:after="57" w:line="240" w:lineRule="atLeast"/>
    </w:pPr>
    <w:rPr>
      <w:rFonts w:ascii="Verdana" w:eastAsia="Verdana" w:hAnsi="Verdana" w:cs="Verdana"/>
      <w:noProof/>
      <w:szCs w:val="18"/>
      <w:lang w:val="en-GB" w:eastAsia="en-GB"/>
    </w:rPr>
  </w:style>
  <w:style w:type="paragraph" w:styleId="Turinys4">
    <w:name w:val="toc 4"/>
    <w:basedOn w:val="prastasis"/>
    <w:next w:val="BodytextAgency"/>
    <w:autoRedefine/>
    <w:semiHidden/>
    <w:unhideWhenUsed/>
    <w:rsid w:val="007B6CF9"/>
    <w:pPr>
      <w:tabs>
        <w:tab w:val="right" w:leader="dot" w:pos="9401"/>
      </w:tabs>
      <w:spacing w:after="57" w:line="240" w:lineRule="atLeast"/>
    </w:pPr>
    <w:rPr>
      <w:rFonts w:ascii="Verdana" w:eastAsia="SimSun" w:hAnsi="Verdana" w:cs="Verdana"/>
      <w:noProof/>
      <w:szCs w:val="18"/>
      <w:lang w:val="en-GB" w:eastAsia="zh-CN"/>
    </w:rPr>
  </w:style>
  <w:style w:type="paragraph" w:styleId="Turinys5">
    <w:name w:val="toc 5"/>
    <w:basedOn w:val="prastasis"/>
    <w:next w:val="BodytextAgency"/>
    <w:autoRedefine/>
    <w:semiHidden/>
    <w:unhideWhenUsed/>
    <w:rsid w:val="007B6CF9"/>
    <w:pPr>
      <w:tabs>
        <w:tab w:val="right" w:leader="dot" w:pos="9401"/>
      </w:tabs>
      <w:spacing w:after="57" w:line="240" w:lineRule="atLeast"/>
    </w:pPr>
    <w:rPr>
      <w:rFonts w:ascii="Verdana" w:eastAsia="SimSun" w:hAnsi="Verdana" w:cs="Verdana"/>
      <w:noProof/>
      <w:szCs w:val="18"/>
      <w:lang w:val="en-GB" w:eastAsia="zh-CN"/>
    </w:rPr>
  </w:style>
  <w:style w:type="paragraph" w:styleId="Turinys6">
    <w:name w:val="toc 6"/>
    <w:basedOn w:val="prastasis"/>
    <w:next w:val="BodytextAgency"/>
    <w:autoRedefine/>
    <w:semiHidden/>
    <w:unhideWhenUsed/>
    <w:rsid w:val="00E446F1"/>
    <w:pPr>
      <w:spacing w:after="57" w:line="240" w:lineRule="exact"/>
    </w:pPr>
    <w:rPr>
      <w:rFonts w:ascii="Verdana" w:eastAsia="Times New Roman" w:hAnsi="Verdana" w:cs="Verdana"/>
      <w:sz w:val="18"/>
      <w:szCs w:val="18"/>
      <w:lang w:val="en-GB" w:eastAsia="zh-CN"/>
    </w:rPr>
  </w:style>
  <w:style w:type="paragraph" w:styleId="Turinys7">
    <w:name w:val="toc 7"/>
    <w:basedOn w:val="prastasis"/>
    <w:next w:val="BodytextAgency"/>
    <w:autoRedefine/>
    <w:semiHidden/>
    <w:unhideWhenUsed/>
    <w:rsid w:val="00E446F1"/>
    <w:pPr>
      <w:spacing w:after="57" w:line="240" w:lineRule="exact"/>
    </w:pPr>
    <w:rPr>
      <w:rFonts w:ascii="Verdana" w:eastAsia="Times New Roman" w:hAnsi="Verdana" w:cs="Verdana"/>
      <w:sz w:val="18"/>
      <w:szCs w:val="18"/>
      <w:lang w:val="en-GB" w:eastAsia="zh-CN"/>
    </w:rPr>
  </w:style>
  <w:style w:type="paragraph" w:styleId="Turinys8">
    <w:name w:val="toc 8"/>
    <w:basedOn w:val="prastasis"/>
    <w:next w:val="BodytextAgency"/>
    <w:autoRedefine/>
    <w:semiHidden/>
    <w:unhideWhenUsed/>
    <w:rsid w:val="00E446F1"/>
    <w:pPr>
      <w:spacing w:after="57" w:line="240" w:lineRule="exact"/>
    </w:pPr>
    <w:rPr>
      <w:rFonts w:ascii="Verdana" w:eastAsia="Times New Roman" w:hAnsi="Verdana" w:cs="Verdana"/>
      <w:sz w:val="18"/>
      <w:szCs w:val="18"/>
      <w:lang w:val="en-GB" w:eastAsia="zh-CN"/>
    </w:rPr>
  </w:style>
  <w:style w:type="paragraph" w:styleId="Turinys9">
    <w:name w:val="toc 9"/>
    <w:basedOn w:val="prastasis"/>
    <w:next w:val="BodytextAgency"/>
    <w:autoRedefine/>
    <w:semiHidden/>
    <w:unhideWhenUsed/>
    <w:rsid w:val="00E446F1"/>
    <w:pPr>
      <w:spacing w:after="57" w:line="240" w:lineRule="exact"/>
    </w:pPr>
    <w:rPr>
      <w:rFonts w:ascii="Verdana" w:eastAsia="Times New Roman" w:hAnsi="Verdana" w:cs="Verdana"/>
      <w:sz w:val="18"/>
      <w:szCs w:val="18"/>
      <w:lang w:val="en-GB" w:eastAsia="zh-CN"/>
    </w:rPr>
  </w:style>
  <w:style w:type="paragraph" w:styleId="Puslapioinaostekstas">
    <w:name w:val="footnote text"/>
    <w:basedOn w:val="prastasis"/>
    <w:link w:val="PuslapioinaostekstasDiagrama"/>
    <w:semiHidden/>
    <w:unhideWhenUsed/>
    <w:rsid w:val="007B6CF9"/>
    <w:pPr>
      <w:spacing w:after="0" w:line="240" w:lineRule="auto"/>
    </w:pPr>
    <w:rPr>
      <w:rFonts w:ascii="Verdana" w:eastAsia="Verdana" w:hAnsi="Verdana" w:cs="Verdana"/>
      <w:sz w:val="15"/>
      <w:lang w:val="en-GB" w:eastAsia="en-GB"/>
    </w:rPr>
  </w:style>
  <w:style w:type="character" w:customStyle="1" w:styleId="PuslapioinaostekstasDiagrama">
    <w:name w:val="Puslapio išnašos tekstas Diagrama"/>
    <w:basedOn w:val="Numatytasispastraiposriftas"/>
    <w:link w:val="Puslapioinaostekstas"/>
    <w:semiHidden/>
    <w:rsid w:val="00E446F1"/>
    <w:rPr>
      <w:rFonts w:ascii="Verdana" w:eastAsia="Verdana" w:hAnsi="Verdana" w:cs="Verdana"/>
      <w:sz w:val="15"/>
      <w:lang w:val="en-GB" w:eastAsia="en-GB"/>
    </w:rPr>
  </w:style>
  <w:style w:type="paragraph" w:styleId="Komentarotekstas">
    <w:name w:val="annotation text"/>
    <w:basedOn w:val="prastasis"/>
    <w:link w:val="KomentarotekstasDiagrama"/>
    <w:semiHidden/>
    <w:unhideWhenUsed/>
    <w:rsid w:val="007B6CF9"/>
    <w:pPr>
      <w:tabs>
        <w:tab w:val="left" w:pos="567"/>
      </w:tabs>
      <w:spacing w:after="0" w:line="260" w:lineRule="exact"/>
    </w:pPr>
    <w:rPr>
      <w:rFonts w:ascii="Times New Roman" w:eastAsia="Times New Roman" w:hAnsi="Times New Roman" w:cs="Times New Roman"/>
      <w:lang w:val="en-GB"/>
    </w:rPr>
  </w:style>
  <w:style w:type="character" w:customStyle="1" w:styleId="KomentarotekstasDiagrama">
    <w:name w:val="Komentaro tekstas Diagrama"/>
    <w:basedOn w:val="Numatytasispastraiposriftas"/>
    <w:link w:val="Komentarotekstas"/>
    <w:semiHidden/>
    <w:rsid w:val="00E446F1"/>
    <w:rPr>
      <w:rFonts w:ascii="Times New Roman" w:eastAsia="Times New Roman" w:hAnsi="Times New Roman" w:cs="Times New Roman"/>
      <w:lang w:val="en-GB"/>
    </w:rPr>
  </w:style>
  <w:style w:type="paragraph" w:styleId="Antrats">
    <w:name w:val="header"/>
    <w:basedOn w:val="prastasis"/>
    <w:link w:val="AntratsDiagrama"/>
    <w:unhideWhenUsed/>
    <w:rsid w:val="007B6CF9"/>
    <w:pPr>
      <w:tabs>
        <w:tab w:val="left" w:pos="567"/>
        <w:tab w:val="center" w:pos="4153"/>
        <w:tab w:val="right" w:pos="8306"/>
      </w:tabs>
      <w:spacing w:after="0" w:line="240" w:lineRule="auto"/>
    </w:pPr>
    <w:rPr>
      <w:rFonts w:ascii="Helvetica" w:eastAsia="Times New Roman" w:hAnsi="Helvetica" w:cs="Times New Roman"/>
      <w:lang w:val="en-GB"/>
    </w:rPr>
  </w:style>
  <w:style w:type="character" w:customStyle="1" w:styleId="AntratsDiagrama">
    <w:name w:val="Antraštės Diagrama"/>
    <w:basedOn w:val="Numatytasispastraiposriftas"/>
    <w:link w:val="Antrats"/>
    <w:rsid w:val="00E446F1"/>
    <w:rPr>
      <w:rFonts w:ascii="Helvetica" w:eastAsia="Times New Roman" w:hAnsi="Helvetica" w:cs="Times New Roman"/>
      <w:lang w:val="en-GB"/>
    </w:rPr>
  </w:style>
  <w:style w:type="paragraph" w:styleId="Porat">
    <w:name w:val="footer"/>
    <w:basedOn w:val="prastasis"/>
    <w:link w:val="PoratDiagrama"/>
    <w:unhideWhenUsed/>
    <w:rsid w:val="007B6CF9"/>
    <w:pPr>
      <w:tabs>
        <w:tab w:val="left" w:pos="567"/>
        <w:tab w:val="center" w:pos="4536"/>
        <w:tab w:val="center" w:pos="8930"/>
      </w:tabs>
      <w:spacing w:after="0" w:line="240" w:lineRule="auto"/>
    </w:pPr>
    <w:rPr>
      <w:rFonts w:ascii="Helvetica" w:eastAsia="Times New Roman" w:hAnsi="Helvetica" w:cs="Times New Roman"/>
      <w:sz w:val="16"/>
      <w:lang w:val="en-GB"/>
    </w:rPr>
  </w:style>
  <w:style w:type="character" w:customStyle="1" w:styleId="PoratDiagrama">
    <w:name w:val="Poraštė Diagrama"/>
    <w:basedOn w:val="Numatytasispastraiposriftas"/>
    <w:link w:val="Porat"/>
    <w:rsid w:val="00E446F1"/>
    <w:rPr>
      <w:rFonts w:ascii="Helvetica" w:eastAsia="Times New Roman" w:hAnsi="Helvetica" w:cs="Times New Roman"/>
      <w:sz w:val="16"/>
      <w:lang w:val="en-GB"/>
    </w:rPr>
  </w:style>
  <w:style w:type="paragraph" w:styleId="Dokumentoinaostekstas">
    <w:name w:val="endnote text"/>
    <w:basedOn w:val="prastasis"/>
    <w:link w:val="DokumentoinaostekstasDiagrama"/>
    <w:semiHidden/>
    <w:unhideWhenUsed/>
    <w:rsid w:val="00E446F1"/>
    <w:pPr>
      <w:spacing w:after="0" w:line="240" w:lineRule="auto"/>
    </w:pPr>
    <w:rPr>
      <w:rFonts w:ascii="Verdana" w:eastAsia="Verdana" w:hAnsi="Verdana" w:cs="Verdana"/>
      <w:sz w:val="15"/>
      <w:szCs w:val="15"/>
      <w:lang w:val="en-GB" w:eastAsia="en-GB"/>
    </w:rPr>
  </w:style>
  <w:style w:type="character" w:customStyle="1" w:styleId="DokumentoinaostekstasDiagrama">
    <w:name w:val="Dokumento išnašos tekstas Diagrama"/>
    <w:basedOn w:val="Numatytasispastraiposriftas"/>
    <w:link w:val="Dokumentoinaostekstas"/>
    <w:semiHidden/>
    <w:rsid w:val="00E446F1"/>
    <w:rPr>
      <w:rFonts w:ascii="Verdana" w:eastAsia="Verdana" w:hAnsi="Verdana" w:cs="Verdana"/>
      <w:sz w:val="15"/>
      <w:szCs w:val="15"/>
      <w:lang w:val="en-GB" w:eastAsia="en-GB"/>
    </w:rPr>
  </w:style>
  <w:style w:type="paragraph" w:styleId="Pavadinimas">
    <w:name w:val="Title"/>
    <w:basedOn w:val="prastasis"/>
    <w:link w:val="PavadinimasDiagrama"/>
    <w:autoRedefine/>
    <w:qFormat/>
    <w:rsid w:val="007B6CF9"/>
    <w:pPr>
      <w:tabs>
        <w:tab w:val="left" w:pos="567"/>
      </w:tabs>
      <w:spacing w:after="0" w:line="240" w:lineRule="auto"/>
      <w:jc w:val="center"/>
      <w:outlineLvl w:val="0"/>
    </w:pPr>
    <w:rPr>
      <w:rFonts w:ascii="Times New Roman" w:eastAsia="Times New Roman" w:hAnsi="Times New Roman" w:cs="Times New Roman"/>
      <w:b/>
      <w:kern w:val="28"/>
      <w:sz w:val="22"/>
      <w:szCs w:val="22"/>
      <w:lang w:val="lt-LT" w:eastAsia="lt-LT"/>
    </w:rPr>
  </w:style>
  <w:style w:type="character" w:customStyle="1" w:styleId="PavadinimasDiagrama">
    <w:name w:val="Pavadinimas Diagrama"/>
    <w:basedOn w:val="Numatytasispastraiposriftas"/>
    <w:link w:val="Pavadinimas"/>
    <w:rsid w:val="00E446F1"/>
    <w:rPr>
      <w:rFonts w:ascii="Times New Roman" w:eastAsia="Times New Roman" w:hAnsi="Times New Roman" w:cs="Times New Roman"/>
      <w:b/>
      <w:kern w:val="28"/>
      <w:sz w:val="22"/>
      <w:szCs w:val="22"/>
      <w:lang w:val="lt-LT" w:eastAsia="lt-LT"/>
    </w:rPr>
  </w:style>
  <w:style w:type="paragraph" w:styleId="Pagrindinistekstas">
    <w:name w:val="Body Text"/>
    <w:basedOn w:val="prastasis"/>
    <w:link w:val="PagrindinistekstasDiagrama"/>
    <w:semiHidden/>
    <w:unhideWhenUsed/>
    <w:rsid w:val="007B6CF9"/>
    <w:pPr>
      <w:spacing w:after="0" w:line="240" w:lineRule="auto"/>
    </w:pPr>
    <w:rPr>
      <w:rFonts w:ascii="Times New Roman" w:eastAsia="Times New Roman" w:hAnsi="Times New Roman" w:cs="Times New Roman"/>
      <w:i/>
      <w:color w:val="008000"/>
      <w:sz w:val="22"/>
      <w:lang w:val="en-GB"/>
    </w:rPr>
  </w:style>
  <w:style w:type="character" w:customStyle="1" w:styleId="PagrindinistekstasDiagrama">
    <w:name w:val="Pagrindinis tekstas Diagrama"/>
    <w:basedOn w:val="Numatytasispastraiposriftas"/>
    <w:link w:val="Pagrindinistekstas"/>
    <w:semiHidden/>
    <w:rsid w:val="00E446F1"/>
    <w:rPr>
      <w:rFonts w:ascii="Times New Roman" w:eastAsia="Times New Roman" w:hAnsi="Times New Roman" w:cs="Times New Roman"/>
      <w:i/>
      <w:color w:val="008000"/>
      <w:sz w:val="22"/>
      <w:lang w:val="en-GB"/>
    </w:rPr>
  </w:style>
  <w:style w:type="paragraph" w:styleId="Pagrindiniotekstotrauka">
    <w:name w:val="Body Text Indent"/>
    <w:basedOn w:val="prastasis"/>
    <w:link w:val="PagrindiniotekstotraukaDiagrama"/>
    <w:semiHidden/>
    <w:unhideWhenUsed/>
    <w:rsid w:val="007B6CF9"/>
    <w:pPr>
      <w:autoSpaceDE w:val="0"/>
      <w:autoSpaceDN w:val="0"/>
      <w:adjustRightInd w:val="0"/>
      <w:spacing w:after="0" w:line="240" w:lineRule="auto"/>
      <w:ind w:left="720"/>
      <w:jc w:val="both"/>
    </w:pPr>
    <w:rPr>
      <w:rFonts w:ascii="Times New Roman" w:eastAsia="Times New Roman" w:hAnsi="Times New Roman" w:cs="Times New Roman"/>
      <w:sz w:val="22"/>
      <w:szCs w:val="22"/>
      <w:lang w:val="en-GB" w:eastAsia="en-GB"/>
    </w:rPr>
  </w:style>
  <w:style w:type="character" w:customStyle="1" w:styleId="PagrindiniotekstotraukaDiagrama">
    <w:name w:val="Pagrindinio teksto įtrauka Diagrama"/>
    <w:basedOn w:val="Numatytasispastraiposriftas"/>
    <w:link w:val="Pagrindiniotekstotrauka"/>
    <w:semiHidden/>
    <w:rsid w:val="00E446F1"/>
    <w:rPr>
      <w:rFonts w:ascii="Times New Roman" w:eastAsia="Times New Roman" w:hAnsi="Times New Roman" w:cs="Times New Roman"/>
      <w:sz w:val="22"/>
      <w:szCs w:val="22"/>
      <w:lang w:val="en-GB" w:eastAsia="en-GB"/>
    </w:rPr>
  </w:style>
  <w:style w:type="paragraph" w:styleId="Pagrindinistekstas2">
    <w:name w:val="Body Text 2"/>
    <w:basedOn w:val="prastasis"/>
    <w:link w:val="Pagrindinistekstas2Diagrama"/>
    <w:semiHidden/>
    <w:unhideWhenUsed/>
    <w:rsid w:val="007B6CF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Times New Roman" w:hAnsi="Times New Roman" w:cs="Times New Roman"/>
      <w:b/>
      <w:bCs/>
      <w:color w:val="0000FF"/>
      <w:sz w:val="22"/>
      <w:szCs w:val="22"/>
      <w:u w:val="single"/>
      <w:lang w:val="en-GB"/>
    </w:rPr>
  </w:style>
  <w:style w:type="character" w:customStyle="1" w:styleId="Pagrindinistekstas2Diagrama">
    <w:name w:val="Pagrindinis tekstas 2 Diagrama"/>
    <w:basedOn w:val="Numatytasispastraiposriftas"/>
    <w:link w:val="Pagrindinistekstas2"/>
    <w:semiHidden/>
    <w:rsid w:val="00E446F1"/>
    <w:rPr>
      <w:rFonts w:ascii="Times New Roman" w:eastAsia="Times New Roman" w:hAnsi="Times New Roman" w:cs="Times New Roman"/>
      <w:b/>
      <w:bCs/>
      <w:color w:val="0000FF"/>
      <w:sz w:val="22"/>
      <w:szCs w:val="22"/>
      <w:u w:val="single"/>
      <w:lang w:val="en-GB"/>
    </w:rPr>
  </w:style>
  <w:style w:type="paragraph" w:styleId="Pagrindinistekstas3">
    <w:name w:val="Body Text 3"/>
    <w:basedOn w:val="prastasis"/>
    <w:link w:val="Pagrindinistekstas3Diagrama"/>
    <w:semiHidden/>
    <w:unhideWhenUsed/>
    <w:rsid w:val="007B6CF9"/>
    <w:pPr>
      <w:autoSpaceDE w:val="0"/>
      <w:autoSpaceDN w:val="0"/>
      <w:adjustRightInd w:val="0"/>
      <w:spacing w:after="0" w:line="240" w:lineRule="auto"/>
      <w:jc w:val="both"/>
    </w:pPr>
    <w:rPr>
      <w:rFonts w:ascii="Times New Roman" w:eastAsia="Times New Roman" w:hAnsi="Times New Roman" w:cs="Times New Roman"/>
      <w:color w:val="0000FF"/>
      <w:sz w:val="22"/>
      <w:szCs w:val="22"/>
      <w:lang w:val="en-GB" w:eastAsia="en-GB"/>
    </w:rPr>
  </w:style>
  <w:style w:type="character" w:customStyle="1" w:styleId="Pagrindinistekstas3Diagrama">
    <w:name w:val="Pagrindinis tekstas 3 Diagrama"/>
    <w:basedOn w:val="Numatytasispastraiposriftas"/>
    <w:link w:val="Pagrindinistekstas3"/>
    <w:semiHidden/>
    <w:rsid w:val="00E446F1"/>
    <w:rPr>
      <w:rFonts w:ascii="Times New Roman" w:eastAsia="Times New Roman" w:hAnsi="Times New Roman" w:cs="Times New Roman"/>
      <w:color w:val="0000FF"/>
      <w:sz w:val="22"/>
      <w:szCs w:val="22"/>
      <w:lang w:val="en-GB" w:eastAsia="en-GB"/>
    </w:rPr>
  </w:style>
  <w:style w:type="paragraph" w:styleId="Pagrindiniotekstotrauka2">
    <w:name w:val="Body Text Indent 2"/>
    <w:basedOn w:val="prastasis"/>
    <w:link w:val="Pagrindiniotekstotrauka2Diagrama"/>
    <w:semiHidden/>
    <w:unhideWhenUsed/>
    <w:rsid w:val="007B6CF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cs="Times New Roma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semiHidden/>
    <w:rsid w:val="00E446F1"/>
    <w:rPr>
      <w:rFonts w:ascii="Times New Roman" w:eastAsia="Times New Roman" w:hAnsi="Times New Roman" w:cs="Times New Roman"/>
      <w:b/>
      <w:bCs/>
      <w:color w:val="0000FF"/>
      <w:sz w:val="22"/>
      <w:szCs w:val="22"/>
      <w:lang w:val="en-GB"/>
    </w:rPr>
  </w:style>
  <w:style w:type="paragraph" w:styleId="Pagrindiniotekstotrauka3">
    <w:name w:val="Body Text Indent 3"/>
    <w:basedOn w:val="prastasis"/>
    <w:link w:val="Pagrindiniotekstotrauka3Diagrama"/>
    <w:semiHidden/>
    <w:unhideWhenUsed/>
    <w:rsid w:val="007B6CF9"/>
    <w:pPr>
      <w:tabs>
        <w:tab w:val="left" w:pos="567"/>
        <w:tab w:val="left" w:pos="1134"/>
      </w:tabs>
      <w:autoSpaceDE w:val="0"/>
      <w:autoSpaceDN w:val="0"/>
      <w:adjustRightInd w:val="0"/>
      <w:spacing w:after="0" w:line="260" w:lineRule="exact"/>
      <w:ind w:left="633"/>
      <w:jc w:val="both"/>
    </w:pPr>
    <w:rPr>
      <w:rFonts w:ascii="Times New Roman" w:eastAsia="Times New Roman" w:hAnsi="Times New Roman" w:cs="Times New Roman"/>
      <w:sz w:val="22"/>
      <w:szCs w:val="21"/>
      <w:lang w:val="en-GB"/>
    </w:rPr>
  </w:style>
  <w:style w:type="character" w:customStyle="1" w:styleId="Pagrindiniotekstotrauka3Diagrama">
    <w:name w:val="Pagrindinio teksto įtrauka 3 Diagrama"/>
    <w:basedOn w:val="Numatytasispastraiposriftas"/>
    <w:link w:val="Pagrindiniotekstotrauka3"/>
    <w:semiHidden/>
    <w:rsid w:val="00E446F1"/>
    <w:rPr>
      <w:rFonts w:ascii="Times New Roman" w:eastAsia="Times New Roman" w:hAnsi="Times New Roman" w:cs="Times New Roman"/>
      <w:sz w:val="22"/>
      <w:szCs w:val="21"/>
      <w:lang w:val="en-GB"/>
    </w:rPr>
  </w:style>
  <w:style w:type="paragraph" w:styleId="Dokumentostruktra">
    <w:name w:val="Document Map"/>
    <w:basedOn w:val="prastasis"/>
    <w:link w:val="DokumentostruktraDiagrama"/>
    <w:semiHidden/>
    <w:unhideWhenUsed/>
    <w:rsid w:val="007B6CF9"/>
    <w:pPr>
      <w:shd w:val="clear" w:color="auto" w:fill="000080"/>
      <w:tabs>
        <w:tab w:val="left" w:pos="567"/>
      </w:tabs>
      <w:spacing w:after="0" w:line="260" w:lineRule="exact"/>
    </w:pPr>
    <w:rPr>
      <w:rFonts w:ascii="Tahoma" w:eastAsia="Times New Roman" w:hAnsi="Tahoma" w:cs="Tahoma"/>
      <w:sz w:val="22"/>
      <w:lang w:val="en-GB"/>
    </w:rPr>
  </w:style>
  <w:style w:type="character" w:customStyle="1" w:styleId="DokumentostruktraDiagrama">
    <w:name w:val="Dokumento struktūra Diagrama"/>
    <w:basedOn w:val="Numatytasispastraiposriftas"/>
    <w:link w:val="Dokumentostruktra"/>
    <w:semiHidden/>
    <w:rsid w:val="00E446F1"/>
    <w:rPr>
      <w:rFonts w:ascii="Tahoma" w:eastAsia="Times New Roman" w:hAnsi="Tahoma" w:cs="Tahoma"/>
      <w:sz w:val="22"/>
      <w:shd w:val="clear" w:color="auto" w:fill="000080"/>
      <w:lang w:val="en-GB"/>
    </w:rPr>
  </w:style>
  <w:style w:type="paragraph" w:styleId="Komentarotema">
    <w:name w:val="annotation subject"/>
    <w:basedOn w:val="Komentarotekstas"/>
    <w:next w:val="Komentarotekstas"/>
    <w:link w:val="KomentarotemaDiagrama"/>
    <w:semiHidden/>
    <w:unhideWhenUsed/>
    <w:rsid w:val="00E446F1"/>
    <w:rPr>
      <w:b/>
      <w:bCs/>
    </w:rPr>
  </w:style>
  <w:style w:type="character" w:customStyle="1" w:styleId="KomentarotemaDiagrama">
    <w:name w:val="Komentaro tema Diagrama"/>
    <w:basedOn w:val="KomentarotekstasDiagrama"/>
    <w:link w:val="Komentarotema"/>
    <w:semiHidden/>
    <w:rsid w:val="00E446F1"/>
    <w:rPr>
      <w:rFonts w:ascii="Times New Roman" w:eastAsia="Times New Roman" w:hAnsi="Times New Roman" w:cs="Times New Roman"/>
      <w:b/>
      <w:bCs/>
      <w:lang w:val="en-GB"/>
    </w:rPr>
  </w:style>
  <w:style w:type="paragraph" w:styleId="Debesliotekstas">
    <w:name w:val="Balloon Text"/>
    <w:basedOn w:val="prastasis"/>
    <w:link w:val="DebesliotekstasDiagrama"/>
    <w:semiHidden/>
    <w:unhideWhenUsed/>
    <w:rsid w:val="00E446F1"/>
    <w:pPr>
      <w:tabs>
        <w:tab w:val="left" w:pos="567"/>
      </w:tabs>
      <w:spacing w:after="0" w:line="260" w:lineRule="exact"/>
    </w:pPr>
    <w:rPr>
      <w:rFonts w:ascii="Tahoma" w:eastAsia="Times New Roman" w:hAnsi="Tahoma" w:cs="Tahoma"/>
      <w:sz w:val="16"/>
      <w:szCs w:val="16"/>
      <w:lang w:val="en-GB"/>
    </w:rPr>
  </w:style>
  <w:style w:type="character" w:customStyle="1" w:styleId="DebesliotekstasDiagrama">
    <w:name w:val="Debesėlio tekstas Diagrama"/>
    <w:basedOn w:val="Numatytasispastraiposriftas"/>
    <w:link w:val="Debesliotekstas"/>
    <w:semiHidden/>
    <w:rsid w:val="00E446F1"/>
    <w:rPr>
      <w:rFonts w:ascii="Tahoma" w:eastAsia="Times New Roman" w:hAnsi="Tahoma" w:cs="Tahoma"/>
      <w:sz w:val="16"/>
      <w:szCs w:val="16"/>
      <w:lang w:val="en-GB"/>
    </w:rPr>
  </w:style>
  <w:style w:type="paragraph" w:styleId="Pataisymai">
    <w:name w:val="Revision"/>
    <w:uiPriority w:val="99"/>
    <w:semiHidden/>
    <w:rsid w:val="007B6CF9"/>
    <w:pPr>
      <w:spacing w:after="0" w:line="240" w:lineRule="auto"/>
    </w:pPr>
    <w:rPr>
      <w:rFonts w:ascii="Times New Roman" w:eastAsia="Times New Roman" w:hAnsi="Times New Roman" w:cs="Times New Roman"/>
      <w:sz w:val="22"/>
      <w:lang w:val="en-GB"/>
    </w:rPr>
  </w:style>
  <w:style w:type="paragraph" w:styleId="Sraopastraipa">
    <w:name w:val="List Paragraph"/>
    <w:basedOn w:val="prastasis"/>
    <w:uiPriority w:val="34"/>
    <w:qFormat/>
    <w:rsid w:val="007B6CF9"/>
    <w:pPr>
      <w:tabs>
        <w:tab w:val="left" w:pos="567"/>
      </w:tabs>
      <w:spacing w:after="0" w:line="260" w:lineRule="exact"/>
      <w:ind w:left="720"/>
      <w:contextualSpacing/>
    </w:pPr>
    <w:rPr>
      <w:rFonts w:ascii="Times New Roman" w:eastAsia="Times New Roman" w:hAnsi="Times New Roman" w:cs="Times New Roman"/>
      <w:sz w:val="22"/>
      <w:lang w:val="en-GB"/>
    </w:rPr>
  </w:style>
  <w:style w:type="paragraph" w:customStyle="1" w:styleId="EMEAEnBodyText">
    <w:name w:val="EMEA En Body Text"/>
    <w:basedOn w:val="prastasis"/>
    <w:rsid w:val="007B6CF9"/>
    <w:pPr>
      <w:spacing w:before="120" w:after="120" w:line="240" w:lineRule="auto"/>
      <w:jc w:val="both"/>
    </w:pPr>
    <w:rPr>
      <w:rFonts w:ascii="Times New Roman" w:eastAsia="Times New Roman" w:hAnsi="Times New Roman" w:cs="Times New Roman"/>
      <w:sz w:val="22"/>
    </w:rPr>
  </w:style>
  <w:style w:type="paragraph" w:customStyle="1" w:styleId="AHeader1">
    <w:name w:val="AHeader 1"/>
    <w:basedOn w:val="prastasis"/>
    <w:rsid w:val="007B6CF9"/>
    <w:pPr>
      <w:numPr>
        <w:numId w:val="1"/>
      </w:numPr>
      <w:spacing w:after="120" w:line="240" w:lineRule="auto"/>
    </w:pPr>
    <w:rPr>
      <w:rFonts w:eastAsia="Times New Roman"/>
      <w:b/>
      <w:bCs/>
      <w:sz w:val="24"/>
      <w:lang w:val="en-GB"/>
    </w:rPr>
  </w:style>
  <w:style w:type="paragraph" w:customStyle="1" w:styleId="AHeader2">
    <w:name w:val="AHeader 2"/>
    <w:basedOn w:val="AHeader1"/>
    <w:rsid w:val="007B6CF9"/>
    <w:pPr>
      <w:numPr>
        <w:ilvl w:val="1"/>
      </w:numPr>
      <w:tabs>
        <w:tab w:val="num" w:pos="360"/>
      </w:tabs>
    </w:pPr>
    <w:rPr>
      <w:sz w:val="22"/>
    </w:rPr>
  </w:style>
  <w:style w:type="paragraph" w:customStyle="1" w:styleId="AHeader3">
    <w:name w:val="AHeader 3"/>
    <w:basedOn w:val="AHeader2"/>
    <w:rsid w:val="007B6CF9"/>
    <w:pPr>
      <w:numPr>
        <w:ilvl w:val="2"/>
      </w:numPr>
      <w:tabs>
        <w:tab w:val="num" w:pos="360"/>
        <w:tab w:val="num" w:pos="709"/>
      </w:tabs>
    </w:pPr>
  </w:style>
  <w:style w:type="paragraph" w:customStyle="1" w:styleId="AHeader2abc">
    <w:name w:val="AHeader 2 abc"/>
    <w:basedOn w:val="AHeader3"/>
    <w:rsid w:val="007B6CF9"/>
    <w:pPr>
      <w:numPr>
        <w:ilvl w:val="3"/>
      </w:numPr>
      <w:tabs>
        <w:tab w:val="num" w:pos="360"/>
        <w:tab w:val="num" w:pos="709"/>
      </w:tabs>
      <w:jc w:val="both"/>
    </w:pPr>
    <w:rPr>
      <w:b w:val="0"/>
      <w:bCs w:val="0"/>
    </w:rPr>
  </w:style>
  <w:style w:type="paragraph" w:customStyle="1" w:styleId="AHeader3abc">
    <w:name w:val="AHeader 3 abc"/>
    <w:basedOn w:val="AHeader2abc"/>
    <w:rsid w:val="007B6CF9"/>
    <w:pPr>
      <w:numPr>
        <w:ilvl w:val="4"/>
      </w:numPr>
      <w:tabs>
        <w:tab w:val="num" w:pos="360"/>
        <w:tab w:val="num" w:pos="709"/>
      </w:tabs>
    </w:pPr>
  </w:style>
  <w:style w:type="paragraph" w:customStyle="1" w:styleId="Default">
    <w:name w:val="Default"/>
    <w:rsid w:val="007B6CF9"/>
    <w:pPr>
      <w:autoSpaceDE w:val="0"/>
      <w:autoSpaceDN w:val="0"/>
      <w:adjustRightInd w:val="0"/>
      <w:spacing w:after="0" w:line="240" w:lineRule="auto"/>
    </w:pPr>
    <w:rPr>
      <w:rFonts w:ascii="Times New Roman" w:eastAsia="Times New Roman" w:hAnsi="Times New Roman" w:cs="Times New Roman"/>
    </w:rPr>
  </w:style>
  <w:style w:type="character" w:customStyle="1" w:styleId="BodytextAgencyChar">
    <w:name w:val="Body text (Agency) Char"/>
    <w:link w:val="BodytextAgency"/>
    <w:locked/>
    <w:rsid w:val="00E446F1"/>
    <w:rPr>
      <w:rFonts w:ascii="Verdana" w:eastAsia="Verdana" w:hAnsi="Verdana" w:cs="Verdana"/>
      <w:sz w:val="18"/>
      <w:szCs w:val="18"/>
      <w:lang w:val="en-GB" w:eastAsia="en-GB"/>
    </w:rPr>
  </w:style>
  <w:style w:type="character" w:customStyle="1" w:styleId="TextChar">
    <w:name w:val="Text Char"/>
    <w:link w:val="Text"/>
    <w:locked/>
    <w:rsid w:val="00E446F1"/>
    <w:rPr>
      <w:sz w:val="24"/>
    </w:rPr>
  </w:style>
  <w:style w:type="paragraph" w:customStyle="1" w:styleId="Text">
    <w:name w:val="Text"/>
    <w:basedOn w:val="prastasis"/>
    <w:link w:val="TextChar"/>
    <w:rsid w:val="007B6CF9"/>
    <w:pPr>
      <w:spacing w:before="120" w:after="0" w:line="240" w:lineRule="auto"/>
      <w:jc w:val="both"/>
    </w:pPr>
    <w:rPr>
      <w:sz w:val="24"/>
    </w:rPr>
  </w:style>
  <w:style w:type="character" w:customStyle="1" w:styleId="Nottoc-headingsChar">
    <w:name w:val="Not toc-headings Char"/>
    <w:link w:val="Nottoc-headings"/>
    <w:locked/>
    <w:rsid w:val="00E446F1"/>
    <w:rPr>
      <w:b/>
    </w:rPr>
  </w:style>
  <w:style w:type="paragraph" w:customStyle="1" w:styleId="Nottoc-headings">
    <w:name w:val="Not toc-headings"/>
    <w:basedOn w:val="prastasis"/>
    <w:next w:val="Text"/>
    <w:link w:val="Nottoc-headingsChar"/>
    <w:rsid w:val="007B6CF9"/>
    <w:pPr>
      <w:keepNext/>
      <w:keepLines/>
      <w:spacing w:before="240" w:after="60" w:line="240" w:lineRule="auto"/>
      <w:ind w:left="1701" w:hanging="1701"/>
    </w:pPr>
    <w:rPr>
      <w:b/>
    </w:rPr>
  </w:style>
  <w:style w:type="paragraph" w:customStyle="1" w:styleId="Listlevel1">
    <w:name w:val="List level 1"/>
    <w:basedOn w:val="prastasis"/>
    <w:rsid w:val="007B6CF9"/>
    <w:pPr>
      <w:spacing w:before="40" w:after="20" w:line="240" w:lineRule="auto"/>
      <w:ind w:left="425" w:hanging="425"/>
    </w:pPr>
    <w:rPr>
      <w:rFonts w:ascii="Times New Roman" w:eastAsia="Times New Roman" w:hAnsi="Times New Roman" w:cs="Times New Roman"/>
      <w:sz w:val="24"/>
    </w:rPr>
  </w:style>
  <w:style w:type="character" w:customStyle="1" w:styleId="TableChar">
    <w:name w:val="Table Char"/>
    <w:link w:val="Table"/>
    <w:locked/>
    <w:rsid w:val="00E446F1"/>
    <w:rPr>
      <w:lang w:val="en-GB" w:eastAsia="x-none"/>
    </w:rPr>
  </w:style>
  <w:style w:type="paragraph" w:customStyle="1" w:styleId="Table">
    <w:name w:val="Table"/>
    <w:basedOn w:val="prastasis"/>
    <w:link w:val="TableChar"/>
    <w:rsid w:val="007B6CF9"/>
    <w:pPr>
      <w:keepNext/>
      <w:keepLines/>
      <w:tabs>
        <w:tab w:val="left" w:pos="284"/>
      </w:tabs>
      <w:spacing w:before="40" w:after="20" w:line="240" w:lineRule="auto"/>
    </w:pPr>
    <w:rPr>
      <w:lang w:val="en-GB" w:eastAsia="x-none"/>
    </w:rPr>
  </w:style>
  <w:style w:type="character" w:customStyle="1" w:styleId="FooterAgencyCharChar">
    <w:name w:val="Footer (Agency) Char Char"/>
    <w:link w:val="FooterAgency"/>
    <w:locked/>
    <w:rsid w:val="00E446F1"/>
    <w:rPr>
      <w:rFonts w:ascii="Verdana" w:eastAsia="Verdana" w:hAnsi="Verdana" w:cs="Verdana"/>
      <w:color w:val="6D6F71"/>
      <w:sz w:val="14"/>
      <w:szCs w:val="14"/>
      <w:lang w:val="en-GB" w:eastAsia="en-GB"/>
    </w:rPr>
  </w:style>
  <w:style w:type="paragraph" w:customStyle="1" w:styleId="FooterAgency">
    <w:name w:val="Footer (Agency)"/>
    <w:basedOn w:val="prastasis"/>
    <w:link w:val="FooterAgencyCharChar"/>
    <w:rsid w:val="00E446F1"/>
    <w:pPr>
      <w:spacing w:after="0" w:line="240" w:lineRule="auto"/>
    </w:pPr>
    <w:rPr>
      <w:rFonts w:ascii="Verdana" w:eastAsia="Verdana" w:hAnsi="Verdana" w:cs="Verdana"/>
      <w:color w:val="6D6F71"/>
      <w:sz w:val="14"/>
      <w:szCs w:val="14"/>
      <w:lang w:val="en-GB" w:eastAsia="en-GB"/>
    </w:rPr>
  </w:style>
  <w:style w:type="character" w:customStyle="1" w:styleId="FooterblueAgencyCharChar">
    <w:name w:val="Footer blue (Agency) Char Char"/>
    <w:link w:val="FooterblueAgency"/>
    <w:locked/>
    <w:rsid w:val="00E446F1"/>
    <w:rPr>
      <w:rFonts w:ascii="Verdana" w:eastAsia="Verdana" w:hAnsi="Verdana" w:cs="Verdana"/>
      <w:b/>
      <w:color w:val="003399"/>
      <w:sz w:val="13"/>
      <w:szCs w:val="14"/>
      <w:lang w:val="en-GB" w:eastAsia="en-GB"/>
    </w:rPr>
  </w:style>
  <w:style w:type="paragraph" w:customStyle="1" w:styleId="FooterblueAgency">
    <w:name w:val="Footer blue (Agency)"/>
    <w:basedOn w:val="prastasis"/>
    <w:link w:val="FooterblueAgencyCharChar"/>
    <w:rsid w:val="00E446F1"/>
    <w:pPr>
      <w:spacing w:after="0" w:line="240" w:lineRule="auto"/>
    </w:pPr>
    <w:rPr>
      <w:rFonts w:ascii="Verdana" w:eastAsia="Verdana" w:hAnsi="Verdana" w:cs="Verdana"/>
      <w:b/>
      <w:color w:val="003399"/>
      <w:sz w:val="13"/>
      <w:szCs w:val="14"/>
      <w:lang w:val="en-GB" w:eastAsia="en-GB"/>
    </w:rPr>
  </w:style>
  <w:style w:type="character" w:customStyle="1" w:styleId="PagenumberAgencyCharChar">
    <w:name w:val="Page number (Agency) Char Char"/>
    <w:link w:val="PagenumberAgency"/>
    <w:semiHidden/>
    <w:locked/>
    <w:rsid w:val="00E446F1"/>
    <w:rPr>
      <w:rFonts w:ascii="Verdana" w:eastAsia="Verdana" w:hAnsi="Verdana" w:cs="Verdana"/>
      <w:noProof/>
      <w:color w:val="6D6F71"/>
      <w:sz w:val="14"/>
      <w:szCs w:val="14"/>
      <w:lang w:val="en-GB" w:eastAsia="en-GB"/>
    </w:rPr>
  </w:style>
  <w:style w:type="paragraph" w:customStyle="1" w:styleId="PagenumberAgency">
    <w:name w:val="Page number (Agency)"/>
    <w:basedOn w:val="prastasis"/>
    <w:next w:val="prastasis"/>
    <w:link w:val="PagenumberAgencyCharChar"/>
    <w:semiHidden/>
    <w:rsid w:val="00E446F1"/>
    <w:pPr>
      <w:tabs>
        <w:tab w:val="right" w:pos="9781"/>
      </w:tabs>
      <w:spacing w:after="0" w:line="240" w:lineRule="auto"/>
      <w:jc w:val="right"/>
    </w:pPr>
    <w:rPr>
      <w:rFonts w:ascii="Verdana" w:eastAsia="Verdana" w:hAnsi="Verdana" w:cs="Verdana"/>
      <w:noProof/>
      <w:color w:val="6D6F71"/>
      <w:sz w:val="14"/>
      <w:szCs w:val="14"/>
      <w:lang w:val="en-GB" w:eastAsia="en-GB"/>
    </w:rPr>
  </w:style>
  <w:style w:type="paragraph" w:customStyle="1" w:styleId="DisclaimerAgency">
    <w:name w:val="Disclaimer (Agency)"/>
    <w:basedOn w:val="prastasis"/>
    <w:semiHidden/>
    <w:rsid w:val="00E446F1"/>
    <w:pPr>
      <w:tabs>
        <w:tab w:val="center" w:pos="4320"/>
        <w:tab w:val="right" w:pos="8640"/>
      </w:tabs>
      <w:snapToGrid w:val="0"/>
      <w:spacing w:after="57" w:line="150" w:lineRule="exact"/>
    </w:pPr>
    <w:rPr>
      <w:rFonts w:ascii="Verdana" w:eastAsia="Verdana" w:hAnsi="Verdana" w:cs="Verdana"/>
      <w:noProof/>
      <w:color w:val="6D6F71"/>
      <w:sz w:val="13"/>
      <w:szCs w:val="13"/>
      <w:lang w:val="en-GB" w:eastAsia="en-GB"/>
    </w:rPr>
  </w:style>
  <w:style w:type="paragraph" w:customStyle="1" w:styleId="DocsubtitleAgency">
    <w:name w:val="Doc subtitle (Agency)"/>
    <w:basedOn w:val="prastasis"/>
    <w:next w:val="BodytextAgency"/>
    <w:rsid w:val="00E446F1"/>
    <w:pPr>
      <w:spacing w:after="640" w:line="360" w:lineRule="atLeast"/>
    </w:pPr>
    <w:rPr>
      <w:rFonts w:ascii="Verdana" w:eastAsia="Verdana" w:hAnsi="Verdana" w:cs="Verdana"/>
      <w:sz w:val="24"/>
      <w:szCs w:val="24"/>
      <w:lang w:val="en-GB" w:eastAsia="en-GB"/>
    </w:rPr>
  </w:style>
  <w:style w:type="paragraph" w:customStyle="1" w:styleId="DoctitleAgency">
    <w:name w:val="Doc title (Agency)"/>
    <w:basedOn w:val="prastasis"/>
    <w:next w:val="DocsubtitleAgency"/>
    <w:rsid w:val="00E446F1"/>
    <w:pPr>
      <w:spacing w:before="720" w:after="0" w:line="360" w:lineRule="atLeast"/>
    </w:pPr>
    <w:rPr>
      <w:rFonts w:ascii="Verdana" w:eastAsia="Verdana" w:hAnsi="Verdana" w:cs="Verdana"/>
      <w:color w:val="003399"/>
      <w:sz w:val="32"/>
      <w:szCs w:val="32"/>
      <w:lang w:val="en-GB" w:eastAsia="en-GB"/>
    </w:rPr>
  </w:style>
  <w:style w:type="character" w:customStyle="1" w:styleId="DraftingNotesAgencyChar">
    <w:name w:val="Drafting Notes (Agency) Char"/>
    <w:link w:val="DraftingNotesAgency"/>
    <w:locked/>
    <w:rsid w:val="00E446F1"/>
    <w:rPr>
      <w:rFonts w:ascii="Courier New" w:eastAsia="Verdana" w:hAnsi="Courier New" w:cs="Courier New"/>
      <w:i/>
      <w:color w:val="339966"/>
      <w:szCs w:val="18"/>
      <w:lang w:val="en-GB" w:eastAsia="en-GB"/>
    </w:rPr>
  </w:style>
  <w:style w:type="paragraph" w:customStyle="1" w:styleId="DraftingNotesAgency">
    <w:name w:val="Drafting Notes (Agency)"/>
    <w:basedOn w:val="prastasis"/>
    <w:next w:val="BodytextAgency"/>
    <w:link w:val="DraftingNotesAgencyChar"/>
    <w:rsid w:val="00E446F1"/>
    <w:pPr>
      <w:spacing w:after="140" w:line="280" w:lineRule="atLeast"/>
    </w:pPr>
    <w:rPr>
      <w:rFonts w:ascii="Courier New" w:eastAsia="Verdana" w:hAnsi="Courier New" w:cs="Courier New"/>
      <w:i/>
      <w:color w:val="339966"/>
      <w:szCs w:val="18"/>
      <w:lang w:val="en-GB" w:eastAsia="en-GB"/>
    </w:rPr>
  </w:style>
  <w:style w:type="paragraph" w:customStyle="1" w:styleId="EndnotetextAgency">
    <w:name w:val="Endnote text (Agency)"/>
    <w:basedOn w:val="prastasis"/>
    <w:semiHidden/>
    <w:rsid w:val="00E446F1"/>
    <w:pPr>
      <w:spacing w:after="0" w:line="240" w:lineRule="auto"/>
    </w:pPr>
    <w:rPr>
      <w:rFonts w:ascii="Verdana" w:eastAsia="Verdana" w:hAnsi="Verdana" w:cs="Verdana"/>
      <w:sz w:val="15"/>
      <w:szCs w:val="18"/>
      <w:lang w:val="en-GB" w:eastAsia="en-GB"/>
    </w:rPr>
  </w:style>
  <w:style w:type="paragraph" w:customStyle="1" w:styleId="FigureAgency">
    <w:name w:val="Figure (Agency)"/>
    <w:basedOn w:val="prastasis"/>
    <w:next w:val="BodytextAgency"/>
    <w:semiHidden/>
    <w:rsid w:val="00E446F1"/>
    <w:pPr>
      <w:spacing w:after="0" w:line="240" w:lineRule="auto"/>
      <w:jc w:val="center"/>
    </w:pPr>
    <w:rPr>
      <w:rFonts w:ascii="Verdana" w:eastAsia="SimSun" w:hAnsi="Verdana" w:cs="Verdana"/>
      <w:sz w:val="18"/>
      <w:szCs w:val="18"/>
      <w:lang w:val="en-GB" w:eastAsia="zh-CN"/>
    </w:rPr>
  </w:style>
  <w:style w:type="paragraph" w:customStyle="1" w:styleId="FigureheadingAgency">
    <w:name w:val="Figure heading (Agency)"/>
    <w:basedOn w:val="prastasis"/>
    <w:next w:val="FigureAgency"/>
    <w:semiHidden/>
    <w:rsid w:val="007B6CF9"/>
    <w:pPr>
      <w:keepNext/>
      <w:numPr>
        <w:numId w:val="3"/>
      </w:numPr>
      <w:spacing w:before="240" w:after="120" w:line="240" w:lineRule="auto"/>
    </w:pPr>
    <w:rPr>
      <w:rFonts w:ascii="Verdana" w:eastAsia="SimSun" w:hAnsi="Verdana" w:cs="Verdana"/>
      <w:sz w:val="18"/>
      <w:szCs w:val="18"/>
      <w:lang w:val="en-GB" w:eastAsia="zh-CN"/>
    </w:rPr>
  </w:style>
  <w:style w:type="paragraph" w:customStyle="1" w:styleId="FootnotetextAgency">
    <w:name w:val="Footnote text (Agency)"/>
    <w:basedOn w:val="prastasis"/>
    <w:semiHidden/>
    <w:rsid w:val="00E446F1"/>
    <w:pPr>
      <w:spacing w:after="0" w:line="240" w:lineRule="auto"/>
    </w:pPr>
    <w:rPr>
      <w:rFonts w:ascii="Verdana" w:eastAsia="Verdana" w:hAnsi="Verdana" w:cs="Verdana"/>
      <w:sz w:val="15"/>
      <w:szCs w:val="18"/>
      <w:lang w:val="en-GB" w:eastAsia="en-GB"/>
    </w:rPr>
  </w:style>
  <w:style w:type="paragraph" w:customStyle="1" w:styleId="HeaderAgency">
    <w:name w:val="Header (Agency)"/>
    <w:basedOn w:val="prastasis"/>
    <w:semiHidden/>
    <w:rsid w:val="00E446F1"/>
    <w:pPr>
      <w:spacing w:after="0" w:line="240" w:lineRule="auto"/>
    </w:pPr>
    <w:rPr>
      <w:rFonts w:ascii="Verdana" w:eastAsia="Verdana" w:hAnsi="Verdana" w:cs="Verdana"/>
      <w:sz w:val="18"/>
      <w:szCs w:val="18"/>
      <w:lang w:val="en-GB" w:eastAsia="en-GB"/>
    </w:rPr>
  </w:style>
  <w:style w:type="paragraph" w:customStyle="1" w:styleId="Heading1Agency">
    <w:name w:val="Heading 1 (Agency)"/>
    <w:basedOn w:val="prastasis"/>
    <w:next w:val="BodytextAgency"/>
    <w:rsid w:val="007B6CF9"/>
    <w:pPr>
      <w:keepNext/>
      <w:numPr>
        <w:numId w:val="5"/>
      </w:numPr>
      <w:spacing w:before="280" w:after="220" w:line="240" w:lineRule="auto"/>
      <w:outlineLvl w:val="0"/>
    </w:pPr>
    <w:rPr>
      <w:rFonts w:ascii="Verdana" w:eastAsia="Verdana" w:hAnsi="Verdana"/>
      <w:b/>
      <w:bCs/>
      <w:kern w:val="32"/>
      <w:sz w:val="27"/>
      <w:szCs w:val="27"/>
      <w:lang w:val="en-GB" w:eastAsia="en-GB"/>
    </w:rPr>
  </w:style>
  <w:style w:type="paragraph" w:customStyle="1" w:styleId="Heading2Agency">
    <w:name w:val="Heading 2 (Agency)"/>
    <w:basedOn w:val="prastasis"/>
    <w:next w:val="BodytextAgency"/>
    <w:rsid w:val="007B6CF9"/>
    <w:pPr>
      <w:keepNext/>
      <w:numPr>
        <w:ilvl w:val="1"/>
        <w:numId w:val="5"/>
      </w:numPr>
      <w:spacing w:before="280" w:after="220" w:line="240" w:lineRule="auto"/>
      <w:outlineLvl w:val="1"/>
    </w:pPr>
    <w:rPr>
      <w:rFonts w:ascii="Verdana" w:eastAsia="Verdana" w:hAnsi="Verdana"/>
      <w:b/>
      <w:bCs/>
      <w:i/>
      <w:kern w:val="32"/>
      <w:sz w:val="22"/>
      <w:szCs w:val="22"/>
      <w:lang w:val="en-GB" w:eastAsia="en-GB"/>
    </w:rPr>
  </w:style>
  <w:style w:type="paragraph" w:customStyle="1" w:styleId="Heading3Agency">
    <w:name w:val="Heading 3 (Agency)"/>
    <w:basedOn w:val="prastasis"/>
    <w:next w:val="BodytextAgency"/>
    <w:rsid w:val="007B6CF9"/>
    <w:pPr>
      <w:keepNext/>
      <w:numPr>
        <w:ilvl w:val="2"/>
        <w:numId w:val="5"/>
      </w:numPr>
      <w:spacing w:before="280" w:after="220" w:line="240" w:lineRule="auto"/>
      <w:outlineLvl w:val="2"/>
    </w:pPr>
    <w:rPr>
      <w:rFonts w:ascii="Verdana" w:eastAsia="Verdana" w:hAnsi="Verdana"/>
      <w:b/>
      <w:bCs/>
      <w:kern w:val="32"/>
      <w:sz w:val="22"/>
      <w:szCs w:val="22"/>
      <w:lang w:val="en-GB" w:eastAsia="en-GB"/>
    </w:rPr>
  </w:style>
  <w:style w:type="paragraph" w:customStyle="1" w:styleId="Heading4Agency">
    <w:name w:val="Heading 4 (Agency)"/>
    <w:basedOn w:val="Heading3Agency"/>
    <w:next w:val="BodytextAgency"/>
    <w:semiHidden/>
    <w:rsid w:val="007B6CF9"/>
    <w:pPr>
      <w:numPr>
        <w:ilvl w:val="3"/>
      </w:numPr>
      <w:outlineLvl w:val="3"/>
    </w:pPr>
    <w:rPr>
      <w:i/>
      <w:sz w:val="18"/>
      <w:szCs w:val="18"/>
    </w:rPr>
  </w:style>
  <w:style w:type="paragraph" w:customStyle="1" w:styleId="Heading5Agency">
    <w:name w:val="Heading 5 (Agency)"/>
    <w:basedOn w:val="Heading4Agency"/>
    <w:next w:val="BodytextAgency"/>
    <w:semiHidden/>
    <w:rsid w:val="007B6CF9"/>
    <w:pPr>
      <w:numPr>
        <w:ilvl w:val="4"/>
      </w:numPr>
      <w:outlineLvl w:val="4"/>
    </w:pPr>
    <w:rPr>
      <w:i w:val="0"/>
    </w:rPr>
  </w:style>
  <w:style w:type="paragraph" w:customStyle="1" w:styleId="Heading6Agency">
    <w:name w:val="Heading 6 (Agency)"/>
    <w:basedOn w:val="Heading5Agency"/>
    <w:next w:val="BodytextAgency"/>
    <w:semiHidden/>
    <w:rsid w:val="007B6CF9"/>
    <w:pPr>
      <w:numPr>
        <w:ilvl w:val="5"/>
      </w:numPr>
      <w:outlineLvl w:val="5"/>
    </w:pPr>
  </w:style>
  <w:style w:type="paragraph" w:customStyle="1" w:styleId="Heading7Agency">
    <w:name w:val="Heading 7 (Agency)"/>
    <w:basedOn w:val="Heading6Agency"/>
    <w:next w:val="BodytextAgency"/>
    <w:semiHidden/>
    <w:rsid w:val="007B6CF9"/>
    <w:pPr>
      <w:numPr>
        <w:ilvl w:val="6"/>
      </w:numPr>
      <w:outlineLvl w:val="6"/>
    </w:pPr>
  </w:style>
  <w:style w:type="paragraph" w:customStyle="1" w:styleId="Heading8Agency">
    <w:name w:val="Heading 8 (Agency)"/>
    <w:basedOn w:val="Heading7Agency"/>
    <w:next w:val="BodytextAgency"/>
    <w:semiHidden/>
    <w:rsid w:val="007B6CF9"/>
    <w:pPr>
      <w:numPr>
        <w:ilvl w:val="7"/>
      </w:numPr>
      <w:outlineLvl w:val="7"/>
    </w:pPr>
  </w:style>
  <w:style w:type="paragraph" w:customStyle="1" w:styleId="Heading9Agency">
    <w:name w:val="Heading 9 (Agency)"/>
    <w:basedOn w:val="Heading8Agency"/>
    <w:next w:val="BodytextAgency"/>
    <w:semiHidden/>
    <w:rsid w:val="007B6CF9"/>
    <w:pPr>
      <w:numPr>
        <w:ilvl w:val="8"/>
      </w:numPr>
      <w:outlineLvl w:val="8"/>
    </w:pPr>
  </w:style>
  <w:style w:type="character" w:customStyle="1" w:styleId="No-numheading1AgencyChar">
    <w:name w:val="No-num heading 1 (Agency) Char"/>
    <w:link w:val="No-numheading1Agency"/>
    <w:locked/>
    <w:rsid w:val="00E446F1"/>
    <w:rPr>
      <w:rFonts w:ascii="Verdana" w:eastAsia="Verdana" w:hAnsi="Verdana"/>
      <w:b/>
      <w:bCs/>
      <w:kern w:val="32"/>
      <w:sz w:val="27"/>
      <w:szCs w:val="27"/>
      <w:lang w:val="en-GB" w:eastAsia="en-GB"/>
    </w:rPr>
  </w:style>
  <w:style w:type="paragraph" w:customStyle="1" w:styleId="No-numheading1Agency">
    <w:name w:val="No-num heading 1 (Agency)"/>
    <w:basedOn w:val="prastasis"/>
    <w:next w:val="BodytextAgency"/>
    <w:link w:val="No-numheading1AgencyChar"/>
    <w:rsid w:val="00E446F1"/>
    <w:pPr>
      <w:keepNext/>
      <w:spacing w:before="280" w:after="220" w:line="240" w:lineRule="auto"/>
      <w:outlineLvl w:val="0"/>
    </w:pPr>
    <w:rPr>
      <w:rFonts w:ascii="Verdana" w:eastAsia="Verdana" w:hAnsi="Verdana"/>
      <w:b/>
      <w:bCs/>
      <w:kern w:val="32"/>
      <w:sz w:val="27"/>
      <w:szCs w:val="27"/>
      <w:lang w:val="en-GB" w:eastAsia="en-GB"/>
    </w:rPr>
  </w:style>
  <w:style w:type="character" w:customStyle="1" w:styleId="No-numheading2AgencyChar">
    <w:name w:val="No-num heading 2 (Agency) Char"/>
    <w:link w:val="No-numheading2Agency"/>
    <w:locked/>
    <w:rsid w:val="00E446F1"/>
    <w:rPr>
      <w:rFonts w:ascii="Verdana" w:eastAsia="Verdana" w:hAnsi="Verdana"/>
      <w:b/>
      <w:bCs/>
      <w:i/>
      <w:kern w:val="32"/>
      <w:lang w:val="en-GB" w:eastAsia="en-GB"/>
    </w:rPr>
  </w:style>
  <w:style w:type="paragraph" w:customStyle="1" w:styleId="No-numheading2Agency">
    <w:name w:val="No-num heading 2 (Agency)"/>
    <w:basedOn w:val="prastasis"/>
    <w:next w:val="BodytextAgency"/>
    <w:link w:val="No-numheading2AgencyChar"/>
    <w:rsid w:val="00E446F1"/>
    <w:pPr>
      <w:keepNext/>
      <w:spacing w:before="280" w:after="220" w:line="240" w:lineRule="auto"/>
      <w:outlineLvl w:val="1"/>
    </w:pPr>
    <w:rPr>
      <w:rFonts w:ascii="Verdana" w:eastAsia="Verdana" w:hAnsi="Verdana"/>
      <w:b/>
      <w:bCs/>
      <w:i/>
      <w:kern w:val="32"/>
      <w:lang w:val="en-GB" w:eastAsia="en-GB"/>
    </w:rPr>
  </w:style>
  <w:style w:type="paragraph" w:customStyle="1" w:styleId="No-numheading3Agency">
    <w:name w:val="No-num heading 3 (Agency)"/>
    <w:basedOn w:val="Heading3Agency"/>
    <w:next w:val="BodytextAgency"/>
    <w:rsid w:val="00E446F1"/>
    <w:pPr>
      <w:numPr>
        <w:ilvl w:val="0"/>
        <w:numId w:val="0"/>
      </w:numPr>
    </w:pPr>
  </w:style>
  <w:style w:type="paragraph" w:customStyle="1" w:styleId="No-numheading4Agency">
    <w:name w:val="No-num heading 4 (Agency)"/>
    <w:basedOn w:val="Heading4Agency"/>
    <w:next w:val="BodytextAgency"/>
    <w:semiHidden/>
    <w:rsid w:val="00E446F1"/>
    <w:pPr>
      <w:numPr>
        <w:ilvl w:val="0"/>
        <w:numId w:val="0"/>
      </w:numPr>
    </w:pPr>
  </w:style>
  <w:style w:type="paragraph" w:customStyle="1" w:styleId="No-numheading5Agency">
    <w:name w:val="No-num heading 5 (Agency)"/>
    <w:basedOn w:val="Heading5Agency"/>
    <w:next w:val="BodytextAgency"/>
    <w:semiHidden/>
    <w:rsid w:val="00E446F1"/>
    <w:pPr>
      <w:numPr>
        <w:ilvl w:val="0"/>
        <w:numId w:val="0"/>
      </w:numPr>
    </w:pPr>
  </w:style>
  <w:style w:type="paragraph" w:customStyle="1" w:styleId="No-numheading6Agency">
    <w:name w:val="No-num heading 6 (Agency)"/>
    <w:basedOn w:val="No-numheading5Agency"/>
    <w:next w:val="BodytextAgency"/>
    <w:semiHidden/>
    <w:rsid w:val="00E446F1"/>
    <w:pPr>
      <w:outlineLvl w:val="5"/>
    </w:pPr>
  </w:style>
  <w:style w:type="paragraph" w:customStyle="1" w:styleId="No-numheading7Agency">
    <w:name w:val="No-num heading 7 (Agency)"/>
    <w:basedOn w:val="No-numheading6Agency"/>
    <w:next w:val="BodytextAgency"/>
    <w:semiHidden/>
    <w:rsid w:val="00E446F1"/>
    <w:pPr>
      <w:outlineLvl w:val="6"/>
    </w:pPr>
  </w:style>
  <w:style w:type="paragraph" w:customStyle="1" w:styleId="No-numheading8Agency">
    <w:name w:val="No-num heading 8 (Agency)"/>
    <w:basedOn w:val="No-numheading7Agency"/>
    <w:next w:val="BodytextAgency"/>
    <w:semiHidden/>
    <w:rsid w:val="00E446F1"/>
    <w:pPr>
      <w:outlineLvl w:val="7"/>
    </w:pPr>
  </w:style>
  <w:style w:type="paragraph" w:customStyle="1" w:styleId="No-numheading9Agency">
    <w:name w:val="No-num heading 9 (Agency)"/>
    <w:basedOn w:val="No-numheading8Agency"/>
    <w:next w:val="BodytextAgency"/>
    <w:semiHidden/>
    <w:rsid w:val="00E446F1"/>
    <w:pPr>
      <w:outlineLvl w:val="8"/>
    </w:pPr>
  </w:style>
  <w:style w:type="character" w:customStyle="1" w:styleId="NormalAgencyChar">
    <w:name w:val="Normal (Agency) Char"/>
    <w:link w:val="NormalAgency"/>
    <w:locked/>
    <w:rsid w:val="00E446F1"/>
    <w:rPr>
      <w:rFonts w:ascii="Verdana" w:eastAsia="Verdana" w:hAnsi="Verdana" w:cs="Verdana"/>
      <w:sz w:val="18"/>
      <w:szCs w:val="18"/>
      <w:lang w:val="en-GB" w:eastAsia="en-GB"/>
    </w:rPr>
  </w:style>
  <w:style w:type="paragraph" w:customStyle="1" w:styleId="NormalAgency">
    <w:name w:val="Normal (Agency)"/>
    <w:link w:val="NormalAgencyChar"/>
    <w:rsid w:val="00E446F1"/>
    <w:pPr>
      <w:spacing w:after="0" w:line="240" w:lineRule="auto"/>
    </w:pPr>
    <w:rPr>
      <w:rFonts w:ascii="Verdana" w:eastAsia="Verdana" w:hAnsi="Verdana" w:cs="Verdana"/>
      <w:sz w:val="18"/>
      <w:szCs w:val="18"/>
      <w:lang w:val="en-GB" w:eastAsia="en-GB"/>
    </w:rPr>
  </w:style>
  <w:style w:type="paragraph" w:customStyle="1" w:styleId="No-TOCheadingAgency">
    <w:name w:val="No-TOC heading (Agency)"/>
    <w:basedOn w:val="prastasis"/>
    <w:next w:val="prastasis"/>
    <w:rsid w:val="00E446F1"/>
    <w:pPr>
      <w:keepNext/>
      <w:spacing w:before="280" w:after="220" w:line="240" w:lineRule="auto"/>
    </w:pPr>
    <w:rPr>
      <w:rFonts w:ascii="Verdana" w:eastAsia="Times New Roman" w:hAnsi="Verdana"/>
      <w:b/>
      <w:kern w:val="32"/>
      <w:sz w:val="27"/>
      <w:szCs w:val="27"/>
      <w:lang w:val="en-GB" w:eastAsia="en-GB"/>
    </w:rPr>
  </w:style>
  <w:style w:type="paragraph" w:customStyle="1" w:styleId="RefAgency">
    <w:name w:val="Ref. (Agency)"/>
    <w:basedOn w:val="prastasis"/>
    <w:rsid w:val="00E446F1"/>
    <w:pPr>
      <w:spacing w:after="0" w:line="240" w:lineRule="auto"/>
    </w:pPr>
    <w:rPr>
      <w:rFonts w:ascii="Verdana" w:eastAsia="Times New Roman" w:hAnsi="Verdana" w:cs="Times New Roman"/>
      <w:sz w:val="17"/>
      <w:szCs w:val="18"/>
      <w:lang w:val="en-GB" w:eastAsia="en-GB"/>
    </w:rPr>
  </w:style>
  <w:style w:type="paragraph" w:customStyle="1" w:styleId="TablefirstrowAgency">
    <w:name w:val="Table first row (Agency)"/>
    <w:basedOn w:val="BodytextAgency"/>
    <w:rsid w:val="00E446F1"/>
    <w:pPr>
      <w:keepNext/>
    </w:pPr>
    <w:rPr>
      <w:rFonts w:eastAsia="Times New Roman"/>
      <w:b/>
    </w:rPr>
  </w:style>
  <w:style w:type="paragraph" w:customStyle="1" w:styleId="TableheadingAgency">
    <w:name w:val="Table heading (Agency)"/>
    <w:basedOn w:val="prastasis"/>
    <w:next w:val="BodytextAgency"/>
    <w:semiHidden/>
    <w:rsid w:val="007B6CF9"/>
    <w:pPr>
      <w:keepNext/>
      <w:numPr>
        <w:numId w:val="7"/>
      </w:numPr>
      <w:spacing w:before="240" w:after="120" w:line="240" w:lineRule="auto"/>
    </w:pPr>
    <w:rPr>
      <w:rFonts w:ascii="Verdana" w:eastAsia="SimSun" w:hAnsi="Verdana" w:cs="Verdana"/>
      <w:sz w:val="18"/>
      <w:szCs w:val="18"/>
      <w:lang w:val="en-GB" w:eastAsia="zh-CN"/>
    </w:rPr>
  </w:style>
  <w:style w:type="paragraph" w:customStyle="1" w:styleId="TableheadingrowsAgency">
    <w:name w:val="Table heading rows (Agency)"/>
    <w:basedOn w:val="BodytextAgency"/>
    <w:semiHidden/>
    <w:rsid w:val="00E446F1"/>
    <w:pPr>
      <w:keepNext/>
    </w:pPr>
    <w:rPr>
      <w:rFonts w:eastAsia="Times New Roman"/>
      <w:b/>
    </w:rPr>
  </w:style>
  <w:style w:type="paragraph" w:customStyle="1" w:styleId="TabletextrowsAgency">
    <w:name w:val="Table text rows (Agency)"/>
    <w:basedOn w:val="prastasis"/>
    <w:rsid w:val="00E446F1"/>
    <w:pPr>
      <w:spacing w:after="0" w:line="280" w:lineRule="exact"/>
    </w:pPr>
    <w:rPr>
      <w:rFonts w:ascii="Verdana" w:eastAsia="Times New Roman" w:hAnsi="Verdana" w:cs="Verdana"/>
      <w:sz w:val="18"/>
      <w:szCs w:val="18"/>
      <w:lang w:val="en-GB" w:eastAsia="zh-CN"/>
    </w:rPr>
  </w:style>
  <w:style w:type="paragraph" w:customStyle="1" w:styleId="TableFigurenoteAgency">
    <w:name w:val="Table/Figure note (Agency)"/>
    <w:basedOn w:val="BodytextAgency"/>
    <w:next w:val="BodytextAgency"/>
    <w:semiHidden/>
    <w:rsid w:val="00E446F1"/>
    <w:pPr>
      <w:spacing w:before="60" w:after="240" w:line="240" w:lineRule="auto"/>
    </w:pPr>
    <w:rPr>
      <w:sz w:val="16"/>
      <w:szCs w:val="16"/>
    </w:rPr>
  </w:style>
  <w:style w:type="character" w:customStyle="1" w:styleId="BTEMEASMCAChar">
    <w:name w:val="BT EMEA_SMCA Char"/>
    <w:link w:val="BTEMEASMCA"/>
    <w:locked/>
    <w:rsid w:val="00E446F1"/>
    <w:rPr>
      <w:noProof/>
      <w:lang w:val="lt-LT"/>
    </w:rPr>
  </w:style>
  <w:style w:type="paragraph" w:customStyle="1" w:styleId="BTEMEASMCA">
    <w:name w:val="BT EMEA_SMCA"/>
    <w:basedOn w:val="prastasis"/>
    <w:link w:val="BTEMEASMCAChar"/>
    <w:autoRedefine/>
    <w:rsid w:val="007B6CF9"/>
    <w:pPr>
      <w:spacing w:after="0" w:line="240" w:lineRule="auto"/>
    </w:pPr>
    <w:rPr>
      <w:noProof/>
      <w:lang w:val="lt-LT"/>
    </w:rPr>
  </w:style>
  <w:style w:type="paragraph" w:customStyle="1" w:styleId="PI-3EMEASMCA">
    <w:name w:val="PI-3 EMEA_SMCA"/>
    <w:basedOn w:val="prastasis"/>
    <w:autoRedefine/>
    <w:rsid w:val="007B6CF9"/>
    <w:pPr>
      <w:spacing w:after="0" w:line="220" w:lineRule="exact"/>
    </w:pPr>
    <w:rPr>
      <w:rFonts w:ascii="Times New Roman" w:eastAsia="Times New Roman" w:hAnsi="Times New Roman" w:cs="Times New Roman"/>
      <w:b/>
      <w:bCs/>
      <w:sz w:val="22"/>
      <w:szCs w:val="22"/>
      <w:lang w:val="lt-LT"/>
    </w:rPr>
  </w:style>
  <w:style w:type="character" w:styleId="Puslapioinaosnuoroda">
    <w:name w:val="footnote reference"/>
    <w:semiHidden/>
    <w:unhideWhenUsed/>
    <w:rsid w:val="00E446F1"/>
    <w:rPr>
      <w:rFonts w:ascii="Verdana" w:hAnsi="Verdana" w:hint="default"/>
      <w:vertAlign w:val="superscript"/>
    </w:rPr>
  </w:style>
  <w:style w:type="character" w:styleId="Komentaronuoroda">
    <w:name w:val="annotation reference"/>
    <w:semiHidden/>
    <w:unhideWhenUsed/>
    <w:rsid w:val="00E446F1"/>
    <w:rPr>
      <w:sz w:val="16"/>
      <w:szCs w:val="16"/>
    </w:rPr>
  </w:style>
  <w:style w:type="character" w:styleId="Dokumentoinaosnumeris">
    <w:name w:val="endnote reference"/>
    <w:semiHidden/>
    <w:unhideWhenUsed/>
    <w:rsid w:val="00E446F1"/>
    <w:rPr>
      <w:rFonts w:ascii="Verdana" w:hAnsi="Verdana" w:hint="default"/>
      <w:vertAlign w:val="superscript"/>
    </w:rPr>
  </w:style>
  <w:style w:type="character" w:customStyle="1" w:styleId="TextChar1">
    <w:name w:val="Text Char1"/>
    <w:rsid w:val="00E446F1"/>
    <w:rPr>
      <w:sz w:val="24"/>
      <w:lang w:val="en-US" w:eastAsia="en-US" w:bidi="ar-SA"/>
    </w:rPr>
  </w:style>
  <w:style w:type="character" w:customStyle="1" w:styleId="hps">
    <w:name w:val="hps"/>
    <w:rsid w:val="00E446F1"/>
  </w:style>
  <w:style w:type="character" w:customStyle="1" w:styleId="atn">
    <w:name w:val="atn"/>
    <w:rsid w:val="00E446F1"/>
  </w:style>
  <w:style w:type="character" w:customStyle="1" w:styleId="EndnotereferenceAgency">
    <w:name w:val="Endnote reference (Agency)"/>
    <w:semiHidden/>
    <w:rsid w:val="00E446F1"/>
    <w:rPr>
      <w:rFonts w:ascii="Verdana" w:hAnsi="Verdana" w:hint="default"/>
      <w:vertAlign w:val="superscript"/>
    </w:rPr>
  </w:style>
  <w:style w:type="character" w:customStyle="1" w:styleId="FootnotereferenceAgency">
    <w:name w:val="Footnote reference (Agency)"/>
    <w:semiHidden/>
    <w:rsid w:val="00E446F1"/>
    <w:rPr>
      <w:rFonts w:ascii="Verdana" w:hAnsi="Verdana" w:hint="default"/>
      <w:color w:val="auto"/>
      <w:vertAlign w:val="superscript"/>
    </w:rPr>
  </w:style>
  <w:style w:type="character" w:customStyle="1" w:styleId="PageNumberAgency0">
    <w:name w:val="Page Number (Agency)"/>
    <w:rsid w:val="00E446F1"/>
    <w:rPr>
      <w:rFonts w:ascii="Verdana" w:hAnsi="Verdana" w:hint="default"/>
      <w:sz w:val="14"/>
    </w:rPr>
  </w:style>
  <w:style w:type="table" w:customStyle="1" w:styleId="FootertableAgency">
    <w:name w:val="Footer table (Agency)"/>
    <w:basedOn w:val="prastojilentel"/>
    <w:semiHidden/>
    <w:rsid w:val="00E446F1"/>
    <w:pPr>
      <w:spacing w:after="0" w:line="240" w:lineRule="auto"/>
    </w:pPr>
    <w:rPr>
      <w:rFonts w:ascii="Verdana" w:eastAsia="SimSun" w:hAnsi="Verdana" w:cs="Times New Roman"/>
      <w:lang w:val="lt-LT" w:eastAsia="lt-LT"/>
    </w:rPr>
    <w:tblPr>
      <w:tblInd w:w="0" w:type="nil"/>
    </w:tblPr>
    <w:tblStylePr w:type="firstRow">
      <w:rPr>
        <w:rFonts w:ascii="Calibri Light" w:hAnsi="Calibri Light" w:hint="default"/>
        <w:b w:val="0"/>
        <w:sz w:val="18"/>
        <w:szCs w:val="18"/>
      </w:rPr>
      <w:tblPr/>
      <w:tcPr>
        <w:tcBorders>
          <w:top w:val="single" w:sz="2" w:space="0" w:color="auto"/>
          <w:left w:val="nil"/>
          <w:bottom w:val="nil"/>
          <w:right w:val="nil"/>
          <w:insideH w:val="nil"/>
          <w:insideV w:val="nil"/>
          <w:tl2br w:val="nil"/>
          <w:tr2bl w:val="nil"/>
        </w:tcBorders>
      </w:tcPr>
    </w:tblStylePr>
  </w:style>
  <w:style w:type="table" w:customStyle="1" w:styleId="TablegridAgencyblank">
    <w:name w:val="Table grid (Agency) blank"/>
    <w:basedOn w:val="prastojilentel"/>
    <w:semiHidden/>
    <w:rsid w:val="00E446F1"/>
    <w:pPr>
      <w:spacing w:after="0" w:line="240" w:lineRule="auto"/>
    </w:pPr>
    <w:rPr>
      <w:rFonts w:ascii="Verdana" w:eastAsia="SimSun" w:hAnsi="Verdana" w:cs="Times New Roman"/>
      <w:sz w:val="18"/>
      <w:lang w:val="lt-LT" w:eastAsia="lt-LT"/>
    </w:rPr>
    <w:tblPr>
      <w:tblInd w:w="0" w:type="nil"/>
    </w:tblPr>
    <w:tblStylePr w:type="firstRow">
      <w:rPr>
        <w:rFonts w:ascii="Calibri Light" w:hAnsi="Calibri Light" w:hint="default"/>
        <w:b w:val="0"/>
        <w:i w:val="0"/>
        <w:color w:val="auto"/>
        <w:sz w:val="18"/>
        <w:szCs w:val="18"/>
      </w:rPr>
      <w:tblPr/>
      <w:tcPr>
        <w:tcBorders>
          <w:top w:val="nil"/>
          <w:left w:val="nil"/>
          <w:bottom w:val="nil"/>
          <w:right w:val="nil"/>
          <w:insideH w:val="nil"/>
          <w:insideV w:val="nil"/>
          <w:tl2br w:val="nil"/>
          <w:tr2bl w:val="nil"/>
        </w:tcBorders>
      </w:tcPr>
    </w:tblStylePr>
  </w:style>
  <w:style w:type="table" w:customStyle="1" w:styleId="TablegridAgency">
    <w:name w:val="Table grid (Agency)"/>
    <w:basedOn w:val="prastojilentel"/>
    <w:semiHidden/>
    <w:rsid w:val="00E446F1"/>
    <w:pPr>
      <w:spacing w:after="0" w:line="240" w:lineRule="auto"/>
    </w:pPr>
    <w:rPr>
      <w:rFonts w:ascii="Verdana" w:eastAsia="SimSun" w:hAnsi="Verdana" w:cs="Times New Roman"/>
      <w:sz w:val="18"/>
      <w:lang w:val="lt-LT" w:eastAsia="lt-LT"/>
    </w:rPr>
    <w:tblPr>
      <w:tblInd w:w="0" w:type="nil"/>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Pr>
    <w:tcPr>
      <w:shd w:val="clear" w:color="auto" w:fill="E1E3F2"/>
    </w:tcPr>
    <w:tblStylePr w:type="firstRow">
      <w:rPr>
        <w:rFonts w:ascii="Calibri Light" w:hAnsi="Calibri Light" w:hint="default"/>
        <w:b/>
        <w:i w:val="0"/>
        <w:sz w:val="18"/>
        <w:szCs w:val="18"/>
      </w:rPr>
      <w:tblPr/>
      <w:tcPr>
        <w:tcBorders>
          <w:top w:val="nil"/>
          <w:left w:val="nil"/>
          <w:bottom w:val="nil"/>
          <w:right w:val="nil"/>
          <w:insideH w:val="nil"/>
          <w:insideV w:val="nil"/>
          <w:tl2br w:val="nil"/>
          <w:tr2bl w:val="nil"/>
        </w:tcBorders>
        <w:shd w:val="clear" w:color="auto" w:fill="003399"/>
      </w:tcPr>
    </w:tblStylePr>
  </w:style>
  <w:style w:type="table" w:customStyle="1" w:styleId="TablegridAgencyblack">
    <w:name w:val="Table grid (Agency) black"/>
    <w:basedOn w:val="TablegridAgency"/>
    <w:semiHidden/>
    <w:rsid w:val="00E446F1"/>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E1E3F2"/>
    </w:tcPr>
    <w:tblStylePr w:type="firstRow">
      <w:rPr>
        <w:rFonts w:ascii="Calibri Light" w:hAnsi="Calibri Light" w:hint="default"/>
        <w:b/>
        <w:i w:val="0"/>
        <w:color w:val="auto"/>
        <w:sz w:val="18"/>
        <w:szCs w:val="18"/>
      </w:rPr>
      <w:tbl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003399"/>
      </w:tcPr>
    </w:tblStylePr>
  </w:style>
  <w:style w:type="numbering" w:customStyle="1" w:styleId="BulletsAgency">
    <w:name w:val="Bullets (Agency)"/>
    <w:rsid w:val="00E446F1"/>
    <w:pPr>
      <w:numPr>
        <w:numId w:val="22"/>
      </w:numPr>
    </w:pPr>
  </w:style>
  <w:style w:type="numbering" w:customStyle="1" w:styleId="NumberlistAgency">
    <w:name w:val="Number list (Agency)"/>
    <w:rsid w:val="00E446F1"/>
    <w:pPr>
      <w:numPr>
        <w:numId w:val="23"/>
      </w:numPr>
    </w:pPr>
  </w:style>
  <w:style w:type="numbering" w:customStyle="1" w:styleId="Sraonra1">
    <w:name w:val="Sąrašo nėra1"/>
    <w:next w:val="Sraonra"/>
    <w:uiPriority w:val="99"/>
    <w:semiHidden/>
    <w:unhideWhenUsed/>
    <w:rsid w:val="00E446F1"/>
  </w:style>
  <w:style w:type="character" w:customStyle="1" w:styleId="shorttext">
    <w:name w:val="short_text"/>
    <w:basedOn w:val="Numatytasispastraiposriftas"/>
    <w:rsid w:val="00E446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aacdd09-f89a-4c08-8a0f-900e360fbf0b">
      <Terms xmlns="http://schemas.microsoft.com/office/infopath/2007/PartnerControls"/>
    </lcf76f155ced4ddcb4097134ff3c332f>
    <TaxCatchAll xmlns="c9ac3ab4-a7cc-4b3a-aeed-dd55a233ac4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A49007D515220498996C95C8387DFF1" ma:contentTypeVersion="15" ma:contentTypeDescription="Create a new document." ma:contentTypeScope="" ma:versionID="0ccba4fa31d421e1601f27000f4d86b6">
  <xsd:schema xmlns:xsd="http://www.w3.org/2001/XMLSchema" xmlns:xs="http://www.w3.org/2001/XMLSchema" xmlns:p="http://schemas.microsoft.com/office/2006/metadata/properties" xmlns:ns2="6aacdd09-f89a-4c08-8a0f-900e360fbf0b" xmlns:ns3="99b584ab-1029-4efb-8391-56fee08bc380" xmlns:ns4="c9ac3ab4-a7cc-4b3a-aeed-dd55a233ac4b" targetNamespace="http://schemas.microsoft.com/office/2006/metadata/properties" ma:root="true" ma:fieldsID="2c5d2bd84e17bc1d60ef8fe72f9eb5a8" ns2:_="" ns3:_="" ns4:_="">
    <xsd:import namespace="6aacdd09-f89a-4c08-8a0f-900e360fbf0b"/>
    <xsd:import namespace="99b584ab-1029-4efb-8391-56fee08bc380"/>
    <xsd:import namespace="c9ac3ab4-a7cc-4b3a-aeed-dd55a233ac4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acdd09-f89a-4c08-8a0f-900e360fbf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37bc47b-3997-4ccb-824d-08e9c3bde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9b584ab-1029-4efb-8391-56fee08bc38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ac3ab4-a7cc-4b3a-aeed-dd55a233ac4b"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38fbf9d-fe28-4719-8531-a9c60ba3a7bc}" ma:internalName="TaxCatchAll" ma:showField="CatchAllData" ma:web="99b584ab-1029-4efb-8391-56fee08bc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3CBA17EE8CA5E74982F40A760858AFCE" ma:contentTypeVersion="13" ma:contentTypeDescription="Create a new document." ma:contentTypeScope="" ma:versionID="6bb23f564ccf0b4b04cbf54f31b6632c">
  <xsd:schema xmlns:xsd="http://www.w3.org/2001/XMLSchema" xmlns:xs="http://www.w3.org/2001/XMLSchema" xmlns:p="http://schemas.microsoft.com/office/2006/metadata/properties" xmlns:ns3="d798c64d-64dd-4293-a90a-054293018c05" xmlns:ns4="78b9413f-6859-4e7b-aa81-638b49c633fc" targetNamespace="http://schemas.microsoft.com/office/2006/metadata/properties" ma:root="true" ma:fieldsID="9e7258cc12ff8ace56d6d1e5f948f1d8" ns3:_="" ns4:_="">
    <xsd:import namespace="d798c64d-64dd-4293-a90a-054293018c05"/>
    <xsd:import namespace="78b9413f-6859-4e7b-aa81-638b49c633fc"/>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98c64d-64dd-4293-a90a-054293018c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b9413f-6859-4e7b-aa81-638b49c633f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97F8D3-ADEF-4F1C-8A80-6FE62578542B}">
  <ds:schemaRefs>
    <ds:schemaRef ds:uri="http://purl.org/dc/elements/1.1/"/>
    <ds:schemaRef ds:uri="http://schemas.microsoft.com/office/2006/documentManagement/types"/>
    <ds:schemaRef ds:uri="6aacdd09-f89a-4c08-8a0f-900e360fbf0b"/>
    <ds:schemaRef ds:uri="http://schemas.microsoft.com/office/infopath/2007/PartnerControls"/>
    <ds:schemaRef ds:uri="http://purl.org/dc/terms/"/>
    <ds:schemaRef ds:uri="http://schemas.openxmlformats.org/package/2006/metadata/core-properties"/>
    <ds:schemaRef ds:uri="http://www.w3.org/XML/1998/namespace"/>
    <ds:schemaRef ds:uri="c9ac3ab4-a7cc-4b3a-aeed-dd55a233ac4b"/>
    <ds:schemaRef ds:uri="99b584ab-1029-4efb-8391-56fee08bc380"/>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1A860817-2CDC-4554-AAC7-A7BA790D14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acdd09-f89a-4c08-8a0f-900e360fbf0b"/>
    <ds:schemaRef ds:uri="99b584ab-1029-4efb-8391-56fee08bc380"/>
    <ds:schemaRef ds:uri="c9ac3ab4-a7cc-4b3a-aeed-dd55a233ac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67DFBD-844F-463D-9E9D-ED8066EDDB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98c64d-64dd-4293-a90a-054293018c05"/>
    <ds:schemaRef ds:uri="78b9413f-6859-4e7b-aa81-638b49c63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A221523-D3B5-4F95-ABED-FA13B3EFF838}">
  <ds:schemaRefs>
    <ds:schemaRef ds:uri="http://schemas.microsoft.com/sharepoint/v3/contenttype/forms"/>
  </ds:schemaRefs>
</ds:datastoreItem>
</file>

<file path=customXml/itemProps5.xml><?xml version="1.0" encoding="utf-8"?>
<ds:datastoreItem xmlns:ds="http://schemas.openxmlformats.org/officeDocument/2006/customXml" ds:itemID="{628B12CB-565B-4EA7-BD6A-A5165E7F4F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38493</Words>
  <Characters>21942</Characters>
  <Application>Microsoft Office Word</Application>
  <DocSecurity>4</DocSecurity>
  <Lines>182</Lines>
  <Paragraphs>120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94</vt:i4>
      </vt:variant>
    </vt:vector>
  </HeadingPairs>
  <TitlesOfParts>
    <vt:vector size="96" baseType="lpstr">
      <vt:lpstr/>
      <vt:lpstr/>
      <vt:lpstr>6.6	Specialūs reikalavimai atliekoms tvarkyti ir vaistiniam preparatui ruošti</vt:lpstr>
      <vt:lpstr/>
      <vt:lpstr/>
      <vt:lpstr/>
      <vt:lpstr/>
      <vt:lpstr/>
      <vt:lpstr/>
      <vt:lpstr/>
      <vt:lpstr/>
      <vt:lpstr/>
      <vt:lpstr/>
      <vt:lpstr/>
      <vt:lpstr/>
      <vt:lpstr/>
      <vt:lpstr/>
      <vt:lpstr/>
      <vt:lpstr/>
      <vt:lpstr/>
      <vt:lpstr/>
      <vt:lpstr/>
      <vt:lpstr/>
      <vt:lpstr/>
      <vt:lpstr/>
      <vt:lpstr>III PRIEDAS</vt:lpstr>
      <vt:lpstr/>
      <vt:lpstr>ŽENKLINIMAS IR PAKUOTĖS LAPELIS</vt:lpstr>
      <vt:lpstr/>
      <vt:lpstr/>
      <vt:lpstr/>
      <vt:lpstr/>
      <vt:lpstr/>
      <vt:lpstr/>
      <vt:lpstr/>
      <vt:lpstr/>
      <vt:lpstr/>
      <vt:lpstr/>
      <vt:lpstr/>
      <vt:lpstr/>
      <vt:lpstr/>
      <vt:lpstr/>
      <vt:lpstr/>
      <vt:lpstr/>
      <vt:lpstr/>
      <vt:lpstr/>
      <vt:lpstr/>
      <vt:lpstr/>
      <vt:lpstr/>
      <vt:lpstr/>
      <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4.	SERIJOS NUMERIS</vt:lpstr>
      <vt:lpstr>5.	KIEKIS (MASĖ, TŪRIS ARBA VIENETAI)</vt:lpstr>
      <vt:lpstr>6.	KITA</vt:lpstr>
      <vt:lpstr/>
      <vt:lpstr>PAKUOTĖS LAPELIS</vt:lpstr>
      <vt:lpstr>Pakuotės lapelis: informacija pacientui</vt:lpstr>
      <vt:lpstr/>
      <vt:lpstr>Sandostatin 100 mikrogramų/ml injekcinis ar infuzinis tirpalas </vt:lpstr>
      <vt:lpstr>Oktreotidas </vt:lpstr>
      <vt:lpstr>Apie ką rašoma šiame lapelyje?</vt:lpstr>
      <vt:lpstr/>
      <vt:lpstr>Sandostatin vartoti negalima:</vt:lpstr>
      <vt:lpstr>Įspėjimai ir atsargumo priemonės</vt:lpstr>
      <vt:lpstr>Nėštumas ir žindymo laikotarpis</vt:lpstr>
      <vt:lpstr>Jeigu esate nėščia, žindote kūdikį, manote, kad galbūt esate nėščia arba planuoj</vt:lpstr>
      <vt:lpstr/>
      <vt:lpstr/>
      <vt:lpstr>Vairavimas ir mechanizmų valdymas</vt:lpstr>
      <vt:lpstr>Ką daryti pavartojus per didelę Sandostatin dozę?</vt:lpstr>
      <vt:lpstr>Pamiršus pavartoti Sandostatin</vt:lpstr>
      <vt:lpstr>Nustojus vartoti Sandostatin</vt:lpstr>
      <vt:lpstr>Šis pakuotės lapelis paskutinį kartą peržiūrėtas 2024-07-1510-09. </vt:lpstr>
    </vt:vector>
  </TitlesOfParts>
  <Company>Novartis</Company>
  <LinksUpToDate>false</LinksUpToDate>
  <CharactersWithSpaces>60315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Staniene, Giedre</dc:creator>
  <cp:keywords/>
  <dc:description/>
  <cp:lastModifiedBy>Albina Burkauskaitė</cp:lastModifiedBy>
  <cp:revision>2</cp:revision>
  <dcterms:created xsi:type="dcterms:W3CDTF">2025-05-08T07:22:00Z</dcterms:created>
  <dcterms:modified xsi:type="dcterms:W3CDTF">2025-05-08T07:22:00Z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0x0101006A49007D515220498996C95C8387DFF1</vt:lpwstr>
  </property>
  <property fmtid="{D5CDD505-2E9C-101B-9397-08002B2CF9AE}" pid="3" name="MSIP_Label_ed5ae3ea-d4ca-4929-ae30-00faddc499b2_Enabled">
    <vt:lpwstr>true</vt:lpwstr>
  </property>
  <property fmtid="{D5CDD505-2E9C-101B-9397-08002B2CF9AE}" pid="4" name="MSIP_Label_ed5ae3ea-d4ca-4929-ae30-00faddc499b2_SetDate">
    <vt:lpwstr>2020-11-05T20:55:23Z</vt:lpwstr>
  </property>
  <property fmtid="{D5CDD505-2E9C-101B-9397-08002B2CF9AE}" pid="5" name="MSIP_Label_ed5ae3ea-d4ca-4929-ae30-00faddc499b2_Method">
    <vt:lpwstr>Privileged</vt:lpwstr>
  </property>
  <property fmtid="{D5CDD505-2E9C-101B-9397-08002B2CF9AE}" pid="6" name="MSIP_Label_ed5ae3ea-d4ca-4929-ae30-00faddc499b2_Name">
    <vt:lpwstr>Public</vt:lpwstr>
  </property>
  <property fmtid="{D5CDD505-2E9C-101B-9397-08002B2CF9AE}" pid="7" name="MSIP_Label_ed5ae3ea-d4ca-4929-ae30-00faddc499b2_SiteId">
    <vt:lpwstr>f35a6974-607f-47d4-82d7-ff31d7dc53a5</vt:lpwstr>
  </property>
  <property fmtid="{D5CDD505-2E9C-101B-9397-08002B2CF9AE}" pid="8" name="MSIP_Label_ed5ae3ea-d4ca-4929-ae30-00faddc499b2_ActionId">
    <vt:lpwstr>8f400512-32af-4846-bf45-242a350c7633</vt:lpwstr>
  </property>
  <property fmtid="{D5CDD505-2E9C-101B-9397-08002B2CF9AE}" pid="9" name="MSIP_Label_ed5ae3ea-d4ca-4929-ae30-00faddc499b2_ContentBits">
    <vt:lpwstr>0</vt:lpwstr>
  </property>
</Properties>
</file>